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F75A200" w14:textId="77777777" w:rsidTr="00BF1190">
        <w:trPr>
          <w:trHeight w:val="1863"/>
        </w:trPr>
        <w:tc>
          <w:tcPr>
            <w:tcW w:w="3652" w:type="dxa"/>
            <w:tcBorders>
              <w:top w:val="nil"/>
              <w:left w:val="nil"/>
              <w:bottom w:val="nil"/>
              <w:right w:val="nil"/>
            </w:tcBorders>
          </w:tcPr>
          <w:p w14:paraId="3D5420A8" w14:textId="49F358BD" w:rsidR="008E7846" w:rsidRPr="00096AA7" w:rsidRDefault="002D3D26" w:rsidP="00096AA7">
            <w:pPr>
              <w:rPr>
                <w:rFonts w:ascii="Arial" w:hAnsi="Arial" w:cs="Arial"/>
                <w:b/>
                <w:sz w:val="36"/>
                <w:szCs w:val="36"/>
              </w:rPr>
            </w:pPr>
            <w:r>
              <w:rPr>
                <w:rFonts w:ascii="Arial" w:hAnsi="Arial" w:cs="Arial"/>
                <w:b/>
                <w:sz w:val="36"/>
                <w:szCs w:val="36"/>
              </w:rPr>
              <w:t>March</w:t>
            </w:r>
            <w:r w:rsidRPr="3013D852">
              <w:rPr>
                <w:rFonts w:ascii="Arial" w:hAnsi="Arial" w:cs="Arial"/>
                <w:b/>
                <w:sz w:val="36"/>
                <w:szCs w:val="36"/>
              </w:rPr>
              <w:t xml:space="preserve"> </w:t>
            </w:r>
            <w:r w:rsidR="004B324B" w:rsidRPr="3013D852">
              <w:rPr>
                <w:rFonts w:ascii="Arial" w:hAnsi="Arial" w:cs="Arial"/>
                <w:b/>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0E75213" w14:textId="77777777" w:rsidTr="0032583B">
        <w:trPr>
          <w:trHeight w:val="868"/>
        </w:trPr>
        <w:tc>
          <w:tcPr>
            <w:tcW w:w="9079" w:type="dxa"/>
          </w:tcPr>
          <w:p w14:paraId="3ED4B317" w14:textId="77777777" w:rsidR="0032583B" w:rsidRPr="002D3D26" w:rsidRDefault="0032583B" w:rsidP="004B324B">
            <w:pPr>
              <w:pStyle w:val="Title"/>
              <w:rPr>
                <w:color w:val="FFFFFF" w:themeColor="background1"/>
              </w:rPr>
            </w:pPr>
            <w:r w:rsidRPr="002575F0">
              <w:rPr>
                <w:color w:val="FFFFFF" w:themeColor="background1"/>
              </w:rPr>
              <w:t>Australia</w:t>
            </w:r>
            <w:r w:rsidR="004B324B" w:rsidRPr="002575F0">
              <w:rPr>
                <w:color w:val="FFFFFF" w:themeColor="background1"/>
              </w:rPr>
              <w:t>n Public Assessment Report for Ciclosporin</w:t>
            </w:r>
          </w:p>
        </w:tc>
      </w:tr>
      <w:tr w:rsidR="0032583B" w:rsidRPr="00B64760" w14:paraId="6A0E94C5" w14:textId="77777777" w:rsidTr="0032583B">
        <w:tc>
          <w:tcPr>
            <w:tcW w:w="9079" w:type="dxa"/>
          </w:tcPr>
          <w:p w14:paraId="454458C7" w14:textId="77777777" w:rsidR="0032583B" w:rsidRPr="002D3D26" w:rsidRDefault="004B324B" w:rsidP="004B324B">
            <w:pPr>
              <w:pStyle w:val="Subtitle"/>
              <w:rPr>
                <w:color w:val="FFFFFF" w:themeColor="background1"/>
              </w:rPr>
            </w:pPr>
            <w:r w:rsidRPr="002575F0">
              <w:rPr>
                <w:color w:val="FFFFFF" w:themeColor="background1"/>
              </w:rPr>
              <w:t xml:space="preserve">Proprietary Product Name: </w:t>
            </w:r>
            <w:proofErr w:type="spellStart"/>
            <w:r w:rsidRPr="002575F0">
              <w:rPr>
                <w:color w:val="FFFFFF" w:themeColor="background1"/>
              </w:rPr>
              <w:t>Ikervis</w:t>
            </w:r>
            <w:proofErr w:type="spellEnd"/>
          </w:p>
        </w:tc>
      </w:tr>
      <w:tr w:rsidR="0032583B" w:rsidRPr="00B64760" w14:paraId="3D338632" w14:textId="77777777" w:rsidTr="0032583B">
        <w:trPr>
          <w:trHeight w:val="486"/>
        </w:trPr>
        <w:tc>
          <w:tcPr>
            <w:tcW w:w="9079" w:type="dxa"/>
          </w:tcPr>
          <w:p w14:paraId="4C6E4400" w14:textId="77777777" w:rsidR="0032583B" w:rsidRPr="002D3D26" w:rsidRDefault="004B324B" w:rsidP="0032583B">
            <w:pPr>
              <w:pStyle w:val="Subtitle"/>
              <w:rPr>
                <w:color w:val="FFFFFF" w:themeColor="background1"/>
              </w:rPr>
            </w:pPr>
            <w:r w:rsidRPr="002575F0">
              <w:rPr>
                <w:color w:val="FFFFFF" w:themeColor="background1"/>
              </w:rPr>
              <w:t xml:space="preserve">Sponsor: </w:t>
            </w:r>
            <w:proofErr w:type="spellStart"/>
            <w:r w:rsidRPr="002575F0">
              <w:rPr>
                <w:color w:val="FFFFFF" w:themeColor="background1"/>
              </w:rPr>
              <w:t>Seqirus</w:t>
            </w:r>
            <w:proofErr w:type="spellEnd"/>
            <w:r w:rsidRPr="002575F0">
              <w:rPr>
                <w:color w:val="FFFFFF" w:themeColor="background1"/>
              </w:rPr>
              <w:t xml:space="preserve"> Pty Ltd</w:t>
            </w:r>
          </w:p>
        </w:tc>
      </w:tr>
    </w:tbl>
    <w:p w14:paraId="7CB00FF7" w14:textId="77777777" w:rsidR="008E7846" w:rsidRPr="0085156D" w:rsidRDefault="008E7846" w:rsidP="0085156D">
      <w:r w:rsidRPr="0085156D">
        <w:br w:type="page"/>
      </w:r>
    </w:p>
    <w:p w14:paraId="096174D7" w14:textId="77777777" w:rsidR="008E7846" w:rsidRPr="001F6CBA" w:rsidRDefault="008E7846" w:rsidP="008E7846">
      <w:pPr>
        <w:pStyle w:val="NonTOCHeading2"/>
      </w:pPr>
      <w:r w:rsidRPr="001F6CBA">
        <w:lastRenderedPageBreak/>
        <w:t>About the Therapeutic Goods Administration (TGA)</w:t>
      </w:r>
    </w:p>
    <w:p w14:paraId="7ACC0430"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C9AC74"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6E9EAA1"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6DB128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D61CDFC" w14:textId="653C957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4C27FE55" w14:textId="77777777" w:rsidR="008E7846" w:rsidRDefault="008E7846" w:rsidP="00875A6B">
      <w:pPr>
        <w:pStyle w:val="NonTOCHeading2"/>
      </w:pPr>
      <w:r>
        <w:t>About AusPARs</w:t>
      </w:r>
    </w:p>
    <w:p w14:paraId="3554EF27"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66770B4" w14:textId="77777777" w:rsidR="008E7846" w:rsidRDefault="008E7846" w:rsidP="008E7846">
      <w:pPr>
        <w:pStyle w:val="ListBullet"/>
        <w:numPr>
          <w:ilvl w:val="0"/>
          <w:numId w:val="3"/>
        </w:numPr>
        <w:ind w:left="357" w:hanging="357"/>
      </w:pPr>
      <w:r>
        <w:t>AusPARs are prepared and published by the TGA.</w:t>
      </w:r>
    </w:p>
    <w:p w14:paraId="195B7273"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4425D13"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0F97DB0"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E57B655" w14:textId="77777777" w:rsidR="00924482" w:rsidRPr="00DF1D7F" w:rsidRDefault="00924482" w:rsidP="00F54B65">
      <w:pPr>
        <w:pStyle w:val="LegalSubheading"/>
        <w:spacing w:before="3120"/>
      </w:pPr>
      <w:r w:rsidRPr="00DF1D7F">
        <w:t>Copyright</w:t>
      </w:r>
    </w:p>
    <w:p w14:paraId="65FABC35" w14:textId="603F3DE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5F133B95"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color w:val="2B579A"/>
          <w:sz w:val="22"/>
          <w:shd w:val="clear" w:color="auto" w:fill="E6E6E6"/>
        </w:rPr>
        <w:id w:val="5618007"/>
        <w:docPartObj>
          <w:docPartGallery w:val="Table of Contents"/>
          <w:docPartUnique/>
        </w:docPartObj>
      </w:sdtPr>
      <w:sdtEndPr>
        <w:rPr>
          <w:b/>
          <w:bCs w:val="0"/>
          <w:sz w:val="25"/>
        </w:rPr>
      </w:sdtEndPr>
      <w:sdtContent>
        <w:p w14:paraId="7FE1A668" w14:textId="77777777" w:rsidR="0089635C" w:rsidRPr="0089635C" w:rsidRDefault="0089635C" w:rsidP="0010788A">
          <w:pPr>
            <w:pStyle w:val="Contents"/>
          </w:pPr>
          <w:r w:rsidRPr="0010788A">
            <w:t>Contents</w:t>
          </w:r>
        </w:p>
        <w:p w14:paraId="41DA611C" w14:textId="769D252B" w:rsidR="00676965" w:rsidRDefault="00C525A2">
          <w:pPr>
            <w:pStyle w:val="TOC1"/>
            <w:rPr>
              <w:rFonts w:asciiTheme="minorHAnsi" w:eastAsiaTheme="minorEastAsia" w:hAnsiTheme="minorHAnsi" w:cstheme="minorBidi"/>
              <w:b w:val="0"/>
              <w:noProof/>
              <w:sz w:val="22"/>
              <w:lang w:eastAsia="en-AU"/>
            </w:rPr>
          </w:pPr>
          <w:r>
            <w:rPr>
              <w:color w:val="2B579A"/>
              <w:shd w:val="clear" w:color="auto" w:fill="E6E6E6"/>
            </w:rPr>
            <w:fldChar w:fldCharType="begin"/>
          </w:r>
          <w:r>
            <w:instrText xml:space="preserve"> TOC \h \z \t "Heading 2,1,Heading 3,2" </w:instrText>
          </w:r>
          <w:r>
            <w:rPr>
              <w:color w:val="2B579A"/>
              <w:shd w:val="clear" w:color="auto" w:fill="E6E6E6"/>
            </w:rPr>
            <w:fldChar w:fldCharType="separate"/>
          </w:r>
          <w:hyperlink w:anchor="_Toc69733534" w:history="1">
            <w:r w:rsidR="00676965" w:rsidRPr="00A91207">
              <w:rPr>
                <w:rStyle w:val="Hyperlink"/>
                <w:noProof/>
              </w:rPr>
              <w:t>List of abbreviations</w:t>
            </w:r>
            <w:r w:rsidR="00676965">
              <w:rPr>
                <w:noProof/>
                <w:webHidden/>
              </w:rPr>
              <w:tab/>
            </w:r>
            <w:r w:rsidR="00676965">
              <w:rPr>
                <w:noProof/>
                <w:webHidden/>
              </w:rPr>
              <w:fldChar w:fldCharType="begin"/>
            </w:r>
            <w:r w:rsidR="00676965">
              <w:rPr>
                <w:noProof/>
                <w:webHidden/>
              </w:rPr>
              <w:instrText xml:space="preserve"> PAGEREF _Toc69733534 \h </w:instrText>
            </w:r>
            <w:r w:rsidR="00676965">
              <w:rPr>
                <w:noProof/>
                <w:webHidden/>
              </w:rPr>
            </w:r>
            <w:r w:rsidR="00676965">
              <w:rPr>
                <w:noProof/>
                <w:webHidden/>
              </w:rPr>
              <w:fldChar w:fldCharType="separate"/>
            </w:r>
            <w:r w:rsidR="00676965">
              <w:rPr>
                <w:noProof/>
                <w:webHidden/>
              </w:rPr>
              <w:t>4</w:t>
            </w:r>
            <w:r w:rsidR="00676965">
              <w:rPr>
                <w:noProof/>
                <w:webHidden/>
              </w:rPr>
              <w:fldChar w:fldCharType="end"/>
            </w:r>
          </w:hyperlink>
        </w:p>
        <w:p w14:paraId="71CC549F" w14:textId="069A5D29" w:rsidR="00676965" w:rsidRDefault="00F97DF4">
          <w:pPr>
            <w:pStyle w:val="TOC1"/>
            <w:rPr>
              <w:rFonts w:asciiTheme="minorHAnsi" w:eastAsiaTheme="minorEastAsia" w:hAnsiTheme="minorHAnsi" w:cstheme="minorBidi"/>
              <w:b w:val="0"/>
              <w:noProof/>
              <w:sz w:val="22"/>
              <w:lang w:eastAsia="en-AU"/>
            </w:rPr>
          </w:pPr>
          <w:hyperlink w:anchor="_Toc69733535" w:history="1">
            <w:r w:rsidR="00676965" w:rsidRPr="00A91207">
              <w:rPr>
                <w:rStyle w:val="Hyperlink"/>
                <w:noProof/>
              </w:rPr>
              <w:t>I. Introduction to product submission</w:t>
            </w:r>
            <w:r w:rsidR="00676965">
              <w:rPr>
                <w:noProof/>
                <w:webHidden/>
              </w:rPr>
              <w:tab/>
            </w:r>
            <w:r w:rsidR="00676965">
              <w:rPr>
                <w:noProof/>
                <w:webHidden/>
              </w:rPr>
              <w:fldChar w:fldCharType="begin"/>
            </w:r>
            <w:r w:rsidR="00676965">
              <w:rPr>
                <w:noProof/>
                <w:webHidden/>
              </w:rPr>
              <w:instrText xml:space="preserve"> PAGEREF _Toc69733535 \h </w:instrText>
            </w:r>
            <w:r w:rsidR="00676965">
              <w:rPr>
                <w:noProof/>
                <w:webHidden/>
              </w:rPr>
            </w:r>
            <w:r w:rsidR="00676965">
              <w:rPr>
                <w:noProof/>
                <w:webHidden/>
              </w:rPr>
              <w:fldChar w:fldCharType="separate"/>
            </w:r>
            <w:r w:rsidR="00676965">
              <w:rPr>
                <w:noProof/>
                <w:webHidden/>
              </w:rPr>
              <w:t>6</w:t>
            </w:r>
            <w:r w:rsidR="00676965">
              <w:rPr>
                <w:noProof/>
                <w:webHidden/>
              </w:rPr>
              <w:fldChar w:fldCharType="end"/>
            </w:r>
          </w:hyperlink>
        </w:p>
        <w:p w14:paraId="46D755B7" w14:textId="311F2F5E" w:rsidR="00676965" w:rsidRDefault="00F97DF4">
          <w:pPr>
            <w:pStyle w:val="TOC2"/>
            <w:rPr>
              <w:rFonts w:asciiTheme="minorHAnsi" w:eastAsiaTheme="minorEastAsia" w:hAnsiTheme="minorHAnsi" w:cstheme="minorBidi"/>
              <w:b w:val="0"/>
              <w:noProof/>
              <w:sz w:val="22"/>
              <w:lang w:eastAsia="en-AU"/>
            </w:rPr>
          </w:pPr>
          <w:hyperlink w:anchor="_Toc69733536" w:history="1">
            <w:r w:rsidR="00676965" w:rsidRPr="00A91207">
              <w:rPr>
                <w:rStyle w:val="Hyperlink"/>
                <w:noProof/>
                <w:lang w:eastAsia="en-AU"/>
              </w:rPr>
              <w:t>Submission details</w:t>
            </w:r>
            <w:r w:rsidR="00676965">
              <w:rPr>
                <w:noProof/>
                <w:webHidden/>
              </w:rPr>
              <w:tab/>
            </w:r>
            <w:r w:rsidR="00676965">
              <w:rPr>
                <w:noProof/>
                <w:webHidden/>
              </w:rPr>
              <w:fldChar w:fldCharType="begin"/>
            </w:r>
            <w:r w:rsidR="00676965">
              <w:rPr>
                <w:noProof/>
                <w:webHidden/>
              </w:rPr>
              <w:instrText xml:space="preserve"> PAGEREF _Toc69733536 \h </w:instrText>
            </w:r>
            <w:r w:rsidR="00676965">
              <w:rPr>
                <w:noProof/>
                <w:webHidden/>
              </w:rPr>
            </w:r>
            <w:r w:rsidR="00676965">
              <w:rPr>
                <w:noProof/>
                <w:webHidden/>
              </w:rPr>
              <w:fldChar w:fldCharType="separate"/>
            </w:r>
            <w:r w:rsidR="00676965">
              <w:rPr>
                <w:noProof/>
                <w:webHidden/>
              </w:rPr>
              <w:t>6</w:t>
            </w:r>
            <w:r w:rsidR="00676965">
              <w:rPr>
                <w:noProof/>
                <w:webHidden/>
              </w:rPr>
              <w:fldChar w:fldCharType="end"/>
            </w:r>
          </w:hyperlink>
        </w:p>
        <w:p w14:paraId="4E00345B" w14:textId="3C862050" w:rsidR="00676965" w:rsidRDefault="00F97DF4">
          <w:pPr>
            <w:pStyle w:val="TOC2"/>
            <w:rPr>
              <w:rFonts w:asciiTheme="minorHAnsi" w:eastAsiaTheme="minorEastAsia" w:hAnsiTheme="minorHAnsi" w:cstheme="minorBidi"/>
              <w:b w:val="0"/>
              <w:noProof/>
              <w:sz w:val="22"/>
              <w:lang w:eastAsia="en-AU"/>
            </w:rPr>
          </w:pPr>
          <w:hyperlink w:anchor="_Toc69733537" w:history="1">
            <w:r w:rsidR="00676965" w:rsidRPr="00A91207">
              <w:rPr>
                <w:rStyle w:val="Hyperlink"/>
                <w:noProof/>
              </w:rPr>
              <w:t>Product background</w:t>
            </w:r>
            <w:r w:rsidR="00676965">
              <w:rPr>
                <w:noProof/>
                <w:webHidden/>
              </w:rPr>
              <w:tab/>
            </w:r>
            <w:r w:rsidR="00676965">
              <w:rPr>
                <w:noProof/>
                <w:webHidden/>
              </w:rPr>
              <w:fldChar w:fldCharType="begin"/>
            </w:r>
            <w:r w:rsidR="00676965">
              <w:rPr>
                <w:noProof/>
                <w:webHidden/>
              </w:rPr>
              <w:instrText xml:space="preserve"> PAGEREF _Toc69733537 \h </w:instrText>
            </w:r>
            <w:r w:rsidR="00676965">
              <w:rPr>
                <w:noProof/>
                <w:webHidden/>
              </w:rPr>
            </w:r>
            <w:r w:rsidR="00676965">
              <w:rPr>
                <w:noProof/>
                <w:webHidden/>
              </w:rPr>
              <w:fldChar w:fldCharType="separate"/>
            </w:r>
            <w:r w:rsidR="00676965">
              <w:rPr>
                <w:noProof/>
                <w:webHidden/>
              </w:rPr>
              <w:t>7</w:t>
            </w:r>
            <w:r w:rsidR="00676965">
              <w:rPr>
                <w:noProof/>
                <w:webHidden/>
              </w:rPr>
              <w:fldChar w:fldCharType="end"/>
            </w:r>
          </w:hyperlink>
        </w:p>
        <w:p w14:paraId="78E56FF4" w14:textId="7AD5EFA7" w:rsidR="00676965" w:rsidRDefault="00F97DF4">
          <w:pPr>
            <w:pStyle w:val="TOC2"/>
            <w:rPr>
              <w:rFonts w:asciiTheme="minorHAnsi" w:eastAsiaTheme="minorEastAsia" w:hAnsiTheme="minorHAnsi" w:cstheme="minorBidi"/>
              <w:b w:val="0"/>
              <w:noProof/>
              <w:sz w:val="22"/>
              <w:lang w:eastAsia="en-AU"/>
            </w:rPr>
          </w:pPr>
          <w:hyperlink w:anchor="_Toc69733538" w:history="1">
            <w:r w:rsidR="00676965" w:rsidRPr="00A91207">
              <w:rPr>
                <w:rStyle w:val="Hyperlink"/>
                <w:noProof/>
              </w:rPr>
              <w:t>Regulatory status</w:t>
            </w:r>
            <w:r w:rsidR="00676965">
              <w:rPr>
                <w:noProof/>
                <w:webHidden/>
              </w:rPr>
              <w:tab/>
            </w:r>
            <w:r w:rsidR="00676965">
              <w:rPr>
                <w:noProof/>
                <w:webHidden/>
              </w:rPr>
              <w:fldChar w:fldCharType="begin"/>
            </w:r>
            <w:r w:rsidR="00676965">
              <w:rPr>
                <w:noProof/>
                <w:webHidden/>
              </w:rPr>
              <w:instrText xml:space="preserve"> PAGEREF _Toc69733538 \h </w:instrText>
            </w:r>
            <w:r w:rsidR="00676965">
              <w:rPr>
                <w:noProof/>
                <w:webHidden/>
              </w:rPr>
            </w:r>
            <w:r w:rsidR="00676965">
              <w:rPr>
                <w:noProof/>
                <w:webHidden/>
              </w:rPr>
              <w:fldChar w:fldCharType="separate"/>
            </w:r>
            <w:r w:rsidR="00676965">
              <w:rPr>
                <w:noProof/>
                <w:webHidden/>
              </w:rPr>
              <w:t>8</w:t>
            </w:r>
            <w:r w:rsidR="00676965">
              <w:rPr>
                <w:noProof/>
                <w:webHidden/>
              </w:rPr>
              <w:fldChar w:fldCharType="end"/>
            </w:r>
          </w:hyperlink>
        </w:p>
        <w:p w14:paraId="1504EF3C" w14:textId="344E0817" w:rsidR="00676965" w:rsidRDefault="00F97DF4">
          <w:pPr>
            <w:pStyle w:val="TOC1"/>
            <w:rPr>
              <w:rFonts w:asciiTheme="minorHAnsi" w:eastAsiaTheme="minorEastAsia" w:hAnsiTheme="minorHAnsi" w:cstheme="minorBidi"/>
              <w:b w:val="0"/>
              <w:noProof/>
              <w:sz w:val="22"/>
              <w:lang w:eastAsia="en-AU"/>
            </w:rPr>
          </w:pPr>
          <w:hyperlink w:anchor="_Toc69733539" w:history="1">
            <w:r w:rsidR="00676965" w:rsidRPr="00A91207">
              <w:rPr>
                <w:rStyle w:val="Hyperlink"/>
                <w:noProof/>
              </w:rPr>
              <w:t>II. Registration timeline</w:t>
            </w:r>
            <w:r w:rsidR="00676965">
              <w:rPr>
                <w:noProof/>
                <w:webHidden/>
              </w:rPr>
              <w:tab/>
            </w:r>
            <w:r w:rsidR="00676965">
              <w:rPr>
                <w:noProof/>
                <w:webHidden/>
              </w:rPr>
              <w:fldChar w:fldCharType="begin"/>
            </w:r>
            <w:r w:rsidR="00676965">
              <w:rPr>
                <w:noProof/>
                <w:webHidden/>
              </w:rPr>
              <w:instrText xml:space="preserve"> PAGEREF _Toc69733539 \h </w:instrText>
            </w:r>
            <w:r w:rsidR="00676965">
              <w:rPr>
                <w:noProof/>
                <w:webHidden/>
              </w:rPr>
            </w:r>
            <w:r w:rsidR="00676965">
              <w:rPr>
                <w:noProof/>
                <w:webHidden/>
              </w:rPr>
              <w:fldChar w:fldCharType="separate"/>
            </w:r>
            <w:r w:rsidR="00676965">
              <w:rPr>
                <w:noProof/>
                <w:webHidden/>
              </w:rPr>
              <w:t>9</w:t>
            </w:r>
            <w:r w:rsidR="00676965">
              <w:rPr>
                <w:noProof/>
                <w:webHidden/>
              </w:rPr>
              <w:fldChar w:fldCharType="end"/>
            </w:r>
          </w:hyperlink>
        </w:p>
        <w:p w14:paraId="795A938E" w14:textId="5B7DFD1E" w:rsidR="00676965" w:rsidRDefault="00F97DF4">
          <w:pPr>
            <w:pStyle w:val="TOC1"/>
            <w:rPr>
              <w:rFonts w:asciiTheme="minorHAnsi" w:eastAsiaTheme="minorEastAsia" w:hAnsiTheme="minorHAnsi" w:cstheme="minorBidi"/>
              <w:b w:val="0"/>
              <w:noProof/>
              <w:sz w:val="22"/>
              <w:lang w:eastAsia="en-AU"/>
            </w:rPr>
          </w:pPr>
          <w:hyperlink w:anchor="_Toc69733540" w:history="1">
            <w:r w:rsidR="00676965" w:rsidRPr="00A91207">
              <w:rPr>
                <w:rStyle w:val="Hyperlink"/>
                <w:noProof/>
              </w:rPr>
              <w:t>III. Submission overview and risk/benefit assessment</w:t>
            </w:r>
            <w:r w:rsidR="00676965">
              <w:rPr>
                <w:noProof/>
                <w:webHidden/>
              </w:rPr>
              <w:tab/>
            </w:r>
            <w:r w:rsidR="00676965">
              <w:rPr>
                <w:noProof/>
                <w:webHidden/>
              </w:rPr>
              <w:fldChar w:fldCharType="begin"/>
            </w:r>
            <w:r w:rsidR="00676965">
              <w:rPr>
                <w:noProof/>
                <w:webHidden/>
              </w:rPr>
              <w:instrText xml:space="preserve"> PAGEREF _Toc69733540 \h </w:instrText>
            </w:r>
            <w:r w:rsidR="00676965">
              <w:rPr>
                <w:noProof/>
                <w:webHidden/>
              </w:rPr>
            </w:r>
            <w:r w:rsidR="00676965">
              <w:rPr>
                <w:noProof/>
                <w:webHidden/>
              </w:rPr>
              <w:fldChar w:fldCharType="separate"/>
            </w:r>
            <w:r w:rsidR="00676965">
              <w:rPr>
                <w:noProof/>
                <w:webHidden/>
              </w:rPr>
              <w:t>10</w:t>
            </w:r>
            <w:r w:rsidR="00676965">
              <w:rPr>
                <w:noProof/>
                <w:webHidden/>
              </w:rPr>
              <w:fldChar w:fldCharType="end"/>
            </w:r>
          </w:hyperlink>
        </w:p>
        <w:p w14:paraId="22DBA8B9" w14:textId="42A7B7F9" w:rsidR="00676965" w:rsidRDefault="00F97DF4">
          <w:pPr>
            <w:pStyle w:val="TOC2"/>
            <w:rPr>
              <w:rFonts w:asciiTheme="minorHAnsi" w:eastAsiaTheme="minorEastAsia" w:hAnsiTheme="minorHAnsi" w:cstheme="minorBidi"/>
              <w:b w:val="0"/>
              <w:noProof/>
              <w:sz w:val="22"/>
              <w:lang w:eastAsia="en-AU"/>
            </w:rPr>
          </w:pPr>
          <w:hyperlink w:anchor="_Toc69733541" w:history="1">
            <w:r w:rsidR="00676965" w:rsidRPr="00A91207">
              <w:rPr>
                <w:rStyle w:val="Hyperlink"/>
                <w:noProof/>
              </w:rPr>
              <w:t>Quality</w:t>
            </w:r>
            <w:r w:rsidR="00676965">
              <w:rPr>
                <w:noProof/>
                <w:webHidden/>
              </w:rPr>
              <w:tab/>
            </w:r>
            <w:r w:rsidR="00676965">
              <w:rPr>
                <w:noProof/>
                <w:webHidden/>
              </w:rPr>
              <w:fldChar w:fldCharType="begin"/>
            </w:r>
            <w:r w:rsidR="00676965">
              <w:rPr>
                <w:noProof/>
                <w:webHidden/>
              </w:rPr>
              <w:instrText xml:space="preserve"> PAGEREF _Toc69733541 \h </w:instrText>
            </w:r>
            <w:r w:rsidR="00676965">
              <w:rPr>
                <w:noProof/>
                <w:webHidden/>
              </w:rPr>
            </w:r>
            <w:r w:rsidR="00676965">
              <w:rPr>
                <w:noProof/>
                <w:webHidden/>
              </w:rPr>
              <w:fldChar w:fldCharType="separate"/>
            </w:r>
            <w:r w:rsidR="00676965">
              <w:rPr>
                <w:noProof/>
                <w:webHidden/>
              </w:rPr>
              <w:t>10</w:t>
            </w:r>
            <w:r w:rsidR="00676965">
              <w:rPr>
                <w:noProof/>
                <w:webHidden/>
              </w:rPr>
              <w:fldChar w:fldCharType="end"/>
            </w:r>
          </w:hyperlink>
        </w:p>
        <w:p w14:paraId="5FE477AE" w14:textId="6C7863D4" w:rsidR="00676965" w:rsidRDefault="00F97DF4">
          <w:pPr>
            <w:pStyle w:val="TOC2"/>
            <w:rPr>
              <w:rFonts w:asciiTheme="minorHAnsi" w:eastAsiaTheme="minorEastAsia" w:hAnsiTheme="minorHAnsi" w:cstheme="minorBidi"/>
              <w:b w:val="0"/>
              <w:noProof/>
              <w:sz w:val="22"/>
              <w:lang w:eastAsia="en-AU"/>
            </w:rPr>
          </w:pPr>
          <w:hyperlink w:anchor="_Toc69733542" w:history="1">
            <w:r w:rsidR="00676965" w:rsidRPr="00A91207">
              <w:rPr>
                <w:rStyle w:val="Hyperlink"/>
                <w:noProof/>
              </w:rPr>
              <w:t>Nonclinical</w:t>
            </w:r>
            <w:r w:rsidR="00676965">
              <w:rPr>
                <w:noProof/>
                <w:webHidden/>
              </w:rPr>
              <w:tab/>
            </w:r>
            <w:r w:rsidR="00676965">
              <w:rPr>
                <w:noProof/>
                <w:webHidden/>
              </w:rPr>
              <w:fldChar w:fldCharType="begin"/>
            </w:r>
            <w:r w:rsidR="00676965">
              <w:rPr>
                <w:noProof/>
                <w:webHidden/>
              </w:rPr>
              <w:instrText xml:space="preserve"> PAGEREF _Toc69733542 \h </w:instrText>
            </w:r>
            <w:r w:rsidR="00676965">
              <w:rPr>
                <w:noProof/>
                <w:webHidden/>
              </w:rPr>
            </w:r>
            <w:r w:rsidR="00676965">
              <w:rPr>
                <w:noProof/>
                <w:webHidden/>
              </w:rPr>
              <w:fldChar w:fldCharType="separate"/>
            </w:r>
            <w:r w:rsidR="00676965">
              <w:rPr>
                <w:noProof/>
                <w:webHidden/>
              </w:rPr>
              <w:t>11</w:t>
            </w:r>
            <w:r w:rsidR="00676965">
              <w:rPr>
                <w:noProof/>
                <w:webHidden/>
              </w:rPr>
              <w:fldChar w:fldCharType="end"/>
            </w:r>
          </w:hyperlink>
        </w:p>
        <w:p w14:paraId="5AD02A12" w14:textId="02BC865A" w:rsidR="00676965" w:rsidRDefault="00F97DF4">
          <w:pPr>
            <w:pStyle w:val="TOC2"/>
            <w:rPr>
              <w:rFonts w:asciiTheme="minorHAnsi" w:eastAsiaTheme="minorEastAsia" w:hAnsiTheme="minorHAnsi" w:cstheme="minorBidi"/>
              <w:b w:val="0"/>
              <w:noProof/>
              <w:sz w:val="22"/>
              <w:lang w:eastAsia="en-AU"/>
            </w:rPr>
          </w:pPr>
          <w:hyperlink w:anchor="_Toc69733543" w:history="1">
            <w:r w:rsidR="00676965" w:rsidRPr="00A91207">
              <w:rPr>
                <w:rStyle w:val="Hyperlink"/>
                <w:noProof/>
              </w:rPr>
              <w:t>Clinical</w:t>
            </w:r>
            <w:r w:rsidR="00676965">
              <w:rPr>
                <w:noProof/>
                <w:webHidden/>
              </w:rPr>
              <w:tab/>
            </w:r>
            <w:r w:rsidR="00676965">
              <w:rPr>
                <w:noProof/>
                <w:webHidden/>
              </w:rPr>
              <w:fldChar w:fldCharType="begin"/>
            </w:r>
            <w:r w:rsidR="00676965">
              <w:rPr>
                <w:noProof/>
                <w:webHidden/>
              </w:rPr>
              <w:instrText xml:space="preserve"> PAGEREF _Toc69733543 \h </w:instrText>
            </w:r>
            <w:r w:rsidR="00676965">
              <w:rPr>
                <w:noProof/>
                <w:webHidden/>
              </w:rPr>
            </w:r>
            <w:r w:rsidR="00676965">
              <w:rPr>
                <w:noProof/>
                <w:webHidden/>
              </w:rPr>
              <w:fldChar w:fldCharType="separate"/>
            </w:r>
            <w:r w:rsidR="00676965">
              <w:rPr>
                <w:noProof/>
                <w:webHidden/>
              </w:rPr>
              <w:t>11</w:t>
            </w:r>
            <w:r w:rsidR="00676965">
              <w:rPr>
                <w:noProof/>
                <w:webHidden/>
              </w:rPr>
              <w:fldChar w:fldCharType="end"/>
            </w:r>
          </w:hyperlink>
        </w:p>
        <w:p w14:paraId="7EEAE8E6" w14:textId="6E5D5555" w:rsidR="00676965" w:rsidRDefault="00F97DF4">
          <w:pPr>
            <w:pStyle w:val="TOC2"/>
            <w:rPr>
              <w:rFonts w:asciiTheme="minorHAnsi" w:eastAsiaTheme="minorEastAsia" w:hAnsiTheme="minorHAnsi" w:cstheme="minorBidi"/>
              <w:b w:val="0"/>
              <w:noProof/>
              <w:sz w:val="22"/>
              <w:lang w:eastAsia="en-AU"/>
            </w:rPr>
          </w:pPr>
          <w:hyperlink w:anchor="_Toc69733544" w:history="1">
            <w:r w:rsidR="00676965" w:rsidRPr="00A91207">
              <w:rPr>
                <w:rStyle w:val="Hyperlink"/>
                <w:noProof/>
              </w:rPr>
              <w:t>First round of risk-benefit analysis</w:t>
            </w:r>
            <w:r w:rsidR="00676965">
              <w:rPr>
                <w:noProof/>
                <w:webHidden/>
              </w:rPr>
              <w:tab/>
            </w:r>
            <w:r w:rsidR="00676965">
              <w:rPr>
                <w:noProof/>
                <w:webHidden/>
              </w:rPr>
              <w:fldChar w:fldCharType="begin"/>
            </w:r>
            <w:r w:rsidR="00676965">
              <w:rPr>
                <w:noProof/>
                <w:webHidden/>
              </w:rPr>
              <w:instrText xml:space="preserve"> PAGEREF _Toc69733544 \h </w:instrText>
            </w:r>
            <w:r w:rsidR="00676965">
              <w:rPr>
                <w:noProof/>
                <w:webHidden/>
              </w:rPr>
            </w:r>
            <w:r w:rsidR="00676965">
              <w:rPr>
                <w:noProof/>
                <w:webHidden/>
              </w:rPr>
              <w:fldChar w:fldCharType="separate"/>
            </w:r>
            <w:r w:rsidR="00676965">
              <w:rPr>
                <w:noProof/>
                <w:webHidden/>
              </w:rPr>
              <w:t>23</w:t>
            </w:r>
            <w:r w:rsidR="00676965">
              <w:rPr>
                <w:noProof/>
                <w:webHidden/>
              </w:rPr>
              <w:fldChar w:fldCharType="end"/>
            </w:r>
          </w:hyperlink>
        </w:p>
        <w:p w14:paraId="14F5C322" w14:textId="7B4D278A" w:rsidR="00676965" w:rsidRDefault="00F97DF4">
          <w:pPr>
            <w:pStyle w:val="TOC2"/>
            <w:rPr>
              <w:rFonts w:asciiTheme="minorHAnsi" w:eastAsiaTheme="minorEastAsia" w:hAnsiTheme="minorHAnsi" w:cstheme="minorBidi"/>
              <w:b w:val="0"/>
              <w:noProof/>
              <w:sz w:val="22"/>
              <w:lang w:eastAsia="en-AU"/>
            </w:rPr>
          </w:pPr>
          <w:hyperlink w:anchor="_Toc69733545" w:history="1">
            <w:r w:rsidR="00676965" w:rsidRPr="00A91207">
              <w:rPr>
                <w:rStyle w:val="Hyperlink"/>
                <w:noProof/>
              </w:rPr>
              <w:t>Second round of risk-benefit analysis</w:t>
            </w:r>
            <w:r w:rsidR="00676965">
              <w:rPr>
                <w:noProof/>
                <w:webHidden/>
              </w:rPr>
              <w:tab/>
            </w:r>
            <w:r w:rsidR="00676965">
              <w:rPr>
                <w:noProof/>
                <w:webHidden/>
              </w:rPr>
              <w:fldChar w:fldCharType="begin"/>
            </w:r>
            <w:r w:rsidR="00676965">
              <w:rPr>
                <w:noProof/>
                <w:webHidden/>
              </w:rPr>
              <w:instrText xml:space="preserve"> PAGEREF _Toc69733545 \h </w:instrText>
            </w:r>
            <w:r w:rsidR="00676965">
              <w:rPr>
                <w:noProof/>
                <w:webHidden/>
              </w:rPr>
            </w:r>
            <w:r w:rsidR="00676965">
              <w:rPr>
                <w:noProof/>
                <w:webHidden/>
              </w:rPr>
              <w:fldChar w:fldCharType="separate"/>
            </w:r>
            <w:r w:rsidR="00676965">
              <w:rPr>
                <w:noProof/>
                <w:webHidden/>
              </w:rPr>
              <w:t>27</w:t>
            </w:r>
            <w:r w:rsidR="00676965">
              <w:rPr>
                <w:noProof/>
                <w:webHidden/>
              </w:rPr>
              <w:fldChar w:fldCharType="end"/>
            </w:r>
          </w:hyperlink>
        </w:p>
        <w:p w14:paraId="334BA154" w14:textId="790EED28" w:rsidR="00676965" w:rsidRDefault="00F97DF4">
          <w:pPr>
            <w:pStyle w:val="TOC2"/>
            <w:rPr>
              <w:rFonts w:asciiTheme="minorHAnsi" w:eastAsiaTheme="minorEastAsia" w:hAnsiTheme="minorHAnsi" w:cstheme="minorBidi"/>
              <w:b w:val="0"/>
              <w:noProof/>
              <w:sz w:val="22"/>
              <w:lang w:eastAsia="en-AU"/>
            </w:rPr>
          </w:pPr>
          <w:hyperlink w:anchor="_Toc69733546" w:history="1">
            <w:r w:rsidR="00676965" w:rsidRPr="00A91207">
              <w:rPr>
                <w:rStyle w:val="Hyperlink"/>
                <w:noProof/>
              </w:rPr>
              <w:t>Outcome</w:t>
            </w:r>
            <w:r w:rsidR="00676965">
              <w:rPr>
                <w:noProof/>
                <w:webHidden/>
              </w:rPr>
              <w:tab/>
            </w:r>
            <w:r w:rsidR="00676965">
              <w:rPr>
                <w:noProof/>
                <w:webHidden/>
              </w:rPr>
              <w:fldChar w:fldCharType="begin"/>
            </w:r>
            <w:r w:rsidR="00676965">
              <w:rPr>
                <w:noProof/>
                <w:webHidden/>
              </w:rPr>
              <w:instrText xml:space="preserve"> PAGEREF _Toc69733546 \h </w:instrText>
            </w:r>
            <w:r w:rsidR="00676965">
              <w:rPr>
                <w:noProof/>
                <w:webHidden/>
              </w:rPr>
            </w:r>
            <w:r w:rsidR="00676965">
              <w:rPr>
                <w:noProof/>
                <w:webHidden/>
              </w:rPr>
              <w:fldChar w:fldCharType="separate"/>
            </w:r>
            <w:r w:rsidR="00676965">
              <w:rPr>
                <w:noProof/>
                <w:webHidden/>
              </w:rPr>
              <w:t>31</w:t>
            </w:r>
            <w:r w:rsidR="00676965">
              <w:rPr>
                <w:noProof/>
                <w:webHidden/>
              </w:rPr>
              <w:fldChar w:fldCharType="end"/>
            </w:r>
          </w:hyperlink>
        </w:p>
        <w:p w14:paraId="7778F345" w14:textId="44BA55DE" w:rsidR="00676965" w:rsidRDefault="00F97DF4">
          <w:pPr>
            <w:pStyle w:val="TOC1"/>
            <w:rPr>
              <w:rFonts w:asciiTheme="minorHAnsi" w:eastAsiaTheme="minorEastAsia" w:hAnsiTheme="minorHAnsi" w:cstheme="minorBidi"/>
              <w:b w:val="0"/>
              <w:noProof/>
              <w:sz w:val="22"/>
              <w:lang w:eastAsia="en-AU"/>
            </w:rPr>
          </w:pPr>
          <w:hyperlink w:anchor="_Toc69733547" w:history="1">
            <w:r w:rsidR="00676965" w:rsidRPr="00A91207">
              <w:rPr>
                <w:rStyle w:val="Hyperlink"/>
                <w:noProof/>
              </w:rPr>
              <w:t>Attachment 1. Product Information</w:t>
            </w:r>
            <w:r w:rsidR="00676965">
              <w:rPr>
                <w:noProof/>
                <w:webHidden/>
              </w:rPr>
              <w:tab/>
            </w:r>
            <w:r w:rsidR="00676965">
              <w:rPr>
                <w:noProof/>
                <w:webHidden/>
              </w:rPr>
              <w:fldChar w:fldCharType="begin"/>
            </w:r>
            <w:r w:rsidR="00676965">
              <w:rPr>
                <w:noProof/>
                <w:webHidden/>
              </w:rPr>
              <w:instrText xml:space="preserve"> PAGEREF _Toc69733547 \h </w:instrText>
            </w:r>
            <w:r w:rsidR="00676965">
              <w:rPr>
                <w:noProof/>
                <w:webHidden/>
              </w:rPr>
            </w:r>
            <w:r w:rsidR="00676965">
              <w:rPr>
                <w:noProof/>
                <w:webHidden/>
              </w:rPr>
              <w:fldChar w:fldCharType="separate"/>
            </w:r>
            <w:r w:rsidR="00676965">
              <w:rPr>
                <w:noProof/>
                <w:webHidden/>
              </w:rPr>
              <w:t>31</w:t>
            </w:r>
            <w:r w:rsidR="00676965">
              <w:rPr>
                <w:noProof/>
                <w:webHidden/>
              </w:rPr>
              <w:fldChar w:fldCharType="end"/>
            </w:r>
          </w:hyperlink>
        </w:p>
        <w:p w14:paraId="5CFFB7E0" w14:textId="165E7C7C" w:rsidR="003A7F6C" w:rsidRPr="00B811C6" w:rsidRDefault="00C525A2" w:rsidP="00B811C6">
          <w:pPr>
            <w:pStyle w:val="TOC2"/>
          </w:pPr>
          <w:r>
            <w:rPr>
              <w:color w:val="2B579A"/>
              <w:shd w:val="clear" w:color="auto" w:fill="E6E6E6"/>
            </w:rPr>
            <w:fldChar w:fldCharType="end"/>
          </w:r>
        </w:p>
      </w:sdtContent>
    </w:sdt>
    <w:bookmarkStart w:id="2" w:name="_Toc314842482" w:displacedByCustomXml="prev"/>
    <w:p w14:paraId="593E0289" w14:textId="77777777" w:rsidR="00FD119B" w:rsidRDefault="00FD119B">
      <w:pPr>
        <w:spacing w:before="0" w:after="200" w:line="0" w:lineRule="auto"/>
      </w:pPr>
      <w:r>
        <w:br w:type="page"/>
      </w:r>
    </w:p>
    <w:p w14:paraId="3AF42CC5" w14:textId="77777777" w:rsidR="00C52E24" w:rsidRPr="00C52E24" w:rsidRDefault="00324E45" w:rsidP="00505108">
      <w:pPr>
        <w:pStyle w:val="Heading2"/>
      </w:pPr>
      <w:bookmarkStart w:id="3" w:name="_Toc351716269"/>
      <w:bookmarkStart w:id="4" w:name="_Toc351718881"/>
      <w:bookmarkStart w:id="5" w:name="_Toc355338616"/>
      <w:bookmarkStart w:id="6" w:name="_Toc356306144"/>
      <w:bookmarkStart w:id="7" w:name="_Toc69733534"/>
      <w:r>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3"/>
        <w:gridCol w:w="6691"/>
      </w:tblGrid>
      <w:tr w:rsidR="005661DD" w:rsidRPr="00FD119B" w14:paraId="3B9F68CA" w14:textId="77777777" w:rsidTr="00157851">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56D2DD33" w14:textId="77777777" w:rsidR="005661DD" w:rsidRPr="00FD119B" w:rsidRDefault="005661DD" w:rsidP="002575F0">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727CDFB7" w14:textId="77777777" w:rsidR="005661DD" w:rsidRPr="00FD119B" w:rsidRDefault="005661DD" w:rsidP="002575F0">
            <w:pPr>
              <w:keepNext w:val="0"/>
              <w:ind w:left="144" w:right="0"/>
              <w:rPr>
                <w:szCs w:val="22"/>
                <w:lang w:eastAsia="en-US"/>
              </w:rPr>
            </w:pPr>
            <w:r w:rsidRPr="00FD119B">
              <w:rPr>
                <w:szCs w:val="22"/>
                <w:lang w:eastAsia="en-US"/>
              </w:rPr>
              <w:t>Meaning</w:t>
            </w:r>
          </w:p>
        </w:tc>
      </w:tr>
      <w:tr w:rsidR="005661DD" w:rsidRPr="00FD119B" w14:paraId="0FA1B968" w14:textId="77777777" w:rsidTr="00157851">
        <w:tc>
          <w:tcPr>
            <w:tcW w:w="1809" w:type="dxa"/>
            <w:tcBorders>
              <w:top w:val="single" w:sz="4" w:space="0" w:color="auto"/>
            </w:tcBorders>
          </w:tcPr>
          <w:p w14:paraId="6D83EA37" w14:textId="77777777" w:rsidR="005661DD" w:rsidRPr="00FD119B" w:rsidRDefault="005661DD" w:rsidP="002575F0">
            <w:pPr>
              <w:ind w:left="144" w:right="0"/>
            </w:pPr>
            <w:r>
              <w:t>ACM</w:t>
            </w:r>
          </w:p>
        </w:tc>
        <w:tc>
          <w:tcPr>
            <w:tcW w:w="6911" w:type="dxa"/>
            <w:tcBorders>
              <w:top w:val="single" w:sz="4" w:space="0" w:color="auto"/>
            </w:tcBorders>
          </w:tcPr>
          <w:p w14:paraId="78BD4234" w14:textId="77777777" w:rsidR="005661DD" w:rsidRPr="00FD119B" w:rsidRDefault="005661DD" w:rsidP="002575F0">
            <w:pPr>
              <w:ind w:left="144" w:right="0"/>
            </w:pPr>
            <w:r w:rsidRPr="00460036">
              <w:t>Advisory Committee on Medicines</w:t>
            </w:r>
          </w:p>
        </w:tc>
      </w:tr>
      <w:tr w:rsidR="005661DD" w:rsidRPr="00FD119B" w14:paraId="6FFBF266" w14:textId="77777777" w:rsidTr="00157851">
        <w:tc>
          <w:tcPr>
            <w:tcW w:w="1809" w:type="dxa"/>
          </w:tcPr>
          <w:p w14:paraId="61FBF1EE" w14:textId="77777777" w:rsidR="005661DD" w:rsidRDefault="005661DD" w:rsidP="002575F0">
            <w:pPr>
              <w:ind w:left="144"/>
            </w:pPr>
            <w:r>
              <w:t>AE</w:t>
            </w:r>
          </w:p>
        </w:tc>
        <w:tc>
          <w:tcPr>
            <w:tcW w:w="6911" w:type="dxa"/>
          </w:tcPr>
          <w:p w14:paraId="197D1E31" w14:textId="77777777" w:rsidR="005661DD" w:rsidRDefault="005661DD" w:rsidP="002575F0">
            <w:pPr>
              <w:ind w:left="144"/>
            </w:pPr>
            <w:r>
              <w:t>Adverse event</w:t>
            </w:r>
          </w:p>
        </w:tc>
      </w:tr>
      <w:tr w:rsidR="005661DD" w:rsidRPr="00FD119B" w14:paraId="3D98FCE6" w14:textId="77777777" w:rsidTr="00157851">
        <w:tc>
          <w:tcPr>
            <w:tcW w:w="1809" w:type="dxa"/>
          </w:tcPr>
          <w:p w14:paraId="2F8F2087" w14:textId="77777777" w:rsidR="005661DD" w:rsidRPr="00FD119B" w:rsidRDefault="005661DD" w:rsidP="002575F0">
            <w:pPr>
              <w:ind w:left="144"/>
            </w:pPr>
            <w:r>
              <w:t>ANCOVA</w:t>
            </w:r>
          </w:p>
        </w:tc>
        <w:tc>
          <w:tcPr>
            <w:tcW w:w="6911" w:type="dxa"/>
          </w:tcPr>
          <w:p w14:paraId="20DF9D0F" w14:textId="77777777" w:rsidR="005661DD" w:rsidRPr="00FD119B" w:rsidRDefault="005661DD" w:rsidP="002575F0">
            <w:pPr>
              <w:ind w:left="144"/>
            </w:pPr>
            <w:r>
              <w:t>A</w:t>
            </w:r>
            <w:r w:rsidRPr="00FD7F7A">
              <w:t>nalysis of covariance</w:t>
            </w:r>
          </w:p>
        </w:tc>
      </w:tr>
      <w:tr w:rsidR="005661DD" w:rsidRPr="00FD119B" w14:paraId="7A3261DD" w14:textId="77777777" w:rsidTr="00157851">
        <w:tc>
          <w:tcPr>
            <w:tcW w:w="1809" w:type="dxa"/>
          </w:tcPr>
          <w:p w14:paraId="312AE317" w14:textId="77777777" w:rsidR="005661DD" w:rsidRPr="00FD119B" w:rsidRDefault="005661DD" w:rsidP="002575F0">
            <w:pPr>
              <w:ind w:left="144" w:right="0"/>
            </w:pPr>
            <w:r>
              <w:t>ARTG</w:t>
            </w:r>
          </w:p>
        </w:tc>
        <w:tc>
          <w:tcPr>
            <w:tcW w:w="6911" w:type="dxa"/>
          </w:tcPr>
          <w:p w14:paraId="5556B389" w14:textId="77777777" w:rsidR="005661DD" w:rsidRPr="00FD119B" w:rsidRDefault="005661DD" w:rsidP="002575F0">
            <w:pPr>
              <w:ind w:left="144" w:right="0"/>
            </w:pPr>
            <w:r w:rsidRPr="00460036">
              <w:t>Australian Register of Therapeutic Goods</w:t>
            </w:r>
          </w:p>
        </w:tc>
      </w:tr>
      <w:tr w:rsidR="005661DD" w:rsidRPr="00FD119B" w14:paraId="7AA2F478" w14:textId="77777777" w:rsidTr="00157851">
        <w:tc>
          <w:tcPr>
            <w:tcW w:w="1809" w:type="dxa"/>
          </w:tcPr>
          <w:p w14:paraId="79E145FB" w14:textId="77777777" w:rsidR="005661DD" w:rsidRDefault="005661DD" w:rsidP="002575F0">
            <w:pPr>
              <w:ind w:left="144"/>
            </w:pPr>
            <w:r>
              <w:t>ASA</w:t>
            </w:r>
          </w:p>
        </w:tc>
        <w:tc>
          <w:tcPr>
            <w:tcW w:w="6911" w:type="dxa"/>
          </w:tcPr>
          <w:p w14:paraId="5246A133" w14:textId="77777777" w:rsidR="005661DD" w:rsidRDefault="005661DD" w:rsidP="002575F0">
            <w:pPr>
              <w:ind w:left="144"/>
            </w:pPr>
            <w:r>
              <w:t>Australian specific annex</w:t>
            </w:r>
          </w:p>
        </w:tc>
      </w:tr>
      <w:tr w:rsidR="005661DD" w:rsidRPr="00FD119B" w14:paraId="76D08185" w14:textId="77777777" w:rsidTr="00157851">
        <w:tc>
          <w:tcPr>
            <w:tcW w:w="1809" w:type="dxa"/>
          </w:tcPr>
          <w:p w14:paraId="5889A2B8" w14:textId="77777777" w:rsidR="005661DD" w:rsidRPr="00FD119B" w:rsidRDefault="005661DD" w:rsidP="002575F0">
            <w:pPr>
              <w:ind w:left="144"/>
            </w:pPr>
            <w:r w:rsidRPr="00275ABB">
              <w:t>AusPAR</w:t>
            </w:r>
          </w:p>
        </w:tc>
        <w:tc>
          <w:tcPr>
            <w:tcW w:w="6911" w:type="dxa"/>
          </w:tcPr>
          <w:p w14:paraId="333441E3" w14:textId="77777777" w:rsidR="005661DD" w:rsidRPr="00FD119B" w:rsidRDefault="005661DD" w:rsidP="002575F0">
            <w:pPr>
              <w:ind w:left="144"/>
            </w:pPr>
            <w:r w:rsidRPr="00275ABB">
              <w:t>Australian Public Assessment Report</w:t>
            </w:r>
          </w:p>
        </w:tc>
      </w:tr>
      <w:tr w:rsidR="005661DD" w:rsidRPr="00FD119B" w14:paraId="639F74D2" w14:textId="77777777" w:rsidTr="00157851">
        <w:tc>
          <w:tcPr>
            <w:tcW w:w="1809" w:type="dxa"/>
          </w:tcPr>
          <w:p w14:paraId="3805C646" w14:textId="77777777" w:rsidR="005661DD" w:rsidRDefault="005661DD" w:rsidP="002575F0">
            <w:pPr>
              <w:ind w:left="144"/>
            </w:pPr>
            <w:r>
              <w:t>BAK</w:t>
            </w:r>
          </w:p>
        </w:tc>
        <w:tc>
          <w:tcPr>
            <w:tcW w:w="6911" w:type="dxa"/>
          </w:tcPr>
          <w:p w14:paraId="5094481E" w14:textId="77777777" w:rsidR="005661DD" w:rsidRDefault="005661DD" w:rsidP="002575F0">
            <w:pPr>
              <w:ind w:left="144"/>
            </w:pPr>
            <w:proofErr w:type="spellStart"/>
            <w:r>
              <w:t>Benzalkonium</w:t>
            </w:r>
            <w:proofErr w:type="spellEnd"/>
            <w:r>
              <w:t xml:space="preserve"> c</w:t>
            </w:r>
            <w:r w:rsidRPr="005D0637">
              <w:t>hloride</w:t>
            </w:r>
          </w:p>
        </w:tc>
      </w:tr>
      <w:tr w:rsidR="005661DD" w:rsidRPr="00FD119B" w14:paraId="503F9733" w14:textId="77777777" w:rsidTr="00157851">
        <w:tc>
          <w:tcPr>
            <w:tcW w:w="1809" w:type="dxa"/>
          </w:tcPr>
          <w:p w14:paraId="775198E4" w14:textId="77777777" w:rsidR="005661DD" w:rsidRDefault="005661DD" w:rsidP="002575F0">
            <w:pPr>
              <w:ind w:left="144"/>
            </w:pPr>
            <w:r w:rsidRPr="000F3953">
              <w:t>BCDVA</w:t>
            </w:r>
          </w:p>
        </w:tc>
        <w:tc>
          <w:tcPr>
            <w:tcW w:w="6911" w:type="dxa"/>
          </w:tcPr>
          <w:p w14:paraId="106365A8" w14:textId="77777777" w:rsidR="005661DD" w:rsidRDefault="005661DD" w:rsidP="002575F0">
            <w:pPr>
              <w:ind w:left="144"/>
            </w:pPr>
            <w:r>
              <w:t>B</w:t>
            </w:r>
            <w:r w:rsidRPr="000F3953">
              <w:t>est co</w:t>
            </w:r>
            <w:r>
              <w:t>rrected distance visual acuity</w:t>
            </w:r>
          </w:p>
        </w:tc>
      </w:tr>
      <w:tr w:rsidR="005661DD" w:rsidRPr="00FD119B" w14:paraId="11E6728D" w14:textId="77777777" w:rsidTr="00157851">
        <w:tc>
          <w:tcPr>
            <w:tcW w:w="1809" w:type="dxa"/>
          </w:tcPr>
          <w:p w14:paraId="32987012" w14:textId="77777777" w:rsidR="005661DD" w:rsidRPr="00FD119B" w:rsidRDefault="005661DD" w:rsidP="002575F0">
            <w:pPr>
              <w:ind w:left="144"/>
            </w:pPr>
            <w:r>
              <w:t>BID</w:t>
            </w:r>
          </w:p>
        </w:tc>
        <w:tc>
          <w:tcPr>
            <w:tcW w:w="6911" w:type="dxa"/>
          </w:tcPr>
          <w:p w14:paraId="1D1035A3" w14:textId="5AC9BA6C" w:rsidR="005661DD" w:rsidRPr="00FD119B" w:rsidRDefault="005661DD" w:rsidP="002575F0">
            <w:pPr>
              <w:ind w:left="144"/>
            </w:pPr>
            <w:r>
              <w:t>Twice a day, Latin</w:t>
            </w:r>
            <w:r w:rsidR="00246EA3">
              <w:t xml:space="preserve">: </w:t>
            </w:r>
            <w:proofErr w:type="spellStart"/>
            <w:r>
              <w:rPr>
                <w:i/>
              </w:rPr>
              <w:t>bis</w:t>
            </w:r>
            <w:proofErr w:type="spellEnd"/>
            <w:r>
              <w:rPr>
                <w:i/>
              </w:rPr>
              <w:t xml:space="preserve"> in die</w:t>
            </w:r>
          </w:p>
        </w:tc>
      </w:tr>
      <w:tr w:rsidR="005661DD" w:rsidRPr="00FD119B" w14:paraId="62F4E9AE" w14:textId="77777777" w:rsidTr="00157851">
        <w:tc>
          <w:tcPr>
            <w:tcW w:w="1809" w:type="dxa"/>
          </w:tcPr>
          <w:p w14:paraId="50C557E0" w14:textId="77777777" w:rsidR="005661DD" w:rsidRDefault="005661DD" w:rsidP="002575F0">
            <w:pPr>
              <w:ind w:left="144"/>
            </w:pPr>
            <w:r>
              <w:t>CAE</w:t>
            </w:r>
          </w:p>
        </w:tc>
        <w:tc>
          <w:tcPr>
            <w:tcW w:w="6911" w:type="dxa"/>
          </w:tcPr>
          <w:p w14:paraId="3DC8FF3F" w14:textId="77777777" w:rsidR="005661DD" w:rsidRDefault="005661DD" w:rsidP="002575F0">
            <w:pPr>
              <w:ind w:left="144"/>
            </w:pPr>
            <w:r>
              <w:t>Controlled adverse environment</w:t>
            </w:r>
          </w:p>
        </w:tc>
      </w:tr>
      <w:tr w:rsidR="005661DD" w:rsidRPr="00FD119B" w14:paraId="14E44549" w14:textId="77777777" w:rsidTr="00157851">
        <w:tc>
          <w:tcPr>
            <w:tcW w:w="1809" w:type="dxa"/>
          </w:tcPr>
          <w:p w14:paraId="68B59139" w14:textId="77777777" w:rsidR="005661DD" w:rsidRPr="00FD119B" w:rsidRDefault="005661DD" w:rsidP="002575F0">
            <w:pPr>
              <w:ind w:left="144"/>
            </w:pPr>
            <w:r>
              <w:t>CFS</w:t>
            </w:r>
          </w:p>
        </w:tc>
        <w:tc>
          <w:tcPr>
            <w:tcW w:w="6911" w:type="dxa"/>
          </w:tcPr>
          <w:p w14:paraId="18912FD2" w14:textId="77777777" w:rsidR="005661DD" w:rsidRPr="00FD119B" w:rsidRDefault="005661DD" w:rsidP="002575F0">
            <w:pPr>
              <w:ind w:left="144"/>
            </w:pPr>
            <w:r>
              <w:rPr>
                <w:rFonts w:eastAsiaTheme="minorHAnsi"/>
                <w:szCs w:val="22"/>
              </w:rPr>
              <w:t>Corneal fluorescein s</w:t>
            </w:r>
            <w:r w:rsidRPr="00575729">
              <w:rPr>
                <w:rFonts w:eastAsiaTheme="minorHAnsi"/>
                <w:szCs w:val="22"/>
              </w:rPr>
              <w:t>taining</w:t>
            </w:r>
          </w:p>
        </w:tc>
      </w:tr>
      <w:tr w:rsidR="005661DD" w:rsidRPr="00FD119B" w14:paraId="1A26D712" w14:textId="77777777" w:rsidTr="00157851">
        <w:tc>
          <w:tcPr>
            <w:tcW w:w="1809" w:type="dxa"/>
          </w:tcPr>
          <w:p w14:paraId="1442CBA0" w14:textId="77777777" w:rsidR="005661DD" w:rsidRPr="00FD119B" w:rsidRDefault="005661DD" w:rsidP="002575F0">
            <w:pPr>
              <w:ind w:left="144"/>
            </w:pPr>
            <w:r>
              <w:t>CHMP</w:t>
            </w:r>
          </w:p>
        </w:tc>
        <w:tc>
          <w:tcPr>
            <w:tcW w:w="6911" w:type="dxa"/>
          </w:tcPr>
          <w:p w14:paraId="618A8540" w14:textId="388C6A24" w:rsidR="005661DD" w:rsidRPr="00FD119B" w:rsidRDefault="005661DD" w:rsidP="002575F0">
            <w:pPr>
              <w:ind w:left="144"/>
            </w:pPr>
            <w:r w:rsidRPr="00241B2D">
              <w:t>Committee for Medicinal Products for Human Use</w:t>
            </w:r>
            <w:r w:rsidR="00246EA3">
              <w:t xml:space="preserve"> (European Union)</w:t>
            </w:r>
          </w:p>
        </w:tc>
      </w:tr>
      <w:tr w:rsidR="005661DD" w:rsidRPr="00FD119B" w14:paraId="48FDB6D3" w14:textId="77777777" w:rsidTr="00157851">
        <w:tc>
          <w:tcPr>
            <w:tcW w:w="1809" w:type="dxa"/>
          </w:tcPr>
          <w:p w14:paraId="5F1599D1" w14:textId="77777777" w:rsidR="005661DD" w:rsidRPr="00FD119B" w:rsidRDefault="005661DD" w:rsidP="002575F0">
            <w:pPr>
              <w:ind w:left="144"/>
            </w:pPr>
            <w:r>
              <w:t>CI</w:t>
            </w:r>
          </w:p>
        </w:tc>
        <w:tc>
          <w:tcPr>
            <w:tcW w:w="6911" w:type="dxa"/>
          </w:tcPr>
          <w:p w14:paraId="5ABABD51" w14:textId="77777777" w:rsidR="005661DD" w:rsidRPr="00FD119B" w:rsidRDefault="005661DD" w:rsidP="002575F0">
            <w:pPr>
              <w:ind w:left="144"/>
            </w:pPr>
            <w:r>
              <w:t>Confidence interval</w:t>
            </w:r>
          </w:p>
        </w:tc>
      </w:tr>
      <w:tr w:rsidR="005661DD" w:rsidRPr="00FD119B" w14:paraId="7FF3D7BC" w14:textId="77777777" w:rsidTr="00157851">
        <w:tc>
          <w:tcPr>
            <w:tcW w:w="1809" w:type="dxa"/>
          </w:tcPr>
          <w:p w14:paraId="485B93CB" w14:textId="77777777" w:rsidR="005661DD" w:rsidRDefault="005661DD" w:rsidP="002575F0">
            <w:pPr>
              <w:ind w:left="144"/>
            </w:pPr>
            <w:r>
              <w:t>CKC</w:t>
            </w:r>
          </w:p>
        </w:tc>
        <w:tc>
          <w:tcPr>
            <w:tcW w:w="6911" w:type="dxa"/>
          </w:tcPr>
          <w:p w14:paraId="7C41B619" w14:textId="77777777" w:rsidR="005661DD" w:rsidRDefault="005661DD" w:rsidP="002575F0">
            <w:pPr>
              <w:ind w:left="144"/>
            </w:pPr>
            <w:proofErr w:type="spellStart"/>
            <w:r>
              <w:t>C</w:t>
            </w:r>
            <w:r w:rsidRPr="005D4775">
              <w:t>etalkonium</w:t>
            </w:r>
            <w:proofErr w:type="spellEnd"/>
            <w:r w:rsidRPr="005D4775">
              <w:t xml:space="preserve"> chloride</w:t>
            </w:r>
          </w:p>
        </w:tc>
      </w:tr>
      <w:tr w:rsidR="005661DD" w:rsidRPr="00FD119B" w14:paraId="2436B0C9" w14:textId="77777777" w:rsidTr="00157851">
        <w:tc>
          <w:tcPr>
            <w:tcW w:w="1809" w:type="dxa"/>
          </w:tcPr>
          <w:p w14:paraId="48A854D6" w14:textId="77777777" w:rsidR="005661DD" w:rsidRDefault="005661DD" w:rsidP="002575F0">
            <w:pPr>
              <w:ind w:left="144"/>
            </w:pPr>
            <w:r>
              <w:t>CMI</w:t>
            </w:r>
          </w:p>
        </w:tc>
        <w:tc>
          <w:tcPr>
            <w:tcW w:w="6911" w:type="dxa"/>
          </w:tcPr>
          <w:p w14:paraId="7CCB7439" w14:textId="3FC6DAAA" w:rsidR="005661DD" w:rsidRDefault="005661DD" w:rsidP="002575F0">
            <w:pPr>
              <w:ind w:left="144"/>
            </w:pPr>
            <w:r>
              <w:t xml:space="preserve">Consumer </w:t>
            </w:r>
            <w:r w:rsidR="00246EA3">
              <w:t>M</w:t>
            </w:r>
            <w:r>
              <w:t xml:space="preserve">edicines </w:t>
            </w:r>
            <w:r w:rsidR="00246EA3">
              <w:t>I</w:t>
            </w:r>
            <w:r>
              <w:t>nformation</w:t>
            </w:r>
          </w:p>
        </w:tc>
      </w:tr>
      <w:tr w:rsidR="005661DD" w:rsidRPr="00FD119B" w14:paraId="2C638339" w14:textId="77777777" w:rsidTr="00157851">
        <w:tc>
          <w:tcPr>
            <w:tcW w:w="1809" w:type="dxa"/>
          </w:tcPr>
          <w:p w14:paraId="6128CF15" w14:textId="77777777" w:rsidR="005661DD" w:rsidRPr="00FD119B" w:rsidRDefault="005661DD" w:rsidP="002575F0">
            <w:pPr>
              <w:ind w:left="144"/>
            </w:pPr>
            <w:proofErr w:type="spellStart"/>
            <w:r>
              <w:t>CsA</w:t>
            </w:r>
            <w:proofErr w:type="spellEnd"/>
          </w:p>
        </w:tc>
        <w:tc>
          <w:tcPr>
            <w:tcW w:w="6911" w:type="dxa"/>
          </w:tcPr>
          <w:p w14:paraId="759D3E14" w14:textId="77777777" w:rsidR="005661DD" w:rsidRPr="00FD119B" w:rsidRDefault="005661DD" w:rsidP="002575F0">
            <w:pPr>
              <w:ind w:left="144"/>
            </w:pPr>
            <w:r>
              <w:t>Ciclosporin</w:t>
            </w:r>
          </w:p>
        </w:tc>
      </w:tr>
      <w:tr w:rsidR="005661DD" w:rsidRPr="00FD119B" w14:paraId="21A19AC1" w14:textId="77777777" w:rsidTr="00157851">
        <w:tc>
          <w:tcPr>
            <w:tcW w:w="1809" w:type="dxa"/>
          </w:tcPr>
          <w:p w14:paraId="00ADE239" w14:textId="77777777" w:rsidR="005661DD" w:rsidRPr="00FD119B" w:rsidRDefault="005661DD" w:rsidP="002575F0">
            <w:pPr>
              <w:ind w:left="144" w:right="0"/>
              <w:rPr>
                <w:color w:val="auto"/>
                <w:szCs w:val="22"/>
                <w:lang w:eastAsia="en-US"/>
              </w:rPr>
            </w:pPr>
            <w:r>
              <w:rPr>
                <w:color w:val="auto"/>
                <w:szCs w:val="22"/>
                <w:lang w:eastAsia="en-US"/>
              </w:rPr>
              <w:t>DED</w:t>
            </w:r>
          </w:p>
        </w:tc>
        <w:tc>
          <w:tcPr>
            <w:tcW w:w="6911" w:type="dxa"/>
          </w:tcPr>
          <w:p w14:paraId="29CC673F" w14:textId="77777777" w:rsidR="005661DD" w:rsidRPr="00FD119B" w:rsidRDefault="005661DD" w:rsidP="002575F0">
            <w:pPr>
              <w:ind w:left="144" w:right="0"/>
              <w:rPr>
                <w:color w:val="auto"/>
                <w:szCs w:val="22"/>
                <w:lang w:eastAsia="en-US"/>
              </w:rPr>
            </w:pPr>
            <w:r>
              <w:rPr>
                <w:color w:val="auto"/>
                <w:szCs w:val="22"/>
                <w:lang w:eastAsia="en-US"/>
              </w:rPr>
              <w:t>Dry eye disease</w:t>
            </w:r>
          </w:p>
        </w:tc>
      </w:tr>
      <w:tr w:rsidR="005661DD" w:rsidRPr="00FD119B" w14:paraId="5084CD7E" w14:textId="77777777" w:rsidTr="00157851">
        <w:tc>
          <w:tcPr>
            <w:tcW w:w="1809" w:type="dxa"/>
          </w:tcPr>
          <w:p w14:paraId="4FBAAC4D" w14:textId="77777777" w:rsidR="005661DD" w:rsidRPr="00FD119B" w:rsidRDefault="005661DD" w:rsidP="002575F0">
            <w:pPr>
              <w:ind w:left="144"/>
            </w:pPr>
            <w:r>
              <w:t>EU</w:t>
            </w:r>
          </w:p>
        </w:tc>
        <w:tc>
          <w:tcPr>
            <w:tcW w:w="6911" w:type="dxa"/>
          </w:tcPr>
          <w:p w14:paraId="4770E16C" w14:textId="77777777" w:rsidR="005661DD" w:rsidRPr="00FD119B" w:rsidRDefault="005661DD" w:rsidP="002575F0">
            <w:pPr>
              <w:ind w:left="144"/>
            </w:pPr>
            <w:r>
              <w:t>European Union</w:t>
            </w:r>
          </w:p>
        </w:tc>
      </w:tr>
      <w:tr w:rsidR="005661DD" w:rsidRPr="00FD119B" w14:paraId="0E9F1F78" w14:textId="77777777" w:rsidTr="00157851">
        <w:tc>
          <w:tcPr>
            <w:tcW w:w="1809" w:type="dxa"/>
          </w:tcPr>
          <w:p w14:paraId="6C7EF2BD" w14:textId="77777777" w:rsidR="005661DD" w:rsidRPr="00FD119B" w:rsidRDefault="005661DD" w:rsidP="002575F0">
            <w:pPr>
              <w:ind w:left="144"/>
            </w:pPr>
            <w:r>
              <w:t>FAS</w:t>
            </w:r>
          </w:p>
        </w:tc>
        <w:tc>
          <w:tcPr>
            <w:tcW w:w="6911" w:type="dxa"/>
          </w:tcPr>
          <w:p w14:paraId="5D332855" w14:textId="77777777" w:rsidR="005661DD" w:rsidRPr="00FD119B" w:rsidRDefault="005661DD" w:rsidP="002575F0">
            <w:pPr>
              <w:ind w:left="144"/>
            </w:pPr>
            <w:r>
              <w:t>Full analysis set</w:t>
            </w:r>
          </w:p>
        </w:tc>
      </w:tr>
      <w:tr w:rsidR="005661DD" w:rsidRPr="00FD119B" w14:paraId="01EBB73A" w14:textId="77777777" w:rsidTr="00157851">
        <w:tc>
          <w:tcPr>
            <w:tcW w:w="1809" w:type="dxa"/>
          </w:tcPr>
          <w:p w14:paraId="0987093A" w14:textId="77777777" w:rsidR="005661DD" w:rsidRDefault="005661DD" w:rsidP="002575F0">
            <w:pPr>
              <w:ind w:left="144"/>
            </w:pPr>
            <w:r>
              <w:t>HLA-DR</w:t>
            </w:r>
          </w:p>
        </w:tc>
        <w:tc>
          <w:tcPr>
            <w:tcW w:w="6911" w:type="dxa"/>
          </w:tcPr>
          <w:p w14:paraId="1C79A640" w14:textId="77777777" w:rsidR="005661DD" w:rsidRDefault="005661DD" w:rsidP="002575F0">
            <w:pPr>
              <w:ind w:left="144"/>
            </w:pPr>
            <w:r>
              <w:t>Human leukocyte a</w:t>
            </w:r>
            <w:r w:rsidRPr="00C959D1">
              <w:t>ntigen – DR isotype</w:t>
            </w:r>
          </w:p>
        </w:tc>
      </w:tr>
      <w:tr w:rsidR="005661DD" w:rsidRPr="00FD119B" w14:paraId="46BA20C3" w14:textId="77777777" w:rsidTr="00157851">
        <w:tc>
          <w:tcPr>
            <w:tcW w:w="1809" w:type="dxa"/>
          </w:tcPr>
          <w:p w14:paraId="4AE0D49B" w14:textId="77777777" w:rsidR="005661DD" w:rsidRPr="00FD119B" w:rsidRDefault="005661DD" w:rsidP="002575F0">
            <w:pPr>
              <w:ind w:left="144"/>
            </w:pPr>
            <w:r>
              <w:t>HPLC</w:t>
            </w:r>
          </w:p>
        </w:tc>
        <w:tc>
          <w:tcPr>
            <w:tcW w:w="6911" w:type="dxa"/>
          </w:tcPr>
          <w:p w14:paraId="2E49226B" w14:textId="77777777" w:rsidR="005661DD" w:rsidRPr="00FD119B" w:rsidRDefault="005661DD" w:rsidP="002575F0">
            <w:pPr>
              <w:ind w:left="144"/>
            </w:pPr>
            <w:r>
              <w:t>High performance liquid c</w:t>
            </w:r>
            <w:r w:rsidRPr="000C2A7E">
              <w:t>hromatography</w:t>
            </w:r>
          </w:p>
        </w:tc>
      </w:tr>
      <w:tr w:rsidR="005661DD" w:rsidRPr="00FD119B" w14:paraId="7B0FBF85" w14:textId="77777777" w:rsidTr="00157851">
        <w:tc>
          <w:tcPr>
            <w:tcW w:w="1809" w:type="dxa"/>
          </w:tcPr>
          <w:p w14:paraId="6D87B406" w14:textId="77777777" w:rsidR="005661DD" w:rsidRDefault="005661DD" w:rsidP="002575F0">
            <w:pPr>
              <w:ind w:left="144"/>
            </w:pPr>
            <w:r>
              <w:t>IOP</w:t>
            </w:r>
          </w:p>
        </w:tc>
        <w:tc>
          <w:tcPr>
            <w:tcW w:w="6911" w:type="dxa"/>
          </w:tcPr>
          <w:p w14:paraId="0A124C8F" w14:textId="77777777" w:rsidR="005661DD" w:rsidRDefault="005661DD" w:rsidP="002575F0">
            <w:pPr>
              <w:ind w:left="144"/>
            </w:pPr>
            <w:r>
              <w:t>I</w:t>
            </w:r>
            <w:r w:rsidRPr="00D308C2">
              <w:t>ntraocular pressure</w:t>
            </w:r>
          </w:p>
        </w:tc>
      </w:tr>
      <w:tr w:rsidR="005661DD" w:rsidRPr="00FD119B" w14:paraId="22AE9C26" w14:textId="77777777" w:rsidTr="00157851">
        <w:tc>
          <w:tcPr>
            <w:tcW w:w="1809" w:type="dxa"/>
          </w:tcPr>
          <w:p w14:paraId="26334CA6" w14:textId="77777777" w:rsidR="005661DD" w:rsidRPr="00FD119B" w:rsidRDefault="005661DD" w:rsidP="002575F0">
            <w:pPr>
              <w:ind w:left="144" w:right="0"/>
              <w:rPr>
                <w:color w:val="auto"/>
                <w:szCs w:val="22"/>
                <w:lang w:eastAsia="en-US"/>
              </w:rPr>
            </w:pPr>
            <w:r>
              <w:rPr>
                <w:color w:val="auto"/>
                <w:szCs w:val="22"/>
                <w:lang w:eastAsia="en-US"/>
              </w:rPr>
              <w:t>KCS</w:t>
            </w:r>
          </w:p>
        </w:tc>
        <w:tc>
          <w:tcPr>
            <w:tcW w:w="6911" w:type="dxa"/>
          </w:tcPr>
          <w:p w14:paraId="1910558C" w14:textId="77777777" w:rsidR="005661DD" w:rsidRPr="00FD119B" w:rsidRDefault="005661DD" w:rsidP="002575F0">
            <w:pPr>
              <w:ind w:left="144" w:right="0"/>
              <w:rPr>
                <w:color w:val="auto"/>
                <w:szCs w:val="22"/>
                <w:lang w:eastAsia="en-US"/>
              </w:rPr>
            </w:pPr>
            <w:r>
              <w:t>Keratoconjunctivitis sicca</w:t>
            </w:r>
          </w:p>
        </w:tc>
      </w:tr>
      <w:tr w:rsidR="005661DD" w:rsidRPr="00FD119B" w14:paraId="436CCAF4" w14:textId="77777777" w:rsidTr="00157851">
        <w:tc>
          <w:tcPr>
            <w:tcW w:w="1809" w:type="dxa"/>
          </w:tcPr>
          <w:p w14:paraId="1FA931CD" w14:textId="77777777" w:rsidR="005661DD" w:rsidRPr="00FD119B" w:rsidRDefault="005661DD" w:rsidP="002575F0">
            <w:pPr>
              <w:ind w:left="144"/>
            </w:pPr>
            <w:r>
              <w:t>LOCF</w:t>
            </w:r>
          </w:p>
        </w:tc>
        <w:tc>
          <w:tcPr>
            <w:tcW w:w="6911" w:type="dxa"/>
          </w:tcPr>
          <w:p w14:paraId="38E850B4" w14:textId="77777777" w:rsidR="005661DD" w:rsidRPr="00FD119B" w:rsidRDefault="005661DD" w:rsidP="002575F0">
            <w:pPr>
              <w:ind w:left="144"/>
            </w:pPr>
            <w:r w:rsidRPr="00B450C7">
              <w:t>Last observation carried forward</w:t>
            </w:r>
          </w:p>
        </w:tc>
      </w:tr>
      <w:tr w:rsidR="005661DD" w:rsidRPr="00FD119B" w14:paraId="19DF420F" w14:textId="77777777" w:rsidTr="00157851">
        <w:tc>
          <w:tcPr>
            <w:tcW w:w="1809" w:type="dxa"/>
          </w:tcPr>
          <w:p w14:paraId="3FB2CA02" w14:textId="77777777" w:rsidR="005661DD" w:rsidRPr="00FD119B" w:rsidRDefault="005661DD" w:rsidP="002575F0">
            <w:pPr>
              <w:ind w:left="144"/>
            </w:pPr>
            <w:r>
              <w:t>LS</w:t>
            </w:r>
          </w:p>
        </w:tc>
        <w:tc>
          <w:tcPr>
            <w:tcW w:w="6911" w:type="dxa"/>
          </w:tcPr>
          <w:p w14:paraId="48FC809F" w14:textId="77777777" w:rsidR="005661DD" w:rsidRPr="00FD119B" w:rsidRDefault="005661DD" w:rsidP="002575F0">
            <w:pPr>
              <w:ind w:left="144"/>
            </w:pPr>
            <w:r>
              <w:t>Least squares</w:t>
            </w:r>
          </w:p>
        </w:tc>
      </w:tr>
      <w:tr w:rsidR="005661DD" w:rsidRPr="00FD119B" w14:paraId="0578F6F8" w14:textId="77777777" w:rsidTr="00157851">
        <w:tc>
          <w:tcPr>
            <w:tcW w:w="1809" w:type="dxa"/>
          </w:tcPr>
          <w:p w14:paraId="24F5FB50" w14:textId="77777777" w:rsidR="005661DD" w:rsidRPr="00FD119B" w:rsidRDefault="005661DD" w:rsidP="002575F0">
            <w:pPr>
              <w:ind w:left="144"/>
            </w:pPr>
            <w:r>
              <w:t>MS/MS</w:t>
            </w:r>
          </w:p>
        </w:tc>
        <w:tc>
          <w:tcPr>
            <w:tcW w:w="6911" w:type="dxa"/>
          </w:tcPr>
          <w:p w14:paraId="0BB6F8F1" w14:textId="77777777" w:rsidR="005661DD" w:rsidRPr="00FD119B" w:rsidRDefault="005661DD" w:rsidP="002575F0">
            <w:pPr>
              <w:ind w:left="144"/>
            </w:pPr>
            <w:r>
              <w:t>Tandem m</w:t>
            </w:r>
            <w:r w:rsidRPr="000C2A7E">
              <w:t>ass spectrometry</w:t>
            </w:r>
          </w:p>
        </w:tc>
      </w:tr>
      <w:tr w:rsidR="005661DD" w:rsidRPr="00FD119B" w14:paraId="31CE8674" w14:textId="77777777" w:rsidTr="00157851">
        <w:tc>
          <w:tcPr>
            <w:tcW w:w="1809" w:type="dxa"/>
          </w:tcPr>
          <w:p w14:paraId="0CA72B2A" w14:textId="77777777" w:rsidR="005661DD" w:rsidRPr="00FD119B" w:rsidRDefault="005661DD" w:rsidP="002575F0">
            <w:pPr>
              <w:ind w:left="144"/>
            </w:pPr>
            <w:r>
              <w:t>OR</w:t>
            </w:r>
          </w:p>
        </w:tc>
        <w:tc>
          <w:tcPr>
            <w:tcW w:w="6911" w:type="dxa"/>
          </w:tcPr>
          <w:p w14:paraId="042F9E0A" w14:textId="77777777" w:rsidR="005661DD" w:rsidRPr="00FD119B" w:rsidRDefault="005661DD" w:rsidP="002575F0">
            <w:pPr>
              <w:ind w:left="144"/>
            </w:pPr>
            <w:r>
              <w:t>Odds ratios</w:t>
            </w:r>
          </w:p>
        </w:tc>
      </w:tr>
      <w:tr w:rsidR="005661DD" w:rsidRPr="00FD119B" w14:paraId="03AE16AA" w14:textId="77777777" w:rsidTr="00157851">
        <w:tc>
          <w:tcPr>
            <w:tcW w:w="1809" w:type="dxa"/>
          </w:tcPr>
          <w:p w14:paraId="5B08D90B" w14:textId="77777777" w:rsidR="005661DD" w:rsidRDefault="005661DD" w:rsidP="002575F0">
            <w:pPr>
              <w:ind w:left="144"/>
            </w:pPr>
            <w:r>
              <w:t>ORA</w:t>
            </w:r>
          </w:p>
        </w:tc>
        <w:tc>
          <w:tcPr>
            <w:tcW w:w="6911" w:type="dxa"/>
          </w:tcPr>
          <w:p w14:paraId="7D7B7114" w14:textId="77777777" w:rsidR="005661DD" w:rsidRDefault="005661DD" w:rsidP="002575F0">
            <w:pPr>
              <w:ind w:left="144"/>
            </w:pPr>
            <w:r>
              <w:rPr>
                <w:rFonts w:eastAsiaTheme="minorHAnsi"/>
                <w:szCs w:val="22"/>
              </w:rPr>
              <w:t>Ophthalmic research a</w:t>
            </w:r>
            <w:r w:rsidRPr="00575729">
              <w:rPr>
                <w:rFonts w:eastAsiaTheme="minorHAnsi"/>
                <w:szCs w:val="22"/>
              </w:rPr>
              <w:t>ssociates</w:t>
            </w:r>
          </w:p>
        </w:tc>
      </w:tr>
      <w:tr w:rsidR="005661DD" w:rsidRPr="00FD119B" w14:paraId="780A3F68" w14:textId="77777777" w:rsidTr="00157851">
        <w:tc>
          <w:tcPr>
            <w:tcW w:w="1809" w:type="dxa"/>
          </w:tcPr>
          <w:p w14:paraId="48A817C1" w14:textId="77777777" w:rsidR="005661DD" w:rsidRDefault="005661DD" w:rsidP="002575F0">
            <w:pPr>
              <w:ind w:left="144"/>
            </w:pPr>
            <w:r>
              <w:t>OSDI</w:t>
            </w:r>
          </w:p>
        </w:tc>
        <w:tc>
          <w:tcPr>
            <w:tcW w:w="6911" w:type="dxa"/>
          </w:tcPr>
          <w:p w14:paraId="73A41017" w14:textId="77777777" w:rsidR="005661DD" w:rsidRDefault="005661DD" w:rsidP="002575F0">
            <w:pPr>
              <w:ind w:left="144"/>
            </w:pPr>
            <w:r>
              <w:t>Ocular surface disease i</w:t>
            </w:r>
            <w:r w:rsidRPr="00332528">
              <w:t>ndex</w:t>
            </w:r>
          </w:p>
        </w:tc>
      </w:tr>
      <w:tr w:rsidR="005661DD" w:rsidRPr="00FD119B" w14:paraId="260161A4" w14:textId="77777777" w:rsidTr="00157851">
        <w:tc>
          <w:tcPr>
            <w:tcW w:w="1809" w:type="dxa"/>
          </w:tcPr>
          <w:p w14:paraId="3C2F7F21" w14:textId="77777777" w:rsidR="005661DD" w:rsidRPr="00FD119B" w:rsidRDefault="005661DD" w:rsidP="002575F0">
            <w:pPr>
              <w:ind w:left="144"/>
            </w:pPr>
            <w:r>
              <w:t>PD</w:t>
            </w:r>
          </w:p>
        </w:tc>
        <w:tc>
          <w:tcPr>
            <w:tcW w:w="6911" w:type="dxa"/>
          </w:tcPr>
          <w:p w14:paraId="052CE2B1" w14:textId="77777777" w:rsidR="005661DD" w:rsidRPr="00FD119B" w:rsidRDefault="005661DD" w:rsidP="002575F0">
            <w:pPr>
              <w:ind w:left="144"/>
            </w:pPr>
            <w:r>
              <w:t>Pharmacodynamic(s)</w:t>
            </w:r>
          </w:p>
        </w:tc>
      </w:tr>
      <w:tr w:rsidR="005661DD" w:rsidRPr="00FD119B" w14:paraId="60D24BFF" w14:textId="77777777" w:rsidTr="00157851">
        <w:tc>
          <w:tcPr>
            <w:tcW w:w="1809" w:type="dxa"/>
          </w:tcPr>
          <w:p w14:paraId="1E0B930B" w14:textId="77777777" w:rsidR="005661DD" w:rsidRPr="00FD119B" w:rsidRDefault="005661DD" w:rsidP="002575F0">
            <w:pPr>
              <w:ind w:left="144"/>
            </w:pPr>
            <w:r>
              <w:t>PI</w:t>
            </w:r>
          </w:p>
        </w:tc>
        <w:tc>
          <w:tcPr>
            <w:tcW w:w="6911" w:type="dxa"/>
          </w:tcPr>
          <w:p w14:paraId="3D14C4E5" w14:textId="4ABF8A9E" w:rsidR="005661DD" w:rsidRPr="00FD119B" w:rsidRDefault="005661DD" w:rsidP="002575F0">
            <w:pPr>
              <w:ind w:left="144"/>
            </w:pPr>
            <w:r>
              <w:t xml:space="preserve">Product </w:t>
            </w:r>
            <w:r w:rsidR="00246EA3">
              <w:t>I</w:t>
            </w:r>
            <w:r>
              <w:t>nformation</w:t>
            </w:r>
          </w:p>
        </w:tc>
      </w:tr>
      <w:tr w:rsidR="005661DD" w:rsidRPr="00FD119B" w14:paraId="0267C355" w14:textId="77777777" w:rsidTr="00157851">
        <w:tc>
          <w:tcPr>
            <w:tcW w:w="1809" w:type="dxa"/>
          </w:tcPr>
          <w:p w14:paraId="7EBA686C" w14:textId="77777777" w:rsidR="005661DD" w:rsidRPr="00FD119B" w:rsidRDefault="005661DD" w:rsidP="002575F0">
            <w:pPr>
              <w:ind w:left="144"/>
            </w:pPr>
            <w:r>
              <w:t>PK</w:t>
            </w:r>
          </w:p>
        </w:tc>
        <w:tc>
          <w:tcPr>
            <w:tcW w:w="6911" w:type="dxa"/>
          </w:tcPr>
          <w:p w14:paraId="504501ED" w14:textId="77777777" w:rsidR="005661DD" w:rsidRPr="00FD119B" w:rsidRDefault="005661DD" w:rsidP="002575F0">
            <w:pPr>
              <w:ind w:left="144"/>
            </w:pPr>
            <w:r>
              <w:t>Pharmacokinetic(s)</w:t>
            </w:r>
          </w:p>
        </w:tc>
      </w:tr>
      <w:tr w:rsidR="005661DD" w:rsidRPr="00FD119B" w14:paraId="31729000" w14:textId="77777777" w:rsidTr="00157851">
        <w:tc>
          <w:tcPr>
            <w:tcW w:w="1809" w:type="dxa"/>
          </w:tcPr>
          <w:p w14:paraId="61BD4C60" w14:textId="77777777" w:rsidR="005661DD" w:rsidRPr="00FD119B" w:rsidRDefault="005661DD" w:rsidP="002575F0">
            <w:pPr>
              <w:ind w:left="144"/>
            </w:pPr>
            <w:r>
              <w:t>PP</w:t>
            </w:r>
          </w:p>
        </w:tc>
        <w:tc>
          <w:tcPr>
            <w:tcW w:w="6911" w:type="dxa"/>
          </w:tcPr>
          <w:p w14:paraId="3627D712" w14:textId="77777777" w:rsidR="005661DD" w:rsidRPr="00FD119B" w:rsidRDefault="005661DD" w:rsidP="002575F0">
            <w:pPr>
              <w:ind w:left="144"/>
            </w:pPr>
            <w:r>
              <w:t>Per protocol</w:t>
            </w:r>
          </w:p>
        </w:tc>
      </w:tr>
      <w:tr w:rsidR="005661DD" w:rsidRPr="00FD119B" w14:paraId="5C1F893B" w14:textId="77777777" w:rsidTr="00157851">
        <w:tc>
          <w:tcPr>
            <w:tcW w:w="1809" w:type="dxa"/>
          </w:tcPr>
          <w:p w14:paraId="130B2E43" w14:textId="77777777" w:rsidR="005661DD" w:rsidRDefault="005661DD" w:rsidP="002575F0">
            <w:pPr>
              <w:ind w:left="144"/>
            </w:pPr>
            <w:r>
              <w:t>PPS</w:t>
            </w:r>
          </w:p>
        </w:tc>
        <w:tc>
          <w:tcPr>
            <w:tcW w:w="6911" w:type="dxa"/>
          </w:tcPr>
          <w:p w14:paraId="2EFA8726" w14:textId="77777777" w:rsidR="005661DD" w:rsidRDefault="005661DD" w:rsidP="002575F0">
            <w:pPr>
              <w:ind w:left="144"/>
            </w:pPr>
            <w:r>
              <w:t>Per protocol set</w:t>
            </w:r>
          </w:p>
        </w:tc>
      </w:tr>
      <w:tr w:rsidR="005661DD" w:rsidRPr="00FD119B" w14:paraId="681F0087" w14:textId="77777777" w:rsidTr="00157851">
        <w:tc>
          <w:tcPr>
            <w:tcW w:w="1809" w:type="dxa"/>
          </w:tcPr>
          <w:p w14:paraId="40E080C3" w14:textId="77777777" w:rsidR="005661DD" w:rsidRDefault="005661DD" w:rsidP="002575F0">
            <w:pPr>
              <w:ind w:left="144"/>
            </w:pPr>
            <w:r>
              <w:t>PSUR</w:t>
            </w:r>
          </w:p>
        </w:tc>
        <w:tc>
          <w:tcPr>
            <w:tcW w:w="6911" w:type="dxa"/>
          </w:tcPr>
          <w:p w14:paraId="7FB89AFE" w14:textId="77777777" w:rsidR="005661DD" w:rsidRDefault="005661DD" w:rsidP="002575F0">
            <w:pPr>
              <w:ind w:left="144"/>
            </w:pPr>
            <w:r>
              <w:t>Periodic safety update r</w:t>
            </w:r>
            <w:r w:rsidRPr="006D1115">
              <w:t>eport</w:t>
            </w:r>
          </w:p>
        </w:tc>
      </w:tr>
      <w:tr w:rsidR="005661DD" w:rsidRPr="00FD119B" w14:paraId="73CBDC99" w14:textId="77777777" w:rsidTr="00157851">
        <w:tc>
          <w:tcPr>
            <w:tcW w:w="1809" w:type="dxa"/>
          </w:tcPr>
          <w:p w14:paraId="0864176F" w14:textId="77777777" w:rsidR="005661DD" w:rsidRPr="00FD119B" w:rsidRDefault="005661DD" w:rsidP="002575F0">
            <w:pPr>
              <w:ind w:left="144"/>
            </w:pPr>
            <w:r>
              <w:t>QD</w:t>
            </w:r>
          </w:p>
        </w:tc>
        <w:tc>
          <w:tcPr>
            <w:tcW w:w="6911" w:type="dxa"/>
          </w:tcPr>
          <w:p w14:paraId="02E3AF61" w14:textId="3135A797" w:rsidR="005661DD" w:rsidRPr="00FD119B" w:rsidRDefault="005661DD" w:rsidP="002575F0">
            <w:pPr>
              <w:ind w:left="144"/>
            </w:pPr>
            <w:r>
              <w:t>O</w:t>
            </w:r>
            <w:r w:rsidRPr="00241B2D">
              <w:t>nce a day</w:t>
            </w:r>
            <w:r>
              <w:t>, Latin</w:t>
            </w:r>
            <w:r w:rsidR="00246EA3">
              <w:t xml:space="preserve">: </w:t>
            </w:r>
            <w:proofErr w:type="spellStart"/>
            <w:r w:rsidRPr="00241B2D">
              <w:rPr>
                <w:i/>
              </w:rPr>
              <w:t>quaque</w:t>
            </w:r>
            <w:proofErr w:type="spellEnd"/>
            <w:r w:rsidRPr="00241B2D">
              <w:rPr>
                <w:i/>
              </w:rPr>
              <w:t xml:space="preserve"> die</w:t>
            </w:r>
          </w:p>
        </w:tc>
      </w:tr>
      <w:tr w:rsidR="005661DD" w:rsidRPr="00FD119B" w14:paraId="55FF7D4B" w14:textId="77777777" w:rsidTr="00157851">
        <w:tc>
          <w:tcPr>
            <w:tcW w:w="1809" w:type="dxa"/>
          </w:tcPr>
          <w:p w14:paraId="6EDADAE8" w14:textId="77777777" w:rsidR="005661DD" w:rsidRDefault="005661DD" w:rsidP="002575F0">
            <w:pPr>
              <w:ind w:left="144"/>
            </w:pPr>
            <w:r>
              <w:t>RMP</w:t>
            </w:r>
          </w:p>
        </w:tc>
        <w:tc>
          <w:tcPr>
            <w:tcW w:w="6911" w:type="dxa"/>
          </w:tcPr>
          <w:p w14:paraId="5D0CFAD4" w14:textId="77777777" w:rsidR="005661DD" w:rsidRDefault="005661DD" w:rsidP="002575F0">
            <w:pPr>
              <w:ind w:left="144"/>
            </w:pPr>
            <w:r>
              <w:t>Risk management plan</w:t>
            </w:r>
          </w:p>
        </w:tc>
      </w:tr>
      <w:tr w:rsidR="005661DD" w:rsidRPr="00FD119B" w14:paraId="0052898A" w14:textId="77777777" w:rsidTr="00157851">
        <w:tc>
          <w:tcPr>
            <w:tcW w:w="1809" w:type="dxa"/>
          </w:tcPr>
          <w:p w14:paraId="45767DC3" w14:textId="77777777" w:rsidR="005661DD" w:rsidRDefault="005661DD" w:rsidP="002575F0">
            <w:pPr>
              <w:ind w:left="144"/>
            </w:pPr>
            <w:r>
              <w:t>SAE</w:t>
            </w:r>
          </w:p>
        </w:tc>
        <w:tc>
          <w:tcPr>
            <w:tcW w:w="6911" w:type="dxa"/>
          </w:tcPr>
          <w:p w14:paraId="6DC381AC" w14:textId="77777777" w:rsidR="005661DD" w:rsidRDefault="005661DD" w:rsidP="002575F0">
            <w:pPr>
              <w:ind w:left="144"/>
            </w:pPr>
            <w:r>
              <w:t>Serious adverse event</w:t>
            </w:r>
          </w:p>
        </w:tc>
      </w:tr>
      <w:tr w:rsidR="005661DD" w:rsidRPr="00FD119B" w14:paraId="6F3F7970" w14:textId="77777777" w:rsidTr="00157851">
        <w:tc>
          <w:tcPr>
            <w:tcW w:w="1809" w:type="dxa"/>
          </w:tcPr>
          <w:p w14:paraId="797335E4" w14:textId="77777777" w:rsidR="005661DD" w:rsidRDefault="005661DD" w:rsidP="002575F0">
            <w:pPr>
              <w:ind w:left="144"/>
            </w:pPr>
            <w:r>
              <w:t>SAP</w:t>
            </w:r>
          </w:p>
        </w:tc>
        <w:tc>
          <w:tcPr>
            <w:tcW w:w="6911" w:type="dxa"/>
          </w:tcPr>
          <w:p w14:paraId="53E765F6" w14:textId="77777777" w:rsidR="005661DD" w:rsidRDefault="005661DD" w:rsidP="002575F0">
            <w:pPr>
              <w:ind w:left="144"/>
            </w:pPr>
            <w:r>
              <w:t>Statistical analysis plan</w:t>
            </w:r>
          </w:p>
        </w:tc>
      </w:tr>
      <w:tr w:rsidR="005661DD" w:rsidRPr="00FD119B" w14:paraId="6212BB58" w14:textId="77777777" w:rsidTr="00157851">
        <w:tc>
          <w:tcPr>
            <w:tcW w:w="1809" w:type="dxa"/>
          </w:tcPr>
          <w:p w14:paraId="7122AD2E" w14:textId="77777777" w:rsidR="005661DD" w:rsidRDefault="005661DD" w:rsidP="002575F0">
            <w:pPr>
              <w:ind w:left="144"/>
            </w:pPr>
            <w:r>
              <w:t>TBUT</w:t>
            </w:r>
          </w:p>
        </w:tc>
        <w:tc>
          <w:tcPr>
            <w:tcW w:w="6911" w:type="dxa"/>
          </w:tcPr>
          <w:p w14:paraId="5A5AA257" w14:textId="77777777" w:rsidR="005661DD" w:rsidRDefault="005661DD" w:rsidP="002575F0">
            <w:pPr>
              <w:ind w:left="144"/>
            </w:pPr>
            <w:r>
              <w:rPr>
                <w:rFonts w:eastAsiaTheme="minorHAnsi" w:cs="Arial"/>
                <w:szCs w:val="22"/>
              </w:rPr>
              <w:t>Tear break-up t</w:t>
            </w:r>
            <w:r w:rsidRPr="00575729">
              <w:rPr>
                <w:rFonts w:eastAsiaTheme="minorHAnsi" w:cs="Arial"/>
                <w:szCs w:val="22"/>
              </w:rPr>
              <w:t>ime</w:t>
            </w:r>
          </w:p>
        </w:tc>
      </w:tr>
      <w:tr w:rsidR="005661DD" w:rsidRPr="00FD119B" w14:paraId="05293927" w14:textId="77777777" w:rsidTr="00157851">
        <w:tc>
          <w:tcPr>
            <w:tcW w:w="1809" w:type="dxa"/>
          </w:tcPr>
          <w:p w14:paraId="03AA13B6" w14:textId="77777777" w:rsidR="005661DD" w:rsidRDefault="005661DD" w:rsidP="002575F0">
            <w:pPr>
              <w:ind w:left="144"/>
            </w:pPr>
            <w:r>
              <w:t>TEAE</w:t>
            </w:r>
          </w:p>
        </w:tc>
        <w:tc>
          <w:tcPr>
            <w:tcW w:w="6911" w:type="dxa"/>
          </w:tcPr>
          <w:p w14:paraId="2EC2E072" w14:textId="77777777" w:rsidR="005661DD" w:rsidRDefault="005661DD" w:rsidP="002575F0">
            <w:pPr>
              <w:ind w:left="144"/>
            </w:pPr>
            <w:r>
              <w:t>T</w:t>
            </w:r>
            <w:r w:rsidRPr="005E3664">
              <w:t>reatment emergent adverse event</w:t>
            </w:r>
          </w:p>
        </w:tc>
      </w:tr>
      <w:tr w:rsidR="005661DD" w:rsidRPr="00FD119B" w14:paraId="4789240E" w14:textId="77777777" w:rsidTr="00157851">
        <w:tc>
          <w:tcPr>
            <w:tcW w:w="1809" w:type="dxa"/>
          </w:tcPr>
          <w:p w14:paraId="19824870" w14:textId="77777777" w:rsidR="005661DD" w:rsidRPr="00FD119B" w:rsidRDefault="005661DD" w:rsidP="002575F0">
            <w:pPr>
              <w:ind w:left="144"/>
            </w:pPr>
            <w:r w:rsidRPr="00275ABB">
              <w:t>TGA</w:t>
            </w:r>
          </w:p>
        </w:tc>
        <w:tc>
          <w:tcPr>
            <w:tcW w:w="6911" w:type="dxa"/>
          </w:tcPr>
          <w:p w14:paraId="3621BE2A" w14:textId="77777777" w:rsidR="005661DD" w:rsidRPr="00FD119B" w:rsidRDefault="005661DD" w:rsidP="002575F0">
            <w:pPr>
              <w:ind w:left="144"/>
            </w:pPr>
            <w:r w:rsidRPr="00275ABB">
              <w:t>Therapeutic Goods Administration</w:t>
            </w:r>
          </w:p>
        </w:tc>
      </w:tr>
      <w:tr w:rsidR="005661DD" w:rsidRPr="00FD119B" w14:paraId="611C281A" w14:textId="77777777" w:rsidTr="00157851">
        <w:tc>
          <w:tcPr>
            <w:tcW w:w="1809" w:type="dxa"/>
          </w:tcPr>
          <w:p w14:paraId="7338FBE8" w14:textId="77777777" w:rsidR="005661DD" w:rsidRPr="00FD119B" w:rsidRDefault="005661DD" w:rsidP="002575F0">
            <w:pPr>
              <w:ind w:left="144"/>
            </w:pPr>
            <w:r>
              <w:t>USA</w:t>
            </w:r>
          </w:p>
        </w:tc>
        <w:tc>
          <w:tcPr>
            <w:tcW w:w="6911" w:type="dxa"/>
          </w:tcPr>
          <w:p w14:paraId="6C24F6C7" w14:textId="77777777" w:rsidR="005661DD" w:rsidRPr="00FD119B" w:rsidRDefault="005661DD" w:rsidP="002575F0">
            <w:pPr>
              <w:ind w:left="144"/>
            </w:pPr>
            <w:r>
              <w:t>United States of America</w:t>
            </w:r>
          </w:p>
        </w:tc>
      </w:tr>
      <w:tr w:rsidR="005661DD" w:rsidRPr="00FD119B" w14:paraId="2B2DB943" w14:textId="77777777" w:rsidTr="00157851">
        <w:tc>
          <w:tcPr>
            <w:tcW w:w="1809" w:type="dxa"/>
          </w:tcPr>
          <w:p w14:paraId="103B585F" w14:textId="77777777" w:rsidR="005661DD" w:rsidRDefault="005661DD" w:rsidP="002575F0">
            <w:pPr>
              <w:ind w:left="144"/>
            </w:pPr>
            <w:r>
              <w:t>VAS</w:t>
            </w:r>
          </w:p>
        </w:tc>
        <w:tc>
          <w:tcPr>
            <w:tcW w:w="6911" w:type="dxa"/>
          </w:tcPr>
          <w:p w14:paraId="4FB9EFB4" w14:textId="77777777" w:rsidR="005661DD" w:rsidRDefault="005661DD" w:rsidP="002575F0">
            <w:pPr>
              <w:ind w:left="144"/>
            </w:pPr>
            <w:r>
              <w:t>Visual analogue s</w:t>
            </w:r>
            <w:r w:rsidRPr="005D4775">
              <w:t>cale</w:t>
            </w:r>
          </w:p>
        </w:tc>
      </w:tr>
      <w:tr w:rsidR="005661DD" w:rsidRPr="00FD119B" w14:paraId="64482641" w14:textId="77777777" w:rsidTr="00157851">
        <w:tc>
          <w:tcPr>
            <w:tcW w:w="1809" w:type="dxa"/>
          </w:tcPr>
          <w:p w14:paraId="14291642" w14:textId="77777777" w:rsidR="005661DD" w:rsidRPr="00FD119B" w:rsidRDefault="005661DD" w:rsidP="002575F0">
            <w:pPr>
              <w:ind w:left="144"/>
            </w:pPr>
            <w:r>
              <w:t>VKC</w:t>
            </w:r>
          </w:p>
        </w:tc>
        <w:tc>
          <w:tcPr>
            <w:tcW w:w="6911" w:type="dxa"/>
          </w:tcPr>
          <w:p w14:paraId="0747B06E" w14:textId="77777777" w:rsidR="005661DD" w:rsidRPr="00FD119B" w:rsidRDefault="005661DD" w:rsidP="002575F0">
            <w:pPr>
              <w:ind w:left="144"/>
            </w:pPr>
            <w:r>
              <w:t>Vernal keratoconjunctivitis</w:t>
            </w:r>
          </w:p>
        </w:tc>
      </w:tr>
    </w:tbl>
    <w:p w14:paraId="04D18D10" w14:textId="77777777" w:rsidR="00FD119B" w:rsidRDefault="00FD119B" w:rsidP="00FD119B"/>
    <w:p w14:paraId="761D58F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EEA870B" w14:textId="77777777" w:rsidR="008E7846" w:rsidRDefault="00F53C07" w:rsidP="008E7846">
      <w:pPr>
        <w:pStyle w:val="Heading2"/>
      </w:pPr>
      <w:bookmarkStart w:id="8" w:name="_Toc69733535"/>
      <w:r>
        <w:t>I.</w:t>
      </w:r>
      <w:r w:rsidR="008E7846">
        <w:t xml:space="preserve"> Introduction to product submission</w:t>
      </w:r>
      <w:bookmarkEnd w:id="8"/>
      <w:bookmarkEnd w:id="0"/>
      <w:bookmarkEnd w:id="2"/>
    </w:p>
    <w:p w14:paraId="664B9B51" w14:textId="77777777" w:rsidR="008E7846" w:rsidRDefault="008E7846" w:rsidP="008E7846">
      <w:pPr>
        <w:pStyle w:val="Heading3"/>
        <w:rPr>
          <w:lang w:eastAsia="en-AU"/>
        </w:rPr>
      </w:pPr>
      <w:bookmarkStart w:id="9" w:name="_Toc247691502"/>
      <w:bookmarkStart w:id="10" w:name="_Toc314842483"/>
      <w:bookmarkStart w:id="11" w:name="_Toc69733536"/>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26150E77" w14:textId="77777777" w:rsidTr="1810E30F">
        <w:tc>
          <w:tcPr>
            <w:tcW w:w="2907" w:type="dxa"/>
          </w:tcPr>
          <w:p w14:paraId="7D9268F5"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4D18CD7" w14:textId="357EA1FF" w:rsidR="008E7846" w:rsidRPr="003D1E62" w:rsidRDefault="00505108" w:rsidP="00EF6EB4">
            <w:r>
              <w:t>Extension of indication</w:t>
            </w:r>
            <w:r w:rsidR="00577CA4">
              <w:t>s</w:t>
            </w:r>
          </w:p>
        </w:tc>
      </w:tr>
      <w:tr w:rsidR="00460036" w:rsidRPr="003D1E62" w14:paraId="6A975337" w14:textId="77777777" w:rsidTr="1810E30F">
        <w:tc>
          <w:tcPr>
            <w:tcW w:w="2907" w:type="dxa"/>
          </w:tcPr>
          <w:p w14:paraId="10D8B689" w14:textId="77777777" w:rsidR="00460036" w:rsidRPr="003D1E62" w:rsidRDefault="00212848" w:rsidP="003D1E62">
            <w:pPr>
              <w:rPr>
                <w:i/>
              </w:rPr>
            </w:pPr>
            <w:r>
              <w:rPr>
                <w:i/>
              </w:rPr>
              <w:t>Product name</w:t>
            </w:r>
            <w:r w:rsidR="00460036" w:rsidRPr="00460036">
              <w:rPr>
                <w:i/>
              </w:rPr>
              <w:t>:</w:t>
            </w:r>
          </w:p>
        </w:tc>
        <w:tc>
          <w:tcPr>
            <w:tcW w:w="6307" w:type="dxa"/>
          </w:tcPr>
          <w:p w14:paraId="64DF6E4C" w14:textId="77777777" w:rsidR="00460036" w:rsidRPr="003D1E62" w:rsidRDefault="00505108" w:rsidP="001B5C90">
            <w:proofErr w:type="spellStart"/>
            <w:r>
              <w:t>Ikervis</w:t>
            </w:r>
            <w:proofErr w:type="spellEnd"/>
          </w:p>
        </w:tc>
      </w:tr>
      <w:tr w:rsidR="00460036" w:rsidRPr="003D1E62" w14:paraId="4D80EAD2" w14:textId="77777777" w:rsidTr="1810E30F">
        <w:tc>
          <w:tcPr>
            <w:tcW w:w="2907" w:type="dxa"/>
          </w:tcPr>
          <w:p w14:paraId="4A605D9D" w14:textId="77777777" w:rsidR="00460036" w:rsidRPr="003D1E62" w:rsidRDefault="00212848" w:rsidP="003D1E62">
            <w:pPr>
              <w:rPr>
                <w:i/>
              </w:rPr>
            </w:pPr>
            <w:r>
              <w:rPr>
                <w:i/>
              </w:rPr>
              <w:t>Active ingredient</w:t>
            </w:r>
            <w:r w:rsidR="00460036" w:rsidRPr="00460036">
              <w:rPr>
                <w:i/>
              </w:rPr>
              <w:t>:</w:t>
            </w:r>
          </w:p>
        </w:tc>
        <w:tc>
          <w:tcPr>
            <w:tcW w:w="6307" w:type="dxa"/>
          </w:tcPr>
          <w:p w14:paraId="6DF43ACE" w14:textId="77777777" w:rsidR="00460036" w:rsidRPr="003D1E62" w:rsidRDefault="00505108" w:rsidP="001B5C90">
            <w:r>
              <w:t>Ciclosporin</w:t>
            </w:r>
          </w:p>
        </w:tc>
      </w:tr>
      <w:tr w:rsidR="008E7846" w:rsidRPr="003D1E62" w14:paraId="2781BFF8" w14:textId="77777777" w:rsidTr="1810E30F">
        <w:tc>
          <w:tcPr>
            <w:tcW w:w="2907" w:type="dxa"/>
          </w:tcPr>
          <w:p w14:paraId="65BD4909" w14:textId="77777777" w:rsidR="008E7846" w:rsidRPr="003D1E62" w:rsidRDefault="008E7846" w:rsidP="003D1E62">
            <w:r w:rsidRPr="003D1E62">
              <w:rPr>
                <w:i/>
              </w:rPr>
              <w:t>Decision</w:t>
            </w:r>
            <w:r w:rsidRPr="003D1E62">
              <w:t>:</w:t>
            </w:r>
          </w:p>
        </w:tc>
        <w:tc>
          <w:tcPr>
            <w:tcW w:w="6307" w:type="dxa"/>
          </w:tcPr>
          <w:p w14:paraId="29A7DACD" w14:textId="77777777" w:rsidR="008E7846" w:rsidRPr="003D1E62" w:rsidRDefault="00505108" w:rsidP="00505108">
            <w:r>
              <w:t>Approved</w:t>
            </w:r>
          </w:p>
        </w:tc>
      </w:tr>
      <w:tr w:rsidR="008E7846" w:rsidRPr="003D1E62" w14:paraId="4BBA6567" w14:textId="77777777" w:rsidTr="1810E30F">
        <w:tc>
          <w:tcPr>
            <w:tcW w:w="2907" w:type="dxa"/>
          </w:tcPr>
          <w:p w14:paraId="37AE4A3C"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462C207" w14:textId="77777777" w:rsidR="008E7846" w:rsidRPr="003D1E62" w:rsidRDefault="00505108" w:rsidP="001B5C90">
            <w:r>
              <w:t>3 December 2020</w:t>
            </w:r>
          </w:p>
        </w:tc>
      </w:tr>
      <w:tr w:rsidR="00ED2922" w:rsidRPr="003D1E62" w14:paraId="51DCAB19" w14:textId="77777777" w:rsidTr="1810E30F">
        <w:tc>
          <w:tcPr>
            <w:tcW w:w="2907" w:type="dxa"/>
          </w:tcPr>
          <w:p w14:paraId="48D0F89C" w14:textId="77777777" w:rsidR="00ED2922" w:rsidRPr="00441C3F" w:rsidRDefault="00ED2922" w:rsidP="001B5C90">
            <w:pPr>
              <w:rPr>
                <w:i/>
              </w:rPr>
            </w:pPr>
            <w:r w:rsidRPr="00441C3F">
              <w:rPr>
                <w:i/>
              </w:rPr>
              <w:t>Date of entry onto ARTG</w:t>
            </w:r>
            <w:r w:rsidR="00500337">
              <w:rPr>
                <w:i/>
              </w:rPr>
              <w:t>:</w:t>
            </w:r>
          </w:p>
        </w:tc>
        <w:tc>
          <w:tcPr>
            <w:tcW w:w="6307" w:type="dxa"/>
          </w:tcPr>
          <w:p w14:paraId="13DE4A7F" w14:textId="77777777" w:rsidR="00ED2922" w:rsidRPr="00441C3F" w:rsidRDefault="00505108" w:rsidP="00D153D8">
            <w:pPr>
              <w:rPr>
                <w:i/>
              </w:rPr>
            </w:pPr>
            <w:r>
              <w:t>15 December 2020</w:t>
            </w:r>
          </w:p>
        </w:tc>
      </w:tr>
      <w:tr w:rsidR="00500337" w:rsidRPr="003D1E62" w14:paraId="60AE5C2A" w14:textId="77777777" w:rsidTr="1810E30F">
        <w:tc>
          <w:tcPr>
            <w:tcW w:w="2907" w:type="dxa"/>
          </w:tcPr>
          <w:p w14:paraId="199CCA6E" w14:textId="77777777" w:rsidR="00500337" w:rsidRPr="00441C3F" w:rsidRDefault="00212848" w:rsidP="001B5C90">
            <w:pPr>
              <w:rPr>
                <w:i/>
              </w:rPr>
            </w:pPr>
            <w:r>
              <w:rPr>
                <w:i/>
              </w:rPr>
              <w:t>ARTG number</w:t>
            </w:r>
            <w:r w:rsidR="00500337">
              <w:rPr>
                <w:i/>
              </w:rPr>
              <w:t>:</w:t>
            </w:r>
          </w:p>
        </w:tc>
        <w:tc>
          <w:tcPr>
            <w:tcW w:w="6307" w:type="dxa"/>
          </w:tcPr>
          <w:p w14:paraId="2F0EAA77" w14:textId="77777777" w:rsidR="00500337" w:rsidRPr="00441C3F" w:rsidRDefault="00505108" w:rsidP="00EC463D">
            <w:r>
              <w:t>319502</w:t>
            </w:r>
          </w:p>
        </w:tc>
      </w:tr>
      <w:tr w:rsidR="003735BC" w:rsidRPr="003D1E62" w14:paraId="60322471" w14:textId="77777777" w:rsidTr="1810E30F">
        <w:tc>
          <w:tcPr>
            <w:tcW w:w="2907" w:type="dxa"/>
          </w:tcPr>
          <w:p w14:paraId="1C12954C"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0FF63684" w14:textId="038B57DA" w:rsidR="003735BC" w:rsidRDefault="00157851" w:rsidP="00212848">
            <w:r>
              <w:t>Yes</w:t>
            </w:r>
          </w:p>
          <w:p w14:paraId="73961861" w14:textId="77777777" w:rsidR="003735BC" w:rsidRPr="00487162" w:rsidRDefault="003735BC" w:rsidP="00212848">
            <w:r>
              <w:t>This product will remain in the scheme for 5 years, starting on the date the new indication was approved</w:t>
            </w:r>
          </w:p>
        </w:tc>
      </w:tr>
      <w:tr w:rsidR="008E7846" w:rsidRPr="00487162" w14:paraId="69B5359B" w14:textId="77777777" w:rsidTr="00BF1190">
        <w:tc>
          <w:tcPr>
            <w:tcW w:w="2907" w:type="dxa"/>
          </w:tcPr>
          <w:p w14:paraId="4B7747E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A0E8C7D" w14:textId="77777777" w:rsidR="008E7846" w:rsidRDefault="00212848" w:rsidP="00E45619">
            <w:proofErr w:type="spellStart"/>
            <w:r w:rsidRPr="00212848">
              <w:t>Seqirus</w:t>
            </w:r>
            <w:proofErr w:type="spellEnd"/>
            <w:r w:rsidRPr="00212848">
              <w:t xml:space="preserve"> Pty Ltd</w:t>
            </w:r>
          </w:p>
          <w:p w14:paraId="5B305EE4" w14:textId="77777777" w:rsidR="00212848" w:rsidRPr="00487162" w:rsidRDefault="00212848" w:rsidP="00212848">
            <w:r>
              <w:t>63 Poplar Road, Parkville, VIC 3052</w:t>
            </w:r>
          </w:p>
        </w:tc>
      </w:tr>
      <w:tr w:rsidR="008E7846" w:rsidRPr="00487162" w14:paraId="0083668C" w14:textId="77777777" w:rsidTr="00BF1190">
        <w:tc>
          <w:tcPr>
            <w:tcW w:w="2907" w:type="dxa"/>
          </w:tcPr>
          <w:p w14:paraId="67D660E9" w14:textId="5013BFBF" w:rsidR="008E7846" w:rsidRPr="00487162" w:rsidRDefault="0061367F" w:rsidP="00E45619">
            <w:pPr>
              <w:rPr>
                <w:i/>
              </w:rPr>
            </w:pPr>
            <w:r>
              <w:rPr>
                <w:i/>
              </w:rPr>
              <w:t>Dose form</w:t>
            </w:r>
            <w:r w:rsidR="001B5C90">
              <w:rPr>
                <w:i/>
              </w:rPr>
              <w:t>:</w:t>
            </w:r>
          </w:p>
        </w:tc>
        <w:tc>
          <w:tcPr>
            <w:tcW w:w="6307" w:type="dxa"/>
          </w:tcPr>
          <w:p w14:paraId="2650B02D" w14:textId="77777777" w:rsidR="008E7846" w:rsidRPr="00487162" w:rsidRDefault="00212848" w:rsidP="00212848">
            <w:r>
              <w:t>Eye drops, emulsion</w:t>
            </w:r>
          </w:p>
        </w:tc>
      </w:tr>
      <w:tr w:rsidR="008E7846" w:rsidRPr="00487162" w14:paraId="51DBC4F5" w14:textId="77777777" w:rsidTr="00BF1190">
        <w:tc>
          <w:tcPr>
            <w:tcW w:w="2907" w:type="dxa"/>
          </w:tcPr>
          <w:p w14:paraId="4C01C52D" w14:textId="6AD6901B" w:rsidR="008E7846" w:rsidRPr="00487162" w:rsidRDefault="0061367F" w:rsidP="00E45619">
            <w:pPr>
              <w:rPr>
                <w:i/>
              </w:rPr>
            </w:pPr>
            <w:r>
              <w:rPr>
                <w:i/>
              </w:rPr>
              <w:t>Strength</w:t>
            </w:r>
            <w:r w:rsidR="00324E45">
              <w:rPr>
                <w:i/>
              </w:rPr>
              <w:t>:</w:t>
            </w:r>
          </w:p>
        </w:tc>
        <w:tc>
          <w:tcPr>
            <w:tcW w:w="6307" w:type="dxa"/>
          </w:tcPr>
          <w:p w14:paraId="7AF631A7" w14:textId="722CBF50" w:rsidR="008E7846" w:rsidRPr="00487162" w:rsidRDefault="0061367F" w:rsidP="00E45619">
            <w:r>
              <w:t>1 mg/mL</w:t>
            </w:r>
          </w:p>
        </w:tc>
      </w:tr>
      <w:tr w:rsidR="008E7846" w:rsidRPr="00487162" w14:paraId="31793EC2" w14:textId="77777777" w:rsidTr="00BF1190">
        <w:tc>
          <w:tcPr>
            <w:tcW w:w="2907" w:type="dxa"/>
          </w:tcPr>
          <w:p w14:paraId="771FDD6B" w14:textId="736B376D" w:rsidR="008E7846" w:rsidRPr="00487162" w:rsidRDefault="0061367F" w:rsidP="00E45619">
            <w:pPr>
              <w:rPr>
                <w:i/>
              </w:rPr>
            </w:pPr>
            <w:r>
              <w:rPr>
                <w:i/>
              </w:rPr>
              <w:t>Container</w:t>
            </w:r>
            <w:r w:rsidR="008E7846" w:rsidRPr="00487162">
              <w:rPr>
                <w:i/>
              </w:rPr>
              <w:t>:</w:t>
            </w:r>
          </w:p>
        </w:tc>
        <w:tc>
          <w:tcPr>
            <w:tcW w:w="6307" w:type="dxa"/>
          </w:tcPr>
          <w:p w14:paraId="1C7E39B9" w14:textId="77777777" w:rsidR="008E7846" w:rsidRPr="00487162" w:rsidRDefault="00212848" w:rsidP="00E45619">
            <w:r>
              <w:t>Ampoule</w:t>
            </w:r>
          </w:p>
        </w:tc>
      </w:tr>
      <w:tr w:rsidR="008E7846" w:rsidRPr="00487162" w14:paraId="66C22AB0" w14:textId="77777777" w:rsidTr="00BF1190">
        <w:tc>
          <w:tcPr>
            <w:tcW w:w="2907" w:type="dxa"/>
          </w:tcPr>
          <w:p w14:paraId="13695612" w14:textId="5F5C8764" w:rsidR="008E7846" w:rsidRPr="00487162" w:rsidRDefault="0061367F" w:rsidP="00E45619">
            <w:pPr>
              <w:rPr>
                <w:i/>
              </w:rPr>
            </w:pPr>
            <w:r>
              <w:rPr>
                <w:i/>
              </w:rPr>
              <w:t>Pack size</w:t>
            </w:r>
            <w:r w:rsidR="008E7846" w:rsidRPr="00487162">
              <w:rPr>
                <w:i/>
              </w:rPr>
              <w:t>:</w:t>
            </w:r>
          </w:p>
        </w:tc>
        <w:tc>
          <w:tcPr>
            <w:tcW w:w="6307" w:type="dxa"/>
          </w:tcPr>
          <w:p w14:paraId="4B17AFDA" w14:textId="77777777" w:rsidR="008E7846" w:rsidRPr="00487162" w:rsidRDefault="00212848" w:rsidP="00E45619">
            <w:r>
              <w:t>30 (5 connected ampoules per pouch, 6 pouches per carton)</w:t>
            </w:r>
          </w:p>
        </w:tc>
      </w:tr>
      <w:tr w:rsidR="008E7846" w:rsidRPr="00487162" w14:paraId="6B63BE43" w14:textId="77777777" w:rsidTr="00BF1190">
        <w:tc>
          <w:tcPr>
            <w:tcW w:w="2907" w:type="dxa"/>
          </w:tcPr>
          <w:p w14:paraId="41ECA2B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E2C0FB7" w14:textId="77777777" w:rsidR="008E7846" w:rsidRPr="00212848" w:rsidRDefault="00212848" w:rsidP="00212848">
            <w:pPr>
              <w:rPr>
                <w:i/>
              </w:rPr>
            </w:pPr>
            <w:r w:rsidRPr="00212848">
              <w:rPr>
                <w:i/>
              </w:rPr>
              <w:t>Treatment of severe keratitis in adult patients with dry eye disease which has not improved despite treatment with tear substitutes</w:t>
            </w:r>
            <w:r>
              <w:rPr>
                <w:i/>
              </w:rPr>
              <w:t>.</w:t>
            </w:r>
          </w:p>
        </w:tc>
      </w:tr>
      <w:tr w:rsidR="008E7846" w:rsidRPr="00487162" w14:paraId="482A97A9" w14:textId="77777777" w:rsidTr="00BF1190">
        <w:tc>
          <w:tcPr>
            <w:tcW w:w="2907" w:type="dxa"/>
          </w:tcPr>
          <w:p w14:paraId="6C8707EC" w14:textId="1D487951" w:rsidR="008E7846" w:rsidRPr="00487162" w:rsidRDefault="0061367F" w:rsidP="00E45619">
            <w:pPr>
              <w:rPr>
                <w:i/>
              </w:rPr>
            </w:pPr>
            <w:r>
              <w:rPr>
                <w:i/>
              </w:rPr>
              <w:t>Route</w:t>
            </w:r>
            <w:r w:rsidR="008E7846" w:rsidRPr="00487162">
              <w:rPr>
                <w:i/>
              </w:rPr>
              <w:t xml:space="preserve"> of administration:</w:t>
            </w:r>
          </w:p>
        </w:tc>
        <w:tc>
          <w:tcPr>
            <w:tcW w:w="6307" w:type="dxa"/>
          </w:tcPr>
          <w:p w14:paraId="1347E50B" w14:textId="77777777" w:rsidR="008E7846" w:rsidRPr="00487162" w:rsidRDefault="00212848" w:rsidP="00E45619">
            <w:r>
              <w:t>Ophthalmic</w:t>
            </w:r>
          </w:p>
        </w:tc>
      </w:tr>
      <w:tr w:rsidR="008E7846" w:rsidRPr="00487162" w14:paraId="439DF93F" w14:textId="77777777" w:rsidTr="00BF1190">
        <w:tc>
          <w:tcPr>
            <w:tcW w:w="2907" w:type="dxa"/>
          </w:tcPr>
          <w:p w14:paraId="2508FEDF" w14:textId="77777777" w:rsidR="008E7846" w:rsidRPr="00487162" w:rsidRDefault="008E7846" w:rsidP="00E45619">
            <w:pPr>
              <w:rPr>
                <w:i/>
              </w:rPr>
            </w:pPr>
            <w:r w:rsidRPr="00487162">
              <w:rPr>
                <w:i/>
              </w:rPr>
              <w:t>Dosage:</w:t>
            </w:r>
          </w:p>
        </w:tc>
        <w:tc>
          <w:tcPr>
            <w:tcW w:w="6307" w:type="dxa"/>
          </w:tcPr>
          <w:p w14:paraId="652667A2" w14:textId="3D63CE5B" w:rsidR="008E7846" w:rsidRDefault="00212848" w:rsidP="00E45619">
            <w:pPr>
              <w:rPr>
                <w:b/>
              </w:rPr>
            </w:pPr>
            <w:r w:rsidRPr="00212848">
              <w:rPr>
                <w:b/>
              </w:rPr>
              <w:t>Adult</w:t>
            </w:r>
          </w:p>
          <w:p w14:paraId="38F05166" w14:textId="03866557" w:rsidR="00EC4B5C" w:rsidRPr="00212848" w:rsidRDefault="00EC4B5C" w:rsidP="00E45619">
            <w:pPr>
              <w:rPr>
                <w:b/>
              </w:rPr>
            </w:pPr>
            <w:r w:rsidRPr="00D8608E">
              <w:t>Treatment should be initiated by an ophthalmologist or appropriately qualified healthcare professional with expertise in the diagnosis, assessment and treatment of keratitis associated with dry eye disease</w:t>
            </w:r>
            <w:r>
              <w:t>.</w:t>
            </w:r>
          </w:p>
          <w:p w14:paraId="0D629BA7" w14:textId="77777777" w:rsidR="00212848" w:rsidRDefault="00212848" w:rsidP="00212848">
            <w:r>
              <w:t xml:space="preserve">The recommended dose is one drop of </w:t>
            </w:r>
            <w:proofErr w:type="spellStart"/>
            <w:r>
              <w:t>Ikervis</w:t>
            </w:r>
            <w:proofErr w:type="spellEnd"/>
            <w:r>
              <w:t xml:space="preserve"> once daily to be applied to the affected eye(s) at bedtime.</w:t>
            </w:r>
          </w:p>
          <w:p w14:paraId="1AFA1B6E" w14:textId="77777777" w:rsidR="00212848" w:rsidRDefault="00212848" w:rsidP="00212848">
            <w:r>
              <w:t>Response to treatment should be reassessed at least every 6 months.</w:t>
            </w:r>
          </w:p>
          <w:p w14:paraId="07FB0290" w14:textId="77777777" w:rsidR="00460036" w:rsidRPr="00487162" w:rsidRDefault="00460036" w:rsidP="00E45619">
            <w:r w:rsidRPr="00460036">
              <w:t>For further information regarding dosage, refer to the Product Information.</w:t>
            </w:r>
          </w:p>
        </w:tc>
      </w:tr>
      <w:tr w:rsidR="00460036" w:rsidRPr="00487162" w14:paraId="43B629AE" w14:textId="77777777" w:rsidTr="00BF1190">
        <w:tc>
          <w:tcPr>
            <w:tcW w:w="2907" w:type="dxa"/>
          </w:tcPr>
          <w:p w14:paraId="1E6FC2CD" w14:textId="77777777" w:rsidR="00460036" w:rsidRPr="00487162" w:rsidRDefault="00460036" w:rsidP="00E45619">
            <w:pPr>
              <w:rPr>
                <w:i/>
              </w:rPr>
            </w:pPr>
            <w:r w:rsidRPr="00460036">
              <w:rPr>
                <w:i/>
              </w:rPr>
              <w:t>Pregnancy category</w:t>
            </w:r>
            <w:r>
              <w:rPr>
                <w:i/>
              </w:rPr>
              <w:t>:</w:t>
            </w:r>
          </w:p>
        </w:tc>
        <w:tc>
          <w:tcPr>
            <w:tcW w:w="6307" w:type="dxa"/>
          </w:tcPr>
          <w:p w14:paraId="4090EEF1" w14:textId="77777777" w:rsidR="00460036" w:rsidRDefault="00212848" w:rsidP="00212848">
            <w:r>
              <w:t>C</w:t>
            </w:r>
          </w:p>
          <w:p w14:paraId="132B5D6F" w14:textId="77777777" w:rsidR="00212848" w:rsidRPr="00212848" w:rsidRDefault="00212848" w:rsidP="00212848">
            <w:r w:rsidRPr="00212848">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01AC228D"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E69C35E" w14:textId="77777777" w:rsidR="008E7846" w:rsidRDefault="008E7846" w:rsidP="008E7846">
      <w:pPr>
        <w:pStyle w:val="Heading3"/>
      </w:pPr>
      <w:bookmarkStart w:id="12" w:name="_Toc247691503"/>
      <w:bookmarkStart w:id="13" w:name="_Toc314842484"/>
      <w:bookmarkStart w:id="14" w:name="_Toc69733537"/>
      <w:r>
        <w:t>Product background</w:t>
      </w:r>
      <w:bookmarkEnd w:id="12"/>
      <w:bookmarkEnd w:id="13"/>
      <w:bookmarkEnd w:id="14"/>
    </w:p>
    <w:p w14:paraId="7A78BEBE" w14:textId="0595143D" w:rsidR="008E7846" w:rsidRDefault="00250271" w:rsidP="00940A89">
      <w:r>
        <w:t>This AusPA</w:t>
      </w:r>
      <w:r w:rsidR="00212848">
        <w:t xml:space="preserve">R describes the application by </w:t>
      </w:r>
      <w:proofErr w:type="spellStart"/>
      <w:r w:rsidR="00212848">
        <w:t>Seqirus</w:t>
      </w:r>
      <w:proofErr w:type="spellEnd"/>
      <w:r w:rsidR="00212848">
        <w:t xml:space="preserve"> Pty Ltd (the sponsor) to register </w:t>
      </w:r>
      <w:proofErr w:type="spellStart"/>
      <w:r w:rsidR="00212848">
        <w:t>Ikervis</w:t>
      </w:r>
      <w:proofErr w:type="spellEnd"/>
      <w:r w:rsidR="00212848">
        <w:t xml:space="preserve"> </w:t>
      </w:r>
      <w:r>
        <w:t>(</w:t>
      </w:r>
      <w:r w:rsidR="00212848">
        <w:t>ciclosporin</w:t>
      </w:r>
      <w:r>
        <w:t xml:space="preserve">) </w:t>
      </w:r>
      <w:r w:rsidR="0061367F">
        <w:t>1</w:t>
      </w:r>
      <w:r w:rsidR="00B6163E">
        <w:t> </w:t>
      </w:r>
      <w:r w:rsidR="0061367F">
        <w:t>mg/mL</w:t>
      </w:r>
      <w:r>
        <w:t xml:space="preserve">, </w:t>
      </w:r>
      <w:r w:rsidR="00D81D36">
        <w:t>eye drop</w:t>
      </w:r>
      <w:r w:rsidR="00246EA3">
        <w:t>s</w:t>
      </w:r>
      <w:r w:rsidR="00D81D36">
        <w:t xml:space="preserve">, </w:t>
      </w:r>
      <w:r w:rsidR="00212848">
        <w:t>emulsion</w:t>
      </w:r>
      <w:r>
        <w:t xml:space="preserve"> for the following proposed extension of indications</w:t>
      </w:r>
      <w:r w:rsidR="00CF5DAD">
        <w:t>:</w:t>
      </w:r>
    </w:p>
    <w:p w14:paraId="053A77D0" w14:textId="77777777" w:rsidR="00212848" w:rsidRPr="00212848" w:rsidRDefault="00212848" w:rsidP="00212848">
      <w:pPr>
        <w:ind w:left="720"/>
        <w:rPr>
          <w:i/>
        </w:rPr>
      </w:pPr>
      <w:proofErr w:type="spellStart"/>
      <w:r w:rsidRPr="00212848">
        <w:rPr>
          <w:i/>
        </w:rPr>
        <w:t>Ikervis</w:t>
      </w:r>
      <w:proofErr w:type="spellEnd"/>
      <w:r w:rsidRPr="00212848">
        <w:rPr>
          <w:i/>
        </w:rPr>
        <w:t xml:space="preserve"> is indicated for the treatment of dry eye</w:t>
      </w:r>
      <w:r>
        <w:rPr>
          <w:i/>
        </w:rPr>
        <w:t xml:space="preserve"> disease in adult patients with </w:t>
      </w:r>
      <w:r w:rsidRPr="00212848">
        <w:rPr>
          <w:i/>
        </w:rPr>
        <w:t>keratitis</w:t>
      </w:r>
      <w:r>
        <w:rPr>
          <w:i/>
        </w:rPr>
        <w:t>.</w:t>
      </w:r>
    </w:p>
    <w:p w14:paraId="2F13128C" w14:textId="77777777" w:rsidR="00877776" w:rsidRDefault="00877776" w:rsidP="00877776">
      <w:r>
        <w:t>Dry eye disease (DED), or keratoconjunctivitis sicca (KCS), is a multifactorial disease of the ocular surface with loss of homeostasis of the tear film and ocular symptoms. Tear film instability and hyperosmolarity, ocular surface inflammation and damage, and neurosensory abnormalities play aetiological roles in the condition. Patients generally present with chronic eye irritation with mild to moderate discomfort. There is a recognised lack of correlation between the patient’s symptoms and the clinical signs, which may be due to decreased corneal sensitivity.</w:t>
      </w:r>
    </w:p>
    <w:p w14:paraId="09BB503E" w14:textId="0A12C5A5" w:rsidR="00877776" w:rsidRDefault="00877776" w:rsidP="00877776">
      <w:r>
        <w:t>Lubricants (or artificial tears) are the mainstay of treatment of DED, and many are available over</w:t>
      </w:r>
      <w:r w:rsidR="005151C2">
        <w:t xml:space="preserve"> </w:t>
      </w:r>
      <w:r>
        <w:t>the</w:t>
      </w:r>
      <w:r w:rsidR="005151C2">
        <w:t xml:space="preserve"> </w:t>
      </w:r>
      <w:r>
        <w:t>counter. Artificial tear products aim to alleviate symptoms by replacing or retaining moisture on the ocular surface. Many contain demulcents, which are polymers added to the formulation to enhance lubrication. Artificial tear formulations provide only short-term relief, requiring frequent dosing throughout the day and they are of limited effectiveness on corneal damage, as they do not target the inflammation or underlying pathophysiol</w:t>
      </w:r>
      <w:r w:rsidR="00F92170">
        <w:t>ogy associated with DED</w:t>
      </w:r>
      <w:r>
        <w:t>.</w:t>
      </w:r>
      <w:r w:rsidR="00F92170">
        <w:rPr>
          <w:rStyle w:val="FootnoteReference"/>
        </w:rPr>
        <w:footnoteReference w:id="3"/>
      </w:r>
    </w:p>
    <w:p w14:paraId="66A9CD07" w14:textId="7C15FF7E" w:rsidR="00525ADC" w:rsidRDefault="00877776" w:rsidP="00877776">
      <w:r>
        <w:t>Treatment with topical ophthalmic ciclosporin and formulations from 0.05% to 2% have be</w:t>
      </w:r>
      <w:r w:rsidR="0061367F">
        <w:t>en reported. Restasis</w:t>
      </w:r>
      <w:r>
        <w:t xml:space="preserve">, a 0.05% ciclosporin ophthalmic </w:t>
      </w:r>
      <w:r w:rsidR="0061367F">
        <w:t>emulsion, was approved in the United States of America (USA)</w:t>
      </w:r>
      <w:r>
        <w:t xml:space="preserve"> in 2003 for the following indication:</w:t>
      </w:r>
    </w:p>
    <w:p w14:paraId="4213A13A" w14:textId="0AFA65A9" w:rsidR="00525ADC" w:rsidRPr="002575F0" w:rsidRDefault="00525ADC" w:rsidP="00877776">
      <w:pPr>
        <w:rPr>
          <w:i/>
        </w:rPr>
      </w:pPr>
      <w:r>
        <w:rPr>
          <w:i/>
        </w:rPr>
        <w:t>‘…</w:t>
      </w:r>
      <w:r w:rsidR="00877776" w:rsidRPr="002575F0">
        <w:rPr>
          <w:i/>
        </w:rPr>
        <w:t xml:space="preserve">to increase tear production in patients whose tear production is presumed to be suppressed due to ocular inflammation associated with </w:t>
      </w:r>
      <w:r w:rsidR="0061367F" w:rsidRPr="002575F0">
        <w:rPr>
          <w:i/>
        </w:rPr>
        <w:t>KCS</w:t>
      </w:r>
      <w:r w:rsidR="00877776" w:rsidRPr="002575F0">
        <w:rPr>
          <w:i/>
        </w:rPr>
        <w:t>.</w:t>
      </w:r>
      <w:r>
        <w:rPr>
          <w:i/>
        </w:rPr>
        <w:t>’</w:t>
      </w:r>
    </w:p>
    <w:p w14:paraId="720203A8" w14:textId="159BC0D8" w:rsidR="00877776" w:rsidRDefault="00877776" w:rsidP="00877776">
      <w:r>
        <w:t>Increased tear production was not seen in patients currently taking topical anti</w:t>
      </w:r>
      <w:r w:rsidR="00525ADC">
        <w:noBreakHyphen/>
      </w:r>
      <w:r>
        <w:t xml:space="preserve">inflammatory drugs or using </w:t>
      </w:r>
      <w:proofErr w:type="spellStart"/>
      <w:r>
        <w:t>punctal</w:t>
      </w:r>
      <w:proofErr w:type="spellEnd"/>
      <w:r>
        <w:t xml:space="preserve"> plugs. Restasis was submitted in Australia in 2000 and again in 2011. The sponsor subsequently withdrew the application. Restasis is available via the Authorised Prescriber or Special Access Schemes.</w:t>
      </w:r>
      <w:r w:rsidR="0061367F">
        <w:rPr>
          <w:rStyle w:val="FootnoteReference"/>
        </w:rPr>
        <w:footnoteReference w:id="4"/>
      </w:r>
    </w:p>
    <w:p w14:paraId="52533985" w14:textId="699EABA5" w:rsidR="00877776" w:rsidRDefault="00877776" w:rsidP="00877776">
      <w:r>
        <w:t>The integri</w:t>
      </w:r>
      <w:r w:rsidR="0061367F">
        <w:t xml:space="preserve">n antagonist, lifitegrast 5.0%, </w:t>
      </w:r>
      <w:r w:rsidR="00525ADC">
        <w:t xml:space="preserve">as </w:t>
      </w:r>
      <w:r w:rsidR="0061367F">
        <w:t>Xiidra;</w:t>
      </w:r>
      <w:bookmarkStart w:id="15" w:name="_Ref64622492"/>
      <w:r w:rsidR="0061367F">
        <w:rPr>
          <w:rStyle w:val="FootnoteReference"/>
        </w:rPr>
        <w:footnoteReference w:id="5"/>
      </w:r>
      <w:bookmarkEnd w:id="15"/>
      <w:r>
        <w:t xml:space="preserve"> was listed on the ARTG in January</w:t>
      </w:r>
      <w:r w:rsidR="00525ADC">
        <w:t> </w:t>
      </w:r>
      <w:r>
        <w:t>2019. This topical eye drop preparation is used twice a day and is indicated for the treatment of moderate to severe dry eye disease in adults for whom prior use of artificial tears has not been sufficient.</w:t>
      </w:r>
    </w:p>
    <w:p w14:paraId="781AF03E" w14:textId="25ECA385" w:rsidR="00525ADC" w:rsidRDefault="00557B5B" w:rsidP="00877776">
      <w:r>
        <w:t>The ciclosporin 900 </w:t>
      </w:r>
      <w:r w:rsidR="00877776">
        <w:t xml:space="preserve">microgram/mL eye drops </w:t>
      </w:r>
      <w:r w:rsidR="00525ADC">
        <w:t xml:space="preserve">product, </w:t>
      </w:r>
      <w:r w:rsidR="00877776">
        <w:t>Cequa</w:t>
      </w:r>
      <w:r w:rsidR="00525ADC">
        <w:t>;</w:t>
      </w:r>
      <w:bookmarkStart w:id="16" w:name="_Ref64622501"/>
      <w:r>
        <w:rPr>
          <w:rStyle w:val="FootnoteReference"/>
        </w:rPr>
        <w:footnoteReference w:id="6"/>
      </w:r>
      <w:bookmarkEnd w:id="16"/>
      <w:r w:rsidR="00877776">
        <w:t xml:space="preserve"> wa</w:t>
      </w:r>
      <w:r>
        <w:t>s listed on the ARTG in January </w:t>
      </w:r>
      <w:r w:rsidR="00877776">
        <w:t xml:space="preserve">2020. </w:t>
      </w:r>
      <w:r w:rsidR="00472591" w:rsidRPr="00472591">
        <w:t xml:space="preserve">This topical eye drop preparation is used twice a day </w:t>
      </w:r>
      <w:r w:rsidR="00472591">
        <w:t>and has t</w:t>
      </w:r>
      <w:r w:rsidR="00877776">
        <w:t>he approved indication</w:t>
      </w:r>
      <w:r w:rsidR="00472591">
        <w:t>:</w:t>
      </w:r>
      <w:r w:rsidR="00877776">
        <w:t xml:space="preserve"> </w:t>
      </w:r>
    </w:p>
    <w:p w14:paraId="5DD275F6" w14:textId="34C99A50" w:rsidR="00877776" w:rsidRDefault="00877776" w:rsidP="00877776">
      <w:r>
        <w:t>‘</w:t>
      </w:r>
      <w:r w:rsidRPr="00877776">
        <w:rPr>
          <w:i/>
        </w:rPr>
        <w:t>C</w:t>
      </w:r>
      <w:r>
        <w:rPr>
          <w:i/>
        </w:rPr>
        <w:t>equa</w:t>
      </w:r>
      <w:r w:rsidRPr="00877776">
        <w:rPr>
          <w:i/>
        </w:rPr>
        <w:t xml:space="preserve"> is indicated to increase tear production in patients with moderate to severe keratoconjunctivitis sicca (dry eye) where prior use of artificial tears has not been sufficient</w:t>
      </w:r>
      <w:r>
        <w:t>’.</w:t>
      </w:r>
    </w:p>
    <w:p w14:paraId="6E04459E" w14:textId="77777777" w:rsidR="00877776" w:rsidRDefault="00877776" w:rsidP="00877776">
      <w:r>
        <w:t>Low dose topical corticosteroids are used on a short term basis but cannot be used long term due to the adverse effects of glaucoma, cataracts and infection risk. Other potential treatments include topical antibiotics, tear duct or punctual plugs and moisture chamber glasses.</w:t>
      </w:r>
    </w:p>
    <w:p w14:paraId="34EFA3C7" w14:textId="3A38FAD0" w:rsidR="00877776" w:rsidRDefault="00877776" w:rsidP="00877776">
      <w:r>
        <w:t>Ciclosporin (</w:t>
      </w:r>
      <w:proofErr w:type="spellStart"/>
      <w:r>
        <w:t>CsA</w:t>
      </w:r>
      <w:proofErr w:type="spellEnd"/>
      <w:r>
        <w:t>) is registered in Australia in injectable and oral dosage forms (</w:t>
      </w:r>
      <w:proofErr w:type="spellStart"/>
      <w:r>
        <w:t>Neoral</w:t>
      </w:r>
      <w:proofErr w:type="spellEnd"/>
      <w:r>
        <w:t>,</w:t>
      </w:r>
      <w:r w:rsidR="00557B5B">
        <w:rPr>
          <w:rStyle w:val="FootnoteReference"/>
        </w:rPr>
        <w:footnoteReference w:id="7"/>
      </w:r>
      <w:r>
        <w:t xml:space="preserve"> </w:t>
      </w:r>
      <w:proofErr w:type="spellStart"/>
      <w:r>
        <w:t>Sandimmun</w:t>
      </w:r>
      <w:proofErr w:type="spellEnd"/>
      <w:r>
        <w:t>,</w:t>
      </w:r>
      <w:r w:rsidR="00557B5B">
        <w:rPr>
          <w:rStyle w:val="FootnoteReference"/>
        </w:rPr>
        <w:footnoteReference w:id="8"/>
      </w:r>
      <w:r>
        <w:t xml:space="preserve"> Cyclosporin Sandoz</w:t>
      </w:r>
      <w:r w:rsidR="00557B5B">
        <w:t>;</w:t>
      </w:r>
      <w:r w:rsidR="00557B5B">
        <w:rPr>
          <w:rStyle w:val="FootnoteReference"/>
        </w:rPr>
        <w:footnoteReference w:id="9"/>
      </w:r>
      <w:r>
        <w:t>). It is a systemic immunosuppressant and used in the prevention of graft rejection following transplantation and in the treatment of various immune diseases such as rheumatoid arthritis. The rationale</w:t>
      </w:r>
      <w:r w:rsidR="0058250E">
        <w:t xml:space="preserve"> for the use of ciclosporin in DED</w:t>
      </w:r>
      <w:r>
        <w:t xml:space="preserve"> is that its immunosuppressive effects could counter the inflammation that may be involved in the pathogenesis of the eye surface damage. The sponsor states that </w:t>
      </w:r>
      <w:proofErr w:type="spellStart"/>
      <w:r>
        <w:t>I</w:t>
      </w:r>
      <w:r w:rsidR="0058250E">
        <w:t>kervis</w:t>
      </w:r>
      <w:proofErr w:type="spellEnd"/>
      <w:r>
        <w:t xml:space="preserve"> combines the anti-inflammatory effect of ciclosporin 0.1% with an innovative cationic</w:t>
      </w:r>
      <w:r w:rsidR="0058250E">
        <w:t xml:space="preserve"> emulsion formulation (</w:t>
      </w:r>
      <w:proofErr w:type="spellStart"/>
      <w:r w:rsidR="0058250E">
        <w:t>Novasorb</w:t>
      </w:r>
      <w:proofErr w:type="spellEnd"/>
      <w:r>
        <w:t xml:space="preserve"> technology) to effecti</w:t>
      </w:r>
      <w:r w:rsidR="005151C2">
        <w:t xml:space="preserve">vely deliver the drug with once </w:t>
      </w:r>
      <w:r>
        <w:t xml:space="preserve">daily dosing for the treatment of dry </w:t>
      </w:r>
      <w:r w:rsidR="0058250E">
        <w:t>eye in patients with keratitis.</w:t>
      </w:r>
    </w:p>
    <w:p w14:paraId="686AD9FD" w14:textId="77777777" w:rsidR="008E7846" w:rsidRPr="003F31A2" w:rsidRDefault="00386150" w:rsidP="008E7846">
      <w:pPr>
        <w:pStyle w:val="Heading3"/>
      </w:pPr>
      <w:bookmarkStart w:id="17" w:name="_Toc314842485"/>
      <w:bookmarkStart w:id="18" w:name="_Toc247691504"/>
      <w:bookmarkStart w:id="19" w:name="_Toc69733538"/>
      <w:r>
        <w:t>Regulatory s</w:t>
      </w:r>
      <w:r w:rsidR="008E7846">
        <w:t>tatus</w:t>
      </w:r>
      <w:bookmarkEnd w:id="17"/>
      <w:bookmarkEnd w:id="18"/>
      <w:bookmarkEnd w:id="19"/>
    </w:p>
    <w:p w14:paraId="4E4085E8" w14:textId="23F38903" w:rsidR="00C43A1D" w:rsidRDefault="002B62C3" w:rsidP="00C43A1D">
      <w:bookmarkStart w:id="20" w:name="_Toc247691505"/>
      <w:bookmarkStart w:id="21" w:name="_Toc314842486"/>
      <w:r>
        <w:t xml:space="preserve">Various presentations of ciclosporin have been registered on the </w:t>
      </w:r>
      <w:r w:rsidRPr="00940A89">
        <w:t>Australian Register of Therapeutic Goods (ARTG)</w:t>
      </w:r>
      <w:r>
        <w:t xml:space="preserve"> since the 1990’s. </w:t>
      </w:r>
      <w:proofErr w:type="spellStart"/>
      <w:r>
        <w:rPr>
          <w:rFonts w:eastAsiaTheme="minorHAnsi" w:cs="Cambria"/>
        </w:rPr>
        <w:t>Ikervis</w:t>
      </w:r>
      <w:proofErr w:type="spellEnd"/>
      <w:r>
        <w:rPr>
          <w:rFonts w:eastAsiaTheme="minorHAnsi" w:cs="Cambria"/>
        </w:rPr>
        <w:t xml:space="preserve"> (ciclosporin) 1</w:t>
      </w:r>
      <w:r w:rsidR="00557B5B">
        <w:rPr>
          <w:rFonts w:eastAsiaTheme="minorHAnsi" w:cs="Cambria"/>
        </w:rPr>
        <w:t> </w:t>
      </w:r>
      <w:r>
        <w:rPr>
          <w:rFonts w:eastAsiaTheme="minorHAnsi" w:cs="Cambria"/>
        </w:rPr>
        <w:t>mg/mL eye drops emulsion</w:t>
      </w:r>
      <w:r>
        <w:t xml:space="preserve"> is considered a new strength and</w:t>
      </w:r>
      <w:r w:rsidRPr="00B61E64">
        <w:t xml:space="preserve"> new dose form </w:t>
      </w:r>
      <w:r>
        <w:t xml:space="preserve">of </w:t>
      </w:r>
      <w:r w:rsidRPr="00B61E64">
        <w:t>ciclosporin</w:t>
      </w:r>
      <w:r>
        <w:t xml:space="preserve"> for Australian regulatory purposes and was evaluated as an extension of indications application.</w:t>
      </w:r>
    </w:p>
    <w:p w14:paraId="1C5E0287" w14:textId="3C771D74" w:rsidR="00006FAB" w:rsidRDefault="00006FAB" w:rsidP="00006FAB">
      <w:r>
        <w:t xml:space="preserve">At the time the TGA considered this application, a similar application had been approved in </w:t>
      </w:r>
      <w:r w:rsidR="00ED1726">
        <w:t>European Union (EU) on 19 March 2015, Switzerland on 8 September 2016, and Singapore on 20 April 2017</w:t>
      </w:r>
      <w:r w:rsidR="00521F4C">
        <w:t>, amongst others</w:t>
      </w:r>
      <w:r w:rsidR="00ED1726">
        <w:t xml:space="preserve">. </w:t>
      </w:r>
      <w:r w:rsidR="00525ADC">
        <w:t xml:space="preserve">The </w:t>
      </w:r>
      <w:proofErr w:type="spellStart"/>
      <w:r w:rsidR="00ED1726">
        <w:t>Ikervis</w:t>
      </w:r>
      <w:proofErr w:type="spellEnd"/>
      <w:r w:rsidR="00ED1726">
        <w:t xml:space="preserve"> application was </w:t>
      </w:r>
      <w:r w:rsidR="00CA65E7">
        <w:t xml:space="preserve">withdrawn </w:t>
      </w:r>
      <w:r w:rsidR="00ED1726">
        <w:t>from Canada in</w:t>
      </w:r>
      <w:r w:rsidR="008562E5">
        <w:t>2018</w:t>
      </w:r>
      <w:r w:rsidR="00ED1726">
        <w:t>.</w:t>
      </w:r>
      <w:r w:rsidR="008562E5">
        <w:rPr>
          <w:rStyle w:val="FootnoteReference"/>
        </w:rPr>
        <w:footnoteReference w:id="10"/>
      </w:r>
    </w:p>
    <w:p w14:paraId="478B8701" w14:textId="406B2A8D" w:rsidR="00EF0E6D" w:rsidRDefault="00EF0E6D" w:rsidP="002575F0">
      <w:pPr>
        <w:pStyle w:val="TableTitle"/>
      </w:pPr>
      <w:r w:rsidRPr="00EF0E6D">
        <w:t xml:space="preserve">Table </w:t>
      </w:r>
      <w:r w:rsidR="00F97DF4">
        <w:fldChar w:fldCharType="begin"/>
      </w:r>
      <w:r w:rsidR="00F97DF4">
        <w:instrText xml:space="preserve"> SEQ Ta</w:instrText>
      </w:r>
      <w:r w:rsidR="00F97DF4">
        <w:instrText xml:space="preserve">ble \* ARABIC </w:instrText>
      </w:r>
      <w:r w:rsidR="00F97DF4">
        <w:fldChar w:fldCharType="separate"/>
      </w:r>
      <w:r w:rsidR="00DB1D88">
        <w:rPr>
          <w:noProof/>
        </w:rPr>
        <w:t>1</w:t>
      </w:r>
      <w:r w:rsidR="00F97DF4">
        <w:rPr>
          <w:noProof/>
        </w:rPr>
        <w:fldChar w:fldCharType="end"/>
      </w:r>
      <w:r>
        <w:t>: International regulatory status of selected countries</w:t>
      </w:r>
    </w:p>
    <w:tbl>
      <w:tblPr>
        <w:tblStyle w:val="TableTGAblue"/>
        <w:tblW w:w="0" w:type="auto"/>
        <w:tblLayout w:type="fixed"/>
        <w:tblLook w:val="04A0" w:firstRow="1" w:lastRow="0" w:firstColumn="1" w:lastColumn="0" w:noHBand="0" w:noVBand="1"/>
      </w:tblPr>
      <w:tblGrid>
        <w:gridCol w:w="1795"/>
        <w:gridCol w:w="2070"/>
        <w:gridCol w:w="2070"/>
        <w:gridCol w:w="2559"/>
      </w:tblGrid>
      <w:tr w:rsidR="00EF0E6D" w14:paraId="54F3CA16" w14:textId="77777777" w:rsidTr="002575F0">
        <w:trPr>
          <w:cnfStyle w:val="100000000000" w:firstRow="1" w:lastRow="0" w:firstColumn="0" w:lastColumn="0" w:oddVBand="0" w:evenVBand="0" w:oddHBand="0" w:evenHBand="0" w:firstRowFirstColumn="0" w:firstRowLastColumn="0" w:lastRowFirstColumn="0" w:lastRowLastColumn="0"/>
        </w:trPr>
        <w:tc>
          <w:tcPr>
            <w:tcW w:w="1795" w:type="dxa"/>
            <w:tcBorders>
              <w:top w:val="single" w:sz="4" w:space="0" w:color="auto"/>
              <w:left w:val="single" w:sz="4" w:space="0" w:color="auto"/>
              <w:bottom w:val="single" w:sz="4" w:space="0" w:color="auto"/>
              <w:right w:val="single" w:sz="4" w:space="0" w:color="auto"/>
            </w:tcBorders>
          </w:tcPr>
          <w:p w14:paraId="1EBCE58D" w14:textId="77777777" w:rsidR="00EF0E6D" w:rsidRDefault="00EF0E6D" w:rsidP="008655D9">
            <w:pPr>
              <w:ind w:left="0" w:right="0"/>
            </w:pPr>
            <w:r>
              <w:t>Region</w:t>
            </w:r>
          </w:p>
        </w:tc>
        <w:tc>
          <w:tcPr>
            <w:tcW w:w="2070" w:type="dxa"/>
            <w:tcBorders>
              <w:top w:val="single" w:sz="4" w:space="0" w:color="auto"/>
              <w:left w:val="single" w:sz="4" w:space="0" w:color="auto"/>
              <w:bottom w:val="single" w:sz="4" w:space="0" w:color="auto"/>
              <w:right w:val="single" w:sz="4" w:space="0" w:color="auto"/>
            </w:tcBorders>
          </w:tcPr>
          <w:p w14:paraId="4FBF0373" w14:textId="78E6BFAF" w:rsidR="00EF0E6D" w:rsidRPr="002575F0" w:rsidRDefault="00EF0E6D" w:rsidP="008655D9">
            <w:pPr>
              <w:ind w:left="0" w:right="0"/>
              <w:rPr>
                <w:vertAlign w:val="superscript"/>
              </w:rPr>
            </w:pPr>
            <w:r>
              <w:t>Submission date</w:t>
            </w:r>
            <w:r w:rsidR="00365D7A">
              <w:rPr>
                <w:vertAlign w:val="superscript"/>
              </w:rPr>
              <w:t>*</w:t>
            </w:r>
          </w:p>
        </w:tc>
        <w:tc>
          <w:tcPr>
            <w:tcW w:w="2070" w:type="dxa"/>
            <w:tcBorders>
              <w:top w:val="single" w:sz="4" w:space="0" w:color="auto"/>
              <w:left w:val="single" w:sz="4" w:space="0" w:color="auto"/>
              <w:bottom w:val="single" w:sz="4" w:space="0" w:color="auto"/>
              <w:right w:val="single" w:sz="4" w:space="0" w:color="auto"/>
            </w:tcBorders>
          </w:tcPr>
          <w:p w14:paraId="6DF43994" w14:textId="77777777" w:rsidR="00EF0E6D" w:rsidRDefault="00EF0E6D" w:rsidP="008655D9">
            <w:pPr>
              <w:ind w:left="0" w:right="0"/>
            </w:pPr>
            <w:r>
              <w:t>Status</w:t>
            </w:r>
          </w:p>
        </w:tc>
        <w:tc>
          <w:tcPr>
            <w:tcW w:w="2559" w:type="dxa"/>
            <w:tcBorders>
              <w:top w:val="single" w:sz="4" w:space="0" w:color="auto"/>
              <w:left w:val="single" w:sz="4" w:space="0" w:color="auto"/>
              <w:bottom w:val="single" w:sz="4" w:space="0" w:color="auto"/>
              <w:right w:val="single" w:sz="4" w:space="0" w:color="auto"/>
            </w:tcBorders>
          </w:tcPr>
          <w:p w14:paraId="4D51C4B2" w14:textId="77777777" w:rsidR="00EF0E6D" w:rsidRDefault="00EF0E6D" w:rsidP="008655D9">
            <w:pPr>
              <w:ind w:left="0" w:right="0"/>
            </w:pPr>
            <w:r>
              <w:t>Approved indications</w:t>
            </w:r>
          </w:p>
        </w:tc>
      </w:tr>
      <w:tr w:rsidR="00EF0E6D" w14:paraId="310A2EF9" w14:textId="77777777" w:rsidTr="002575F0">
        <w:tc>
          <w:tcPr>
            <w:tcW w:w="1795" w:type="dxa"/>
            <w:tcBorders>
              <w:top w:val="single" w:sz="4" w:space="0" w:color="auto"/>
            </w:tcBorders>
          </w:tcPr>
          <w:p w14:paraId="3E58426B" w14:textId="1BDDC9D8" w:rsidR="00EF0E6D" w:rsidRDefault="00EF0E6D" w:rsidP="006B59B5">
            <w:pPr>
              <w:ind w:left="0" w:right="0"/>
            </w:pPr>
            <w:r>
              <w:t>European Union</w:t>
            </w:r>
            <w:r w:rsidR="006B59B5">
              <w:t xml:space="preserve"> </w:t>
            </w:r>
            <w:r>
              <w:t>via European centralised procedure</w:t>
            </w:r>
          </w:p>
        </w:tc>
        <w:tc>
          <w:tcPr>
            <w:tcW w:w="2070" w:type="dxa"/>
            <w:tcBorders>
              <w:top w:val="single" w:sz="4" w:space="0" w:color="auto"/>
            </w:tcBorders>
          </w:tcPr>
          <w:p w14:paraId="5AF8D24B" w14:textId="77777777" w:rsidR="00EF0E6D" w:rsidRDefault="00EF0E6D" w:rsidP="008655D9">
            <w:pPr>
              <w:ind w:left="0" w:right="0"/>
            </w:pPr>
          </w:p>
        </w:tc>
        <w:tc>
          <w:tcPr>
            <w:tcW w:w="2070" w:type="dxa"/>
            <w:tcBorders>
              <w:top w:val="single" w:sz="4" w:space="0" w:color="auto"/>
            </w:tcBorders>
          </w:tcPr>
          <w:p w14:paraId="16A875C5" w14:textId="3C51C0AB" w:rsidR="00EF0E6D" w:rsidRDefault="00EF0E6D" w:rsidP="008655D9">
            <w:pPr>
              <w:ind w:left="0" w:right="0"/>
            </w:pPr>
            <w:r>
              <w:t>Marketing authorisation granted on 19</w:t>
            </w:r>
            <w:r w:rsidR="00365D7A">
              <w:t> </w:t>
            </w:r>
            <w:r>
              <w:t>March 2015</w:t>
            </w:r>
          </w:p>
        </w:tc>
        <w:tc>
          <w:tcPr>
            <w:tcW w:w="2559" w:type="dxa"/>
            <w:tcBorders>
              <w:top w:val="single" w:sz="4" w:space="0" w:color="auto"/>
            </w:tcBorders>
          </w:tcPr>
          <w:p w14:paraId="57BAB6F8" w14:textId="77777777" w:rsidR="00EF0E6D" w:rsidRPr="002575F0" w:rsidRDefault="00EF0E6D" w:rsidP="008655D9">
            <w:pPr>
              <w:ind w:left="0"/>
              <w:rPr>
                <w:i/>
              </w:rPr>
            </w:pPr>
            <w:r w:rsidRPr="002575F0">
              <w:rPr>
                <w:i/>
              </w:rPr>
              <w:t>Treatment of severe keratitis in adult patients with dry eye disease, which has not improved despite treatment with tear substitutes</w:t>
            </w:r>
          </w:p>
        </w:tc>
      </w:tr>
      <w:tr w:rsidR="00EF0E6D" w14:paraId="17E2C6E1" w14:textId="77777777" w:rsidTr="002575F0">
        <w:tc>
          <w:tcPr>
            <w:tcW w:w="1795" w:type="dxa"/>
          </w:tcPr>
          <w:p w14:paraId="6EB8C8FE" w14:textId="77777777" w:rsidR="00EF0E6D" w:rsidRDefault="00EF0E6D" w:rsidP="008655D9">
            <w:pPr>
              <w:ind w:left="0" w:right="0"/>
            </w:pPr>
            <w:r>
              <w:t>Switzerland</w:t>
            </w:r>
          </w:p>
        </w:tc>
        <w:tc>
          <w:tcPr>
            <w:tcW w:w="2070" w:type="dxa"/>
          </w:tcPr>
          <w:p w14:paraId="42039D80" w14:textId="77777777" w:rsidR="00EF0E6D" w:rsidRDefault="00EF0E6D" w:rsidP="008655D9">
            <w:pPr>
              <w:ind w:left="0" w:right="0"/>
            </w:pPr>
          </w:p>
        </w:tc>
        <w:tc>
          <w:tcPr>
            <w:tcW w:w="2070" w:type="dxa"/>
          </w:tcPr>
          <w:p w14:paraId="1FBE20A0" w14:textId="454E29CE" w:rsidR="00EF0E6D" w:rsidRDefault="00EF0E6D" w:rsidP="008655D9">
            <w:pPr>
              <w:ind w:left="0" w:right="0"/>
            </w:pPr>
            <w:r>
              <w:t>Marketing authorisation granted on 8</w:t>
            </w:r>
            <w:r w:rsidR="00365D7A">
              <w:t> </w:t>
            </w:r>
            <w:r>
              <w:t>September 2016</w:t>
            </w:r>
          </w:p>
        </w:tc>
        <w:tc>
          <w:tcPr>
            <w:tcW w:w="2559" w:type="dxa"/>
          </w:tcPr>
          <w:p w14:paraId="5BF66DE5" w14:textId="77777777" w:rsidR="00EF0E6D" w:rsidRPr="002575F0" w:rsidRDefault="00EF0E6D" w:rsidP="008655D9">
            <w:pPr>
              <w:ind w:left="0" w:right="0"/>
              <w:rPr>
                <w:i/>
              </w:rPr>
            </w:pPr>
            <w:r w:rsidRPr="002575F0">
              <w:rPr>
                <w:i/>
              </w:rPr>
              <w:t>Treatment of severe keratitis in adult patients with dry eye disease, which has not improved despite treatment with tear substitutes</w:t>
            </w:r>
          </w:p>
        </w:tc>
      </w:tr>
      <w:tr w:rsidR="00EF0E6D" w14:paraId="7525A8BE" w14:textId="77777777" w:rsidTr="002575F0">
        <w:tc>
          <w:tcPr>
            <w:tcW w:w="1795" w:type="dxa"/>
          </w:tcPr>
          <w:p w14:paraId="71F473A9" w14:textId="77777777" w:rsidR="00EF0E6D" w:rsidRDefault="00EF0E6D" w:rsidP="008655D9">
            <w:pPr>
              <w:ind w:left="0"/>
            </w:pPr>
            <w:r>
              <w:t>Canada</w:t>
            </w:r>
          </w:p>
        </w:tc>
        <w:tc>
          <w:tcPr>
            <w:tcW w:w="2070" w:type="dxa"/>
          </w:tcPr>
          <w:p w14:paraId="4A061700" w14:textId="26684400" w:rsidR="00EF0E6D" w:rsidRDefault="00EF0E6D" w:rsidP="008655D9">
            <w:pPr>
              <w:ind w:left="0"/>
            </w:pPr>
          </w:p>
        </w:tc>
        <w:tc>
          <w:tcPr>
            <w:tcW w:w="2070" w:type="dxa"/>
          </w:tcPr>
          <w:p w14:paraId="66AD3789" w14:textId="77777777" w:rsidR="00EF0E6D" w:rsidRPr="00006FAB" w:rsidRDefault="00EF0E6D" w:rsidP="008655D9">
            <w:pPr>
              <w:ind w:left="0"/>
            </w:pPr>
            <w:r>
              <w:t>Withdrawn</w:t>
            </w:r>
          </w:p>
        </w:tc>
        <w:tc>
          <w:tcPr>
            <w:tcW w:w="2559" w:type="dxa"/>
          </w:tcPr>
          <w:p w14:paraId="1E386920" w14:textId="77777777" w:rsidR="00EF0E6D" w:rsidRPr="00365D7A" w:rsidRDefault="00EF0E6D" w:rsidP="008655D9">
            <w:pPr>
              <w:ind w:left="0"/>
            </w:pPr>
            <w:r w:rsidRPr="00365D7A">
              <w:t>Not applicable</w:t>
            </w:r>
          </w:p>
        </w:tc>
      </w:tr>
      <w:tr w:rsidR="00EF0E6D" w14:paraId="2C91FE9F" w14:textId="77777777" w:rsidTr="002575F0">
        <w:tc>
          <w:tcPr>
            <w:tcW w:w="1795" w:type="dxa"/>
          </w:tcPr>
          <w:p w14:paraId="7A5DB85C" w14:textId="77777777" w:rsidR="00EF0E6D" w:rsidRDefault="00EF0E6D" w:rsidP="00CB3042">
            <w:pPr>
              <w:ind w:left="0"/>
            </w:pPr>
            <w:r>
              <w:t>Singapore</w:t>
            </w:r>
          </w:p>
        </w:tc>
        <w:tc>
          <w:tcPr>
            <w:tcW w:w="2070" w:type="dxa"/>
          </w:tcPr>
          <w:p w14:paraId="78768AC5" w14:textId="77777777" w:rsidR="00EF0E6D" w:rsidRDefault="00EF0E6D" w:rsidP="002575F0">
            <w:pPr>
              <w:ind w:left="0"/>
            </w:pPr>
          </w:p>
        </w:tc>
        <w:tc>
          <w:tcPr>
            <w:tcW w:w="2070" w:type="dxa"/>
          </w:tcPr>
          <w:p w14:paraId="76B69063" w14:textId="77777777" w:rsidR="00EF0E6D" w:rsidRDefault="00EF0E6D" w:rsidP="00CB3042">
            <w:pPr>
              <w:ind w:left="0"/>
            </w:pPr>
            <w:r>
              <w:t>Marketing authorisation for DED granted on 20 April 2017</w:t>
            </w:r>
          </w:p>
          <w:p w14:paraId="399FC87F" w14:textId="3DD46B99" w:rsidR="00EF0E6D" w:rsidRPr="00006FAB" w:rsidRDefault="00EF0E6D" w:rsidP="00CB3042">
            <w:pPr>
              <w:ind w:left="0"/>
            </w:pPr>
            <w:r>
              <w:t>Marketing authorisation for VKC granted on 9</w:t>
            </w:r>
            <w:r w:rsidR="00365D7A">
              <w:t> </w:t>
            </w:r>
            <w:r>
              <w:t>October 2019</w:t>
            </w:r>
          </w:p>
        </w:tc>
        <w:tc>
          <w:tcPr>
            <w:tcW w:w="2559" w:type="dxa"/>
          </w:tcPr>
          <w:p w14:paraId="41DB8F25" w14:textId="73095DCA" w:rsidR="00EF0E6D" w:rsidRPr="002575F0" w:rsidRDefault="00EF0E6D" w:rsidP="00CB3042">
            <w:pPr>
              <w:ind w:left="0"/>
              <w:rPr>
                <w:i/>
              </w:rPr>
            </w:pPr>
            <w:r w:rsidRPr="002575F0">
              <w:rPr>
                <w:i/>
              </w:rPr>
              <w:t>Treatment of severe keratitis in adult patients with dry eye disease, which has not improved despite treatment with tear substitutes</w:t>
            </w:r>
          </w:p>
          <w:p w14:paraId="1F0F6492" w14:textId="77777777" w:rsidR="00EF0E6D" w:rsidRPr="002575F0" w:rsidRDefault="00EF0E6D" w:rsidP="008655D9">
            <w:pPr>
              <w:ind w:left="0"/>
              <w:rPr>
                <w:i/>
              </w:rPr>
            </w:pPr>
            <w:r w:rsidRPr="002575F0">
              <w:rPr>
                <w:i/>
              </w:rPr>
              <w:t>Treatment of severe vernal keratoconjunctivitis (VKC) in children and adolescents from 4 to 18 years old</w:t>
            </w:r>
          </w:p>
        </w:tc>
      </w:tr>
    </w:tbl>
    <w:p w14:paraId="4FDA201E" w14:textId="2DEAEBC4" w:rsidR="008E7846" w:rsidRDefault="00365D7A" w:rsidP="007627E0">
      <w:pPr>
        <w:pStyle w:val="TableDescription"/>
      </w:pPr>
      <w:r>
        <w:t xml:space="preserve">* </w:t>
      </w:r>
      <w:r w:rsidRPr="00365D7A">
        <w:t xml:space="preserve">The submission dates were not provided as part of the registration file </w:t>
      </w:r>
      <w:r>
        <w:t>submitted to the TGA and therefore, are not</w:t>
      </w:r>
      <w:r w:rsidRPr="00365D7A">
        <w:t xml:space="preserve"> included in the </w:t>
      </w:r>
      <w:proofErr w:type="spellStart"/>
      <w:r w:rsidRPr="00365D7A">
        <w:t>AusPAR</w:t>
      </w:r>
      <w:r>
        <w:t>.</w:t>
      </w:r>
      <w:r w:rsidR="008E7846">
        <w:t>Product</w:t>
      </w:r>
      <w:proofErr w:type="spellEnd"/>
      <w:r w:rsidR="008E7846">
        <w:t xml:space="preserve"> Information</w:t>
      </w:r>
      <w:bookmarkEnd w:id="20"/>
      <w:bookmarkEnd w:id="21"/>
    </w:p>
    <w:p w14:paraId="7E0F0AF1" w14:textId="6A4C37F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5012E5C6" w14:textId="77777777" w:rsidR="00500337" w:rsidRDefault="00500337" w:rsidP="00500337">
      <w:pPr>
        <w:pStyle w:val="Heading2"/>
      </w:pPr>
      <w:bookmarkStart w:id="24" w:name="_Toc504480011"/>
      <w:bookmarkStart w:id="25" w:name="_Toc69733539"/>
      <w:r>
        <w:t>II. Registration timeline</w:t>
      </w:r>
      <w:bookmarkEnd w:id="24"/>
      <w:bookmarkEnd w:id="25"/>
    </w:p>
    <w:p w14:paraId="0005C070" w14:textId="77777777" w:rsidR="00500337" w:rsidRDefault="00500337" w:rsidP="00500337">
      <w:r>
        <w:t>The following table captures the key steps and dates for this application and which are detailed and discussed in this AusPAR.</w:t>
      </w:r>
    </w:p>
    <w:p w14:paraId="56E72D8A" w14:textId="7C6A63AA" w:rsidR="00500337" w:rsidRPr="00377BD4" w:rsidRDefault="009E5940" w:rsidP="009E5940">
      <w:pPr>
        <w:pStyle w:val="TableTitle"/>
      </w:pPr>
      <w:r w:rsidRPr="009E5940">
        <w:t xml:space="preserve">Table </w:t>
      </w:r>
      <w:r>
        <w:fldChar w:fldCharType="begin"/>
      </w:r>
      <w:r>
        <w:instrText>SEQ Table \* ARABIC</w:instrText>
      </w:r>
      <w:r>
        <w:fldChar w:fldCharType="separate"/>
      </w:r>
      <w:r w:rsidR="00DB1D88">
        <w:rPr>
          <w:noProof/>
        </w:rPr>
        <w:t>2</w:t>
      </w:r>
      <w:r>
        <w:fldChar w:fldCharType="end"/>
      </w:r>
      <w:r w:rsidR="00006FAB" w:rsidRPr="009E5940">
        <w:t>:</w:t>
      </w:r>
      <w:r w:rsidR="006A58A8" w:rsidRPr="006A58A8">
        <w:t xml:space="preserve"> Timeline for Submission PM-20</w:t>
      </w:r>
      <w:r w:rsidR="00BA104F">
        <w:t>19-02588-1-5</w:t>
      </w:r>
    </w:p>
    <w:tbl>
      <w:tblPr>
        <w:tblStyle w:val="TableTGAblue"/>
        <w:tblW w:w="0" w:type="auto"/>
        <w:tblLook w:val="04A0" w:firstRow="1" w:lastRow="0" w:firstColumn="1" w:lastColumn="0" w:noHBand="0" w:noVBand="1"/>
      </w:tblPr>
      <w:tblGrid>
        <w:gridCol w:w="4251"/>
        <w:gridCol w:w="4243"/>
      </w:tblGrid>
      <w:tr w:rsidR="00500337" w14:paraId="2C220B33"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7DCAF712"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6E757BFA" w14:textId="77777777" w:rsidR="00500337" w:rsidRDefault="00500337" w:rsidP="00500337">
            <w:pPr>
              <w:ind w:left="0" w:right="0"/>
            </w:pPr>
            <w:r>
              <w:t>Date</w:t>
            </w:r>
          </w:p>
        </w:tc>
      </w:tr>
      <w:tr w:rsidR="00500337" w14:paraId="510CEB04" w14:textId="77777777" w:rsidTr="00CF5DAD">
        <w:tc>
          <w:tcPr>
            <w:tcW w:w="4360" w:type="dxa"/>
            <w:tcBorders>
              <w:top w:val="single" w:sz="4" w:space="0" w:color="auto"/>
            </w:tcBorders>
          </w:tcPr>
          <w:p w14:paraId="3114743A"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78BBA098" w14:textId="0C4D7B72" w:rsidR="00500337" w:rsidRDefault="00BA104F" w:rsidP="00500337">
            <w:pPr>
              <w:ind w:left="0" w:right="0"/>
            </w:pPr>
            <w:r>
              <w:t>31 July 2019</w:t>
            </w:r>
          </w:p>
        </w:tc>
      </w:tr>
      <w:tr w:rsidR="00500337" w14:paraId="5AD3947B" w14:textId="77777777" w:rsidTr="00500337">
        <w:tc>
          <w:tcPr>
            <w:tcW w:w="4360" w:type="dxa"/>
          </w:tcPr>
          <w:p w14:paraId="77A0E5C5" w14:textId="77777777" w:rsidR="00500337" w:rsidRDefault="00500337" w:rsidP="00500337">
            <w:pPr>
              <w:ind w:left="0" w:right="0"/>
            </w:pPr>
            <w:r>
              <w:t>First round evaluation completed</w:t>
            </w:r>
          </w:p>
        </w:tc>
        <w:tc>
          <w:tcPr>
            <w:tcW w:w="4360" w:type="dxa"/>
          </w:tcPr>
          <w:p w14:paraId="729BB74A" w14:textId="645643D6" w:rsidR="00500337" w:rsidRDefault="00BA104F" w:rsidP="005F3416">
            <w:pPr>
              <w:ind w:left="0" w:right="0"/>
            </w:pPr>
            <w:r>
              <w:t>18 December 2019</w:t>
            </w:r>
          </w:p>
        </w:tc>
      </w:tr>
      <w:tr w:rsidR="00500337" w14:paraId="2E62B66A" w14:textId="77777777" w:rsidTr="00500337">
        <w:tc>
          <w:tcPr>
            <w:tcW w:w="4360" w:type="dxa"/>
          </w:tcPr>
          <w:p w14:paraId="01F4239B" w14:textId="77777777" w:rsidR="00500337" w:rsidRDefault="00500337" w:rsidP="00500337">
            <w:pPr>
              <w:ind w:left="0" w:right="0"/>
            </w:pPr>
            <w:r>
              <w:t>Sponsor provides responses on questions raised in first round evaluation</w:t>
            </w:r>
          </w:p>
        </w:tc>
        <w:tc>
          <w:tcPr>
            <w:tcW w:w="4360" w:type="dxa"/>
          </w:tcPr>
          <w:p w14:paraId="0E069A86" w14:textId="6C74C4A9" w:rsidR="00500337" w:rsidRDefault="00BA104F" w:rsidP="00500337">
            <w:pPr>
              <w:ind w:left="0" w:right="0"/>
            </w:pPr>
            <w:r>
              <w:t>2 March 2020</w:t>
            </w:r>
          </w:p>
        </w:tc>
      </w:tr>
      <w:tr w:rsidR="00500337" w14:paraId="480B70AD" w14:textId="77777777" w:rsidTr="00500337">
        <w:tc>
          <w:tcPr>
            <w:tcW w:w="4360" w:type="dxa"/>
          </w:tcPr>
          <w:p w14:paraId="1BFCBFAD" w14:textId="77777777" w:rsidR="00500337" w:rsidRDefault="00500337" w:rsidP="00500337">
            <w:pPr>
              <w:ind w:left="0" w:right="0"/>
            </w:pPr>
            <w:r>
              <w:t>Second round evaluation completed</w:t>
            </w:r>
          </w:p>
        </w:tc>
        <w:tc>
          <w:tcPr>
            <w:tcW w:w="4360" w:type="dxa"/>
          </w:tcPr>
          <w:p w14:paraId="4A52080B" w14:textId="7B4A1C4A" w:rsidR="00500337" w:rsidRDefault="00BA104F" w:rsidP="00500337">
            <w:pPr>
              <w:ind w:left="0" w:right="0"/>
            </w:pPr>
            <w:r>
              <w:t>1 April 2020</w:t>
            </w:r>
          </w:p>
        </w:tc>
      </w:tr>
      <w:tr w:rsidR="00500337" w14:paraId="4A146AC8" w14:textId="77777777" w:rsidTr="00500337">
        <w:tc>
          <w:tcPr>
            <w:tcW w:w="4360" w:type="dxa"/>
          </w:tcPr>
          <w:p w14:paraId="79EE7F26" w14:textId="5131F31D" w:rsidR="00500337" w:rsidRDefault="00324E45" w:rsidP="00BA104F">
            <w:pPr>
              <w:ind w:left="0" w:right="0"/>
            </w:pPr>
            <w:r>
              <w:t xml:space="preserve">Delegate’s </w:t>
            </w:r>
            <w:r w:rsidR="00BA104F">
              <w:t xml:space="preserve">First </w:t>
            </w:r>
            <w:r>
              <w:t xml:space="preserve">Overall benefit-risk assessment </w:t>
            </w:r>
            <w:r w:rsidRPr="00BA104F">
              <w:rPr>
                <w:color w:val="auto"/>
              </w:rPr>
              <w:t xml:space="preserve">and request for Advisory </w:t>
            </w:r>
            <w:r w:rsidR="00BA104F" w:rsidRPr="00BA104F">
              <w:rPr>
                <w:color w:val="auto"/>
              </w:rPr>
              <w:t>Committee advice</w:t>
            </w:r>
          </w:p>
        </w:tc>
        <w:tc>
          <w:tcPr>
            <w:tcW w:w="4360" w:type="dxa"/>
          </w:tcPr>
          <w:p w14:paraId="4D90E0FF" w14:textId="3910EA71" w:rsidR="00500337" w:rsidRDefault="005156C6" w:rsidP="00500337">
            <w:pPr>
              <w:ind w:left="0" w:right="0"/>
            </w:pPr>
            <w:r>
              <w:t>5 May 2020</w:t>
            </w:r>
          </w:p>
        </w:tc>
      </w:tr>
      <w:tr w:rsidR="00500337" w14:paraId="3258EE93" w14:textId="77777777" w:rsidTr="00500337">
        <w:tc>
          <w:tcPr>
            <w:tcW w:w="4360" w:type="dxa"/>
          </w:tcPr>
          <w:p w14:paraId="0C5153D3" w14:textId="4AA2BB7E" w:rsidR="00500337" w:rsidRPr="007137F1" w:rsidRDefault="00500337" w:rsidP="00500337">
            <w:pPr>
              <w:ind w:left="0" w:right="0"/>
            </w:pPr>
            <w:r w:rsidRPr="007137F1">
              <w:t xml:space="preserve">Sponsor’s </w:t>
            </w:r>
            <w:r w:rsidR="00BA104F" w:rsidRPr="007137F1">
              <w:t xml:space="preserve">first </w:t>
            </w:r>
            <w:r w:rsidRPr="007137F1">
              <w:t>pre-Advisory Committee response</w:t>
            </w:r>
          </w:p>
        </w:tc>
        <w:tc>
          <w:tcPr>
            <w:tcW w:w="4360" w:type="dxa"/>
          </w:tcPr>
          <w:p w14:paraId="27097EF9" w14:textId="2225D057" w:rsidR="00500337" w:rsidRPr="007137F1" w:rsidRDefault="005156C6" w:rsidP="00500337">
            <w:pPr>
              <w:ind w:left="0" w:right="0"/>
            </w:pPr>
            <w:r w:rsidRPr="007137F1">
              <w:t>18 May 2020</w:t>
            </w:r>
          </w:p>
        </w:tc>
      </w:tr>
      <w:tr w:rsidR="00500337" w14:paraId="206E186C" w14:textId="77777777" w:rsidTr="00500337">
        <w:tc>
          <w:tcPr>
            <w:tcW w:w="4360" w:type="dxa"/>
          </w:tcPr>
          <w:p w14:paraId="18C54842" w14:textId="52705B1F" w:rsidR="00500337" w:rsidRPr="007137F1" w:rsidRDefault="00BA104F" w:rsidP="00500337">
            <w:pPr>
              <w:ind w:left="0" w:right="0"/>
            </w:pPr>
            <w:r w:rsidRPr="007137F1">
              <w:t xml:space="preserve">First </w:t>
            </w:r>
            <w:r w:rsidR="00500337" w:rsidRPr="007137F1">
              <w:t>Advisory Committee meeting</w:t>
            </w:r>
          </w:p>
        </w:tc>
        <w:tc>
          <w:tcPr>
            <w:tcW w:w="4360" w:type="dxa"/>
          </w:tcPr>
          <w:p w14:paraId="6371D10F" w14:textId="117B3B08" w:rsidR="00500337" w:rsidRPr="007137F1" w:rsidRDefault="007137F1" w:rsidP="00500337">
            <w:pPr>
              <w:ind w:left="0" w:right="0"/>
            </w:pPr>
            <w:r w:rsidRPr="007137F1">
              <w:t xml:space="preserve">11 and 12 </w:t>
            </w:r>
            <w:r w:rsidR="001E1D94" w:rsidRPr="007137F1">
              <w:t>June 2020</w:t>
            </w:r>
          </w:p>
        </w:tc>
      </w:tr>
      <w:tr w:rsidR="00BA104F" w14:paraId="441E6B5D" w14:textId="77777777" w:rsidTr="00500337">
        <w:tc>
          <w:tcPr>
            <w:tcW w:w="4360" w:type="dxa"/>
          </w:tcPr>
          <w:p w14:paraId="3A45C3FD" w14:textId="68E9F6B4" w:rsidR="00BA104F" w:rsidRPr="007137F1" w:rsidRDefault="00BA104F" w:rsidP="00BA104F">
            <w:pPr>
              <w:ind w:left="0"/>
            </w:pPr>
            <w:r w:rsidRPr="007137F1">
              <w:t xml:space="preserve">Delegate’s Second Overall benefit-risk assessment </w:t>
            </w:r>
            <w:r w:rsidRPr="007137F1">
              <w:rPr>
                <w:color w:val="auto"/>
              </w:rPr>
              <w:t>and request for Advisory Committee advice</w:t>
            </w:r>
          </w:p>
        </w:tc>
        <w:tc>
          <w:tcPr>
            <w:tcW w:w="4360" w:type="dxa"/>
          </w:tcPr>
          <w:p w14:paraId="217C99A1" w14:textId="7B40D30E" w:rsidR="00BA104F" w:rsidRPr="007137F1" w:rsidRDefault="005156C6" w:rsidP="005156C6">
            <w:pPr>
              <w:ind w:left="0"/>
            </w:pPr>
            <w:r w:rsidRPr="007137F1">
              <w:t>31 August 2020</w:t>
            </w:r>
          </w:p>
        </w:tc>
      </w:tr>
      <w:tr w:rsidR="00BA104F" w14:paraId="6DE546E9" w14:textId="77777777" w:rsidTr="00500337">
        <w:tc>
          <w:tcPr>
            <w:tcW w:w="4360" w:type="dxa"/>
          </w:tcPr>
          <w:p w14:paraId="5E099943" w14:textId="10C7ACCB" w:rsidR="00BA104F" w:rsidRPr="007137F1" w:rsidRDefault="00BA104F" w:rsidP="00BA104F">
            <w:pPr>
              <w:ind w:left="0"/>
            </w:pPr>
            <w:r w:rsidRPr="007137F1">
              <w:t>Sponsor’s second pre-Advisory Committee response</w:t>
            </w:r>
          </w:p>
        </w:tc>
        <w:tc>
          <w:tcPr>
            <w:tcW w:w="4360" w:type="dxa"/>
          </w:tcPr>
          <w:p w14:paraId="31498E4F" w14:textId="3E363417" w:rsidR="00BA104F" w:rsidRPr="007137F1" w:rsidRDefault="005156C6" w:rsidP="005156C6">
            <w:pPr>
              <w:ind w:left="0"/>
            </w:pPr>
            <w:r w:rsidRPr="007137F1">
              <w:t>14 September 2020</w:t>
            </w:r>
          </w:p>
        </w:tc>
      </w:tr>
      <w:tr w:rsidR="00BA104F" w14:paraId="4701DD2E" w14:textId="77777777" w:rsidTr="00500337">
        <w:tc>
          <w:tcPr>
            <w:tcW w:w="4360" w:type="dxa"/>
          </w:tcPr>
          <w:p w14:paraId="0FDE4D29" w14:textId="2E860F02" w:rsidR="00BA104F" w:rsidRPr="007137F1" w:rsidRDefault="00BA104F" w:rsidP="00BA104F">
            <w:pPr>
              <w:ind w:left="0"/>
            </w:pPr>
            <w:r w:rsidRPr="007137F1">
              <w:t>Second Advisory Committee meeting</w:t>
            </w:r>
          </w:p>
        </w:tc>
        <w:tc>
          <w:tcPr>
            <w:tcW w:w="4360" w:type="dxa"/>
          </w:tcPr>
          <w:p w14:paraId="5E42E2C1" w14:textId="2EDDC6DC" w:rsidR="00BA104F" w:rsidRPr="007137F1" w:rsidRDefault="007137F1" w:rsidP="005156C6">
            <w:pPr>
              <w:ind w:left="0"/>
            </w:pPr>
            <w:r w:rsidRPr="007137F1">
              <w:t xml:space="preserve">1 and 2 </w:t>
            </w:r>
            <w:r w:rsidR="001E1D94" w:rsidRPr="007137F1">
              <w:t>October 2020</w:t>
            </w:r>
          </w:p>
        </w:tc>
      </w:tr>
      <w:tr w:rsidR="00500337" w14:paraId="325EFC1E" w14:textId="77777777" w:rsidTr="00500337">
        <w:tc>
          <w:tcPr>
            <w:tcW w:w="4360" w:type="dxa"/>
          </w:tcPr>
          <w:p w14:paraId="3AABB742" w14:textId="77777777" w:rsidR="00500337" w:rsidRDefault="00500337" w:rsidP="00500337">
            <w:pPr>
              <w:ind w:left="0" w:right="0"/>
            </w:pPr>
            <w:r>
              <w:t>Registration decision (Outcome)</w:t>
            </w:r>
          </w:p>
        </w:tc>
        <w:tc>
          <w:tcPr>
            <w:tcW w:w="4360" w:type="dxa"/>
          </w:tcPr>
          <w:p w14:paraId="68A23884" w14:textId="5E5614A6" w:rsidR="00500337" w:rsidRDefault="00BA104F" w:rsidP="00500337">
            <w:pPr>
              <w:ind w:left="0" w:right="0"/>
            </w:pPr>
            <w:r>
              <w:t>3 December 2020</w:t>
            </w:r>
          </w:p>
        </w:tc>
      </w:tr>
      <w:tr w:rsidR="00500337" w14:paraId="51BD6ADA" w14:textId="77777777" w:rsidTr="00500337">
        <w:tc>
          <w:tcPr>
            <w:tcW w:w="4360" w:type="dxa"/>
          </w:tcPr>
          <w:p w14:paraId="00FACE6A"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30CD5EDF" w14:textId="528B3060" w:rsidR="00500337" w:rsidRDefault="00BA104F" w:rsidP="00500337">
            <w:pPr>
              <w:ind w:left="0" w:right="0"/>
            </w:pPr>
            <w:r>
              <w:t>15 December 2020</w:t>
            </w:r>
          </w:p>
        </w:tc>
      </w:tr>
      <w:tr w:rsidR="00500337" w14:paraId="533FB023" w14:textId="77777777" w:rsidTr="00500337">
        <w:tc>
          <w:tcPr>
            <w:tcW w:w="4360" w:type="dxa"/>
          </w:tcPr>
          <w:p w14:paraId="6AB90A5E" w14:textId="77777777" w:rsidR="00500337" w:rsidRDefault="00500337" w:rsidP="00500337">
            <w:pPr>
              <w:ind w:left="0" w:right="0"/>
            </w:pPr>
            <w:r>
              <w:t>Number of working days from submission dossier acceptance to registration decision*</w:t>
            </w:r>
          </w:p>
        </w:tc>
        <w:tc>
          <w:tcPr>
            <w:tcW w:w="4360" w:type="dxa"/>
          </w:tcPr>
          <w:p w14:paraId="57CFA026" w14:textId="02AC2859" w:rsidR="00500337" w:rsidRDefault="00BA104F" w:rsidP="00500337">
            <w:pPr>
              <w:ind w:left="0" w:right="0"/>
            </w:pPr>
            <w:r>
              <w:t>206</w:t>
            </w:r>
          </w:p>
        </w:tc>
      </w:tr>
    </w:tbl>
    <w:p w14:paraId="4D5522DA"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2B7D3EB9" w14:textId="77777777" w:rsidR="008E7846" w:rsidRPr="00792A32" w:rsidRDefault="00456765" w:rsidP="008E7846">
      <w:pPr>
        <w:pStyle w:val="Heading2"/>
      </w:pPr>
      <w:bookmarkStart w:id="26" w:name="_Toc196046504"/>
      <w:bookmarkStart w:id="27" w:name="_Toc247691527"/>
      <w:bookmarkStart w:id="28" w:name="_Toc314842510"/>
      <w:bookmarkStart w:id="29" w:name="_Toc69733540"/>
      <w:bookmarkStart w:id="30" w:name="_Toc163441390"/>
      <w:bookmarkEnd w:id="22"/>
      <w:bookmarkEnd w:id="23"/>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7EDC11B3" w14:textId="77777777" w:rsidR="00006FAB" w:rsidRDefault="00006FAB" w:rsidP="00006FAB">
      <w:bookmarkStart w:id="31" w:name="_Toc247691528"/>
      <w:r>
        <w:t>The submission was summarised in the following Delegate’s overview and recommendations.</w:t>
      </w:r>
    </w:p>
    <w:p w14:paraId="63B8BCED" w14:textId="77777777" w:rsidR="008E7846" w:rsidRDefault="008E7846" w:rsidP="008E7846">
      <w:pPr>
        <w:pStyle w:val="Heading3"/>
      </w:pPr>
      <w:bookmarkStart w:id="32" w:name="_Toc314842511"/>
      <w:bookmarkStart w:id="33" w:name="_Toc69733541"/>
      <w:r>
        <w:t>Quality</w:t>
      </w:r>
      <w:bookmarkEnd w:id="31"/>
      <w:bookmarkEnd w:id="32"/>
      <w:bookmarkEnd w:id="33"/>
    </w:p>
    <w:p w14:paraId="70CD8B59" w14:textId="456D0016" w:rsidR="00C62360" w:rsidRDefault="00C62360" w:rsidP="00C62360">
      <w:pPr>
        <w:rPr>
          <w:b/>
        </w:rPr>
      </w:pPr>
      <w:r w:rsidRPr="00C62360">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r>
        <w:t xml:space="preserve">. </w:t>
      </w:r>
      <w:r w:rsidRPr="00C62360">
        <w:t xml:space="preserve">The </w:t>
      </w:r>
      <w:r>
        <w:t>quality</w:t>
      </w:r>
      <w:r w:rsidRPr="00C62360">
        <w:t xml:space="preserve"> evaluator has confirmed that there are no objections from a </w:t>
      </w:r>
      <w:r>
        <w:t xml:space="preserve">quality </w:t>
      </w:r>
      <w:r w:rsidRPr="00C62360">
        <w:t xml:space="preserve">perspective for the application to register </w:t>
      </w:r>
      <w:proofErr w:type="spellStart"/>
      <w:r w:rsidRPr="00C62360">
        <w:t>I</w:t>
      </w:r>
      <w:r>
        <w:t>kervis</w:t>
      </w:r>
      <w:proofErr w:type="spellEnd"/>
      <w:r>
        <w:t xml:space="preserve"> </w:t>
      </w:r>
      <w:r w:rsidRPr="00C62360">
        <w:t>ciclosporin 1</w:t>
      </w:r>
      <w:r w:rsidR="00557B5B">
        <w:t> </w:t>
      </w:r>
      <w:r w:rsidRPr="00C62360">
        <w:t>mg/mL eye drops</w:t>
      </w:r>
      <w:r w:rsidR="00AA22AB">
        <w:t xml:space="preserve"> </w:t>
      </w:r>
      <w:r>
        <w:t xml:space="preserve">The chemical structure of ciclosporin is shown in </w:t>
      </w:r>
      <w:r>
        <w:rPr>
          <w:color w:val="2B579A"/>
          <w:shd w:val="clear" w:color="auto" w:fill="E6E6E6"/>
        </w:rPr>
        <w:fldChar w:fldCharType="begin"/>
      </w:r>
      <w:r>
        <w:instrText xml:space="preserve"> REF _Ref63843772 \h </w:instrText>
      </w:r>
      <w:r>
        <w:rPr>
          <w:color w:val="2B579A"/>
          <w:shd w:val="clear" w:color="auto" w:fill="E6E6E6"/>
        </w:rPr>
      </w:r>
      <w:r>
        <w:rPr>
          <w:color w:val="2B579A"/>
          <w:shd w:val="clear" w:color="auto" w:fill="E6E6E6"/>
        </w:rPr>
        <w:fldChar w:fldCharType="separate"/>
      </w:r>
      <w:r w:rsidR="00DB1D88" w:rsidRPr="00C62360">
        <w:t xml:space="preserve">Figure </w:t>
      </w:r>
      <w:r w:rsidR="00DB1D88">
        <w:rPr>
          <w:noProof/>
        </w:rPr>
        <w:t>1</w:t>
      </w:r>
      <w:r>
        <w:rPr>
          <w:color w:val="2B579A"/>
          <w:shd w:val="clear" w:color="auto" w:fill="E6E6E6"/>
        </w:rPr>
        <w:fldChar w:fldCharType="end"/>
      </w:r>
      <w:r>
        <w:t xml:space="preserve">. </w:t>
      </w:r>
      <w:r w:rsidRPr="00C62360">
        <w:t>The proposed product is a milky-white oil-in-water emulsion.</w:t>
      </w:r>
      <w:r w:rsidR="00557B5B">
        <w:t xml:space="preserve"> The proposed container is 5 </w:t>
      </w:r>
      <w:r>
        <w:t>con</w:t>
      </w:r>
      <w:r w:rsidR="00557B5B">
        <w:t>nected ampoules per pouch and 6 </w:t>
      </w:r>
      <w:r>
        <w:t>pouches per carton.</w:t>
      </w:r>
    </w:p>
    <w:p w14:paraId="4EF7F0A2" w14:textId="29F27504" w:rsidR="00C62360" w:rsidRDefault="00C62360" w:rsidP="00C62360">
      <w:pPr>
        <w:pStyle w:val="FigureTitle"/>
      </w:pPr>
      <w:bookmarkStart w:id="34" w:name="_Ref63843772"/>
      <w:r w:rsidRPr="00C62360">
        <w:t xml:space="preserve">Figure </w:t>
      </w:r>
      <w:r>
        <w:fldChar w:fldCharType="begin"/>
      </w:r>
      <w:r>
        <w:instrText>SEQ Figure \* ARABIC</w:instrText>
      </w:r>
      <w:r>
        <w:fldChar w:fldCharType="separate"/>
      </w:r>
      <w:r w:rsidR="00DB1D88">
        <w:rPr>
          <w:noProof/>
        </w:rPr>
        <w:t>1</w:t>
      </w:r>
      <w:r>
        <w:fldChar w:fldCharType="end"/>
      </w:r>
      <w:bookmarkEnd w:id="34"/>
      <w:r>
        <w:t>: Chemical structure of ciclosporin</w:t>
      </w:r>
    </w:p>
    <w:p w14:paraId="7B3531AC" w14:textId="71D48967" w:rsidR="00C62360" w:rsidRDefault="00F97DF4" w:rsidP="006B59B5">
      <w:r>
        <w:rPr>
          <w:noProof/>
          <w:shd w:val="clear" w:color="auto" w:fill="E6E6E6"/>
          <w:lang w:eastAsia="en-AU"/>
        </w:rPr>
        <w:drawing>
          <wp:inline distT="0" distB="0" distL="0" distR="0" wp14:anchorId="01A837EC" wp14:editId="2D7603D2">
            <wp:extent cx="2377440" cy="1981200"/>
            <wp:effectExtent l="0" t="0" r="3810" b="0"/>
            <wp:docPr id="1" name="Picture 1" descr="Chemical structure of ciclosp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377440" cy="1981200"/>
                    </a:xfrm>
                    <a:prstGeom prst="rect">
                      <a:avLst/>
                    </a:prstGeom>
                    <a:effectLst/>
                  </pic:spPr>
                </pic:pic>
              </a:graphicData>
            </a:graphic>
          </wp:inline>
        </w:drawing>
      </w:r>
    </w:p>
    <w:p w14:paraId="0F1BF4FF" w14:textId="77777777" w:rsidR="008E7846" w:rsidRDefault="008E7846" w:rsidP="008E7846">
      <w:pPr>
        <w:pStyle w:val="Heading3"/>
      </w:pPr>
      <w:bookmarkStart w:id="35" w:name="_Toc314842512"/>
      <w:bookmarkStart w:id="36" w:name="_Toc69733542"/>
      <w:bookmarkStart w:id="37" w:name="_GoBack"/>
      <w:bookmarkEnd w:id="37"/>
      <w:r>
        <w:t>Nonclinical</w:t>
      </w:r>
      <w:bookmarkEnd w:id="35"/>
      <w:bookmarkEnd w:id="36"/>
    </w:p>
    <w:p w14:paraId="591C8603" w14:textId="31AE1C51" w:rsidR="001D09DB" w:rsidRDefault="002014C5" w:rsidP="001D09DB">
      <w:r>
        <w:t>The sponsor</w:t>
      </w:r>
      <w:r w:rsidR="001D09DB">
        <w:t xml:space="preserve"> has applied to register </w:t>
      </w:r>
      <w:proofErr w:type="spellStart"/>
      <w:r w:rsidR="001D09DB">
        <w:t>Ikervis</w:t>
      </w:r>
      <w:proofErr w:type="spellEnd"/>
      <w:r w:rsidR="001D09DB">
        <w:t>, an eye drop oil-in-</w:t>
      </w:r>
      <w:r w:rsidR="00557B5B">
        <w:t>water emulsion containing 0.1% concentration</w:t>
      </w:r>
      <w:r w:rsidR="001D09DB">
        <w:t xml:space="preserve"> ciclosporin. As the proposed systemic doses of </w:t>
      </w:r>
      <w:r>
        <w:t xml:space="preserve">cyclosporin </w:t>
      </w:r>
      <w:r w:rsidR="001D09DB">
        <w:t>is below those in currently registered products, no systemic safety concerns are predicted with the current product. Pharmacokinetic</w:t>
      </w:r>
      <w:r w:rsidR="00557B5B">
        <w:t xml:space="preserve"> (PK)</w:t>
      </w:r>
      <w:r w:rsidR="001D09DB">
        <w:t xml:space="preserve"> studies following ocular instillation of </w:t>
      </w:r>
      <w:proofErr w:type="spellStart"/>
      <w:r w:rsidR="001D09DB">
        <w:t>Ikervis</w:t>
      </w:r>
      <w:proofErr w:type="spellEnd"/>
      <w:r w:rsidR="001D09DB">
        <w:t xml:space="preserve"> (or a related formulation) to rabbits indicated that </w:t>
      </w:r>
      <w:r>
        <w:t>cyclosporin</w:t>
      </w:r>
      <w:r w:rsidR="001D09DB">
        <w:t xml:space="preserve"> distributed to the conjunctiva and cornea with minimal systemic exposure. Repeat-dose toxicity studies in rabbits were limited to 28 days and appropriately investigated the ocular toxicity following topical ocular administration. The only notable finding in the pivotal study, was an increased incidence of slight, transient conjunctival irritation with an incidence higher than a saline control. Minimal eye irritation may be seen in patients. The absence of longer duration toxicity studies is considered a minor deficiency, provided there are sufficient clinical safety data with the product. </w:t>
      </w:r>
      <w:proofErr w:type="spellStart"/>
      <w:r w:rsidR="001D09DB">
        <w:t>Ikervis</w:t>
      </w:r>
      <w:proofErr w:type="spellEnd"/>
      <w:r w:rsidR="001D09DB">
        <w:t xml:space="preserve"> showed no phototoxic or skin sensitisat</w:t>
      </w:r>
      <w:r w:rsidR="005151C2">
        <w:t>ion potential. There are no non</w:t>
      </w:r>
      <w:r w:rsidR="001D09DB">
        <w:t xml:space="preserve">clinical objections to the registration of </w:t>
      </w:r>
      <w:proofErr w:type="spellStart"/>
      <w:r w:rsidR="001D09DB">
        <w:t>Ikervis</w:t>
      </w:r>
      <w:proofErr w:type="spellEnd"/>
      <w:r w:rsidR="001D09DB">
        <w:t xml:space="preserve"> provided there are suffici</w:t>
      </w:r>
      <w:r w:rsidR="005151C2">
        <w:t>ent long</w:t>
      </w:r>
      <w:r w:rsidR="00D938E2">
        <w:t>-</w:t>
      </w:r>
      <w:r w:rsidR="001D09DB">
        <w:t>term clinical safety data.</w:t>
      </w:r>
    </w:p>
    <w:p w14:paraId="0006D92D" w14:textId="77777777" w:rsidR="008E7846" w:rsidRDefault="008E7846" w:rsidP="008E7846">
      <w:pPr>
        <w:pStyle w:val="Heading3"/>
      </w:pPr>
      <w:bookmarkStart w:id="38" w:name="_Toc247691530"/>
      <w:bookmarkStart w:id="39" w:name="_Toc314842513"/>
      <w:bookmarkStart w:id="40" w:name="_Toc69733543"/>
      <w:r>
        <w:t>Clinical</w:t>
      </w:r>
      <w:bookmarkEnd w:id="38"/>
      <w:bookmarkEnd w:id="39"/>
      <w:bookmarkEnd w:id="40"/>
    </w:p>
    <w:p w14:paraId="21C640AE" w14:textId="4102ADF5" w:rsidR="007B6132" w:rsidRDefault="00740D2C" w:rsidP="00740D2C">
      <w:bookmarkStart w:id="41" w:name="_Toc314842514"/>
      <w:r>
        <w:t>The clinical dossier consisted of</w:t>
      </w:r>
      <w:r w:rsidR="002014C5">
        <w:t>:</w:t>
      </w:r>
    </w:p>
    <w:p w14:paraId="62A13188" w14:textId="23D7F43F" w:rsidR="00740D2C" w:rsidRDefault="00AA22AB" w:rsidP="00740D2C">
      <w:pPr>
        <w:pStyle w:val="ListBullet"/>
      </w:pPr>
      <w:r>
        <w:t>t</w:t>
      </w:r>
      <w:r w:rsidR="00740D2C">
        <w:t>wo Phase II stud</w:t>
      </w:r>
      <w:r w:rsidR="002014C5">
        <w:t>ies</w:t>
      </w:r>
      <w:r w:rsidR="00740D2C">
        <w:t xml:space="preserve"> (</w:t>
      </w:r>
      <w:r w:rsidR="002014C5">
        <w:t xml:space="preserve">Study </w:t>
      </w:r>
      <w:r w:rsidR="00740D2C">
        <w:t xml:space="preserve">N09F0502 and </w:t>
      </w:r>
      <w:r w:rsidR="002014C5">
        <w:t xml:space="preserve">Study </w:t>
      </w:r>
      <w:r w:rsidR="00740D2C">
        <w:t>NVG08B112)</w:t>
      </w:r>
      <w:r w:rsidR="002014C5">
        <w:t>; and</w:t>
      </w:r>
    </w:p>
    <w:p w14:paraId="70E3C01D" w14:textId="6CB9E6EA" w:rsidR="00740D2C" w:rsidRDefault="00AA22AB" w:rsidP="00740D2C">
      <w:pPr>
        <w:pStyle w:val="ListBullet"/>
      </w:pPr>
      <w:r>
        <w:t>t</w:t>
      </w:r>
      <w:r w:rsidR="00740D2C">
        <w:t>hree Phase III stud</w:t>
      </w:r>
      <w:r w:rsidR="002014C5">
        <w:t>ies</w:t>
      </w:r>
      <w:r w:rsidR="00740D2C">
        <w:t xml:space="preserve"> (</w:t>
      </w:r>
      <w:r w:rsidR="002014C5">
        <w:t xml:space="preserve">Study </w:t>
      </w:r>
      <w:r w:rsidR="00740D2C" w:rsidRPr="00740D2C">
        <w:t>NVG06C103</w:t>
      </w:r>
      <w:r w:rsidR="00740D2C">
        <w:t>,</w:t>
      </w:r>
      <w:r w:rsidR="002014C5">
        <w:t xml:space="preserve"> also known as the SICCANOVE trial; Study NVG10E117, also known as the</w:t>
      </w:r>
      <w:r w:rsidR="00740D2C">
        <w:t xml:space="preserve"> </w:t>
      </w:r>
      <w:r w:rsidR="00247263">
        <w:t>SANSIKA</w:t>
      </w:r>
      <w:r w:rsidR="002014C5">
        <w:t xml:space="preserve"> trial; and Study NVG12D122, a</w:t>
      </w:r>
      <w:r w:rsidR="00247263" w:rsidRPr="00740D2C">
        <w:t xml:space="preserve"> </w:t>
      </w:r>
      <w:r w:rsidR="002014C5">
        <w:t>post-SANSIKA study.</w:t>
      </w:r>
    </w:p>
    <w:p w14:paraId="02532610" w14:textId="77C9829E" w:rsidR="008E2904" w:rsidRDefault="008E2904" w:rsidP="008E2904">
      <w:pPr>
        <w:pStyle w:val="Heading4"/>
      </w:pPr>
      <w:r>
        <w:t>Pharmacokinetics</w:t>
      </w:r>
    </w:p>
    <w:p w14:paraId="58AEAEAD" w14:textId="483C7E8E" w:rsidR="00490E5A" w:rsidRPr="00490E5A" w:rsidRDefault="008E2904" w:rsidP="00557B5B">
      <w:proofErr w:type="spellStart"/>
      <w:r w:rsidRPr="008E2904">
        <w:t>I</w:t>
      </w:r>
      <w:r>
        <w:t>kervis</w:t>
      </w:r>
      <w:proofErr w:type="spellEnd"/>
      <w:r w:rsidRPr="008E2904">
        <w:t xml:space="preserve"> is intended for topical use, no specific </w:t>
      </w:r>
      <w:r w:rsidR="00557B5B">
        <w:t>PK</w:t>
      </w:r>
      <w:r w:rsidRPr="008E2904">
        <w:t xml:space="preserve"> studies were performed. However, in order to evaluate a possible systemic exposure to ciclosporin as a result of the ocular administration of </w:t>
      </w:r>
      <w:proofErr w:type="spellStart"/>
      <w:r w:rsidRPr="008E2904">
        <w:t>I</w:t>
      </w:r>
      <w:r>
        <w:t>kervis</w:t>
      </w:r>
      <w:proofErr w:type="spellEnd"/>
      <w:r w:rsidRPr="008E2904">
        <w:t xml:space="preserve">, blood samples were collected in patients included in </w:t>
      </w:r>
      <w:r w:rsidR="00AA22AB">
        <w:t>the Phase</w:t>
      </w:r>
      <w:r w:rsidR="002014C5">
        <w:t> </w:t>
      </w:r>
      <w:proofErr w:type="spellStart"/>
      <w:r w:rsidR="00AA22AB">
        <w:t>IIa</w:t>
      </w:r>
      <w:proofErr w:type="spellEnd"/>
      <w:r w:rsidR="00AA22AB">
        <w:t xml:space="preserve"> study and in the two</w:t>
      </w:r>
      <w:r w:rsidRPr="008E2904">
        <w:t xml:space="preserve"> Phase III clinical studies (</w:t>
      </w:r>
      <w:r w:rsidR="002014C5">
        <w:t xml:space="preserve">the </w:t>
      </w:r>
      <w:r w:rsidRPr="008E2904">
        <w:t>SANSIKA and SICCANOVE</w:t>
      </w:r>
      <w:r w:rsidR="002014C5">
        <w:t xml:space="preserve"> trials</w:t>
      </w:r>
      <w:r w:rsidRPr="008E2904">
        <w:t xml:space="preserve">) and </w:t>
      </w:r>
      <w:proofErr w:type="spellStart"/>
      <w:r w:rsidRPr="008E2904">
        <w:t>ciclosporin</w:t>
      </w:r>
      <w:r w:rsidR="002014C5">
        <w:t>a</w:t>
      </w:r>
      <w:r w:rsidRPr="008E2904">
        <w:t>emia</w:t>
      </w:r>
      <w:proofErr w:type="spellEnd"/>
      <w:r w:rsidRPr="008E2904">
        <w:t xml:space="preserve"> was measured using a specific validated </w:t>
      </w:r>
      <w:r w:rsidR="00557B5B">
        <w:t>high performance liquid c</w:t>
      </w:r>
      <w:r w:rsidR="00557B5B" w:rsidRPr="00557B5B">
        <w:t xml:space="preserve">hromatography </w:t>
      </w:r>
      <w:r w:rsidR="00557B5B">
        <w:t>(</w:t>
      </w:r>
      <w:r w:rsidRPr="008E2904">
        <w:t>HPLC</w:t>
      </w:r>
      <w:r w:rsidR="00557B5B">
        <w:t>)</w:t>
      </w:r>
      <w:r w:rsidRPr="008E2904">
        <w:t>-</w:t>
      </w:r>
      <w:r w:rsidR="00557B5B">
        <w:t>tandem mass spectrometry (</w:t>
      </w:r>
      <w:r w:rsidRPr="008E2904">
        <w:t>MS/MS</w:t>
      </w:r>
      <w:r w:rsidR="00557B5B">
        <w:t>)</w:t>
      </w:r>
      <w:r w:rsidRPr="008E2904">
        <w:t xml:space="preserve"> assay.</w:t>
      </w:r>
    </w:p>
    <w:p w14:paraId="6D65E6D3" w14:textId="26811DF6" w:rsidR="008E2904" w:rsidRPr="008E2904" w:rsidRDefault="008E2904" w:rsidP="00490E5A">
      <w:r w:rsidRPr="008E2904">
        <w:t>While it is possible that systemic absorption of ciclosporin could occur through the nasal mucosa as a result of the eye drops being cleared from the ocular surface through the lachrymal draining syste</w:t>
      </w:r>
      <w:r>
        <w:t xml:space="preserve">m, PK samples collected in the Phase </w:t>
      </w:r>
      <w:proofErr w:type="spellStart"/>
      <w:r>
        <w:t>IIa</w:t>
      </w:r>
      <w:proofErr w:type="spellEnd"/>
      <w:r>
        <w:t xml:space="preserve"> and the two P</w:t>
      </w:r>
      <w:r w:rsidRPr="008E2904">
        <w:t xml:space="preserve">hase III trials with </w:t>
      </w:r>
      <w:proofErr w:type="spellStart"/>
      <w:r w:rsidRPr="008E2904">
        <w:t>I</w:t>
      </w:r>
      <w:r>
        <w:t>kervis</w:t>
      </w:r>
      <w:proofErr w:type="spellEnd"/>
      <w:r w:rsidRPr="008E2904">
        <w:t xml:space="preserve">, suggested that absorption of and resulting systemic exposure to ciclosporin after ocular instillation of </w:t>
      </w:r>
      <w:proofErr w:type="spellStart"/>
      <w:r w:rsidRPr="008E2904">
        <w:t>I</w:t>
      </w:r>
      <w:r>
        <w:t>kervis</w:t>
      </w:r>
      <w:proofErr w:type="spellEnd"/>
      <w:r w:rsidRPr="008E2904">
        <w:t xml:space="preserve"> was negligible.</w:t>
      </w:r>
    </w:p>
    <w:p w14:paraId="08A4E548" w14:textId="4F44B025" w:rsidR="008E2904" w:rsidRDefault="00310C3F" w:rsidP="00310C3F">
      <w:pPr>
        <w:pStyle w:val="Heading4"/>
      </w:pPr>
      <w:r>
        <w:t>Pharmacodynamics</w:t>
      </w:r>
    </w:p>
    <w:p w14:paraId="0C08E623" w14:textId="37DBB206" w:rsidR="00310C3F" w:rsidRDefault="00310C3F" w:rsidP="00310C3F">
      <w:r>
        <w:t xml:space="preserve">There were no clinical </w:t>
      </w:r>
      <w:r w:rsidR="00934E23">
        <w:t>pharmacodynamics (PD)</w:t>
      </w:r>
      <w:r>
        <w:t xml:space="preserve"> studies in the dossier. Ciclosporin is a known immunosuppressant and anti-inflammatory agent. The sponsor has proposed that there may be a </w:t>
      </w:r>
      <w:r w:rsidR="00934E23">
        <w:t>PD</w:t>
      </w:r>
      <w:r>
        <w:t xml:space="preserve"> effect of </w:t>
      </w:r>
      <w:proofErr w:type="spellStart"/>
      <w:r>
        <w:t>Ikervis</w:t>
      </w:r>
      <w:proofErr w:type="spellEnd"/>
      <w:r>
        <w:t xml:space="preserve"> on an inflammatory component involved in DED.</w:t>
      </w:r>
    </w:p>
    <w:p w14:paraId="19266C5C" w14:textId="68A5CF3C" w:rsidR="00310C3F" w:rsidRDefault="00310C3F" w:rsidP="00310C3F">
      <w:r>
        <w:t>Given the local route of administration and that no significant systemic exposure was observed, the lack of specific PD or PK studies is considered acceptable.</w:t>
      </w:r>
    </w:p>
    <w:p w14:paraId="7C55E861" w14:textId="11FA700E" w:rsidR="00310C3F" w:rsidRDefault="00310C3F" w:rsidP="00310C3F">
      <w:pPr>
        <w:pStyle w:val="Heading4"/>
      </w:pPr>
      <w:r>
        <w:t>Efficacy</w:t>
      </w:r>
    </w:p>
    <w:p w14:paraId="1EB21CFF" w14:textId="32FB7D6F" w:rsidR="00310C3F" w:rsidRDefault="00310C3F" w:rsidP="00310C3F">
      <w:r>
        <w:t>The clinical trials</w:t>
      </w:r>
      <w:r w:rsidR="00394C1A">
        <w:t xml:space="preserve"> program for </w:t>
      </w:r>
      <w:proofErr w:type="spellStart"/>
      <w:r w:rsidR="00394C1A">
        <w:t>Ikervis</w:t>
      </w:r>
      <w:proofErr w:type="spellEnd"/>
      <w:r w:rsidR="00394C1A">
        <w:t xml:space="preserve"> consisted of two P</w:t>
      </w:r>
      <w:r>
        <w:t xml:space="preserve">hase II and two Phase III studies. This application was based primarily on data from the pivotal Phase III SANSIKA </w:t>
      </w:r>
      <w:r w:rsidR="002014C5">
        <w:t>trial</w:t>
      </w:r>
      <w:r>
        <w:t>, a randomised, double masked, vehicle controlled multicentre European study t</w:t>
      </w:r>
      <w:r w:rsidR="00394C1A">
        <w:t xml:space="preserve">hat assessed </w:t>
      </w:r>
      <w:proofErr w:type="spellStart"/>
      <w:r w:rsidR="00394C1A">
        <w:t>Ikervis</w:t>
      </w:r>
      <w:proofErr w:type="spellEnd"/>
      <w:r>
        <w:t xml:space="preserve"> for the treatment of dry eye disease in patients with severe keratitis which did not improving despite treatment with tear substitutes. In addition, the applicant pro</w:t>
      </w:r>
      <w:r w:rsidR="00394C1A">
        <w:t>vided data from the supportive P</w:t>
      </w:r>
      <w:r>
        <w:t xml:space="preserve">hase III SICCANOVE </w:t>
      </w:r>
      <w:r w:rsidR="002014C5">
        <w:t xml:space="preserve">trial </w:t>
      </w:r>
      <w:r>
        <w:t>in moderate to severe DED patients.</w:t>
      </w:r>
    </w:p>
    <w:p w14:paraId="25C9C0B2" w14:textId="5181C986" w:rsidR="00310C3F" w:rsidRDefault="00310C3F" w:rsidP="00310C3F">
      <w:r>
        <w:t xml:space="preserve">The selection of the dose used in </w:t>
      </w:r>
      <w:r w:rsidR="002014C5">
        <w:t xml:space="preserve">the </w:t>
      </w:r>
      <w:r>
        <w:t>SANSIKA</w:t>
      </w:r>
      <w:r w:rsidR="002014C5">
        <w:t xml:space="preserve"> </w:t>
      </w:r>
      <w:proofErr w:type="spellStart"/>
      <w:r w:rsidR="002014C5">
        <w:t>trial</w:t>
      </w:r>
      <w:r>
        <w:t>,</w:t>
      </w:r>
      <w:r w:rsidR="00D975DE">
        <w:t>that</w:t>
      </w:r>
      <w:proofErr w:type="spellEnd"/>
      <w:r w:rsidR="00D975DE">
        <w:t xml:space="preserve"> is,</w:t>
      </w:r>
      <w:r>
        <w:t xml:space="preserve"> one drop of NOVA22007</w:t>
      </w:r>
      <w:r w:rsidR="00394C1A">
        <w:t>;</w:t>
      </w:r>
      <w:bookmarkStart w:id="42" w:name="_Ref64279995"/>
      <w:r w:rsidR="00394C1A">
        <w:rPr>
          <w:rStyle w:val="FootnoteReference"/>
        </w:rPr>
        <w:footnoteReference w:id="11"/>
      </w:r>
      <w:bookmarkEnd w:id="42"/>
      <w:r>
        <w:t xml:space="preserve"> 0.1% (</w:t>
      </w:r>
      <w:r w:rsidRPr="00B6163E">
        <w:t>1</w:t>
      </w:r>
      <w:r w:rsidR="00B6163E">
        <w:t> </w:t>
      </w:r>
      <w:r w:rsidRPr="00B6163E">
        <w:t>mg</w:t>
      </w:r>
      <w:r>
        <w:t>/</w:t>
      </w:r>
      <w:r w:rsidR="0061367F">
        <w:t>mL</w:t>
      </w:r>
      <w:r>
        <w:t xml:space="preserve">) once daily at bedtime, was based on the results of the </w:t>
      </w:r>
      <w:r w:rsidR="002014C5">
        <w:t xml:space="preserve">PK </w:t>
      </w:r>
      <w:r>
        <w:t>studies conducted in rabbits as well as a</w:t>
      </w:r>
      <w:r w:rsidR="00394C1A">
        <w:t xml:space="preserve">vailable data from the </w:t>
      </w:r>
      <w:proofErr w:type="spellStart"/>
      <w:r w:rsidR="00394C1A">
        <w:t>Ikervis</w:t>
      </w:r>
      <w:proofErr w:type="spellEnd"/>
      <w:r>
        <w:t xml:space="preserve"> clinical trials programme. Based on the studies in rabbits, the applicant concluded that NOVA22007</w:t>
      </w:r>
      <w:r w:rsidR="00394C1A">
        <w:t>;</w:t>
      </w:r>
      <w:r w:rsidR="00394C1A">
        <w:rPr>
          <w:color w:val="2B579A"/>
          <w:shd w:val="clear" w:color="auto" w:fill="E6E6E6"/>
        </w:rPr>
        <w:fldChar w:fldCharType="begin"/>
      </w:r>
      <w:r w:rsidR="00394C1A">
        <w:instrText xml:space="preserve"> NOTEREF _Ref64279995 \f \h </w:instrText>
      </w:r>
      <w:r w:rsidR="00394C1A">
        <w:rPr>
          <w:color w:val="2B579A"/>
          <w:shd w:val="clear" w:color="auto" w:fill="E6E6E6"/>
        </w:rPr>
      </w:r>
      <w:r w:rsidR="00394C1A">
        <w:rPr>
          <w:color w:val="2B579A"/>
          <w:shd w:val="clear" w:color="auto" w:fill="E6E6E6"/>
        </w:rPr>
        <w:fldChar w:fldCharType="separate"/>
      </w:r>
      <w:r w:rsidR="00DB1D88" w:rsidRPr="00DB1D88">
        <w:rPr>
          <w:rStyle w:val="FootnoteReference"/>
        </w:rPr>
        <w:t>10</w:t>
      </w:r>
      <w:r w:rsidR="00394C1A">
        <w:rPr>
          <w:color w:val="2B579A"/>
          <w:shd w:val="clear" w:color="auto" w:fill="E6E6E6"/>
        </w:rPr>
        <w:fldChar w:fldCharType="end"/>
      </w:r>
      <w:r w:rsidR="00394C1A">
        <w:t xml:space="preserve"> 0.1% once a day (QD)</w:t>
      </w:r>
      <w:r>
        <w:t xml:space="preserve"> appeared to be similar to Restasis </w:t>
      </w:r>
      <w:r w:rsidR="00394C1A">
        <w:t>twice a day (</w:t>
      </w:r>
      <w:r>
        <w:t>BID</w:t>
      </w:r>
      <w:r w:rsidR="00394C1A">
        <w:t>)</w:t>
      </w:r>
      <w:r>
        <w:t xml:space="preserve"> (approved for treatment of DED in the US</w:t>
      </w:r>
      <w:r w:rsidR="00394C1A">
        <w:t>A</w:t>
      </w:r>
      <w:r>
        <w:t>) in terms of target tissue exposure (cornea and conjunctiva) in rabbits. The sponsor states that the selection of the dosing regimen was further s</w:t>
      </w:r>
      <w:r w:rsidR="00394C1A">
        <w:t>upported by the results of the two</w:t>
      </w:r>
      <w:r>
        <w:t xml:space="preserve"> Phase II clinical studies and by the </w:t>
      </w:r>
      <w:r w:rsidR="002014C5">
        <w:t xml:space="preserve">supportive </w:t>
      </w:r>
      <w:r>
        <w:t xml:space="preserve">Phase III SICCANOVE </w:t>
      </w:r>
      <w:r w:rsidR="002014C5">
        <w:t>trial</w:t>
      </w:r>
      <w:r>
        <w:t xml:space="preserve">. The sponsor also stated that the choice of dose was agreed with the </w:t>
      </w:r>
      <w:r w:rsidR="002014C5">
        <w:t xml:space="preserve">EU’s </w:t>
      </w:r>
      <w:r w:rsidR="00394C1A" w:rsidRPr="00394C1A">
        <w:t xml:space="preserve">Committee for Medicinal Products for Human Use </w:t>
      </w:r>
      <w:r w:rsidR="00394C1A">
        <w:t>(</w:t>
      </w:r>
      <w:r>
        <w:t>CHMP</w:t>
      </w:r>
      <w:r w:rsidR="00394C1A">
        <w:t>)</w:t>
      </w:r>
      <w:r>
        <w:t xml:space="preserve"> in 2006 to be the most appropriate dose regimen for evaluation in the Phase III SICCANOVE </w:t>
      </w:r>
      <w:r w:rsidR="002014C5">
        <w:t>trial</w:t>
      </w:r>
      <w:r>
        <w:t>.</w:t>
      </w:r>
    </w:p>
    <w:p w14:paraId="04D14305" w14:textId="477224BD" w:rsidR="00310C3F" w:rsidRDefault="002014C5" w:rsidP="00690EC0">
      <w:pPr>
        <w:pStyle w:val="Heading5"/>
      </w:pPr>
      <w:r>
        <w:t xml:space="preserve">Study </w:t>
      </w:r>
      <w:r w:rsidRPr="00310C3F">
        <w:t>NVG06C103</w:t>
      </w:r>
      <w:r>
        <w:t xml:space="preserve"> (</w:t>
      </w:r>
      <w:r w:rsidR="00310C3F">
        <w:t>SICCANOVE trial</w:t>
      </w:r>
      <w:r>
        <w:t>)</w:t>
      </w:r>
    </w:p>
    <w:p w14:paraId="233D8649" w14:textId="22076353" w:rsidR="00310C3F" w:rsidRDefault="002014C5" w:rsidP="00915244">
      <w:r>
        <w:t>This was a</w:t>
      </w:r>
      <w:r w:rsidR="00310C3F">
        <w:t xml:space="preserve"> Phase III, multicentr</w:t>
      </w:r>
      <w:r>
        <w:t>e</w:t>
      </w:r>
      <w:r w:rsidR="00310C3F">
        <w:t>, randomised, controlled, double-masked trial of NOVA22007</w:t>
      </w:r>
      <w:r w:rsidR="00394C1A">
        <w:t>;</w:t>
      </w:r>
      <w:r w:rsidR="00394C1A">
        <w:rPr>
          <w:color w:val="2B579A"/>
          <w:shd w:val="clear" w:color="auto" w:fill="E6E6E6"/>
        </w:rPr>
        <w:fldChar w:fldCharType="begin"/>
      </w:r>
      <w:r w:rsidR="00394C1A">
        <w:instrText xml:space="preserve"> NOTEREF _Ref64279995 \f \h </w:instrText>
      </w:r>
      <w:r w:rsidR="00394C1A">
        <w:rPr>
          <w:color w:val="2B579A"/>
          <w:shd w:val="clear" w:color="auto" w:fill="E6E6E6"/>
        </w:rPr>
      </w:r>
      <w:r w:rsidR="00394C1A">
        <w:rPr>
          <w:color w:val="2B579A"/>
          <w:shd w:val="clear" w:color="auto" w:fill="E6E6E6"/>
        </w:rPr>
        <w:fldChar w:fldCharType="separate"/>
      </w:r>
      <w:r w:rsidR="00DB1D88" w:rsidRPr="00DB1D88">
        <w:rPr>
          <w:rStyle w:val="FootnoteReference"/>
        </w:rPr>
        <w:t>10</w:t>
      </w:r>
      <w:r w:rsidR="00394C1A">
        <w:rPr>
          <w:color w:val="2B579A"/>
          <w:shd w:val="clear" w:color="auto" w:fill="E6E6E6"/>
        </w:rPr>
        <w:fldChar w:fldCharType="end"/>
      </w:r>
      <w:r w:rsidR="00310C3F">
        <w:t xml:space="preserve"> (ciclosporin 0.1%) ophthalmic cationic emulsion versus vehicle in patients with moderate to severe dry eye syndrome which enrolled patients with moderate to severe DED from 61 European centres. This study consisted of three phases: Screening, a </w:t>
      </w:r>
      <w:r w:rsidR="00340B6C">
        <w:t>2</w:t>
      </w:r>
      <w:r w:rsidR="007A7E31">
        <w:t xml:space="preserve"> </w:t>
      </w:r>
      <w:r w:rsidR="00340B6C">
        <w:t>week washout period (between screening and b</w:t>
      </w:r>
      <w:r w:rsidR="00394C1A">
        <w:t xml:space="preserve">aseline visits), and a six </w:t>
      </w:r>
      <w:r w:rsidR="00310C3F">
        <w:t>month double-masked treatmen</w:t>
      </w:r>
      <w:r w:rsidR="00394C1A">
        <w:t>t phase (</w:t>
      </w:r>
      <w:r>
        <w:t>B</w:t>
      </w:r>
      <w:r w:rsidR="00310C3F">
        <w:t>aseline to Mon</w:t>
      </w:r>
      <w:r w:rsidR="00340B6C">
        <w:t>th 6 visits).</w:t>
      </w:r>
      <w:r>
        <w:t xml:space="preserve"> </w:t>
      </w:r>
      <w:r w:rsidR="00340B6C">
        <w:t>The study include m</w:t>
      </w:r>
      <w:r w:rsidR="00310C3F">
        <w:t>ale or female patients, aged ≥</w:t>
      </w:r>
      <w:r w:rsidR="00340B6C">
        <w:t xml:space="preserve"> </w:t>
      </w:r>
      <w:r w:rsidR="00310C3F">
        <w:t>18 years, who had moderate to severe dry eye condition at Baseline persisting despite conventional management (which could include artificial tear drops, gels or ointments and punctual occlusion)</w:t>
      </w:r>
      <w:r w:rsidR="00340B6C">
        <w:t>.</w:t>
      </w:r>
    </w:p>
    <w:p w14:paraId="08A4B14F" w14:textId="3892D632" w:rsidR="00310C3F" w:rsidRDefault="00310C3F" w:rsidP="00915244">
      <w:r>
        <w:t>The study was designed to primarily demonstrate the superiority of NOVA22007</w:t>
      </w:r>
      <w:r w:rsidR="00340B6C">
        <w:t>;</w:t>
      </w:r>
      <w:r w:rsidR="00340B6C">
        <w:rPr>
          <w:color w:val="2B579A"/>
          <w:shd w:val="clear" w:color="auto" w:fill="E6E6E6"/>
        </w:rPr>
        <w:fldChar w:fldCharType="begin"/>
      </w:r>
      <w:r w:rsidR="00340B6C">
        <w:instrText xml:space="preserve"> NOTEREF _Ref64279995 \f \h </w:instrText>
      </w:r>
      <w:r w:rsidR="00340B6C">
        <w:rPr>
          <w:color w:val="2B579A"/>
          <w:shd w:val="clear" w:color="auto" w:fill="E6E6E6"/>
        </w:rPr>
      </w:r>
      <w:r w:rsidR="00340B6C">
        <w:rPr>
          <w:color w:val="2B579A"/>
          <w:shd w:val="clear" w:color="auto" w:fill="E6E6E6"/>
        </w:rPr>
        <w:fldChar w:fldCharType="separate"/>
      </w:r>
      <w:r w:rsidR="00DB1D88" w:rsidRPr="00DB1D88">
        <w:rPr>
          <w:rStyle w:val="FootnoteReference"/>
        </w:rPr>
        <w:t>10</w:t>
      </w:r>
      <w:r w:rsidR="00340B6C">
        <w:rPr>
          <w:color w:val="2B579A"/>
          <w:shd w:val="clear" w:color="auto" w:fill="E6E6E6"/>
        </w:rPr>
        <w:fldChar w:fldCharType="end"/>
      </w:r>
      <w:r>
        <w:t xml:space="preserve"> </w:t>
      </w:r>
      <w:r w:rsidR="00340B6C">
        <w:t xml:space="preserve">(ciclosporin 0.1%) </w:t>
      </w:r>
      <w:r>
        <w:t>ophthalmic emulsion, administered once</w:t>
      </w:r>
      <w:r w:rsidR="0098200D">
        <w:t xml:space="preserve"> daily versus vehicle after a six </w:t>
      </w:r>
      <w:r>
        <w:t xml:space="preserve">month treatment period (last patient last visit on 8 September 2009). Randomisation was centralised and stratified by </w:t>
      </w:r>
      <w:proofErr w:type="spellStart"/>
      <w:r>
        <w:t>Sjögren</w:t>
      </w:r>
      <w:proofErr w:type="spellEnd"/>
      <w:r>
        <w:t xml:space="preserve"> syndrome status.</w:t>
      </w:r>
      <w:r w:rsidR="00340B6C">
        <w:t xml:space="preserve"> </w:t>
      </w:r>
      <w:r>
        <w:t xml:space="preserve">Use of artificial tears was allowed but their intake was capped to no more than one drop, six times daily, in each eye, </w:t>
      </w:r>
      <w:r w:rsidR="00340B6C">
        <w:t>during the entire study period.</w:t>
      </w:r>
    </w:p>
    <w:p w14:paraId="3132D647" w14:textId="77777777" w:rsidR="00310C3F" w:rsidRDefault="00310C3F" w:rsidP="006B59B5">
      <w:pPr>
        <w:pageBreakBefore/>
      </w:pPr>
      <w:r>
        <w:t>The co-primary endpoints of this study were:</w:t>
      </w:r>
    </w:p>
    <w:p w14:paraId="06532C93" w14:textId="38E50C03" w:rsidR="00310C3F" w:rsidRDefault="00AA22AB" w:rsidP="00340B6C">
      <w:pPr>
        <w:pStyle w:val="ListBullet"/>
      </w:pPr>
      <w:r>
        <w:t>o</w:t>
      </w:r>
      <w:r w:rsidR="00310C3F">
        <w:t xml:space="preserve">bjective parameter: Change in corneal fluorescein staining (modified Oxford </w:t>
      </w:r>
      <w:r>
        <w:t>scale) from Baseline to Day 168</w:t>
      </w:r>
      <w:r w:rsidR="00617DCD">
        <w:t>; and</w:t>
      </w:r>
    </w:p>
    <w:p w14:paraId="3FE1C185" w14:textId="0395B2D4" w:rsidR="00310C3F" w:rsidRDefault="00AA22AB" w:rsidP="001776BE">
      <w:pPr>
        <w:pStyle w:val="ListBullet"/>
      </w:pPr>
      <w:r>
        <w:t>s</w:t>
      </w:r>
      <w:r w:rsidR="00310C3F">
        <w:t>ubjective parameter: Change in global score of ocular discomfort unrelated to study medication instillation (</w:t>
      </w:r>
      <w:r w:rsidR="001776BE">
        <w:t>visual analogue s</w:t>
      </w:r>
      <w:r w:rsidR="001776BE" w:rsidRPr="001776BE">
        <w:t>cale</w:t>
      </w:r>
      <w:r w:rsidR="00310C3F">
        <w:t>), from Baseline to Day 168.</w:t>
      </w:r>
    </w:p>
    <w:p w14:paraId="52C9D50C" w14:textId="0F77255B" w:rsidR="00310C3F" w:rsidRDefault="00310C3F" w:rsidP="00915244">
      <w:r>
        <w:t>Assessment of e</w:t>
      </w:r>
      <w:r w:rsidR="00AA22AB">
        <w:t>fficacy was made only with the ‘worst eligible eye’</w:t>
      </w:r>
      <w:r>
        <w:t>, which was the eye with the highest modified Oxford</w:t>
      </w:r>
      <w:r w:rsidR="00340B6C">
        <w:t xml:space="preserve"> score for corneal staining at B</w:t>
      </w:r>
      <w:r>
        <w:t>aseline; in case both eyes had the same degree of corneal staining, the right eye was considered. Relevant secondary endpoints are described under results.</w:t>
      </w:r>
    </w:p>
    <w:p w14:paraId="083D12CB" w14:textId="4336494B" w:rsidR="00310C3F" w:rsidRDefault="00310C3F" w:rsidP="00915244">
      <w:r>
        <w:t xml:space="preserve">Analyses were performed on the </w:t>
      </w:r>
      <w:r w:rsidR="00FD7F7A">
        <w:rPr>
          <w:rFonts w:eastAsiaTheme="minorHAnsi"/>
        </w:rPr>
        <w:t>full analysis s</w:t>
      </w:r>
      <w:r w:rsidR="00FD7F7A" w:rsidRPr="00575729">
        <w:rPr>
          <w:rFonts w:eastAsiaTheme="minorHAnsi"/>
        </w:rPr>
        <w:t>et</w:t>
      </w:r>
      <w:r w:rsidR="00FD7F7A">
        <w:t xml:space="preserve"> (</w:t>
      </w:r>
      <w:r>
        <w:t>FAS</w:t>
      </w:r>
      <w:r w:rsidR="00FD7F7A">
        <w:t>)</w:t>
      </w:r>
      <w:r>
        <w:t xml:space="preserve"> using an </w:t>
      </w:r>
      <w:r w:rsidR="00FD7F7A">
        <w:t>a</w:t>
      </w:r>
      <w:r w:rsidR="00FD7F7A" w:rsidRPr="00FD7F7A">
        <w:t xml:space="preserve">nalysis of covariance </w:t>
      </w:r>
      <w:r w:rsidR="00FD7F7A">
        <w:t>(</w:t>
      </w:r>
      <w:r>
        <w:t>ANCOVA</w:t>
      </w:r>
      <w:r w:rsidR="00FD7F7A">
        <w:t>)</w:t>
      </w:r>
      <w:r>
        <w:t xml:space="preserve"> model which included treatment with two levels (one for each treatment group), </w:t>
      </w:r>
      <w:proofErr w:type="spellStart"/>
      <w:r>
        <w:t>Sjögren</w:t>
      </w:r>
      <w:proofErr w:type="spellEnd"/>
      <w:r>
        <w:t xml:space="preserve"> status (with two levels: </w:t>
      </w:r>
      <w:proofErr w:type="spellStart"/>
      <w:r>
        <w:t>Sjögren</w:t>
      </w:r>
      <w:proofErr w:type="spellEnd"/>
      <w:r>
        <w:t>, non-</w:t>
      </w:r>
      <w:proofErr w:type="spellStart"/>
      <w:r w:rsidR="00FD7F7A">
        <w:t>Sjögren</w:t>
      </w:r>
      <w:proofErr w:type="spellEnd"/>
      <w:r w:rsidR="00FD7F7A">
        <w:t>) and the corresponding b</w:t>
      </w:r>
      <w:r>
        <w:t>as</w:t>
      </w:r>
      <w:r w:rsidR="00FD7F7A">
        <w:t>eline score (defined as the ‘main model’</w:t>
      </w:r>
      <w:r>
        <w:t>). The mean change from Base</w:t>
      </w:r>
      <w:r w:rsidR="00FD7F7A">
        <w:t xml:space="preserve">line was estimated by the least </w:t>
      </w:r>
      <w:r>
        <w:t>squares</w:t>
      </w:r>
      <w:r w:rsidR="00FD7F7A">
        <w:t xml:space="preserve"> (LS) means</w:t>
      </w:r>
      <w:r>
        <w:t xml:space="preserve">. No adjustments for multiplicity were done since statistical significance for both co-primary variables at the same significance level (5%) was required. In addition, secondary analyses were performed in the </w:t>
      </w:r>
      <w:r w:rsidR="00FD7F7A">
        <w:t>per protocol (</w:t>
      </w:r>
      <w:r>
        <w:t>PP</w:t>
      </w:r>
      <w:r w:rsidR="00FD7F7A">
        <w:t>)</w:t>
      </w:r>
      <w:r>
        <w:t xml:space="preserve"> population, based on the ANCOVA model as descr</w:t>
      </w:r>
      <w:r w:rsidR="00FD7F7A">
        <w:t>ibed above with country effect.</w:t>
      </w:r>
    </w:p>
    <w:p w14:paraId="61DC4A26" w14:textId="5A3362BF" w:rsidR="00310C3F" w:rsidRDefault="00310C3F" w:rsidP="00915244">
      <w:r>
        <w:t>The FAS included 489 patients and 142 (29.0%) had a major protocol deviation leading to 347 in the PP population. The most frequent major deviation was early withdrawal (n</w:t>
      </w:r>
      <w:r w:rsidR="00C07CC4">
        <w:t> </w:t>
      </w:r>
      <w:r>
        <w:t>=</w:t>
      </w:r>
      <w:r w:rsidR="00C07CC4">
        <w:t> </w:t>
      </w:r>
      <w:r>
        <w:t>62). Demographic and baseline dis</w:t>
      </w:r>
      <w:r w:rsidR="001776BE">
        <w:t>ease characteristics</w:t>
      </w:r>
      <w:r w:rsidR="00AA22AB">
        <w:t xml:space="preserve"> </w:t>
      </w:r>
      <w:r w:rsidR="001776BE">
        <w:t xml:space="preserve">appeared </w:t>
      </w:r>
      <w:r w:rsidR="00C07CC4">
        <w:t xml:space="preserve">balanced between the two treatment </w:t>
      </w:r>
      <w:r>
        <w:t>groups. The majority of patients were femal</w:t>
      </w:r>
      <w:r w:rsidR="00C07CC4">
        <w:t xml:space="preserve">e (84.5%) with a mean age of 58 to </w:t>
      </w:r>
      <w:r>
        <w:t>59 years. Nearly all patients were Caucasian (98.8%) and</w:t>
      </w:r>
      <w:r w:rsidR="00340B6C">
        <w:t xml:space="preserve"> 36.2% had </w:t>
      </w:r>
      <w:proofErr w:type="spellStart"/>
      <w:r w:rsidR="00340B6C">
        <w:t>Sjögren’s</w:t>
      </w:r>
      <w:proofErr w:type="spellEnd"/>
      <w:r w:rsidR="00340B6C">
        <w:t xml:space="preserve"> syndrome.</w:t>
      </w:r>
    </w:p>
    <w:p w14:paraId="7BE23EFE" w14:textId="26E23743" w:rsidR="00310C3F" w:rsidRDefault="00CF6683" w:rsidP="00340B6C">
      <w:pPr>
        <w:pStyle w:val="Heading6"/>
      </w:pPr>
      <w:r>
        <w:t>Results for the c</w:t>
      </w:r>
      <w:r w:rsidR="00C07CC4">
        <w:t>o-primary efficacy endpoint</w:t>
      </w:r>
    </w:p>
    <w:p w14:paraId="31977FEC" w14:textId="3428E608" w:rsidR="00310C3F" w:rsidRDefault="00AA22AB" w:rsidP="00C07CC4">
      <w:pPr>
        <w:pStyle w:val="ListBullet"/>
      </w:pPr>
      <w:r>
        <w:t>C</w:t>
      </w:r>
      <w:r w:rsidR="00310C3F">
        <w:t>o</w:t>
      </w:r>
      <w:r w:rsidR="00FD7F7A">
        <w:t>rneal fluorescein staining</w:t>
      </w:r>
      <w:r w:rsidR="00C07CC4">
        <w:t xml:space="preserve"> (CFS)</w:t>
      </w:r>
      <w:r w:rsidR="00FD7F7A">
        <w:t>: At B</w:t>
      </w:r>
      <w:r w:rsidR="00310C3F">
        <w:t xml:space="preserve">aseline, the mean CFS score (Oxford scale) was 2.83 and 2.80 in the </w:t>
      </w:r>
      <w:r w:rsidR="00617DCD">
        <w:t xml:space="preserve">cyclosporin </w:t>
      </w:r>
      <w:r w:rsidR="00310C3F">
        <w:t xml:space="preserve">and vehicle groups, respectively. In the FAS with </w:t>
      </w:r>
      <w:r w:rsidR="00C07CC4">
        <w:t>l</w:t>
      </w:r>
      <w:r w:rsidR="00C07CC4" w:rsidRPr="00C07CC4">
        <w:t xml:space="preserve">ast observation carried forward </w:t>
      </w:r>
      <w:r w:rsidR="00C07CC4">
        <w:t>(</w:t>
      </w:r>
      <w:r w:rsidR="00310C3F">
        <w:t>LOCF</w:t>
      </w:r>
      <w:r w:rsidR="00C07CC4">
        <w:t>), the mean change from Baseline to D</w:t>
      </w:r>
      <w:r w:rsidR="00310C3F">
        <w:t>ay 168 was -</w:t>
      </w:r>
      <w:r w:rsidR="00E06B45">
        <w:t> </w:t>
      </w:r>
      <w:r w:rsidR="00310C3F">
        <w:t xml:space="preserve">1.05 and -0.82 in the respectively groups with a difference of -0.22 (95% </w:t>
      </w:r>
      <w:r w:rsidR="006C12D0">
        <w:t>confidence interval (</w:t>
      </w:r>
      <w:r w:rsidR="00310C3F">
        <w:t>CI</w:t>
      </w:r>
      <w:r w:rsidR="006C12D0">
        <w:t>)</w:t>
      </w:r>
      <w:r w:rsidR="00310C3F">
        <w:t>: -0.39,</w:t>
      </w:r>
      <w:r w:rsidR="008B5290">
        <w:t xml:space="preserve"> -0.06 p</w:t>
      </w:r>
      <w:r w:rsidR="006C12D0">
        <w:t xml:space="preserve"> </w:t>
      </w:r>
      <w:r w:rsidR="008B5290">
        <w:t>=</w:t>
      </w:r>
      <w:r w:rsidR="006C12D0">
        <w:t xml:space="preserve"> </w:t>
      </w:r>
      <w:r w:rsidR="008B5290">
        <w:t>0.009) (ANCOVA model).</w:t>
      </w:r>
    </w:p>
    <w:p w14:paraId="1C135F12" w14:textId="779FAE32" w:rsidR="00310C3F" w:rsidRDefault="00310C3F" w:rsidP="00340B6C">
      <w:pPr>
        <w:pStyle w:val="ListBullet"/>
        <w:numPr>
          <w:ilvl w:val="0"/>
          <w:numId w:val="0"/>
        </w:numPr>
        <w:ind w:left="360"/>
      </w:pPr>
      <w:r>
        <w:t>The detected between group difference of 0.22 on the CFS score was just below the level of 0.25 that was deemed clinically relevant by the sponsor in the sample size calculations.</w:t>
      </w:r>
      <w:bookmarkStart w:id="43" w:name="_Ref65670169"/>
      <w:r w:rsidR="00EF0E6D">
        <w:rPr>
          <w:rStyle w:val="FootnoteReference"/>
        </w:rPr>
        <w:footnoteReference w:id="12"/>
      </w:r>
      <w:bookmarkEnd w:id="43"/>
    </w:p>
    <w:p w14:paraId="2E330351" w14:textId="37187C74" w:rsidR="00310C3F" w:rsidRDefault="00310C3F" w:rsidP="00340B6C">
      <w:pPr>
        <w:pStyle w:val="ListBullet"/>
        <w:numPr>
          <w:ilvl w:val="0"/>
          <w:numId w:val="0"/>
        </w:numPr>
        <w:ind w:left="360"/>
      </w:pPr>
      <w:r>
        <w:t>In the PP population, the between group treatment difference in CFS score was -0.30, which was statistically significant using the logistic r</w:t>
      </w:r>
      <w:r w:rsidR="006C12D0">
        <w:t>egression (Odd ratios (OR)</w:t>
      </w:r>
      <w:r>
        <w:t xml:space="preserve"> 1.84, 95% CI: 1.04, 2.71).</w:t>
      </w:r>
    </w:p>
    <w:p w14:paraId="761302BB" w14:textId="70425EA4" w:rsidR="00310C3F" w:rsidRDefault="00310C3F" w:rsidP="001301A8">
      <w:pPr>
        <w:pStyle w:val="ListBullet"/>
      </w:pPr>
      <w:r>
        <w:t xml:space="preserve">The mean change in global ocular discomfort </w:t>
      </w:r>
      <w:r w:rsidR="001301A8">
        <w:t>visual analogue s</w:t>
      </w:r>
      <w:r w:rsidR="001301A8" w:rsidRPr="001301A8">
        <w:t xml:space="preserve">cale </w:t>
      </w:r>
      <w:r w:rsidR="001301A8">
        <w:t>(</w:t>
      </w:r>
      <w:r>
        <w:t>VAS</w:t>
      </w:r>
      <w:r w:rsidR="001301A8">
        <w:t>)</w:t>
      </w:r>
      <w:r>
        <w:t xml:space="preserve"> score from Baseline to Day 168 was -12.82 (NOVA22007)</w:t>
      </w:r>
      <w:r w:rsidR="006C12D0">
        <w:rPr>
          <w:color w:val="2B579A"/>
          <w:shd w:val="clear" w:color="auto" w:fill="E6E6E6"/>
        </w:rPr>
        <w:fldChar w:fldCharType="begin"/>
      </w:r>
      <w:r w:rsidR="006C12D0">
        <w:instrText xml:space="preserve"> NOTEREF _Ref64279995 \f \h </w:instrText>
      </w:r>
      <w:r w:rsidR="006C12D0">
        <w:rPr>
          <w:color w:val="2B579A"/>
          <w:shd w:val="clear" w:color="auto" w:fill="E6E6E6"/>
        </w:rPr>
      </w:r>
      <w:r w:rsidR="006C12D0">
        <w:rPr>
          <w:color w:val="2B579A"/>
          <w:shd w:val="clear" w:color="auto" w:fill="E6E6E6"/>
        </w:rPr>
        <w:fldChar w:fldCharType="separate"/>
      </w:r>
      <w:r w:rsidR="00DB1D88" w:rsidRPr="00DB1D88">
        <w:rPr>
          <w:rStyle w:val="FootnoteReference"/>
        </w:rPr>
        <w:t>10</w:t>
      </w:r>
      <w:r w:rsidR="006C12D0">
        <w:rPr>
          <w:color w:val="2B579A"/>
          <w:shd w:val="clear" w:color="auto" w:fill="E6E6E6"/>
        </w:rPr>
        <w:fldChar w:fldCharType="end"/>
      </w:r>
      <w:r>
        <w:t xml:space="preserve"> and -11.21 (Vehicle). No statistically significant difference between treatment groups was shown using an ANCOVA model (p</w:t>
      </w:r>
      <w:r w:rsidR="006C12D0">
        <w:t xml:space="preserve"> </w:t>
      </w:r>
      <w:r>
        <w:t>=</w:t>
      </w:r>
      <w:r w:rsidR="006C12D0">
        <w:t xml:space="preserve"> </w:t>
      </w:r>
      <w:r>
        <w:t>0.808) for this subjective endpoint. Similar results were shown in the PP population.</w:t>
      </w:r>
    </w:p>
    <w:p w14:paraId="4724DFD9" w14:textId="5AB7DB4A" w:rsidR="00310C3F" w:rsidRDefault="00CF6683" w:rsidP="006B59B5">
      <w:pPr>
        <w:pStyle w:val="Heading6"/>
        <w:pageBreakBefore/>
      </w:pPr>
      <w:r>
        <w:t>Results for the s</w:t>
      </w:r>
      <w:r w:rsidR="00310C3F">
        <w:t>econdary efficacy endpoints</w:t>
      </w:r>
    </w:p>
    <w:p w14:paraId="2E8A59DF" w14:textId="4F871206" w:rsidR="00310C3F" w:rsidRDefault="00310C3F" w:rsidP="00340B6C">
      <w:pPr>
        <w:pStyle w:val="ListBullet"/>
      </w:pPr>
      <w:r>
        <w:t xml:space="preserve">The effect on mean change in CFS score was seen from one month with </w:t>
      </w:r>
      <w:r w:rsidR="006C12D0">
        <w:t>a mean change from B</w:t>
      </w:r>
      <w:r w:rsidR="00340B6C">
        <w:t>aseline to D</w:t>
      </w:r>
      <w:r>
        <w:t>a</w:t>
      </w:r>
      <w:r w:rsidR="00340B6C">
        <w:t>y 28 of -0.77 and -0.52 and to D</w:t>
      </w:r>
      <w:r>
        <w:t>ay 84 of -0.92 and -0.70 in the NOVA22007</w:t>
      </w:r>
      <w:r w:rsidR="006C12D0">
        <w:t>;</w:t>
      </w:r>
      <w:r w:rsidR="006C12D0">
        <w:rPr>
          <w:color w:val="2B579A"/>
          <w:shd w:val="clear" w:color="auto" w:fill="E6E6E6"/>
        </w:rPr>
        <w:fldChar w:fldCharType="begin"/>
      </w:r>
      <w:r w:rsidR="006C12D0">
        <w:instrText xml:space="preserve"> NOTEREF _Ref64279995 \f \h </w:instrText>
      </w:r>
      <w:r w:rsidR="006C12D0">
        <w:rPr>
          <w:color w:val="2B579A"/>
          <w:shd w:val="clear" w:color="auto" w:fill="E6E6E6"/>
        </w:rPr>
      </w:r>
      <w:r w:rsidR="006C12D0">
        <w:rPr>
          <w:color w:val="2B579A"/>
          <w:shd w:val="clear" w:color="auto" w:fill="E6E6E6"/>
        </w:rPr>
        <w:fldChar w:fldCharType="separate"/>
      </w:r>
      <w:r w:rsidR="00DB1D88" w:rsidRPr="00DB1D88">
        <w:rPr>
          <w:rStyle w:val="FootnoteReference"/>
        </w:rPr>
        <w:t>10</w:t>
      </w:r>
      <w:r w:rsidR="006C12D0">
        <w:rPr>
          <w:color w:val="2B579A"/>
          <w:shd w:val="clear" w:color="auto" w:fill="E6E6E6"/>
        </w:rPr>
        <w:fldChar w:fldCharType="end"/>
      </w:r>
      <w:r>
        <w:t xml:space="preserve"> an</w:t>
      </w:r>
      <w:r w:rsidR="00340B6C">
        <w:t>d vehicle groups, respectively.</w:t>
      </w:r>
    </w:p>
    <w:p w14:paraId="0CA67FEE" w14:textId="148F6934" w:rsidR="00310C3F" w:rsidRDefault="00AE5972" w:rsidP="00340B6C">
      <w:pPr>
        <w:pStyle w:val="ListBullet"/>
      </w:pPr>
      <w:r>
        <w:t>At B</w:t>
      </w:r>
      <w:r w:rsidR="00310C3F">
        <w:t xml:space="preserve">aseline, the score for </w:t>
      </w:r>
      <w:proofErr w:type="spellStart"/>
      <w:r w:rsidR="00310C3F">
        <w:t>lissamine</w:t>
      </w:r>
      <w:proofErr w:type="spellEnd"/>
      <w:r w:rsidR="00310C3F">
        <w:t xml:space="preserve"> green staining of the </w:t>
      </w:r>
      <w:proofErr w:type="spellStart"/>
      <w:r w:rsidR="00310C3F">
        <w:t>interpalpebral</w:t>
      </w:r>
      <w:proofErr w:type="spellEnd"/>
      <w:r w:rsidR="00310C3F">
        <w:t xml:space="preserve"> conjunctiva for NOVA22007</w:t>
      </w:r>
      <w:r w:rsidR="006C12D0">
        <w:t>;</w:t>
      </w:r>
      <w:r w:rsidR="006C12D0">
        <w:rPr>
          <w:color w:val="2B579A"/>
          <w:shd w:val="clear" w:color="auto" w:fill="E6E6E6"/>
        </w:rPr>
        <w:fldChar w:fldCharType="begin"/>
      </w:r>
      <w:r w:rsidR="006C12D0">
        <w:instrText xml:space="preserve"> NOTEREF _Ref64279995 \f \h </w:instrText>
      </w:r>
      <w:r w:rsidR="006C12D0">
        <w:rPr>
          <w:color w:val="2B579A"/>
          <w:shd w:val="clear" w:color="auto" w:fill="E6E6E6"/>
        </w:rPr>
      </w:r>
      <w:r w:rsidR="006C12D0">
        <w:rPr>
          <w:color w:val="2B579A"/>
          <w:shd w:val="clear" w:color="auto" w:fill="E6E6E6"/>
        </w:rPr>
        <w:fldChar w:fldCharType="separate"/>
      </w:r>
      <w:r w:rsidR="00DB1D88" w:rsidRPr="00DB1D88">
        <w:rPr>
          <w:rStyle w:val="FootnoteReference"/>
        </w:rPr>
        <w:t>10</w:t>
      </w:r>
      <w:r w:rsidR="006C12D0">
        <w:rPr>
          <w:color w:val="2B579A"/>
          <w:shd w:val="clear" w:color="auto" w:fill="E6E6E6"/>
        </w:rPr>
        <w:fldChar w:fldCharType="end"/>
      </w:r>
      <w:r w:rsidR="00310C3F">
        <w:t xml:space="preserve"> group versus vehicle were was 5.68 and 5.71 a</w:t>
      </w:r>
      <w:r w:rsidR="006C12D0">
        <w:t>nd in the FAS at D</w:t>
      </w:r>
      <w:r w:rsidR="00340B6C">
        <w:t>ay</w:t>
      </w:r>
      <w:r w:rsidR="00617DCD">
        <w:t> </w:t>
      </w:r>
      <w:r w:rsidR="00340B6C">
        <w:t>168,</w:t>
      </w:r>
      <w:r w:rsidR="00617DCD">
        <w:t xml:space="preserve"> </w:t>
      </w:r>
      <w:r w:rsidR="00340B6C">
        <w:t>it was</w:t>
      </w:r>
      <w:r w:rsidR="00310C3F">
        <w:t xml:space="preserve"> -2.37 v</w:t>
      </w:r>
      <w:r w:rsidR="00340B6C">
        <w:t>er</w:t>
      </w:r>
      <w:r w:rsidR="00310C3F">
        <w:t>s</w:t>
      </w:r>
      <w:r w:rsidR="00340B6C">
        <w:t>us</w:t>
      </w:r>
      <w:r w:rsidR="00310C3F">
        <w:t>. -2.18.</w:t>
      </w:r>
    </w:p>
    <w:p w14:paraId="6A867E9D" w14:textId="57930800" w:rsidR="00310C3F" w:rsidRDefault="00310C3F" w:rsidP="00340B6C">
      <w:pPr>
        <w:pStyle w:val="ListBullet"/>
      </w:pPr>
      <w:r>
        <w:t>Ocular discomfort response was defined as a ≥</w:t>
      </w:r>
      <w:r w:rsidR="006C12D0">
        <w:t xml:space="preserve"> 25% decrease from B</w:t>
      </w:r>
      <w:r>
        <w:t>aseline in the VAS score. The r</w:t>
      </w:r>
      <w:r w:rsidR="00340B6C">
        <w:t>ate at D</w:t>
      </w:r>
      <w:r>
        <w:t>ay 168 in the NOVA22007</w:t>
      </w:r>
      <w:r w:rsidR="006C12D0">
        <w:t>;</w:t>
      </w:r>
      <w:r w:rsidR="006C12D0">
        <w:rPr>
          <w:color w:val="2B579A"/>
          <w:shd w:val="clear" w:color="auto" w:fill="E6E6E6"/>
        </w:rPr>
        <w:fldChar w:fldCharType="begin"/>
      </w:r>
      <w:r w:rsidR="006C12D0">
        <w:instrText xml:space="preserve"> NOTEREF _Ref64279995 \f \h </w:instrText>
      </w:r>
      <w:r w:rsidR="006C12D0">
        <w:rPr>
          <w:color w:val="2B579A"/>
          <w:shd w:val="clear" w:color="auto" w:fill="E6E6E6"/>
        </w:rPr>
      </w:r>
      <w:r w:rsidR="006C12D0">
        <w:rPr>
          <w:color w:val="2B579A"/>
          <w:shd w:val="clear" w:color="auto" w:fill="E6E6E6"/>
        </w:rPr>
        <w:fldChar w:fldCharType="separate"/>
      </w:r>
      <w:r w:rsidR="00DB1D88" w:rsidRPr="00DB1D88">
        <w:rPr>
          <w:rStyle w:val="FootnoteReference"/>
        </w:rPr>
        <w:t>10</w:t>
      </w:r>
      <w:r w:rsidR="006C12D0">
        <w:rPr>
          <w:color w:val="2B579A"/>
          <w:shd w:val="clear" w:color="auto" w:fill="E6E6E6"/>
        </w:rPr>
        <w:fldChar w:fldCharType="end"/>
      </w:r>
      <w:r>
        <w:t xml:space="preserve"> </w:t>
      </w:r>
      <w:r w:rsidR="006C12D0">
        <w:t>versu</w:t>
      </w:r>
      <w:r>
        <w:t>s vehicle groups were 50.1% v</w:t>
      </w:r>
      <w:r w:rsidR="00340B6C">
        <w:t>er</w:t>
      </w:r>
      <w:r>
        <w:t>s</w:t>
      </w:r>
      <w:r w:rsidR="00340B6C">
        <w:t>us</w:t>
      </w:r>
      <w:r>
        <w:t xml:space="preserve"> 41.9%. </w:t>
      </w:r>
    </w:p>
    <w:p w14:paraId="44B42CDE" w14:textId="7001A9DF" w:rsidR="00310C3F" w:rsidRDefault="00310C3F" w:rsidP="006C12D0">
      <w:pPr>
        <w:pStyle w:val="ListBullet"/>
      </w:pPr>
      <w:r>
        <w:t xml:space="preserve">The response was similar between groups for Schirmer’s tear test score, </w:t>
      </w:r>
      <w:r w:rsidR="006C12D0">
        <w:t>tear break-up t</w:t>
      </w:r>
      <w:r w:rsidR="006C12D0" w:rsidRPr="006C12D0">
        <w:t xml:space="preserve">ime </w:t>
      </w:r>
      <w:r w:rsidR="006C12D0">
        <w:t>(</w:t>
      </w:r>
      <w:r>
        <w:t>TBUT</w:t>
      </w:r>
      <w:r w:rsidR="006C12D0">
        <w:t>)</w:t>
      </w:r>
      <w:r>
        <w:t xml:space="preserve">, complete responders in CFS, </w:t>
      </w:r>
      <w:r w:rsidR="006C12D0" w:rsidRPr="006C12D0">
        <w:t>Ocular Surface Diseas</w:t>
      </w:r>
      <w:r w:rsidR="006C12D0">
        <w:t>e</w:t>
      </w:r>
      <w:r w:rsidR="006C12D0" w:rsidRPr="006C12D0">
        <w:t xml:space="preserve"> Index </w:t>
      </w:r>
      <w:r w:rsidR="006C12D0">
        <w:t>(</w:t>
      </w:r>
      <w:r>
        <w:t>OSDI</w:t>
      </w:r>
      <w:r w:rsidR="006C12D0">
        <w:t>)</w:t>
      </w:r>
      <w:r>
        <w:t xml:space="preserve"> score, and overall evaluation of efficacy by the investigator.</w:t>
      </w:r>
    </w:p>
    <w:p w14:paraId="1F1B8A01" w14:textId="7EB57CEC" w:rsidR="00310C3F" w:rsidRDefault="00310C3F" w:rsidP="00340B6C">
      <w:pPr>
        <w:pStyle w:val="Heading6"/>
      </w:pPr>
      <w:r>
        <w:t>Post-hoc analysis</w:t>
      </w:r>
    </w:p>
    <w:p w14:paraId="7E8A0E31" w14:textId="21F09E0B" w:rsidR="00310C3F" w:rsidRDefault="00310C3F" w:rsidP="00340B6C">
      <w:pPr>
        <w:pStyle w:val="ListBullet"/>
      </w:pPr>
      <w:r>
        <w:t>The improvement in CFS score was greatest in those with more severe disease, particularly those w</w:t>
      </w:r>
      <w:r w:rsidR="00B34829">
        <w:t>ith a baseline CFS severity of four.</w:t>
      </w:r>
      <w:r>
        <w:t xml:space="preserve"> Following discussions with the </w:t>
      </w:r>
      <w:r w:rsidR="00617DCD">
        <w:t>European Medicines Agency (</w:t>
      </w:r>
      <w:r>
        <w:t>EMA</w:t>
      </w:r>
      <w:r w:rsidR="00617DCD">
        <w:t>)</w:t>
      </w:r>
      <w:r>
        <w:t>, the sponsor conducted an analysis on the subgroup of patients with CFS score ≥3 and OSDI score ≥</w:t>
      </w:r>
      <w:r w:rsidR="00AE5972">
        <w:t xml:space="preserve"> 23 at B</w:t>
      </w:r>
      <w:r>
        <w:t>aseline. This g</w:t>
      </w:r>
      <w:r w:rsidR="00B34829">
        <w:t>roup included 246 subjects. At D</w:t>
      </w:r>
      <w:r>
        <w:t>ay 168, the percentage of CFS responders (≥</w:t>
      </w:r>
      <w:r w:rsidR="00617DCD">
        <w:t> </w:t>
      </w:r>
      <w:r>
        <w:t>2 grades improvement in CFS on the modified Oxford scale) was 32.0% v</w:t>
      </w:r>
      <w:r w:rsidR="00B34829">
        <w:t>er</w:t>
      </w:r>
      <w:r>
        <w:t>s</w:t>
      </w:r>
      <w:r w:rsidR="00B34829">
        <w:t>us</w:t>
      </w:r>
      <w:r>
        <w:t xml:space="preserve"> 20.3% in the NOVA22007</w:t>
      </w:r>
      <w:r w:rsidR="00B34829">
        <w:t>;</w:t>
      </w:r>
      <w:r w:rsidR="00B34829">
        <w:rPr>
          <w:color w:val="2B579A"/>
          <w:shd w:val="clear" w:color="auto" w:fill="E6E6E6"/>
        </w:rPr>
        <w:fldChar w:fldCharType="begin"/>
      </w:r>
      <w:r w:rsidR="00B34829">
        <w:instrText xml:space="preserve"> NOTEREF _Ref64279995 \f \h </w:instrText>
      </w:r>
      <w:r w:rsidR="00B34829">
        <w:rPr>
          <w:color w:val="2B579A"/>
          <w:shd w:val="clear" w:color="auto" w:fill="E6E6E6"/>
        </w:rPr>
      </w:r>
      <w:r w:rsidR="00B34829">
        <w:rPr>
          <w:color w:val="2B579A"/>
          <w:shd w:val="clear" w:color="auto" w:fill="E6E6E6"/>
        </w:rPr>
        <w:fldChar w:fldCharType="separate"/>
      </w:r>
      <w:r w:rsidR="00DB1D88" w:rsidRPr="00DB1D88">
        <w:rPr>
          <w:rStyle w:val="FootnoteReference"/>
        </w:rPr>
        <w:t>10</w:t>
      </w:r>
      <w:r w:rsidR="00B34829">
        <w:rPr>
          <w:color w:val="2B579A"/>
          <w:shd w:val="clear" w:color="auto" w:fill="E6E6E6"/>
        </w:rPr>
        <w:fldChar w:fldCharType="end"/>
      </w:r>
      <w:r>
        <w:t xml:space="preserve"> and vehicle groups, respectively (p</w:t>
      </w:r>
      <w:r w:rsidR="00B34829">
        <w:t xml:space="preserve"> </w:t>
      </w:r>
      <w:r>
        <w:t>=</w:t>
      </w:r>
      <w:r w:rsidR="00B34829">
        <w:t xml:space="preserve"> </w:t>
      </w:r>
      <w:r>
        <w:t>0.047). For the symptoms, the percentage of responders on the OSDI (≥</w:t>
      </w:r>
      <w:r w:rsidR="00B34829">
        <w:t xml:space="preserve"> </w:t>
      </w:r>
      <w:r>
        <w:t>30% improvement) was not significantly different between groups (42.2% v</w:t>
      </w:r>
      <w:r w:rsidR="00B34829">
        <w:t>er</w:t>
      </w:r>
      <w:r>
        <w:t>s</w:t>
      </w:r>
      <w:r w:rsidR="00B34829">
        <w:t>us</w:t>
      </w:r>
      <w:r>
        <w:t xml:space="preserve"> 33.1%, p</w:t>
      </w:r>
      <w:r w:rsidR="00B34829">
        <w:t> </w:t>
      </w:r>
      <w:r>
        <w:t>=</w:t>
      </w:r>
      <w:r w:rsidR="00B34829">
        <w:t> </w:t>
      </w:r>
      <w:r>
        <w:t>0.180). The composite responder rate (CFS ≥</w:t>
      </w:r>
      <w:r w:rsidR="00B34829">
        <w:t xml:space="preserve"> </w:t>
      </w:r>
      <w:r>
        <w:t>2 grades and OSDI ≥</w:t>
      </w:r>
      <w:r w:rsidR="00B34829">
        <w:t xml:space="preserve"> </w:t>
      </w:r>
      <w:r>
        <w:t>30%</w:t>
      </w:r>
      <w:r w:rsidR="00340B6C">
        <w:t>) was 19.5% v</w:t>
      </w:r>
      <w:r w:rsidR="00B34829">
        <w:t>ersu</w:t>
      </w:r>
      <w:r w:rsidR="00340B6C">
        <w:t>s 10.2% (p</w:t>
      </w:r>
      <w:r w:rsidR="00B34829">
        <w:t xml:space="preserve"> </w:t>
      </w:r>
      <w:r w:rsidR="00340B6C">
        <w:t>=</w:t>
      </w:r>
      <w:r w:rsidR="00B34829">
        <w:t xml:space="preserve"> </w:t>
      </w:r>
      <w:r w:rsidR="00340B6C">
        <w:t>0.049).</w:t>
      </w:r>
    </w:p>
    <w:p w14:paraId="72B124BF" w14:textId="410DA094" w:rsidR="00310C3F" w:rsidRDefault="00310C3F" w:rsidP="00783FC2">
      <w:pPr>
        <w:pStyle w:val="ListBullet"/>
      </w:pPr>
      <w:r>
        <w:t>Analysis of the smaller group</w:t>
      </w:r>
      <w:r w:rsidR="00B34829">
        <w:t xml:space="preserve"> of subjects with CFS score of four at B</w:t>
      </w:r>
      <w:r>
        <w:t>aseline (n</w:t>
      </w:r>
      <w:r w:rsidR="00B34829">
        <w:t> </w:t>
      </w:r>
      <w:r>
        <w:t>=</w:t>
      </w:r>
      <w:r w:rsidR="00B34829">
        <w:t> </w:t>
      </w:r>
      <w:r>
        <w:t>85) found an effect in favour of NOVA22007</w:t>
      </w:r>
      <w:r w:rsidR="00B34829">
        <w:t>;</w:t>
      </w:r>
      <w:r w:rsidR="00B34829">
        <w:rPr>
          <w:color w:val="2B579A"/>
          <w:shd w:val="clear" w:color="auto" w:fill="E6E6E6"/>
        </w:rPr>
        <w:fldChar w:fldCharType="begin"/>
      </w:r>
      <w:r w:rsidR="00B34829">
        <w:instrText xml:space="preserve"> NOTEREF _Ref64279995 \f \h </w:instrText>
      </w:r>
      <w:r w:rsidR="00B34829">
        <w:rPr>
          <w:color w:val="2B579A"/>
          <w:shd w:val="clear" w:color="auto" w:fill="E6E6E6"/>
        </w:rPr>
      </w:r>
      <w:r w:rsidR="00B34829">
        <w:rPr>
          <w:color w:val="2B579A"/>
          <w:shd w:val="clear" w:color="auto" w:fill="E6E6E6"/>
        </w:rPr>
        <w:fldChar w:fldCharType="separate"/>
      </w:r>
      <w:r w:rsidR="00DB1D88" w:rsidRPr="00DB1D88">
        <w:rPr>
          <w:rStyle w:val="FootnoteReference"/>
        </w:rPr>
        <w:t>10</w:t>
      </w:r>
      <w:r w:rsidR="00B34829">
        <w:rPr>
          <w:color w:val="2B579A"/>
          <w:shd w:val="clear" w:color="auto" w:fill="E6E6E6"/>
        </w:rPr>
        <w:fldChar w:fldCharType="end"/>
      </w:r>
      <w:r>
        <w:t xml:space="preserve"> on CFS, </w:t>
      </w:r>
      <w:proofErr w:type="spellStart"/>
      <w:r>
        <w:t>lissamine</w:t>
      </w:r>
      <w:proofErr w:type="spellEnd"/>
      <w:r>
        <w:t xml:space="preserve"> green staining, Schirmer’s test and CFS responder rates. For subjects with a CFS</w:t>
      </w:r>
      <w:r w:rsidR="00B34829">
        <w:t xml:space="preserve"> </w:t>
      </w:r>
      <w:r>
        <w:t>=</w:t>
      </w:r>
      <w:r w:rsidR="00AA22AB">
        <w:t xml:space="preserve"> </w:t>
      </w:r>
      <w:r w:rsidR="00B34829">
        <w:t xml:space="preserve">4 and an </w:t>
      </w:r>
      <w:r w:rsidR="00783FC2">
        <w:t>o</w:t>
      </w:r>
      <w:r w:rsidR="00783FC2" w:rsidRPr="00783FC2">
        <w:t xml:space="preserve">cular surface disease index </w:t>
      </w:r>
      <w:r w:rsidR="00783FC2">
        <w:t>(</w:t>
      </w:r>
      <w:r w:rsidR="00B34829">
        <w:t>OSDI</w:t>
      </w:r>
      <w:r w:rsidR="00783FC2">
        <w:t>)</w:t>
      </w:r>
      <w:r w:rsidR="00B34829">
        <w:t xml:space="preserve"> 23 (</w:t>
      </w:r>
      <w:r w:rsidR="00B35E8C">
        <w:t xml:space="preserve">that is, </w:t>
      </w:r>
      <w:r>
        <w:t>severe keratitis, n</w:t>
      </w:r>
      <w:r w:rsidR="00B34829">
        <w:t xml:space="preserve"> </w:t>
      </w:r>
      <w:r>
        <w:t>=</w:t>
      </w:r>
      <w:r w:rsidR="00B34829">
        <w:t xml:space="preserve"> 75) at B</w:t>
      </w:r>
      <w:r>
        <w:t>aseline, the composite responder rate was 30.8% in the NOVA22007</w:t>
      </w:r>
      <w:r w:rsidR="00B34829">
        <w:t>;</w:t>
      </w:r>
      <w:r w:rsidR="00B34829">
        <w:rPr>
          <w:color w:val="2B579A"/>
          <w:shd w:val="clear" w:color="auto" w:fill="E6E6E6"/>
        </w:rPr>
        <w:fldChar w:fldCharType="begin"/>
      </w:r>
      <w:r w:rsidR="00B34829">
        <w:instrText xml:space="preserve"> NOTEREF _Ref64279995 \f \h </w:instrText>
      </w:r>
      <w:r w:rsidR="00B34829">
        <w:rPr>
          <w:color w:val="2B579A"/>
          <w:shd w:val="clear" w:color="auto" w:fill="E6E6E6"/>
        </w:rPr>
      </w:r>
      <w:r w:rsidR="00B34829">
        <w:rPr>
          <w:color w:val="2B579A"/>
          <w:shd w:val="clear" w:color="auto" w:fill="E6E6E6"/>
        </w:rPr>
        <w:fldChar w:fldCharType="separate"/>
      </w:r>
      <w:r w:rsidR="00DB1D88" w:rsidRPr="00DB1D88">
        <w:rPr>
          <w:rStyle w:val="FootnoteReference"/>
        </w:rPr>
        <w:t>10</w:t>
      </w:r>
      <w:r w:rsidR="00B34829">
        <w:rPr>
          <w:color w:val="2B579A"/>
          <w:shd w:val="clear" w:color="auto" w:fill="E6E6E6"/>
        </w:rPr>
        <w:fldChar w:fldCharType="end"/>
      </w:r>
      <w:r w:rsidR="00B34829">
        <w:t xml:space="preserve"> </w:t>
      </w:r>
      <w:r>
        <w:t>group and 5.6% in the vehicle group</w:t>
      </w:r>
      <w:r w:rsidR="00340B6C">
        <w:t>.</w:t>
      </w:r>
    </w:p>
    <w:p w14:paraId="156F4A37" w14:textId="2960CF6D" w:rsidR="00340B6C" w:rsidRDefault="00617DCD" w:rsidP="00690EC0">
      <w:pPr>
        <w:pStyle w:val="Heading5"/>
      </w:pPr>
      <w:r>
        <w:t>Study NVG10E117 (</w:t>
      </w:r>
      <w:r w:rsidR="00340B6C">
        <w:t>SANSIKA trial</w:t>
      </w:r>
      <w:r>
        <w:t>)</w:t>
      </w:r>
    </w:p>
    <w:p w14:paraId="143AA9FD" w14:textId="7C943C68" w:rsidR="00340B6C" w:rsidRDefault="00617DCD" w:rsidP="00340B6C">
      <w:r>
        <w:t>This was a</w:t>
      </w:r>
      <w:r w:rsidR="00340B6C">
        <w:t xml:space="preserve"> multicent</w:t>
      </w:r>
      <w:r w:rsidR="00747310">
        <w:t>re, randomised, double masked, two</w:t>
      </w:r>
      <w:r w:rsidR="00340B6C">
        <w:t xml:space="preserve"> parallel arm,</w:t>
      </w:r>
      <w:r w:rsidR="00747310">
        <w:t xml:space="preserve"> vehicle controlled, six month Phase III trial with a six </w:t>
      </w:r>
      <w:r w:rsidR="00340B6C">
        <w:t>month open label treatment safety follow-up period to evaluate the efficacy and safety of NOVA22007</w:t>
      </w:r>
      <w:r w:rsidR="00747310">
        <w:t>;</w:t>
      </w:r>
      <w:r w:rsidR="00747310">
        <w:rPr>
          <w:color w:val="2B579A"/>
          <w:shd w:val="clear" w:color="auto" w:fill="E6E6E6"/>
        </w:rPr>
        <w:fldChar w:fldCharType="begin"/>
      </w:r>
      <w:r w:rsidR="00747310">
        <w:instrText xml:space="preserve"> NOTEREF _Ref64279995 \f \h </w:instrText>
      </w:r>
      <w:r w:rsidR="00747310">
        <w:rPr>
          <w:color w:val="2B579A"/>
          <w:shd w:val="clear" w:color="auto" w:fill="E6E6E6"/>
        </w:rPr>
      </w:r>
      <w:r w:rsidR="00747310">
        <w:rPr>
          <w:color w:val="2B579A"/>
          <w:shd w:val="clear" w:color="auto" w:fill="E6E6E6"/>
        </w:rPr>
        <w:fldChar w:fldCharType="separate"/>
      </w:r>
      <w:r w:rsidR="00DB1D88" w:rsidRPr="00DB1D88">
        <w:rPr>
          <w:rStyle w:val="FootnoteReference"/>
        </w:rPr>
        <w:t>10</w:t>
      </w:r>
      <w:r w:rsidR="00747310">
        <w:rPr>
          <w:color w:val="2B579A"/>
          <w:shd w:val="clear" w:color="auto" w:fill="E6E6E6"/>
        </w:rPr>
        <w:fldChar w:fldCharType="end"/>
      </w:r>
      <w:r w:rsidR="00340B6C">
        <w:t xml:space="preserve"> 1 mg/mL (ciclosporin) eye drops, emulsion administered once daily in adult patients with </w:t>
      </w:r>
      <w:r w:rsidR="00783FC2">
        <w:t>severe DED</w:t>
      </w:r>
      <w:r w:rsidR="00340B6C">
        <w:t>. The primary objective was to demonstrate the superiority of NOVA22007</w:t>
      </w:r>
      <w:r w:rsidR="00747310">
        <w:t>;</w:t>
      </w:r>
      <w:r w:rsidR="00747310">
        <w:rPr>
          <w:color w:val="2B579A"/>
          <w:shd w:val="clear" w:color="auto" w:fill="E6E6E6"/>
        </w:rPr>
        <w:fldChar w:fldCharType="begin"/>
      </w:r>
      <w:r w:rsidR="00747310">
        <w:instrText xml:space="preserve"> NOTEREF _Ref64279995 \f \h </w:instrText>
      </w:r>
      <w:r w:rsidR="00747310">
        <w:rPr>
          <w:color w:val="2B579A"/>
          <w:shd w:val="clear" w:color="auto" w:fill="E6E6E6"/>
        </w:rPr>
      </w:r>
      <w:r w:rsidR="00747310">
        <w:rPr>
          <w:color w:val="2B579A"/>
          <w:shd w:val="clear" w:color="auto" w:fill="E6E6E6"/>
        </w:rPr>
        <w:fldChar w:fldCharType="separate"/>
      </w:r>
      <w:r w:rsidR="00DB1D88" w:rsidRPr="00DB1D88">
        <w:rPr>
          <w:rStyle w:val="FootnoteReference"/>
        </w:rPr>
        <w:t>10</w:t>
      </w:r>
      <w:r w:rsidR="00747310">
        <w:rPr>
          <w:color w:val="2B579A"/>
          <w:shd w:val="clear" w:color="auto" w:fill="E6E6E6"/>
        </w:rPr>
        <w:fldChar w:fldCharType="end"/>
      </w:r>
      <w:r w:rsidR="00340B6C">
        <w:t xml:space="preserve"> 1 mg/mL eye drops, emulsion over vehicle administered once daily in patients with severe DED after 6 months of treatment. The secondary objective was to evaluate ocular tolerabilit</w:t>
      </w:r>
      <w:r w:rsidR="00747310">
        <w:t>y and overall ocular safety at Month 6 and M</w:t>
      </w:r>
      <w:r w:rsidR="00340B6C">
        <w:t>onth 12.</w:t>
      </w:r>
    </w:p>
    <w:p w14:paraId="47A34182" w14:textId="20170BC7" w:rsidR="00340B6C" w:rsidRDefault="00340B6C" w:rsidP="00340B6C">
      <w:r>
        <w:t xml:space="preserve">The study included adults with persistent severe DED defined as: </w:t>
      </w:r>
    </w:p>
    <w:p w14:paraId="5D14ED7E" w14:textId="70E84FF0" w:rsidR="00340B6C" w:rsidRDefault="00340B6C" w:rsidP="00340B6C">
      <w:pPr>
        <w:pStyle w:val="ListBullet"/>
      </w:pPr>
      <w:r>
        <w:t>CFS score of 4 on the modified Oxford scale</w:t>
      </w:r>
      <w:r w:rsidR="00617DCD">
        <w:t>;</w:t>
      </w:r>
    </w:p>
    <w:p w14:paraId="06E7EFBE" w14:textId="71C825AC" w:rsidR="00340B6C" w:rsidRDefault="00340B6C" w:rsidP="00340B6C">
      <w:pPr>
        <w:pStyle w:val="ListBullet"/>
      </w:pPr>
      <w:proofErr w:type="spellStart"/>
      <w:r>
        <w:t>Schirmer</w:t>
      </w:r>
      <w:proofErr w:type="spellEnd"/>
      <w:r>
        <w:t xml:space="preserve"> test without anaesthesia scored ≥</w:t>
      </w:r>
      <w:r w:rsidR="00747310">
        <w:t xml:space="preserve"> </w:t>
      </w:r>
      <w:r>
        <w:t>2 mm/5 min and &lt;</w:t>
      </w:r>
      <w:r w:rsidR="00747310">
        <w:t xml:space="preserve"> </w:t>
      </w:r>
      <w:r>
        <w:t>10 mm/5 min</w:t>
      </w:r>
      <w:r w:rsidR="00617DCD">
        <w:t>;</w:t>
      </w:r>
      <w:r>
        <w:t xml:space="preserve"> and</w:t>
      </w:r>
    </w:p>
    <w:p w14:paraId="0AE4EDE5" w14:textId="0EE164F2" w:rsidR="00340B6C" w:rsidRDefault="00340B6C" w:rsidP="00340B6C">
      <w:pPr>
        <w:pStyle w:val="ListBullet"/>
      </w:pPr>
      <w:r>
        <w:t>OSDI score ≥</w:t>
      </w:r>
      <w:r w:rsidR="00747310">
        <w:t xml:space="preserve"> </w:t>
      </w:r>
      <w:r>
        <w:t>23.</w:t>
      </w:r>
    </w:p>
    <w:p w14:paraId="5A1F7411" w14:textId="37FD0B50" w:rsidR="00340B6C" w:rsidRDefault="00340B6C" w:rsidP="00340B6C">
      <w:r>
        <w:t>During the 6 month double masked period, referred to as ‘Part 1’, patients were to be enrolled and randomised to receive one drop of either NOVA22007 0.1% (</w:t>
      </w:r>
      <w:proofErr w:type="spellStart"/>
      <w:r w:rsidR="00694C14">
        <w:t>Ikervis</w:t>
      </w:r>
      <w:proofErr w:type="spellEnd"/>
      <w:r>
        <w:t>) or vehicle</w:t>
      </w:r>
      <w:r w:rsidR="00747310">
        <w:t xml:space="preserve"> (negative control) QD</w:t>
      </w:r>
      <w:r>
        <w:t xml:space="preserve"> in each eye at bedtime. The subsequent 6-month open label extension follow-up period, referred to as ‘Part 2’ was designed to generate safety data ov</w:t>
      </w:r>
      <w:r w:rsidR="00AA22AB">
        <w:t xml:space="preserve">er the whole duration of the 12 </w:t>
      </w:r>
      <w:r>
        <w:t>month study. During Part 2, all patients were to receive NOVA22007.</w:t>
      </w:r>
      <w:r w:rsidR="00783FC2">
        <w:rPr>
          <w:color w:val="2B579A"/>
          <w:shd w:val="clear" w:color="auto" w:fill="E6E6E6"/>
        </w:rPr>
        <w:fldChar w:fldCharType="begin"/>
      </w:r>
      <w:r w:rsidR="00783FC2">
        <w:instrText xml:space="preserve"> NOTEREF _Ref64279995 \f \h </w:instrText>
      </w:r>
      <w:r w:rsidR="00783FC2">
        <w:rPr>
          <w:color w:val="2B579A"/>
          <w:shd w:val="clear" w:color="auto" w:fill="E6E6E6"/>
        </w:rPr>
      </w:r>
      <w:r w:rsidR="00783FC2">
        <w:rPr>
          <w:color w:val="2B579A"/>
          <w:shd w:val="clear" w:color="auto" w:fill="E6E6E6"/>
        </w:rPr>
        <w:fldChar w:fldCharType="separate"/>
      </w:r>
      <w:r w:rsidR="00DB1D88" w:rsidRPr="00DB1D88">
        <w:rPr>
          <w:rStyle w:val="FootnoteReference"/>
        </w:rPr>
        <w:t>10</w:t>
      </w:r>
      <w:r w:rsidR="00783FC2">
        <w:rPr>
          <w:color w:val="2B579A"/>
          <w:shd w:val="clear" w:color="auto" w:fill="E6E6E6"/>
        </w:rPr>
        <w:fldChar w:fldCharType="end"/>
      </w:r>
    </w:p>
    <w:p w14:paraId="0B599A45" w14:textId="408C2AF9" w:rsidR="00340B6C" w:rsidRDefault="00340B6C" w:rsidP="00690EC0">
      <w:pPr>
        <w:pStyle w:val="Heading6"/>
      </w:pPr>
      <w:r w:rsidRPr="00340B6C">
        <w:t>Study design</w:t>
      </w:r>
    </w:p>
    <w:p w14:paraId="5C5959A3" w14:textId="75ACBB1E" w:rsidR="0001038F" w:rsidRPr="0001038F" w:rsidRDefault="0001038F" w:rsidP="0001038F">
      <w:pPr>
        <w:pStyle w:val="FigureTitle"/>
      </w:pPr>
      <w:r w:rsidRPr="0001038F">
        <w:t xml:space="preserve">Figure </w:t>
      </w:r>
      <w:r>
        <w:fldChar w:fldCharType="begin"/>
      </w:r>
      <w:r>
        <w:instrText>SEQ Figure \* ARABIC</w:instrText>
      </w:r>
      <w:r>
        <w:fldChar w:fldCharType="separate"/>
      </w:r>
      <w:r w:rsidR="00DB1D88">
        <w:rPr>
          <w:noProof/>
        </w:rPr>
        <w:t>2</w:t>
      </w:r>
      <w:r>
        <w:fldChar w:fldCharType="end"/>
      </w:r>
      <w:r>
        <w:t xml:space="preserve">: </w:t>
      </w:r>
      <w:r w:rsidR="00617DCD">
        <w:t>Study NVG10E117 (</w:t>
      </w:r>
      <w:r>
        <w:t>SANSIKA trial</w:t>
      </w:r>
      <w:r w:rsidR="00617DCD">
        <w:t>)</w:t>
      </w:r>
      <w:r>
        <w:t xml:space="preserve"> design</w:t>
      </w:r>
    </w:p>
    <w:p w14:paraId="5514B5D9" w14:textId="3998534D" w:rsidR="00340B6C" w:rsidRDefault="00340B6C" w:rsidP="00340B6C">
      <w:r w:rsidRPr="00573BD6">
        <w:rPr>
          <w:rFonts w:asciiTheme="minorHAnsi" w:hAnsiTheme="minorHAnsi"/>
          <w:noProof/>
          <w:color w:val="2B579A"/>
          <w:shd w:val="clear" w:color="auto" w:fill="E6E6E6"/>
          <w:lang w:eastAsia="en-AU"/>
        </w:rPr>
        <w:drawing>
          <wp:inline distT="0" distB="0" distL="0" distR="0" wp14:anchorId="34DB1D59" wp14:editId="275C45EA">
            <wp:extent cx="4491859" cy="2148537"/>
            <wp:effectExtent l="0" t="0" r="4445" b="4445"/>
            <wp:docPr id="2" name="Picture 2" descr="A schema of the SANSIKA trial design. The first 6 months of the trial was a double masked period, referred to as ‘Part 1’, where patients were to be enrolled and randomised to receive one drop of either NOVA22007 0.1% (Ikervis) or vehicle (negative control) QD in each eye at bedtime. The subsequent 6-month open label extension follow-up period, referred to as ‘Part 2’ was designed to generate safety data over the whole duration of the 12 month study. During Part 2, all patients were to receive NOVA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7529"/>
                    <a:stretch/>
                  </pic:blipFill>
                  <pic:spPr bwMode="auto">
                    <a:xfrm>
                      <a:off x="0" y="0"/>
                      <a:ext cx="4494977" cy="2150029"/>
                    </a:xfrm>
                    <a:prstGeom prst="rect">
                      <a:avLst/>
                    </a:prstGeom>
                    <a:noFill/>
                    <a:ln>
                      <a:noFill/>
                    </a:ln>
                    <a:extLst>
                      <a:ext uri="{53640926-AAD7-44D8-BBD7-CCE9431645EC}">
                        <a14:shadowObscured xmlns:a14="http://schemas.microsoft.com/office/drawing/2010/main"/>
                      </a:ext>
                    </a:extLst>
                  </pic:spPr>
                </pic:pic>
              </a:graphicData>
            </a:graphic>
          </wp:inline>
        </w:drawing>
      </w:r>
    </w:p>
    <w:p w14:paraId="2B417152" w14:textId="7706CA69" w:rsidR="00340B6C" w:rsidRDefault="00340B6C" w:rsidP="00340B6C">
      <w:r w:rsidRPr="005D0637">
        <w:t>The investig</w:t>
      </w:r>
      <w:r w:rsidR="00783FC2" w:rsidRPr="005D0637">
        <w:t>ational d</w:t>
      </w:r>
      <w:r w:rsidRPr="005D0637">
        <w:t>rug was</w:t>
      </w:r>
      <w:r>
        <w:t xml:space="preserve"> NOVA22007</w:t>
      </w:r>
      <w:r w:rsidR="00783FC2">
        <w:t>;</w:t>
      </w:r>
      <w:r w:rsidR="00783FC2">
        <w:rPr>
          <w:color w:val="2B579A"/>
          <w:shd w:val="clear" w:color="auto" w:fill="E6E6E6"/>
        </w:rPr>
        <w:fldChar w:fldCharType="begin"/>
      </w:r>
      <w:r w:rsidR="00783FC2">
        <w:instrText xml:space="preserve"> NOTEREF _Ref64279995 \f \h </w:instrText>
      </w:r>
      <w:r w:rsidR="00783FC2">
        <w:rPr>
          <w:color w:val="2B579A"/>
          <w:shd w:val="clear" w:color="auto" w:fill="E6E6E6"/>
        </w:rPr>
      </w:r>
      <w:r w:rsidR="00783FC2">
        <w:rPr>
          <w:color w:val="2B579A"/>
          <w:shd w:val="clear" w:color="auto" w:fill="E6E6E6"/>
        </w:rPr>
        <w:fldChar w:fldCharType="separate"/>
      </w:r>
      <w:r w:rsidR="00DB1D88" w:rsidRPr="00DB1D88">
        <w:rPr>
          <w:rStyle w:val="FootnoteReference"/>
        </w:rPr>
        <w:t>10</w:t>
      </w:r>
      <w:r w:rsidR="00783FC2">
        <w:rPr>
          <w:color w:val="2B579A"/>
          <w:shd w:val="clear" w:color="auto" w:fill="E6E6E6"/>
        </w:rPr>
        <w:fldChar w:fldCharType="end"/>
      </w:r>
      <w:r>
        <w:t xml:space="preserve"> a sterile, ophthalmic cationic oil-in-water emulsion containing 0.1% ciclosporin and the vehicle was matched vehicle was the same </w:t>
      </w:r>
      <w:r w:rsidR="00783FC2">
        <w:t xml:space="preserve">emulsion without the </w:t>
      </w:r>
      <w:r w:rsidR="00617DCD">
        <w:t>ciclosporin</w:t>
      </w:r>
      <w:r w:rsidR="00783FC2">
        <w:t>. This P</w:t>
      </w:r>
      <w:r>
        <w:t xml:space="preserve">hase III study assessed the formulation with </w:t>
      </w:r>
      <w:proofErr w:type="spellStart"/>
      <w:r w:rsidR="005D0637">
        <w:t>cetalkonium</w:t>
      </w:r>
      <w:proofErr w:type="spellEnd"/>
      <w:r w:rsidR="005D0637">
        <w:t xml:space="preserve"> c</w:t>
      </w:r>
      <w:r w:rsidR="005D0637" w:rsidRPr="005D0637">
        <w:t xml:space="preserve">hloride </w:t>
      </w:r>
      <w:r w:rsidR="005D0637">
        <w:t>(</w:t>
      </w:r>
      <w:r>
        <w:t>CKC</w:t>
      </w:r>
      <w:r w:rsidR="005D0637">
        <w:t>)</w:t>
      </w:r>
      <w:r>
        <w:t>; the S</w:t>
      </w:r>
      <w:r w:rsidR="005D0637">
        <w:t>ICCANOVE trial</w:t>
      </w:r>
      <w:r>
        <w:t xml:space="preserve"> assessed the </w:t>
      </w:r>
      <w:proofErr w:type="spellStart"/>
      <w:r w:rsidR="005D0637">
        <w:t>benzalkonium</w:t>
      </w:r>
      <w:proofErr w:type="spellEnd"/>
      <w:r w:rsidR="005D0637">
        <w:t xml:space="preserve"> c</w:t>
      </w:r>
      <w:r w:rsidR="005D0637" w:rsidRPr="005D0637">
        <w:t xml:space="preserve">hloride </w:t>
      </w:r>
      <w:r w:rsidR="005D0637">
        <w:t>(</w:t>
      </w:r>
      <w:r>
        <w:t>BAK</w:t>
      </w:r>
      <w:r w:rsidR="005D0637">
        <w:t>)</w:t>
      </w:r>
      <w:r>
        <w:t>-containing formulation.</w:t>
      </w:r>
      <w:r w:rsidR="00EF0E6D">
        <w:rPr>
          <w:rStyle w:val="FootnoteReference"/>
        </w:rPr>
        <w:footnoteReference w:id="13"/>
      </w:r>
      <w:r>
        <w:t xml:space="preserve"> Artificial tears not provided by the sponsor and non</w:t>
      </w:r>
      <w:r w:rsidR="00617DCD">
        <w:noBreakHyphen/>
      </w:r>
      <w:r>
        <w:t>study topical ocular tre</w:t>
      </w:r>
      <w:r w:rsidR="005D0637">
        <w:t>atments (other than BAK-free intraocular pressure</w:t>
      </w:r>
      <w:r w:rsidR="00CA5902">
        <w:t xml:space="preserve"> (IOP)</w:t>
      </w:r>
      <w:r w:rsidR="005D0637">
        <w:t xml:space="preserve"> </w:t>
      </w:r>
      <w:r>
        <w:t>lowering agents) were prohibited.</w:t>
      </w:r>
    </w:p>
    <w:p w14:paraId="23C09095" w14:textId="4A4DDD9D" w:rsidR="00340B6C" w:rsidRDefault="00340B6C" w:rsidP="00340B6C">
      <w:r>
        <w:t>Efficacy wa</w:t>
      </w:r>
      <w:r w:rsidR="005D0637">
        <w:t>s to be only determined in the ‘analysis eye’</w:t>
      </w:r>
      <w:r>
        <w:t>, which was define</w:t>
      </w:r>
      <w:r w:rsidR="005D0637">
        <w:t>d as the worst eligible eye, for example</w:t>
      </w:r>
      <w:r>
        <w:t xml:space="preserve"> the eligible eye with the higher </w:t>
      </w:r>
      <w:proofErr w:type="spellStart"/>
      <w:r>
        <w:t>lis</w:t>
      </w:r>
      <w:r w:rsidR="00566779">
        <w:t>samine</w:t>
      </w:r>
      <w:proofErr w:type="spellEnd"/>
      <w:r w:rsidR="00566779">
        <w:t xml:space="preserve"> green staining score at B</w:t>
      </w:r>
      <w:r>
        <w:t xml:space="preserve">aseline. If both eyes were eligible and had the same </w:t>
      </w:r>
      <w:proofErr w:type="spellStart"/>
      <w:r>
        <w:t>lis</w:t>
      </w:r>
      <w:r w:rsidR="00566779">
        <w:t>samine</w:t>
      </w:r>
      <w:proofErr w:type="spellEnd"/>
      <w:r w:rsidR="00566779">
        <w:t xml:space="preserve"> green staining score at B</w:t>
      </w:r>
      <w:r>
        <w:t>aseline, the eye with th</w:t>
      </w:r>
      <w:r w:rsidR="00566779">
        <w:t xml:space="preserve">e worst </w:t>
      </w:r>
      <w:proofErr w:type="spellStart"/>
      <w:r w:rsidR="00566779">
        <w:t>Schirmer</w:t>
      </w:r>
      <w:proofErr w:type="spellEnd"/>
      <w:r w:rsidR="00566779">
        <w:t xml:space="preserve"> test score at B</w:t>
      </w:r>
      <w:r>
        <w:t>aseline was used. If both eyes had t</w:t>
      </w:r>
      <w:r w:rsidR="00566779">
        <w:t xml:space="preserve">he same </w:t>
      </w:r>
      <w:proofErr w:type="spellStart"/>
      <w:r w:rsidR="00566779">
        <w:t>Schirmer</w:t>
      </w:r>
      <w:proofErr w:type="spellEnd"/>
      <w:r w:rsidR="00566779">
        <w:t xml:space="preserve"> test score at B</w:t>
      </w:r>
      <w:r>
        <w:t>aseline, the right eye was used.</w:t>
      </w:r>
    </w:p>
    <w:p w14:paraId="649814EF" w14:textId="2529628D" w:rsidR="00340B6C" w:rsidRDefault="00340B6C" w:rsidP="00340B6C">
      <w:pPr>
        <w:pStyle w:val="Heading6"/>
      </w:pPr>
      <w:r>
        <w:t>Primary efficacy endpoint</w:t>
      </w:r>
    </w:p>
    <w:p w14:paraId="39680DAF" w14:textId="2606A2E1" w:rsidR="00340B6C" w:rsidRDefault="00340B6C" w:rsidP="00340B6C">
      <w:r>
        <w:t>The primary endpoint was the CFS-OSDI composite</w:t>
      </w:r>
      <w:r w:rsidR="00566779">
        <w:t xml:space="preserve"> responder rate at Month 6 (that is</w:t>
      </w:r>
      <w:r>
        <w:t xml:space="preserve"> end of Part 1). A CFS-OSDI responder was defined as a patient satisfying simultaneously the following conditions:</w:t>
      </w:r>
    </w:p>
    <w:p w14:paraId="67E1CBE3" w14:textId="01F96F3F" w:rsidR="00340B6C" w:rsidRDefault="00566779" w:rsidP="00340B6C">
      <w:pPr>
        <w:pStyle w:val="ListBullet"/>
      </w:pPr>
      <w:r>
        <w:t>improvement of two</w:t>
      </w:r>
      <w:r w:rsidR="00340B6C">
        <w:t xml:space="preserve"> points or more from Baseline in CFS based on</w:t>
      </w:r>
      <w:r>
        <w:t xml:space="preserve"> the modified Oxford scale (that is</w:t>
      </w:r>
      <w:r w:rsidR="00340B6C">
        <w:t xml:space="preserve"> change in CFS ≤</w:t>
      </w:r>
      <w:r w:rsidR="005151C2">
        <w:t xml:space="preserve"> </w:t>
      </w:r>
      <w:r w:rsidR="00340B6C">
        <w:t>-2)</w:t>
      </w:r>
      <w:r w:rsidR="00617DCD">
        <w:t>;</w:t>
      </w:r>
      <w:r w:rsidR="00340B6C">
        <w:t xml:space="preserve"> and</w:t>
      </w:r>
    </w:p>
    <w:p w14:paraId="2B3168DE" w14:textId="6014B321" w:rsidR="00340B6C" w:rsidRDefault="00340B6C" w:rsidP="00340B6C">
      <w:pPr>
        <w:pStyle w:val="ListBullet"/>
      </w:pPr>
      <w:r>
        <w:t xml:space="preserve">improvement by 30% or </w:t>
      </w:r>
      <w:r w:rsidR="00566779">
        <w:t>more from Baseline in OSDI (that is</w:t>
      </w:r>
      <w:r>
        <w:t xml:space="preserve"> % change ≤</w:t>
      </w:r>
      <w:r w:rsidR="005151C2">
        <w:t xml:space="preserve"> </w:t>
      </w:r>
      <w:r>
        <w:t>-30%).</w:t>
      </w:r>
    </w:p>
    <w:p w14:paraId="2190D841" w14:textId="2DA4A416" w:rsidR="00340B6C" w:rsidRDefault="00340B6C" w:rsidP="00340B6C">
      <w:pPr>
        <w:pStyle w:val="Heading6"/>
      </w:pPr>
      <w:r>
        <w:t>Secondary efficacy endpoint</w:t>
      </w:r>
      <w:r w:rsidR="00907D57">
        <w:t>s</w:t>
      </w:r>
    </w:p>
    <w:p w14:paraId="4CC4F3A7" w14:textId="7F3399AC" w:rsidR="00340B6C" w:rsidRDefault="00340B6C" w:rsidP="00340B6C">
      <w:pPr>
        <w:pStyle w:val="ListBullet"/>
      </w:pPr>
      <w:r>
        <w:t>CFS responders at Month 6: patients with a 2 grade or more improvement in CFS score assessed based on the modified Oxford scale.</w:t>
      </w:r>
    </w:p>
    <w:p w14:paraId="3AC436CB" w14:textId="7C75FBCF" w:rsidR="00340B6C" w:rsidRDefault="00340B6C" w:rsidP="00340B6C">
      <w:pPr>
        <w:pStyle w:val="ListBullet"/>
      </w:pPr>
      <w:r>
        <w:t>OSDI responders at Month 6: patients having an improvement in OSDI score of at least 30%.</w:t>
      </w:r>
    </w:p>
    <w:p w14:paraId="1476DD85" w14:textId="0E684EED" w:rsidR="00340B6C" w:rsidRDefault="00340B6C" w:rsidP="00340B6C">
      <w:pPr>
        <w:pStyle w:val="ListBullet"/>
      </w:pPr>
      <w:r>
        <w:t>Composite responder at Month 6: patients with a 2 grade or more improvement of CFS score assessed with the modified Oxford scale</w:t>
      </w:r>
      <w:r w:rsidRPr="00690EC0">
        <w:t xml:space="preserve"> </w:t>
      </w:r>
      <w:r w:rsidR="00907D57" w:rsidRPr="00690EC0">
        <w:t>and</w:t>
      </w:r>
      <w:r w:rsidR="00907D57">
        <w:t xml:space="preserve"> </w:t>
      </w:r>
      <w:r>
        <w:t xml:space="preserve">an improvement in the </w:t>
      </w:r>
      <w:r w:rsidR="00566779">
        <w:t>VAS</w:t>
      </w:r>
      <w:r>
        <w:t xml:space="preserve"> of Ocular Discomfort score of at least 30%.</w:t>
      </w:r>
    </w:p>
    <w:p w14:paraId="03D57A82" w14:textId="5EF9B461" w:rsidR="00340B6C" w:rsidRDefault="00340B6C" w:rsidP="00340B6C">
      <w:pPr>
        <w:pStyle w:val="ListBullet"/>
      </w:pPr>
      <w:r>
        <w:t>VAS responder at Month 6: patients having an improvement in the VAS score of at least 30%.</w:t>
      </w:r>
    </w:p>
    <w:p w14:paraId="2FC97D1B" w14:textId="4CB65323" w:rsidR="00340B6C" w:rsidRDefault="00340B6C" w:rsidP="00340B6C">
      <w:r>
        <w:t xml:space="preserve">Following review of the study results, several </w:t>
      </w:r>
      <w:r w:rsidRPr="00690EC0">
        <w:rPr>
          <w:i/>
        </w:rPr>
        <w:t>post-hoc</w:t>
      </w:r>
      <w:r>
        <w:t xml:space="preserve"> analyses were undertaken, the main analysis changed the threshold for improvement in the CFS score to three g</w:t>
      </w:r>
      <w:r w:rsidR="00B657B4">
        <w:t>rades instead of two grades (</w:t>
      </w:r>
      <w:r w:rsidR="004C1063">
        <w:t xml:space="preserve">that is, </w:t>
      </w:r>
      <w:r w:rsidR="00566779">
        <w:t>score of 0 or 1 at M</w:t>
      </w:r>
      <w:r>
        <w:t>onth 6)</w:t>
      </w:r>
      <w:r w:rsidR="00907D57">
        <w:t>:</w:t>
      </w:r>
    </w:p>
    <w:p w14:paraId="5FD15145" w14:textId="7802DF15" w:rsidR="00340B6C" w:rsidRDefault="00907D57" w:rsidP="00340B6C">
      <w:pPr>
        <w:pStyle w:val="ListBullet"/>
      </w:pPr>
      <w:r>
        <w:t>w</w:t>
      </w:r>
      <w:r w:rsidR="00340B6C">
        <w:t>ith the primary endpoint setting the thre</w:t>
      </w:r>
      <w:r w:rsidR="00881DE5">
        <w:t>shold of improvement of CFS at three</w:t>
      </w:r>
      <w:r w:rsidR="00340B6C">
        <w:t xml:space="preserve"> grades;</w:t>
      </w:r>
    </w:p>
    <w:p w14:paraId="7C27A372" w14:textId="6BD5B81A" w:rsidR="00340B6C" w:rsidRDefault="00907D57" w:rsidP="00340B6C">
      <w:pPr>
        <w:pStyle w:val="ListBullet"/>
      </w:pPr>
      <w:r>
        <w:t>w</w:t>
      </w:r>
      <w:r w:rsidR="00340B6C">
        <w:t>ith the CFS responder rate, setting the thre</w:t>
      </w:r>
      <w:r w:rsidR="00881DE5">
        <w:t>shold of improvement of CFS at three</w:t>
      </w:r>
      <w:r w:rsidR="00340B6C">
        <w:t xml:space="preserve"> grades;</w:t>
      </w:r>
    </w:p>
    <w:p w14:paraId="17B65563" w14:textId="1BAA787C" w:rsidR="00340B6C" w:rsidRDefault="00907D57" w:rsidP="00340B6C">
      <w:pPr>
        <w:pStyle w:val="ListBullet"/>
      </w:pPr>
      <w:r>
        <w:t>w</w:t>
      </w:r>
      <w:r w:rsidR="00340B6C">
        <w:t>ith the primary efficacy endpoint at Months 1, 3 and 6;</w:t>
      </w:r>
      <w:r>
        <w:t xml:space="preserve"> and</w:t>
      </w:r>
    </w:p>
    <w:p w14:paraId="521B8ED0" w14:textId="1C4B4256" w:rsidR="00340B6C" w:rsidRDefault="00907D57" w:rsidP="00340B6C">
      <w:pPr>
        <w:pStyle w:val="ListBullet"/>
      </w:pPr>
      <w:r>
        <w:t>w</w:t>
      </w:r>
      <w:r w:rsidR="00340B6C">
        <w:t xml:space="preserve">ith tear film </w:t>
      </w:r>
      <w:proofErr w:type="spellStart"/>
      <w:r w:rsidR="00340B6C">
        <w:t>osmolarity</w:t>
      </w:r>
      <w:proofErr w:type="spellEnd"/>
      <w:r w:rsidR="00340B6C">
        <w:t xml:space="preserve"> in patients with a score higher</w:t>
      </w:r>
      <w:r w:rsidR="00AA22AB">
        <w:t xml:space="preserve"> than 308 </w:t>
      </w:r>
      <w:proofErr w:type="spellStart"/>
      <w:r w:rsidR="00AA22AB">
        <w:t>mOsms</w:t>
      </w:r>
      <w:proofErr w:type="spellEnd"/>
      <w:r w:rsidR="00AA22AB">
        <w:t>/L at B</w:t>
      </w:r>
      <w:r w:rsidR="00340B6C">
        <w:t>aseline.</w:t>
      </w:r>
    </w:p>
    <w:p w14:paraId="7D340D42" w14:textId="55E32155" w:rsidR="00B657B4" w:rsidRPr="00752301" w:rsidRDefault="00B657B4" w:rsidP="00B657B4">
      <w:pPr>
        <w:rPr>
          <w:b/>
        </w:rPr>
      </w:pPr>
      <w:r w:rsidRPr="00455845">
        <w:t>The primary composite responder endpoint was analysed at Month 6 on the FAS using imputed data</w:t>
      </w:r>
      <w:r w:rsidRPr="00752301">
        <w:t>. A logistic regression model, referred to as the main logistic model, w</w:t>
      </w:r>
      <w:r w:rsidR="004556C8">
        <w:t>as carried out with two factors, ‘treatment’ and ‘pooled country’</w:t>
      </w:r>
      <w:r w:rsidRPr="00752301">
        <w:t xml:space="preserve">. Sensitivity analyses were also performed, using </w:t>
      </w:r>
      <w:r w:rsidR="00AA22AB">
        <w:t>the main logistic model on the per protocol s</w:t>
      </w:r>
      <w:r w:rsidRPr="00752301">
        <w:t>et (PPS), on the FAS using observed data, on the FAS considering the actual treatment received, and use of a Cochran-Mantel-</w:t>
      </w:r>
      <w:proofErr w:type="spellStart"/>
      <w:r w:rsidRPr="00752301">
        <w:t>Haenszel</w:t>
      </w:r>
      <w:proofErr w:type="spellEnd"/>
      <w:r w:rsidRPr="00752301">
        <w:t xml:space="preserve"> test controlling for pooled country.</w:t>
      </w:r>
    </w:p>
    <w:p w14:paraId="4360E5BD" w14:textId="24D5FF9A" w:rsidR="00B657B4" w:rsidRDefault="00B657B4" w:rsidP="00B657B4">
      <w:pPr>
        <w:rPr>
          <w:rFonts w:asciiTheme="minorHAnsi" w:hAnsiTheme="minorHAnsi"/>
        </w:rPr>
      </w:pPr>
      <w:r w:rsidRPr="00B657B4">
        <w:rPr>
          <w:rFonts w:asciiTheme="minorHAnsi" w:hAnsiTheme="minorHAnsi"/>
        </w:rPr>
        <w:t>Secondary and other efficacy endpoints were analysed on the FAS and the PPS. CFS, OSDI, VAS and CFS-VAS responder rates, and complete corneal clearing rate were analysed using the main logistic model using imputed data.</w:t>
      </w:r>
      <w:r w:rsidRPr="00752301">
        <w:t xml:space="preserve"> </w:t>
      </w:r>
      <w:r w:rsidRPr="00B657B4">
        <w:rPr>
          <w:rFonts w:asciiTheme="minorHAnsi" w:hAnsiTheme="minorHAnsi"/>
        </w:rPr>
        <w:t xml:space="preserve">Analyses of CFS, OSDI, global VAS, and </w:t>
      </w:r>
      <w:proofErr w:type="spellStart"/>
      <w:r w:rsidRPr="00B657B4">
        <w:rPr>
          <w:rFonts w:asciiTheme="minorHAnsi" w:hAnsiTheme="minorHAnsi"/>
        </w:rPr>
        <w:t>lissamine</w:t>
      </w:r>
      <w:proofErr w:type="spellEnd"/>
      <w:r w:rsidR="00AA22AB">
        <w:rPr>
          <w:rFonts w:asciiTheme="minorHAnsi" w:hAnsiTheme="minorHAnsi"/>
        </w:rPr>
        <w:t xml:space="preserve"> green total score change from B</w:t>
      </w:r>
      <w:r w:rsidRPr="00B657B4">
        <w:rPr>
          <w:rFonts w:asciiTheme="minorHAnsi" w:hAnsiTheme="minorHAnsi"/>
        </w:rPr>
        <w:t xml:space="preserve">aseline at each time point (Months 1, 3, and 6) were performed using a repeated measures </w:t>
      </w:r>
      <w:r w:rsidR="00881DE5">
        <w:rPr>
          <w:rFonts w:asciiTheme="minorHAnsi" w:hAnsiTheme="minorHAnsi"/>
        </w:rPr>
        <w:t>ANOVA</w:t>
      </w:r>
      <w:r w:rsidRPr="00B657B4">
        <w:rPr>
          <w:rFonts w:asciiTheme="minorHAnsi" w:hAnsiTheme="minorHAnsi"/>
        </w:rPr>
        <w:t xml:space="preserve"> wit</w:t>
      </w:r>
      <w:r w:rsidR="004556C8">
        <w:rPr>
          <w:rFonts w:asciiTheme="minorHAnsi" w:hAnsiTheme="minorHAnsi"/>
        </w:rPr>
        <w:t>h the following fixed factors: ‘treatment’, ‘visit’, ‘pooled country’, and ‘treatment by visit’</w:t>
      </w:r>
      <w:r w:rsidRPr="00B657B4">
        <w:rPr>
          <w:rFonts w:asciiTheme="minorHAnsi" w:hAnsiTheme="minorHAnsi"/>
        </w:rPr>
        <w:t xml:space="preserve"> interaction.</w:t>
      </w:r>
    </w:p>
    <w:p w14:paraId="775A5C39" w14:textId="45B51FBC" w:rsidR="00B657B4" w:rsidRDefault="00B657B4" w:rsidP="00B657B4">
      <w:r w:rsidRPr="008E234B">
        <w:t>Subjects were mostly female (85.3%) with a mean age of</w:t>
      </w:r>
      <w:r w:rsidR="00881DE5">
        <w:t xml:space="preserve"> 61.3 years (range 22.9 to 87.6 </w:t>
      </w:r>
      <w:r w:rsidRPr="008E234B">
        <w:t xml:space="preserve">years), and 37.6% had </w:t>
      </w:r>
      <w:proofErr w:type="spellStart"/>
      <w:r w:rsidRPr="008E234B">
        <w:t>Sjögren’s</w:t>
      </w:r>
      <w:proofErr w:type="spellEnd"/>
      <w:r w:rsidRPr="008E234B">
        <w:t xml:space="preserve"> syndrome. Most subjects (97.6%) had DED in both eyes, the mean time since diagnosis was 9.1 years (range 0.2 to</w:t>
      </w:r>
      <w:r w:rsidR="00881DE5">
        <w:t xml:space="preserve"> 31.5 </w:t>
      </w:r>
      <w:r w:rsidRPr="008E234B">
        <w:t>years) and 90% had received prior treatment</w:t>
      </w:r>
      <w:r>
        <w:t xml:space="preserve">. Baseline characteristics were </w:t>
      </w:r>
      <w:r w:rsidRPr="008E234B">
        <w:t>generally balanced between groups.</w:t>
      </w:r>
    </w:p>
    <w:p w14:paraId="7A5A90F3" w14:textId="7CC111F4" w:rsidR="00CF6683" w:rsidRDefault="00CF6683" w:rsidP="00690EC0">
      <w:pPr>
        <w:pStyle w:val="Heading6"/>
      </w:pPr>
      <w:r>
        <w:t>Results for the p</w:t>
      </w:r>
      <w:r w:rsidR="00D31B87">
        <w:t>rimary endpoint</w:t>
      </w:r>
    </w:p>
    <w:p w14:paraId="7D04D306" w14:textId="62BE728C" w:rsidR="007C2C1B" w:rsidRDefault="00D31B87" w:rsidP="007C2C1B">
      <w:r w:rsidRPr="00690EC0">
        <w:rPr>
          <w:i/>
        </w:rPr>
        <w:t>CFS- Ocular surface disease index</w:t>
      </w:r>
      <w:r w:rsidR="007C2C1B" w:rsidRPr="00690EC0">
        <w:rPr>
          <w:i/>
        </w:rPr>
        <w:t xml:space="preserve"> responder rate</w:t>
      </w:r>
      <w:r w:rsidR="00CF6683">
        <w:t xml:space="preserve">: </w:t>
      </w:r>
      <w:r w:rsidR="007C2C1B">
        <w:t>In the FAS</w:t>
      </w:r>
      <w:r w:rsidR="007C210B">
        <w:t xml:space="preserve"> at M</w:t>
      </w:r>
      <w:r w:rsidR="007C2C1B">
        <w:t>onth 6, based on imputed data (according to randomised treatment group), the CFS-OSDI responder rate was 28.6% and 23.1% in the NOVA22007</w:t>
      </w:r>
      <w:r w:rsidR="00881DE5">
        <w:t>;</w:t>
      </w:r>
      <w:r w:rsidR="00881DE5">
        <w:rPr>
          <w:color w:val="2B579A"/>
          <w:shd w:val="clear" w:color="auto" w:fill="E6E6E6"/>
        </w:rPr>
        <w:fldChar w:fldCharType="begin"/>
      </w:r>
      <w:r w:rsidR="00881DE5">
        <w:instrText xml:space="preserve"> NOTEREF _Ref64279995 \f \h </w:instrText>
      </w:r>
      <w:r w:rsidR="00881DE5">
        <w:rPr>
          <w:color w:val="2B579A"/>
          <w:shd w:val="clear" w:color="auto" w:fill="E6E6E6"/>
        </w:rPr>
      </w:r>
      <w:r w:rsidR="00881DE5">
        <w:rPr>
          <w:color w:val="2B579A"/>
          <w:shd w:val="clear" w:color="auto" w:fill="E6E6E6"/>
        </w:rPr>
        <w:fldChar w:fldCharType="separate"/>
      </w:r>
      <w:r w:rsidR="00DB1D88" w:rsidRPr="00DB1D88">
        <w:rPr>
          <w:rStyle w:val="FootnoteReference"/>
        </w:rPr>
        <w:t>10</w:t>
      </w:r>
      <w:r w:rsidR="00881DE5">
        <w:rPr>
          <w:color w:val="2B579A"/>
          <w:shd w:val="clear" w:color="auto" w:fill="E6E6E6"/>
        </w:rPr>
        <w:fldChar w:fldCharType="end"/>
      </w:r>
      <w:r w:rsidR="007C2C1B">
        <w:t xml:space="preserve"> and vehicle groups, respectively. This difference was not statistically significant.</w:t>
      </w:r>
    </w:p>
    <w:p w14:paraId="75B0915D" w14:textId="667CF1C1" w:rsidR="007C2C1B" w:rsidRDefault="007C2C1B" w:rsidP="007C2C1B">
      <w:r>
        <w:t>When considering imputed data according to the actual treatmen</w:t>
      </w:r>
      <w:r w:rsidR="007C210B">
        <w:t>t received or observed data (</w:t>
      </w:r>
      <w:r w:rsidR="002132ED">
        <w:t xml:space="preserve">that is, </w:t>
      </w:r>
      <w:r>
        <w:t xml:space="preserve">not imputing missing data), the remained not statistically </w:t>
      </w:r>
      <w:r w:rsidR="007C210B">
        <w:t>significant (</w:t>
      </w:r>
      <w:r w:rsidR="00881DE5">
        <w:t xml:space="preserve">see </w:t>
      </w:r>
      <w:r w:rsidR="007C210B">
        <w:rPr>
          <w:color w:val="2B579A"/>
          <w:shd w:val="clear" w:color="auto" w:fill="E6E6E6"/>
        </w:rPr>
        <w:fldChar w:fldCharType="begin"/>
      </w:r>
      <w:r w:rsidR="007C210B">
        <w:instrText xml:space="preserve"> REF _Ref64282064 \h </w:instrText>
      </w:r>
      <w:r w:rsidR="007C210B">
        <w:rPr>
          <w:color w:val="2B579A"/>
          <w:shd w:val="clear" w:color="auto" w:fill="E6E6E6"/>
        </w:rPr>
      </w:r>
      <w:r w:rsidR="007C210B">
        <w:rPr>
          <w:color w:val="2B579A"/>
          <w:shd w:val="clear" w:color="auto" w:fill="E6E6E6"/>
        </w:rPr>
        <w:fldChar w:fldCharType="separate"/>
      </w:r>
      <w:r w:rsidR="00DB1D88" w:rsidRPr="007C210B">
        <w:t xml:space="preserve">Table </w:t>
      </w:r>
      <w:r w:rsidR="00DB1D88">
        <w:rPr>
          <w:noProof/>
        </w:rPr>
        <w:t>3</w:t>
      </w:r>
      <w:r w:rsidR="007C210B">
        <w:rPr>
          <w:color w:val="2B579A"/>
          <w:shd w:val="clear" w:color="auto" w:fill="E6E6E6"/>
        </w:rPr>
        <w:fldChar w:fldCharType="end"/>
      </w:r>
      <w:r w:rsidR="007C210B">
        <w:t xml:space="preserve">). </w:t>
      </w:r>
      <w:r>
        <w:t xml:space="preserve">Similar results were found in the </w:t>
      </w:r>
      <w:r w:rsidR="00881DE5">
        <w:t>PP</w:t>
      </w:r>
      <w:r>
        <w:t xml:space="preserve"> population.</w:t>
      </w:r>
    </w:p>
    <w:p w14:paraId="2EE66FA1" w14:textId="0A8A8D28" w:rsidR="007C210B" w:rsidRDefault="007C210B" w:rsidP="007C210B">
      <w:pPr>
        <w:pStyle w:val="TableTitle"/>
      </w:pPr>
      <w:bookmarkStart w:id="44" w:name="_Ref64282064"/>
      <w:r w:rsidRPr="007C210B">
        <w:t xml:space="preserve">Table </w:t>
      </w:r>
      <w:r>
        <w:fldChar w:fldCharType="begin"/>
      </w:r>
      <w:r>
        <w:instrText>SEQ Table \* ARABIC</w:instrText>
      </w:r>
      <w:r>
        <w:fldChar w:fldCharType="separate"/>
      </w:r>
      <w:r w:rsidR="00DB1D88">
        <w:rPr>
          <w:noProof/>
        </w:rPr>
        <w:t>3</w:t>
      </w:r>
      <w:r>
        <w:fldChar w:fldCharType="end"/>
      </w:r>
      <w:bookmarkEnd w:id="44"/>
      <w:r w:rsidR="00D31B87">
        <w:t xml:space="preserve">: </w:t>
      </w:r>
      <w:r w:rsidR="00907D57">
        <w:t xml:space="preserve">Study NVG10E117 (SANSIKA trial) </w:t>
      </w:r>
      <w:r w:rsidR="00D31B87">
        <w:rPr>
          <w:rFonts w:eastAsiaTheme="minorHAnsi"/>
        </w:rPr>
        <w:t>Corneal fluorescein s</w:t>
      </w:r>
      <w:r w:rsidR="00D31B87" w:rsidRPr="00575729">
        <w:rPr>
          <w:rFonts w:eastAsiaTheme="minorHAnsi"/>
        </w:rPr>
        <w:t>taining</w:t>
      </w:r>
      <w:r w:rsidR="00D31B87">
        <w:t xml:space="preserve"> </w:t>
      </w:r>
      <w:r>
        <w:t>-</w:t>
      </w:r>
      <w:r w:rsidR="00D31B87" w:rsidRPr="00D31B87">
        <w:t xml:space="preserve"> </w:t>
      </w:r>
      <w:r w:rsidR="00D31B87">
        <w:t>ocular surface disease i</w:t>
      </w:r>
      <w:r w:rsidR="00D31B87" w:rsidRPr="00332528">
        <w:t>ndex</w:t>
      </w:r>
      <w:r>
        <w:t xml:space="preserve"> response at Month 6 (full analysis set)</w:t>
      </w:r>
    </w:p>
    <w:p w14:paraId="66018563" w14:textId="7BBDBDE0" w:rsidR="007C210B" w:rsidRDefault="007C210B" w:rsidP="007C210B">
      <w:r w:rsidRPr="002B0EAF">
        <w:rPr>
          <w:rFonts w:asciiTheme="minorHAnsi" w:hAnsiTheme="minorHAnsi"/>
          <w:noProof/>
          <w:color w:val="2B579A"/>
          <w:shd w:val="clear" w:color="auto" w:fill="E6E6E6"/>
          <w:lang w:eastAsia="en-AU"/>
        </w:rPr>
        <w:drawing>
          <wp:inline distT="0" distB="0" distL="0" distR="0" wp14:anchorId="3047065E" wp14:editId="11420F38">
            <wp:extent cx="5400040" cy="1697138"/>
            <wp:effectExtent l="0" t="0" r="0" b="0"/>
            <wp:docPr id="5" name="Picture 5" descr="Corneal fluorescein staining - ocular surface disease index response at Month 6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697138"/>
                    </a:xfrm>
                    <a:prstGeom prst="rect">
                      <a:avLst/>
                    </a:prstGeom>
                    <a:noFill/>
                    <a:ln>
                      <a:noFill/>
                    </a:ln>
                  </pic:spPr>
                </pic:pic>
              </a:graphicData>
            </a:graphic>
          </wp:inline>
        </w:drawing>
      </w:r>
    </w:p>
    <w:p w14:paraId="12F3B098" w14:textId="53FC0A08" w:rsidR="00CF6683" w:rsidRDefault="00CF6683" w:rsidP="00114459">
      <w:pPr>
        <w:pStyle w:val="Heading6"/>
      </w:pPr>
      <w:r>
        <w:t>Results for the s</w:t>
      </w:r>
      <w:r w:rsidR="007C210B" w:rsidRPr="007C210B">
        <w:t>econdary endpoints</w:t>
      </w:r>
    </w:p>
    <w:p w14:paraId="3989BDB2" w14:textId="0C7F3335" w:rsidR="007C210B" w:rsidRDefault="007C210B" w:rsidP="007C210B">
      <w:r w:rsidRPr="007C210B">
        <w:rPr>
          <w:i/>
        </w:rPr>
        <w:t>Responder/</w:t>
      </w:r>
      <w:r w:rsidR="00CF6683">
        <w:rPr>
          <w:i/>
        </w:rPr>
        <w:t>n</w:t>
      </w:r>
      <w:r w:rsidRPr="007C210B">
        <w:rPr>
          <w:i/>
        </w:rPr>
        <w:t>on-</w:t>
      </w:r>
      <w:r w:rsidR="00CF6683">
        <w:rPr>
          <w:i/>
        </w:rPr>
        <w:t>r</w:t>
      </w:r>
      <w:r w:rsidRPr="007C210B">
        <w:rPr>
          <w:i/>
        </w:rPr>
        <w:t>esponders including complete corneal clearing</w:t>
      </w:r>
      <w:r w:rsidR="00907D57">
        <w:rPr>
          <w:i/>
        </w:rPr>
        <w:t>:</w:t>
      </w:r>
      <w:r w:rsidR="00907D57">
        <w:t xml:space="preserve"> </w:t>
      </w:r>
      <w:r w:rsidR="00881DE5">
        <w:t>After six</w:t>
      </w:r>
      <w:r w:rsidRPr="007C210B">
        <w:t xml:space="preserve"> months of treatment, in the FAS there were no statistically significant differences in CFS responder rate, OSDI responder rate, VAS responder rate and CFS-VAS responder rate between NOVA22007</w:t>
      </w:r>
      <w:r w:rsidR="00881DE5">
        <w:t>;</w:t>
      </w:r>
      <w:r w:rsidR="00881DE5">
        <w:rPr>
          <w:color w:val="2B579A"/>
          <w:shd w:val="clear" w:color="auto" w:fill="E6E6E6"/>
        </w:rPr>
        <w:fldChar w:fldCharType="begin"/>
      </w:r>
      <w:r w:rsidR="00881DE5">
        <w:instrText xml:space="preserve"> NOTEREF _Ref64279995 \f \h </w:instrText>
      </w:r>
      <w:r w:rsidR="00881DE5">
        <w:rPr>
          <w:color w:val="2B579A"/>
          <w:shd w:val="clear" w:color="auto" w:fill="E6E6E6"/>
        </w:rPr>
      </w:r>
      <w:r w:rsidR="00881DE5">
        <w:rPr>
          <w:color w:val="2B579A"/>
          <w:shd w:val="clear" w:color="auto" w:fill="E6E6E6"/>
        </w:rPr>
        <w:fldChar w:fldCharType="separate"/>
      </w:r>
      <w:r w:rsidR="00DB1D88" w:rsidRPr="00DB1D88">
        <w:rPr>
          <w:rStyle w:val="FootnoteReference"/>
        </w:rPr>
        <w:t>10</w:t>
      </w:r>
      <w:r w:rsidR="00881DE5">
        <w:rPr>
          <w:color w:val="2B579A"/>
          <w:shd w:val="clear" w:color="auto" w:fill="E6E6E6"/>
        </w:rPr>
        <w:fldChar w:fldCharType="end"/>
      </w:r>
      <w:r w:rsidRPr="007C210B">
        <w:t xml:space="preserve"> and vehicle (</w:t>
      </w:r>
      <w:r w:rsidR="00881DE5">
        <w:t xml:space="preserve">see </w:t>
      </w:r>
      <w:r>
        <w:rPr>
          <w:color w:val="2B579A"/>
          <w:shd w:val="clear" w:color="auto" w:fill="E6E6E6"/>
        </w:rPr>
        <w:fldChar w:fldCharType="begin"/>
      </w:r>
      <w:r>
        <w:instrText xml:space="preserve"> REF _Ref64282132 \h </w:instrText>
      </w:r>
      <w:r>
        <w:rPr>
          <w:color w:val="2B579A"/>
          <w:shd w:val="clear" w:color="auto" w:fill="E6E6E6"/>
        </w:rPr>
      </w:r>
      <w:r>
        <w:rPr>
          <w:color w:val="2B579A"/>
          <w:shd w:val="clear" w:color="auto" w:fill="E6E6E6"/>
        </w:rPr>
        <w:fldChar w:fldCharType="separate"/>
      </w:r>
      <w:r w:rsidR="00DB1D88" w:rsidRPr="007C210B">
        <w:t xml:space="preserve">Table </w:t>
      </w:r>
      <w:r w:rsidR="00DB1D88">
        <w:rPr>
          <w:noProof/>
        </w:rPr>
        <w:t>4</w:t>
      </w:r>
      <w:r>
        <w:rPr>
          <w:color w:val="2B579A"/>
          <w:shd w:val="clear" w:color="auto" w:fill="E6E6E6"/>
        </w:rPr>
        <w:fldChar w:fldCharType="end"/>
      </w:r>
      <w:r w:rsidRPr="007C210B">
        <w:t>). Similar results were found in the PP population</w:t>
      </w:r>
      <w:r>
        <w:t>.</w:t>
      </w:r>
    </w:p>
    <w:p w14:paraId="586DEB19" w14:textId="2C3066D6" w:rsidR="007C210B" w:rsidRDefault="007C210B" w:rsidP="007C210B">
      <w:pPr>
        <w:pStyle w:val="TableTitle"/>
      </w:pPr>
      <w:bookmarkStart w:id="45" w:name="_Ref64282132"/>
      <w:r w:rsidRPr="007C210B">
        <w:t xml:space="preserve">Table </w:t>
      </w:r>
      <w:r>
        <w:fldChar w:fldCharType="begin"/>
      </w:r>
      <w:r>
        <w:instrText>SEQ Table \* ARABIC</w:instrText>
      </w:r>
      <w:r>
        <w:fldChar w:fldCharType="separate"/>
      </w:r>
      <w:r w:rsidR="00DB1D88">
        <w:rPr>
          <w:noProof/>
        </w:rPr>
        <w:t>4</w:t>
      </w:r>
      <w:r>
        <w:fldChar w:fldCharType="end"/>
      </w:r>
      <w:bookmarkEnd w:id="45"/>
      <w:r>
        <w:t xml:space="preserve">: </w:t>
      </w:r>
      <w:r w:rsidR="00907D57">
        <w:t xml:space="preserve">Study NVG10E117 (SANSIKA trial) </w:t>
      </w:r>
      <w:r w:rsidR="00331016">
        <w:rPr>
          <w:rFonts w:eastAsiaTheme="minorHAnsi"/>
        </w:rPr>
        <w:t>Corneal fluorescein s</w:t>
      </w:r>
      <w:r w:rsidR="00331016" w:rsidRPr="00575729">
        <w:rPr>
          <w:rFonts w:eastAsiaTheme="minorHAnsi"/>
        </w:rPr>
        <w:t>taining</w:t>
      </w:r>
      <w:r w:rsidR="00331016">
        <w:t>, ocular surface disease i</w:t>
      </w:r>
      <w:r w:rsidR="00331016" w:rsidRPr="00332528">
        <w:t>ndex</w:t>
      </w:r>
      <w:r w:rsidR="00331016">
        <w:t xml:space="preserve"> response</w:t>
      </w:r>
      <w:r w:rsidRPr="007113A4">
        <w:t xml:space="preserve">, </w:t>
      </w:r>
      <w:r w:rsidR="00331016">
        <w:t>visual analogue s</w:t>
      </w:r>
      <w:r w:rsidR="00331016" w:rsidRPr="005D4775">
        <w:t>cale</w:t>
      </w:r>
      <w:r w:rsidRPr="007113A4">
        <w:t xml:space="preserve"> and </w:t>
      </w:r>
      <w:r w:rsidR="00331016">
        <w:rPr>
          <w:rFonts w:eastAsiaTheme="minorHAnsi"/>
        </w:rPr>
        <w:t>corneal fluorescein s</w:t>
      </w:r>
      <w:r w:rsidR="00331016" w:rsidRPr="00575729">
        <w:rPr>
          <w:rFonts w:eastAsiaTheme="minorHAnsi"/>
        </w:rPr>
        <w:t>taining</w:t>
      </w:r>
      <w:r w:rsidR="00331016" w:rsidRPr="007113A4">
        <w:t xml:space="preserve"> </w:t>
      </w:r>
      <w:r w:rsidR="00331016">
        <w:t>- visual analogue s</w:t>
      </w:r>
      <w:r w:rsidR="00331016" w:rsidRPr="005D4775">
        <w:t>cale</w:t>
      </w:r>
      <w:r w:rsidRPr="007113A4">
        <w:t xml:space="preserve"> </w:t>
      </w:r>
      <w:r w:rsidR="00331016">
        <w:t>response and c</w:t>
      </w:r>
      <w:r w:rsidRPr="007113A4">
        <w:t xml:space="preserve">omplete </w:t>
      </w:r>
      <w:r w:rsidR="00331016">
        <w:t>corneal c</w:t>
      </w:r>
      <w:r>
        <w:t>learing at Month 6 (full analysis set)</w:t>
      </w:r>
    </w:p>
    <w:p w14:paraId="5A767ADD" w14:textId="6FF1BA05" w:rsidR="007C210B" w:rsidRDefault="007C210B" w:rsidP="006B59B5">
      <w:r w:rsidRPr="002D139C">
        <w:rPr>
          <w:noProof/>
          <w:shd w:val="clear" w:color="auto" w:fill="E6E6E6"/>
          <w:lang w:eastAsia="en-AU"/>
        </w:rPr>
        <w:drawing>
          <wp:inline distT="0" distB="0" distL="0" distR="0" wp14:anchorId="7C557C5E" wp14:editId="2FC43B8B">
            <wp:extent cx="5400040" cy="2264351"/>
            <wp:effectExtent l="0" t="0" r="0" b="3175"/>
            <wp:docPr id="7" name="Picture 7" descr="Corneal fluorescein staining, ocular surface disease index response, visual analogue scale and corneal fluorescein staining - visual analogue scale response and complete corneal clearing at Month 6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264351"/>
                    </a:xfrm>
                    <a:prstGeom prst="rect">
                      <a:avLst/>
                    </a:prstGeom>
                    <a:noFill/>
                    <a:ln>
                      <a:noFill/>
                    </a:ln>
                  </pic:spPr>
                </pic:pic>
              </a:graphicData>
            </a:graphic>
          </wp:inline>
        </w:drawing>
      </w:r>
    </w:p>
    <w:p w14:paraId="277A50D2" w14:textId="4962EAC3" w:rsidR="007C210B" w:rsidRPr="007C210B" w:rsidRDefault="007C210B" w:rsidP="007C210B">
      <w:pPr>
        <w:rPr>
          <w:i/>
        </w:rPr>
      </w:pPr>
      <w:r w:rsidRPr="007C210B">
        <w:rPr>
          <w:i/>
        </w:rPr>
        <w:t>Other secondary efficacy endpoints</w:t>
      </w:r>
    </w:p>
    <w:p w14:paraId="67E5CD95" w14:textId="46500493" w:rsidR="007C210B" w:rsidRDefault="00EB6353" w:rsidP="007C210B">
      <w:r>
        <w:rPr>
          <w:lang w:val="en-US"/>
        </w:rPr>
        <w:t>From a CFS score at Baseline of 4, the mean adjusted CFS score with NOVA22007;</w:t>
      </w:r>
      <w:r>
        <w:rPr>
          <w:lang w:val="en-US"/>
        </w:rPr>
        <w:fldChar w:fldCharType="begin"/>
      </w:r>
      <w:r>
        <w:rPr>
          <w:lang w:val="en-US"/>
        </w:rPr>
        <w:instrText xml:space="preserve"> NOTEREF _Ref64279995 \f \h </w:instrText>
      </w:r>
      <w:r>
        <w:rPr>
          <w:lang w:val="en-US"/>
        </w:rPr>
      </w:r>
      <w:r>
        <w:rPr>
          <w:lang w:val="en-US"/>
        </w:rPr>
        <w:fldChar w:fldCharType="separate"/>
      </w:r>
      <w:r w:rsidR="00DB1D88" w:rsidRPr="00DB1D88">
        <w:rPr>
          <w:rStyle w:val="FootnoteReference"/>
        </w:rPr>
        <w:t>10</w:t>
      </w:r>
      <w:r>
        <w:rPr>
          <w:lang w:val="en-US"/>
        </w:rPr>
        <w:fldChar w:fldCharType="end"/>
      </w:r>
      <w:r>
        <w:rPr>
          <w:lang w:val="en-US"/>
        </w:rPr>
        <w:t xml:space="preserve"> versus vehicle at 3 months was 2.48 versus 2.85, and at 6 months, was 2.19 versus 2.52.</w:t>
      </w:r>
    </w:p>
    <w:p w14:paraId="63760FD3" w14:textId="6593585A" w:rsidR="007C210B" w:rsidRDefault="007C210B" w:rsidP="007C210B">
      <w:r>
        <w:t>At Baseline, the mean OSDI score was 61.4 and 58.8 in the NOVA2207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t xml:space="preserve"> and ve</w:t>
      </w:r>
      <w:r w:rsidR="00331016">
        <w:t>hicle groups, respectively. At M</w:t>
      </w:r>
      <w:r>
        <w:t>onth 6, the mean change from Baseline in this measure of a patient’s symptoms was -14.4 v</w:t>
      </w:r>
      <w:r w:rsidR="00881DE5">
        <w:t>er</w:t>
      </w:r>
      <w:r>
        <w:t>s</w:t>
      </w:r>
      <w:r w:rsidR="00881DE5">
        <w:t>us</w:t>
      </w:r>
      <w:r>
        <w:t xml:space="preserve"> -13.3.</w:t>
      </w:r>
    </w:p>
    <w:p w14:paraId="0AD85907" w14:textId="10438B3C" w:rsidR="007C210B" w:rsidRDefault="007C210B" w:rsidP="007C210B">
      <w:r>
        <w:t>From a similar baseline, NOVA22007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t xml:space="preserve"> v</w:t>
      </w:r>
      <w:r w:rsidR="00881DE5">
        <w:t>er</w:t>
      </w:r>
      <w:r>
        <w:t>s</w:t>
      </w:r>
      <w:r w:rsidR="00881DE5">
        <w:t>us</w:t>
      </w:r>
      <w:r>
        <w:t xml:space="preserve"> vehicle (mean 55.6 mm versus 54.5 mm), the global VAS assessment over the 6 months in both groups</w:t>
      </w:r>
      <w:r w:rsidR="00077D7C">
        <w:t xml:space="preserve"> was adjusted mean change -</w:t>
      </w:r>
      <w:r w:rsidR="00AD2654">
        <w:t> </w:t>
      </w:r>
      <w:r w:rsidR="00077D7C">
        <w:t>12.1 </w:t>
      </w:r>
      <w:r>
        <w:t>mm versus -11.2 mm.</w:t>
      </w:r>
    </w:p>
    <w:p w14:paraId="1FCE5F17" w14:textId="3E66B3B1" w:rsidR="007C210B" w:rsidRDefault="007C210B" w:rsidP="007C210B">
      <w:r>
        <w:t xml:space="preserve">The </w:t>
      </w:r>
      <w:proofErr w:type="spellStart"/>
      <w:r>
        <w:t>Schirmer</w:t>
      </w:r>
      <w:proofErr w:type="spellEnd"/>
      <w:r>
        <w:t xml:space="preserve"> test score increased in both groups (mea</w:t>
      </w:r>
      <w:r w:rsidR="00077D7C">
        <w:t>n change + 2.2 versus + 1.5 </w:t>
      </w:r>
      <w:proofErr w:type="spellStart"/>
      <w:r w:rsidR="00077D7C">
        <w:t>mmg</w:t>
      </w:r>
      <w:proofErr w:type="spellEnd"/>
      <w:r w:rsidR="00077D7C">
        <w:t>/5 </w:t>
      </w:r>
      <w:r>
        <w:t>min).</w:t>
      </w:r>
    </w:p>
    <w:p w14:paraId="10BB8B1E" w14:textId="2CFB0ECD" w:rsidR="007C210B" w:rsidRDefault="007C210B" w:rsidP="007C210B">
      <w:r>
        <w:t>Over the 6 months, there was some decrease in use of artificial tears in both groups.</w:t>
      </w:r>
    </w:p>
    <w:p w14:paraId="4ADC4A99" w14:textId="0C915F7B" w:rsidR="007C210B" w:rsidRDefault="007C210B" w:rsidP="007C210B">
      <w:r>
        <w:t>The investigator global evaluation of efficacy at 6 months as ‘very satisfactory’ or ‘satisfactory’ was 64.1% v</w:t>
      </w:r>
      <w:r w:rsidR="00077D7C">
        <w:t>er</w:t>
      </w:r>
      <w:r>
        <w:t>s</w:t>
      </w:r>
      <w:r w:rsidR="00077D7C">
        <w:t>us</w:t>
      </w:r>
      <w:r>
        <w:t xml:space="preserve"> 57.0%.</w:t>
      </w:r>
    </w:p>
    <w:p w14:paraId="6929C448" w14:textId="0161850E" w:rsidR="007C210B" w:rsidRDefault="007C210B" w:rsidP="007C210B">
      <w:r>
        <w:t xml:space="preserve">The </w:t>
      </w:r>
      <w:r w:rsidR="00D22C6F">
        <w:t>human leukocyte a</w:t>
      </w:r>
      <w:r w:rsidR="00D22C6F" w:rsidRPr="00077D7C">
        <w:t>ntigen – DR isotype</w:t>
      </w:r>
      <w:r w:rsidR="00D22C6F">
        <w:t xml:space="preserve"> (</w:t>
      </w:r>
      <w:r>
        <w:t>HLA-DR</w:t>
      </w:r>
      <w:r w:rsidR="00D22C6F">
        <w:t>)</w:t>
      </w:r>
      <w:r>
        <w:t xml:space="preserve"> data showed a trend towards reduction in expression in the NOVA2207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t xml:space="preserve"> group.</w:t>
      </w:r>
    </w:p>
    <w:p w14:paraId="18D06DD1" w14:textId="712573A3" w:rsidR="007C210B" w:rsidRDefault="00077D7C" w:rsidP="007C210B">
      <w:r>
        <w:t>In TBUT mean change from B</w:t>
      </w:r>
      <w:r w:rsidR="007C210B">
        <w:t>aseline, NOVA22007</w:t>
      </w:r>
      <w:r>
        <w:t>;</w:t>
      </w:r>
      <w:r>
        <w:rPr>
          <w:color w:val="2B579A"/>
          <w:shd w:val="clear" w:color="auto" w:fill="E6E6E6"/>
        </w:rPr>
        <w:fldChar w:fldCharType="begin"/>
      </w:r>
      <w:r>
        <w:instrText xml:space="preserve"> NOTEREF _Ref64279995 \f \h </w:instrText>
      </w:r>
      <w:r>
        <w:rPr>
          <w:color w:val="2B579A"/>
          <w:shd w:val="clear" w:color="auto" w:fill="E6E6E6"/>
        </w:rPr>
      </w:r>
      <w:r>
        <w:rPr>
          <w:color w:val="2B579A"/>
          <w:shd w:val="clear" w:color="auto" w:fill="E6E6E6"/>
        </w:rPr>
        <w:fldChar w:fldCharType="separate"/>
      </w:r>
      <w:r w:rsidR="00DB1D88" w:rsidRPr="00DB1D88">
        <w:rPr>
          <w:rStyle w:val="FootnoteReference"/>
        </w:rPr>
        <w:t>10</w:t>
      </w:r>
      <w:r>
        <w:rPr>
          <w:color w:val="2B579A"/>
          <w:shd w:val="clear" w:color="auto" w:fill="E6E6E6"/>
        </w:rPr>
        <w:fldChar w:fldCharType="end"/>
      </w:r>
      <w:r w:rsidR="007C210B">
        <w:t xml:space="preserve"> v</w:t>
      </w:r>
      <w:r>
        <w:t>er</w:t>
      </w:r>
      <w:r w:rsidR="007C210B">
        <w:t>s</w:t>
      </w:r>
      <w:r>
        <w:t>us</w:t>
      </w:r>
      <w:r w:rsidR="007C210B">
        <w:t xml:space="preserve"> vehicle, was 0.75 versus 0.30. nor no change in the </w:t>
      </w:r>
      <w:proofErr w:type="spellStart"/>
      <w:r w:rsidR="007C210B">
        <w:t>lissamine</w:t>
      </w:r>
      <w:proofErr w:type="spellEnd"/>
      <w:r w:rsidR="007C210B">
        <w:t xml:space="preserve"> green total score.</w:t>
      </w:r>
    </w:p>
    <w:p w14:paraId="35A593AD" w14:textId="18C0E887" w:rsidR="007C210B" w:rsidRDefault="00907D57" w:rsidP="007C210B">
      <w:r>
        <w:t xml:space="preserve">Quality of life </w:t>
      </w:r>
      <w:r w:rsidR="007C210B">
        <w:t>data, as based on the NEI-VFQ-25 composite score and the EQ-5D score, found no differences between groups.</w:t>
      </w:r>
    </w:p>
    <w:p w14:paraId="72D5102E" w14:textId="50164460" w:rsidR="007C210B" w:rsidRDefault="007C210B" w:rsidP="007C210B">
      <w:r>
        <w:t xml:space="preserve">An exploratory endpoint, tear film </w:t>
      </w:r>
      <w:proofErr w:type="spellStart"/>
      <w:r>
        <w:t>osmolarity</w:t>
      </w:r>
      <w:proofErr w:type="spellEnd"/>
      <w:r>
        <w:t>, was assessed at selected centres with data from 40 and 30 subjects in the NOVA22007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t xml:space="preserve"> and vehicle groups, respectively. Both groups showed a trend towards reduction in </w:t>
      </w:r>
      <w:proofErr w:type="spellStart"/>
      <w:r>
        <w:t>osmolarity</w:t>
      </w:r>
      <w:proofErr w:type="spellEnd"/>
      <w:r>
        <w:t xml:space="preserve"> over the 6 months.</w:t>
      </w:r>
    </w:p>
    <w:p w14:paraId="03A19EF0" w14:textId="00D7F0B1" w:rsidR="007C210B" w:rsidRDefault="007C210B" w:rsidP="00690EC0">
      <w:pPr>
        <w:pStyle w:val="Heading6"/>
      </w:pPr>
      <w:r w:rsidRPr="007C210B">
        <w:t>Post-hoc analyses</w:t>
      </w:r>
    </w:p>
    <w:p w14:paraId="20C35776" w14:textId="0684E5C9" w:rsidR="007C210B" w:rsidRDefault="007C210B" w:rsidP="007C210B">
      <w:r w:rsidRPr="00690EC0">
        <w:rPr>
          <w:i/>
        </w:rPr>
        <w:t>CFS-OSDI Responders</w:t>
      </w:r>
      <w:r>
        <w:t>: Using a definit</w:t>
      </w:r>
      <w:r w:rsidR="00077D7C">
        <w:t>ion with CFS score of at least three</w:t>
      </w:r>
      <w:r>
        <w:t xml:space="preserve"> grades improvement, </w:t>
      </w:r>
      <w:r w:rsidR="00077D7C">
        <w:t>the CFS-OSDI responder rate at M</w:t>
      </w:r>
      <w:r>
        <w:t>onth 6 was higher in the NOVA22007 group (18.8% v</w:t>
      </w:r>
      <w:r w:rsidR="00077D7C">
        <w:t>er</w:t>
      </w:r>
      <w:r>
        <w:t>s</w:t>
      </w:r>
      <w:r w:rsidR="00077D7C">
        <w:t>us</w:t>
      </w:r>
      <w:r>
        <w:t xml:space="preserve"> 7.7%)</w:t>
      </w:r>
      <w:r w:rsidR="00D22C6F">
        <w:t>.</w:t>
      </w:r>
    </w:p>
    <w:p w14:paraId="547A45E9" w14:textId="2E762960" w:rsidR="007C210B" w:rsidRDefault="007C210B" w:rsidP="007C210B">
      <w:r w:rsidRPr="00690EC0">
        <w:rPr>
          <w:i/>
        </w:rPr>
        <w:t>CFS</w:t>
      </w:r>
      <w:r>
        <w:t xml:space="preserve">: The proportion of patients </w:t>
      </w:r>
      <w:r w:rsidR="00077D7C">
        <w:t>with a CFS score with at least three</w:t>
      </w:r>
      <w:r>
        <w:t xml:space="preserve"> grades improvement was 31.2% v</w:t>
      </w:r>
      <w:r w:rsidR="00077D7C">
        <w:t>er</w:t>
      </w:r>
      <w:r>
        <w:t>s</w:t>
      </w:r>
      <w:r w:rsidR="00077D7C">
        <w:t>us</w:t>
      </w:r>
      <w:r>
        <w:t xml:space="preserve"> 13.2% at 6 months.</w:t>
      </w:r>
    </w:p>
    <w:p w14:paraId="7739686D" w14:textId="0B0960A6" w:rsidR="007C210B" w:rsidRDefault="007C210B" w:rsidP="007C210B">
      <w:r w:rsidRPr="00690EC0">
        <w:rPr>
          <w:i/>
        </w:rPr>
        <w:t>CFS-OSDI responder rate (primary efficacy variable) over time</w:t>
      </w:r>
      <w:r>
        <w:t>: When considering all study visits, CFS-OSDI responder rate was higher with NOVA22007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t xml:space="preserve"> than with vehicle. This difference between treatments was not confirmed in the PPS.</w:t>
      </w:r>
    </w:p>
    <w:p w14:paraId="3BE5F062" w14:textId="7CE4AD7B" w:rsidR="00FB2149" w:rsidRDefault="00907D57" w:rsidP="00690EC0">
      <w:pPr>
        <w:pStyle w:val="Heading6"/>
      </w:pPr>
      <w:r>
        <w:t>Study NVG10E117 (</w:t>
      </w:r>
      <w:r w:rsidR="00FB2149" w:rsidRPr="00FB2149">
        <w:t>SANSIKA</w:t>
      </w:r>
      <w:r>
        <w:t xml:space="preserve"> trial) Part 2;</w:t>
      </w:r>
      <w:r w:rsidR="00FB2149" w:rsidRPr="00FB2149">
        <w:t xml:space="preserve"> (FAS-OPEN) </w:t>
      </w:r>
      <w:r>
        <w:t>d</w:t>
      </w:r>
      <w:r w:rsidR="00FB2149" w:rsidRPr="00FB2149">
        <w:t xml:space="preserve">escriptive </w:t>
      </w:r>
      <w:r>
        <w:t>e</w:t>
      </w:r>
      <w:r w:rsidR="00FB2149" w:rsidRPr="00FB2149">
        <w:t xml:space="preserve">fficacy </w:t>
      </w:r>
      <w:r>
        <w:t>a</w:t>
      </w:r>
      <w:r w:rsidR="00FB2149" w:rsidRPr="00FB2149">
        <w:t>nalyses</w:t>
      </w:r>
    </w:p>
    <w:p w14:paraId="6EC1C0BA" w14:textId="54F42CA6" w:rsidR="00FB2149" w:rsidRDefault="00FB2149" w:rsidP="00FB2149">
      <w:r w:rsidRPr="00690EC0">
        <w:rPr>
          <w:i/>
        </w:rPr>
        <w:t>CFS-OSDI responder rate</w:t>
      </w:r>
      <w:r>
        <w:t>: Res</w:t>
      </w:r>
      <w:r w:rsidR="00077D7C">
        <w:t>ponse rates were maintained to M</w:t>
      </w:r>
      <w:r>
        <w:t>onth 12. At this time point, the rate of CFS-OSDI responders was 39.1% and 38.0% in the NOVA22007/NOVA22007 and vehicle/NOVA22007 groups, respectively.</w:t>
      </w:r>
    </w:p>
    <w:p w14:paraId="5892A6E0" w14:textId="4D816FA0" w:rsidR="00FB2149" w:rsidRDefault="00FB2149" w:rsidP="00FB2149">
      <w:r>
        <w:t>The other responder rates (CFS, OSDI, VAS and CFS-VAS) also increased between Month 6 and Month 12, with no marked differences between groups except the CFS responder rate which was higher in the NOVA22007/NOVA22007 group (65.6%) compared to the vehicle/NOVA22007 group (54.4%) at Month 12.</w:t>
      </w:r>
    </w:p>
    <w:p w14:paraId="79A436B2" w14:textId="657C23F6" w:rsidR="00DB0D94" w:rsidRDefault="00907D57" w:rsidP="00690EC0">
      <w:pPr>
        <w:pStyle w:val="Heading5"/>
      </w:pPr>
      <w:r>
        <w:t>Study NVG12D122 (p</w:t>
      </w:r>
      <w:r w:rsidR="00DB0D94">
        <w:t>ost-SANSIKA</w:t>
      </w:r>
      <w:r w:rsidR="000C3741">
        <w:t xml:space="preserve"> trial</w:t>
      </w:r>
      <w:r>
        <w:t>)</w:t>
      </w:r>
    </w:p>
    <w:p w14:paraId="148DDB77" w14:textId="43E225AE" w:rsidR="00DB0D94" w:rsidRDefault="00907D57" w:rsidP="00DB0D94">
      <w:r>
        <w:t>Study NVG12D122, a p</w:t>
      </w:r>
      <w:r w:rsidR="00DB0D94">
        <w:t>ost</w:t>
      </w:r>
      <w:r>
        <w:noBreakHyphen/>
      </w:r>
      <w:r w:rsidR="00DB0D94">
        <w:t>S</w:t>
      </w:r>
      <w:r w:rsidR="000C3741">
        <w:t xml:space="preserve">ANSIKA trial </w:t>
      </w:r>
      <w:r w:rsidR="00DB0D94">
        <w:t xml:space="preserve"> was a 24 month, open label, non</w:t>
      </w:r>
      <w:r>
        <w:noBreakHyphen/>
      </w:r>
      <w:r w:rsidR="00DB0D94">
        <w:t xml:space="preserve">randomised, extension study of </w:t>
      </w:r>
      <w:r>
        <w:t xml:space="preserve">Study NVG10E117 (the </w:t>
      </w:r>
      <w:r w:rsidR="000C3741">
        <w:t>SANSIKA</w:t>
      </w:r>
      <w:r>
        <w:t xml:space="preserve"> trial)</w:t>
      </w:r>
      <w:r w:rsidR="00DB0D94">
        <w:t>. The primary objective was to assess the duration of the improvement (time to relapse) following NOVA22007</w:t>
      </w:r>
      <w:r w:rsidR="00CB3042">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rsidR="00DB0D94">
        <w:t xml:space="preserve"> treatment discontinuation once the patient was markedly improved (CFS ≤ 2) with respect to the</w:t>
      </w:r>
      <w:r w:rsidR="00A57A90">
        <w:t xml:space="preserve"> baseline of the main study (</w:t>
      </w:r>
      <w:r w:rsidR="002132ED">
        <w:t>that is</w:t>
      </w:r>
      <w:r w:rsidR="00A57A90">
        <w:t>,</w:t>
      </w:r>
      <w:r w:rsidR="00DB0D94">
        <w:t xml:space="preserve"> time from treatment discontinuation due to </w:t>
      </w:r>
      <w:r w:rsidR="000C3741">
        <w:t>marked improvement (</w:t>
      </w:r>
      <w:r w:rsidR="00DB0D94">
        <w:t xml:space="preserve">CFS ≤ </w:t>
      </w:r>
      <w:r w:rsidR="000C3741">
        <w:t>2)</w:t>
      </w:r>
      <w:r w:rsidR="00DB0D94">
        <w:t xml:space="preserve"> to treat</w:t>
      </w:r>
      <w:r w:rsidR="000C3741">
        <w:t>ment resumption due to relapse (</w:t>
      </w:r>
      <w:r w:rsidR="00DB0D94">
        <w:t xml:space="preserve">CFS ≥ </w:t>
      </w:r>
      <w:r w:rsidR="000C3741">
        <w:t>4)</w:t>
      </w:r>
      <w:r w:rsidR="00DB0D94">
        <w:t>). The primary efficacy assessment was the CFS using the modified Oxford scale in both eyes. The eye with the worse score at each visit was used to determine a patient’s need for treatment. For inclusion, patients needed to have completed the main study (</w:t>
      </w:r>
      <w:r>
        <w:t xml:space="preserve">Study </w:t>
      </w:r>
      <w:r w:rsidR="00DB0D94">
        <w:t>NVG10E117); been treated with NOVA22007 for the last 6 months; and have a CFS score ≤</w:t>
      </w:r>
      <w:r w:rsidR="00077D7C">
        <w:t xml:space="preserve"> 3 at least at one visit after M</w:t>
      </w:r>
      <w:r w:rsidR="00DB0D94">
        <w:t>onth 6.</w:t>
      </w:r>
    </w:p>
    <w:p w14:paraId="15FE2986" w14:textId="3B5220A4" w:rsidR="00DB0D94" w:rsidRDefault="00DB0D94" w:rsidP="00DB0D94">
      <w:r>
        <w:t>There was a persistence of effect afte</w:t>
      </w:r>
      <w:r w:rsidR="00077D7C">
        <w:t>r treatment cessation over the two</w:t>
      </w:r>
      <w:r>
        <w:t xml:space="preserve"> year study period as, for those classed as having markedly improved DED (CFS ≤ 2), 61.3% did not have a relapse (CFS ≥ 4). In these markedly improved patients, about 38.7% had a relapse with 25% occurring within 7.4 months. The median time to relapse could not be estimated due to small numbers. No prognostic factors were identified. The study was hampered by a small sample size and variability between patients. However, it provided some evidence to support cessation of treatment in those who have markedly improved.</w:t>
      </w:r>
    </w:p>
    <w:p w14:paraId="69C707B9" w14:textId="4113CC3D" w:rsidR="00A57A90" w:rsidRDefault="00A57A90" w:rsidP="00A57A90">
      <w:pPr>
        <w:pStyle w:val="Heading5"/>
      </w:pPr>
      <w:r w:rsidRPr="00A57A90">
        <w:t>Analysis performed across trials (pooled analyses and meta-analysis)</w:t>
      </w:r>
    </w:p>
    <w:p w14:paraId="2C1D5E1D" w14:textId="38AC2D16" w:rsidR="008C7110" w:rsidRDefault="008C7110" w:rsidP="008C7110">
      <w:r>
        <w:t xml:space="preserve">A meta-analysis of the data from the two Phase III </w:t>
      </w:r>
      <w:r w:rsidR="00CF6683">
        <w:t xml:space="preserve">studies (the </w:t>
      </w:r>
      <w:r>
        <w:t xml:space="preserve">SANSIKA and SICCANOVE </w:t>
      </w:r>
      <w:r w:rsidR="00CF6683">
        <w:t xml:space="preserve">trials) </w:t>
      </w:r>
      <w:r>
        <w:t>was performed by the sponsor. The primary objective of the meta</w:t>
      </w:r>
      <w:r w:rsidR="00CF6683">
        <w:noBreakHyphen/>
      </w:r>
      <w:r>
        <w:t>analysis was to increase the precision of the estimate of the magnitude of the treatment effect. The second objective was to deepen the scientific knowledge of the disease in patients</w:t>
      </w:r>
      <w:r w:rsidR="00077D7C">
        <w:t xml:space="preserve"> with </w:t>
      </w:r>
      <w:proofErr w:type="spellStart"/>
      <w:r w:rsidR="00077D7C">
        <w:t>Sjögren</w:t>
      </w:r>
      <w:proofErr w:type="spellEnd"/>
      <w:r w:rsidR="00077D7C">
        <w:t xml:space="preserve"> syndrome, and on H</w:t>
      </w:r>
      <w:r>
        <w:t>LA-DR expression.</w:t>
      </w:r>
    </w:p>
    <w:p w14:paraId="64DAC275" w14:textId="1467A7AF" w:rsidR="008C7110" w:rsidRDefault="008C7110" w:rsidP="008C7110">
      <w:r>
        <w:t>The meta-analysis used the same endpoint, analysis, and methodology as in the SANSIKA study and focused on composite CFS/OSDI response at Month 6:</w:t>
      </w:r>
    </w:p>
    <w:p w14:paraId="3762E2A3" w14:textId="2E490B3A" w:rsidR="008C7110" w:rsidRDefault="00077D7C" w:rsidP="008C7110">
      <w:pPr>
        <w:pStyle w:val="ListBullet"/>
      </w:pPr>
      <w:r>
        <w:t>i</w:t>
      </w:r>
      <w:r w:rsidR="008C7110">
        <w:t xml:space="preserve">n the combined FAS population (post-hoc analysis) for </w:t>
      </w:r>
      <w:r w:rsidR="00CF6683">
        <w:t xml:space="preserve">the </w:t>
      </w:r>
      <w:r>
        <w:t>SANSIKA and SICCANOVE</w:t>
      </w:r>
      <w:r w:rsidR="00CF6683">
        <w:t xml:space="preserve"> trials; and</w:t>
      </w:r>
    </w:p>
    <w:p w14:paraId="1BE344C9" w14:textId="1D1167FD" w:rsidR="008C7110" w:rsidRDefault="00077D7C" w:rsidP="008C7110">
      <w:pPr>
        <w:pStyle w:val="ListBullet"/>
      </w:pPr>
      <w:r>
        <w:t>i</w:t>
      </w:r>
      <w:r w:rsidR="008C7110">
        <w:t>n the population with severe DED only (severe FAS</w:t>
      </w:r>
      <w:r w:rsidR="00D22C6F">
        <w:t>), that is</w:t>
      </w:r>
      <w:r w:rsidR="008C7110">
        <w:t xml:space="preserve"> those patients with a CFS graded 4 on the modified Oxford grading scale, and OSDI ≥</w:t>
      </w:r>
      <w:r>
        <w:t xml:space="preserve"> </w:t>
      </w:r>
      <w:r w:rsidR="008C7110">
        <w:t xml:space="preserve">23, as included in the SANSIKA </w:t>
      </w:r>
      <w:r w:rsidR="00CF6683">
        <w:t>trial</w:t>
      </w:r>
      <w:r w:rsidR="008C7110">
        <w:t xml:space="preserve">; this patient population only represented a subset of the patient population included in the SICCANOVE </w:t>
      </w:r>
      <w:r w:rsidR="00CF6683">
        <w:t xml:space="preserve">trial </w:t>
      </w:r>
      <w:r>
        <w:t>(NOVA22007;</w:t>
      </w:r>
      <w:r>
        <w:rPr>
          <w:color w:val="2B579A"/>
          <w:shd w:val="clear" w:color="auto" w:fill="E6E6E6"/>
        </w:rPr>
        <w:fldChar w:fldCharType="begin"/>
      </w:r>
      <w:r>
        <w:instrText xml:space="preserve"> NOTEREF _Ref64279995 \f \h </w:instrText>
      </w:r>
      <w:r>
        <w:rPr>
          <w:color w:val="2B579A"/>
          <w:shd w:val="clear" w:color="auto" w:fill="E6E6E6"/>
        </w:rPr>
      </w:r>
      <w:r>
        <w:rPr>
          <w:color w:val="2B579A"/>
          <w:shd w:val="clear" w:color="auto" w:fill="E6E6E6"/>
        </w:rPr>
        <w:fldChar w:fldCharType="separate"/>
      </w:r>
      <w:r w:rsidR="00DB1D88" w:rsidRPr="00DB1D88">
        <w:rPr>
          <w:rStyle w:val="FootnoteReference"/>
        </w:rPr>
        <w:t>10</w:t>
      </w:r>
      <w:r>
        <w:rPr>
          <w:color w:val="2B579A"/>
          <w:shd w:val="clear" w:color="auto" w:fill="E6E6E6"/>
        </w:rPr>
        <w:fldChar w:fldCharType="end"/>
      </w:r>
      <w:r>
        <w:t xml:space="preserve"> n = 39; vehicle n</w:t>
      </w:r>
      <w:r w:rsidR="00CF6683">
        <w:t> </w:t>
      </w:r>
      <w:r>
        <w:t>=</w:t>
      </w:r>
      <w:r w:rsidR="00CF6683">
        <w:t> </w:t>
      </w:r>
      <w:r>
        <w:t>35)</w:t>
      </w:r>
      <w:r w:rsidR="00CF6683">
        <w:t>.</w:t>
      </w:r>
    </w:p>
    <w:p w14:paraId="2F8F2697" w14:textId="7517C51A" w:rsidR="008C7110" w:rsidRDefault="008C7110" w:rsidP="008C7110">
      <w:r>
        <w:t>The study effect was included in a logistic model to take into account the structure of the data set (test and estimation of heterogeneity between studies). There was no adjustment for multiplicity; statistical testing was performed at a two-tailed significance level of 0.05.</w:t>
      </w:r>
    </w:p>
    <w:p w14:paraId="2BF16B8F" w14:textId="50AF0CF1" w:rsidR="008C7110" w:rsidRDefault="008C7110" w:rsidP="008C7110">
      <w:pPr>
        <w:pStyle w:val="Heading6"/>
      </w:pPr>
      <w:r>
        <w:t>Result</w:t>
      </w:r>
      <w:r w:rsidR="00CF6683">
        <w:t>s</w:t>
      </w:r>
    </w:p>
    <w:p w14:paraId="34962D2D" w14:textId="33CBAE88" w:rsidR="008C7110" w:rsidRDefault="00CF6683" w:rsidP="008C7110">
      <w:r>
        <w:t xml:space="preserve">Results for the </w:t>
      </w:r>
      <w:r w:rsidR="008C7110">
        <w:t>CFS-OSDI response at Month 6</w:t>
      </w:r>
      <w:r>
        <w:t>, and a forest plot of CFS OSDI response are shown in Figures 3 and 4 respectively.</w:t>
      </w:r>
    </w:p>
    <w:p w14:paraId="6BCDDE79" w14:textId="0AFE605C" w:rsidR="008C7110" w:rsidRDefault="008C7110" w:rsidP="008C7110">
      <w:pPr>
        <w:pStyle w:val="FigureTitle"/>
      </w:pPr>
      <w:r w:rsidRPr="008C7110">
        <w:t xml:space="preserve">Figure </w:t>
      </w:r>
      <w:r>
        <w:fldChar w:fldCharType="begin"/>
      </w:r>
      <w:r>
        <w:instrText>SEQ Figure \* ARABIC</w:instrText>
      </w:r>
      <w:r>
        <w:fldChar w:fldCharType="separate"/>
      </w:r>
      <w:r w:rsidR="00DB1D88">
        <w:rPr>
          <w:noProof/>
        </w:rPr>
        <w:t>3</w:t>
      </w:r>
      <w:r>
        <w:fldChar w:fldCharType="end"/>
      </w:r>
      <w:r>
        <w:t xml:space="preserve">: </w:t>
      </w:r>
      <w:r w:rsidRPr="008C7110">
        <w:t>Meta-analysis of co</w:t>
      </w:r>
      <w:r w:rsidR="00D22C6F">
        <w:t xml:space="preserve">mposite </w:t>
      </w:r>
      <w:r w:rsidR="00CF6683">
        <w:rPr>
          <w:rFonts w:eastAsiaTheme="minorHAnsi"/>
        </w:rPr>
        <w:t>corneal fluorescein s</w:t>
      </w:r>
      <w:r w:rsidR="00CF6683" w:rsidRPr="00575729">
        <w:rPr>
          <w:rFonts w:eastAsiaTheme="minorHAnsi"/>
        </w:rPr>
        <w:t>taining</w:t>
      </w:r>
      <w:r w:rsidR="00CF6683">
        <w:t xml:space="preserve"> /ocular surface disease i</w:t>
      </w:r>
      <w:r w:rsidR="00CF6683" w:rsidRPr="00332528">
        <w:t>ndex</w:t>
      </w:r>
      <w:r w:rsidR="00CF6683">
        <w:t xml:space="preserve"> response </w:t>
      </w:r>
      <w:r w:rsidR="00D22C6F">
        <w:t>(</w:t>
      </w:r>
      <w:r w:rsidR="00CF6683">
        <w:t>a</w:t>
      </w:r>
      <w:r w:rsidR="00D22C6F">
        <w:t>ll full analysis set and s</w:t>
      </w:r>
      <w:r w:rsidRPr="008C7110">
        <w:t xml:space="preserve">evere </w:t>
      </w:r>
      <w:r w:rsidR="00D22C6F">
        <w:t>full analysis set</w:t>
      </w:r>
      <w:r w:rsidR="00CF6683">
        <w:t xml:space="preserve"> populations</w:t>
      </w:r>
      <w:r w:rsidRPr="008C7110">
        <w:t>)</w:t>
      </w:r>
    </w:p>
    <w:p w14:paraId="5611D7B4" w14:textId="234D0C7D" w:rsidR="008C7110" w:rsidRDefault="008C7110" w:rsidP="006B59B5">
      <w:r w:rsidRPr="00D279F6">
        <w:rPr>
          <w:noProof/>
          <w:shd w:val="clear" w:color="auto" w:fill="E6E6E6"/>
          <w:lang w:eastAsia="en-AU"/>
        </w:rPr>
        <w:drawing>
          <wp:inline distT="0" distB="0" distL="0" distR="0" wp14:anchorId="0031AD4A" wp14:editId="5DCE6685">
            <wp:extent cx="5085404" cy="3260034"/>
            <wp:effectExtent l="0" t="0" r="1270" b="0"/>
            <wp:docPr id="8" name="Picture 8" descr="Meta-analysis of composite CFS/OSDI response (All FAS and Sever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9782" cy="3262840"/>
                    </a:xfrm>
                    <a:prstGeom prst="rect">
                      <a:avLst/>
                    </a:prstGeom>
                    <a:noFill/>
                    <a:ln>
                      <a:noFill/>
                    </a:ln>
                  </pic:spPr>
                </pic:pic>
              </a:graphicData>
            </a:graphic>
          </wp:inline>
        </w:drawing>
      </w:r>
    </w:p>
    <w:p w14:paraId="5DE4E6C2" w14:textId="7A53D2CD" w:rsidR="008C7110" w:rsidRDefault="008C7110" w:rsidP="008C7110">
      <w:pPr>
        <w:pStyle w:val="FigureTitle"/>
      </w:pPr>
      <w:r w:rsidRPr="008C7110">
        <w:t xml:space="preserve">Figure </w:t>
      </w:r>
      <w:r>
        <w:fldChar w:fldCharType="begin"/>
      </w:r>
      <w:r>
        <w:instrText>SEQ Figure \* ARABIC</w:instrText>
      </w:r>
      <w:r>
        <w:fldChar w:fldCharType="separate"/>
      </w:r>
      <w:r w:rsidR="00DB1D88">
        <w:rPr>
          <w:noProof/>
        </w:rPr>
        <w:t>4</w:t>
      </w:r>
      <w:r>
        <w:fldChar w:fldCharType="end"/>
      </w:r>
      <w:r>
        <w:t xml:space="preserve">: </w:t>
      </w:r>
      <w:r w:rsidR="00CF6683">
        <w:t xml:space="preserve">Meta-analysis of composite </w:t>
      </w:r>
      <w:r w:rsidR="00CF6683">
        <w:rPr>
          <w:rFonts w:eastAsiaTheme="minorHAnsi"/>
        </w:rPr>
        <w:t>corneal fluorescein s</w:t>
      </w:r>
      <w:r w:rsidR="00CF6683" w:rsidRPr="00575729">
        <w:rPr>
          <w:rFonts w:eastAsiaTheme="minorHAnsi"/>
        </w:rPr>
        <w:t>taining</w:t>
      </w:r>
      <w:r w:rsidR="00C15F96">
        <w:t>/</w:t>
      </w:r>
      <w:r w:rsidR="00CF6683">
        <w:t>ocular surface disease i</w:t>
      </w:r>
      <w:r w:rsidR="00CF6683" w:rsidRPr="00332528">
        <w:t>ndex</w:t>
      </w:r>
      <w:r w:rsidR="00CF6683">
        <w:t xml:space="preserve"> response</w:t>
      </w:r>
      <w:r w:rsidR="00CF6683" w:rsidRPr="008C7110">
        <w:t xml:space="preserve"> at Month 6</w:t>
      </w:r>
      <w:r w:rsidR="00C15F96">
        <w:t>; forest plot</w:t>
      </w:r>
      <w:r w:rsidR="00CF6683" w:rsidRPr="008C7110">
        <w:t xml:space="preserve"> </w:t>
      </w:r>
      <w:r w:rsidR="00C15F96">
        <w:t>(s</w:t>
      </w:r>
      <w:r w:rsidRPr="008C7110">
        <w:t xml:space="preserve">evere </w:t>
      </w:r>
      <w:r w:rsidR="00D22C6F">
        <w:t>full analysis set</w:t>
      </w:r>
      <w:r w:rsidR="00C15F96">
        <w:t xml:space="preserve"> population, imputed data</w:t>
      </w:r>
      <w:r w:rsidR="00C15F96">
        <w:rPr>
          <w:rFonts w:eastAsiaTheme="minorHAnsi"/>
        </w:rPr>
        <w:t>)</w:t>
      </w:r>
    </w:p>
    <w:p w14:paraId="36D379B2" w14:textId="0B50836E" w:rsidR="008C7110" w:rsidRDefault="008C7110" w:rsidP="008C7110">
      <w:r>
        <w:rPr>
          <w:noProof/>
          <w:color w:val="2B579A"/>
          <w:shd w:val="clear" w:color="auto" w:fill="E6E6E6"/>
          <w:lang w:eastAsia="en-AU"/>
        </w:rPr>
        <w:drawing>
          <wp:inline distT="0" distB="0" distL="0" distR="0" wp14:anchorId="40E2CC42" wp14:editId="57271EB0">
            <wp:extent cx="3944620" cy="2646045"/>
            <wp:effectExtent l="0" t="0" r="0" b="1905"/>
            <wp:docPr id="9" name="Picture 9" descr="Severe full analysis set, corneal fluorescein staining - ocular surface disease index response at Month 6 – Forest Plot – Impu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3944620" cy="2646045"/>
                    </a:xfrm>
                    <a:prstGeom prst="rect">
                      <a:avLst/>
                    </a:prstGeom>
                  </pic:spPr>
                </pic:pic>
              </a:graphicData>
            </a:graphic>
          </wp:inline>
        </w:drawing>
      </w:r>
    </w:p>
    <w:p w14:paraId="1B204951" w14:textId="07FFCB03" w:rsidR="008C7110" w:rsidRPr="008C7110" w:rsidRDefault="00C15F96" w:rsidP="00114459">
      <w:pPr>
        <w:pStyle w:val="Heading6"/>
      </w:pPr>
      <w:r>
        <w:t xml:space="preserve">Results in </w:t>
      </w:r>
      <w:proofErr w:type="spellStart"/>
      <w:r w:rsidR="008C7110" w:rsidRPr="008C7110">
        <w:t>Sjögren</w:t>
      </w:r>
      <w:proofErr w:type="spellEnd"/>
      <w:r w:rsidR="008C7110" w:rsidRPr="008C7110">
        <w:t xml:space="preserve"> patients</w:t>
      </w:r>
    </w:p>
    <w:p w14:paraId="2ACEDB58" w14:textId="29C7B134" w:rsidR="008C7110" w:rsidRDefault="008C7110" w:rsidP="008C7110">
      <w:r w:rsidRPr="00A568B7">
        <w:t xml:space="preserve">In the subgroup of </w:t>
      </w:r>
      <w:proofErr w:type="spellStart"/>
      <w:r w:rsidRPr="00A568B7">
        <w:t>Sjögren</w:t>
      </w:r>
      <w:proofErr w:type="spellEnd"/>
      <w:r w:rsidRPr="00A568B7">
        <w:t xml:space="preserve"> patients with severe DED (CFS graded 4 and OSDI ≥ 23, n</w:t>
      </w:r>
      <w:r w:rsidR="00077D7C">
        <w:t> = </w:t>
      </w:r>
      <w:r w:rsidRPr="00A568B7">
        <w:t>130), the rate of responders was 23.4% for NOVA22007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rsidRPr="00A568B7">
        <w:t xml:space="preserve"> and 9.4% for vehicle (p</w:t>
      </w:r>
      <w:r w:rsidR="00077D7C">
        <w:t> </w:t>
      </w:r>
      <w:r w:rsidRPr="00A568B7">
        <w:t>=</w:t>
      </w:r>
      <w:r w:rsidR="00077D7C">
        <w:t> </w:t>
      </w:r>
      <w:r w:rsidRPr="00A568B7">
        <w:t xml:space="preserve">0.036), resulting in an </w:t>
      </w:r>
      <w:r w:rsidR="00077D7C">
        <w:t xml:space="preserve">OR of 3.04 (1.13; 9.50). In the </w:t>
      </w:r>
      <w:proofErr w:type="spellStart"/>
      <w:r w:rsidR="00077D7C">
        <w:t>Sjögren</w:t>
      </w:r>
      <w:proofErr w:type="spellEnd"/>
      <w:r w:rsidR="00077D7C">
        <w:t xml:space="preserve"> a</w:t>
      </w:r>
      <w:r w:rsidRPr="00A568B7">
        <w:t>ll FAS, the rate of responders was 19.2% for NOVA22007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rsidRPr="00A568B7">
        <w:t xml:space="preserve"> and 11.6% for vehicle resulting in an </w:t>
      </w:r>
      <w:r w:rsidR="00077D7C">
        <w:t>OR of 1.773 (</w:t>
      </w:r>
      <w:r w:rsidRPr="00A568B7">
        <w:t>0.893; 3.657</w:t>
      </w:r>
      <w:r w:rsidR="00077D7C">
        <w:t>)</w:t>
      </w:r>
      <w:r w:rsidRPr="00A568B7">
        <w:t>. The between-treatment difference was not statistically significant.</w:t>
      </w:r>
    </w:p>
    <w:p w14:paraId="132F7000" w14:textId="5142A5A1" w:rsidR="004E7FC0" w:rsidRDefault="00C15F96" w:rsidP="00114459">
      <w:pPr>
        <w:pStyle w:val="Heading5"/>
      </w:pPr>
      <w:r>
        <w:t>S</w:t>
      </w:r>
      <w:r w:rsidR="004E7FC0" w:rsidRPr="004E7FC0">
        <w:t>tudy N09F0502</w:t>
      </w:r>
      <w:r>
        <w:t xml:space="preserve"> (Phase </w:t>
      </w:r>
      <w:proofErr w:type="spellStart"/>
      <w:r>
        <w:t>IIa</w:t>
      </w:r>
      <w:proofErr w:type="spellEnd"/>
      <w:r>
        <w:t>)</w:t>
      </w:r>
    </w:p>
    <w:p w14:paraId="7A9AA4F4" w14:textId="4747605B" w:rsidR="004E7FC0" w:rsidRDefault="004E7FC0" w:rsidP="004E7FC0">
      <w:r>
        <w:t>Study N09F0502 was a multicentre, double-masked, randomised, parallel group, vehicle-controlled pilot study to assess the use of 3 different concentrations of NOVA22007</w:t>
      </w:r>
      <w:r w:rsidR="00077D7C">
        <w:t>;</w:t>
      </w:r>
      <w:r w:rsidR="00077D7C">
        <w:rPr>
          <w:color w:val="2B579A"/>
          <w:shd w:val="clear" w:color="auto" w:fill="E6E6E6"/>
        </w:rPr>
        <w:fldChar w:fldCharType="begin"/>
      </w:r>
      <w:r w:rsidR="00077D7C">
        <w:instrText xml:space="preserve"> NOTEREF _Ref64279995 \f \h </w:instrText>
      </w:r>
      <w:r w:rsidR="00077D7C">
        <w:rPr>
          <w:color w:val="2B579A"/>
          <w:shd w:val="clear" w:color="auto" w:fill="E6E6E6"/>
        </w:rPr>
      </w:r>
      <w:r w:rsidR="00077D7C">
        <w:rPr>
          <w:color w:val="2B579A"/>
          <w:shd w:val="clear" w:color="auto" w:fill="E6E6E6"/>
        </w:rPr>
        <w:fldChar w:fldCharType="separate"/>
      </w:r>
      <w:r w:rsidR="00DB1D88" w:rsidRPr="00DB1D88">
        <w:rPr>
          <w:rStyle w:val="FootnoteReference"/>
        </w:rPr>
        <w:t>10</w:t>
      </w:r>
      <w:r w:rsidR="00077D7C">
        <w:rPr>
          <w:color w:val="2B579A"/>
          <w:shd w:val="clear" w:color="auto" w:fill="E6E6E6"/>
        </w:rPr>
        <w:fldChar w:fldCharType="end"/>
      </w:r>
      <w:r>
        <w:t xml:space="preserve"> (0.025%, 0.05% and 0.1%, one drop BID) administered twice daily in </w:t>
      </w:r>
      <w:proofErr w:type="spellStart"/>
      <w:r>
        <w:t>Sjögren</w:t>
      </w:r>
      <w:proofErr w:type="spellEnd"/>
      <w:r>
        <w:t xml:space="preserve"> patients with moderate to severe DED after 12 weeks of treatment. The study recruited 53 patients with 46 patients completing the study. The main objective was to assess ocular tolerance and safety as well as systemic safety. Efficacy was also assessed as a secondary objective although the study was not powered to show a difference between treatment groups.</w:t>
      </w:r>
    </w:p>
    <w:p w14:paraId="2318981E" w14:textId="1C729E35" w:rsidR="004E7FC0" w:rsidRDefault="008B163A" w:rsidP="004E7FC0">
      <w:r>
        <w:t>Corneal fluorescein staining</w:t>
      </w:r>
      <w:r w:rsidR="004E7FC0">
        <w:t xml:space="preserve">, </w:t>
      </w:r>
      <w:proofErr w:type="spellStart"/>
      <w:r w:rsidR="004E7FC0">
        <w:t>Schirmer</w:t>
      </w:r>
      <w:proofErr w:type="spellEnd"/>
      <w:r w:rsidR="004E7FC0">
        <w:t xml:space="preserve"> test, </w:t>
      </w:r>
      <w:proofErr w:type="spellStart"/>
      <w:r w:rsidR="004E7FC0">
        <w:t>Lissamine</w:t>
      </w:r>
      <w:proofErr w:type="spellEnd"/>
      <w:r w:rsidR="004E7FC0">
        <w:t xml:space="preserve"> Green, and </w:t>
      </w:r>
      <w:r>
        <w:t>TBUT</w:t>
      </w:r>
      <w:r w:rsidR="004E7FC0">
        <w:t xml:space="preserve"> were used to assess effects on signs of DED. Symptoms unrelated to study drug instillation or HLA-DR expression were used to support the assessment of safety /tolerability. DED symptoms were furthermore assessed using the Global Related Subjective Ocular Symptom Score.</w:t>
      </w:r>
    </w:p>
    <w:p w14:paraId="0F431763" w14:textId="28ED4E93" w:rsidR="004E7FC0" w:rsidRDefault="004E7FC0" w:rsidP="004E7FC0">
      <w:r>
        <w:t>The percentage of improved patients for CFS in the worst eye was similar in all treatment groups (including vehicle), ranging from 70</w:t>
      </w:r>
      <w:r w:rsidR="00F8591A">
        <w:t xml:space="preserve"> </w:t>
      </w:r>
      <w:r w:rsidR="005151C2">
        <w:t>to</w:t>
      </w:r>
      <w:r w:rsidR="00F8591A">
        <w:t xml:space="preserve"> </w:t>
      </w:r>
      <w:r>
        <w:t xml:space="preserve">82%. An improvement in CFS in the worst eye occurred in the four treatment groups from Day 7 and was maximal at the end of the study. Similar improvements in all four treatment groups were also observed for the </w:t>
      </w:r>
      <w:proofErr w:type="spellStart"/>
      <w:r>
        <w:t>Schirmer</w:t>
      </w:r>
      <w:proofErr w:type="spellEnd"/>
      <w:r>
        <w:t xml:space="preserve"> test and </w:t>
      </w:r>
      <w:r w:rsidR="008B163A">
        <w:t>TBUT</w:t>
      </w:r>
      <w:r>
        <w:t xml:space="preserve"> and a slightly more pronounced global trend towards improvement in the mean </w:t>
      </w:r>
      <w:proofErr w:type="spellStart"/>
      <w:r>
        <w:t>Lissamine</w:t>
      </w:r>
      <w:proofErr w:type="spellEnd"/>
      <w:r>
        <w:t xml:space="preserve"> Green total score in the worst eye was observed for NOVA22007</w:t>
      </w:r>
      <w:r w:rsidR="008B163A">
        <w:t>;</w:t>
      </w:r>
      <w:r w:rsidR="008B163A">
        <w:rPr>
          <w:color w:val="2B579A"/>
          <w:shd w:val="clear" w:color="auto" w:fill="E6E6E6"/>
        </w:rPr>
        <w:fldChar w:fldCharType="begin"/>
      </w:r>
      <w:r w:rsidR="008B163A">
        <w:instrText xml:space="preserve"> NOTEREF _Ref64279995 \f \h </w:instrText>
      </w:r>
      <w:r w:rsidR="008B163A">
        <w:rPr>
          <w:color w:val="2B579A"/>
          <w:shd w:val="clear" w:color="auto" w:fill="E6E6E6"/>
        </w:rPr>
      </w:r>
      <w:r w:rsidR="008B163A">
        <w:rPr>
          <w:color w:val="2B579A"/>
          <w:shd w:val="clear" w:color="auto" w:fill="E6E6E6"/>
        </w:rPr>
        <w:fldChar w:fldCharType="separate"/>
      </w:r>
      <w:r w:rsidR="00DB1D88" w:rsidRPr="00DB1D88">
        <w:rPr>
          <w:rStyle w:val="FootnoteReference"/>
        </w:rPr>
        <w:t>10</w:t>
      </w:r>
      <w:r w:rsidR="008B163A">
        <w:rPr>
          <w:color w:val="2B579A"/>
          <w:shd w:val="clear" w:color="auto" w:fill="E6E6E6"/>
        </w:rPr>
        <w:fldChar w:fldCharType="end"/>
      </w:r>
      <w:r>
        <w:t xml:space="preserve"> 0.025% and 0.1%. The mean symptom score was higher in the three active treatment arms compared to vehicle.</w:t>
      </w:r>
    </w:p>
    <w:p w14:paraId="14427B1D" w14:textId="36F2D632" w:rsidR="004E7FC0" w:rsidRDefault="00C15F96" w:rsidP="00114459">
      <w:pPr>
        <w:pStyle w:val="Heading5"/>
      </w:pPr>
      <w:r>
        <w:t>S</w:t>
      </w:r>
      <w:r w:rsidR="004E7FC0" w:rsidRPr="004E7FC0">
        <w:t>tudy NVG08B112 (ORA</w:t>
      </w:r>
      <w:r>
        <w:t xml:space="preserve"> trial; Phase </w:t>
      </w:r>
      <w:proofErr w:type="spellStart"/>
      <w:r>
        <w:t>IIb</w:t>
      </w:r>
      <w:proofErr w:type="spellEnd"/>
      <w:r w:rsidR="004E7FC0" w:rsidRPr="004E7FC0">
        <w:t>)</w:t>
      </w:r>
    </w:p>
    <w:p w14:paraId="558584A9" w14:textId="3CB6F560" w:rsidR="004E7FC0" w:rsidRDefault="00C15F96" w:rsidP="004E7FC0">
      <w:r>
        <w:t xml:space="preserve">Study </w:t>
      </w:r>
      <w:r w:rsidR="004E7FC0">
        <w:t>NVG08B112</w:t>
      </w:r>
      <w:r>
        <w:t xml:space="preserve"> (the ORA trial)</w:t>
      </w:r>
      <w:r w:rsidR="004E7FC0">
        <w:t xml:space="preserve"> was a multicentre, double-masked, randomised, vehicle-controlled dose finding study conducted in the US</w:t>
      </w:r>
      <w:r w:rsidR="00EF0E6D">
        <w:t>A</w:t>
      </w:r>
      <w:r w:rsidR="004E7FC0">
        <w:t xml:space="preserve"> in patients with mild to moderate DED for a duration</w:t>
      </w:r>
      <w:r w:rsidR="00F8591A">
        <w:t xml:space="preserve"> of three</w:t>
      </w:r>
      <w:r w:rsidR="008B163A">
        <w:t xml:space="preserve"> months. The study used a controlled adverse e</w:t>
      </w:r>
      <w:r w:rsidR="004E7FC0">
        <w:t>nvironment (CAE), a clinical model that provides a standardised approach to studying investigational treatments of dry eye by exacerbating the si</w:t>
      </w:r>
      <w:r w:rsidR="008B163A">
        <w:t>gns and symptoms of dry eye (for example,</w:t>
      </w:r>
      <w:r w:rsidR="004E7FC0">
        <w:t xml:space="preserve"> corneal staining and ocular discomfort) in a controlled manner by regulating humidity, temperature, airflow, lighting conditions and visual tasking within the CAE chamber.</w:t>
      </w:r>
    </w:p>
    <w:p w14:paraId="59F8A94A" w14:textId="2B4F545A" w:rsidR="004E7FC0" w:rsidRDefault="004E7FC0" w:rsidP="004E7FC0">
      <w:r>
        <w:t>Patients were randomised into the study on a 1:1:1 basis to receive one drop QD of either NOVA22007 (</w:t>
      </w:r>
      <w:proofErr w:type="spellStart"/>
      <w:r w:rsidR="00694C14">
        <w:t>Ikervis</w:t>
      </w:r>
      <w:proofErr w:type="spellEnd"/>
      <w:r>
        <w:t>), 0.05%, NOVA22007</w:t>
      </w:r>
      <w:r w:rsidR="00E01997">
        <w:t>;</w:t>
      </w:r>
      <w:r w:rsidR="00E01997" w:rsidRPr="00E01997">
        <w:rPr>
          <w:color w:val="2B579A"/>
          <w:shd w:val="clear" w:color="auto" w:fill="E6E6E6"/>
          <w:vertAlign w:val="superscript"/>
        </w:rPr>
        <w:fldChar w:fldCharType="begin"/>
      </w:r>
      <w:r w:rsidR="00E01997" w:rsidRPr="00E01997">
        <w:rPr>
          <w:vertAlign w:val="superscript"/>
        </w:rPr>
        <w:instrText xml:space="preserve"> NOTEREF _Ref64279995 \h </w:instrText>
      </w:r>
      <w:r w:rsidR="00E01997">
        <w:rPr>
          <w:vertAlign w:val="superscript"/>
        </w:rPr>
        <w:instrText xml:space="preserve"> \* MERGEFORMAT </w:instrText>
      </w:r>
      <w:r w:rsidR="00E01997" w:rsidRPr="00E01997">
        <w:rPr>
          <w:color w:val="2B579A"/>
          <w:shd w:val="clear" w:color="auto" w:fill="E6E6E6"/>
          <w:vertAlign w:val="superscript"/>
        </w:rPr>
      </w:r>
      <w:r w:rsidR="00E01997" w:rsidRPr="00E01997">
        <w:rPr>
          <w:color w:val="2B579A"/>
          <w:shd w:val="clear" w:color="auto" w:fill="E6E6E6"/>
          <w:vertAlign w:val="superscript"/>
        </w:rPr>
        <w:fldChar w:fldCharType="separate"/>
      </w:r>
      <w:r w:rsidR="00DB1D88">
        <w:rPr>
          <w:vertAlign w:val="superscript"/>
        </w:rPr>
        <w:t>10</w:t>
      </w:r>
      <w:r w:rsidR="00E01997" w:rsidRPr="00E01997">
        <w:rPr>
          <w:color w:val="2B579A"/>
          <w:shd w:val="clear" w:color="auto" w:fill="E6E6E6"/>
          <w:vertAlign w:val="superscript"/>
        </w:rPr>
        <w:fldChar w:fldCharType="end"/>
      </w:r>
      <w:r>
        <w:t xml:space="preserve"> (</w:t>
      </w:r>
      <w:proofErr w:type="spellStart"/>
      <w:r w:rsidR="00694C14">
        <w:t>Ikervis</w:t>
      </w:r>
      <w:proofErr w:type="spellEnd"/>
      <w:r>
        <w:t>) 0.1% or vehicle. A total of 132</w:t>
      </w:r>
      <w:r w:rsidR="00C15F96">
        <w:t> </w:t>
      </w:r>
      <w:r>
        <w:t>patients were randomised and 120 completed the study (42, 36 and 42 in the NOVA22007 0.05%, NOVA22007 0.01% and vehicle groups, respectively). The main inclusion criteria were a corneal staining scored ≥</w:t>
      </w:r>
      <w:r w:rsidR="008B163A">
        <w:t xml:space="preserve"> </w:t>
      </w:r>
      <w:r>
        <w:t xml:space="preserve">2 on the </w:t>
      </w:r>
      <w:r w:rsidR="008B163A">
        <w:t>ophthalmic research a</w:t>
      </w:r>
      <w:r w:rsidR="008B163A" w:rsidRPr="008B163A">
        <w:t xml:space="preserve">ssociates </w:t>
      </w:r>
      <w:r w:rsidR="008B163A">
        <w:t>(</w:t>
      </w:r>
      <w:r>
        <w:t>ORA</w:t>
      </w:r>
      <w:r w:rsidR="008B163A">
        <w:t>)</w:t>
      </w:r>
      <w:r>
        <w:t xml:space="preserve"> scale, a </w:t>
      </w:r>
      <w:proofErr w:type="spellStart"/>
      <w:r>
        <w:t>Schirmer</w:t>
      </w:r>
      <w:proofErr w:type="spellEnd"/>
      <w:r>
        <w:t xml:space="preserve"> test without anaesthesia scored ≥ 1 and ≤ 10 mm, a response when exposed to the CAE as evidenced by a) an ocular discomfort scored ≥ 3 for two consecutive measureme</w:t>
      </w:r>
      <w:r w:rsidR="008B163A">
        <w:t>nts within the CAE in at least one</w:t>
      </w:r>
      <w:r>
        <w:t xml:space="preserve"> eye and b) a ≥</w:t>
      </w:r>
      <w:r w:rsidR="008B163A">
        <w:t xml:space="preserve"> </w:t>
      </w:r>
      <w:r>
        <w:t>1 increase in CFS in the inferior region as measured by the ORA scale post-CAE in at least one eye. The ORA scale is a 5-point scale to evaluate symptoms/ocular discomfort. ORA score was the average of all time points during CAE exposure (graded by the subject</w:t>
      </w:r>
      <w:r w:rsidR="008B163A">
        <w:t>s every 5 minutes during the 90 minutes exposure). At B</w:t>
      </w:r>
      <w:r>
        <w:t>ase</w:t>
      </w:r>
      <w:r w:rsidR="008B163A">
        <w:t>line, all patients were scored three</w:t>
      </w:r>
      <w:r>
        <w:t xml:space="preserve"> in average.</w:t>
      </w:r>
    </w:p>
    <w:p w14:paraId="54EEB8AA" w14:textId="7B6EB169" w:rsidR="004E7FC0" w:rsidRDefault="004E7FC0" w:rsidP="004E7FC0">
      <w:r>
        <w:t>The primary efficacy endpoint consisted of one sign (mean corneal fluorescein st</w:t>
      </w:r>
      <w:r w:rsidR="008B163A">
        <w:t>aining (inferior region) after CAE exposure at M</w:t>
      </w:r>
      <w:r>
        <w:t xml:space="preserve">onth 3) and one </w:t>
      </w:r>
      <w:r w:rsidR="008B163A">
        <w:t>symptom (mean ocular discomfort</w:t>
      </w:r>
      <w:r>
        <w:t xml:space="preserve"> du</w:t>
      </w:r>
      <w:r w:rsidR="008B163A">
        <w:t>ring 90 minute CAE exposure at Month 3). The worst eye at B</w:t>
      </w:r>
      <w:r>
        <w:t>aseline was selected for efficacy assessment. Analysis used an ANCOVA model with hierarchical testing of corneal staining post CAE followed by ocular discomfort.</w:t>
      </w:r>
    </w:p>
    <w:p w14:paraId="2DB51199" w14:textId="189BA446" w:rsidR="004E7FC0" w:rsidRDefault="004E7FC0" w:rsidP="004E7FC0">
      <w:r>
        <w:t>The study failed to meet its objective on the co-primary endpoints, which were combining mean CFS and mean ocular discomfort based on</w:t>
      </w:r>
      <w:r w:rsidR="008B163A">
        <w:t xml:space="preserve"> the ORA scale after 3 months</w:t>
      </w:r>
      <w:r>
        <w:t>. The analysis of the secondary endpoint of CFS found an effect in favour of NOVA22007</w:t>
      </w:r>
      <w:r w:rsidR="008B163A">
        <w:t>;</w:t>
      </w:r>
      <w:r w:rsidR="008B163A">
        <w:rPr>
          <w:color w:val="2B579A"/>
          <w:shd w:val="clear" w:color="auto" w:fill="E6E6E6"/>
        </w:rPr>
        <w:fldChar w:fldCharType="begin"/>
      </w:r>
      <w:r w:rsidR="008B163A">
        <w:instrText xml:space="preserve"> NOTEREF _Ref64279995 \f \h </w:instrText>
      </w:r>
      <w:r w:rsidR="008B163A">
        <w:rPr>
          <w:color w:val="2B579A"/>
          <w:shd w:val="clear" w:color="auto" w:fill="E6E6E6"/>
        </w:rPr>
      </w:r>
      <w:r w:rsidR="008B163A">
        <w:rPr>
          <w:color w:val="2B579A"/>
          <w:shd w:val="clear" w:color="auto" w:fill="E6E6E6"/>
        </w:rPr>
        <w:fldChar w:fldCharType="separate"/>
      </w:r>
      <w:r w:rsidR="00DB1D88" w:rsidRPr="00DB1D88">
        <w:rPr>
          <w:rStyle w:val="FootnoteReference"/>
        </w:rPr>
        <w:t>10</w:t>
      </w:r>
      <w:r w:rsidR="008B163A">
        <w:rPr>
          <w:color w:val="2B579A"/>
          <w:shd w:val="clear" w:color="auto" w:fill="E6E6E6"/>
        </w:rPr>
        <w:fldChar w:fldCharType="end"/>
      </w:r>
      <w:r>
        <w:t xml:space="preserve"> 0.05% with a between group difference in corneal staining of -0.39 (p</w:t>
      </w:r>
      <w:r w:rsidR="008B163A">
        <w:t xml:space="preserve"> </w:t>
      </w:r>
      <w:r>
        <w:t>=</w:t>
      </w:r>
      <w:r w:rsidR="008B163A">
        <w:t xml:space="preserve"> </w:t>
      </w:r>
      <w:r>
        <w:t xml:space="preserve">0.02). In the PP population with LOCF, there was no significant treatment difference in corneal staining for either strength </w:t>
      </w:r>
      <w:r w:rsidR="008B163A">
        <w:t>versus vehicle. In the intent to treat (I</w:t>
      </w:r>
      <w:r>
        <w:t>TT</w:t>
      </w:r>
      <w:r w:rsidR="008B163A">
        <w:t>)</w:t>
      </w:r>
      <w:r>
        <w:t xml:space="preserve"> population with LOCF, there were no significant differences between active and vehicle groups in the ocular discomfort score during CAE. This was confirmed on the PP population analysis. Global rating by physicians of study treat</w:t>
      </w:r>
      <w:r w:rsidR="008B163A">
        <w:t>ment as ‘satisfactory’ or ‘very satisfactory’</w:t>
      </w:r>
      <w:r>
        <w:t xml:space="preserve"> were &gt;</w:t>
      </w:r>
      <w:r w:rsidR="008B163A">
        <w:t xml:space="preserve"> </w:t>
      </w:r>
      <w:r>
        <w:t>75% for all three groups.</w:t>
      </w:r>
    </w:p>
    <w:p w14:paraId="1F33FAFA" w14:textId="06FD2DF1" w:rsidR="004E7FC0" w:rsidRDefault="004E7FC0" w:rsidP="004E7FC0">
      <w:pPr>
        <w:pStyle w:val="Heading4"/>
      </w:pPr>
      <w:r>
        <w:t>Safety</w:t>
      </w:r>
    </w:p>
    <w:p w14:paraId="69620566" w14:textId="033DFF04" w:rsidR="004E7FC0" w:rsidRDefault="004E7FC0" w:rsidP="004E7FC0">
      <w:r>
        <w:t>Overall, there were 625 patients exposed to NOVA22007, 396 for 6 months and 114 for 12</w:t>
      </w:r>
      <w:r w:rsidR="00C15F96">
        <w:t> </w:t>
      </w:r>
      <w:r>
        <w:t xml:space="preserve">months. Adverse events </w:t>
      </w:r>
      <w:r w:rsidR="00C15F96">
        <w:t xml:space="preserve">(AE) </w:t>
      </w:r>
      <w:r>
        <w:t>were more frequent with NOVA22007 than vehicle. This was particularly the case for ocular events (42.7% v</w:t>
      </w:r>
      <w:r w:rsidR="008B163A">
        <w:t>er</w:t>
      </w:r>
      <w:r>
        <w:t>s</w:t>
      </w:r>
      <w:r w:rsidR="008B163A">
        <w:t>us</w:t>
      </w:r>
      <w:r>
        <w:t xml:space="preserve"> 27.6%) and severe ocular events (23.5% v</w:t>
      </w:r>
      <w:r w:rsidR="008B163A">
        <w:t>er</w:t>
      </w:r>
      <w:r>
        <w:t>s</w:t>
      </w:r>
      <w:r w:rsidR="008B163A">
        <w:t>us</w:t>
      </w:r>
      <w:r>
        <w:t xml:space="preserve"> 13.2%) while systemic events occurred at similar rates (24.5% v</w:t>
      </w:r>
      <w:r w:rsidR="008B163A">
        <w:t>er</w:t>
      </w:r>
      <w:r>
        <w:t>s</w:t>
      </w:r>
      <w:r w:rsidR="008B163A">
        <w:t>us</w:t>
      </w:r>
      <w:r>
        <w:t xml:space="preserve"> 28.2%). The most notable events related to local intolerance and were instillation site pain (12.6% v</w:t>
      </w:r>
      <w:r w:rsidR="008B163A">
        <w:t>er</w:t>
      </w:r>
      <w:r>
        <w:t>s</w:t>
      </w:r>
      <w:r w:rsidR="008B163A">
        <w:t>us</w:t>
      </w:r>
      <w:r>
        <w:t xml:space="preserve"> 2.6%), eye irritation (10.9% v</w:t>
      </w:r>
      <w:r w:rsidR="008B163A">
        <w:t>er</w:t>
      </w:r>
      <w:r>
        <w:t>s</w:t>
      </w:r>
      <w:r w:rsidR="008B163A">
        <w:t>us</w:t>
      </w:r>
      <w:r>
        <w:t xml:space="preserve"> 2.9%), instillation site irritation (5.1% v</w:t>
      </w:r>
      <w:r w:rsidR="008B163A">
        <w:t>er</w:t>
      </w:r>
      <w:r>
        <w:t>s</w:t>
      </w:r>
      <w:r w:rsidR="008B163A">
        <w:t>us</w:t>
      </w:r>
      <w:r>
        <w:t xml:space="preserve"> 1.2%) and eye pain (4.5% v</w:t>
      </w:r>
      <w:r w:rsidR="008B163A">
        <w:t>er</w:t>
      </w:r>
      <w:r>
        <w:t>s</w:t>
      </w:r>
      <w:r w:rsidR="008B163A">
        <w:t>us</w:t>
      </w:r>
      <w:r>
        <w:t xml:space="preserve"> 3.8%). After combining relate</w:t>
      </w:r>
      <w:r w:rsidR="00092E3D">
        <w:t>d terms as presented in the PI, e</w:t>
      </w:r>
      <w:r>
        <w:t xml:space="preserve">ye irritation and eye pain rates were 17.5% and 19% in the </w:t>
      </w:r>
      <w:proofErr w:type="spellStart"/>
      <w:r w:rsidR="00694C14">
        <w:t>Ikervis</w:t>
      </w:r>
      <w:proofErr w:type="spellEnd"/>
      <w:r w:rsidR="00092E3D">
        <w:t xml:space="preserve"> as compared to the v</w:t>
      </w:r>
      <w:r>
        <w:t xml:space="preserve">ehicle’s 4.3%. Nearly all drug related </w:t>
      </w:r>
      <w:r w:rsidR="00092E3D">
        <w:t>adverse events (</w:t>
      </w:r>
      <w:r>
        <w:t>AEs</w:t>
      </w:r>
      <w:r w:rsidR="00092E3D">
        <w:t>)</w:t>
      </w:r>
      <w:r>
        <w:t xml:space="preserve"> were ocular events and these were notably higher with NOVA22007 </w:t>
      </w:r>
      <w:r w:rsidRPr="00DE23C1">
        <w:t>than vehicle (35.1% v</w:t>
      </w:r>
      <w:r w:rsidR="00092E3D" w:rsidRPr="00DE23C1">
        <w:t>er</w:t>
      </w:r>
      <w:r w:rsidRPr="00DE23C1">
        <w:t>s</w:t>
      </w:r>
      <w:r w:rsidR="00092E3D" w:rsidRPr="00DE23C1">
        <w:t>us 7.6%).</w:t>
      </w:r>
    </w:p>
    <w:p w14:paraId="78DDE111" w14:textId="08A328F5" w:rsidR="004E7FC0" w:rsidRDefault="004E7FC0" w:rsidP="004E7FC0">
      <w:r>
        <w:t xml:space="preserve">There were no deaths in the clinical development program and </w:t>
      </w:r>
      <w:r w:rsidR="00DE23C1">
        <w:t>serious adverse events (</w:t>
      </w:r>
      <w:r>
        <w:t>SAE</w:t>
      </w:r>
      <w:r w:rsidR="00DE23C1">
        <w:t>)</w:t>
      </w:r>
      <w:r>
        <w:t xml:space="preserve"> were no higher with NOVA22007 than </w:t>
      </w:r>
      <w:r w:rsidRPr="00CA5902">
        <w:t>vehicle (</w:t>
      </w:r>
      <w:r>
        <w:t xml:space="preserve">3.8% </w:t>
      </w:r>
      <w:r w:rsidR="00DE23C1">
        <w:t>versus</w:t>
      </w:r>
      <w:r>
        <w:t xml:space="preserve"> 4.7%). One SAE of severe epithelial erosions/corneal decompensation was deemed related NOVA22007 therapy. Other ocular SAEs were high IOP with decreased visual acuity in one patient. A patient treated with vehicle had an SAE of reduced visual acuity.</w:t>
      </w:r>
    </w:p>
    <w:p w14:paraId="510FF4AD" w14:textId="5D9C78EA" w:rsidR="004E7FC0" w:rsidRDefault="004E7FC0" w:rsidP="004E7FC0">
      <w:r>
        <w:t xml:space="preserve">Discontinuations due to AEs were slightly higher with NOVA22007 than vehicle (12.1% </w:t>
      </w:r>
      <w:r w:rsidR="00DE23C1">
        <w:t>versus</w:t>
      </w:r>
      <w:r>
        <w:t xml:space="preserve"> 10.3%), as were discontinuations related to ocular AEs (10.6% </w:t>
      </w:r>
      <w:r w:rsidR="00DE23C1">
        <w:t>versus</w:t>
      </w:r>
      <w:r>
        <w:t xml:space="preserve"> 7.1%). The most common reasons for discontinuation were instillation site pain, eye irritation, conjunctival hyperaemia, blurred vision and eyelid erythema.</w:t>
      </w:r>
    </w:p>
    <w:p w14:paraId="345C9BD0" w14:textId="1D60EE2E" w:rsidR="004E7FC0" w:rsidRDefault="004E7FC0" w:rsidP="004E7FC0">
      <w:r>
        <w:t>Due to the minimal systemic absorption, clinical chemistry and haematology laboratory parameters were not assessed in the deve</w:t>
      </w:r>
      <w:r w:rsidR="00CA5902">
        <w:t>lopment program apart from the P</w:t>
      </w:r>
      <w:r>
        <w:t xml:space="preserve">hase </w:t>
      </w:r>
      <w:proofErr w:type="spellStart"/>
      <w:r>
        <w:t>IIa</w:t>
      </w:r>
      <w:proofErr w:type="spellEnd"/>
      <w:r>
        <w:t xml:space="preserve"> study</w:t>
      </w:r>
      <w:r w:rsidR="00C15F96">
        <w:t xml:space="preserve"> (Study N90F0502)</w:t>
      </w:r>
      <w:r>
        <w:t xml:space="preserve">. Changes in this study were not remarkable. Where measured, there were no notable changes in </w:t>
      </w:r>
      <w:r w:rsidR="00CA5902">
        <w:t>blood pressure</w:t>
      </w:r>
      <w:r>
        <w:t xml:space="preserve"> or pulse rate.</w:t>
      </w:r>
    </w:p>
    <w:p w14:paraId="244A3617" w14:textId="381A7294" w:rsidR="004E7FC0" w:rsidRDefault="004E7FC0" w:rsidP="004E7FC0">
      <w:r>
        <w:t xml:space="preserve">Ocular safety assessments included best corrected distance visual acuity (BCDVA), </w:t>
      </w:r>
      <w:r w:rsidR="00CA5902">
        <w:t>IOP</w:t>
      </w:r>
      <w:r>
        <w:t xml:space="preserve"> and slit lamp examinations. There were no notable changes in BCDVA and IOP and slit lamp examinations showed some reduction in moderate to severe eye signs in both NOVA22007 and vehicle treatment groups.</w:t>
      </w:r>
    </w:p>
    <w:p w14:paraId="6AB2B121" w14:textId="74E58931" w:rsidR="004E7FC0" w:rsidRDefault="004E7FC0" w:rsidP="004E7FC0">
      <w:r>
        <w:t>No special populations were assessed nor were drug-drug interactions. Co-administration with corticosteroid eye drops is not recommended due to possible potentiation of effects on the immune system and a risk of ophthalmic infections. It is recommended to examine safety in the subgroup of elderly patients.</w:t>
      </w:r>
    </w:p>
    <w:p w14:paraId="5C680D81" w14:textId="5D8809E0" w:rsidR="004E7FC0" w:rsidRDefault="004E7FC0" w:rsidP="004E7FC0">
      <w:r>
        <w:t>Post</w:t>
      </w:r>
      <w:r w:rsidR="00C15F96">
        <w:t>-</w:t>
      </w:r>
      <w:r>
        <w:t xml:space="preserve">marketing data over 4 years (March 2015 to March 2019) for </w:t>
      </w:r>
      <w:proofErr w:type="spellStart"/>
      <w:r w:rsidR="00694C14">
        <w:t>Ikervis</w:t>
      </w:r>
      <w:proofErr w:type="spellEnd"/>
      <w:r>
        <w:t xml:space="preserve"> and two other </w:t>
      </w:r>
      <w:r w:rsidR="00C15F96">
        <w:t xml:space="preserve">ciclosporin </w:t>
      </w:r>
      <w:r>
        <w:t>products (</w:t>
      </w:r>
      <w:proofErr w:type="spellStart"/>
      <w:r>
        <w:t>Papilock</w:t>
      </w:r>
      <w:proofErr w:type="spellEnd"/>
      <w:r>
        <w:t xml:space="preserve"> 0.1% and </w:t>
      </w:r>
      <w:proofErr w:type="spellStart"/>
      <w:r>
        <w:t>Verkazia</w:t>
      </w:r>
      <w:proofErr w:type="spellEnd"/>
      <w:r>
        <w:t xml:space="preserve"> 1 mg/mL) estimated the total cumulative exposure to ciclosporin-containing eye drops was about 104,000 patient years, with the majority of exposure to </w:t>
      </w:r>
      <w:proofErr w:type="spellStart"/>
      <w:r>
        <w:t>Ikervis</w:t>
      </w:r>
      <w:proofErr w:type="spellEnd"/>
      <w:r>
        <w:t xml:space="preserve"> (83,673 patient years). The important identified risks listed in the </w:t>
      </w:r>
      <w:r w:rsidR="00410718">
        <w:t>periodic safety update r</w:t>
      </w:r>
      <w:r w:rsidR="00410718" w:rsidRPr="006D1115">
        <w:t>eport</w:t>
      </w:r>
      <w:r w:rsidR="00410718">
        <w:t>s (PSUR)</w:t>
      </w:r>
      <w:r>
        <w:t xml:space="preserve"> were: ocular reaction, corneal decompensation; medication error with potential risk of local ocular infections; off label use; hypersensitivity (including angioedema); development/exacerbation of ocular/peri-ocular infection; peri-ocular skin cancer, conjunctival or corneal neoplasia. </w:t>
      </w:r>
      <w:r w:rsidR="00C15F96">
        <w:t xml:space="preserve">Ciclosporin </w:t>
      </w:r>
      <w:r>
        <w:t xml:space="preserve">has a known risk of developing lymphomas and other malignancies and the risk has been included in the </w:t>
      </w:r>
      <w:r w:rsidR="00410718">
        <w:t>risk management plan (</w:t>
      </w:r>
      <w:r>
        <w:t>RMP</w:t>
      </w:r>
      <w:r w:rsidR="00410718">
        <w:t>)</w:t>
      </w:r>
      <w:r>
        <w:t xml:space="preserve"> and in the PI.</w:t>
      </w:r>
    </w:p>
    <w:p w14:paraId="39D82B87" w14:textId="4D654A91" w:rsidR="004E7FC0" w:rsidRPr="004E7FC0" w:rsidRDefault="004E7FC0" w:rsidP="004E7FC0">
      <w:r>
        <w:t>The potential risk of ocular infections has not been reported. The clinical trials excluded patients with ocular infection and the draft PI has active or suspected ocular or peri-ocular infection as a contraindication.</w:t>
      </w:r>
    </w:p>
    <w:p w14:paraId="4C646ADA" w14:textId="77777777" w:rsidR="008E2904" w:rsidRDefault="007B6132" w:rsidP="008E2904">
      <w:pPr>
        <w:pStyle w:val="Heading4"/>
      </w:pPr>
      <w:r w:rsidRPr="007B6132">
        <w:t>Clinical evaluator’s recommendation</w:t>
      </w:r>
    </w:p>
    <w:p w14:paraId="61821CF5" w14:textId="25172B8B" w:rsidR="008E2904" w:rsidRDefault="008E2904" w:rsidP="008E2904">
      <w:pPr>
        <w:rPr>
          <w:b/>
          <w:bCs/>
        </w:rPr>
      </w:pPr>
      <w:r w:rsidRPr="008E2904">
        <w:t xml:space="preserve">The clinical evaluator has recommended rejection of </w:t>
      </w:r>
      <w:proofErr w:type="spellStart"/>
      <w:r w:rsidRPr="008E2904">
        <w:t>Ikervis</w:t>
      </w:r>
      <w:proofErr w:type="spellEnd"/>
      <w:r w:rsidRPr="008E2904">
        <w:t xml:space="preserve"> (ciclosporin) for the proposed </w:t>
      </w:r>
      <w:r w:rsidR="008C7110">
        <w:t>indication and dosage regimens.</w:t>
      </w:r>
    </w:p>
    <w:p w14:paraId="1DE3ED8F" w14:textId="26AD4D7B" w:rsidR="008E7846" w:rsidRDefault="00386150" w:rsidP="008E2904">
      <w:pPr>
        <w:pStyle w:val="Heading4"/>
      </w:pPr>
      <w:r>
        <w:rPr>
          <w:lang w:eastAsia="en-AU"/>
        </w:rPr>
        <w:t>Risk m</w:t>
      </w:r>
      <w:r w:rsidR="008E7846">
        <w:rPr>
          <w:lang w:eastAsia="en-AU"/>
        </w:rPr>
        <w:t xml:space="preserve">anagement </w:t>
      </w:r>
      <w:r>
        <w:rPr>
          <w:lang w:eastAsia="en-AU"/>
        </w:rPr>
        <w:t>p</w:t>
      </w:r>
      <w:r w:rsidR="008E7846">
        <w:rPr>
          <w:lang w:eastAsia="en-AU"/>
        </w:rPr>
        <w:t>lan</w:t>
      </w:r>
      <w:bookmarkEnd w:id="41"/>
    </w:p>
    <w:p w14:paraId="32C0FD8A" w14:textId="4CAE9ED9" w:rsidR="00DE72B1" w:rsidRDefault="00DE72B1" w:rsidP="00DE72B1">
      <w:r>
        <w:t>The EU RMP version 7.2 (dated</w:t>
      </w:r>
      <w:r w:rsidR="00235EC5">
        <w:t xml:space="preserve"> 25 April 2019) and Australian specific a</w:t>
      </w:r>
      <w:r>
        <w:t>nnex</w:t>
      </w:r>
      <w:r w:rsidR="00235EC5">
        <w:t xml:space="preserve"> (ASA)</w:t>
      </w:r>
      <w:r>
        <w:t xml:space="preserve"> version 1.0 (dated 13 June 2019) were included in the sponsor submitted dossier.</w:t>
      </w:r>
    </w:p>
    <w:p w14:paraId="4C1D51CD" w14:textId="293103CB" w:rsidR="007D53B6" w:rsidRDefault="00DE72B1" w:rsidP="00DE72B1">
      <w:r>
        <w:t>The RMP contains one important potential risk: peri-ocular skin cancer, conjunctival or corneal neoplasia. Some safety concerns have be</w:t>
      </w:r>
      <w:r w:rsidR="00235EC5">
        <w:t>en reclassified to the section ‘</w:t>
      </w:r>
      <w:r>
        <w:t>Risks not considered important for inclusion</w:t>
      </w:r>
      <w:r w:rsidR="00235EC5">
        <w:t xml:space="preserve"> in the list of safety concerns’</w:t>
      </w:r>
      <w:r>
        <w:t>. These include: development/exacerbation of ocular/peri-ocular infection; hypersensitivity (including angioedema); and use in pregnant or lactating women. The safety concerns that have been removed from important potential risks are: ocular reaction - corneal decompensation; medication error; and off label use.</w:t>
      </w:r>
    </w:p>
    <w:p w14:paraId="1BD810EC" w14:textId="327429C8" w:rsidR="007D53B6" w:rsidRDefault="007D53B6" w:rsidP="007D53B6">
      <w:r>
        <w:t>The summary of safety concerns and their associated risk monitoring and mitigation strat</w:t>
      </w:r>
      <w:r w:rsidR="00DE72B1">
        <w:t xml:space="preserve">egies are summarised in </w:t>
      </w:r>
      <w:r w:rsidR="00DE72B1">
        <w:rPr>
          <w:color w:val="2B579A"/>
          <w:shd w:val="clear" w:color="auto" w:fill="E6E6E6"/>
        </w:rPr>
        <w:fldChar w:fldCharType="begin"/>
      </w:r>
      <w:r w:rsidR="00DE72B1">
        <w:instrText xml:space="preserve"> REF _Ref64285949 \h </w:instrText>
      </w:r>
      <w:r w:rsidR="00DE72B1">
        <w:rPr>
          <w:color w:val="2B579A"/>
          <w:shd w:val="clear" w:color="auto" w:fill="E6E6E6"/>
        </w:rPr>
      </w:r>
      <w:r w:rsidR="00DE72B1">
        <w:rPr>
          <w:color w:val="2B579A"/>
          <w:shd w:val="clear" w:color="auto" w:fill="E6E6E6"/>
        </w:rPr>
        <w:fldChar w:fldCharType="separate"/>
      </w:r>
      <w:r w:rsidR="00DB1D88" w:rsidRPr="00DE72B1">
        <w:t xml:space="preserve">Table </w:t>
      </w:r>
      <w:r w:rsidR="00DB1D88">
        <w:rPr>
          <w:noProof/>
        </w:rPr>
        <w:t>5</w:t>
      </w:r>
      <w:r w:rsidR="00DE72B1">
        <w:rPr>
          <w:color w:val="2B579A"/>
          <w:shd w:val="clear" w:color="auto" w:fill="E6E6E6"/>
        </w:rPr>
        <w:fldChar w:fldCharType="end"/>
      </w:r>
      <w:r>
        <w:t>.</w:t>
      </w:r>
      <w:r>
        <w:rPr>
          <w:rStyle w:val="FootnoteReference"/>
        </w:rPr>
        <w:footnoteReference w:id="14"/>
      </w:r>
    </w:p>
    <w:p w14:paraId="3AFF7839" w14:textId="6CB5B3DF" w:rsidR="00DE72B1" w:rsidRDefault="00DE72B1" w:rsidP="00DE72B1">
      <w:pPr>
        <w:pStyle w:val="TableTitle"/>
      </w:pPr>
      <w:bookmarkStart w:id="46" w:name="_Ref64285949"/>
      <w:r w:rsidRPr="00DE72B1">
        <w:t xml:space="preserve">Table </w:t>
      </w:r>
      <w:r>
        <w:fldChar w:fldCharType="begin"/>
      </w:r>
      <w:r>
        <w:instrText>SEQ Table \* ARABIC</w:instrText>
      </w:r>
      <w:r>
        <w:fldChar w:fldCharType="separate"/>
      </w:r>
      <w:r w:rsidR="00DB1D88">
        <w:rPr>
          <w:noProof/>
        </w:rPr>
        <w:t>5</w:t>
      </w:r>
      <w:r>
        <w:fldChar w:fldCharType="end"/>
      </w:r>
      <w:bookmarkEnd w:id="46"/>
      <w:r>
        <w:t>: Summary of safety concerns</w:t>
      </w:r>
    </w:p>
    <w:tbl>
      <w:tblPr>
        <w:tblStyle w:val="TableTGAblue"/>
        <w:tblW w:w="0" w:type="auto"/>
        <w:tblLook w:val="04A0" w:firstRow="1" w:lastRow="0" w:firstColumn="1" w:lastColumn="0" w:noHBand="0" w:noVBand="1"/>
      </w:tblPr>
      <w:tblGrid>
        <w:gridCol w:w="2829"/>
        <w:gridCol w:w="5655"/>
      </w:tblGrid>
      <w:tr w:rsidR="00C15F96" w14:paraId="400A6729" w14:textId="77777777" w:rsidTr="00114459">
        <w:trPr>
          <w:cnfStyle w:val="100000000000" w:firstRow="1" w:lastRow="0" w:firstColumn="0" w:lastColumn="0" w:oddVBand="0" w:evenVBand="0" w:oddHBand="0" w:evenHBand="0" w:firstRowFirstColumn="0" w:firstRowLastColumn="0" w:lastRowFirstColumn="0" w:lastRowLastColumn="0"/>
        </w:trPr>
        <w:tc>
          <w:tcPr>
            <w:tcW w:w="8484" w:type="dxa"/>
            <w:gridSpan w:val="2"/>
          </w:tcPr>
          <w:p w14:paraId="137664EC" w14:textId="24909F45" w:rsidR="00C15F96" w:rsidRDefault="00C15F96" w:rsidP="00C15F96">
            <w:r>
              <w:t>Summary of safety concerns</w:t>
            </w:r>
          </w:p>
        </w:tc>
      </w:tr>
      <w:tr w:rsidR="00C15F96" w14:paraId="159F8961" w14:textId="77777777" w:rsidTr="00C15F96">
        <w:tc>
          <w:tcPr>
            <w:tcW w:w="2829" w:type="dxa"/>
          </w:tcPr>
          <w:p w14:paraId="6A2456ED" w14:textId="40EBBC2D" w:rsidR="00C15F96" w:rsidRDefault="00C15F96" w:rsidP="00C15F96">
            <w:r>
              <w:t>Important identified risks</w:t>
            </w:r>
          </w:p>
        </w:tc>
        <w:tc>
          <w:tcPr>
            <w:tcW w:w="5655" w:type="dxa"/>
          </w:tcPr>
          <w:p w14:paraId="7EB58AEC" w14:textId="301D52EC" w:rsidR="00C15F96" w:rsidRDefault="00C15F96" w:rsidP="00C15F96">
            <w:r>
              <w:t>Not applicable</w:t>
            </w:r>
          </w:p>
        </w:tc>
      </w:tr>
      <w:tr w:rsidR="00C15F96" w14:paraId="307BA268" w14:textId="77777777" w:rsidTr="002575F0">
        <w:tc>
          <w:tcPr>
            <w:tcW w:w="2829" w:type="dxa"/>
          </w:tcPr>
          <w:p w14:paraId="24661BA4" w14:textId="037BCD20" w:rsidR="00C15F96" w:rsidRDefault="00C15F96" w:rsidP="00C15F96">
            <w:r>
              <w:t>Important potential risks</w:t>
            </w:r>
          </w:p>
        </w:tc>
        <w:tc>
          <w:tcPr>
            <w:tcW w:w="5655" w:type="dxa"/>
          </w:tcPr>
          <w:p w14:paraId="053AB35F" w14:textId="77777777" w:rsidR="00C15F96" w:rsidRDefault="00C15F96" w:rsidP="00C15F96">
            <w:r>
              <w:t>Peri-ocular skin cancer</w:t>
            </w:r>
          </w:p>
          <w:p w14:paraId="1EE41EBB" w14:textId="0BF78BB1" w:rsidR="00C15F96" w:rsidRDefault="00C15F96" w:rsidP="00C15F96">
            <w:r>
              <w:t>Conjunctival or corneal neoplasia</w:t>
            </w:r>
          </w:p>
        </w:tc>
      </w:tr>
      <w:tr w:rsidR="00C15F96" w14:paraId="51B9ABF5" w14:textId="77777777" w:rsidTr="002575F0">
        <w:tc>
          <w:tcPr>
            <w:tcW w:w="2829" w:type="dxa"/>
          </w:tcPr>
          <w:p w14:paraId="1E0F74F0" w14:textId="0175020C" w:rsidR="00C15F96" w:rsidRDefault="00C15F96" w:rsidP="00C15F96">
            <w:r>
              <w:t>Missing information</w:t>
            </w:r>
          </w:p>
        </w:tc>
        <w:tc>
          <w:tcPr>
            <w:tcW w:w="5655" w:type="dxa"/>
          </w:tcPr>
          <w:p w14:paraId="437745B3" w14:textId="2CE99620" w:rsidR="00C15F96" w:rsidRDefault="00C15F96" w:rsidP="00C15F96">
            <w:r>
              <w:t>Not applicable</w:t>
            </w:r>
          </w:p>
        </w:tc>
      </w:tr>
    </w:tbl>
    <w:p w14:paraId="61BBF9A7" w14:textId="1EA5498E" w:rsidR="006B7D8E" w:rsidRDefault="006B7D8E" w:rsidP="0064544E">
      <w:pPr>
        <w:pStyle w:val="ListBullet"/>
      </w:pPr>
      <w:r>
        <w:t>The RMP evaluator has concluded that no risk management plan is required for this submission.</w:t>
      </w:r>
      <w:r w:rsidRPr="006B7D8E">
        <w:rPr>
          <w:rStyle w:val="FootnoteReference"/>
        </w:rPr>
        <w:t xml:space="preserve"> </w:t>
      </w:r>
      <w:r>
        <w:rPr>
          <w:rStyle w:val="FootnoteReference"/>
        </w:rPr>
        <w:footnoteReference w:id="15"/>
      </w:r>
      <w:r>
        <w:t xml:space="preserve"> </w:t>
      </w:r>
    </w:p>
    <w:p w14:paraId="6B0AA2CC" w14:textId="7F62820B" w:rsidR="008E7846" w:rsidRDefault="00BA0F9F" w:rsidP="008E7846">
      <w:pPr>
        <w:pStyle w:val="Heading3"/>
      </w:pPr>
      <w:bookmarkStart w:id="47" w:name="_Toc247691531"/>
      <w:bookmarkStart w:id="48" w:name="_Toc314842515"/>
      <w:bookmarkStart w:id="49" w:name="_Toc69733544"/>
      <w:bookmarkStart w:id="50" w:name="_Toc196046505"/>
      <w:bookmarkStart w:id="51" w:name="_Toc196046949"/>
      <w:r>
        <w:t xml:space="preserve">First </w:t>
      </w:r>
      <w:r w:rsidR="00676965">
        <w:t>round of risk-benef</w:t>
      </w:r>
      <w:r w:rsidR="00AA0ED0">
        <w:t>it a</w:t>
      </w:r>
      <w:r w:rsidR="008E7846">
        <w:t>nalysis</w:t>
      </w:r>
      <w:bookmarkEnd w:id="47"/>
      <w:bookmarkEnd w:id="48"/>
      <w:bookmarkEnd w:id="49"/>
    </w:p>
    <w:p w14:paraId="12145CF4" w14:textId="77777777" w:rsidR="00D23139" w:rsidRDefault="007D53B6" w:rsidP="00D23139">
      <w:pPr>
        <w:pStyle w:val="Heading4"/>
      </w:pPr>
      <w:r>
        <w:t>Delegate’s considerations</w:t>
      </w:r>
    </w:p>
    <w:p w14:paraId="12DB8BB1" w14:textId="050D52E9" w:rsidR="0048156B" w:rsidRPr="0048156B" w:rsidRDefault="0048156B" w:rsidP="0048156B">
      <w:r>
        <w:t>The Delegate</w:t>
      </w:r>
      <w:r w:rsidRPr="0048156B">
        <w:t xml:space="preserve"> </w:t>
      </w:r>
      <w:r w:rsidR="00482FBC">
        <w:t xml:space="preserve">must </w:t>
      </w:r>
      <w:r w:rsidRPr="0048156B">
        <w:t>make a decision under the therapeutic goods act in relation to quality, safety and efficacy.</w:t>
      </w:r>
    </w:p>
    <w:p w14:paraId="39969846" w14:textId="77777777" w:rsidR="0048156B" w:rsidRPr="00235EC5" w:rsidRDefault="0048156B" w:rsidP="0048156B">
      <w:pPr>
        <w:rPr>
          <w:i/>
        </w:rPr>
      </w:pPr>
      <w:r w:rsidRPr="00235EC5">
        <w:rPr>
          <w:i/>
        </w:rPr>
        <w:t>In relation to quality:</w:t>
      </w:r>
    </w:p>
    <w:p w14:paraId="4D5B2FB4" w14:textId="242CD85D" w:rsidR="0048156B" w:rsidRPr="0001038F" w:rsidRDefault="00235EC5" w:rsidP="0048156B">
      <w:r>
        <w:t>The pharmaceutical c</w:t>
      </w:r>
      <w:r w:rsidR="0048156B" w:rsidRPr="0048156B">
        <w:t xml:space="preserve">hemistry evaluator has </w:t>
      </w:r>
      <w:r w:rsidR="0048156B">
        <w:t>recommended approval with an</w:t>
      </w:r>
      <w:r w:rsidR="0048156B" w:rsidRPr="0048156B">
        <w:t xml:space="preserve"> exemption for the carton and vial labels, as discussed above. There is a minor non-clinical outstanding </w:t>
      </w:r>
      <w:r w:rsidR="0048156B" w:rsidRPr="0001038F">
        <w:t>PI recommendation. There are no other outstanding issues.</w:t>
      </w:r>
    </w:p>
    <w:p w14:paraId="6CCFA35C" w14:textId="02B0B25E" w:rsidR="0048156B" w:rsidRDefault="0048156B" w:rsidP="0048156B">
      <w:pPr>
        <w:rPr>
          <w:i/>
        </w:rPr>
      </w:pPr>
      <w:r w:rsidRPr="0001038F">
        <w:rPr>
          <w:i/>
        </w:rPr>
        <w:t>In relation to efficacy:</w:t>
      </w:r>
    </w:p>
    <w:p w14:paraId="4FB76324" w14:textId="6A2EA047" w:rsidR="00D54A34" w:rsidRPr="00114459" w:rsidRDefault="00D54A34" w:rsidP="0048156B">
      <w:r>
        <w:t>A summary of the efficacy endpoints and results for those endpoints is presented in Table 6, below.</w:t>
      </w:r>
    </w:p>
    <w:p w14:paraId="60E96E32" w14:textId="5A7C51F7" w:rsidR="0048156B" w:rsidRDefault="0048156B" w:rsidP="0048156B">
      <w:pPr>
        <w:pStyle w:val="TableTitle"/>
      </w:pPr>
      <w:r w:rsidRPr="0048156B">
        <w:t xml:space="preserve">Table </w:t>
      </w:r>
      <w:r>
        <w:fldChar w:fldCharType="begin"/>
      </w:r>
      <w:r>
        <w:instrText>SEQ Table \* ARABIC</w:instrText>
      </w:r>
      <w:r>
        <w:fldChar w:fldCharType="separate"/>
      </w:r>
      <w:r w:rsidR="00DB1D88">
        <w:rPr>
          <w:noProof/>
        </w:rPr>
        <w:t>6</w:t>
      </w:r>
      <w:r>
        <w:fldChar w:fldCharType="end"/>
      </w:r>
      <w:r>
        <w:t xml:space="preserve">: Pivotal studies for </w:t>
      </w:r>
      <w:proofErr w:type="spellStart"/>
      <w:r>
        <w:t>Ikervis</w:t>
      </w:r>
      <w:proofErr w:type="spellEnd"/>
    </w:p>
    <w:tbl>
      <w:tblPr>
        <w:tblStyle w:val="TableTGAblue"/>
        <w:tblW w:w="0" w:type="auto"/>
        <w:tblLook w:val="04A0" w:firstRow="1" w:lastRow="0" w:firstColumn="1" w:lastColumn="0" w:noHBand="0" w:noVBand="1"/>
      </w:tblPr>
      <w:tblGrid>
        <w:gridCol w:w="1532"/>
        <w:gridCol w:w="3542"/>
        <w:gridCol w:w="3410"/>
      </w:tblGrid>
      <w:tr w:rsidR="0048156B" w:rsidRPr="00D54A34" w14:paraId="632A91B6" w14:textId="77777777" w:rsidTr="0048156B">
        <w:trPr>
          <w:cnfStyle w:val="100000000000" w:firstRow="1" w:lastRow="0" w:firstColumn="0" w:lastColumn="0" w:oddVBand="0" w:evenVBand="0" w:oddHBand="0" w:evenHBand="0" w:firstRowFirstColumn="0" w:firstRowLastColumn="0" w:lastRowFirstColumn="0" w:lastRowLastColumn="0"/>
          <w:trHeight w:val="471"/>
        </w:trPr>
        <w:tc>
          <w:tcPr>
            <w:tcW w:w="1384" w:type="dxa"/>
          </w:tcPr>
          <w:p w14:paraId="5FAFDF2F" w14:textId="77777777" w:rsidR="0048156B" w:rsidRPr="00D54A34" w:rsidRDefault="0048156B" w:rsidP="00114459"/>
        </w:tc>
        <w:tc>
          <w:tcPr>
            <w:tcW w:w="3544" w:type="dxa"/>
          </w:tcPr>
          <w:p w14:paraId="791208BB" w14:textId="2C2D6B4D" w:rsidR="0048156B" w:rsidRPr="00D54A34" w:rsidRDefault="00D54A34" w:rsidP="00114459">
            <w:r>
              <w:t xml:space="preserve">Study NVG06C103, </w:t>
            </w:r>
            <w:r w:rsidR="0048156B" w:rsidRPr="00D54A34">
              <w:t>S</w:t>
            </w:r>
            <w:r w:rsidR="001A402F" w:rsidRPr="00D54A34">
              <w:t>ICCANOVE trial</w:t>
            </w:r>
          </w:p>
        </w:tc>
        <w:tc>
          <w:tcPr>
            <w:tcW w:w="3412" w:type="dxa"/>
          </w:tcPr>
          <w:p w14:paraId="43E5D509" w14:textId="6068FD97" w:rsidR="0048156B" w:rsidRPr="00D54A34" w:rsidRDefault="00D54A34" w:rsidP="00114459">
            <w:r>
              <w:t xml:space="preserve">Study SVG10E117, </w:t>
            </w:r>
            <w:r w:rsidR="0048156B" w:rsidRPr="00D54A34">
              <w:t>S</w:t>
            </w:r>
            <w:r w:rsidR="001A402F" w:rsidRPr="00D54A34">
              <w:t>ANSIKA</w:t>
            </w:r>
            <w:r>
              <w:t> </w:t>
            </w:r>
            <w:r w:rsidR="001A402F" w:rsidRPr="00D54A34">
              <w:t>trial</w:t>
            </w:r>
            <w:r w:rsidR="0048156B" w:rsidRPr="00D54A34">
              <w:t xml:space="preserve"> </w:t>
            </w:r>
          </w:p>
        </w:tc>
      </w:tr>
      <w:tr w:rsidR="0048156B" w:rsidRPr="00D54A34" w14:paraId="5692A13E" w14:textId="77777777" w:rsidTr="0048156B">
        <w:tc>
          <w:tcPr>
            <w:tcW w:w="1384" w:type="dxa"/>
          </w:tcPr>
          <w:p w14:paraId="7324CBFB" w14:textId="61C2E3B1" w:rsidR="0048156B" w:rsidRPr="00114459" w:rsidRDefault="0048156B" w:rsidP="00114459">
            <w:r w:rsidRPr="00114459">
              <w:rPr>
                <w:szCs w:val="22"/>
                <w:lang w:eastAsia="en-US"/>
              </w:rPr>
              <w:t>Objectives</w:t>
            </w:r>
          </w:p>
        </w:tc>
        <w:tc>
          <w:tcPr>
            <w:tcW w:w="3544" w:type="dxa"/>
          </w:tcPr>
          <w:p w14:paraId="65B2465B" w14:textId="77777777" w:rsidR="0048156B" w:rsidRPr="00114459" w:rsidRDefault="0048156B" w:rsidP="00114459">
            <w:r w:rsidRPr="00114459">
              <w:rPr>
                <w:szCs w:val="22"/>
              </w:rPr>
              <w:t>The co-primary endpoints of this study were:</w:t>
            </w:r>
          </w:p>
          <w:p w14:paraId="0341F9BD" w14:textId="5DEF5B43" w:rsidR="0048156B" w:rsidRPr="00D54A34" w:rsidRDefault="0048156B" w:rsidP="00114459">
            <w:r w:rsidRPr="00114459">
              <w:rPr>
                <w:szCs w:val="22"/>
              </w:rPr>
              <w:t>Change in corneal fluorescein staining (modified Oxford scale) from Baseline to Day</w:t>
            </w:r>
            <w:r w:rsidR="00D54A34">
              <w:t> </w:t>
            </w:r>
            <w:r w:rsidRPr="00D54A34">
              <w:t>168</w:t>
            </w:r>
            <w:r w:rsidR="00D54A34">
              <w:t>; and</w:t>
            </w:r>
          </w:p>
          <w:p w14:paraId="1516719F" w14:textId="428D10ED" w:rsidR="0048156B" w:rsidRPr="00D54A34" w:rsidRDefault="0048156B" w:rsidP="00114459">
            <w:r w:rsidRPr="00D54A34">
              <w:t>Change in global score of ocular discomfort unrelated to study medication instillation (VAS), from Baseline to Day 168</w:t>
            </w:r>
          </w:p>
        </w:tc>
        <w:tc>
          <w:tcPr>
            <w:tcW w:w="3412" w:type="dxa"/>
          </w:tcPr>
          <w:p w14:paraId="1911AFD1" w14:textId="0BB3CE1D" w:rsidR="0048156B" w:rsidRPr="00D54A34" w:rsidRDefault="0048156B" w:rsidP="00114459">
            <w:r w:rsidRPr="00050253">
              <w:t>The primary endpoint was the CFS-OSDI composite</w:t>
            </w:r>
            <w:r w:rsidR="001A402F" w:rsidRPr="00050253">
              <w:t xml:space="preserve"> responder rate at Mont</w:t>
            </w:r>
            <w:r w:rsidR="001A402F" w:rsidRPr="00114459">
              <w:rPr>
                <w:szCs w:val="22"/>
                <w:lang w:eastAsia="en-US"/>
              </w:rPr>
              <w:t>h 6 (that is</w:t>
            </w:r>
            <w:r w:rsidR="00D54A34">
              <w:t xml:space="preserve">, the </w:t>
            </w:r>
            <w:r w:rsidRPr="00D54A34">
              <w:t>end of Part 1).</w:t>
            </w:r>
          </w:p>
        </w:tc>
      </w:tr>
      <w:tr w:rsidR="0048156B" w:rsidRPr="00D54A34" w14:paraId="390B2C88" w14:textId="77777777" w:rsidTr="0048156B">
        <w:tc>
          <w:tcPr>
            <w:tcW w:w="1384" w:type="dxa"/>
          </w:tcPr>
          <w:p w14:paraId="5240A9D4" w14:textId="77777777" w:rsidR="0048156B" w:rsidRPr="00114459" w:rsidRDefault="0048156B" w:rsidP="00114459">
            <w:r w:rsidRPr="00114459">
              <w:rPr>
                <w:szCs w:val="22"/>
                <w:lang w:eastAsia="en-US"/>
              </w:rPr>
              <w:t>Results</w:t>
            </w:r>
          </w:p>
        </w:tc>
        <w:tc>
          <w:tcPr>
            <w:tcW w:w="3544" w:type="dxa"/>
          </w:tcPr>
          <w:p w14:paraId="15C00FD9" w14:textId="3F6C56D2" w:rsidR="0048156B" w:rsidRPr="00D54A34" w:rsidRDefault="0048156B" w:rsidP="00114459">
            <w:r w:rsidRPr="00114459">
              <w:rPr>
                <w:szCs w:val="22"/>
                <w:lang w:eastAsia="en-US"/>
              </w:rPr>
              <w:t>Corneal fluorescein staining: In the FAS w</w:t>
            </w:r>
            <w:r w:rsidR="001A402F" w:rsidRPr="00114459">
              <w:rPr>
                <w:szCs w:val="22"/>
                <w:lang w:eastAsia="en-US"/>
              </w:rPr>
              <w:t>ith LOCF, the mean change from Baseline to D</w:t>
            </w:r>
            <w:r w:rsidRPr="00114459">
              <w:rPr>
                <w:szCs w:val="22"/>
                <w:lang w:eastAsia="en-US"/>
              </w:rPr>
              <w:t>ay</w:t>
            </w:r>
            <w:r w:rsidR="00D54A34">
              <w:t> </w:t>
            </w:r>
            <w:r w:rsidRPr="00D54A34">
              <w:t xml:space="preserve">168 was -1.05 and -0.82 in the respectively groups with a difference of -0.22 (95% CI: </w:t>
            </w:r>
            <w:r w:rsidR="00D54A34">
              <w:noBreakHyphen/>
            </w:r>
            <w:r w:rsidRPr="00D54A34">
              <w:t>0.39, -0.06 p</w:t>
            </w:r>
            <w:r w:rsidR="00D54A34">
              <w:t> </w:t>
            </w:r>
            <w:r w:rsidRPr="00D54A34">
              <w:t>=</w:t>
            </w:r>
            <w:r w:rsidR="00D54A34">
              <w:t> </w:t>
            </w:r>
            <w:r w:rsidRPr="00D54A34">
              <w:t>0.009).</w:t>
            </w:r>
          </w:p>
          <w:p w14:paraId="3FD77154" w14:textId="7D896ED1" w:rsidR="0048156B" w:rsidRPr="00D54A34" w:rsidRDefault="0048156B" w:rsidP="00114459">
            <w:r w:rsidRPr="00D54A34">
              <w:t xml:space="preserve">The mean change in global ocular discomfort VAS score from Baseline to Day 168 was </w:t>
            </w:r>
            <w:r w:rsidR="00D54A34">
              <w:noBreakHyphen/>
            </w:r>
            <w:r w:rsidRPr="00D54A34">
              <w:t>12.82 (NOVA22007) and -11.21 (Vehicle) with no statistically significant difference (p</w:t>
            </w:r>
            <w:r w:rsidR="00D54A34">
              <w:t> </w:t>
            </w:r>
            <w:r w:rsidRPr="00D54A34">
              <w:t>=</w:t>
            </w:r>
            <w:r w:rsidR="00D54A34">
              <w:t> </w:t>
            </w:r>
            <w:r w:rsidR="001A402F" w:rsidRPr="00D54A34">
              <w:t xml:space="preserve"> </w:t>
            </w:r>
            <w:r w:rsidRPr="00D54A34">
              <w:t>0.808)</w:t>
            </w:r>
          </w:p>
        </w:tc>
        <w:tc>
          <w:tcPr>
            <w:tcW w:w="3412" w:type="dxa"/>
          </w:tcPr>
          <w:p w14:paraId="47238752" w14:textId="72196C01" w:rsidR="0048156B" w:rsidRPr="00050253" w:rsidRDefault="001A402F" w:rsidP="00114459">
            <w:r w:rsidRPr="00D54A34">
              <w:t>In the FAS at M</w:t>
            </w:r>
            <w:r w:rsidR="0048156B" w:rsidRPr="00D54A34">
              <w:t>onth 6, based on imputed data (according to randomised treatment group), the C</w:t>
            </w:r>
            <w:r w:rsidR="0048156B" w:rsidRPr="00050253">
              <w:t>FS-OSDI responder rate was 28.6% and 23.1% in the NOVA22007 and vehicle groups, respectively. This difference was not statistically significant.</w:t>
            </w:r>
          </w:p>
        </w:tc>
      </w:tr>
    </w:tbl>
    <w:p w14:paraId="559F7147" w14:textId="0A9843FC" w:rsidR="0048156B" w:rsidRDefault="0048156B" w:rsidP="0048156B">
      <w:r>
        <w:t xml:space="preserve">As there were no suitable active comparators, vehicle-controlled studies with demonstration of superiority are considered acceptable. Signs and symptoms of DED were used as the primary endpoints, as co-variables (in the </w:t>
      </w:r>
      <w:r w:rsidR="00D54A34">
        <w:t xml:space="preserve">supportive </w:t>
      </w:r>
      <w:r>
        <w:t xml:space="preserve">Phase III SICCANOVE </w:t>
      </w:r>
      <w:r w:rsidR="00D54A34">
        <w:t>trial</w:t>
      </w:r>
      <w:r>
        <w:t xml:space="preserve">) or in a composite responder variable in the pivotal Phase III SANSIKA </w:t>
      </w:r>
      <w:r w:rsidR="001A402F">
        <w:t>trial</w:t>
      </w:r>
      <w:r>
        <w:t xml:space="preserve">. The severity of corneal damage was assessed by corneal fluorescein staining and measured using the modified Oxford scale. The primary measure of symptoms of DED was the </w:t>
      </w:r>
      <w:r w:rsidR="00676965">
        <w:t>self-administered</w:t>
      </w:r>
      <w:r>
        <w:t xml:space="preserve"> OSDI questionnaire in S</w:t>
      </w:r>
      <w:r w:rsidR="001A402F">
        <w:t>ANSIKA trial</w:t>
      </w:r>
      <w:r>
        <w:t xml:space="preserve"> and the global score of ocular discomfort using a VAS in S</w:t>
      </w:r>
      <w:r w:rsidR="001A402F">
        <w:t>ICCANOVE</w:t>
      </w:r>
      <w:r>
        <w:t>.</w:t>
      </w:r>
    </w:p>
    <w:p w14:paraId="2DCA06AE" w14:textId="46A4943E" w:rsidR="0048156B" w:rsidRDefault="001A402F" w:rsidP="0048156B">
      <w:r>
        <w:t xml:space="preserve">The </w:t>
      </w:r>
      <w:r w:rsidR="0048156B">
        <w:t>S</w:t>
      </w:r>
      <w:r>
        <w:t>ICCANOVE trial</w:t>
      </w:r>
      <w:r w:rsidR="0048156B">
        <w:t xml:space="preserve">, was larger with </w:t>
      </w:r>
      <w:r>
        <w:t xml:space="preserve">489 subjects in the FAS, while </w:t>
      </w:r>
      <w:r w:rsidR="0048156B">
        <w:t>S</w:t>
      </w:r>
      <w:r>
        <w:t>ANSIKA trial</w:t>
      </w:r>
      <w:r w:rsidR="0048156B">
        <w:t xml:space="preserve"> had 245 subjects in the FAS. About one third of participants had </w:t>
      </w:r>
      <w:proofErr w:type="spellStart"/>
      <w:r w:rsidR="0048156B">
        <w:t>Sjörgren’s</w:t>
      </w:r>
      <w:proofErr w:type="spellEnd"/>
      <w:r w:rsidR="0048156B">
        <w:t xml:space="preserve"> syndrome. The main difference in the populations was that subjects with more severe DED were included in </w:t>
      </w:r>
      <w:r>
        <w:t xml:space="preserve">the </w:t>
      </w:r>
      <w:r w:rsidR="0048156B">
        <w:t>S</w:t>
      </w:r>
      <w:r>
        <w:t>ANSIKA trial (CFS score G</w:t>
      </w:r>
      <w:r w:rsidR="0048156B">
        <w:t>rade 4 and OSDI ≥</w:t>
      </w:r>
      <w:r>
        <w:t xml:space="preserve"> </w:t>
      </w:r>
      <w:r w:rsidR="0048156B">
        <w:t>23) compared to S</w:t>
      </w:r>
      <w:r>
        <w:t>ICCANOVE trial</w:t>
      </w:r>
      <w:r w:rsidR="0048156B">
        <w:t xml:space="preserve"> (CFS score ≥</w:t>
      </w:r>
      <w:r>
        <w:t xml:space="preserve"> </w:t>
      </w:r>
      <w:r w:rsidR="0048156B">
        <w:t>2 to ≤</w:t>
      </w:r>
      <w:r>
        <w:t xml:space="preserve"> </w:t>
      </w:r>
      <w:r w:rsidR="0048156B">
        <w:t>4</w:t>
      </w:r>
      <w:r w:rsidR="0048156B" w:rsidRPr="001A402F">
        <w:t>). This inclusion criteria</w:t>
      </w:r>
      <w:r w:rsidR="0048156B">
        <w:t xml:space="preserve"> for </w:t>
      </w:r>
      <w:r>
        <w:t>SANSIKA trial</w:t>
      </w:r>
      <w:r w:rsidR="0048156B">
        <w:t xml:space="preserve"> was selected as results from </w:t>
      </w:r>
      <w:r>
        <w:t>SICCANOVE trial</w:t>
      </w:r>
      <w:r w:rsidR="0048156B">
        <w:t xml:space="preserve"> pointed towards a benefit in the subgroup with more severe DED. Both studies assessed NOVA22007(</w:t>
      </w:r>
      <w:proofErr w:type="spellStart"/>
      <w:r w:rsidR="00694C14">
        <w:t>Ikervis</w:t>
      </w:r>
      <w:proofErr w:type="spellEnd"/>
      <w:r w:rsidR="0048156B">
        <w:t xml:space="preserve">) 0.1% (1 mg/mL), however the formulation in </w:t>
      </w:r>
      <w:r>
        <w:t>SICCANOVE</w:t>
      </w:r>
      <w:r w:rsidR="0048156B">
        <w:t xml:space="preserve"> </w:t>
      </w:r>
      <w:r>
        <w:t xml:space="preserve">trial </w:t>
      </w:r>
      <w:r w:rsidR="0048156B">
        <w:t xml:space="preserve">contained BAK while in </w:t>
      </w:r>
      <w:r>
        <w:t>SANSIKA trial</w:t>
      </w:r>
      <w:r w:rsidR="0048156B">
        <w:t xml:space="preserve"> it had been modified to the proposed one for marketing which included CKC. Following the EU recommendation for the removal of BAK from ophthalmic preparations due to toxicity in 2009, Santen developed a form</w:t>
      </w:r>
      <w:r>
        <w:t>ulation containing CKC</w:t>
      </w:r>
      <w:r w:rsidR="0048156B">
        <w:t xml:space="preserve"> only. The proposed formulation for marketing is reported to be identical to the formulation used in the pivotal phase III study </w:t>
      </w:r>
      <w:r w:rsidR="00050253">
        <w:t>(</w:t>
      </w:r>
      <w:r>
        <w:t>SANSIKA</w:t>
      </w:r>
      <w:r w:rsidR="00050253">
        <w:t xml:space="preserve"> trial).</w:t>
      </w:r>
      <w:r w:rsidR="001301A8">
        <w:t xml:space="preserve"> The pharmaceutical c</w:t>
      </w:r>
      <w:r w:rsidR="0048156B">
        <w:t>hemistry evaluator is satisfied and had mentioned in the report that ‘the excipients in the final formulation were chosen on the basis of their properties, role in the formulation, and previous use in ophthalmic formulations registered in the EU. No excipient compatibility studies have been provided, however, this will not be pursued as the stability of the proposed commercial formulation has been demonstrated in the report’.</w:t>
      </w:r>
    </w:p>
    <w:p w14:paraId="53EC0DB4" w14:textId="22B75330" w:rsidR="0048156B" w:rsidRDefault="0048156B" w:rsidP="0048156B">
      <w:r>
        <w:t xml:space="preserve">Both the </w:t>
      </w:r>
      <w:r w:rsidR="001301A8">
        <w:t>trials</w:t>
      </w:r>
      <w:r>
        <w:t xml:space="preserve"> (</w:t>
      </w:r>
      <w:r w:rsidR="001A402F">
        <w:t>SICCANOVE</w:t>
      </w:r>
      <w:r>
        <w:t xml:space="preserve"> and </w:t>
      </w:r>
      <w:r w:rsidR="001A402F">
        <w:t>SANSIKA</w:t>
      </w:r>
      <w:r>
        <w:t xml:space="preserve">) failed to meet their primary endpoints. In </w:t>
      </w:r>
      <w:r w:rsidR="00050253">
        <w:t xml:space="preserve">the </w:t>
      </w:r>
      <w:r w:rsidR="001A402F">
        <w:t>SICCANOVE</w:t>
      </w:r>
      <w:r w:rsidR="00050253">
        <w:t xml:space="preserve"> trial</w:t>
      </w:r>
      <w:r>
        <w:t xml:space="preserve">, in patients with moderate to severe DED, </w:t>
      </w:r>
      <w:proofErr w:type="spellStart"/>
      <w:r w:rsidR="00694C14">
        <w:t>Ikervis</w:t>
      </w:r>
      <w:proofErr w:type="spellEnd"/>
      <w:r>
        <w:t xml:space="preserve"> showed a benefit over vehicle on the CFS score but not on ocular discomfort. The effect on CFS was driven by an effect in those with more severe disease, which was assessed in </w:t>
      </w:r>
      <w:r w:rsidRPr="00114459">
        <w:rPr>
          <w:i/>
        </w:rPr>
        <w:t>post-hoc</w:t>
      </w:r>
      <w:r>
        <w:t xml:space="preserve"> analyses. </w:t>
      </w:r>
      <w:r w:rsidR="001A402F">
        <w:t>SANSIKA</w:t>
      </w:r>
      <w:r w:rsidR="001301A8">
        <w:t xml:space="preserve"> trial</w:t>
      </w:r>
      <w:r>
        <w:t xml:space="preserve"> was designed with the same patient population (severe DED) probably giving the benefit to </w:t>
      </w:r>
      <w:proofErr w:type="spellStart"/>
      <w:r w:rsidR="00694C14">
        <w:t>Ikervis</w:t>
      </w:r>
      <w:proofErr w:type="spellEnd"/>
      <w:r>
        <w:t xml:space="preserve"> over vehicle for the CFS-OSDI responder rate in the meta</w:t>
      </w:r>
      <w:r w:rsidR="00050253">
        <w:noBreakHyphen/>
      </w:r>
      <w:r>
        <w:t>analysis.</w:t>
      </w:r>
    </w:p>
    <w:p w14:paraId="21D69646" w14:textId="59A1D569" w:rsidR="0048156B" w:rsidRDefault="0048156B" w:rsidP="0048156B">
      <w:r>
        <w:t xml:space="preserve">In the severe DED population of </w:t>
      </w:r>
      <w:r w:rsidR="001A402F">
        <w:t>SANSIKA</w:t>
      </w:r>
      <w:r w:rsidR="001301A8">
        <w:t xml:space="preserve"> trial</w:t>
      </w:r>
      <w:r>
        <w:t>, the responder rate on the composite CFS</w:t>
      </w:r>
      <w:r w:rsidR="00050253">
        <w:noBreakHyphen/>
      </w:r>
      <w:r>
        <w:t xml:space="preserve">OSDI endpoint with </w:t>
      </w:r>
      <w:proofErr w:type="spellStart"/>
      <w:r w:rsidR="00694C14">
        <w:t>Ikervis</w:t>
      </w:r>
      <w:proofErr w:type="spellEnd"/>
      <w:r>
        <w:t xml:space="preserve"> was not superior to vehicle (28.6% </w:t>
      </w:r>
      <w:r w:rsidR="00DE23C1">
        <w:t>versus</w:t>
      </w:r>
      <w:r>
        <w:t xml:space="preserve"> 23.1%). There was a small benefit over vehicle on the CFS sc</w:t>
      </w:r>
      <w:r w:rsidR="001301A8">
        <w:t>ore (adjusted mean change from B</w:t>
      </w:r>
      <w:r>
        <w:t xml:space="preserve">aseline -1.76 </w:t>
      </w:r>
      <w:r w:rsidR="00DE23C1">
        <w:t>versus</w:t>
      </w:r>
      <w:r>
        <w:t xml:space="preserve"> -1.42). However, the symptomatic response was no different between active</w:t>
      </w:r>
      <w:r w:rsidR="00AA22AB">
        <w:t xml:space="preserve"> and vehicle (mean change from B</w:t>
      </w:r>
      <w:r>
        <w:t xml:space="preserve">aseline in the OSDI score -14.4 </w:t>
      </w:r>
      <w:r w:rsidR="00DE23C1">
        <w:t>versus</w:t>
      </w:r>
      <w:r>
        <w:t xml:space="preserve"> -13.3). A number of post hoc analyses were performed and when using a more stringent criterion for the CFS responder rate by increasing the required improvement from at least 2 grades to 3 grades, </w:t>
      </w:r>
      <w:proofErr w:type="spellStart"/>
      <w:r w:rsidR="00694C14">
        <w:t>Ikervis</w:t>
      </w:r>
      <w:proofErr w:type="spellEnd"/>
      <w:r>
        <w:t xml:space="preserve"> was superior to vehicle at Month 6 (p = 0.001; 35.6% </w:t>
      </w:r>
      <w:r w:rsidR="00DE23C1">
        <w:t>versus</w:t>
      </w:r>
      <w:r>
        <w:t xml:space="preserve">. 14.5%), although </w:t>
      </w:r>
      <w:r w:rsidRPr="00114459">
        <w:rPr>
          <w:i/>
        </w:rPr>
        <w:t>post</w:t>
      </w:r>
      <w:r w:rsidR="00050253" w:rsidRPr="00114459">
        <w:rPr>
          <w:i/>
        </w:rPr>
        <w:t> </w:t>
      </w:r>
      <w:r w:rsidRPr="00114459">
        <w:rPr>
          <w:i/>
        </w:rPr>
        <w:t>hoc</w:t>
      </w:r>
      <w:r>
        <w:t xml:space="preserve"> analysis does come with its limitations.</w:t>
      </w:r>
    </w:p>
    <w:p w14:paraId="4CB0A38C" w14:textId="481068B2" w:rsidR="0048156B" w:rsidRDefault="0048156B" w:rsidP="0048156B">
      <w:r>
        <w:t>A meta-analysis of</w:t>
      </w:r>
      <w:r w:rsidR="001301A8">
        <w:t xml:space="preserve"> patients with severe DED (CFS G</w:t>
      </w:r>
      <w:r>
        <w:t>rade 4 and OSDI ≥</w:t>
      </w:r>
      <w:r w:rsidR="001301A8">
        <w:t xml:space="preserve"> 23) from the two P</w:t>
      </w:r>
      <w:r>
        <w:t xml:space="preserve">hase III studies included 319 patients (74 patients added from </w:t>
      </w:r>
      <w:r w:rsidR="001A402F">
        <w:t>SICCANOVE</w:t>
      </w:r>
      <w:r w:rsidR="001301A8">
        <w:t xml:space="preserve"> trial</w:t>
      </w:r>
      <w:r>
        <w:t xml:space="preserve">). The composite responder rate was in favour of </w:t>
      </w:r>
      <w:proofErr w:type="spellStart"/>
      <w:r w:rsidR="00694C14">
        <w:t>Ikervis</w:t>
      </w:r>
      <w:proofErr w:type="spellEnd"/>
      <w:r>
        <w:t xml:space="preserve"> (29.5% </w:t>
      </w:r>
      <w:r w:rsidR="00DE23C1">
        <w:t>versus</w:t>
      </w:r>
      <w:r>
        <w:t xml:space="preserve"> 18.3%) with a statistically significant OR of 1.80, although the lower limit of the 95% CI was close to unity (1.04). The non-response rate remained high at around 70%.</w:t>
      </w:r>
      <w:r w:rsidR="00EF0E6D">
        <w:rPr>
          <w:rStyle w:val="FootnoteReference"/>
        </w:rPr>
        <w:footnoteReference w:id="16"/>
      </w:r>
    </w:p>
    <w:p w14:paraId="0F3B8AD3" w14:textId="69359985" w:rsidR="0048156B" w:rsidRDefault="0048156B" w:rsidP="0048156B">
      <w:r>
        <w:t xml:space="preserve">In </w:t>
      </w:r>
      <w:r w:rsidR="00050253">
        <w:t xml:space="preserve">the </w:t>
      </w:r>
      <w:r w:rsidR="001A402F">
        <w:t>SANSIKA</w:t>
      </w:r>
      <w:r w:rsidR="001301A8">
        <w:t xml:space="preserve"> trial</w:t>
      </w:r>
      <w:r>
        <w:t xml:space="preserve">, an effect on ocular surface inflammation as measured by HLA-DR expression was seen with </w:t>
      </w:r>
      <w:proofErr w:type="spellStart"/>
      <w:r w:rsidR="00694C14">
        <w:t>Ikervis</w:t>
      </w:r>
      <w:proofErr w:type="spellEnd"/>
      <w:r>
        <w:t xml:space="preserve">; however, there was high variability in this further endpoint. While this may indicate local pharmacological action of </w:t>
      </w:r>
      <w:proofErr w:type="spellStart"/>
      <w:r w:rsidR="00694C14">
        <w:t>Ikervis</w:t>
      </w:r>
      <w:proofErr w:type="spellEnd"/>
      <w:r>
        <w:t xml:space="preserve">, its link to clinical efficacy is not well established. With regards to all other pre-defined endpoints (including OSDI, VAS, </w:t>
      </w:r>
      <w:proofErr w:type="spellStart"/>
      <w:r>
        <w:t>Schirmer</w:t>
      </w:r>
      <w:proofErr w:type="spellEnd"/>
      <w:r>
        <w:t xml:space="preserve"> test, use of concomitant artificial tears, investigator’s global evaluation of efficacy, TBUT, </w:t>
      </w:r>
      <w:proofErr w:type="spellStart"/>
      <w:r>
        <w:t>lissamine</w:t>
      </w:r>
      <w:proofErr w:type="spellEnd"/>
      <w:r>
        <w:t xml:space="preserve"> green staining, quality of life score, and tea</w:t>
      </w:r>
      <w:r w:rsidR="001301A8">
        <w:t xml:space="preserve">r </w:t>
      </w:r>
      <w:proofErr w:type="spellStart"/>
      <w:r w:rsidR="001301A8">
        <w:t>osmolarity</w:t>
      </w:r>
      <w:proofErr w:type="spellEnd"/>
      <w:r w:rsidR="001301A8">
        <w:t>), the SANSIKA trial</w:t>
      </w:r>
      <w:r>
        <w:t xml:space="preserve"> failed to show superiority of </w:t>
      </w:r>
      <w:proofErr w:type="spellStart"/>
      <w:r w:rsidR="00694C14">
        <w:t>Ikervis</w:t>
      </w:r>
      <w:proofErr w:type="spellEnd"/>
      <w:r>
        <w:t xml:space="preserve"> versus vehicle.</w:t>
      </w:r>
    </w:p>
    <w:p w14:paraId="158D625D" w14:textId="77777777" w:rsidR="0048156B" w:rsidRPr="001301A8" w:rsidRDefault="0048156B" w:rsidP="0048156B">
      <w:pPr>
        <w:rPr>
          <w:i/>
        </w:rPr>
      </w:pPr>
      <w:r w:rsidRPr="001301A8">
        <w:rPr>
          <w:i/>
        </w:rPr>
        <w:t>In relation to safety:</w:t>
      </w:r>
    </w:p>
    <w:p w14:paraId="6C03358A" w14:textId="282C4489" w:rsidR="0048156B" w:rsidRDefault="0048156B" w:rsidP="0048156B">
      <w:r>
        <w:t xml:space="preserve">Most of the drug related AEs were ocular events and these were notably higher with NOVA22007 than vehicle (35.1% </w:t>
      </w:r>
      <w:r w:rsidR="00DE23C1">
        <w:t>versus</w:t>
      </w:r>
      <w:r>
        <w:t xml:space="preserve"> 7.6%) with eye irritation and eye pain rates being 17.5% and 19% in the </w:t>
      </w:r>
      <w:proofErr w:type="spellStart"/>
      <w:r w:rsidR="00694C14">
        <w:t>Ikervis</w:t>
      </w:r>
      <w:proofErr w:type="spellEnd"/>
      <w:r w:rsidR="001301A8">
        <w:t xml:space="preserve"> as compared to the v</w:t>
      </w:r>
      <w:r>
        <w:t xml:space="preserve">ehicle’s 4.3%. Patients with DED would seek treatment for their symptoms of chronic eye irritation and discomfort, however it appears that </w:t>
      </w:r>
      <w:proofErr w:type="spellStart"/>
      <w:r w:rsidR="00694C14">
        <w:t>Ikervis</w:t>
      </w:r>
      <w:proofErr w:type="spellEnd"/>
      <w:r>
        <w:t xml:space="preserve"> appears more likely to cause these eye irritating/pain symptoms than improve them.</w:t>
      </w:r>
      <w:r w:rsidR="00B008FD">
        <w:t xml:space="preserve"> </w:t>
      </w:r>
      <w:bookmarkStart w:id="52" w:name="_Ref66457336"/>
      <w:r w:rsidR="005826AC">
        <w:rPr>
          <w:rStyle w:val="FootnoteReference"/>
        </w:rPr>
        <w:footnoteReference w:id="17"/>
      </w:r>
      <w:bookmarkEnd w:id="52"/>
      <w:r w:rsidR="00B008FD">
        <w:t xml:space="preserve"> </w:t>
      </w:r>
    </w:p>
    <w:p w14:paraId="7848DF4C" w14:textId="77777777" w:rsidR="007918B7" w:rsidRDefault="007918B7" w:rsidP="007918B7">
      <w:pPr>
        <w:pStyle w:val="Heading4"/>
      </w:pPr>
      <w:r w:rsidRPr="00D23139">
        <w:t>Proposed action</w:t>
      </w:r>
    </w:p>
    <w:p w14:paraId="2E4282D1" w14:textId="26064E3F" w:rsidR="0048156B" w:rsidRDefault="00694C14" w:rsidP="0048156B">
      <w:proofErr w:type="spellStart"/>
      <w:r>
        <w:t>Ikervis</w:t>
      </w:r>
      <w:proofErr w:type="spellEnd"/>
      <w:r w:rsidR="0048156B">
        <w:t xml:space="preserve"> (ciclosporin 1 mg/mL eye drops) used in the both the pivotal studies (</w:t>
      </w:r>
      <w:r w:rsidR="005D6095">
        <w:t xml:space="preserve">the </w:t>
      </w:r>
      <w:r w:rsidR="001A402F">
        <w:t>SANSIKA</w:t>
      </w:r>
      <w:r w:rsidR="0048156B">
        <w:t xml:space="preserve"> and </w:t>
      </w:r>
      <w:r w:rsidR="001A402F">
        <w:t>SICCANOVE</w:t>
      </w:r>
      <w:r w:rsidR="001301A8">
        <w:t xml:space="preserve"> trials</w:t>
      </w:r>
      <w:r w:rsidR="0048156B">
        <w:t>) for the treatment of dry eye disease (DED) failed to demonstrate efficacy in the primary endpoints. This was a combination of a sign and symptom of DED, as co-variables (</w:t>
      </w:r>
      <w:r w:rsidR="001A402F">
        <w:t>SICCANOVE</w:t>
      </w:r>
      <w:r w:rsidR="001301A8">
        <w:t xml:space="preserve"> trial</w:t>
      </w:r>
      <w:r w:rsidR="0048156B">
        <w:t xml:space="preserve">) or in a composite responder variable in </w:t>
      </w:r>
      <w:r w:rsidR="005D6095">
        <w:t xml:space="preserve">the </w:t>
      </w:r>
      <w:r w:rsidR="0048156B">
        <w:t xml:space="preserve">SANSIKA </w:t>
      </w:r>
      <w:r w:rsidR="001301A8">
        <w:t>trial.</w:t>
      </w:r>
      <w:r w:rsidR="0048156B">
        <w:t xml:space="preserve"> This was mainly because of the lack of effect of </w:t>
      </w:r>
      <w:proofErr w:type="spellStart"/>
      <w:r>
        <w:t>Ikervis</w:t>
      </w:r>
      <w:proofErr w:type="spellEnd"/>
      <w:r w:rsidR="0048156B">
        <w:t xml:space="preserve"> compared to vehicle on symptoms (OSDI in </w:t>
      </w:r>
      <w:r w:rsidR="001A402F">
        <w:t>SANSIKA</w:t>
      </w:r>
      <w:r w:rsidR="001301A8">
        <w:t xml:space="preserve"> trial</w:t>
      </w:r>
      <w:r w:rsidR="0048156B">
        <w:t xml:space="preserve"> and global score of ocular discomfort using a VAS in </w:t>
      </w:r>
      <w:r w:rsidR="005D6095">
        <w:t xml:space="preserve">the </w:t>
      </w:r>
      <w:r w:rsidR="001A402F">
        <w:t>SICCANOVE</w:t>
      </w:r>
      <w:r w:rsidR="0048156B">
        <w:t xml:space="preserve"> </w:t>
      </w:r>
      <w:r w:rsidR="001301A8">
        <w:t>trial</w:t>
      </w:r>
      <w:r w:rsidR="0048156B">
        <w:t xml:space="preserve">). The data presented does show some positive effects with </w:t>
      </w:r>
      <w:proofErr w:type="spellStart"/>
      <w:r w:rsidR="0048156B">
        <w:t>Ikervis</w:t>
      </w:r>
      <w:proofErr w:type="spellEnd"/>
      <w:r w:rsidR="0048156B">
        <w:t xml:space="preserve">, mainly on CFS score, with moderate separation from vehicle, in patients with severe keratitis. In </w:t>
      </w:r>
      <w:r w:rsidR="005D6095">
        <w:t xml:space="preserve">the </w:t>
      </w:r>
      <w:r w:rsidR="001A402F">
        <w:t>SICCANOVE</w:t>
      </w:r>
      <w:r w:rsidR="001301A8">
        <w:t xml:space="preserve"> trial</w:t>
      </w:r>
      <w:r w:rsidR="0048156B">
        <w:t xml:space="preserve"> the detected between group difference of 0.22 on the CFS score was just below the level of 0.25 that was deemed clinically relevant in the</w:t>
      </w:r>
      <w:r w:rsidR="00B6163E">
        <w:t xml:space="preserve"> sample size calculations.</w:t>
      </w:r>
      <w:r w:rsidR="00944BCB">
        <w:fldChar w:fldCharType="begin"/>
      </w:r>
      <w:r w:rsidR="00944BCB">
        <w:instrText xml:space="preserve"> NOTEREF _Ref65670169 \f \h </w:instrText>
      </w:r>
      <w:r w:rsidR="00944BCB">
        <w:fldChar w:fldCharType="separate"/>
      </w:r>
      <w:r w:rsidR="00DB1D88" w:rsidRPr="00DB1D88">
        <w:rPr>
          <w:rStyle w:val="FootnoteReference"/>
        </w:rPr>
        <w:t>11</w:t>
      </w:r>
      <w:r w:rsidR="00944BCB">
        <w:fldChar w:fldCharType="end"/>
      </w:r>
      <w:r w:rsidR="00B6163E">
        <w:t xml:space="preserve"> The D</w:t>
      </w:r>
      <w:r w:rsidR="0048156B">
        <w:t>elegate is of the view that corneal staining alone does not fully describe the pathophysiological changes with dry eye disease.</w:t>
      </w:r>
    </w:p>
    <w:p w14:paraId="720F0A47" w14:textId="710EF9C1" w:rsidR="0048156B" w:rsidRDefault="0048156B" w:rsidP="0048156B">
      <w:r>
        <w:t xml:space="preserve">Although hard to assess the statistics of the secondary endpoints after failed primary endpoint, </w:t>
      </w:r>
      <w:proofErr w:type="spellStart"/>
      <w:r w:rsidR="00694C14">
        <w:t>Ikervis</w:t>
      </w:r>
      <w:proofErr w:type="spellEnd"/>
      <w:r>
        <w:t xml:space="preserve"> furthermore failed to show superiority over vehicle in the majority of the other pre-defined endpoints, including OSDI, VAS, </w:t>
      </w:r>
      <w:proofErr w:type="spellStart"/>
      <w:r>
        <w:t>Schirmer</w:t>
      </w:r>
      <w:proofErr w:type="spellEnd"/>
      <w:r>
        <w:t xml:space="preserve"> test, use of concomitant artificial tears, investigator’s global evaluation of efficacy, TBUT, </w:t>
      </w:r>
      <w:proofErr w:type="spellStart"/>
      <w:r>
        <w:t>lissamine</w:t>
      </w:r>
      <w:proofErr w:type="spellEnd"/>
      <w:r>
        <w:t xml:space="preserve"> green staining, quality of life score, and tear </w:t>
      </w:r>
      <w:proofErr w:type="spellStart"/>
      <w:r>
        <w:t>osmolarity</w:t>
      </w:r>
      <w:proofErr w:type="spellEnd"/>
      <w:r>
        <w:t>.</w:t>
      </w:r>
    </w:p>
    <w:p w14:paraId="1300FB40" w14:textId="3F930FAD" w:rsidR="0048156B" w:rsidRDefault="0048156B" w:rsidP="0048156B">
      <w:r>
        <w:t xml:space="preserve">The sponsor does emphasise towards the benefits of </w:t>
      </w:r>
      <w:proofErr w:type="spellStart"/>
      <w:r w:rsidR="00694C14">
        <w:t>Ikervis</w:t>
      </w:r>
      <w:proofErr w:type="spellEnd"/>
      <w:r>
        <w:t xml:space="preserve">, which were suggested in a number of </w:t>
      </w:r>
      <w:r w:rsidRPr="00114459">
        <w:rPr>
          <w:i/>
        </w:rPr>
        <w:t>post hoc</w:t>
      </w:r>
      <w:r>
        <w:t xml:space="preserve"> analyses as well as a meta-analysis of results from </w:t>
      </w:r>
      <w:r w:rsidR="005D6095">
        <w:t xml:space="preserve">the </w:t>
      </w:r>
      <w:r>
        <w:t>SANSIKA and SICCANOVE</w:t>
      </w:r>
      <w:r w:rsidR="001301A8">
        <w:t xml:space="preserve"> trials</w:t>
      </w:r>
      <w:r>
        <w:t xml:space="preserve">. However, the </w:t>
      </w:r>
      <w:r w:rsidRPr="00114459">
        <w:rPr>
          <w:i/>
        </w:rPr>
        <w:t>post-hoc</w:t>
      </w:r>
      <w:r>
        <w:t xml:space="preserve"> analyses come with its multiple limitations to be considered as the primary source data for registration of </w:t>
      </w:r>
      <w:proofErr w:type="spellStart"/>
      <w:r w:rsidR="00694C14">
        <w:t>Ikervis</w:t>
      </w:r>
      <w:proofErr w:type="spellEnd"/>
      <w:r>
        <w:t xml:space="preserve"> in this indication after failure of both its pivotal trials. In addition, as the severe population investigated in </w:t>
      </w:r>
      <w:r w:rsidR="005D6095">
        <w:t xml:space="preserve">the </w:t>
      </w:r>
      <w:r>
        <w:t>SANSIKA</w:t>
      </w:r>
      <w:r w:rsidR="004F27B4">
        <w:t xml:space="preserve"> trial</w:t>
      </w:r>
      <w:r>
        <w:t xml:space="preserve"> was selected further to a </w:t>
      </w:r>
      <w:r w:rsidRPr="00114459">
        <w:rPr>
          <w:i/>
        </w:rPr>
        <w:t>post</w:t>
      </w:r>
      <w:r w:rsidR="005D6095">
        <w:rPr>
          <w:i/>
        </w:rPr>
        <w:t>-</w:t>
      </w:r>
      <w:r w:rsidRPr="00114459">
        <w:rPr>
          <w:i/>
        </w:rPr>
        <w:t>hoc</w:t>
      </w:r>
      <w:r>
        <w:t xml:space="preserve"> subgroup analysis of the</w:t>
      </w:r>
      <w:r w:rsidR="004F27B4">
        <w:t xml:space="preserve"> overall negative SICCANOVE trial</w:t>
      </w:r>
      <w:r>
        <w:t xml:space="preserve">, the </w:t>
      </w:r>
      <w:r w:rsidR="004F27B4">
        <w:t>meta-analysis of the two trials</w:t>
      </w:r>
      <w:r>
        <w:t xml:space="preserve"> would be biased in favour of </w:t>
      </w:r>
      <w:proofErr w:type="spellStart"/>
      <w:r w:rsidR="00694C14">
        <w:t>Ikervis</w:t>
      </w:r>
      <w:proofErr w:type="spellEnd"/>
      <w:r>
        <w:t xml:space="preserve"> and it is considered that the best evidence of efficacy was provided by the SANSIKA</w:t>
      </w:r>
      <w:r w:rsidR="004F27B4">
        <w:t xml:space="preserve"> trial</w:t>
      </w:r>
      <w:r>
        <w:t xml:space="preserve"> data alone.</w:t>
      </w:r>
    </w:p>
    <w:p w14:paraId="2EC41E8A" w14:textId="73936A96" w:rsidR="0048156B" w:rsidRDefault="0048156B" w:rsidP="0048156B">
      <w:proofErr w:type="spellStart"/>
      <w:r>
        <w:t>I</w:t>
      </w:r>
      <w:r w:rsidR="00BB0B58">
        <w:t>kervis</w:t>
      </w:r>
      <w:proofErr w:type="spellEnd"/>
      <w:r>
        <w:t xml:space="preserve"> appears more likely to cause these eye irritating/pain symptoms than improve them for DED patients seeking symptom relief.</w:t>
      </w:r>
      <w:r w:rsidR="0076694B" w:rsidRPr="0076694B">
        <w:rPr>
          <w:vertAlign w:val="superscript"/>
        </w:rPr>
        <w:fldChar w:fldCharType="begin"/>
      </w:r>
      <w:r w:rsidR="0076694B" w:rsidRPr="0076694B">
        <w:rPr>
          <w:vertAlign w:val="superscript"/>
        </w:rPr>
        <w:instrText xml:space="preserve"> NOTEREF _Ref66457336 \h </w:instrText>
      </w:r>
      <w:r w:rsidR="0076694B">
        <w:rPr>
          <w:vertAlign w:val="superscript"/>
        </w:rPr>
        <w:instrText xml:space="preserve"> \* MERGEFORMAT </w:instrText>
      </w:r>
      <w:r w:rsidR="0076694B" w:rsidRPr="0076694B">
        <w:rPr>
          <w:vertAlign w:val="superscript"/>
        </w:rPr>
      </w:r>
      <w:r w:rsidR="0076694B" w:rsidRPr="0076694B">
        <w:rPr>
          <w:vertAlign w:val="superscript"/>
        </w:rPr>
        <w:fldChar w:fldCharType="separate"/>
      </w:r>
      <w:r w:rsidR="00DB1D88">
        <w:rPr>
          <w:vertAlign w:val="superscript"/>
        </w:rPr>
        <w:t>16</w:t>
      </w:r>
      <w:r w:rsidR="0076694B" w:rsidRPr="0076694B">
        <w:rPr>
          <w:vertAlign w:val="superscript"/>
        </w:rPr>
        <w:fldChar w:fldCharType="end"/>
      </w:r>
    </w:p>
    <w:p w14:paraId="549A1A7B" w14:textId="3047694D" w:rsidR="0048156B" w:rsidRDefault="0048156B" w:rsidP="0048156B">
      <w:r>
        <w:t>There are already registered treatments on the ARTG for the treatment of DED in adults for whom prior use of artificial tears has not been sufficient, lifitegrast 5.0% (Xiidra)</w:t>
      </w:r>
      <w:r w:rsidR="004F27B4">
        <w:rPr>
          <w:color w:val="2B579A"/>
          <w:shd w:val="clear" w:color="auto" w:fill="E6E6E6"/>
        </w:rPr>
        <w:fldChar w:fldCharType="begin"/>
      </w:r>
      <w:r w:rsidR="004F27B4">
        <w:instrText xml:space="preserve"> NOTEREF _Ref64622492 \f \h </w:instrText>
      </w:r>
      <w:r w:rsidR="004F27B4">
        <w:rPr>
          <w:color w:val="2B579A"/>
          <w:shd w:val="clear" w:color="auto" w:fill="E6E6E6"/>
        </w:rPr>
      </w:r>
      <w:r w:rsidR="004F27B4">
        <w:rPr>
          <w:color w:val="2B579A"/>
          <w:shd w:val="clear" w:color="auto" w:fill="E6E6E6"/>
        </w:rPr>
        <w:fldChar w:fldCharType="separate"/>
      </w:r>
      <w:r w:rsidR="00DB1D88" w:rsidRPr="00DB1D88">
        <w:rPr>
          <w:rStyle w:val="FootnoteReference"/>
        </w:rPr>
        <w:t>4</w:t>
      </w:r>
      <w:r w:rsidR="004F27B4">
        <w:rPr>
          <w:color w:val="2B579A"/>
          <w:shd w:val="clear" w:color="auto" w:fill="E6E6E6"/>
        </w:rPr>
        <w:fldChar w:fldCharType="end"/>
      </w:r>
      <w:r>
        <w:t xml:space="preserve"> and ciclosporin 900 microgram/mL eye drops (C</w:t>
      </w:r>
      <w:r w:rsidR="00BB0B58">
        <w:t>equa</w:t>
      </w:r>
      <w:r>
        <w:t>)</w:t>
      </w:r>
      <w:r w:rsidR="004F27B4">
        <w:rPr>
          <w:color w:val="2B579A"/>
          <w:shd w:val="clear" w:color="auto" w:fill="E6E6E6"/>
        </w:rPr>
        <w:fldChar w:fldCharType="begin"/>
      </w:r>
      <w:r w:rsidR="004F27B4">
        <w:instrText xml:space="preserve"> NOTEREF _Ref64622501 \f \h </w:instrText>
      </w:r>
      <w:r w:rsidR="004F27B4">
        <w:rPr>
          <w:color w:val="2B579A"/>
          <w:shd w:val="clear" w:color="auto" w:fill="E6E6E6"/>
        </w:rPr>
      </w:r>
      <w:r w:rsidR="004F27B4">
        <w:rPr>
          <w:color w:val="2B579A"/>
          <w:shd w:val="clear" w:color="auto" w:fill="E6E6E6"/>
        </w:rPr>
        <w:fldChar w:fldCharType="separate"/>
      </w:r>
      <w:r w:rsidR="00DB1D88" w:rsidRPr="00DB1D88">
        <w:rPr>
          <w:rStyle w:val="FootnoteReference"/>
        </w:rPr>
        <w:t>5</w:t>
      </w:r>
      <w:r w:rsidR="004F27B4">
        <w:rPr>
          <w:color w:val="2B579A"/>
          <w:shd w:val="clear" w:color="auto" w:fill="E6E6E6"/>
        </w:rPr>
        <w:fldChar w:fldCharType="end"/>
      </w:r>
      <w:r>
        <w:t xml:space="preserve"> so as such there appears no unmet </w:t>
      </w:r>
      <w:r w:rsidR="00E14E4F">
        <w:t>medical need in these patients.</w:t>
      </w:r>
    </w:p>
    <w:p w14:paraId="5160B48F" w14:textId="7B9F977C" w:rsidR="0048156B" w:rsidRPr="0048156B" w:rsidRDefault="0048156B" w:rsidP="0048156B">
      <w:r>
        <w:t>Based on the above points considering that efficacy has no</w:t>
      </w:r>
      <w:r w:rsidR="00B6163E">
        <w:t>t been convincingly shown, the D</w:t>
      </w:r>
      <w:r>
        <w:t xml:space="preserve">elegate considers the benefit-risk of </w:t>
      </w:r>
      <w:proofErr w:type="spellStart"/>
      <w:r>
        <w:t>I</w:t>
      </w:r>
      <w:r w:rsidR="00BB0B58">
        <w:t>kervis</w:t>
      </w:r>
      <w:proofErr w:type="spellEnd"/>
      <w:r>
        <w:t xml:space="preserve"> in the proposed indication for th</w:t>
      </w:r>
      <w:r w:rsidR="00BB0B58">
        <w:t>e treatment of DED</w:t>
      </w:r>
      <w:r>
        <w:t xml:space="preserve"> as unfavourable although advice is sought from the committee regarding the specific issues raised above</w:t>
      </w:r>
      <w:r w:rsidR="00BB0B58">
        <w:t>.</w:t>
      </w:r>
    </w:p>
    <w:p w14:paraId="046115C7" w14:textId="77777777" w:rsidR="007D53B6" w:rsidRDefault="007D53B6" w:rsidP="007D53B6">
      <w:pPr>
        <w:pStyle w:val="Heading4"/>
      </w:pPr>
      <w:r>
        <w:t xml:space="preserve">Questions for </w:t>
      </w:r>
      <w:r w:rsidR="00744121">
        <w:t xml:space="preserve">the </w:t>
      </w:r>
      <w:r>
        <w:t>sponsor</w:t>
      </w:r>
    </w:p>
    <w:p w14:paraId="1B8D15FD" w14:textId="77777777" w:rsidR="00744121" w:rsidRPr="00BB0B58" w:rsidRDefault="00744121" w:rsidP="00BB0B58">
      <w:r w:rsidRPr="00BB0B58">
        <w:t>The sponsor provided the following response to questions from the Delegate.</w:t>
      </w:r>
    </w:p>
    <w:p w14:paraId="105C1B92" w14:textId="6E59B089" w:rsidR="00BB0B58" w:rsidRDefault="00BB0B58" w:rsidP="00BB0B58">
      <w:pPr>
        <w:pStyle w:val="Numberbullet0"/>
        <w:rPr>
          <w:b/>
          <w:bCs/>
          <w:i/>
        </w:rPr>
      </w:pPr>
      <w:r w:rsidRPr="00BB0B58">
        <w:rPr>
          <w:b/>
          <w:i/>
        </w:rPr>
        <w:t xml:space="preserve">In Study </w:t>
      </w:r>
      <w:r w:rsidR="001A402F">
        <w:rPr>
          <w:b/>
          <w:i/>
        </w:rPr>
        <w:t>SICCANOVE</w:t>
      </w:r>
      <w:r w:rsidRPr="00BB0B58">
        <w:rPr>
          <w:b/>
          <w:i/>
        </w:rPr>
        <w:t xml:space="preserve"> the detected between group difference of 0.22 on the CFS score was just below the level of 0.25 that was deemed clinically relevant in the sample siz</w:t>
      </w:r>
      <w:r w:rsidRPr="00BB0B58">
        <w:rPr>
          <w:b/>
          <w:bCs/>
          <w:i/>
        </w:rPr>
        <w:t>e calculations. Please clarify.</w:t>
      </w:r>
    </w:p>
    <w:p w14:paraId="59E06615" w14:textId="671F06E1" w:rsidR="00E14E4F" w:rsidRPr="00BB0B58" w:rsidRDefault="00E14E4F" w:rsidP="00E14E4F">
      <w:r>
        <w:t>According to the study statistical analysis plan (SAP), an additional decrease of 25% in the active group compared to vehicle in CFS improvement was considered clinically relevant</w:t>
      </w:r>
      <w:r w:rsidR="004F27B4">
        <w:t>. The change in CFS score from B</w:t>
      </w:r>
      <w:r>
        <w:t xml:space="preserve">aseline for the two groups was -1.05 and -0.82 for </w:t>
      </w:r>
      <w:proofErr w:type="spellStart"/>
      <w:r>
        <w:t>Ikervis</w:t>
      </w:r>
      <w:proofErr w:type="spellEnd"/>
      <w:r>
        <w:t xml:space="preserve"> and vehicle respectively, with a between group difference of -0.22. Based on the criteria defined in the SAP, a difference of -0.205 (-0.82 x 25%) between the </w:t>
      </w:r>
      <w:proofErr w:type="spellStart"/>
      <w:r>
        <w:t>Ikervis</w:t>
      </w:r>
      <w:proofErr w:type="spellEnd"/>
      <w:r>
        <w:t xml:space="preserve"> and vehicle groups was required to reach clinical relevance. As the actual difference between groups (-0.22) exceeded this value, it is considered clinically relevant in favour of </w:t>
      </w:r>
      <w:proofErr w:type="spellStart"/>
      <w:r>
        <w:t>Ikervis</w:t>
      </w:r>
      <w:proofErr w:type="spellEnd"/>
      <w:r>
        <w:t>.</w:t>
      </w:r>
    </w:p>
    <w:p w14:paraId="7A4F9EC1" w14:textId="14946D19" w:rsidR="008E7846" w:rsidRDefault="008E7846" w:rsidP="007D53B6">
      <w:pPr>
        <w:pStyle w:val="Heading4"/>
      </w:pPr>
      <w:r>
        <w:t xml:space="preserve">Advisory </w:t>
      </w:r>
      <w:r w:rsidR="00676965">
        <w:t>c</w:t>
      </w:r>
      <w:r>
        <w:t xml:space="preserve">ommittee </w:t>
      </w:r>
      <w:r w:rsidR="007D53B6">
        <w:t>c</w:t>
      </w:r>
      <w:r>
        <w:t>onsiderations</w:t>
      </w:r>
      <w:r w:rsidR="00456765">
        <w:rPr>
          <w:rStyle w:val="FootnoteReference"/>
        </w:rPr>
        <w:footnoteReference w:id="18"/>
      </w:r>
    </w:p>
    <w:p w14:paraId="5B8A41AE" w14:textId="77777777" w:rsidR="00744121" w:rsidRDefault="00744121" w:rsidP="00744121">
      <w:pPr>
        <w:rPr>
          <w:bCs/>
        </w:rPr>
      </w:pPr>
      <w:bookmarkStart w:id="53" w:name="_Toc247691532"/>
      <w:bookmarkStart w:id="54" w:name="_Toc314842516"/>
      <w:bookmarkEnd w:id="30"/>
      <w:bookmarkEnd w:id="50"/>
      <w:bookmarkEnd w:id="51"/>
      <w:r w:rsidRPr="00456765">
        <w:rPr>
          <w:bCs/>
        </w:rPr>
        <w:t>The Advisory Committee on Medicines (ACM), having considered the evaluations and the Delegate’s overview, as well as the sponsor’s response to these documents, advised the following</w:t>
      </w:r>
      <w:r>
        <w:rPr>
          <w:bCs/>
        </w:rPr>
        <w:t>.</w:t>
      </w:r>
    </w:p>
    <w:p w14:paraId="62069BE2" w14:textId="7FF97D3B" w:rsidR="00744121" w:rsidRDefault="00744121" w:rsidP="00744121">
      <w:pPr>
        <w:pStyle w:val="Heading5"/>
      </w:pPr>
      <w:r>
        <w:t xml:space="preserve">Specific advice to the </w:t>
      </w:r>
      <w:r w:rsidR="00676965">
        <w:t>d</w:t>
      </w:r>
      <w:r>
        <w:t>elegate</w:t>
      </w:r>
    </w:p>
    <w:p w14:paraId="6F744E5A" w14:textId="72CA7DAC" w:rsidR="00BB0B58" w:rsidRDefault="00BB0B58" w:rsidP="00BB0B58">
      <w:pPr>
        <w:pStyle w:val="Numberbullet0"/>
        <w:numPr>
          <w:ilvl w:val="0"/>
          <w:numId w:val="35"/>
        </w:numPr>
        <w:rPr>
          <w:b/>
          <w:i/>
        </w:rPr>
      </w:pPr>
      <w:r w:rsidRPr="00BB0B58">
        <w:rPr>
          <w:b/>
          <w:i/>
        </w:rPr>
        <w:t>Does corneal staining alone fully describe the pathophysiological changes and overall demonstrate a clinically relevant effect on dry eye disease?</w:t>
      </w:r>
    </w:p>
    <w:p w14:paraId="5D441ED4" w14:textId="504FBBF9" w:rsidR="00994DAB" w:rsidRPr="00BB0B58" w:rsidRDefault="00994DAB" w:rsidP="00994DAB">
      <w:r w:rsidRPr="00994DAB">
        <w:t xml:space="preserve">The </w:t>
      </w:r>
      <w:r>
        <w:t>ACM</w:t>
      </w:r>
      <w:r w:rsidRPr="00994DAB">
        <w:t xml:space="preserve"> noted that dry eye disease is a multifactorial condition. Corneal staining is a</w:t>
      </w:r>
      <w:r>
        <w:t xml:space="preserve"> </w:t>
      </w:r>
      <w:r w:rsidRPr="00994DAB">
        <w:t>measure of damage and inflammation but does not correlate well with symptom measures,</w:t>
      </w:r>
      <w:r>
        <w:t xml:space="preserve"> </w:t>
      </w:r>
      <w:r w:rsidRPr="00994DAB">
        <w:t xml:space="preserve">therefore the </w:t>
      </w:r>
      <w:r>
        <w:t>ACM</w:t>
      </w:r>
      <w:r w:rsidRPr="00994DAB">
        <w:t xml:space="preserve"> did not believe that approval for a treatment of dry eye disease</w:t>
      </w:r>
      <w:r>
        <w:t xml:space="preserve"> </w:t>
      </w:r>
      <w:r w:rsidRPr="00994DAB">
        <w:t>should be based on corneal staining alone.</w:t>
      </w:r>
    </w:p>
    <w:p w14:paraId="6FD94471" w14:textId="6E3BC8A0" w:rsidR="00BB0B58" w:rsidRDefault="00BB0B58" w:rsidP="00BB0B58">
      <w:pPr>
        <w:pStyle w:val="Numberbullet0"/>
        <w:rPr>
          <w:b/>
          <w:i/>
        </w:rPr>
      </w:pPr>
      <w:r w:rsidRPr="00BB0B58">
        <w:rPr>
          <w:b/>
          <w:i/>
        </w:rPr>
        <w:t>What proportion of patients with DED develop severe visual outcomes? Does treating inflammation with ciclosporin and improvement in corneal staining improve long term visual outcomes</w:t>
      </w:r>
      <w:r w:rsidR="00994DAB">
        <w:rPr>
          <w:b/>
          <w:i/>
        </w:rPr>
        <w:t>?</w:t>
      </w:r>
    </w:p>
    <w:p w14:paraId="50F1FCAB" w14:textId="4872753E" w:rsidR="00994DAB" w:rsidRDefault="00994DAB" w:rsidP="00994DAB">
      <w:r>
        <w:t>There is no ‘gold standard’ system for the classification of dry eye disease. Most patients with dry eye disease are impacted visually.</w:t>
      </w:r>
    </w:p>
    <w:p w14:paraId="068CA2EE" w14:textId="3837FDC2" w:rsidR="00994DAB" w:rsidRPr="00BB0B58" w:rsidRDefault="00994DAB" w:rsidP="00994DAB">
      <w:r>
        <w:t>While dry eye disease is thought to be associated with inflammation, the ACM considered that the studies accompanying this submission had little long-term data on dry disease outcomes.</w:t>
      </w:r>
    </w:p>
    <w:p w14:paraId="5B2C6715" w14:textId="04F02C25" w:rsidR="00BB0B58" w:rsidRDefault="00BB0B58" w:rsidP="1810E30F">
      <w:pPr>
        <w:pStyle w:val="Numberbullet0"/>
        <w:rPr>
          <w:b/>
          <w:bCs/>
          <w:i/>
          <w:iCs/>
        </w:rPr>
      </w:pPr>
      <w:r w:rsidRPr="1810E30F">
        <w:rPr>
          <w:b/>
          <w:bCs/>
          <w:i/>
          <w:iCs/>
        </w:rPr>
        <w:t xml:space="preserve">What is the usual duration of treatment with </w:t>
      </w:r>
      <w:r w:rsidR="00D8472E">
        <w:rPr>
          <w:b/>
          <w:bCs/>
          <w:i/>
          <w:iCs/>
        </w:rPr>
        <w:t>ciclosporin?</w:t>
      </w:r>
    </w:p>
    <w:p w14:paraId="3F96D032" w14:textId="77777777" w:rsidR="00994DAB" w:rsidRPr="00994DAB" w:rsidRDefault="00994DAB" w:rsidP="00994DAB">
      <w:r w:rsidRPr="00994DAB">
        <w:t>The duration of treatment in clinical practice is at least 1 year.</w:t>
      </w:r>
    </w:p>
    <w:p w14:paraId="1C971F05" w14:textId="17BDF126" w:rsidR="00994DAB" w:rsidRPr="00BB0B58" w:rsidRDefault="00994DAB" w:rsidP="00994DAB">
      <w:r w:rsidRPr="00994DAB">
        <w:t>Moderate to severe disease may require lifelong treatment</w:t>
      </w:r>
    </w:p>
    <w:p w14:paraId="060F5683" w14:textId="705D5DB9" w:rsidR="00BB0B58" w:rsidRDefault="00BB0B58" w:rsidP="00BB0B58">
      <w:pPr>
        <w:pStyle w:val="Numberbullet0"/>
        <w:rPr>
          <w:b/>
          <w:i/>
        </w:rPr>
      </w:pPr>
      <w:r w:rsidRPr="00BB0B58">
        <w:rPr>
          <w:b/>
          <w:i/>
        </w:rPr>
        <w:t>Are the higher rates of eye irritating/pain symptoms with</w:t>
      </w:r>
      <w:r w:rsidR="00994DAB">
        <w:rPr>
          <w:b/>
          <w:i/>
        </w:rPr>
        <w:t xml:space="preserve"> </w:t>
      </w:r>
      <w:proofErr w:type="spellStart"/>
      <w:r w:rsidR="00694C14">
        <w:rPr>
          <w:b/>
          <w:i/>
        </w:rPr>
        <w:t>Ikervis</w:t>
      </w:r>
      <w:proofErr w:type="spellEnd"/>
      <w:r w:rsidR="00994DAB">
        <w:rPr>
          <w:b/>
          <w:i/>
        </w:rPr>
        <w:t xml:space="preserve"> </w:t>
      </w:r>
      <w:r w:rsidR="00DE23C1">
        <w:rPr>
          <w:b/>
          <w:i/>
        </w:rPr>
        <w:t>versus</w:t>
      </w:r>
      <w:r w:rsidR="00994DAB">
        <w:rPr>
          <w:b/>
          <w:i/>
        </w:rPr>
        <w:t xml:space="preserve"> vehicle acceptable?</w:t>
      </w:r>
    </w:p>
    <w:p w14:paraId="469D2FCD" w14:textId="1ACC996E" w:rsidR="00994DAB" w:rsidRPr="00BB0B58" w:rsidRDefault="00994DAB" w:rsidP="00994DAB">
      <w:pPr>
        <w:pStyle w:val="Numberbullet0"/>
        <w:numPr>
          <w:ilvl w:val="0"/>
          <w:numId w:val="0"/>
        </w:numPr>
        <w:rPr>
          <w:b/>
          <w:i/>
        </w:rPr>
      </w:pPr>
      <w:r>
        <w:t xml:space="preserve">The ACM noted that instillation site pain was the most frequently reported treatment related ocular TEAE. The instillation pain is significant. The symptomatic improvement is modest. It would not appear this is an appropriate equipoise. The committee did consider that this is likely to be a </w:t>
      </w:r>
      <w:proofErr w:type="spellStart"/>
      <w:r>
        <w:t>self limiting</w:t>
      </w:r>
      <w:proofErr w:type="spellEnd"/>
      <w:r>
        <w:t xml:space="preserve"> event, as those experiencing eye irritation or pain are likely to stop treatment.</w:t>
      </w:r>
    </w:p>
    <w:p w14:paraId="5475571F" w14:textId="3DDD3D83" w:rsidR="00BB0B58" w:rsidRDefault="00BB0B58" w:rsidP="00BB0B58">
      <w:pPr>
        <w:pStyle w:val="Numberbullet0"/>
        <w:rPr>
          <w:b/>
          <w:i/>
        </w:rPr>
      </w:pPr>
      <w:r w:rsidRPr="00BB0B58">
        <w:rPr>
          <w:b/>
          <w:i/>
        </w:rPr>
        <w:t>The committee is (also) requested to provide advice on any other issues that it thinks may be relevant to a decision on whether or not to approve this application.</w:t>
      </w:r>
    </w:p>
    <w:p w14:paraId="6B8DACD2" w14:textId="2FA45B25" w:rsidR="00994DAB" w:rsidRPr="00BB0B58" w:rsidRDefault="00994DAB" w:rsidP="00994DAB">
      <w:r>
        <w:t>Nil.</w:t>
      </w:r>
    </w:p>
    <w:p w14:paraId="670BFC0E" w14:textId="77777777" w:rsidR="00744121" w:rsidRDefault="00744121" w:rsidP="00744121">
      <w:pPr>
        <w:pStyle w:val="Heading5"/>
      </w:pPr>
      <w:r>
        <w:t>Conclusion</w:t>
      </w:r>
    </w:p>
    <w:p w14:paraId="44C6B7C4" w14:textId="0575F66B" w:rsidR="00994DAB" w:rsidRDefault="00994DAB" w:rsidP="00994DAB">
      <w:r w:rsidRPr="00994DAB">
        <w:t xml:space="preserve">The ACM considered that </w:t>
      </w:r>
      <w:proofErr w:type="spellStart"/>
      <w:r w:rsidRPr="00994DAB">
        <w:t>I</w:t>
      </w:r>
      <w:r>
        <w:t>kervis</w:t>
      </w:r>
      <w:proofErr w:type="spellEnd"/>
      <w:r w:rsidRPr="00994DAB">
        <w:t xml:space="preserve"> had an overall negative benefit-risk profi</w:t>
      </w:r>
      <w:r>
        <w:t>le for the proposed indication ‘</w:t>
      </w:r>
      <w:r w:rsidRPr="00994DAB">
        <w:rPr>
          <w:i/>
        </w:rPr>
        <w:t>Treatment of moderate to severe dry eye disease in adult patients with keratitis when prior use of artificial tears has not been sufficient</w:t>
      </w:r>
      <w:r>
        <w:t>’</w:t>
      </w:r>
      <w:r w:rsidRPr="00994DAB">
        <w:t>. This view was based on insufficient evidence of efficacy together with an increased frequency of installation pain and the fact that there are other products already available for treatment of dry eye disease in Australia</w:t>
      </w:r>
      <w:r>
        <w:t>.</w:t>
      </w:r>
    </w:p>
    <w:p w14:paraId="3497264E" w14:textId="7EB8CE42" w:rsidR="00837FF2" w:rsidRDefault="00837FF2" w:rsidP="00837FF2">
      <w:pPr>
        <w:pStyle w:val="Heading3"/>
      </w:pPr>
      <w:bookmarkStart w:id="55" w:name="_Toc69733545"/>
      <w:r>
        <w:t xml:space="preserve">Second </w:t>
      </w:r>
      <w:r w:rsidR="00676965">
        <w:t>round of risk</w:t>
      </w:r>
      <w:r>
        <w:t>-benefit analysis</w:t>
      </w:r>
      <w:bookmarkEnd w:id="55"/>
    </w:p>
    <w:p w14:paraId="25A5490B" w14:textId="6045F257" w:rsidR="00837FF2" w:rsidRDefault="00837FF2" w:rsidP="00837FF2">
      <w:pPr>
        <w:pStyle w:val="Heading4"/>
      </w:pPr>
      <w:r>
        <w:t>Delegate’s considerations</w:t>
      </w:r>
    </w:p>
    <w:p w14:paraId="35698F66" w14:textId="18CF72EF" w:rsidR="007E55CB" w:rsidRDefault="007E55CB" w:rsidP="007E55CB">
      <w:r>
        <w:t>The Delegate</w:t>
      </w:r>
      <w:r w:rsidR="004F27B4">
        <w:t xml:space="preserve"> </w:t>
      </w:r>
      <w:r w:rsidR="00D8472E">
        <w:t xml:space="preserve">must </w:t>
      </w:r>
      <w:r w:rsidRPr="006043A3">
        <w:t>make a decision under the therapeutic goods act in relation to quality, safety and efficacy.</w:t>
      </w:r>
    </w:p>
    <w:p w14:paraId="301E8CEB" w14:textId="3E9B26E0" w:rsidR="007E55CB" w:rsidRPr="004F27B4" w:rsidRDefault="007E55CB" w:rsidP="007E55CB">
      <w:pPr>
        <w:rPr>
          <w:i/>
        </w:rPr>
      </w:pPr>
      <w:r w:rsidRPr="004F27B4">
        <w:rPr>
          <w:i/>
        </w:rPr>
        <w:t>In relation to quality:</w:t>
      </w:r>
    </w:p>
    <w:p w14:paraId="6494A2E1" w14:textId="719CF43A" w:rsidR="007E55CB" w:rsidRPr="0089420E" w:rsidRDefault="007E55CB" w:rsidP="007E55CB">
      <w:r>
        <w:t>The pharmaceutical c</w:t>
      </w:r>
      <w:r w:rsidRPr="008D6CE2">
        <w:t>hemistry evaluator has recommended approval with a</w:t>
      </w:r>
      <w:r w:rsidR="004F27B4">
        <w:t>n</w:t>
      </w:r>
      <w:r w:rsidRPr="008D6CE2">
        <w:t xml:space="preserve"> exemption for the carton and vial labels, as discussed above. There are no other outstanding issues. </w:t>
      </w:r>
    </w:p>
    <w:p w14:paraId="77371A8E" w14:textId="6305E076" w:rsidR="007E55CB" w:rsidRPr="004F27B4" w:rsidRDefault="007E55CB" w:rsidP="007E55CB">
      <w:pPr>
        <w:rPr>
          <w:i/>
        </w:rPr>
      </w:pPr>
      <w:r w:rsidRPr="004F27B4">
        <w:rPr>
          <w:i/>
        </w:rPr>
        <w:t>In relation to efficacy:</w:t>
      </w:r>
    </w:p>
    <w:p w14:paraId="3A455BA6" w14:textId="4F63B39D" w:rsidR="007E55CB" w:rsidRDefault="007E55CB" w:rsidP="007E55CB">
      <w:r w:rsidRPr="007410CF">
        <w:t>The indication pres</w:t>
      </w:r>
      <w:r>
        <w:t>ented at the previous ACM referred</w:t>
      </w:r>
      <w:r w:rsidRPr="007410CF">
        <w:t xml:space="preserve"> to treatment of both the signs (</w:t>
      </w:r>
      <w:r w:rsidR="004F27B4">
        <w:t>for example</w:t>
      </w:r>
      <w:r w:rsidRPr="007410CF">
        <w:t xml:space="preserve"> corneal damage) and symptoms of </w:t>
      </w:r>
      <w:r w:rsidR="004F27B4">
        <w:t>DED</w:t>
      </w:r>
      <w:r w:rsidRPr="007410CF">
        <w:t xml:space="preserve">. However, in both pivotal trials, </w:t>
      </w:r>
      <w:proofErr w:type="spellStart"/>
      <w:r w:rsidR="00694C14">
        <w:t>Ikervis</w:t>
      </w:r>
      <w:proofErr w:type="spellEnd"/>
      <w:r w:rsidRPr="007410CF">
        <w:t xml:space="preserve"> demonstrated a positive effect only on ocular signs (as measured by CFS score) and no</w:t>
      </w:r>
      <w:r>
        <w:t>t on ocular symptom component. The efficacy assessment was based on both the sign and symptom components of the DED.</w:t>
      </w:r>
    </w:p>
    <w:p w14:paraId="404FC79C" w14:textId="3AC3FC99" w:rsidR="007E55CB" w:rsidRPr="007E55CB" w:rsidRDefault="007E55CB" w:rsidP="00114459">
      <w:r w:rsidRPr="009838E3">
        <w:t xml:space="preserve">The revised indication for </w:t>
      </w:r>
      <w:proofErr w:type="spellStart"/>
      <w:r w:rsidR="00694C14">
        <w:t>Ikervis</w:t>
      </w:r>
      <w:proofErr w:type="spellEnd"/>
      <w:r w:rsidRPr="009838E3">
        <w:t xml:space="preserve"> refers to the positive results demonstrated in the sign component of DED, which is treatment of severe keratitis as measured by the CFS, a co-primary endpoint in </w:t>
      </w:r>
      <w:r w:rsidR="001A402F">
        <w:t>SICCANOVE</w:t>
      </w:r>
      <w:r w:rsidRPr="009838E3">
        <w:t xml:space="preserve"> </w:t>
      </w:r>
      <w:r w:rsidR="004F27B4">
        <w:t>trial</w:t>
      </w:r>
      <w:r w:rsidRPr="009838E3">
        <w:t xml:space="preserve"> and part of the composite endpoint in </w:t>
      </w:r>
      <w:r w:rsidR="001A402F">
        <w:t>SANSIKA</w:t>
      </w:r>
      <w:r w:rsidR="004F27B4">
        <w:t xml:space="preserve"> trial</w:t>
      </w:r>
      <w:r w:rsidRPr="009838E3">
        <w:t>.</w:t>
      </w:r>
      <w:r>
        <w:t xml:space="preserve"> The efficacy assessment for the revised indication is based only on the sign component of the DED.</w:t>
      </w:r>
    </w:p>
    <w:p w14:paraId="6A81DE47" w14:textId="03AFB561" w:rsidR="005D6095" w:rsidRDefault="005D6095" w:rsidP="00114459">
      <w:pPr>
        <w:pStyle w:val="TableTitle"/>
      </w:pPr>
      <w:r>
        <w:t xml:space="preserve">Table </w:t>
      </w:r>
      <w:r w:rsidR="00F97DF4">
        <w:fldChar w:fldCharType="begin"/>
      </w:r>
      <w:r w:rsidR="00F97DF4">
        <w:instrText xml:space="preserve"> SEQ Table \* ARABIC </w:instrText>
      </w:r>
      <w:r w:rsidR="00F97DF4">
        <w:fldChar w:fldCharType="separate"/>
      </w:r>
      <w:r w:rsidR="00DB1D88">
        <w:rPr>
          <w:noProof/>
        </w:rPr>
        <w:t>7</w:t>
      </w:r>
      <w:r w:rsidR="00F97DF4">
        <w:rPr>
          <w:noProof/>
        </w:rPr>
        <w:fldChar w:fldCharType="end"/>
      </w:r>
      <w:r>
        <w:t xml:space="preserve">: </w:t>
      </w:r>
      <w:proofErr w:type="spellStart"/>
      <w:r>
        <w:t>Ikervis</w:t>
      </w:r>
      <w:proofErr w:type="spellEnd"/>
      <w:r>
        <w:t xml:space="preserve"> pivotal studies</w:t>
      </w:r>
    </w:p>
    <w:tbl>
      <w:tblPr>
        <w:tblStyle w:val="TableTGAblue"/>
        <w:tblW w:w="0" w:type="auto"/>
        <w:tblLook w:val="04A0" w:firstRow="1" w:lastRow="0" w:firstColumn="1" w:lastColumn="0" w:noHBand="0" w:noVBand="1"/>
      </w:tblPr>
      <w:tblGrid>
        <w:gridCol w:w="1532"/>
        <w:gridCol w:w="3542"/>
        <w:gridCol w:w="3410"/>
      </w:tblGrid>
      <w:tr w:rsidR="005D6095" w:rsidRPr="00A0118E" w14:paraId="69ABB068" w14:textId="77777777" w:rsidTr="00114459">
        <w:trPr>
          <w:cnfStyle w:val="100000000000" w:firstRow="1" w:lastRow="0" w:firstColumn="0" w:lastColumn="0" w:oddVBand="0" w:evenVBand="0" w:oddHBand="0" w:evenHBand="0" w:firstRowFirstColumn="0" w:firstRowLastColumn="0" w:lastRowFirstColumn="0" w:lastRowLastColumn="0"/>
          <w:trHeight w:val="471"/>
        </w:trPr>
        <w:tc>
          <w:tcPr>
            <w:tcW w:w="1532" w:type="dxa"/>
          </w:tcPr>
          <w:p w14:paraId="616A905F" w14:textId="77777777" w:rsidR="005D6095" w:rsidRPr="00D54A34" w:rsidRDefault="005D6095" w:rsidP="002575F0"/>
        </w:tc>
        <w:tc>
          <w:tcPr>
            <w:tcW w:w="3542" w:type="dxa"/>
          </w:tcPr>
          <w:p w14:paraId="50317D0E" w14:textId="77777777" w:rsidR="005D6095" w:rsidRPr="00D54A34" w:rsidRDefault="005D6095" w:rsidP="002575F0">
            <w:r>
              <w:t xml:space="preserve">Study NVG06C103, </w:t>
            </w:r>
            <w:r w:rsidRPr="00D54A34">
              <w:t>SICCANOVE trial</w:t>
            </w:r>
          </w:p>
        </w:tc>
        <w:tc>
          <w:tcPr>
            <w:tcW w:w="3410" w:type="dxa"/>
          </w:tcPr>
          <w:p w14:paraId="1597552F" w14:textId="77777777" w:rsidR="005D6095" w:rsidRPr="00D54A34" w:rsidRDefault="005D6095" w:rsidP="002575F0">
            <w:r>
              <w:t xml:space="preserve">Study SVG10E117, </w:t>
            </w:r>
            <w:r w:rsidRPr="00D54A34">
              <w:t>SANSIKA</w:t>
            </w:r>
            <w:r>
              <w:t> </w:t>
            </w:r>
            <w:r w:rsidRPr="00D54A34">
              <w:t xml:space="preserve">trial </w:t>
            </w:r>
          </w:p>
        </w:tc>
      </w:tr>
      <w:tr w:rsidR="005D6095" w:rsidRPr="00A0118E" w14:paraId="63546FEA" w14:textId="77777777" w:rsidTr="005D6095">
        <w:tc>
          <w:tcPr>
            <w:tcW w:w="1532" w:type="dxa"/>
          </w:tcPr>
          <w:p w14:paraId="7A9B78CB" w14:textId="77777777" w:rsidR="005D6095" w:rsidRPr="00A0118E" w:rsidRDefault="005D6095" w:rsidP="002575F0">
            <w:r w:rsidRPr="00A0118E">
              <w:t>Objectives</w:t>
            </w:r>
          </w:p>
        </w:tc>
        <w:tc>
          <w:tcPr>
            <w:tcW w:w="3542" w:type="dxa"/>
          </w:tcPr>
          <w:p w14:paraId="3975FCFB" w14:textId="77777777" w:rsidR="005D6095" w:rsidRPr="00A0118E" w:rsidRDefault="005D6095" w:rsidP="002575F0">
            <w:r w:rsidRPr="00A0118E">
              <w:t>The co-primary endpoints of this study were:</w:t>
            </w:r>
          </w:p>
          <w:p w14:paraId="7E76FF1F" w14:textId="77777777" w:rsidR="005D6095" w:rsidRPr="00D54A34" w:rsidRDefault="005D6095" w:rsidP="002575F0">
            <w:r w:rsidRPr="00A0118E">
              <w:t>Change in corneal fluorescein staining (modified Oxford scale) from Baseline to Day</w:t>
            </w:r>
            <w:r>
              <w:t> </w:t>
            </w:r>
            <w:r w:rsidRPr="00D54A34">
              <w:t>168</w:t>
            </w:r>
            <w:r>
              <w:t>; and</w:t>
            </w:r>
          </w:p>
          <w:p w14:paraId="36265594" w14:textId="77777777" w:rsidR="005D6095" w:rsidRPr="00D54A34" w:rsidRDefault="005D6095" w:rsidP="002575F0">
            <w:r w:rsidRPr="00D54A34">
              <w:t>Change in global score of ocular discomfort unrelated to study medication instillation (VAS), from Baseline to Day 168</w:t>
            </w:r>
          </w:p>
        </w:tc>
        <w:tc>
          <w:tcPr>
            <w:tcW w:w="3410" w:type="dxa"/>
          </w:tcPr>
          <w:p w14:paraId="77ADD86B" w14:textId="77777777" w:rsidR="005D6095" w:rsidRPr="00D54A34" w:rsidRDefault="005D6095" w:rsidP="002575F0">
            <w:r w:rsidRPr="00050253">
              <w:t>The primary endpoint was the CFS-OSDI composite responder rate at Mont</w:t>
            </w:r>
            <w:r w:rsidRPr="00A0118E">
              <w:t>h 6 (that is</w:t>
            </w:r>
            <w:r>
              <w:t xml:space="preserve">, the </w:t>
            </w:r>
            <w:r w:rsidRPr="00D54A34">
              <w:t xml:space="preserve"> end of Part 1).</w:t>
            </w:r>
          </w:p>
        </w:tc>
      </w:tr>
      <w:tr w:rsidR="005D6095" w:rsidRPr="00A0118E" w14:paraId="39133CC2" w14:textId="77777777" w:rsidTr="005D6095">
        <w:tc>
          <w:tcPr>
            <w:tcW w:w="1532" w:type="dxa"/>
          </w:tcPr>
          <w:p w14:paraId="39564557" w14:textId="77777777" w:rsidR="005D6095" w:rsidRPr="00A0118E" w:rsidRDefault="005D6095" w:rsidP="002575F0">
            <w:r w:rsidRPr="00A0118E">
              <w:t>Results</w:t>
            </w:r>
          </w:p>
        </w:tc>
        <w:tc>
          <w:tcPr>
            <w:tcW w:w="3542" w:type="dxa"/>
          </w:tcPr>
          <w:p w14:paraId="3DAEF292" w14:textId="77777777" w:rsidR="005D6095" w:rsidRPr="00D54A34" w:rsidRDefault="005D6095" w:rsidP="002575F0">
            <w:r w:rsidRPr="00A0118E">
              <w:t>Corneal fluorescein staining: In the FAS with LOCF, the mean change from Baseline to Day</w:t>
            </w:r>
            <w:r>
              <w:t> </w:t>
            </w:r>
            <w:r w:rsidRPr="00D54A34">
              <w:t xml:space="preserve">168 was -1.05 and -0.82 in the respectively groups with a difference of -0.22 (95% CI: </w:t>
            </w:r>
            <w:r>
              <w:noBreakHyphen/>
            </w:r>
            <w:r w:rsidRPr="00D54A34">
              <w:t>0.39, -0.06 p</w:t>
            </w:r>
            <w:r>
              <w:t> </w:t>
            </w:r>
            <w:r w:rsidRPr="00D54A34">
              <w:t>=</w:t>
            </w:r>
            <w:r>
              <w:t> </w:t>
            </w:r>
            <w:r w:rsidRPr="00D54A34">
              <w:t>0.009).</w:t>
            </w:r>
          </w:p>
          <w:p w14:paraId="7B9CAE51" w14:textId="77777777" w:rsidR="005D6095" w:rsidRPr="00D54A34" w:rsidRDefault="005D6095" w:rsidP="002575F0">
            <w:r w:rsidRPr="00D54A34">
              <w:t xml:space="preserve">The mean change in global ocular discomfort VAS score from Baseline to Day 168 was </w:t>
            </w:r>
            <w:r>
              <w:noBreakHyphen/>
            </w:r>
            <w:r w:rsidRPr="00D54A34">
              <w:t>12.82 (NOVA22007) and -11.21 (Vehicle) with no statistically significant difference (p</w:t>
            </w:r>
            <w:r>
              <w:t> </w:t>
            </w:r>
            <w:r w:rsidRPr="00D54A34">
              <w:t>=</w:t>
            </w:r>
            <w:r>
              <w:t> </w:t>
            </w:r>
            <w:r w:rsidRPr="00D54A34">
              <w:t xml:space="preserve"> 0.808)</w:t>
            </w:r>
          </w:p>
        </w:tc>
        <w:tc>
          <w:tcPr>
            <w:tcW w:w="3410" w:type="dxa"/>
          </w:tcPr>
          <w:p w14:paraId="44D84D1D" w14:textId="77777777" w:rsidR="005D6095" w:rsidRPr="00050253" w:rsidRDefault="005D6095" w:rsidP="002575F0">
            <w:pPr>
              <w:ind w:left="0"/>
            </w:pPr>
            <w:r w:rsidRPr="00D54A34">
              <w:t>In the FAS at Month 6, based on imputed data (according to randomised treatment group), the C</w:t>
            </w:r>
            <w:r w:rsidRPr="00050253">
              <w:t>FS-OSDI responder rate was 28.6% and 23.1% in the NOVA22007 and vehicle groups, respectively. This difference was not statistically significant.</w:t>
            </w:r>
          </w:p>
        </w:tc>
      </w:tr>
    </w:tbl>
    <w:p w14:paraId="539C52B9" w14:textId="3C346511" w:rsidR="007E55CB" w:rsidRDefault="007E55CB" w:rsidP="007E55CB">
      <w:r w:rsidRPr="00264173">
        <w:t xml:space="preserve">The </w:t>
      </w:r>
      <w:r>
        <w:t>applicant</w:t>
      </w:r>
      <w:r w:rsidRPr="00264173">
        <w:t xml:space="preserve"> has revised the indication for </w:t>
      </w:r>
      <w:proofErr w:type="spellStart"/>
      <w:r w:rsidR="00694C14">
        <w:t>Ikervis</w:t>
      </w:r>
      <w:proofErr w:type="spellEnd"/>
      <w:r w:rsidRPr="00264173">
        <w:t xml:space="preserve"> to treatment of severe keratitis which is reflected in the</w:t>
      </w:r>
      <w:r>
        <w:t xml:space="preserve"> </w:t>
      </w:r>
      <w:r w:rsidRPr="00264173">
        <w:t xml:space="preserve">positive results demonstrated in the sign component of DED, as measured by the CFS (a co-primary endpoint in </w:t>
      </w:r>
      <w:r w:rsidR="005D6095">
        <w:t xml:space="preserve">the </w:t>
      </w:r>
      <w:r w:rsidR="001A402F">
        <w:t>SICCANOVE</w:t>
      </w:r>
      <w:r w:rsidRPr="00264173">
        <w:t xml:space="preserve"> </w:t>
      </w:r>
      <w:r w:rsidR="00F24B6A">
        <w:t xml:space="preserve">trial </w:t>
      </w:r>
      <w:r w:rsidRPr="00264173">
        <w:t xml:space="preserve">and part of the composite endpoint in </w:t>
      </w:r>
      <w:r w:rsidR="005D6095">
        <w:t xml:space="preserve">the </w:t>
      </w:r>
      <w:r w:rsidR="001A402F">
        <w:t>SANSIKA</w:t>
      </w:r>
      <w:r w:rsidR="00F24B6A">
        <w:t xml:space="preserve"> trial</w:t>
      </w:r>
      <w:r w:rsidRPr="00264173">
        <w:t xml:space="preserve">). </w:t>
      </w:r>
      <w:r>
        <w:t xml:space="preserve">Severe keratitis </w:t>
      </w:r>
      <w:r w:rsidRPr="00B97322">
        <w:t xml:space="preserve">is demonstrated by the </w:t>
      </w:r>
      <w:r w:rsidR="00F24B6A">
        <w:t>CFS</w:t>
      </w:r>
      <w:r w:rsidRPr="00B97322">
        <w:t xml:space="preserve"> and is</w:t>
      </w:r>
      <w:r w:rsidRPr="00264173">
        <w:t xml:space="preserve"> reflective of severe ocular surface damage observe</w:t>
      </w:r>
      <w:r>
        <w:t>d in some patients with DED. It</w:t>
      </w:r>
      <w:r w:rsidRPr="00264173">
        <w:t xml:space="preserve"> does not encompass the treatment of symptoms of the disease. As keratitis is a general term for inflammation of the cornea, reference to DED is necessary to clarify that the indication is for keratitis associated with DED and not due to other causes.</w:t>
      </w:r>
    </w:p>
    <w:p w14:paraId="3E0942D2" w14:textId="64322F4E" w:rsidR="007E55CB" w:rsidRDefault="007E55CB" w:rsidP="007E55CB">
      <w:r w:rsidRPr="004B33EA">
        <w:t xml:space="preserve">The initial clinical evaluation and assessment had acknowledged the benefit of </w:t>
      </w:r>
      <w:proofErr w:type="spellStart"/>
      <w:r w:rsidR="00694C14">
        <w:t>Ikervis</w:t>
      </w:r>
      <w:proofErr w:type="spellEnd"/>
      <w:r w:rsidRPr="004B33EA">
        <w:t xml:space="preserve"> over vehicle on the CFS score and this the positive effect on CFS score was derived from an adult pop</w:t>
      </w:r>
      <w:r w:rsidR="00F24B6A">
        <w:t>ulation with G</w:t>
      </w:r>
      <w:r>
        <w:t>rade 4 keratitis.</w:t>
      </w:r>
    </w:p>
    <w:p w14:paraId="045548AF" w14:textId="1CE88EE6" w:rsidR="007E55CB" w:rsidRPr="000B7925" w:rsidRDefault="007E55CB" w:rsidP="00F24B6A">
      <w:r w:rsidRPr="00F94DB2">
        <w:t xml:space="preserve">In the </w:t>
      </w:r>
      <w:r w:rsidR="001A402F">
        <w:t>SICCANOVE</w:t>
      </w:r>
      <w:r w:rsidR="00F24B6A">
        <w:t xml:space="preserve"> trial</w:t>
      </w:r>
      <w:r w:rsidRPr="00F94DB2">
        <w:t xml:space="preserve"> a</w:t>
      </w:r>
      <w:r w:rsidRPr="000B7925">
        <w:t>lthough the combined primary efficacy endpoint (improvement in CFS score and improvement in symptoms) was not met, the two variables were assessed separately without any composite analysis, allowing the CFS results to stand independently. The improvement in CFS in this study was statistically significant (p</w:t>
      </w:r>
      <w:r w:rsidR="00F24B6A">
        <w:t> </w:t>
      </w:r>
      <w:r w:rsidRPr="000B7925">
        <w:t>=</w:t>
      </w:r>
      <w:r w:rsidR="00F24B6A">
        <w:t> </w:t>
      </w:r>
      <w:r w:rsidRPr="000B7925">
        <w:t>0.009) and met the pre-specified criteria for a c</w:t>
      </w:r>
      <w:r w:rsidR="00F24B6A">
        <w:t>linically relevant improvement.</w:t>
      </w:r>
    </w:p>
    <w:p w14:paraId="56F9A8D0" w14:textId="640CD9B3" w:rsidR="007E55CB" w:rsidRDefault="007E55CB" w:rsidP="007E55CB">
      <w:r w:rsidRPr="000B7925">
        <w:t xml:space="preserve">Over the 6-month treatment period in </w:t>
      </w:r>
      <w:r w:rsidR="005D6095" w:rsidRPr="00F94DB2">
        <w:t>the</w:t>
      </w:r>
      <w:r w:rsidR="005D6095" w:rsidRPr="000B7925">
        <w:t xml:space="preserve"> </w:t>
      </w:r>
      <w:r w:rsidRPr="000B7925">
        <w:t>SANSIKA</w:t>
      </w:r>
      <w:r w:rsidR="00F24B6A">
        <w:t xml:space="preserve"> trial</w:t>
      </w:r>
      <w:r w:rsidRPr="000B7925">
        <w:t xml:space="preserve">, a global treatment effect in favour of </w:t>
      </w:r>
      <w:proofErr w:type="spellStart"/>
      <w:r w:rsidR="00694C14">
        <w:t>Ikervis</w:t>
      </w:r>
      <w:proofErr w:type="spellEnd"/>
      <w:r w:rsidRPr="000B7925">
        <w:t xml:space="preserve"> over vehicle was observed regarding the change in the </w:t>
      </w:r>
      <w:r w:rsidR="00F24B6A">
        <w:t>CFS</w:t>
      </w:r>
      <w:r w:rsidRPr="000B7925">
        <w:t xml:space="preserve"> score (0.35</w:t>
      </w:r>
      <w:r w:rsidR="005D6095">
        <w:t> </w:t>
      </w:r>
      <w:r w:rsidRPr="000B7925">
        <w:t>units, p</w:t>
      </w:r>
      <w:r w:rsidR="00F24B6A">
        <w:t> </w:t>
      </w:r>
      <w:r w:rsidRPr="000B7925">
        <w:t>=</w:t>
      </w:r>
      <w:r w:rsidR="00F24B6A">
        <w:t> </w:t>
      </w:r>
      <w:r w:rsidRPr="000B7925">
        <w:t>0.017), which was considered to be an important secondary endpoint. Statistical significance was reached by Month 3 (p</w:t>
      </w:r>
      <w:r w:rsidR="00F24B6A">
        <w:t xml:space="preserve"> </w:t>
      </w:r>
      <w:r w:rsidRPr="000B7925">
        <w:t>=</w:t>
      </w:r>
      <w:r w:rsidR="00F24B6A">
        <w:t xml:space="preserve"> </w:t>
      </w:r>
      <w:r w:rsidRPr="000B7925">
        <w:t xml:space="preserve">0.024) and at the end of </w:t>
      </w:r>
      <w:r w:rsidR="005D6095">
        <w:t>P</w:t>
      </w:r>
      <w:r w:rsidRPr="000B7925">
        <w:t xml:space="preserve">art 1 of the </w:t>
      </w:r>
      <w:r w:rsidR="00F24B6A">
        <w:t>trial</w:t>
      </w:r>
      <w:r w:rsidRPr="000B7925">
        <w:t xml:space="preserve"> (Month 6), the adjusted mean change in CFS score from Baseline was -1.76 with </w:t>
      </w:r>
      <w:proofErr w:type="spellStart"/>
      <w:r w:rsidR="00694C14">
        <w:t>Ikervis</w:t>
      </w:r>
      <w:proofErr w:type="spellEnd"/>
      <w:r w:rsidRPr="000B7925">
        <w:t xml:space="preserve"> and -1.42 with vehicle (p</w:t>
      </w:r>
      <w:r w:rsidR="005D6095">
        <w:t> </w:t>
      </w:r>
      <w:r w:rsidRPr="000B7925">
        <w:t>=</w:t>
      </w:r>
      <w:r w:rsidR="005D6095">
        <w:t> </w:t>
      </w:r>
      <w:r w:rsidRPr="000B7925">
        <w:t xml:space="preserve">0.037). A beneficial effect of </w:t>
      </w:r>
      <w:proofErr w:type="spellStart"/>
      <w:r w:rsidR="00694C14">
        <w:t>Ikervis</w:t>
      </w:r>
      <w:proofErr w:type="spellEnd"/>
      <w:r w:rsidRPr="000B7925">
        <w:t xml:space="preserve"> on keratitis was further supported by a non-significant trend in the pre-defined CFS responder analyses (improvement of at least 2 grades and complete corneal clearing by Month 6) in favour of </w:t>
      </w:r>
      <w:proofErr w:type="spellStart"/>
      <w:r w:rsidR="00694C14">
        <w:t>Ikervis</w:t>
      </w:r>
      <w:proofErr w:type="spellEnd"/>
      <w:r w:rsidRPr="000B7925">
        <w:t xml:space="preserve">. Post-hoc analysis showed superiority of </w:t>
      </w:r>
      <w:proofErr w:type="spellStart"/>
      <w:r w:rsidR="00694C14">
        <w:t>Ikervis</w:t>
      </w:r>
      <w:proofErr w:type="spellEnd"/>
      <w:r w:rsidRPr="000B7925">
        <w:t xml:space="preserve"> compared to vehicle when using a more stringent criterion for the CFS responder rate of ≥</w:t>
      </w:r>
      <w:r w:rsidR="00F24B6A">
        <w:t xml:space="preserve"> </w:t>
      </w:r>
      <w:r w:rsidRPr="000B7925">
        <w:t xml:space="preserve">3 </w:t>
      </w:r>
      <w:r w:rsidR="00F24B6A">
        <w:t>grades (35.6% versus 14.5%, p = </w:t>
      </w:r>
      <w:r w:rsidRPr="000B7925">
        <w:t>0.001).</w:t>
      </w:r>
    </w:p>
    <w:p w14:paraId="775209AA" w14:textId="1F082D95" w:rsidR="007E55CB" w:rsidRPr="00EC1109" w:rsidRDefault="007E55CB" w:rsidP="00676965">
      <w:pPr>
        <w:pageBreakBefore/>
      </w:pPr>
      <w:r w:rsidRPr="00EC1109">
        <w:t xml:space="preserve">A beneficial effect on inflammation was shown for </w:t>
      </w:r>
      <w:proofErr w:type="spellStart"/>
      <w:r w:rsidR="00694C14">
        <w:t>Ikervis</w:t>
      </w:r>
      <w:proofErr w:type="spellEnd"/>
      <w:r w:rsidRPr="00EC1109">
        <w:t xml:space="preserve"> as indicated by the level of expression of HLA-DR, an immune-related marker elevated in conjunctival cells of DED patients. While HLA-DR expression remained elevated under vehicle, it dropped substantially with </w:t>
      </w:r>
      <w:proofErr w:type="spellStart"/>
      <w:r w:rsidR="00694C14">
        <w:t>Ikervis</w:t>
      </w:r>
      <w:proofErr w:type="spellEnd"/>
      <w:r w:rsidRPr="00EC1109">
        <w:t xml:space="preserve"> treatment over the course of the study. The difference between </w:t>
      </w:r>
      <w:proofErr w:type="spellStart"/>
      <w:r w:rsidR="00694C14">
        <w:t>Ikervis</w:t>
      </w:r>
      <w:proofErr w:type="spellEnd"/>
      <w:r w:rsidRPr="00EC1109">
        <w:t xml:space="preserve"> and vehicle was statistically significant at Month 1 (p</w:t>
      </w:r>
      <w:r w:rsidR="00F24B6A">
        <w:t xml:space="preserve"> </w:t>
      </w:r>
      <w:r w:rsidRPr="00EC1109">
        <w:t>=</w:t>
      </w:r>
      <w:r w:rsidR="00F24B6A">
        <w:t xml:space="preserve"> </w:t>
      </w:r>
      <w:r w:rsidRPr="00EC1109">
        <w:t>0.019) and Month 6 (p</w:t>
      </w:r>
      <w:r w:rsidR="00F24B6A">
        <w:t> </w:t>
      </w:r>
      <w:r w:rsidRPr="00EC1109">
        <w:t>=</w:t>
      </w:r>
      <w:r w:rsidR="00F24B6A">
        <w:t> </w:t>
      </w:r>
      <w:r w:rsidRPr="00EC1109">
        <w:t>0.021).</w:t>
      </w:r>
      <w:r w:rsidRPr="00921C6D">
        <w:t xml:space="preserve"> </w:t>
      </w:r>
      <w:r w:rsidRPr="00EC1109">
        <w:t>Considering that inflammation has a key role in sustaining and worsening of DED, this finding was considered of relevance, although it was an exploratory endpoint, which limits the interpretability of the finding.</w:t>
      </w:r>
    </w:p>
    <w:p w14:paraId="216CC05E" w14:textId="72334DA0" w:rsidR="007E55CB" w:rsidRPr="001F2C4A" w:rsidRDefault="007E55CB" w:rsidP="007E55CB">
      <w:r w:rsidRPr="001F2C4A">
        <w:t xml:space="preserve">DED is a multifactorial disease that, despite different possible triggers and aetiologies, is based on a common underlying vicious circle of factors, including inflammation, which are inter-dependent and contribute to disease maintenance and progression. DED patients with severe keratitis are at risk of further complications. The available clinical data demonstrated an effect of </w:t>
      </w:r>
      <w:proofErr w:type="spellStart"/>
      <w:r w:rsidR="00694C14">
        <w:t>Ikervis</w:t>
      </w:r>
      <w:proofErr w:type="spellEnd"/>
      <w:r w:rsidRPr="001F2C4A">
        <w:t xml:space="preserve"> on the signs of DED which could help control the inflammatory process and prevents disease progression. </w:t>
      </w:r>
    </w:p>
    <w:p w14:paraId="35B3327B" w14:textId="6AA2CAEA" w:rsidR="007E55CB" w:rsidRDefault="007E55CB" w:rsidP="007E55CB">
      <w:r w:rsidRPr="007F3D0E">
        <w:t>A meta-analysis of</w:t>
      </w:r>
      <w:r w:rsidR="00F24B6A">
        <w:t xml:space="preserve"> patients with severe DED (CFS G</w:t>
      </w:r>
      <w:r w:rsidRPr="007F3D0E">
        <w:t>rade 4 and OSDI ≥</w:t>
      </w:r>
      <w:r w:rsidR="00F24B6A">
        <w:t xml:space="preserve"> 23) from the two P</w:t>
      </w:r>
      <w:r w:rsidRPr="007F3D0E">
        <w:t xml:space="preserve">hase III studies included 319 patients (74 patients added from </w:t>
      </w:r>
      <w:r w:rsidR="005D6095">
        <w:t xml:space="preserve">the </w:t>
      </w:r>
      <w:r w:rsidR="001A402F">
        <w:t>SICCANOVE</w:t>
      </w:r>
      <w:r w:rsidR="00F24B6A">
        <w:t xml:space="preserve"> trial</w:t>
      </w:r>
      <w:r w:rsidRPr="007F3D0E">
        <w:t xml:space="preserve">). The composite responder rate was in favour of </w:t>
      </w:r>
      <w:proofErr w:type="spellStart"/>
      <w:r w:rsidR="00694C14">
        <w:t>Ikervis</w:t>
      </w:r>
      <w:proofErr w:type="spellEnd"/>
      <w:r w:rsidRPr="007F3D0E">
        <w:t xml:space="preserve"> (29.5% </w:t>
      </w:r>
      <w:r w:rsidR="00DE23C1">
        <w:t>versus</w:t>
      </w:r>
      <w:r w:rsidRPr="007F3D0E">
        <w:t xml:space="preserve"> 18.3%) with a statistically significant OR of 1.80, although the lower limit of the 95</w:t>
      </w:r>
      <w:r w:rsidR="00F24B6A">
        <w:t>% CI was close to unity (1.04).</w:t>
      </w:r>
    </w:p>
    <w:p w14:paraId="678BDFC2" w14:textId="77777777" w:rsidR="005D6095" w:rsidRDefault="007E55CB" w:rsidP="007E55CB">
      <w:r>
        <w:t xml:space="preserve">In summary, </w:t>
      </w:r>
      <w:proofErr w:type="spellStart"/>
      <w:r w:rsidR="00694C14">
        <w:t>Ikervis</w:t>
      </w:r>
      <w:proofErr w:type="spellEnd"/>
      <w:r>
        <w:t xml:space="preserve"> has satisfactorily established efficacy for the revised indication</w:t>
      </w:r>
      <w:r w:rsidR="005D6095">
        <w:t>:</w:t>
      </w:r>
    </w:p>
    <w:p w14:paraId="41D90816" w14:textId="6B7C2182" w:rsidR="005D6095" w:rsidRDefault="007E55CB" w:rsidP="00114459">
      <w:pPr>
        <w:ind w:left="720"/>
        <w:rPr>
          <w:i/>
          <w:iCs/>
        </w:rPr>
      </w:pPr>
      <w:r w:rsidRPr="00A75303">
        <w:rPr>
          <w:i/>
          <w:iCs/>
        </w:rPr>
        <w:t>Treatment of severe keratitis in adult patients with dry eye disease which has not improved despite treatment with tear substitutes</w:t>
      </w:r>
      <w:r w:rsidR="005D6095">
        <w:rPr>
          <w:i/>
          <w:iCs/>
        </w:rPr>
        <w:t>.</w:t>
      </w:r>
    </w:p>
    <w:p w14:paraId="7E677858" w14:textId="420E6B7F" w:rsidR="007E55CB" w:rsidRDefault="007E55CB" w:rsidP="007E55CB">
      <w:r w:rsidRPr="006C6D02">
        <w:rPr>
          <w:iCs/>
        </w:rPr>
        <w:t>which is based on the sign component of DED</w:t>
      </w:r>
      <w:r>
        <w:rPr>
          <w:i/>
          <w:iCs/>
        </w:rPr>
        <w:t>.</w:t>
      </w:r>
    </w:p>
    <w:p w14:paraId="6280B6DC" w14:textId="77777777" w:rsidR="007E55CB" w:rsidRPr="00F24B6A" w:rsidRDefault="007E55CB" w:rsidP="007E55CB">
      <w:pPr>
        <w:rPr>
          <w:i/>
        </w:rPr>
      </w:pPr>
      <w:r w:rsidRPr="00F24B6A">
        <w:rPr>
          <w:i/>
        </w:rPr>
        <w:t>In relation to safety:</w:t>
      </w:r>
    </w:p>
    <w:p w14:paraId="7EF40F87" w14:textId="77777777" w:rsidR="007E55CB" w:rsidRPr="00EB5EBD" w:rsidRDefault="007E55CB" w:rsidP="007E55CB">
      <w:r w:rsidRPr="00EB5EBD">
        <w:t>Dry eye can cause damage to the ocular surface and is itself associated with symptoms of ocular discomfort</w:t>
      </w:r>
      <w:r>
        <w:t>.</w:t>
      </w:r>
      <w:r>
        <w:rPr>
          <w:rStyle w:val="FootnoteReference"/>
          <w:rFonts w:asciiTheme="minorHAnsi" w:hAnsiTheme="minorHAnsi"/>
        </w:rPr>
        <w:footnoteReference w:id="19"/>
      </w:r>
    </w:p>
    <w:p w14:paraId="717B25C5" w14:textId="7F8F1846" w:rsidR="007E55CB" w:rsidRDefault="00694C14" w:rsidP="00F24B6A">
      <w:proofErr w:type="spellStart"/>
      <w:r>
        <w:t>Ikervis</w:t>
      </w:r>
      <w:proofErr w:type="spellEnd"/>
      <w:r w:rsidR="007E55CB">
        <w:t xml:space="preserve"> is once per day dosing</w:t>
      </w:r>
      <w:r w:rsidR="007E55CB" w:rsidRPr="00EB5EBD">
        <w:t xml:space="preserve">. The ocular AEs such as eye irritation or pain, or instillation site pain or irritation were mostly mild to moderate and always transient. These adverse events are mentioned in the PI and </w:t>
      </w:r>
      <w:r w:rsidR="005D6095">
        <w:t>C</w:t>
      </w:r>
      <w:r w:rsidR="00F24B6A">
        <w:t xml:space="preserve">onsumer </w:t>
      </w:r>
      <w:r w:rsidR="005D6095">
        <w:t>M</w:t>
      </w:r>
      <w:r w:rsidR="00F24B6A">
        <w:t xml:space="preserve">edicines </w:t>
      </w:r>
      <w:r w:rsidR="005D6095">
        <w:t>I</w:t>
      </w:r>
      <w:r w:rsidR="00F24B6A">
        <w:t>nformation</w:t>
      </w:r>
      <w:r w:rsidR="00F24B6A" w:rsidRPr="00EB5EBD">
        <w:t xml:space="preserve"> </w:t>
      </w:r>
      <w:r w:rsidR="00F24B6A">
        <w:t>(</w:t>
      </w:r>
      <w:r w:rsidR="007E55CB" w:rsidRPr="00EB5EBD">
        <w:t>CMI</w:t>
      </w:r>
      <w:r w:rsidR="00F24B6A">
        <w:t>)</w:t>
      </w:r>
      <w:r w:rsidR="007E55CB" w:rsidRPr="00EB5EBD">
        <w:t xml:space="preserve"> to inform prescribers and patients.</w:t>
      </w:r>
    </w:p>
    <w:p w14:paraId="6774A7E9" w14:textId="77777777" w:rsidR="007918B7" w:rsidRDefault="007918B7" w:rsidP="007918B7">
      <w:pPr>
        <w:pStyle w:val="Heading4"/>
      </w:pPr>
      <w:r w:rsidRPr="00D23139">
        <w:t>Proposed action</w:t>
      </w:r>
    </w:p>
    <w:p w14:paraId="63C6EA14" w14:textId="6513E0FA" w:rsidR="007E55CB" w:rsidRPr="00C64054" w:rsidRDefault="007E55CB" w:rsidP="007E55CB">
      <w:r w:rsidRPr="00C64054">
        <w:t>Corneal damage in patients whose keratitis has become severe, can, if left untreated, lead to potential loss of visual acuity and blindness. In the most severe forms of keratitis, there is a risk of complications such as keratinisation of the ocular surface, the occurrence of corneal scarring, a thinning or corneal neovascularisation, sterile or microbial corneal ulcerations with a risk of perforation of the cornea and vision loss</w:t>
      </w:r>
      <w:r>
        <w:t>.</w:t>
      </w:r>
      <w:bookmarkStart w:id="56" w:name="_Ref64624371"/>
      <w:r>
        <w:rPr>
          <w:rStyle w:val="FootnoteReference"/>
          <w:rFonts w:asciiTheme="minorHAnsi" w:hAnsiTheme="minorHAnsi"/>
        </w:rPr>
        <w:footnoteReference w:id="20"/>
      </w:r>
      <w:bookmarkEnd w:id="56"/>
    </w:p>
    <w:p w14:paraId="610EDB07" w14:textId="29D58CC6" w:rsidR="007E55CB" w:rsidRPr="00C64054" w:rsidRDefault="007E55CB" w:rsidP="007E55CB">
      <w:r w:rsidRPr="00C64054">
        <w:t>Keratitis is a key factor assessed in the initial diagnosis of DED and is regularly monitored as part of the ongoing management of patients with DED. Keratitis represents damage or lesions on the corneal surface; it predisposes the cornea to secondary infections and can result in sight-threatening sequalae.</w:t>
      </w:r>
      <w:r w:rsidR="00E517EA">
        <w:rPr>
          <w:color w:val="2B579A"/>
          <w:shd w:val="clear" w:color="auto" w:fill="E6E6E6"/>
        </w:rPr>
        <w:fldChar w:fldCharType="begin"/>
      </w:r>
      <w:r w:rsidR="00E517EA">
        <w:instrText xml:space="preserve"> NOTEREF _Ref64624371 \f \h </w:instrText>
      </w:r>
      <w:r w:rsidR="00E517EA">
        <w:rPr>
          <w:color w:val="2B579A"/>
          <w:shd w:val="clear" w:color="auto" w:fill="E6E6E6"/>
        </w:rPr>
      </w:r>
      <w:r w:rsidR="00E517EA">
        <w:rPr>
          <w:color w:val="2B579A"/>
          <w:shd w:val="clear" w:color="auto" w:fill="E6E6E6"/>
        </w:rPr>
        <w:fldChar w:fldCharType="separate"/>
      </w:r>
      <w:r w:rsidR="00DB1D88" w:rsidRPr="00DB1D88">
        <w:rPr>
          <w:rStyle w:val="FootnoteReference"/>
        </w:rPr>
        <w:t>19</w:t>
      </w:r>
      <w:r w:rsidR="00E517EA">
        <w:rPr>
          <w:color w:val="2B579A"/>
          <w:shd w:val="clear" w:color="auto" w:fill="E6E6E6"/>
        </w:rPr>
        <w:fldChar w:fldCharType="end"/>
      </w:r>
      <w:r w:rsidRPr="00C64054">
        <w:t xml:space="preserve"> The data evaluated for </w:t>
      </w:r>
      <w:proofErr w:type="spellStart"/>
      <w:r w:rsidR="00694C14">
        <w:t>Ikervis</w:t>
      </w:r>
      <w:proofErr w:type="spellEnd"/>
      <w:r w:rsidRPr="00C64054">
        <w:t xml:space="preserve"> has demonstrated a statistically significant and clinically relevant improvement in keratitis</w:t>
      </w:r>
      <w:r>
        <w:t xml:space="preserve"> as measured by CFS.</w:t>
      </w:r>
    </w:p>
    <w:p w14:paraId="11F58C9D" w14:textId="58212ABD" w:rsidR="007E55CB" w:rsidRPr="00C64054" w:rsidRDefault="007E55CB" w:rsidP="00676965">
      <w:pPr>
        <w:pageBreakBefore/>
      </w:pPr>
      <w:r w:rsidRPr="00C64054">
        <w:t xml:space="preserve">The available clinical evidence supports a benefit of </w:t>
      </w:r>
      <w:proofErr w:type="spellStart"/>
      <w:r w:rsidR="00694C14">
        <w:t>Ikervis</w:t>
      </w:r>
      <w:proofErr w:type="spellEnd"/>
      <w:r w:rsidRPr="00C64054">
        <w:t xml:space="preserve"> on DED signs as shown by an improvement in ocular surface damage (reduced CFS). Furthermore, there was some evidence for a prolonged anti-inflammatory effect of </w:t>
      </w:r>
      <w:proofErr w:type="spellStart"/>
      <w:r w:rsidR="00694C14">
        <w:t>Ikervis</w:t>
      </w:r>
      <w:proofErr w:type="spellEnd"/>
      <w:r w:rsidRPr="00C64054">
        <w:t xml:space="preserve"> (reduced HLA-DR expression), which is of relevance as inflammation is known to be key in sustaining and worsening of DED. Together, the improvements in keratitis and inflammation by </w:t>
      </w:r>
      <w:proofErr w:type="spellStart"/>
      <w:r w:rsidR="00694C14">
        <w:t>Ikervis</w:t>
      </w:r>
      <w:proofErr w:type="spellEnd"/>
      <w:r w:rsidRPr="00C64054">
        <w:t xml:space="preserve"> appear clinically meaningful even in absence of an effect on symptoms, as they help prevent disease progression and worsening.</w:t>
      </w:r>
    </w:p>
    <w:p w14:paraId="14201A2F" w14:textId="45C794C2" w:rsidR="007E55CB" w:rsidRPr="00AF1C9F" w:rsidRDefault="007E55CB" w:rsidP="007E55CB">
      <w:r w:rsidRPr="00AF1C9F">
        <w:t xml:space="preserve">The extent of ocular surface damage is predictive of disease progression and thus by improving the severity of keratitis, </w:t>
      </w:r>
      <w:proofErr w:type="spellStart"/>
      <w:r w:rsidR="00694C14">
        <w:t>Ikervis</w:t>
      </w:r>
      <w:proofErr w:type="spellEnd"/>
      <w:r w:rsidRPr="00AF1C9F">
        <w:t xml:space="preserve"> may help to prevent serious complications. The effect on HLA-DR as an inflammation marker is of relevance and indicates an anti-inflammatory effect of </w:t>
      </w:r>
      <w:proofErr w:type="spellStart"/>
      <w:r w:rsidR="00694C14">
        <w:t>Ikervis</w:t>
      </w:r>
      <w:proofErr w:type="spellEnd"/>
      <w:r w:rsidRPr="00AF1C9F">
        <w:t xml:space="preserve"> at the ocular surface, which could help to disrupt the vicious disease cycle of DED.</w:t>
      </w:r>
    </w:p>
    <w:p w14:paraId="2E994AED" w14:textId="792EB8C4" w:rsidR="007E55CB" w:rsidRPr="00AF1C9F" w:rsidRDefault="007E55CB" w:rsidP="007E55CB">
      <w:r w:rsidRPr="00AF1C9F">
        <w:t xml:space="preserve">The revised indication (from treatment of DED in adult patients with severe keratitis) to treatment of severe keratitis in adult patients with dry eye disease is considered to be more in line with the demonstrated treatment effect on signs. In this population, </w:t>
      </w:r>
      <w:proofErr w:type="spellStart"/>
      <w:r w:rsidR="00694C14">
        <w:t>Ikervis</w:t>
      </w:r>
      <w:proofErr w:type="spellEnd"/>
      <w:r w:rsidRPr="00AF1C9F">
        <w:t xml:space="preserve"> would represent an effective treatment option.</w:t>
      </w:r>
    </w:p>
    <w:p w14:paraId="49DC355F" w14:textId="77777777" w:rsidR="007E55CB" w:rsidRPr="00AF1C9F" w:rsidRDefault="007E55CB" w:rsidP="007E55CB">
      <w:r w:rsidRPr="00AF1C9F">
        <w:t>Overall, the AEs observed were consistent with those expected in a DED patient population with associated co-morbidities and receiving a topical formulation of ciclosporin.</w:t>
      </w:r>
    </w:p>
    <w:p w14:paraId="766ECAF9" w14:textId="5B028E9C" w:rsidR="00837FF2" w:rsidRPr="007E55CB" w:rsidRDefault="007E55CB" w:rsidP="007E55CB">
      <w:r w:rsidRPr="00AF1C9F">
        <w:t>In light of t</w:t>
      </w:r>
      <w:r>
        <w:t xml:space="preserve">he totality of the evidence, with this revised indication, </w:t>
      </w:r>
      <w:r w:rsidR="005D6095">
        <w:t xml:space="preserve">the </w:t>
      </w:r>
      <w:proofErr w:type="spellStart"/>
      <w:r w:rsidR="005D6095">
        <w:t>Delegate</w:t>
      </w:r>
      <w:r w:rsidRPr="00AF1C9F">
        <w:t>think</w:t>
      </w:r>
      <w:r w:rsidR="005D6095">
        <w:t>s</w:t>
      </w:r>
      <w:proofErr w:type="spellEnd"/>
      <w:r w:rsidRPr="00AF1C9F">
        <w:t xml:space="preserve"> the benefits of </w:t>
      </w:r>
      <w:proofErr w:type="spellStart"/>
      <w:r w:rsidR="00694C14">
        <w:t>Ikervis</w:t>
      </w:r>
      <w:proofErr w:type="spellEnd"/>
      <w:r w:rsidRPr="00AF1C9F">
        <w:t xml:space="preserve"> outweigh its risks in the treatment of severe keratitis in adult patients with dry eye disease, which has not improved despite treatment with tear substitutes. Thus, the benefit-risk balance is considered favourable.</w:t>
      </w:r>
    </w:p>
    <w:p w14:paraId="509A4728" w14:textId="77777777" w:rsidR="00837FF2" w:rsidRDefault="00837FF2" w:rsidP="00837FF2">
      <w:pPr>
        <w:pStyle w:val="Heading4"/>
      </w:pPr>
      <w:r>
        <w:t>Advisory Committee considerations</w:t>
      </w:r>
      <w:r>
        <w:rPr>
          <w:rStyle w:val="FootnoteReference"/>
        </w:rPr>
        <w:footnoteReference w:id="21"/>
      </w:r>
    </w:p>
    <w:p w14:paraId="49A8B4C1" w14:textId="77777777" w:rsidR="00837FF2" w:rsidRDefault="00837FF2" w:rsidP="00837FF2">
      <w:pPr>
        <w:rPr>
          <w:bCs/>
        </w:rPr>
      </w:pPr>
      <w:r w:rsidRPr="00456765">
        <w:rPr>
          <w:bCs/>
        </w:rPr>
        <w:t>The Advisory Committee on Medicines (ACM), having considered the evaluations and the Delegate’s overview, as well as the sponsor’s response to these documents, advised the following</w:t>
      </w:r>
      <w:r>
        <w:rPr>
          <w:bCs/>
        </w:rPr>
        <w:t>.</w:t>
      </w:r>
    </w:p>
    <w:p w14:paraId="38016F0B" w14:textId="5D140646" w:rsidR="00335664" w:rsidRDefault="00837FF2" w:rsidP="00335664">
      <w:pPr>
        <w:pStyle w:val="Heading5"/>
      </w:pPr>
      <w:r>
        <w:t>Specific advice to the Delegate</w:t>
      </w:r>
    </w:p>
    <w:p w14:paraId="2A0DCABF" w14:textId="28DA8E06" w:rsidR="00335664" w:rsidRPr="00335664" w:rsidRDefault="00335664" w:rsidP="00335664">
      <w:pPr>
        <w:pStyle w:val="Numberbullet0"/>
        <w:numPr>
          <w:ilvl w:val="0"/>
          <w:numId w:val="36"/>
        </w:numPr>
        <w:rPr>
          <w:b/>
          <w:i/>
        </w:rPr>
      </w:pPr>
      <w:r w:rsidRPr="00335664">
        <w:rPr>
          <w:b/>
          <w:i/>
        </w:rPr>
        <w:t xml:space="preserve">Does the benefit risk profile of </w:t>
      </w:r>
      <w:proofErr w:type="spellStart"/>
      <w:r w:rsidRPr="00335664">
        <w:rPr>
          <w:b/>
          <w:i/>
        </w:rPr>
        <w:t>Ikervis</w:t>
      </w:r>
      <w:proofErr w:type="spellEnd"/>
      <w:r w:rsidRPr="00335664">
        <w:rPr>
          <w:b/>
          <w:i/>
        </w:rPr>
        <w:t xml:space="preserve"> appear favourable for the revised indication, ‘Treatment of severe keratitis in adult patients with dry eye disease which has not improved despite treatment with tear substitutes’?</w:t>
      </w:r>
    </w:p>
    <w:p w14:paraId="6E27BB61" w14:textId="3BAB5E0C" w:rsidR="00335664" w:rsidRDefault="00335664" w:rsidP="00335664">
      <w:r>
        <w:t xml:space="preserve">The ACM advised that the benefit-risk profile of </w:t>
      </w:r>
      <w:proofErr w:type="spellStart"/>
      <w:r>
        <w:t>Ikervis</w:t>
      </w:r>
      <w:proofErr w:type="spellEnd"/>
      <w:r>
        <w:t xml:space="preserve"> is favourable for the revised indication. The ACM was of the view that the product provides another treatment option for dry eye patients with severe corneal fluorescein staining, for whom there are currently few treatment options.</w:t>
      </w:r>
    </w:p>
    <w:p w14:paraId="5F59B3F4" w14:textId="49694431" w:rsidR="00335664" w:rsidRPr="00335664" w:rsidRDefault="00335664" w:rsidP="00676965">
      <w:pPr>
        <w:pStyle w:val="Numberbullet0"/>
        <w:pageBreakBefore/>
        <w:rPr>
          <w:b/>
          <w:i/>
        </w:rPr>
      </w:pPr>
      <w:r w:rsidRPr="00335664">
        <w:rPr>
          <w:b/>
          <w:i/>
        </w:rPr>
        <w:t>The committee is (also) requested to provide advice on any other issues that it thinks may be relevant to a decision on whether or not to approve this application.</w:t>
      </w:r>
    </w:p>
    <w:p w14:paraId="69B8DB2B" w14:textId="3C600012" w:rsidR="00335664" w:rsidRDefault="00335664" w:rsidP="00335664">
      <w:r>
        <w:t xml:space="preserve">The ACM agreed that prescribing of </w:t>
      </w:r>
      <w:proofErr w:type="spellStart"/>
      <w:r>
        <w:t>Ikervis</w:t>
      </w:r>
      <w:proofErr w:type="spellEnd"/>
      <w:r>
        <w:t xml:space="preserve"> should be restricted to ophthalmologists. Ophthalmologists are experienced in differentiating patients with severe disease from those with milder disease (for whom lubricants would be more appropriate).</w:t>
      </w:r>
    </w:p>
    <w:p w14:paraId="7FAD9A8E" w14:textId="0ADF7DA4" w:rsidR="00335664" w:rsidRDefault="00335664" w:rsidP="00335664">
      <w:r>
        <w:t>The ACM discussed that in real-world clinical practice, the definition of ‘severe keratitis’ is mainly centred around ‘clinically significant corneal staining’, rather than a particular scoring system.</w:t>
      </w:r>
    </w:p>
    <w:p w14:paraId="1A0738C4" w14:textId="77777777" w:rsidR="00837FF2" w:rsidRDefault="00837FF2" w:rsidP="00837FF2">
      <w:pPr>
        <w:pStyle w:val="Heading5"/>
      </w:pPr>
      <w:r>
        <w:t>Conclusion</w:t>
      </w:r>
    </w:p>
    <w:p w14:paraId="1B42C0A2" w14:textId="2D6D053C" w:rsidR="00335664" w:rsidRDefault="00335664" w:rsidP="00335664">
      <w:r>
        <w:t>The ACM considered this product to have an overall positive benefit-risk profile for the indication:</w:t>
      </w:r>
    </w:p>
    <w:p w14:paraId="197B0F7C" w14:textId="49ECA944" w:rsidR="00837FF2" w:rsidRPr="00994DAB" w:rsidRDefault="00335664" w:rsidP="00335664">
      <w:pPr>
        <w:ind w:left="720"/>
      </w:pPr>
      <w:r>
        <w:rPr>
          <w:i/>
          <w:iCs/>
        </w:rPr>
        <w:t>Treatment of severe keratitis in adult patients with dry eye disease which has not improved despite treatment with tear substitutes.</w:t>
      </w:r>
    </w:p>
    <w:p w14:paraId="4D26472C" w14:textId="77777777" w:rsidR="008E7846" w:rsidRPr="002E238E" w:rsidRDefault="008E7846" w:rsidP="008E7846">
      <w:pPr>
        <w:pStyle w:val="Heading3"/>
      </w:pPr>
      <w:bookmarkStart w:id="57" w:name="_Toc69733546"/>
      <w:r>
        <w:t>Outcome</w:t>
      </w:r>
      <w:bookmarkEnd w:id="53"/>
      <w:bookmarkEnd w:id="54"/>
      <w:bookmarkEnd w:id="57"/>
    </w:p>
    <w:p w14:paraId="5085327C" w14:textId="7FA3DE30" w:rsidR="00744121" w:rsidRDefault="00744121" w:rsidP="00744121">
      <w:bookmarkStart w:id="58" w:name="_Toc247691533"/>
      <w:bookmarkStart w:id="59" w:name="_Toc314842517"/>
      <w:r>
        <w:t xml:space="preserve">Based on a review of quality, safety and efficacy, the TGA approved the registration of </w:t>
      </w:r>
      <w:proofErr w:type="spellStart"/>
      <w:r w:rsidR="00FD3029">
        <w:t>Ikervis</w:t>
      </w:r>
      <w:proofErr w:type="spellEnd"/>
      <w:r w:rsidR="00FD3029">
        <w:t xml:space="preserve"> (ciclosporin) 1</w:t>
      </w:r>
      <w:r w:rsidR="00B6163E">
        <w:t> </w:t>
      </w:r>
      <w:r w:rsidR="00FD3029">
        <w:t>mg/mL, eye drops emulsion</w:t>
      </w:r>
      <w:r>
        <w:t>,</w:t>
      </w:r>
      <w:r w:rsidR="00FD3029">
        <w:t xml:space="preserve"> ampoule</w:t>
      </w:r>
      <w:r>
        <w:t>, indicated for:</w:t>
      </w:r>
    </w:p>
    <w:p w14:paraId="7DB6B11F" w14:textId="2FB54330" w:rsidR="00FD3029" w:rsidRPr="00FD3029" w:rsidRDefault="00FD3029" w:rsidP="00FD3029">
      <w:pPr>
        <w:ind w:left="720"/>
        <w:rPr>
          <w:i/>
        </w:rPr>
      </w:pPr>
      <w:r w:rsidRPr="00FD3029">
        <w:rPr>
          <w:i/>
        </w:rPr>
        <w:t>Treatment of severe keratitis in adult patients with dry eye disease which has not improved despite treatment with tear substitutes.</w:t>
      </w:r>
    </w:p>
    <w:p w14:paraId="0B3DA752" w14:textId="77777777" w:rsidR="00D23139" w:rsidRPr="00D23139" w:rsidRDefault="00D23139" w:rsidP="00D23139">
      <w:pPr>
        <w:pStyle w:val="Heading4"/>
      </w:pPr>
      <w:r w:rsidRPr="00D23139">
        <w:t>Specific conditions of registration applying to these goods</w:t>
      </w:r>
    </w:p>
    <w:p w14:paraId="282F1FF9" w14:textId="3D3223A6" w:rsidR="00FD3029" w:rsidRDefault="00FD3029" w:rsidP="00FD3029">
      <w:pPr>
        <w:pStyle w:val="ListBullet"/>
      </w:pPr>
      <w:proofErr w:type="spellStart"/>
      <w:r w:rsidRPr="00FD3029">
        <w:t>I</w:t>
      </w:r>
      <w:r>
        <w:t>kervis</w:t>
      </w:r>
      <w:proofErr w:type="spellEnd"/>
      <w:r w:rsidRPr="00FD3029">
        <w:t xml:space="preserve"> (ciclosporin) is to be included in the Black Triangle Scheme. The PI and CMI</w:t>
      </w:r>
      <w:r>
        <w:t xml:space="preserve"> </w:t>
      </w:r>
      <w:r w:rsidRPr="00FD3029">
        <w:t xml:space="preserve">for </w:t>
      </w:r>
      <w:proofErr w:type="spellStart"/>
      <w:r w:rsidRPr="00FD3029">
        <w:t>I</w:t>
      </w:r>
      <w:r>
        <w:t>kervis</w:t>
      </w:r>
      <w:proofErr w:type="spellEnd"/>
      <w:r w:rsidRPr="00FD3029">
        <w:t xml:space="preserve"> must include the black triangle symbol </w:t>
      </w:r>
      <w:r>
        <w:t xml:space="preserve">and mandatory accompanying text </w:t>
      </w:r>
      <w:r w:rsidRPr="00FD3029">
        <w:t>for five years, which starts from the date that the sponso</w:t>
      </w:r>
      <w:r>
        <w:t xml:space="preserve">r notifies the TGA of supply of </w:t>
      </w:r>
      <w:r w:rsidRPr="00FD3029">
        <w:t>the product.</w:t>
      </w:r>
    </w:p>
    <w:p w14:paraId="478E6262" w14:textId="0BA18524" w:rsidR="00FD3029" w:rsidRPr="00FD3029" w:rsidRDefault="00FD3029" w:rsidP="00FD3029">
      <w:pPr>
        <w:pStyle w:val="ListBullet"/>
      </w:pPr>
      <w:r>
        <w:t>This approval does not impose any requirement for the submission of Periodic Safety Update reports (PSUR). The sponsor should note that it is a requirement that all existing requirements for the submission of PSURs as a consequence of the initial registration or subsequent changes must be completed.</w:t>
      </w:r>
    </w:p>
    <w:p w14:paraId="43FB9BCD" w14:textId="37A74C83" w:rsidR="008E7846" w:rsidRDefault="00A80B5B" w:rsidP="00FD3029">
      <w:pPr>
        <w:pStyle w:val="Heading2"/>
      </w:pPr>
      <w:bookmarkStart w:id="60" w:name="_Toc69733547"/>
      <w:r>
        <w:t xml:space="preserve">Attachment 1. </w:t>
      </w:r>
      <w:r w:rsidR="008E7846">
        <w:t xml:space="preserve">Product </w:t>
      </w:r>
      <w:r w:rsidR="00AA0ED0">
        <w:t>I</w:t>
      </w:r>
      <w:r w:rsidR="008E7846">
        <w:t>nformation</w:t>
      </w:r>
      <w:bookmarkEnd w:id="58"/>
      <w:bookmarkEnd w:id="59"/>
      <w:bookmarkEnd w:id="60"/>
    </w:p>
    <w:p w14:paraId="2694EBBB" w14:textId="3B014B96" w:rsidR="00C80137" w:rsidRDefault="006136D7" w:rsidP="00C80137">
      <w:pPr>
        <w:rPr>
          <w:color w:val="000000"/>
          <w:lang w:eastAsia="en-AU"/>
        </w:rPr>
      </w:pPr>
      <w:r w:rsidRPr="002B3624">
        <w:t xml:space="preserve">The </w:t>
      </w:r>
      <w:r>
        <w:t>PI</w:t>
      </w:r>
      <w:r w:rsidRPr="002B3624">
        <w:t xml:space="preserve"> for </w:t>
      </w:r>
      <w:proofErr w:type="spellStart"/>
      <w:r w:rsidR="00FD3029">
        <w:t>Ikervis</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FD3029">
        <w:t>&gt;.</w:t>
      </w:r>
    </w:p>
    <w:p w14:paraId="7A3AABB8" w14:textId="78D7051B" w:rsidR="00744121" w:rsidRDefault="008E7846" w:rsidP="00BA0F9F">
      <w:pPr>
        <w:autoSpaceDE w:val="0"/>
        <w:autoSpaceDN w:val="0"/>
        <w:adjustRightInd w:val="0"/>
        <w:spacing w:after="0"/>
        <w:rPr>
          <w:lang w:eastAsia="ja-JP"/>
        </w:rPr>
      </w:pPr>
      <w:r w:rsidRPr="00C80137">
        <w:rPr>
          <w:b/>
        </w:rPr>
        <w:br w:type="page"/>
      </w:r>
    </w:p>
    <w:p w14:paraId="37DAA11D"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ECA98E0" w14:textId="77777777" w:rsidTr="00A05FA4">
        <w:trPr>
          <w:trHeight w:hRule="exact" w:val="704"/>
        </w:trPr>
        <w:tc>
          <w:tcPr>
            <w:tcW w:w="9175" w:type="dxa"/>
          </w:tcPr>
          <w:p w14:paraId="5963A555" w14:textId="77777777" w:rsidR="001C32CD" w:rsidRPr="00487162" w:rsidRDefault="001C32CD" w:rsidP="00A05FA4">
            <w:pPr>
              <w:pStyle w:val="TGASignoff"/>
            </w:pPr>
            <w:r w:rsidRPr="00487162">
              <w:t>Therapeutic Goods Administration</w:t>
            </w:r>
          </w:p>
        </w:tc>
      </w:tr>
      <w:tr w:rsidR="001C32CD" w:rsidRPr="004C239D" w14:paraId="0128CB6C" w14:textId="77777777" w:rsidTr="00A05FA4">
        <w:trPr>
          <w:trHeight w:val="1221"/>
        </w:trPr>
        <w:tc>
          <w:tcPr>
            <w:tcW w:w="9175" w:type="dxa"/>
            <w:tcMar>
              <w:top w:w="28" w:type="dxa"/>
            </w:tcMar>
          </w:tcPr>
          <w:p w14:paraId="1D57B1E7" w14:textId="77777777" w:rsidR="001C32CD" w:rsidRPr="00487162" w:rsidRDefault="001C32CD" w:rsidP="00A05FA4">
            <w:pPr>
              <w:pStyle w:val="Address"/>
            </w:pPr>
            <w:r w:rsidRPr="00487162">
              <w:t>PO Box 100 Woden ACT 2606 Australia</w:t>
            </w:r>
          </w:p>
          <w:p w14:paraId="4850AD4E" w14:textId="3BBD809A"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14:paraId="5A1560A0" w14:textId="6FFB55E1" w:rsidR="001C32CD" w:rsidRPr="004C239D" w:rsidRDefault="00F97DF4"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151093ED"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D80E70" w16cex:dateUtc="2021-02-24T02:44:57.6Z"/>
  <w16cex:commentExtensible w16cex:durableId="22D82462" w16cex:dateUtc="2021-02-24T02:46:28.741Z"/>
  <w16cex:commentExtensible w16cex:durableId="43570F1E" w16cex:dateUtc="2021-02-24T02:47:07.637Z"/>
  <w16cex:commentExtensible w16cex:durableId="28CDC5B3" w16cex:dateUtc="2021-02-24T02:59:06.023Z"/>
  <w16cex:commentExtensible w16cex:durableId="12E2FCE6" w16cex:dateUtc="2021-02-24T02:59:46.17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A407BC" w16cid:durableId="23E898C1"/>
  <w16cid:commentId w16cid:paraId="308AC432" w16cid:durableId="23E898C2"/>
  <w16cid:commentId w16cid:paraId="06AFAECE" w16cid:durableId="23E898C3"/>
  <w16cid:commentId w16cid:paraId="4A249974" w16cid:durableId="23E898C4"/>
  <w16cid:commentId w16cid:paraId="6411FF96" w16cid:durableId="23E898C5"/>
  <w16cid:commentId w16cid:paraId="16671C6A" w16cid:durableId="23E898C6"/>
  <w16cid:commentId w16cid:paraId="49489592" w16cid:durableId="23E898C7"/>
  <w16cid:commentId w16cid:paraId="0AFA56E0" w16cid:durableId="23E898C8"/>
  <w16cid:commentId w16cid:paraId="10A4D8F6" w16cid:durableId="79395C58"/>
  <w16cid:commentId w16cid:paraId="6B0A9FA5" w16cid:durableId="23E898CA"/>
  <w16cid:commentId w16cid:paraId="68AB1840" w16cid:durableId="23E898CB"/>
  <w16cid:commentId w16cid:paraId="582E6715" w16cid:durableId="23E898CC"/>
  <w16cid:commentId w16cid:paraId="65CF8C0C" w16cid:durableId="23E898CD"/>
  <w16cid:commentId w16cid:paraId="09ABD88B" w16cid:durableId="23E89B24"/>
  <w16cid:commentId w16cid:paraId="660A66AA" w16cid:durableId="23E898CE"/>
  <w16cid:commentId w16cid:paraId="6A97D52A" w16cid:durableId="23E898CF"/>
  <w16cid:commentId w16cid:paraId="18545069" w16cid:durableId="23E898D0"/>
  <w16cid:commentId w16cid:paraId="02125D5E" w16cid:durableId="23E898D1"/>
  <w16cid:commentId w16cid:paraId="0BDA8BA1" w16cid:durableId="23E8B5FE"/>
  <w16cid:commentId w16cid:paraId="4DCF9D73" w16cid:durableId="23E8B627"/>
  <w16cid:commentId w16cid:paraId="41DB7D59" w16cid:durableId="23E898D2"/>
  <w16cid:commentId w16cid:paraId="1C44CFD2" w16cid:durableId="23E898D3"/>
  <w16cid:commentId w16cid:paraId="219D1126" w16cid:durableId="23E8C960"/>
  <w16cid:commentId w16cid:paraId="14C3302B" w16cid:durableId="23E8CAB5"/>
  <w16cid:commentId w16cid:paraId="4421DFAC" w16cid:durableId="23E8CB69"/>
  <w16cid:commentId w16cid:paraId="0CEBED71" w16cid:durableId="23E8CBB2"/>
  <w16cid:commentId w16cid:paraId="29BB2F41" w16cid:durableId="23E898D4"/>
  <w16cid:commentId w16cid:paraId="0F838FBE" w16cid:durableId="23E898D5"/>
  <w16cid:commentId w16cid:paraId="092F4671" w16cid:durableId="23E8CD8B"/>
  <w16cid:commentId w16cid:paraId="62187216" w16cid:durableId="23E898D6"/>
  <w16cid:commentId w16cid:paraId="76F62A3E" w16cid:durableId="23E898D7"/>
  <w16cid:commentId w16cid:paraId="46DC5EF3" w16cid:durableId="23E898D8"/>
  <w16cid:commentId w16cid:paraId="2FE94DC2" w16cid:durableId="23E8D0A0"/>
  <w16cid:commentId w16cid:paraId="3D820BB9" w16cid:durableId="23E898D9"/>
  <w16cid:commentId w16cid:paraId="71467B8A" w16cid:durableId="23E8D129"/>
  <w16cid:commentId w16cid:paraId="41064C5F" w16cid:durableId="23E898DA"/>
  <w16cid:commentId w16cid:paraId="4D2358D7" w16cid:durableId="23E898DB"/>
  <w16cid:commentId w16cid:paraId="13E430A8" w16cid:durableId="23E8D1D6"/>
  <w16cid:commentId w16cid:paraId="46EFD373" w16cid:durableId="23E898DC"/>
  <w16cid:commentId w16cid:paraId="624833C5" w16cid:durableId="23E898DD"/>
  <w16cid:commentId w16cid:paraId="0B41B488" w16cid:durableId="23E898DE"/>
  <w16cid:commentId w16cid:paraId="578BDFE8" w16cid:durableId="23E898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3FE36" w14:textId="77777777" w:rsidR="006B59B5" w:rsidRDefault="006B59B5" w:rsidP="00C40A36">
      <w:pPr>
        <w:spacing w:after="0"/>
      </w:pPr>
      <w:r>
        <w:separator/>
      </w:r>
    </w:p>
  </w:endnote>
  <w:endnote w:type="continuationSeparator" w:id="0">
    <w:p w14:paraId="5084B45C" w14:textId="77777777" w:rsidR="006B59B5" w:rsidRDefault="006B59B5" w:rsidP="00C40A36">
      <w:pPr>
        <w:spacing w:after="0"/>
      </w:pPr>
      <w:r>
        <w:continuationSeparator/>
      </w:r>
    </w:p>
  </w:endnote>
  <w:endnote w:type="continuationNotice" w:id="1">
    <w:p w14:paraId="655623A6" w14:textId="77777777" w:rsidR="006B59B5" w:rsidRDefault="006B59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F8B79" w14:textId="77777777" w:rsidR="006B59B5" w:rsidRDefault="006B5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B59B5" w:rsidRPr="00487162" w14:paraId="6C9E9DA5" w14:textId="77777777" w:rsidTr="00DB750B">
      <w:trPr>
        <w:trHeight w:val="269"/>
      </w:trPr>
      <w:tc>
        <w:tcPr>
          <w:tcW w:w="7371" w:type="dxa"/>
          <w:tcMar>
            <w:top w:w="142" w:type="dxa"/>
            <w:bottom w:w="0" w:type="dxa"/>
          </w:tcMar>
        </w:tcPr>
        <w:p w14:paraId="542348D4" w14:textId="61D5E927" w:rsidR="006B59B5" w:rsidRPr="00487162" w:rsidRDefault="006B59B5" w:rsidP="0016195A">
          <w:pPr>
            <w:pStyle w:val="Footer"/>
          </w:pPr>
          <w:r w:rsidRPr="00487162">
            <w:t>AusPA</w:t>
          </w:r>
          <w:r>
            <w:t xml:space="preserve">R - </w:t>
          </w:r>
          <w:proofErr w:type="spellStart"/>
          <w:r>
            <w:t>Ikervis</w:t>
          </w:r>
          <w:proofErr w:type="spellEnd"/>
          <w:r>
            <w:t xml:space="preserve"> </w:t>
          </w:r>
          <w:r w:rsidRPr="00460036">
            <w:t xml:space="preserve">– </w:t>
          </w:r>
          <w:r>
            <w:t>ciclosporin</w:t>
          </w:r>
          <w:r w:rsidRPr="00460036">
            <w:t xml:space="preserve"> </w:t>
          </w:r>
          <w:r>
            <w:t xml:space="preserve">– </w:t>
          </w:r>
          <w:proofErr w:type="spellStart"/>
          <w:r>
            <w:t>Seqirus</w:t>
          </w:r>
          <w:proofErr w:type="spellEnd"/>
          <w:r>
            <w:t xml:space="preserve"> Pty Ltd PM-2019-02588-1-5</w:t>
          </w:r>
          <w:r>
            <w:br/>
            <w:t>FINAL 26 March 2021</w:t>
          </w:r>
        </w:p>
      </w:tc>
      <w:tc>
        <w:tcPr>
          <w:tcW w:w="1490" w:type="dxa"/>
          <w:tcMar>
            <w:top w:w="142" w:type="dxa"/>
            <w:bottom w:w="0" w:type="dxa"/>
          </w:tcMar>
        </w:tcPr>
        <w:p w14:paraId="68ADBFA9" w14:textId="01CCE593" w:rsidR="006B59B5" w:rsidRPr="00487162" w:rsidRDefault="006B59B5" w:rsidP="00DB750B">
          <w:pPr>
            <w:pStyle w:val="Footer"/>
            <w:jc w:val="right"/>
          </w:pPr>
          <w:r w:rsidRPr="00487162">
            <w:t xml:space="preserve">Page </w:t>
          </w:r>
          <w:r>
            <w:rPr>
              <w:color w:val="2B579A"/>
              <w:shd w:val="clear" w:color="auto" w:fill="E6E6E6"/>
            </w:rPr>
            <w:fldChar w:fldCharType="begin"/>
          </w:r>
          <w:r>
            <w:instrText xml:space="preserve"> PAGE  \* Arabic </w:instrText>
          </w:r>
          <w:r>
            <w:rPr>
              <w:color w:val="2B579A"/>
              <w:shd w:val="clear" w:color="auto" w:fill="E6E6E6"/>
            </w:rPr>
            <w:fldChar w:fldCharType="separate"/>
          </w:r>
          <w:r w:rsidR="00F97DF4">
            <w:rPr>
              <w:noProof/>
            </w:rPr>
            <w:t>13</w:t>
          </w:r>
          <w:r>
            <w:rPr>
              <w:color w:val="2B579A"/>
              <w:shd w:val="clear" w:color="auto" w:fill="E6E6E6"/>
            </w:rPr>
            <w:fldChar w:fldCharType="end"/>
          </w:r>
          <w:r w:rsidRPr="00487162">
            <w:t xml:space="preserve"> of </w:t>
          </w:r>
          <w:r>
            <w:fldChar w:fldCharType="begin"/>
          </w:r>
          <w:r>
            <w:instrText>NUMPAGES  \* Arabic</w:instrText>
          </w:r>
          <w:r>
            <w:fldChar w:fldCharType="separate"/>
          </w:r>
          <w:r w:rsidR="00F97DF4">
            <w:rPr>
              <w:noProof/>
            </w:rPr>
            <w:t>32</w:t>
          </w:r>
          <w:r>
            <w:fldChar w:fldCharType="end"/>
          </w:r>
        </w:p>
      </w:tc>
    </w:tr>
  </w:tbl>
  <w:p w14:paraId="1C12A852" w14:textId="77777777" w:rsidR="006B59B5" w:rsidRDefault="006B59B5"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B3331" w14:textId="77777777" w:rsidR="006B59B5" w:rsidRDefault="006B59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59B5" w:rsidRPr="00487162" w14:paraId="07D7134D" w14:textId="77777777" w:rsidTr="00E45619">
      <w:trPr>
        <w:trHeight w:val="269"/>
      </w:trPr>
      <w:tc>
        <w:tcPr>
          <w:tcW w:w="4519" w:type="dxa"/>
          <w:tcBorders>
            <w:top w:val="single" w:sz="4" w:space="0" w:color="auto"/>
          </w:tcBorders>
          <w:tcMar>
            <w:top w:w="142" w:type="dxa"/>
            <w:bottom w:w="0" w:type="dxa"/>
          </w:tcMar>
        </w:tcPr>
        <w:p w14:paraId="00FCA70B" w14:textId="77777777" w:rsidR="006B59B5" w:rsidRPr="00487162" w:rsidRDefault="006B59B5" w:rsidP="00FE1DEE">
          <w:pPr>
            <w:pStyle w:val="Footer"/>
          </w:pPr>
          <w:r w:rsidRPr="00487162">
            <w:t>Document title, Part #, Section # - Section title</w:t>
          </w:r>
        </w:p>
        <w:p w14:paraId="77A10D76" w14:textId="77777777" w:rsidR="006B59B5" w:rsidRPr="00487162" w:rsidRDefault="006B59B5" w:rsidP="00FE1DEE">
          <w:pPr>
            <w:pStyle w:val="Footer"/>
          </w:pPr>
          <w:r w:rsidRPr="00487162">
            <w:t>V1.0 October 2010</w:t>
          </w:r>
        </w:p>
      </w:tc>
      <w:tc>
        <w:tcPr>
          <w:tcW w:w="4342" w:type="dxa"/>
          <w:tcBorders>
            <w:top w:val="single" w:sz="4" w:space="0" w:color="auto"/>
          </w:tcBorders>
          <w:tcMar>
            <w:top w:w="142" w:type="dxa"/>
            <w:bottom w:w="0" w:type="dxa"/>
          </w:tcMar>
        </w:tcPr>
        <w:p w14:paraId="788E581C" w14:textId="77777777" w:rsidR="006B59B5" w:rsidRPr="00487162" w:rsidRDefault="006B59B5" w:rsidP="00E45619">
          <w:pPr>
            <w:pStyle w:val="Footer"/>
            <w:jc w:val="right"/>
          </w:pPr>
          <w:r w:rsidRPr="00487162">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Pr="00487162">
            <w:rPr>
              <w:noProof/>
            </w:rPr>
            <w:t>3</w:t>
          </w:r>
          <w:r>
            <w:rPr>
              <w:noProof/>
              <w:color w:val="2B579A"/>
              <w:shd w:val="clear" w:color="auto" w:fill="E6E6E6"/>
            </w:rPr>
            <w:fldChar w:fldCharType="end"/>
          </w:r>
          <w:r w:rsidRPr="00487162">
            <w:t xml:space="preserve"> of </w:t>
          </w:r>
          <w:r>
            <w:fldChar w:fldCharType="begin"/>
          </w:r>
          <w:r>
            <w:instrText>NUMPAGES</w:instrText>
          </w:r>
          <w:r>
            <w:fldChar w:fldCharType="separate"/>
          </w:r>
          <w:r>
            <w:rPr>
              <w:noProof/>
            </w:rPr>
            <w:t>3</w:t>
          </w:r>
          <w:r>
            <w:fldChar w:fldCharType="end"/>
          </w:r>
        </w:p>
      </w:tc>
    </w:tr>
  </w:tbl>
  <w:p w14:paraId="610C1E74" w14:textId="77777777" w:rsidR="006B59B5" w:rsidRDefault="006B59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2FB1F" w14:textId="77777777" w:rsidR="006B59B5" w:rsidRPr="001C32CD" w:rsidRDefault="006B59B5"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59B5" w14:paraId="3EFF88AC" w14:textId="77777777" w:rsidTr="0010601F">
      <w:trPr>
        <w:trHeight w:val="108"/>
      </w:trPr>
      <w:tc>
        <w:tcPr>
          <w:tcW w:w="8875" w:type="dxa"/>
          <w:gridSpan w:val="2"/>
          <w:tcBorders>
            <w:bottom w:val="single" w:sz="4" w:space="0" w:color="auto"/>
          </w:tcBorders>
          <w:tcMar>
            <w:right w:w="284" w:type="dxa"/>
          </w:tcMar>
        </w:tcPr>
        <w:p w14:paraId="5602DEF6" w14:textId="77777777" w:rsidR="006B59B5" w:rsidRDefault="006B59B5" w:rsidP="006E08B3">
          <w:pPr>
            <w:pStyle w:val="Heading3"/>
          </w:pPr>
          <w:r>
            <w:t>Copyright</w:t>
          </w:r>
        </w:p>
        <w:p w14:paraId="47306419" w14:textId="77777777" w:rsidR="006B59B5" w:rsidRDefault="006B59B5" w:rsidP="006E08B3">
          <w:r>
            <w:rPr>
              <w:rFonts w:cs="Arial"/>
            </w:rPr>
            <w:t>©</w:t>
          </w:r>
          <w:r>
            <w:t xml:space="preserve"> Commonwealth of Australia [add year]</w:t>
          </w:r>
        </w:p>
        <w:p w14:paraId="267D0008" w14:textId="77777777" w:rsidR="006B59B5" w:rsidRDefault="006B59B5" w:rsidP="006E08B3"/>
        <w:p w14:paraId="2476EA6E" w14:textId="77777777" w:rsidR="006B59B5" w:rsidRDefault="006B59B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10C484B" w14:textId="77777777" w:rsidR="006B59B5" w:rsidRDefault="006B59B5" w:rsidP="006E08B3"/>
        <w:p w14:paraId="4F3E1FEA" w14:textId="77777777" w:rsidR="006B59B5" w:rsidRDefault="006B59B5" w:rsidP="006E08B3">
          <w:pPr>
            <w:pStyle w:val="Heading3"/>
          </w:pPr>
          <w:r>
            <w:t>Confidentiality</w:t>
          </w:r>
        </w:p>
        <w:p w14:paraId="1D5B3678" w14:textId="77777777" w:rsidR="006B59B5" w:rsidRDefault="006B59B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F454C18" w14:textId="77777777" w:rsidR="006B59B5" w:rsidRDefault="006B59B5" w:rsidP="006E08B3"/>
        <w:p w14:paraId="30851EE5" w14:textId="77777777" w:rsidR="006B59B5" w:rsidRDefault="006B59B5" w:rsidP="006E08B3">
          <w:r>
            <w:t>For submission made by individuals, all personal details, other than your name, will be removed from your submission before it is published on the TGA’s Internet site.</w:t>
          </w:r>
        </w:p>
        <w:p w14:paraId="7DFEF96D" w14:textId="77777777" w:rsidR="006B59B5" w:rsidRDefault="006B59B5" w:rsidP="006E08B3"/>
        <w:p w14:paraId="39B3BA51" w14:textId="77777777" w:rsidR="006B59B5" w:rsidRDefault="006B59B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B59B5" w14:paraId="04D5789E" w14:textId="77777777" w:rsidTr="0010601F">
      <w:trPr>
        <w:trHeight w:val="417"/>
      </w:trPr>
      <w:tc>
        <w:tcPr>
          <w:tcW w:w="4519" w:type="dxa"/>
          <w:tcBorders>
            <w:top w:val="single" w:sz="4" w:space="0" w:color="auto"/>
          </w:tcBorders>
          <w:tcMar>
            <w:top w:w="142" w:type="dxa"/>
            <w:bottom w:w="0" w:type="dxa"/>
          </w:tcMar>
        </w:tcPr>
        <w:p w14:paraId="6C2B00C1" w14:textId="77777777" w:rsidR="006B59B5" w:rsidRDefault="006B59B5" w:rsidP="006E08B3">
          <w:r>
            <w:t>Document title, Part #, Section # - Section title</w:t>
          </w:r>
        </w:p>
        <w:p w14:paraId="48C8D6E3" w14:textId="77777777" w:rsidR="006B59B5" w:rsidRDefault="006B59B5" w:rsidP="006E08B3">
          <w:r>
            <w:t>V1.0 October 2010</w:t>
          </w:r>
        </w:p>
      </w:tc>
      <w:tc>
        <w:tcPr>
          <w:tcW w:w="4356" w:type="dxa"/>
          <w:tcBorders>
            <w:top w:val="single" w:sz="4" w:space="0" w:color="auto"/>
          </w:tcBorders>
          <w:tcMar>
            <w:top w:w="142" w:type="dxa"/>
            <w:bottom w:w="0" w:type="dxa"/>
          </w:tcMar>
        </w:tcPr>
        <w:p w14:paraId="5BE89629" w14:textId="77777777" w:rsidR="006B59B5" w:rsidRDefault="006B59B5" w:rsidP="006E08B3">
          <w:pP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r>
            <w:t xml:space="preserve"> of </w:t>
          </w:r>
          <w:r>
            <w:fldChar w:fldCharType="begin"/>
          </w:r>
          <w:r>
            <w:instrText>NUMPAGES  \* Arabic</w:instrText>
          </w:r>
          <w:r>
            <w:fldChar w:fldCharType="separate"/>
          </w:r>
          <w:r>
            <w:rPr>
              <w:noProof/>
            </w:rPr>
            <w:t>3</w:t>
          </w:r>
          <w:r>
            <w:fldChar w:fldCharType="end"/>
          </w:r>
          <w:r>
            <w:t xml:space="preserve">  </w:t>
          </w:r>
        </w:p>
      </w:tc>
    </w:tr>
  </w:tbl>
  <w:p w14:paraId="0C80F116" w14:textId="77777777" w:rsidR="006B59B5" w:rsidRDefault="006B59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CD30D" w14:textId="77777777" w:rsidR="006B59B5" w:rsidRDefault="006B59B5" w:rsidP="00C40A36">
      <w:pPr>
        <w:spacing w:after="0"/>
      </w:pPr>
      <w:r>
        <w:separator/>
      </w:r>
    </w:p>
  </w:footnote>
  <w:footnote w:type="continuationSeparator" w:id="0">
    <w:p w14:paraId="54BAF932" w14:textId="77777777" w:rsidR="006B59B5" w:rsidRDefault="006B59B5" w:rsidP="00C40A36">
      <w:pPr>
        <w:spacing w:after="0"/>
      </w:pPr>
      <w:r>
        <w:continuationSeparator/>
      </w:r>
    </w:p>
  </w:footnote>
  <w:footnote w:type="continuationNotice" w:id="1">
    <w:p w14:paraId="5153CC4E" w14:textId="77777777" w:rsidR="006B59B5" w:rsidRDefault="006B59B5">
      <w:pPr>
        <w:spacing w:before="0" w:after="0" w:line="240" w:lineRule="auto"/>
      </w:pPr>
    </w:p>
  </w:footnote>
  <w:footnote w:id="2">
    <w:p w14:paraId="7EF377C6" w14:textId="77777777" w:rsidR="006B59B5" w:rsidRDefault="006B59B5">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71EFDE78" w14:textId="0AC78BBE" w:rsidR="006B59B5" w:rsidRDefault="006B59B5">
      <w:pPr>
        <w:pStyle w:val="FootnoteText"/>
      </w:pPr>
      <w:r>
        <w:rPr>
          <w:rStyle w:val="FootnoteReference"/>
        </w:rPr>
        <w:footnoteRef/>
      </w:r>
      <w:r>
        <w:t xml:space="preserve"> Jones et al., </w:t>
      </w:r>
      <w:r w:rsidRPr="00F92170">
        <w:t>TFOS DEWS II Management and Therapy Report</w:t>
      </w:r>
      <w:r>
        <w:t xml:space="preserve">, </w:t>
      </w:r>
      <w:proofErr w:type="spellStart"/>
      <w:r w:rsidRPr="00F92170">
        <w:rPr>
          <w:i/>
        </w:rPr>
        <w:t>Ocul</w:t>
      </w:r>
      <w:proofErr w:type="spellEnd"/>
      <w:r w:rsidRPr="00F92170">
        <w:rPr>
          <w:i/>
        </w:rPr>
        <w:t xml:space="preserve"> Surf</w:t>
      </w:r>
      <w:r>
        <w:t xml:space="preserve">, </w:t>
      </w:r>
      <w:r w:rsidRPr="00F92170">
        <w:t>2017 Jul;15(3):575-628</w:t>
      </w:r>
      <w:r>
        <w:t>.</w:t>
      </w:r>
    </w:p>
  </w:footnote>
  <w:footnote w:id="4">
    <w:p w14:paraId="55FDA161" w14:textId="008E41BA" w:rsidR="006B59B5" w:rsidRDefault="006B59B5">
      <w:pPr>
        <w:pStyle w:val="FootnoteText"/>
      </w:pPr>
      <w:r>
        <w:rPr>
          <w:rStyle w:val="FootnoteReference"/>
        </w:rPr>
        <w:footnoteRef/>
      </w:r>
      <w:r>
        <w:t xml:space="preserve"> </w:t>
      </w:r>
      <w:r w:rsidRPr="0061367F">
        <w:t>The Special Access Scheme (SAS) allows certain health practitioners to access therapeutic goods (such as medicines, medical devices or biologicals) that are not included in the Australian Register of Therapeutic Goods (ARTG) for a single patient. Therapeutic goods that are not included in the ARTG (and are not otherwise exempt from being in the ARTG) are described by us as 'unapproved'.</w:t>
      </w:r>
    </w:p>
  </w:footnote>
  <w:footnote w:id="5">
    <w:p w14:paraId="776C168D" w14:textId="47521872" w:rsidR="006B59B5" w:rsidRDefault="006B59B5">
      <w:pPr>
        <w:pStyle w:val="FootnoteText"/>
      </w:pPr>
      <w:r>
        <w:rPr>
          <w:rStyle w:val="FootnoteReference"/>
        </w:rPr>
        <w:footnoteRef/>
      </w:r>
      <w:r>
        <w:t xml:space="preserve"> Xiidra was listed on the ARTG on 21 January 2019, ARTG </w:t>
      </w:r>
      <w:r w:rsidRPr="0061367F">
        <w:t>293589</w:t>
      </w:r>
      <w:r>
        <w:t>.</w:t>
      </w:r>
    </w:p>
  </w:footnote>
  <w:footnote w:id="6">
    <w:p w14:paraId="2F31E313" w14:textId="7AB6FF7C" w:rsidR="006B59B5" w:rsidRDefault="006B59B5">
      <w:pPr>
        <w:pStyle w:val="FootnoteText"/>
      </w:pPr>
      <w:r>
        <w:rPr>
          <w:rStyle w:val="FootnoteReference"/>
        </w:rPr>
        <w:footnoteRef/>
      </w:r>
      <w:r>
        <w:t xml:space="preserve"> Cequa was listed on the ARTG on 31 January 2020, ARTG 313780.</w:t>
      </w:r>
    </w:p>
  </w:footnote>
  <w:footnote w:id="7">
    <w:p w14:paraId="2BA05647" w14:textId="0DBE8214" w:rsidR="006B59B5" w:rsidRDefault="006B59B5">
      <w:pPr>
        <w:pStyle w:val="FootnoteText"/>
      </w:pPr>
      <w:r>
        <w:rPr>
          <w:rStyle w:val="FootnoteReference"/>
        </w:rPr>
        <w:footnoteRef/>
      </w:r>
      <w:r>
        <w:t xml:space="preserve"> </w:t>
      </w:r>
      <w:proofErr w:type="spellStart"/>
      <w:r>
        <w:t>Neoral</w:t>
      </w:r>
      <w:proofErr w:type="spellEnd"/>
      <w:r>
        <w:t xml:space="preserve"> was listed on the ARTG on 28 August 1995, ARTG 49724.</w:t>
      </w:r>
    </w:p>
  </w:footnote>
  <w:footnote w:id="8">
    <w:p w14:paraId="1AE8863B" w14:textId="7992ED3E" w:rsidR="006B59B5" w:rsidRDefault="006B59B5">
      <w:pPr>
        <w:pStyle w:val="FootnoteText"/>
      </w:pPr>
      <w:r>
        <w:rPr>
          <w:rStyle w:val="FootnoteReference"/>
        </w:rPr>
        <w:footnoteRef/>
      </w:r>
      <w:r>
        <w:t xml:space="preserve"> </w:t>
      </w:r>
      <w:proofErr w:type="spellStart"/>
      <w:r>
        <w:t>Sandimmun</w:t>
      </w:r>
      <w:proofErr w:type="spellEnd"/>
      <w:r>
        <w:t xml:space="preserve"> was listed on the ARTG on 21 August 1991, ARTG 13341.</w:t>
      </w:r>
    </w:p>
  </w:footnote>
  <w:footnote w:id="9">
    <w:p w14:paraId="6DF457FB" w14:textId="2A395AFB" w:rsidR="006B59B5" w:rsidRDefault="006B59B5">
      <w:pPr>
        <w:pStyle w:val="FootnoteText"/>
      </w:pPr>
      <w:r>
        <w:rPr>
          <w:rStyle w:val="FootnoteReference"/>
        </w:rPr>
        <w:footnoteRef/>
      </w:r>
      <w:r>
        <w:t xml:space="preserve"> C</w:t>
      </w:r>
      <w:r w:rsidRPr="00557B5B">
        <w:t>yclosporin Sandoz was listed on the ARTG on 14 June 2012, ARTG 186358.</w:t>
      </w:r>
    </w:p>
  </w:footnote>
  <w:footnote w:id="10">
    <w:p w14:paraId="392AEEC3" w14:textId="13F8E213" w:rsidR="006B59B5" w:rsidRDefault="006B59B5">
      <w:pPr>
        <w:pStyle w:val="FootnoteText"/>
      </w:pPr>
      <w:r>
        <w:rPr>
          <w:rStyle w:val="FootnoteReference"/>
        </w:rPr>
        <w:footnoteRef/>
      </w:r>
      <w:r>
        <w:t xml:space="preserve"> Sponsor clarification: Withdrawal of </w:t>
      </w:r>
      <w:proofErr w:type="spellStart"/>
      <w:r>
        <w:t>Ikervis</w:t>
      </w:r>
      <w:proofErr w:type="spellEnd"/>
      <w:r>
        <w:t xml:space="preserve"> from Canada is due to sponsor not meeting the Health Canada’s usual requirement for two studies of identical design </w:t>
      </w:r>
      <w:r w:rsidRPr="008562E5">
        <w:t xml:space="preserve">as there are differences in the patient populations and endpoints between the </w:t>
      </w:r>
      <w:r>
        <w:t>two pivotal</w:t>
      </w:r>
      <w:r w:rsidRPr="008562E5">
        <w:t xml:space="preserve"> studies</w:t>
      </w:r>
      <w:r>
        <w:t>.</w:t>
      </w:r>
    </w:p>
  </w:footnote>
  <w:footnote w:id="11">
    <w:p w14:paraId="30FEEEBC" w14:textId="77777777" w:rsidR="006B59B5" w:rsidRDefault="006B59B5" w:rsidP="00394C1A">
      <w:pPr>
        <w:pStyle w:val="FootnoteText"/>
      </w:pPr>
      <w:r>
        <w:rPr>
          <w:rStyle w:val="FootnoteReference"/>
        </w:rPr>
        <w:footnoteRef/>
      </w:r>
      <w:r>
        <w:t xml:space="preserve"> Drug development code used by sponsor for </w:t>
      </w:r>
      <w:proofErr w:type="spellStart"/>
      <w:r>
        <w:t>Ikervis</w:t>
      </w:r>
      <w:proofErr w:type="spellEnd"/>
      <w:r>
        <w:t>.</w:t>
      </w:r>
    </w:p>
  </w:footnote>
  <w:footnote w:id="12">
    <w:p w14:paraId="44F676CB" w14:textId="7CD7D961" w:rsidR="006B59B5" w:rsidRDefault="006B59B5">
      <w:pPr>
        <w:pStyle w:val="FootnoteText"/>
      </w:pPr>
      <w:r>
        <w:rPr>
          <w:rStyle w:val="FootnoteReference"/>
        </w:rPr>
        <w:footnoteRef/>
      </w:r>
      <w:r>
        <w:t xml:space="preserve"> Refer to section, questions for sponsor, below.</w:t>
      </w:r>
    </w:p>
  </w:footnote>
  <w:footnote w:id="13">
    <w:p w14:paraId="4C312D06" w14:textId="719B4AB9" w:rsidR="006B59B5" w:rsidRDefault="006B59B5">
      <w:pPr>
        <w:pStyle w:val="FootnoteText"/>
      </w:pPr>
      <w:r>
        <w:rPr>
          <w:rStyle w:val="FootnoteReference"/>
        </w:rPr>
        <w:footnoteRef/>
      </w:r>
      <w:r>
        <w:t xml:space="preserve"> Sponsor clarification: </w:t>
      </w:r>
      <w:r w:rsidRPr="00EF0E6D">
        <w:t>CKC and BAK were used as cationic agents and do not act as preservatives in the finished product formulation</w:t>
      </w:r>
    </w:p>
  </w:footnote>
  <w:footnote w:id="14">
    <w:p w14:paraId="5D46EE53" w14:textId="77777777" w:rsidR="006B59B5" w:rsidRDefault="006B59B5"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531C8B0" w14:textId="77777777" w:rsidR="006B59B5" w:rsidRDefault="006B59B5" w:rsidP="007D53B6">
      <w:pPr>
        <w:pStyle w:val="FootnoteText"/>
      </w:pPr>
      <w:r w:rsidRPr="007D53B6">
        <w:rPr>
          <w:i/>
        </w:rPr>
        <w:t>Routine pharmacovigilance</w:t>
      </w:r>
      <w:r>
        <w:t xml:space="preserve"> practices involve the following activities:</w:t>
      </w:r>
    </w:p>
    <w:p w14:paraId="61ECB5F1" w14:textId="77777777" w:rsidR="006B59B5" w:rsidRDefault="006B59B5" w:rsidP="007D53B6">
      <w:pPr>
        <w:pStyle w:val="FootnoteText"/>
        <w:numPr>
          <w:ilvl w:val="0"/>
          <w:numId w:val="32"/>
        </w:numPr>
        <w:ind w:left="284" w:hanging="284"/>
      </w:pPr>
      <w:r>
        <w:t>All suspected adverse reactions that are reported to the personnel of the company are collected and collated in an accessible manner;</w:t>
      </w:r>
    </w:p>
    <w:p w14:paraId="510CCC9F" w14:textId="77777777" w:rsidR="006B59B5" w:rsidRDefault="006B59B5" w:rsidP="007D53B6">
      <w:pPr>
        <w:pStyle w:val="FootnoteText"/>
        <w:numPr>
          <w:ilvl w:val="0"/>
          <w:numId w:val="32"/>
        </w:numPr>
        <w:ind w:left="284" w:hanging="284"/>
      </w:pPr>
      <w:r>
        <w:t>Reporting to regulatory authorities;</w:t>
      </w:r>
    </w:p>
    <w:p w14:paraId="7312C314" w14:textId="77777777" w:rsidR="006B59B5" w:rsidRDefault="006B59B5" w:rsidP="007D53B6">
      <w:pPr>
        <w:pStyle w:val="FootnoteText"/>
        <w:numPr>
          <w:ilvl w:val="0"/>
          <w:numId w:val="32"/>
        </w:numPr>
        <w:ind w:left="284" w:hanging="284"/>
      </w:pPr>
      <w:r>
        <w:t>Continuous monitoring of the safety profiles of approved products including signal detection and updating of labelling;</w:t>
      </w:r>
    </w:p>
    <w:p w14:paraId="31D2D5DF" w14:textId="77777777" w:rsidR="006B59B5" w:rsidRDefault="006B59B5" w:rsidP="007D53B6">
      <w:pPr>
        <w:pStyle w:val="FootnoteText"/>
        <w:numPr>
          <w:ilvl w:val="0"/>
          <w:numId w:val="32"/>
        </w:numPr>
        <w:ind w:left="284" w:hanging="284"/>
      </w:pPr>
      <w:r>
        <w:t>Submission of PSURs;</w:t>
      </w:r>
    </w:p>
    <w:p w14:paraId="00638C61" w14:textId="77777777" w:rsidR="006B59B5" w:rsidRDefault="006B59B5" w:rsidP="007D53B6">
      <w:pPr>
        <w:pStyle w:val="FootnoteText"/>
        <w:numPr>
          <w:ilvl w:val="0"/>
          <w:numId w:val="32"/>
        </w:numPr>
        <w:ind w:left="284" w:hanging="284"/>
      </w:pPr>
      <w:r>
        <w:t>Meeting other local regulatory agency requirements.</w:t>
      </w:r>
    </w:p>
  </w:footnote>
  <w:footnote w:id="15">
    <w:p w14:paraId="52991A5B" w14:textId="77777777" w:rsidR="006B59B5" w:rsidRDefault="006B59B5" w:rsidP="006B7D8E">
      <w:pPr>
        <w:pStyle w:val="FootnoteText"/>
      </w:pPr>
      <w:r>
        <w:rPr>
          <w:rStyle w:val="FootnoteReference"/>
        </w:rPr>
        <w:footnoteRef/>
      </w:r>
      <w:r>
        <w:t xml:space="preserve"> </w:t>
      </w:r>
      <w:r w:rsidRPr="007D53B6">
        <w:t>The sponsor must still comply with routine product vigilance and risk minimisation requirements.</w:t>
      </w:r>
    </w:p>
  </w:footnote>
  <w:footnote w:id="16">
    <w:p w14:paraId="388D454A" w14:textId="6CBAA277" w:rsidR="006B59B5" w:rsidRDefault="006B59B5">
      <w:pPr>
        <w:pStyle w:val="FootnoteText"/>
      </w:pPr>
      <w:r>
        <w:rPr>
          <w:rStyle w:val="FootnoteReference"/>
        </w:rPr>
        <w:footnoteRef/>
      </w:r>
      <w:r>
        <w:t xml:space="preserve"> Sponsor clarification: The </w:t>
      </w:r>
      <w:r w:rsidRPr="00EF0E6D">
        <w:t>70% figure relates to the number of subjects who did not meet the pre-specified composite criteria for CFS-OSDI response</w:t>
      </w:r>
      <w:r>
        <w:t>.</w:t>
      </w:r>
    </w:p>
  </w:footnote>
  <w:footnote w:id="17">
    <w:p w14:paraId="5899F39D" w14:textId="12FE5D59" w:rsidR="006B59B5" w:rsidRDefault="006B59B5">
      <w:pPr>
        <w:pStyle w:val="FootnoteText"/>
      </w:pPr>
      <w:r>
        <w:rPr>
          <w:rStyle w:val="FootnoteReference"/>
        </w:rPr>
        <w:footnoteRef/>
      </w:r>
      <w:r>
        <w:t xml:space="preserve"> Statement was made based on first round of risk-benefit analysis of sponsor proposed initial indication. Refer to second round of risk benefit analysis of approved indication on page 30 and 31.</w:t>
      </w:r>
    </w:p>
  </w:footnote>
  <w:footnote w:id="18">
    <w:p w14:paraId="3FA51437" w14:textId="77777777" w:rsidR="006B59B5" w:rsidRDefault="006B59B5"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B05524A" w14:textId="77777777" w:rsidR="006B59B5" w:rsidRPr="00456765" w:rsidRDefault="006B59B5"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19">
    <w:p w14:paraId="163E9DBB" w14:textId="107023D7" w:rsidR="006B59B5" w:rsidRDefault="006B59B5" w:rsidP="007E55CB">
      <w:pPr>
        <w:pStyle w:val="FootnoteText"/>
      </w:pPr>
      <w:r>
        <w:rPr>
          <w:rStyle w:val="FootnoteReference"/>
        </w:rPr>
        <w:footnoteRef/>
      </w:r>
      <w:r>
        <w:t xml:space="preserve"> </w:t>
      </w:r>
      <w:proofErr w:type="spellStart"/>
      <w:r>
        <w:t>Lemp</w:t>
      </w:r>
      <w:proofErr w:type="spellEnd"/>
      <w:r>
        <w:t xml:space="preserve"> MA. Management of dry eye disease. Am J </w:t>
      </w:r>
      <w:proofErr w:type="spellStart"/>
      <w:r>
        <w:t>Mang</w:t>
      </w:r>
      <w:proofErr w:type="spellEnd"/>
      <w:r>
        <w:t xml:space="preserve"> Care. 2008; 14: S88-101</w:t>
      </w:r>
    </w:p>
  </w:footnote>
  <w:footnote w:id="20">
    <w:p w14:paraId="7B35CEB2" w14:textId="77777777" w:rsidR="006B59B5" w:rsidRDefault="006B59B5" w:rsidP="007E55CB">
      <w:pPr>
        <w:pStyle w:val="FootnoteText"/>
      </w:pPr>
      <w:r>
        <w:rPr>
          <w:rStyle w:val="FootnoteReference"/>
        </w:rPr>
        <w:footnoteRef/>
      </w:r>
      <w:r>
        <w:t xml:space="preserve"> </w:t>
      </w:r>
      <w:proofErr w:type="spellStart"/>
      <w:r>
        <w:t>Feder</w:t>
      </w:r>
      <w:proofErr w:type="spellEnd"/>
      <w:r>
        <w:t xml:space="preserve"> et al. American Academy of </w:t>
      </w:r>
      <w:proofErr w:type="spellStart"/>
      <w:r>
        <w:t>Ophtalmology</w:t>
      </w:r>
      <w:proofErr w:type="spellEnd"/>
      <w:r>
        <w:t xml:space="preserve"> Corneal/External Disease Panel. Preferred</w:t>
      </w:r>
    </w:p>
    <w:p w14:paraId="02048C8A" w14:textId="765E1A55" w:rsidR="006B59B5" w:rsidRDefault="006B59B5" w:rsidP="007E55CB">
      <w:pPr>
        <w:pStyle w:val="FootnoteText"/>
      </w:pPr>
      <w:proofErr w:type="spellStart"/>
      <w:r>
        <w:t>Paractive</w:t>
      </w:r>
      <w:proofErr w:type="spellEnd"/>
      <w:r>
        <w:t xml:space="preserve"> Pattern Guidelines. Dry eye Syndrome – Limited Revision. San Francisco 2011</w:t>
      </w:r>
    </w:p>
  </w:footnote>
  <w:footnote w:id="21">
    <w:p w14:paraId="47969EEC" w14:textId="77777777" w:rsidR="006B59B5" w:rsidRDefault="006B59B5" w:rsidP="00837FF2">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85B95B4" w14:textId="77777777" w:rsidR="006B59B5" w:rsidRPr="00456765" w:rsidRDefault="006B59B5" w:rsidP="00837FF2">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B88AF" w14:textId="77777777" w:rsidR="006B59B5" w:rsidRDefault="006B5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56094" w14:textId="77777777" w:rsidR="006B59B5" w:rsidRDefault="006B59B5"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7E0F0" w14:textId="77777777" w:rsidR="006B59B5" w:rsidRDefault="006B59B5">
    <w:pPr>
      <w:rPr>
        <w:noProof/>
        <w:lang w:eastAsia="en-AU"/>
      </w:rPr>
    </w:pPr>
    <w:r w:rsidRPr="00347824">
      <w:rPr>
        <w:noProof/>
        <w:color w:val="2B579A"/>
        <w:shd w:val="clear" w:color="auto" w:fill="E6E6E6"/>
        <w:lang w:eastAsia="en-AU"/>
      </w:rPr>
      <w:drawing>
        <wp:anchor distT="0" distB="0" distL="114300" distR="114300" simplePos="0" relativeHeight="251658240" behindDoc="1" locked="0" layoutInCell="1" allowOverlap="1" wp14:anchorId="20C082E4" wp14:editId="146A1F33">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00D349F" w14:textId="430453A2" w:rsidR="006B59B5" w:rsidRDefault="006B59B5"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1145" w14:textId="77777777" w:rsidR="006B59B5" w:rsidRDefault="006B59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5C0E" w14:textId="77777777" w:rsidR="006B59B5" w:rsidRDefault="006B59B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80BDC" w14:textId="77777777" w:rsidR="006B59B5" w:rsidRDefault="006B59B5">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1FAE9" w14:textId="77777777" w:rsidR="006B59B5" w:rsidRDefault="006B59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0811" w14:textId="77777777" w:rsidR="006B59B5" w:rsidRDefault="006B59B5"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4C8CB" w14:textId="77777777" w:rsidR="006B59B5" w:rsidRDefault="006B59B5" w:rsidP="006E08B3">
    <w:r>
      <w:t>Therapeutic Goods Administration</w:t>
    </w:r>
  </w:p>
  <w:p w14:paraId="0277ECB1" w14:textId="77777777" w:rsidR="006B59B5" w:rsidRDefault="006B59B5"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multilevel"/>
    <w:tmpl w:val="B8320B0A"/>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760AE"/>
    <w:multiLevelType w:val="hybridMultilevel"/>
    <w:tmpl w:val="4E9C26E4"/>
    <w:lvl w:ilvl="0" w:tplc="B67096CC">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AB56939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2C600D7"/>
    <w:multiLevelType w:val="hybridMultilevel"/>
    <w:tmpl w:val="A46EC0C4"/>
    <w:lvl w:ilvl="0" w:tplc="BF10388C">
      <w:start w:val="1"/>
      <w:numFmt w:val="lowerLetter"/>
      <w:lvlText w:val="%1)"/>
      <w:lvlJc w:val="left"/>
      <w:pPr>
        <w:ind w:left="1440" w:hanging="360"/>
      </w:pPr>
      <w:rPr>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3"/>
  </w:num>
  <w:num w:numId="29">
    <w:abstractNumId w:val="7"/>
  </w:num>
  <w:num w:numId="30">
    <w:abstractNumId w:val="10"/>
  </w:num>
  <w:num w:numId="31">
    <w:abstractNumId w:val="4"/>
  </w:num>
  <w:num w:numId="32">
    <w:abstractNumId w:val="12"/>
  </w:num>
  <w:num w:numId="33">
    <w:abstractNumId w:val="5"/>
  </w:num>
  <w:num w:numId="34">
    <w:abstractNumId w:val="9"/>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4B"/>
    <w:rsid w:val="00002031"/>
    <w:rsid w:val="00004734"/>
    <w:rsid w:val="00006B22"/>
    <w:rsid w:val="00006FAB"/>
    <w:rsid w:val="0001038F"/>
    <w:rsid w:val="0001276A"/>
    <w:rsid w:val="00024454"/>
    <w:rsid w:val="000246AE"/>
    <w:rsid w:val="0002515F"/>
    <w:rsid w:val="00025C67"/>
    <w:rsid w:val="00044772"/>
    <w:rsid w:val="0004541C"/>
    <w:rsid w:val="00050253"/>
    <w:rsid w:val="0005559E"/>
    <w:rsid w:val="000604D6"/>
    <w:rsid w:val="00062B99"/>
    <w:rsid w:val="000734D8"/>
    <w:rsid w:val="00077775"/>
    <w:rsid w:val="00077D7C"/>
    <w:rsid w:val="00090471"/>
    <w:rsid w:val="00092E3D"/>
    <w:rsid w:val="00096AA7"/>
    <w:rsid w:val="000A3AED"/>
    <w:rsid w:val="000B3532"/>
    <w:rsid w:val="000B3A75"/>
    <w:rsid w:val="000C00C2"/>
    <w:rsid w:val="000C3741"/>
    <w:rsid w:val="000C4DD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4459"/>
    <w:rsid w:val="00114BB8"/>
    <w:rsid w:val="00122C2E"/>
    <w:rsid w:val="00124ACD"/>
    <w:rsid w:val="00125318"/>
    <w:rsid w:val="001301A8"/>
    <w:rsid w:val="001305A2"/>
    <w:rsid w:val="00133238"/>
    <w:rsid w:val="00133A1B"/>
    <w:rsid w:val="00133D7A"/>
    <w:rsid w:val="0014197B"/>
    <w:rsid w:val="001447CD"/>
    <w:rsid w:val="001516B1"/>
    <w:rsid w:val="0015388A"/>
    <w:rsid w:val="00154EBB"/>
    <w:rsid w:val="00156316"/>
    <w:rsid w:val="00157851"/>
    <w:rsid w:val="00157AB4"/>
    <w:rsid w:val="00161181"/>
    <w:rsid w:val="0016195A"/>
    <w:rsid w:val="00162D14"/>
    <w:rsid w:val="00163780"/>
    <w:rsid w:val="00165389"/>
    <w:rsid w:val="0017693F"/>
    <w:rsid w:val="001776BE"/>
    <w:rsid w:val="0018110E"/>
    <w:rsid w:val="00181684"/>
    <w:rsid w:val="001843C6"/>
    <w:rsid w:val="001850E0"/>
    <w:rsid w:val="001A03AF"/>
    <w:rsid w:val="001A2158"/>
    <w:rsid w:val="001A402F"/>
    <w:rsid w:val="001A525F"/>
    <w:rsid w:val="001B09F9"/>
    <w:rsid w:val="001B5C90"/>
    <w:rsid w:val="001B6448"/>
    <w:rsid w:val="001C32CD"/>
    <w:rsid w:val="001D09DB"/>
    <w:rsid w:val="001D2984"/>
    <w:rsid w:val="001E07CF"/>
    <w:rsid w:val="001E1D94"/>
    <w:rsid w:val="001E59F1"/>
    <w:rsid w:val="001F2CEE"/>
    <w:rsid w:val="001F46D7"/>
    <w:rsid w:val="001F49EB"/>
    <w:rsid w:val="001F6CBA"/>
    <w:rsid w:val="002014C5"/>
    <w:rsid w:val="00201D4E"/>
    <w:rsid w:val="002076C9"/>
    <w:rsid w:val="00212848"/>
    <w:rsid w:val="002132ED"/>
    <w:rsid w:val="00213CAC"/>
    <w:rsid w:val="00220B8A"/>
    <w:rsid w:val="002257F3"/>
    <w:rsid w:val="00231432"/>
    <w:rsid w:val="00233456"/>
    <w:rsid w:val="002339A5"/>
    <w:rsid w:val="00235EC5"/>
    <w:rsid w:val="00236B0F"/>
    <w:rsid w:val="00246EA3"/>
    <w:rsid w:val="00247263"/>
    <w:rsid w:val="00250271"/>
    <w:rsid w:val="002575F0"/>
    <w:rsid w:val="00257848"/>
    <w:rsid w:val="002578E8"/>
    <w:rsid w:val="0027084A"/>
    <w:rsid w:val="00272AE8"/>
    <w:rsid w:val="00275ABB"/>
    <w:rsid w:val="0027667D"/>
    <w:rsid w:val="00280265"/>
    <w:rsid w:val="00286434"/>
    <w:rsid w:val="00286C59"/>
    <w:rsid w:val="002911BF"/>
    <w:rsid w:val="00291957"/>
    <w:rsid w:val="002942D1"/>
    <w:rsid w:val="0029501A"/>
    <w:rsid w:val="002A3721"/>
    <w:rsid w:val="002B1638"/>
    <w:rsid w:val="002B3624"/>
    <w:rsid w:val="002B62C3"/>
    <w:rsid w:val="002C3AB6"/>
    <w:rsid w:val="002D0952"/>
    <w:rsid w:val="002D3D26"/>
    <w:rsid w:val="002E3A7F"/>
    <w:rsid w:val="002E40B3"/>
    <w:rsid w:val="002E4C9A"/>
    <w:rsid w:val="002F11F8"/>
    <w:rsid w:val="002F3461"/>
    <w:rsid w:val="002F3F56"/>
    <w:rsid w:val="002F44B5"/>
    <w:rsid w:val="002F5122"/>
    <w:rsid w:val="003031AD"/>
    <w:rsid w:val="00310C3F"/>
    <w:rsid w:val="00311AC0"/>
    <w:rsid w:val="003176FC"/>
    <w:rsid w:val="00324E45"/>
    <w:rsid w:val="0032583B"/>
    <w:rsid w:val="00327883"/>
    <w:rsid w:val="00331016"/>
    <w:rsid w:val="00332BE8"/>
    <w:rsid w:val="00335504"/>
    <w:rsid w:val="00335664"/>
    <w:rsid w:val="00340B6C"/>
    <w:rsid w:val="00340C18"/>
    <w:rsid w:val="003442FD"/>
    <w:rsid w:val="00347824"/>
    <w:rsid w:val="00350567"/>
    <w:rsid w:val="003521E8"/>
    <w:rsid w:val="00365D7A"/>
    <w:rsid w:val="00370CE3"/>
    <w:rsid w:val="003728F3"/>
    <w:rsid w:val="003735BC"/>
    <w:rsid w:val="0037496E"/>
    <w:rsid w:val="00376D2C"/>
    <w:rsid w:val="00383221"/>
    <w:rsid w:val="00386150"/>
    <w:rsid w:val="003874CE"/>
    <w:rsid w:val="00390900"/>
    <w:rsid w:val="00394C1A"/>
    <w:rsid w:val="003A3B34"/>
    <w:rsid w:val="003A7F6C"/>
    <w:rsid w:val="003B4D60"/>
    <w:rsid w:val="003B7E39"/>
    <w:rsid w:val="003C58DC"/>
    <w:rsid w:val="003D1E62"/>
    <w:rsid w:val="003D2FA3"/>
    <w:rsid w:val="003E0B99"/>
    <w:rsid w:val="003E2486"/>
    <w:rsid w:val="003E3208"/>
    <w:rsid w:val="003F0B04"/>
    <w:rsid w:val="0040134E"/>
    <w:rsid w:val="00410718"/>
    <w:rsid w:val="004334C7"/>
    <w:rsid w:val="00440A2D"/>
    <w:rsid w:val="00441C3F"/>
    <w:rsid w:val="00443561"/>
    <w:rsid w:val="00444D1A"/>
    <w:rsid w:val="004516DB"/>
    <w:rsid w:val="0045186A"/>
    <w:rsid w:val="004556C8"/>
    <w:rsid w:val="004564A7"/>
    <w:rsid w:val="00456765"/>
    <w:rsid w:val="00460036"/>
    <w:rsid w:val="004617BF"/>
    <w:rsid w:val="00463658"/>
    <w:rsid w:val="004637A0"/>
    <w:rsid w:val="004722CC"/>
    <w:rsid w:val="00472591"/>
    <w:rsid w:val="004814D2"/>
    <w:rsid w:val="0048156B"/>
    <w:rsid w:val="00482FBC"/>
    <w:rsid w:val="00490483"/>
    <w:rsid w:val="00490E5A"/>
    <w:rsid w:val="004936E4"/>
    <w:rsid w:val="004938A1"/>
    <w:rsid w:val="00494E60"/>
    <w:rsid w:val="00497487"/>
    <w:rsid w:val="004A1C57"/>
    <w:rsid w:val="004A2771"/>
    <w:rsid w:val="004A6189"/>
    <w:rsid w:val="004A7390"/>
    <w:rsid w:val="004B2C0E"/>
    <w:rsid w:val="004B324B"/>
    <w:rsid w:val="004B7B76"/>
    <w:rsid w:val="004C1063"/>
    <w:rsid w:val="004C239D"/>
    <w:rsid w:val="004C2DCA"/>
    <w:rsid w:val="004C44D0"/>
    <w:rsid w:val="004C4FBE"/>
    <w:rsid w:val="004C61D2"/>
    <w:rsid w:val="004E7FC0"/>
    <w:rsid w:val="004F0C4A"/>
    <w:rsid w:val="004F0F38"/>
    <w:rsid w:val="004F27B4"/>
    <w:rsid w:val="004F47D6"/>
    <w:rsid w:val="00500337"/>
    <w:rsid w:val="00501921"/>
    <w:rsid w:val="00505108"/>
    <w:rsid w:val="00514742"/>
    <w:rsid w:val="005151C2"/>
    <w:rsid w:val="005156C6"/>
    <w:rsid w:val="00521F4C"/>
    <w:rsid w:val="00525ADC"/>
    <w:rsid w:val="00530354"/>
    <w:rsid w:val="0053625B"/>
    <w:rsid w:val="005434C6"/>
    <w:rsid w:val="00543B39"/>
    <w:rsid w:val="00546154"/>
    <w:rsid w:val="005469C9"/>
    <w:rsid w:val="00550096"/>
    <w:rsid w:val="005502D7"/>
    <w:rsid w:val="00555280"/>
    <w:rsid w:val="00557B5B"/>
    <w:rsid w:val="00557FF9"/>
    <w:rsid w:val="00562327"/>
    <w:rsid w:val="005661DD"/>
    <w:rsid w:val="00566779"/>
    <w:rsid w:val="005711D5"/>
    <w:rsid w:val="00576378"/>
    <w:rsid w:val="00577130"/>
    <w:rsid w:val="00577945"/>
    <w:rsid w:val="00577CA4"/>
    <w:rsid w:val="00577E38"/>
    <w:rsid w:val="00580FBF"/>
    <w:rsid w:val="0058250E"/>
    <w:rsid w:val="005826AC"/>
    <w:rsid w:val="00585322"/>
    <w:rsid w:val="005857C6"/>
    <w:rsid w:val="00592F6E"/>
    <w:rsid w:val="00593AD1"/>
    <w:rsid w:val="005A68B6"/>
    <w:rsid w:val="005C5570"/>
    <w:rsid w:val="005C5B66"/>
    <w:rsid w:val="005C79A4"/>
    <w:rsid w:val="005D0637"/>
    <w:rsid w:val="005D5442"/>
    <w:rsid w:val="005D6095"/>
    <w:rsid w:val="005E4FD7"/>
    <w:rsid w:val="005F3416"/>
    <w:rsid w:val="00603F32"/>
    <w:rsid w:val="006050A3"/>
    <w:rsid w:val="00605AD4"/>
    <w:rsid w:val="00611E77"/>
    <w:rsid w:val="0061367F"/>
    <w:rsid w:val="006136D7"/>
    <w:rsid w:val="00617DCD"/>
    <w:rsid w:val="00625A6E"/>
    <w:rsid w:val="00632398"/>
    <w:rsid w:val="006377EC"/>
    <w:rsid w:val="00640FC3"/>
    <w:rsid w:val="00642020"/>
    <w:rsid w:val="006430EE"/>
    <w:rsid w:val="0064544E"/>
    <w:rsid w:val="0065337B"/>
    <w:rsid w:val="0065419D"/>
    <w:rsid w:val="006603BC"/>
    <w:rsid w:val="006604D8"/>
    <w:rsid w:val="00664A5B"/>
    <w:rsid w:val="0066735C"/>
    <w:rsid w:val="00672D37"/>
    <w:rsid w:val="00673997"/>
    <w:rsid w:val="006763D2"/>
    <w:rsid w:val="00676965"/>
    <w:rsid w:val="00680C08"/>
    <w:rsid w:val="00690EC0"/>
    <w:rsid w:val="006916A0"/>
    <w:rsid w:val="006931B1"/>
    <w:rsid w:val="00694C14"/>
    <w:rsid w:val="006A15C0"/>
    <w:rsid w:val="006A58A8"/>
    <w:rsid w:val="006B59B5"/>
    <w:rsid w:val="006B7D8E"/>
    <w:rsid w:val="006C12D0"/>
    <w:rsid w:val="006C3E2A"/>
    <w:rsid w:val="006C642F"/>
    <w:rsid w:val="006C76ED"/>
    <w:rsid w:val="006D03E5"/>
    <w:rsid w:val="006D5D3E"/>
    <w:rsid w:val="006E08B3"/>
    <w:rsid w:val="006E0EF5"/>
    <w:rsid w:val="006F17AC"/>
    <w:rsid w:val="006F25B8"/>
    <w:rsid w:val="006F572E"/>
    <w:rsid w:val="006F712B"/>
    <w:rsid w:val="007046D6"/>
    <w:rsid w:val="00705DB0"/>
    <w:rsid w:val="00710692"/>
    <w:rsid w:val="007137F1"/>
    <w:rsid w:val="00722B57"/>
    <w:rsid w:val="00730F8A"/>
    <w:rsid w:val="00735A8C"/>
    <w:rsid w:val="00740D2C"/>
    <w:rsid w:val="0074253D"/>
    <w:rsid w:val="00744121"/>
    <w:rsid w:val="0074429B"/>
    <w:rsid w:val="00747310"/>
    <w:rsid w:val="007615BC"/>
    <w:rsid w:val="007627E0"/>
    <w:rsid w:val="00762F05"/>
    <w:rsid w:val="007652FF"/>
    <w:rsid w:val="0076694B"/>
    <w:rsid w:val="00770CAC"/>
    <w:rsid w:val="00770EF1"/>
    <w:rsid w:val="00773EF7"/>
    <w:rsid w:val="00774E1D"/>
    <w:rsid w:val="007765D8"/>
    <w:rsid w:val="0077675A"/>
    <w:rsid w:val="00780355"/>
    <w:rsid w:val="007819FD"/>
    <w:rsid w:val="00783FC2"/>
    <w:rsid w:val="00785717"/>
    <w:rsid w:val="00785721"/>
    <w:rsid w:val="007918B7"/>
    <w:rsid w:val="00793A59"/>
    <w:rsid w:val="007958D5"/>
    <w:rsid w:val="007A35F0"/>
    <w:rsid w:val="007A46F5"/>
    <w:rsid w:val="007A6505"/>
    <w:rsid w:val="007A7E31"/>
    <w:rsid w:val="007B6132"/>
    <w:rsid w:val="007B6E9F"/>
    <w:rsid w:val="007C1216"/>
    <w:rsid w:val="007C1AF7"/>
    <w:rsid w:val="007C210B"/>
    <w:rsid w:val="007C2C1B"/>
    <w:rsid w:val="007C6B9B"/>
    <w:rsid w:val="007D53B6"/>
    <w:rsid w:val="007E55CB"/>
    <w:rsid w:val="007E69B2"/>
    <w:rsid w:val="008004C2"/>
    <w:rsid w:val="00805D27"/>
    <w:rsid w:val="00806DCB"/>
    <w:rsid w:val="00821776"/>
    <w:rsid w:val="008321F5"/>
    <w:rsid w:val="00832369"/>
    <w:rsid w:val="00834660"/>
    <w:rsid w:val="00836BC2"/>
    <w:rsid w:val="00837FF2"/>
    <w:rsid w:val="0085156D"/>
    <w:rsid w:val="00852B28"/>
    <w:rsid w:val="008562E5"/>
    <w:rsid w:val="0085641B"/>
    <w:rsid w:val="00857136"/>
    <w:rsid w:val="008655D9"/>
    <w:rsid w:val="00875A6B"/>
    <w:rsid w:val="00877776"/>
    <w:rsid w:val="00881DE5"/>
    <w:rsid w:val="00883652"/>
    <w:rsid w:val="00885B11"/>
    <w:rsid w:val="00886D15"/>
    <w:rsid w:val="00887DD8"/>
    <w:rsid w:val="00891BA9"/>
    <w:rsid w:val="00896018"/>
    <w:rsid w:val="008960DD"/>
    <w:rsid w:val="0089635C"/>
    <w:rsid w:val="008A2B9D"/>
    <w:rsid w:val="008A3D9F"/>
    <w:rsid w:val="008A5E0B"/>
    <w:rsid w:val="008A6D59"/>
    <w:rsid w:val="008B163A"/>
    <w:rsid w:val="008B4B03"/>
    <w:rsid w:val="008B5290"/>
    <w:rsid w:val="008B596F"/>
    <w:rsid w:val="008C159F"/>
    <w:rsid w:val="008C1623"/>
    <w:rsid w:val="008C1850"/>
    <w:rsid w:val="008C4609"/>
    <w:rsid w:val="008C51A9"/>
    <w:rsid w:val="008C7110"/>
    <w:rsid w:val="008E2904"/>
    <w:rsid w:val="008E7579"/>
    <w:rsid w:val="008E7846"/>
    <w:rsid w:val="008F02E5"/>
    <w:rsid w:val="008F1CCC"/>
    <w:rsid w:val="008F2967"/>
    <w:rsid w:val="008F6943"/>
    <w:rsid w:val="00902A21"/>
    <w:rsid w:val="0090712A"/>
    <w:rsid w:val="00907D57"/>
    <w:rsid w:val="0091523F"/>
    <w:rsid w:val="00915244"/>
    <w:rsid w:val="00920330"/>
    <w:rsid w:val="009219D7"/>
    <w:rsid w:val="00922D53"/>
    <w:rsid w:val="00923B70"/>
    <w:rsid w:val="00924482"/>
    <w:rsid w:val="00930237"/>
    <w:rsid w:val="00934E23"/>
    <w:rsid w:val="00937C17"/>
    <w:rsid w:val="00940A89"/>
    <w:rsid w:val="00941F77"/>
    <w:rsid w:val="00944BCB"/>
    <w:rsid w:val="00946EA5"/>
    <w:rsid w:val="00960520"/>
    <w:rsid w:val="00963C08"/>
    <w:rsid w:val="009662FC"/>
    <w:rsid w:val="009752A5"/>
    <w:rsid w:val="0098200D"/>
    <w:rsid w:val="0098585A"/>
    <w:rsid w:val="00994DAB"/>
    <w:rsid w:val="009A1557"/>
    <w:rsid w:val="009A4CED"/>
    <w:rsid w:val="009A690D"/>
    <w:rsid w:val="009B1D12"/>
    <w:rsid w:val="009B416B"/>
    <w:rsid w:val="009C4BD5"/>
    <w:rsid w:val="009D7B77"/>
    <w:rsid w:val="009E0BB0"/>
    <w:rsid w:val="009E3FBB"/>
    <w:rsid w:val="009E5940"/>
    <w:rsid w:val="009F557B"/>
    <w:rsid w:val="009F7353"/>
    <w:rsid w:val="00A04F85"/>
    <w:rsid w:val="00A05FA4"/>
    <w:rsid w:val="00A102E4"/>
    <w:rsid w:val="00A1219C"/>
    <w:rsid w:val="00A12C42"/>
    <w:rsid w:val="00A14DF7"/>
    <w:rsid w:val="00A15E4D"/>
    <w:rsid w:val="00A22D57"/>
    <w:rsid w:val="00A3246D"/>
    <w:rsid w:val="00A36FA7"/>
    <w:rsid w:val="00A42E12"/>
    <w:rsid w:val="00A44DDB"/>
    <w:rsid w:val="00A469BC"/>
    <w:rsid w:val="00A46C5A"/>
    <w:rsid w:val="00A475B7"/>
    <w:rsid w:val="00A47AF7"/>
    <w:rsid w:val="00A47C3E"/>
    <w:rsid w:val="00A50226"/>
    <w:rsid w:val="00A503AB"/>
    <w:rsid w:val="00A57A90"/>
    <w:rsid w:val="00A60BAD"/>
    <w:rsid w:val="00A77F87"/>
    <w:rsid w:val="00A80B5B"/>
    <w:rsid w:val="00A84E36"/>
    <w:rsid w:val="00A86CBE"/>
    <w:rsid w:val="00A92C5B"/>
    <w:rsid w:val="00A964D1"/>
    <w:rsid w:val="00AA0ED0"/>
    <w:rsid w:val="00AA22AB"/>
    <w:rsid w:val="00AA7FD8"/>
    <w:rsid w:val="00AC2B40"/>
    <w:rsid w:val="00AC2BB2"/>
    <w:rsid w:val="00AC2C3C"/>
    <w:rsid w:val="00AC512D"/>
    <w:rsid w:val="00AD0083"/>
    <w:rsid w:val="00AD0EC7"/>
    <w:rsid w:val="00AD2654"/>
    <w:rsid w:val="00AD3935"/>
    <w:rsid w:val="00AE5972"/>
    <w:rsid w:val="00AE65EB"/>
    <w:rsid w:val="00AE67A7"/>
    <w:rsid w:val="00AF1D94"/>
    <w:rsid w:val="00AF60C5"/>
    <w:rsid w:val="00B008FD"/>
    <w:rsid w:val="00B009C6"/>
    <w:rsid w:val="00B00AC8"/>
    <w:rsid w:val="00B01548"/>
    <w:rsid w:val="00B130C5"/>
    <w:rsid w:val="00B13EBD"/>
    <w:rsid w:val="00B21D29"/>
    <w:rsid w:val="00B25034"/>
    <w:rsid w:val="00B31767"/>
    <w:rsid w:val="00B33588"/>
    <w:rsid w:val="00B33863"/>
    <w:rsid w:val="00B34829"/>
    <w:rsid w:val="00B35E8C"/>
    <w:rsid w:val="00B37D17"/>
    <w:rsid w:val="00B4135C"/>
    <w:rsid w:val="00B4175E"/>
    <w:rsid w:val="00B41C85"/>
    <w:rsid w:val="00B452CE"/>
    <w:rsid w:val="00B54C25"/>
    <w:rsid w:val="00B6163E"/>
    <w:rsid w:val="00B63B63"/>
    <w:rsid w:val="00B657B4"/>
    <w:rsid w:val="00B76B91"/>
    <w:rsid w:val="00B77A29"/>
    <w:rsid w:val="00B77EB1"/>
    <w:rsid w:val="00B811C6"/>
    <w:rsid w:val="00B855B0"/>
    <w:rsid w:val="00B92E08"/>
    <w:rsid w:val="00BA0F9F"/>
    <w:rsid w:val="00BA104F"/>
    <w:rsid w:val="00BB0B58"/>
    <w:rsid w:val="00BB28DA"/>
    <w:rsid w:val="00BC622A"/>
    <w:rsid w:val="00BE0A78"/>
    <w:rsid w:val="00BE79F0"/>
    <w:rsid w:val="00BF046D"/>
    <w:rsid w:val="00BF1190"/>
    <w:rsid w:val="00BF3774"/>
    <w:rsid w:val="00BF5D04"/>
    <w:rsid w:val="00C009AA"/>
    <w:rsid w:val="00C07CC4"/>
    <w:rsid w:val="00C1164D"/>
    <w:rsid w:val="00C15F96"/>
    <w:rsid w:val="00C16861"/>
    <w:rsid w:val="00C346AB"/>
    <w:rsid w:val="00C404A6"/>
    <w:rsid w:val="00C40A36"/>
    <w:rsid w:val="00C43A1D"/>
    <w:rsid w:val="00C44419"/>
    <w:rsid w:val="00C45E7B"/>
    <w:rsid w:val="00C471B1"/>
    <w:rsid w:val="00C525A2"/>
    <w:rsid w:val="00C52E24"/>
    <w:rsid w:val="00C62360"/>
    <w:rsid w:val="00C6316B"/>
    <w:rsid w:val="00C634A9"/>
    <w:rsid w:val="00C64586"/>
    <w:rsid w:val="00C70A36"/>
    <w:rsid w:val="00C70D53"/>
    <w:rsid w:val="00C73D0B"/>
    <w:rsid w:val="00C74F5C"/>
    <w:rsid w:val="00C772FF"/>
    <w:rsid w:val="00C80137"/>
    <w:rsid w:val="00C801AF"/>
    <w:rsid w:val="00C80256"/>
    <w:rsid w:val="00C823AB"/>
    <w:rsid w:val="00C838E7"/>
    <w:rsid w:val="00C86AA6"/>
    <w:rsid w:val="00C94CD4"/>
    <w:rsid w:val="00C9747E"/>
    <w:rsid w:val="00CA5902"/>
    <w:rsid w:val="00CA65E7"/>
    <w:rsid w:val="00CB3042"/>
    <w:rsid w:val="00CB6BC0"/>
    <w:rsid w:val="00CC1B7C"/>
    <w:rsid w:val="00CC727F"/>
    <w:rsid w:val="00CF15C3"/>
    <w:rsid w:val="00CF2B6F"/>
    <w:rsid w:val="00CF2F3E"/>
    <w:rsid w:val="00CF58B6"/>
    <w:rsid w:val="00CF5DAD"/>
    <w:rsid w:val="00CF6683"/>
    <w:rsid w:val="00D0062D"/>
    <w:rsid w:val="00D017ED"/>
    <w:rsid w:val="00D040D3"/>
    <w:rsid w:val="00D04C65"/>
    <w:rsid w:val="00D06207"/>
    <w:rsid w:val="00D12304"/>
    <w:rsid w:val="00D153D8"/>
    <w:rsid w:val="00D201D2"/>
    <w:rsid w:val="00D224FE"/>
    <w:rsid w:val="00D22C6F"/>
    <w:rsid w:val="00D23139"/>
    <w:rsid w:val="00D263A6"/>
    <w:rsid w:val="00D31B87"/>
    <w:rsid w:val="00D41B0D"/>
    <w:rsid w:val="00D425BB"/>
    <w:rsid w:val="00D453FA"/>
    <w:rsid w:val="00D54A34"/>
    <w:rsid w:val="00D63FAD"/>
    <w:rsid w:val="00D6493E"/>
    <w:rsid w:val="00D7195D"/>
    <w:rsid w:val="00D7301E"/>
    <w:rsid w:val="00D75F7F"/>
    <w:rsid w:val="00D81D36"/>
    <w:rsid w:val="00D83AE1"/>
    <w:rsid w:val="00D8472E"/>
    <w:rsid w:val="00D855D4"/>
    <w:rsid w:val="00D8608E"/>
    <w:rsid w:val="00D902C9"/>
    <w:rsid w:val="00D93466"/>
    <w:rsid w:val="00D938E2"/>
    <w:rsid w:val="00D975DE"/>
    <w:rsid w:val="00DA1124"/>
    <w:rsid w:val="00DA64CB"/>
    <w:rsid w:val="00DB06B8"/>
    <w:rsid w:val="00DB0D94"/>
    <w:rsid w:val="00DB1D88"/>
    <w:rsid w:val="00DB6124"/>
    <w:rsid w:val="00DB750B"/>
    <w:rsid w:val="00DB75B7"/>
    <w:rsid w:val="00DC0A2F"/>
    <w:rsid w:val="00DC1948"/>
    <w:rsid w:val="00DC6E02"/>
    <w:rsid w:val="00DD28CD"/>
    <w:rsid w:val="00DE02AE"/>
    <w:rsid w:val="00DE23C1"/>
    <w:rsid w:val="00DE39D1"/>
    <w:rsid w:val="00DE72B1"/>
    <w:rsid w:val="00DF1D7F"/>
    <w:rsid w:val="00DF4BE4"/>
    <w:rsid w:val="00E01997"/>
    <w:rsid w:val="00E02382"/>
    <w:rsid w:val="00E02FB4"/>
    <w:rsid w:val="00E056D7"/>
    <w:rsid w:val="00E06B45"/>
    <w:rsid w:val="00E13FC7"/>
    <w:rsid w:val="00E14E4F"/>
    <w:rsid w:val="00E20571"/>
    <w:rsid w:val="00E235F7"/>
    <w:rsid w:val="00E23659"/>
    <w:rsid w:val="00E239D4"/>
    <w:rsid w:val="00E26130"/>
    <w:rsid w:val="00E2696B"/>
    <w:rsid w:val="00E33D42"/>
    <w:rsid w:val="00E40B22"/>
    <w:rsid w:val="00E44ED1"/>
    <w:rsid w:val="00E45619"/>
    <w:rsid w:val="00E4588F"/>
    <w:rsid w:val="00E46DA3"/>
    <w:rsid w:val="00E50086"/>
    <w:rsid w:val="00E517EA"/>
    <w:rsid w:val="00E51BB1"/>
    <w:rsid w:val="00E55CB0"/>
    <w:rsid w:val="00E624A5"/>
    <w:rsid w:val="00E64BA4"/>
    <w:rsid w:val="00E7344E"/>
    <w:rsid w:val="00E82665"/>
    <w:rsid w:val="00E90384"/>
    <w:rsid w:val="00E97B96"/>
    <w:rsid w:val="00EB0798"/>
    <w:rsid w:val="00EB28F8"/>
    <w:rsid w:val="00EB40AD"/>
    <w:rsid w:val="00EB586E"/>
    <w:rsid w:val="00EB5FC8"/>
    <w:rsid w:val="00EB6353"/>
    <w:rsid w:val="00EC463D"/>
    <w:rsid w:val="00EC4B5C"/>
    <w:rsid w:val="00EC7A85"/>
    <w:rsid w:val="00ED1726"/>
    <w:rsid w:val="00ED2922"/>
    <w:rsid w:val="00ED3CAD"/>
    <w:rsid w:val="00ED5A41"/>
    <w:rsid w:val="00EE1DE8"/>
    <w:rsid w:val="00EE27C2"/>
    <w:rsid w:val="00EF0E6D"/>
    <w:rsid w:val="00EF4BAD"/>
    <w:rsid w:val="00EF5901"/>
    <w:rsid w:val="00EF59DC"/>
    <w:rsid w:val="00EF6EB4"/>
    <w:rsid w:val="00EF7DBC"/>
    <w:rsid w:val="00F033EC"/>
    <w:rsid w:val="00F04F68"/>
    <w:rsid w:val="00F12670"/>
    <w:rsid w:val="00F14B27"/>
    <w:rsid w:val="00F24B6A"/>
    <w:rsid w:val="00F3148D"/>
    <w:rsid w:val="00F325C5"/>
    <w:rsid w:val="00F32FE0"/>
    <w:rsid w:val="00F35298"/>
    <w:rsid w:val="00F47333"/>
    <w:rsid w:val="00F47E37"/>
    <w:rsid w:val="00F53C07"/>
    <w:rsid w:val="00F54B65"/>
    <w:rsid w:val="00F63DBF"/>
    <w:rsid w:val="00F640B6"/>
    <w:rsid w:val="00F66DF2"/>
    <w:rsid w:val="00F76B9D"/>
    <w:rsid w:val="00F80E40"/>
    <w:rsid w:val="00F848D9"/>
    <w:rsid w:val="00F8591A"/>
    <w:rsid w:val="00F92170"/>
    <w:rsid w:val="00F97DF4"/>
    <w:rsid w:val="00FA5069"/>
    <w:rsid w:val="00FA5B82"/>
    <w:rsid w:val="00FA639E"/>
    <w:rsid w:val="00FB2149"/>
    <w:rsid w:val="00FC1FCA"/>
    <w:rsid w:val="00FC25E4"/>
    <w:rsid w:val="00FC4EF7"/>
    <w:rsid w:val="00FD0824"/>
    <w:rsid w:val="00FD119B"/>
    <w:rsid w:val="00FD1EDC"/>
    <w:rsid w:val="00FD3029"/>
    <w:rsid w:val="00FD7F7A"/>
    <w:rsid w:val="00FE1DEE"/>
    <w:rsid w:val="00FF2126"/>
    <w:rsid w:val="00FF5755"/>
    <w:rsid w:val="00FF69BE"/>
    <w:rsid w:val="00FF7B93"/>
    <w:rsid w:val="028D218C"/>
    <w:rsid w:val="02AEAE0B"/>
    <w:rsid w:val="05A70765"/>
    <w:rsid w:val="0EFF9046"/>
    <w:rsid w:val="175BD00C"/>
    <w:rsid w:val="1810E30F"/>
    <w:rsid w:val="271CF100"/>
    <w:rsid w:val="3013D852"/>
    <w:rsid w:val="5070B4D0"/>
    <w:rsid w:val="52971A5B"/>
    <w:rsid w:val="60A8E244"/>
    <w:rsid w:val="61C76956"/>
    <w:rsid w:val="7D048B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010D2BE"/>
  <w15:docId w15:val="{99C4530F-6A50-4C55-A349-FFCD8BC0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B59B5"/>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link w:val="ListParagraphChar"/>
    <w:uiPriority w:val="34"/>
    <w:rsid w:val="008E2904"/>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basedOn w:val="DefaultParagraphFont"/>
    <w:link w:val="ListParagraph"/>
    <w:uiPriority w:val="34"/>
    <w:rsid w:val="008E2904"/>
    <w:rPr>
      <w:rFonts w:ascii="Cambria" w:eastAsia="MS Mincho" w:hAnsi="Cambria" w:cs="Times New Roman"/>
      <w:szCs w:val="20"/>
      <w:lang w:eastAsia="ja-JP"/>
    </w:rPr>
  </w:style>
  <w:style w:type="paragraph" w:customStyle="1" w:styleId="Default">
    <w:name w:val="Default"/>
    <w:rsid w:val="00335664"/>
    <w:pPr>
      <w:autoSpaceDE w:val="0"/>
      <w:autoSpaceDN w:val="0"/>
      <w:adjustRightInd w:val="0"/>
      <w:spacing w:after="0" w:line="240" w:lineRule="auto"/>
    </w:pPr>
    <w:rPr>
      <w:rFonts w:ascii="Cambria" w:hAnsi="Cambria" w:cs="Cambria"/>
      <w:color w:val="000000"/>
      <w:sz w:val="24"/>
      <w:szCs w:val="24"/>
    </w:rPr>
  </w:style>
  <w:style w:type="character" w:customStyle="1" w:styleId="Mention1">
    <w:name w:val="Mention1"/>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56408E70-0FDA-4AB4-BC7B-55AF0320ADBF}">
    <t:Anchor>
      <t:Comment id="366481008"/>
    </t:Anchor>
    <t:History>
      <t:Event id="{1841755A-5A49-42ED-A65B-2567532E4A09}" time="2021-02-24T02:44:57.945Z">
        <t:Attribution userId="S::vanessa.mccutcheon@seqirus.com::7b7eabae-81c2-498a-bbba-b1eeb720905f" userProvider="AD" userName="McCutcheon, Vanessa AU/PKV"/>
        <t:Anchor>
          <t:Comment id="366481008"/>
        </t:Anchor>
        <t:Create/>
      </t:Event>
      <t:Event id="{9812971E-B86E-4B3C-803D-17CA88DF4C62}" time="2021-02-24T02:44:57.945Z">
        <t:Attribution userId="S::vanessa.mccutcheon@seqirus.com::7b7eabae-81c2-498a-bbba-b1eeb720905f" userProvider="AD" userName="McCutcheon, Vanessa AU/PKV"/>
        <t:Anchor>
          <t:Comment id="366481008"/>
        </t:Anchor>
        <t:Assign userId="S::jane.deane@seqirus.com::08219a27-9267-498a-aaa1-c65a6327ed84" userProvider="AD" userName="Deane, Jane AU/MEL"/>
      </t:Event>
      <t:Event id="{CA29049A-67F6-41D4-A0DF-E07CF5DF358F}" time="2021-02-24T02:44:57.945Z">
        <t:Attribution userId="S::vanessa.mccutcheon@seqirus.com::7b7eabae-81c2-498a-bbba-b1eeb720905f" userProvider="AD" userName="McCutcheon, Vanessa AU/PKV"/>
        <t:Anchor>
          <t:Comment id="366481008"/>
        </t:Anchor>
        <t:SetTitle title="@Deane, Jane AU/MEL Novasorb is not trademarked in Australia so Im not sure if you want it included in this document or leave it as 'cationic emulsion formulation'"/>
      </t:Event>
    </t:History>
  </t:Task>
  <t:Task id="{C50407AC-BF47-431D-B8AE-3A7E7CBDCF26}">
    <t:Anchor>
      <t:Comment id="584590434"/>
    </t:Anchor>
    <t:History>
      <t:Event id="{25C48DB6-965B-412E-9E97-945357CE4A45}" time="2021-02-24T02:46:28.902Z">
        <t:Attribution userId="S::vanessa.mccutcheon@seqirus.com::7b7eabae-81c2-498a-bbba-b1eeb720905f" userProvider="AD" userName="McCutcheon, Vanessa AU/PKV"/>
        <t:Anchor>
          <t:Comment id="584590434"/>
        </t:Anchor>
        <t:Create/>
      </t:Event>
      <t:Event id="{79C84E6F-B924-4E68-89C7-E39837F7AAD7}" time="2021-02-24T02:46:28.902Z">
        <t:Attribution userId="S::vanessa.mccutcheon@seqirus.com::7b7eabae-81c2-498a-bbba-b1eeb720905f" userProvider="AD" userName="McCutcheon, Vanessa AU/PKV"/>
        <t:Anchor>
          <t:Comment id="584590434"/>
        </t:Anchor>
        <t:Assign userId="S::jane.deane@seqirus.com::08219a27-9267-498a-aaa1-c65a6327ed84" userProvider="AD" userName="Deane, Jane AU/MEL"/>
      </t:Event>
      <t:Event id="{63E71DFD-E537-45D8-848C-38A35994338B}" time="2021-02-24T02:46:28.902Z">
        <t:Attribution userId="S::vanessa.mccutcheon@seqirus.com::7b7eabae-81c2-498a-bbba-b1eeb720905f" userProvider="AD" userName="McCutcheon, Vanessa AU/PKV"/>
        <t:Anchor>
          <t:Comment id="584590434"/>
        </t:Anchor>
        <t:SetTitle title="@Deane, Jane AU/MELWhy is it an extension?"/>
      </t:Event>
    </t:History>
  </t:Task>
  <t:Task id="{719B8E4D-4551-4812-92AB-E456B5814D13}">
    <t:Anchor>
      <t:Comment id="684574131"/>
    </t:Anchor>
    <t:History>
      <t:Event id="{18EA1D0D-52F2-4020-B4DD-DB228E06A79F}" time="2021-02-24T02:59:06.197Z">
        <t:Attribution userId="S::vanessa.mccutcheon@seqirus.com::7b7eabae-81c2-498a-bbba-b1eeb720905f" userProvider="AD" userName="McCutcheon, Vanessa AU/PKV"/>
        <t:Anchor>
          <t:Comment id="684574131"/>
        </t:Anchor>
        <t:Create/>
      </t:Event>
      <t:Event id="{E19CC66A-515E-44B8-9C45-1A00D5F2AF48}" time="2021-02-24T02:59:06.197Z">
        <t:Attribution userId="S::vanessa.mccutcheon@seqirus.com::7b7eabae-81c2-498a-bbba-b1eeb720905f" userProvider="AD" userName="McCutcheon, Vanessa AU/PKV"/>
        <t:Anchor>
          <t:Comment id="684574131"/>
        </t:Anchor>
        <t:Assign userId="S::jane.deane@seqirus.com::08219a27-9267-498a-aaa1-c65a6327ed84" userProvider="AD" userName="Deane, Jane AU/MEL"/>
      </t:Event>
      <t:Event id="{60083DC1-A112-49F8-89D3-C5DB65FF3574}" time="2021-02-24T02:59:06.197Z">
        <t:Attribution userId="S::vanessa.mccutcheon@seqirus.com::7b7eabae-81c2-498a-bbba-b1eeb720905f" userProvider="AD" userName="McCutcheon, Vanessa AU/PKV"/>
        <t:Anchor>
          <t:Comment id="684574131"/>
        </t:Anchor>
        <t:SetTitle title="@Deane, Jane AU/MEL This restriction was not agreed to so I find this confusing to leave it without qualifying it with the outcome that includes Optometrist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17865">
      <w:bodyDiv w:val="1"/>
      <w:marLeft w:val="0"/>
      <w:marRight w:val="0"/>
      <w:marTop w:val="0"/>
      <w:marBottom w:val="0"/>
      <w:divBdr>
        <w:top w:val="none" w:sz="0" w:space="0" w:color="auto"/>
        <w:left w:val="none" w:sz="0" w:space="0" w:color="auto"/>
        <w:bottom w:val="none" w:sz="0" w:space="0" w:color="auto"/>
        <w:right w:val="none" w:sz="0" w:space="0" w:color="auto"/>
      </w:divBdr>
    </w:div>
    <w:div w:id="993752527">
      <w:bodyDiv w:val="1"/>
      <w:marLeft w:val="0"/>
      <w:marRight w:val="0"/>
      <w:marTop w:val="0"/>
      <w:marBottom w:val="0"/>
      <w:divBdr>
        <w:top w:val="none" w:sz="0" w:space="0" w:color="auto"/>
        <w:left w:val="none" w:sz="0" w:space="0" w:color="auto"/>
        <w:bottom w:val="none" w:sz="0" w:space="0" w:color="auto"/>
        <w:right w:val="none" w:sz="0" w:space="0" w:color="auto"/>
      </w:divBdr>
    </w:div>
    <w:div w:id="1205293197">
      <w:bodyDiv w:val="1"/>
      <w:marLeft w:val="0"/>
      <w:marRight w:val="0"/>
      <w:marTop w:val="0"/>
      <w:marBottom w:val="0"/>
      <w:divBdr>
        <w:top w:val="none" w:sz="0" w:space="0" w:color="auto"/>
        <w:left w:val="none" w:sz="0" w:space="0" w:color="auto"/>
        <w:bottom w:val="none" w:sz="0" w:space="0" w:color="auto"/>
        <w:right w:val="none" w:sz="0" w:space="0" w:color="auto"/>
      </w:divBdr>
    </w:div>
    <w:div w:id="1364792183">
      <w:bodyDiv w:val="1"/>
      <w:marLeft w:val="0"/>
      <w:marRight w:val="0"/>
      <w:marTop w:val="0"/>
      <w:marBottom w:val="0"/>
      <w:divBdr>
        <w:top w:val="none" w:sz="0" w:space="0" w:color="auto"/>
        <w:left w:val="none" w:sz="0" w:space="0" w:color="auto"/>
        <w:bottom w:val="none" w:sz="0" w:space="0" w:color="auto"/>
        <w:right w:val="none" w:sz="0" w:space="0" w:color="auto"/>
      </w:divBdr>
    </w:div>
    <w:div w:id="1443845286">
      <w:bodyDiv w:val="1"/>
      <w:marLeft w:val="0"/>
      <w:marRight w:val="0"/>
      <w:marTop w:val="0"/>
      <w:marBottom w:val="0"/>
      <w:divBdr>
        <w:top w:val="none" w:sz="0" w:space="0" w:color="auto"/>
        <w:left w:val="none" w:sz="0" w:space="0" w:color="auto"/>
        <w:bottom w:val="none" w:sz="0" w:space="0" w:color="auto"/>
        <w:right w:val="none" w:sz="0" w:space="0" w:color="auto"/>
      </w:divBdr>
    </w:div>
    <w:div w:id="205326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eader" Target="header6.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emf"/><Relationship Id="rId32" Type="http://schemas.openxmlformats.org/officeDocument/2006/relationships/hyperlink" Target="https://www.tga.gov.au" TargetMode="External"/><Relationship Id="rId37" Type="http://schemas.openxmlformats.org/officeDocument/2006/relationships/footer" Target="footer6.xml"/><Relationship Id="R1864b0108831404b" Type="http://schemas.microsoft.com/office/2019/05/relationships/documenttasks" Target="task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5.xml"/><Relationship Id="Rfce94b70c97c4bfb"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38664\D19-5975236%20%20AusPAR%20-%20template%20-%20streamlined(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1293FC07B11F40B562327533582167" ma:contentTypeVersion="16" ma:contentTypeDescription="Create a new document." ma:contentTypeScope="" ma:versionID="51800080ae4f9bc7d00f41ee14e4f236">
  <xsd:schema xmlns:xsd="http://www.w3.org/2001/XMLSchema" xmlns:xs="http://www.w3.org/2001/XMLSchema" xmlns:p="http://schemas.microsoft.com/office/2006/metadata/properties" xmlns:ns2="7ac09c8e-c26b-4e72-bc1f-22bd5fab6fa7" xmlns:ns3="d30f8f32-45ee-4c7b-80a5-a1b45d09787e" targetNamespace="http://schemas.microsoft.com/office/2006/metadata/properties" ma:root="true" ma:fieldsID="0cb1517ef74e0814e970d271342eeb91" ns2:_="" ns3:_="">
    <xsd:import namespace="7ac09c8e-c26b-4e72-bc1f-22bd5fab6fa7"/>
    <xsd:import namespace="d30f8f32-45ee-4c7b-80a5-a1b45d0978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09c8e-c26b-4e72-bc1f-22bd5fab6fa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0f8f32-45ee-4c7b-80a5-a1b45d09787e"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9C04D-0FBE-4DB6-B4AD-8EFEAADBD067}">
  <ds:schemaRefs>
    <ds:schemaRef ds:uri="http://schemas.microsoft.com/sharepoint/v3/contenttype/forms"/>
  </ds:schemaRefs>
</ds:datastoreItem>
</file>

<file path=customXml/itemProps2.xml><?xml version="1.0" encoding="utf-8"?>
<ds:datastoreItem xmlns:ds="http://schemas.openxmlformats.org/officeDocument/2006/customXml" ds:itemID="{AD5396F5-C68B-4265-A5D2-FEE94576C106}">
  <ds:schemaRefs>
    <ds:schemaRef ds:uri="http://purl.org/dc/elements/1.1/"/>
    <ds:schemaRef ds:uri="http://schemas.microsoft.com/office/infopath/2007/PartnerControls"/>
    <ds:schemaRef ds:uri="d30f8f32-45ee-4c7b-80a5-a1b45d09787e"/>
    <ds:schemaRef ds:uri="http://purl.org/dc/terms/"/>
    <ds:schemaRef ds:uri="http://schemas.microsoft.com/office/2006/metadata/properties"/>
    <ds:schemaRef ds:uri="http://schemas.microsoft.com/office/2006/documentManagement/types"/>
    <ds:schemaRef ds:uri="http://schemas.openxmlformats.org/package/2006/metadata/core-properties"/>
    <ds:schemaRef ds:uri="7ac09c8e-c26b-4e72-bc1f-22bd5fab6fa7"/>
    <ds:schemaRef ds:uri="http://www.w3.org/XML/1998/namespace"/>
    <ds:schemaRef ds:uri="http://purl.org/dc/dcmitype/"/>
  </ds:schemaRefs>
</ds:datastoreItem>
</file>

<file path=customXml/itemProps3.xml><?xml version="1.0" encoding="utf-8"?>
<ds:datastoreItem xmlns:ds="http://schemas.openxmlformats.org/officeDocument/2006/customXml" ds:itemID="{D0BCC05F-2444-4F6C-AA9F-ABCB31B28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09c8e-c26b-4e72-bc1f-22bd5fab6fa7"/>
    <ds:schemaRef ds:uri="d30f8f32-45ee-4c7b-80a5-a1b45d097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13058-30B8-4CAB-96E8-7FE220F6C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streamlined(2).DOTX</Template>
  <TotalTime>29</TotalTime>
  <Pages>32</Pages>
  <Words>11658</Words>
  <Characters>63770</Characters>
  <Application>Microsoft Office Word</Application>
  <DocSecurity>0</DocSecurity>
  <Lines>1328</Lines>
  <Paragraphs>613</Paragraphs>
  <ScaleCrop>false</ScaleCrop>
  <HeadingPairs>
    <vt:vector size="2" baseType="variant">
      <vt:variant>
        <vt:lpstr>Title</vt:lpstr>
      </vt:variant>
      <vt:variant>
        <vt:i4>1</vt:i4>
      </vt:variant>
    </vt:vector>
  </HeadingPairs>
  <TitlesOfParts>
    <vt:vector size="1" baseType="lpstr">
      <vt:lpstr>Australian public assessment report for Ciclosporin</vt:lpstr>
    </vt:vector>
  </TitlesOfParts>
  <Company>Department of Health Therapeutic Goods Administration</Company>
  <LinksUpToDate>false</LinksUpToDate>
  <CharactersWithSpaces>74815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Ciclosporin</dc:title>
  <dc:subject>prescription medicines</dc:subject>
  <dc:creator>Therapeutic Goods Administration</dc:creator>
  <cp:keywords/>
  <cp:lastPrinted>2019-08-14T04:30:00Z</cp:lastPrinted>
  <dcterms:created xsi:type="dcterms:W3CDTF">2021-04-19T03:52:00Z</dcterms:created>
  <dcterms:modified xsi:type="dcterms:W3CDTF">2021-04-19T04:22:00Z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0x010100871293FC07B11F40B562327533582167</vt:lpwstr>
  </property>
</Properties>
</file>