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14068777"/>
    <w:bookmarkStart w:id="1" w:name="_Toc514068782"/>
    <w:bookmarkStart w:id="2" w:name="_Toc514068922"/>
    <w:bookmarkStart w:id="3" w:name="_Toc514071357"/>
    <w:bookmarkStart w:id="4" w:name="_Toc514071396"/>
    <w:bookmarkStart w:id="5" w:name="_GoBack"/>
    <w:bookmarkEnd w:id="5"/>
    <w:p w:rsidR="008512B8" w:rsidRDefault="008512B8" w:rsidP="008512B8">
      <w:pPr>
        <w:tabs>
          <w:tab w:val="left" w:pos="284"/>
        </w:tabs>
        <w:spacing w:after="480" w:line="240" w:lineRule="auto"/>
        <w:rPr>
          <w:rFonts w:ascii="Calibri Light" w:hAnsi="Calibri Light"/>
        </w:rPr>
      </w:pPr>
      <w:r>
        <w:rPr>
          <w:noProof/>
        </w:rPr>
      </w:r>
      <w:r w:rsidR="00E5359C">
        <w:pict>
          <v:shapetype id="_x0000_t202" coordsize="21600,21600" o:spt="202" path="m,l,21600r21600,l21600,xe">
            <v:stroke joinstyle="miter"/>
            <v:path gradientshapeok="t" o:connecttype="rect"/>
          </v:shapetype>
          <v:shape id="Text Box 1" o:spid="_x0000_s1026" type="#_x0000_t202" style="width:19.2pt;height:20.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rsidR="008512B8" w:rsidRPr="00BE2A26" w:rsidRDefault="008512B8" w:rsidP="008512B8">
                  <w:pPr>
                    <w:spacing w:after="0"/>
                    <w:rPr>
                      <w:rFonts w:ascii="Wingdings 3" w:hAnsi="Wingdings 3"/>
                    </w:rPr>
                  </w:pPr>
                  <w:r w:rsidRPr="00BE2A26">
                    <w:rPr>
                      <w:rFonts w:ascii="SimSun" w:eastAsia="SimSun" w:hAnsi="SimSun" w:cs="Arial" w:hint="eastAsia"/>
                      <w:sz w:val="40"/>
                    </w:rPr>
                    <w:t>▼</w:t>
                  </w:r>
                </w:p>
              </w:txbxContent>
            </v:textbox>
            <w10:wrap type="none"/>
            <w10:anchorlock/>
          </v:shape>
        </w:pict>
      </w:r>
      <w:r w:rsidR="00E5359C">
        <w:t xml:space="preserve"> </w:t>
      </w:r>
      <w:r w:rsidRPr="008512B8">
        <w:rPr>
          <w:rFonts w:ascii="Calibri Light" w:hAnsi="Calibri Light"/>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031E2A" w:rsidRPr="00752FEA">
          <w:rPr>
            <w:rStyle w:val="Hyperlink"/>
            <w:rFonts w:ascii="Calibri Light" w:hAnsi="Calibri Light"/>
          </w:rPr>
          <w:t>www.tga.gov.au/reporting-problems</w:t>
        </w:r>
      </w:hyperlink>
    </w:p>
    <w:p w:rsidR="00D15CE2" w:rsidRPr="003137AE" w:rsidRDefault="0062775F" w:rsidP="00C500A6">
      <w:pPr>
        <w:pStyle w:val="DocumentText"/>
        <w:rPr>
          <w:b/>
          <w:sz w:val="28"/>
          <w:szCs w:val="28"/>
        </w:rPr>
      </w:pPr>
      <w:r w:rsidRPr="00C500A6">
        <w:rPr>
          <w:b/>
          <w:sz w:val="28"/>
          <w:szCs w:val="28"/>
        </w:rPr>
        <w:t xml:space="preserve">AUSTRALIAN </w:t>
      </w:r>
      <w:r w:rsidR="00DD62DE" w:rsidRPr="00C500A6">
        <w:rPr>
          <w:b/>
          <w:sz w:val="28"/>
          <w:szCs w:val="28"/>
        </w:rPr>
        <w:t xml:space="preserve">PRODUCT INFORMATION – </w:t>
      </w:r>
      <w:bookmarkEnd w:id="0"/>
      <w:bookmarkEnd w:id="1"/>
      <w:bookmarkEnd w:id="2"/>
      <w:bookmarkEnd w:id="3"/>
      <w:bookmarkEnd w:id="4"/>
      <w:r w:rsidR="00690C9C">
        <w:rPr>
          <w:b/>
          <w:sz w:val="28"/>
          <w:szCs w:val="28"/>
        </w:rPr>
        <w:t>IKERVIS</w:t>
      </w:r>
      <w:r w:rsidR="00690C9C" w:rsidRPr="003137AE">
        <w:rPr>
          <w:b/>
          <w:sz w:val="28"/>
          <w:szCs w:val="28"/>
          <w:vertAlign w:val="superscript"/>
        </w:rPr>
        <w:t>®</w:t>
      </w:r>
      <w:r w:rsidR="00031E2A">
        <w:rPr>
          <w:b/>
          <w:sz w:val="28"/>
          <w:szCs w:val="28"/>
        </w:rPr>
        <w:t xml:space="preserve"> (CICLOSPORIN) EYE DROPS, EMULSION</w:t>
      </w:r>
    </w:p>
    <w:p w:rsidR="00DD62DE" w:rsidRDefault="00DD62DE" w:rsidP="00C500A6">
      <w:pPr>
        <w:pStyle w:val="Heading1"/>
      </w:pPr>
      <w:bookmarkStart w:id="6" w:name="_Toc514068924"/>
      <w:bookmarkStart w:id="7" w:name="_Toc514070591"/>
      <w:bookmarkStart w:id="8" w:name="_Toc514071358"/>
      <w:bookmarkStart w:id="9" w:name="_Toc514071397"/>
      <w:r w:rsidRPr="00C04558">
        <w:t>NAME OF THE MEDICINE</w:t>
      </w:r>
      <w:bookmarkEnd w:id="6"/>
      <w:bookmarkEnd w:id="7"/>
      <w:bookmarkEnd w:id="8"/>
      <w:bookmarkEnd w:id="9"/>
    </w:p>
    <w:p w:rsidR="00064E07" w:rsidRPr="00064E07" w:rsidRDefault="00690C9C" w:rsidP="00064E07">
      <w:pPr>
        <w:pStyle w:val="DocumentText"/>
        <w:rPr>
          <w:rFonts w:eastAsia="MS Mincho"/>
        </w:rPr>
      </w:pPr>
      <w:r>
        <w:rPr>
          <w:rFonts w:eastAsia="MS Mincho"/>
        </w:rPr>
        <w:t>Ciclosporin</w:t>
      </w:r>
    </w:p>
    <w:p w:rsidR="00DD62DE" w:rsidRPr="00C04558" w:rsidRDefault="00DD62DE" w:rsidP="004951CE">
      <w:pPr>
        <w:pStyle w:val="Heading1"/>
        <w:rPr>
          <w:rFonts w:eastAsia="MS Mincho"/>
        </w:rPr>
      </w:pPr>
      <w:bookmarkStart w:id="10" w:name="_Toc514070592"/>
      <w:bookmarkStart w:id="11" w:name="_Toc514071359"/>
      <w:bookmarkStart w:id="12" w:name="_Toc514071398"/>
      <w:r w:rsidRPr="00C04558">
        <w:t>QUALITATIVE AND QUANTITATIVE COMPOSITION</w:t>
      </w:r>
      <w:bookmarkEnd w:id="10"/>
      <w:bookmarkEnd w:id="11"/>
      <w:bookmarkEnd w:id="12"/>
    </w:p>
    <w:p w:rsidR="00B01650" w:rsidRPr="00B01650" w:rsidRDefault="00B01650" w:rsidP="00B01650">
      <w:pPr>
        <w:pStyle w:val="DocumentText"/>
        <w:rPr>
          <w:rFonts w:eastAsia="MS Mincho"/>
        </w:rPr>
      </w:pPr>
      <w:r w:rsidRPr="00B01650">
        <w:rPr>
          <w:rFonts w:eastAsia="MS Mincho"/>
        </w:rPr>
        <w:t xml:space="preserve">One mL of </w:t>
      </w:r>
      <w:r>
        <w:rPr>
          <w:rFonts w:eastAsia="MS Mincho"/>
        </w:rPr>
        <w:t>IKERVIS</w:t>
      </w:r>
      <w:r>
        <w:rPr>
          <w:rFonts w:eastAsia="MS Mincho"/>
          <w:vertAlign w:val="superscript"/>
        </w:rPr>
        <w:t>®</w:t>
      </w:r>
      <w:r>
        <w:rPr>
          <w:rFonts w:eastAsia="MS Mincho"/>
        </w:rPr>
        <w:t xml:space="preserve"> </w:t>
      </w:r>
      <w:r w:rsidRPr="00B01650">
        <w:rPr>
          <w:rFonts w:eastAsia="MS Mincho"/>
        </w:rPr>
        <w:t xml:space="preserve">emulsion contains 1 mg </w:t>
      </w:r>
      <w:r w:rsidR="00F875E0">
        <w:rPr>
          <w:rFonts w:eastAsia="MS Mincho"/>
        </w:rPr>
        <w:t xml:space="preserve">(0.1%) </w:t>
      </w:r>
      <w:r w:rsidRPr="00B01650">
        <w:rPr>
          <w:rFonts w:eastAsia="MS Mincho"/>
        </w:rPr>
        <w:t>of ciclosporin.</w:t>
      </w:r>
    </w:p>
    <w:p w:rsidR="00DD62DE" w:rsidRPr="003137AE" w:rsidRDefault="00DD62DE" w:rsidP="00DD62DE">
      <w:pPr>
        <w:pStyle w:val="DocumentText"/>
        <w:rPr>
          <w:rFonts w:eastAsia="MS Mincho"/>
        </w:rPr>
      </w:pPr>
      <w:r w:rsidRPr="00C04558">
        <w:rPr>
          <w:rFonts w:eastAsia="MS Mincho"/>
        </w:rPr>
        <w:t>For the full list of excipients, see Section 6.1</w:t>
      </w:r>
      <w:r w:rsidR="00EE72FE">
        <w:rPr>
          <w:rFonts w:eastAsia="MS Mincho"/>
        </w:rPr>
        <w:t xml:space="preserve"> </w:t>
      </w:r>
      <w:r w:rsidR="00031E2A" w:rsidRPr="00EE72FE">
        <w:rPr>
          <w:rFonts w:eastAsia="MS Mincho"/>
        </w:rPr>
        <w:fldChar w:fldCharType="begin"/>
      </w:r>
      <w:r w:rsidR="00E566CE" w:rsidRPr="00662FAD">
        <w:rPr>
          <w:rFonts w:eastAsia="MS Mincho"/>
        </w:rPr>
        <w:instrText xml:space="preserve"> REF _Ref54614464 \h        \* MERGEFORMAT </w:instrText>
      </w:r>
      <w:r w:rsidR="00031E2A" w:rsidRPr="00662FAD">
        <w:rPr>
          <w:rFonts w:eastAsia="MS Mincho"/>
        </w:rPr>
        <w:fldChar w:fldCharType="separate"/>
      </w:r>
      <w:r w:rsidR="00031E2A" w:rsidRPr="00EE72FE">
        <w:rPr>
          <w:rFonts w:eastAsia="MS Mincho"/>
        </w:rPr>
        <w:t>LIST OF EXCIPIENTS</w:t>
      </w:r>
      <w:r w:rsidR="00031E2A" w:rsidRPr="00EE72FE">
        <w:rPr>
          <w:rFonts w:eastAsia="MS Mincho"/>
        </w:rPr>
        <w:fldChar w:fldCharType="end"/>
      </w:r>
      <w:r w:rsidRPr="003137AE">
        <w:rPr>
          <w:rFonts w:eastAsia="MS Mincho"/>
        </w:rPr>
        <w:t xml:space="preserve">. </w:t>
      </w:r>
    </w:p>
    <w:p w:rsidR="00DD62DE" w:rsidRDefault="00DD62DE" w:rsidP="004951CE">
      <w:pPr>
        <w:pStyle w:val="Heading1"/>
      </w:pPr>
      <w:bookmarkStart w:id="13" w:name="_Toc514070593"/>
      <w:bookmarkStart w:id="14" w:name="_Toc514071360"/>
      <w:bookmarkStart w:id="15" w:name="_Toc514071399"/>
      <w:r w:rsidRPr="00C04558">
        <w:t>PHARMACEUTICAL FORM</w:t>
      </w:r>
      <w:bookmarkEnd w:id="13"/>
      <w:bookmarkEnd w:id="14"/>
      <w:bookmarkEnd w:id="15"/>
    </w:p>
    <w:p w:rsidR="00B01650" w:rsidRDefault="00B01650" w:rsidP="00B01650">
      <w:pPr>
        <w:pStyle w:val="DocumentText"/>
      </w:pPr>
      <w:r>
        <w:t>Eye drops, emulsion.</w:t>
      </w:r>
    </w:p>
    <w:p w:rsidR="00690C9C" w:rsidRPr="00690C9C" w:rsidRDefault="00B01650" w:rsidP="00B01650">
      <w:pPr>
        <w:pStyle w:val="DocumentText"/>
      </w:pPr>
      <w:r>
        <w:t>Milky white</w:t>
      </w:r>
      <w:r w:rsidR="00F875E0">
        <w:t xml:space="preserve"> liquid</w:t>
      </w:r>
      <w:r>
        <w:t>.</w:t>
      </w:r>
    </w:p>
    <w:p w:rsidR="00DD62DE" w:rsidRPr="00C04558" w:rsidRDefault="00DD62DE" w:rsidP="004951CE">
      <w:pPr>
        <w:pStyle w:val="Heading1"/>
      </w:pPr>
      <w:bookmarkStart w:id="16" w:name="_Toc514070594"/>
      <w:bookmarkStart w:id="17" w:name="_Toc514071361"/>
      <w:bookmarkStart w:id="18" w:name="_Toc514071400"/>
      <w:r w:rsidRPr="00C04558">
        <w:t>CLINICAL PARTICULARS</w:t>
      </w:r>
      <w:bookmarkEnd w:id="16"/>
      <w:bookmarkEnd w:id="17"/>
      <w:bookmarkEnd w:id="18"/>
    </w:p>
    <w:p w:rsidR="00064E07" w:rsidRDefault="00DD62DE" w:rsidP="00D93415">
      <w:pPr>
        <w:pStyle w:val="Heading2"/>
      </w:pPr>
      <w:bookmarkStart w:id="19" w:name="_Toc514070595"/>
      <w:bookmarkStart w:id="20" w:name="_Toc514071362"/>
      <w:bookmarkStart w:id="21" w:name="_Toc514071401"/>
      <w:r w:rsidRPr="00D93415">
        <w:t>THERAPEUTIC</w:t>
      </w:r>
      <w:r w:rsidRPr="00C04558">
        <w:t xml:space="preserve"> INDICATIONS</w:t>
      </w:r>
      <w:bookmarkEnd w:id="19"/>
      <w:bookmarkEnd w:id="20"/>
      <w:bookmarkEnd w:id="21"/>
    </w:p>
    <w:p w:rsidR="00566C1F" w:rsidRPr="00566C1F" w:rsidRDefault="00FB095B" w:rsidP="00566C1F">
      <w:pPr>
        <w:pStyle w:val="DocumentText"/>
      </w:pPr>
      <w:r w:rsidRPr="00FB095B">
        <w:rPr>
          <w:iCs/>
          <w:szCs w:val="22"/>
        </w:rPr>
        <w:t>Treatment of severe keratitis in adult patients with dry eye disease which has not improved despite treatment with tear substitutes</w:t>
      </w:r>
      <w:r>
        <w:rPr>
          <w:iCs/>
          <w:szCs w:val="22"/>
        </w:rPr>
        <w:t>.</w:t>
      </w:r>
    </w:p>
    <w:p w:rsidR="00DD62DE" w:rsidRDefault="00DD62DE" w:rsidP="004951CE">
      <w:pPr>
        <w:pStyle w:val="Heading2"/>
      </w:pPr>
      <w:bookmarkStart w:id="22" w:name="_Toc514070596"/>
      <w:bookmarkStart w:id="23" w:name="_Toc514071363"/>
      <w:bookmarkStart w:id="24" w:name="_Toc514071402"/>
      <w:bookmarkStart w:id="25" w:name="_Ref54616122"/>
      <w:r w:rsidRPr="00C04558">
        <w:lastRenderedPageBreak/>
        <w:t>DOSE AND METHOD OF ADMINISTRATION</w:t>
      </w:r>
      <w:bookmarkEnd w:id="22"/>
      <w:bookmarkEnd w:id="23"/>
      <w:bookmarkEnd w:id="24"/>
      <w:bookmarkEnd w:id="25"/>
      <w:r w:rsidRPr="00C04558">
        <w:t xml:space="preserve"> </w:t>
      </w:r>
    </w:p>
    <w:p w:rsidR="00E955AB" w:rsidRPr="00E955AB" w:rsidRDefault="00E955AB" w:rsidP="00B01650">
      <w:pPr>
        <w:pStyle w:val="Heading3"/>
        <w:rPr>
          <w:b w:val="0"/>
          <w:u w:val="none"/>
        </w:rPr>
      </w:pPr>
      <w:r w:rsidRPr="00E955AB">
        <w:rPr>
          <w:b w:val="0"/>
          <w:u w:val="none"/>
        </w:rPr>
        <w:t>Treatment should be initiated by an ophthalmologist or appropriately qualified healthcare professional with expertise in the diagnosis, assessment and treatment of keratitis associated with dry eye disease (see Section 4.4 SPECIAL PRECAUTIONS AND WARNINGS FOR USE).</w:t>
      </w:r>
    </w:p>
    <w:p w:rsidR="00B01650" w:rsidRDefault="00B01650" w:rsidP="00B01650">
      <w:pPr>
        <w:pStyle w:val="Heading3"/>
      </w:pPr>
      <w:r>
        <w:t>Dosage</w:t>
      </w:r>
    </w:p>
    <w:p w:rsidR="00B01650" w:rsidRPr="00B01650" w:rsidRDefault="00B01650" w:rsidP="00B01650">
      <w:pPr>
        <w:pStyle w:val="DocumentText"/>
        <w:rPr>
          <w:i/>
        </w:rPr>
      </w:pPr>
      <w:r w:rsidRPr="00B01650">
        <w:rPr>
          <w:i/>
        </w:rPr>
        <w:t>Adults</w:t>
      </w:r>
    </w:p>
    <w:p w:rsidR="00B01650" w:rsidRDefault="00B01650" w:rsidP="00B01650">
      <w:pPr>
        <w:pStyle w:val="DocumentText"/>
      </w:pPr>
      <w:r>
        <w:t>The recommended dose is one drop of IKERVIS</w:t>
      </w:r>
      <w:r w:rsidR="00FB362D">
        <w:rPr>
          <w:vertAlign w:val="superscript"/>
        </w:rPr>
        <w:t>®</w:t>
      </w:r>
      <w:r>
        <w:t xml:space="preserve"> once daily to be applied to the affected eye(s) at bedtime.</w:t>
      </w:r>
    </w:p>
    <w:p w:rsidR="00792724" w:rsidRDefault="00B01650" w:rsidP="00B01650">
      <w:pPr>
        <w:pStyle w:val="DocumentText"/>
      </w:pPr>
      <w:r>
        <w:t>Response to treatment should be reassessed at least every 6 months.</w:t>
      </w:r>
    </w:p>
    <w:p w:rsidR="00B01650" w:rsidRPr="00B01650" w:rsidRDefault="00B01650" w:rsidP="00B01650">
      <w:pPr>
        <w:pStyle w:val="DocumentText"/>
      </w:pPr>
      <w:r>
        <w:t xml:space="preserve">If a dose is missed, treatment should be continued on the next day as normal. Patients should be advised not to </w:t>
      </w:r>
      <w:r w:rsidR="00FB362D">
        <w:t>instil</w:t>
      </w:r>
      <w:r>
        <w:t xml:space="preserve"> more than one drop in the affected eye(s).</w:t>
      </w:r>
    </w:p>
    <w:p w:rsidR="008A4706" w:rsidRPr="00B01650" w:rsidRDefault="008A4706" w:rsidP="00B01650">
      <w:pPr>
        <w:pStyle w:val="DocumentText"/>
        <w:rPr>
          <w:rFonts w:eastAsia="MS Mincho"/>
          <w:i/>
        </w:rPr>
      </w:pPr>
      <w:r w:rsidRPr="00B01650">
        <w:rPr>
          <w:rFonts w:eastAsia="MS Mincho"/>
          <w:i/>
        </w:rPr>
        <w:t>Paediatric Patients</w:t>
      </w:r>
    </w:p>
    <w:p w:rsidR="00690C9C" w:rsidRPr="00690C9C" w:rsidRDefault="00B01650" w:rsidP="00690C9C">
      <w:pPr>
        <w:pStyle w:val="DocumentText"/>
        <w:rPr>
          <w:rFonts w:eastAsia="MS Mincho"/>
        </w:rPr>
      </w:pPr>
      <w:r>
        <w:rPr>
          <w:rFonts w:eastAsia="MS Mincho"/>
        </w:rPr>
        <w:t>IKERVIS</w:t>
      </w:r>
      <w:r w:rsidR="00FB362D">
        <w:rPr>
          <w:rFonts w:eastAsia="MS Mincho"/>
          <w:vertAlign w:val="superscript"/>
        </w:rPr>
        <w:t>®</w:t>
      </w:r>
      <w:r>
        <w:rPr>
          <w:rFonts w:eastAsia="MS Mincho"/>
        </w:rPr>
        <w:t xml:space="preserve"> has not been studie</w:t>
      </w:r>
      <w:r w:rsidR="009F2ED5">
        <w:rPr>
          <w:rFonts w:eastAsia="MS Mincho"/>
        </w:rPr>
        <w:t>d</w:t>
      </w:r>
      <w:r>
        <w:rPr>
          <w:rFonts w:eastAsia="MS Mincho"/>
        </w:rPr>
        <w:t xml:space="preserve"> in patients below 18 years of age.</w:t>
      </w:r>
    </w:p>
    <w:p w:rsidR="00DD62DE" w:rsidRPr="00B01650" w:rsidRDefault="00DD62DE" w:rsidP="00B01650">
      <w:pPr>
        <w:pStyle w:val="DocumentText"/>
        <w:rPr>
          <w:rFonts w:eastAsia="MS Mincho"/>
          <w:i/>
        </w:rPr>
      </w:pPr>
      <w:r w:rsidRPr="00B01650">
        <w:rPr>
          <w:rFonts w:eastAsia="MS Mincho"/>
          <w:i/>
        </w:rPr>
        <w:t>Elderly Patients</w:t>
      </w:r>
    </w:p>
    <w:p w:rsidR="008A4706" w:rsidRDefault="00B01650" w:rsidP="008A4706">
      <w:pPr>
        <w:pStyle w:val="DocumentText"/>
        <w:rPr>
          <w:rFonts w:eastAsia="MS Mincho"/>
        </w:rPr>
      </w:pPr>
      <w:r>
        <w:rPr>
          <w:rFonts w:eastAsia="MS Mincho"/>
        </w:rPr>
        <w:t>The elderly population has been studie</w:t>
      </w:r>
      <w:r w:rsidR="009F2ED5">
        <w:rPr>
          <w:rFonts w:eastAsia="MS Mincho"/>
        </w:rPr>
        <w:t>d</w:t>
      </w:r>
      <w:r w:rsidR="0056365D">
        <w:rPr>
          <w:rFonts w:eastAsia="MS Mincho"/>
        </w:rPr>
        <w:t xml:space="preserve"> in clinical studies. </w:t>
      </w:r>
      <w:r w:rsidR="008A4706" w:rsidRPr="008A4706">
        <w:rPr>
          <w:rFonts w:eastAsia="MS Mincho"/>
        </w:rPr>
        <w:t>No dosage adjustment is required</w:t>
      </w:r>
      <w:r>
        <w:rPr>
          <w:rFonts w:eastAsia="MS Mincho"/>
        </w:rPr>
        <w:t>.</w:t>
      </w:r>
    </w:p>
    <w:p w:rsidR="008A4706" w:rsidRPr="00B01650" w:rsidRDefault="008A4706" w:rsidP="00B01650">
      <w:pPr>
        <w:pStyle w:val="DocumentText"/>
        <w:rPr>
          <w:rFonts w:eastAsia="MS Mincho"/>
          <w:i/>
        </w:rPr>
      </w:pPr>
      <w:r w:rsidRPr="00B01650">
        <w:rPr>
          <w:rFonts w:eastAsia="MS Mincho"/>
          <w:i/>
        </w:rPr>
        <w:t>Renal Impairment</w:t>
      </w:r>
    </w:p>
    <w:p w:rsidR="00A85193" w:rsidRDefault="008B0724" w:rsidP="00B01650">
      <w:pPr>
        <w:pStyle w:val="DocumentText"/>
        <w:rPr>
          <w:rFonts w:eastAsia="MS Mincho"/>
        </w:rPr>
      </w:pPr>
      <w:r w:rsidRPr="008B0724">
        <w:rPr>
          <w:rFonts w:eastAsia="MS Mincho"/>
        </w:rPr>
        <w:t>The effect of IKERVIS has not been studied in patients with renal impairment. However, no special considerations are needed in these populations.</w:t>
      </w:r>
    </w:p>
    <w:p w:rsidR="008A4706" w:rsidRPr="00B01650" w:rsidRDefault="008A4706" w:rsidP="00B01650">
      <w:pPr>
        <w:pStyle w:val="DocumentText"/>
        <w:rPr>
          <w:rFonts w:eastAsia="MS Mincho"/>
          <w:i/>
        </w:rPr>
      </w:pPr>
      <w:r w:rsidRPr="00B01650">
        <w:rPr>
          <w:rFonts w:eastAsia="MS Mincho"/>
          <w:i/>
        </w:rPr>
        <w:t>Hepatic Impairment</w:t>
      </w:r>
    </w:p>
    <w:p w:rsidR="00A85193" w:rsidRPr="00A85193" w:rsidRDefault="008B0724" w:rsidP="00B01650">
      <w:pPr>
        <w:pStyle w:val="Heading3"/>
        <w:rPr>
          <w:rFonts w:eastAsia="MS Mincho"/>
          <w:b w:val="0"/>
          <w:u w:val="none"/>
        </w:rPr>
      </w:pPr>
      <w:r w:rsidRPr="00A85193">
        <w:rPr>
          <w:rFonts w:eastAsia="MS Mincho"/>
          <w:b w:val="0"/>
          <w:u w:val="none"/>
        </w:rPr>
        <w:t>The effect of IKERVIS has not been studied in patients with hepatic impairment. However, no special considerations are needed in these populations.</w:t>
      </w:r>
    </w:p>
    <w:p w:rsidR="00B01650" w:rsidRDefault="00B01650" w:rsidP="00B01650">
      <w:pPr>
        <w:pStyle w:val="Heading3"/>
        <w:rPr>
          <w:rFonts w:eastAsia="MS Mincho"/>
        </w:rPr>
      </w:pPr>
      <w:r>
        <w:rPr>
          <w:rFonts w:eastAsia="MS Mincho"/>
        </w:rPr>
        <w:t>Method of administration</w:t>
      </w:r>
    </w:p>
    <w:p w:rsidR="00B01650" w:rsidRPr="00B01650" w:rsidRDefault="00B01650" w:rsidP="00B01650">
      <w:pPr>
        <w:pStyle w:val="DocumentText"/>
        <w:rPr>
          <w:rFonts w:eastAsia="MS Mincho"/>
        </w:rPr>
      </w:pPr>
      <w:r w:rsidRPr="00B01650">
        <w:rPr>
          <w:rFonts w:eastAsia="MS Mincho"/>
        </w:rPr>
        <w:t>Ocular use.</w:t>
      </w:r>
    </w:p>
    <w:p w:rsidR="00B01650" w:rsidRPr="00D03AA9" w:rsidRDefault="00B01650" w:rsidP="00B01650">
      <w:pPr>
        <w:pStyle w:val="DocumentText"/>
        <w:rPr>
          <w:rFonts w:eastAsia="MS Mincho"/>
          <w:i/>
        </w:rPr>
      </w:pPr>
      <w:r w:rsidRPr="00D03AA9">
        <w:rPr>
          <w:rFonts w:eastAsia="MS Mincho"/>
          <w:i/>
        </w:rPr>
        <w:lastRenderedPageBreak/>
        <w:t>Precautions to be taken before administering the medicinal product</w:t>
      </w:r>
      <w:r w:rsidR="00D03AA9">
        <w:rPr>
          <w:rFonts w:eastAsia="MS Mincho"/>
          <w:i/>
        </w:rPr>
        <w:t>:</w:t>
      </w:r>
    </w:p>
    <w:p w:rsidR="00B01650" w:rsidRPr="00B01650" w:rsidRDefault="00B01650" w:rsidP="00B01650">
      <w:pPr>
        <w:pStyle w:val="DocumentText"/>
        <w:rPr>
          <w:rFonts w:eastAsia="MS Mincho"/>
        </w:rPr>
      </w:pPr>
      <w:r w:rsidRPr="00B01650">
        <w:rPr>
          <w:rFonts w:eastAsia="MS Mincho"/>
        </w:rPr>
        <w:t>Patients should be instructed to first wash their hands.</w:t>
      </w:r>
    </w:p>
    <w:p w:rsidR="00B01650" w:rsidRPr="00B01650" w:rsidRDefault="00B01650" w:rsidP="00B01650">
      <w:pPr>
        <w:pStyle w:val="DocumentText"/>
        <w:rPr>
          <w:rFonts w:eastAsia="MS Mincho"/>
        </w:rPr>
      </w:pPr>
      <w:r w:rsidRPr="00B01650">
        <w:rPr>
          <w:rFonts w:eastAsia="MS Mincho"/>
        </w:rPr>
        <w:t>Prior to administration, the single-dose container should be gently shaken.</w:t>
      </w:r>
    </w:p>
    <w:p w:rsidR="00B01650" w:rsidRPr="00B01650" w:rsidRDefault="00B01650" w:rsidP="00B01650">
      <w:pPr>
        <w:pStyle w:val="DocumentText"/>
        <w:rPr>
          <w:rFonts w:eastAsia="MS Mincho"/>
        </w:rPr>
      </w:pPr>
      <w:r w:rsidRPr="00B01650">
        <w:rPr>
          <w:rFonts w:eastAsia="MS Mincho"/>
        </w:rPr>
        <w:t xml:space="preserve">For single use </w:t>
      </w:r>
      <w:r w:rsidR="00F875E0">
        <w:rPr>
          <w:rFonts w:eastAsia="MS Mincho"/>
        </w:rPr>
        <w:t xml:space="preserve">in one patient </w:t>
      </w:r>
      <w:r w:rsidRPr="00B01650">
        <w:rPr>
          <w:rFonts w:eastAsia="MS Mincho"/>
        </w:rPr>
        <w:t>only. Each single-dose container is sufficient to treat both eyes. Any unused emulsion should be discarded immediately.</w:t>
      </w:r>
    </w:p>
    <w:p w:rsidR="00B01650" w:rsidRPr="00B01650" w:rsidRDefault="00B01650" w:rsidP="00B01650">
      <w:pPr>
        <w:pStyle w:val="DocumentText"/>
        <w:rPr>
          <w:rFonts w:eastAsia="MS Mincho"/>
        </w:rPr>
      </w:pPr>
      <w:r w:rsidRPr="00882F1D">
        <w:rPr>
          <w:rFonts w:eastAsia="MS Mincho"/>
        </w:rPr>
        <w:t>Patients should be instructed to use nasolacrimal occlusion and to close the eyelids for 2 minutes after instillation, to reduce the systemic absorption. This may result in a decrease in systemic undesirable effects and an increase in local activity (see section 4.</w:t>
      </w:r>
      <w:r w:rsidRPr="00EE72FE">
        <w:rPr>
          <w:rFonts w:eastAsia="MS Mincho"/>
        </w:rPr>
        <w:t>4</w:t>
      </w:r>
      <w:r w:rsidR="00F875E0" w:rsidRPr="00EE72FE">
        <w:rPr>
          <w:rFonts w:eastAsia="MS Mincho"/>
        </w:rPr>
        <w:t xml:space="preserve"> </w:t>
      </w:r>
      <w:r w:rsidR="00F875E0" w:rsidRPr="00EE72FE">
        <w:rPr>
          <w:rFonts w:eastAsia="MS Mincho"/>
        </w:rPr>
        <w:fldChar w:fldCharType="begin"/>
      </w:r>
      <w:r w:rsidR="00E566CE" w:rsidRPr="00662FAD">
        <w:rPr>
          <w:rFonts w:eastAsia="MS Mincho"/>
        </w:rPr>
        <w:instrText xml:space="preserve"> REF _Ref54615260 \h     \* MERGEFORMAT </w:instrText>
      </w:r>
      <w:r w:rsidR="00F875E0" w:rsidRPr="00662FAD">
        <w:rPr>
          <w:rFonts w:eastAsia="MS Mincho"/>
        </w:rPr>
        <w:fldChar w:fldCharType="separate"/>
      </w:r>
      <w:r w:rsidR="00F875E0" w:rsidRPr="00EE72FE">
        <w:t>SPECIAL WARNINGS AND PRECAUTIONS FOR USE</w:t>
      </w:r>
      <w:r w:rsidR="00F875E0" w:rsidRPr="00EE72FE">
        <w:rPr>
          <w:rFonts w:eastAsia="MS Mincho"/>
        </w:rPr>
        <w:fldChar w:fldCharType="end"/>
      </w:r>
      <w:r w:rsidRPr="00EE72FE">
        <w:rPr>
          <w:rFonts w:eastAsia="MS Mincho"/>
        </w:rPr>
        <w:t>).</w:t>
      </w:r>
    </w:p>
    <w:p w:rsidR="00B01650" w:rsidRPr="00B01650" w:rsidRDefault="00B01650" w:rsidP="00B01650">
      <w:pPr>
        <w:pStyle w:val="DocumentText"/>
        <w:rPr>
          <w:rFonts w:eastAsia="MS Mincho"/>
        </w:rPr>
      </w:pPr>
      <w:r w:rsidRPr="00882F1D">
        <w:rPr>
          <w:rFonts w:eastAsia="MS Mincho"/>
        </w:rPr>
        <w:t xml:space="preserve">If more than one topical ophthalmic medicinal product is being used, the medicinal products must be administered at least </w:t>
      </w:r>
      <w:r w:rsidR="00882F1D" w:rsidRPr="00882F1D">
        <w:rPr>
          <w:rFonts w:eastAsia="MS Mincho"/>
        </w:rPr>
        <w:t xml:space="preserve">5 </w:t>
      </w:r>
      <w:r w:rsidRPr="00882F1D">
        <w:rPr>
          <w:rFonts w:eastAsia="MS Mincho"/>
        </w:rPr>
        <w:t>minutes apart. IKERVIS</w:t>
      </w:r>
      <w:r w:rsidR="00FB362D" w:rsidRPr="00882F1D">
        <w:rPr>
          <w:rFonts w:eastAsia="MS Mincho"/>
          <w:vertAlign w:val="superscript"/>
        </w:rPr>
        <w:t>®</w:t>
      </w:r>
      <w:r w:rsidRPr="00882F1D">
        <w:rPr>
          <w:rFonts w:eastAsia="MS Mincho"/>
        </w:rPr>
        <w:t xml:space="preserve"> should be administered last (see section 4.</w:t>
      </w:r>
      <w:r w:rsidRPr="00EE72FE">
        <w:rPr>
          <w:rFonts w:eastAsia="MS Mincho"/>
        </w:rPr>
        <w:t>4</w:t>
      </w:r>
      <w:r w:rsidR="00F875E0" w:rsidRPr="00EE72FE">
        <w:rPr>
          <w:rFonts w:eastAsia="MS Mincho"/>
        </w:rPr>
        <w:t xml:space="preserve"> </w:t>
      </w:r>
      <w:r w:rsidR="00F875E0" w:rsidRPr="00EE72FE">
        <w:rPr>
          <w:rFonts w:eastAsia="MS Mincho"/>
        </w:rPr>
        <w:fldChar w:fldCharType="begin"/>
      </w:r>
      <w:r w:rsidR="00E566CE" w:rsidRPr="00EE72FE">
        <w:rPr>
          <w:rFonts w:eastAsia="MS Mincho"/>
        </w:rPr>
        <w:instrText xml:space="preserve"> REF _Ref54615319 \h     \* MERGEFORMAT </w:instrText>
      </w:r>
      <w:r w:rsidR="00F875E0" w:rsidRPr="00EE72FE">
        <w:rPr>
          <w:rFonts w:eastAsia="MS Mincho"/>
        </w:rPr>
        <w:fldChar w:fldCharType="separate"/>
      </w:r>
      <w:r w:rsidR="00F875E0" w:rsidRPr="00EE72FE">
        <w:t>SPECIAL WARNINGS AND PRECAUTIONS FOR USE</w:t>
      </w:r>
      <w:r w:rsidR="00F875E0" w:rsidRPr="00EE72FE">
        <w:rPr>
          <w:rFonts w:eastAsia="MS Mincho"/>
        </w:rPr>
        <w:fldChar w:fldCharType="end"/>
      </w:r>
      <w:r w:rsidRPr="00882F1D">
        <w:rPr>
          <w:rFonts w:eastAsia="MS Mincho"/>
        </w:rPr>
        <w:t>).</w:t>
      </w:r>
    </w:p>
    <w:p w:rsidR="00DD62DE" w:rsidRDefault="00DD62DE" w:rsidP="004951CE">
      <w:pPr>
        <w:pStyle w:val="Heading2"/>
      </w:pPr>
      <w:bookmarkStart w:id="26" w:name="_Toc514070597"/>
      <w:bookmarkStart w:id="27" w:name="_Toc514071364"/>
      <w:bookmarkStart w:id="28" w:name="_Toc514071403"/>
      <w:bookmarkStart w:id="29" w:name="_Ref54616105"/>
      <w:r w:rsidRPr="00C04558">
        <w:t>CONTRAINDICATIONS</w:t>
      </w:r>
      <w:bookmarkEnd w:id="26"/>
      <w:bookmarkEnd w:id="27"/>
      <w:bookmarkEnd w:id="28"/>
      <w:bookmarkEnd w:id="29"/>
    </w:p>
    <w:p w:rsidR="00D03AA9" w:rsidRPr="00EE72FE" w:rsidRDefault="00D03AA9" w:rsidP="00D03AA9">
      <w:pPr>
        <w:pStyle w:val="DocumentText"/>
      </w:pPr>
      <w:r>
        <w:t>Hypersensitivity to the active substance or to any of the excipients listed in section 6.</w:t>
      </w:r>
      <w:r w:rsidRPr="00EE72FE">
        <w:t>1</w:t>
      </w:r>
      <w:r w:rsidR="00E24113" w:rsidRPr="00EE72FE">
        <w:t xml:space="preserve"> </w:t>
      </w:r>
      <w:r w:rsidR="00E24113" w:rsidRPr="00EE72FE">
        <w:fldChar w:fldCharType="begin"/>
      </w:r>
      <w:r w:rsidR="00E566CE" w:rsidRPr="00EE72FE">
        <w:instrText xml:space="preserve"> REF _Ref54615401 \h     \* MERGEFORMAT </w:instrText>
      </w:r>
      <w:r w:rsidR="00E24113" w:rsidRPr="00EE72FE">
        <w:fldChar w:fldCharType="separate"/>
      </w:r>
      <w:r w:rsidR="00E24113" w:rsidRPr="00EE72FE">
        <w:rPr>
          <w:rFonts w:eastAsia="MS Mincho"/>
        </w:rPr>
        <w:t>LIST OF EXCIPIENTS</w:t>
      </w:r>
      <w:r w:rsidR="00E24113" w:rsidRPr="00EE72FE">
        <w:fldChar w:fldCharType="end"/>
      </w:r>
      <w:r w:rsidRPr="00EE72FE">
        <w:t>.</w:t>
      </w:r>
    </w:p>
    <w:p w:rsidR="00E17045" w:rsidRDefault="00E17045" w:rsidP="00D03AA9">
      <w:pPr>
        <w:pStyle w:val="DocumentText"/>
      </w:pPr>
      <w:r>
        <w:t>Ocular or peri-ocular malignancies or premalignant conditions</w:t>
      </w:r>
    </w:p>
    <w:p w:rsidR="00690C9C" w:rsidRPr="009A49F5" w:rsidRDefault="00D03AA9" w:rsidP="00D03AA9">
      <w:pPr>
        <w:pStyle w:val="DocumentText"/>
      </w:pPr>
      <w:r>
        <w:t xml:space="preserve">Active or </w:t>
      </w:r>
      <w:r w:rsidRPr="009A49F5">
        <w:t>suspected ocular or peri-ocular infection</w:t>
      </w:r>
      <w:r>
        <w:t>.</w:t>
      </w:r>
      <w:r w:rsidR="00882F1D">
        <w:t xml:space="preserve"> </w:t>
      </w:r>
      <w:r w:rsidR="009A49F5">
        <w:t>Treatment with IKERVIS</w:t>
      </w:r>
      <w:r w:rsidR="009A49F5">
        <w:rPr>
          <w:vertAlign w:val="superscript"/>
        </w:rPr>
        <w:t>®</w:t>
      </w:r>
      <w:r w:rsidR="009A49F5">
        <w:t xml:space="preserve"> should not be initiated or continued until all signs of infection have cleared.  </w:t>
      </w:r>
    </w:p>
    <w:p w:rsidR="00DD62DE" w:rsidRDefault="00DD62DE" w:rsidP="004951CE">
      <w:pPr>
        <w:pStyle w:val="Heading2"/>
      </w:pPr>
      <w:bookmarkStart w:id="30" w:name="_Toc514070598"/>
      <w:bookmarkStart w:id="31" w:name="_Toc514071365"/>
      <w:bookmarkStart w:id="32" w:name="_Toc514071404"/>
      <w:bookmarkStart w:id="33" w:name="_Ref54615260"/>
      <w:bookmarkStart w:id="34" w:name="_Ref54615319"/>
      <w:bookmarkStart w:id="35" w:name="_Ref54615573"/>
      <w:bookmarkStart w:id="36" w:name="_Ref56767838"/>
      <w:r w:rsidRPr="00C04558">
        <w:t>SPECIAL WARNINGS AND PRECAUTIONS FOR USE</w:t>
      </w:r>
      <w:bookmarkEnd w:id="30"/>
      <w:bookmarkEnd w:id="31"/>
      <w:bookmarkEnd w:id="32"/>
      <w:bookmarkEnd w:id="33"/>
      <w:bookmarkEnd w:id="34"/>
      <w:bookmarkEnd w:id="35"/>
      <w:bookmarkEnd w:id="36"/>
    </w:p>
    <w:p w:rsidR="00875066" w:rsidRDefault="00393667" w:rsidP="00D03AA9">
      <w:pPr>
        <w:pStyle w:val="DocumentText"/>
      </w:pPr>
      <w:r>
        <w:t>A</w:t>
      </w:r>
      <w:r w:rsidR="00875066">
        <w:t xml:space="preserve"> comprehensive eye examination should be performed to determine the aetiology of symptoms</w:t>
      </w:r>
      <w:r w:rsidR="00A72F5A">
        <w:t>.  A</w:t>
      </w:r>
      <w:r w:rsidR="00875066">
        <w:t>ny reversible underlying conditions</w:t>
      </w:r>
      <w:r w:rsidR="002E7F0D">
        <w:t>,</w:t>
      </w:r>
      <w:r w:rsidR="00875066">
        <w:t xml:space="preserve"> not </w:t>
      </w:r>
      <w:r>
        <w:t>associated with</w:t>
      </w:r>
      <w:r w:rsidR="00875066">
        <w:t xml:space="preserve"> dry eye disease</w:t>
      </w:r>
      <w:r w:rsidR="002E7F0D">
        <w:t>,</w:t>
      </w:r>
      <w:r w:rsidR="00875066">
        <w:t xml:space="preserve"> </w:t>
      </w:r>
      <w:r>
        <w:t xml:space="preserve">should </w:t>
      </w:r>
      <w:r w:rsidR="002E7F0D">
        <w:t xml:space="preserve">be </w:t>
      </w:r>
      <w:r>
        <w:t>treated prior to initiating treatment with IKERVIS</w:t>
      </w:r>
      <w:r w:rsidR="002E7F0D">
        <w:rPr>
          <w:vertAlign w:val="superscript"/>
        </w:rPr>
        <w:t>®</w:t>
      </w:r>
      <w:r>
        <w:t xml:space="preserve">.  </w:t>
      </w:r>
    </w:p>
    <w:p w:rsidR="00D03AA9" w:rsidRDefault="00D03AA9" w:rsidP="00D03AA9">
      <w:pPr>
        <w:pStyle w:val="DocumentText"/>
        <w:rPr>
          <w:kern w:val="0"/>
          <w:lang w:val="en-AU" w:eastAsia="en-AU"/>
        </w:rPr>
      </w:pPr>
      <w:r>
        <w:t>IKERVIS</w:t>
      </w:r>
      <w:r w:rsidR="00FB362D">
        <w:rPr>
          <w:vertAlign w:val="superscript"/>
        </w:rPr>
        <w:t>®</w:t>
      </w:r>
      <w:r>
        <w:t xml:space="preserve"> has not been studied in patients with a history of ocular herpes and should therefore be used with caution in such patients.</w:t>
      </w:r>
    </w:p>
    <w:p w:rsidR="00D03AA9" w:rsidRDefault="00D03AA9" w:rsidP="00EF668A">
      <w:pPr>
        <w:pStyle w:val="DocumentText"/>
        <w:pageBreakBefore/>
      </w:pPr>
      <w:r>
        <w:rPr>
          <w:u w:val="single"/>
        </w:rPr>
        <w:lastRenderedPageBreak/>
        <w:t>Contact lenses</w:t>
      </w:r>
    </w:p>
    <w:p w:rsidR="00D03AA9" w:rsidRDefault="00D03AA9" w:rsidP="00D03AA9">
      <w:pPr>
        <w:pStyle w:val="DocumentText"/>
      </w:pPr>
      <w:r>
        <w:t>Patients wearing contact lenses have not been studied. Careful monitoring of patients with severe keratitis is recommended. Contact lenses should be removed before instillation of the eye drops at bedtime and may be reinserted at wake-up time.</w:t>
      </w:r>
    </w:p>
    <w:p w:rsidR="00D03AA9" w:rsidRDefault="00D03AA9" w:rsidP="00D03AA9">
      <w:pPr>
        <w:pStyle w:val="DocumentText"/>
      </w:pPr>
      <w:r>
        <w:rPr>
          <w:u w:val="single"/>
        </w:rPr>
        <w:t>Concomitant therapy</w:t>
      </w:r>
    </w:p>
    <w:p w:rsidR="00D03AA9" w:rsidRDefault="00D03AA9" w:rsidP="00D03AA9">
      <w:pPr>
        <w:pStyle w:val="DocumentText"/>
      </w:pPr>
      <w:r>
        <w:t>There is limited experience with IKERVIS</w:t>
      </w:r>
      <w:r w:rsidR="00FB362D">
        <w:rPr>
          <w:vertAlign w:val="superscript"/>
        </w:rPr>
        <w:t>®</w:t>
      </w:r>
      <w:r>
        <w:t xml:space="preserve"> in the treatment of patients with glaucoma. </w:t>
      </w:r>
      <w:r w:rsidRPr="009A49F5">
        <w:t>Caution should be exercised when treating these patients concomitantly with IKERVIS</w:t>
      </w:r>
      <w:r w:rsidR="00FB362D" w:rsidRPr="009A49F5">
        <w:rPr>
          <w:vertAlign w:val="superscript"/>
        </w:rPr>
        <w:t>®</w:t>
      </w:r>
      <w:r w:rsidRPr="009A49F5">
        <w:t>, especially with beta-blockers</w:t>
      </w:r>
      <w:r w:rsidR="009F2ED5">
        <w:t>,</w:t>
      </w:r>
      <w:r w:rsidRPr="009A49F5">
        <w:t xml:space="preserve"> which are known to decrease tear secretion.</w:t>
      </w:r>
    </w:p>
    <w:p w:rsidR="004952B4" w:rsidRDefault="004952B4" w:rsidP="004952B4">
      <w:pPr>
        <w:pStyle w:val="DocumentText"/>
      </w:pPr>
      <w:r>
        <w:t>Co-administration of IKERVIS</w:t>
      </w:r>
      <w:r>
        <w:rPr>
          <w:vertAlign w:val="superscript"/>
        </w:rPr>
        <w:t>®</w:t>
      </w:r>
      <w:r>
        <w:t xml:space="preserve"> with eye drops containing corticosteroids </w:t>
      </w:r>
      <w:r w:rsidR="000C2407">
        <w:t>may</w:t>
      </w:r>
      <w:r>
        <w:t xml:space="preserve"> potentiate the effects of IKERVIS</w:t>
      </w:r>
      <w:r>
        <w:rPr>
          <w:vertAlign w:val="superscript"/>
        </w:rPr>
        <w:t>®</w:t>
      </w:r>
      <w:r>
        <w:t xml:space="preserve"> on the immune system.  Therefore, caution should be exercised when corticosteroids are administered concomitantly with IKERVIS</w:t>
      </w:r>
      <w:r>
        <w:rPr>
          <w:vertAlign w:val="superscript"/>
        </w:rPr>
        <w:t>®</w:t>
      </w:r>
      <w:r>
        <w:t xml:space="preserve"> (see section 4.5</w:t>
      </w:r>
      <w:r w:rsidR="00E24113">
        <w:t xml:space="preserve"> </w:t>
      </w:r>
      <w:r w:rsidR="00E24113" w:rsidRPr="00EE72FE">
        <w:fldChar w:fldCharType="begin"/>
      </w:r>
      <w:r w:rsidR="00E566CE" w:rsidRPr="00662FAD">
        <w:instrText xml:space="preserve"> REF _Ref54615507 \h     \* MERGEFORMAT </w:instrText>
      </w:r>
      <w:r w:rsidR="00E24113" w:rsidRPr="00662FAD">
        <w:fldChar w:fldCharType="separate"/>
      </w:r>
      <w:r w:rsidR="00E24113" w:rsidRPr="00EE72FE">
        <w:t>INTERACTIONS WITH OTHER MEDICINES AND OTHER FORMS OF INTERACTIONS</w:t>
      </w:r>
      <w:r w:rsidR="00E24113" w:rsidRPr="00EE72FE">
        <w:fldChar w:fldCharType="end"/>
      </w:r>
      <w:r>
        <w:t xml:space="preserve">). </w:t>
      </w:r>
    </w:p>
    <w:p w:rsidR="00D03AA9" w:rsidRDefault="00D03AA9" w:rsidP="00D03AA9">
      <w:pPr>
        <w:pStyle w:val="DocumentText"/>
      </w:pPr>
      <w:r>
        <w:rPr>
          <w:u w:val="single"/>
        </w:rPr>
        <w:t>Effects on the immune system</w:t>
      </w:r>
    </w:p>
    <w:p w:rsidR="007E00F8" w:rsidRDefault="00BF4225" w:rsidP="007E00F8">
      <w:pPr>
        <w:pStyle w:val="DocumentText"/>
      </w:pPr>
      <w:r w:rsidRPr="00BF4225">
        <w:t xml:space="preserve">Ophthalmic medicinal products, which affect the immune system, including ciclosporin, may affect host defences against local infections and malignancies. </w:t>
      </w:r>
      <w:bookmarkStart w:id="37" w:name="_Toc514068925"/>
      <w:bookmarkStart w:id="38" w:name="_Toc514070599"/>
      <w:bookmarkStart w:id="39" w:name="_Toc514071366"/>
      <w:bookmarkStart w:id="40" w:name="_Toc514071405"/>
    </w:p>
    <w:p w:rsidR="00DD62DE" w:rsidRDefault="00DD62DE" w:rsidP="004951CE">
      <w:pPr>
        <w:pStyle w:val="Heading2"/>
      </w:pPr>
      <w:bookmarkStart w:id="41" w:name="_Ref54615507"/>
      <w:r w:rsidRPr="00C04558">
        <w:t>INTERACTIONS WITH OTHER MEDICINES AND OTHER FORMS OF INTERACTIONS</w:t>
      </w:r>
      <w:bookmarkEnd w:id="37"/>
      <w:bookmarkEnd w:id="38"/>
      <w:bookmarkEnd w:id="39"/>
      <w:bookmarkEnd w:id="40"/>
      <w:bookmarkEnd w:id="41"/>
    </w:p>
    <w:p w:rsidR="004825D1" w:rsidRDefault="004825D1" w:rsidP="004825D1">
      <w:pPr>
        <w:pStyle w:val="DocumentText"/>
        <w:rPr>
          <w:kern w:val="0"/>
          <w:lang w:val="en-AU" w:eastAsia="en-AU"/>
        </w:rPr>
      </w:pPr>
      <w:r>
        <w:t>No interaction studies have been performed with IKERVIS</w:t>
      </w:r>
      <w:r w:rsidR="00FB362D">
        <w:rPr>
          <w:vertAlign w:val="superscript"/>
        </w:rPr>
        <w:t>®</w:t>
      </w:r>
      <w:r>
        <w:t>.</w:t>
      </w:r>
    </w:p>
    <w:p w:rsidR="004825D1" w:rsidRDefault="004825D1" w:rsidP="004825D1">
      <w:pPr>
        <w:pStyle w:val="DocumentText"/>
      </w:pPr>
      <w:r>
        <w:rPr>
          <w:u w:val="single"/>
        </w:rPr>
        <w:t>Combination with other medicinal products that affect the immune system</w:t>
      </w:r>
    </w:p>
    <w:p w:rsidR="004825D1" w:rsidRDefault="004825D1" w:rsidP="004825D1">
      <w:pPr>
        <w:pStyle w:val="DocumentText"/>
      </w:pPr>
      <w:r>
        <w:t>Co-administration of IKERVIS</w:t>
      </w:r>
      <w:r w:rsidR="00FB362D">
        <w:rPr>
          <w:vertAlign w:val="superscript"/>
        </w:rPr>
        <w:t>®</w:t>
      </w:r>
      <w:r>
        <w:t xml:space="preserve"> with eye drops containing corticosteroids could potentiate the effects of ciclosporin on the immune system (see section 4.</w:t>
      </w:r>
      <w:r w:rsidRPr="00EE72FE">
        <w:t>4</w:t>
      </w:r>
      <w:r w:rsidR="00E24113" w:rsidRPr="00EE72FE">
        <w:t xml:space="preserve"> </w:t>
      </w:r>
      <w:r w:rsidR="00E24113" w:rsidRPr="00EE72FE">
        <w:fldChar w:fldCharType="begin"/>
      </w:r>
      <w:r w:rsidR="00E566CE" w:rsidRPr="00EE72FE">
        <w:instrText xml:space="preserve"> REF _Ref54615573 \h     \* MERGEFORMAT </w:instrText>
      </w:r>
      <w:r w:rsidR="00E24113" w:rsidRPr="00EE72FE">
        <w:fldChar w:fldCharType="separate"/>
      </w:r>
      <w:r w:rsidR="00E24113" w:rsidRPr="00EE72FE">
        <w:t>SPECIAL WARNINGS AND PRECAUTIONS FOR USE</w:t>
      </w:r>
      <w:r w:rsidR="00E24113" w:rsidRPr="00EE72FE">
        <w:fldChar w:fldCharType="end"/>
      </w:r>
      <w:r>
        <w:t>).</w:t>
      </w:r>
    </w:p>
    <w:p w:rsidR="00DD62DE" w:rsidRPr="00C04558" w:rsidRDefault="00DD62DE" w:rsidP="004951CE">
      <w:pPr>
        <w:pStyle w:val="Heading2"/>
        <w:rPr>
          <w:rFonts w:eastAsia="MS Mincho"/>
        </w:rPr>
      </w:pPr>
      <w:bookmarkStart w:id="42" w:name="_Toc514070600"/>
      <w:bookmarkStart w:id="43" w:name="_Toc514071367"/>
      <w:bookmarkStart w:id="44" w:name="_Toc514071406"/>
      <w:r w:rsidRPr="00C04558">
        <w:rPr>
          <w:rFonts w:eastAsia="MS Mincho"/>
        </w:rPr>
        <w:t>FERTILITY, PREGNANCY AND LACTATION</w:t>
      </w:r>
      <w:bookmarkEnd w:id="42"/>
      <w:bookmarkEnd w:id="43"/>
      <w:bookmarkEnd w:id="44"/>
      <w:r w:rsidRPr="00C04558">
        <w:rPr>
          <w:rFonts w:eastAsia="MS Mincho"/>
        </w:rPr>
        <w:t xml:space="preserve"> </w:t>
      </w:r>
    </w:p>
    <w:p w:rsidR="00E24113" w:rsidRDefault="00E24113" w:rsidP="00E24113">
      <w:pPr>
        <w:pStyle w:val="Heading3"/>
        <w:rPr>
          <w:rFonts w:eastAsia="MS Mincho"/>
        </w:rPr>
      </w:pPr>
      <w:r w:rsidRPr="005C13DD">
        <w:rPr>
          <w:rFonts w:eastAsia="MS Mincho"/>
        </w:rPr>
        <w:t xml:space="preserve">Effects on fertility </w:t>
      </w:r>
    </w:p>
    <w:p w:rsidR="00E24113" w:rsidRPr="008464AA" w:rsidRDefault="00E24113" w:rsidP="00E24113">
      <w:pPr>
        <w:pStyle w:val="DocumentText"/>
        <w:rPr>
          <w:rFonts w:eastAsia="MS Mincho"/>
        </w:rPr>
      </w:pPr>
      <w:r w:rsidRPr="008464AA">
        <w:rPr>
          <w:rFonts w:eastAsia="MS Mincho"/>
        </w:rPr>
        <w:t>There is no data on the effects of IKERVIS</w:t>
      </w:r>
      <w:r>
        <w:rPr>
          <w:rFonts w:eastAsia="MS Mincho"/>
          <w:vertAlign w:val="superscript"/>
        </w:rPr>
        <w:t>®</w:t>
      </w:r>
      <w:r w:rsidRPr="008464AA">
        <w:rPr>
          <w:rFonts w:eastAsia="MS Mincho"/>
        </w:rPr>
        <w:t xml:space="preserve"> on human fertility.</w:t>
      </w:r>
    </w:p>
    <w:p w:rsidR="00E24113" w:rsidRPr="00690C9C" w:rsidRDefault="00E24113" w:rsidP="00E24113">
      <w:pPr>
        <w:pStyle w:val="DocumentText"/>
        <w:rPr>
          <w:rFonts w:eastAsia="MS Mincho"/>
        </w:rPr>
      </w:pPr>
      <w:r w:rsidRPr="00315045">
        <w:rPr>
          <w:rFonts w:eastAsia="MS Mincho"/>
        </w:rPr>
        <w:lastRenderedPageBreak/>
        <w:t>Male and female fertility were unaffected by ciclosporin in rats at oral doses up to 15 mg/kg/day (more than 2000 times higher than the maximum recommended human ophthalmic dose, based on body surface area-adjusted doses for a 50 kg subject).</w:t>
      </w:r>
    </w:p>
    <w:p w:rsidR="008464AA" w:rsidRPr="008464AA" w:rsidRDefault="008464AA" w:rsidP="008464AA">
      <w:pPr>
        <w:pStyle w:val="Heading3"/>
        <w:rPr>
          <w:rFonts w:eastAsia="MS Mincho"/>
        </w:rPr>
      </w:pPr>
      <w:r w:rsidRPr="008464AA">
        <w:rPr>
          <w:rFonts w:eastAsia="MS Mincho"/>
        </w:rPr>
        <w:t>Women of childbearing potential/contraception in females</w:t>
      </w:r>
    </w:p>
    <w:p w:rsidR="008464AA" w:rsidRDefault="008464AA" w:rsidP="008464AA">
      <w:pPr>
        <w:pStyle w:val="DocumentText"/>
        <w:rPr>
          <w:rFonts w:eastAsia="MS Mincho"/>
        </w:rPr>
      </w:pPr>
      <w:r w:rsidRPr="008464AA">
        <w:rPr>
          <w:rFonts w:eastAsia="MS Mincho"/>
        </w:rPr>
        <w:t>IKERVIS</w:t>
      </w:r>
      <w:r w:rsidR="00FB362D">
        <w:rPr>
          <w:rFonts w:eastAsia="MS Mincho"/>
          <w:vertAlign w:val="superscript"/>
        </w:rPr>
        <w:t>®</w:t>
      </w:r>
      <w:r w:rsidRPr="008464AA">
        <w:rPr>
          <w:rFonts w:eastAsia="MS Mincho"/>
        </w:rPr>
        <w:t xml:space="preserve"> is not recommended in women of childbearing potential not using effective contraception.</w:t>
      </w:r>
    </w:p>
    <w:p w:rsidR="008464AA" w:rsidRDefault="008464AA" w:rsidP="008464AA">
      <w:pPr>
        <w:pStyle w:val="Heading3"/>
        <w:rPr>
          <w:rFonts w:eastAsia="MS Mincho"/>
        </w:rPr>
      </w:pPr>
      <w:r w:rsidRPr="005C13DD">
        <w:rPr>
          <w:rFonts w:eastAsia="MS Mincho"/>
        </w:rPr>
        <w:t xml:space="preserve">Use in pregnancy - </w:t>
      </w:r>
      <w:r w:rsidRPr="00FB362D">
        <w:rPr>
          <w:rFonts w:eastAsia="MS Mincho"/>
        </w:rPr>
        <w:t>Category</w:t>
      </w:r>
      <w:r w:rsidRPr="005C13DD">
        <w:rPr>
          <w:rFonts w:eastAsia="MS Mincho"/>
        </w:rPr>
        <w:t xml:space="preserve"> </w:t>
      </w:r>
      <w:r w:rsidR="00FB362D">
        <w:rPr>
          <w:rFonts w:eastAsia="MS Mincho"/>
        </w:rPr>
        <w:t>C</w:t>
      </w:r>
    </w:p>
    <w:p w:rsidR="008464AA" w:rsidRPr="008464AA" w:rsidRDefault="008464AA" w:rsidP="008464AA">
      <w:pPr>
        <w:pStyle w:val="DocumentText"/>
        <w:rPr>
          <w:rFonts w:eastAsia="MS Mincho"/>
        </w:rPr>
      </w:pPr>
      <w:r w:rsidRPr="008464AA">
        <w:rPr>
          <w:rFonts w:eastAsia="MS Mincho"/>
        </w:rPr>
        <w:t xml:space="preserve">There </w:t>
      </w:r>
      <w:r w:rsidR="009141BE">
        <w:rPr>
          <w:rFonts w:eastAsia="MS Mincho"/>
        </w:rPr>
        <w:t>are</w:t>
      </w:r>
      <w:r w:rsidRPr="008464AA">
        <w:rPr>
          <w:rFonts w:eastAsia="MS Mincho"/>
        </w:rPr>
        <w:t xml:space="preserve"> no data from the use of IKERVIS</w:t>
      </w:r>
      <w:r w:rsidR="009F2ED5">
        <w:rPr>
          <w:rFonts w:eastAsia="MS Mincho"/>
          <w:vertAlign w:val="superscript"/>
        </w:rPr>
        <w:t>®</w:t>
      </w:r>
      <w:r w:rsidRPr="008464AA">
        <w:rPr>
          <w:rFonts w:eastAsia="MS Mincho"/>
        </w:rPr>
        <w:t xml:space="preserve"> in pregnant women.</w:t>
      </w:r>
    </w:p>
    <w:p w:rsidR="00315045" w:rsidRPr="00315045" w:rsidRDefault="00315045" w:rsidP="00315045">
      <w:pPr>
        <w:pStyle w:val="DocumentText"/>
        <w:rPr>
          <w:rFonts w:eastAsia="MS Mincho"/>
        </w:rPr>
      </w:pPr>
      <w:r w:rsidRPr="00315045">
        <w:rPr>
          <w:rFonts w:eastAsia="MS Mincho"/>
        </w:rPr>
        <w:t>Ciclosporin has been shown to be embryo- and fetotoxic in rats and rabbits at doses toxic to dams (rat at 30 mg/kg per day and rabbit at 100 mg/kg per day orally). Toxicity was indicated by increased pre- and postnatal mortality and reduced fetal weight together with related skeletal retardations. In the well-tolerated dose range (rats up to 17 mg/kg per day and rabbits up to 30 mg/kg per day orally</w:t>
      </w:r>
      <w:r w:rsidR="00D71608">
        <w:rPr>
          <w:rFonts w:eastAsia="MS Mincho"/>
        </w:rPr>
        <w:t>, more than 2500 time</w:t>
      </w:r>
      <w:r w:rsidR="003E1663">
        <w:rPr>
          <w:rFonts w:eastAsia="MS Mincho"/>
        </w:rPr>
        <w:t>s</w:t>
      </w:r>
      <w:r w:rsidR="00D71608">
        <w:rPr>
          <w:rFonts w:eastAsia="MS Mincho"/>
        </w:rPr>
        <w:t xml:space="preserve"> higher than the maximum recommended human ophthalmic dose, base</w:t>
      </w:r>
      <w:r w:rsidR="00762F11">
        <w:rPr>
          <w:rFonts w:eastAsia="MS Mincho"/>
        </w:rPr>
        <w:t>d on body surface area-adjusted doses for a 50 kg subject)</w:t>
      </w:r>
      <w:r w:rsidR="00D71608">
        <w:rPr>
          <w:rFonts w:eastAsia="MS Mincho"/>
        </w:rPr>
        <w:t xml:space="preserve"> </w:t>
      </w:r>
      <w:r w:rsidRPr="00315045">
        <w:rPr>
          <w:rFonts w:eastAsia="MS Mincho"/>
        </w:rPr>
        <w:t xml:space="preserve">ciclosporin did not demonstrate embryolethal or teratogenic effects. </w:t>
      </w:r>
    </w:p>
    <w:p w:rsidR="003E1663" w:rsidRDefault="00315045" w:rsidP="00315045">
      <w:pPr>
        <w:pStyle w:val="DocumentText"/>
        <w:rPr>
          <w:rFonts w:eastAsia="MS Mincho"/>
        </w:rPr>
      </w:pPr>
      <w:r w:rsidRPr="00315045">
        <w:rPr>
          <w:rFonts w:eastAsia="MS Mincho"/>
        </w:rPr>
        <w:t>In two published research studies, rabbits exposed to c</w:t>
      </w:r>
      <w:r w:rsidR="008F1000">
        <w:rPr>
          <w:rFonts w:eastAsia="MS Mincho"/>
        </w:rPr>
        <w:t>i</w:t>
      </w:r>
      <w:r w:rsidRPr="00315045">
        <w:rPr>
          <w:rFonts w:eastAsia="MS Mincho"/>
        </w:rPr>
        <w:t>closporin in utero (10 mg/kg/day subcutaneously</w:t>
      </w:r>
      <w:r w:rsidR="003E1663">
        <w:rPr>
          <w:rFonts w:eastAsia="MS Mincho"/>
        </w:rPr>
        <w:t>, more than 3000 times higher than the maximum recommended human ophthalmic dose, based on body surface area-adjusted doses for a 50 kg subject</w:t>
      </w:r>
      <w:r w:rsidRPr="00315045">
        <w:rPr>
          <w:rFonts w:eastAsia="MS Mincho"/>
        </w:rPr>
        <w:t xml:space="preserve">) had reduced numbers of nephrons. These rabbits exhibited renal hypertrophy, systemic hypertension and progressive renal insufficiency when examined between 11 and 35 weeks of age in one study. </w:t>
      </w:r>
    </w:p>
    <w:p w:rsidR="003E1663" w:rsidRDefault="00315045" w:rsidP="00315045">
      <w:pPr>
        <w:pStyle w:val="DocumentText"/>
        <w:rPr>
          <w:rFonts w:eastAsia="MS Mincho"/>
        </w:rPr>
      </w:pPr>
      <w:r w:rsidRPr="00315045">
        <w:rPr>
          <w:rFonts w:eastAsia="MS Mincho"/>
        </w:rPr>
        <w:t>The clinical relevance of these findings to the ocular use of IKERVIS</w:t>
      </w:r>
      <w:r w:rsidR="003E1663">
        <w:rPr>
          <w:rFonts w:eastAsia="MS Mincho"/>
          <w:vertAlign w:val="superscript"/>
        </w:rPr>
        <w:t>®</w:t>
      </w:r>
      <w:r w:rsidRPr="00315045">
        <w:rPr>
          <w:rFonts w:eastAsia="MS Mincho"/>
        </w:rPr>
        <w:t xml:space="preserve"> is unknown as the systemic absorption of ciclosporin following administration of IKERVIS</w:t>
      </w:r>
      <w:r w:rsidR="003E1663">
        <w:rPr>
          <w:rFonts w:eastAsia="MS Mincho"/>
          <w:vertAlign w:val="superscript"/>
        </w:rPr>
        <w:t>®</w:t>
      </w:r>
      <w:r w:rsidRPr="00315045">
        <w:rPr>
          <w:rFonts w:eastAsia="MS Mincho"/>
        </w:rPr>
        <w:t xml:space="preserve"> was found to be either below the limit of detection or, when detected, considered to be negligible (see Section 5.2 PHARMACOKINETIC PROPERTIES).</w:t>
      </w:r>
    </w:p>
    <w:p w:rsidR="008464AA" w:rsidRPr="00690C9C" w:rsidRDefault="003E1663" w:rsidP="00315045">
      <w:pPr>
        <w:pStyle w:val="DocumentText"/>
        <w:rPr>
          <w:rFonts w:eastAsia="MS Mincho"/>
        </w:rPr>
      </w:pPr>
      <w:r>
        <w:rPr>
          <w:rFonts w:eastAsia="MS Mincho"/>
        </w:rPr>
        <w:t xml:space="preserve">However, </w:t>
      </w:r>
      <w:r w:rsidR="008464AA" w:rsidRPr="008464AA">
        <w:rPr>
          <w:rFonts w:eastAsia="MS Mincho"/>
        </w:rPr>
        <w:t>IKERVIS</w:t>
      </w:r>
      <w:r w:rsidR="009F2ED5">
        <w:rPr>
          <w:rFonts w:eastAsia="MS Mincho"/>
          <w:vertAlign w:val="superscript"/>
        </w:rPr>
        <w:t>®</w:t>
      </w:r>
      <w:r w:rsidR="008464AA" w:rsidRPr="008464AA">
        <w:rPr>
          <w:rFonts w:eastAsia="MS Mincho"/>
        </w:rPr>
        <w:t xml:space="preserve"> is not recommended during pregnancy unless the potential benefit to the mother outweighs the potential risk to the fetus.</w:t>
      </w:r>
    </w:p>
    <w:p w:rsidR="008464AA" w:rsidRDefault="008464AA" w:rsidP="008464AA">
      <w:pPr>
        <w:pStyle w:val="Heading3"/>
        <w:rPr>
          <w:rFonts w:eastAsia="MS Mincho"/>
        </w:rPr>
      </w:pPr>
      <w:r w:rsidRPr="005C13DD">
        <w:rPr>
          <w:rFonts w:eastAsia="MS Mincho"/>
        </w:rPr>
        <w:lastRenderedPageBreak/>
        <w:t xml:space="preserve">Use in lactation </w:t>
      </w:r>
    </w:p>
    <w:p w:rsidR="008464AA" w:rsidRPr="008464AA" w:rsidRDefault="008464AA" w:rsidP="008464AA">
      <w:pPr>
        <w:pStyle w:val="DocumentText"/>
        <w:rPr>
          <w:rFonts w:eastAsia="MS Mincho"/>
        </w:rPr>
      </w:pPr>
      <w:r w:rsidRPr="008464AA">
        <w:rPr>
          <w:rFonts w:eastAsia="MS Mincho"/>
        </w:rPr>
        <w:t xml:space="preserve">Following oral administration, ciclosporin is excreted in breast milk. There is insufficient information on the effects of </w:t>
      </w:r>
      <w:r w:rsidR="00814414">
        <w:rPr>
          <w:rFonts w:eastAsia="MS Mincho"/>
        </w:rPr>
        <w:t>IKERVIS</w:t>
      </w:r>
      <w:r w:rsidR="00814414">
        <w:rPr>
          <w:rFonts w:eastAsia="MS Mincho"/>
          <w:vertAlign w:val="superscript"/>
        </w:rPr>
        <w:t>®</w:t>
      </w:r>
      <w:r w:rsidR="00814414">
        <w:rPr>
          <w:rFonts w:eastAsia="MS Mincho"/>
        </w:rPr>
        <w:t xml:space="preserve"> on breastfed infants</w:t>
      </w:r>
      <w:r w:rsidRPr="008464AA">
        <w:rPr>
          <w:rFonts w:eastAsia="MS Mincho"/>
        </w:rPr>
        <w:t>. However, at therapeutic doses of ciclosporin in eye drops, it is unlikely that sufficient amounts would be present in breast milk. A decision must be made whether to discontinue breastfeeding or to discontinue/</w:t>
      </w:r>
      <w:r w:rsidR="007E00F8">
        <w:rPr>
          <w:rFonts w:eastAsia="MS Mincho"/>
        </w:rPr>
        <w:t xml:space="preserve"> </w:t>
      </w:r>
      <w:r w:rsidRPr="008464AA">
        <w:rPr>
          <w:rFonts w:eastAsia="MS Mincho"/>
        </w:rPr>
        <w:t>abstain from IKERVIS</w:t>
      </w:r>
      <w:r w:rsidR="00FB362D">
        <w:rPr>
          <w:rFonts w:eastAsia="MS Mincho"/>
          <w:vertAlign w:val="superscript"/>
        </w:rPr>
        <w:t>®</w:t>
      </w:r>
      <w:r w:rsidRPr="008464AA">
        <w:rPr>
          <w:rFonts w:eastAsia="MS Mincho"/>
        </w:rPr>
        <w:t xml:space="preserve"> therapy taking into account the benefit of breastfeeding for the child and the benefit of therapy for the woman.</w:t>
      </w:r>
    </w:p>
    <w:p w:rsidR="00DD62DE" w:rsidRDefault="00DD62DE" w:rsidP="005C13DD">
      <w:pPr>
        <w:pStyle w:val="Heading2"/>
        <w:rPr>
          <w:rFonts w:eastAsia="MS Mincho"/>
        </w:rPr>
      </w:pPr>
      <w:bookmarkStart w:id="45" w:name="_Toc514070601"/>
      <w:bookmarkStart w:id="46" w:name="_Toc514071368"/>
      <w:bookmarkStart w:id="47" w:name="_Toc514071407"/>
      <w:r w:rsidRPr="00C04558">
        <w:rPr>
          <w:rFonts w:eastAsia="MS Mincho"/>
        </w:rPr>
        <w:t>EFFECTS ON ABILITY TO DRIVE AND USE MACHINES</w:t>
      </w:r>
      <w:bookmarkEnd w:id="45"/>
      <w:bookmarkEnd w:id="46"/>
      <w:bookmarkEnd w:id="47"/>
      <w:r w:rsidRPr="00C04558">
        <w:rPr>
          <w:rFonts w:eastAsia="MS Mincho"/>
        </w:rPr>
        <w:t xml:space="preserve"> </w:t>
      </w:r>
    </w:p>
    <w:p w:rsidR="006957AC" w:rsidRPr="006957AC" w:rsidRDefault="006957AC" w:rsidP="006957AC">
      <w:pPr>
        <w:pStyle w:val="DocumentText"/>
        <w:rPr>
          <w:rFonts w:eastAsia="MS Mincho"/>
        </w:rPr>
      </w:pPr>
      <w:r w:rsidRPr="006957AC">
        <w:rPr>
          <w:rFonts w:eastAsia="MS Mincho"/>
        </w:rPr>
        <w:t>IKERVIS</w:t>
      </w:r>
      <w:r w:rsidR="00EB0C87">
        <w:rPr>
          <w:rFonts w:eastAsia="MS Mincho"/>
          <w:vertAlign w:val="superscript"/>
        </w:rPr>
        <w:t>®</w:t>
      </w:r>
      <w:r w:rsidRPr="006957AC">
        <w:rPr>
          <w:rFonts w:eastAsia="MS Mincho"/>
        </w:rPr>
        <w:t xml:space="preserve"> has moderate influence on the ability to drive and use machines.</w:t>
      </w:r>
    </w:p>
    <w:p w:rsidR="00326AE7" w:rsidRPr="00326AE7" w:rsidRDefault="006957AC" w:rsidP="006957AC">
      <w:pPr>
        <w:pStyle w:val="DocumentText"/>
        <w:rPr>
          <w:rFonts w:eastAsia="MS Mincho"/>
        </w:rPr>
      </w:pPr>
      <w:r w:rsidRPr="006957AC">
        <w:rPr>
          <w:rFonts w:eastAsia="MS Mincho"/>
        </w:rPr>
        <w:t>This medicinal product may induce temporary blurred vision or other visual disturbances which may affect the ability to drive or use machines (see section 4.8</w:t>
      </w:r>
      <w:r w:rsidR="00E24113">
        <w:rPr>
          <w:rFonts w:eastAsia="MS Mincho"/>
        </w:rPr>
        <w:t xml:space="preserve"> </w:t>
      </w:r>
      <w:r w:rsidR="00E24113" w:rsidRPr="00EE72FE">
        <w:rPr>
          <w:rFonts w:eastAsia="MS Mincho"/>
        </w:rPr>
        <w:fldChar w:fldCharType="begin"/>
      </w:r>
      <w:r w:rsidR="00E566CE" w:rsidRPr="00662FAD">
        <w:rPr>
          <w:rFonts w:eastAsia="MS Mincho"/>
        </w:rPr>
        <w:instrText xml:space="preserve"> REF _Ref54615910 \h     \* MERGEFORMAT </w:instrText>
      </w:r>
      <w:r w:rsidR="00E24113" w:rsidRPr="00662FAD">
        <w:rPr>
          <w:rFonts w:eastAsia="MS Mincho"/>
        </w:rPr>
        <w:fldChar w:fldCharType="separate"/>
      </w:r>
      <w:r w:rsidR="00E24113" w:rsidRPr="00EE72FE">
        <w:rPr>
          <w:rFonts w:eastAsia="MS Mincho"/>
        </w:rPr>
        <w:t>ADVERSE EFFECTS (UNDESIRABLE EFFECTS)</w:t>
      </w:r>
      <w:r w:rsidR="00E24113" w:rsidRPr="00662FAD">
        <w:rPr>
          <w:rFonts w:eastAsia="MS Mincho"/>
        </w:rPr>
        <w:fldChar w:fldCharType="end"/>
      </w:r>
      <w:r w:rsidRPr="006957AC">
        <w:rPr>
          <w:rFonts w:eastAsia="MS Mincho"/>
        </w:rPr>
        <w:t>). Patients should be advised not to drive or use machines until their vision has cleared.</w:t>
      </w:r>
    </w:p>
    <w:p w:rsidR="00DD62DE" w:rsidRDefault="00DD62DE" w:rsidP="004951CE">
      <w:pPr>
        <w:pStyle w:val="Heading2"/>
        <w:rPr>
          <w:rFonts w:eastAsia="MS Mincho"/>
        </w:rPr>
      </w:pPr>
      <w:bookmarkStart w:id="48" w:name="_Toc514070602"/>
      <w:bookmarkStart w:id="49" w:name="_Toc514071369"/>
      <w:bookmarkStart w:id="50" w:name="_Toc514071408"/>
      <w:bookmarkStart w:id="51" w:name="_Ref54615910"/>
      <w:r w:rsidRPr="00C04558">
        <w:rPr>
          <w:rFonts w:eastAsia="MS Mincho"/>
        </w:rPr>
        <w:t>ADVERSE EFFECTS (UNDESIRABLE EFFECTS)</w:t>
      </w:r>
      <w:bookmarkEnd w:id="48"/>
      <w:bookmarkEnd w:id="49"/>
      <w:bookmarkEnd w:id="50"/>
      <w:bookmarkEnd w:id="51"/>
    </w:p>
    <w:p w:rsidR="006957AC" w:rsidRPr="00E85E6C" w:rsidRDefault="006957AC" w:rsidP="006957AC">
      <w:pPr>
        <w:pStyle w:val="DocumentText"/>
        <w:rPr>
          <w:rFonts w:eastAsia="MS Mincho"/>
          <w:lang w:val="en-AU"/>
        </w:rPr>
      </w:pPr>
      <w:r w:rsidRPr="006957AC">
        <w:rPr>
          <w:rFonts w:eastAsia="MS Mincho"/>
        </w:rPr>
        <w:t>In five clinical studies including 532 patients who received IKERVIS</w:t>
      </w:r>
      <w:r w:rsidR="00EB0C87">
        <w:rPr>
          <w:rFonts w:eastAsia="MS Mincho"/>
          <w:vertAlign w:val="superscript"/>
        </w:rPr>
        <w:t>®</w:t>
      </w:r>
      <w:r w:rsidRPr="006957AC">
        <w:rPr>
          <w:rFonts w:eastAsia="MS Mincho"/>
        </w:rPr>
        <w:t xml:space="preserve"> and 398 who received </w:t>
      </w:r>
      <w:r w:rsidRPr="000D3C96">
        <w:rPr>
          <w:rFonts w:eastAsia="MS Mincho"/>
        </w:rPr>
        <w:t>IKERVIS</w:t>
      </w:r>
      <w:r w:rsidR="00EB0C87" w:rsidRPr="000D3C96">
        <w:rPr>
          <w:rFonts w:eastAsia="MS Mincho"/>
          <w:vertAlign w:val="superscript"/>
        </w:rPr>
        <w:t>®</w:t>
      </w:r>
      <w:r w:rsidRPr="000D3C96">
        <w:rPr>
          <w:rFonts w:eastAsia="MS Mincho"/>
        </w:rPr>
        <w:t xml:space="preserve"> vehicle (control),</w:t>
      </w:r>
      <w:r w:rsidRPr="006957AC">
        <w:rPr>
          <w:rFonts w:eastAsia="MS Mincho"/>
        </w:rPr>
        <w:t xml:space="preserve"> IKERVIS</w:t>
      </w:r>
      <w:r w:rsidR="00EB0C87">
        <w:rPr>
          <w:rFonts w:eastAsia="MS Mincho"/>
          <w:vertAlign w:val="superscript"/>
        </w:rPr>
        <w:t>®</w:t>
      </w:r>
      <w:r w:rsidRPr="006957AC">
        <w:rPr>
          <w:rFonts w:eastAsia="MS Mincho"/>
        </w:rPr>
        <w:t xml:space="preserve"> was administered at least once a day in both eyes, for up to one year. The most common adverse reactions were eye pain (19.</w:t>
      </w:r>
      <w:r w:rsidR="00423CBC">
        <w:rPr>
          <w:rFonts w:eastAsia="MS Mincho"/>
        </w:rPr>
        <w:t>0</w:t>
      </w:r>
      <w:r w:rsidRPr="006957AC">
        <w:rPr>
          <w:rFonts w:eastAsia="MS Mincho"/>
        </w:rPr>
        <w:t>%), eye irritation (17.</w:t>
      </w:r>
      <w:r w:rsidR="00423CBC">
        <w:rPr>
          <w:rFonts w:eastAsia="MS Mincho"/>
        </w:rPr>
        <w:t>5</w:t>
      </w:r>
      <w:r w:rsidRPr="006957AC">
        <w:rPr>
          <w:rFonts w:eastAsia="MS Mincho"/>
        </w:rPr>
        <w:t>%)</w:t>
      </w:r>
      <w:r w:rsidR="00423CBC" w:rsidRPr="006957AC">
        <w:rPr>
          <w:rFonts w:eastAsia="MS Mincho"/>
        </w:rPr>
        <w:t>, ocular hyperaemia (5.5%)</w:t>
      </w:r>
      <w:r w:rsidRPr="006957AC">
        <w:rPr>
          <w:rFonts w:eastAsia="MS Mincho"/>
        </w:rPr>
        <w:t xml:space="preserve">, lacrimation </w:t>
      </w:r>
      <w:r w:rsidR="00423CBC">
        <w:rPr>
          <w:rFonts w:eastAsia="MS Mincho"/>
        </w:rPr>
        <w:t xml:space="preserve">increased </w:t>
      </w:r>
      <w:r w:rsidRPr="006957AC">
        <w:rPr>
          <w:rFonts w:eastAsia="MS Mincho"/>
        </w:rPr>
        <w:t>(</w:t>
      </w:r>
      <w:r w:rsidR="00423CBC">
        <w:rPr>
          <w:rFonts w:eastAsia="MS Mincho"/>
        </w:rPr>
        <w:t>4.9</w:t>
      </w:r>
      <w:r w:rsidRPr="006957AC">
        <w:rPr>
          <w:rFonts w:eastAsia="MS Mincho"/>
        </w:rPr>
        <w:t>%)</w:t>
      </w:r>
      <w:r w:rsidR="00966F6B">
        <w:rPr>
          <w:rFonts w:eastAsia="MS Mincho"/>
        </w:rPr>
        <w:t xml:space="preserve"> </w:t>
      </w:r>
      <w:r w:rsidRPr="006957AC">
        <w:rPr>
          <w:rFonts w:eastAsia="MS Mincho"/>
        </w:rPr>
        <w:t xml:space="preserve">and eyelid erythema (1.7%) which </w:t>
      </w:r>
      <w:r w:rsidR="00423CBC">
        <w:rPr>
          <w:rFonts w:eastAsia="MS Mincho"/>
        </w:rPr>
        <w:t>are</w:t>
      </w:r>
      <w:r w:rsidR="00423CBC" w:rsidRPr="006957AC">
        <w:rPr>
          <w:rFonts w:eastAsia="MS Mincho"/>
        </w:rPr>
        <w:t xml:space="preserve"> </w:t>
      </w:r>
      <w:r w:rsidRPr="006957AC">
        <w:rPr>
          <w:rFonts w:eastAsia="MS Mincho"/>
        </w:rPr>
        <w:t>usually transitory and occurred during instillation.</w:t>
      </w:r>
      <w:r w:rsidR="004509C0">
        <w:rPr>
          <w:rFonts w:eastAsia="MS Mincho"/>
        </w:rPr>
        <w:t xml:space="preserve"> </w:t>
      </w:r>
      <w:r w:rsidR="00423CBC">
        <w:rPr>
          <w:szCs w:val="22"/>
          <w:lang w:eastAsia="en-GB"/>
        </w:rPr>
        <w:t>These adverse reactions are consistent with those that have been reported during post-marketing experience.</w:t>
      </w:r>
    </w:p>
    <w:p w:rsidR="006957AC" w:rsidRPr="006957AC" w:rsidRDefault="006957AC" w:rsidP="006957AC">
      <w:pPr>
        <w:pStyle w:val="DocumentText"/>
        <w:rPr>
          <w:rFonts w:eastAsia="MS Mincho"/>
        </w:rPr>
      </w:pPr>
      <w:r w:rsidRPr="006957AC">
        <w:rPr>
          <w:rFonts w:eastAsia="MS Mincho"/>
        </w:rPr>
        <w:t>The majority of adverse reactions reported in clinical studies with the use of IKERVIS</w:t>
      </w:r>
      <w:r w:rsidR="00EB0C87">
        <w:rPr>
          <w:rFonts w:eastAsia="MS Mincho"/>
          <w:vertAlign w:val="superscript"/>
        </w:rPr>
        <w:t>®</w:t>
      </w:r>
      <w:r w:rsidRPr="006957AC">
        <w:rPr>
          <w:rFonts w:eastAsia="MS Mincho"/>
        </w:rPr>
        <w:t xml:space="preserve"> were ocular and mild to moderate in severity.</w:t>
      </w:r>
    </w:p>
    <w:p w:rsidR="006957AC" w:rsidRDefault="006957AC" w:rsidP="006957AC">
      <w:pPr>
        <w:pStyle w:val="DocumentText"/>
        <w:rPr>
          <w:rFonts w:eastAsia="MS Mincho"/>
          <w:u w:val="single"/>
        </w:rPr>
      </w:pPr>
      <w:r w:rsidRPr="006957AC">
        <w:rPr>
          <w:rFonts w:eastAsia="MS Mincho"/>
          <w:u w:val="single"/>
        </w:rPr>
        <w:t>Tabulated list of adverse reactions</w:t>
      </w:r>
    </w:p>
    <w:p w:rsidR="00696F88" w:rsidRDefault="00423CBC" w:rsidP="00423CBC">
      <w:pPr>
        <w:rPr>
          <w:kern w:val="0"/>
          <w:sz w:val="22"/>
          <w:szCs w:val="22"/>
          <w:lang w:val="en-GB" w:eastAsia="en-GB"/>
        </w:rPr>
      </w:pPr>
      <w:r>
        <w:rPr>
          <w:szCs w:val="22"/>
          <w:lang w:eastAsia="en-GB"/>
        </w:rPr>
        <w:t>The adverse reactions listed below were observed in clinical studies</w:t>
      </w:r>
      <w:r w:rsidR="00696F88">
        <w:rPr>
          <w:szCs w:val="22"/>
          <w:lang w:eastAsia="en-GB"/>
        </w:rPr>
        <w:t xml:space="preserve"> or during post-marketing experience.</w:t>
      </w:r>
      <w:r>
        <w:rPr>
          <w:szCs w:val="22"/>
          <w:lang w:eastAsia="en-GB"/>
        </w:rPr>
        <w:t xml:space="preserve"> They are ranked according to system organ class and classified according to the following convention: very common (</w:t>
      </w:r>
      <w:r>
        <w:rPr>
          <w:rFonts w:ascii="Symbol" w:hAnsi="Symbol"/>
        </w:rPr>
        <w:sym w:font="Symbol" w:char="F0B3"/>
      </w:r>
      <w:r>
        <w:rPr>
          <w:szCs w:val="22"/>
          <w:lang w:eastAsia="en-GB"/>
        </w:rPr>
        <w:t>1/10), common (</w:t>
      </w:r>
      <w:r>
        <w:rPr>
          <w:rFonts w:ascii="Symbol" w:hAnsi="Symbol"/>
        </w:rPr>
        <w:sym w:font="Symbol" w:char="F0B3"/>
      </w:r>
      <w:r>
        <w:rPr>
          <w:szCs w:val="22"/>
          <w:lang w:eastAsia="en-GB"/>
        </w:rPr>
        <w:t>1/100 to &lt;1/10), uncommon (</w:t>
      </w:r>
      <w:r>
        <w:rPr>
          <w:rFonts w:ascii="Symbol" w:hAnsi="Symbol"/>
        </w:rPr>
        <w:sym w:font="Symbol" w:char="F0B3"/>
      </w:r>
      <w:r>
        <w:rPr>
          <w:szCs w:val="22"/>
          <w:lang w:eastAsia="en-GB"/>
        </w:rPr>
        <w:t>1/1,000 to &lt;1/100), rare (</w:t>
      </w:r>
      <w:r>
        <w:rPr>
          <w:rFonts w:ascii="Symbol" w:hAnsi="Symbol"/>
        </w:rPr>
        <w:sym w:font="Symbol" w:char="F0B3"/>
      </w:r>
      <w:r>
        <w:rPr>
          <w:szCs w:val="22"/>
          <w:lang w:eastAsia="en-GB"/>
        </w:rPr>
        <w:t>1/10,000 to &lt;1/1,000), very rare (&lt;1/10,000), or not known (cannot be estimated from the available data).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623"/>
        <w:gridCol w:w="4482"/>
      </w:tblGrid>
      <w:tr w:rsidR="001350AA" w:rsidRPr="006B77FB" w:rsidTr="006B77FB">
        <w:tc>
          <w:tcPr>
            <w:tcW w:w="2967" w:type="dxa"/>
            <w:tcBorders>
              <w:top w:val="single" w:sz="4" w:space="0" w:color="auto"/>
              <w:left w:val="single" w:sz="4" w:space="0" w:color="auto"/>
              <w:bottom w:val="single" w:sz="4" w:space="0" w:color="auto"/>
              <w:right w:val="single" w:sz="4" w:space="0" w:color="auto"/>
            </w:tcBorders>
          </w:tcPr>
          <w:p w:rsidR="001350AA" w:rsidRPr="006B77FB" w:rsidRDefault="001350AA" w:rsidP="001350AA">
            <w:pPr>
              <w:tabs>
                <w:tab w:val="left" w:pos="33"/>
              </w:tabs>
              <w:spacing w:after="0" w:line="276" w:lineRule="auto"/>
              <w:rPr>
                <w:b/>
                <w:iCs/>
                <w:sz w:val="22"/>
                <w:szCs w:val="22"/>
                <w:lang w:val="fi-FI"/>
              </w:rPr>
            </w:pPr>
            <w:r w:rsidRPr="006B77FB">
              <w:rPr>
                <w:b/>
                <w:iCs/>
                <w:sz w:val="22"/>
                <w:szCs w:val="22"/>
                <w:lang w:val="fi-FI"/>
              </w:rPr>
              <w:lastRenderedPageBreak/>
              <w:t>System Organ Class</w:t>
            </w:r>
          </w:p>
        </w:tc>
        <w:tc>
          <w:tcPr>
            <w:tcW w:w="1623" w:type="dxa"/>
            <w:tcBorders>
              <w:top w:val="single" w:sz="4" w:space="0" w:color="auto"/>
              <w:left w:val="single" w:sz="4" w:space="0" w:color="auto"/>
              <w:bottom w:val="single" w:sz="4" w:space="0" w:color="auto"/>
              <w:right w:val="single" w:sz="4" w:space="0" w:color="auto"/>
            </w:tcBorders>
          </w:tcPr>
          <w:p w:rsidR="001350AA" w:rsidRPr="006B77FB" w:rsidRDefault="001350AA" w:rsidP="001350AA">
            <w:pPr>
              <w:tabs>
                <w:tab w:val="left" w:pos="220"/>
                <w:tab w:val="left" w:pos="720"/>
              </w:tabs>
              <w:autoSpaceDE w:val="0"/>
              <w:autoSpaceDN w:val="0"/>
              <w:adjustRightInd w:val="0"/>
              <w:spacing w:after="0" w:line="276" w:lineRule="auto"/>
              <w:rPr>
                <w:b/>
                <w:iCs/>
                <w:sz w:val="22"/>
                <w:szCs w:val="22"/>
                <w:lang w:val="fi-FI"/>
              </w:rPr>
            </w:pPr>
            <w:r w:rsidRPr="006B77FB">
              <w:rPr>
                <w:b/>
                <w:iCs/>
                <w:sz w:val="22"/>
                <w:szCs w:val="22"/>
                <w:lang w:val="fi-FI"/>
              </w:rPr>
              <w:t>Frequency</w:t>
            </w:r>
          </w:p>
        </w:tc>
        <w:tc>
          <w:tcPr>
            <w:tcW w:w="4482" w:type="dxa"/>
            <w:tcBorders>
              <w:top w:val="single" w:sz="4" w:space="0" w:color="auto"/>
              <w:left w:val="single" w:sz="4" w:space="0" w:color="auto"/>
              <w:bottom w:val="single" w:sz="4" w:space="0" w:color="auto"/>
              <w:right w:val="single" w:sz="4" w:space="0" w:color="auto"/>
            </w:tcBorders>
          </w:tcPr>
          <w:p w:rsidR="001350AA" w:rsidRPr="006B77FB" w:rsidRDefault="001350AA" w:rsidP="001350AA">
            <w:pPr>
              <w:tabs>
                <w:tab w:val="left" w:pos="220"/>
                <w:tab w:val="left" w:pos="720"/>
              </w:tabs>
              <w:autoSpaceDE w:val="0"/>
              <w:autoSpaceDN w:val="0"/>
              <w:adjustRightInd w:val="0"/>
              <w:spacing w:after="0" w:line="276" w:lineRule="auto"/>
              <w:rPr>
                <w:b/>
                <w:iCs/>
                <w:sz w:val="22"/>
                <w:szCs w:val="22"/>
                <w:lang w:val="fi-FI"/>
              </w:rPr>
            </w:pPr>
            <w:r w:rsidRPr="006B77FB">
              <w:rPr>
                <w:b/>
                <w:iCs/>
                <w:sz w:val="22"/>
                <w:szCs w:val="22"/>
                <w:lang w:val="fi-FI"/>
              </w:rPr>
              <w:t>Adverse reactions</w:t>
            </w:r>
          </w:p>
        </w:tc>
      </w:tr>
      <w:tr w:rsidR="00696F88" w:rsidRPr="00F21C1B" w:rsidTr="006B77FB">
        <w:tc>
          <w:tcPr>
            <w:tcW w:w="2967" w:type="dxa"/>
            <w:tcBorders>
              <w:top w:val="single" w:sz="4" w:space="0" w:color="auto"/>
              <w:left w:val="single" w:sz="4" w:space="0" w:color="auto"/>
              <w:bottom w:val="single" w:sz="4" w:space="0" w:color="auto"/>
              <w:right w:val="single" w:sz="4" w:space="0" w:color="auto"/>
            </w:tcBorders>
            <w:hideMark/>
          </w:tcPr>
          <w:p w:rsidR="00696F88" w:rsidRPr="00696F88" w:rsidRDefault="00696F88" w:rsidP="00696F88">
            <w:pPr>
              <w:tabs>
                <w:tab w:val="left" w:pos="33"/>
              </w:tabs>
              <w:spacing w:after="0" w:line="276" w:lineRule="auto"/>
              <w:rPr>
                <w:iCs/>
                <w:sz w:val="22"/>
                <w:szCs w:val="22"/>
                <w:lang w:val="fi-FI"/>
              </w:rPr>
            </w:pPr>
            <w:r w:rsidRPr="00696F88">
              <w:rPr>
                <w:iCs/>
                <w:sz w:val="22"/>
                <w:szCs w:val="22"/>
                <w:lang w:val="fi-FI"/>
              </w:rPr>
              <w:t>Infections and infestations</w:t>
            </w:r>
          </w:p>
        </w:tc>
        <w:tc>
          <w:tcPr>
            <w:tcW w:w="1623" w:type="dxa"/>
            <w:tcBorders>
              <w:top w:val="single" w:sz="4" w:space="0" w:color="auto"/>
              <w:left w:val="single" w:sz="4" w:space="0" w:color="auto"/>
              <w:bottom w:val="single" w:sz="4" w:space="0" w:color="auto"/>
              <w:right w:val="single" w:sz="4" w:space="0" w:color="auto"/>
            </w:tcBorders>
            <w:hideMark/>
          </w:tcPr>
          <w:p w:rsidR="00696F88" w:rsidRPr="00696F88" w:rsidRDefault="00696F88" w:rsidP="00696F88">
            <w:pPr>
              <w:tabs>
                <w:tab w:val="left" w:pos="220"/>
                <w:tab w:val="left" w:pos="720"/>
              </w:tabs>
              <w:autoSpaceDE w:val="0"/>
              <w:autoSpaceDN w:val="0"/>
              <w:adjustRightInd w:val="0"/>
              <w:spacing w:after="0" w:line="276" w:lineRule="auto"/>
              <w:rPr>
                <w:iCs/>
                <w:sz w:val="22"/>
                <w:szCs w:val="22"/>
                <w:lang w:val="fi-FI"/>
              </w:rPr>
            </w:pPr>
            <w:r w:rsidRPr="00696F88">
              <w:rPr>
                <w:iCs/>
                <w:sz w:val="22"/>
                <w:szCs w:val="22"/>
                <w:lang w:val="fi-FI"/>
              </w:rPr>
              <w:t>Uncommon</w:t>
            </w:r>
          </w:p>
        </w:tc>
        <w:tc>
          <w:tcPr>
            <w:tcW w:w="4482" w:type="dxa"/>
            <w:tcBorders>
              <w:top w:val="single" w:sz="4" w:space="0" w:color="auto"/>
              <w:left w:val="single" w:sz="4" w:space="0" w:color="auto"/>
              <w:bottom w:val="single" w:sz="4" w:space="0" w:color="auto"/>
              <w:right w:val="single" w:sz="4" w:space="0" w:color="auto"/>
            </w:tcBorders>
            <w:hideMark/>
          </w:tcPr>
          <w:p w:rsidR="00696F88" w:rsidRDefault="00696F88" w:rsidP="00696F88">
            <w:pPr>
              <w:tabs>
                <w:tab w:val="left" w:pos="220"/>
                <w:tab w:val="left" w:pos="720"/>
              </w:tabs>
              <w:autoSpaceDE w:val="0"/>
              <w:autoSpaceDN w:val="0"/>
              <w:adjustRightInd w:val="0"/>
              <w:spacing w:after="0" w:line="276" w:lineRule="auto"/>
              <w:rPr>
                <w:iCs/>
                <w:sz w:val="22"/>
                <w:szCs w:val="22"/>
                <w:lang w:val="fi-FI"/>
              </w:rPr>
            </w:pPr>
            <w:r w:rsidRPr="00696F88">
              <w:rPr>
                <w:iCs/>
                <w:sz w:val="22"/>
                <w:szCs w:val="22"/>
                <w:lang w:val="fi-FI"/>
              </w:rPr>
              <w:t>Keratitis bacterial</w:t>
            </w:r>
          </w:p>
          <w:p w:rsidR="00696F88" w:rsidRPr="00696F88" w:rsidRDefault="00696F88" w:rsidP="005E33F6">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H</w:t>
            </w:r>
            <w:r w:rsidRPr="00696F88">
              <w:rPr>
                <w:iCs/>
                <w:sz w:val="22"/>
                <w:szCs w:val="22"/>
                <w:lang w:val="fi-FI"/>
              </w:rPr>
              <w:t>erpes zoster ophthalmic</w:t>
            </w:r>
          </w:p>
        </w:tc>
      </w:tr>
      <w:tr w:rsidR="005E33F6" w:rsidRPr="00F21C1B" w:rsidTr="004D6182">
        <w:tc>
          <w:tcPr>
            <w:tcW w:w="2967" w:type="dxa"/>
            <w:vMerge w:val="restart"/>
            <w:tcBorders>
              <w:top w:val="single" w:sz="4" w:space="0" w:color="auto"/>
              <w:left w:val="single" w:sz="4" w:space="0" w:color="auto"/>
              <w:right w:val="single" w:sz="4" w:space="0" w:color="auto"/>
            </w:tcBorders>
          </w:tcPr>
          <w:p w:rsidR="005E33F6" w:rsidRPr="00696F88" w:rsidRDefault="005E33F6" w:rsidP="00696F88">
            <w:pPr>
              <w:tabs>
                <w:tab w:val="left" w:pos="33"/>
              </w:tabs>
              <w:spacing w:after="0" w:line="276" w:lineRule="auto"/>
              <w:rPr>
                <w:iCs/>
                <w:sz w:val="22"/>
                <w:szCs w:val="22"/>
                <w:lang w:val="fi-FI"/>
              </w:rPr>
            </w:pPr>
            <w:r w:rsidRPr="00696F88">
              <w:rPr>
                <w:iCs/>
                <w:sz w:val="22"/>
                <w:szCs w:val="22"/>
                <w:lang w:val="fi-FI"/>
              </w:rPr>
              <w:t>Eye disorders</w:t>
            </w:r>
          </w:p>
        </w:tc>
        <w:tc>
          <w:tcPr>
            <w:tcW w:w="1623" w:type="dxa"/>
            <w:tcBorders>
              <w:top w:val="single" w:sz="4" w:space="0" w:color="auto"/>
              <w:left w:val="single" w:sz="4" w:space="0" w:color="auto"/>
              <w:bottom w:val="single" w:sz="4" w:space="0" w:color="auto"/>
              <w:right w:val="single" w:sz="4" w:space="0" w:color="auto"/>
            </w:tcBorders>
          </w:tcPr>
          <w:p w:rsidR="005E33F6" w:rsidRPr="00696F88"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Very Common</w:t>
            </w:r>
          </w:p>
        </w:tc>
        <w:tc>
          <w:tcPr>
            <w:tcW w:w="4482" w:type="dxa"/>
            <w:tcBorders>
              <w:top w:val="single" w:sz="4" w:space="0" w:color="auto"/>
              <w:left w:val="single" w:sz="4" w:space="0" w:color="auto"/>
              <w:bottom w:val="single" w:sz="4" w:space="0" w:color="auto"/>
              <w:right w:val="single" w:sz="4" w:space="0" w:color="auto"/>
            </w:tcBorders>
          </w:tcPr>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Eye pain</w:t>
            </w:r>
          </w:p>
          <w:p w:rsidR="005E33F6" w:rsidRPr="00696F88"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Eye irritation</w:t>
            </w:r>
          </w:p>
        </w:tc>
      </w:tr>
      <w:tr w:rsidR="005E33F6" w:rsidRPr="00F21C1B" w:rsidTr="004D6182">
        <w:tc>
          <w:tcPr>
            <w:tcW w:w="2967" w:type="dxa"/>
            <w:vMerge/>
            <w:tcBorders>
              <w:left w:val="single" w:sz="4" w:space="0" w:color="auto"/>
              <w:right w:val="single" w:sz="4" w:space="0" w:color="auto"/>
            </w:tcBorders>
            <w:hideMark/>
          </w:tcPr>
          <w:p w:rsidR="005E33F6" w:rsidRPr="00696F88" w:rsidRDefault="005E33F6" w:rsidP="00696F88">
            <w:pPr>
              <w:tabs>
                <w:tab w:val="left" w:pos="33"/>
              </w:tabs>
              <w:spacing w:after="0" w:line="276" w:lineRule="auto"/>
              <w:rPr>
                <w:iCs/>
                <w:sz w:val="22"/>
                <w:szCs w:val="22"/>
                <w:lang w:val="fi-FI"/>
              </w:rPr>
            </w:pPr>
          </w:p>
        </w:tc>
        <w:tc>
          <w:tcPr>
            <w:tcW w:w="1623" w:type="dxa"/>
            <w:tcBorders>
              <w:top w:val="single" w:sz="4" w:space="0" w:color="auto"/>
              <w:left w:val="single" w:sz="4" w:space="0" w:color="auto"/>
              <w:bottom w:val="single" w:sz="4" w:space="0" w:color="auto"/>
              <w:right w:val="single" w:sz="4" w:space="0" w:color="auto"/>
            </w:tcBorders>
            <w:hideMark/>
          </w:tcPr>
          <w:p w:rsidR="005E33F6" w:rsidRPr="00696F88" w:rsidRDefault="005E33F6" w:rsidP="00696F88">
            <w:pPr>
              <w:tabs>
                <w:tab w:val="left" w:pos="220"/>
                <w:tab w:val="left" w:pos="720"/>
              </w:tabs>
              <w:autoSpaceDE w:val="0"/>
              <w:autoSpaceDN w:val="0"/>
              <w:adjustRightInd w:val="0"/>
              <w:spacing w:after="0" w:line="276" w:lineRule="auto"/>
              <w:rPr>
                <w:iCs/>
                <w:sz w:val="22"/>
                <w:szCs w:val="22"/>
                <w:lang w:val="fi-FI"/>
              </w:rPr>
            </w:pPr>
            <w:r w:rsidRPr="00696F88">
              <w:rPr>
                <w:iCs/>
                <w:sz w:val="22"/>
                <w:szCs w:val="22"/>
                <w:lang w:val="fi-FI"/>
              </w:rPr>
              <w:t>Common</w:t>
            </w:r>
          </w:p>
        </w:tc>
        <w:tc>
          <w:tcPr>
            <w:tcW w:w="4482" w:type="dxa"/>
            <w:tcBorders>
              <w:top w:val="single" w:sz="4" w:space="0" w:color="auto"/>
              <w:left w:val="single" w:sz="4" w:space="0" w:color="auto"/>
              <w:bottom w:val="single" w:sz="4" w:space="0" w:color="auto"/>
              <w:right w:val="single" w:sz="4" w:space="0" w:color="auto"/>
            </w:tcBorders>
            <w:hideMark/>
          </w:tcPr>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sidRPr="00696F88">
              <w:rPr>
                <w:iCs/>
                <w:sz w:val="22"/>
                <w:szCs w:val="22"/>
                <w:lang w:val="fi-FI"/>
              </w:rPr>
              <w:t>Erythema of eyelid</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L</w:t>
            </w:r>
            <w:r w:rsidRPr="00696F88">
              <w:rPr>
                <w:iCs/>
                <w:sz w:val="22"/>
                <w:szCs w:val="22"/>
                <w:lang w:val="fi-FI"/>
              </w:rPr>
              <w:t xml:space="preserve">acrimation increased </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O</w:t>
            </w:r>
            <w:r w:rsidRPr="00696F88">
              <w:rPr>
                <w:iCs/>
                <w:sz w:val="22"/>
                <w:szCs w:val="22"/>
                <w:lang w:val="fi-FI"/>
              </w:rPr>
              <w:t xml:space="preserve">cular hyperaemia </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V</w:t>
            </w:r>
            <w:r w:rsidRPr="00696F88">
              <w:rPr>
                <w:iCs/>
                <w:sz w:val="22"/>
                <w:szCs w:val="22"/>
                <w:lang w:val="fi-FI"/>
              </w:rPr>
              <w:t>ision blurred</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E</w:t>
            </w:r>
            <w:r w:rsidRPr="00696F88">
              <w:rPr>
                <w:iCs/>
                <w:sz w:val="22"/>
                <w:szCs w:val="22"/>
                <w:lang w:val="fi-FI"/>
              </w:rPr>
              <w:t>yelid oedema</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C</w:t>
            </w:r>
            <w:r w:rsidRPr="00696F88">
              <w:rPr>
                <w:iCs/>
                <w:sz w:val="22"/>
                <w:szCs w:val="22"/>
                <w:lang w:val="fi-FI"/>
              </w:rPr>
              <w:t>onjunctival hyperaemia</w:t>
            </w:r>
          </w:p>
          <w:p w:rsidR="005E33F6" w:rsidRPr="00696F88"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Eye pruritus</w:t>
            </w:r>
          </w:p>
        </w:tc>
      </w:tr>
      <w:tr w:rsidR="005E33F6" w:rsidRPr="00F21C1B" w:rsidTr="004D6182">
        <w:tc>
          <w:tcPr>
            <w:tcW w:w="2967" w:type="dxa"/>
            <w:vMerge/>
            <w:tcBorders>
              <w:left w:val="single" w:sz="4" w:space="0" w:color="auto"/>
              <w:bottom w:val="single" w:sz="4" w:space="0" w:color="auto"/>
              <w:right w:val="single" w:sz="4" w:space="0" w:color="auto"/>
            </w:tcBorders>
            <w:hideMark/>
          </w:tcPr>
          <w:p w:rsidR="005E33F6" w:rsidRPr="00696F88" w:rsidRDefault="005E33F6" w:rsidP="00696F88">
            <w:pPr>
              <w:tabs>
                <w:tab w:val="left" w:pos="33"/>
              </w:tabs>
              <w:spacing w:after="0" w:line="276" w:lineRule="auto"/>
              <w:rPr>
                <w:iCs/>
                <w:sz w:val="22"/>
                <w:szCs w:val="22"/>
                <w:lang w:val="fi-FI"/>
              </w:rPr>
            </w:pPr>
          </w:p>
        </w:tc>
        <w:tc>
          <w:tcPr>
            <w:tcW w:w="1623" w:type="dxa"/>
            <w:tcBorders>
              <w:top w:val="single" w:sz="4" w:space="0" w:color="auto"/>
              <w:left w:val="single" w:sz="4" w:space="0" w:color="auto"/>
              <w:bottom w:val="single" w:sz="4" w:space="0" w:color="auto"/>
              <w:right w:val="single" w:sz="4" w:space="0" w:color="auto"/>
            </w:tcBorders>
            <w:hideMark/>
          </w:tcPr>
          <w:p w:rsidR="005E33F6" w:rsidRPr="00696F88" w:rsidRDefault="005E33F6" w:rsidP="00696F88">
            <w:pPr>
              <w:tabs>
                <w:tab w:val="left" w:pos="220"/>
                <w:tab w:val="left" w:pos="720"/>
              </w:tabs>
              <w:autoSpaceDE w:val="0"/>
              <w:autoSpaceDN w:val="0"/>
              <w:adjustRightInd w:val="0"/>
              <w:spacing w:after="0" w:line="276" w:lineRule="auto"/>
              <w:rPr>
                <w:iCs/>
                <w:sz w:val="22"/>
                <w:szCs w:val="22"/>
                <w:lang w:val="fi-FI"/>
              </w:rPr>
            </w:pPr>
            <w:r w:rsidRPr="00696F88">
              <w:rPr>
                <w:iCs/>
                <w:sz w:val="22"/>
                <w:szCs w:val="22"/>
                <w:lang w:val="fi-FI"/>
              </w:rPr>
              <w:t>Uncommon</w:t>
            </w:r>
          </w:p>
        </w:tc>
        <w:tc>
          <w:tcPr>
            <w:tcW w:w="4482" w:type="dxa"/>
            <w:tcBorders>
              <w:top w:val="single" w:sz="4" w:space="0" w:color="auto"/>
              <w:left w:val="single" w:sz="4" w:space="0" w:color="auto"/>
              <w:bottom w:val="single" w:sz="4" w:space="0" w:color="auto"/>
              <w:right w:val="single" w:sz="4" w:space="0" w:color="auto"/>
            </w:tcBorders>
            <w:hideMark/>
          </w:tcPr>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sidRPr="00696F88">
              <w:rPr>
                <w:iCs/>
                <w:sz w:val="22"/>
                <w:szCs w:val="22"/>
                <w:lang w:val="fi-FI"/>
              </w:rPr>
              <w:t>Conjunctival oedema</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L</w:t>
            </w:r>
            <w:r w:rsidRPr="00696F88">
              <w:rPr>
                <w:iCs/>
                <w:sz w:val="22"/>
                <w:szCs w:val="22"/>
                <w:lang w:val="fi-FI"/>
              </w:rPr>
              <w:t>acrimal disorder</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E</w:t>
            </w:r>
            <w:r w:rsidRPr="00696F88">
              <w:rPr>
                <w:iCs/>
                <w:sz w:val="22"/>
                <w:szCs w:val="22"/>
                <w:lang w:val="fi-FI"/>
              </w:rPr>
              <w:t>ye discharge</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C</w:t>
            </w:r>
            <w:r w:rsidRPr="00696F88">
              <w:rPr>
                <w:iCs/>
                <w:sz w:val="22"/>
                <w:szCs w:val="22"/>
                <w:lang w:val="fi-FI"/>
              </w:rPr>
              <w:t>onjunctival irritation</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C</w:t>
            </w:r>
            <w:r w:rsidRPr="00696F88">
              <w:rPr>
                <w:iCs/>
                <w:sz w:val="22"/>
                <w:szCs w:val="22"/>
                <w:lang w:val="fi-FI"/>
              </w:rPr>
              <w:t>onjunctivitis</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F</w:t>
            </w:r>
            <w:r w:rsidRPr="00696F88">
              <w:rPr>
                <w:iCs/>
                <w:sz w:val="22"/>
                <w:szCs w:val="22"/>
                <w:lang w:val="fi-FI"/>
              </w:rPr>
              <w:t>oreign body</w:t>
            </w:r>
            <w:r>
              <w:rPr>
                <w:iCs/>
                <w:sz w:val="22"/>
                <w:szCs w:val="22"/>
                <w:lang w:val="fi-FI"/>
              </w:rPr>
              <w:t xml:space="preserve"> </w:t>
            </w:r>
            <w:r w:rsidRPr="00696F88">
              <w:rPr>
                <w:iCs/>
                <w:sz w:val="22"/>
                <w:szCs w:val="22"/>
                <w:lang w:val="fi-FI"/>
              </w:rPr>
              <w:t>sensation in eyes</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D</w:t>
            </w:r>
            <w:r w:rsidRPr="00696F88">
              <w:rPr>
                <w:iCs/>
                <w:sz w:val="22"/>
                <w:szCs w:val="22"/>
                <w:lang w:val="fi-FI"/>
              </w:rPr>
              <w:t>eposit eye</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K</w:t>
            </w:r>
            <w:r w:rsidRPr="00696F88">
              <w:rPr>
                <w:iCs/>
                <w:sz w:val="22"/>
                <w:szCs w:val="22"/>
                <w:lang w:val="fi-FI"/>
              </w:rPr>
              <w:t>eratitis</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B</w:t>
            </w:r>
            <w:r w:rsidRPr="00696F88">
              <w:rPr>
                <w:iCs/>
                <w:sz w:val="22"/>
                <w:szCs w:val="22"/>
                <w:lang w:val="fi-FI"/>
              </w:rPr>
              <w:t>lepharitis</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C</w:t>
            </w:r>
            <w:r w:rsidRPr="00696F88">
              <w:rPr>
                <w:iCs/>
                <w:sz w:val="22"/>
                <w:szCs w:val="22"/>
                <w:lang w:val="fi-FI"/>
              </w:rPr>
              <w:t>halazion</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C</w:t>
            </w:r>
            <w:r w:rsidRPr="00696F88">
              <w:rPr>
                <w:iCs/>
                <w:sz w:val="22"/>
                <w:szCs w:val="22"/>
                <w:lang w:val="fi-FI"/>
              </w:rPr>
              <w:t>orneal infiltrates</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C</w:t>
            </w:r>
            <w:r w:rsidRPr="00696F88">
              <w:rPr>
                <w:iCs/>
                <w:sz w:val="22"/>
                <w:szCs w:val="22"/>
                <w:lang w:val="fi-FI"/>
              </w:rPr>
              <w:t>orneal scar</w:t>
            </w:r>
          </w:p>
          <w:p w:rsidR="005E33F6" w:rsidRDefault="005E33F6" w:rsidP="00696F88">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E</w:t>
            </w:r>
            <w:r w:rsidRPr="00696F88">
              <w:rPr>
                <w:iCs/>
                <w:sz w:val="22"/>
                <w:szCs w:val="22"/>
                <w:lang w:val="fi-FI"/>
              </w:rPr>
              <w:t>yelid pruritus</w:t>
            </w:r>
          </w:p>
          <w:p w:rsidR="005E33F6" w:rsidRDefault="005E33F6" w:rsidP="001350AA">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I</w:t>
            </w:r>
            <w:r w:rsidRPr="00696F88">
              <w:rPr>
                <w:iCs/>
                <w:sz w:val="22"/>
                <w:szCs w:val="22"/>
                <w:lang w:val="fi-FI"/>
              </w:rPr>
              <w:t>ridocyclitis</w:t>
            </w:r>
          </w:p>
          <w:p w:rsidR="005E33F6" w:rsidRPr="00696F88" w:rsidRDefault="005E33F6" w:rsidP="001350AA">
            <w:pPr>
              <w:tabs>
                <w:tab w:val="left" w:pos="220"/>
                <w:tab w:val="left" w:pos="720"/>
              </w:tabs>
              <w:autoSpaceDE w:val="0"/>
              <w:autoSpaceDN w:val="0"/>
              <w:adjustRightInd w:val="0"/>
              <w:spacing w:after="0" w:line="276" w:lineRule="auto"/>
              <w:rPr>
                <w:iCs/>
                <w:sz w:val="22"/>
                <w:szCs w:val="22"/>
                <w:lang w:val="fi-FI"/>
              </w:rPr>
            </w:pPr>
            <w:r>
              <w:rPr>
                <w:iCs/>
                <w:sz w:val="22"/>
                <w:szCs w:val="22"/>
                <w:lang w:val="fi-FI"/>
              </w:rPr>
              <w:t>Ocular discomfort</w:t>
            </w:r>
          </w:p>
        </w:tc>
      </w:tr>
      <w:tr w:rsidR="008E0590" w:rsidRPr="00F21C1B" w:rsidTr="006B77FB">
        <w:tc>
          <w:tcPr>
            <w:tcW w:w="2967" w:type="dxa"/>
            <w:tcBorders>
              <w:top w:val="single" w:sz="4" w:space="0" w:color="auto"/>
              <w:left w:val="single" w:sz="4" w:space="0" w:color="auto"/>
              <w:bottom w:val="single" w:sz="4" w:space="0" w:color="auto"/>
              <w:right w:val="single" w:sz="4" w:space="0" w:color="auto"/>
            </w:tcBorders>
            <w:hideMark/>
          </w:tcPr>
          <w:p w:rsidR="008E0590" w:rsidRPr="00696F88" w:rsidRDefault="008E0590" w:rsidP="008E0590">
            <w:pPr>
              <w:tabs>
                <w:tab w:val="left" w:pos="33"/>
              </w:tabs>
              <w:spacing w:after="0" w:line="276" w:lineRule="auto"/>
              <w:rPr>
                <w:iCs/>
                <w:sz w:val="22"/>
                <w:szCs w:val="22"/>
                <w:lang w:val="fi-FI"/>
              </w:rPr>
            </w:pPr>
            <w:r w:rsidRPr="00696F88">
              <w:rPr>
                <w:iCs/>
                <w:sz w:val="22"/>
                <w:szCs w:val="22"/>
                <w:lang w:val="fi-FI"/>
              </w:rPr>
              <w:t>General disorders and administration site conditions</w:t>
            </w:r>
          </w:p>
        </w:tc>
        <w:tc>
          <w:tcPr>
            <w:tcW w:w="1623" w:type="dxa"/>
            <w:tcBorders>
              <w:top w:val="single" w:sz="4" w:space="0" w:color="auto"/>
              <w:left w:val="single" w:sz="4" w:space="0" w:color="auto"/>
              <w:bottom w:val="single" w:sz="4" w:space="0" w:color="auto"/>
              <w:right w:val="single" w:sz="4" w:space="0" w:color="auto"/>
            </w:tcBorders>
          </w:tcPr>
          <w:p w:rsidR="008E0590" w:rsidRPr="00696F88" w:rsidRDefault="008E0590" w:rsidP="008E0590">
            <w:pPr>
              <w:tabs>
                <w:tab w:val="left" w:pos="220"/>
                <w:tab w:val="left" w:pos="720"/>
              </w:tabs>
              <w:autoSpaceDE w:val="0"/>
              <w:autoSpaceDN w:val="0"/>
              <w:adjustRightInd w:val="0"/>
              <w:rPr>
                <w:iCs/>
                <w:sz w:val="22"/>
                <w:szCs w:val="22"/>
                <w:lang w:val="fi-FI"/>
              </w:rPr>
            </w:pPr>
            <w:r w:rsidRPr="00696F88">
              <w:rPr>
                <w:iCs/>
                <w:sz w:val="22"/>
                <w:szCs w:val="22"/>
                <w:lang w:val="fi-FI"/>
              </w:rPr>
              <w:t>Uncommon</w:t>
            </w:r>
          </w:p>
        </w:tc>
        <w:tc>
          <w:tcPr>
            <w:tcW w:w="4482" w:type="dxa"/>
            <w:tcBorders>
              <w:top w:val="single" w:sz="4" w:space="0" w:color="auto"/>
              <w:left w:val="single" w:sz="4" w:space="0" w:color="auto"/>
              <w:bottom w:val="single" w:sz="4" w:space="0" w:color="auto"/>
              <w:right w:val="single" w:sz="4" w:space="0" w:color="auto"/>
            </w:tcBorders>
          </w:tcPr>
          <w:p w:rsidR="008E0590" w:rsidRPr="00696F88" w:rsidRDefault="008E0590" w:rsidP="005E33F6">
            <w:pPr>
              <w:tabs>
                <w:tab w:val="left" w:pos="220"/>
                <w:tab w:val="left" w:pos="720"/>
              </w:tabs>
              <w:autoSpaceDE w:val="0"/>
              <w:autoSpaceDN w:val="0"/>
              <w:adjustRightInd w:val="0"/>
              <w:rPr>
                <w:iCs/>
                <w:sz w:val="22"/>
                <w:szCs w:val="22"/>
                <w:lang w:val="fi-FI"/>
              </w:rPr>
            </w:pPr>
            <w:r w:rsidRPr="00696F88">
              <w:rPr>
                <w:iCs/>
                <w:sz w:val="22"/>
                <w:szCs w:val="22"/>
                <w:lang w:val="fi-FI"/>
              </w:rPr>
              <w:t xml:space="preserve">Instillation site reaction </w:t>
            </w:r>
          </w:p>
        </w:tc>
      </w:tr>
      <w:tr w:rsidR="001350AA" w:rsidRPr="001B0981" w:rsidTr="006B77FB">
        <w:tc>
          <w:tcPr>
            <w:tcW w:w="2967" w:type="dxa"/>
            <w:tcBorders>
              <w:top w:val="single" w:sz="4" w:space="0" w:color="auto"/>
              <w:left w:val="single" w:sz="4" w:space="0" w:color="auto"/>
              <w:bottom w:val="single" w:sz="4" w:space="0" w:color="auto"/>
              <w:right w:val="single" w:sz="4" w:space="0" w:color="auto"/>
            </w:tcBorders>
          </w:tcPr>
          <w:p w:rsidR="001350AA" w:rsidRPr="001B0981" w:rsidRDefault="001350AA" w:rsidP="001350AA">
            <w:pPr>
              <w:tabs>
                <w:tab w:val="left" w:pos="33"/>
              </w:tabs>
              <w:spacing w:after="0"/>
              <w:rPr>
                <w:iCs/>
                <w:sz w:val="22"/>
                <w:szCs w:val="22"/>
                <w:lang w:val="fr-FR"/>
              </w:rPr>
            </w:pPr>
            <w:r w:rsidRPr="001B0981">
              <w:rPr>
                <w:iCs/>
                <w:sz w:val="22"/>
                <w:szCs w:val="22"/>
                <w:lang w:val="fr-FR"/>
              </w:rPr>
              <w:t>Nervous system disorders</w:t>
            </w:r>
          </w:p>
        </w:tc>
        <w:tc>
          <w:tcPr>
            <w:tcW w:w="1623" w:type="dxa"/>
            <w:tcBorders>
              <w:top w:val="single" w:sz="4" w:space="0" w:color="auto"/>
              <w:left w:val="single" w:sz="4" w:space="0" w:color="auto"/>
              <w:bottom w:val="single" w:sz="4" w:space="0" w:color="auto"/>
              <w:right w:val="single" w:sz="4" w:space="0" w:color="auto"/>
            </w:tcBorders>
          </w:tcPr>
          <w:p w:rsidR="001350AA" w:rsidRPr="001B0981" w:rsidRDefault="001350AA" w:rsidP="001350AA">
            <w:pPr>
              <w:tabs>
                <w:tab w:val="left" w:pos="220"/>
                <w:tab w:val="left" w:pos="720"/>
              </w:tabs>
              <w:autoSpaceDE w:val="0"/>
              <w:autoSpaceDN w:val="0"/>
              <w:adjustRightInd w:val="0"/>
              <w:spacing w:after="0"/>
              <w:rPr>
                <w:iCs/>
                <w:sz w:val="22"/>
                <w:szCs w:val="22"/>
                <w:lang w:val="fi-FI"/>
              </w:rPr>
            </w:pPr>
            <w:r w:rsidRPr="001B0981">
              <w:rPr>
                <w:iCs/>
                <w:sz w:val="22"/>
                <w:szCs w:val="22"/>
                <w:lang w:val="fi-FI"/>
              </w:rPr>
              <w:t>Uncommon</w:t>
            </w:r>
          </w:p>
        </w:tc>
        <w:tc>
          <w:tcPr>
            <w:tcW w:w="4482" w:type="dxa"/>
            <w:tcBorders>
              <w:top w:val="single" w:sz="4" w:space="0" w:color="auto"/>
              <w:left w:val="single" w:sz="4" w:space="0" w:color="auto"/>
              <w:bottom w:val="single" w:sz="4" w:space="0" w:color="auto"/>
              <w:right w:val="single" w:sz="4" w:space="0" w:color="auto"/>
            </w:tcBorders>
          </w:tcPr>
          <w:p w:rsidR="001350AA" w:rsidRPr="001B0981" w:rsidRDefault="001350AA" w:rsidP="001350AA">
            <w:pPr>
              <w:tabs>
                <w:tab w:val="left" w:pos="220"/>
                <w:tab w:val="left" w:pos="720"/>
              </w:tabs>
              <w:autoSpaceDE w:val="0"/>
              <w:autoSpaceDN w:val="0"/>
              <w:adjustRightInd w:val="0"/>
              <w:spacing w:after="0"/>
              <w:rPr>
                <w:iCs/>
                <w:sz w:val="22"/>
                <w:szCs w:val="22"/>
                <w:lang w:val="fi-FI"/>
              </w:rPr>
            </w:pPr>
            <w:r w:rsidRPr="001B0981">
              <w:rPr>
                <w:iCs/>
                <w:sz w:val="22"/>
                <w:szCs w:val="22"/>
                <w:lang w:val="fi-FI"/>
              </w:rPr>
              <w:t>Headache</w:t>
            </w:r>
          </w:p>
        </w:tc>
      </w:tr>
    </w:tbl>
    <w:p w:rsidR="00423CBC" w:rsidRDefault="00423CBC" w:rsidP="0039648A">
      <w:pPr>
        <w:pStyle w:val="DocumentText"/>
        <w:rPr>
          <w:rFonts w:eastAsia="MS Mincho"/>
          <w:u w:val="single"/>
          <w:lang w:val="en-GB"/>
        </w:rPr>
      </w:pPr>
    </w:p>
    <w:p w:rsidR="001B0981" w:rsidRDefault="001B0981" w:rsidP="00EF668A">
      <w:pPr>
        <w:pStyle w:val="DocumentText"/>
        <w:pageBreakBefore/>
        <w:rPr>
          <w:rFonts w:eastAsia="MS Mincho"/>
          <w:lang w:val="en-GB"/>
        </w:rPr>
      </w:pPr>
      <w:r>
        <w:rPr>
          <w:rFonts w:eastAsia="MS Mincho"/>
          <w:lang w:val="en-GB"/>
        </w:rPr>
        <w:lastRenderedPageBreak/>
        <w:t>The tabulated data on the most frequent adverse events (in particular the ocular AEs) for Ikervis compared to vehicle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309"/>
        <w:gridCol w:w="2309"/>
        <w:gridCol w:w="2309"/>
      </w:tblGrid>
      <w:tr w:rsidR="003E3D11" w:rsidRPr="00705095" w:rsidTr="00EF668A">
        <w:trPr>
          <w:cantSplit/>
          <w:tblHeader/>
        </w:trPr>
        <w:tc>
          <w:tcPr>
            <w:tcW w:w="9236" w:type="dxa"/>
            <w:gridSpan w:val="4"/>
            <w:shd w:val="clear" w:color="auto" w:fill="auto"/>
            <w:tcMar>
              <w:top w:w="72" w:type="dxa"/>
              <w:bottom w:w="72" w:type="dxa"/>
            </w:tcMar>
            <w:vAlign w:val="bottom"/>
          </w:tcPr>
          <w:p w:rsidR="003E3D11" w:rsidRPr="00705095" w:rsidRDefault="003E3D11" w:rsidP="0081531E">
            <w:pPr>
              <w:pStyle w:val="DocumentText"/>
              <w:jc w:val="center"/>
              <w:rPr>
                <w:rFonts w:eastAsia="MS Mincho"/>
                <w:sz w:val="22"/>
                <w:szCs w:val="22"/>
                <w:lang w:val="en-GB"/>
              </w:rPr>
            </w:pPr>
            <w:r w:rsidRPr="00705095">
              <w:rPr>
                <w:color w:val="000000"/>
                <w:sz w:val="22"/>
                <w:szCs w:val="22"/>
              </w:rPr>
              <w:t>TEAEs related to treatment: </w:t>
            </w:r>
            <w:r w:rsidR="0081531E">
              <w:rPr>
                <w:color w:val="000000"/>
                <w:sz w:val="22"/>
                <w:szCs w:val="22"/>
              </w:rPr>
              <w:t xml:space="preserve">Studies </w:t>
            </w:r>
            <w:r w:rsidRPr="00705095">
              <w:rPr>
                <w:color w:val="000000"/>
                <w:sz w:val="22"/>
                <w:szCs w:val="22"/>
              </w:rPr>
              <w:t>N09F0502, NVG08B112, NVG06C103 and NVG10E117 </w:t>
            </w:r>
          </w:p>
        </w:tc>
      </w:tr>
      <w:tr w:rsidR="003E3D11" w:rsidRPr="00705095" w:rsidTr="006B77FB">
        <w:trPr>
          <w:cantSplit/>
        </w:trPr>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sz w:val="22"/>
                <w:szCs w:val="22"/>
              </w:rPr>
            </w:pPr>
            <w:r w:rsidRPr="00705095">
              <w:rPr>
                <w:sz w:val="22"/>
                <w:szCs w:val="22"/>
              </w:rPr>
              <w:t>Body system</w:t>
            </w:r>
          </w:p>
        </w:tc>
        <w:tc>
          <w:tcPr>
            <w:tcW w:w="2309" w:type="dxa"/>
            <w:shd w:val="clear" w:color="auto" w:fill="auto"/>
            <w:tcMar>
              <w:top w:w="72" w:type="dxa"/>
              <w:left w:w="115" w:type="dxa"/>
              <w:bottom w:w="72" w:type="dxa"/>
              <w:right w:w="115" w:type="dxa"/>
            </w:tcMar>
          </w:tcPr>
          <w:p w:rsidR="003E3D11" w:rsidRPr="00705095" w:rsidRDefault="003E3D11" w:rsidP="002A597E">
            <w:pPr>
              <w:keepNext/>
              <w:adjustRightInd w:val="0"/>
              <w:spacing w:after="0" w:line="240" w:lineRule="auto"/>
              <w:rPr>
                <w:sz w:val="22"/>
                <w:szCs w:val="22"/>
              </w:rPr>
            </w:pPr>
            <w:r w:rsidRPr="00705095">
              <w:rPr>
                <w:sz w:val="22"/>
                <w:szCs w:val="22"/>
              </w:rPr>
              <w:t>P</w:t>
            </w:r>
            <w:r w:rsidR="00966F6B">
              <w:rPr>
                <w:sz w:val="22"/>
                <w:szCs w:val="22"/>
              </w:rPr>
              <w:t xml:space="preserve">referred </w:t>
            </w:r>
            <w:r w:rsidRPr="00705095">
              <w:rPr>
                <w:sz w:val="22"/>
                <w:szCs w:val="22"/>
              </w:rPr>
              <w:t>T</w:t>
            </w:r>
            <w:r w:rsidR="00966F6B">
              <w:rPr>
                <w:sz w:val="22"/>
                <w:szCs w:val="22"/>
              </w:rPr>
              <w:t>erm</w:t>
            </w:r>
            <w:r w:rsidRPr="00705095">
              <w:rPr>
                <w:sz w:val="22"/>
                <w:szCs w:val="22"/>
              </w:rPr>
              <w:t xml:space="preserve"> </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sz w:val="22"/>
                <w:szCs w:val="22"/>
              </w:rPr>
            </w:pPr>
            <w:r w:rsidRPr="00705095">
              <w:rPr>
                <w:sz w:val="22"/>
                <w:szCs w:val="22"/>
              </w:rPr>
              <w:t>IKEVIS 0.1%</w:t>
            </w:r>
          </w:p>
          <w:p w:rsidR="003E3D11" w:rsidRPr="00705095" w:rsidRDefault="003E3D11" w:rsidP="00705095">
            <w:pPr>
              <w:keepNext/>
              <w:adjustRightInd w:val="0"/>
              <w:spacing w:after="0" w:line="240" w:lineRule="auto"/>
              <w:jc w:val="center"/>
              <w:rPr>
                <w:sz w:val="22"/>
                <w:szCs w:val="22"/>
              </w:rPr>
            </w:pPr>
            <w:r w:rsidRPr="00705095">
              <w:rPr>
                <w:sz w:val="22"/>
                <w:szCs w:val="22"/>
              </w:rPr>
              <w:t>N=532</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sz w:val="22"/>
                <w:szCs w:val="22"/>
              </w:rPr>
            </w:pPr>
            <w:r w:rsidRPr="00705095">
              <w:rPr>
                <w:sz w:val="22"/>
                <w:szCs w:val="22"/>
              </w:rPr>
              <w:t>Vehicle</w:t>
            </w:r>
          </w:p>
          <w:p w:rsidR="003E3D11" w:rsidRPr="00705095" w:rsidRDefault="003E3D11" w:rsidP="00705095">
            <w:pPr>
              <w:keepNext/>
              <w:adjustRightInd w:val="0"/>
              <w:spacing w:after="0" w:line="240" w:lineRule="auto"/>
              <w:jc w:val="center"/>
              <w:rPr>
                <w:sz w:val="22"/>
                <w:szCs w:val="22"/>
              </w:rPr>
            </w:pPr>
            <w:r w:rsidRPr="00705095">
              <w:rPr>
                <w:sz w:val="22"/>
                <w:szCs w:val="22"/>
              </w:rPr>
              <w:t>N=398</w:t>
            </w:r>
          </w:p>
        </w:tc>
      </w:tr>
      <w:tr w:rsidR="003E3D11" w:rsidRPr="00705095" w:rsidTr="006B77FB">
        <w:trPr>
          <w:cantSplit/>
        </w:trPr>
        <w:tc>
          <w:tcPr>
            <w:tcW w:w="2309" w:type="dxa"/>
            <w:vMerge w:val="restart"/>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sz w:val="22"/>
                <w:szCs w:val="22"/>
              </w:rPr>
            </w:pPr>
            <w:r w:rsidRPr="00705095">
              <w:rPr>
                <w:color w:val="000000"/>
                <w:sz w:val="22"/>
                <w:szCs w:val="22"/>
              </w:rPr>
              <w:t>Eye disorders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Conjunctival hyperaemia</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9 ( 1.7)</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3 ( 0.8)</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Conjunctival oedema</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( 0.4)</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Conjunctivitis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( 0.5)</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Corneal infiltrates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( 0.2)</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Corneal scar</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( 0.2)</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Deposit eye</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( 0.2)</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Erythema of eyelid</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9 ( 1.7)</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5 ( 1.3)</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Eye discharge</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( 0.4)</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( 0.5)</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Eye irritation</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93 (17.5)</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23 ( 4.3)</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Eye pain</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101 (19.0)</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23 (4.3)</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Eye pruritus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9 (1.7)</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3 (0.6)</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Eyelid oedema</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7 ( 1.3)</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( 0.5)</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Eyelid pruritus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( 0.2)</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( 0.3)</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Foreign body sensation in eyes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4 (0.7)</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( 0.5)</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Keratitis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( 0.2)</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( 0.3)</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Lacrimal disorder</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5 ( 0.9)</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4 ( 1.0)</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Lacrimation increased</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26 (4.9)</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(0.5)</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Ocular discomfort</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( 0.4)</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 ( 0.4)</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Ocular hyperaemia</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20 (3.8)</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4 (  1.0)</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Photophobia</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4 ( 0.8)</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4 (  1.0)</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Vision blurred</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6 (1.1)</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4 (  1.0)</w:t>
            </w:r>
          </w:p>
        </w:tc>
      </w:tr>
      <w:tr w:rsidR="003E3D11" w:rsidRPr="00705095" w:rsidTr="006B77FB">
        <w:trPr>
          <w:cantSplit/>
        </w:trPr>
        <w:tc>
          <w:tcPr>
            <w:tcW w:w="2309" w:type="dxa"/>
            <w:vMerge/>
            <w:shd w:val="clear" w:color="auto" w:fill="auto"/>
            <w:tcMar>
              <w:top w:w="72" w:type="dxa"/>
              <w:left w:w="115" w:type="dxa"/>
              <w:bottom w:w="72" w:type="dxa"/>
              <w:right w:w="115" w:type="dxa"/>
            </w:tcMar>
          </w:tcPr>
          <w:p w:rsidR="003E3D11" w:rsidRPr="00705095" w:rsidRDefault="003E3D11" w:rsidP="00705095">
            <w:pPr>
              <w:pStyle w:val="DocumentText"/>
              <w:spacing w:after="0" w:line="240" w:lineRule="auto"/>
              <w:rPr>
                <w:rFonts w:eastAsia="MS Mincho"/>
                <w:sz w:val="22"/>
                <w:szCs w:val="22"/>
                <w:lang w:val="en-GB"/>
              </w:rPr>
            </w:pP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Visual acuity reduced</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5 (0.9)</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7 (  1.8)</w:t>
            </w:r>
          </w:p>
        </w:tc>
      </w:tr>
      <w:tr w:rsidR="003E3D11" w:rsidRPr="00705095" w:rsidTr="006B77FB">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lastRenderedPageBreak/>
              <w:t>General disorders and administration site conditions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Instillation site reaction</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3 (0.6)</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1 (0.3)</w:t>
            </w:r>
          </w:p>
        </w:tc>
      </w:tr>
      <w:tr w:rsidR="00662FAD" w:rsidRPr="00705095" w:rsidTr="006B77FB">
        <w:trPr>
          <w:cantSplit/>
        </w:trPr>
        <w:tc>
          <w:tcPr>
            <w:tcW w:w="2309" w:type="dxa"/>
            <w:vMerge w:val="restart"/>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rPr>
                <w:color w:val="000000"/>
                <w:sz w:val="22"/>
                <w:szCs w:val="22"/>
              </w:rPr>
            </w:pPr>
            <w:r w:rsidRPr="00705095">
              <w:rPr>
                <w:color w:val="000000"/>
                <w:sz w:val="22"/>
                <w:szCs w:val="22"/>
              </w:rPr>
              <w:t>Infections and infestations</w:t>
            </w:r>
          </w:p>
        </w:tc>
        <w:tc>
          <w:tcPr>
            <w:tcW w:w="2309" w:type="dxa"/>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rPr>
                <w:color w:val="000000"/>
                <w:sz w:val="22"/>
                <w:szCs w:val="22"/>
              </w:rPr>
            </w:pPr>
            <w:r w:rsidRPr="00705095">
              <w:rPr>
                <w:color w:val="000000"/>
                <w:sz w:val="22"/>
                <w:szCs w:val="22"/>
              </w:rPr>
              <w:t>Herpes zoster ophthalmic</w:t>
            </w:r>
          </w:p>
        </w:tc>
        <w:tc>
          <w:tcPr>
            <w:tcW w:w="2309" w:type="dxa"/>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jc w:val="center"/>
              <w:rPr>
                <w:color w:val="000000"/>
                <w:sz w:val="22"/>
                <w:szCs w:val="22"/>
              </w:rPr>
            </w:pPr>
            <w:r w:rsidRPr="00705095">
              <w:rPr>
                <w:color w:val="000000"/>
                <w:sz w:val="22"/>
                <w:szCs w:val="22"/>
              </w:rPr>
              <w:t>1 (0.2)</w:t>
            </w:r>
          </w:p>
        </w:tc>
        <w:tc>
          <w:tcPr>
            <w:tcW w:w="2309" w:type="dxa"/>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jc w:val="center"/>
              <w:rPr>
                <w:color w:val="000000"/>
                <w:sz w:val="22"/>
                <w:szCs w:val="22"/>
              </w:rPr>
            </w:pPr>
          </w:p>
        </w:tc>
      </w:tr>
      <w:tr w:rsidR="00662FAD" w:rsidRPr="00705095" w:rsidTr="006B77FB">
        <w:trPr>
          <w:cantSplit/>
        </w:trPr>
        <w:tc>
          <w:tcPr>
            <w:tcW w:w="2309" w:type="dxa"/>
            <w:vMerge/>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rPr>
                <w:sz w:val="22"/>
                <w:szCs w:val="22"/>
              </w:rPr>
            </w:pPr>
          </w:p>
        </w:tc>
        <w:tc>
          <w:tcPr>
            <w:tcW w:w="2309" w:type="dxa"/>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rPr>
                <w:color w:val="000000"/>
                <w:sz w:val="22"/>
                <w:szCs w:val="22"/>
              </w:rPr>
            </w:pPr>
            <w:r w:rsidRPr="00705095">
              <w:rPr>
                <w:color w:val="000000"/>
                <w:sz w:val="22"/>
                <w:szCs w:val="22"/>
              </w:rPr>
              <w:t>Keratitis bacterial</w:t>
            </w:r>
          </w:p>
        </w:tc>
        <w:tc>
          <w:tcPr>
            <w:tcW w:w="2309" w:type="dxa"/>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jc w:val="center"/>
              <w:rPr>
                <w:color w:val="000000"/>
                <w:sz w:val="22"/>
                <w:szCs w:val="22"/>
              </w:rPr>
            </w:pPr>
            <w:r w:rsidRPr="00705095">
              <w:rPr>
                <w:color w:val="000000"/>
                <w:sz w:val="22"/>
                <w:szCs w:val="22"/>
              </w:rPr>
              <w:t>1 (0.2)</w:t>
            </w:r>
          </w:p>
        </w:tc>
        <w:tc>
          <w:tcPr>
            <w:tcW w:w="2309" w:type="dxa"/>
            <w:shd w:val="clear" w:color="auto" w:fill="auto"/>
            <w:tcMar>
              <w:top w:w="72" w:type="dxa"/>
              <w:left w:w="115" w:type="dxa"/>
              <w:bottom w:w="72" w:type="dxa"/>
              <w:right w:w="115" w:type="dxa"/>
            </w:tcMar>
          </w:tcPr>
          <w:p w:rsidR="00662FAD" w:rsidRPr="00705095" w:rsidRDefault="00662FAD" w:rsidP="00705095">
            <w:pPr>
              <w:keepNext/>
              <w:adjustRightInd w:val="0"/>
              <w:spacing w:after="0" w:line="240" w:lineRule="auto"/>
              <w:jc w:val="center"/>
              <w:rPr>
                <w:color w:val="000000"/>
                <w:sz w:val="22"/>
                <w:szCs w:val="22"/>
              </w:rPr>
            </w:pPr>
          </w:p>
        </w:tc>
      </w:tr>
      <w:tr w:rsidR="003E3D11" w:rsidRPr="00705095" w:rsidTr="006B77FB">
        <w:trPr>
          <w:cantSplit/>
        </w:trPr>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Nervous system disorders</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rPr>
                <w:color w:val="000000"/>
                <w:sz w:val="22"/>
                <w:szCs w:val="22"/>
              </w:rPr>
            </w:pPr>
            <w:r w:rsidRPr="00705095">
              <w:rPr>
                <w:color w:val="000000"/>
                <w:sz w:val="22"/>
                <w:szCs w:val="22"/>
              </w:rPr>
              <w:t>Headache</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r w:rsidRPr="00705095">
              <w:rPr>
                <w:color w:val="000000"/>
                <w:sz w:val="22"/>
                <w:szCs w:val="22"/>
              </w:rPr>
              <w:t>5 (0.9)</w:t>
            </w:r>
          </w:p>
        </w:tc>
        <w:tc>
          <w:tcPr>
            <w:tcW w:w="2309" w:type="dxa"/>
            <w:shd w:val="clear" w:color="auto" w:fill="auto"/>
            <w:tcMar>
              <w:top w:w="72" w:type="dxa"/>
              <w:left w:w="115" w:type="dxa"/>
              <w:bottom w:w="72" w:type="dxa"/>
              <w:right w:w="115" w:type="dxa"/>
            </w:tcMar>
          </w:tcPr>
          <w:p w:rsidR="003E3D11" w:rsidRPr="00705095" w:rsidRDefault="003E3D11" w:rsidP="00705095">
            <w:pPr>
              <w:keepNext/>
              <w:adjustRightInd w:val="0"/>
              <w:spacing w:after="0" w:line="240" w:lineRule="auto"/>
              <w:jc w:val="center"/>
              <w:rPr>
                <w:color w:val="000000"/>
                <w:sz w:val="22"/>
                <w:szCs w:val="22"/>
              </w:rPr>
            </w:pPr>
          </w:p>
        </w:tc>
      </w:tr>
    </w:tbl>
    <w:p w:rsidR="001B0981" w:rsidRDefault="001B0981" w:rsidP="003833DE">
      <w:pPr>
        <w:pStyle w:val="Caption"/>
      </w:pPr>
    </w:p>
    <w:p w:rsidR="002252B6" w:rsidRPr="002252B6" w:rsidRDefault="002252B6" w:rsidP="002252B6">
      <w:pPr>
        <w:pStyle w:val="DocumentText"/>
        <w:rPr>
          <w:kern w:val="0"/>
          <w:u w:val="single"/>
          <w:lang w:val="en-AU" w:eastAsia="en-AU"/>
        </w:rPr>
      </w:pPr>
      <w:r w:rsidRPr="002252B6">
        <w:rPr>
          <w:u w:val="single"/>
        </w:rPr>
        <w:t>Description of selected adverse reactions</w:t>
      </w:r>
    </w:p>
    <w:p w:rsidR="00F86344" w:rsidRPr="00F86344" w:rsidRDefault="00F86344" w:rsidP="00F86344">
      <w:pPr>
        <w:pStyle w:val="DocumentText"/>
        <w:spacing w:after="120"/>
        <w:rPr>
          <w:i/>
        </w:rPr>
      </w:pPr>
      <w:r>
        <w:rPr>
          <w:i/>
        </w:rPr>
        <w:t>Eye Pain</w:t>
      </w:r>
    </w:p>
    <w:p w:rsidR="002252B6" w:rsidRDefault="00F86344" w:rsidP="002252B6">
      <w:pPr>
        <w:pStyle w:val="DocumentText"/>
      </w:pPr>
      <w:r>
        <w:t>Eye</w:t>
      </w:r>
      <w:r w:rsidR="002252B6">
        <w:t xml:space="preserve"> pain was a frequently reported local adverse reaction associated with the use of IKERVIS</w:t>
      </w:r>
      <w:r w:rsidR="00EB0C87">
        <w:rPr>
          <w:vertAlign w:val="superscript"/>
        </w:rPr>
        <w:t>®</w:t>
      </w:r>
      <w:r w:rsidR="002252B6">
        <w:t xml:space="preserve"> during clinical trials. It is likely to be attributable to ciclosporin.</w:t>
      </w:r>
    </w:p>
    <w:p w:rsidR="00F86344" w:rsidRPr="00F86344" w:rsidRDefault="00F86344" w:rsidP="00F86344">
      <w:pPr>
        <w:pStyle w:val="DocumentText"/>
        <w:spacing w:after="0"/>
        <w:rPr>
          <w:i/>
        </w:rPr>
      </w:pPr>
      <w:r w:rsidRPr="00F86344">
        <w:rPr>
          <w:i/>
        </w:rPr>
        <w:t xml:space="preserve">Generalised and </w:t>
      </w:r>
      <w:r w:rsidR="00335C4F">
        <w:rPr>
          <w:i/>
        </w:rPr>
        <w:t>localised</w:t>
      </w:r>
      <w:r w:rsidR="00335C4F" w:rsidRPr="00F86344">
        <w:rPr>
          <w:i/>
        </w:rPr>
        <w:t xml:space="preserve"> </w:t>
      </w:r>
      <w:r w:rsidRPr="00F86344">
        <w:rPr>
          <w:i/>
        </w:rPr>
        <w:t>infections</w:t>
      </w:r>
    </w:p>
    <w:p w:rsidR="00C302B5" w:rsidRDefault="002252B6" w:rsidP="002252B6">
      <w:pPr>
        <w:pStyle w:val="DocumentText"/>
      </w:pPr>
      <w:r>
        <w:t>Patients receiving immunosuppressive therapies, including ciclosporin, are at increased risk of infections. Both generalised and localised infections can occur. Pre-existing infections may also be aggravated (see section 4.</w:t>
      </w:r>
      <w:r w:rsidRPr="00EE72FE">
        <w:t>3</w:t>
      </w:r>
      <w:r w:rsidR="0081531E" w:rsidRPr="00EE72FE">
        <w:t xml:space="preserve"> </w:t>
      </w:r>
      <w:r w:rsidR="0081531E" w:rsidRPr="00EE72FE">
        <w:fldChar w:fldCharType="begin"/>
      </w:r>
      <w:r w:rsidR="00E566CE" w:rsidRPr="00EE72FE">
        <w:instrText xml:space="preserve"> REF _Ref54616105 \h     \* MERGEFORMAT </w:instrText>
      </w:r>
      <w:r w:rsidR="0081531E" w:rsidRPr="00EE72FE">
        <w:fldChar w:fldCharType="separate"/>
      </w:r>
      <w:r w:rsidR="0081531E" w:rsidRPr="00EE72FE">
        <w:t>CONTRAINDICATIONS</w:t>
      </w:r>
      <w:r w:rsidR="0081531E" w:rsidRPr="00EE72FE">
        <w:fldChar w:fldCharType="end"/>
      </w:r>
      <w:r w:rsidRPr="00EE72FE">
        <w:t>)</w:t>
      </w:r>
      <w:r>
        <w:t>. Cases of infections have been reported uncommonly in association with the use of IKERVIS</w:t>
      </w:r>
      <w:r w:rsidR="00EB0C87">
        <w:rPr>
          <w:vertAlign w:val="superscript"/>
        </w:rPr>
        <w:t>®</w:t>
      </w:r>
      <w:r>
        <w:t xml:space="preserve">. </w:t>
      </w:r>
    </w:p>
    <w:p w:rsidR="002252B6" w:rsidRDefault="00F86344" w:rsidP="002252B6">
      <w:pPr>
        <w:pStyle w:val="DocumentText"/>
      </w:pPr>
      <w:r>
        <w:t>As a precautionary measure, action should be taken t</w:t>
      </w:r>
      <w:r w:rsidR="002252B6">
        <w:t xml:space="preserve">o reduce systemic absorption </w:t>
      </w:r>
      <w:r>
        <w:t>(</w:t>
      </w:r>
      <w:r w:rsidR="002252B6">
        <w:t>see section 4.</w:t>
      </w:r>
      <w:r w:rsidR="002252B6" w:rsidRPr="00EE72FE">
        <w:t>2</w:t>
      </w:r>
      <w:r w:rsidR="0081531E" w:rsidRPr="00EE72FE">
        <w:t xml:space="preserve"> </w:t>
      </w:r>
      <w:r w:rsidR="0081531E" w:rsidRPr="00EE72FE">
        <w:fldChar w:fldCharType="begin"/>
      </w:r>
      <w:r w:rsidR="00E566CE" w:rsidRPr="00EE72FE">
        <w:instrText xml:space="preserve"> REF _Ref54616122 \h     \* MERGEFORMAT </w:instrText>
      </w:r>
      <w:r w:rsidR="0081531E" w:rsidRPr="00EE72FE">
        <w:fldChar w:fldCharType="separate"/>
      </w:r>
      <w:r w:rsidR="0081531E" w:rsidRPr="00EE72FE">
        <w:t>DOSE AND METHOD OF ADMINISTRATION</w:t>
      </w:r>
      <w:r w:rsidR="0081531E" w:rsidRPr="00EE72FE">
        <w:fldChar w:fldCharType="end"/>
      </w:r>
      <w:r w:rsidRPr="00EE72FE">
        <w:t>)</w:t>
      </w:r>
      <w:r w:rsidR="002252B6">
        <w:t>.</w:t>
      </w:r>
    </w:p>
    <w:p w:rsidR="0018403E" w:rsidRPr="0018403E" w:rsidRDefault="0018403E" w:rsidP="00653AEF">
      <w:pPr>
        <w:pStyle w:val="Heading3"/>
        <w:rPr>
          <w:rFonts w:eastAsia="MS Mincho"/>
        </w:rPr>
      </w:pPr>
      <w:r w:rsidRPr="0018403E">
        <w:rPr>
          <w:rFonts w:eastAsia="MS Mincho"/>
        </w:rPr>
        <w:t>Adverse Event Reporting</w:t>
      </w:r>
    </w:p>
    <w:p w:rsidR="00693A2D" w:rsidRPr="0018403E" w:rsidRDefault="0018403E" w:rsidP="0018403E">
      <w:pPr>
        <w:pStyle w:val="DocumentText"/>
        <w:rPr>
          <w:rFonts w:eastAsia="MS Mincho"/>
        </w:rPr>
      </w:pPr>
      <w:r w:rsidRPr="0018403E">
        <w:rPr>
          <w:rFonts w:eastAsia="MS Mincho"/>
        </w:rPr>
        <w:t>Reporting suspected adverse reactions after registration of the medicinal product is important. It allows continued monitoring of the benefit-risk balance of the medicinal product. Healthcare professionals are asked to report any suspected adverse reactions at</w:t>
      </w:r>
      <w:r>
        <w:rPr>
          <w:rFonts w:eastAsia="MS Mincho"/>
        </w:rPr>
        <w:t xml:space="preserve"> </w:t>
      </w:r>
      <w:hyperlink r:id="rId12" w:history="1">
        <w:r w:rsidR="00693A2D" w:rsidRPr="00C8233F">
          <w:rPr>
            <w:rStyle w:val="Hyperlink"/>
            <w:color w:val="auto"/>
            <w:u w:val="single"/>
            <w:lang w:val="en"/>
          </w:rPr>
          <w:t>www.tga.gov.au/reporting-problems</w:t>
        </w:r>
      </w:hyperlink>
      <w:r w:rsidR="00693A2D" w:rsidRPr="00C8233F">
        <w:rPr>
          <w:lang w:val="en"/>
        </w:rPr>
        <w:t>.</w:t>
      </w:r>
    </w:p>
    <w:p w:rsidR="00693A2D" w:rsidRPr="00C04558" w:rsidRDefault="00C500A6" w:rsidP="00693A2D">
      <w:pPr>
        <w:pStyle w:val="Heading2"/>
      </w:pPr>
      <w:bookmarkStart w:id="52" w:name="_Toc514070603"/>
      <w:bookmarkStart w:id="53" w:name="_Toc514071370"/>
      <w:bookmarkStart w:id="54" w:name="_Toc514071409"/>
      <w:r w:rsidRPr="00C04558">
        <w:lastRenderedPageBreak/>
        <w:t>OVERDOSE</w:t>
      </w:r>
      <w:bookmarkEnd w:id="52"/>
      <w:bookmarkEnd w:id="53"/>
      <w:bookmarkEnd w:id="54"/>
    </w:p>
    <w:p w:rsidR="002252B6" w:rsidRDefault="002252B6" w:rsidP="00CC1D71">
      <w:pPr>
        <w:rPr>
          <w:lang w:val="en"/>
        </w:rPr>
      </w:pPr>
      <w:r w:rsidRPr="002252B6">
        <w:rPr>
          <w:lang w:val="en"/>
        </w:rPr>
        <w:t>A topical overdose is not likely to occur after ocular administration. If overdose with IKERVIS</w:t>
      </w:r>
      <w:r w:rsidR="00EB0C87">
        <w:rPr>
          <w:vertAlign w:val="superscript"/>
          <w:lang w:val="en"/>
        </w:rPr>
        <w:t>®</w:t>
      </w:r>
      <w:r w:rsidRPr="002252B6">
        <w:rPr>
          <w:lang w:val="en"/>
        </w:rPr>
        <w:t xml:space="preserve"> occurs, treatment should be symptomatic and supportive.</w:t>
      </w:r>
    </w:p>
    <w:p w:rsidR="00693A2D" w:rsidRPr="00C04558" w:rsidRDefault="00CC1D71" w:rsidP="00CC1D71">
      <w:r w:rsidRPr="00CC1D71">
        <w:rPr>
          <w:lang w:val="en"/>
        </w:rPr>
        <w:t>For information on the management of overdose, contact the Poison Information Centre on 13 11 26 (Australia).</w:t>
      </w:r>
    </w:p>
    <w:p w:rsidR="00693A2D" w:rsidRPr="00C04558" w:rsidRDefault="00C500A6" w:rsidP="00693A2D">
      <w:pPr>
        <w:pStyle w:val="Heading1"/>
      </w:pPr>
      <w:bookmarkStart w:id="55" w:name="_Toc514070604"/>
      <w:bookmarkStart w:id="56" w:name="_Toc514071371"/>
      <w:bookmarkStart w:id="57" w:name="_Toc514071410"/>
      <w:r w:rsidRPr="00C04558">
        <w:t>PHARMACOLOGICAL PROPERTIES</w:t>
      </w:r>
      <w:bookmarkEnd w:id="55"/>
      <w:bookmarkEnd w:id="56"/>
      <w:bookmarkEnd w:id="57"/>
    </w:p>
    <w:p w:rsidR="00693A2D" w:rsidRPr="00C04558" w:rsidRDefault="00C500A6" w:rsidP="00693A2D">
      <w:pPr>
        <w:pStyle w:val="Heading2"/>
      </w:pPr>
      <w:bookmarkStart w:id="58" w:name="_Toc514070605"/>
      <w:bookmarkStart w:id="59" w:name="_Toc514071372"/>
      <w:bookmarkStart w:id="60" w:name="_Toc514071411"/>
      <w:r w:rsidRPr="00C04558">
        <w:t>PHARMACODYNAMIC PROPERTIES</w:t>
      </w:r>
      <w:bookmarkEnd w:id="58"/>
      <w:bookmarkEnd w:id="59"/>
      <w:bookmarkEnd w:id="60"/>
      <w:r w:rsidRPr="00C04558">
        <w:t xml:space="preserve"> </w:t>
      </w:r>
    </w:p>
    <w:p w:rsidR="00A8249A" w:rsidRDefault="00A8249A" w:rsidP="00653AEF">
      <w:pPr>
        <w:pStyle w:val="Heading3"/>
      </w:pPr>
      <w:r w:rsidRPr="00A8249A">
        <w:t>Mechanism of action</w:t>
      </w:r>
    </w:p>
    <w:p w:rsidR="0057191A" w:rsidRPr="00043501" w:rsidRDefault="00043501" w:rsidP="007142B8">
      <w:pPr>
        <w:pStyle w:val="DocumentText"/>
      </w:pPr>
      <w:r>
        <w:t xml:space="preserve">Ciclosporin is a </w:t>
      </w:r>
      <w:r w:rsidR="0010254F">
        <w:t xml:space="preserve">calcineurin inhibitor immunosuppressant agent when administered systemically.  </w:t>
      </w:r>
      <w:r>
        <w:t>Ciclosporin has been shown to have an anti-inflammatory effect</w:t>
      </w:r>
      <w:r w:rsidR="00BA4930">
        <w:t xml:space="preserve"> whereby it </w:t>
      </w:r>
      <w:r>
        <w:t>inhibit</w:t>
      </w:r>
      <w:r w:rsidR="00BA4930">
        <w:t>s</w:t>
      </w:r>
      <w:r>
        <w:t xml:space="preserve"> the production and/or release of pro-inflammatory cytokines</w:t>
      </w:r>
      <w:r w:rsidR="00BA4930">
        <w:t xml:space="preserve"> and has been shown to</w:t>
      </w:r>
      <w:r w:rsidR="008829BC">
        <w:t xml:space="preserve"> </w:t>
      </w:r>
      <w:r>
        <w:t>up-regulate the release of anti-inflammatory cytokines.</w:t>
      </w:r>
      <w:r w:rsidR="008829BC">
        <w:t xml:space="preserve"> </w:t>
      </w:r>
      <w:r w:rsidR="0057191A" w:rsidRPr="000D3C96">
        <w:t xml:space="preserve">In patients with dry eye disease, </w:t>
      </w:r>
      <w:r w:rsidR="00AA0E36">
        <w:t>topical administration of ciclosporin is believed to exert an immunomodulatory effect, although its exact mechanism of action in dry eye disease is not known.</w:t>
      </w:r>
    </w:p>
    <w:p w:rsidR="00A8249A" w:rsidRPr="00A8249A" w:rsidRDefault="00A8249A" w:rsidP="00653AEF">
      <w:pPr>
        <w:pStyle w:val="Heading3"/>
      </w:pPr>
      <w:r w:rsidRPr="00A8249A">
        <w:t>Clinical trials</w:t>
      </w:r>
    </w:p>
    <w:p w:rsidR="0057191A" w:rsidRDefault="0057191A" w:rsidP="0057191A">
      <w:pPr>
        <w:pStyle w:val="DocumentText"/>
      </w:pPr>
      <w:r>
        <w:t>The efficacy and safety of IKERVIS</w:t>
      </w:r>
      <w:r w:rsidR="00EB0C87">
        <w:rPr>
          <w:vertAlign w:val="superscript"/>
        </w:rPr>
        <w:t>®</w:t>
      </w:r>
      <w:r>
        <w:t xml:space="preserve"> were evaluated in two </w:t>
      </w:r>
      <w:r w:rsidR="00960E9B">
        <w:t xml:space="preserve">pivotal, Phase III, </w:t>
      </w:r>
      <w:r>
        <w:t>randomised, double-masked, vehicle-controlled clinical studies in adult dry eye disease</w:t>
      </w:r>
      <w:r w:rsidR="00960E9B">
        <w:t xml:space="preserve"> (DED,</w:t>
      </w:r>
      <w:r>
        <w:t xml:space="preserve"> keratoconjunctivitis sicca)</w:t>
      </w:r>
      <w:r w:rsidR="00BC40C6">
        <w:t xml:space="preserve"> </w:t>
      </w:r>
      <w:r w:rsidR="000E49B8">
        <w:t xml:space="preserve">patients </w:t>
      </w:r>
      <w:r w:rsidR="00BC40C6">
        <w:t xml:space="preserve">with keratitis.  Each study included assessment of both </w:t>
      </w:r>
      <w:r w:rsidR="000E49B8">
        <w:t>an</w:t>
      </w:r>
      <w:r w:rsidR="00BC40C6">
        <w:t xml:space="preserve"> objective sign</w:t>
      </w:r>
      <w:r w:rsidR="000E49B8">
        <w:t xml:space="preserve"> (keratitis)</w:t>
      </w:r>
      <w:r w:rsidR="00BC40C6">
        <w:t xml:space="preserve"> and subjective symptoms</w:t>
      </w:r>
      <w:r w:rsidR="003828B6" w:rsidRPr="003828B6">
        <w:t xml:space="preserve"> </w:t>
      </w:r>
      <w:r w:rsidR="003828B6">
        <w:t>of the disease</w:t>
      </w:r>
      <w:r w:rsidR="00BC40C6">
        <w:t xml:space="preserve"> as part of the primary </w:t>
      </w:r>
      <w:r w:rsidR="003828B6">
        <w:t xml:space="preserve">efficacy </w:t>
      </w:r>
      <w:r w:rsidR="00BC40C6">
        <w:t xml:space="preserve">endpoint.   </w:t>
      </w:r>
      <w:r>
        <w:t xml:space="preserve"> </w:t>
      </w:r>
    </w:p>
    <w:p w:rsidR="00E66407" w:rsidRPr="007B34D7" w:rsidRDefault="00E66407" w:rsidP="00960E9B">
      <w:pPr>
        <w:pStyle w:val="DocumentText"/>
        <w:rPr>
          <w:b/>
          <w:u w:val="single"/>
        </w:rPr>
      </w:pPr>
      <w:r w:rsidRPr="007B34D7">
        <w:rPr>
          <w:b/>
          <w:u w:val="single"/>
        </w:rPr>
        <w:t>SICCANOVE Study:</w:t>
      </w:r>
    </w:p>
    <w:p w:rsidR="00887AE4" w:rsidRDefault="00DA6673" w:rsidP="00960E9B">
      <w:pPr>
        <w:pStyle w:val="DocumentText"/>
      </w:pPr>
      <w:r>
        <w:t>T</w:t>
      </w:r>
      <w:r w:rsidR="00960E9B">
        <w:t xml:space="preserve">he </w:t>
      </w:r>
      <w:r>
        <w:t xml:space="preserve">first pivotal study, the </w:t>
      </w:r>
      <w:r w:rsidR="00960E9B">
        <w:t>SICCANOVE study,</w:t>
      </w:r>
      <w:r>
        <w:t xml:space="preserve"> randomised</w:t>
      </w:r>
      <w:r w:rsidR="00960E9B">
        <w:t xml:space="preserve"> 492 DED patients with moderate to severe keratitis (defined as a </w:t>
      </w:r>
      <w:r w:rsidR="00E0317F">
        <w:t>c</w:t>
      </w:r>
      <w:r w:rsidR="00E66407">
        <w:t xml:space="preserve">orneal </w:t>
      </w:r>
      <w:r w:rsidR="00E0317F">
        <w:t>f</w:t>
      </w:r>
      <w:r w:rsidR="00E66407">
        <w:t xml:space="preserve">luorescein </w:t>
      </w:r>
      <w:r w:rsidR="00E0317F">
        <w:t>s</w:t>
      </w:r>
      <w:r w:rsidR="00E66407">
        <w:t>taining (CFS)</w:t>
      </w:r>
      <w:r w:rsidR="00960E9B">
        <w:t xml:space="preserve"> score of 2 to 4</w:t>
      </w:r>
      <w:r w:rsidR="003828B6">
        <w:t xml:space="preserve"> </w:t>
      </w:r>
      <w:r>
        <w:t xml:space="preserve">as </w:t>
      </w:r>
      <w:r w:rsidR="003828B6">
        <w:t>measured on the modified Oxford scale</w:t>
      </w:r>
      <w:r w:rsidR="00960E9B">
        <w:t>) to receive either IKERVIS</w:t>
      </w:r>
      <w:r w:rsidR="000E49B8">
        <w:rPr>
          <w:vertAlign w:val="superscript"/>
        </w:rPr>
        <w:t>®</w:t>
      </w:r>
      <w:r w:rsidR="00960E9B">
        <w:t xml:space="preserve"> or vehicle once-daily, at bedtime, for 6 months. The co-primary endpoints </w:t>
      </w:r>
      <w:r w:rsidR="00AC6C30">
        <w:t xml:space="preserve">of this study </w:t>
      </w:r>
      <w:r w:rsidR="00960E9B">
        <w:t xml:space="preserve">were change in CFS score and change in global score of ocular discomfort unrelated to study medication instillation, both measured at Month 6. </w:t>
      </w:r>
      <w:r w:rsidR="00AC6C30">
        <w:t>The</w:t>
      </w:r>
      <w:r w:rsidR="00E66407">
        <w:t xml:space="preserve"> mean</w:t>
      </w:r>
      <w:r w:rsidR="00AC6C30">
        <w:t xml:space="preserve"> improvement i</w:t>
      </w:r>
      <w:r w:rsidR="00E66407">
        <w:t>n</w:t>
      </w:r>
      <w:r w:rsidR="00AC6C30">
        <w:t xml:space="preserve"> CFS scores was statistically significantly greater with IKERVIS</w:t>
      </w:r>
      <w:r w:rsidR="00AC6C30">
        <w:rPr>
          <w:vertAlign w:val="superscript"/>
        </w:rPr>
        <w:t>®</w:t>
      </w:r>
      <w:r w:rsidR="00AC6C30">
        <w:t xml:space="preserve"> than vehicle </w:t>
      </w:r>
      <w:r w:rsidR="00960E9B">
        <w:t>(mean change from baseline in CFS -1.05 with IKERVIS</w:t>
      </w:r>
      <w:r w:rsidR="009F2ED5">
        <w:rPr>
          <w:vertAlign w:val="superscript"/>
        </w:rPr>
        <w:t>®</w:t>
      </w:r>
      <w:r w:rsidR="00960E9B">
        <w:t xml:space="preserve"> and -0.82 </w:t>
      </w:r>
      <w:r w:rsidR="00960E9B">
        <w:lastRenderedPageBreak/>
        <w:t>with vehicle, p=0.009).</w:t>
      </w:r>
      <w:r w:rsidR="00966F6B">
        <w:t xml:space="preserve"> </w:t>
      </w:r>
      <w:r w:rsidR="00960E9B">
        <w:t xml:space="preserve">The mean change from baseline in ocular discomfort score (assessed using a </w:t>
      </w:r>
      <w:r w:rsidR="00E0317F">
        <w:t>v</w:t>
      </w:r>
      <w:r w:rsidR="00960E9B">
        <w:t xml:space="preserve">isual </w:t>
      </w:r>
      <w:r w:rsidR="00E0317F">
        <w:t>a</w:t>
      </w:r>
      <w:r w:rsidR="00960E9B">
        <w:t>nalog</w:t>
      </w:r>
      <w:r w:rsidR="000E49B8">
        <w:t>ue</w:t>
      </w:r>
      <w:r w:rsidR="00960E9B">
        <w:t xml:space="preserve"> </w:t>
      </w:r>
      <w:r w:rsidR="00E0317F">
        <w:t>s</w:t>
      </w:r>
      <w:r w:rsidR="00960E9B">
        <w:t xml:space="preserve">cale) </w:t>
      </w:r>
      <w:r w:rsidR="00BA2FA5">
        <w:t xml:space="preserve">showed </w:t>
      </w:r>
      <w:r w:rsidR="00460BDF">
        <w:t>no significant difference between IKERVIS and vehicle (</w:t>
      </w:r>
      <w:r w:rsidR="00D16211">
        <w:t xml:space="preserve">-12.82 vs -11.21 respectively, </w:t>
      </w:r>
      <w:r w:rsidR="00460BDF">
        <w:t xml:space="preserve">p=0.808).  </w:t>
      </w:r>
    </w:p>
    <w:p w:rsidR="00E17DB0" w:rsidRPr="00DB0176" w:rsidRDefault="00E17DB0" w:rsidP="00DB0176">
      <w:pPr>
        <w:pStyle w:val="Default"/>
        <w:spacing w:after="240" w:line="300" w:lineRule="auto"/>
      </w:pPr>
      <w:r w:rsidRPr="00DB0176">
        <w:t>In patients with a baseline CFS score of 4</w:t>
      </w:r>
      <w:r w:rsidR="00E7385C" w:rsidRPr="00DB0176">
        <w:t xml:space="preserve"> (n = 85)</w:t>
      </w:r>
      <w:r w:rsidR="008E2669" w:rsidRPr="00DB0176">
        <w:t xml:space="preserve"> (</w:t>
      </w:r>
      <w:r w:rsidRPr="00DB0176">
        <w:t>severe disease</w:t>
      </w:r>
      <w:r w:rsidR="008E2669" w:rsidRPr="00DB0176">
        <w:t>)</w:t>
      </w:r>
      <w:r w:rsidRPr="00DB0176">
        <w:t xml:space="preserve">, the percentage of co-responders with improvement in both sign and symptoms (defined as patients with at least 2 grades improvement in CFS on the modified Oxford scale and at least 30% improvement in </w:t>
      </w:r>
      <w:r w:rsidR="006C6AF3" w:rsidRPr="00DB0176">
        <w:t>Ocular Surface Disease Index (</w:t>
      </w:r>
      <w:r w:rsidRPr="00DB0176">
        <w:t>OSDI)</w:t>
      </w:r>
      <w:r w:rsidR="006C6AF3" w:rsidRPr="00DB0176">
        <w:t>)</w:t>
      </w:r>
      <w:r w:rsidRPr="00DB0176">
        <w:t xml:space="preserve"> was 32.56% vs 7.14% at Month 6 for the IKERVIS</w:t>
      </w:r>
      <w:r w:rsidR="009F2ED5" w:rsidRPr="00DB0176">
        <w:rPr>
          <w:vertAlign w:val="superscript"/>
        </w:rPr>
        <w:t>®</w:t>
      </w:r>
      <w:r w:rsidRPr="00DB0176">
        <w:t xml:space="preserve"> and vehicle groups respectively (p=0.003</w:t>
      </w:r>
      <w:r w:rsidR="00D16211">
        <w:t>, post-hoc analysis</w:t>
      </w:r>
      <w:r w:rsidRPr="00DB0176">
        <w:t>).</w:t>
      </w:r>
    </w:p>
    <w:p w:rsidR="00662FAD" w:rsidRDefault="00662FAD" w:rsidP="007B34D7">
      <w:pPr>
        <w:pStyle w:val="Default"/>
        <w:spacing w:after="240" w:line="300" w:lineRule="auto"/>
        <w:rPr>
          <w:b/>
          <w:sz w:val="23"/>
          <w:szCs w:val="23"/>
          <w:u w:val="single"/>
        </w:rPr>
      </w:pPr>
    </w:p>
    <w:p w:rsidR="00286D34" w:rsidRPr="007B34D7" w:rsidRDefault="00E26C0C" w:rsidP="007B34D7">
      <w:pPr>
        <w:pStyle w:val="Default"/>
        <w:spacing w:after="240" w:line="300" w:lineRule="auto"/>
        <w:rPr>
          <w:b/>
          <w:sz w:val="23"/>
          <w:szCs w:val="23"/>
          <w:u w:val="single"/>
        </w:rPr>
      </w:pPr>
      <w:r w:rsidRPr="007B34D7">
        <w:rPr>
          <w:b/>
          <w:sz w:val="23"/>
          <w:szCs w:val="23"/>
          <w:u w:val="single"/>
        </w:rPr>
        <w:t>SANSIKA study:</w:t>
      </w:r>
    </w:p>
    <w:p w:rsidR="0069613D" w:rsidRDefault="00E00F67" w:rsidP="00960E9B">
      <w:pPr>
        <w:pStyle w:val="DocumentText"/>
      </w:pPr>
      <w:r>
        <w:t>T</w:t>
      </w:r>
      <w:r w:rsidR="0057191A">
        <w:t xml:space="preserve">he </w:t>
      </w:r>
      <w:r w:rsidR="0069613D">
        <w:t>second pivotal study</w:t>
      </w:r>
      <w:r w:rsidR="0057191A">
        <w:t>,</w:t>
      </w:r>
      <w:r>
        <w:t xml:space="preserve"> </w:t>
      </w:r>
      <w:r w:rsidRPr="00857ABE">
        <w:t>the</w:t>
      </w:r>
      <w:r w:rsidR="00E7385C" w:rsidRPr="00857ABE">
        <w:t xml:space="preserve"> </w:t>
      </w:r>
      <w:r w:rsidR="0057191A" w:rsidRPr="00857ABE">
        <w:t>SANSIKA study,</w:t>
      </w:r>
      <w:r w:rsidRPr="00857ABE">
        <w:t xml:space="preserve"> randomi</w:t>
      </w:r>
      <w:r w:rsidR="00E7385C" w:rsidRPr="00857ABE">
        <w:t>s</w:t>
      </w:r>
      <w:r>
        <w:t xml:space="preserve">ed </w:t>
      </w:r>
      <w:r w:rsidR="0057191A">
        <w:t xml:space="preserve">246 </w:t>
      </w:r>
      <w:r w:rsidR="009F2ED5">
        <w:t>d</w:t>
      </w:r>
      <w:r w:rsidR="0057191A">
        <w:t xml:space="preserve">ry </w:t>
      </w:r>
      <w:r w:rsidR="009F2ED5">
        <w:t>e</w:t>
      </w:r>
      <w:r w:rsidR="0057191A">
        <w:t xml:space="preserve">ye </w:t>
      </w:r>
      <w:r w:rsidR="009F2ED5">
        <w:t>d</w:t>
      </w:r>
      <w:r w:rsidR="0057191A">
        <w:t xml:space="preserve">isease patients with severe keratitis (defined as a CFS score of 4 on the modified Oxford scale) to </w:t>
      </w:r>
      <w:r w:rsidR="00E26C0C">
        <w:t xml:space="preserve">receive </w:t>
      </w:r>
      <w:r w:rsidR="0057191A">
        <w:t>one drop of IKERVIS</w:t>
      </w:r>
      <w:r w:rsidR="009F2ED5">
        <w:rPr>
          <w:vertAlign w:val="superscript"/>
        </w:rPr>
        <w:t>®</w:t>
      </w:r>
      <w:r w:rsidR="0057191A">
        <w:t xml:space="preserve"> or vehicle </w:t>
      </w:r>
      <w:r w:rsidR="00E26C0C">
        <w:t>once-</w:t>
      </w:r>
      <w:r w:rsidR="0057191A">
        <w:t>daily</w:t>
      </w:r>
      <w:r w:rsidR="00E26C0C">
        <w:t>,</w:t>
      </w:r>
      <w:r w:rsidR="0057191A">
        <w:t xml:space="preserve"> at bedtime</w:t>
      </w:r>
      <w:r w:rsidR="00E26C0C">
        <w:t>,</w:t>
      </w:r>
      <w:r w:rsidR="0057191A">
        <w:t xml:space="preserve"> for 6 months.</w:t>
      </w:r>
      <w:r w:rsidR="00E26C0C">
        <w:t xml:space="preserve"> The average duration of severe DED prior to study start was 8 – 9 years</w:t>
      </w:r>
      <w:r w:rsidR="00CC6232">
        <w:t>.</w:t>
      </w:r>
      <w:r w:rsidR="0057191A">
        <w:t xml:space="preserve"> </w:t>
      </w:r>
      <w:r w:rsidR="00E26C0C">
        <w:t>Following completion of the initial 6 Month double-masked phase of the study, p</w:t>
      </w:r>
      <w:r w:rsidR="0057191A">
        <w:t xml:space="preserve">atients </w:t>
      </w:r>
      <w:r w:rsidR="00E26C0C">
        <w:t>in</w:t>
      </w:r>
      <w:r w:rsidR="007B34D7">
        <w:t xml:space="preserve"> </w:t>
      </w:r>
      <w:r w:rsidR="0057191A">
        <w:t>the vehicle group were switched to IKERVIS</w:t>
      </w:r>
      <w:r w:rsidR="009F2ED5">
        <w:rPr>
          <w:vertAlign w:val="superscript"/>
        </w:rPr>
        <w:t>®</w:t>
      </w:r>
      <w:r w:rsidR="00E26C0C">
        <w:t xml:space="preserve"> for</w:t>
      </w:r>
      <w:r w:rsidR="0069613D">
        <w:t xml:space="preserve"> a further 6 month open label follow-up.</w:t>
      </w:r>
      <w:r w:rsidR="0057191A">
        <w:t xml:space="preserve"> </w:t>
      </w:r>
    </w:p>
    <w:p w:rsidR="0057191A" w:rsidRDefault="0057191A" w:rsidP="00960E9B">
      <w:pPr>
        <w:pStyle w:val="DocumentText"/>
      </w:pPr>
      <w:r>
        <w:t xml:space="preserve">The primary </w:t>
      </w:r>
      <w:r w:rsidR="0069613D">
        <w:t xml:space="preserve">efficacy outcome was a composite </w:t>
      </w:r>
      <w:r>
        <w:t xml:space="preserve">endpoint </w:t>
      </w:r>
      <w:r w:rsidR="0069613D">
        <w:t xml:space="preserve">consisting of </w:t>
      </w:r>
      <w:r>
        <w:t xml:space="preserve">the proportion of patients achieving </w:t>
      </w:r>
      <w:r w:rsidR="0069613D">
        <w:t>both</w:t>
      </w:r>
      <w:r>
        <w:t xml:space="preserve"> a two-grade</w:t>
      </w:r>
      <w:r w:rsidR="0069613D">
        <w:t xml:space="preserve"> or greater</w:t>
      </w:r>
      <w:r>
        <w:t xml:space="preserve"> improvement </w:t>
      </w:r>
      <w:r w:rsidR="00FD48A1">
        <w:t>in keratitis (measured by CFS)</w:t>
      </w:r>
      <w:r>
        <w:t xml:space="preserve"> and a 30% improvement in symptoms </w:t>
      </w:r>
      <w:r w:rsidR="00FD48A1">
        <w:t>(</w:t>
      </w:r>
      <w:r>
        <w:t xml:space="preserve">measured </w:t>
      </w:r>
      <w:r w:rsidR="0069613D">
        <w:t>by</w:t>
      </w:r>
      <w:r>
        <w:t xml:space="preserve"> the OSDI</w:t>
      </w:r>
      <w:r w:rsidR="00FD48A1">
        <w:t>) by Month 6</w:t>
      </w:r>
      <w:r>
        <w:t xml:space="preserve">. </w:t>
      </w:r>
      <w:r w:rsidR="0069613D">
        <w:t>At the end of the initial 6 month treatment period, t</w:t>
      </w:r>
      <w:r>
        <w:t>he proportion of responders in the IKERVIS</w:t>
      </w:r>
      <w:r w:rsidR="009F2ED5">
        <w:rPr>
          <w:vertAlign w:val="superscript"/>
        </w:rPr>
        <w:t>®</w:t>
      </w:r>
      <w:r>
        <w:t xml:space="preserve"> group was 28.6%, compared </w:t>
      </w:r>
      <w:r w:rsidR="009F2ED5">
        <w:t>with</w:t>
      </w:r>
      <w:r>
        <w:t xml:space="preserve"> 23.1% in the vehicle group. The difference was not statistically significant</w:t>
      </w:r>
      <w:r w:rsidR="00E7385C">
        <w:t xml:space="preserve"> (p = 0.326)</w:t>
      </w:r>
      <w:r>
        <w:t>.</w:t>
      </w:r>
    </w:p>
    <w:p w:rsidR="0095770C" w:rsidRDefault="008829BC" w:rsidP="0095770C">
      <w:pPr>
        <w:pStyle w:val="DocumentText"/>
      </w:pPr>
      <w:r>
        <w:t>A</w:t>
      </w:r>
      <w:r w:rsidR="00454351">
        <w:t xml:space="preserve"> </w:t>
      </w:r>
      <w:r w:rsidR="00087B69">
        <w:t>s</w:t>
      </w:r>
      <w:r w:rsidR="00454351">
        <w:t xml:space="preserve">ignificantly greater </w:t>
      </w:r>
      <w:r w:rsidR="00087B69">
        <w:t xml:space="preserve">improvement </w:t>
      </w:r>
      <w:r w:rsidR="004064FE">
        <w:t>in CFS</w:t>
      </w:r>
      <w:r w:rsidR="00051B18">
        <w:t xml:space="preserve"> </w:t>
      </w:r>
      <w:r>
        <w:t>score</w:t>
      </w:r>
      <w:r w:rsidR="0057191A">
        <w:t xml:space="preserve"> </w:t>
      </w:r>
      <w:r w:rsidR="00087B69">
        <w:t xml:space="preserve">was observed </w:t>
      </w:r>
      <w:r w:rsidR="0017524A">
        <w:t xml:space="preserve">at </w:t>
      </w:r>
      <w:r w:rsidR="0057191A">
        <w:t>Month 6</w:t>
      </w:r>
      <w:r>
        <w:t xml:space="preserve"> in the IKERVIS group compared with vehicle.  The adjusted mean difference in CFS scores between the two groups was </w:t>
      </w:r>
      <w:r w:rsidR="00966F6B">
        <w:t>-0</w:t>
      </w:r>
      <w:r>
        <w:t>.35</w:t>
      </w:r>
      <w:r w:rsidR="00454351">
        <w:t xml:space="preserve"> (</w:t>
      </w:r>
      <w:r w:rsidR="00851248">
        <w:t>-</w:t>
      </w:r>
      <w:r w:rsidR="0086708C">
        <w:t>1.76</w:t>
      </w:r>
      <w:r w:rsidR="00851248">
        <w:t xml:space="preserve"> vs -</w:t>
      </w:r>
      <w:r w:rsidR="0086708C">
        <w:t>1.42</w:t>
      </w:r>
      <w:r w:rsidR="00851248">
        <w:t xml:space="preserve"> for the IKERVIS and vehicle groups</w:t>
      </w:r>
      <w:r w:rsidR="00454351">
        <w:t xml:space="preserve"> respectively</w:t>
      </w:r>
      <w:r>
        <w:t>; p</w:t>
      </w:r>
      <w:r w:rsidR="00966F6B">
        <w:t xml:space="preserve"> </w:t>
      </w:r>
      <w:r>
        <w:t>=</w:t>
      </w:r>
      <w:r w:rsidR="00966F6B">
        <w:t xml:space="preserve"> </w:t>
      </w:r>
      <w:r>
        <w:t>0.037</w:t>
      </w:r>
      <w:r w:rsidR="00454351">
        <w:t>)</w:t>
      </w:r>
      <w:r w:rsidR="00087B69">
        <w:t>.</w:t>
      </w:r>
      <w:r w:rsidR="0017524A">
        <w:t xml:space="preserve"> An improvement in favour of IKERVIS was also observed at Month 3 (p</w:t>
      </w:r>
      <w:r w:rsidR="009B7363">
        <w:t xml:space="preserve"> = 0.024)</w:t>
      </w:r>
      <w:r w:rsidR="0017524A">
        <w:t>.</w:t>
      </w:r>
      <w:r w:rsidR="00087B69">
        <w:t xml:space="preserve"> </w:t>
      </w:r>
      <w:r w:rsidR="0057191A">
        <w:t xml:space="preserve"> </w:t>
      </w:r>
      <w:r w:rsidR="0095770C" w:rsidRPr="0095770C">
        <w:t xml:space="preserve"> </w:t>
      </w:r>
    </w:p>
    <w:p w:rsidR="00EE3DCF" w:rsidRPr="006A53DD" w:rsidRDefault="0095770C" w:rsidP="0057191A">
      <w:pPr>
        <w:pStyle w:val="DocumentText"/>
      </w:pPr>
      <w:r>
        <w:t xml:space="preserve">With regard to improvement in symptoms, </w:t>
      </w:r>
      <w:r w:rsidR="00F72986">
        <w:t xml:space="preserve">there was no significant difference between </w:t>
      </w:r>
      <w:r w:rsidR="001D5A01">
        <w:t xml:space="preserve">IKERVIS and vehicle </w:t>
      </w:r>
      <w:r w:rsidR="00F72986">
        <w:t>groups at Month 6</w:t>
      </w:r>
      <w:r w:rsidR="00373F6C">
        <w:t xml:space="preserve"> as measured using the OSDI</w:t>
      </w:r>
      <w:r w:rsidR="001D5A01">
        <w:t xml:space="preserve"> (-13.6 vs -14.1 respectively</w:t>
      </w:r>
      <w:r w:rsidR="00F72986">
        <w:t xml:space="preserve">. </w:t>
      </w:r>
      <w:r w:rsidR="001D5A01">
        <w:t>The</w:t>
      </w:r>
      <w:r w:rsidR="00373F6C">
        <w:t xml:space="preserve"> </w:t>
      </w:r>
      <w:r w:rsidR="00FD48A1">
        <w:t xml:space="preserve">improvement from baseline to Month 6 for </w:t>
      </w:r>
      <w:r w:rsidR="00F72986">
        <w:t xml:space="preserve">both </w:t>
      </w:r>
      <w:r w:rsidR="00373F6C">
        <w:t xml:space="preserve"> groups </w:t>
      </w:r>
      <w:r w:rsidR="00FD48A1">
        <w:t xml:space="preserve">exceeded the </w:t>
      </w:r>
      <w:r w:rsidR="00FD48A1">
        <w:lastRenderedPageBreak/>
        <w:t>minimal clinical</w:t>
      </w:r>
      <w:r w:rsidR="00510FFD">
        <w:t>ly</w:t>
      </w:r>
      <w:r w:rsidR="00FD48A1">
        <w:t xml:space="preserve"> important difference (MCI</w:t>
      </w:r>
      <w:r w:rsidR="00184060">
        <w:t>D) for OSDI</w:t>
      </w:r>
      <w:r w:rsidR="006A53DD" w:rsidRPr="006A53DD">
        <w:t xml:space="preserve"> </w:t>
      </w:r>
      <w:r w:rsidR="001D5A01">
        <w:t>for severe OSDI symptoms a</w:t>
      </w:r>
      <w:r w:rsidR="00D16211">
        <w:t>t</w:t>
      </w:r>
      <w:r w:rsidR="001D5A01">
        <w:t xml:space="preserve"> baseline</w:t>
      </w:r>
      <w:r w:rsidR="00FD48A1" w:rsidRPr="006A53DD">
        <w:t>.</w:t>
      </w:r>
    </w:p>
    <w:p w:rsidR="00BA1DBB" w:rsidRDefault="00BA1DBB" w:rsidP="0057191A">
      <w:pPr>
        <w:pStyle w:val="DocumentText"/>
      </w:pPr>
      <w:r w:rsidRPr="00BA1DBB">
        <w:t>The proportion of IKERVIS-treated patients with a</w:t>
      </w:r>
      <w:r w:rsidR="00971A57">
        <w:t>t least a</w:t>
      </w:r>
      <w:r w:rsidRPr="00BA1DBB">
        <w:t xml:space="preserve"> 3-grade improvement in CFS score at Month 6 was </w:t>
      </w:r>
      <w:r w:rsidR="00971A57">
        <w:t>31.2</w:t>
      </w:r>
      <w:r w:rsidRPr="00BA1DBB">
        <w:t xml:space="preserve">%, compared </w:t>
      </w:r>
      <w:r w:rsidR="006C6AF3">
        <w:t>with</w:t>
      </w:r>
      <w:r w:rsidRPr="00BA1DBB">
        <w:t xml:space="preserve"> </w:t>
      </w:r>
      <w:r w:rsidR="00971A57">
        <w:t>13.2</w:t>
      </w:r>
      <w:r w:rsidRPr="00BA1DBB">
        <w:t>% of vehicle treated subjects</w:t>
      </w:r>
      <w:r w:rsidR="000C6955">
        <w:t xml:space="preserve"> (post-hoc analysis)</w:t>
      </w:r>
      <w:r w:rsidR="006C6AF3">
        <w:t>.</w:t>
      </w:r>
      <w:r w:rsidR="00971A57">
        <w:t xml:space="preserve"> Patients who recorded a CFS score of 1 or lower after 6 months</w:t>
      </w:r>
      <w:r w:rsidR="00DD2E83">
        <w:t xml:space="preserve"> treatment </w:t>
      </w:r>
      <w:r w:rsidR="00971A57">
        <w:t>achieve</w:t>
      </w:r>
      <w:r w:rsidR="00DD2E83">
        <w:t>d</w:t>
      </w:r>
      <w:r w:rsidR="00971A57">
        <w:t xml:space="preserve"> </w:t>
      </w:r>
      <w:r w:rsidR="006C6AF3">
        <w:t xml:space="preserve">almost </w:t>
      </w:r>
      <w:r w:rsidR="00971A57">
        <w:t>complete or complete corneal clearing</w:t>
      </w:r>
      <w:r w:rsidR="006C6AF3">
        <w:t xml:space="preserve"> respectively</w:t>
      </w:r>
      <w:r w:rsidR="00971A57">
        <w:t>.</w:t>
      </w:r>
    </w:p>
    <w:p w:rsidR="0057191A" w:rsidRDefault="0057191A" w:rsidP="0057191A">
      <w:pPr>
        <w:pStyle w:val="DocumentText"/>
      </w:pPr>
      <w:r>
        <w:t>A reduction in the ocular surface inflammation assessed with Human Leukocyte Antigen-DR (HLA-DR) expression, was observed at Month 6 in favour of IKERVIS</w:t>
      </w:r>
      <w:r w:rsidR="009F2ED5">
        <w:rPr>
          <w:vertAlign w:val="superscript"/>
        </w:rPr>
        <w:t>®</w:t>
      </w:r>
      <w:r>
        <w:t>.</w:t>
      </w:r>
    </w:p>
    <w:p w:rsidR="0057191A" w:rsidRPr="00184060" w:rsidRDefault="00184060" w:rsidP="00184060">
      <w:pPr>
        <w:pStyle w:val="Default"/>
        <w:spacing w:after="240" w:line="300" w:lineRule="auto"/>
        <w:rPr>
          <w:b/>
          <w:sz w:val="23"/>
          <w:szCs w:val="23"/>
          <w:u w:val="single"/>
        </w:rPr>
      </w:pPr>
      <w:r w:rsidRPr="00184060">
        <w:rPr>
          <w:b/>
          <w:sz w:val="23"/>
          <w:szCs w:val="23"/>
          <w:u w:val="single"/>
        </w:rPr>
        <w:t>Post-SANSIKA study</w:t>
      </w:r>
    </w:p>
    <w:p w:rsidR="0057191A" w:rsidRDefault="000C7DD2" w:rsidP="0057191A">
      <w:pPr>
        <w:pStyle w:val="DocumentText"/>
      </w:pPr>
      <w:r>
        <w:t>Following</w:t>
      </w:r>
      <w:r w:rsidR="0057191A">
        <w:t xml:space="preserve"> completion of the SANSIKA study (12 month study), patients were asked to enter the Post</w:t>
      </w:r>
      <w:r>
        <w:t>-</w:t>
      </w:r>
      <w:r w:rsidR="0057191A">
        <w:t>SANSIKA study. This study was an open-label, non-randomi</w:t>
      </w:r>
      <w:r w:rsidR="006C6AF3">
        <w:t>s</w:t>
      </w:r>
      <w:r w:rsidR="0057191A">
        <w:t xml:space="preserve">ed, one-arm, 24-month extension of the </w:t>
      </w:r>
      <w:r w:rsidR="00184060">
        <w:t xml:space="preserve">SANSIKA </w:t>
      </w:r>
      <w:r w:rsidR="0057191A">
        <w:t xml:space="preserve">Study. In </w:t>
      </w:r>
      <w:r>
        <w:t>this</w:t>
      </w:r>
      <w:r w:rsidR="0057191A">
        <w:t xml:space="preserve"> study patients received </w:t>
      </w:r>
      <w:r>
        <w:t xml:space="preserve">either treatment with </w:t>
      </w:r>
      <w:r w:rsidR="0057191A">
        <w:t>IKERVIS</w:t>
      </w:r>
      <w:r w:rsidR="00F1346F">
        <w:rPr>
          <w:vertAlign w:val="superscript"/>
        </w:rPr>
        <w:t>®</w:t>
      </w:r>
      <w:r w:rsidR="0057191A">
        <w:t xml:space="preserve"> or no treatment depending on </w:t>
      </w:r>
      <w:r>
        <w:t xml:space="preserve">their </w:t>
      </w:r>
      <w:r w:rsidR="0057191A">
        <w:t>CFS score (patients received IKERVIS</w:t>
      </w:r>
      <w:r w:rsidR="00F1346F">
        <w:rPr>
          <w:vertAlign w:val="superscript"/>
        </w:rPr>
        <w:t>®</w:t>
      </w:r>
      <w:r w:rsidR="0057191A">
        <w:t xml:space="preserve"> when there was a worsening of keratitis).</w:t>
      </w:r>
    </w:p>
    <w:p w:rsidR="0057191A" w:rsidRDefault="0057191A" w:rsidP="0057191A">
      <w:pPr>
        <w:pStyle w:val="DocumentText"/>
      </w:pPr>
      <w:r>
        <w:t>This study was designed to monitor the long-term efficacy and relapse rates in patients who have previously received IKERVIS</w:t>
      </w:r>
      <w:r w:rsidR="00B8153F">
        <w:rPr>
          <w:vertAlign w:val="superscript"/>
        </w:rPr>
        <w:t>®</w:t>
      </w:r>
      <w:r>
        <w:t>.</w:t>
      </w:r>
    </w:p>
    <w:p w:rsidR="0057191A" w:rsidRDefault="0057191A" w:rsidP="0057191A">
      <w:pPr>
        <w:pStyle w:val="DocumentText"/>
      </w:pPr>
      <w:r>
        <w:t>The primary objective of the study was to assess the duration of improvement following</w:t>
      </w:r>
      <w:r w:rsidR="000C7DD2">
        <w:t xml:space="preserve"> </w:t>
      </w:r>
      <w:r>
        <w:t xml:space="preserve">discontinuation </w:t>
      </w:r>
      <w:r w:rsidR="000C7DD2">
        <w:t>of treatment with IKERVIS</w:t>
      </w:r>
      <w:r w:rsidR="000C7DD2">
        <w:rPr>
          <w:vertAlign w:val="superscript"/>
        </w:rPr>
        <w:t>®</w:t>
      </w:r>
      <w:r w:rsidR="000C7DD2">
        <w:t xml:space="preserve">.  Treatment was discontinued </w:t>
      </w:r>
      <w:r>
        <w:t xml:space="preserve">once </w:t>
      </w:r>
      <w:r w:rsidR="000C7DD2">
        <w:t xml:space="preserve">a </w:t>
      </w:r>
      <w:r>
        <w:t>patient</w:t>
      </w:r>
      <w:r w:rsidR="000C7DD2">
        <w:t xml:space="preserve">’s CFS score (on the modified Oxford scale) had improved by at least 2 grades </w:t>
      </w:r>
      <w:r>
        <w:t xml:space="preserve">with respect to the </w:t>
      </w:r>
      <w:r w:rsidR="000C7DD2">
        <w:t xml:space="preserve">SANSIKA study </w:t>
      </w:r>
      <w:r>
        <w:t>baseline</w:t>
      </w:r>
      <w:r w:rsidR="00184060">
        <w:t xml:space="preserve"> score of CFS grade 4</w:t>
      </w:r>
      <w:r w:rsidR="000C7DD2">
        <w:t>.</w:t>
      </w:r>
    </w:p>
    <w:p w:rsidR="0057191A" w:rsidRDefault="0057191A" w:rsidP="0057191A">
      <w:pPr>
        <w:pStyle w:val="DocumentText"/>
      </w:pPr>
      <w:r>
        <w:t xml:space="preserve">67 patients were enrolled (37.9% of the 177 patients </w:t>
      </w:r>
      <w:r w:rsidR="001E2A55">
        <w:t>who completed the SANSIKA study</w:t>
      </w:r>
      <w:r>
        <w:t xml:space="preserve">). After the 24-month period, 61.3% of 62 patients included in the primary efficacy population did not experience a relapse based on CFS scores. </w:t>
      </w:r>
      <w:r w:rsidR="001E2A55">
        <w:t xml:space="preserve">Recurrence of </w:t>
      </w:r>
      <w:r>
        <w:t xml:space="preserve">severe keratitis was </w:t>
      </w:r>
      <w:r w:rsidR="001E2A55">
        <w:t xml:space="preserve">observed in </w:t>
      </w:r>
      <w:r>
        <w:t xml:space="preserve">35% and 48% </w:t>
      </w:r>
      <w:r w:rsidR="001E2A55">
        <w:t xml:space="preserve">of </w:t>
      </w:r>
      <w:r>
        <w:t xml:space="preserve">patients </w:t>
      </w:r>
      <w:r w:rsidR="001E2A55">
        <w:t>who had received IKERVIS</w:t>
      </w:r>
      <w:r w:rsidR="001E2A55">
        <w:rPr>
          <w:vertAlign w:val="superscript"/>
        </w:rPr>
        <w:t>®</w:t>
      </w:r>
      <w:r w:rsidR="001E2A55">
        <w:t xml:space="preserve"> for </w:t>
      </w:r>
      <w:r>
        <w:t xml:space="preserve">12 months </w:t>
      </w:r>
      <w:r w:rsidR="001E2A55">
        <w:t>or</w:t>
      </w:r>
      <w:r>
        <w:t xml:space="preserve"> 6 months respectively in the SANSIKA study.</w:t>
      </w:r>
    </w:p>
    <w:p w:rsidR="00633500" w:rsidRDefault="00633500" w:rsidP="00633500">
      <w:pPr>
        <w:pStyle w:val="Heading2"/>
        <w:rPr>
          <w:rFonts w:eastAsia="MS Mincho"/>
        </w:rPr>
      </w:pPr>
      <w:bookmarkStart w:id="61" w:name="_Toc514071373"/>
      <w:bookmarkStart w:id="62" w:name="_Toc514071412"/>
      <w:bookmarkStart w:id="63" w:name="_Ref54615771"/>
      <w:r w:rsidRPr="00C04558">
        <w:rPr>
          <w:rFonts w:eastAsia="MS Mincho"/>
        </w:rPr>
        <w:t>PHARMACOKINETIC PROPERTIES</w:t>
      </w:r>
      <w:bookmarkEnd w:id="61"/>
      <w:bookmarkEnd w:id="62"/>
      <w:bookmarkEnd w:id="63"/>
      <w:r w:rsidRPr="00C04558">
        <w:rPr>
          <w:rFonts w:eastAsia="MS Mincho"/>
        </w:rPr>
        <w:t xml:space="preserve"> </w:t>
      </w:r>
    </w:p>
    <w:p w:rsidR="0057191A" w:rsidRPr="0057191A" w:rsidRDefault="0057191A" w:rsidP="0057191A">
      <w:pPr>
        <w:pStyle w:val="DocumentText"/>
        <w:rPr>
          <w:rFonts w:eastAsia="MS Mincho"/>
        </w:rPr>
      </w:pPr>
      <w:r w:rsidRPr="0057191A">
        <w:rPr>
          <w:rFonts w:eastAsia="MS Mincho"/>
        </w:rPr>
        <w:t>Formal pharmacokinetic studies have not been conducted in humans with IKERVIS</w:t>
      </w:r>
      <w:r w:rsidR="00EB0C87">
        <w:rPr>
          <w:rFonts w:eastAsia="MS Mincho"/>
          <w:vertAlign w:val="superscript"/>
        </w:rPr>
        <w:t>®</w:t>
      </w:r>
      <w:r w:rsidRPr="0057191A">
        <w:rPr>
          <w:rFonts w:eastAsia="MS Mincho"/>
        </w:rPr>
        <w:t>.</w:t>
      </w:r>
    </w:p>
    <w:p w:rsidR="00A22F0D" w:rsidRPr="00AC53CD" w:rsidRDefault="00A22F0D" w:rsidP="00A22F0D">
      <w:pPr>
        <w:pStyle w:val="Heading3"/>
        <w:rPr>
          <w:rFonts w:eastAsia="MS Mincho"/>
        </w:rPr>
      </w:pPr>
      <w:r w:rsidRPr="00AC53CD">
        <w:rPr>
          <w:rFonts w:eastAsia="MS Mincho"/>
        </w:rPr>
        <w:lastRenderedPageBreak/>
        <w:t>Absorption</w:t>
      </w:r>
    </w:p>
    <w:p w:rsidR="0057191A" w:rsidRDefault="0057191A" w:rsidP="0057191A">
      <w:pPr>
        <w:pStyle w:val="DocumentText"/>
        <w:rPr>
          <w:rFonts w:eastAsia="MS Mincho"/>
        </w:rPr>
      </w:pPr>
      <w:r w:rsidRPr="0057191A">
        <w:rPr>
          <w:rFonts w:eastAsia="MS Mincho"/>
        </w:rPr>
        <w:t>Blood concentrations of IKERVIS</w:t>
      </w:r>
      <w:r w:rsidR="00EB0C87">
        <w:rPr>
          <w:rFonts w:eastAsia="MS Mincho"/>
          <w:vertAlign w:val="superscript"/>
        </w:rPr>
        <w:t>®</w:t>
      </w:r>
      <w:r w:rsidRPr="0057191A">
        <w:rPr>
          <w:rFonts w:eastAsia="MS Mincho"/>
        </w:rPr>
        <w:t xml:space="preserve"> were measured using a specific high-pressure liquid chromatography-mass spectrometry assay. In 374 patients from the two efficacy studies, plasma concentrations of ciclosporin were measured before administration and after 6 months (SICCANOVE study and SANSIKA study) and 12 months of treatment (SANSIKA study). After 6 months of ocular instillation of IKERVIS</w:t>
      </w:r>
      <w:r w:rsidR="00EB0C87">
        <w:rPr>
          <w:rFonts w:eastAsia="MS Mincho"/>
          <w:vertAlign w:val="superscript"/>
        </w:rPr>
        <w:t>®</w:t>
      </w:r>
      <w:r w:rsidRPr="0057191A">
        <w:rPr>
          <w:rFonts w:eastAsia="MS Mincho"/>
        </w:rPr>
        <w:t xml:space="preserve"> once per day, 327 patients had values below the lower limit of detection (0.050 ng/mL) and 35 patients were below the lower limit of quantification (0.100 ng/mL). Measurable values not exceeding 0.206 ng/mL were measured in eight patients</w:t>
      </w:r>
      <w:r w:rsidR="006C6AF3">
        <w:rPr>
          <w:rFonts w:eastAsia="MS Mincho"/>
        </w:rPr>
        <w:t>;</w:t>
      </w:r>
      <w:r w:rsidR="006C6AF3" w:rsidRPr="0057191A">
        <w:rPr>
          <w:rFonts w:eastAsia="MS Mincho"/>
        </w:rPr>
        <w:t xml:space="preserve"> </w:t>
      </w:r>
      <w:r w:rsidRPr="0057191A">
        <w:rPr>
          <w:rFonts w:eastAsia="MS Mincho"/>
        </w:rPr>
        <w:t>values considered to be negligible. Three patients had values above the upper limit of quantification (5 ng/mL) however they were already taking oral ciclosporin at a stable dose, which was allowed by the studies' protocol. After 12 months of treatment, values were below the low</w:t>
      </w:r>
      <w:r w:rsidR="00EB0C87">
        <w:rPr>
          <w:rFonts w:eastAsia="MS Mincho"/>
        </w:rPr>
        <w:t>er</w:t>
      </w:r>
      <w:r w:rsidRPr="0057191A">
        <w:rPr>
          <w:rFonts w:eastAsia="MS Mincho"/>
        </w:rPr>
        <w:t xml:space="preserve"> limit of detection for 56 patients and below the low</w:t>
      </w:r>
      <w:r w:rsidR="00EB0C87">
        <w:rPr>
          <w:rFonts w:eastAsia="MS Mincho"/>
        </w:rPr>
        <w:t>er</w:t>
      </w:r>
      <w:r w:rsidRPr="0057191A">
        <w:rPr>
          <w:rFonts w:eastAsia="MS Mincho"/>
        </w:rPr>
        <w:t xml:space="preserve"> limit of quantification in 19 patients. Seven patients had measurable values (from 0.105 to 1.27 ng/mL), all considered to be negligible values. Two patients had values above the upper limit of quantification, however they were also on oral ciclosporin at a stable dose since their inclusion in the study.</w:t>
      </w:r>
    </w:p>
    <w:p w:rsidR="00633500" w:rsidRDefault="00633500" w:rsidP="005F08B7">
      <w:pPr>
        <w:pStyle w:val="Heading2"/>
        <w:rPr>
          <w:rFonts w:eastAsia="MS Mincho"/>
        </w:rPr>
      </w:pPr>
      <w:bookmarkStart w:id="64" w:name="_Toc514071374"/>
      <w:bookmarkStart w:id="65" w:name="_Toc514071413"/>
      <w:r w:rsidRPr="00C04558">
        <w:rPr>
          <w:rFonts w:eastAsia="MS Mincho"/>
        </w:rPr>
        <w:t>PRECLINICAL SAFETY DATA</w:t>
      </w:r>
      <w:bookmarkEnd w:id="64"/>
      <w:bookmarkEnd w:id="65"/>
    </w:p>
    <w:p w:rsidR="00041EEF" w:rsidRDefault="00041EEF" w:rsidP="00923C0D">
      <w:pPr>
        <w:pStyle w:val="Heading3"/>
        <w:rPr>
          <w:rFonts w:eastAsia="MS Mincho"/>
        </w:rPr>
      </w:pPr>
      <w:r w:rsidRPr="00041EEF">
        <w:rPr>
          <w:rFonts w:eastAsia="MS Mincho"/>
        </w:rPr>
        <w:t xml:space="preserve">Genotoxicity </w:t>
      </w:r>
    </w:p>
    <w:p w:rsidR="00E718E3" w:rsidRPr="00E718E3" w:rsidRDefault="007142B8" w:rsidP="007142B8">
      <w:pPr>
        <w:pStyle w:val="DocumentText"/>
        <w:rPr>
          <w:rFonts w:eastAsia="MS Mincho"/>
        </w:rPr>
      </w:pPr>
      <w:r w:rsidRPr="006B77FB">
        <w:rPr>
          <w:rFonts w:eastAsia="MS Mincho"/>
        </w:rPr>
        <w:t xml:space="preserve">Ciclosporin was not genotoxic in the Ames Test, the V79-HGPRT Test, the micronucleus test in mice and Chinese hamsters, the chromosome-aberration tests in Chinese hamster bonemarrow, the mouse dominant lethal assay, and the DNA-repair test in sperm from treated mice. An </w:t>
      </w:r>
      <w:r w:rsidRPr="0081531E">
        <w:rPr>
          <w:i/>
          <w:sz w:val="22"/>
          <w:szCs w:val="22"/>
        </w:rPr>
        <w:t>in vitro</w:t>
      </w:r>
      <w:r w:rsidRPr="0081531E">
        <w:rPr>
          <w:rFonts w:eastAsia="MS Mincho"/>
        </w:rPr>
        <w:t xml:space="preserve"> sister chromatid exchange (SCE) assay using human lymphocytes gave indications of a positive effect for ciclosporin at high concentrations. </w:t>
      </w:r>
    </w:p>
    <w:p w:rsidR="00041EEF" w:rsidRDefault="00041EEF" w:rsidP="00923C0D">
      <w:pPr>
        <w:pStyle w:val="Heading3"/>
        <w:rPr>
          <w:rFonts w:eastAsia="MS Mincho"/>
        </w:rPr>
      </w:pPr>
      <w:r w:rsidRPr="00041EEF">
        <w:rPr>
          <w:rFonts w:eastAsia="MS Mincho"/>
        </w:rPr>
        <w:t xml:space="preserve">Carcinogenicity </w:t>
      </w:r>
    </w:p>
    <w:p w:rsidR="00E718E3" w:rsidRDefault="00E718E3" w:rsidP="00A9687A">
      <w:pPr>
        <w:pStyle w:val="DocumentText"/>
        <w:rPr>
          <w:rFonts w:eastAsia="MS Mincho"/>
        </w:rPr>
      </w:pPr>
      <w:r>
        <w:rPr>
          <w:rFonts w:eastAsia="MS Mincho"/>
        </w:rPr>
        <w:t>Systemic c</w:t>
      </w:r>
      <w:r w:rsidR="00D103D1" w:rsidRPr="00D103D1">
        <w:rPr>
          <w:rFonts w:eastAsia="MS Mincho"/>
        </w:rPr>
        <w:t xml:space="preserve">arcinogenicity studies </w:t>
      </w:r>
      <w:r>
        <w:rPr>
          <w:rFonts w:eastAsia="MS Mincho"/>
        </w:rPr>
        <w:t xml:space="preserve">have been </w:t>
      </w:r>
      <w:r w:rsidR="00D103D1" w:rsidRPr="00D103D1">
        <w:rPr>
          <w:rFonts w:eastAsia="MS Mincho"/>
        </w:rPr>
        <w:t xml:space="preserve">carried out in rats and mice. </w:t>
      </w:r>
      <w:r>
        <w:rPr>
          <w:rFonts w:eastAsia="MS Mincho"/>
        </w:rPr>
        <w:t xml:space="preserve"> In a </w:t>
      </w:r>
      <w:r w:rsidR="00D103D1" w:rsidRPr="00D103D1">
        <w:rPr>
          <w:rFonts w:eastAsia="MS Mincho"/>
        </w:rPr>
        <w:t>78-week mouse study, at oral doses of 1, 4 and 16 mg/kg per day</w:t>
      </w:r>
      <w:r w:rsidR="007142B8">
        <w:rPr>
          <w:rFonts w:eastAsia="MS Mincho"/>
        </w:rPr>
        <w:t xml:space="preserve"> </w:t>
      </w:r>
      <w:r w:rsidR="007142B8" w:rsidRPr="007142B8">
        <w:rPr>
          <w:rFonts w:eastAsia="MS Mincho"/>
          <w:lang w:val="en-AU"/>
        </w:rPr>
        <w:t>(more than 1200 times higher than the maximum recommended human ophthalmic dose, based on body surface area-adjusted doses for a 50 kg subject)</w:t>
      </w:r>
      <w:r w:rsidR="00D103D1" w:rsidRPr="00D103D1">
        <w:rPr>
          <w:rFonts w:eastAsia="MS Mincho"/>
        </w:rPr>
        <w:t>, a trend towards increased incidences of lymphomas at the highest dose studied</w:t>
      </w:r>
      <w:r>
        <w:rPr>
          <w:rFonts w:eastAsia="MS Mincho"/>
        </w:rPr>
        <w:t xml:space="preserve"> was observed</w:t>
      </w:r>
      <w:r w:rsidR="00D103D1" w:rsidRPr="00D103D1">
        <w:rPr>
          <w:rFonts w:eastAsia="MS Mincho"/>
        </w:rPr>
        <w:t xml:space="preserve">. In another study with ARK mice treated with </w:t>
      </w:r>
      <w:r w:rsidR="007142B8">
        <w:rPr>
          <w:rFonts w:eastAsia="MS Mincho"/>
        </w:rPr>
        <w:t>higher</w:t>
      </w:r>
      <w:r w:rsidR="00D103D1" w:rsidRPr="00D103D1">
        <w:rPr>
          <w:rFonts w:eastAsia="MS Mincho"/>
        </w:rPr>
        <w:t xml:space="preserve"> c</w:t>
      </w:r>
      <w:r>
        <w:rPr>
          <w:rFonts w:eastAsia="MS Mincho"/>
        </w:rPr>
        <w:t>i</w:t>
      </w:r>
      <w:r w:rsidR="00D103D1" w:rsidRPr="00D103D1">
        <w:rPr>
          <w:rFonts w:eastAsia="MS Mincho"/>
        </w:rPr>
        <w:t xml:space="preserve">closporin </w:t>
      </w:r>
      <w:r w:rsidR="007142B8">
        <w:rPr>
          <w:rFonts w:eastAsia="MS Mincho"/>
        </w:rPr>
        <w:t xml:space="preserve">doses </w:t>
      </w:r>
      <w:r w:rsidR="00D103D1" w:rsidRPr="00D103D1">
        <w:rPr>
          <w:rFonts w:eastAsia="MS Mincho"/>
        </w:rPr>
        <w:t>in the diet, c</w:t>
      </w:r>
      <w:r>
        <w:rPr>
          <w:rFonts w:eastAsia="MS Mincho"/>
        </w:rPr>
        <w:t>i</w:t>
      </w:r>
      <w:r w:rsidR="00D103D1" w:rsidRPr="00D103D1">
        <w:rPr>
          <w:rFonts w:eastAsia="MS Mincho"/>
        </w:rPr>
        <w:t>closporin accelerated the development of lymphomas.</w:t>
      </w:r>
    </w:p>
    <w:p w:rsidR="00E718E3" w:rsidRPr="00E718E3" w:rsidRDefault="00D103D1" w:rsidP="00D64A74">
      <w:pPr>
        <w:pStyle w:val="DocumentText"/>
        <w:rPr>
          <w:rFonts w:eastAsia="MS Mincho"/>
        </w:rPr>
      </w:pPr>
      <w:r w:rsidRPr="00D103D1">
        <w:rPr>
          <w:rFonts w:eastAsia="MS Mincho"/>
        </w:rPr>
        <w:lastRenderedPageBreak/>
        <w:t xml:space="preserve">In a 24-month rat study, conducted </w:t>
      </w:r>
      <w:r w:rsidR="00E718E3">
        <w:rPr>
          <w:rFonts w:eastAsia="MS Mincho"/>
        </w:rPr>
        <w:t>with</w:t>
      </w:r>
      <w:r w:rsidRPr="00D103D1">
        <w:rPr>
          <w:rFonts w:eastAsia="MS Mincho"/>
        </w:rPr>
        <w:t xml:space="preserve"> oral doses of 0.5, 2 and 8 mg/kg per day</w:t>
      </w:r>
      <w:r w:rsidR="007142B8" w:rsidRPr="007142B8">
        <w:rPr>
          <w:rFonts w:ascii="Cambria" w:eastAsia="MS Mincho" w:hAnsi="Cambria" w:cs="Cambria"/>
          <w:color w:val="000000"/>
          <w:kern w:val="0"/>
          <w:sz w:val="22"/>
          <w:szCs w:val="22"/>
          <w:lang w:val="en-AU" w:eastAsia="en-AU"/>
        </w:rPr>
        <w:t xml:space="preserve"> </w:t>
      </w:r>
      <w:r w:rsidR="007142B8" w:rsidRPr="007142B8">
        <w:rPr>
          <w:rFonts w:eastAsia="MS Mincho"/>
          <w:lang w:val="en-AU"/>
        </w:rPr>
        <w:t>(up to at least 1200 times the maximum recommended human ophthalmic dose, based on body surface area-adjusted doses for a 50 kg subject)</w:t>
      </w:r>
      <w:r w:rsidRPr="00D103D1">
        <w:rPr>
          <w:rFonts w:eastAsia="MS Mincho"/>
        </w:rPr>
        <w:t>, no significant increase in tumour incidence was reported, though the study had limited sensitivity. C</w:t>
      </w:r>
      <w:r w:rsidR="00E718E3">
        <w:rPr>
          <w:rFonts w:eastAsia="MS Mincho"/>
        </w:rPr>
        <w:t>i</w:t>
      </w:r>
      <w:r w:rsidRPr="00D103D1">
        <w:rPr>
          <w:rFonts w:eastAsia="MS Mincho"/>
        </w:rPr>
        <w:t>closporin enhanced the development of lymphomas induced in two strains of male mice by single whole body irradiation or N-methyl-n-nitrosurea.</w:t>
      </w:r>
    </w:p>
    <w:p w:rsidR="00633500" w:rsidRPr="00C04558" w:rsidRDefault="00633500" w:rsidP="005F08B7">
      <w:pPr>
        <w:pStyle w:val="Heading1"/>
        <w:rPr>
          <w:rFonts w:eastAsia="MS Mincho"/>
        </w:rPr>
      </w:pPr>
      <w:bookmarkStart w:id="66" w:name="_Toc514071375"/>
      <w:bookmarkStart w:id="67" w:name="_Toc514071414"/>
      <w:r w:rsidRPr="00C04558">
        <w:rPr>
          <w:rFonts w:eastAsia="MS Mincho"/>
        </w:rPr>
        <w:t>PHARMACEUTICAL PARTICULARS</w:t>
      </w:r>
      <w:bookmarkEnd w:id="66"/>
      <w:bookmarkEnd w:id="67"/>
    </w:p>
    <w:p w:rsidR="00633500" w:rsidRDefault="00633500" w:rsidP="005F08B7">
      <w:pPr>
        <w:pStyle w:val="Heading2"/>
        <w:rPr>
          <w:rFonts w:eastAsia="MS Mincho"/>
        </w:rPr>
      </w:pPr>
      <w:bookmarkStart w:id="68" w:name="_Toc514071376"/>
      <w:bookmarkStart w:id="69" w:name="_Toc514071415"/>
      <w:bookmarkStart w:id="70" w:name="_Ref54614464"/>
      <w:bookmarkStart w:id="71" w:name="_Ref54615401"/>
      <w:r w:rsidRPr="00C04558">
        <w:rPr>
          <w:rFonts w:eastAsia="MS Mincho"/>
        </w:rPr>
        <w:t>LIST OF EXCIPIENTS</w:t>
      </w:r>
      <w:bookmarkEnd w:id="68"/>
      <w:bookmarkEnd w:id="69"/>
      <w:bookmarkEnd w:id="70"/>
      <w:bookmarkEnd w:id="71"/>
      <w:r w:rsidRPr="00C04558">
        <w:rPr>
          <w:rFonts w:eastAsia="MS Mincho"/>
        </w:rPr>
        <w:t xml:space="preserve"> </w:t>
      </w:r>
    </w:p>
    <w:p w:rsidR="0099598A" w:rsidRPr="0099598A" w:rsidRDefault="0099598A" w:rsidP="006B77FB">
      <w:pPr>
        <w:pStyle w:val="DocumentText"/>
        <w:spacing w:after="120"/>
        <w:rPr>
          <w:rFonts w:eastAsia="MS Mincho"/>
        </w:rPr>
      </w:pPr>
      <w:r w:rsidRPr="0099598A">
        <w:rPr>
          <w:rFonts w:eastAsia="MS Mincho"/>
        </w:rPr>
        <w:t>Medium</w:t>
      </w:r>
      <w:r w:rsidR="00A22F0D">
        <w:rPr>
          <w:rFonts w:eastAsia="MS Mincho"/>
        </w:rPr>
        <w:t xml:space="preserve"> </w:t>
      </w:r>
      <w:r w:rsidRPr="0099598A">
        <w:rPr>
          <w:rFonts w:eastAsia="MS Mincho"/>
        </w:rPr>
        <w:t>chain triglycerides</w:t>
      </w:r>
    </w:p>
    <w:p w:rsidR="0099598A" w:rsidRPr="0099598A" w:rsidRDefault="0099598A" w:rsidP="006B77FB">
      <w:pPr>
        <w:pStyle w:val="DocumentText"/>
        <w:spacing w:after="120"/>
        <w:rPr>
          <w:rFonts w:eastAsia="MS Mincho"/>
        </w:rPr>
      </w:pPr>
      <w:r w:rsidRPr="0099598A">
        <w:rPr>
          <w:rFonts w:eastAsia="MS Mincho"/>
        </w:rPr>
        <w:t>Cetalkonium chloride</w:t>
      </w:r>
    </w:p>
    <w:p w:rsidR="0099598A" w:rsidRPr="0099598A" w:rsidRDefault="0099598A" w:rsidP="006B77FB">
      <w:pPr>
        <w:pStyle w:val="DocumentText"/>
        <w:spacing w:after="120"/>
        <w:rPr>
          <w:rFonts w:eastAsia="MS Mincho"/>
        </w:rPr>
      </w:pPr>
      <w:r w:rsidRPr="0099598A">
        <w:rPr>
          <w:rFonts w:eastAsia="MS Mincho"/>
        </w:rPr>
        <w:t>Glycerol</w:t>
      </w:r>
    </w:p>
    <w:p w:rsidR="0099598A" w:rsidRPr="0099598A" w:rsidRDefault="0099598A" w:rsidP="006B77FB">
      <w:pPr>
        <w:pStyle w:val="DocumentText"/>
        <w:spacing w:after="120"/>
        <w:rPr>
          <w:rFonts w:eastAsia="MS Mincho"/>
        </w:rPr>
      </w:pPr>
      <w:r w:rsidRPr="0099598A">
        <w:rPr>
          <w:rFonts w:eastAsia="MS Mincho"/>
        </w:rPr>
        <w:t>Tyloxapol</w:t>
      </w:r>
    </w:p>
    <w:p w:rsidR="0099598A" w:rsidRPr="0099598A" w:rsidRDefault="00A22F0D" w:rsidP="006B77FB">
      <w:pPr>
        <w:pStyle w:val="DocumentText"/>
        <w:spacing w:after="120"/>
        <w:rPr>
          <w:rFonts w:eastAsia="MS Mincho"/>
        </w:rPr>
      </w:pPr>
      <w:r>
        <w:rPr>
          <w:rFonts w:eastAsia="MS Mincho"/>
        </w:rPr>
        <w:t xml:space="preserve">Poloxamer </w:t>
      </w:r>
    </w:p>
    <w:p w:rsidR="0099598A" w:rsidRPr="0099598A" w:rsidRDefault="0099598A" w:rsidP="006B77FB">
      <w:pPr>
        <w:pStyle w:val="DocumentText"/>
        <w:spacing w:after="120"/>
        <w:rPr>
          <w:rFonts w:eastAsia="MS Mincho"/>
        </w:rPr>
      </w:pPr>
      <w:r w:rsidRPr="0099598A">
        <w:rPr>
          <w:rFonts w:eastAsia="MS Mincho"/>
        </w:rPr>
        <w:t>Sodium hydroxide (to adjust pH)</w:t>
      </w:r>
    </w:p>
    <w:p w:rsidR="0099598A" w:rsidRPr="0099598A" w:rsidRDefault="0099598A" w:rsidP="0099598A">
      <w:pPr>
        <w:pStyle w:val="DocumentText"/>
        <w:rPr>
          <w:rFonts w:eastAsia="MS Mincho"/>
        </w:rPr>
      </w:pPr>
      <w:r w:rsidRPr="0099598A">
        <w:rPr>
          <w:rFonts w:eastAsia="MS Mincho"/>
        </w:rPr>
        <w:t>Water for injections</w:t>
      </w:r>
    </w:p>
    <w:p w:rsidR="00633500" w:rsidRPr="00C04558" w:rsidRDefault="00633500" w:rsidP="005F08B7">
      <w:pPr>
        <w:pStyle w:val="Heading2"/>
        <w:rPr>
          <w:rFonts w:eastAsia="MS Mincho"/>
        </w:rPr>
      </w:pPr>
      <w:bookmarkStart w:id="72" w:name="_Toc514071377"/>
      <w:bookmarkStart w:id="73" w:name="_Toc514071416"/>
      <w:r w:rsidRPr="00C04558">
        <w:rPr>
          <w:rFonts w:eastAsia="MS Mincho"/>
        </w:rPr>
        <w:t>INCOMPATIBILITIES</w:t>
      </w:r>
      <w:bookmarkEnd w:id="72"/>
      <w:bookmarkEnd w:id="73"/>
      <w:r w:rsidRPr="00C04558">
        <w:rPr>
          <w:rFonts w:eastAsia="MS Mincho"/>
        </w:rPr>
        <w:t xml:space="preserve"> </w:t>
      </w:r>
    </w:p>
    <w:p w:rsidR="00633500" w:rsidRDefault="003C7D69" w:rsidP="00633500">
      <w:pPr>
        <w:rPr>
          <w:rFonts w:eastAsia="MS Mincho"/>
        </w:rPr>
      </w:pPr>
      <w:r>
        <w:rPr>
          <w:rFonts w:eastAsia="MS Mincho"/>
        </w:rPr>
        <w:t>Not applicable</w:t>
      </w:r>
      <w:r w:rsidR="001655C3">
        <w:rPr>
          <w:rFonts w:eastAsia="MS Mincho"/>
        </w:rPr>
        <w:t xml:space="preserve"> (</w:t>
      </w:r>
      <w:r w:rsidR="001655C3" w:rsidRPr="001655C3">
        <w:rPr>
          <w:rFonts w:eastAsia="MS Mincho"/>
        </w:rPr>
        <w:t xml:space="preserve">see Section </w:t>
      </w:r>
      <w:r w:rsidR="001655C3">
        <w:rPr>
          <w:rFonts w:eastAsia="MS Mincho"/>
        </w:rPr>
        <w:t xml:space="preserve">4.5 </w:t>
      </w:r>
      <w:r w:rsidR="0081531E" w:rsidRPr="00EE72FE">
        <w:rPr>
          <w:rFonts w:eastAsia="MS Mincho"/>
        </w:rPr>
        <w:fldChar w:fldCharType="begin"/>
      </w:r>
      <w:r w:rsidR="00E566CE" w:rsidRPr="00EE72FE">
        <w:rPr>
          <w:rFonts w:eastAsia="MS Mincho"/>
        </w:rPr>
        <w:instrText xml:space="preserve"> REF _Ref54615507 \h     \* MERGEFORMAT </w:instrText>
      </w:r>
      <w:r w:rsidR="0081531E" w:rsidRPr="00EE72FE">
        <w:rPr>
          <w:rFonts w:eastAsia="MS Mincho"/>
        </w:rPr>
        <w:fldChar w:fldCharType="separate"/>
      </w:r>
      <w:r w:rsidR="0081531E" w:rsidRPr="00EE72FE">
        <w:t>INTERACTIONS WITH OTHER MEDICINES AND OTHER FORMS OF INTERACTIONS</w:t>
      </w:r>
      <w:r w:rsidR="0081531E" w:rsidRPr="00EE72FE">
        <w:rPr>
          <w:rFonts w:eastAsia="MS Mincho"/>
        </w:rPr>
        <w:fldChar w:fldCharType="end"/>
      </w:r>
      <w:r w:rsidR="001655C3" w:rsidRPr="00EE72FE">
        <w:rPr>
          <w:rFonts w:eastAsia="MS Mincho"/>
        </w:rPr>
        <w:t>)</w:t>
      </w:r>
    </w:p>
    <w:p w:rsidR="00633500" w:rsidRPr="00C04558" w:rsidRDefault="00633500" w:rsidP="005F08B7">
      <w:pPr>
        <w:pStyle w:val="Heading2"/>
        <w:rPr>
          <w:rFonts w:eastAsia="MS Mincho"/>
        </w:rPr>
      </w:pPr>
      <w:bookmarkStart w:id="74" w:name="_Toc514071378"/>
      <w:bookmarkStart w:id="75" w:name="_Toc514071417"/>
      <w:r w:rsidRPr="00C04558">
        <w:rPr>
          <w:rFonts w:eastAsia="MS Mincho"/>
        </w:rPr>
        <w:t>SHELF LIFE</w:t>
      </w:r>
      <w:bookmarkEnd w:id="74"/>
      <w:bookmarkEnd w:id="75"/>
      <w:r w:rsidRPr="00C04558">
        <w:rPr>
          <w:rFonts w:eastAsia="MS Mincho"/>
        </w:rPr>
        <w:t xml:space="preserve"> </w:t>
      </w:r>
    </w:p>
    <w:p w:rsidR="00A54862" w:rsidRPr="00A54862" w:rsidRDefault="0081531E" w:rsidP="001C45F7">
      <w:pPr>
        <w:pStyle w:val="DocumentText"/>
        <w:spacing w:after="0"/>
        <w:rPr>
          <w:lang w:val="en"/>
        </w:rPr>
      </w:pPr>
      <w:bookmarkStart w:id="76" w:name="_Toc514071379"/>
      <w:bookmarkStart w:id="77" w:name="_Toc514071418"/>
      <w:r>
        <w:rPr>
          <w:lang w:val="en"/>
        </w:rPr>
        <w:t>In Australia, information on the shelf life can be found on the public summary of the Australian Register of Therapeutic Goods (ARTG)</w:t>
      </w:r>
      <w:r w:rsidR="00A54862" w:rsidRPr="00A54862">
        <w:rPr>
          <w:lang w:val="en"/>
        </w:rPr>
        <w:t>.</w:t>
      </w:r>
    </w:p>
    <w:p w:rsidR="00D31126" w:rsidRDefault="00A54862" w:rsidP="00A54862">
      <w:pPr>
        <w:pStyle w:val="DocumentText"/>
        <w:rPr>
          <w:lang w:val="en"/>
        </w:rPr>
      </w:pPr>
      <w:r w:rsidRPr="00A54862">
        <w:rPr>
          <w:lang w:val="en"/>
        </w:rPr>
        <w:t>The expiry date can be found on the packaging.</w:t>
      </w:r>
    </w:p>
    <w:p w:rsidR="00633500" w:rsidRDefault="00633500" w:rsidP="00F17D44">
      <w:pPr>
        <w:pStyle w:val="Heading2"/>
        <w:rPr>
          <w:rFonts w:eastAsia="MS Mincho"/>
        </w:rPr>
      </w:pPr>
      <w:r w:rsidRPr="00C04558">
        <w:rPr>
          <w:rFonts w:eastAsia="MS Mincho"/>
        </w:rPr>
        <w:t>SPECIAL PRECAUTIONS FOR STORAGE</w:t>
      </w:r>
      <w:bookmarkEnd w:id="76"/>
      <w:bookmarkEnd w:id="77"/>
      <w:r w:rsidRPr="00C04558">
        <w:rPr>
          <w:rFonts w:eastAsia="MS Mincho"/>
        </w:rPr>
        <w:t xml:space="preserve"> </w:t>
      </w:r>
    </w:p>
    <w:p w:rsidR="0099598A" w:rsidRPr="0099598A" w:rsidRDefault="0084250B" w:rsidP="0099598A">
      <w:pPr>
        <w:pStyle w:val="DocumentText"/>
        <w:rPr>
          <w:rFonts w:eastAsia="MS Mincho"/>
        </w:rPr>
      </w:pPr>
      <w:r>
        <w:rPr>
          <w:rFonts w:eastAsia="MS Mincho"/>
        </w:rPr>
        <w:t xml:space="preserve">Store below 30°C. </w:t>
      </w:r>
      <w:r w:rsidR="0099598A" w:rsidRPr="0099598A">
        <w:rPr>
          <w:rFonts w:eastAsia="MS Mincho"/>
        </w:rPr>
        <w:t>Do not freeze.</w:t>
      </w:r>
      <w:r w:rsidR="004F216B">
        <w:rPr>
          <w:rFonts w:eastAsia="MS Mincho"/>
        </w:rPr>
        <w:t xml:space="preserve"> Protect from light.</w:t>
      </w:r>
    </w:p>
    <w:p w:rsidR="0099598A" w:rsidRDefault="0099598A" w:rsidP="0099598A">
      <w:pPr>
        <w:pStyle w:val="DocumentText"/>
        <w:rPr>
          <w:rFonts w:eastAsia="MS Mincho"/>
        </w:rPr>
      </w:pPr>
      <w:r w:rsidRPr="0099598A">
        <w:rPr>
          <w:rFonts w:eastAsia="MS Mincho"/>
        </w:rPr>
        <w:lastRenderedPageBreak/>
        <w:t>After opening of the aluminium pouches, the single-dose containers should be kept in the pouches in order to protect from light and avoid evaporation. Any opened individual single-dose container with any remaining emulsion should be discarded immediately after use.</w:t>
      </w:r>
    </w:p>
    <w:p w:rsidR="00A54862" w:rsidRDefault="00633500" w:rsidP="005F08B7">
      <w:pPr>
        <w:pStyle w:val="Heading2"/>
        <w:rPr>
          <w:rFonts w:eastAsia="MS Mincho"/>
        </w:rPr>
      </w:pPr>
      <w:bookmarkStart w:id="78" w:name="_Toc514071380"/>
      <w:bookmarkStart w:id="79" w:name="_Toc514071419"/>
      <w:r w:rsidRPr="00C04558">
        <w:rPr>
          <w:rFonts w:eastAsia="MS Mincho"/>
        </w:rPr>
        <w:t>NATURE AND CONTENTS OF CONTAINER</w:t>
      </w:r>
      <w:bookmarkEnd w:id="78"/>
      <w:bookmarkEnd w:id="79"/>
    </w:p>
    <w:p w:rsidR="0099598A" w:rsidRPr="0099598A" w:rsidRDefault="0099598A" w:rsidP="0099598A">
      <w:pPr>
        <w:pStyle w:val="DocumentText"/>
        <w:rPr>
          <w:rFonts w:eastAsia="MS Mincho"/>
        </w:rPr>
      </w:pPr>
      <w:r w:rsidRPr="0099598A">
        <w:rPr>
          <w:rFonts w:eastAsia="MS Mincho"/>
        </w:rPr>
        <w:t>IKERVIS</w:t>
      </w:r>
      <w:r w:rsidR="0084250B">
        <w:rPr>
          <w:rFonts w:eastAsia="MS Mincho"/>
          <w:vertAlign w:val="superscript"/>
        </w:rPr>
        <w:t>®</w:t>
      </w:r>
      <w:r w:rsidRPr="0099598A">
        <w:rPr>
          <w:rFonts w:eastAsia="MS Mincho"/>
        </w:rPr>
        <w:t xml:space="preserve"> is supplied in 0.3 mL single-dose, low-density polyethylene (LDPE) </w:t>
      </w:r>
      <w:r w:rsidR="00DA3BAB">
        <w:rPr>
          <w:rFonts w:eastAsia="MS Mincho"/>
        </w:rPr>
        <w:t>ampoules</w:t>
      </w:r>
      <w:r w:rsidRPr="0099598A">
        <w:rPr>
          <w:rFonts w:eastAsia="MS Mincho"/>
        </w:rPr>
        <w:t xml:space="preserve"> presented in a sealed laminate aluminium pouch.</w:t>
      </w:r>
    </w:p>
    <w:p w:rsidR="0099598A" w:rsidRPr="00D31126" w:rsidRDefault="0099598A" w:rsidP="0099598A">
      <w:pPr>
        <w:pStyle w:val="DocumentText"/>
        <w:rPr>
          <w:rFonts w:eastAsia="MS Mincho"/>
        </w:rPr>
      </w:pPr>
      <w:r w:rsidRPr="0099598A">
        <w:rPr>
          <w:rFonts w:eastAsia="MS Mincho"/>
        </w:rPr>
        <w:t xml:space="preserve">One pouch contains five single-dose </w:t>
      </w:r>
      <w:r w:rsidR="00DA3BAB">
        <w:rPr>
          <w:rFonts w:eastAsia="MS Mincho"/>
        </w:rPr>
        <w:t>ampoules</w:t>
      </w:r>
      <w:r w:rsidRPr="0099598A">
        <w:rPr>
          <w:rFonts w:eastAsia="MS Mincho"/>
        </w:rPr>
        <w:t>.</w:t>
      </w:r>
      <w:r w:rsidR="00D31126">
        <w:rPr>
          <w:rFonts w:eastAsia="MS Mincho"/>
        </w:rPr>
        <w:t xml:space="preserve">  IKERVIS</w:t>
      </w:r>
      <w:r w:rsidR="00D31126">
        <w:rPr>
          <w:rFonts w:eastAsia="MS Mincho"/>
          <w:vertAlign w:val="superscript"/>
        </w:rPr>
        <w:t>®</w:t>
      </w:r>
      <w:r w:rsidR="00D31126">
        <w:rPr>
          <w:rFonts w:eastAsia="MS Mincho"/>
        </w:rPr>
        <w:t xml:space="preserve"> is for single use in one patient only.  Discard any residue after opening.</w:t>
      </w:r>
    </w:p>
    <w:p w:rsidR="0099598A" w:rsidRPr="0099598A" w:rsidRDefault="0099598A" w:rsidP="0099598A">
      <w:pPr>
        <w:pStyle w:val="DocumentText"/>
        <w:rPr>
          <w:rFonts w:eastAsia="MS Mincho"/>
        </w:rPr>
      </w:pPr>
      <w:r w:rsidRPr="0099598A">
        <w:rPr>
          <w:rFonts w:eastAsia="MS Mincho"/>
        </w:rPr>
        <w:t>Pack sizes: 30  single-</w:t>
      </w:r>
      <w:r w:rsidR="00DA3BAB">
        <w:rPr>
          <w:rFonts w:eastAsia="MS Mincho"/>
        </w:rPr>
        <w:t>use</w:t>
      </w:r>
      <w:r w:rsidRPr="0099598A">
        <w:rPr>
          <w:rFonts w:eastAsia="MS Mincho"/>
        </w:rPr>
        <w:t xml:space="preserve"> </w:t>
      </w:r>
      <w:r w:rsidR="00DA3BAB">
        <w:rPr>
          <w:rFonts w:eastAsia="MS Mincho"/>
        </w:rPr>
        <w:t>ampoules</w:t>
      </w:r>
      <w:r w:rsidR="004F216B">
        <w:rPr>
          <w:rFonts w:eastAsia="MS Mincho"/>
        </w:rPr>
        <w:t xml:space="preserve"> (5 connected ampoules per pouch, 6 pouches per carton)</w:t>
      </w:r>
      <w:r w:rsidRPr="0099598A">
        <w:rPr>
          <w:rFonts w:eastAsia="MS Mincho"/>
        </w:rPr>
        <w:t>.</w:t>
      </w:r>
    </w:p>
    <w:p w:rsidR="00633500" w:rsidRPr="00C04558" w:rsidRDefault="00633500" w:rsidP="005F08B7">
      <w:pPr>
        <w:pStyle w:val="Heading2"/>
        <w:rPr>
          <w:rFonts w:eastAsia="MS Mincho"/>
        </w:rPr>
      </w:pPr>
      <w:bookmarkStart w:id="80" w:name="_Toc514071381"/>
      <w:bookmarkStart w:id="81" w:name="_Toc514071420"/>
      <w:r w:rsidRPr="00C04558">
        <w:rPr>
          <w:rFonts w:eastAsia="MS Mincho"/>
        </w:rPr>
        <w:t>SPECIAL PRECAUTIONS FOR DISPOSAL</w:t>
      </w:r>
      <w:bookmarkEnd w:id="80"/>
      <w:bookmarkEnd w:id="81"/>
      <w:r w:rsidRPr="00C04558">
        <w:rPr>
          <w:rFonts w:eastAsia="MS Mincho"/>
        </w:rPr>
        <w:t xml:space="preserve"> </w:t>
      </w:r>
    </w:p>
    <w:p w:rsidR="00F17D44" w:rsidRPr="003137AE" w:rsidRDefault="00F17D44" w:rsidP="00F17D44">
      <w:pPr>
        <w:pStyle w:val="DocumentText"/>
        <w:rPr>
          <w:rFonts w:eastAsia="MS Mincho"/>
        </w:rPr>
      </w:pPr>
      <w:r w:rsidRPr="00C04558">
        <w:rPr>
          <w:rFonts w:eastAsia="MS Mincho"/>
        </w:rPr>
        <w:t xml:space="preserve">In Australia, any unused medicine or waste material should be disposed of by taking to your local pharmacy. </w:t>
      </w:r>
    </w:p>
    <w:p w:rsidR="00633500" w:rsidRPr="00C04558" w:rsidRDefault="00633500" w:rsidP="005F08B7">
      <w:pPr>
        <w:pStyle w:val="Heading2"/>
        <w:rPr>
          <w:rFonts w:eastAsia="MS Mincho"/>
        </w:rPr>
      </w:pPr>
      <w:bookmarkStart w:id="82" w:name="_Toc514071382"/>
      <w:bookmarkStart w:id="83" w:name="_Toc514071421"/>
      <w:r w:rsidRPr="00C04558">
        <w:rPr>
          <w:rFonts w:eastAsia="MS Mincho"/>
        </w:rPr>
        <w:t>PHYSICOCHEMICAL PROPERTIES</w:t>
      </w:r>
      <w:bookmarkEnd w:id="82"/>
      <w:bookmarkEnd w:id="83"/>
    </w:p>
    <w:p w:rsidR="00633500" w:rsidRDefault="00633500" w:rsidP="00923C0D">
      <w:pPr>
        <w:pStyle w:val="Heading3"/>
        <w:rPr>
          <w:rFonts w:eastAsia="MS Mincho"/>
        </w:rPr>
      </w:pPr>
      <w:r w:rsidRPr="00A54862">
        <w:rPr>
          <w:rFonts w:eastAsia="MS Mincho"/>
        </w:rPr>
        <w:t>Chemical structure</w:t>
      </w:r>
    </w:p>
    <w:p w:rsidR="00966120" w:rsidRPr="00966120" w:rsidRDefault="00966120" w:rsidP="00966120">
      <w:pPr>
        <w:pStyle w:val="DocumentText"/>
        <w:rPr>
          <w:rFonts w:eastAsia="MS Mincho"/>
        </w:rPr>
      </w:pPr>
      <w:r>
        <w:rPr>
          <w:rFonts w:eastAsia="MS Mincho"/>
        </w:rPr>
        <w:t>The chemical structure of ciclosporin:</w:t>
      </w:r>
    </w:p>
    <w:p w:rsidR="0099598A" w:rsidRDefault="008E0590" w:rsidP="00EF668A">
      <w:pPr>
        <w:rPr>
          <w:rFonts w:eastAsia="MS Mincho"/>
        </w:rPr>
      </w:pPr>
      <w:r w:rsidRPr="0084250B">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362.5pt;height:219.15pt;visibility:visible">
            <v:imagedata r:id="rId13" o:title=""/>
          </v:shape>
        </w:pict>
      </w:r>
    </w:p>
    <w:p w:rsidR="005F08B7" w:rsidRDefault="005F08B7" w:rsidP="00923C0D">
      <w:pPr>
        <w:pStyle w:val="Heading3"/>
        <w:rPr>
          <w:rFonts w:eastAsia="MS Mincho"/>
        </w:rPr>
      </w:pPr>
      <w:r w:rsidRPr="00A54862">
        <w:rPr>
          <w:rFonts w:eastAsia="MS Mincho"/>
        </w:rPr>
        <w:lastRenderedPageBreak/>
        <w:t>CAS number</w:t>
      </w:r>
    </w:p>
    <w:p w:rsidR="0099598A" w:rsidRPr="0099598A" w:rsidRDefault="00966120" w:rsidP="0099598A">
      <w:pPr>
        <w:pStyle w:val="DocumentText"/>
        <w:rPr>
          <w:rFonts w:eastAsia="MS Mincho"/>
        </w:rPr>
      </w:pPr>
      <w:r>
        <w:rPr>
          <w:rFonts w:eastAsia="MS Mincho"/>
        </w:rPr>
        <w:t>59865-13-3</w:t>
      </w:r>
    </w:p>
    <w:p w:rsidR="005F08B7" w:rsidRDefault="005F08B7" w:rsidP="005F08B7">
      <w:pPr>
        <w:pStyle w:val="Heading1"/>
        <w:rPr>
          <w:rFonts w:eastAsia="MS Mincho"/>
        </w:rPr>
      </w:pPr>
      <w:bookmarkStart w:id="84" w:name="_Toc514071383"/>
      <w:bookmarkStart w:id="85" w:name="_Toc514071422"/>
      <w:r w:rsidRPr="00C04558">
        <w:rPr>
          <w:rFonts w:eastAsia="MS Mincho"/>
        </w:rPr>
        <w:t>MEDICINE SCHEDULE (POISONS STANDARD)</w:t>
      </w:r>
      <w:bookmarkEnd w:id="84"/>
      <w:bookmarkEnd w:id="85"/>
    </w:p>
    <w:p w:rsidR="00A54862" w:rsidRPr="00A54862" w:rsidRDefault="00A54862" w:rsidP="00A54862">
      <w:pPr>
        <w:pStyle w:val="DocumentText"/>
        <w:rPr>
          <w:rFonts w:eastAsia="MS Mincho"/>
        </w:rPr>
      </w:pPr>
      <w:r w:rsidRPr="00A54862">
        <w:rPr>
          <w:rFonts w:eastAsia="MS Mincho"/>
        </w:rPr>
        <w:t>Schedule 4 (S4): Prescription Only Medicine</w:t>
      </w:r>
    </w:p>
    <w:p w:rsidR="005F08B7" w:rsidRPr="00C04558" w:rsidRDefault="005F08B7" w:rsidP="005F08B7">
      <w:pPr>
        <w:pStyle w:val="Heading1"/>
        <w:rPr>
          <w:rFonts w:eastAsia="MS Mincho"/>
        </w:rPr>
      </w:pPr>
      <w:bookmarkStart w:id="86" w:name="_Toc514071384"/>
      <w:bookmarkStart w:id="87" w:name="_Toc514071423"/>
      <w:r w:rsidRPr="00C04558">
        <w:rPr>
          <w:rFonts w:eastAsia="MS Mincho"/>
        </w:rPr>
        <w:t>SPONSOR</w:t>
      </w:r>
      <w:bookmarkEnd w:id="86"/>
      <w:bookmarkEnd w:id="87"/>
    </w:p>
    <w:p w:rsidR="005F08B7" w:rsidRPr="00C04558" w:rsidRDefault="005F08B7" w:rsidP="00A54862">
      <w:pPr>
        <w:pStyle w:val="DocumentText"/>
        <w:spacing w:after="0"/>
        <w:rPr>
          <w:rFonts w:eastAsia="MS Mincho"/>
        </w:rPr>
      </w:pPr>
      <w:r w:rsidRPr="00C04558">
        <w:rPr>
          <w:rFonts w:eastAsia="MS Mincho"/>
        </w:rPr>
        <w:t>Seqirus Pty Ltd</w:t>
      </w:r>
    </w:p>
    <w:p w:rsidR="005F08B7" w:rsidRPr="00C04558" w:rsidRDefault="005F08B7" w:rsidP="00A54862">
      <w:pPr>
        <w:pStyle w:val="DocumentText"/>
        <w:spacing w:after="0"/>
        <w:rPr>
          <w:rFonts w:eastAsia="MS Mincho"/>
        </w:rPr>
      </w:pPr>
      <w:r w:rsidRPr="00C04558">
        <w:rPr>
          <w:rFonts w:eastAsia="MS Mincho"/>
        </w:rPr>
        <w:t>ABN 26 160 735 035</w:t>
      </w:r>
    </w:p>
    <w:p w:rsidR="005F08B7" w:rsidRPr="00C04558" w:rsidRDefault="005F08B7" w:rsidP="00A54862">
      <w:pPr>
        <w:pStyle w:val="DocumentText"/>
        <w:spacing w:after="0"/>
        <w:rPr>
          <w:rFonts w:eastAsia="MS Mincho"/>
        </w:rPr>
      </w:pPr>
      <w:r w:rsidRPr="00C04558">
        <w:rPr>
          <w:rFonts w:eastAsia="MS Mincho"/>
        </w:rPr>
        <w:t>63 Poplar Road</w:t>
      </w:r>
    </w:p>
    <w:p w:rsidR="005F08B7" w:rsidRPr="00C04558" w:rsidRDefault="005F08B7" w:rsidP="00A54862">
      <w:pPr>
        <w:pStyle w:val="DocumentText"/>
        <w:spacing w:after="0"/>
        <w:rPr>
          <w:rFonts w:eastAsia="MS Mincho"/>
        </w:rPr>
      </w:pPr>
      <w:r w:rsidRPr="00C04558">
        <w:rPr>
          <w:rFonts w:eastAsia="MS Mincho"/>
        </w:rPr>
        <w:t>Parkville, VIC 3052</w:t>
      </w:r>
    </w:p>
    <w:p w:rsidR="005F08B7" w:rsidRDefault="005F08B7" w:rsidP="00A54862">
      <w:pPr>
        <w:pStyle w:val="DocumentText"/>
        <w:spacing w:after="0"/>
        <w:rPr>
          <w:rFonts w:eastAsia="MS Mincho"/>
        </w:rPr>
      </w:pPr>
      <w:r w:rsidRPr="00C04558">
        <w:rPr>
          <w:rFonts w:eastAsia="MS Mincho"/>
        </w:rPr>
        <w:t>Australia</w:t>
      </w:r>
    </w:p>
    <w:p w:rsidR="008C7CAF" w:rsidRDefault="008C7CAF" w:rsidP="00A54862">
      <w:pPr>
        <w:pStyle w:val="DocumentText"/>
        <w:spacing w:after="0"/>
        <w:rPr>
          <w:rFonts w:eastAsia="MS Mincho"/>
        </w:rPr>
      </w:pPr>
      <w:r>
        <w:rPr>
          <w:rFonts w:eastAsia="MS Mincho"/>
        </w:rPr>
        <w:t>Telephone: 1800 642 865</w:t>
      </w:r>
    </w:p>
    <w:p w:rsidR="008C7CAF" w:rsidRDefault="008C7CAF" w:rsidP="00A54862">
      <w:pPr>
        <w:pStyle w:val="DocumentText"/>
        <w:spacing w:after="0"/>
        <w:rPr>
          <w:rFonts w:eastAsia="MS Mincho"/>
        </w:rPr>
      </w:pPr>
      <w:r>
        <w:rPr>
          <w:rFonts w:eastAsia="MS Mincho"/>
        </w:rPr>
        <w:t>www.seqirus.com.au</w:t>
      </w:r>
    </w:p>
    <w:p w:rsidR="0084250B" w:rsidRPr="00C04558" w:rsidRDefault="0084250B" w:rsidP="00A54862">
      <w:pPr>
        <w:pStyle w:val="DocumentText"/>
        <w:spacing w:after="0"/>
        <w:rPr>
          <w:rFonts w:eastAsia="MS Mincho"/>
        </w:rPr>
      </w:pPr>
    </w:p>
    <w:p w:rsidR="005F08B7" w:rsidRDefault="005F08B7" w:rsidP="005F08B7">
      <w:pPr>
        <w:pStyle w:val="Heading1"/>
        <w:rPr>
          <w:rFonts w:eastAsia="MS Mincho"/>
        </w:rPr>
      </w:pPr>
      <w:bookmarkStart w:id="88" w:name="_Toc514071385"/>
      <w:bookmarkStart w:id="89" w:name="_Toc514071424"/>
      <w:r w:rsidRPr="00C04558">
        <w:rPr>
          <w:rFonts w:eastAsia="MS Mincho"/>
        </w:rPr>
        <w:t>DATE OF FIRST APPROVAL</w:t>
      </w:r>
      <w:bookmarkEnd w:id="88"/>
      <w:bookmarkEnd w:id="89"/>
      <w:r w:rsidRPr="00C04558">
        <w:rPr>
          <w:rFonts w:eastAsia="MS Mincho"/>
        </w:rPr>
        <w:t xml:space="preserve">  </w:t>
      </w:r>
    </w:p>
    <w:p w:rsidR="00A54862" w:rsidRPr="00A54862" w:rsidRDefault="003B2EC7" w:rsidP="00A54862">
      <w:pPr>
        <w:pStyle w:val="DocumentText"/>
        <w:rPr>
          <w:rFonts w:eastAsia="MS Mincho"/>
        </w:rPr>
      </w:pPr>
      <w:r>
        <w:rPr>
          <w:rFonts w:eastAsia="MS Mincho"/>
        </w:rPr>
        <w:t>15</w:t>
      </w:r>
      <w:r w:rsidR="00FB024F">
        <w:rPr>
          <w:rFonts w:eastAsia="MS Mincho"/>
        </w:rPr>
        <w:t xml:space="preserve"> December 2020</w:t>
      </w:r>
    </w:p>
    <w:p w:rsidR="005F08B7" w:rsidRPr="00C04558" w:rsidRDefault="005F08B7" w:rsidP="005F08B7">
      <w:pPr>
        <w:pStyle w:val="Heading1"/>
        <w:rPr>
          <w:rFonts w:eastAsia="MS Mincho"/>
        </w:rPr>
      </w:pPr>
      <w:bookmarkStart w:id="90" w:name="_Toc514071386"/>
      <w:bookmarkStart w:id="91" w:name="_Toc514071425"/>
      <w:r w:rsidRPr="00C04558">
        <w:rPr>
          <w:rFonts w:eastAsia="MS Mincho"/>
        </w:rPr>
        <w:t>DATE OF REVISION</w:t>
      </w:r>
      <w:bookmarkEnd w:id="90"/>
      <w:bookmarkEnd w:id="91"/>
      <w:r w:rsidRPr="00C04558">
        <w:rPr>
          <w:rFonts w:eastAsia="MS Minch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144"/>
      </w:tblGrid>
      <w:tr w:rsidR="00D53246" w:rsidTr="00EF668A">
        <w:tc>
          <w:tcPr>
            <w:tcW w:w="2092" w:type="dxa"/>
            <w:tcBorders>
              <w:bottom w:val="single" w:sz="12" w:space="0" w:color="auto"/>
            </w:tcBorders>
            <w:shd w:val="clear" w:color="auto" w:fill="D9D9D9"/>
          </w:tcPr>
          <w:p w:rsidR="00D53246" w:rsidRDefault="00D53246" w:rsidP="00654308">
            <w:pPr>
              <w:spacing w:after="120"/>
            </w:pPr>
            <w:r>
              <w:t>Section changed</w:t>
            </w:r>
          </w:p>
        </w:tc>
        <w:tc>
          <w:tcPr>
            <w:tcW w:w="7144" w:type="dxa"/>
            <w:tcBorders>
              <w:bottom w:val="single" w:sz="12" w:space="0" w:color="auto"/>
            </w:tcBorders>
            <w:shd w:val="clear" w:color="auto" w:fill="D9D9D9"/>
          </w:tcPr>
          <w:p w:rsidR="00D53246" w:rsidRDefault="00D53246" w:rsidP="00654308">
            <w:pPr>
              <w:spacing w:after="120"/>
            </w:pPr>
            <w:r>
              <w:t>Summary of new information</w:t>
            </w:r>
          </w:p>
        </w:tc>
      </w:tr>
      <w:tr w:rsidR="00D53246" w:rsidTr="00EF668A">
        <w:tc>
          <w:tcPr>
            <w:tcW w:w="2092" w:type="dxa"/>
            <w:tcBorders>
              <w:top w:val="single" w:sz="12" w:space="0" w:color="auto"/>
            </w:tcBorders>
            <w:shd w:val="clear" w:color="auto" w:fill="auto"/>
          </w:tcPr>
          <w:p w:rsidR="00D53246" w:rsidRDefault="00D53246" w:rsidP="00654308">
            <w:pPr>
              <w:spacing w:after="120"/>
            </w:pPr>
          </w:p>
        </w:tc>
        <w:tc>
          <w:tcPr>
            <w:tcW w:w="7144" w:type="dxa"/>
            <w:tcBorders>
              <w:top w:val="single" w:sz="12" w:space="0" w:color="auto"/>
            </w:tcBorders>
            <w:shd w:val="clear" w:color="auto" w:fill="auto"/>
          </w:tcPr>
          <w:p w:rsidR="00D53246" w:rsidRDefault="00D53246" w:rsidP="00654308">
            <w:pPr>
              <w:spacing w:after="120"/>
            </w:pPr>
          </w:p>
        </w:tc>
      </w:tr>
      <w:tr w:rsidR="00D53246" w:rsidTr="00EF668A">
        <w:tc>
          <w:tcPr>
            <w:tcW w:w="2092" w:type="dxa"/>
            <w:shd w:val="clear" w:color="auto" w:fill="auto"/>
          </w:tcPr>
          <w:p w:rsidR="00D53246" w:rsidRDefault="00D53246" w:rsidP="00654308">
            <w:pPr>
              <w:spacing w:after="120"/>
            </w:pPr>
          </w:p>
        </w:tc>
        <w:tc>
          <w:tcPr>
            <w:tcW w:w="7144" w:type="dxa"/>
            <w:shd w:val="clear" w:color="auto" w:fill="auto"/>
          </w:tcPr>
          <w:p w:rsidR="00D53246" w:rsidRDefault="00D53246" w:rsidP="00654308">
            <w:pPr>
              <w:spacing w:after="120"/>
            </w:pPr>
          </w:p>
        </w:tc>
      </w:tr>
      <w:tr w:rsidR="00D53246" w:rsidTr="00EF668A">
        <w:tc>
          <w:tcPr>
            <w:tcW w:w="2092" w:type="dxa"/>
            <w:shd w:val="clear" w:color="auto" w:fill="auto"/>
          </w:tcPr>
          <w:p w:rsidR="00D53246" w:rsidRDefault="00D53246" w:rsidP="00654308">
            <w:pPr>
              <w:spacing w:after="120"/>
            </w:pPr>
          </w:p>
        </w:tc>
        <w:tc>
          <w:tcPr>
            <w:tcW w:w="7144" w:type="dxa"/>
            <w:shd w:val="clear" w:color="auto" w:fill="auto"/>
          </w:tcPr>
          <w:p w:rsidR="00D53246" w:rsidRDefault="00D53246" w:rsidP="00654308">
            <w:pPr>
              <w:spacing w:after="120"/>
            </w:pPr>
          </w:p>
        </w:tc>
      </w:tr>
    </w:tbl>
    <w:p w:rsidR="00F17D44" w:rsidRDefault="00F17D44" w:rsidP="00F17D44">
      <w:pPr>
        <w:pStyle w:val="DocumentText"/>
        <w:rPr>
          <w:rFonts w:eastAsia="MS Mincho"/>
          <w:b/>
        </w:rPr>
      </w:pPr>
    </w:p>
    <w:p w:rsidR="00D53246" w:rsidRPr="00D53246" w:rsidRDefault="0006753F" w:rsidP="00D53246">
      <w:pPr>
        <w:pStyle w:val="DocumentText"/>
        <w:spacing w:after="0"/>
        <w:rPr>
          <w:rFonts w:eastAsia="MS Mincho"/>
          <w:i/>
        </w:rPr>
      </w:pPr>
      <w:r>
        <w:rPr>
          <w:rFonts w:eastAsia="MS Mincho"/>
          <w:i/>
        </w:rPr>
        <w:t>IKERVIS</w:t>
      </w:r>
      <w:r w:rsidR="00D53246" w:rsidRPr="00D53246">
        <w:rPr>
          <w:rFonts w:eastAsia="MS Mincho"/>
          <w:i/>
        </w:rPr>
        <w:t xml:space="preserve"> is a </w:t>
      </w:r>
      <w:r w:rsidR="00FA40BE">
        <w:rPr>
          <w:rFonts w:eastAsia="MS Mincho"/>
          <w:i/>
        </w:rPr>
        <w:t xml:space="preserve">registered </w:t>
      </w:r>
      <w:r w:rsidR="00D53246" w:rsidRPr="00D53246">
        <w:rPr>
          <w:rFonts w:eastAsia="MS Mincho"/>
          <w:i/>
        </w:rPr>
        <w:t xml:space="preserve">trademark of </w:t>
      </w:r>
      <w:r>
        <w:rPr>
          <w:rFonts w:eastAsia="MS Mincho"/>
          <w:i/>
        </w:rPr>
        <w:t>Santen</w:t>
      </w:r>
      <w:r w:rsidR="00FA40BE">
        <w:rPr>
          <w:rFonts w:eastAsia="MS Mincho"/>
          <w:i/>
        </w:rPr>
        <w:t xml:space="preserve"> SAS</w:t>
      </w:r>
      <w:r w:rsidR="00D53246" w:rsidRPr="00D53246">
        <w:rPr>
          <w:rFonts w:eastAsia="MS Mincho"/>
          <w:i/>
        </w:rPr>
        <w:t xml:space="preserve">  </w:t>
      </w:r>
    </w:p>
    <w:p w:rsidR="005F08B7" w:rsidRPr="00C04558" w:rsidRDefault="005F08B7" w:rsidP="005F08B7">
      <w:pPr>
        <w:rPr>
          <w:rFonts w:eastAsia="MS Mincho"/>
        </w:rPr>
      </w:pPr>
    </w:p>
    <w:sectPr w:rsidR="005F08B7" w:rsidRPr="00C04558" w:rsidSect="003833DE">
      <w:headerReference w:type="even" r:id="rId14"/>
      <w:headerReference w:type="default" r:id="rId15"/>
      <w:footerReference w:type="even" r:id="rId16"/>
      <w:footerReference w:type="default" r:id="rId17"/>
      <w:headerReference w:type="first" r:id="rId18"/>
      <w:footerReference w:type="first" r:id="rId19"/>
      <w:pgSz w:w="12240" w:h="15840" w:code="9"/>
      <w:pgMar w:top="1440" w:right="1600" w:bottom="1440" w:left="16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EBA" w:rsidRDefault="000F6EBA">
      <w:r>
        <w:separator/>
      </w:r>
    </w:p>
  </w:endnote>
  <w:endnote w:type="continuationSeparator" w:id="0">
    <w:p w:rsidR="000F6EBA" w:rsidRDefault="000F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EC" w:rsidRDefault="004E25EC">
    <w:pPr>
      <w:framePr w:wrap="around" w:vAnchor="text" w:hAnchor="margin" w:xAlign="center" w:y="1"/>
    </w:pPr>
    <w:r>
      <w:fldChar w:fldCharType="begin"/>
    </w:r>
    <w:r>
      <w:instrText xml:space="preserve">PAGE  </w:instrText>
    </w:r>
    <w:r>
      <w:fldChar w:fldCharType="separate"/>
    </w:r>
    <w:r w:rsidR="00960E9B">
      <w:rPr>
        <w:noProof/>
      </w:rPr>
      <w:t>13</w:t>
    </w:r>
    <w:r>
      <w:fldChar w:fldCharType="end"/>
    </w:r>
  </w:p>
  <w:p w:rsidR="004E25EC" w:rsidRDefault="004E25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2BD" w:rsidRDefault="00654308" w:rsidP="003E52BD">
    <w:pPr>
      <w:pStyle w:val="Footer"/>
      <w:tabs>
        <w:tab w:val="clear" w:pos="8957"/>
        <w:tab w:val="right" w:pos="9000"/>
      </w:tabs>
      <w:jc w:val="right"/>
    </w:pPr>
    <w:r>
      <w:t xml:space="preserve">Page </w:t>
    </w:r>
    <w:r>
      <w:rPr>
        <w:b/>
      </w:rPr>
      <w:fldChar w:fldCharType="begin"/>
    </w:r>
    <w:r>
      <w:rPr>
        <w:b/>
      </w:rPr>
      <w:instrText xml:space="preserve"> PAGE  \* Arabic  \* MERGEFORMAT </w:instrText>
    </w:r>
    <w:r>
      <w:rPr>
        <w:b/>
      </w:rPr>
      <w:fldChar w:fldCharType="separate"/>
    </w:r>
    <w:r w:rsidR="003E012C">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3E012C">
      <w:rPr>
        <w:b/>
        <w:noProof/>
      </w:rPr>
      <w:t>16</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2BD" w:rsidRDefault="003E52BD" w:rsidP="003E52BD">
    <w:pPr>
      <w:pStyle w:val="Footer"/>
      <w:tabs>
        <w:tab w:val="clear" w:pos="8957"/>
        <w:tab w:val="right" w:pos="9000"/>
      </w:tabs>
      <w:jc w:val="right"/>
    </w:pPr>
    <w:r>
      <w:t xml:space="preserve">Page </w:t>
    </w:r>
    <w:r>
      <w:fldChar w:fldCharType="begin"/>
    </w:r>
    <w:r>
      <w:instrText xml:space="preserve"> PAGE </w:instrText>
    </w:r>
    <w:r>
      <w:fldChar w:fldCharType="separate"/>
    </w:r>
    <w:r w:rsidR="00960E9B">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EBA" w:rsidRDefault="000F6EBA">
      <w:r>
        <w:separator/>
      </w:r>
    </w:p>
  </w:footnote>
  <w:footnote w:type="continuationSeparator" w:id="0">
    <w:p w:rsidR="000F6EBA" w:rsidRDefault="000F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8A" w:rsidRDefault="00EF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472"/>
    </w:tblGrid>
    <w:tr w:rsidR="00EF668A" w:rsidRPr="000B2145" w:rsidTr="000F6EBA">
      <w:trPr>
        <w:trHeight w:val="590"/>
      </w:trPr>
      <w:tc>
        <w:tcPr>
          <w:tcW w:w="8472" w:type="dxa"/>
          <w:shd w:val="clear" w:color="auto" w:fill="E4F2E0"/>
        </w:tcPr>
        <w:p w:rsidR="00EF668A" w:rsidRPr="000F6EBA" w:rsidRDefault="00EF668A" w:rsidP="000F6EBA">
          <w:pPr>
            <w:pStyle w:val="Footer"/>
            <w:rPr>
              <w:b/>
              <w:sz w:val="18"/>
              <w:szCs w:val="18"/>
            </w:rPr>
          </w:pPr>
          <w:r w:rsidRPr="000F6EBA">
            <w:rPr>
              <w:b/>
              <w:sz w:val="18"/>
              <w:szCs w:val="18"/>
            </w:rPr>
            <w:t>Attachment 1:</w:t>
          </w:r>
          <w:r>
            <w:t xml:space="preserve"> </w:t>
          </w:r>
          <w:r w:rsidRPr="000F6EBA">
            <w:rPr>
              <w:b/>
            </w:rPr>
            <w:t>AusPAR - Ikervis – ciclosporin – Seqirus Pty Ltd PM-2019-02588-1-5 FINAL 26 March 2021</w:t>
          </w:r>
          <w:r w:rsidRPr="000F6EBA">
            <w:rPr>
              <w:b/>
              <w:sz w:val="18"/>
              <w:szCs w:val="18"/>
            </w:rPr>
            <w:t>. This is the Product Information that was approved with the submission described in this AusPAR. It may have been superseded. For the most recent PI, please refer to the TGA website at &lt;</w:t>
          </w:r>
          <w:hyperlink r:id="rId1" w:history="1">
            <w:r w:rsidRPr="000F6EBA">
              <w:rPr>
                <w:rStyle w:val="Hyperlink"/>
                <w:b/>
                <w:sz w:val="18"/>
                <w:szCs w:val="18"/>
              </w:rPr>
              <w:t>https://www.tga.gov.au/product-information-pi</w:t>
            </w:r>
          </w:hyperlink>
          <w:r w:rsidRPr="000F6EBA">
            <w:rPr>
              <w:b/>
              <w:sz w:val="18"/>
              <w:szCs w:val="18"/>
              <w:u w:val="single"/>
            </w:rPr>
            <w:t>&gt;</w:t>
          </w:r>
        </w:p>
      </w:tc>
    </w:tr>
  </w:tbl>
  <w:p w:rsidR="00EF668A" w:rsidRDefault="00EF668A" w:rsidP="00662FAD">
    <w:pPr>
      <w:pStyle w:val="Header"/>
      <w:pBdr>
        <w:bottom w:val="single" w:sz="4" w:space="1" w:color="auto"/>
      </w:pBdr>
      <w:rPr>
        <w:b/>
      </w:rPr>
    </w:pPr>
  </w:p>
  <w:p w:rsidR="003E52BD" w:rsidRPr="003E52BD" w:rsidRDefault="00690C9C" w:rsidP="00662FAD">
    <w:pPr>
      <w:pStyle w:val="Header"/>
      <w:pBdr>
        <w:bottom w:val="single" w:sz="4" w:space="1" w:color="auto"/>
      </w:pBdr>
      <w:rPr>
        <w:b/>
      </w:rPr>
    </w:pPr>
    <w:r>
      <w:rPr>
        <w:b/>
      </w:rPr>
      <w:t>IKERVIS</w:t>
    </w:r>
    <w:r>
      <w:rPr>
        <w:b/>
        <w:vertAlign w:val="superscript"/>
      </w:rPr>
      <w:t>®</w:t>
    </w:r>
    <w:r>
      <w:rPr>
        <w:b/>
      </w:rPr>
      <w:t xml:space="preserve"> </w:t>
    </w:r>
    <w:r w:rsidR="00C5468F">
      <w:rPr>
        <w:b/>
      </w:rPr>
      <w:t>ciclosporin 0.1% ophthalmic emulsion</w:t>
    </w:r>
    <w:r w:rsidR="00C5468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2BD" w:rsidRDefault="003E52BD" w:rsidP="003E52BD">
    <w:pPr>
      <w:pStyle w:val="Header"/>
      <w:tabs>
        <w:tab w:val="clear" w:pos="8957"/>
        <w:tab w:val="right" w:pos="9000"/>
      </w:tabs>
    </w:pPr>
    <w:r>
      <w:fldChar w:fldCharType="begin"/>
    </w:r>
    <w:r>
      <w:instrText xml:space="preserve"> DOCPROPERTY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33226"/>
    <w:multiLevelType w:val="multilevel"/>
    <w:tmpl w:val="263E8CD8"/>
    <w:lvl w:ilvl="0">
      <w:start w:val="1"/>
      <w:numFmt w:val="decimal"/>
      <w:lvlRestart w:val="0"/>
      <w:pStyle w:val="Heading1"/>
      <w:lvlText w:val="%1"/>
      <w:lvlJc w:val="left"/>
      <w:pPr>
        <w:ind w:left="374" w:hanging="374"/>
      </w:pPr>
    </w:lvl>
    <w:lvl w:ilvl="1">
      <w:start w:val="1"/>
      <w:numFmt w:val="decimal"/>
      <w:pStyle w:val="Heading2"/>
      <w:lvlText w:val="%1.%2"/>
      <w:lvlJc w:val="left"/>
      <w:pPr>
        <w:ind w:left="626" w:hanging="626"/>
      </w:pPr>
    </w:lvl>
    <w:lvl w:ilvl="2">
      <w:start w:val="1"/>
      <w:numFmt w:val="decimal"/>
      <w:lvlText w:val="%1.%2.%3"/>
      <w:lvlJc w:val="left"/>
      <w:pPr>
        <w:ind w:left="864" w:hanging="864"/>
      </w:pPr>
    </w:lvl>
    <w:lvl w:ilvl="3">
      <w:start w:val="1"/>
      <w:numFmt w:val="decimal"/>
      <w:pStyle w:val="Heading4"/>
      <w:lvlText w:val="%1.%2.%3.%4"/>
      <w:lvlJc w:val="left"/>
      <w:pPr>
        <w:ind w:left="1087" w:hanging="1087"/>
      </w:pPr>
    </w:lvl>
    <w:lvl w:ilvl="4">
      <w:start w:val="1"/>
      <w:numFmt w:val="decimal"/>
      <w:pStyle w:val="Heading5"/>
      <w:lvlText w:val="%1.%2.%3.%4.%5"/>
      <w:lvlJc w:val="left"/>
      <w:pPr>
        <w:ind w:left="1296" w:hanging="1296"/>
      </w:pPr>
    </w:lvl>
    <w:lvl w:ilvl="5">
      <w:start w:val="1"/>
      <w:numFmt w:val="decimal"/>
      <w:pStyle w:val="Heading6"/>
      <w:lvlText w:val="%1.%2.%3.%4.%5.%6"/>
      <w:lvlJc w:val="left"/>
      <w:pPr>
        <w:ind w:left="1490" w:hanging="1490"/>
      </w:pPr>
    </w:lvl>
    <w:lvl w:ilvl="6">
      <w:start w:val="1"/>
      <w:numFmt w:val="decimal"/>
      <w:pStyle w:val="Heading7"/>
      <w:lvlText w:val="%1.%2.%3.%4.%5.%6.%7"/>
      <w:lvlJc w:val="left"/>
      <w:pPr>
        <w:ind w:left="1670" w:hanging="1670"/>
      </w:pPr>
    </w:lvl>
    <w:lvl w:ilvl="7">
      <w:start w:val="1"/>
      <w:numFmt w:val="decimal"/>
      <w:pStyle w:val="Heading8"/>
      <w:lvlText w:val="%1.%2.%3.%4.%5.%6.%7.%8"/>
      <w:lvlJc w:val="left"/>
      <w:pPr>
        <w:ind w:left="1836" w:hanging="1836"/>
      </w:pPr>
    </w:lvl>
    <w:lvl w:ilvl="8">
      <w:start w:val="1"/>
      <w:numFmt w:val="decimal"/>
      <w:pStyle w:val="Heading9"/>
      <w:lvlText w:val="%1.%2.%3.%4.%5.%6.%7.%8.%9"/>
      <w:lvlJc w:val="left"/>
      <w:pPr>
        <w:ind w:left="1987" w:hanging="1987"/>
      </w:pPr>
    </w:lvl>
  </w:abstractNum>
  <w:abstractNum w:abstractNumId="1" w15:restartNumberingAfterBreak="0">
    <w:nsid w:val="3FEE3D6A"/>
    <w:multiLevelType w:val="hybridMultilevel"/>
    <w:tmpl w:val="ADF86D96"/>
    <w:lvl w:ilvl="0" w:tplc="2D1C01AC">
      <w:start w:val="1"/>
      <w:numFmt w:val="decimal"/>
      <w:lvlRestart w:val="0"/>
      <w:pStyle w:val="ListNumbered"/>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5897863"/>
    <w:multiLevelType w:val="multilevel"/>
    <w:tmpl w:val="111227D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332797"/>
    <w:multiLevelType w:val="multilevel"/>
    <w:tmpl w:val="0C090025"/>
    <w:lvl w:ilvl="0">
      <w:numFmt w:val="decimal"/>
      <w:pStyle w:val="Heading1"/>
      <w:lvlText w:val=""/>
      <w:lvlJc w:val="left"/>
    </w:lvl>
    <w:lvl w:ilvl="1">
      <w:numFmt w:val="decimal"/>
      <w:pStyle w:val="Heading2"/>
      <w:lvlText w:val=""/>
      <w:lvlJc w:val="left"/>
    </w:lvl>
    <w:lvl w:ilvl="2">
      <w:numFmt w:val="decimal"/>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num w:numId="1">
    <w:abstractNumId w:val="1"/>
  </w:num>
  <w:num w:numId="2">
    <w:abstractNumId w:val="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1"/>
  </w:num>
  <w:num w:numId="13">
    <w:abstractNumId w:val="2"/>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1"/>
  </w:num>
  <w:num w:numId="24">
    <w:abstractNumId w:val="2"/>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1"/>
  </w:num>
  <w:num w:numId="35">
    <w:abstractNumId w:val="2"/>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1"/>
  </w:num>
  <w:num w:numId="46">
    <w:abstractNumId w:val="0"/>
  </w:num>
  <w:num w:numId="4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200"/>
    <w:rsid w:val="00010F8D"/>
    <w:rsid w:val="000165D1"/>
    <w:rsid w:val="00025015"/>
    <w:rsid w:val="00026284"/>
    <w:rsid w:val="00027A5E"/>
    <w:rsid w:val="0003097F"/>
    <w:rsid w:val="00031E2A"/>
    <w:rsid w:val="000344D2"/>
    <w:rsid w:val="00041EEF"/>
    <w:rsid w:val="00042F1A"/>
    <w:rsid w:val="00043501"/>
    <w:rsid w:val="00051B18"/>
    <w:rsid w:val="00057DF9"/>
    <w:rsid w:val="0006344F"/>
    <w:rsid w:val="00064E07"/>
    <w:rsid w:val="0006753F"/>
    <w:rsid w:val="00081A0E"/>
    <w:rsid w:val="00083DD6"/>
    <w:rsid w:val="00087B69"/>
    <w:rsid w:val="00097CA6"/>
    <w:rsid w:val="00097D4A"/>
    <w:rsid w:val="000A62E4"/>
    <w:rsid w:val="000B5290"/>
    <w:rsid w:val="000B7D9D"/>
    <w:rsid w:val="000C2407"/>
    <w:rsid w:val="000C6955"/>
    <w:rsid w:val="000C7DD2"/>
    <w:rsid w:val="000D3C96"/>
    <w:rsid w:val="000D7451"/>
    <w:rsid w:val="000E0BBF"/>
    <w:rsid w:val="000E49B8"/>
    <w:rsid w:val="000E5258"/>
    <w:rsid w:val="000F6EBA"/>
    <w:rsid w:val="0010254F"/>
    <w:rsid w:val="00103007"/>
    <w:rsid w:val="001040F5"/>
    <w:rsid w:val="00116B8C"/>
    <w:rsid w:val="00116D0D"/>
    <w:rsid w:val="00133FC6"/>
    <w:rsid w:val="001350AA"/>
    <w:rsid w:val="00141090"/>
    <w:rsid w:val="00144EE3"/>
    <w:rsid w:val="00147CD1"/>
    <w:rsid w:val="001512A2"/>
    <w:rsid w:val="00153011"/>
    <w:rsid w:val="0016250C"/>
    <w:rsid w:val="001655C3"/>
    <w:rsid w:val="0017524A"/>
    <w:rsid w:val="001823F2"/>
    <w:rsid w:val="0018403E"/>
    <w:rsid w:val="00184060"/>
    <w:rsid w:val="00194490"/>
    <w:rsid w:val="001A1D51"/>
    <w:rsid w:val="001B0981"/>
    <w:rsid w:val="001C26C4"/>
    <w:rsid w:val="001C45F7"/>
    <w:rsid w:val="001D4378"/>
    <w:rsid w:val="001D5A01"/>
    <w:rsid w:val="001E2A55"/>
    <w:rsid w:val="001F1BC3"/>
    <w:rsid w:val="001F3A7C"/>
    <w:rsid w:val="00206BED"/>
    <w:rsid w:val="00224B17"/>
    <w:rsid w:val="002252B6"/>
    <w:rsid w:val="00233D14"/>
    <w:rsid w:val="00254A63"/>
    <w:rsid w:val="0026061F"/>
    <w:rsid w:val="00262F1B"/>
    <w:rsid w:val="00286D34"/>
    <w:rsid w:val="00291AE7"/>
    <w:rsid w:val="00292095"/>
    <w:rsid w:val="002A597E"/>
    <w:rsid w:val="002E7F0D"/>
    <w:rsid w:val="002F69C6"/>
    <w:rsid w:val="00312B76"/>
    <w:rsid w:val="003137AE"/>
    <w:rsid w:val="00315045"/>
    <w:rsid w:val="0031760D"/>
    <w:rsid w:val="003261D6"/>
    <w:rsid w:val="00326AE7"/>
    <w:rsid w:val="00327015"/>
    <w:rsid w:val="00335C4F"/>
    <w:rsid w:val="00336AE5"/>
    <w:rsid w:val="0034228F"/>
    <w:rsid w:val="003572F4"/>
    <w:rsid w:val="0036585B"/>
    <w:rsid w:val="0037162B"/>
    <w:rsid w:val="00373F6C"/>
    <w:rsid w:val="003744D8"/>
    <w:rsid w:val="003828B6"/>
    <w:rsid w:val="003833DE"/>
    <w:rsid w:val="003836B0"/>
    <w:rsid w:val="00393667"/>
    <w:rsid w:val="0039648A"/>
    <w:rsid w:val="003A4675"/>
    <w:rsid w:val="003A5675"/>
    <w:rsid w:val="003B28A8"/>
    <w:rsid w:val="003B2EC7"/>
    <w:rsid w:val="003B5669"/>
    <w:rsid w:val="003B62DB"/>
    <w:rsid w:val="003C7D69"/>
    <w:rsid w:val="003D4FDA"/>
    <w:rsid w:val="003E012C"/>
    <w:rsid w:val="003E1663"/>
    <w:rsid w:val="003E3D11"/>
    <w:rsid w:val="003E52BD"/>
    <w:rsid w:val="003F7B89"/>
    <w:rsid w:val="004064FE"/>
    <w:rsid w:val="004067F3"/>
    <w:rsid w:val="00423CBC"/>
    <w:rsid w:val="00447D80"/>
    <w:rsid w:val="004509C0"/>
    <w:rsid w:val="00450EED"/>
    <w:rsid w:val="0045146A"/>
    <w:rsid w:val="00454351"/>
    <w:rsid w:val="00460BDF"/>
    <w:rsid w:val="004825D1"/>
    <w:rsid w:val="004951CE"/>
    <w:rsid w:val="004952B4"/>
    <w:rsid w:val="004A71D1"/>
    <w:rsid w:val="004B16D6"/>
    <w:rsid w:val="004C0B89"/>
    <w:rsid w:val="004C0BE8"/>
    <w:rsid w:val="004C5FC1"/>
    <w:rsid w:val="004D3482"/>
    <w:rsid w:val="004D6182"/>
    <w:rsid w:val="004E07BA"/>
    <w:rsid w:val="004E25EC"/>
    <w:rsid w:val="004F216B"/>
    <w:rsid w:val="004F3F51"/>
    <w:rsid w:val="00510FFD"/>
    <w:rsid w:val="005230B3"/>
    <w:rsid w:val="00527707"/>
    <w:rsid w:val="005378D0"/>
    <w:rsid w:val="005405D7"/>
    <w:rsid w:val="00556939"/>
    <w:rsid w:val="0056365D"/>
    <w:rsid w:val="00563F1D"/>
    <w:rsid w:val="00566C1F"/>
    <w:rsid w:val="0057191A"/>
    <w:rsid w:val="005734E4"/>
    <w:rsid w:val="00573F59"/>
    <w:rsid w:val="00581F4E"/>
    <w:rsid w:val="005929AF"/>
    <w:rsid w:val="00595E74"/>
    <w:rsid w:val="005C13DD"/>
    <w:rsid w:val="005D64FB"/>
    <w:rsid w:val="005E2D60"/>
    <w:rsid w:val="005E33F6"/>
    <w:rsid w:val="005F08B7"/>
    <w:rsid w:val="005F23D6"/>
    <w:rsid w:val="005F57E9"/>
    <w:rsid w:val="006109F5"/>
    <w:rsid w:val="00617294"/>
    <w:rsid w:val="0062775F"/>
    <w:rsid w:val="00630E84"/>
    <w:rsid w:val="006316A9"/>
    <w:rsid w:val="00633500"/>
    <w:rsid w:val="0064397A"/>
    <w:rsid w:val="006477AE"/>
    <w:rsid w:val="00651596"/>
    <w:rsid w:val="00653AEF"/>
    <w:rsid w:val="00653C44"/>
    <w:rsid w:val="00654308"/>
    <w:rsid w:val="00662FAD"/>
    <w:rsid w:val="00690C9C"/>
    <w:rsid w:val="00693A2D"/>
    <w:rsid w:val="00694C52"/>
    <w:rsid w:val="006957AC"/>
    <w:rsid w:val="0069613D"/>
    <w:rsid w:val="00696F88"/>
    <w:rsid w:val="006A53DD"/>
    <w:rsid w:val="006B6041"/>
    <w:rsid w:val="006B77FB"/>
    <w:rsid w:val="006C013A"/>
    <w:rsid w:val="006C31FE"/>
    <w:rsid w:val="006C376C"/>
    <w:rsid w:val="006C5A2D"/>
    <w:rsid w:val="006C6AF3"/>
    <w:rsid w:val="006E1C55"/>
    <w:rsid w:val="006E5BCB"/>
    <w:rsid w:val="006F22B0"/>
    <w:rsid w:val="006F2C19"/>
    <w:rsid w:val="006F4AD5"/>
    <w:rsid w:val="006F5046"/>
    <w:rsid w:val="00705095"/>
    <w:rsid w:val="00707D60"/>
    <w:rsid w:val="007142B8"/>
    <w:rsid w:val="00761ABF"/>
    <w:rsid w:val="00762F11"/>
    <w:rsid w:val="0076656B"/>
    <w:rsid w:val="00773B64"/>
    <w:rsid w:val="007813AB"/>
    <w:rsid w:val="00782146"/>
    <w:rsid w:val="007840BA"/>
    <w:rsid w:val="00784BBF"/>
    <w:rsid w:val="00790CB7"/>
    <w:rsid w:val="00792724"/>
    <w:rsid w:val="007944A1"/>
    <w:rsid w:val="00796312"/>
    <w:rsid w:val="007A565A"/>
    <w:rsid w:val="007B34D7"/>
    <w:rsid w:val="007B5890"/>
    <w:rsid w:val="007B5C3F"/>
    <w:rsid w:val="007C7AEB"/>
    <w:rsid w:val="007D146B"/>
    <w:rsid w:val="007E00F8"/>
    <w:rsid w:val="007E5F5E"/>
    <w:rsid w:val="007F2468"/>
    <w:rsid w:val="007F31F8"/>
    <w:rsid w:val="00811EBC"/>
    <w:rsid w:val="00814414"/>
    <w:rsid w:val="0081531E"/>
    <w:rsid w:val="0084250B"/>
    <w:rsid w:val="00843A6B"/>
    <w:rsid w:val="00844242"/>
    <w:rsid w:val="008464AA"/>
    <w:rsid w:val="00851248"/>
    <w:rsid w:val="008512B8"/>
    <w:rsid w:val="00853628"/>
    <w:rsid w:val="00857ABE"/>
    <w:rsid w:val="00860B3B"/>
    <w:rsid w:val="008646E4"/>
    <w:rsid w:val="0086708C"/>
    <w:rsid w:val="00875066"/>
    <w:rsid w:val="008829BC"/>
    <w:rsid w:val="00882F1D"/>
    <w:rsid w:val="008851CD"/>
    <w:rsid w:val="00887AE4"/>
    <w:rsid w:val="008911DF"/>
    <w:rsid w:val="00894E56"/>
    <w:rsid w:val="008A4706"/>
    <w:rsid w:val="008A60A9"/>
    <w:rsid w:val="008A7C84"/>
    <w:rsid w:val="008B0724"/>
    <w:rsid w:val="008C2842"/>
    <w:rsid w:val="008C7CAF"/>
    <w:rsid w:val="008E0590"/>
    <w:rsid w:val="008E0EB4"/>
    <w:rsid w:val="008E2669"/>
    <w:rsid w:val="008F1000"/>
    <w:rsid w:val="00907083"/>
    <w:rsid w:val="009141BE"/>
    <w:rsid w:val="00914CF6"/>
    <w:rsid w:val="0092101C"/>
    <w:rsid w:val="00923C0D"/>
    <w:rsid w:val="00924EEF"/>
    <w:rsid w:val="0093204A"/>
    <w:rsid w:val="0093714E"/>
    <w:rsid w:val="00941A71"/>
    <w:rsid w:val="0095770C"/>
    <w:rsid w:val="00960E9B"/>
    <w:rsid w:val="00963263"/>
    <w:rsid w:val="009657CA"/>
    <w:rsid w:val="00966120"/>
    <w:rsid w:val="00966F6B"/>
    <w:rsid w:val="00971A57"/>
    <w:rsid w:val="00974AAF"/>
    <w:rsid w:val="0097793F"/>
    <w:rsid w:val="00983183"/>
    <w:rsid w:val="0099598A"/>
    <w:rsid w:val="009A087F"/>
    <w:rsid w:val="009A49F5"/>
    <w:rsid w:val="009B7363"/>
    <w:rsid w:val="009C616F"/>
    <w:rsid w:val="009D0AC0"/>
    <w:rsid w:val="009D4A95"/>
    <w:rsid w:val="009D4F5C"/>
    <w:rsid w:val="009E51AC"/>
    <w:rsid w:val="009E6C0C"/>
    <w:rsid w:val="009E7D45"/>
    <w:rsid w:val="009F25A7"/>
    <w:rsid w:val="009F2ED5"/>
    <w:rsid w:val="00A01BDA"/>
    <w:rsid w:val="00A01F8A"/>
    <w:rsid w:val="00A03368"/>
    <w:rsid w:val="00A06BDD"/>
    <w:rsid w:val="00A12086"/>
    <w:rsid w:val="00A20360"/>
    <w:rsid w:val="00A22F0D"/>
    <w:rsid w:val="00A256C4"/>
    <w:rsid w:val="00A270E8"/>
    <w:rsid w:val="00A30CDF"/>
    <w:rsid w:val="00A367A7"/>
    <w:rsid w:val="00A376B6"/>
    <w:rsid w:val="00A54862"/>
    <w:rsid w:val="00A55C95"/>
    <w:rsid w:val="00A60200"/>
    <w:rsid w:val="00A63F98"/>
    <w:rsid w:val="00A72F5A"/>
    <w:rsid w:val="00A8249A"/>
    <w:rsid w:val="00A85193"/>
    <w:rsid w:val="00A96171"/>
    <w:rsid w:val="00A9687A"/>
    <w:rsid w:val="00A9728B"/>
    <w:rsid w:val="00A975A9"/>
    <w:rsid w:val="00AA0E36"/>
    <w:rsid w:val="00AA6BB2"/>
    <w:rsid w:val="00AB0D1C"/>
    <w:rsid w:val="00AB4E49"/>
    <w:rsid w:val="00AC53CD"/>
    <w:rsid w:val="00AC6C30"/>
    <w:rsid w:val="00AD0B87"/>
    <w:rsid w:val="00AD1C38"/>
    <w:rsid w:val="00AD571A"/>
    <w:rsid w:val="00AE0729"/>
    <w:rsid w:val="00AE3FB8"/>
    <w:rsid w:val="00AF3368"/>
    <w:rsid w:val="00B01650"/>
    <w:rsid w:val="00B07C46"/>
    <w:rsid w:val="00B122F9"/>
    <w:rsid w:val="00B1375C"/>
    <w:rsid w:val="00B34AA4"/>
    <w:rsid w:val="00B46DA1"/>
    <w:rsid w:val="00B60C9F"/>
    <w:rsid w:val="00B76007"/>
    <w:rsid w:val="00B8153F"/>
    <w:rsid w:val="00B91262"/>
    <w:rsid w:val="00BA1DBB"/>
    <w:rsid w:val="00BA2477"/>
    <w:rsid w:val="00BA2FA5"/>
    <w:rsid w:val="00BA4550"/>
    <w:rsid w:val="00BA4642"/>
    <w:rsid w:val="00BA4930"/>
    <w:rsid w:val="00BA672F"/>
    <w:rsid w:val="00BB428B"/>
    <w:rsid w:val="00BC40C6"/>
    <w:rsid w:val="00BC453A"/>
    <w:rsid w:val="00BC5010"/>
    <w:rsid w:val="00BC5DE2"/>
    <w:rsid w:val="00BD720F"/>
    <w:rsid w:val="00BE1613"/>
    <w:rsid w:val="00BE3F6E"/>
    <w:rsid w:val="00BF1E60"/>
    <w:rsid w:val="00BF4225"/>
    <w:rsid w:val="00C04558"/>
    <w:rsid w:val="00C302B5"/>
    <w:rsid w:val="00C31514"/>
    <w:rsid w:val="00C37B15"/>
    <w:rsid w:val="00C4678D"/>
    <w:rsid w:val="00C500A6"/>
    <w:rsid w:val="00C5468F"/>
    <w:rsid w:val="00C8233F"/>
    <w:rsid w:val="00CA6AE6"/>
    <w:rsid w:val="00CC0ED5"/>
    <w:rsid w:val="00CC1D71"/>
    <w:rsid w:val="00CC6232"/>
    <w:rsid w:val="00CD0C1A"/>
    <w:rsid w:val="00CD3EA4"/>
    <w:rsid w:val="00CD42BE"/>
    <w:rsid w:val="00CE0DB2"/>
    <w:rsid w:val="00CE157D"/>
    <w:rsid w:val="00CE4C5C"/>
    <w:rsid w:val="00CF4F05"/>
    <w:rsid w:val="00D03AA9"/>
    <w:rsid w:val="00D06D19"/>
    <w:rsid w:val="00D103D1"/>
    <w:rsid w:val="00D15CE2"/>
    <w:rsid w:val="00D16211"/>
    <w:rsid w:val="00D163F3"/>
    <w:rsid w:val="00D31126"/>
    <w:rsid w:val="00D3483E"/>
    <w:rsid w:val="00D37439"/>
    <w:rsid w:val="00D44F52"/>
    <w:rsid w:val="00D45C54"/>
    <w:rsid w:val="00D4607C"/>
    <w:rsid w:val="00D4756C"/>
    <w:rsid w:val="00D506E5"/>
    <w:rsid w:val="00D53246"/>
    <w:rsid w:val="00D5384D"/>
    <w:rsid w:val="00D64A74"/>
    <w:rsid w:val="00D71608"/>
    <w:rsid w:val="00D74D63"/>
    <w:rsid w:val="00D81296"/>
    <w:rsid w:val="00D83BC6"/>
    <w:rsid w:val="00D863AF"/>
    <w:rsid w:val="00D92DA2"/>
    <w:rsid w:val="00D93415"/>
    <w:rsid w:val="00DA3BAB"/>
    <w:rsid w:val="00DA6673"/>
    <w:rsid w:val="00DB0176"/>
    <w:rsid w:val="00DB3666"/>
    <w:rsid w:val="00DB5BE8"/>
    <w:rsid w:val="00DC1597"/>
    <w:rsid w:val="00DC2820"/>
    <w:rsid w:val="00DC4605"/>
    <w:rsid w:val="00DD2B6B"/>
    <w:rsid w:val="00DD2E83"/>
    <w:rsid w:val="00DD62DE"/>
    <w:rsid w:val="00DE0B3C"/>
    <w:rsid w:val="00DE687F"/>
    <w:rsid w:val="00DF7D24"/>
    <w:rsid w:val="00E00F67"/>
    <w:rsid w:val="00E0317F"/>
    <w:rsid w:val="00E07E17"/>
    <w:rsid w:val="00E10296"/>
    <w:rsid w:val="00E17045"/>
    <w:rsid w:val="00E17DB0"/>
    <w:rsid w:val="00E24113"/>
    <w:rsid w:val="00E26C0C"/>
    <w:rsid w:val="00E32B70"/>
    <w:rsid w:val="00E40F05"/>
    <w:rsid w:val="00E421B1"/>
    <w:rsid w:val="00E5359C"/>
    <w:rsid w:val="00E566CE"/>
    <w:rsid w:val="00E5762C"/>
    <w:rsid w:val="00E66407"/>
    <w:rsid w:val="00E718E3"/>
    <w:rsid w:val="00E7385C"/>
    <w:rsid w:val="00E82FEE"/>
    <w:rsid w:val="00E84267"/>
    <w:rsid w:val="00E85E6C"/>
    <w:rsid w:val="00E955AB"/>
    <w:rsid w:val="00EA03B1"/>
    <w:rsid w:val="00EA3E82"/>
    <w:rsid w:val="00EA769C"/>
    <w:rsid w:val="00EB0854"/>
    <w:rsid w:val="00EB0C87"/>
    <w:rsid w:val="00EE2A0D"/>
    <w:rsid w:val="00EE3DCF"/>
    <w:rsid w:val="00EE72FE"/>
    <w:rsid w:val="00EF638F"/>
    <w:rsid w:val="00EF668A"/>
    <w:rsid w:val="00EF7F25"/>
    <w:rsid w:val="00F1346F"/>
    <w:rsid w:val="00F17029"/>
    <w:rsid w:val="00F171FB"/>
    <w:rsid w:val="00F17D44"/>
    <w:rsid w:val="00F21C1B"/>
    <w:rsid w:val="00F22A34"/>
    <w:rsid w:val="00F41979"/>
    <w:rsid w:val="00F43C4F"/>
    <w:rsid w:val="00F5181E"/>
    <w:rsid w:val="00F64285"/>
    <w:rsid w:val="00F649B3"/>
    <w:rsid w:val="00F72986"/>
    <w:rsid w:val="00F80683"/>
    <w:rsid w:val="00F86344"/>
    <w:rsid w:val="00F875E0"/>
    <w:rsid w:val="00F92517"/>
    <w:rsid w:val="00F9580D"/>
    <w:rsid w:val="00FA206E"/>
    <w:rsid w:val="00FA40BE"/>
    <w:rsid w:val="00FA7CAD"/>
    <w:rsid w:val="00FB024F"/>
    <w:rsid w:val="00FB095B"/>
    <w:rsid w:val="00FB362D"/>
    <w:rsid w:val="00FC13DA"/>
    <w:rsid w:val="00FC6EF8"/>
    <w:rsid w:val="00FD3660"/>
    <w:rsid w:val="00FD48A1"/>
    <w:rsid w:val="00FD7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7F2184-5EC6-464C-8722-7420DCB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caption"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300" w:lineRule="auto"/>
    </w:pPr>
    <w:rPr>
      <w:rFonts w:eastAsia="Times New Roman"/>
      <w:kern w:val="24"/>
      <w:sz w:val="24"/>
      <w:szCs w:val="24"/>
      <w:lang w:val="en-US" w:eastAsia="en-US"/>
    </w:rPr>
  </w:style>
  <w:style w:type="paragraph" w:styleId="Heading1">
    <w:name w:val="heading 1"/>
    <w:basedOn w:val="DocumentText"/>
    <w:next w:val="DocumentText"/>
    <w:link w:val="Heading1Char"/>
    <w:uiPriority w:val="9"/>
    <w:qFormat/>
    <w:rsid w:val="00D93415"/>
    <w:pPr>
      <w:keepNext/>
      <w:keepLines/>
      <w:numPr>
        <w:numId w:val="46"/>
      </w:numPr>
      <w:tabs>
        <w:tab w:val="left" w:pos="374"/>
      </w:tabs>
      <w:spacing w:before="120" w:after="120"/>
      <w:outlineLvl w:val="0"/>
    </w:pPr>
    <w:rPr>
      <w:b/>
      <w:kern w:val="28"/>
      <w:sz w:val="28"/>
      <w:szCs w:val="28"/>
    </w:rPr>
  </w:style>
  <w:style w:type="paragraph" w:styleId="Heading2">
    <w:name w:val="heading 2"/>
    <w:basedOn w:val="Heading1"/>
    <w:next w:val="DocumentText"/>
    <w:link w:val="Heading2Char"/>
    <w:uiPriority w:val="9"/>
    <w:qFormat/>
    <w:rsid w:val="00D93415"/>
    <w:pPr>
      <w:numPr>
        <w:ilvl w:val="1"/>
      </w:numPr>
      <w:tabs>
        <w:tab w:val="clear" w:pos="374"/>
        <w:tab w:val="left" w:pos="626"/>
      </w:tabs>
      <w:outlineLvl w:val="1"/>
    </w:pPr>
    <w:rPr>
      <w:sz w:val="24"/>
    </w:rPr>
  </w:style>
  <w:style w:type="paragraph" w:styleId="Heading3">
    <w:name w:val="heading 3"/>
    <w:basedOn w:val="Heading1"/>
    <w:next w:val="DocumentText"/>
    <w:link w:val="Heading3Char"/>
    <w:uiPriority w:val="9"/>
    <w:qFormat/>
    <w:rsid w:val="00653AEF"/>
    <w:pPr>
      <w:numPr>
        <w:numId w:val="0"/>
      </w:numPr>
      <w:tabs>
        <w:tab w:val="clear" w:pos="374"/>
        <w:tab w:val="left" w:pos="864"/>
      </w:tabs>
      <w:spacing w:before="0"/>
      <w:outlineLvl w:val="2"/>
    </w:pPr>
    <w:rPr>
      <w:sz w:val="24"/>
      <w:u w:val="single"/>
    </w:rPr>
  </w:style>
  <w:style w:type="paragraph" w:styleId="Heading4">
    <w:name w:val="heading 4"/>
    <w:basedOn w:val="Heading1"/>
    <w:next w:val="DocumentText"/>
    <w:uiPriority w:val="9"/>
    <w:qFormat/>
    <w:rsid w:val="004951CE"/>
    <w:pPr>
      <w:numPr>
        <w:ilvl w:val="3"/>
      </w:numPr>
      <w:tabs>
        <w:tab w:val="clear" w:pos="374"/>
        <w:tab w:val="left" w:pos="1087"/>
      </w:tabs>
      <w:outlineLvl w:val="3"/>
    </w:pPr>
  </w:style>
  <w:style w:type="paragraph" w:styleId="Heading5">
    <w:name w:val="heading 5"/>
    <w:basedOn w:val="Heading1"/>
    <w:next w:val="DocumentText"/>
    <w:uiPriority w:val="9"/>
    <w:qFormat/>
    <w:rsid w:val="004951CE"/>
    <w:pPr>
      <w:numPr>
        <w:ilvl w:val="4"/>
      </w:numPr>
      <w:tabs>
        <w:tab w:val="clear" w:pos="374"/>
        <w:tab w:val="left" w:pos="1296"/>
      </w:tabs>
      <w:outlineLvl w:val="4"/>
    </w:pPr>
  </w:style>
  <w:style w:type="paragraph" w:styleId="Heading6">
    <w:name w:val="heading 6"/>
    <w:basedOn w:val="Heading1"/>
    <w:next w:val="DocumentText"/>
    <w:uiPriority w:val="9"/>
    <w:qFormat/>
    <w:rsid w:val="004951CE"/>
    <w:pPr>
      <w:numPr>
        <w:ilvl w:val="5"/>
      </w:numPr>
      <w:tabs>
        <w:tab w:val="clear" w:pos="374"/>
        <w:tab w:val="left" w:pos="1490"/>
      </w:tabs>
      <w:outlineLvl w:val="5"/>
    </w:pPr>
  </w:style>
  <w:style w:type="paragraph" w:styleId="Heading7">
    <w:name w:val="heading 7"/>
    <w:basedOn w:val="Heading1"/>
    <w:next w:val="DocumentText"/>
    <w:uiPriority w:val="9"/>
    <w:qFormat/>
    <w:rsid w:val="004951CE"/>
    <w:pPr>
      <w:numPr>
        <w:ilvl w:val="6"/>
      </w:numPr>
      <w:tabs>
        <w:tab w:val="clear" w:pos="374"/>
        <w:tab w:val="left" w:pos="1670"/>
      </w:tabs>
      <w:outlineLvl w:val="6"/>
    </w:pPr>
  </w:style>
  <w:style w:type="paragraph" w:styleId="Heading8">
    <w:name w:val="heading 8"/>
    <w:basedOn w:val="Heading1"/>
    <w:next w:val="DocumentText"/>
    <w:uiPriority w:val="9"/>
    <w:qFormat/>
    <w:rsid w:val="004951CE"/>
    <w:pPr>
      <w:numPr>
        <w:ilvl w:val="7"/>
      </w:numPr>
      <w:tabs>
        <w:tab w:val="clear" w:pos="374"/>
        <w:tab w:val="left" w:pos="1836"/>
      </w:tabs>
      <w:outlineLvl w:val="7"/>
    </w:pPr>
  </w:style>
  <w:style w:type="paragraph" w:styleId="Heading9">
    <w:name w:val="heading 9"/>
    <w:basedOn w:val="Heading1"/>
    <w:next w:val="DocumentText"/>
    <w:uiPriority w:val="9"/>
    <w:qFormat/>
    <w:rsid w:val="004951CE"/>
    <w:pPr>
      <w:numPr>
        <w:ilvl w:val="8"/>
      </w:numPr>
      <w:tabs>
        <w:tab w:val="clear" w:pos="374"/>
        <w:tab w:val="left" w:pos="1987"/>
      </w:tabs>
      <w:outlineLvl w:val="8"/>
    </w:pPr>
  </w:style>
  <w:style w:type="character" w:default="1" w:styleId="DefaultParagraphFont">
    <w:name w:val="Default Paragraph Font"/>
    <w:uiPriority w:val="1"/>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 Text"/>
    <w:basedOn w:val="Normal"/>
    <w:link w:val="DocumentTextCha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DocumentText"/>
    <w:link w:val="FooterChar"/>
    <w:pPr>
      <w:tabs>
        <w:tab w:val="center" w:pos="4478"/>
        <w:tab w:val="right" w:pos="8957"/>
      </w:tabs>
      <w:spacing w:before="120" w:after="0" w:line="240" w:lineRule="auto"/>
    </w:pPr>
    <w:rPr>
      <w:kern w:val="18"/>
      <w:sz w:val="20"/>
    </w:rPr>
  </w:style>
  <w:style w:type="paragraph" w:styleId="Header">
    <w:name w:val="header"/>
    <w:basedOn w:val="DocumentText"/>
    <w:link w:val="HeaderChar"/>
    <w:pPr>
      <w:tabs>
        <w:tab w:val="right" w:pos="8957"/>
      </w:tabs>
      <w:spacing w:after="120" w:line="240" w:lineRule="auto"/>
    </w:pPr>
    <w:rPr>
      <w:kern w:val="18"/>
      <w:sz w:val="20"/>
    </w:rPr>
  </w:style>
  <w:style w:type="character" w:styleId="Hyperlink">
    <w:name w:val="Hyperlink"/>
    <w:uiPriority w:val="99"/>
    <w:rPr>
      <w:color w:val="0000FF"/>
      <w:u w:val="none"/>
    </w:rPr>
  </w:style>
  <w:style w:type="paragraph" w:styleId="TOC1">
    <w:name w:val="toc 1"/>
    <w:basedOn w:val="Normal"/>
    <w:next w:val="Normal"/>
    <w:autoRedefine/>
    <w:uiPriority w:val="39"/>
    <w:pPr>
      <w:spacing w:after="180" w:line="240" w:lineRule="auto"/>
      <w:ind w:left="374" w:right="200" w:hanging="374"/>
    </w:pPr>
  </w:style>
  <w:style w:type="paragraph" w:styleId="TOC2">
    <w:name w:val="toc 2"/>
    <w:basedOn w:val="Normal"/>
    <w:next w:val="Normal"/>
    <w:autoRedefine/>
    <w:uiPriority w:val="39"/>
    <w:pPr>
      <w:spacing w:after="120" w:line="240" w:lineRule="auto"/>
      <w:ind w:left="626" w:right="200" w:hanging="626"/>
    </w:pPr>
  </w:style>
  <w:style w:type="paragraph" w:styleId="TOC3">
    <w:name w:val="toc 3"/>
    <w:basedOn w:val="Normal"/>
    <w:next w:val="Normal"/>
    <w:autoRedefine/>
    <w:semiHidden/>
    <w:pPr>
      <w:spacing w:after="60" w:line="240" w:lineRule="auto"/>
      <w:ind w:left="864" w:right="200" w:hanging="864"/>
    </w:pPr>
  </w:style>
  <w:style w:type="paragraph" w:styleId="TOC4">
    <w:name w:val="toc 4"/>
    <w:basedOn w:val="Normal"/>
    <w:next w:val="Normal"/>
    <w:autoRedefine/>
    <w:semiHidden/>
    <w:pPr>
      <w:spacing w:after="60" w:line="240" w:lineRule="auto"/>
      <w:ind w:left="1087" w:right="200" w:hanging="1087"/>
    </w:pPr>
  </w:style>
  <w:style w:type="paragraph" w:styleId="TOC5">
    <w:name w:val="toc 5"/>
    <w:basedOn w:val="Normal"/>
    <w:next w:val="Normal"/>
    <w:autoRedefine/>
    <w:semiHidden/>
    <w:pPr>
      <w:spacing w:after="60" w:line="240" w:lineRule="auto"/>
      <w:ind w:left="1296" w:right="200" w:hanging="1296"/>
    </w:pPr>
  </w:style>
  <w:style w:type="paragraph" w:styleId="TOC6">
    <w:name w:val="toc 6"/>
    <w:basedOn w:val="Normal"/>
    <w:next w:val="Normal"/>
    <w:autoRedefine/>
    <w:semiHidden/>
    <w:pPr>
      <w:spacing w:after="60" w:line="240" w:lineRule="auto"/>
      <w:ind w:left="1490" w:right="200" w:hanging="1490"/>
    </w:pPr>
  </w:style>
  <w:style w:type="paragraph" w:styleId="TOC7">
    <w:name w:val="toc 7"/>
    <w:basedOn w:val="Normal"/>
    <w:next w:val="Normal"/>
    <w:autoRedefine/>
    <w:semiHidden/>
    <w:pPr>
      <w:spacing w:after="60" w:line="240" w:lineRule="auto"/>
      <w:ind w:left="1670" w:right="200" w:hanging="1670"/>
      <w:contextualSpacing/>
    </w:pPr>
  </w:style>
  <w:style w:type="paragraph" w:styleId="TOC8">
    <w:name w:val="toc 8"/>
    <w:basedOn w:val="Normal"/>
    <w:next w:val="Normal"/>
    <w:autoRedefine/>
    <w:semiHidden/>
    <w:pPr>
      <w:spacing w:after="60" w:line="240" w:lineRule="auto"/>
      <w:ind w:left="1836" w:right="200" w:hanging="1836"/>
    </w:pPr>
  </w:style>
  <w:style w:type="paragraph" w:styleId="TOC9">
    <w:name w:val="toc 9"/>
    <w:basedOn w:val="Normal"/>
    <w:next w:val="Normal"/>
    <w:autoRedefine/>
    <w:semiHidden/>
    <w:pPr>
      <w:spacing w:after="60" w:line="240" w:lineRule="auto"/>
      <w:ind w:left="1987" w:right="200" w:hanging="1987"/>
    </w:pPr>
  </w:style>
  <w:style w:type="paragraph" w:styleId="BalloonText">
    <w:name w:val="Balloon Text"/>
    <w:basedOn w:val="Normal"/>
    <w:semiHidden/>
    <w:rPr>
      <w:rFonts w:ascii="Tahoma" w:hAnsi="Tahoma" w:cs="Tahoma"/>
      <w:sz w:val="16"/>
      <w:szCs w:val="16"/>
    </w:rPr>
  </w:style>
  <w:style w:type="paragraph" w:customStyle="1" w:styleId="ListBulleted">
    <w:name w:val="List Bulleted"/>
    <w:basedOn w:val="DocumentText"/>
    <w:pPr>
      <w:keepLines/>
      <w:numPr>
        <w:numId w:val="35"/>
      </w:numPr>
      <w:adjustRightInd w:val="0"/>
      <w:spacing w:before="120" w:after="120"/>
      <w:ind w:left="648"/>
    </w:pPr>
  </w:style>
  <w:style w:type="paragraph" w:styleId="Caption">
    <w:name w:val="caption"/>
    <w:basedOn w:val="Normal"/>
    <w:next w:val="Normal"/>
    <w:qFormat/>
    <w:pPr>
      <w:keepNext/>
      <w:spacing w:before="240" w:after="120" w:line="240" w:lineRule="auto"/>
      <w:ind w:left="2160" w:hanging="2160"/>
    </w:pPr>
    <w:rPr>
      <w:b/>
      <w:bCs/>
      <w:szCs w:val="20"/>
    </w:rPr>
  </w:style>
  <w:style w:type="paragraph" w:customStyle="1" w:styleId="ListNumbered">
    <w:name w:val="List Numbered"/>
    <w:basedOn w:val="DocumentText"/>
    <w:pPr>
      <w:keepLines/>
      <w:numPr>
        <w:numId w:val="45"/>
      </w:numPr>
      <w:snapToGrid w:val="0"/>
      <w:spacing w:before="120" w:after="120"/>
    </w:pPr>
  </w:style>
  <w:style w:type="paragraph" w:customStyle="1" w:styleId="Guidance">
    <w:name w:val="Guidance"/>
    <w:basedOn w:val="DocumentText"/>
    <w:qFormat/>
  </w:style>
  <w:style w:type="paragraph" w:customStyle="1" w:styleId="TableTitleContinued">
    <w:name w:val="Table Title Continued"/>
    <w:basedOn w:val="DocumentText"/>
    <w:next w:val="DocumentText"/>
    <w:pPr>
      <w:keepNext/>
      <w:spacing w:before="240" w:after="120" w:line="240" w:lineRule="auto"/>
      <w:ind w:left="2160" w:hanging="2160"/>
    </w:pPr>
    <w:rPr>
      <w:b/>
      <w:bCs/>
    </w:rPr>
  </w:style>
  <w:style w:type="paragraph" w:customStyle="1" w:styleId="TableFootnote">
    <w:name w:val="Table Footnote"/>
    <w:basedOn w:val="DocumentText"/>
    <w:next w:val="DocumentText"/>
    <w:pPr>
      <w:keepNext/>
      <w:keepLines/>
      <w:spacing w:before="40" w:after="0" w:line="240" w:lineRule="auto"/>
      <w:ind w:left="360" w:hanging="360"/>
    </w:pPr>
    <w:rPr>
      <w:kern w:val="20"/>
      <w:sz w:val="20"/>
      <w:szCs w:val="20"/>
    </w:rPr>
  </w:style>
  <w:style w:type="table" w:styleId="TableGrid">
    <w:name w:val="Table Grid"/>
    <w:basedOn w:val="TableNormal"/>
    <w:uiPriority w:val="59"/>
    <w:pPr>
      <w:spacing w:after="240" w:line="30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pPr>
      <w:keepNext/>
      <w:spacing w:before="40" w:after="40" w:line="240" w:lineRule="auto"/>
      <w:jc w:val="center"/>
    </w:pPr>
    <w:rPr>
      <w:b/>
    </w:rPr>
  </w:style>
  <w:style w:type="paragraph" w:customStyle="1" w:styleId="TableCellHeading10pt">
    <w:name w:val="Table Cell Heading 10pt"/>
    <w:basedOn w:val="TableCellHeading12pt"/>
    <w:rPr>
      <w:kern w:val="20"/>
      <w:sz w:val="20"/>
    </w:rPr>
  </w:style>
  <w:style w:type="paragraph" w:styleId="TableofFigures">
    <w:name w:val="table of figures"/>
    <w:basedOn w:val="Normal"/>
    <w:next w:val="Normal"/>
    <w:uiPriority w:val="99"/>
    <w:pPr>
      <w:spacing w:line="240" w:lineRule="auto"/>
      <w:ind w:left="1440" w:right="200" w:hanging="1440"/>
    </w:pPr>
  </w:style>
  <w:style w:type="paragraph" w:customStyle="1" w:styleId="TableCellText12pt">
    <w:name w:val="Table Cell Text 12pt"/>
    <w:basedOn w:val="DocumentText"/>
    <w:pPr>
      <w:keepNext/>
      <w:spacing w:before="40" w:after="40" w:line="240" w:lineRule="auto"/>
    </w:pPr>
  </w:style>
  <w:style w:type="paragraph" w:customStyle="1" w:styleId="TableCellText10pt">
    <w:name w:val="Table Cell Text 10pt"/>
    <w:basedOn w:val="TableCellText12pt"/>
    <w:rPr>
      <w:sz w:val="20"/>
    </w:rPr>
  </w:style>
  <w:style w:type="paragraph" w:customStyle="1" w:styleId="TableCellText09pt">
    <w:name w:val="Table Cell Text 09pt"/>
    <w:basedOn w:val="TableCellText10pt"/>
    <w:rPr>
      <w:sz w:val="18"/>
    </w:rPr>
  </w:style>
  <w:style w:type="paragraph" w:styleId="Title">
    <w:name w:val="Title"/>
    <w:basedOn w:val="DocumentText"/>
    <w:next w:val="DocumentText"/>
    <w:qFormat/>
    <w:pPr>
      <w:keepNext/>
      <w:keepLines/>
      <w:spacing w:after="0"/>
      <w:jc w:val="center"/>
    </w:pPr>
    <w:rPr>
      <w:rFonts w:cs="Arial"/>
      <w:b/>
      <w:bCs/>
      <w:kern w:val="28"/>
      <w:sz w:val="28"/>
      <w:szCs w:val="28"/>
    </w:rPr>
  </w:style>
  <w:style w:type="paragraph" w:customStyle="1" w:styleId="TOCTitle">
    <w:name w:val="TOC Title"/>
    <w:basedOn w:val="Title"/>
    <w:next w:val="DocumentText"/>
    <w:pPr>
      <w:outlineLvl w:val="0"/>
    </w:pPr>
  </w:style>
  <w:style w:type="character" w:customStyle="1" w:styleId="HeaderChar">
    <w:name w:val="Header Char"/>
    <w:link w:val="Header"/>
    <w:rPr>
      <w:rFonts w:eastAsia="Times New Roman"/>
      <w:kern w:val="18"/>
      <w:szCs w:val="24"/>
    </w:rPr>
  </w:style>
  <w:style w:type="character" w:customStyle="1" w:styleId="FooterChar">
    <w:name w:val="Footer Char"/>
    <w:link w:val="Footer"/>
    <w:rPr>
      <w:rFonts w:eastAsia="Times New Roman"/>
      <w:kern w:val="18"/>
      <w:szCs w:val="24"/>
    </w:rPr>
  </w:style>
  <w:style w:type="paragraph" w:styleId="BodyText">
    <w:name w:val="Body Text"/>
    <w:basedOn w:val="Normal"/>
    <w:link w:val="BodyTextChar"/>
    <w:pPr>
      <w:spacing w:after="120"/>
    </w:pPr>
  </w:style>
  <w:style w:type="character" w:customStyle="1" w:styleId="BodyTextChar">
    <w:name w:val="Body Text Char"/>
    <w:link w:val="BodyText"/>
    <w:rPr>
      <w:rFonts w:eastAsia="Times New Roman"/>
      <w:kern w:val="24"/>
      <w:sz w:val="24"/>
      <w:szCs w:val="24"/>
    </w:rPr>
  </w:style>
  <w:style w:type="character" w:styleId="CommentReference">
    <w:name w:val="annotation reference"/>
    <w:uiPriority w:val="99"/>
    <w:unhideWhenUsed/>
    <w:rsid w:val="00E84267"/>
    <w:rPr>
      <w:sz w:val="16"/>
      <w:szCs w:val="16"/>
    </w:rPr>
  </w:style>
  <w:style w:type="paragraph" w:styleId="CommentText">
    <w:name w:val="annotation text"/>
    <w:basedOn w:val="Normal"/>
    <w:link w:val="CommentTextChar"/>
    <w:uiPriority w:val="99"/>
    <w:unhideWhenUsed/>
    <w:rsid w:val="00E84267"/>
    <w:pPr>
      <w:spacing w:after="200" w:line="240" w:lineRule="auto"/>
    </w:pPr>
    <w:rPr>
      <w:rFonts w:ascii="Cambria" w:eastAsia="Calibri" w:hAnsi="Cambria"/>
      <w:kern w:val="0"/>
      <w:sz w:val="20"/>
      <w:szCs w:val="20"/>
      <w:lang w:val="en-AU"/>
    </w:rPr>
  </w:style>
  <w:style w:type="character" w:customStyle="1" w:styleId="CommentTextChar">
    <w:name w:val="Comment Text Char"/>
    <w:link w:val="CommentText"/>
    <w:uiPriority w:val="99"/>
    <w:rsid w:val="00E84267"/>
    <w:rPr>
      <w:rFonts w:ascii="Cambria" w:eastAsia="Calibri" w:hAnsi="Cambria"/>
      <w:lang w:eastAsia="en-US"/>
    </w:rPr>
  </w:style>
  <w:style w:type="character" w:customStyle="1" w:styleId="DocumentTextChar">
    <w:name w:val="Document Text Char"/>
    <w:link w:val="DocumentText"/>
    <w:rsid w:val="00E84267"/>
    <w:rPr>
      <w:rFonts w:eastAsia="Times New Roman"/>
      <w:kern w:val="24"/>
      <w:sz w:val="24"/>
      <w:szCs w:val="24"/>
      <w:lang w:val="en-US" w:eastAsia="en-US"/>
    </w:rPr>
  </w:style>
  <w:style w:type="character" w:customStyle="1" w:styleId="Heading1Char">
    <w:name w:val="Heading 1 Char"/>
    <w:link w:val="Heading1"/>
    <w:uiPriority w:val="9"/>
    <w:rsid w:val="00D93415"/>
    <w:rPr>
      <w:rFonts w:eastAsia="Times New Roman"/>
      <w:b/>
      <w:kern w:val="28"/>
      <w:sz w:val="28"/>
      <w:szCs w:val="28"/>
      <w:lang w:val="en-US" w:eastAsia="en-US"/>
    </w:rPr>
  </w:style>
  <w:style w:type="character" w:customStyle="1" w:styleId="Heading2Char">
    <w:name w:val="Heading 2 Char"/>
    <w:link w:val="Heading2"/>
    <w:uiPriority w:val="9"/>
    <w:rsid w:val="00D93415"/>
    <w:rPr>
      <w:rFonts w:eastAsia="Times New Roman"/>
      <w:b/>
      <w:kern w:val="28"/>
      <w:sz w:val="24"/>
      <w:szCs w:val="28"/>
      <w:lang w:val="en-US" w:eastAsia="en-US"/>
    </w:rPr>
  </w:style>
  <w:style w:type="character" w:customStyle="1" w:styleId="Heading3Char">
    <w:name w:val="Heading 3 Char"/>
    <w:link w:val="Heading3"/>
    <w:uiPriority w:val="9"/>
    <w:rsid w:val="00653AEF"/>
    <w:rPr>
      <w:rFonts w:eastAsia="Times New Roman"/>
      <w:b/>
      <w:kern w:val="28"/>
      <w:sz w:val="24"/>
      <w:szCs w:val="28"/>
      <w:u w:val="single"/>
      <w:lang w:val="en-US" w:eastAsia="en-US"/>
    </w:rPr>
  </w:style>
  <w:style w:type="table" w:customStyle="1" w:styleId="TableGrid1">
    <w:name w:val="Table Grid1"/>
    <w:basedOn w:val="TableNormal"/>
    <w:next w:val="TableGrid"/>
    <w:rsid w:val="00633500"/>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5F08B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rmalWeb">
    <w:name w:val="Normal (Web)"/>
    <w:basedOn w:val="Normal"/>
    <w:uiPriority w:val="99"/>
    <w:unhideWhenUsed/>
    <w:rsid w:val="00D03AA9"/>
    <w:pPr>
      <w:spacing w:before="100" w:beforeAutospacing="1" w:after="100" w:afterAutospacing="1" w:line="240" w:lineRule="auto"/>
    </w:pPr>
    <w:rPr>
      <w:kern w:val="0"/>
      <w:lang w:val="en-AU" w:eastAsia="en-AU"/>
    </w:rPr>
  </w:style>
  <w:style w:type="paragraph" w:styleId="CommentSubject">
    <w:name w:val="annotation subject"/>
    <w:basedOn w:val="CommentText"/>
    <w:next w:val="CommentText"/>
    <w:link w:val="CommentSubjectChar"/>
    <w:rsid w:val="00A22F0D"/>
    <w:pPr>
      <w:spacing w:after="240" w:line="300" w:lineRule="auto"/>
    </w:pPr>
    <w:rPr>
      <w:rFonts w:ascii="Times New Roman" w:eastAsia="Times New Roman" w:hAnsi="Times New Roman"/>
      <w:b/>
      <w:bCs/>
      <w:kern w:val="24"/>
      <w:lang w:val="en-US"/>
    </w:rPr>
  </w:style>
  <w:style w:type="character" w:customStyle="1" w:styleId="CommentSubjectChar">
    <w:name w:val="Comment Subject Char"/>
    <w:link w:val="CommentSubject"/>
    <w:rsid w:val="00A22F0D"/>
    <w:rPr>
      <w:rFonts w:ascii="Cambria" w:eastAsia="Times New Roman" w:hAnsi="Cambria"/>
      <w:b/>
      <w:bCs/>
      <w:kern w:val="24"/>
      <w:lang w:val="en-US" w:eastAsia="en-US"/>
    </w:rPr>
  </w:style>
  <w:style w:type="paragraph" w:customStyle="1" w:styleId="Default">
    <w:name w:val="Default"/>
    <w:rsid w:val="005277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39870">
      <w:bodyDiv w:val="1"/>
      <w:marLeft w:val="0"/>
      <w:marRight w:val="0"/>
      <w:marTop w:val="0"/>
      <w:marBottom w:val="0"/>
      <w:divBdr>
        <w:top w:val="none" w:sz="0" w:space="0" w:color="auto"/>
        <w:left w:val="none" w:sz="0" w:space="0" w:color="auto"/>
        <w:bottom w:val="none" w:sz="0" w:space="0" w:color="auto"/>
        <w:right w:val="none" w:sz="0" w:space="0" w:color="auto"/>
      </w:divBdr>
    </w:div>
    <w:div w:id="891575215">
      <w:bodyDiv w:val="1"/>
      <w:marLeft w:val="0"/>
      <w:marRight w:val="0"/>
      <w:marTop w:val="0"/>
      <w:marBottom w:val="0"/>
      <w:divBdr>
        <w:top w:val="none" w:sz="0" w:space="0" w:color="auto"/>
        <w:left w:val="none" w:sz="0" w:space="0" w:color="auto"/>
        <w:bottom w:val="none" w:sz="0" w:space="0" w:color="auto"/>
        <w:right w:val="none" w:sz="0" w:space="0" w:color="auto"/>
      </w:divBdr>
    </w:div>
    <w:div w:id="931932813">
      <w:bodyDiv w:val="1"/>
      <w:marLeft w:val="0"/>
      <w:marRight w:val="0"/>
      <w:marTop w:val="0"/>
      <w:marBottom w:val="0"/>
      <w:divBdr>
        <w:top w:val="none" w:sz="0" w:space="0" w:color="auto"/>
        <w:left w:val="none" w:sz="0" w:space="0" w:color="auto"/>
        <w:bottom w:val="none" w:sz="0" w:space="0" w:color="auto"/>
        <w:right w:val="none" w:sz="0" w:space="0" w:color="auto"/>
      </w:divBdr>
    </w:div>
    <w:div w:id="1088771951">
      <w:bodyDiv w:val="1"/>
      <w:marLeft w:val="0"/>
      <w:marRight w:val="0"/>
      <w:marTop w:val="0"/>
      <w:marBottom w:val="0"/>
      <w:divBdr>
        <w:top w:val="none" w:sz="0" w:space="0" w:color="auto"/>
        <w:left w:val="none" w:sz="0" w:space="0" w:color="auto"/>
        <w:bottom w:val="none" w:sz="0" w:space="0" w:color="auto"/>
        <w:right w:val="none" w:sz="0" w:space="0" w:color="auto"/>
      </w:divBdr>
    </w:div>
    <w:div w:id="1553880941">
      <w:bodyDiv w:val="1"/>
      <w:marLeft w:val="0"/>
      <w:marRight w:val="0"/>
      <w:marTop w:val="0"/>
      <w:marBottom w:val="0"/>
      <w:divBdr>
        <w:top w:val="none" w:sz="0" w:space="0" w:color="auto"/>
        <w:left w:val="none" w:sz="0" w:space="0" w:color="auto"/>
        <w:bottom w:val="none" w:sz="0" w:space="0" w:color="auto"/>
        <w:right w:val="none" w:sz="0" w:space="0" w:color="auto"/>
      </w:divBdr>
    </w:div>
    <w:div w:id="186135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u000277\AppData\Local\Microsoft\Windows\INetCache\Content.Outlook\XVU34WNG\www.tga.gov.au\reporting-proble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5DA635E6EEB4E8E3C411230454D0F" ma:contentTypeVersion="0" ma:contentTypeDescription="Create a new document." ma:contentTypeScope="" ma:versionID="1f7680e3785ea9888cc3d139d768ec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272B-283C-4A12-B4AC-64ABD857A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5E723C-C320-4CAD-9FB4-D572F57C6619}">
  <ds:schemaRefs>
    <ds:schemaRef ds:uri="http://schemas.microsoft.com/sharepoint/v3/contenttype/forms"/>
  </ds:schemaRefs>
</ds:datastoreItem>
</file>

<file path=customXml/itemProps3.xml><?xml version="1.0" encoding="utf-8"?>
<ds:datastoreItem xmlns:ds="http://schemas.openxmlformats.org/officeDocument/2006/customXml" ds:itemID="{790D2081-932B-436B-80B5-862A53F883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D995F0B-3D8B-44DE-B160-5CCE3167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3569</Words>
  <Characters>20062</Characters>
  <Application>Microsoft Office Word</Application>
  <DocSecurity>0</DocSecurity>
  <Lines>527</Lines>
  <Paragraphs>342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Attachment: Product Information for Ciclosporin</vt:lpstr>
      <vt:lpstr/>
    </vt:vector>
  </TitlesOfParts>
  <Company>Seqirus Pty Ltd</Company>
  <LinksUpToDate>false</LinksUpToDate>
  <CharactersWithSpaces>23289</CharactersWithSpaces>
  <SharedDoc>false</SharedDoc>
  <HLinks>
    <vt:vector size="18" baseType="variant">
      <vt:variant>
        <vt:i4>5898317</vt:i4>
      </vt:variant>
      <vt:variant>
        <vt:i4>33</vt:i4>
      </vt:variant>
      <vt:variant>
        <vt:i4>0</vt:i4>
      </vt:variant>
      <vt:variant>
        <vt:i4>5</vt:i4>
      </vt:variant>
      <vt:variant>
        <vt:lpwstr>http://www.tga.gov.au/reporting-problems</vt:lpwstr>
      </vt:variant>
      <vt:variant>
        <vt:lpwstr/>
      </vt:variant>
      <vt:variant>
        <vt:i4>3276810</vt:i4>
      </vt:variant>
      <vt:variant>
        <vt:i4>3</vt:i4>
      </vt:variant>
      <vt:variant>
        <vt:i4>0</vt:i4>
      </vt:variant>
      <vt:variant>
        <vt:i4>5</vt:i4>
      </vt:variant>
      <vt:variant>
        <vt:lpwstr>C:\Users\su000277\AppData\Local\Microsoft\Windows\INetCache\Content.Outlook\XVU34WNG\www.tga.gov.au\reporting-problems</vt:lpwstr>
      </vt:variant>
      <vt:variant>
        <vt:lpwstr/>
      </vt:variant>
      <vt:variant>
        <vt:i4>4194312</vt:i4>
      </vt:variant>
      <vt:variant>
        <vt:i4>0</vt:i4>
      </vt:variant>
      <vt:variant>
        <vt:i4>0</vt:i4>
      </vt:variant>
      <vt:variant>
        <vt:i4>5</vt:i4>
      </vt:variant>
      <vt:variant>
        <vt:lpwstr>https://www.tga.gov.au/product-information-pi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Ciclosporin</dc:title>
  <dc:subject>prescription medicines</dc:subject>
  <dc:creator>Seqirus</dc:creator>
  <cp:keywords/>
  <cp:lastPrinted>2019-03-17T23:04:00Z</cp:lastPrinted>
  <dcterms:created xsi:type="dcterms:W3CDTF">2021-04-19T05:15:00Z</dcterms:created>
  <dcterms:modified xsi:type="dcterms:W3CDTF">2021-04-19T05:15:00Z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0x010100D0C5DA635E6EEB4E8E3C411230454D0F</vt:lpwstr>
  </property>
</Properties>
</file>