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9863"/>
        <w:tblOverlap w:val="never"/>
        <w:tblW w:w="3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tblGrid>
      <w:tr w:rsidR="008E7846" w:rsidRPr="00487162" w14:paraId="5DB944DF" w14:textId="77777777" w:rsidTr="00BF1190">
        <w:trPr>
          <w:trHeight w:val="1863"/>
        </w:trPr>
        <w:tc>
          <w:tcPr>
            <w:tcW w:w="3652" w:type="dxa"/>
            <w:tcBorders>
              <w:top w:val="nil"/>
              <w:left w:val="nil"/>
              <w:bottom w:val="nil"/>
              <w:right w:val="nil"/>
            </w:tcBorders>
          </w:tcPr>
          <w:p w14:paraId="29A94498" w14:textId="77777777" w:rsidR="008E7846" w:rsidRPr="00096AA7" w:rsidRDefault="008C57B9" w:rsidP="00096AA7">
            <w:pPr>
              <w:rPr>
                <w:rFonts w:ascii="Arial" w:hAnsi="Arial" w:cs="Arial"/>
                <w:b/>
                <w:color w:val="002C47"/>
                <w:sz w:val="36"/>
                <w:szCs w:val="36"/>
              </w:rPr>
            </w:pPr>
            <w:bookmarkStart w:id="0" w:name="_GoBack"/>
            <w:bookmarkEnd w:id="0"/>
            <w:r>
              <w:rPr>
                <w:rFonts w:ascii="Arial" w:hAnsi="Arial" w:cs="Arial"/>
                <w:b/>
                <w:color w:val="002C47"/>
                <w:sz w:val="36"/>
                <w:szCs w:val="36"/>
              </w:rPr>
              <w:t>April 2020</w:t>
            </w:r>
          </w:p>
        </w:tc>
      </w:tr>
    </w:tbl>
    <w:tbl>
      <w:tblPr>
        <w:tblpPr w:leftFromText="180" w:rightFromText="180" w:vertAnchor="page" w:tblpY="3316"/>
        <w:tblW w:w="9079" w:type="dxa"/>
        <w:tblLayout w:type="fixed"/>
        <w:tblLook w:val="04A0" w:firstRow="1" w:lastRow="0" w:firstColumn="1" w:lastColumn="0" w:noHBand="0" w:noVBand="1"/>
      </w:tblPr>
      <w:tblGrid>
        <w:gridCol w:w="9079"/>
      </w:tblGrid>
      <w:tr w:rsidR="0032583B" w:rsidRPr="00A964D1" w14:paraId="75EC1044" w14:textId="77777777" w:rsidTr="0032583B">
        <w:trPr>
          <w:trHeight w:val="868"/>
        </w:trPr>
        <w:tc>
          <w:tcPr>
            <w:tcW w:w="9079" w:type="dxa"/>
          </w:tcPr>
          <w:p w14:paraId="27940E0F" w14:textId="77777777" w:rsidR="0032583B" w:rsidRPr="00A964D1" w:rsidRDefault="0032583B" w:rsidP="008C57B9">
            <w:pPr>
              <w:pStyle w:val="Title"/>
              <w:rPr>
                <w:color w:val="FFFFFF" w:themeColor="background1"/>
              </w:rPr>
            </w:pPr>
            <w:r w:rsidRPr="00A964D1">
              <w:rPr>
                <w:color w:val="FFFFFF" w:themeColor="background1"/>
              </w:rPr>
              <w:t xml:space="preserve">Australian Public Assessment Report for </w:t>
            </w:r>
            <w:r w:rsidR="008C57B9">
              <w:rPr>
                <w:color w:val="FFFFFF" w:themeColor="background1"/>
              </w:rPr>
              <w:t>Ciclosporin</w:t>
            </w:r>
          </w:p>
        </w:tc>
      </w:tr>
      <w:tr w:rsidR="0032583B" w:rsidRPr="00B64760" w14:paraId="2F86113E" w14:textId="77777777" w:rsidTr="0032583B">
        <w:tc>
          <w:tcPr>
            <w:tcW w:w="9079" w:type="dxa"/>
          </w:tcPr>
          <w:p w14:paraId="7C38F118" w14:textId="77777777" w:rsidR="0032583B" w:rsidRPr="008E7846" w:rsidRDefault="0032583B" w:rsidP="008C57B9">
            <w:pPr>
              <w:pStyle w:val="Subtitle"/>
              <w:rPr>
                <w:color w:val="FFFFFF" w:themeColor="background1"/>
              </w:rPr>
            </w:pPr>
            <w:r w:rsidRPr="008E7846">
              <w:rPr>
                <w:color w:val="FFFFFF" w:themeColor="background1"/>
              </w:rPr>
              <w:t xml:space="preserve">Proprietary Product Name: </w:t>
            </w:r>
            <w:r w:rsidR="008C57B9">
              <w:rPr>
                <w:color w:val="FFFFFF" w:themeColor="background1"/>
              </w:rPr>
              <w:t>Cequa</w:t>
            </w:r>
          </w:p>
        </w:tc>
      </w:tr>
      <w:tr w:rsidR="0032583B" w:rsidRPr="00B64760" w14:paraId="33544538" w14:textId="77777777" w:rsidTr="0032583B">
        <w:trPr>
          <w:trHeight w:val="486"/>
        </w:trPr>
        <w:tc>
          <w:tcPr>
            <w:tcW w:w="9079" w:type="dxa"/>
          </w:tcPr>
          <w:p w14:paraId="4550442D" w14:textId="77777777" w:rsidR="0032583B" w:rsidRPr="008E7846" w:rsidRDefault="0032583B" w:rsidP="0032583B">
            <w:pPr>
              <w:pStyle w:val="Subtitle"/>
              <w:rPr>
                <w:color w:val="FFFFFF" w:themeColor="background1"/>
              </w:rPr>
            </w:pPr>
            <w:r w:rsidRPr="008E7846">
              <w:rPr>
                <w:color w:val="FFFFFF" w:themeColor="background1"/>
              </w:rPr>
              <w:t xml:space="preserve">Sponsor: </w:t>
            </w:r>
            <w:r w:rsidR="008C57B9" w:rsidRPr="008C57B9">
              <w:rPr>
                <w:color w:val="FFFFFF" w:themeColor="background1"/>
              </w:rPr>
              <w:t>Sun Pharma ANZ Pty Ltd</w:t>
            </w:r>
          </w:p>
        </w:tc>
      </w:tr>
    </w:tbl>
    <w:p w14:paraId="42F04B23" w14:textId="77777777" w:rsidR="008E7846" w:rsidRPr="0085156D" w:rsidRDefault="008E7846" w:rsidP="0085156D">
      <w:r w:rsidRPr="0085156D">
        <w:br w:type="page"/>
      </w:r>
    </w:p>
    <w:p w14:paraId="177F56BC" w14:textId="77777777" w:rsidR="008E7846" w:rsidRPr="001F6CBA" w:rsidRDefault="008E7846" w:rsidP="008E7846">
      <w:pPr>
        <w:pStyle w:val="NonTOCHeading2"/>
      </w:pPr>
      <w:r w:rsidRPr="001F6CBA">
        <w:lastRenderedPageBreak/>
        <w:t>About the Therapeutic Goods Administration (TGA)</w:t>
      </w:r>
    </w:p>
    <w:p w14:paraId="0B2F15AF" w14:textId="77777777" w:rsidR="008E7846" w:rsidRDefault="008E7846" w:rsidP="008E7846">
      <w:pPr>
        <w:pStyle w:val="ListBullet"/>
        <w:numPr>
          <w:ilvl w:val="0"/>
          <w:numId w:val="3"/>
        </w:numPr>
        <w:ind w:left="357" w:hanging="357"/>
      </w:pPr>
      <w:r>
        <w:t xml:space="preserve">The Therapeutic Goods Administration (TGA) is </w:t>
      </w:r>
      <w:r w:rsidR="00E624A5">
        <w:t xml:space="preserve">part </w:t>
      </w:r>
      <w:r>
        <w:t>of the Australian Government Department of Health and is responsible for regulating medicines and medical devices.</w:t>
      </w:r>
    </w:p>
    <w:p w14:paraId="285F9492" w14:textId="77777777" w:rsidR="008E7846" w:rsidRDefault="00C80137" w:rsidP="008E7846">
      <w:pPr>
        <w:pStyle w:val="ListBullet"/>
        <w:numPr>
          <w:ilvl w:val="0"/>
          <w:numId w:val="3"/>
        </w:numPr>
        <w:ind w:left="357" w:hanging="357"/>
      </w:pPr>
      <w:r>
        <w:t xml:space="preserve">The </w:t>
      </w:r>
      <w:r w:rsidR="008E7846">
        <w:t xml:space="preserve">TGA administers the </w:t>
      </w:r>
      <w:r w:rsidR="008E7846" w:rsidRPr="00F640B6">
        <w:rPr>
          <w:i/>
        </w:rPr>
        <w:t>Therapeutic Goods Act 1989</w:t>
      </w:r>
      <w:r w:rsidR="00785717">
        <w:rPr>
          <w:i/>
        </w:rPr>
        <w:t xml:space="preserve"> </w:t>
      </w:r>
      <w:r w:rsidR="00785717" w:rsidRPr="00785717">
        <w:t>(the Act)</w:t>
      </w:r>
      <w:r w:rsidR="008E7846" w:rsidRPr="00785717">
        <w:t>,</w:t>
      </w:r>
      <w:r w:rsidR="008E7846">
        <w:t xml:space="preserve"> applying a risk management approach designed to ensure therapeutic goods supplied in Australia meet acceptable standards of quality, safety and efficacy (performance) when necessary.</w:t>
      </w:r>
    </w:p>
    <w:p w14:paraId="75D36F24" w14:textId="77777777" w:rsidR="008E7846" w:rsidRDefault="008E7846" w:rsidP="008E7846">
      <w:pPr>
        <w:pStyle w:val="ListBullet"/>
        <w:numPr>
          <w:ilvl w:val="0"/>
          <w:numId w:val="3"/>
        </w:numPr>
        <w:ind w:left="357" w:hanging="357"/>
      </w:pPr>
      <w:r>
        <w:t>The work of the TGA is based on applying scientific and clinical expertise to decision-making, to ensure that the benefits to consumers outweigh any risks associated with the use of medicines and medical devices.</w:t>
      </w:r>
    </w:p>
    <w:p w14:paraId="4B5BAA91" w14:textId="77777777" w:rsidR="008E7846" w:rsidRDefault="008E7846" w:rsidP="008E7846">
      <w:pPr>
        <w:pStyle w:val="ListBullet"/>
        <w:numPr>
          <w:ilvl w:val="0"/>
          <w:numId w:val="3"/>
        </w:numPr>
        <w:ind w:left="357" w:hanging="357"/>
      </w:pPr>
      <w:r>
        <w:t>The TGA relies on the public, healthcare professionals and industry to report problems with medicines or medical devices. TGA investigates reports received by it to determine any necessary regulatory action.</w:t>
      </w:r>
    </w:p>
    <w:p w14:paraId="16AB6B7F" w14:textId="77777777" w:rsidR="00441C3F" w:rsidRDefault="008E7846" w:rsidP="00441C3F">
      <w:pPr>
        <w:pStyle w:val="ListBullet"/>
        <w:numPr>
          <w:ilvl w:val="0"/>
          <w:numId w:val="3"/>
        </w:numPr>
        <w:ind w:left="357" w:hanging="357"/>
      </w:pPr>
      <w:r>
        <w:t xml:space="preserve">To report a problem with a medicine or medical device, please see the information on </w:t>
      </w:r>
      <w:r w:rsidR="00441C3F">
        <w:t>the TGA website &lt;</w:t>
      </w:r>
      <w:hyperlink r:id="rId11" w:history="1">
        <w:r w:rsidR="00441C3F">
          <w:rPr>
            <w:rStyle w:val="Hyperlink"/>
          </w:rPr>
          <w:t>https://www.tga.gov.au</w:t>
        </w:r>
      </w:hyperlink>
      <w:r w:rsidR="00441C3F">
        <w:t>&gt;.</w:t>
      </w:r>
    </w:p>
    <w:p w14:paraId="4947B36A" w14:textId="77777777" w:rsidR="008E7846" w:rsidRDefault="008E7846" w:rsidP="00875A6B">
      <w:pPr>
        <w:pStyle w:val="NonTOCHeading2"/>
      </w:pPr>
      <w:r>
        <w:t>About AusPARs</w:t>
      </w:r>
    </w:p>
    <w:p w14:paraId="5EBABFE6" w14:textId="77777777" w:rsidR="008E7846" w:rsidRDefault="008E7846" w:rsidP="008E7846">
      <w:pPr>
        <w:pStyle w:val="ListBullet"/>
        <w:numPr>
          <w:ilvl w:val="0"/>
          <w:numId w:val="3"/>
        </w:numPr>
        <w:ind w:left="357" w:hanging="357"/>
      </w:pPr>
      <w:r>
        <w:t>An Australian Public Assessment Re</w:t>
      </w:r>
      <w:r w:rsidR="00133A1B">
        <w:t>port</w:t>
      </w:r>
      <w:r>
        <w:t xml:space="preserve"> (AusPAR) provides information about the evaluation of a prescription medicine and the considerations that led the TGA to approve or not approve a pr</w:t>
      </w:r>
      <w:r w:rsidR="00441C3F">
        <w:t>escription medicine submission.</w:t>
      </w:r>
    </w:p>
    <w:p w14:paraId="3D60C4F4" w14:textId="77777777" w:rsidR="008E7846" w:rsidRDefault="008E7846" w:rsidP="008E7846">
      <w:pPr>
        <w:pStyle w:val="ListBullet"/>
        <w:numPr>
          <w:ilvl w:val="0"/>
          <w:numId w:val="3"/>
        </w:numPr>
        <w:ind w:left="357" w:hanging="357"/>
      </w:pPr>
      <w:r>
        <w:t>AusPARs are prepared and published by the TGA.</w:t>
      </w:r>
    </w:p>
    <w:p w14:paraId="44709BC8" w14:textId="77777777" w:rsidR="008E7846" w:rsidRDefault="008E7846" w:rsidP="008E7846">
      <w:pPr>
        <w:pStyle w:val="ListBullet"/>
        <w:numPr>
          <w:ilvl w:val="0"/>
          <w:numId w:val="3"/>
        </w:numPr>
        <w:ind w:left="357" w:hanging="357"/>
      </w:pPr>
      <w:r>
        <w:t>An AusPAR is prepared for submissions that relate to new chemical entities, generic medicines, major variations and extensions of indications.</w:t>
      </w:r>
    </w:p>
    <w:p w14:paraId="2F152B03" w14:textId="77777777" w:rsidR="008E7846" w:rsidRDefault="008E7846" w:rsidP="008E7846">
      <w:pPr>
        <w:pStyle w:val="ListBullet"/>
        <w:numPr>
          <w:ilvl w:val="0"/>
          <w:numId w:val="3"/>
        </w:numPr>
        <w:ind w:left="357" w:hanging="357"/>
      </w:pPr>
      <w:r>
        <w:t>An AusPAR is a static document</w:t>
      </w:r>
      <w:r w:rsidR="00133A1B">
        <w:t>;</w:t>
      </w:r>
      <w:r>
        <w:t xml:space="preserve"> it provide</w:t>
      </w:r>
      <w:r w:rsidR="00133A1B">
        <w:t>s</w:t>
      </w:r>
      <w:r>
        <w:t xml:space="preserve"> information that relates to a submission at a particular point in time.</w:t>
      </w:r>
    </w:p>
    <w:p w14:paraId="5A1FE662" w14:textId="77777777" w:rsidR="00B452CE" w:rsidRDefault="008E7846" w:rsidP="00FF5755">
      <w:pPr>
        <w:pStyle w:val="ListBullet"/>
        <w:numPr>
          <w:ilvl w:val="0"/>
          <w:numId w:val="3"/>
        </w:numPr>
        <w:ind w:left="357" w:hanging="357"/>
      </w:pPr>
      <w:r>
        <w:t>A new AusPAR will be developed to reflect changes to indications and/or major variations to a prescription medicine subject to evaluation by the TGA.</w:t>
      </w:r>
    </w:p>
    <w:p w14:paraId="14D624B5" w14:textId="77777777" w:rsidR="00924482" w:rsidRPr="00DF1D7F" w:rsidRDefault="00924482" w:rsidP="00F54B65">
      <w:pPr>
        <w:pStyle w:val="LegalSubheading"/>
        <w:spacing w:before="3120"/>
      </w:pPr>
      <w:r w:rsidRPr="00DF1D7F">
        <w:t>Copyright</w:t>
      </w:r>
    </w:p>
    <w:p w14:paraId="764AE4D4" w14:textId="77777777" w:rsidR="00924482" w:rsidRDefault="00924482" w:rsidP="00924482">
      <w:pPr>
        <w:pStyle w:val="LegalCopy"/>
      </w:pPr>
      <w:r w:rsidRPr="00191B3B">
        <w:rPr>
          <w:rFonts w:cs="Arial"/>
          <w:lang w:val="en-GB"/>
        </w:rPr>
        <w:t>© Comm</w:t>
      </w:r>
      <w:r w:rsidR="00713696">
        <w:rPr>
          <w:rFonts w:cs="Arial"/>
          <w:lang w:val="en-GB"/>
        </w:rPr>
        <w:t>onwealth of Australia 2020</w:t>
      </w:r>
      <w:r w:rsidRPr="00191B3B">
        <w:rPr>
          <w:rFonts w:cs="Arial"/>
          <w:lang w:val="en-GB"/>
        </w:rPr>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191B3B">
        <w:rPr>
          <w:rFonts w:cs="Arial"/>
          <w:i/>
          <w:lang w:val="en-GB"/>
        </w:rPr>
        <w:t>Copyright Act 1968</w:t>
      </w:r>
      <w:r w:rsidRPr="00191B3B">
        <w:rPr>
          <w:rFonts w:cs="Arial"/>
          <w:lang w:val="en-GB"/>
        </w:rPr>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&lt;</w:t>
      </w:r>
      <w:hyperlink r:id="rId12" w:history="1">
        <w:r w:rsidRPr="00191B3B">
          <w:rPr>
            <w:rStyle w:val="Hyperlink"/>
            <w:rFonts w:cs="Arial"/>
            <w:lang w:val="en-GB"/>
          </w:rPr>
          <w:t>tga.copyright@tga.gov.au</w:t>
        </w:r>
      </w:hyperlink>
      <w:r w:rsidRPr="00191B3B">
        <w:rPr>
          <w:rFonts w:cs="Arial"/>
        </w:rPr>
        <w:t>&gt;.</w:t>
      </w:r>
    </w:p>
    <w:p w14:paraId="3239983F" w14:textId="77777777" w:rsidR="00924482" w:rsidRDefault="00924482" w:rsidP="00924482">
      <w:pPr>
        <w:pStyle w:val="LegalCopy"/>
        <w:sectPr w:rsidR="00924482" w:rsidSect="003D1E62">
          <w:headerReference w:type="even" r:id="rId13"/>
          <w:headerReference w:type="default" r:id="rId14"/>
          <w:footerReference w:type="even" r:id="rId15"/>
          <w:footerReference w:type="default" r:id="rId16"/>
          <w:headerReference w:type="first" r:id="rId17"/>
          <w:footerReference w:type="first" r:id="rId18"/>
          <w:pgSz w:w="11906" w:h="16838" w:code="9"/>
          <w:pgMar w:top="426" w:right="1701" w:bottom="0" w:left="1701" w:header="907" w:footer="142" w:gutter="0"/>
          <w:pgNumType w:fmt="lowerRoman" w:start="1"/>
          <w:cols w:space="708"/>
          <w:titlePg/>
          <w:docGrid w:linePitch="360"/>
        </w:sectPr>
      </w:pPr>
    </w:p>
    <w:bookmarkStart w:id="1" w:name="_Toc247691501" w:displacedByCustomXml="next"/>
    <w:bookmarkStart w:id="2" w:name="_Toc196046425" w:displacedByCustomXml="next"/>
    <w:sdt>
      <w:sdtPr>
        <w:rPr>
          <w:rFonts w:ascii="Cambria" w:hAnsi="Cambria"/>
          <w:b w:val="0"/>
          <w:bCs/>
          <w:sz w:val="22"/>
        </w:rPr>
        <w:id w:val="5618007"/>
        <w:docPartObj>
          <w:docPartGallery w:val="Table of Contents"/>
          <w:docPartUnique/>
        </w:docPartObj>
      </w:sdtPr>
      <w:sdtEndPr>
        <w:rPr>
          <w:b/>
          <w:bCs w:val="0"/>
          <w:sz w:val="25"/>
        </w:rPr>
      </w:sdtEndPr>
      <w:sdtContent>
        <w:p w14:paraId="66926CD8" w14:textId="34B66D6A" w:rsidR="0089635C" w:rsidRPr="0089635C" w:rsidRDefault="0089635C" w:rsidP="0010788A">
          <w:pPr>
            <w:pStyle w:val="Contents"/>
          </w:pPr>
          <w:r w:rsidRPr="0010788A">
            <w:t>Contents</w:t>
          </w:r>
        </w:p>
        <w:p w14:paraId="7B681CAD" w14:textId="0D49C0A0" w:rsidR="004F11E0" w:rsidRDefault="00960520">
          <w:pPr>
            <w:pStyle w:val="TOC2"/>
            <w:rPr>
              <w:rFonts w:asciiTheme="minorHAnsi" w:eastAsiaTheme="minorEastAsia" w:hAnsiTheme="minorHAnsi" w:cstheme="minorBidi"/>
              <w:b w:val="0"/>
              <w:noProof/>
              <w:sz w:val="22"/>
              <w:lang w:eastAsia="en-AU"/>
            </w:rPr>
          </w:pPr>
          <w:r>
            <w:fldChar w:fldCharType="begin"/>
          </w:r>
          <w:r>
            <w:instrText xml:space="preserve"> TOC \o "3-3" \h \z \t "Heading 1,1,Heading 2,2" </w:instrText>
          </w:r>
          <w:r>
            <w:fldChar w:fldCharType="separate"/>
          </w:r>
          <w:hyperlink w:anchor="_Toc40254837" w:history="1">
            <w:r w:rsidR="004F11E0" w:rsidRPr="00CF5975">
              <w:rPr>
                <w:rStyle w:val="Hyperlink"/>
                <w:noProof/>
              </w:rPr>
              <w:t>Common abbreviations</w:t>
            </w:r>
            <w:r w:rsidR="004F11E0">
              <w:rPr>
                <w:noProof/>
                <w:webHidden/>
              </w:rPr>
              <w:tab/>
            </w:r>
            <w:r w:rsidR="004F11E0">
              <w:rPr>
                <w:noProof/>
                <w:webHidden/>
              </w:rPr>
              <w:fldChar w:fldCharType="begin"/>
            </w:r>
            <w:r w:rsidR="004F11E0">
              <w:rPr>
                <w:noProof/>
                <w:webHidden/>
              </w:rPr>
              <w:instrText xml:space="preserve"> PAGEREF _Toc40254837 \h </w:instrText>
            </w:r>
            <w:r w:rsidR="004F11E0">
              <w:rPr>
                <w:noProof/>
                <w:webHidden/>
              </w:rPr>
            </w:r>
            <w:r w:rsidR="004F11E0">
              <w:rPr>
                <w:noProof/>
                <w:webHidden/>
              </w:rPr>
              <w:fldChar w:fldCharType="separate"/>
            </w:r>
            <w:r w:rsidR="004F11E0">
              <w:rPr>
                <w:noProof/>
                <w:webHidden/>
              </w:rPr>
              <w:t>4</w:t>
            </w:r>
            <w:r w:rsidR="004F11E0">
              <w:rPr>
                <w:noProof/>
                <w:webHidden/>
              </w:rPr>
              <w:fldChar w:fldCharType="end"/>
            </w:r>
          </w:hyperlink>
        </w:p>
        <w:p w14:paraId="64211946" w14:textId="64D4DC16" w:rsidR="004F11E0" w:rsidRDefault="003E27B3">
          <w:pPr>
            <w:pStyle w:val="TOC2"/>
            <w:rPr>
              <w:rFonts w:asciiTheme="minorHAnsi" w:eastAsiaTheme="minorEastAsia" w:hAnsiTheme="minorHAnsi" w:cstheme="minorBidi"/>
              <w:b w:val="0"/>
              <w:noProof/>
              <w:sz w:val="22"/>
              <w:lang w:eastAsia="en-AU"/>
            </w:rPr>
          </w:pPr>
          <w:hyperlink w:anchor="_Toc40254838" w:history="1">
            <w:r w:rsidR="004F11E0" w:rsidRPr="00CF5975">
              <w:rPr>
                <w:rStyle w:val="Hyperlink"/>
                <w:noProof/>
              </w:rPr>
              <w:t>I. Introduction to product submission</w:t>
            </w:r>
            <w:r w:rsidR="004F11E0">
              <w:rPr>
                <w:noProof/>
                <w:webHidden/>
              </w:rPr>
              <w:tab/>
            </w:r>
            <w:r w:rsidR="004F11E0">
              <w:rPr>
                <w:noProof/>
                <w:webHidden/>
              </w:rPr>
              <w:fldChar w:fldCharType="begin"/>
            </w:r>
            <w:r w:rsidR="004F11E0">
              <w:rPr>
                <w:noProof/>
                <w:webHidden/>
              </w:rPr>
              <w:instrText xml:space="preserve"> PAGEREF _Toc40254838 \h </w:instrText>
            </w:r>
            <w:r w:rsidR="004F11E0">
              <w:rPr>
                <w:noProof/>
                <w:webHidden/>
              </w:rPr>
            </w:r>
            <w:r w:rsidR="004F11E0">
              <w:rPr>
                <w:noProof/>
                <w:webHidden/>
              </w:rPr>
              <w:fldChar w:fldCharType="separate"/>
            </w:r>
            <w:r w:rsidR="004F11E0">
              <w:rPr>
                <w:noProof/>
                <w:webHidden/>
              </w:rPr>
              <w:t>6</w:t>
            </w:r>
            <w:r w:rsidR="004F11E0">
              <w:rPr>
                <w:noProof/>
                <w:webHidden/>
              </w:rPr>
              <w:fldChar w:fldCharType="end"/>
            </w:r>
          </w:hyperlink>
        </w:p>
        <w:p w14:paraId="64D37928" w14:textId="2D97FE89" w:rsidR="004F11E0" w:rsidRDefault="003E27B3">
          <w:pPr>
            <w:pStyle w:val="TOC3"/>
            <w:rPr>
              <w:rFonts w:asciiTheme="minorHAnsi" w:eastAsiaTheme="minorEastAsia" w:hAnsiTheme="minorHAnsi" w:cstheme="minorBidi"/>
              <w:noProof/>
              <w:lang w:eastAsia="en-AU"/>
            </w:rPr>
          </w:pPr>
          <w:hyperlink w:anchor="_Toc40254839" w:history="1">
            <w:r w:rsidR="004F11E0" w:rsidRPr="00CF5975">
              <w:rPr>
                <w:rStyle w:val="Hyperlink"/>
                <w:noProof/>
                <w:lang w:eastAsia="en-AU"/>
              </w:rPr>
              <w:t>Submission details</w:t>
            </w:r>
            <w:r w:rsidR="004F11E0">
              <w:rPr>
                <w:noProof/>
                <w:webHidden/>
              </w:rPr>
              <w:tab/>
            </w:r>
            <w:r w:rsidR="004F11E0">
              <w:rPr>
                <w:noProof/>
                <w:webHidden/>
              </w:rPr>
              <w:fldChar w:fldCharType="begin"/>
            </w:r>
            <w:r w:rsidR="004F11E0">
              <w:rPr>
                <w:noProof/>
                <w:webHidden/>
              </w:rPr>
              <w:instrText xml:space="preserve"> PAGEREF _Toc40254839 \h </w:instrText>
            </w:r>
            <w:r w:rsidR="004F11E0">
              <w:rPr>
                <w:noProof/>
                <w:webHidden/>
              </w:rPr>
            </w:r>
            <w:r w:rsidR="004F11E0">
              <w:rPr>
                <w:noProof/>
                <w:webHidden/>
              </w:rPr>
              <w:fldChar w:fldCharType="separate"/>
            </w:r>
            <w:r w:rsidR="004F11E0">
              <w:rPr>
                <w:noProof/>
                <w:webHidden/>
              </w:rPr>
              <w:t>6</w:t>
            </w:r>
            <w:r w:rsidR="004F11E0">
              <w:rPr>
                <w:noProof/>
                <w:webHidden/>
              </w:rPr>
              <w:fldChar w:fldCharType="end"/>
            </w:r>
          </w:hyperlink>
        </w:p>
        <w:p w14:paraId="1FDBCE7F" w14:textId="580D25F0" w:rsidR="004F11E0" w:rsidRDefault="003E27B3">
          <w:pPr>
            <w:pStyle w:val="TOC3"/>
            <w:rPr>
              <w:rFonts w:asciiTheme="minorHAnsi" w:eastAsiaTheme="minorEastAsia" w:hAnsiTheme="minorHAnsi" w:cstheme="minorBidi"/>
              <w:noProof/>
              <w:lang w:eastAsia="en-AU"/>
            </w:rPr>
          </w:pPr>
          <w:hyperlink w:anchor="_Toc40254840" w:history="1">
            <w:r w:rsidR="004F11E0" w:rsidRPr="00CF5975">
              <w:rPr>
                <w:rStyle w:val="Hyperlink"/>
                <w:noProof/>
              </w:rPr>
              <w:t>Product background</w:t>
            </w:r>
            <w:r w:rsidR="004F11E0">
              <w:rPr>
                <w:noProof/>
                <w:webHidden/>
              </w:rPr>
              <w:tab/>
            </w:r>
            <w:r w:rsidR="004F11E0">
              <w:rPr>
                <w:noProof/>
                <w:webHidden/>
              </w:rPr>
              <w:fldChar w:fldCharType="begin"/>
            </w:r>
            <w:r w:rsidR="004F11E0">
              <w:rPr>
                <w:noProof/>
                <w:webHidden/>
              </w:rPr>
              <w:instrText xml:space="preserve"> PAGEREF _Toc40254840 \h </w:instrText>
            </w:r>
            <w:r w:rsidR="004F11E0">
              <w:rPr>
                <w:noProof/>
                <w:webHidden/>
              </w:rPr>
            </w:r>
            <w:r w:rsidR="004F11E0">
              <w:rPr>
                <w:noProof/>
                <w:webHidden/>
              </w:rPr>
              <w:fldChar w:fldCharType="separate"/>
            </w:r>
            <w:r w:rsidR="004F11E0">
              <w:rPr>
                <w:noProof/>
                <w:webHidden/>
              </w:rPr>
              <w:t>7</w:t>
            </w:r>
            <w:r w:rsidR="004F11E0">
              <w:rPr>
                <w:noProof/>
                <w:webHidden/>
              </w:rPr>
              <w:fldChar w:fldCharType="end"/>
            </w:r>
          </w:hyperlink>
        </w:p>
        <w:p w14:paraId="4E8DA53E" w14:textId="1384C3D9" w:rsidR="004F11E0" w:rsidRDefault="003E27B3">
          <w:pPr>
            <w:pStyle w:val="TOC3"/>
            <w:rPr>
              <w:rFonts w:asciiTheme="minorHAnsi" w:eastAsiaTheme="minorEastAsia" w:hAnsiTheme="minorHAnsi" w:cstheme="minorBidi"/>
              <w:noProof/>
              <w:lang w:eastAsia="en-AU"/>
            </w:rPr>
          </w:pPr>
          <w:hyperlink w:anchor="_Toc40254841" w:history="1">
            <w:r w:rsidR="004F11E0" w:rsidRPr="00CF5975">
              <w:rPr>
                <w:rStyle w:val="Hyperlink"/>
                <w:noProof/>
              </w:rPr>
              <w:t>Regulatory status</w:t>
            </w:r>
            <w:r w:rsidR="004F11E0">
              <w:rPr>
                <w:noProof/>
                <w:webHidden/>
              </w:rPr>
              <w:tab/>
            </w:r>
            <w:r w:rsidR="004F11E0">
              <w:rPr>
                <w:noProof/>
                <w:webHidden/>
              </w:rPr>
              <w:fldChar w:fldCharType="begin"/>
            </w:r>
            <w:r w:rsidR="004F11E0">
              <w:rPr>
                <w:noProof/>
                <w:webHidden/>
              </w:rPr>
              <w:instrText xml:space="preserve"> PAGEREF _Toc40254841 \h </w:instrText>
            </w:r>
            <w:r w:rsidR="004F11E0">
              <w:rPr>
                <w:noProof/>
                <w:webHidden/>
              </w:rPr>
            </w:r>
            <w:r w:rsidR="004F11E0">
              <w:rPr>
                <w:noProof/>
                <w:webHidden/>
              </w:rPr>
              <w:fldChar w:fldCharType="separate"/>
            </w:r>
            <w:r w:rsidR="004F11E0">
              <w:rPr>
                <w:noProof/>
                <w:webHidden/>
              </w:rPr>
              <w:t>8</w:t>
            </w:r>
            <w:r w:rsidR="004F11E0">
              <w:rPr>
                <w:noProof/>
                <w:webHidden/>
              </w:rPr>
              <w:fldChar w:fldCharType="end"/>
            </w:r>
          </w:hyperlink>
        </w:p>
        <w:p w14:paraId="2B0923D3" w14:textId="618B099A" w:rsidR="004F11E0" w:rsidRDefault="003E27B3">
          <w:pPr>
            <w:pStyle w:val="TOC3"/>
            <w:rPr>
              <w:rFonts w:asciiTheme="minorHAnsi" w:eastAsiaTheme="minorEastAsia" w:hAnsiTheme="minorHAnsi" w:cstheme="minorBidi"/>
              <w:noProof/>
              <w:lang w:eastAsia="en-AU"/>
            </w:rPr>
          </w:pPr>
          <w:hyperlink w:anchor="_Toc40254842" w:history="1">
            <w:r w:rsidR="004F11E0" w:rsidRPr="00CF5975">
              <w:rPr>
                <w:rStyle w:val="Hyperlink"/>
                <w:noProof/>
              </w:rPr>
              <w:t>Product Information</w:t>
            </w:r>
            <w:r w:rsidR="004F11E0">
              <w:rPr>
                <w:noProof/>
                <w:webHidden/>
              </w:rPr>
              <w:tab/>
            </w:r>
            <w:r w:rsidR="004F11E0">
              <w:rPr>
                <w:noProof/>
                <w:webHidden/>
              </w:rPr>
              <w:fldChar w:fldCharType="begin"/>
            </w:r>
            <w:r w:rsidR="004F11E0">
              <w:rPr>
                <w:noProof/>
                <w:webHidden/>
              </w:rPr>
              <w:instrText xml:space="preserve"> PAGEREF _Toc40254842 \h </w:instrText>
            </w:r>
            <w:r w:rsidR="004F11E0">
              <w:rPr>
                <w:noProof/>
                <w:webHidden/>
              </w:rPr>
            </w:r>
            <w:r w:rsidR="004F11E0">
              <w:rPr>
                <w:noProof/>
                <w:webHidden/>
              </w:rPr>
              <w:fldChar w:fldCharType="separate"/>
            </w:r>
            <w:r w:rsidR="004F11E0">
              <w:rPr>
                <w:noProof/>
                <w:webHidden/>
              </w:rPr>
              <w:t>8</w:t>
            </w:r>
            <w:r w:rsidR="004F11E0">
              <w:rPr>
                <w:noProof/>
                <w:webHidden/>
              </w:rPr>
              <w:fldChar w:fldCharType="end"/>
            </w:r>
          </w:hyperlink>
        </w:p>
        <w:p w14:paraId="18B02980" w14:textId="660F4ECA" w:rsidR="004F11E0" w:rsidRDefault="003E27B3">
          <w:pPr>
            <w:pStyle w:val="TOC2"/>
            <w:rPr>
              <w:rFonts w:asciiTheme="minorHAnsi" w:eastAsiaTheme="minorEastAsia" w:hAnsiTheme="minorHAnsi" w:cstheme="minorBidi"/>
              <w:b w:val="0"/>
              <w:noProof/>
              <w:sz w:val="22"/>
              <w:lang w:eastAsia="en-AU"/>
            </w:rPr>
          </w:pPr>
          <w:hyperlink w:anchor="_Toc40254843" w:history="1">
            <w:r w:rsidR="004F11E0" w:rsidRPr="00CF5975">
              <w:rPr>
                <w:rStyle w:val="Hyperlink"/>
                <w:noProof/>
              </w:rPr>
              <w:t>II. Registration timeline</w:t>
            </w:r>
            <w:r w:rsidR="004F11E0">
              <w:rPr>
                <w:noProof/>
                <w:webHidden/>
              </w:rPr>
              <w:tab/>
            </w:r>
            <w:r w:rsidR="004F11E0">
              <w:rPr>
                <w:noProof/>
                <w:webHidden/>
              </w:rPr>
              <w:fldChar w:fldCharType="begin"/>
            </w:r>
            <w:r w:rsidR="004F11E0">
              <w:rPr>
                <w:noProof/>
                <w:webHidden/>
              </w:rPr>
              <w:instrText xml:space="preserve"> PAGEREF _Toc40254843 \h </w:instrText>
            </w:r>
            <w:r w:rsidR="004F11E0">
              <w:rPr>
                <w:noProof/>
                <w:webHidden/>
              </w:rPr>
            </w:r>
            <w:r w:rsidR="004F11E0">
              <w:rPr>
                <w:noProof/>
                <w:webHidden/>
              </w:rPr>
              <w:fldChar w:fldCharType="separate"/>
            </w:r>
            <w:r w:rsidR="004F11E0">
              <w:rPr>
                <w:noProof/>
                <w:webHidden/>
              </w:rPr>
              <w:t>8</w:t>
            </w:r>
            <w:r w:rsidR="004F11E0">
              <w:rPr>
                <w:noProof/>
                <w:webHidden/>
              </w:rPr>
              <w:fldChar w:fldCharType="end"/>
            </w:r>
          </w:hyperlink>
        </w:p>
        <w:p w14:paraId="3934D0CB" w14:textId="1932FAA6" w:rsidR="004F11E0" w:rsidRDefault="003E27B3">
          <w:pPr>
            <w:pStyle w:val="TOC2"/>
            <w:rPr>
              <w:rFonts w:asciiTheme="minorHAnsi" w:eastAsiaTheme="minorEastAsia" w:hAnsiTheme="minorHAnsi" w:cstheme="minorBidi"/>
              <w:b w:val="0"/>
              <w:noProof/>
              <w:sz w:val="22"/>
              <w:lang w:eastAsia="en-AU"/>
            </w:rPr>
          </w:pPr>
          <w:hyperlink w:anchor="_Toc40254844" w:history="1">
            <w:r w:rsidR="004F11E0" w:rsidRPr="00CF5975">
              <w:rPr>
                <w:rStyle w:val="Hyperlink"/>
                <w:noProof/>
              </w:rPr>
              <w:t>III. Submission overview and risk/benefit assessment</w:t>
            </w:r>
            <w:r w:rsidR="004F11E0">
              <w:rPr>
                <w:noProof/>
                <w:webHidden/>
              </w:rPr>
              <w:tab/>
            </w:r>
            <w:r w:rsidR="004F11E0">
              <w:rPr>
                <w:noProof/>
                <w:webHidden/>
              </w:rPr>
              <w:fldChar w:fldCharType="begin"/>
            </w:r>
            <w:r w:rsidR="004F11E0">
              <w:rPr>
                <w:noProof/>
                <w:webHidden/>
              </w:rPr>
              <w:instrText xml:space="preserve"> PAGEREF _Toc40254844 \h </w:instrText>
            </w:r>
            <w:r w:rsidR="004F11E0">
              <w:rPr>
                <w:noProof/>
                <w:webHidden/>
              </w:rPr>
            </w:r>
            <w:r w:rsidR="004F11E0">
              <w:rPr>
                <w:noProof/>
                <w:webHidden/>
              </w:rPr>
              <w:fldChar w:fldCharType="separate"/>
            </w:r>
            <w:r w:rsidR="004F11E0">
              <w:rPr>
                <w:noProof/>
                <w:webHidden/>
              </w:rPr>
              <w:t>9</w:t>
            </w:r>
            <w:r w:rsidR="004F11E0">
              <w:rPr>
                <w:noProof/>
                <w:webHidden/>
              </w:rPr>
              <w:fldChar w:fldCharType="end"/>
            </w:r>
          </w:hyperlink>
        </w:p>
        <w:p w14:paraId="3A3AC58D" w14:textId="6488595D" w:rsidR="004F11E0" w:rsidRDefault="003E27B3">
          <w:pPr>
            <w:pStyle w:val="TOC3"/>
            <w:rPr>
              <w:rFonts w:asciiTheme="minorHAnsi" w:eastAsiaTheme="minorEastAsia" w:hAnsiTheme="minorHAnsi" w:cstheme="minorBidi"/>
              <w:noProof/>
              <w:lang w:eastAsia="en-AU"/>
            </w:rPr>
          </w:pPr>
          <w:hyperlink w:anchor="_Toc40254845" w:history="1">
            <w:r w:rsidR="004F11E0" w:rsidRPr="00CF5975">
              <w:rPr>
                <w:rStyle w:val="Hyperlink"/>
                <w:noProof/>
              </w:rPr>
              <w:t>Quality</w:t>
            </w:r>
            <w:r w:rsidR="004F11E0">
              <w:rPr>
                <w:noProof/>
                <w:webHidden/>
              </w:rPr>
              <w:tab/>
            </w:r>
            <w:r w:rsidR="004F11E0">
              <w:rPr>
                <w:noProof/>
                <w:webHidden/>
              </w:rPr>
              <w:fldChar w:fldCharType="begin"/>
            </w:r>
            <w:r w:rsidR="004F11E0">
              <w:rPr>
                <w:noProof/>
                <w:webHidden/>
              </w:rPr>
              <w:instrText xml:space="preserve"> PAGEREF _Toc40254845 \h </w:instrText>
            </w:r>
            <w:r w:rsidR="004F11E0">
              <w:rPr>
                <w:noProof/>
                <w:webHidden/>
              </w:rPr>
            </w:r>
            <w:r w:rsidR="004F11E0">
              <w:rPr>
                <w:noProof/>
                <w:webHidden/>
              </w:rPr>
              <w:fldChar w:fldCharType="separate"/>
            </w:r>
            <w:r w:rsidR="004F11E0">
              <w:rPr>
                <w:noProof/>
                <w:webHidden/>
              </w:rPr>
              <w:t>9</w:t>
            </w:r>
            <w:r w:rsidR="004F11E0">
              <w:rPr>
                <w:noProof/>
                <w:webHidden/>
              </w:rPr>
              <w:fldChar w:fldCharType="end"/>
            </w:r>
          </w:hyperlink>
        </w:p>
        <w:p w14:paraId="7BB988D6" w14:textId="5AA2E5C0" w:rsidR="004F11E0" w:rsidRDefault="003E27B3">
          <w:pPr>
            <w:pStyle w:val="TOC3"/>
            <w:rPr>
              <w:rFonts w:asciiTheme="minorHAnsi" w:eastAsiaTheme="minorEastAsia" w:hAnsiTheme="minorHAnsi" w:cstheme="minorBidi"/>
              <w:noProof/>
              <w:lang w:eastAsia="en-AU"/>
            </w:rPr>
          </w:pPr>
          <w:hyperlink w:anchor="_Toc40254846" w:history="1">
            <w:r w:rsidR="004F11E0" w:rsidRPr="00CF5975">
              <w:rPr>
                <w:rStyle w:val="Hyperlink"/>
                <w:noProof/>
              </w:rPr>
              <w:t>Nonclinical</w:t>
            </w:r>
            <w:r w:rsidR="004F11E0">
              <w:rPr>
                <w:noProof/>
                <w:webHidden/>
              </w:rPr>
              <w:tab/>
            </w:r>
            <w:r w:rsidR="004F11E0">
              <w:rPr>
                <w:noProof/>
                <w:webHidden/>
              </w:rPr>
              <w:fldChar w:fldCharType="begin"/>
            </w:r>
            <w:r w:rsidR="004F11E0">
              <w:rPr>
                <w:noProof/>
                <w:webHidden/>
              </w:rPr>
              <w:instrText xml:space="preserve"> PAGEREF _Toc40254846 \h </w:instrText>
            </w:r>
            <w:r w:rsidR="004F11E0">
              <w:rPr>
                <w:noProof/>
                <w:webHidden/>
              </w:rPr>
            </w:r>
            <w:r w:rsidR="004F11E0">
              <w:rPr>
                <w:noProof/>
                <w:webHidden/>
              </w:rPr>
              <w:fldChar w:fldCharType="separate"/>
            </w:r>
            <w:r w:rsidR="004F11E0">
              <w:rPr>
                <w:noProof/>
                <w:webHidden/>
              </w:rPr>
              <w:t>10</w:t>
            </w:r>
            <w:r w:rsidR="004F11E0">
              <w:rPr>
                <w:noProof/>
                <w:webHidden/>
              </w:rPr>
              <w:fldChar w:fldCharType="end"/>
            </w:r>
          </w:hyperlink>
        </w:p>
        <w:p w14:paraId="17C3790C" w14:textId="46191FA2" w:rsidR="004F11E0" w:rsidRDefault="003E27B3">
          <w:pPr>
            <w:pStyle w:val="TOC3"/>
            <w:rPr>
              <w:rFonts w:asciiTheme="minorHAnsi" w:eastAsiaTheme="minorEastAsia" w:hAnsiTheme="minorHAnsi" w:cstheme="minorBidi"/>
              <w:noProof/>
              <w:lang w:eastAsia="en-AU"/>
            </w:rPr>
          </w:pPr>
          <w:hyperlink w:anchor="_Toc40254847" w:history="1">
            <w:r w:rsidR="004F11E0" w:rsidRPr="00CF5975">
              <w:rPr>
                <w:rStyle w:val="Hyperlink"/>
                <w:noProof/>
              </w:rPr>
              <w:t>Clinical</w:t>
            </w:r>
            <w:r w:rsidR="004F11E0">
              <w:rPr>
                <w:noProof/>
                <w:webHidden/>
              </w:rPr>
              <w:tab/>
            </w:r>
            <w:r w:rsidR="004F11E0">
              <w:rPr>
                <w:noProof/>
                <w:webHidden/>
              </w:rPr>
              <w:fldChar w:fldCharType="begin"/>
            </w:r>
            <w:r w:rsidR="004F11E0">
              <w:rPr>
                <w:noProof/>
                <w:webHidden/>
              </w:rPr>
              <w:instrText xml:space="preserve"> PAGEREF _Toc40254847 \h </w:instrText>
            </w:r>
            <w:r w:rsidR="004F11E0">
              <w:rPr>
                <w:noProof/>
                <w:webHidden/>
              </w:rPr>
            </w:r>
            <w:r w:rsidR="004F11E0">
              <w:rPr>
                <w:noProof/>
                <w:webHidden/>
              </w:rPr>
              <w:fldChar w:fldCharType="separate"/>
            </w:r>
            <w:r w:rsidR="004F11E0">
              <w:rPr>
                <w:noProof/>
                <w:webHidden/>
              </w:rPr>
              <w:t>10</w:t>
            </w:r>
            <w:r w:rsidR="004F11E0">
              <w:rPr>
                <w:noProof/>
                <w:webHidden/>
              </w:rPr>
              <w:fldChar w:fldCharType="end"/>
            </w:r>
          </w:hyperlink>
        </w:p>
        <w:p w14:paraId="41078C37" w14:textId="3741CC8A" w:rsidR="004F11E0" w:rsidRDefault="003E27B3">
          <w:pPr>
            <w:pStyle w:val="TOC3"/>
            <w:rPr>
              <w:rFonts w:asciiTheme="minorHAnsi" w:eastAsiaTheme="minorEastAsia" w:hAnsiTheme="minorHAnsi" w:cstheme="minorBidi"/>
              <w:noProof/>
              <w:lang w:eastAsia="en-AU"/>
            </w:rPr>
          </w:pPr>
          <w:hyperlink w:anchor="_Toc40254848" w:history="1">
            <w:r w:rsidR="004F11E0" w:rsidRPr="00CF5975">
              <w:rPr>
                <w:rStyle w:val="Hyperlink"/>
                <w:noProof/>
                <w:lang w:eastAsia="en-AU"/>
              </w:rPr>
              <w:t>Risk management plan</w:t>
            </w:r>
            <w:r w:rsidR="004F11E0">
              <w:rPr>
                <w:noProof/>
                <w:webHidden/>
              </w:rPr>
              <w:tab/>
            </w:r>
            <w:r w:rsidR="004F11E0">
              <w:rPr>
                <w:noProof/>
                <w:webHidden/>
              </w:rPr>
              <w:fldChar w:fldCharType="begin"/>
            </w:r>
            <w:r w:rsidR="004F11E0">
              <w:rPr>
                <w:noProof/>
                <w:webHidden/>
              </w:rPr>
              <w:instrText xml:space="preserve"> PAGEREF _Toc40254848 \h </w:instrText>
            </w:r>
            <w:r w:rsidR="004F11E0">
              <w:rPr>
                <w:noProof/>
                <w:webHidden/>
              </w:rPr>
            </w:r>
            <w:r w:rsidR="004F11E0">
              <w:rPr>
                <w:noProof/>
                <w:webHidden/>
              </w:rPr>
              <w:fldChar w:fldCharType="separate"/>
            </w:r>
            <w:r w:rsidR="004F11E0">
              <w:rPr>
                <w:noProof/>
                <w:webHidden/>
              </w:rPr>
              <w:t>17</w:t>
            </w:r>
            <w:r w:rsidR="004F11E0">
              <w:rPr>
                <w:noProof/>
                <w:webHidden/>
              </w:rPr>
              <w:fldChar w:fldCharType="end"/>
            </w:r>
          </w:hyperlink>
        </w:p>
        <w:p w14:paraId="599ADF10" w14:textId="66EFC95E" w:rsidR="004F11E0" w:rsidRDefault="003E27B3">
          <w:pPr>
            <w:pStyle w:val="TOC3"/>
            <w:rPr>
              <w:rFonts w:asciiTheme="minorHAnsi" w:eastAsiaTheme="minorEastAsia" w:hAnsiTheme="minorHAnsi" w:cstheme="minorBidi"/>
              <w:noProof/>
              <w:lang w:eastAsia="en-AU"/>
            </w:rPr>
          </w:pPr>
          <w:hyperlink w:anchor="_Toc40254849" w:history="1">
            <w:r w:rsidR="004F11E0" w:rsidRPr="00CF5975">
              <w:rPr>
                <w:rStyle w:val="Hyperlink"/>
                <w:noProof/>
              </w:rPr>
              <w:t>Risk-benefit analysis</w:t>
            </w:r>
            <w:r w:rsidR="004F11E0">
              <w:rPr>
                <w:noProof/>
                <w:webHidden/>
              </w:rPr>
              <w:tab/>
            </w:r>
            <w:r w:rsidR="004F11E0">
              <w:rPr>
                <w:noProof/>
                <w:webHidden/>
              </w:rPr>
              <w:fldChar w:fldCharType="begin"/>
            </w:r>
            <w:r w:rsidR="004F11E0">
              <w:rPr>
                <w:noProof/>
                <w:webHidden/>
              </w:rPr>
              <w:instrText xml:space="preserve"> PAGEREF _Toc40254849 \h </w:instrText>
            </w:r>
            <w:r w:rsidR="004F11E0">
              <w:rPr>
                <w:noProof/>
                <w:webHidden/>
              </w:rPr>
            </w:r>
            <w:r w:rsidR="004F11E0">
              <w:rPr>
                <w:noProof/>
                <w:webHidden/>
              </w:rPr>
              <w:fldChar w:fldCharType="separate"/>
            </w:r>
            <w:r w:rsidR="004F11E0">
              <w:rPr>
                <w:noProof/>
                <w:webHidden/>
              </w:rPr>
              <w:t>18</w:t>
            </w:r>
            <w:r w:rsidR="004F11E0">
              <w:rPr>
                <w:noProof/>
                <w:webHidden/>
              </w:rPr>
              <w:fldChar w:fldCharType="end"/>
            </w:r>
          </w:hyperlink>
        </w:p>
        <w:p w14:paraId="256C54C9" w14:textId="53DE193F" w:rsidR="004F11E0" w:rsidRDefault="003E27B3">
          <w:pPr>
            <w:pStyle w:val="TOC3"/>
            <w:rPr>
              <w:rFonts w:asciiTheme="minorHAnsi" w:eastAsiaTheme="minorEastAsia" w:hAnsiTheme="minorHAnsi" w:cstheme="minorBidi"/>
              <w:noProof/>
              <w:lang w:eastAsia="en-AU"/>
            </w:rPr>
          </w:pPr>
          <w:hyperlink w:anchor="_Toc40254850" w:history="1">
            <w:r w:rsidR="004F11E0" w:rsidRPr="00CF5975">
              <w:rPr>
                <w:rStyle w:val="Hyperlink"/>
                <w:noProof/>
              </w:rPr>
              <w:t>Outcome</w:t>
            </w:r>
            <w:r w:rsidR="004F11E0">
              <w:rPr>
                <w:noProof/>
                <w:webHidden/>
              </w:rPr>
              <w:tab/>
            </w:r>
            <w:r w:rsidR="004F11E0">
              <w:rPr>
                <w:noProof/>
                <w:webHidden/>
              </w:rPr>
              <w:fldChar w:fldCharType="begin"/>
            </w:r>
            <w:r w:rsidR="004F11E0">
              <w:rPr>
                <w:noProof/>
                <w:webHidden/>
              </w:rPr>
              <w:instrText xml:space="preserve"> PAGEREF _Toc40254850 \h </w:instrText>
            </w:r>
            <w:r w:rsidR="004F11E0">
              <w:rPr>
                <w:noProof/>
                <w:webHidden/>
              </w:rPr>
            </w:r>
            <w:r w:rsidR="004F11E0">
              <w:rPr>
                <w:noProof/>
                <w:webHidden/>
              </w:rPr>
              <w:fldChar w:fldCharType="separate"/>
            </w:r>
            <w:r w:rsidR="004F11E0">
              <w:rPr>
                <w:noProof/>
                <w:webHidden/>
              </w:rPr>
              <w:t>20</w:t>
            </w:r>
            <w:r w:rsidR="004F11E0">
              <w:rPr>
                <w:noProof/>
                <w:webHidden/>
              </w:rPr>
              <w:fldChar w:fldCharType="end"/>
            </w:r>
          </w:hyperlink>
        </w:p>
        <w:p w14:paraId="47FD730B" w14:textId="2D34A10C" w:rsidR="004F11E0" w:rsidRDefault="003E27B3">
          <w:pPr>
            <w:pStyle w:val="TOC2"/>
            <w:rPr>
              <w:rFonts w:asciiTheme="minorHAnsi" w:eastAsiaTheme="minorEastAsia" w:hAnsiTheme="minorHAnsi" w:cstheme="minorBidi"/>
              <w:b w:val="0"/>
              <w:noProof/>
              <w:sz w:val="22"/>
              <w:lang w:eastAsia="en-AU"/>
            </w:rPr>
          </w:pPr>
          <w:hyperlink w:anchor="_Toc40254851" w:history="1">
            <w:r w:rsidR="004F11E0" w:rsidRPr="00CF5975">
              <w:rPr>
                <w:rStyle w:val="Hyperlink"/>
                <w:noProof/>
              </w:rPr>
              <w:t>Attachment 1. Product Information</w:t>
            </w:r>
            <w:r w:rsidR="004F11E0">
              <w:rPr>
                <w:noProof/>
                <w:webHidden/>
              </w:rPr>
              <w:tab/>
            </w:r>
            <w:r w:rsidR="004F11E0">
              <w:rPr>
                <w:noProof/>
                <w:webHidden/>
              </w:rPr>
              <w:fldChar w:fldCharType="begin"/>
            </w:r>
            <w:r w:rsidR="004F11E0">
              <w:rPr>
                <w:noProof/>
                <w:webHidden/>
              </w:rPr>
              <w:instrText xml:space="preserve"> PAGEREF _Toc40254851 \h </w:instrText>
            </w:r>
            <w:r w:rsidR="004F11E0">
              <w:rPr>
                <w:noProof/>
                <w:webHidden/>
              </w:rPr>
            </w:r>
            <w:r w:rsidR="004F11E0">
              <w:rPr>
                <w:noProof/>
                <w:webHidden/>
              </w:rPr>
              <w:fldChar w:fldCharType="separate"/>
            </w:r>
            <w:r w:rsidR="004F11E0">
              <w:rPr>
                <w:noProof/>
                <w:webHidden/>
              </w:rPr>
              <w:t>21</w:t>
            </w:r>
            <w:r w:rsidR="004F11E0">
              <w:rPr>
                <w:noProof/>
                <w:webHidden/>
              </w:rPr>
              <w:fldChar w:fldCharType="end"/>
            </w:r>
          </w:hyperlink>
        </w:p>
        <w:p w14:paraId="211E19CB" w14:textId="565AFB50" w:rsidR="003A7F6C" w:rsidRPr="00B811C6" w:rsidRDefault="00960520" w:rsidP="00B811C6">
          <w:pPr>
            <w:pStyle w:val="TOC2"/>
          </w:pPr>
          <w:r>
            <w:fldChar w:fldCharType="end"/>
          </w:r>
        </w:p>
      </w:sdtContent>
    </w:sdt>
    <w:bookmarkStart w:id="3" w:name="_Toc314842482" w:displacedByCustomXml="prev"/>
    <w:p w14:paraId="1AD048AE" w14:textId="77777777" w:rsidR="00FD119B" w:rsidRDefault="00FD119B">
      <w:pPr>
        <w:spacing w:before="0" w:after="200" w:line="0" w:lineRule="auto"/>
      </w:pPr>
      <w:r>
        <w:br w:type="page"/>
      </w:r>
    </w:p>
    <w:p w14:paraId="4380FD13" w14:textId="77777777" w:rsidR="00C52E24" w:rsidRPr="00C52E24" w:rsidRDefault="00441C3F" w:rsidP="00E668FD">
      <w:pPr>
        <w:pStyle w:val="Heading2"/>
      </w:pPr>
      <w:bookmarkStart w:id="4" w:name="_Toc351716269"/>
      <w:bookmarkStart w:id="5" w:name="_Toc351718881"/>
      <w:bookmarkStart w:id="6" w:name="_Toc355338616"/>
      <w:bookmarkStart w:id="7" w:name="_Toc356306144"/>
      <w:bookmarkStart w:id="8" w:name="_Toc40254837"/>
      <w:r>
        <w:lastRenderedPageBreak/>
        <w:t>Common</w:t>
      </w:r>
      <w:r w:rsidR="00FD119B" w:rsidRPr="00FD119B">
        <w:t xml:space="preserve"> abbreviations</w:t>
      </w:r>
      <w:bookmarkEnd w:id="4"/>
      <w:bookmarkEnd w:id="5"/>
      <w:bookmarkEnd w:id="6"/>
      <w:bookmarkEnd w:id="7"/>
      <w:bookmarkEnd w:id="8"/>
    </w:p>
    <w:tbl>
      <w:tblPr>
        <w:tblStyle w:val="TableTGAblue"/>
        <w:tblW w:w="0" w:type="auto"/>
        <w:tblLook w:val="04A0" w:firstRow="1" w:lastRow="0" w:firstColumn="1" w:lastColumn="0" w:noHBand="0" w:noVBand="1"/>
      </w:tblPr>
      <w:tblGrid>
        <w:gridCol w:w="1809"/>
        <w:gridCol w:w="6911"/>
      </w:tblGrid>
      <w:tr w:rsidR="000F4207" w:rsidRPr="00E668FD" w14:paraId="56778BF8" w14:textId="77777777" w:rsidTr="00FD119B">
        <w:trPr>
          <w:cnfStyle w:val="100000000000" w:firstRow="1" w:lastRow="0" w:firstColumn="0" w:lastColumn="0" w:oddVBand="0" w:evenVBand="0" w:oddHBand="0" w:evenHBand="0" w:firstRowFirstColumn="0" w:firstRowLastColumn="0" w:lastRowFirstColumn="0" w:lastRowLastColumn="0"/>
        </w:trPr>
        <w:tc>
          <w:tcPr>
            <w:tcW w:w="1809" w:type="dxa"/>
          </w:tcPr>
          <w:p w14:paraId="46798EC7" w14:textId="77777777" w:rsidR="000F4207" w:rsidRPr="00E668FD" w:rsidRDefault="000F4207" w:rsidP="00E668FD">
            <w:pPr>
              <w:keepNext w:val="0"/>
              <w:ind w:left="0" w:right="0"/>
              <w:rPr>
                <w:szCs w:val="22"/>
                <w:lang w:eastAsia="en-US"/>
              </w:rPr>
            </w:pPr>
            <w:r w:rsidRPr="00E668FD">
              <w:rPr>
                <w:szCs w:val="22"/>
                <w:lang w:eastAsia="en-US"/>
              </w:rPr>
              <w:t>Abbreviation</w:t>
            </w:r>
          </w:p>
        </w:tc>
        <w:tc>
          <w:tcPr>
            <w:tcW w:w="6911" w:type="dxa"/>
          </w:tcPr>
          <w:p w14:paraId="40675012" w14:textId="77777777" w:rsidR="000F4207" w:rsidRPr="00E668FD" w:rsidRDefault="000F4207" w:rsidP="00E668FD">
            <w:pPr>
              <w:keepNext w:val="0"/>
              <w:ind w:left="0" w:right="0"/>
              <w:rPr>
                <w:szCs w:val="22"/>
                <w:lang w:eastAsia="en-US"/>
              </w:rPr>
            </w:pPr>
            <w:r w:rsidRPr="00E668FD">
              <w:rPr>
                <w:szCs w:val="22"/>
                <w:lang w:eastAsia="en-US"/>
              </w:rPr>
              <w:t>Meaning</w:t>
            </w:r>
          </w:p>
        </w:tc>
      </w:tr>
      <w:tr w:rsidR="000F4207" w:rsidRPr="00E668FD" w14:paraId="16597517" w14:textId="77777777" w:rsidTr="00FD119B">
        <w:tc>
          <w:tcPr>
            <w:tcW w:w="1809" w:type="dxa"/>
          </w:tcPr>
          <w:p w14:paraId="4341833C" w14:textId="77777777" w:rsidR="000F4207" w:rsidRPr="00E668FD" w:rsidRDefault="000F4207" w:rsidP="00E668FD">
            <w:pPr>
              <w:rPr>
                <w:bCs/>
                <w:lang w:val="en-GB"/>
              </w:rPr>
            </w:pPr>
            <w:r>
              <w:rPr>
                <w:bCs/>
                <w:lang w:val="en-GB"/>
              </w:rPr>
              <w:t>ACM</w:t>
            </w:r>
          </w:p>
        </w:tc>
        <w:tc>
          <w:tcPr>
            <w:tcW w:w="6911" w:type="dxa"/>
          </w:tcPr>
          <w:p w14:paraId="43545BFB" w14:textId="77777777" w:rsidR="000F4207" w:rsidRPr="00E668FD" w:rsidRDefault="000F4207" w:rsidP="00E668FD">
            <w:pPr>
              <w:rPr>
                <w:lang w:val="en-GB"/>
              </w:rPr>
            </w:pPr>
            <w:r>
              <w:rPr>
                <w:lang w:val="en-GB"/>
              </w:rPr>
              <w:t>Advisory Committee on Medicines</w:t>
            </w:r>
          </w:p>
        </w:tc>
      </w:tr>
      <w:tr w:rsidR="000F4207" w:rsidRPr="00E668FD" w14:paraId="0C34BBE6" w14:textId="77777777" w:rsidTr="00FD119B">
        <w:tc>
          <w:tcPr>
            <w:tcW w:w="1809" w:type="dxa"/>
          </w:tcPr>
          <w:p w14:paraId="00EDC315" w14:textId="77777777" w:rsidR="000F4207" w:rsidRPr="00E668FD" w:rsidRDefault="000F4207" w:rsidP="00E668F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bCs/>
                <w:szCs w:val="22"/>
              </w:rPr>
            </w:pPr>
            <w:r w:rsidRPr="00E668FD">
              <w:rPr>
                <w:bCs/>
                <w:szCs w:val="22"/>
              </w:rPr>
              <w:t>AE</w:t>
            </w:r>
          </w:p>
        </w:tc>
        <w:tc>
          <w:tcPr>
            <w:tcW w:w="6911" w:type="dxa"/>
          </w:tcPr>
          <w:p w14:paraId="3C61BA4C" w14:textId="77777777" w:rsidR="000F4207" w:rsidRPr="00E668FD" w:rsidRDefault="000F4207" w:rsidP="00E668F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rStyle w:val="st1"/>
                <w:rFonts w:cs="Arial"/>
                <w:sz w:val="22"/>
                <w:szCs w:val="22"/>
              </w:rPr>
            </w:pPr>
            <w:r w:rsidRPr="00E668FD">
              <w:rPr>
                <w:rStyle w:val="st1"/>
                <w:rFonts w:cs="Arial"/>
                <w:sz w:val="22"/>
                <w:szCs w:val="22"/>
              </w:rPr>
              <w:t>Adverse event</w:t>
            </w:r>
          </w:p>
        </w:tc>
      </w:tr>
      <w:tr w:rsidR="000F4207" w:rsidRPr="00E668FD" w14:paraId="4057A532" w14:textId="77777777" w:rsidTr="00FD119B">
        <w:tc>
          <w:tcPr>
            <w:tcW w:w="1809" w:type="dxa"/>
          </w:tcPr>
          <w:p w14:paraId="5E190DAA" w14:textId="77777777" w:rsidR="000F4207" w:rsidRPr="00E668FD" w:rsidRDefault="000F4207" w:rsidP="00E668F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szCs w:val="22"/>
              </w:rPr>
            </w:pPr>
            <w:r w:rsidRPr="00E668FD">
              <w:rPr>
                <w:szCs w:val="22"/>
              </w:rPr>
              <w:t>ANCOVA</w:t>
            </w:r>
          </w:p>
        </w:tc>
        <w:tc>
          <w:tcPr>
            <w:tcW w:w="6911" w:type="dxa"/>
          </w:tcPr>
          <w:p w14:paraId="022E2BEC" w14:textId="77777777" w:rsidR="000F4207" w:rsidRPr="00E668FD" w:rsidRDefault="000F4207" w:rsidP="00E668F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szCs w:val="22"/>
                <w:lang w:val="en-GB"/>
              </w:rPr>
            </w:pPr>
            <w:r>
              <w:rPr>
                <w:szCs w:val="22"/>
                <w:lang w:eastAsia="ja-JP"/>
              </w:rPr>
              <w:t>A</w:t>
            </w:r>
            <w:r w:rsidRPr="00E668FD">
              <w:rPr>
                <w:szCs w:val="22"/>
                <w:lang w:eastAsia="ja-JP"/>
              </w:rPr>
              <w:t>nalysis of co-variance</w:t>
            </w:r>
          </w:p>
        </w:tc>
      </w:tr>
      <w:tr w:rsidR="000F4207" w:rsidRPr="00E668FD" w14:paraId="7CB04737" w14:textId="77777777" w:rsidTr="00FD119B">
        <w:tc>
          <w:tcPr>
            <w:tcW w:w="1809" w:type="dxa"/>
          </w:tcPr>
          <w:p w14:paraId="7D694C4D" w14:textId="77777777" w:rsidR="000F4207" w:rsidRPr="00E668FD" w:rsidRDefault="000F4207" w:rsidP="00E668F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pPr>
            <w:r>
              <w:t>ARTG</w:t>
            </w:r>
          </w:p>
        </w:tc>
        <w:tc>
          <w:tcPr>
            <w:tcW w:w="6911" w:type="dxa"/>
          </w:tcPr>
          <w:p w14:paraId="4BA10E59" w14:textId="77777777" w:rsidR="000F4207" w:rsidRPr="00E668FD" w:rsidRDefault="000F4207" w:rsidP="00E668F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lang w:eastAsia="ja-JP"/>
              </w:rPr>
            </w:pPr>
            <w:r>
              <w:rPr>
                <w:lang w:eastAsia="ja-JP"/>
              </w:rPr>
              <w:t>Australian Register of Therapeutic Goods</w:t>
            </w:r>
          </w:p>
        </w:tc>
      </w:tr>
      <w:tr w:rsidR="000F4207" w:rsidRPr="00E668FD" w14:paraId="10E15D4D" w14:textId="77777777" w:rsidTr="00FD119B">
        <w:tc>
          <w:tcPr>
            <w:tcW w:w="1809" w:type="dxa"/>
          </w:tcPr>
          <w:p w14:paraId="11A915D9" w14:textId="77777777" w:rsidR="000F4207" w:rsidRPr="00E668FD" w:rsidRDefault="000F4207" w:rsidP="00E668F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pPr>
            <w:r w:rsidRPr="00B61E64">
              <w:t>ASA</w:t>
            </w:r>
          </w:p>
        </w:tc>
        <w:tc>
          <w:tcPr>
            <w:tcW w:w="6911" w:type="dxa"/>
          </w:tcPr>
          <w:p w14:paraId="1EB7EBE4" w14:textId="77777777" w:rsidR="000F4207" w:rsidRPr="00E668FD" w:rsidRDefault="000F4207" w:rsidP="006A65C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lang w:eastAsia="ja-JP"/>
              </w:rPr>
            </w:pPr>
            <w:r>
              <w:t>Australian specific Annex</w:t>
            </w:r>
          </w:p>
        </w:tc>
      </w:tr>
      <w:tr w:rsidR="000F4207" w:rsidRPr="00E668FD" w14:paraId="520C24B4" w14:textId="77777777" w:rsidTr="00FD119B">
        <w:tc>
          <w:tcPr>
            <w:tcW w:w="1809" w:type="dxa"/>
          </w:tcPr>
          <w:p w14:paraId="30C513C9" w14:textId="77777777" w:rsidR="000F4207" w:rsidRPr="00E668FD" w:rsidRDefault="000F4207" w:rsidP="00E668F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bCs/>
                <w:kern w:val="16"/>
                <w:szCs w:val="22"/>
                <w:lang w:val="en-GB"/>
              </w:rPr>
            </w:pPr>
            <w:r w:rsidRPr="00E668FD">
              <w:rPr>
                <w:bCs/>
                <w:szCs w:val="22"/>
                <w:lang w:val="en-GB"/>
              </w:rPr>
              <w:t>CI</w:t>
            </w:r>
          </w:p>
        </w:tc>
        <w:tc>
          <w:tcPr>
            <w:tcW w:w="6911" w:type="dxa"/>
          </w:tcPr>
          <w:p w14:paraId="1394E46F" w14:textId="77777777" w:rsidR="000F4207" w:rsidRPr="00E668FD" w:rsidRDefault="000F4207" w:rsidP="00E668F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Cs w:val="22"/>
                <w:lang w:val="en-GB"/>
              </w:rPr>
            </w:pPr>
            <w:r w:rsidRPr="00E668FD">
              <w:rPr>
                <w:szCs w:val="22"/>
                <w:lang w:val="en-GB"/>
              </w:rPr>
              <w:t>Confidence interval</w:t>
            </w:r>
          </w:p>
        </w:tc>
      </w:tr>
      <w:tr w:rsidR="000F4207" w:rsidRPr="00E668FD" w14:paraId="20C3E6D1" w14:textId="77777777" w:rsidTr="00FD119B">
        <w:tc>
          <w:tcPr>
            <w:tcW w:w="1809" w:type="dxa"/>
          </w:tcPr>
          <w:p w14:paraId="36E8F7F1" w14:textId="77777777" w:rsidR="000F4207" w:rsidRPr="00E668FD" w:rsidRDefault="000F4207" w:rsidP="00E668F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bCs/>
                <w:szCs w:val="22"/>
                <w:lang w:val="en-GB"/>
              </w:rPr>
            </w:pPr>
            <w:r w:rsidRPr="00E668FD">
              <w:rPr>
                <w:bCs/>
                <w:szCs w:val="22"/>
                <w:lang w:val="en-GB"/>
              </w:rPr>
              <w:t>CL</w:t>
            </w:r>
          </w:p>
        </w:tc>
        <w:tc>
          <w:tcPr>
            <w:tcW w:w="6911" w:type="dxa"/>
          </w:tcPr>
          <w:p w14:paraId="227C9745" w14:textId="77777777" w:rsidR="000F4207" w:rsidRPr="00E668FD" w:rsidRDefault="000F4207" w:rsidP="00E668F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szCs w:val="22"/>
                <w:lang w:val="en-GB"/>
              </w:rPr>
            </w:pPr>
            <w:r>
              <w:rPr>
                <w:szCs w:val="22"/>
                <w:lang w:val="en-GB"/>
              </w:rPr>
              <w:t>95% c</w:t>
            </w:r>
            <w:r w:rsidRPr="00E668FD">
              <w:rPr>
                <w:szCs w:val="22"/>
                <w:lang w:val="en-GB"/>
              </w:rPr>
              <w:t>onfidence limit</w:t>
            </w:r>
          </w:p>
        </w:tc>
      </w:tr>
      <w:tr w:rsidR="000F4207" w:rsidRPr="00E668FD" w14:paraId="72F7A2C2" w14:textId="77777777" w:rsidTr="00FD119B">
        <w:tc>
          <w:tcPr>
            <w:tcW w:w="1809" w:type="dxa"/>
          </w:tcPr>
          <w:p w14:paraId="167AB4F9" w14:textId="77777777" w:rsidR="000F4207" w:rsidRPr="00E668FD" w:rsidRDefault="000F4207" w:rsidP="00E668FD">
            <w:r>
              <w:t>CMI</w:t>
            </w:r>
          </w:p>
        </w:tc>
        <w:tc>
          <w:tcPr>
            <w:tcW w:w="6911" w:type="dxa"/>
          </w:tcPr>
          <w:p w14:paraId="7C7D6E26" w14:textId="77777777" w:rsidR="000F4207" w:rsidRPr="00E668FD" w:rsidRDefault="000F4207" w:rsidP="00E668FD">
            <w:r>
              <w:t>Consumer Medicines Information</w:t>
            </w:r>
          </w:p>
        </w:tc>
      </w:tr>
      <w:tr w:rsidR="000F4207" w:rsidRPr="00E668FD" w14:paraId="29566F35" w14:textId="77777777" w:rsidTr="00FD119B">
        <w:tc>
          <w:tcPr>
            <w:tcW w:w="1809" w:type="dxa"/>
          </w:tcPr>
          <w:p w14:paraId="212BEF87" w14:textId="77777777" w:rsidR="000F4207" w:rsidRPr="00E668FD" w:rsidRDefault="000F4207" w:rsidP="00E668FD">
            <w:r w:rsidRPr="00B61E64">
              <w:t>DLP</w:t>
            </w:r>
          </w:p>
        </w:tc>
        <w:tc>
          <w:tcPr>
            <w:tcW w:w="6911" w:type="dxa"/>
          </w:tcPr>
          <w:p w14:paraId="2D90DC0B" w14:textId="77777777" w:rsidR="000F4207" w:rsidRPr="00E668FD" w:rsidRDefault="000F4207" w:rsidP="006A65CA">
            <w:r>
              <w:t>Data lock point</w:t>
            </w:r>
          </w:p>
        </w:tc>
      </w:tr>
      <w:tr w:rsidR="000F4207" w:rsidRPr="00E668FD" w14:paraId="26E8A00E" w14:textId="77777777" w:rsidTr="00FD119B">
        <w:tc>
          <w:tcPr>
            <w:tcW w:w="1809" w:type="dxa"/>
          </w:tcPr>
          <w:p w14:paraId="73F51C97" w14:textId="77777777" w:rsidR="000F4207" w:rsidRPr="00E668FD" w:rsidRDefault="000F4207" w:rsidP="00E668FD">
            <w:pPr>
              <w:rPr>
                <w:bCs/>
                <w:szCs w:val="22"/>
                <w:lang w:val="en-GB"/>
              </w:rPr>
            </w:pPr>
            <w:r w:rsidRPr="00E668FD">
              <w:rPr>
                <w:bCs/>
                <w:szCs w:val="22"/>
                <w:lang w:val="en-GB"/>
              </w:rPr>
              <w:t>FDA</w:t>
            </w:r>
          </w:p>
        </w:tc>
        <w:tc>
          <w:tcPr>
            <w:tcW w:w="6911" w:type="dxa"/>
          </w:tcPr>
          <w:p w14:paraId="1D56D2FB" w14:textId="77777777" w:rsidR="000F4207" w:rsidRPr="00E668FD" w:rsidRDefault="000F4207" w:rsidP="00E668FD">
            <w:pPr>
              <w:rPr>
                <w:rFonts w:eastAsia="SimSun"/>
                <w:szCs w:val="22"/>
                <w:lang w:val="en-US" w:eastAsia="zh-CN"/>
              </w:rPr>
            </w:pPr>
            <w:r w:rsidRPr="00E668FD">
              <w:rPr>
                <w:szCs w:val="22"/>
              </w:rPr>
              <w:t>Food and Drug Administration</w:t>
            </w:r>
            <w:r>
              <w:rPr>
                <w:szCs w:val="22"/>
              </w:rPr>
              <w:t xml:space="preserve"> (United States)</w:t>
            </w:r>
          </w:p>
        </w:tc>
      </w:tr>
      <w:tr w:rsidR="006F22BD" w:rsidRPr="00E668FD" w14:paraId="48BDAAC6" w14:textId="77777777" w:rsidTr="00FD119B">
        <w:tc>
          <w:tcPr>
            <w:tcW w:w="1809" w:type="dxa"/>
          </w:tcPr>
          <w:p w14:paraId="19B6B395" w14:textId="2F4D5302" w:rsidR="006F22BD" w:rsidRPr="00E668FD" w:rsidRDefault="006F22BD" w:rsidP="00E668FD">
            <w:pPr>
              <w:rPr>
                <w:bCs/>
                <w:lang w:val="en-GB"/>
              </w:rPr>
            </w:pPr>
            <w:r>
              <w:rPr>
                <w:bCs/>
                <w:lang w:val="en-GB"/>
              </w:rPr>
              <w:t>GMP</w:t>
            </w:r>
          </w:p>
        </w:tc>
        <w:tc>
          <w:tcPr>
            <w:tcW w:w="6911" w:type="dxa"/>
          </w:tcPr>
          <w:p w14:paraId="11140983" w14:textId="44764ED7" w:rsidR="006F22BD" w:rsidRPr="00E668FD" w:rsidRDefault="006F22BD" w:rsidP="00E668FD">
            <w:r>
              <w:t>Good Manufacturing Practice</w:t>
            </w:r>
          </w:p>
        </w:tc>
      </w:tr>
      <w:tr w:rsidR="000F4207" w:rsidRPr="00E668FD" w14:paraId="244DD781" w14:textId="77777777" w:rsidTr="00FD119B">
        <w:tc>
          <w:tcPr>
            <w:tcW w:w="1809" w:type="dxa"/>
          </w:tcPr>
          <w:p w14:paraId="45510DC1" w14:textId="77777777" w:rsidR="000F4207" w:rsidRPr="00E668FD" w:rsidRDefault="000F4207" w:rsidP="00E668FD">
            <w:pPr>
              <w:rPr>
                <w:bCs/>
                <w:szCs w:val="22"/>
                <w:lang w:val="en-GB"/>
              </w:rPr>
            </w:pPr>
            <w:r w:rsidRPr="00E668FD">
              <w:rPr>
                <w:bCs/>
                <w:szCs w:val="22"/>
                <w:lang w:val="en-GB"/>
              </w:rPr>
              <w:t>ITT</w:t>
            </w:r>
          </w:p>
        </w:tc>
        <w:tc>
          <w:tcPr>
            <w:tcW w:w="6911" w:type="dxa"/>
          </w:tcPr>
          <w:p w14:paraId="518988B1" w14:textId="77777777" w:rsidR="000F4207" w:rsidRPr="00E668FD" w:rsidRDefault="000F4207" w:rsidP="00E668FD">
            <w:pPr>
              <w:rPr>
                <w:szCs w:val="22"/>
                <w:lang w:eastAsia="ja-JP"/>
              </w:rPr>
            </w:pPr>
            <w:r>
              <w:rPr>
                <w:szCs w:val="22"/>
              </w:rPr>
              <w:t xml:space="preserve">Intent to </w:t>
            </w:r>
            <w:r w:rsidRPr="00E668FD">
              <w:rPr>
                <w:szCs w:val="22"/>
              </w:rPr>
              <w:t>treat</w:t>
            </w:r>
          </w:p>
        </w:tc>
      </w:tr>
      <w:tr w:rsidR="000F4207" w:rsidRPr="00E668FD" w14:paraId="19D67DDF" w14:textId="77777777" w:rsidTr="00FD119B">
        <w:tc>
          <w:tcPr>
            <w:tcW w:w="1809" w:type="dxa"/>
          </w:tcPr>
          <w:p w14:paraId="5951243D" w14:textId="77777777" w:rsidR="000F4207" w:rsidRPr="00E668FD" w:rsidRDefault="000F4207" w:rsidP="00E668FD">
            <w:pPr>
              <w:rPr>
                <w:bCs/>
                <w:szCs w:val="22"/>
                <w:lang w:val="en-GB"/>
              </w:rPr>
            </w:pPr>
            <w:r w:rsidRPr="00E668FD">
              <w:rPr>
                <w:bCs/>
                <w:szCs w:val="22"/>
                <w:lang w:val="en-GB"/>
              </w:rPr>
              <w:t>KCS</w:t>
            </w:r>
          </w:p>
        </w:tc>
        <w:tc>
          <w:tcPr>
            <w:tcW w:w="6911" w:type="dxa"/>
          </w:tcPr>
          <w:p w14:paraId="18E810BA" w14:textId="77777777" w:rsidR="000F4207" w:rsidRPr="00E668FD" w:rsidRDefault="000F4207" w:rsidP="00E668FD">
            <w:pPr>
              <w:rPr>
                <w:bCs/>
                <w:szCs w:val="22"/>
                <w:lang w:val="en-GB"/>
              </w:rPr>
            </w:pPr>
            <w:r w:rsidRPr="00E668FD">
              <w:rPr>
                <w:szCs w:val="22"/>
                <w:lang w:eastAsia="ja-JP"/>
              </w:rPr>
              <w:t>Keratoconjunctivitis sicca</w:t>
            </w:r>
          </w:p>
        </w:tc>
      </w:tr>
      <w:tr w:rsidR="000F4207" w:rsidRPr="00E668FD" w14:paraId="245AB36D" w14:textId="77777777" w:rsidTr="00FD119B">
        <w:tc>
          <w:tcPr>
            <w:tcW w:w="1809" w:type="dxa"/>
          </w:tcPr>
          <w:p w14:paraId="54A7A6BB" w14:textId="77777777" w:rsidR="000F4207" w:rsidRPr="00E668FD" w:rsidRDefault="000F4207" w:rsidP="00E668FD">
            <w:pPr>
              <w:rPr>
                <w:szCs w:val="22"/>
              </w:rPr>
            </w:pPr>
            <w:r w:rsidRPr="00E668FD">
              <w:rPr>
                <w:szCs w:val="22"/>
              </w:rPr>
              <w:t>LLOQ</w:t>
            </w:r>
          </w:p>
        </w:tc>
        <w:tc>
          <w:tcPr>
            <w:tcW w:w="6911" w:type="dxa"/>
          </w:tcPr>
          <w:p w14:paraId="3EB44227" w14:textId="77777777" w:rsidR="000F4207" w:rsidRPr="00E668FD" w:rsidRDefault="000F4207" w:rsidP="00E668FD">
            <w:pPr>
              <w:rPr>
                <w:szCs w:val="22"/>
              </w:rPr>
            </w:pPr>
            <w:r>
              <w:rPr>
                <w:szCs w:val="22"/>
              </w:rPr>
              <w:t>L</w:t>
            </w:r>
            <w:r w:rsidRPr="00E668FD">
              <w:rPr>
                <w:szCs w:val="22"/>
              </w:rPr>
              <w:t>ower limit of quantitation</w:t>
            </w:r>
          </w:p>
        </w:tc>
      </w:tr>
      <w:tr w:rsidR="000F4207" w:rsidRPr="00E668FD" w14:paraId="067D2BB8" w14:textId="77777777" w:rsidTr="00FD119B">
        <w:tc>
          <w:tcPr>
            <w:tcW w:w="1809" w:type="dxa"/>
          </w:tcPr>
          <w:p w14:paraId="46A22D98" w14:textId="77777777" w:rsidR="000F4207" w:rsidRPr="00E668FD" w:rsidRDefault="000F4207" w:rsidP="00E668FD">
            <w:pPr>
              <w:rPr>
                <w:bCs/>
                <w:szCs w:val="22"/>
                <w:lang w:val="en-GB"/>
              </w:rPr>
            </w:pPr>
            <w:r w:rsidRPr="00E668FD">
              <w:rPr>
                <w:bCs/>
                <w:szCs w:val="22"/>
                <w:lang w:val="en-GB"/>
              </w:rPr>
              <w:t>LOCF</w:t>
            </w:r>
          </w:p>
        </w:tc>
        <w:tc>
          <w:tcPr>
            <w:tcW w:w="6911" w:type="dxa"/>
          </w:tcPr>
          <w:p w14:paraId="56BC079E" w14:textId="77777777" w:rsidR="000F4207" w:rsidRPr="00E668FD" w:rsidRDefault="000F4207" w:rsidP="00E668FD">
            <w:pPr>
              <w:rPr>
                <w:bCs/>
                <w:szCs w:val="22"/>
                <w:lang w:val="en-GB"/>
              </w:rPr>
            </w:pPr>
            <w:r w:rsidRPr="00E668FD">
              <w:rPr>
                <w:szCs w:val="22"/>
                <w:lang w:eastAsia="ja-JP"/>
              </w:rPr>
              <w:t>Last Observation Carried Forward</w:t>
            </w:r>
          </w:p>
        </w:tc>
      </w:tr>
      <w:tr w:rsidR="000F4207" w:rsidRPr="00E668FD" w14:paraId="727FC3BB" w14:textId="77777777" w:rsidTr="00FD119B">
        <w:tc>
          <w:tcPr>
            <w:tcW w:w="1809" w:type="dxa"/>
          </w:tcPr>
          <w:p w14:paraId="0B02D3DD" w14:textId="77777777" w:rsidR="000F4207" w:rsidRPr="00E668FD" w:rsidRDefault="000F4207" w:rsidP="00E668FD">
            <w:r>
              <w:t>LS</w:t>
            </w:r>
          </w:p>
        </w:tc>
        <w:tc>
          <w:tcPr>
            <w:tcW w:w="6911" w:type="dxa"/>
          </w:tcPr>
          <w:p w14:paraId="06868A99" w14:textId="77777777" w:rsidR="000F4207" w:rsidRPr="00E668FD" w:rsidRDefault="000F4207" w:rsidP="00E668FD">
            <w:pPr>
              <w:rPr>
                <w:rFonts w:eastAsiaTheme="minorHAnsi" w:cs="Arial"/>
              </w:rPr>
            </w:pPr>
            <w:r>
              <w:rPr>
                <w:rFonts w:eastAsiaTheme="minorHAnsi" w:cs="Arial"/>
              </w:rPr>
              <w:t>Least squares</w:t>
            </w:r>
          </w:p>
        </w:tc>
      </w:tr>
      <w:tr w:rsidR="000F4207" w:rsidRPr="00E668FD" w14:paraId="7A1E7496" w14:textId="77777777" w:rsidTr="00FD119B">
        <w:tc>
          <w:tcPr>
            <w:tcW w:w="1809" w:type="dxa"/>
          </w:tcPr>
          <w:p w14:paraId="2A84C6F5" w14:textId="77777777" w:rsidR="000F4207" w:rsidRPr="00E668FD" w:rsidRDefault="000F4207" w:rsidP="00E668FD">
            <w:pPr>
              <w:rPr>
                <w:bCs/>
                <w:szCs w:val="22"/>
                <w:lang w:val="en-GB"/>
              </w:rPr>
            </w:pPr>
            <w:r w:rsidRPr="00E668FD">
              <w:rPr>
                <w:bCs/>
                <w:szCs w:val="22"/>
                <w:lang w:val="en-GB"/>
              </w:rPr>
              <w:t>LSM</w:t>
            </w:r>
          </w:p>
        </w:tc>
        <w:tc>
          <w:tcPr>
            <w:tcW w:w="6911" w:type="dxa"/>
          </w:tcPr>
          <w:p w14:paraId="42D17FBE" w14:textId="77777777" w:rsidR="000F4207" w:rsidRPr="00E668FD" w:rsidRDefault="000F4207" w:rsidP="00E668FD">
            <w:pPr>
              <w:rPr>
                <w:bCs/>
                <w:szCs w:val="22"/>
                <w:lang w:val="en-GB"/>
              </w:rPr>
            </w:pPr>
            <w:r>
              <w:rPr>
                <w:szCs w:val="22"/>
                <w:lang w:eastAsia="ja-JP"/>
              </w:rPr>
              <w:t>L</w:t>
            </w:r>
            <w:r w:rsidRPr="00E668FD">
              <w:rPr>
                <w:szCs w:val="22"/>
                <w:lang w:eastAsia="ja-JP"/>
              </w:rPr>
              <w:t>east square mean</w:t>
            </w:r>
          </w:p>
        </w:tc>
      </w:tr>
      <w:tr w:rsidR="000F4207" w:rsidRPr="00E668FD" w14:paraId="4DF2BD6A" w14:textId="77777777" w:rsidTr="00FD119B">
        <w:tc>
          <w:tcPr>
            <w:tcW w:w="1809" w:type="dxa"/>
          </w:tcPr>
          <w:p w14:paraId="7D6B9327" w14:textId="77777777" w:rsidR="000F4207" w:rsidRPr="00E668FD" w:rsidRDefault="000F4207" w:rsidP="00E668FD">
            <w:pPr>
              <w:rPr>
                <w:bCs/>
                <w:szCs w:val="22"/>
                <w:lang w:val="en-GB"/>
              </w:rPr>
            </w:pPr>
            <w:r w:rsidRPr="00E668FD">
              <w:rPr>
                <w:bCs/>
                <w:szCs w:val="22"/>
                <w:lang w:val="en-GB"/>
              </w:rPr>
              <w:t>OSDI</w:t>
            </w:r>
          </w:p>
        </w:tc>
        <w:tc>
          <w:tcPr>
            <w:tcW w:w="6911" w:type="dxa"/>
          </w:tcPr>
          <w:p w14:paraId="22F93854" w14:textId="77777777" w:rsidR="000F4207" w:rsidRPr="00E668FD" w:rsidRDefault="000F4207" w:rsidP="00E668FD">
            <w:pPr>
              <w:rPr>
                <w:szCs w:val="22"/>
                <w:lang w:val="en-GB"/>
              </w:rPr>
            </w:pPr>
            <w:r w:rsidRPr="00E668FD">
              <w:rPr>
                <w:szCs w:val="22"/>
                <w:lang w:eastAsia="ja-JP"/>
              </w:rPr>
              <w:t>Ocular surface disease index</w:t>
            </w:r>
          </w:p>
        </w:tc>
      </w:tr>
      <w:tr w:rsidR="000F4207" w:rsidRPr="00E668FD" w14:paraId="0DED7FDA" w14:textId="77777777" w:rsidTr="00FD119B">
        <w:tc>
          <w:tcPr>
            <w:tcW w:w="1809" w:type="dxa"/>
          </w:tcPr>
          <w:p w14:paraId="74596F9C" w14:textId="77777777" w:rsidR="000F4207" w:rsidRPr="00E668FD" w:rsidRDefault="000F4207" w:rsidP="00E668FD">
            <w:pPr>
              <w:rPr>
                <w:bCs/>
                <w:lang w:val="en-GB"/>
              </w:rPr>
            </w:pPr>
            <w:r w:rsidRPr="00A80944">
              <w:t>OTX-101</w:t>
            </w:r>
          </w:p>
        </w:tc>
        <w:tc>
          <w:tcPr>
            <w:tcW w:w="6911" w:type="dxa"/>
          </w:tcPr>
          <w:p w14:paraId="261BA74A" w14:textId="0341BEA1" w:rsidR="000F4207" w:rsidRPr="00E668FD" w:rsidRDefault="006F22BD" w:rsidP="00E668FD">
            <w:pPr>
              <w:rPr>
                <w:lang w:eastAsia="ja-JP"/>
              </w:rPr>
            </w:pPr>
            <w:r>
              <w:rPr>
                <w:lang w:eastAsia="ja-JP"/>
              </w:rPr>
              <w:t>Drug development name for Cequa, aqueous nanomicellar solution of ciclosporin;</w:t>
            </w:r>
          </w:p>
        </w:tc>
      </w:tr>
      <w:tr w:rsidR="000F4207" w:rsidRPr="00E668FD" w14:paraId="781042DB" w14:textId="77777777" w:rsidTr="00FD119B">
        <w:tc>
          <w:tcPr>
            <w:tcW w:w="1809" w:type="dxa"/>
          </w:tcPr>
          <w:p w14:paraId="6B4E89FC" w14:textId="77777777" w:rsidR="000F4207" w:rsidRPr="00E668FD" w:rsidRDefault="000F4207" w:rsidP="00E668FD">
            <w:pPr>
              <w:rPr>
                <w:bCs/>
                <w:szCs w:val="22"/>
                <w:lang w:val="en-GB"/>
              </w:rPr>
            </w:pPr>
            <w:r w:rsidRPr="00E668FD">
              <w:rPr>
                <w:bCs/>
                <w:szCs w:val="22"/>
                <w:lang w:val="en-GB"/>
              </w:rPr>
              <w:t>PD</w:t>
            </w:r>
          </w:p>
        </w:tc>
        <w:tc>
          <w:tcPr>
            <w:tcW w:w="6911" w:type="dxa"/>
          </w:tcPr>
          <w:p w14:paraId="3F1086CD" w14:textId="77777777" w:rsidR="000F4207" w:rsidRPr="00E668FD" w:rsidRDefault="000F4207" w:rsidP="00E668FD">
            <w:pPr>
              <w:rPr>
                <w:szCs w:val="22"/>
                <w:lang w:val="en-GB"/>
              </w:rPr>
            </w:pPr>
            <w:r w:rsidRPr="00E668FD">
              <w:rPr>
                <w:szCs w:val="22"/>
                <w:lang w:val="en-GB"/>
              </w:rPr>
              <w:t>Pharmacodynamics</w:t>
            </w:r>
          </w:p>
        </w:tc>
      </w:tr>
      <w:tr w:rsidR="000F4207" w:rsidRPr="00E668FD" w14:paraId="12CFA40F" w14:textId="77777777" w:rsidTr="00FD119B">
        <w:tc>
          <w:tcPr>
            <w:tcW w:w="1809" w:type="dxa"/>
          </w:tcPr>
          <w:p w14:paraId="22E1CA57" w14:textId="77777777" w:rsidR="000F4207" w:rsidRPr="00E668FD" w:rsidRDefault="000F4207" w:rsidP="00E668FD">
            <w:pPr>
              <w:tabs>
                <w:tab w:val="left" w:pos="1408"/>
              </w:tabs>
              <w:rPr>
                <w:bCs/>
                <w:szCs w:val="22"/>
                <w:lang w:val="en-GB"/>
              </w:rPr>
            </w:pPr>
            <w:r w:rsidRPr="00E668FD">
              <w:rPr>
                <w:bCs/>
                <w:szCs w:val="22"/>
                <w:lang w:val="en-GB"/>
              </w:rPr>
              <w:t>PI</w:t>
            </w:r>
          </w:p>
        </w:tc>
        <w:tc>
          <w:tcPr>
            <w:tcW w:w="6911" w:type="dxa"/>
          </w:tcPr>
          <w:p w14:paraId="4B1C2BF8" w14:textId="77777777" w:rsidR="000F4207" w:rsidRPr="00E668FD" w:rsidRDefault="000F4207" w:rsidP="00E668FD">
            <w:pPr>
              <w:rPr>
                <w:szCs w:val="22"/>
                <w:lang w:val="en-GB"/>
              </w:rPr>
            </w:pPr>
            <w:r w:rsidRPr="00E668FD">
              <w:rPr>
                <w:szCs w:val="22"/>
                <w:lang w:eastAsia="ja-JP"/>
              </w:rPr>
              <w:t>Product Information</w:t>
            </w:r>
          </w:p>
        </w:tc>
      </w:tr>
      <w:tr w:rsidR="000F4207" w:rsidRPr="00E668FD" w14:paraId="1BFBD550" w14:textId="77777777" w:rsidTr="00FD119B">
        <w:tc>
          <w:tcPr>
            <w:tcW w:w="1809" w:type="dxa"/>
          </w:tcPr>
          <w:p w14:paraId="42D59A8E" w14:textId="77777777" w:rsidR="000F4207" w:rsidRPr="00E668FD" w:rsidRDefault="000F4207" w:rsidP="00E668FD">
            <w:pPr>
              <w:rPr>
                <w:bCs/>
                <w:szCs w:val="22"/>
                <w:lang w:val="en-GB"/>
              </w:rPr>
            </w:pPr>
            <w:r w:rsidRPr="00E668FD">
              <w:rPr>
                <w:bCs/>
                <w:szCs w:val="22"/>
                <w:lang w:val="en-GB"/>
              </w:rPr>
              <w:t>PK</w:t>
            </w:r>
          </w:p>
        </w:tc>
        <w:tc>
          <w:tcPr>
            <w:tcW w:w="6911" w:type="dxa"/>
          </w:tcPr>
          <w:p w14:paraId="179721E4" w14:textId="77777777" w:rsidR="000F4207" w:rsidRPr="00E668FD" w:rsidRDefault="000F4207" w:rsidP="00E668FD">
            <w:pPr>
              <w:rPr>
                <w:szCs w:val="22"/>
                <w:lang w:val="en-GB"/>
              </w:rPr>
            </w:pPr>
            <w:r w:rsidRPr="00E668FD">
              <w:rPr>
                <w:szCs w:val="22"/>
                <w:lang w:val="en-GB"/>
              </w:rPr>
              <w:t>Pharmacokinetic</w:t>
            </w:r>
            <w:r>
              <w:rPr>
                <w:szCs w:val="22"/>
                <w:lang w:val="en-GB"/>
              </w:rPr>
              <w:t>(</w:t>
            </w:r>
            <w:r w:rsidRPr="00E668FD">
              <w:rPr>
                <w:szCs w:val="22"/>
                <w:lang w:val="en-GB"/>
              </w:rPr>
              <w:t>s</w:t>
            </w:r>
            <w:r>
              <w:rPr>
                <w:szCs w:val="22"/>
                <w:lang w:val="en-GB"/>
              </w:rPr>
              <w:t>)</w:t>
            </w:r>
          </w:p>
        </w:tc>
      </w:tr>
      <w:tr w:rsidR="000F4207" w:rsidRPr="00E668FD" w14:paraId="06DE63E8" w14:textId="77777777" w:rsidTr="00FD119B">
        <w:tc>
          <w:tcPr>
            <w:tcW w:w="1809" w:type="dxa"/>
          </w:tcPr>
          <w:p w14:paraId="27331B5B" w14:textId="77777777" w:rsidR="000F4207" w:rsidRPr="00E668FD" w:rsidRDefault="000F4207" w:rsidP="00E668FD">
            <w:pPr>
              <w:rPr>
                <w:bCs/>
                <w:lang w:val="en-GB"/>
              </w:rPr>
            </w:pPr>
            <w:r>
              <w:rPr>
                <w:bCs/>
                <w:lang w:val="en-GB"/>
              </w:rPr>
              <w:t>PSUR</w:t>
            </w:r>
          </w:p>
        </w:tc>
        <w:tc>
          <w:tcPr>
            <w:tcW w:w="6911" w:type="dxa"/>
          </w:tcPr>
          <w:p w14:paraId="6EAD3BDC" w14:textId="77777777" w:rsidR="000F4207" w:rsidRPr="00E668FD" w:rsidRDefault="000F4207" w:rsidP="00E668FD">
            <w:pPr>
              <w:rPr>
                <w:lang w:val="en-GB"/>
              </w:rPr>
            </w:pPr>
            <w:r>
              <w:rPr>
                <w:lang w:val="en-GB"/>
              </w:rPr>
              <w:t>Periodic safety update report</w:t>
            </w:r>
          </w:p>
        </w:tc>
      </w:tr>
      <w:tr w:rsidR="000F4207" w:rsidRPr="00E668FD" w14:paraId="2AA4C682" w14:textId="77777777" w:rsidTr="00FD119B">
        <w:tc>
          <w:tcPr>
            <w:tcW w:w="1809" w:type="dxa"/>
          </w:tcPr>
          <w:p w14:paraId="1CAB6DDC" w14:textId="77777777" w:rsidR="000F4207" w:rsidRPr="00E668FD" w:rsidRDefault="000F4207" w:rsidP="00E668FD">
            <w:pPr>
              <w:rPr>
                <w:bCs/>
                <w:lang w:val="en-GB"/>
              </w:rPr>
            </w:pPr>
            <w:r>
              <w:rPr>
                <w:bCs/>
                <w:lang w:val="en-GB"/>
              </w:rPr>
              <w:t>RCT</w:t>
            </w:r>
          </w:p>
        </w:tc>
        <w:tc>
          <w:tcPr>
            <w:tcW w:w="6911" w:type="dxa"/>
          </w:tcPr>
          <w:p w14:paraId="77A25BB2" w14:textId="77777777" w:rsidR="000F4207" w:rsidRPr="00E668FD" w:rsidRDefault="000F4207" w:rsidP="006E5651">
            <w:r>
              <w:t>Randomised controlled trial</w:t>
            </w:r>
          </w:p>
        </w:tc>
      </w:tr>
      <w:tr w:rsidR="000F4207" w:rsidRPr="00E668FD" w14:paraId="60BF3D9E" w14:textId="77777777" w:rsidTr="00FD119B">
        <w:tc>
          <w:tcPr>
            <w:tcW w:w="1809" w:type="dxa"/>
          </w:tcPr>
          <w:p w14:paraId="0E603309" w14:textId="77777777" w:rsidR="000F4207" w:rsidRDefault="000F4207" w:rsidP="00E668FD">
            <w:pPr>
              <w:rPr>
                <w:bCs/>
                <w:lang w:val="en-GB"/>
              </w:rPr>
            </w:pPr>
            <w:r w:rsidRPr="00B61E64">
              <w:lastRenderedPageBreak/>
              <w:t>RMP</w:t>
            </w:r>
          </w:p>
        </w:tc>
        <w:tc>
          <w:tcPr>
            <w:tcW w:w="6911" w:type="dxa"/>
          </w:tcPr>
          <w:p w14:paraId="1B929087" w14:textId="77777777" w:rsidR="000F4207" w:rsidRDefault="000F4207" w:rsidP="006A65CA">
            <w:r>
              <w:t>Risk management plan</w:t>
            </w:r>
          </w:p>
        </w:tc>
      </w:tr>
      <w:tr w:rsidR="000F4207" w:rsidRPr="00E668FD" w14:paraId="3ECC99C4" w14:textId="77777777" w:rsidTr="00FD119B">
        <w:tc>
          <w:tcPr>
            <w:tcW w:w="1809" w:type="dxa"/>
          </w:tcPr>
          <w:p w14:paraId="23ABC78B" w14:textId="77777777" w:rsidR="000F4207" w:rsidRPr="00E668FD" w:rsidRDefault="000F4207" w:rsidP="00E668FD">
            <w:pPr>
              <w:rPr>
                <w:bCs/>
                <w:lang w:val="en-GB"/>
              </w:rPr>
            </w:pPr>
            <w:r>
              <w:t>SAE</w:t>
            </w:r>
          </w:p>
        </w:tc>
        <w:tc>
          <w:tcPr>
            <w:tcW w:w="6911" w:type="dxa"/>
          </w:tcPr>
          <w:p w14:paraId="1012DD9D" w14:textId="77777777" w:rsidR="000F4207" w:rsidRPr="00E668FD" w:rsidRDefault="000F4207" w:rsidP="006A65CA">
            <w:pPr>
              <w:rPr>
                <w:lang w:eastAsia="ja-JP"/>
              </w:rPr>
            </w:pPr>
            <w:r>
              <w:t>Serious adverse event</w:t>
            </w:r>
          </w:p>
        </w:tc>
      </w:tr>
      <w:tr w:rsidR="000F4207" w:rsidRPr="00E668FD" w14:paraId="336C3162" w14:textId="77777777" w:rsidTr="00FD119B">
        <w:tc>
          <w:tcPr>
            <w:tcW w:w="1809" w:type="dxa"/>
          </w:tcPr>
          <w:p w14:paraId="4A33C3DA" w14:textId="77777777" w:rsidR="000F4207" w:rsidRPr="00E668FD" w:rsidRDefault="000F4207" w:rsidP="00E668FD">
            <w:pPr>
              <w:rPr>
                <w:bCs/>
                <w:szCs w:val="22"/>
                <w:lang w:val="en-GB"/>
              </w:rPr>
            </w:pPr>
            <w:r w:rsidRPr="00E668FD">
              <w:rPr>
                <w:bCs/>
                <w:szCs w:val="22"/>
                <w:lang w:val="en-GB"/>
              </w:rPr>
              <w:t>SANDE</w:t>
            </w:r>
          </w:p>
        </w:tc>
        <w:tc>
          <w:tcPr>
            <w:tcW w:w="6911" w:type="dxa"/>
          </w:tcPr>
          <w:p w14:paraId="3EED5F42" w14:textId="77777777" w:rsidR="000F4207" w:rsidRPr="00E668FD" w:rsidRDefault="000F4207" w:rsidP="00E668FD">
            <w:pPr>
              <w:rPr>
                <w:szCs w:val="22"/>
                <w:lang w:val="en-GB"/>
              </w:rPr>
            </w:pPr>
            <w:r w:rsidRPr="00E668FD">
              <w:rPr>
                <w:szCs w:val="22"/>
                <w:lang w:eastAsia="ja-JP"/>
              </w:rPr>
              <w:t>Symptom Assessment iN Dry Eye</w:t>
            </w:r>
          </w:p>
        </w:tc>
      </w:tr>
      <w:tr w:rsidR="000F4207" w:rsidRPr="00E668FD" w14:paraId="7AC83DE9" w14:textId="77777777" w:rsidTr="00FD119B">
        <w:tc>
          <w:tcPr>
            <w:tcW w:w="1809" w:type="dxa"/>
          </w:tcPr>
          <w:p w14:paraId="58AF3E3D" w14:textId="77777777" w:rsidR="000F4207" w:rsidRPr="00E668FD" w:rsidRDefault="000F4207" w:rsidP="00E668FD">
            <w:pPr>
              <w:rPr>
                <w:bCs/>
                <w:lang w:val="en-GB"/>
              </w:rPr>
            </w:pPr>
            <w:r>
              <w:t>SAS</w:t>
            </w:r>
          </w:p>
        </w:tc>
        <w:tc>
          <w:tcPr>
            <w:tcW w:w="6911" w:type="dxa"/>
          </w:tcPr>
          <w:p w14:paraId="55F3887E" w14:textId="77777777" w:rsidR="000F4207" w:rsidRPr="00E668FD" w:rsidRDefault="000F4207" w:rsidP="008F3F02">
            <w:pPr>
              <w:rPr>
                <w:lang w:eastAsia="ja-JP"/>
              </w:rPr>
            </w:pPr>
            <w:r>
              <w:t>Special Access Scheme</w:t>
            </w:r>
          </w:p>
        </w:tc>
      </w:tr>
      <w:tr w:rsidR="000F4207" w:rsidRPr="00E668FD" w14:paraId="53F46CC8" w14:textId="77777777" w:rsidTr="00FD119B">
        <w:tc>
          <w:tcPr>
            <w:tcW w:w="1809" w:type="dxa"/>
          </w:tcPr>
          <w:p w14:paraId="6EFC0250" w14:textId="77777777" w:rsidR="000F4207" w:rsidRPr="00E668FD" w:rsidRDefault="000F4207" w:rsidP="00E668FD">
            <w:pPr>
              <w:rPr>
                <w:szCs w:val="22"/>
              </w:rPr>
            </w:pPr>
            <w:r w:rsidRPr="00E668FD">
              <w:rPr>
                <w:szCs w:val="22"/>
              </w:rPr>
              <w:t>SD</w:t>
            </w:r>
          </w:p>
        </w:tc>
        <w:tc>
          <w:tcPr>
            <w:tcW w:w="6911" w:type="dxa"/>
          </w:tcPr>
          <w:p w14:paraId="54F19BD7" w14:textId="77777777" w:rsidR="000F4207" w:rsidRPr="00E668FD" w:rsidRDefault="000F4207" w:rsidP="00E668FD">
            <w:pPr>
              <w:rPr>
                <w:szCs w:val="22"/>
              </w:rPr>
            </w:pPr>
            <w:r>
              <w:rPr>
                <w:szCs w:val="22"/>
              </w:rPr>
              <w:t>S</w:t>
            </w:r>
            <w:r w:rsidRPr="00E668FD">
              <w:rPr>
                <w:szCs w:val="22"/>
              </w:rPr>
              <w:t>tandard deviation</w:t>
            </w:r>
          </w:p>
        </w:tc>
      </w:tr>
      <w:tr w:rsidR="000F4207" w:rsidRPr="00E668FD" w14:paraId="2E3FB05D" w14:textId="77777777" w:rsidTr="00FD119B">
        <w:tc>
          <w:tcPr>
            <w:tcW w:w="1809" w:type="dxa"/>
          </w:tcPr>
          <w:p w14:paraId="62FE2127" w14:textId="77777777" w:rsidR="000F4207" w:rsidRPr="00E668FD" w:rsidRDefault="000F4207" w:rsidP="00E668FD">
            <w:r>
              <w:t>SE</w:t>
            </w:r>
          </w:p>
        </w:tc>
        <w:tc>
          <w:tcPr>
            <w:tcW w:w="6911" w:type="dxa"/>
          </w:tcPr>
          <w:p w14:paraId="4A4AAF9B" w14:textId="77777777" w:rsidR="000F4207" w:rsidRDefault="000F4207" w:rsidP="00E668FD">
            <w:r>
              <w:t>Standard error</w:t>
            </w:r>
          </w:p>
        </w:tc>
      </w:tr>
      <w:tr w:rsidR="000F4207" w:rsidRPr="00E668FD" w14:paraId="19FDB849" w14:textId="77777777" w:rsidTr="00FD119B">
        <w:tc>
          <w:tcPr>
            <w:tcW w:w="1809" w:type="dxa"/>
          </w:tcPr>
          <w:p w14:paraId="5C5DBE91" w14:textId="77777777" w:rsidR="000F4207" w:rsidRPr="00E668FD" w:rsidRDefault="000F4207" w:rsidP="00E668FD">
            <w:pPr>
              <w:rPr>
                <w:bCs/>
                <w:szCs w:val="22"/>
                <w:lang w:val="en-GB"/>
              </w:rPr>
            </w:pPr>
            <w:r w:rsidRPr="00E668FD">
              <w:rPr>
                <w:bCs/>
                <w:szCs w:val="22"/>
                <w:lang w:val="en-GB"/>
              </w:rPr>
              <w:t>TBUT</w:t>
            </w:r>
          </w:p>
        </w:tc>
        <w:tc>
          <w:tcPr>
            <w:tcW w:w="6911" w:type="dxa"/>
          </w:tcPr>
          <w:p w14:paraId="1364B844" w14:textId="77777777" w:rsidR="000F4207" w:rsidRPr="00E668FD" w:rsidRDefault="000F4207" w:rsidP="00E668FD">
            <w:pPr>
              <w:rPr>
                <w:szCs w:val="22"/>
                <w:lang w:val="en-GB"/>
              </w:rPr>
            </w:pPr>
            <w:r>
              <w:rPr>
                <w:szCs w:val="22"/>
                <w:lang w:eastAsia="ja-JP"/>
              </w:rPr>
              <w:t xml:space="preserve">Tear break </w:t>
            </w:r>
            <w:r w:rsidRPr="00E668FD">
              <w:rPr>
                <w:szCs w:val="22"/>
                <w:lang w:eastAsia="ja-JP"/>
              </w:rPr>
              <w:t>up time</w:t>
            </w:r>
          </w:p>
        </w:tc>
      </w:tr>
      <w:tr w:rsidR="000F4207" w:rsidRPr="00E668FD" w14:paraId="298F8DF5" w14:textId="77777777" w:rsidTr="00FD119B">
        <w:tc>
          <w:tcPr>
            <w:tcW w:w="1809" w:type="dxa"/>
          </w:tcPr>
          <w:p w14:paraId="3593891C" w14:textId="77777777" w:rsidR="000F4207" w:rsidRPr="00E668FD" w:rsidRDefault="000F4207" w:rsidP="00E668FD">
            <w:pPr>
              <w:rPr>
                <w:bCs/>
                <w:lang w:val="en-GB"/>
              </w:rPr>
            </w:pPr>
            <w:r>
              <w:rPr>
                <w:bCs/>
                <w:lang w:val="en-GB"/>
              </w:rPr>
              <w:t>TEAE</w:t>
            </w:r>
          </w:p>
        </w:tc>
        <w:tc>
          <w:tcPr>
            <w:tcW w:w="6911" w:type="dxa"/>
          </w:tcPr>
          <w:p w14:paraId="77FFC0AC" w14:textId="77777777" w:rsidR="000F4207" w:rsidRDefault="000F4207" w:rsidP="00E668FD">
            <w:pPr>
              <w:rPr>
                <w:lang w:eastAsia="ja-JP"/>
              </w:rPr>
            </w:pPr>
            <w:r>
              <w:rPr>
                <w:lang w:eastAsia="ja-JP"/>
              </w:rPr>
              <w:t>Treatment emergent adverse event</w:t>
            </w:r>
          </w:p>
        </w:tc>
      </w:tr>
      <w:tr w:rsidR="000F4207" w:rsidRPr="00E668FD" w14:paraId="4A2EC0B5" w14:textId="77777777" w:rsidTr="00FD119B">
        <w:tc>
          <w:tcPr>
            <w:tcW w:w="1809" w:type="dxa"/>
          </w:tcPr>
          <w:p w14:paraId="0345B312" w14:textId="77777777" w:rsidR="000F4207" w:rsidRPr="00E668FD" w:rsidRDefault="000F4207" w:rsidP="00E668FD">
            <w:pPr>
              <w:rPr>
                <w:bCs/>
                <w:szCs w:val="22"/>
                <w:lang w:val="en-GB"/>
              </w:rPr>
            </w:pPr>
            <w:r w:rsidRPr="00E668FD">
              <w:rPr>
                <w:bCs/>
                <w:szCs w:val="22"/>
                <w:lang w:val="en-GB"/>
              </w:rPr>
              <w:t>TGA</w:t>
            </w:r>
          </w:p>
        </w:tc>
        <w:tc>
          <w:tcPr>
            <w:tcW w:w="6911" w:type="dxa"/>
          </w:tcPr>
          <w:p w14:paraId="23F35C75" w14:textId="77777777" w:rsidR="000F4207" w:rsidRPr="00E668FD" w:rsidRDefault="000F4207" w:rsidP="00E668FD">
            <w:pPr>
              <w:rPr>
                <w:szCs w:val="22"/>
                <w:lang w:val="en-GB"/>
              </w:rPr>
            </w:pPr>
            <w:r w:rsidRPr="00E668FD">
              <w:rPr>
                <w:szCs w:val="22"/>
                <w:lang w:val="en-GB"/>
              </w:rPr>
              <w:t>Therapeutic Goods Administration</w:t>
            </w:r>
          </w:p>
        </w:tc>
      </w:tr>
      <w:tr w:rsidR="000F4207" w:rsidRPr="00E668FD" w14:paraId="7303FAFF" w14:textId="77777777" w:rsidTr="00FD119B">
        <w:tc>
          <w:tcPr>
            <w:tcW w:w="1809" w:type="dxa"/>
          </w:tcPr>
          <w:p w14:paraId="7EA3C62D" w14:textId="77777777" w:rsidR="000F4207" w:rsidRPr="00E668FD" w:rsidRDefault="000F4207" w:rsidP="00E668FD">
            <w:pPr>
              <w:rPr>
                <w:bCs/>
                <w:szCs w:val="22"/>
                <w:lang w:val="en-GB"/>
              </w:rPr>
            </w:pPr>
            <w:r w:rsidRPr="00E668FD">
              <w:rPr>
                <w:bCs/>
                <w:szCs w:val="22"/>
                <w:lang w:val="en-GB"/>
              </w:rPr>
              <w:t>US</w:t>
            </w:r>
          </w:p>
        </w:tc>
        <w:tc>
          <w:tcPr>
            <w:tcW w:w="6911" w:type="dxa"/>
          </w:tcPr>
          <w:p w14:paraId="6BF6B829" w14:textId="77777777" w:rsidR="000F4207" w:rsidRPr="00E668FD" w:rsidRDefault="000F4207" w:rsidP="00E668FD">
            <w:pPr>
              <w:rPr>
                <w:szCs w:val="22"/>
                <w:lang w:val="en-GB"/>
              </w:rPr>
            </w:pPr>
            <w:r>
              <w:rPr>
                <w:szCs w:val="22"/>
                <w:lang w:val="en-GB"/>
              </w:rPr>
              <w:t>United States</w:t>
            </w:r>
          </w:p>
        </w:tc>
      </w:tr>
      <w:tr w:rsidR="000F4207" w:rsidRPr="00E668FD" w14:paraId="0C883940" w14:textId="77777777" w:rsidTr="00FD119B">
        <w:tc>
          <w:tcPr>
            <w:tcW w:w="1809" w:type="dxa"/>
          </w:tcPr>
          <w:p w14:paraId="7AC0FD72" w14:textId="77777777" w:rsidR="000F4207" w:rsidRPr="00E668FD" w:rsidRDefault="000F4207" w:rsidP="00E668FD">
            <w:pPr>
              <w:rPr>
                <w:bCs/>
                <w:szCs w:val="22"/>
              </w:rPr>
            </w:pPr>
            <w:r w:rsidRPr="00E668FD">
              <w:rPr>
                <w:bCs/>
                <w:szCs w:val="22"/>
              </w:rPr>
              <w:t>VA</w:t>
            </w:r>
          </w:p>
        </w:tc>
        <w:tc>
          <w:tcPr>
            <w:tcW w:w="6911" w:type="dxa"/>
          </w:tcPr>
          <w:p w14:paraId="58C80582" w14:textId="77777777" w:rsidR="000F4207" w:rsidRPr="00E668FD" w:rsidRDefault="000F4207" w:rsidP="00E668FD">
            <w:pPr>
              <w:rPr>
                <w:szCs w:val="22"/>
                <w:lang w:val="en-GB"/>
              </w:rPr>
            </w:pPr>
            <w:r>
              <w:rPr>
                <w:szCs w:val="22"/>
                <w:lang w:eastAsia="ja-JP"/>
              </w:rPr>
              <w:t>V</w:t>
            </w:r>
            <w:r w:rsidRPr="00E668FD">
              <w:rPr>
                <w:szCs w:val="22"/>
                <w:lang w:eastAsia="ja-JP"/>
              </w:rPr>
              <w:t>isual acuity</w:t>
            </w:r>
          </w:p>
        </w:tc>
      </w:tr>
      <w:tr w:rsidR="000F4207" w:rsidRPr="00E668FD" w14:paraId="6AE675D7" w14:textId="77777777" w:rsidTr="00FD119B">
        <w:tc>
          <w:tcPr>
            <w:tcW w:w="1809" w:type="dxa"/>
          </w:tcPr>
          <w:p w14:paraId="61090ABD" w14:textId="77777777" w:rsidR="000F4207" w:rsidRPr="00E668FD" w:rsidRDefault="000F4207" w:rsidP="00E668FD">
            <w:pPr>
              <w:rPr>
                <w:bCs/>
                <w:szCs w:val="22"/>
                <w:lang w:val="en-GB"/>
              </w:rPr>
            </w:pPr>
            <w:r w:rsidRPr="00E668FD">
              <w:rPr>
                <w:bCs/>
                <w:szCs w:val="22"/>
              </w:rPr>
              <w:t>μg</w:t>
            </w:r>
          </w:p>
        </w:tc>
        <w:tc>
          <w:tcPr>
            <w:tcW w:w="6911" w:type="dxa"/>
          </w:tcPr>
          <w:p w14:paraId="32EDE13B" w14:textId="77777777" w:rsidR="000F4207" w:rsidRPr="00E668FD" w:rsidRDefault="001C66C1" w:rsidP="00E668FD">
            <w:pPr>
              <w:rPr>
                <w:szCs w:val="22"/>
                <w:lang w:val="en-GB"/>
              </w:rPr>
            </w:pPr>
            <w:r>
              <w:rPr>
                <w:szCs w:val="22"/>
                <w:lang w:val="en-GB"/>
              </w:rPr>
              <w:t>M</w:t>
            </w:r>
            <w:r w:rsidR="000F4207" w:rsidRPr="00E668FD">
              <w:rPr>
                <w:szCs w:val="22"/>
                <w:lang w:val="en-GB"/>
              </w:rPr>
              <w:t>icrogram</w:t>
            </w:r>
          </w:p>
        </w:tc>
      </w:tr>
    </w:tbl>
    <w:p w14:paraId="2643980B" w14:textId="77777777" w:rsidR="00FD119B" w:rsidRDefault="00FD119B" w:rsidP="00FD119B"/>
    <w:p w14:paraId="0A2C96DF" w14:textId="77777777" w:rsidR="00FD119B" w:rsidRPr="00FD119B" w:rsidRDefault="00FD119B" w:rsidP="00FD119B">
      <w:pPr>
        <w:spacing w:before="0" w:after="200" w:line="0" w:lineRule="auto"/>
        <w:rPr>
          <w:b/>
          <w:i/>
          <w:sz w:val="24"/>
          <w:szCs w:val="24"/>
        </w:rPr>
      </w:pPr>
      <w:r w:rsidRPr="00FD119B">
        <w:rPr>
          <w:b/>
          <w:i/>
          <w:sz w:val="24"/>
          <w:szCs w:val="24"/>
        </w:rPr>
        <w:br w:type="page"/>
      </w:r>
    </w:p>
    <w:p w14:paraId="6BA49751" w14:textId="77777777" w:rsidR="008E7846" w:rsidRDefault="00F53C07" w:rsidP="008E7846">
      <w:pPr>
        <w:pStyle w:val="Heading2"/>
      </w:pPr>
      <w:bookmarkStart w:id="9" w:name="_Toc40254838"/>
      <w:r>
        <w:lastRenderedPageBreak/>
        <w:t>I.</w:t>
      </w:r>
      <w:r w:rsidR="008E7846">
        <w:t xml:space="preserve"> Introduction to product submission</w:t>
      </w:r>
      <w:bookmarkEnd w:id="9"/>
      <w:bookmarkEnd w:id="1"/>
      <w:bookmarkEnd w:id="3"/>
    </w:p>
    <w:p w14:paraId="244DE202" w14:textId="77777777" w:rsidR="008E7846" w:rsidRDefault="008E7846" w:rsidP="008E7846">
      <w:pPr>
        <w:pStyle w:val="Heading3"/>
        <w:rPr>
          <w:lang w:eastAsia="en-AU"/>
        </w:rPr>
      </w:pPr>
      <w:bookmarkStart w:id="10" w:name="_Toc247691502"/>
      <w:bookmarkStart w:id="11" w:name="_Toc314842483"/>
      <w:bookmarkStart w:id="12" w:name="_Toc40254839"/>
      <w:r>
        <w:rPr>
          <w:lang w:eastAsia="en-AU"/>
        </w:rPr>
        <w:t>Submission details</w:t>
      </w:r>
      <w:bookmarkEnd w:id="10"/>
      <w:bookmarkEnd w:id="11"/>
      <w:bookmarkEnd w:id="12"/>
    </w:p>
    <w:tbl>
      <w:tblPr>
        <w:tblW w:w="9214" w:type="dxa"/>
        <w:tblInd w:w="108" w:type="dxa"/>
        <w:tblLook w:val="01E0" w:firstRow="1" w:lastRow="1" w:firstColumn="1" w:lastColumn="1" w:noHBand="0" w:noVBand="0"/>
      </w:tblPr>
      <w:tblGrid>
        <w:gridCol w:w="2907"/>
        <w:gridCol w:w="6307"/>
      </w:tblGrid>
      <w:tr w:rsidR="008E7846" w:rsidRPr="003D1E62" w14:paraId="67BAB92D" w14:textId="77777777" w:rsidTr="003735BC">
        <w:tc>
          <w:tcPr>
            <w:tcW w:w="2907" w:type="dxa"/>
          </w:tcPr>
          <w:p w14:paraId="5AE429A3" w14:textId="77777777" w:rsidR="008E7846" w:rsidRPr="003D1E62" w:rsidRDefault="001B5C90" w:rsidP="001B5C90">
            <w:pPr>
              <w:rPr>
                <w:i/>
              </w:rPr>
            </w:pPr>
            <w:r>
              <w:rPr>
                <w:i/>
              </w:rPr>
              <w:t>Type of s</w:t>
            </w:r>
            <w:r w:rsidR="008E7846" w:rsidRPr="003D1E62">
              <w:rPr>
                <w:i/>
              </w:rPr>
              <w:t>ubmission</w:t>
            </w:r>
            <w:r>
              <w:rPr>
                <w:i/>
              </w:rPr>
              <w:t>:</w:t>
            </w:r>
          </w:p>
        </w:tc>
        <w:tc>
          <w:tcPr>
            <w:tcW w:w="6307" w:type="dxa"/>
          </w:tcPr>
          <w:p w14:paraId="7E1E33EB" w14:textId="77777777" w:rsidR="008E7846" w:rsidRPr="003D1E62" w:rsidRDefault="00E668FD" w:rsidP="001B5C90">
            <w:r>
              <w:t>Extension of indications</w:t>
            </w:r>
          </w:p>
        </w:tc>
      </w:tr>
      <w:tr w:rsidR="008E7846" w:rsidRPr="003D1E62" w14:paraId="39AEA7C4" w14:textId="77777777" w:rsidTr="003735BC">
        <w:tc>
          <w:tcPr>
            <w:tcW w:w="2907" w:type="dxa"/>
          </w:tcPr>
          <w:p w14:paraId="015EE877" w14:textId="77777777" w:rsidR="008E7846" w:rsidRPr="003D1E62" w:rsidRDefault="008E7846" w:rsidP="003D1E62">
            <w:r w:rsidRPr="003D1E62">
              <w:rPr>
                <w:i/>
              </w:rPr>
              <w:t>Decision</w:t>
            </w:r>
            <w:r w:rsidRPr="003D1E62">
              <w:t>:</w:t>
            </w:r>
          </w:p>
        </w:tc>
        <w:tc>
          <w:tcPr>
            <w:tcW w:w="6307" w:type="dxa"/>
          </w:tcPr>
          <w:p w14:paraId="3108CD09" w14:textId="77777777" w:rsidR="008E7846" w:rsidRPr="003D1E62" w:rsidRDefault="00E668FD" w:rsidP="001B5C90">
            <w:r>
              <w:t>Approved</w:t>
            </w:r>
          </w:p>
        </w:tc>
      </w:tr>
      <w:tr w:rsidR="008E7846" w:rsidRPr="003D1E62" w14:paraId="780D5AD1" w14:textId="77777777" w:rsidTr="003735BC">
        <w:tc>
          <w:tcPr>
            <w:tcW w:w="2907" w:type="dxa"/>
          </w:tcPr>
          <w:p w14:paraId="7C66D2D8" w14:textId="77777777" w:rsidR="008E7846" w:rsidRPr="003D1E62" w:rsidRDefault="008E7846" w:rsidP="001B5C90">
            <w:pPr>
              <w:rPr>
                <w:i/>
              </w:rPr>
            </w:pPr>
            <w:r w:rsidRPr="003D1E62">
              <w:rPr>
                <w:i/>
              </w:rPr>
              <w:t xml:space="preserve">Date of </w:t>
            </w:r>
            <w:r w:rsidR="001B5C90">
              <w:rPr>
                <w:i/>
              </w:rPr>
              <w:t>d</w:t>
            </w:r>
            <w:r w:rsidRPr="003D1E62">
              <w:rPr>
                <w:i/>
              </w:rPr>
              <w:t>ecision:</w:t>
            </w:r>
          </w:p>
        </w:tc>
        <w:tc>
          <w:tcPr>
            <w:tcW w:w="6307" w:type="dxa"/>
          </w:tcPr>
          <w:p w14:paraId="0FB39950" w14:textId="77777777" w:rsidR="008E7846" w:rsidRPr="003D1E62" w:rsidRDefault="00E668FD" w:rsidP="001B5C90">
            <w:r>
              <w:t>28 January 2020</w:t>
            </w:r>
          </w:p>
        </w:tc>
      </w:tr>
      <w:tr w:rsidR="00ED2922" w:rsidRPr="003D1E62" w14:paraId="7E30209E" w14:textId="77777777" w:rsidTr="003735BC">
        <w:tc>
          <w:tcPr>
            <w:tcW w:w="2907" w:type="dxa"/>
          </w:tcPr>
          <w:p w14:paraId="3361EC14" w14:textId="77777777" w:rsidR="00ED2922" w:rsidRPr="00441C3F" w:rsidRDefault="00ED2922" w:rsidP="001B5C90">
            <w:pPr>
              <w:rPr>
                <w:i/>
              </w:rPr>
            </w:pPr>
            <w:r w:rsidRPr="00441C3F">
              <w:rPr>
                <w:i/>
              </w:rPr>
              <w:t>Date of entry onto ARTG</w:t>
            </w:r>
            <w:r w:rsidR="00500337">
              <w:rPr>
                <w:i/>
              </w:rPr>
              <w:t>:</w:t>
            </w:r>
          </w:p>
        </w:tc>
        <w:tc>
          <w:tcPr>
            <w:tcW w:w="6307" w:type="dxa"/>
          </w:tcPr>
          <w:p w14:paraId="4EAA8153" w14:textId="77777777" w:rsidR="00ED2922" w:rsidRPr="00441C3F" w:rsidRDefault="00E668FD" w:rsidP="00D153D8">
            <w:pPr>
              <w:rPr>
                <w:i/>
              </w:rPr>
            </w:pPr>
            <w:r>
              <w:t>31 January 2020</w:t>
            </w:r>
          </w:p>
        </w:tc>
      </w:tr>
      <w:tr w:rsidR="00500337" w:rsidRPr="003D1E62" w14:paraId="5E9AAD32" w14:textId="77777777" w:rsidTr="003735BC">
        <w:tc>
          <w:tcPr>
            <w:tcW w:w="2907" w:type="dxa"/>
          </w:tcPr>
          <w:p w14:paraId="17605AF1" w14:textId="77777777" w:rsidR="00500337" w:rsidRPr="00441C3F" w:rsidRDefault="00E668FD" w:rsidP="001B5C90">
            <w:pPr>
              <w:rPr>
                <w:i/>
              </w:rPr>
            </w:pPr>
            <w:r>
              <w:rPr>
                <w:i/>
              </w:rPr>
              <w:t>ARTG number</w:t>
            </w:r>
            <w:r w:rsidR="00500337">
              <w:rPr>
                <w:i/>
              </w:rPr>
              <w:t>:</w:t>
            </w:r>
          </w:p>
        </w:tc>
        <w:tc>
          <w:tcPr>
            <w:tcW w:w="6307" w:type="dxa"/>
          </w:tcPr>
          <w:p w14:paraId="668D87AC" w14:textId="77777777" w:rsidR="00500337" w:rsidRPr="00441C3F" w:rsidRDefault="00E668FD" w:rsidP="00E668FD">
            <w:r w:rsidRPr="00E668FD">
              <w:t>313780</w:t>
            </w:r>
          </w:p>
        </w:tc>
      </w:tr>
      <w:tr w:rsidR="003735BC" w:rsidRPr="003D1E62" w14:paraId="19235A6E" w14:textId="77777777" w:rsidTr="003735BC">
        <w:tc>
          <w:tcPr>
            <w:tcW w:w="2907" w:type="dxa"/>
          </w:tcPr>
          <w:p w14:paraId="6EF33D97" w14:textId="77777777" w:rsidR="003735BC" w:rsidRDefault="00FA5069" w:rsidP="001B5C90">
            <w:pPr>
              <w:rPr>
                <w:i/>
              </w:rPr>
            </w:pPr>
            <w:r>
              <w:rPr>
                <w:rFonts w:ascii="Wingdings 3" w:hAnsi="Wingdings 3"/>
                <w:sz w:val="34"/>
                <w:szCs w:val="34"/>
                <w:lang w:eastAsia="en-AU"/>
              </w:rPr>
              <w:t></w:t>
            </w:r>
            <w:r w:rsidR="003735BC" w:rsidRPr="003735BC">
              <w:rPr>
                <w:i/>
              </w:rPr>
              <w:t>Black Triangle Scheme</w:t>
            </w:r>
          </w:p>
        </w:tc>
        <w:tc>
          <w:tcPr>
            <w:tcW w:w="6307" w:type="dxa"/>
          </w:tcPr>
          <w:p w14:paraId="048EAF50" w14:textId="77777777" w:rsidR="003735BC" w:rsidRDefault="00E668FD" w:rsidP="003735BC">
            <w:r>
              <w:t>Yes</w:t>
            </w:r>
          </w:p>
          <w:p w14:paraId="70E84170" w14:textId="77777777" w:rsidR="003735BC" w:rsidRPr="00487162" w:rsidRDefault="003735BC" w:rsidP="003735BC">
            <w:r>
              <w:t xml:space="preserve">This product will remain in the scheme for 5 years, starting on the date the product is first supplied in </w:t>
            </w:r>
            <w:r w:rsidR="00E668FD">
              <w:t>Australia</w:t>
            </w:r>
          </w:p>
        </w:tc>
      </w:tr>
      <w:tr w:rsidR="008E7846" w:rsidRPr="00487162" w14:paraId="0336E288" w14:textId="77777777" w:rsidTr="00BF1190">
        <w:tc>
          <w:tcPr>
            <w:tcW w:w="2907" w:type="dxa"/>
          </w:tcPr>
          <w:p w14:paraId="45E5575C" w14:textId="77777777" w:rsidR="008E7846" w:rsidRPr="00487162" w:rsidRDefault="00BE5F7F" w:rsidP="00E45619">
            <w:pPr>
              <w:rPr>
                <w:i/>
              </w:rPr>
            </w:pPr>
            <w:r>
              <w:rPr>
                <w:i/>
              </w:rPr>
              <w:t>Active ingredient</w:t>
            </w:r>
            <w:r w:rsidR="001B5C90">
              <w:rPr>
                <w:i/>
              </w:rPr>
              <w:t>:</w:t>
            </w:r>
          </w:p>
        </w:tc>
        <w:tc>
          <w:tcPr>
            <w:tcW w:w="6307" w:type="dxa"/>
          </w:tcPr>
          <w:p w14:paraId="0A553DF7" w14:textId="77777777" w:rsidR="008E7846" w:rsidRPr="00487162" w:rsidRDefault="00E668FD" w:rsidP="00E55CB0">
            <w:r>
              <w:rPr>
                <w:rFonts w:eastAsiaTheme="minorHAnsi" w:cs="Cambria"/>
              </w:rPr>
              <w:t>Ciclosporin</w:t>
            </w:r>
          </w:p>
        </w:tc>
      </w:tr>
      <w:tr w:rsidR="008E7846" w:rsidRPr="00487162" w14:paraId="7355D1FF" w14:textId="77777777" w:rsidTr="00BF1190">
        <w:tc>
          <w:tcPr>
            <w:tcW w:w="2907" w:type="dxa"/>
          </w:tcPr>
          <w:p w14:paraId="6B9D3EEA" w14:textId="77777777" w:rsidR="008E7846" w:rsidRPr="00487162" w:rsidRDefault="008E7846" w:rsidP="001B5C90">
            <w:pPr>
              <w:rPr>
                <w:i/>
              </w:rPr>
            </w:pPr>
            <w:r w:rsidRPr="00487162">
              <w:rPr>
                <w:i/>
              </w:rPr>
              <w:t>Product</w:t>
            </w:r>
            <w:r w:rsidR="00BE5F7F">
              <w:rPr>
                <w:i/>
              </w:rPr>
              <w:t xml:space="preserve"> name</w:t>
            </w:r>
            <w:r w:rsidR="001B5C90">
              <w:rPr>
                <w:i/>
              </w:rPr>
              <w:t>:</w:t>
            </w:r>
          </w:p>
        </w:tc>
        <w:tc>
          <w:tcPr>
            <w:tcW w:w="6307" w:type="dxa"/>
          </w:tcPr>
          <w:p w14:paraId="0A838A1B" w14:textId="77777777" w:rsidR="008E7846" w:rsidRPr="00487162" w:rsidRDefault="00BE5F7F" w:rsidP="00E45619">
            <w:r>
              <w:t>Cequa</w:t>
            </w:r>
          </w:p>
        </w:tc>
      </w:tr>
      <w:tr w:rsidR="008E7846" w:rsidRPr="00487162" w14:paraId="330E30D2" w14:textId="77777777" w:rsidTr="00BF1190">
        <w:tc>
          <w:tcPr>
            <w:tcW w:w="2907" w:type="dxa"/>
          </w:tcPr>
          <w:p w14:paraId="3E661993" w14:textId="77777777" w:rsidR="008E7846" w:rsidRPr="00487162" w:rsidRDefault="008E7846" w:rsidP="001B5C90">
            <w:pPr>
              <w:rPr>
                <w:i/>
              </w:rPr>
            </w:pPr>
            <w:r w:rsidRPr="00487162">
              <w:rPr>
                <w:i/>
              </w:rPr>
              <w:t xml:space="preserve">Sponsor’s </w:t>
            </w:r>
            <w:r w:rsidR="001B5C90">
              <w:rPr>
                <w:i/>
              </w:rPr>
              <w:t>n</w:t>
            </w:r>
            <w:r w:rsidRPr="00487162">
              <w:rPr>
                <w:i/>
              </w:rPr>
              <w:t xml:space="preserve">ame and </w:t>
            </w:r>
            <w:r w:rsidR="001B5C90">
              <w:rPr>
                <w:i/>
              </w:rPr>
              <w:t>a</w:t>
            </w:r>
            <w:r w:rsidRPr="00487162">
              <w:rPr>
                <w:i/>
              </w:rPr>
              <w:t>ddress:</w:t>
            </w:r>
          </w:p>
        </w:tc>
        <w:tc>
          <w:tcPr>
            <w:tcW w:w="6307" w:type="dxa"/>
          </w:tcPr>
          <w:p w14:paraId="6DEFF2A4" w14:textId="77777777" w:rsidR="00BE5F7F" w:rsidRDefault="00BE5F7F" w:rsidP="00BE5F7F">
            <w:r>
              <w:t>Sun Pharma ANZ Pty Ltd</w:t>
            </w:r>
          </w:p>
          <w:p w14:paraId="293C8068" w14:textId="77777777" w:rsidR="00BE5F7F" w:rsidRDefault="00BE5F7F" w:rsidP="00BE5F7F">
            <w:r>
              <w:t>12 Waterloo Road</w:t>
            </w:r>
          </w:p>
          <w:p w14:paraId="1116CEF4" w14:textId="77777777" w:rsidR="008E7846" w:rsidRPr="00487162" w:rsidRDefault="00BE5F7F" w:rsidP="00BE5F7F">
            <w:r>
              <w:t>Macquarie Park NSW 2113</w:t>
            </w:r>
          </w:p>
        </w:tc>
      </w:tr>
      <w:tr w:rsidR="008E7846" w:rsidRPr="00487162" w14:paraId="2FE81BA0" w14:textId="77777777" w:rsidTr="00BF1190">
        <w:tc>
          <w:tcPr>
            <w:tcW w:w="2907" w:type="dxa"/>
          </w:tcPr>
          <w:p w14:paraId="4273BB62" w14:textId="77777777" w:rsidR="008E7846" w:rsidRPr="00487162" w:rsidRDefault="00BE5F7F" w:rsidP="00E45619">
            <w:pPr>
              <w:rPr>
                <w:i/>
              </w:rPr>
            </w:pPr>
            <w:r>
              <w:rPr>
                <w:i/>
              </w:rPr>
              <w:t>Dose form</w:t>
            </w:r>
            <w:r w:rsidR="001B5C90">
              <w:rPr>
                <w:i/>
              </w:rPr>
              <w:t>:</w:t>
            </w:r>
          </w:p>
        </w:tc>
        <w:tc>
          <w:tcPr>
            <w:tcW w:w="6307" w:type="dxa"/>
          </w:tcPr>
          <w:p w14:paraId="6CE8894C" w14:textId="77777777" w:rsidR="008E7846" w:rsidRPr="00487162" w:rsidRDefault="00BE5F7F" w:rsidP="00E45619">
            <w:r>
              <w:t>Eye drops</w:t>
            </w:r>
          </w:p>
        </w:tc>
      </w:tr>
      <w:tr w:rsidR="008E7846" w:rsidRPr="00487162" w14:paraId="32D7CE04" w14:textId="77777777" w:rsidTr="00BF1190">
        <w:tc>
          <w:tcPr>
            <w:tcW w:w="2907" w:type="dxa"/>
          </w:tcPr>
          <w:p w14:paraId="76789C11" w14:textId="77777777" w:rsidR="008E7846" w:rsidRPr="00487162" w:rsidRDefault="00BE5F7F" w:rsidP="00E45619">
            <w:pPr>
              <w:rPr>
                <w:i/>
              </w:rPr>
            </w:pPr>
            <w:r>
              <w:rPr>
                <w:i/>
              </w:rPr>
              <w:t>Strength:</w:t>
            </w:r>
          </w:p>
        </w:tc>
        <w:tc>
          <w:tcPr>
            <w:tcW w:w="6307" w:type="dxa"/>
          </w:tcPr>
          <w:p w14:paraId="0C083B4E" w14:textId="77777777" w:rsidR="008E7846" w:rsidRPr="00487162" w:rsidRDefault="00BE5F7F" w:rsidP="00BE5F7F">
            <w:r>
              <w:t>900 µg</w:t>
            </w:r>
            <w:r w:rsidRPr="00BE5F7F">
              <w:t>/mL</w:t>
            </w:r>
          </w:p>
        </w:tc>
      </w:tr>
      <w:tr w:rsidR="008E7846" w:rsidRPr="00487162" w14:paraId="1F72CCB0" w14:textId="77777777" w:rsidTr="00BF1190">
        <w:tc>
          <w:tcPr>
            <w:tcW w:w="2907" w:type="dxa"/>
          </w:tcPr>
          <w:p w14:paraId="1C074F84" w14:textId="77777777" w:rsidR="008E7846" w:rsidRPr="00487162" w:rsidRDefault="00BE5F7F" w:rsidP="00E45619">
            <w:pPr>
              <w:rPr>
                <w:i/>
              </w:rPr>
            </w:pPr>
            <w:r>
              <w:rPr>
                <w:i/>
              </w:rPr>
              <w:t>Containers</w:t>
            </w:r>
            <w:r w:rsidR="008E7846" w:rsidRPr="00487162">
              <w:rPr>
                <w:i/>
              </w:rPr>
              <w:t>:</w:t>
            </w:r>
          </w:p>
        </w:tc>
        <w:tc>
          <w:tcPr>
            <w:tcW w:w="6307" w:type="dxa"/>
          </w:tcPr>
          <w:p w14:paraId="5F82292F" w14:textId="77777777" w:rsidR="008E7846" w:rsidRPr="00487162" w:rsidRDefault="00BE5F7F" w:rsidP="00E45619">
            <w:r>
              <w:t>Ampoule</w:t>
            </w:r>
          </w:p>
        </w:tc>
      </w:tr>
      <w:tr w:rsidR="008E7846" w:rsidRPr="00487162" w14:paraId="7F0F94AB" w14:textId="77777777" w:rsidTr="00BF1190">
        <w:tc>
          <w:tcPr>
            <w:tcW w:w="2907" w:type="dxa"/>
          </w:tcPr>
          <w:p w14:paraId="122342E6" w14:textId="77777777" w:rsidR="008E7846" w:rsidRPr="00487162" w:rsidRDefault="00BE5F7F" w:rsidP="00E45619">
            <w:pPr>
              <w:rPr>
                <w:i/>
              </w:rPr>
            </w:pPr>
            <w:r>
              <w:rPr>
                <w:i/>
              </w:rPr>
              <w:t>Pack sizes</w:t>
            </w:r>
            <w:r w:rsidR="008E7846" w:rsidRPr="00487162">
              <w:rPr>
                <w:i/>
              </w:rPr>
              <w:t>:</w:t>
            </w:r>
          </w:p>
        </w:tc>
        <w:tc>
          <w:tcPr>
            <w:tcW w:w="6307" w:type="dxa"/>
          </w:tcPr>
          <w:p w14:paraId="6DCA258D" w14:textId="77777777" w:rsidR="008E7846" w:rsidRPr="00487162" w:rsidRDefault="00BE5F7F" w:rsidP="00BE5F7F">
            <w:r>
              <w:t>10 (sample pack), 60</w:t>
            </w:r>
          </w:p>
        </w:tc>
      </w:tr>
      <w:tr w:rsidR="008E7846" w:rsidRPr="00487162" w14:paraId="18F1EF93" w14:textId="77777777" w:rsidTr="00BF1190">
        <w:tc>
          <w:tcPr>
            <w:tcW w:w="2907" w:type="dxa"/>
          </w:tcPr>
          <w:p w14:paraId="13C76D78" w14:textId="77777777" w:rsidR="008E7846" w:rsidRPr="00487162" w:rsidRDefault="008E7846" w:rsidP="001B5C90">
            <w:pPr>
              <w:rPr>
                <w:i/>
              </w:rPr>
            </w:pPr>
            <w:r w:rsidRPr="00487162">
              <w:rPr>
                <w:i/>
              </w:rPr>
              <w:t xml:space="preserve">Approved </w:t>
            </w:r>
            <w:r w:rsidR="001B5C90">
              <w:rPr>
                <w:i/>
              </w:rPr>
              <w:t>t</w:t>
            </w:r>
            <w:r w:rsidRPr="00487162">
              <w:rPr>
                <w:i/>
              </w:rPr>
              <w:t>herapeutic use:</w:t>
            </w:r>
          </w:p>
        </w:tc>
        <w:tc>
          <w:tcPr>
            <w:tcW w:w="6307" w:type="dxa"/>
          </w:tcPr>
          <w:p w14:paraId="64BF461F" w14:textId="77777777" w:rsidR="008E7846" w:rsidRPr="002617A3" w:rsidRDefault="002617A3" w:rsidP="00E45619">
            <w:pPr>
              <w:rPr>
                <w:rFonts w:eastAsia="MS Mincho"/>
                <w:i/>
                <w:lang w:eastAsia="ja-JP"/>
              </w:rPr>
            </w:pPr>
            <w:r w:rsidRPr="002617A3">
              <w:rPr>
                <w:i/>
              </w:rPr>
              <w:t>Cequa is indicated to increase tear production in patients with moderate to severe keratoconjunctivitis sicca (dry eye) where prior use of artificial tears has not been sufficient.</w:t>
            </w:r>
          </w:p>
        </w:tc>
      </w:tr>
      <w:tr w:rsidR="008E7846" w:rsidRPr="00487162" w14:paraId="656783CC" w14:textId="77777777" w:rsidTr="00BF1190">
        <w:tc>
          <w:tcPr>
            <w:tcW w:w="2907" w:type="dxa"/>
          </w:tcPr>
          <w:p w14:paraId="1480ABDA" w14:textId="77777777" w:rsidR="008E7846" w:rsidRPr="00487162" w:rsidRDefault="00BE5F7F" w:rsidP="00E45619">
            <w:pPr>
              <w:rPr>
                <w:i/>
              </w:rPr>
            </w:pPr>
            <w:r>
              <w:rPr>
                <w:i/>
              </w:rPr>
              <w:t>Routes</w:t>
            </w:r>
            <w:r w:rsidR="008E7846" w:rsidRPr="00487162">
              <w:rPr>
                <w:i/>
              </w:rPr>
              <w:t xml:space="preserve"> of administration:</w:t>
            </w:r>
          </w:p>
        </w:tc>
        <w:tc>
          <w:tcPr>
            <w:tcW w:w="6307" w:type="dxa"/>
          </w:tcPr>
          <w:p w14:paraId="274D8EAE" w14:textId="77777777" w:rsidR="008E7846" w:rsidRPr="00487162" w:rsidRDefault="00BE5F7F" w:rsidP="00E45619">
            <w:r>
              <w:rPr>
                <w:rFonts w:eastAsiaTheme="minorHAnsi" w:cs="Cambria"/>
              </w:rPr>
              <w:t>Topical ophthalmic</w:t>
            </w:r>
          </w:p>
        </w:tc>
      </w:tr>
      <w:tr w:rsidR="008E7846" w:rsidRPr="00487162" w14:paraId="1544FB8B" w14:textId="77777777" w:rsidTr="00BF1190">
        <w:tc>
          <w:tcPr>
            <w:tcW w:w="2907" w:type="dxa"/>
          </w:tcPr>
          <w:p w14:paraId="4F381A1A" w14:textId="77777777" w:rsidR="008E7846" w:rsidRPr="00487162" w:rsidRDefault="008E7846" w:rsidP="00E45619">
            <w:pPr>
              <w:rPr>
                <w:i/>
              </w:rPr>
            </w:pPr>
            <w:r w:rsidRPr="00487162">
              <w:rPr>
                <w:i/>
              </w:rPr>
              <w:t>Dosage:</w:t>
            </w:r>
          </w:p>
        </w:tc>
        <w:tc>
          <w:tcPr>
            <w:tcW w:w="6307" w:type="dxa"/>
          </w:tcPr>
          <w:p w14:paraId="364E2DFD" w14:textId="77777777" w:rsidR="00BE5F7F" w:rsidRDefault="00BE5F7F" w:rsidP="00BE5F7F">
            <w:r>
              <w:t>Each Cequa ampoule is for single use in one patient only.</w:t>
            </w:r>
          </w:p>
          <w:p w14:paraId="704714E1" w14:textId="77777777" w:rsidR="00BE5F7F" w:rsidRDefault="00BE5F7F" w:rsidP="00BE5F7F">
            <w:r>
              <w:t>Instil one drop of Cequa twice daily (approximately 12 hours apart) into the affected eye(s).</w:t>
            </w:r>
          </w:p>
          <w:p w14:paraId="71F8F100" w14:textId="108F6760" w:rsidR="00BE5F7F" w:rsidRDefault="00BE5F7F" w:rsidP="00BE5F7F">
            <w:r>
              <w:t>Response to treatment should be reassessed at least every 6</w:t>
            </w:r>
            <w:r w:rsidR="006006AF">
              <w:t> </w:t>
            </w:r>
            <w:r>
              <w:t>months.</w:t>
            </w:r>
          </w:p>
          <w:p w14:paraId="7642712D" w14:textId="77777777" w:rsidR="008E7846" w:rsidRDefault="00BE5F7F" w:rsidP="00BE5F7F">
            <w:r>
              <w:t xml:space="preserve">Cequa can be used concomitantly with </w:t>
            </w:r>
            <w:r w:rsidR="0074113A">
              <w:t xml:space="preserve">artificial tears, allowing a 15 </w:t>
            </w:r>
            <w:r>
              <w:t>minute interval between products. Discard the ampoule immediately after using in both eyes.</w:t>
            </w:r>
          </w:p>
          <w:p w14:paraId="6DFCC601" w14:textId="77777777" w:rsidR="00BE5F7F" w:rsidRPr="00487162" w:rsidRDefault="00BE5F7F" w:rsidP="00BE5F7F">
            <w:r>
              <w:t>For further information of dosing please refer to the Product Information.</w:t>
            </w:r>
          </w:p>
        </w:tc>
      </w:tr>
    </w:tbl>
    <w:p w14:paraId="1272BB9F" w14:textId="77777777" w:rsidR="008E7846" w:rsidRDefault="008E7846" w:rsidP="008E7846">
      <w:pPr>
        <w:pStyle w:val="Heading3"/>
      </w:pPr>
      <w:bookmarkStart w:id="13" w:name="_Toc247691503"/>
      <w:bookmarkStart w:id="14" w:name="_Toc314842484"/>
      <w:bookmarkStart w:id="15" w:name="_Toc40254840"/>
      <w:r>
        <w:lastRenderedPageBreak/>
        <w:t>Product background</w:t>
      </w:r>
      <w:bookmarkEnd w:id="13"/>
      <w:bookmarkEnd w:id="14"/>
      <w:bookmarkEnd w:id="15"/>
    </w:p>
    <w:p w14:paraId="5694781C" w14:textId="77777777" w:rsidR="008E7846" w:rsidRDefault="00940A89" w:rsidP="00940A89">
      <w:r w:rsidRPr="00940A89">
        <w:t xml:space="preserve">This AusPAR describes the application by </w:t>
      </w:r>
      <w:r w:rsidR="008C57B9">
        <w:t>Sun Pharma ANZ Pty Ltd</w:t>
      </w:r>
      <w:r w:rsidR="008C57B9" w:rsidRPr="00940A89">
        <w:t xml:space="preserve"> </w:t>
      </w:r>
      <w:r w:rsidR="008C57B9">
        <w:t>(</w:t>
      </w:r>
      <w:r w:rsidRPr="00940A89">
        <w:t>the sponsor</w:t>
      </w:r>
      <w:r w:rsidR="008C57B9">
        <w:t xml:space="preserve">) to register </w:t>
      </w:r>
      <w:r w:rsidR="008C57B9">
        <w:rPr>
          <w:rFonts w:eastAsiaTheme="minorHAnsi" w:cs="Cambria"/>
        </w:rPr>
        <w:t>Cequa (ciclosporin) 900 µg/mL eye drops</w:t>
      </w:r>
      <w:r w:rsidRPr="00940A89">
        <w:t xml:space="preserve"> f</w:t>
      </w:r>
      <w:r w:rsidR="008C57B9">
        <w:t>or the following proposed indication:</w:t>
      </w:r>
    </w:p>
    <w:p w14:paraId="18D0B09A" w14:textId="77777777" w:rsidR="00940A89" w:rsidRPr="008C57B9" w:rsidRDefault="008C57B9" w:rsidP="008C57B9">
      <w:pPr>
        <w:ind w:left="720"/>
        <w:rPr>
          <w:i/>
        </w:rPr>
      </w:pPr>
      <w:r w:rsidRPr="008C57B9">
        <w:rPr>
          <w:i/>
        </w:rPr>
        <w:t>Cequa is indicated to increase tear production in patients with keratoconjunctivitis sicca (dry eye).</w:t>
      </w:r>
    </w:p>
    <w:p w14:paraId="1913C30A" w14:textId="77777777" w:rsidR="004F5757" w:rsidRDefault="004F5757" w:rsidP="004F5757">
      <w:pPr>
        <w:rPr>
          <w:lang w:eastAsia="ja-JP"/>
        </w:rPr>
      </w:pPr>
      <w:r>
        <w:rPr>
          <w:lang w:eastAsia="ja-JP"/>
        </w:rPr>
        <w:t>K</w:t>
      </w:r>
      <w:r w:rsidRPr="00273862">
        <w:rPr>
          <w:lang w:eastAsia="ja-JP"/>
        </w:rPr>
        <w:t>eratoconjunctivitis sicca (KCS), also refe</w:t>
      </w:r>
      <w:r>
        <w:rPr>
          <w:lang w:eastAsia="ja-JP"/>
        </w:rPr>
        <w:t xml:space="preserve">rred to as dry eye disease, </w:t>
      </w:r>
      <w:r w:rsidRPr="00273862">
        <w:rPr>
          <w:lang w:eastAsia="ja-JP"/>
        </w:rPr>
        <w:t>is a multifactorial disease o</w:t>
      </w:r>
      <w:r>
        <w:rPr>
          <w:lang w:eastAsia="ja-JP"/>
        </w:rPr>
        <w:t>f the ocular surface. It is characteris</w:t>
      </w:r>
      <w:r w:rsidRPr="00273862">
        <w:rPr>
          <w:lang w:eastAsia="ja-JP"/>
        </w:rPr>
        <w:t>ed by a loss of homeostasis of the tear film</w:t>
      </w:r>
      <w:r>
        <w:rPr>
          <w:lang w:eastAsia="ja-JP"/>
        </w:rPr>
        <w:t xml:space="preserve"> </w:t>
      </w:r>
      <w:r w:rsidRPr="00273862">
        <w:rPr>
          <w:lang w:eastAsia="ja-JP"/>
        </w:rPr>
        <w:t xml:space="preserve">and accompanied by ocular symptoms, in which tear film instability and hyperosmolarity, ocular surface inflammation and damage, and neurosensory abnormalities play </w:t>
      </w:r>
      <w:r>
        <w:rPr>
          <w:lang w:eastAsia="ja-JP"/>
        </w:rPr>
        <w:t>a</w:t>
      </w:r>
      <w:r w:rsidRPr="00273862">
        <w:rPr>
          <w:lang w:eastAsia="ja-JP"/>
        </w:rPr>
        <w:t>etiological roles</w:t>
      </w:r>
      <w:r>
        <w:rPr>
          <w:lang w:eastAsia="ja-JP"/>
        </w:rPr>
        <w:t>.</w:t>
      </w:r>
    </w:p>
    <w:p w14:paraId="262E07DD" w14:textId="77777777" w:rsidR="004F5757" w:rsidRDefault="004F5757" w:rsidP="004F5757">
      <w:pPr>
        <w:rPr>
          <w:lang w:eastAsia="ja-JP"/>
        </w:rPr>
      </w:pPr>
      <w:r>
        <w:rPr>
          <w:lang w:eastAsia="ja-JP"/>
        </w:rPr>
        <w:t xml:space="preserve">KCS is a complex immune-mediated disease of the lacrimal glands and ocular surface. Although the pathogenesis of KCS is not fully understood, it is recognised that inflammation has a prominent role in its development and propagation. KCS is broadly categorised as aqueous-deficient or evaporative in nature, but these categories are not mutually exclusive and elevated levels of cytokines expressed by T lymphocytes are found in the tear film of patients with either category. </w:t>
      </w:r>
      <w:r w:rsidRPr="00273862">
        <w:rPr>
          <w:lang w:eastAsia="ja-JP"/>
        </w:rPr>
        <w:t>KCS is thought to result from a cytokine</w:t>
      </w:r>
      <w:r w:rsidR="009F1FFA">
        <w:rPr>
          <w:lang w:eastAsia="ja-JP"/>
        </w:rPr>
        <w:t xml:space="preserve"> and receptor </w:t>
      </w:r>
      <w:r w:rsidRPr="00273862">
        <w:rPr>
          <w:lang w:eastAsia="ja-JP"/>
        </w:rPr>
        <w:t>mediated inflammatory process that affects the lacrimal gland acini and ducts, leading to abnormalities in the tear film and ultimately disrupting the hom</w:t>
      </w:r>
      <w:r w:rsidR="009F1FFA">
        <w:rPr>
          <w:lang w:eastAsia="ja-JP"/>
        </w:rPr>
        <w:t>eostasis of the ocular surface.</w:t>
      </w:r>
    </w:p>
    <w:p w14:paraId="4EF069B9" w14:textId="669062D8" w:rsidR="004F5757" w:rsidRDefault="004F5757" w:rsidP="004F5757">
      <w:pPr>
        <w:rPr>
          <w:lang w:eastAsia="ja-JP"/>
        </w:rPr>
      </w:pPr>
      <w:r w:rsidRPr="00273862">
        <w:rPr>
          <w:lang w:eastAsia="ja-JP"/>
        </w:rPr>
        <w:t>The goal of treatment for KCS is to return the ocular surface and tear film to their normal states in order to reduce ocular discomfort, improve quality of life and prevent further damage to the ocular tissue and cornea.</w:t>
      </w:r>
      <w:r>
        <w:rPr>
          <w:lang w:eastAsia="ja-JP"/>
        </w:rPr>
        <w:t xml:space="preserve"> While a wide range of therapies are employed for the treatment of KCS, there are a limited number of approved pharmaceutical treatments. These therapies include: tear replacements, tear conservation ap</w:t>
      </w:r>
      <w:r w:rsidR="007D2CD5">
        <w:rPr>
          <w:lang w:eastAsia="ja-JP"/>
        </w:rPr>
        <w:t>proaches, topical secretagogues</w:t>
      </w:r>
      <w:r>
        <w:rPr>
          <w:lang w:eastAsia="ja-JP"/>
        </w:rPr>
        <w:t xml:space="preserve"> (including lipid stimulation, oral secretagogues, nasal neurostimulation, and other stimulation methods), lid abnormality treatments, anti-inflammatories, other non-gluco</w:t>
      </w:r>
      <w:r w:rsidR="0074113A">
        <w:rPr>
          <w:lang w:eastAsia="ja-JP"/>
        </w:rPr>
        <w:t>corticoid immunomodulators (for example,</w:t>
      </w:r>
      <w:r>
        <w:rPr>
          <w:lang w:eastAsia="ja-JP"/>
        </w:rPr>
        <w:t xml:space="preserve"> cyclosporin</w:t>
      </w:r>
      <w:r w:rsidR="00A92E0A">
        <w:rPr>
          <w:lang w:eastAsia="ja-JP"/>
        </w:rPr>
        <w:t>;</w:t>
      </w:r>
      <w:r w:rsidR="00A92E0A">
        <w:rPr>
          <w:rStyle w:val="FootnoteReference"/>
          <w:lang w:eastAsia="ja-JP"/>
        </w:rPr>
        <w:footnoteReference w:id="1"/>
      </w:r>
      <w:r>
        <w:rPr>
          <w:lang w:eastAsia="ja-JP"/>
        </w:rPr>
        <w:t xml:space="preserve"> and lifitegrast), macrolides (topical and systemic) as well as surgical and behavioural treatments. The treatments noted above include topical pharmacotherapies approved in the </w:t>
      </w:r>
      <w:r>
        <w:t xml:space="preserve">United States (US) </w:t>
      </w:r>
      <w:r w:rsidR="006006AF">
        <w:rPr>
          <w:lang w:eastAsia="ja-JP"/>
        </w:rPr>
        <w:t xml:space="preserve">including </w:t>
      </w:r>
      <w:r w:rsidR="0074113A">
        <w:rPr>
          <w:lang w:eastAsia="ja-JP"/>
        </w:rPr>
        <w:t>Restasis (cyclosporin ophthalmic emulsion) and Xiidra (lifitegrast ophthalmic solution)</w:t>
      </w:r>
      <w:r w:rsidR="007D2CD5">
        <w:rPr>
          <w:lang w:eastAsia="ja-JP"/>
        </w:rPr>
        <w:t>;</w:t>
      </w:r>
      <w:r w:rsidR="0074113A">
        <w:rPr>
          <w:lang w:eastAsia="ja-JP"/>
        </w:rPr>
        <w:t xml:space="preserve"> these are not approved in Australia for the treatment of KCS</w:t>
      </w:r>
      <w:r>
        <w:rPr>
          <w:lang w:eastAsia="ja-JP"/>
        </w:rPr>
        <w:t>.</w:t>
      </w:r>
      <w:r w:rsidR="0074113A">
        <w:rPr>
          <w:lang w:eastAsia="ja-JP"/>
        </w:rPr>
        <w:t xml:space="preserve"> A</w:t>
      </w:r>
      <w:r w:rsidR="0074113A" w:rsidRPr="00273862">
        <w:rPr>
          <w:lang w:eastAsia="ja-JP"/>
        </w:rPr>
        <w:t>pproved pharmaceutical t</w:t>
      </w:r>
      <w:r w:rsidR="0074113A">
        <w:rPr>
          <w:lang w:eastAsia="ja-JP"/>
        </w:rPr>
        <w:t>reatments for KCS are</w:t>
      </w:r>
      <w:r w:rsidR="0074113A" w:rsidRPr="00273862">
        <w:rPr>
          <w:lang w:eastAsia="ja-JP"/>
        </w:rPr>
        <w:t xml:space="preserve"> limited </w:t>
      </w:r>
      <w:r w:rsidR="0074113A">
        <w:rPr>
          <w:lang w:eastAsia="ja-JP"/>
        </w:rPr>
        <w:t>in Australia</w:t>
      </w:r>
    </w:p>
    <w:p w14:paraId="7814C023" w14:textId="77777777" w:rsidR="004F5757" w:rsidRDefault="004F5757" w:rsidP="004F5757">
      <w:pPr>
        <w:rPr>
          <w:lang w:eastAsia="ja-JP"/>
        </w:rPr>
      </w:pPr>
      <w:r>
        <w:rPr>
          <w:lang w:eastAsia="ja-JP"/>
        </w:rPr>
        <w:t xml:space="preserve">In KCS patients whose tear production is presumed to be suppressed due to ocular inflammation associated with keratoconjunctivitis sicca, topical administration of cyclosporin is thought to act as a partial immunomodulator. The exact mechanism of action is not known. </w:t>
      </w:r>
      <w:r w:rsidRPr="00273862">
        <w:rPr>
          <w:lang w:eastAsia="ja-JP"/>
        </w:rPr>
        <w:t xml:space="preserve">The effectiveness of </w:t>
      </w:r>
      <w:r>
        <w:rPr>
          <w:lang w:eastAsia="ja-JP"/>
        </w:rPr>
        <w:t>cyclosporin</w:t>
      </w:r>
      <w:r w:rsidRPr="00273862">
        <w:rPr>
          <w:lang w:eastAsia="ja-JP"/>
        </w:rPr>
        <w:t xml:space="preserve"> in</w:t>
      </w:r>
      <w:r w:rsidR="007D2CD5">
        <w:rPr>
          <w:lang w:eastAsia="ja-JP"/>
        </w:rPr>
        <w:t xml:space="preserve"> the treatment of KCS is</w:t>
      </w:r>
      <w:r>
        <w:rPr>
          <w:lang w:eastAsia="ja-JP"/>
        </w:rPr>
        <w:t xml:space="preserve"> thought to be due to its effects on the pathogenesis of the disease, because cyclosporin impacts cytokine production, T-lymphocyte maturation, and mitochondria-mediated apoptosis. By suppressing cell-mediated inflammatory responses associated with ocular surface disease, treatment with cyclosporin can result in increased tear production, potentiating improv</w:t>
      </w:r>
      <w:r w:rsidR="0074113A">
        <w:rPr>
          <w:lang w:eastAsia="ja-JP"/>
        </w:rPr>
        <w:t>ement in ocular surface health.</w:t>
      </w:r>
    </w:p>
    <w:p w14:paraId="4F1BE810" w14:textId="77777777" w:rsidR="004F5757" w:rsidRDefault="004F5757" w:rsidP="004F5757">
      <w:pPr>
        <w:rPr>
          <w:lang w:eastAsia="ja-JP"/>
        </w:rPr>
      </w:pPr>
      <w:r>
        <w:rPr>
          <w:lang w:eastAsia="ja-JP"/>
        </w:rPr>
        <w:t xml:space="preserve">The beneficial effect of topical cyclosporin administration relative to increased tear production was established by clinical trials in patients with KCS that were conducted to support the US marketing approval of Restasis. Restasis, a 0.05% ophthalmic emulsion of cyclosporin, is indicated for the increase in tear production in patients whose tear production is presumed to be suppressed due to ocular inflammation associated with KCS. This product has been shown to be effective in increasing tear production, but only shows </w:t>
      </w:r>
      <w:r w:rsidR="007D2CD5">
        <w:rPr>
          <w:lang w:eastAsia="ja-JP"/>
        </w:rPr>
        <w:t>significant improvement from B</w:t>
      </w:r>
      <w:r>
        <w:rPr>
          <w:lang w:eastAsia="ja-JP"/>
        </w:rPr>
        <w:t xml:space="preserve">aseline after 6 months of treatment. Therefore, the </w:t>
      </w:r>
      <w:r>
        <w:rPr>
          <w:lang w:eastAsia="ja-JP"/>
        </w:rPr>
        <w:lastRenderedPageBreak/>
        <w:t xml:space="preserve">sponsor </w:t>
      </w:r>
      <w:r w:rsidR="0074113A">
        <w:rPr>
          <w:lang w:eastAsia="ja-JP"/>
        </w:rPr>
        <w:t>rationalises</w:t>
      </w:r>
      <w:r>
        <w:rPr>
          <w:lang w:eastAsia="ja-JP"/>
        </w:rPr>
        <w:t xml:space="preserve"> that there is an unmet medical need for drug therapies for the treatment of KCS that have a more rapid onset of action.</w:t>
      </w:r>
    </w:p>
    <w:p w14:paraId="7CA296A2" w14:textId="274B31F0" w:rsidR="004F5757" w:rsidRDefault="004F5757" w:rsidP="00940A89">
      <w:pPr>
        <w:rPr>
          <w:lang w:eastAsia="ja-JP"/>
        </w:rPr>
      </w:pPr>
      <w:r>
        <w:rPr>
          <w:lang w:eastAsia="ja-JP"/>
        </w:rPr>
        <w:t xml:space="preserve">The sponsor hypothesised that a formulation of </w:t>
      </w:r>
      <w:r w:rsidR="00A92E0A">
        <w:rPr>
          <w:lang w:eastAsia="ja-JP"/>
        </w:rPr>
        <w:t>ciclosporin</w:t>
      </w:r>
      <w:r>
        <w:rPr>
          <w:lang w:eastAsia="ja-JP"/>
        </w:rPr>
        <w:t xml:space="preserve"> that produced higher concentrations of </w:t>
      </w:r>
      <w:r w:rsidR="00A92E0A">
        <w:rPr>
          <w:lang w:eastAsia="ja-JP"/>
        </w:rPr>
        <w:t>ciclosporin</w:t>
      </w:r>
      <w:r>
        <w:rPr>
          <w:lang w:eastAsia="ja-JP"/>
        </w:rPr>
        <w:t xml:space="preserve"> than currently available therapy in relevant ocular tissues could be a valuable addition to the armamentarium for the treatment of KCS. </w:t>
      </w:r>
      <w:r w:rsidR="0074113A">
        <w:rPr>
          <w:lang w:eastAsia="ja-JP"/>
        </w:rPr>
        <w:t xml:space="preserve">Thus, </w:t>
      </w:r>
      <w:r w:rsidR="007D2CD5">
        <w:rPr>
          <w:lang w:eastAsia="ja-JP"/>
        </w:rPr>
        <w:t>OTX</w:t>
      </w:r>
      <w:r w:rsidR="007D2CD5">
        <w:rPr>
          <w:lang w:eastAsia="ja-JP"/>
        </w:rPr>
        <w:noBreakHyphen/>
      </w:r>
      <w:r>
        <w:rPr>
          <w:lang w:eastAsia="ja-JP"/>
        </w:rPr>
        <w:t>101</w:t>
      </w:r>
      <w:r w:rsidR="006F22BD">
        <w:rPr>
          <w:lang w:eastAsia="ja-JP"/>
        </w:rPr>
        <w:t>;</w:t>
      </w:r>
      <w:r w:rsidR="006F22BD">
        <w:rPr>
          <w:rStyle w:val="FootnoteReference"/>
          <w:lang w:eastAsia="ja-JP"/>
        </w:rPr>
        <w:footnoteReference w:id="2"/>
      </w:r>
      <w:r>
        <w:rPr>
          <w:lang w:eastAsia="ja-JP"/>
        </w:rPr>
        <w:t xml:space="preserve"> an aqueous nanomicellar solution of </w:t>
      </w:r>
      <w:r w:rsidR="00A92E0A">
        <w:rPr>
          <w:lang w:eastAsia="ja-JP"/>
        </w:rPr>
        <w:t>ciclosporin</w:t>
      </w:r>
      <w:r w:rsidR="006F22BD">
        <w:rPr>
          <w:lang w:eastAsia="ja-JP"/>
        </w:rPr>
        <w:t>,</w:t>
      </w:r>
      <w:r>
        <w:rPr>
          <w:lang w:eastAsia="ja-JP"/>
        </w:rPr>
        <w:t xml:space="preserve"> which produces enhanced ocular tissue distribution, was developed with the aim of providing a well-tolerated</w:t>
      </w:r>
      <w:r w:rsidR="006F22BD">
        <w:rPr>
          <w:lang w:eastAsia="ja-JP"/>
        </w:rPr>
        <w:t xml:space="preserve"> and</w:t>
      </w:r>
      <w:r>
        <w:rPr>
          <w:lang w:eastAsia="ja-JP"/>
        </w:rPr>
        <w:t xml:space="preserve"> more rapidly effective product.</w:t>
      </w:r>
    </w:p>
    <w:p w14:paraId="0479C97B" w14:textId="77777777" w:rsidR="008E7846" w:rsidRPr="003F31A2" w:rsidRDefault="00386150" w:rsidP="008E7846">
      <w:pPr>
        <w:pStyle w:val="Heading3"/>
      </w:pPr>
      <w:bookmarkStart w:id="16" w:name="_Toc314842485"/>
      <w:bookmarkStart w:id="17" w:name="_Toc247691504"/>
      <w:bookmarkStart w:id="18" w:name="_Toc40254841"/>
      <w:r>
        <w:t>Regulatory s</w:t>
      </w:r>
      <w:r w:rsidR="008E7846">
        <w:t>tatus</w:t>
      </w:r>
      <w:bookmarkEnd w:id="16"/>
      <w:bookmarkEnd w:id="17"/>
      <w:bookmarkEnd w:id="18"/>
    </w:p>
    <w:p w14:paraId="4F331447" w14:textId="77777777" w:rsidR="004F5757" w:rsidRDefault="00BE3F1E" w:rsidP="00940A89">
      <w:bookmarkStart w:id="19" w:name="_Toc247691505"/>
      <w:bookmarkStart w:id="20" w:name="_Toc314842486"/>
      <w:r>
        <w:t xml:space="preserve">Various presentations of ciclosporin have been registered on the </w:t>
      </w:r>
      <w:r w:rsidRPr="00940A89">
        <w:t>Australian Register of Therapeutic Goods (ARTG)</w:t>
      </w:r>
      <w:r>
        <w:t xml:space="preserve"> since the 1990’s. </w:t>
      </w:r>
      <w:r>
        <w:rPr>
          <w:rFonts w:eastAsiaTheme="minorHAnsi" w:cs="Cambria"/>
        </w:rPr>
        <w:t>Cequa (ciclosporin) 900 µg/mL eye drops</w:t>
      </w:r>
      <w:r>
        <w:t xml:space="preserve"> is considered </w:t>
      </w:r>
      <w:r w:rsidR="004F5757" w:rsidRPr="00B61E64">
        <w:t xml:space="preserve">a new strength, new dose form and new route of administration </w:t>
      </w:r>
      <w:r>
        <w:t xml:space="preserve">of </w:t>
      </w:r>
      <w:r w:rsidR="004F5757" w:rsidRPr="00B61E64">
        <w:t>ciclosporin</w:t>
      </w:r>
      <w:r>
        <w:t xml:space="preserve"> for Australian regulatory purposes and was evaluated as an extension of indications application.</w:t>
      </w:r>
    </w:p>
    <w:p w14:paraId="759DC227" w14:textId="77777777" w:rsidR="008C57B9" w:rsidRDefault="00940A89" w:rsidP="008C57B9">
      <w:r w:rsidRPr="00940A89">
        <w:t xml:space="preserve">At the time the TGA considered this application, a similar application had been </w:t>
      </w:r>
      <w:r w:rsidR="008C57B9">
        <w:t xml:space="preserve">approved in the United States (US) on </w:t>
      </w:r>
      <w:r w:rsidR="008C57B9" w:rsidRPr="00D57FC1">
        <w:t>14 August 2018</w:t>
      </w:r>
      <w:r w:rsidR="008C57B9">
        <w:t>. The approved indication was:</w:t>
      </w:r>
    </w:p>
    <w:p w14:paraId="402E549E" w14:textId="77777777" w:rsidR="00940A89" w:rsidRPr="00BE3F1E" w:rsidRDefault="008C57B9" w:rsidP="00BE3F1E">
      <w:pPr>
        <w:ind w:left="720"/>
        <w:rPr>
          <w:i/>
        </w:rPr>
      </w:pPr>
      <w:r w:rsidRPr="00BE3F1E">
        <w:rPr>
          <w:i/>
        </w:rPr>
        <w:t>Cequa ophthalmic solution is a calcineurin inhibitor immunosuppressant indicated to increase tear production in patients with kerato</w:t>
      </w:r>
      <w:r w:rsidR="00BE3F1E" w:rsidRPr="00BE3F1E">
        <w:rPr>
          <w:i/>
        </w:rPr>
        <w:t>conjunctivitis sicca (dry eye).</w:t>
      </w:r>
    </w:p>
    <w:p w14:paraId="4C711461" w14:textId="77777777" w:rsidR="008E7846" w:rsidRDefault="008E7846" w:rsidP="00940A89">
      <w:pPr>
        <w:pStyle w:val="Heading3"/>
      </w:pPr>
      <w:bookmarkStart w:id="21" w:name="_Toc40254842"/>
      <w:r>
        <w:t>Product Information</w:t>
      </w:r>
      <w:bookmarkEnd w:id="19"/>
      <w:bookmarkEnd w:id="20"/>
      <w:bookmarkEnd w:id="21"/>
    </w:p>
    <w:p w14:paraId="2927A50E" w14:textId="77777777" w:rsidR="00940A89" w:rsidRDefault="006136D7" w:rsidP="00940A89">
      <w:bookmarkStart w:id="22" w:name="_Toc247691506"/>
      <w:bookmarkStart w:id="23" w:name="_Toc314842487"/>
      <w:r w:rsidRPr="00940A89">
        <w:t xml:space="preserve">The Product Information (PI) </w:t>
      </w:r>
      <w:r>
        <w:t xml:space="preserve">approved with the submission which is described in </w:t>
      </w:r>
      <w:r w:rsidRPr="00940A89">
        <w:t xml:space="preserve">this AusPAR can be found as Attachment 1. For the most recent </w:t>
      </w:r>
      <w:r>
        <w:t>PI,</w:t>
      </w:r>
      <w:r w:rsidRPr="00940A89">
        <w:t xml:space="preserve"> ple</w:t>
      </w:r>
      <w:r>
        <w:t>ase refer to the TGA website</w:t>
      </w:r>
      <w:r w:rsidRPr="00441C3F">
        <w:t xml:space="preserve"> at </w:t>
      </w:r>
      <w:r w:rsidR="00441C3F" w:rsidRPr="00441C3F">
        <w:t>&lt;</w:t>
      </w:r>
      <w:hyperlink r:id="rId19" w:history="1">
        <w:r w:rsidR="00441C3F" w:rsidRPr="00441C3F">
          <w:rPr>
            <w:rStyle w:val="Hyperlink"/>
          </w:rPr>
          <w:t>https://www.tga.gov.au/product-information-pi</w:t>
        </w:r>
      </w:hyperlink>
      <w:r w:rsidR="00441C3F">
        <w:t>&gt;</w:t>
      </w:r>
      <w:r w:rsidR="00940A89" w:rsidRPr="00940A89">
        <w:t>.</w:t>
      </w:r>
    </w:p>
    <w:p w14:paraId="70F3DF6D" w14:textId="77777777" w:rsidR="00500337" w:rsidRDefault="00D956D2" w:rsidP="00500337">
      <w:pPr>
        <w:pStyle w:val="Heading2"/>
      </w:pPr>
      <w:bookmarkStart w:id="24" w:name="_Toc504480011"/>
      <w:bookmarkStart w:id="25" w:name="_Toc40254843"/>
      <w:r>
        <w:t>II. Registration time</w:t>
      </w:r>
      <w:r w:rsidR="00500337">
        <w:t>line</w:t>
      </w:r>
      <w:bookmarkEnd w:id="24"/>
      <w:bookmarkEnd w:id="25"/>
    </w:p>
    <w:p w14:paraId="56CF5487" w14:textId="77777777" w:rsidR="00500337" w:rsidRDefault="00BE3F1E" w:rsidP="00500337">
      <w:r>
        <w:fldChar w:fldCharType="begin"/>
      </w:r>
      <w:r>
        <w:instrText xml:space="preserve"> REF _Ref36563063 \h </w:instrText>
      </w:r>
      <w:r>
        <w:fldChar w:fldCharType="separate"/>
      </w:r>
      <w:r>
        <w:t xml:space="preserve">Table </w:t>
      </w:r>
      <w:r>
        <w:rPr>
          <w:noProof/>
        </w:rPr>
        <w:t>1</w:t>
      </w:r>
      <w:r>
        <w:fldChar w:fldCharType="end"/>
      </w:r>
      <w:r>
        <w:t xml:space="preserve"> </w:t>
      </w:r>
      <w:r w:rsidR="00500337">
        <w:t>captures the key steps and dates for this application and which are detailed and discussed in this AusPAR.</w:t>
      </w:r>
    </w:p>
    <w:p w14:paraId="6AEAA9AA" w14:textId="77777777" w:rsidR="00500337" w:rsidRPr="00377BD4" w:rsidRDefault="00BE3F1E" w:rsidP="00BE3F1E">
      <w:pPr>
        <w:pStyle w:val="TableTitle"/>
      </w:pPr>
      <w:bookmarkStart w:id="26" w:name="_Ref36563063"/>
      <w:r>
        <w:t xml:space="preserve">Table </w:t>
      </w:r>
      <w:fldSimple w:instr=" SEQ Table \* ARABIC ">
        <w:r w:rsidR="00DB095A">
          <w:rPr>
            <w:noProof/>
          </w:rPr>
          <w:t>1</w:t>
        </w:r>
      </w:fldSimple>
      <w:bookmarkEnd w:id="26"/>
      <w:r>
        <w:t xml:space="preserve">: </w:t>
      </w:r>
      <w:r w:rsidR="006A58A8" w:rsidRPr="006A58A8">
        <w:t xml:space="preserve">Timeline for Submission </w:t>
      </w:r>
      <w:r w:rsidR="00AC7CFC" w:rsidRPr="00713696">
        <w:t>PM-2019-00113-1-5</w:t>
      </w:r>
    </w:p>
    <w:tbl>
      <w:tblPr>
        <w:tblStyle w:val="TableTGAblue"/>
        <w:tblW w:w="0" w:type="auto"/>
        <w:tblLook w:val="04A0" w:firstRow="1" w:lastRow="0" w:firstColumn="1" w:lastColumn="0" w:noHBand="0" w:noVBand="1"/>
      </w:tblPr>
      <w:tblGrid>
        <w:gridCol w:w="4360"/>
        <w:gridCol w:w="4360"/>
      </w:tblGrid>
      <w:tr w:rsidR="00500337" w14:paraId="3144B52D" w14:textId="77777777" w:rsidTr="00500337">
        <w:trPr>
          <w:cnfStyle w:val="100000000000" w:firstRow="1" w:lastRow="0" w:firstColumn="0" w:lastColumn="0" w:oddVBand="0" w:evenVBand="0" w:oddHBand="0" w:evenHBand="0" w:firstRowFirstColumn="0" w:firstRowLastColumn="0" w:lastRowFirstColumn="0" w:lastRowLastColumn="0"/>
          <w:cantSplit/>
        </w:trPr>
        <w:tc>
          <w:tcPr>
            <w:tcW w:w="4360" w:type="dxa"/>
          </w:tcPr>
          <w:p w14:paraId="477BCACE" w14:textId="77777777" w:rsidR="00500337" w:rsidRDefault="00500337" w:rsidP="00500337">
            <w:pPr>
              <w:ind w:left="0" w:right="0"/>
            </w:pPr>
            <w:r>
              <w:t>Description</w:t>
            </w:r>
          </w:p>
        </w:tc>
        <w:tc>
          <w:tcPr>
            <w:tcW w:w="4360" w:type="dxa"/>
          </w:tcPr>
          <w:p w14:paraId="732017FA" w14:textId="77777777" w:rsidR="00500337" w:rsidRDefault="00500337" w:rsidP="00500337">
            <w:pPr>
              <w:ind w:left="0" w:right="0"/>
            </w:pPr>
            <w:r>
              <w:t>Date</w:t>
            </w:r>
          </w:p>
        </w:tc>
      </w:tr>
      <w:tr w:rsidR="00500337" w14:paraId="5A543B6F" w14:textId="77777777" w:rsidTr="00500337">
        <w:tc>
          <w:tcPr>
            <w:tcW w:w="4360" w:type="dxa"/>
          </w:tcPr>
          <w:p w14:paraId="33E753CB" w14:textId="77777777" w:rsidR="00500337" w:rsidRDefault="00500337" w:rsidP="00500337">
            <w:pPr>
              <w:ind w:left="0" w:right="0"/>
            </w:pPr>
            <w:r>
              <w:t>Submission dossier accepted and first round evaluation commenced</w:t>
            </w:r>
          </w:p>
        </w:tc>
        <w:tc>
          <w:tcPr>
            <w:tcW w:w="4360" w:type="dxa"/>
          </w:tcPr>
          <w:p w14:paraId="4C86616C" w14:textId="77777777" w:rsidR="00500337" w:rsidRDefault="00AC7CFC" w:rsidP="00500337">
            <w:pPr>
              <w:ind w:left="0" w:right="0"/>
            </w:pPr>
            <w:r>
              <w:t>28 February 2019</w:t>
            </w:r>
          </w:p>
        </w:tc>
      </w:tr>
      <w:tr w:rsidR="00500337" w14:paraId="41E5F541" w14:textId="77777777" w:rsidTr="00500337">
        <w:tc>
          <w:tcPr>
            <w:tcW w:w="4360" w:type="dxa"/>
          </w:tcPr>
          <w:p w14:paraId="6C78EAF0" w14:textId="77777777" w:rsidR="00500337" w:rsidRDefault="00500337" w:rsidP="00500337">
            <w:pPr>
              <w:ind w:left="0" w:right="0"/>
            </w:pPr>
            <w:r>
              <w:t>First round evaluation completed</w:t>
            </w:r>
          </w:p>
        </w:tc>
        <w:tc>
          <w:tcPr>
            <w:tcW w:w="4360" w:type="dxa"/>
          </w:tcPr>
          <w:p w14:paraId="75D9DC51" w14:textId="77777777" w:rsidR="00500337" w:rsidRDefault="00AC7CFC" w:rsidP="00500337">
            <w:pPr>
              <w:ind w:left="0" w:right="0"/>
            </w:pPr>
            <w:r>
              <w:t>9 August 2019</w:t>
            </w:r>
          </w:p>
        </w:tc>
      </w:tr>
      <w:tr w:rsidR="00500337" w14:paraId="2EEC7443" w14:textId="77777777" w:rsidTr="00500337">
        <w:tc>
          <w:tcPr>
            <w:tcW w:w="4360" w:type="dxa"/>
          </w:tcPr>
          <w:p w14:paraId="2DFE92C2" w14:textId="77777777" w:rsidR="00500337" w:rsidRDefault="00500337" w:rsidP="00500337">
            <w:pPr>
              <w:ind w:left="0" w:right="0"/>
            </w:pPr>
            <w:r>
              <w:t>Sponsor provides responses on questions raised in first round evaluation</w:t>
            </w:r>
          </w:p>
        </w:tc>
        <w:tc>
          <w:tcPr>
            <w:tcW w:w="4360" w:type="dxa"/>
          </w:tcPr>
          <w:p w14:paraId="1A50F5A5" w14:textId="77777777" w:rsidR="00500337" w:rsidRDefault="00AC7CFC" w:rsidP="00500337">
            <w:pPr>
              <w:ind w:left="0" w:right="0"/>
            </w:pPr>
            <w:r>
              <w:t>9 September 2019</w:t>
            </w:r>
          </w:p>
        </w:tc>
      </w:tr>
      <w:tr w:rsidR="00500337" w14:paraId="7E806B81" w14:textId="77777777" w:rsidTr="00500337">
        <w:tc>
          <w:tcPr>
            <w:tcW w:w="4360" w:type="dxa"/>
          </w:tcPr>
          <w:p w14:paraId="40350675" w14:textId="77777777" w:rsidR="00500337" w:rsidRDefault="00500337" w:rsidP="00500337">
            <w:pPr>
              <w:ind w:left="0" w:right="0"/>
            </w:pPr>
            <w:r>
              <w:t>Second round evaluation completed</w:t>
            </w:r>
          </w:p>
        </w:tc>
        <w:tc>
          <w:tcPr>
            <w:tcW w:w="4360" w:type="dxa"/>
          </w:tcPr>
          <w:p w14:paraId="4D45815B" w14:textId="77777777" w:rsidR="00500337" w:rsidRDefault="00AC7CFC" w:rsidP="00500337">
            <w:pPr>
              <w:ind w:left="0" w:right="0"/>
            </w:pPr>
            <w:r>
              <w:t>14 October 2019</w:t>
            </w:r>
          </w:p>
        </w:tc>
      </w:tr>
      <w:tr w:rsidR="00500337" w14:paraId="7C8D2C9C" w14:textId="77777777" w:rsidTr="00500337">
        <w:tc>
          <w:tcPr>
            <w:tcW w:w="4360" w:type="dxa"/>
          </w:tcPr>
          <w:p w14:paraId="1FA91FD6" w14:textId="77777777" w:rsidR="00500337" w:rsidRDefault="00500337" w:rsidP="00AC7CFC">
            <w:pPr>
              <w:ind w:left="0" w:right="0"/>
            </w:pPr>
            <w:r>
              <w:t xml:space="preserve">Delegate’s </w:t>
            </w:r>
            <w:r w:rsidR="00AC7CFC">
              <w:t>Overall benefit-risk assessment</w:t>
            </w:r>
          </w:p>
        </w:tc>
        <w:tc>
          <w:tcPr>
            <w:tcW w:w="4360" w:type="dxa"/>
          </w:tcPr>
          <w:p w14:paraId="363724D7" w14:textId="77777777" w:rsidR="00500337" w:rsidRDefault="00AC7CFC" w:rsidP="00500337">
            <w:pPr>
              <w:ind w:left="0" w:right="0"/>
            </w:pPr>
            <w:r>
              <w:t>28 December 2019</w:t>
            </w:r>
          </w:p>
        </w:tc>
      </w:tr>
      <w:tr w:rsidR="00500337" w14:paraId="4E94CB3E" w14:textId="77777777" w:rsidTr="00500337">
        <w:tc>
          <w:tcPr>
            <w:tcW w:w="4360" w:type="dxa"/>
          </w:tcPr>
          <w:p w14:paraId="4EF55B13" w14:textId="77777777" w:rsidR="00500337" w:rsidRDefault="00500337" w:rsidP="00500337">
            <w:pPr>
              <w:ind w:left="0" w:right="0"/>
            </w:pPr>
            <w:r>
              <w:lastRenderedPageBreak/>
              <w:t>Sponsor’s pre-Advisory Committee response</w:t>
            </w:r>
          </w:p>
        </w:tc>
        <w:tc>
          <w:tcPr>
            <w:tcW w:w="4360" w:type="dxa"/>
          </w:tcPr>
          <w:p w14:paraId="35B3D23A" w14:textId="77777777" w:rsidR="00500337" w:rsidRDefault="00AC7CFC" w:rsidP="00500337">
            <w:pPr>
              <w:ind w:left="0" w:right="0"/>
            </w:pPr>
            <w:r>
              <w:t>Not applicable</w:t>
            </w:r>
          </w:p>
        </w:tc>
      </w:tr>
      <w:tr w:rsidR="00500337" w14:paraId="640201FE" w14:textId="77777777" w:rsidTr="00500337">
        <w:tc>
          <w:tcPr>
            <w:tcW w:w="4360" w:type="dxa"/>
          </w:tcPr>
          <w:p w14:paraId="3D45F100" w14:textId="77777777" w:rsidR="00500337" w:rsidRDefault="00500337" w:rsidP="00500337">
            <w:pPr>
              <w:ind w:left="0" w:right="0"/>
            </w:pPr>
            <w:r>
              <w:t>Advisory Committee meeting</w:t>
            </w:r>
          </w:p>
        </w:tc>
        <w:tc>
          <w:tcPr>
            <w:tcW w:w="4360" w:type="dxa"/>
          </w:tcPr>
          <w:p w14:paraId="3F3B60EC" w14:textId="77777777" w:rsidR="00500337" w:rsidRDefault="00AC7CFC" w:rsidP="00500337">
            <w:pPr>
              <w:ind w:left="0" w:right="0"/>
            </w:pPr>
            <w:r>
              <w:t>Not applicable</w:t>
            </w:r>
          </w:p>
        </w:tc>
      </w:tr>
      <w:tr w:rsidR="00500337" w14:paraId="08F14F14" w14:textId="77777777" w:rsidTr="00500337">
        <w:tc>
          <w:tcPr>
            <w:tcW w:w="4360" w:type="dxa"/>
          </w:tcPr>
          <w:p w14:paraId="3C135952" w14:textId="77777777" w:rsidR="00500337" w:rsidRDefault="00500337" w:rsidP="00500337">
            <w:pPr>
              <w:ind w:left="0" w:right="0"/>
            </w:pPr>
            <w:r>
              <w:t>Registration decision (Outcome)</w:t>
            </w:r>
          </w:p>
        </w:tc>
        <w:tc>
          <w:tcPr>
            <w:tcW w:w="4360" w:type="dxa"/>
          </w:tcPr>
          <w:p w14:paraId="4D5675C8" w14:textId="77777777" w:rsidR="00500337" w:rsidRDefault="00AC7CFC" w:rsidP="00500337">
            <w:pPr>
              <w:ind w:left="0" w:right="0"/>
            </w:pPr>
            <w:r>
              <w:t>28 January 2020</w:t>
            </w:r>
          </w:p>
        </w:tc>
      </w:tr>
      <w:tr w:rsidR="00500337" w14:paraId="0F35991F" w14:textId="77777777" w:rsidTr="00500337">
        <w:tc>
          <w:tcPr>
            <w:tcW w:w="4360" w:type="dxa"/>
          </w:tcPr>
          <w:p w14:paraId="2C736871" w14:textId="200269B6" w:rsidR="00500337" w:rsidRDefault="00500337" w:rsidP="00500337">
            <w:pPr>
              <w:ind w:left="0" w:right="0"/>
            </w:pPr>
            <w:r>
              <w:t xml:space="preserve">Completion of administrative activities and registration on </w:t>
            </w:r>
            <w:r w:rsidR="006F22BD">
              <w:t xml:space="preserve">the </w:t>
            </w:r>
            <w:r>
              <w:t>ARTG</w:t>
            </w:r>
          </w:p>
        </w:tc>
        <w:tc>
          <w:tcPr>
            <w:tcW w:w="4360" w:type="dxa"/>
          </w:tcPr>
          <w:p w14:paraId="627A770A" w14:textId="77777777" w:rsidR="00500337" w:rsidRDefault="00AC7CFC" w:rsidP="00500337">
            <w:pPr>
              <w:ind w:left="0" w:right="0"/>
            </w:pPr>
            <w:r>
              <w:t>31 January 2020</w:t>
            </w:r>
          </w:p>
        </w:tc>
      </w:tr>
      <w:tr w:rsidR="00500337" w14:paraId="566E1689" w14:textId="77777777" w:rsidTr="00500337">
        <w:tc>
          <w:tcPr>
            <w:tcW w:w="4360" w:type="dxa"/>
          </w:tcPr>
          <w:p w14:paraId="163FEF9D" w14:textId="77777777" w:rsidR="00500337" w:rsidRDefault="00500337" w:rsidP="00500337">
            <w:pPr>
              <w:ind w:left="0" w:right="0"/>
            </w:pPr>
            <w:r>
              <w:t>Number of working days from submission dossier acceptance to registration decision*</w:t>
            </w:r>
          </w:p>
        </w:tc>
        <w:tc>
          <w:tcPr>
            <w:tcW w:w="4360" w:type="dxa"/>
          </w:tcPr>
          <w:p w14:paraId="2DD81A1A" w14:textId="77777777" w:rsidR="00500337" w:rsidRDefault="00AC7CFC" w:rsidP="00500337">
            <w:pPr>
              <w:ind w:left="0" w:right="0"/>
            </w:pPr>
            <w:r>
              <w:t>203</w:t>
            </w:r>
          </w:p>
        </w:tc>
      </w:tr>
    </w:tbl>
    <w:p w14:paraId="58635D5C" w14:textId="77777777" w:rsidR="00500337" w:rsidRDefault="00500337" w:rsidP="00500337">
      <w:pPr>
        <w:pStyle w:val="TableDescription"/>
      </w:pPr>
      <w:r>
        <w:t>*</w:t>
      </w:r>
      <w:r w:rsidR="00BF3774" w:rsidRPr="00BF3774">
        <w:t xml:space="preserve">Statutory </w:t>
      </w:r>
      <w:r>
        <w:t>timeframe for standard applications is 2</w:t>
      </w:r>
      <w:r w:rsidR="00BF3774">
        <w:t>55</w:t>
      </w:r>
      <w:r>
        <w:t xml:space="preserve"> working days</w:t>
      </w:r>
    </w:p>
    <w:p w14:paraId="77017938" w14:textId="77777777" w:rsidR="008E7846" w:rsidRPr="00792A32" w:rsidRDefault="00456765" w:rsidP="008E7846">
      <w:pPr>
        <w:pStyle w:val="Heading2"/>
      </w:pPr>
      <w:bookmarkStart w:id="27" w:name="_Toc196046504"/>
      <w:bookmarkStart w:id="28" w:name="_Toc247691527"/>
      <w:bookmarkStart w:id="29" w:name="_Toc314842510"/>
      <w:bookmarkStart w:id="30" w:name="_Toc40254844"/>
      <w:bookmarkStart w:id="31" w:name="_Toc163441390"/>
      <w:bookmarkEnd w:id="22"/>
      <w:bookmarkEnd w:id="23"/>
      <w:bookmarkEnd w:id="2"/>
      <w:r>
        <w:t>I</w:t>
      </w:r>
      <w:r w:rsidR="00DA64CB">
        <w:t>I</w:t>
      </w:r>
      <w:r w:rsidR="008E7846">
        <w:t xml:space="preserve">I. </w:t>
      </w:r>
      <w:r w:rsidR="00AC7CFC">
        <w:t>Submission overview</w:t>
      </w:r>
      <w:r w:rsidR="008E7846" w:rsidRPr="00792A32">
        <w:t xml:space="preserve"> and </w:t>
      </w:r>
      <w:r w:rsidR="008E7846">
        <w:t>r</w:t>
      </w:r>
      <w:r w:rsidR="008E7846" w:rsidRPr="00792A32">
        <w:t>isk/</w:t>
      </w:r>
      <w:r w:rsidR="008E7846">
        <w:t>b</w:t>
      </w:r>
      <w:r w:rsidR="008E7846" w:rsidRPr="00792A32">
        <w:t xml:space="preserve">enefit </w:t>
      </w:r>
      <w:r w:rsidR="008E7846">
        <w:t>a</w:t>
      </w:r>
      <w:r w:rsidR="008E7846" w:rsidRPr="00792A32">
        <w:t>ssessment</w:t>
      </w:r>
      <w:bookmarkEnd w:id="27"/>
      <w:bookmarkEnd w:id="28"/>
      <w:bookmarkEnd w:id="29"/>
      <w:bookmarkEnd w:id="30"/>
    </w:p>
    <w:p w14:paraId="0E9461A4" w14:textId="77777777" w:rsidR="008E7846" w:rsidRDefault="008E7846" w:rsidP="008E7846">
      <w:bookmarkStart w:id="32" w:name="_Toc247691528"/>
      <w:r>
        <w:t xml:space="preserve">The submission was summarised in the following </w:t>
      </w:r>
      <w:r w:rsidRPr="00EF5C48">
        <w:t xml:space="preserve">Delegate’s </w:t>
      </w:r>
      <w:r>
        <w:t>overview</w:t>
      </w:r>
      <w:r w:rsidRPr="00EF5C48">
        <w:t xml:space="preserve"> and recommendation</w:t>
      </w:r>
      <w:r w:rsidR="00AC7CFC">
        <w:t>s.</w:t>
      </w:r>
    </w:p>
    <w:p w14:paraId="6D7293A3" w14:textId="77777777" w:rsidR="008E7846" w:rsidRDefault="008E7846" w:rsidP="008E7846">
      <w:pPr>
        <w:pStyle w:val="Heading3"/>
      </w:pPr>
      <w:bookmarkStart w:id="33" w:name="_Toc314842511"/>
      <w:bookmarkStart w:id="34" w:name="_Toc40254845"/>
      <w:r>
        <w:t>Quality</w:t>
      </w:r>
      <w:bookmarkEnd w:id="32"/>
      <w:bookmarkEnd w:id="33"/>
      <w:bookmarkEnd w:id="34"/>
    </w:p>
    <w:p w14:paraId="5F96C3DB" w14:textId="77777777" w:rsidR="00AC7CFC" w:rsidRDefault="00AC7CFC" w:rsidP="00BE3F1E">
      <w:r>
        <w:t xml:space="preserve">The </w:t>
      </w:r>
      <w:r w:rsidR="00BE3F1E">
        <w:t>quality</w:t>
      </w:r>
      <w:r>
        <w:t xml:space="preserve"> evaluator has recommended approval from a </w:t>
      </w:r>
      <w:r w:rsidRPr="009A5861">
        <w:t>pharmaceutical chemistry and biopharmaceutics perspective</w:t>
      </w:r>
      <w:r>
        <w:t>.</w:t>
      </w:r>
    </w:p>
    <w:p w14:paraId="35E49B46" w14:textId="2D1BC470" w:rsidR="00AC7CFC" w:rsidRDefault="007D2CD5" w:rsidP="00BE3F1E">
      <w:r>
        <w:t>At the time of the</w:t>
      </w:r>
      <w:r w:rsidR="00AC7CFC">
        <w:t xml:space="preserve"> evaluation, manufacturing sites have cur</w:t>
      </w:r>
      <w:r>
        <w:t xml:space="preserve">rent and valid </w:t>
      </w:r>
      <w:r w:rsidR="006F22BD">
        <w:t>Good Manufacturing Practice (</w:t>
      </w:r>
      <w:r>
        <w:t>GMP</w:t>
      </w:r>
      <w:r w:rsidR="006F22BD">
        <w:t>)</w:t>
      </w:r>
      <w:r>
        <w:t xml:space="preserve"> clearances.</w:t>
      </w:r>
    </w:p>
    <w:p w14:paraId="1E25A9CB" w14:textId="34E7EC0A" w:rsidR="00AC7CFC" w:rsidRDefault="007D2CD5" w:rsidP="00BE3F1E">
      <w:r>
        <w:t>Outstanding labelling issue: t</w:t>
      </w:r>
      <w:r w:rsidR="00AC7CFC">
        <w:t xml:space="preserve">he sponsor has few batches of Cequa with </w:t>
      </w:r>
      <w:r w:rsidR="00AC7CFC" w:rsidRPr="009D01A1">
        <w:t xml:space="preserve">the labels </w:t>
      </w:r>
      <w:r w:rsidR="00AC7CFC">
        <w:t xml:space="preserve">that </w:t>
      </w:r>
      <w:r w:rsidR="00AC7CFC" w:rsidRPr="009D01A1">
        <w:t>do not comply with th</w:t>
      </w:r>
      <w:r w:rsidR="00AC7CFC">
        <w:t xml:space="preserve">e requirements of </w:t>
      </w:r>
      <w:r w:rsidR="00AC7CFC" w:rsidRPr="009D01A1">
        <w:t>TGO 91.</w:t>
      </w:r>
      <w:r w:rsidR="00AD78A4">
        <w:rPr>
          <w:rStyle w:val="FootnoteReference"/>
        </w:rPr>
        <w:footnoteReference w:id="3"/>
      </w:r>
      <w:r w:rsidR="00AD78A4">
        <w:t xml:space="preserve"> </w:t>
      </w:r>
      <w:r w:rsidR="00AC7CFC">
        <w:t xml:space="preserve">The issue is that the </w:t>
      </w:r>
      <w:r w:rsidR="00AC7CFC" w:rsidRPr="002E70CA">
        <w:t>ampoule labels do not give th</w:t>
      </w:r>
      <w:r w:rsidR="00AC7CFC">
        <w:t xml:space="preserve">e batch number prefix, </w:t>
      </w:r>
      <w:r w:rsidR="00AC7CFC" w:rsidRPr="002E70CA">
        <w:t xml:space="preserve">as required by section 10(12) of TGO 91. </w:t>
      </w:r>
      <w:r w:rsidR="00AC7CFC">
        <w:t xml:space="preserve">The evaluator has indicated that, </w:t>
      </w:r>
      <w:r w:rsidR="00AC7CFC" w:rsidRPr="00F41EA5">
        <w:t>if the sponsor is planning to market the produc</w:t>
      </w:r>
      <w:r w:rsidR="00AC7CFC">
        <w:t>t with the non-compliant labels,</w:t>
      </w:r>
      <w:r w:rsidR="00AC7CFC" w:rsidRPr="00F41EA5">
        <w:t xml:space="preserve"> </w:t>
      </w:r>
      <w:r w:rsidR="00AC7CFC">
        <w:t>the sponsor should comply with the recommendations of the evaluator that w</w:t>
      </w:r>
      <w:r w:rsidR="006F22BD">
        <w:t>ere</w:t>
      </w:r>
      <w:r w:rsidR="00AC7CFC">
        <w:t xml:space="preserve"> ma</w:t>
      </w:r>
      <w:r>
        <w:t xml:space="preserve">de following the assessment of </w:t>
      </w:r>
      <w:r w:rsidR="006F22BD">
        <w:t xml:space="preserve">the </w:t>
      </w:r>
      <w:r>
        <w:t xml:space="preserve">Section </w:t>
      </w:r>
      <w:r w:rsidR="00AC7CFC">
        <w:t>14 exemption application submitted d</w:t>
      </w:r>
      <w:r w:rsidR="007847AE">
        <w:t>uring the evaluation process.</w:t>
      </w:r>
    </w:p>
    <w:p w14:paraId="25EF90A9" w14:textId="77777777" w:rsidR="00AC7CFC" w:rsidRPr="00BE3F1E" w:rsidRDefault="00BE3F1E" w:rsidP="00BE3F1E">
      <w:r>
        <w:t>The D</w:t>
      </w:r>
      <w:r w:rsidR="00AC7CFC">
        <w:t>elegate agrees with the evaluator’s conclusions and the following will be the conditio</w:t>
      </w:r>
      <w:r w:rsidR="007847AE">
        <w:t xml:space="preserve">ns for marketing, based on the Section </w:t>
      </w:r>
      <w:r w:rsidR="00AC7CFC">
        <w:t>14 exempt</w:t>
      </w:r>
      <w:r>
        <w:t>ion granted.</w:t>
      </w:r>
      <w:r w:rsidR="007847AE">
        <w:rPr>
          <w:rStyle w:val="FootnoteReference"/>
        </w:rPr>
        <w:footnoteReference w:id="4"/>
      </w:r>
    </w:p>
    <w:p w14:paraId="728D7AE8" w14:textId="77777777" w:rsidR="00AC7CFC" w:rsidRPr="00AD7A2F" w:rsidRDefault="00BE3F1E" w:rsidP="00BE3F1E">
      <w:pPr>
        <w:ind w:left="720"/>
      </w:pPr>
      <w:r>
        <w:t>‘As a D</w:t>
      </w:r>
      <w:r w:rsidR="00AC7CFC" w:rsidRPr="00AD7A2F">
        <w:t>ele</w:t>
      </w:r>
      <w:r w:rsidR="007D2CD5">
        <w:t>gate to the Secretary under to S</w:t>
      </w:r>
      <w:r w:rsidR="00AC7CFC" w:rsidRPr="00AD7A2F">
        <w:t>ections 14 and 14A of the Act, I consent to the importation and supply in Australia of the above products that do not conform to the requirements of paragraph 10(12)(d) of Therapeutic Goods Order No 91 Standard for labels of prescription and related medicines (TGO 91), in that the batch number prefix is not included on ampoule label.</w:t>
      </w:r>
    </w:p>
    <w:p w14:paraId="38B11C7B" w14:textId="77777777" w:rsidR="00AC7CFC" w:rsidRPr="00AD7A2F" w:rsidRDefault="00AC7CFC" w:rsidP="00BE3F1E">
      <w:pPr>
        <w:ind w:left="720"/>
      </w:pPr>
      <w:r w:rsidRPr="00AD7A2F">
        <w:lastRenderedPageBreak/>
        <w:t>The consent is effective from the date of this letter until 5 November 2021, unless, an update to TGO 91 not requiring this information to be on very small containers, precedes this date.</w:t>
      </w:r>
    </w:p>
    <w:p w14:paraId="7D9E5A72" w14:textId="77777777" w:rsidR="00AC7CFC" w:rsidRPr="00AD7A2F" w:rsidRDefault="007D2CD5" w:rsidP="00BE3F1E">
      <w:pPr>
        <w:ind w:left="720"/>
      </w:pPr>
      <w:r>
        <w:t>As a Delegate under S</w:t>
      </w:r>
      <w:r w:rsidR="00AC7CFC" w:rsidRPr="00AD7A2F">
        <w:t>ection 15 of the Act, I impose under subsection 15(1) the following conditions on that consent:</w:t>
      </w:r>
    </w:p>
    <w:p w14:paraId="3F00B75B" w14:textId="77777777" w:rsidR="00AC7CFC" w:rsidRPr="00AD7A2F" w:rsidRDefault="00AC7CFC" w:rsidP="00BE3F1E">
      <w:pPr>
        <w:pStyle w:val="Numberbullet0"/>
        <w:ind w:left="1145"/>
      </w:pPr>
      <w:r w:rsidRPr="00AD7A2F">
        <w:t>The ampoule labels must include the batch number.</w:t>
      </w:r>
    </w:p>
    <w:p w14:paraId="19870649" w14:textId="77777777" w:rsidR="00AC7CFC" w:rsidRPr="00AD7A2F" w:rsidRDefault="00AC7CFC" w:rsidP="00BE3F1E">
      <w:pPr>
        <w:pStyle w:val="Numberbullet0"/>
        <w:ind w:left="1145"/>
      </w:pPr>
      <w:r w:rsidRPr="00AD7A2F">
        <w:t>The associated carton and pouch labels must include the batch number prefix and batch number.</w:t>
      </w:r>
    </w:p>
    <w:p w14:paraId="6C08EB65" w14:textId="77777777" w:rsidR="00AC7CFC" w:rsidRPr="00AD7A2F" w:rsidRDefault="00AC7CFC" w:rsidP="00BE3F1E">
      <w:pPr>
        <w:pStyle w:val="Numberbullet0"/>
        <w:ind w:left="1145"/>
      </w:pPr>
      <w:r w:rsidRPr="00AD7A2F">
        <w:t>The associated carton and pouch labels must include instructions that unused ampoules must be stored in the associated pouch.</w:t>
      </w:r>
    </w:p>
    <w:p w14:paraId="2D3B6978" w14:textId="77777777" w:rsidR="00AC7CFC" w:rsidRPr="00AD7A2F" w:rsidRDefault="007D2CD5" w:rsidP="00BE3F1E">
      <w:pPr>
        <w:ind w:left="720"/>
      </w:pPr>
      <w:r>
        <w:t>It is an offence under S</w:t>
      </w:r>
      <w:r w:rsidR="00AC7CFC" w:rsidRPr="00AD7A2F">
        <w:t xml:space="preserve">ection 15 of the </w:t>
      </w:r>
      <w:r>
        <w:t>Act, and a civil penalty under S</w:t>
      </w:r>
      <w:r w:rsidR="00AC7CFC" w:rsidRPr="00AD7A2F">
        <w:t xml:space="preserve">ection 15AA of the Act may be payable, for breach </w:t>
      </w:r>
      <w:r w:rsidR="00BE3F1E">
        <w:t>of a condition of this consent.</w:t>
      </w:r>
    </w:p>
    <w:p w14:paraId="5B49EA19" w14:textId="77777777" w:rsidR="00AC7CFC" w:rsidRPr="00AD7A2F" w:rsidRDefault="00AC7CFC" w:rsidP="00BE3F1E">
      <w:pPr>
        <w:ind w:left="720"/>
      </w:pPr>
      <w:r w:rsidRPr="00AD7A2F">
        <w:t xml:space="preserve">Sections 14, 14A, 15 and 15AA of the Act can be found online at the following link: </w:t>
      </w:r>
      <w:hyperlink r:id="rId20" w:history="1">
        <w:r w:rsidRPr="003743C6">
          <w:rPr>
            <w:rStyle w:val="Hyperlink"/>
            <w:rFonts w:asciiTheme="minorHAnsi" w:hAnsiTheme="minorHAnsi"/>
            <w:i/>
          </w:rPr>
          <w:t>https://www.legislation.gov.au/Details/C2014C00410</w:t>
        </w:r>
      </w:hyperlink>
      <w:r w:rsidR="00AD78A4">
        <w:t>.</w:t>
      </w:r>
    </w:p>
    <w:p w14:paraId="3DA6A231" w14:textId="77777777" w:rsidR="00E45619" w:rsidRDefault="00AC7CFC" w:rsidP="00BE3F1E">
      <w:pPr>
        <w:ind w:left="720"/>
      </w:pPr>
      <w:r w:rsidRPr="00AD7A2F">
        <w:t xml:space="preserve">This registration approval and consent are based on the evaluation of the information and data provided with the original letter of application and with any subsequent correspondence and submissions </w:t>
      </w:r>
      <w:r w:rsidR="00BE3F1E">
        <w:t>relating to the application.’</w:t>
      </w:r>
    </w:p>
    <w:p w14:paraId="3CA8F4DD" w14:textId="77777777" w:rsidR="008E7846" w:rsidRDefault="008E7846" w:rsidP="008E7846">
      <w:pPr>
        <w:pStyle w:val="Heading3"/>
      </w:pPr>
      <w:bookmarkStart w:id="35" w:name="_Toc314842512"/>
      <w:bookmarkStart w:id="36" w:name="_Toc40254846"/>
      <w:r>
        <w:t>Nonclinical</w:t>
      </w:r>
      <w:bookmarkEnd w:id="35"/>
      <w:bookmarkEnd w:id="36"/>
    </w:p>
    <w:p w14:paraId="38C68B91" w14:textId="77777777" w:rsidR="007847AE" w:rsidRDefault="007847AE" w:rsidP="007847AE">
      <w:r>
        <w:t>The following conclusions and recommendations were summarised in the nonclinical evaluation:</w:t>
      </w:r>
    </w:p>
    <w:p w14:paraId="33E505E1" w14:textId="77777777" w:rsidR="00AC7CFC" w:rsidRDefault="00AC7CFC" w:rsidP="007847AE">
      <w:pPr>
        <w:pStyle w:val="ListBullet"/>
      </w:pPr>
      <w:r>
        <w:t xml:space="preserve">Repeat-dose studies in rabbits support the local ocular tolerability of </w:t>
      </w:r>
      <w:r w:rsidRPr="007847AE">
        <w:t>Cequa</w:t>
      </w:r>
      <w:r>
        <w:t xml:space="preserve"> eye drops (with regard to ciclosporin and the excipients used, including octoxinol 40) and an absence of systemic toxicity.</w:t>
      </w:r>
    </w:p>
    <w:p w14:paraId="741F5829" w14:textId="77777777" w:rsidR="00AC7CFC" w:rsidRDefault="00AC7CFC" w:rsidP="007847AE">
      <w:pPr>
        <w:pStyle w:val="ListBullet"/>
      </w:pPr>
      <w:r>
        <w:t xml:space="preserve">There are no nonclinical objections to the registration of </w:t>
      </w:r>
      <w:r w:rsidRPr="007847AE">
        <w:t>Cequa</w:t>
      </w:r>
      <w:r>
        <w:t xml:space="preserve"> for the proposed indication.</w:t>
      </w:r>
    </w:p>
    <w:p w14:paraId="71860B69" w14:textId="77777777" w:rsidR="008E7846" w:rsidRDefault="00AC7CFC" w:rsidP="007847AE">
      <w:pPr>
        <w:pStyle w:val="ListBullet"/>
      </w:pPr>
      <w:r>
        <w:t xml:space="preserve">The draft </w:t>
      </w:r>
      <w:r w:rsidR="007847AE">
        <w:t>PI</w:t>
      </w:r>
      <w:r>
        <w:t xml:space="preserve"> document should be amended as directed. Of particular note, this product should be assigned to Pregnancy Category C</w:t>
      </w:r>
      <w:r w:rsidR="007847AE">
        <w:t>;</w:t>
      </w:r>
      <w:r w:rsidR="007847AE">
        <w:rPr>
          <w:rStyle w:val="FootnoteReference"/>
        </w:rPr>
        <w:footnoteReference w:id="5"/>
      </w:r>
      <w:r>
        <w:t xml:space="preserve"> rather than B2</w:t>
      </w:r>
      <w:r w:rsidR="007847AE">
        <w:t>;</w:t>
      </w:r>
      <w:r w:rsidR="007847AE">
        <w:rPr>
          <w:rStyle w:val="FootnoteReference"/>
        </w:rPr>
        <w:footnoteReference w:id="6"/>
      </w:r>
      <w:r>
        <w:t xml:space="preserve"> as the sponsor proposes.</w:t>
      </w:r>
    </w:p>
    <w:p w14:paraId="3E70B85A" w14:textId="77777777" w:rsidR="008E7846" w:rsidRDefault="008E7846" w:rsidP="008E7846">
      <w:pPr>
        <w:pStyle w:val="Heading3"/>
      </w:pPr>
      <w:bookmarkStart w:id="37" w:name="_Toc247691530"/>
      <w:bookmarkStart w:id="38" w:name="_Toc314842513"/>
      <w:bookmarkStart w:id="39" w:name="_Toc40254847"/>
      <w:r>
        <w:t>Clinical</w:t>
      </w:r>
      <w:bookmarkEnd w:id="37"/>
      <w:bookmarkEnd w:id="38"/>
      <w:bookmarkEnd w:id="39"/>
    </w:p>
    <w:p w14:paraId="055D1C41" w14:textId="77777777" w:rsidR="00AC7CFC" w:rsidRPr="007847AE" w:rsidRDefault="00AC7CFC" w:rsidP="007847AE">
      <w:bookmarkStart w:id="40" w:name="_Toc314842514"/>
      <w:r w:rsidRPr="004D5BCC">
        <w:t>The clinical evaluator has recommended approval of Cequa for the proposed indication.</w:t>
      </w:r>
    </w:p>
    <w:p w14:paraId="6011AEFF" w14:textId="77777777" w:rsidR="00AC7CFC" w:rsidRDefault="00AC7CFC" w:rsidP="001A03B1">
      <w:pPr>
        <w:pStyle w:val="Heading4"/>
      </w:pPr>
      <w:r w:rsidRPr="003F08CF">
        <w:lastRenderedPageBreak/>
        <w:t>Pharmacology</w:t>
      </w:r>
    </w:p>
    <w:p w14:paraId="21734E1F" w14:textId="77777777" w:rsidR="00AC7CFC" w:rsidRDefault="007847AE" w:rsidP="007847AE">
      <w:pPr>
        <w:pStyle w:val="Heading5"/>
      </w:pPr>
      <w:r>
        <w:t>Pharmacokinetics</w:t>
      </w:r>
    </w:p>
    <w:p w14:paraId="5F88BACD" w14:textId="77777777" w:rsidR="00AC7CFC" w:rsidRDefault="006E5651" w:rsidP="007847AE">
      <w:r w:rsidRPr="00A92E0A">
        <w:rPr>
          <w:i/>
        </w:rPr>
        <w:t>Bioavailability</w:t>
      </w:r>
      <w:r>
        <w:t>: t</w:t>
      </w:r>
      <w:r w:rsidR="00AC7CFC">
        <w:t xml:space="preserve">he </w:t>
      </w:r>
      <w:r>
        <w:t>pharmacokinetic (</w:t>
      </w:r>
      <w:r w:rsidR="00AC7CFC">
        <w:t>PK</w:t>
      </w:r>
      <w:r>
        <w:t>)</w:t>
      </w:r>
      <w:r w:rsidR="00AC7CFC">
        <w:t xml:space="preserve"> information was based on findings of a single study. Following ocular administration, majority of systemic levels of ciclosporin were below </w:t>
      </w:r>
      <w:r>
        <w:t xml:space="preserve">the </w:t>
      </w:r>
      <w:r w:rsidRPr="00E668FD">
        <w:t>lower limit of quantitation</w:t>
      </w:r>
      <w:r>
        <w:t xml:space="preserve"> (</w:t>
      </w:r>
      <w:r w:rsidR="00AC7CFC">
        <w:t>LLOQ</w:t>
      </w:r>
      <w:r>
        <w:t>)</w:t>
      </w:r>
      <w:r w:rsidR="00AC7CFC">
        <w:t>.</w:t>
      </w:r>
    </w:p>
    <w:p w14:paraId="1B732583" w14:textId="77777777" w:rsidR="00AC7CFC" w:rsidRDefault="007847AE" w:rsidP="007847AE">
      <w:pPr>
        <w:pStyle w:val="Heading5"/>
      </w:pPr>
      <w:r>
        <w:t>Pharmacodynamics</w:t>
      </w:r>
    </w:p>
    <w:p w14:paraId="2B72E0AB" w14:textId="77777777" w:rsidR="00AC7CFC" w:rsidRDefault="00AC7CFC" w:rsidP="007847AE">
      <w:r>
        <w:t xml:space="preserve">No </w:t>
      </w:r>
      <w:r w:rsidR="006E5651">
        <w:t>pharmacodynamic (</w:t>
      </w:r>
      <w:r>
        <w:t>PD</w:t>
      </w:r>
      <w:r w:rsidR="006E5651">
        <w:t>)</w:t>
      </w:r>
      <w:r>
        <w:t xml:space="preserve"> studies we</w:t>
      </w:r>
      <w:r w:rsidR="007847AE">
        <w:t>re included in this submission.</w:t>
      </w:r>
    </w:p>
    <w:p w14:paraId="7121BDEF" w14:textId="77777777" w:rsidR="00AC7CFC" w:rsidRPr="007847AE" w:rsidRDefault="00AC7CFC" w:rsidP="007847AE">
      <w:pPr>
        <w:pStyle w:val="Heading4"/>
      </w:pPr>
      <w:r w:rsidRPr="00A80944">
        <w:t>Clinical</w:t>
      </w:r>
      <w:r w:rsidR="007847AE">
        <w:t xml:space="preserve"> efficacy</w:t>
      </w:r>
    </w:p>
    <w:p w14:paraId="36807468" w14:textId="67094684" w:rsidR="00AC7CFC" w:rsidRDefault="009A3D29" w:rsidP="007847AE">
      <w:r>
        <w:t>The t</w:t>
      </w:r>
      <w:r w:rsidR="00AC7CFC">
        <w:t>wo</w:t>
      </w:r>
      <w:r w:rsidR="00AC7CFC" w:rsidRPr="00A80944">
        <w:t xml:space="preserve"> pivotal efficacy/safety studies </w:t>
      </w:r>
      <w:r w:rsidR="00AC7CFC">
        <w:t xml:space="preserve">in this submission are </w:t>
      </w:r>
      <w:r w:rsidR="006E5651">
        <w:t xml:space="preserve">Studies </w:t>
      </w:r>
      <w:r w:rsidR="00AC7CFC" w:rsidRPr="00A80944">
        <w:t>OTX-101-2014-001 and OTX-101-2016-</w:t>
      </w:r>
      <w:r w:rsidR="006E5651">
        <w:t>001.</w:t>
      </w:r>
    </w:p>
    <w:p w14:paraId="78FE99E9" w14:textId="1C0A752F" w:rsidR="00AC7CFC" w:rsidRDefault="00AC7CFC" w:rsidP="007847AE">
      <w:r w:rsidRPr="00A80944">
        <w:t>Study OTX-101-20</w:t>
      </w:r>
      <w:r w:rsidR="006E5651">
        <w:t>14-001 is a dose-ranging Phase IIb/III</w:t>
      </w:r>
      <w:r w:rsidRPr="00A80944">
        <w:t xml:space="preserve"> study that compared two concent</w:t>
      </w:r>
      <w:r w:rsidR="006E5651">
        <w:t xml:space="preserve">rations of OTX-101 </w:t>
      </w:r>
      <w:r w:rsidR="00253648">
        <w:t>ciclosporin</w:t>
      </w:r>
      <w:r w:rsidR="006E5651">
        <w:t xml:space="preserve"> (0.05% and 0.09%)</w:t>
      </w:r>
      <w:r w:rsidR="007D2CD5">
        <w:t xml:space="preserve"> against v</w:t>
      </w:r>
      <w:r w:rsidRPr="00A80944">
        <w:t>ehicle.</w:t>
      </w:r>
      <w:r w:rsidR="009A3D29">
        <w:rPr>
          <w:rStyle w:val="FootnoteReference"/>
        </w:rPr>
        <w:footnoteReference w:id="7"/>
      </w:r>
    </w:p>
    <w:p w14:paraId="5A638192" w14:textId="77777777" w:rsidR="00AC7CFC" w:rsidRDefault="00AC7CFC" w:rsidP="007847AE">
      <w:r>
        <w:t>S</w:t>
      </w:r>
      <w:r w:rsidR="006E5651">
        <w:t>tudy OTX-101-2016-001 is Phase III</w:t>
      </w:r>
      <w:r>
        <w:t xml:space="preserve"> study that compared OTX-101 </w:t>
      </w:r>
      <w:r w:rsidR="00253648">
        <w:t>ciclosporin</w:t>
      </w:r>
      <w:r w:rsidR="007D2CD5">
        <w:t xml:space="preserve"> 0.09% against v</w:t>
      </w:r>
      <w:r w:rsidR="007847AE">
        <w:t>ehicle.</w:t>
      </w:r>
    </w:p>
    <w:p w14:paraId="366E96AE" w14:textId="77777777" w:rsidR="00AC7CFC" w:rsidRPr="0041636F" w:rsidRDefault="00AC7CFC" w:rsidP="007847AE">
      <w:pPr>
        <w:pStyle w:val="Heading5"/>
      </w:pPr>
      <w:r w:rsidRPr="0041636F">
        <w:t>Study OTX-101-2014-001</w:t>
      </w:r>
    </w:p>
    <w:p w14:paraId="4B97667B" w14:textId="77777777" w:rsidR="00AC7CFC" w:rsidRPr="008B7783" w:rsidRDefault="00AC7CFC" w:rsidP="007847AE">
      <w:r w:rsidRPr="0083782B">
        <w:rPr>
          <w:b/>
        </w:rPr>
        <w:t>Study design</w:t>
      </w:r>
      <w:r w:rsidRPr="008B7783">
        <w:t xml:space="preserve">: multicentre, </w:t>
      </w:r>
      <w:r w:rsidR="007D2CD5" w:rsidRPr="008B7783">
        <w:t>dose ranging</w:t>
      </w:r>
      <w:r w:rsidRPr="008B7783">
        <w:t xml:space="preserve">, </w:t>
      </w:r>
      <w:r w:rsidR="006E5651" w:rsidRPr="008B7783">
        <w:t>randomised controlled trial (</w:t>
      </w:r>
      <w:r w:rsidRPr="008B7783">
        <w:t>RCT</w:t>
      </w:r>
      <w:r w:rsidR="006E5651" w:rsidRPr="008B7783">
        <w:t>)</w:t>
      </w:r>
      <w:r w:rsidRPr="008B7783">
        <w:t>.</w:t>
      </w:r>
    </w:p>
    <w:p w14:paraId="0A434B49" w14:textId="014D3780" w:rsidR="00AC7CFC" w:rsidRPr="008B7783" w:rsidRDefault="00AC7CFC" w:rsidP="007847AE">
      <w:r w:rsidRPr="008B7783">
        <w:t>Adult patients with a patient-reported history of KCS for at least 6 months were recruited. They were required to have a clinical diagnosis of bilateral KCS, and a Snellen visual acuity (VA) &gt; 20/200 in both eyes.</w:t>
      </w:r>
      <w:r w:rsidR="009F1FFA" w:rsidRPr="008B7783">
        <w:rPr>
          <w:rStyle w:val="FootnoteReference"/>
        </w:rPr>
        <w:footnoteReference w:id="8"/>
      </w:r>
      <w:r w:rsidRPr="008B7783">
        <w:t xml:space="preserve"> Lissamine green conjunctival staining</w:t>
      </w:r>
      <w:r w:rsidR="00AB0E16">
        <w:t>;</w:t>
      </w:r>
      <w:r w:rsidR="00AB0E16">
        <w:rPr>
          <w:rStyle w:val="FootnoteReference"/>
        </w:rPr>
        <w:footnoteReference w:id="9"/>
      </w:r>
      <w:r w:rsidRPr="008B7783">
        <w:t xml:space="preserve"> sum score of </w:t>
      </w:r>
      <w:r w:rsidR="00C077C8">
        <w:t>≥</w:t>
      </w:r>
      <w:r w:rsidRPr="008B7783">
        <w:t xml:space="preserve"> 3 to</w:t>
      </w:r>
      <w:r w:rsidR="00C077C8">
        <w:t>≤</w:t>
      </w:r>
      <w:r w:rsidR="00E34C09">
        <w:t> </w:t>
      </w:r>
      <w:r w:rsidRPr="008B7783">
        <w:t xml:space="preserve">9 out of a total possible score of 12 in the same eye, and a global </w:t>
      </w:r>
      <w:r w:rsidR="009F1FFA" w:rsidRPr="008B7783">
        <w:rPr>
          <w:lang w:val="en"/>
        </w:rPr>
        <w:t>Symptom Assessment iN Dry Eye (</w:t>
      </w:r>
      <w:r w:rsidRPr="008B7783">
        <w:t>SANDE</w:t>
      </w:r>
      <w:r w:rsidR="009F1FFA" w:rsidRPr="008B7783">
        <w:t>)</w:t>
      </w:r>
      <w:r w:rsidR="00C10CFD" w:rsidRPr="008B7783">
        <w:t>;</w:t>
      </w:r>
      <w:r w:rsidR="00C10CFD" w:rsidRPr="008B7783">
        <w:rPr>
          <w:rStyle w:val="FootnoteReference"/>
        </w:rPr>
        <w:footnoteReference w:id="10"/>
      </w:r>
      <w:r w:rsidRPr="008B7783">
        <w:t xml:space="preserve"> symptom score for symptoms of dryness and/or irritation rated by the subject as </w:t>
      </w:r>
      <w:r w:rsidR="00C077C8">
        <w:t>≥</w:t>
      </w:r>
      <w:r w:rsidRPr="008B7783">
        <w:t xml:space="preserve"> 40mm on a 100</w:t>
      </w:r>
      <w:r w:rsidR="00AB0E16">
        <w:t xml:space="preserve"> </w:t>
      </w:r>
      <w:r w:rsidRPr="008B7783">
        <w:t>mm scale wer</w:t>
      </w:r>
      <w:r w:rsidR="007847AE" w:rsidRPr="008B7783">
        <w:t>e other key inclusion criteria.</w:t>
      </w:r>
    </w:p>
    <w:p w14:paraId="52ABF7C0" w14:textId="77777777" w:rsidR="00AC7CFC" w:rsidRPr="008B7783" w:rsidRDefault="00AC7CFC" w:rsidP="007847AE">
      <w:r w:rsidRPr="008B7783">
        <w:t>Eligible patients were administered with twice daily vehicle to both eyes for 14 days. Following run-in, patients who continued to meet the lissamine green conjunctival staining score and global SANDE symptom score inclusion criteria in at least one eye were randomised at Baseline (Day 0) into 1 of 2 treatment group</w:t>
      </w:r>
      <w:r w:rsidR="008B7783">
        <w:t>s and received treatment for 12 </w:t>
      </w:r>
      <w:r w:rsidRPr="008B7783">
        <w:t>weeks. 0.09% and 0.05% OTX-101 (ciclosporin) oph</w:t>
      </w:r>
      <w:r w:rsidR="008B7783">
        <w:t>thalmic solution, and matching v</w:t>
      </w:r>
      <w:r w:rsidRPr="008B7783">
        <w:t>ehicle ophthalmic solution (placebo) were administered topically 1 drop in each eye twice daily for a duration of twelve weeks (84 days).</w:t>
      </w:r>
    </w:p>
    <w:p w14:paraId="2A4C5E7D" w14:textId="77777777" w:rsidR="00AC7CFC" w:rsidRPr="008B7783" w:rsidRDefault="00AC7CFC" w:rsidP="007847AE">
      <w:r w:rsidRPr="008B7783">
        <w:t>A total of 455 subjects were randomised: 152 to the OTX-101 ciclosporin 0.09% group, 151 to the OTX-101 ciclospor</w:t>
      </w:r>
      <w:r w:rsidR="008B7783">
        <w:t>in 0.05% group, and 152 to the v</w:t>
      </w:r>
      <w:r w:rsidRPr="008B7783">
        <w:t>ehicle group.</w:t>
      </w:r>
    </w:p>
    <w:p w14:paraId="4ED19DCD" w14:textId="77777777" w:rsidR="007D2CD5" w:rsidRDefault="007D2CD5" w:rsidP="007D2CD5">
      <w:pPr>
        <w:pStyle w:val="Heading6"/>
      </w:pPr>
      <w:r>
        <w:lastRenderedPageBreak/>
        <w:t>Results</w:t>
      </w:r>
    </w:p>
    <w:p w14:paraId="5A9FAABF" w14:textId="77777777" w:rsidR="00AC7CFC" w:rsidRDefault="00AC7CFC" w:rsidP="007847AE">
      <w:r w:rsidRPr="008B7783">
        <w:t>Co-primary efficacy endpoints:</w:t>
      </w:r>
    </w:p>
    <w:p w14:paraId="3A664318" w14:textId="77777777" w:rsidR="00AC7CFC" w:rsidRDefault="00AC7CFC" w:rsidP="007847AE">
      <w:pPr>
        <w:pStyle w:val="ListBullet"/>
      </w:pPr>
      <w:r w:rsidRPr="00B1210A">
        <w:t xml:space="preserve">A mean change of -0.7 and -0.6 was reported for conjunctival staining </w:t>
      </w:r>
      <w:r w:rsidR="008B7783">
        <w:t xml:space="preserve">score at Day 84 for </w:t>
      </w:r>
      <w:r w:rsidR="007D2CD5">
        <w:t>ciclosporin</w:t>
      </w:r>
      <w:r w:rsidRPr="00B1210A">
        <w:t xml:space="preserve"> 0.05% and 0.09% groups</w:t>
      </w:r>
      <w:r w:rsidR="007D2CD5">
        <w:t>,</w:t>
      </w:r>
      <w:r w:rsidRPr="00B1210A">
        <w:t xml:space="preserve"> respectively, compared to vehicle. The treatment difference</w:t>
      </w:r>
      <w:r w:rsidR="008B7783">
        <w:t xml:space="preserve"> was statistically significant.</w:t>
      </w:r>
    </w:p>
    <w:p w14:paraId="0028C42B" w14:textId="1EE7A7ED" w:rsidR="00AC7CFC" w:rsidRPr="007847AE" w:rsidRDefault="008B7783" w:rsidP="007847AE">
      <w:pPr>
        <w:pStyle w:val="ListBullet"/>
      </w:pPr>
      <w:r>
        <w:t>Mean changes from B</w:t>
      </w:r>
      <w:r w:rsidR="00AC7CFC" w:rsidRPr="00B1210A">
        <w:t xml:space="preserve">aseline in global </w:t>
      </w:r>
      <w:r w:rsidR="0074606A">
        <w:t xml:space="preserve">SANDE </w:t>
      </w:r>
      <w:r w:rsidR="00AC7CFC" w:rsidRPr="00B1210A">
        <w:t>symptom score was -0</w:t>
      </w:r>
      <w:r w:rsidR="007D2CD5">
        <w:t>.24 and 0.74 for ci</w:t>
      </w:r>
      <w:r>
        <w:t>closporin</w:t>
      </w:r>
      <w:r w:rsidR="00AC7CFC" w:rsidRPr="00B1210A">
        <w:t xml:space="preserve"> 0.05% and 0.09% groups respectively and did not achieve statistical significance.</w:t>
      </w:r>
    </w:p>
    <w:p w14:paraId="36FA4DEF" w14:textId="77777777" w:rsidR="00AC7CFC" w:rsidRDefault="008B7783" w:rsidP="007847AE">
      <w:r>
        <w:t>The Delegate</w:t>
      </w:r>
      <w:r w:rsidR="00AC7CFC" w:rsidRPr="00A45EC2">
        <w:t xml:space="preserve"> noted that there was an improvement with symptom sco</w:t>
      </w:r>
      <w:r w:rsidR="00AC7CFC">
        <w:t xml:space="preserve">re with 0.9% ciclosporin and worsening </w:t>
      </w:r>
      <w:r w:rsidR="00AC7CFC" w:rsidRPr="00A45EC2">
        <w:t xml:space="preserve">with 0.5% strength formulation. </w:t>
      </w:r>
      <w:r w:rsidR="00AC7CFC">
        <w:t>The improvement with conjunctival scoring was comparable between 0.9% and 0.5% formulations. This highlights the discordance between clinical signs and symptom improvement when used as efficacy outcome measures for the treatment of dry eyes.</w:t>
      </w:r>
    </w:p>
    <w:p w14:paraId="3B8C9907" w14:textId="77777777" w:rsidR="00AC7CFC" w:rsidRDefault="00AC7CFC" w:rsidP="008B7783">
      <w:pPr>
        <w:pStyle w:val="TableTitle"/>
      </w:pPr>
      <w:r>
        <w:t xml:space="preserve">Table </w:t>
      </w:r>
      <w:fldSimple w:instr=" SEQ Table \* ARABIC ">
        <w:r w:rsidR="00DB095A">
          <w:rPr>
            <w:noProof/>
          </w:rPr>
          <w:t>2</w:t>
        </w:r>
      </w:fldSimple>
      <w:r>
        <w:t xml:space="preserve">: </w:t>
      </w:r>
      <w:r w:rsidR="008B7783">
        <w:t>Mean change from B</w:t>
      </w:r>
      <w:r w:rsidR="008B7783" w:rsidRPr="00B1210A">
        <w:t>aseline in total conjunctival staining score a</w:t>
      </w:r>
      <w:r w:rsidRPr="00B1210A">
        <w:t>t Day 84</w:t>
      </w:r>
    </w:p>
    <w:p w14:paraId="1BD7632F" w14:textId="77777777" w:rsidR="00AC7CFC" w:rsidRDefault="00AC7CFC" w:rsidP="00DB095A">
      <w:pPr>
        <w:rPr>
          <w:rFonts w:asciiTheme="minorHAnsi" w:hAnsiTheme="minorHAnsi"/>
        </w:rPr>
      </w:pPr>
      <w:r>
        <w:rPr>
          <w:noProof/>
          <w:lang w:eastAsia="en-AU"/>
        </w:rPr>
        <w:drawing>
          <wp:inline distT="0" distB="0" distL="0" distR="0" wp14:anchorId="033E6FE4" wp14:editId="0D572FF5">
            <wp:extent cx="5400040" cy="2591435"/>
            <wp:effectExtent l="0" t="0" r="0" b="0"/>
            <wp:docPr id="12" name="Picture 12" descr="Mean change from Baseline in total conjunctival staining score at Day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400040" cy="2591435"/>
                    </a:xfrm>
                    <a:prstGeom prst="rect">
                      <a:avLst/>
                    </a:prstGeom>
                  </pic:spPr>
                </pic:pic>
              </a:graphicData>
            </a:graphic>
          </wp:inline>
        </w:drawing>
      </w:r>
    </w:p>
    <w:p w14:paraId="3104BA0C" w14:textId="77777777" w:rsidR="008B7783" w:rsidRPr="00DB095A" w:rsidRDefault="006528ED" w:rsidP="008B7783">
      <w:pPr>
        <w:pStyle w:val="TableDescription"/>
      </w:pPr>
      <w:r>
        <w:t xml:space="preserve">CL = 95% confidence limits, ITT = intent to treat, LS = least squares, SD = standard deviation, SE = standard error. </w:t>
      </w:r>
      <w:r w:rsidR="008B7783">
        <w:t>a: analysis of covariance (ANCOVA) with treatment and clinical site as fixed factors and baseline value as a covariate.</w:t>
      </w:r>
    </w:p>
    <w:p w14:paraId="1D622C23" w14:textId="3821E7F8" w:rsidR="00AC7CFC" w:rsidRDefault="00AC7CFC" w:rsidP="006528ED">
      <w:pPr>
        <w:pStyle w:val="TableTitle"/>
      </w:pPr>
      <w:r>
        <w:t xml:space="preserve">Table </w:t>
      </w:r>
      <w:fldSimple w:instr=" SEQ Table \* ARABIC ">
        <w:r w:rsidR="00DB095A">
          <w:rPr>
            <w:noProof/>
          </w:rPr>
          <w:t>3</w:t>
        </w:r>
      </w:fldSimple>
      <w:r>
        <w:t xml:space="preserve">: </w:t>
      </w:r>
      <w:r w:rsidR="006528ED">
        <w:t>Mean c</w:t>
      </w:r>
      <w:r w:rsidRPr="00B1210A">
        <w:t xml:space="preserve">hange from Baseline to Day 84 in </w:t>
      </w:r>
      <w:r w:rsidR="006528ED" w:rsidRPr="00B1210A">
        <w:t xml:space="preserve">global </w:t>
      </w:r>
      <w:r w:rsidR="0074606A">
        <w:t xml:space="preserve">SANDE </w:t>
      </w:r>
      <w:r w:rsidR="006528ED" w:rsidRPr="00B1210A">
        <w:t>symptom score</w:t>
      </w:r>
    </w:p>
    <w:p w14:paraId="5A440305" w14:textId="77777777" w:rsidR="00AC7CFC" w:rsidRDefault="00AC7CFC" w:rsidP="00DB095A">
      <w:r>
        <w:rPr>
          <w:noProof/>
          <w:lang w:eastAsia="en-AU"/>
        </w:rPr>
        <w:drawing>
          <wp:inline distT="0" distB="0" distL="0" distR="0" wp14:anchorId="64D79156" wp14:editId="78790F11">
            <wp:extent cx="4677785" cy="2253082"/>
            <wp:effectExtent l="0" t="0" r="8890" b="0"/>
            <wp:docPr id="9" name="Picture 9" descr="Mean change from Baseline to Day 84 in global symptom sc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4679018" cy="2253676"/>
                    </a:xfrm>
                    <a:prstGeom prst="rect">
                      <a:avLst/>
                    </a:prstGeom>
                  </pic:spPr>
                </pic:pic>
              </a:graphicData>
            </a:graphic>
          </wp:inline>
        </w:drawing>
      </w:r>
    </w:p>
    <w:p w14:paraId="7E34BB84" w14:textId="77777777" w:rsidR="006528ED" w:rsidRDefault="006528ED" w:rsidP="006528ED">
      <w:pPr>
        <w:pStyle w:val="TableDescription"/>
      </w:pPr>
      <w:r>
        <w:t>a: analysis of covariance (ANCOVA) with treatment and clinical site as fixed factors and baseline value as a covariate.</w:t>
      </w:r>
    </w:p>
    <w:p w14:paraId="480ABBF3" w14:textId="77777777" w:rsidR="00AC7CFC" w:rsidRDefault="00AC7CFC" w:rsidP="00DB095A">
      <w:r w:rsidRPr="0017320E">
        <w:lastRenderedPageBreak/>
        <w:t xml:space="preserve">Secondary efficacy endpoints: </w:t>
      </w:r>
      <w:r w:rsidR="006528ED">
        <w:t>a</w:t>
      </w:r>
      <w:r>
        <w:t>s one of the co-primary endpoints did not achieve statistical significance, secondary endpoints that achieved a p value &lt;</w:t>
      </w:r>
      <w:r w:rsidR="006528ED">
        <w:t xml:space="preserve"> </w:t>
      </w:r>
      <w:r>
        <w:t>0.05 were considered as nominally significant.</w:t>
      </w:r>
    </w:p>
    <w:p w14:paraId="5ED94300" w14:textId="57440047" w:rsidR="00AC7CFC" w:rsidRDefault="00AC7CFC" w:rsidP="00DB095A">
      <w:pPr>
        <w:pStyle w:val="ListBullet"/>
      </w:pPr>
      <w:r>
        <w:t xml:space="preserve">There was no significant increase in mean </w:t>
      </w:r>
      <w:r w:rsidR="006528ED">
        <w:t>tear break up time</w:t>
      </w:r>
      <w:r w:rsidR="008B465B">
        <w:t xml:space="preserve"> (TBUT)</w:t>
      </w:r>
      <w:r w:rsidR="0074606A">
        <w:t>;</w:t>
      </w:r>
      <w:r w:rsidR="008B465B">
        <w:rPr>
          <w:rStyle w:val="FootnoteReference"/>
        </w:rPr>
        <w:footnoteReference w:id="11"/>
      </w:r>
      <w:r w:rsidR="006528ED">
        <w:t xml:space="preserve"> from B</w:t>
      </w:r>
      <w:r>
        <w:t>aseline for both 0.09% and 0.05%</w:t>
      </w:r>
      <w:r w:rsidR="006528ED">
        <w:t xml:space="preserve"> ciclosporin solutions.</w:t>
      </w:r>
    </w:p>
    <w:p w14:paraId="4FEC3C27" w14:textId="77777777" w:rsidR="00AC7CFC" w:rsidRDefault="00AC7CFC" w:rsidP="00DB095A">
      <w:pPr>
        <w:pStyle w:val="ListBullet"/>
      </w:pPr>
      <w:r>
        <w:t>A nominally significant reduction in total corneal staining score</w:t>
      </w:r>
      <w:r w:rsidR="008B465B">
        <w:t>;</w:t>
      </w:r>
      <w:r w:rsidR="008B465B">
        <w:rPr>
          <w:rStyle w:val="FootnoteReference"/>
        </w:rPr>
        <w:footnoteReference w:id="12"/>
      </w:r>
      <w:r>
        <w:t xml:space="preserve"> was reported for both 0.09% and 0.05% ciclosporin solutions, compared to vehicle.</w:t>
      </w:r>
    </w:p>
    <w:p w14:paraId="34CC8640" w14:textId="77777777" w:rsidR="00AC7CFC" w:rsidRPr="00B74C79" w:rsidRDefault="00AC7CFC" w:rsidP="00DB095A">
      <w:pPr>
        <w:pStyle w:val="ListBullet"/>
      </w:pPr>
      <w:r>
        <w:t>No significant improvement in mean patient satisfaction with treatment score for both strengths of ciclosporin solutions, compared to vehicle.</w:t>
      </w:r>
    </w:p>
    <w:p w14:paraId="2547162D" w14:textId="77777777" w:rsidR="00AC7CFC" w:rsidRPr="00B74C79" w:rsidRDefault="006528ED" w:rsidP="006528ED">
      <w:r>
        <w:t xml:space="preserve">The </w:t>
      </w:r>
      <w:r w:rsidR="00AC7CFC" w:rsidRPr="00B74C79">
        <w:t>D</w:t>
      </w:r>
      <w:r>
        <w:t>elegate commented that, o</w:t>
      </w:r>
      <w:r w:rsidR="00AC7CFC" w:rsidRPr="00B74C79">
        <w:t>verall, from a clinical perspective, there was a positive trend noted with clinical endpoints, which was greater in magnitude for 0.09%, compared to 0.05% formulation.</w:t>
      </w:r>
    </w:p>
    <w:p w14:paraId="332A766B" w14:textId="15553A0E" w:rsidR="00AC7CFC" w:rsidRDefault="00AC7CFC" w:rsidP="00DB095A">
      <w:pPr>
        <w:rPr>
          <w:rFonts w:asciiTheme="minorHAnsi" w:hAnsiTheme="minorHAnsi"/>
          <w:b/>
        </w:rPr>
      </w:pPr>
      <w:r>
        <w:rPr>
          <w:rFonts w:asciiTheme="minorHAnsi" w:hAnsiTheme="minorHAnsi"/>
        </w:rPr>
        <w:t xml:space="preserve">In a </w:t>
      </w:r>
      <w:r w:rsidRPr="001909A6">
        <w:rPr>
          <w:rFonts w:asciiTheme="minorHAnsi" w:hAnsiTheme="minorHAnsi"/>
          <w:i/>
        </w:rPr>
        <w:t>post</w:t>
      </w:r>
      <w:r>
        <w:rPr>
          <w:rFonts w:asciiTheme="minorHAnsi" w:hAnsiTheme="minorHAnsi"/>
          <w:i/>
        </w:rPr>
        <w:t>-</w:t>
      </w:r>
      <w:r w:rsidRPr="001909A6">
        <w:rPr>
          <w:rFonts w:asciiTheme="minorHAnsi" w:hAnsiTheme="minorHAnsi"/>
          <w:i/>
        </w:rPr>
        <w:t xml:space="preserve">hoc </w:t>
      </w:r>
      <w:r w:rsidRPr="006528ED">
        <w:rPr>
          <w:rFonts w:asciiTheme="minorHAnsi" w:hAnsiTheme="minorHAnsi"/>
        </w:rPr>
        <w:t>responder analysis</w:t>
      </w:r>
      <w:r>
        <w:rPr>
          <w:rFonts w:asciiTheme="minorHAnsi" w:hAnsiTheme="minorHAnsi"/>
        </w:rPr>
        <w:t xml:space="preserve">, a significantly higher proportion of eyes treated with 0.09% ciclosporin solution achieved </w:t>
      </w:r>
      <w:r w:rsidRPr="00E50C70">
        <w:rPr>
          <w:rFonts w:asciiTheme="minorHAnsi" w:hAnsiTheme="minorHAnsi"/>
        </w:rPr>
        <w:t>≥ 10mm inc</w:t>
      </w:r>
      <w:r w:rsidR="0083782B">
        <w:rPr>
          <w:rFonts w:asciiTheme="minorHAnsi" w:hAnsiTheme="minorHAnsi"/>
        </w:rPr>
        <w:t>rease in Schirmer’s T</w:t>
      </w:r>
      <w:r>
        <w:rPr>
          <w:rFonts w:asciiTheme="minorHAnsi" w:hAnsiTheme="minorHAnsi"/>
        </w:rPr>
        <w:t>est score</w:t>
      </w:r>
      <w:r w:rsidR="0083782B">
        <w:rPr>
          <w:rFonts w:asciiTheme="minorHAnsi" w:hAnsiTheme="minorHAnsi"/>
        </w:rPr>
        <w:t>;</w:t>
      </w:r>
      <w:r w:rsidR="0083782B">
        <w:rPr>
          <w:rStyle w:val="FootnoteReference"/>
          <w:rFonts w:asciiTheme="minorHAnsi" w:hAnsiTheme="minorHAnsi"/>
        </w:rPr>
        <w:footnoteReference w:id="13"/>
      </w:r>
      <w:r>
        <w:rPr>
          <w:rFonts w:asciiTheme="minorHAnsi" w:hAnsiTheme="minorHAnsi"/>
        </w:rPr>
        <w:t xml:space="preserve"> </w:t>
      </w:r>
      <w:r w:rsidR="0083782B">
        <w:rPr>
          <w:rFonts w:asciiTheme="minorHAnsi" w:hAnsiTheme="minorHAnsi"/>
        </w:rPr>
        <w:t>from B</w:t>
      </w:r>
      <w:r w:rsidRPr="00E50C70">
        <w:rPr>
          <w:rFonts w:asciiTheme="minorHAnsi" w:hAnsiTheme="minorHAnsi"/>
        </w:rPr>
        <w:t>aseline at Day 84</w:t>
      </w:r>
      <w:r>
        <w:rPr>
          <w:rFonts w:asciiTheme="minorHAnsi" w:hAnsiTheme="minorHAnsi"/>
        </w:rPr>
        <w:t xml:space="preserve">. No similar observations were reported with </w:t>
      </w:r>
      <w:r w:rsidR="001134FB">
        <w:rPr>
          <w:rFonts w:asciiTheme="minorHAnsi" w:hAnsiTheme="minorHAnsi"/>
        </w:rPr>
        <w:t xml:space="preserve">the </w:t>
      </w:r>
      <w:r>
        <w:rPr>
          <w:rFonts w:asciiTheme="minorHAnsi" w:hAnsiTheme="minorHAnsi"/>
        </w:rPr>
        <w:t>0.05% solution.</w:t>
      </w:r>
    </w:p>
    <w:p w14:paraId="7F0DB7F1" w14:textId="77777777" w:rsidR="00AC7CFC" w:rsidRDefault="00AC7CFC" w:rsidP="00DB095A">
      <w:pPr>
        <w:rPr>
          <w:rFonts w:asciiTheme="minorHAnsi" w:hAnsiTheme="minorHAnsi"/>
        </w:rPr>
      </w:pPr>
      <w:r w:rsidRPr="001909A6">
        <w:rPr>
          <w:rFonts w:asciiTheme="minorHAnsi" w:hAnsiTheme="minorHAnsi"/>
        </w:rPr>
        <w:t>As an exploratory end point, a greater proportion of patients treated with 0.09% ciclosporin solution achieved &gt;</w:t>
      </w:r>
      <w:r w:rsidR="0083782B">
        <w:rPr>
          <w:rFonts w:asciiTheme="minorHAnsi" w:hAnsiTheme="minorHAnsi"/>
        </w:rPr>
        <w:t xml:space="preserve"> </w:t>
      </w:r>
      <w:r w:rsidRPr="001909A6">
        <w:rPr>
          <w:rFonts w:asciiTheme="minorHAnsi" w:hAnsiTheme="minorHAnsi"/>
        </w:rPr>
        <w:t>30% reduction in co</w:t>
      </w:r>
      <w:r w:rsidR="0083782B">
        <w:rPr>
          <w:rFonts w:asciiTheme="minorHAnsi" w:hAnsiTheme="minorHAnsi"/>
        </w:rPr>
        <w:t>njunctival staining score from B</w:t>
      </w:r>
      <w:r w:rsidRPr="001909A6">
        <w:rPr>
          <w:rFonts w:asciiTheme="minorHAnsi" w:hAnsiTheme="minorHAnsi"/>
        </w:rPr>
        <w:t xml:space="preserve">aseline. The treatment difference was nominally significant, compared to placebo. </w:t>
      </w:r>
      <w:r>
        <w:rPr>
          <w:rFonts w:asciiTheme="minorHAnsi" w:hAnsiTheme="minorHAnsi"/>
        </w:rPr>
        <w:t>A similar observation was n</w:t>
      </w:r>
      <w:r w:rsidR="00DB095A">
        <w:rPr>
          <w:rFonts w:asciiTheme="minorHAnsi" w:hAnsiTheme="minorHAnsi"/>
        </w:rPr>
        <w:t>ot reported for 0.05% solution.</w:t>
      </w:r>
    </w:p>
    <w:p w14:paraId="4C5686EB" w14:textId="77777777" w:rsidR="00AC7CFC" w:rsidRPr="00A50FFF" w:rsidRDefault="00AC7CFC" w:rsidP="00DB095A">
      <w:pPr>
        <w:pStyle w:val="Heading5"/>
      </w:pPr>
      <w:r w:rsidRPr="00A50FFF">
        <w:t>Study OTX-101-2016-001</w:t>
      </w:r>
    </w:p>
    <w:p w14:paraId="2E82D4A4" w14:textId="77777777" w:rsidR="00AC7CFC" w:rsidRDefault="00AC7CFC" w:rsidP="00DB095A">
      <w:r w:rsidRPr="0083782B">
        <w:rPr>
          <w:b/>
        </w:rPr>
        <w:t>Study design</w:t>
      </w:r>
      <w:r w:rsidRPr="0083782B">
        <w:t xml:space="preserve">: </w:t>
      </w:r>
      <w:r w:rsidR="0083782B">
        <w:t>m</w:t>
      </w:r>
      <w:r w:rsidRPr="0083782B">
        <w:t>ulticentre</w:t>
      </w:r>
      <w:r>
        <w:t>, double masked vehicle-controlled RCT. Eligible patients were administered with twice daily vehicle to both eyes for 14 days. Study design and inclusion criteri</w:t>
      </w:r>
      <w:r w:rsidR="00DB095A">
        <w:t>a were id</w:t>
      </w:r>
      <w:r w:rsidR="0083782B">
        <w:t>entical to S</w:t>
      </w:r>
      <w:r w:rsidR="00DB095A">
        <w:t xml:space="preserve">tudy </w:t>
      </w:r>
      <w:r w:rsidR="0083782B" w:rsidRPr="0041636F">
        <w:t>OTX-101-2014-001</w:t>
      </w:r>
      <w:r w:rsidR="00DB095A">
        <w:t>.</w:t>
      </w:r>
    </w:p>
    <w:p w14:paraId="6C24674D" w14:textId="77777777" w:rsidR="00AC7CFC" w:rsidRDefault="00AC7CFC" w:rsidP="00DB095A">
      <w:r w:rsidRPr="0083782B">
        <w:rPr>
          <w:b/>
        </w:rPr>
        <w:t>Stud</w:t>
      </w:r>
      <w:r w:rsidR="0083782B" w:rsidRPr="0083782B">
        <w:rPr>
          <w:b/>
        </w:rPr>
        <w:t>y treatment</w:t>
      </w:r>
      <w:r w:rsidR="0083782B">
        <w:t>: c</w:t>
      </w:r>
      <w:r w:rsidR="00DB095A">
        <w:t>iclosporin 0.09%.</w:t>
      </w:r>
    </w:p>
    <w:p w14:paraId="4B9BD900" w14:textId="77777777" w:rsidR="00AC7CFC" w:rsidRDefault="00DB095A" w:rsidP="00DB095A">
      <w:r w:rsidRPr="0083782B">
        <w:rPr>
          <w:b/>
        </w:rPr>
        <w:t>Study duration</w:t>
      </w:r>
      <w:r>
        <w:t>: 84 days.</w:t>
      </w:r>
    </w:p>
    <w:p w14:paraId="34E0C1B9" w14:textId="77777777" w:rsidR="00AC7CFC" w:rsidRPr="00A50FFF" w:rsidRDefault="00AC7CFC" w:rsidP="00DB095A">
      <w:r>
        <w:t>Mean age of study population was 59 years</w:t>
      </w:r>
      <w:r w:rsidR="0083782B">
        <w:t>. 84% of patients were females. At B</w:t>
      </w:r>
      <w:r>
        <w:t>aseline, for the</w:t>
      </w:r>
      <w:r w:rsidR="0083782B">
        <w:t xml:space="preserve"> ciclosporin group, the median Schirmer’s T</w:t>
      </w:r>
      <w:r>
        <w:t>est reading was 10 mm. Mean conjunctival staining was 5.42</w:t>
      </w:r>
      <w:r w:rsidR="00DB095A">
        <w:t xml:space="preserve"> and corneal staining was 4.06.</w:t>
      </w:r>
    </w:p>
    <w:p w14:paraId="2D749F30" w14:textId="77777777" w:rsidR="00AC7CFC" w:rsidRDefault="00AC7CFC" w:rsidP="00DB095A">
      <w:pPr>
        <w:pStyle w:val="Heading6"/>
      </w:pPr>
      <w:r>
        <w:t>Results</w:t>
      </w:r>
    </w:p>
    <w:p w14:paraId="6E0BCB21" w14:textId="5ADE585B" w:rsidR="00AC7CFC" w:rsidRDefault="0083782B" w:rsidP="00DB095A">
      <w:r>
        <w:t>Primary endpoint: a</w:t>
      </w:r>
      <w:r w:rsidR="00AC7CFC">
        <w:t xml:space="preserve"> significantly higher proportion of eyes treated with ciclosporin 0.09% achiev</w:t>
      </w:r>
      <w:r>
        <w:t xml:space="preserve">ed an increase of </w:t>
      </w:r>
      <w:r w:rsidR="004B7D43">
        <w:t>≥</w:t>
      </w:r>
      <w:r>
        <w:t xml:space="preserve"> 10 mm from Baseline in Schirmer’s T</w:t>
      </w:r>
      <w:r w:rsidR="00AC7CFC">
        <w:t>est at Day 84, com</w:t>
      </w:r>
      <w:r>
        <w:t>pared to vehicle group (16.6% versus</w:t>
      </w:r>
      <w:r w:rsidR="00AC7CFC">
        <w:t xml:space="preserve"> 9.2%).</w:t>
      </w:r>
    </w:p>
    <w:p w14:paraId="557C90E5" w14:textId="467F2C28" w:rsidR="00AC7CFC" w:rsidRDefault="00AC7CFC" w:rsidP="0083782B">
      <w:pPr>
        <w:pStyle w:val="TableTitle"/>
      </w:pPr>
      <w:r>
        <w:lastRenderedPageBreak/>
        <w:t xml:space="preserve">Table </w:t>
      </w:r>
      <w:fldSimple w:instr=" SEQ Table \* ARABIC ">
        <w:r w:rsidR="00DB095A">
          <w:rPr>
            <w:noProof/>
          </w:rPr>
          <w:t>4</w:t>
        </w:r>
      </w:fldSimple>
      <w:r>
        <w:t xml:space="preserve">: </w:t>
      </w:r>
      <w:r w:rsidRPr="004653D6">
        <w:t xml:space="preserve">Percentage of </w:t>
      </w:r>
      <w:r w:rsidR="0083782B" w:rsidRPr="004653D6">
        <w:t xml:space="preserve">eyes with increase from </w:t>
      </w:r>
      <w:r w:rsidRPr="004653D6">
        <w:t>Baseline</w:t>
      </w:r>
      <w:r w:rsidR="0083782B">
        <w:t xml:space="preserve"> of </w:t>
      </w:r>
      <w:r w:rsidR="004B7D43">
        <w:t>≥</w:t>
      </w:r>
      <w:r w:rsidR="0083782B">
        <w:t xml:space="preserve"> 10 mm in Schirmer’s Test s</w:t>
      </w:r>
      <w:r w:rsidRPr="004653D6">
        <w:t>core</w:t>
      </w:r>
    </w:p>
    <w:p w14:paraId="26CF8E37" w14:textId="77777777" w:rsidR="00AC7CFC" w:rsidRPr="00DB095A" w:rsidRDefault="00AC7CFC" w:rsidP="00AC7CFC">
      <w:pPr>
        <w:spacing w:before="0" w:after="0" w:line="240" w:lineRule="auto"/>
      </w:pPr>
      <w:r>
        <w:rPr>
          <w:noProof/>
          <w:lang w:eastAsia="en-AU"/>
        </w:rPr>
        <w:drawing>
          <wp:inline distT="0" distB="0" distL="0" distR="0" wp14:anchorId="4AC49AC2" wp14:editId="7371E7FB">
            <wp:extent cx="5400040" cy="1713230"/>
            <wp:effectExtent l="0" t="0" r="0" b="1270"/>
            <wp:docPr id="10" name="Picture 10" descr="Percentage of eyes with increase from Baseline of ≥ 10 mm in Schirmer’s Test sc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400040" cy="1713230"/>
                    </a:xfrm>
                    <a:prstGeom prst="rect">
                      <a:avLst/>
                    </a:prstGeom>
                  </pic:spPr>
                </pic:pic>
              </a:graphicData>
            </a:graphic>
          </wp:inline>
        </w:drawing>
      </w:r>
    </w:p>
    <w:p w14:paraId="038F927A" w14:textId="77777777" w:rsidR="004244F0" w:rsidRDefault="004244F0" w:rsidP="00C6394F">
      <w:pPr>
        <w:pStyle w:val="TableDescription"/>
      </w:pPr>
      <w:r>
        <w:t>a:</w:t>
      </w:r>
      <w:r w:rsidR="00C6394F">
        <w:t xml:space="preserve"> </w:t>
      </w:r>
      <w:r>
        <w:t>Generalised estimating equations model with treatment group as a fixed effect as well as eyes within subject as a repeated measure using a compound symmet</w:t>
      </w:r>
      <w:r w:rsidR="00C6394F">
        <w:t xml:space="preserve">ric covariance structure. The P </w:t>
      </w:r>
      <w:r>
        <w:t>value tests the hypothesis the % of eyes in the 2 groups is the same. Positive estimates of the difference favour response in the OTX-101 group. b</w:t>
      </w:r>
      <w:r w:rsidR="00C6394F">
        <w:t>:</w:t>
      </w:r>
      <w:r>
        <w:t xml:space="preserve"> </w:t>
      </w:r>
      <w:r w:rsidR="00C6394F">
        <w:t>Missing data on Day 84 were imputed by baseline carried forward. A total of 25 subjects in the OTX-101 group and 12 subjects in the vehicle group did not provide post-baseline values</w:t>
      </w:r>
      <w:r>
        <w:t xml:space="preserve">. </w:t>
      </w:r>
      <w:r w:rsidR="00C6394F">
        <w:t xml:space="preserve">c: </w:t>
      </w:r>
      <w:r>
        <w:t>n = number of subjects with only one eye + 2 times number of subjects with both eyes responding. Denominator is 2 times the number of subjects.</w:t>
      </w:r>
    </w:p>
    <w:p w14:paraId="35F2F22A" w14:textId="0F69C517" w:rsidR="00AC7CFC" w:rsidRDefault="008B465B" w:rsidP="00DB095A">
      <w:r>
        <w:t>Secondary endpoints: a</w:t>
      </w:r>
      <w:r w:rsidR="00AC7CFC" w:rsidRPr="007072F1">
        <w:t xml:space="preserve"> significant reduction in conjunctival staining </w:t>
      </w:r>
      <w:r w:rsidR="00AC7CFC">
        <w:t>and central corneal staining were</w:t>
      </w:r>
      <w:r w:rsidR="00AC7CFC" w:rsidRPr="007072F1">
        <w:t xml:space="preserve"> reported in ciclosporin group, compared to vehicle</w:t>
      </w:r>
      <w:r w:rsidR="00AC7CFC">
        <w:t xml:space="preserve"> ((</w:t>
      </w:r>
      <w:r>
        <w:t>least squares mean (</w:t>
      </w:r>
      <w:r w:rsidR="00AC7CFC">
        <w:t>LSM)</w:t>
      </w:r>
      <w:r>
        <w:t xml:space="preserve"> change from B</w:t>
      </w:r>
      <w:r w:rsidR="00AC7CFC" w:rsidRPr="00E77B0F">
        <w:t>aseline o</w:t>
      </w:r>
      <w:r>
        <w:t>f -1.54 versus</w:t>
      </w:r>
      <w:r w:rsidR="00AC7CFC" w:rsidRPr="00E77B0F">
        <w:t xml:space="preserve"> -1.15, p</w:t>
      </w:r>
      <w:r>
        <w:t xml:space="preserve"> </w:t>
      </w:r>
      <w:r w:rsidR="00AC7CFC" w:rsidRPr="00E77B0F">
        <w:t>=</w:t>
      </w:r>
      <w:r w:rsidR="00253648">
        <w:t xml:space="preserve"> </w:t>
      </w:r>
      <w:r w:rsidR="00AC7CFC" w:rsidRPr="00E77B0F">
        <w:t>0.0007</w:t>
      </w:r>
      <w:r w:rsidR="00AC7CFC" w:rsidRPr="007072F1">
        <w:t xml:space="preserve"> </w:t>
      </w:r>
      <w:r w:rsidR="00AC7CFC">
        <w:t xml:space="preserve">and </w:t>
      </w:r>
      <w:r w:rsidR="00A07171">
        <w:t>LSM change from Baseline of -0.30 versus</w:t>
      </w:r>
      <w:r w:rsidR="00AC7CFC" w:rsidRPr="00E77B0F">
        <w:t xml:space="preserve"> -0.24, p</w:t>
      </w:r>
      <w:r w:rsidR="00A07171">
        <w:t xml:space="preserve"> </w:t>
      </w:r>
      <w:r w:rsidR="00AC7CFC" w:rsidRPr="00E77B0F">
        <w:t>=</w:t>
      </w:r>
      <w:r w:rsidR="00A07171">
        <w:t xml:space="preserve"> </w:t>
      </w:r>
      <w:r w:rsidR="00AC7CFC" w:rsidRPr="00E77B0F">
        <w:t>0.0159</w:t>
      </w:r>
      <w:r w:rsidR="00AC7CFC">
        <w:t xml:space="preserve"> for conjunctival and </w:t>
      </w:r>
      <w:r w:rsidR="00DB095A">
        <w:t>corneal staining</w:t>
      </w:r>
      <w:r w:rsidR="00A07171">
        <w:t>,</w:t>
      </w:r>
      <w:r w:rsidR="00DB095A">
        <w:t xml:space="preserve"> respectively).</w:t>
      </w:r>
    </w:p>
    <w:p w14:paraId="444116AA" w14:textId="77777777" w:rsidR="00AC7CFC" w:rsidRDefault="00AC7CFC" w:rsidP="00DB095A">
      <w:r>
        <w:t>A significan</w:t>
      </w:r>
      <w:r w:rsidR="00F260EA">
        <w:t>t increase in tear production (Schirmer’s T</w:t>
      </w:r>
      <w:r>
        <w:t xml:space="preserve">est) and a significantly greater proportion of eyes with complete clearing of </w:t>
      </w:r>
      <w:r w:rsidRPr="007072F1">
        <w:t>central corneal fluorescein staining</w:t>
      </w:r>
      <w:r>
        <w:t xml:space="preserve"> were reported in ciclospo</w:t>
      </w:r>
      <w:r w:rsidR="00DB095A">
        <w:t>rin group, compared to placebo.</w:t>
      </w:r>
    </w:p>
    <w:p w14:paraId="100F56B2" w14:textId="77777777" w:rsidR="00AC7CFC" w:rsidRDefault="00AC7CFC" w:rsidP="00C6394F">
      <w:pPr>
        <w:pStyle w:val="TableTitle"/>
      </w:pPr>
      <w:r>
        <w:t xml:space="preserve">Table </w:t>
      </w:r>
      <w:fldSimple w:instr=" SEQ Table \* ARABIC ">
        <w:r w:rsidR="00DB095A">
          <w:rPr>
            <w:noProof/>
          </w:rPr>
          <w:t>5</w:t>
        </w:r>
      </w:fldSimple>
      <w:r w:rsidR="00C6394F">
        <w:t>:</w:t>
      </w:r>
      <w:r w:rsidRPr="004E2EB2">
        <w:t xml:space="preserve"> </w:t>
      </w:r>
      <w:r w:rsidR="00C6394F">
        <w:t>Mean c</w:t>
      </w:r>
      <w:r w:rsidRPr="00AD2D01">
        <w:t>hange from Baselin</w:t>
      </w:r>
      <w:r w:rsidR="00C6394F">
        <w:t>e at Day 84 in Schirmer’s Test s</w:t>
      </w:r>
      <w:r w:rsidRPr="00AD2D01">
        <w:t>core</w:t>
      </w:r>
    </w:p>
    <w:p w14:paraId="377DA376" w14:textId="77777777" w:rsidR="00AC7CFC" w:rsidRDefault="00AC7CFC" w:rsidP="00DB095A">
      <w:r>
        <w:rPr>
          <w:noProof/>
          <w:lang w:eastAsia="en-AU"/>
        </w:rPr>
        <w:drawing>
          <wp:inline distT="0" distB="0" distL="0" distR="0" wp14:anchorId="73DD6A69" wp14:editId="10484372">
            <wp:extent cx="5400040" cy="2542540"/>
            <wp:effectExtent l="0" t="0" r="0" b="0"/>
            <wp:docPr id="13" name="Picture 13" descr="Mean change from Baseline at Day 84 in Schirmer’s Test sc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5400040" cy="2542540"/>
                    </a:xfrm>
                    <a:prstGeom prst="rect">
                      <a:avLst/>
                    </a:prstGeom>
                  </pic:spPr>
                </pic:pic>
              </a:graphicData>
            </a:graphic>
          </wp:inline>
        </w:drawing>
      </w:r>
    </w:p>
    <w:p w14:paraId="69F4B391" w14:textId="358BC94C" w:rsidR="00C6394F" w:rsidRDefault="00C6394F" w:rsidP="00C6394F">
      <w:pPr>
        <w:pStyle w:val="TableDescription"/>
      </w:pPr>
      <w:r>
        <w:t>a: Test statistics are from a restricted maximum likelihood measures mixed model on change from baseline values with baseline as a covariate and visit, and its interaction with treatment group as repeated measures on observations from both eyes using an unstructured covariance structure.</w:t>
      </w:r>
    </w:p>
    <w:p w14:paraId="6B99A960" w14:textId="77777777" w:rsidR="00AC7CFC" w:rsidRDefault="00AC7CFC" w:rsidP="00652A2E">
      <w:pPr>
        <w:pStyle w:val="TableTitle"/>
      </w:pPr>
      <w:r>
        <w:lastRenderedPageBreak/>
        <w:t xml:space="preserve">Table </w:t>
      </w:r>
      <w:fldSimple w:instr=" SEQ Table \* ARABIC ">
        <w:r w:rsidR="00DB095A">
          <w:rPr>
            <w:noProof/>
          </w:rPr>
          <w:t>6</w:t>
        </w:r>
      </w:fldSimple>
      <w:r>
        <w:t xml:space="preserve">: </w:t>
      </w:r>
      <w:r w:rsidRPr="00AD2D01">
        <w:t xml:space="preserve">Percentage of </w:t>
      </w:r>
      <w:r w:rsidR="00652A2E" w:rsidRPr="00AD2D01">
        <w:t>eyes with complete clearing (score = zero) of central</w:t>
      </w:r>
      <w:r w:rsidR="00652A2E">
        <w:t xml:space="preserve"> </w:t>
      </w:r>
      <w:r w:rsidR="00652A2E" w:rsidRPr="00AD2D01">
        <w:t>corneal staining</w:t>
      </w:r>
    </w:p>
    <w:p w14:paraId="0103B0B4" w14:textId="77777777" w:rsidR="00AC7CFC" w:rsidRDefault="00AC7CFC" w:rsidP="00AC7CFC">
      <w:pPr>
        <w:spacing w:before="0" w:after="0" w:line="240" w:lineRule="auto"/>
        <w:rPr>
          <w:rFonts w:asciiTheme="minorHAnsi" w:hAnsiTheme="minorHAnsi"/>
        </w:rPr>
      </w:pPr>
      <w:r>
        <w:rPr>
          <w:noProof/>
          <w:lang w:eastAsia="en-AU"/>
        </w:rPr>
        <w:drawing>
          <wp:inline distT="0" distB="0" distL="0" distR="0" wp14:anchorId="3F502549" wp14:editId="00B33631">
            <wp:extent cx="5400040" cy="3623310"/>
            <wp:effectExtent l="0" t="0" r="0" b="0"/>
            <wp:docPr id="14" name="Picture 14" descr="Percentage of eyes with complete clearing (score = zero) of central corneal stai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5400040" cy="3623310"/>
                    </a:xfrm>
                    <a:prstGeom prst="rect">
                      <a:avLst/>
                    </a:prstGeom>
                  </pic:spPr>
                </pic:pic>
              </a:graphicData>
            </a:graphic>
          </wp:inline>
        </w:drawing>
      </w:r>
    </w:p>
    <w:p w14:paraId="059EA15E" w14:textId="77777777" w:rsidR="00C6394F" w:rsidRDefault="00C6394F" w:rsidP="00652A2E">
      <w:pPr>
        <w:pStyle w:val="TableDescription"/>
        <w:rPr>
          <w:rFonts w:asciiTheme="minorHAnsi" w:hAnsiTheme="minorHAnsi"/>
        </w:rPr>
      </w:pPr>
      <w:r>
        <w:t>a: n = number of subjects with only one eye + 2 times number of subjects with both eyes responding. Denominator is 2 times the number of subjects. b: Generalised estimating equations model with treatment group, visit and their interaction as fixed effects as well as eyes within subject as a repeated measure using an unstructured covariance structure. The P value tests the hypothesis the response probability</w:t>
      </w:r>
      <w:r w:rsidR="00AB0E16">
        <w:t xml:space="preserve"> in the 2 groups is the same.</w:t>
      </w:r>
      <w:r>
        <w:t xml:space="preserve"> Positive estimates of the difference favour</w:t>
      </w:r>
      <w:r w:rsidR="00A07171">
        <w:t xml:space="preserve"> response in the OTX</w:t>
      </w:r>
      <w:r w:rsidR="00A07171">
        <w:noBreakHyphen/>
      </w:r>
      <w:r>
        <w:t>101 group.</w:t>
      </w:r>
    </w:p>
    <w:p w14:paraId="31A13A90" w14:textId="77777777" w:rsidR="00AC7CFC" w:rsidRDefault="00AC7CFC" w:rsidP="00DB095A">
      <w:r>
        <w:t xml:space="preserve">No significant between-group treatment difference was reported for SANDE global symptom score and </w:t>
      </w:r>
      <w:r w:rsidRPr="00D02404">
        <w:t xml:space="preserve">visual-related function subscale of the </w:t>
      </w:r>
      <w:r w:rsidR="00AB0E16">
        <w:rPr>
          <w:lang w:eastAsia="ja-JP"/>
        </w:rPr>
        <w:t>o</w:t>
      </w:r>
      <w:r w:rsidR="00AB0E16" w:rsidRPr="00E668FD">
        <w:rPr>
          <w:lang w:eastAsia="ja-JP"/>
        </w:rPr>
        <w:t>cular surface disease index</w:t>
      </w:r>
      <w:r w:rsidR="00AB0E16" w:rsidRPr="00D02404">
        <w:t xml:space="preserve"> </w:t>
      </w:r>
      <w:r w:rsidR="00AB0E16">
        <w:t>(</w:t>
      </w:r>
      <w:r w:rsidRPr="00D02404">
        <w:t>OSDI</w:t>
      </w:r>
      <w:r w:rsidR="00AB0E16">
        <w:t>)</w:t>
      </w:r>
      <w:r w:rsidRPr="00D02404">
        <w:t xml:space="preserve"> questionnaire.</w:t>
      </w:r>
      <w:r w:rsidR="00AB0E16">
        <w:rPr>
          <w:rStyle w:val="FootnoteReference"/>
        </w:rPr>
        <w:footnoteReference w:id="14"/>
      </w:r>
    </w:p>
    <w:p w14:paraId="11507A1E" w14:textId="77777777" w:rsidR="00A07171" w:rsidRDefault="00A07171" w:rsidP="00A07171">
      <w:pPr>
        <w:pStyle w:val="Heading5"/>
      </w:pPr>
      <w:r>
        <w:t>Sub-group analysis</w:t>
      </w:r>
    </w:p>
    <w:p w14:paraId="5769963E" w14:textId="77777777" w:rsidR="00AC7CFC" w:rsidRDefault="00AC7CFC" w:rsidP="00DB095A">
      <w:r>
        <w:t xml:space="preserve">The sponsor has also included pooled and meta-analyses for primary and secondary endpoints. The pooled </w:t>
      </w:r>
      <w:r w:rsidRPr="00253648">
        <w:rPr>
          <w:i/>
        </w:rPr>
        <w:t>post-ho</w:t>
      </w:r>
      <w:r>
        <w:t>c analyses for increase</w:t>
      </w:r>
      <w:r w:rsidR="00253648">
        <w:t>d tear production (measured by Schirmer’s T</w:t>
      </w:r>
      <w:r>
        <w:t xml:space="preserve">est) and </w:t>
      </w:r>
      <w:r w:rsidRPr="005220B5">
        <w:t>improvement in conjunctival surface signs (as measured by decreased conjunctival staining)</w:t>
      </w:r>
      <w:r>
        <w:t xml:space="preserve"> favoured ciclosporin 0.09% group, compare</w:t>
      </w:r>
      <w:r w:rsidR="00A07171">
        <w:t>d to vehicle.</w:t>
      </w:r>
    </w:p>
    <w:p w14:paraId="08B5B9B5" w14:textId="70A40A35" w:rsidR="00AC7CFC" w:rsidRDefault="00AC7CFC" w:rsidP="00DB095A">
      <w:r>
        <w:t>A subgroup analysis of patients when</w:t>
      </w:r>
      <w:r w:rsidR="00A07171">
        <w:t xml:space="preserve"> categorised based on baseline Schirmer’s T</w:t>
      </w:r>
      <w:r>
        <w:t xml:space="preserve">est values showed that a greater proportion of patients with </w:t>
      </w:r>
      <w:r w:rsidR="004B7D43">
        <w:t>&lt;</w:t>
      </w:r>
      <w:r>
        <w:t xml:space="preserve"> 5</w:t>
      </w:r>
      <w:r w:rsidR="00A07171">
        <w:t xml:space="preserve"> mm score at Baseline (severe) and 5 to </w:t>
      </w:r>
      <w:r>
        <w:t>9 mm score (moderate) achieve</w:t>
      </w:r>
      <w:r w:rsidR="00A07171">
        <w:t xml:space="preserve">d </w:t>
      </w:r>
      <w:r w:rsidR="004B7D43" w:rsidRPr="004B7D43">
        <w:t>≥</w:t>
      </w:r>
      <w:r w:rsidR="00A07171">
        <w:t xml:space="preserve"> 10 mm increase in Schirmer’s T</w:t>
      </w:r>
      <w:r>
        <w:t>est score after treatment period, compared t</w:t>
      </w:r>
      <w:r w:rsidR="00A07171">
        <w:t xml:space="preserve">o those having </w:t>
      </w:r>
      <w:r w:rsidR="004B7D43">
        <w:t>≥</w:t>
      </w:r>
      <w:r w:rsidR="00A07171">
        <w:t xml:space="preserve"> 10mm score at B</w:t>
      </w:r>
      <w:r>
        <w:t xml:space="preserve">aseline. This sub-group analysis was requested by </w:t>
      </w:r>
      <w:r w:rsidR="00A07171">
        <w:t>the</w:t>
      </w:r>
      <w:r w:rsidR="0074606A">
        <w:t xml:space="preserve"> US</w:t>
      </w:r>
      <w:r w:rsidR="00A07171">
        <w:t xml:space="preserve"> Food and Drug Administration (</w:t>
      </w:r>
      <w:r>
        <w:t>FDA</w:t>
      </w:r>
      <w:r w:rsidR="00A07171">
        <w:t>)</w:t>
      </w:r>
      <w:r>
        <w:t>.</w:t>
      </w:r>
    </w:p>
    <w:p w14:paraId="3EA20336" w14:textId="3F15164B" w:rsidR="00AC7CFC" w:rsidRDefault="00AC7CFC" w:rsidP="00A07171">
      <w:pPr>
        <w:pStyle w:val="FigureTitle"/>
      </w:pPr>
      <w:r>
        <w:lastRenderedPageBreak/>
        <w:t xml:space="preserve">Figure </w:t>
      </w:r>
      <w:fldSimple w:instr=" SEQ Figure \* ARABIC ">
        <w:r>
          <w:rPr>
            <w:noProof/>
          </w:rPr>
          <w:t>1</w:t>
        </w:r>
      </w:fldSimple>
      <w:r>
        <w:t xml:space="preserve">: </w:t>
      </w:r>
      <w:r w:rsidR="00826768">
        <w:t xml:space="preserve">Subgroup analysis, proportion of eyes with </w:t>
      </w:r>
      <w:r w:rsidR="004B7D43">
        <w:t>≥</w:t>
      </w:r>
      <w:r w:rsidR="00826768">
        <w:t xml:space="preserve"> 10 mm i</w:t>
      </w:r>
      <w:r w:rsidR="00826768" w:rsidRPr="00826768">
        <w:t>ncrease in Schirmer’s Test score from Baseline by baseline</w:t>
      </w:r>
      <w:r w:rsidR="00826768">
        <w:t xml:space="preserve"> Schirmer’s Test s</w:t>
      </w:r>
      <w:r w:rsidR="00826768" w:rsidRPr="00826768">
        <w:t>core</w:t>
      </w:r>
    </w:p>
    <w:p w14:paraId="6861F9C5" w14:textId="77777777" w:rsidR="00AC7CFC" w:rsidRDefault="00AC7CFC" w:rsidP="00AC7CFC">
      <w:pPr>
        <w:spacing w:before="0" w:after="0" w:line="240" w:lineRule="auto"/>
        <w:rPr>
          <w:rFonts w:asciiTheme="minorHAnsi" w:hAnsiTheme="minorHAnsi"/>
          <w:b/>
        </w:rPr>
      </w:pPr>
      <w:r>
        <w:rPr>
          <w:noProof/>
          <w:lang w:eastAsia="en-AU"/>
        </w:rPr>
        <w:drawing>
          <wp:inline distT="0" distB="0" distL="0" distR="0" wp14:anchorId="7632B304" wp14:editId="120A89A8">
            <wp:extent cx="5257800" cy="3130319"/>
            <wp:effectExtent l="0" t="0" r="0" b="0"/>
            <wp:docPr id="11" name="Picture 11" descr="Subgroup analysis, proportion of eyes with ≥ 10 mm increase in Schirmer’s Test score from Baseline by baseline Schirmer’s Test sc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5290188" cy="3149601"/>
                    </a:xfrm>
                    <a:prstGeom prst="rect">
                      <a:avLst/>
                    </a:prstGeom>
                  </pic:spPr>
                </pic:pic>
              </a:graphicData>
            </a:graphic>
          </wp:inline>
        </w:drawing>
      </w:r>
    </w:p>
    <w:p w14:paraId="11B7DB87" w14:textId="4FBBBC07" w:rsidR="00826768" w:rsidRDefault="00826768" w:rsidP="00826768">
      <w:pPr>
        <w:pStyle w:val="TableDescription"/>
      </w:pPr>
      <w:r>
        <w:t xml:space="preserve">Circles represent the treatment difference (OTX-101 0.09% - vehicle for the proportion of eyes with </w:t>
      </w:r>
      <w:r w:rsidR="00C077C8">
        <w:t>≥</w:t>
      </w:r>
      <w:r>
        <w:t> 10 mm increase from Baseline) and lines show the lower (left) and upper (right) 95% confidence intervals (CI). If the lower CI is to the right of the 0% line, the P value is &lt; 0.05 and is shown in blue.</w:t>
      </w:r>
    </w:p>
    <w:p w14:paraId="556D7F2B" w14:textId="5DD6F15B" w:rsidR="00AC7CFC" w:rsidRPr="00F46E31" w:rsidRDefault="00A07171" w:rsidP="00DB095A">
      <w:pPr>
        <w:rPr>
          <w:i/>
        </w:rPr>
      </w:pPr>
      <w:r>
        <w:t>The Delegate commented that p</w:t>
      </w:r>
      <w:r w:rsidR="00AC7CFC" w:rsidRPr="00A74047">
        <w:t xml:space="preserve">atients with </w:t>
      </w:r>
      <w:r w:rsidR="004B7D43">
        <w:t>≥</w:t>
      </w:r>
      <w:r>
        <w:t xml:space="preserve"> 10 mm score at B</w:t>
      </w:r>
      <w:r w:rsidR="00AC7CFC" w:rsidRPr="00A74047">
        <w:t xml:space="preserve">aseline represents those with milder severity of dry eye disease. They would not have </w:t>
      </w:r>
      <w:r w:rsidR="00AC7CFC">
        <w:t xml:space="preserve">much </w:t>
      </w:r>
      <w:r w:rsidR="00AC7CFC" w:rsidRPr="00A74047">
        <w:t>room for further improvement after treatment with ciclosporin eye drops.</w:t>
      </w:r>
      <w:r w:rsidR="00AC7CFC">
        <w:t xml:space="preserve"> All these patients had inadequate response to tear substitutes administered for 14 days prior to study treatment</w:t>
      </w:r>
      <w:r w:rsidR="00AC7CFC" w:rsidRPr="00A74047">
        <w:t>. This observation supports the use of ciclosporin eye drops in m</w:t>
      </w:r>
      <w:r w:rsidR="00AC7CFC">
        <w:t xml:space="preserve">oderate and severe dry eyes, </w:t>
      </w:r>
      <w:r w:rsidR="00AC7CFC" w:rsidRPr="00F46E31">
        <w:rPr>
          <w:i/>
        </w:rPr>
        <w:t>with inadequat</w:t>
      </w:r>
      <w:r w:rsidR="00DB095A">
        <w:rPr>
          <w:i/>
        </w:rPr>
        <w:t>e response to tear substitutes.</w:t>
      </w:r>
    </w:p>
    <w:p w14:paraId="64B46624" w14:textId="77777777" w:rsidR="00AC7CFC" w:rsidRDefault="00DB095A" w:rsidP="00DB095A">
      <w:pPr>
        <w:pStyle w:val="Heading4"/>
      </w:pPr>
      <w:r>
        <w:t>Clinical s</w:t>
      </w:r>
      <w:r w:rsidR="00AC7CFC">
        <w:t>afety</w:t>
      </w:r>
    </w:p>
    <w:p w14:paraId="77BF64E4" w14:textId="77777777" w:rsidR="00AC7CFC" w:rsidRDefault="00DB095A" w:rsidP="00DB095A">
      <w:pPr>
        <w:pStyle w:val="Heading5"/>
      </w:pPr>
      <w:r>
        <w:t>Treatment emergent adverse events</w:t>
      </w:r>
    </w:p>
    <w:p w14:paraId="048E7BAA" w14:textId="45B0B1B7" w:rsidR="00AC7CFC" w:rsidRDefault="00AC7CFC" w:rsidP="00DB095A">
      <w:r>
        <w:t xml:space="preserve">The most common </w:t>
      </w:r>
      <w:r w:rsidR="00A07171">
        <w:t>t</w:t>
      </w:r>
      <w:r w:rsidR="00A07171" w:rsidRPr="00A07171">
        <w:t xml:space="preserve">reatment emergent adverse events </w:t>
      </w:r>
      <w:r w:rsidR="00A07171">
        <w:t>(</w:t>
      </w:r>
      <w:r>
        <w:t>TEAE</w:t>
      </w:r>
      <w:r w:rsidR="00A07171">
        <w:t>)</w:t>
      </w:r>
      <w:r>
        <w:t xml:space="preserve"> reported in ciclosporin group was instillation site pain </w:t>
      </w:r>
      <w:r w:rsidRPr="00013E01">
        <w:t>(15.1%, 13.2% and 3.3% in the OTX-101 cyclosporin 0.09%</w:t>
      </w:r>
      <w:r w:rsidR="0074606A">
        <w:t>;</w:t>
      </w:r>
      <w:r w:rsidR="00A07171">
        <w:t xml:space="preserve"> OTX-101 cyclosporin 0.05%</w:t>
      </w:r>
      <w:r w:rsidR="0074606A">
        <w:t>;</w:t>
      </w:r>
      <w:r w:rsidR="00A07171">
        <w:t xml:space="preserve"> and v</w:t>
      </w:r>
      <w:r w:rsidRPr="00013E01">
        <w:t>ehicle groups</w:t>
      </w:r>
      <w:r w:rsidR="00A07171">
        <w:t>,</w:t>
      </w:r>
      <w:r>
        <w:t xml:space="preserve"> respectively</w:t>
      </w:r>
      <w:r w:rsidR="00A07171">
        <w:t>, in S</w:t>
      </w:r>
      <w:r w:rsidR="00826768">
        <w:t>tudy </w:t>
      </w:r>
      <w:r w:rsidR="00A07171" w:rsidRPr="0041636F">
        <w:t>OT</w:t>
      </w:r>
      <w:r w:rsidR="00826768">
        <w:t>X</w:t>
      </w:r>
      <w:r w:rsidR="00826768">
        <w:noBreakHyphen/>
        <w:t>101</w:t>
      </w:r>
      <w:r w:rsidR="00826768">
        <w:noBreakHyphen/>
      </w:r>
      <w:r w:rsidR="00A07171" w:rsidRPr="0041636F">
        <w:t>2014-001</w:t>
      </w:r>
      <w:r>
        <w:t xml:space="preserve"> and </w:t>
      </w:r>
      <w:r w:rsidRPr="00BC686C">
        <w:t>24.2% with OTX-101 c</w:t>
      </w:r>
      <w:r w:rsidR="00A07171">
        <w:t>yclosporin 0.09% versus 4.3% with v</w:t>
      </w:r>
      <w:r w:rsidRPr="00BC686C">
        <w:t>ehicle</w:t>
      </w:r>
      <w:r w:rsidR="00A07171">
        <w:t xml:space="preserve"> in S</w:t>
      </w:r>
      <w:r>
        <w:t xml:space="preserve">tudy </w:t>
      </w:r>
      <w:r w:rsidR="00A07171" w:rsidRPr="00A50FFF">
        <w:t>OTX-101-2016-001</w:t>
      </w:r>
      <w:r>
        <w:t xml:space="preserve">). </w:t>
      </w:r>
      <w:r w:rsidR="0074606A">
        <w:t>The m</w:t>
      </w:r>
      <w:r>
        <w:t>ajority of TEAEs were mild to moderate in severity and resolved after the treatment was stopped.</w:t>
      </w:r>
    </w:p>
    <w:p w14:paraId="692ACD8C" w14:textId="77777777" w:rsidR="00AC7CFC" w:rsidRDefault="00DB095A" w:rsidP="00DB095A">
      <w:pPr>
        <w:pStyle w:val="Heading5"/>
      </w:pPr>
      <w:r>
        <w:t>Serious adverse events</w:t>
      </w:r>
    </w:p>
    <w:p w14:paraId="2A1C54D1" w14:textId="77777777" w:rsidR="00AC7CFC" w:rsidRDefault="00AC7CFC" w:rsidP="00DB095A">
      <w:r>
        <w:t xml:space="preserve">No ocular </w:t>
      </w:r>
      <w:r w:rsidR="00A07171">
        <w:t>serious adverse events (</w:t>
      </w:r>
      <w:r>
        <w:t>SAEs</w:t>
      </w:r>
      <w:r w:rsidR="00A07171">
        <w:t>)</w:t>
      </w:r>
      <w:r>
        <w:t xml:space="preserve"> were reported across studies. Incidence of SAEs was low overall and it was lower in ciclospo</w:t>
      </w:r>
      <w:r w:rsidR="00DB095A">
        <w:t>rin group, compared to vehicle.</w:t>
      </w:r>
    </w:p>
    <w:p w14:paraId="1BEEB16A" w14:textId="77777777" w:rsidR="00AC7CFC" w:rsidRPr="00BD6505" w:rsidRDefault="00AC7CFC" w:rsidP="00DB095A">
      <w:pPr>
        <w:pStyle w:val="Heading5"/>
      </w:pPr>
      <w:r>
        <w:t>Discontinuations</w:t>
      </w:r>
    </w:p>
    <w:p w14:paraId="2F190108" w14:textId="2F3F76F7" w:rsidR="00AC7CFC" w:rsidRDefault="00AC7CFC" w:rsidP="00DB095A">
      <w:r>
        <w:t>TEAEs leading to discontinuation w</w:t>
      </w:r>
      <w:r w:rsidR="0074606A">
        <w:t>ere</w:t>
      </w:r>
      <w:r>
        <w:t xml:space="preserve"> higher in ciclosporin group, compared to vehicle. The most common T</w:t>
      </w:r>
      <w:r w:rsidR="00DB095A">
        <w:t>EAE was instillation site pain.</w:t>
      </w:r>
    </w:p>
    <w:p w14:paraId="6D495B5B" w14:textId="77777777" w:rsidR="00456765" w:rsidRPr="00456765" w:rsidRDefault="00AC7CFC" w:rsidP="00DB095A">
      <w:r>
        <w:t>No other majo</w:t>
      </w:r>
      <w:r w:rsidR="00DB095A">
        <w:t>r safety signals were reported.</w:t>
      </w:r>
    </w:p>
    <w:p w14:paraId="3242AEE4" w14:textId="77777777" w:rsidR="008E7846" w:rsidRDefault="00386150" w:rsidP="007B6132">
      <w:pPr>
        <w:pStyle w:val="Heading3"/>
        <w:rPr>
          <w:lang w:eastAsia="en-AU"/>
        </w:rPr>
      </w:pPr>
      <w:bookmarkStart w:id="41" w:name="_Toc40254848"/>
      <w:r>
        <w:rPr>
          <w:lang w:eastAsia="en-AU"/>
        </w:rPr>
        <w:lastRenderedPageBreak/>
        <w:t>Risk m</w:t>
      </w:r>
      <w:r w:rsidR="008E7846">
        <w:rPr>
          <w:lang w:eastAsia="en-AU"/>
        </w:rPr>
        <w:t xml:space="preserve">anagement </w:t>
      </w:r>
      <w:r>
        <w:rPr>
          <w:lang w:eastAsia="en-AU"/>
        </w:rPr>
        <w:t>p</w:t>
      </w:r>
      <w:r w:rsidR="008E7846">
        <w:rPr>
          <w:lang w:eastAsia="en-AU"/>
        </w:rPr>
        <w:t>lan</w:t>
      </w:r>
      <w:bookmarkEnd w:id="40"/>
      <w:bookmarkEnd w:id="41"/>
    </w:p>
    <w:p w14:paraId="433C2BFB" w14:textId="65774F10" w:rsidR="00E32453" w:rsidRPr="00B61E64" w:rsidRDefault="00DB095A" w:rsidP="00DB095A">
      <w:pPr>
        <w:pStyle w:val="ListBullet"/>
      </w:pPr>
      <w:r>
        <w:t>The sponsor</w:t>
      </w:r>
      <w:r w:rsidR="00E32453" w:rsidRPr="00B61E64">
        <w:t xml:space="preserve"> has submitted a Core </w:t>
      </w:r>
      <w:r w:rsidR="006A65CA">
        <w:t>risk management plan (</w:t>
      </w:r>
      <w:r w:rsidR="00E32453" w:rsidRPr="00B61E64">
        <w:t>RMP</w:t>
      </w:r>
      <w:r w:rsidR="006A65CA">
        <w:t>)</w:t>
      </w:r>
      <w:r w:rsidR="00E32453" w:rsidRPr="00B61E64">
        <w:t xml:space="preserve"> version 0.1 (18</w:t>
      </w:r>
      <w:r w:rsidR="00BE706A">
        <w:t> </w:t>
      </w:r>
      <w:r w:rsidR="00E32453" w:rsidRPr="00B61E64">
        <w:t xml:space="preserve">January 2019; no </w:t>
      </w:r>
      <w:r w:rsidR="006A65CA">
        <w:t>data lock point (</w:t>
      </w:r>
      <w:r w:rsidR="00E32453" w:rsidRPr="00B61E64">
        <w:t>DLP</w:t>
      </w:r>
      <w:r w:rsidR="006A65CA">
        <w:t>)</w:t>
      </w:r>
      <w:r w:rsidR="00E32453" w:rsidRPr="00B61E64">
        <w:t xml:space="preserve"> stated) and </w:t>
      </w:r>
      <w:r w:rsidR="006A65CA">
        <w:t>Australian specific Annex (</w:t>
      </w:r>
      <w:r w:rsidR="00E32453" w:rsidRPr="00B61E64">
        <w:t>ASA</w:t>
      </w:r>
      <w:r w:rsidR="006A65CA">
        <w:t>)</w:t>
      </w:r>
      <w:r w:rsidR="00E32453" w:rsidRPr="00B61E64">
        <w:t xml:space="preserve"> version 0.1 (18 January 2019) in support of this application.</w:t>
      </w:r>
      <w:r w:rsidR="00E32453">
        <w:t xml:space="preserve"> The sponsor has submitted </w:t>
      </w:r>
      <w:r w:rsidR="00E32453" w:rsidRPr="00B61E64">
        <w:t>Core RMP version 0.1 (</w:t>
      </w:r>
      <w:r w:rsidR="00E32453">
        <w:t>19 August 2019; DLP 31 October 2017) in their response</w:t>
      </w:r>
      <w:r w:rsidR="00826768">
        <w:t xml:space="preserve"> to TGA questions</w:t>
      </w:r>
      <w:r w:rsidR="00E32453">
        <w:t>. There has been no update to the ASA.</w:t>
      </w:r>
    </w:p>
    <w:p w14:paraId="76701D23" w14:textId="77777777" w:rsidR="00E32453" w:rsidRDefault="00E32453" w:rsidP="00DB095A">
      <w:pPr>
        <w:pStyle w:val="ListBullet"/>
      </w:pPr>
      <w:r w:rsidRPr="00B61E64">
        <w:t xml:space="preserve">The proposed summary of safety concerns and their associated risk monitoring and mitigation </w:t>
      </w:r>
      <w:r w:rsidR="006A65CA">
        <w:t xml:space="preserve">strategies are summarised below in </w:t>
      </w:r>
      <w:r w:rsidR="006A65CA">
        <w:fldChar w:fldCharType="begin"/>
      </w:r>
      <w:r w:rsidR="006A65CA">
        <w:instrText xml:space="preserve"> REF _Ref36670899 \h </w:instrText>
      </w:r>
      <w:r w:rsidR="006A65CA">
        <w:fldChar w:fldCharType="separate"/>
      </w:r>
      <w:r w:rsidR="006A65CA">
        <w:t xml:space="preserve">Table </w:t>
      </w:r>
      <w:r w:rsidR="006A65CA">
        <w:rPr>
          <w:noProof/>
        </w:rPr>
        <w:t>7</w:t>
      </w:r>
      <w:r w:rsidR="006A65CA">
        <w:fldChar w:fldCharType="end"/>
      </w:r>
      <w:r w:rsidR="006A65CA">
        <w:t>.</w:t>
      </w:r>
      <w:r w:rsidRPr="00E32453">
        <w:rPr>
          <w:rStyle w:val="FootnoteReference"/>
          <w:lang w:eastAsia="en-AU"/>
        </w:rPr>
        <w:t xml:space="preserve"> </w:t>
      </w:r>
      <w:r>
        <w:rPr>
          <w:rStyle w:val="FootnoteReference"/>
          <w:lang w:eastAsia="en-AU"/>
        </w:rPr>
        <w:footnoteReference w:id="15"/>
      </w:r>
    </w:p>
    <w:p w14:paraId="461AC991" w14:textId="77777777" w:rsidR="006A65CA" w:rsidRPr="00B61E64" w:rsidRDefault="00DB095A" w:rsidP="00DB095A">
      <w:pPr>
        <w:pStyle w:val="TableTitle"/>
      </w:pPr>
      <w:bookmarkStart w:id="42" w:name="_Ref36670899"/>
      <w:r>
        <w:t xml:space="preserve">Table </w:t>
      </w:r>
      <w:fldSimple w:instr=" SEQ Table \* ARABIC ">
        <w:r>
          <w:rPr>
            <w:noProof/>
          </w:rPr>
          <w:t>7</w:t>
        </w:r>
      </w:fldSimple>
      <w:bookmarkEnd w:id="42"/>
      <w:r>
        <w:t>: Summary of safety concerns</w:t>
      </w:r>
    </w:p>
    <w:tbl>
      <w:tblPr>
        <w:tblStyle w:val="TableTGAblue"/>
        <w:tblW w:w="5000" w:type="pct"/>
        <w:tblLayout w:type="fixed"/>
        <w:tblLook w:val="04A0" w:firstRow="1" w:lastRow="0" w:firstColumn="1" w:lastColumn="0" w:noHBand="0" w:noVBand="1"/>
      </w:tblPr>
      <w:tblGrid>
        <w:gridCol w:w="1384"/>
        <w:gridCol w:w="2835"/>
        <w:gridCol w:w="991"/>
        <w:gridCol w:w="1277"/>
        <w:gridCol w:w="991"/>
        <w:gridCol w:w="1242"/>
      </w:tblGrid>
      <w:tr w:rsidR="00E32453" w:rsidRPr="006A65CA" w14:paraId="329FE4E0" w14:textId="77777777" w:rsidTr="00C077C8">
        <w:trPr>
          <w:cnfStyle w:val="100000000000" w:firstRow="1" w:lastRow="0" w:firstColumn="0" w:lastColumn="0" w:oddVBand="0" w:evenVBand="0" w:oddHBand="0" w:evenHBand="0" w:firstRowFirstColumn="0" w:firstRowLastColumn="0" w:lastRowFirstColumn="0" w:lastRowLastColumn="0"/>
          <w:cantSplit/>
          <w:trHeight w:val="131"/>
        </w:trPr>
        <w:tc>
          <w:tcPr>
            <w:tcW w:w="2419" w:type="pct"/>
            <w:gridSpan w:val="2"/>
            <w:vMerge w:val="restart"/>
          </w:tcPr>
          <w:p w14:paraId="0CB39147" w14:textId="77777777" w:rsidR="00E32453" w:rsidRPr="006A65CA" w:rsidRDefault="00E32453" w:rsidP="006A65CA">
            <w:pPr>
              <w:pStyle w:val="Tabletext"/>
              <w:ind w:left="0" w:right="0"/>
              <w:rPr>
                <w:sz w:val="20"/>
                <w:szCs w:val="20"/>
              </w:rPr>
            </w:pPr>
            <w:r w:rsidRPr="006A65CA">
              <w:rPr>
                <w:sz w:val="20"/>
                <w:szCs w:val="20"/>
              </w:rPr>
              <w:t>Summary of safety concerns</w:t>
            </w:r>
          </w:p>
        </w:tc>
        <w:tc>
          <w:tcPr>
            <w:tcW w:w="1300" w:type="pct"/>
            <w:gridSpan w:val="2"/>
          </w:tcPr>
          <w:p w14:paraId="5FD8FCD9" w14:textId="77777777" w:rsidR="00E32453" w:rsidRPr="006A65CA" w:rsidRDefault="00E32453" w:rsidP="006A65CA">
            <w:pPr>
              <w:pStyle w:val="Tabletext"/>
              <w:ind w:left="0" w:right="0"/>
              <w:rPr>
                <w:sz w:val="20"/>
                <w:szCs w:val="20"/>
              </w:rPr>
            </w:pPr>
            <w:r w:rsidRPr="006A65CA">
              <w:rPr>
                <w:sz w:val="20"/>
                <w:szCs w:val="20"/>
              </w:rPr>
              <w:t>Pharmacovigilance</w:t>
            </w:r>
          </w:p>
        </w:tc>
        <w:tc>
          <w:tcPr>
            <w:tcW w:w="1280" w:type="pct"/>
            <w:gridSpan w:val="2"/>
          </w:tcPr>
          <w:p w14:paraId="2269098B" w14:textId="77777777" w:rsidR="00E32453" w:rsidRPr="006A65CA" w:rsidRDefault="00E32453" w:rsidP="006A65CA">
            <w:pPr>
              <w:pStyle w:val="Tabletext"/>
              <w:ind w:left="0" w:right="0"/>
              <w:rPr>
                <w:sz w:val="20"/>
                <w:szCs w:val="20"/>
              </w:rPr>
            </w:pPr>
            <w:r w:rsidRPr="006A65CA">
              <w:rPr>
                <w:sz w:val="20"/>
                <w:szCs w:val="20"/>
              </w:rPr>
              <w:t>Risk Minimisation</w:t>
            </w:r>
          </w:p>
        </w:tc>
      </w:tr>
      <w:tr w:rsidR="006A65CA" w:rsidRPr="006A65CA" w14:paraId="3C30CDE9" w14:textId="77777777" w:rsidTr="006A65CA">
        <w:trPr>
          <w:trHeight w:val="150"/>
        </w:trPr>
        <w:tc>
          <w:tcPr>
            <w:tcW w:w="2419" w:type="pct"/>
            <w:gridSpan w:val="2"/>
            <w:vMerge/>
          </w:tcPr>
          <w:p w14:paraId="3B1C34E0" w14:textId="77777777" w:rsidR="00E32453" w:rsidRPr="006A65CA" w:rsidRDefault="00E32453" w:rsidP="006A65CA">
            <w:pPr>
              <w:pStyle w:val="Tabletext"/>
              <w:ind w:left="0" w:right="0"/>
              <w:rPr>
                <w:sz w:val="20"/>
                <w:szCs w:val="20"/>
              </w:rPr>
            </w:pPr>
          </w:p>
        </w:tc>
        <w:tc>
          <w:tcPr>
            <w:tcW w:w="568" w:type="pct"/>
          </w:tcPr>
          <w:p w14:paraId="44254480" w14:textId="77777777" w:rsidR="00E32453" w:rsidRPr="006A65CA" w:rsidRDefault="00E32453" w:rsidP="006A65CA">
            <w:pPr>
              <w:pStyle w:val="Tabletext"/>
              <w:ind w:left="0" w:right="0"/>
              <w:rPr>
                <w:sz w:val="20"/>
                <w:szCs w:val="20"/>
              </w:rPr>
            </w:pPr>
            <w:r w:rsidRPr="006A65CA">
              <w:rPr>
                <w:sz w:val="20"/>
                <w:szCs w:val="20"/>
              </w:rPr>
              <w:t>Routine</w:t>
            </w:r>
          </w:p>
        </w:tc>
        <w:tc>
          <w:tcPr>
            <w:tcW w:w="732" w:type="pct"/>
          </w:tcPr>
          <w:p w14:paraId="64C1B525" w14:textId="77777777" w:rsidR="00E32453" w:rsidRPr="006A65CA" w:rsidRDefault="00E32453" w:rsidP="006A65CA">
            <w:pPr>
              <w:pStyle w:val="Tabletext"/>
              <w:ind w:left="0" w:right="0"/>
              <w:rPr>
                <w:sz w:val="20"/>
                <w:szCs w:val="20"/>
              </w:rPr>
            </w:pPr>
            <w:r w:rsidRPr="006A65CA">
              <w:rPr>
                <w:sz w:val="20"/>
                <w:szCs w:val="20"/>
              </w:rPr>
              <w:t>Additional</w:t>
            </w:r>
          </w:p>
        </w:tc>
        <w:tc>
          <w:tcPr>
            <w:tcW w:w="568" w:type="pct"/>
          </w:tcPr>
          <w:p w14:paraId="764F33B1" w14:textId="77777777" w:rsidR="00E32453" w:rsidRPr="006A65CA" w:rsidRDefault="00E32453" w:rsidP="006A65CA">
            <w:pPr>
              <w:pStyle w:val="Tabletext"/>
              <w:ind w:left="0" w:right="0"/>
              <w:rPr>
                <w:sz w:val="20"/>
                <w:szCs w:val="20"/>
              </w:rPr>
            </w:pPr>
            <w:r w:rsidRPr="006A65CA">
              <w:rPr>
                <w:sz w:val="20"/>
                <w:szCs w:val="20"/>
              </w:rPr>
              <w:t>Routine</w:t>
            </w:r>
          </w:p>
        </w:tc>
        <w:tc>
          <w:tcPr>
            <w:tcW w:w="712" w:type="pct"/>
          </w:tcPr>
          <w:p w14:paraId="577EF2AD" w14:textId="77777777" w:rsidR="00E32453" w:rsidRPr="006A65CA" w:rsidRDefault="00E32453" w:rsidP="006A65CA">
            <w:pPr>
              <w:pStyle w:val="Tabletext"/>
              <w:ind w:left="0" w:right="0"/>
              <w:rPr>
                <w:sz w:val="20"/>
                <w:szCs w:val="20"/>
              </w:rPr>
            </w:pPr>
            <w:r w:rsidRPr="006A65CA">
              <w:rPr>
                <w:sz w:val="20"/>
                <w:szCs w:val="20"/>
              </w:rPr>
              <w:t>Additional</w:t>
            </w:r>
          </w:p>
        </w:tc>
      </w:tr>
      <w:tr w:rsidR="006A65CA" w:rsidRPr="006A65CA" w14:paraId="209CD5BF" w14:textId="77777777" w:rsidTr="006A65CA">
        <w:trPr>
          <w:trHeight w:val="137"/>
        </w:trPr>
        <w:tc>
          <w:tcPr>
            <w:tcW w:w="794" w:type="pct"/>
          </w:tcPr>
          <w:p w14:paraId="37582F2C" w14:textId="77777777" w:rsidR="00E32453" w:rsidRPr="006A65CA" w:rsidRDefault="00E32453" w:rsidP="006A65CA">
            <w:pPr>
              <w:pStyle w:val="Tabletext"/>
              <w:ind w:left="0" w:right="0"/>
              <w:rPr>
                <w:b/>
                <w:sz w:val="20"/>
                <w:szCs w:val="20"/>
              </w:rPr>
            </w:pPr>
            <w:r w:rsidRPr="006A65CA">
              <w:rPr>
                <w:b/>
                <w:sz w:val="20"/>
                <w:szCs w:val="20"/>
              </w:rPr>
              <w:t>Important identified risks</w:t>
            </w:r>
          </w:p>
        </w:tc>
        <w:tc>
          <w:tcPr>
            <w:tcW w:w="1626" w:type="pct"/>
          </w:tcPr>
          <w:p w14:paraId="4D16886B" w14:textId="77777777" w:rsidR="00E32453" w:rsidRPr="006A65CA" w:rsidRDefault="00E32453" w:rsidP="006A65CA">
            <w:pPr>
              <w:pStyle w:val="Tabletext"/>
              <w:ind w:left="0" w:right="0"/>
              <w:rPr>
                <w:sz w:val="20"/>
                <w:szCs w:val="20"/>
              </w:rPr>
            </w:pPr>
            <w:r w:rsidRPr="006A65CA">
              <w:rPr>
                <w:sz w:val="20"/>
                <w:szCs w:val="20"/>
              </w:rPr>
              <w:t>Instillation site pain</w:t>
            </w:r>
          </w:p>
        </w:tc>
        <w:tc>
          <w:tcPr>
            <w:tcW w:w="568" w:type="pct"/>
          </w:tcPr>
          <w:p w14:paraId="747C5E1D" w14:textId="77777777" w:rsidR="00E32453" w:rsidRPr="006A65CA" w:rsidRDefault="00E32453" w:rsidP="006A65CA">
            <w:pPr>
              <w:pStyle w:val="Tabletext"/>
              <w:ind w:left="0" w:right="0"/>
              <w:jc w:val="center"/>
              <w:rPr>
                <w:sz w:val="20"/>
                <w:szCs w:val="20"/>
              </w:rPr>
            </w:pPr>
            <w:r w:rsidRPr="006A65CA">
              <w:rPr>
                <w:sz w:val="20"/>
                <w:szCs w:val="20"/>
              </w:rPr>
              <w:sym w:font="Wingdings" w:char="F0FC"/>
            </w:r>
          </w:p>
        </w:tc>
        <w:tc>
          <w:tcPr>
            <w:tcW w:w="732" w:type="pct"/>
          </w:tcPr>
          <w:p w14:paraId="6233784B" w14:textId="77777777" w:rsidR="00E32453" w:rsidRPr="006A65CA" w:rsidRDefault="00E32453" w:rsidP="006A65CA">
            <w:pPr>
              <w:pStyle w:val="Tabletext"/>
              <w:ind w:left="0" w:right="0"/>
              <w:jc w:val="center"/>
              <w:rPr>
                <w:sz w:val="20"/>
                <w:szCs w:val="20"/>
              </w:rPr>
            </w:pPr>
            <w:r w:rsidRPr="006A65CA">
              <w:rPr>
                <w:sz w:val="20"/>
                <w:szCs w:val="20"/>
              </w:rPr>
              <w:t>–</w:t>
            </w:r>
          </w:p>
        </w:tc>
        <w:tc>
          <w:tcPr>
            <w:tcW w:w="568" w:type="pct"/>
          </w:tcPr>
          <w:p w14:paraId="6B9AB587" w14:textId="77777777" w:rsidR="00E32453" w:rsidRPr="006A65CA" w:rsidRDefault="00E32453" w:rsidP="006A65CA">
            <w:pPr>
              <w:pStyle w:val="Tabletext"/>
              <w:ind w:left="0" w:right="0"/>
              <w:jc w:val="center"/>
              <w:rPr>
                <w:sz w:val="20"/>
                <w:szCs w:val="20"/>
              </w:rPr>
            </w:pPr>
            <w:r w:rsidRPr="006A65CA">
              <w:rPr>
                <w:sz w:val="20"/>
                <w:szCs w:val="20"/>
              </w:rPr>
              <w:sym w:font="Wingdings" w:char="F0FC"/>
            </w:r>
          </w:p>
        </w:tc>
        <w:tc>
          <w:tcPr>
            <w:tcW w:w="712" w:type="pct"/>
          </w:tcPr>
          <w:p w14:paraId="2932E58B" w14:textId="77777777" w:rsidR="00E32453" w:rsidRPr="006A65CA" w:rsidRDefault="00E32453" w:rsidP="006A65CA">
            <w:pPr>
              <w:pStyle w:val="Tabletext"/>
              <w:ind w:left="0" w:right="0"/>
              <w:jc w:val="center"/>
              <w:rPr>
                <w:sz w:val="20"/>
                <w:szCs w:val="20"/>
              </w:rPr>
            </w:pPr>
            <w:r w:rsidRPr="006A65CA">
              <w:rPr>
                <w:sz w:val="20"/>
                <w:szCs w:val="20"/>
              </w:rPr>
              <w:t>–</w:t>
            </w:r>
          </w:p>
        </w:tc>
      </w:tr>
      <w:tr w:rsidR="006A65CA" w:rsidRPr="006A65CA" w14:paraId="4729FD32" w14:textId="77777777" w:rsidTr="006A65CA">
        <w:trPr>
          <w:trHeight w:val="159"/>
        </w:trPr>
        <w:tc>
          <w:tcPr>
            <w:tcW w:w="794" w:type="pct"/>
            <w:vMerge w:val="restart"/>
          </w:tcPr>
          <w:p w14:paraId="3BC0C878" w14:textId="77777777" w:rsidR="00E32453" w:rsidRPr="006A65CA" w:rsidRDefault="00E32453" w:rsidP="006A65CA">
            <w:pPr>
              <w:pStyle w:val="Tabletext"/>
              <w:ind w:left="0" w:right="0"/>
              <w:rPr>
                <w:b/>
                <w:sz w:val="20"/>
                <w:szCs w:val="20"/>
              </w:rPr>
            </w:pPr>
            <w:r w:rsidRPr="006A65CA">
              <w:rPr>
                <w:b/>
                <w:sz w:val="20"/>
                <w:szCs w:val="20"/>
              </w:rPr>
              <w:t>Important potential risks</w:t>
            </w:r>
          </w:p>
        </w:tc>
        <w:tc>
          <w:tcPr>
            <w:tcW w:w="1626" w:type="pct"/>
          </w:tcPr>
          <w:p w14:paraId="6DD77364" w14:textId="77777777" w:rsidR="00E32453" w:rsidRPr="006A65CA" w:rsidRDefault="00E32453" w:rsidP="006A65CA">
            <w:pPr>
              <w:pStyle w:val="Tabletext"/>
              <w:ind w:left="0" w:right="0"/>
              <w:rPr>
                <w:sz w:val="20"/>
                <w:szCs w:val="20"/>
              </w:rPr>
            </w:pPr>
            <w:r w:rsidRPr="006A65CA">
              <w:rPr>
                <w:sz w:val="20"/>
                <w:szCs w:val="20"/>
              </w:rPr>
              <w:t>Medication errors</w:t>
            </w:r>
          </w:p>
        </w:tc>
        <w:tc>
          <w:tcPr>
            <w:tcW w:w="568" w:type="pct"/>
          </w:tcPr>
          <w:p w14:paraId="7D72AE53" w14:textId="77777777" w:rsidR="00E32453" w:rsidRPr="006A65CA" w:rsidRDefault="00E32453" w:rsidP="006A65CA">
            <w:pPr>
              <w:pStyle w:val="Tabletext"/>
              <w:ind w:left="0" w:right="0"/>
              <w:jc w:val="center"/>
              <w:rPr>
                <w:sz w:val="20"/>
                <w:szCs w:val="20"/>
              </w:rPr>
            </w:pPr>
            <w:r w:rsidRPr="006A65CA">
              <w:rPr>
                <w:sz w:val="20"/>
                <w:szCs w:val="20"/>
              </w:rPr>
              <w:sym w:font="Wingdings" w:char="F0FC"/>
            </w:r>
          </w:p>
        </w:tc>
        <w:tc>
          <w:tcPr>
            <w:tcW w:w="732" w:type="pct"/>
          </w:tcPr>
          <w:p w14:paraId="33968EAE" w14:textId="77777777" w:rsidR="00E32453" w:rsidRPr="006A65CA" w:rsidRDefault="00E32453" w:rsidP="006A65CA">
            <w:pPr>
              <w:pStyle w:val="Tabletext"/>
              <w:ind w:left="0" w:right="0"/>
              <w:jc w:val="center"/>
              <w:rPr>
                <w:sz w:val="20"/>
                <w:szCs w:val="20"/>
              </w:rPr>
            </w:pPr>
            <w:r w:rsidRPr="006A65CA">
              <w:rPr>
                <w:sz w:val="20"/>
                <w:szCs w:val="20"/>
              </w:rPr>
              <w:t>–</w:t>
            </w:r>
          </w:p>
        </w:tc>
        <w:tc>
          <w:tcPr>
            <w:tcW w:w="568" w:type="pct"/>
          </w:tcPr>
          <w:p w14:paraId="31EC6BAC" w14:textId="77777777" w:rsidR="00E32453" w:rsidRPr="006A65CA" w:rsidRDefault="00E32453" w:rsidP="006A65CA">
            <w:pPr>
              <w:pStyle w:val="Tabletext"/>
              <w:ind w:left="0" w:right="0"/>
              <w:jc w:val="center"/>
              <w:rPr>
                <w:sz w:val="20"/>
                <w:szCs w:val="20"/>
              </w:rPr>
            </w:pPr>
            <w:r w:rsidRPr="006A65CA">
              <w:rPr>
                <w:sz w:val="20"/>
                <w:szCs w:val="20"/>
              </w:rPr>
              <w:sym w:font="Wingdings" w:char="F0FC"/>
            </w:r>
          </w:p>
        </w:tc>
        <w:tc>
          <w:tcPr>
            <w:tcW w:w="712" w:type="pct"/>
          </w:tcPr>
          <w:p w14:paraId="55EB83BE" w14:textId="77777777" w:rsidR="00E32453" w:rsidRPr="006A65CA" w:rsidRDefault="00E32453" w:rsidP="006A65CA">
            <w:pPr>
              <w:pStyle w:val="Tabletext"/>
              <w:ind w:left="0" w:right="0"/>
              <w:jc w:val="center"/>
              <w:rPr>
                <w:sz w:val="20"/>
                <w:szCs w:val="20"/>
              </w:rPr>
            </w:pPr>
            <w:r w:rsidRPr="006A65CA">
              <w:rPr>
                <w:sz w:val="20"/>
                <w:szCs w:val="20"/>
              </w:rPr>
              <w:t>–</w:t>
            </w:r>
          </w:p>
        </w:tc>
      </w:tr>
      <w:tr w:rsidR="006A65CA" w:rsidRPr="006A65CA" w14:paraId="18D7D5B3" w14:textId="77777777" w:rsidTr="006A65CA">
        <w:trPr>
          <w:trHeight w:val="122"/>
        </w:trPr>
        <w:tc>
          <w:tcPr>
            <w:tcW w:w="794" w:type="pct"/>
            <w:vMerge/>
          </w:tcPr>
          <w:p w14:paraId="30E33398" w14:textId="77777777" w:rsidR="00E32453" w:rsidRPr="006A65CA" w:rsidRDefault="00E32453" w:rsidP="006A65CA">
            <w:pPr>
              <w:pStyle w:val="Tabletext"/>
              <w:ind w:left="0" w:right="0"/>
              <w:rPr>
                <w:b/>
                <w:sz w:val="20"/>
                <w:szCs w:val="20"/>
              </w:rPr>
            </w:pPr>
          </w:p>
        </w:tc>
        <w:tc>
          <w:tcPr>
            <w:tcW w:w="1626" w:type="pct"/>
          </w:tcPr>
          <w:p w14:paraId="173F0C30" w14:textId="77777777" w:rsidR="00E32453" w:rsidRPr="006A65CA" w:rsidRDefault="00E32453" w:rsidP="006A65CA">
            <w:pPr>
              <w:pStyle w:val="Tabletext"/>
              <w:ind w:left="0" w:right="0"/>
              <w:rPr>
                <w:sz w:val="20"/>
                <w:szCs w:val="20"/>
              </w:rPr>
            </w:pPr>
            <w:r w:rsidRPr="006A65CA">
              <w:rPr>
                <w:sz w:val="20"/>
                <w:szCs w:val="20"/>
              </w:rPr>
              <w:t>Use for non-approved conditions or patient groups (off-label use)</w:t>
            </w:r>
          </w:p>
        </w:tc>
        <w:tc>
          <w:tcPr>
            <w:tcW w:w="568" w:type="pct"/>
          </w:tcPr>
          <w:p w14:paraId="68C3493A" w14:textId="77777777" w:rsidR="00E32453" w:rsidRPr="006A65CA" w:rsidRDefault="00E32453" w:rsidP="006A65CA">
            <w:pPr>
              <w:pStyle w:val="Tabletext"/>
              <w:ind w:left="0" w:right="0"/>
              <w:jc w:val="center"/>
              <w:rPr>
                <w:sz w:val="20"/>
                <w:szCs w:val="20"/>
              </w:rPr>
            </w:pPr>
            <w:r w:rsidRPr="006A65CA">
              <w:rPr>
                <w:sz w:val="20"/>
                <w:szCs w:val="20"/>
              </w:rPr>
              <w:sym w:font="Wingdings" w:char="F0FC"/>
            </w:r>
          </w:p>
        </w:tc>
        <w:tc>
          <w:tcPr>
            <w:tcW w:w="732" w:type="pct"/>
          </w:tcPr>
          <w:p w14:paraId="26DD3454" w14:textId="77777777" w:rsidR="00E32453" w:rsidRPr="006A65CA" w:rsidRDefault="00E32453" w:rsidP="006A65CA">
            <w:pPr>
              <w:pStyle w:val="Tabletext"/>
              <w:ind w:left="0" w:right="0"/>
              <w:jc w:val="center"/>
              <w:rPr>
                <w:sz w:val="20"/>
                <w:szCs w:val="20"/>
              </w:rPr>
            </w:pPr>
            <w:r w:rsidRPr="006A65CA">
              <w:rPr>
                <w:sz w:val="20"/>
                <w:szCs w:val="20"/>
              </w:rPr>
              <w:t>–</w:t>
            </w:r>
          </w:p>
        </w:tc>
        <w:tc>
          <w:tcPr>
            <w:tcW w:w="568" w:type="pct"/>
          </w:tcPr>
          <w:p w14:paraId="0F2D3078" w14:textId="77777777" w:rsidR="00E32453" w:rsidRPr="006A65CA" w:rsidRDefault="00E32453" w:rsidP="006A65CA">
            <w:pPr>
              <w:pStyle w:val="Tabletext"/>
              <w:ind w:left="0" w:right="0"/>
              <w:jc w:val="center"/>
              <w:rPr>
                <w:sz w:val="20"/>
                <w:szCs w:val="20"/>
              </w:rPr>
            </w:pPr>
            <w:r w:rsidRPr="006A65CA">
              <w:rPr>
                <w:sz w:val="20"/>
                <w:szCs w:val="20"/>
              </w:rPr>
              <w:sym w:font="Wingdings" w:char="F0FC"/>
            </w:r>
          </w:p>
        </w:tc>
        <w:tc>
          <w:tcPr>
            <w:tcW w:w="712" w:type="pct"/>
          </w:tcPr>
          <w:p w14:paraId="53A916AD" w14:textId="77777777" w:rsidR="00E32453" w:rsidRPr="006A65CA" w:rsidRDefault="00E32453" w:rsidP="006A65CA">
            <w:pPr>
              <w:pStyle w:val="Tabletext"/>
              <w:ind w:left="0" w:right="0"/>
              <w:jc w:val="center"/>
              <w:rPr>
                <w:sz w:val="20"/>
                <w:szCs w:val="20"/>
              </w:rPr>
            </w:pPr>
            <w:r w:rsidRPr="006A65CA">
              <w:rPr>
                <w:sz w:val="20"/>
                <w:szCs w:val="20"/>
              </w:rPr>
              <w:t>–</w:t>
            </w:r>
          </w:p>
        </w:tc>
      </w:tr>
      <w:tr w:rsidR="006A65CA" w:rsidRPr="006A65CA" w14:paraId="103BF564" w14:textId="77777777" w:rsidTr="006A65CA">
        <w:trPr>
          <w:trHeight w:val="122"/>
        </w:trPr>
        <w:tc>
          <w:tcPr>
            <w:tcW w:w="794" w:type="pct"/>
            <w:vMerge/>
          </w:tcPr>
          <w:p w14:paraId="2B2DE841" w14:textId="77777777" w:rsidR="00E32453" w:rsidRPr="006A65CA" w:rsidRDefault="00E32453" w:rsidP="006A65CA">
            <w:pPr>
              <w:pStyle w:val="Tabletext"/>
              <w:ind w:left="0" w:right="0"/>
              <w:rPr>
                <w:b/>
                <w:sz w:val="20"/>
                <w:szCs w:val="20"/>
              </w:rPr>
            </w:pPr>
          </w:p>
        </w:tc>
        <w:tc>
          <w:tcPr>
            <w:tcW w:w="1626" w:type="pct"/>
          </w:tcPr>
          <w:p w14:paraId="1B33D03F" w14:textId="77777777" w:rsidR="00E32453" w:rsidRPr="006A65CA" w:rsidRDefault="00E32453" w:rsidP="006A65CA">
            <w:pPr>
              <w:pStyle w:val="Tabletext"/>
              <w:ind w:left="0" w:right="0"/>
              <w:rPr>
                <w:sz w:val="20"/>
                <w:szCs w:val="20"/>
              </w:rPr>
            </w:pPr>
            <w:r w:rsidRPr="006A65CA">
              <w:rPr>
                <w:sz w:val="20"/>
                <w:szCs w:val="20"/>
              </w:rPr>
              <w:t>Allergy</w:t>
            </w:r>
          </w:p>
        </w:tc>
        <w:tc>
          <w:tcPr>
            <w:tcW w:w="568" w:type="pct"/>
          </w:tcPr>
          <w:p w14:paraId="2DC8B111" w14:textId="77777777" w:rsidR="00E32453" w:rsidRPr="006A65CA" w:rsidRDefault="00E32453" w:rsidP="006A65CA">
            <w:pPr>
              <w:pStyle w:val="Tabletext"/>
              <w:ind w:left="0" w:right="0"/>
              <w:jc w:val="center"/>
              <w:rPr>
                <w:sz w:val="20"/>
                <w:szCs w:val="20"/>
              </w:rPr>
            </w:pPr>
            <w:r w:rsidRPr="006A65CA">
              <w:rPr>
                <w:sz w:val="20"/>
                <w:szCs w:val="20"/>
              </w:rPr>
              <w:sym w:font="Wingdings" w:char="F0FC"/>
            </w:r>
          </w:p>
        </w:tc>
        <w:tc>
          <w:tcPr>
            <w:tcW w:w="732" w:type="pct"/>
          </w:tcPr>
          <w:p w14:paraId="073DAB27" w14:textId="77777777" w:rsidR="00E32453" w:rsidRPr="006A65CA" w:rsidRDefault="00E32453" w:rsidP="006A65CA">
            <w:pPr>
              <w:pStyle w:val="Tabletext"/>
              <w:ind w:left="0" w:right="0"/>
              <w:jc w:val="center"/>
              <w:rPr>
                <w:sz w:val="20"/>
                <w:szCs w:val="20"/>
              </w:rPr>
            </w:pPr>
            <w:r w:rsidRPr="006A65CA">
              <w:rPr>
                <w:sz w:val="20"/>
                <w:szCs w:val="20"/>
              </w:rPr>
              <w:t>–</w:t>
            </w:r>
          </w:p>
        </w:tc>
        <w:tc>
          <w:tcPr>
            <w:tcW w:w="568" w:type="pct"/>
          </w:tcPr>
          <w:p w14:paraId="63DB9FB4" w14:textId="77777777" w:rsidR="00E32453" w:rsidRPr="006A65CA" w:rsidRDefault="00E32453" w:rsidP="006A65CA">
            <w:pPr>
              <w:pStyle w:val="Tabletext"/>
              <w:ind w:left="0" w:right="0"/>
              <w:jc w:val="center"/>
              <w:rPr>
                <w:sz w:val="20"/>
                <w:szCs w:val="20"/>
              </w:rPr>
            </w:pPr>
            <w:r w:rsidRPr="006A65CA">
              <w:rPr>
                <w:sz w:val="20"/>
                <w:szCs w:val="20"/>
              </w:rPr>
              <w:sym w:font="Wingdings" w:char="F0FC"/>
            </w:r>
            <w:r w:rsidRPr="006A65CA">
              <w:rPr>
                <w:sz w:val="20"/>
                <w:szCs w:val="20"/>
              </w:rPr>
              <w:t>*</w:t>
            </w:r>
          </w:p>
        </w:tc>
        <w:tc>
          <w:tcPr>
            <w:tcW w:w="712" w:type="pct"/>
          </w:tcPr>
          <w:p w14:paraId="7B8AA07E" w14:textId="77777777" w:rsidR="00E32453" w:rsidRPr="006A65CA" w:rsidRDefault="00E32453" w:rsidP="006A65CA">
            <w:pPr>
              <w:pStyle w:val="Tabletext"/>
              <w:ind w:left="0" w:right="0"/>
              <w:jc w:val="center"/>
              <w:rPr>
                <w:sz w:val="20"/>
                <w:szCs w:val="20"/>
              </w:rPr>
            </w:pPr>
            <w:r w:rsidRPr="006A65CA">
              <w:rPr>
                <w:sz w:val="20"/>
                <w:szCs w:val="20"/>
              </w:rPr>
              <w:t>–</w:t>
            </w:r>
          </w:p>
        </w:tc>
      </w:tr>
      <w:tr w:rsidR="006A65CA" w:rsidRPr="006A65CA" w14:paraId="7343C1FC" w14:textId="77777777" w:rsidTr="006A65CA">
        <w:trPr>
          <w:trHeight w:val="122"/>
        </w:trPr>
        <w:tc>
          <w:tcPr>
            <w:tcW w:w="794" w:type="pct"/>
            <w:vMerge/>
          </w:tcPr>
          <w:p w14:paraId="6741BB4B" w14:textId="77777777" w:rsidR="00E32453" w:rsidRPr="006A65CA" w:rsidRDefault="00E32453" w:rsidP="006A65CA">
            <w:pPr>
              <w:pStyle w:val="Tabletext"/>
              <w:ind w:left="0" w:right="0"/>
              <w:rPr>
                <w:b/>
                <w:sz w:val="20"/>
                <w:szCs w:val="20"/>
              </w:rPr>
            </w:pPr>
          </w:p>
        </w:tc>
        <w:tc>
          <w:tcPr>
            <w:tcW w:w="1626" w:type="pct"/>
          </w:tcPr>
          <w:p w14:paraId="5FBB0E67" w14:textId="77777777" w:rsidR="00E32453" w:rsidRPr="006A65CA" w:rsidRDefault="00E32453" w:rsidP="006A65CA">
            <w:pPr>
              <w:pStyle w:val="Tabletext"/>
              <w:ind w:left="0" w:right="0"/>
              <w:rPr>
                <w:sz w:val="20"/>
                <w:szCs w:val="20"/>
              </w:rPr>
            </w:pPr>
            <w:r w:rsidRPr="006A65CA">
              <w:rPr>
                <w:sz w:val="20"/>
                <w:szCs w:val="20"/>
              </w:rPr>
              <w:t>Development/worsening of eye infection</w:t>
            </w:r>
          </w:p>
        </w:tc>
        <w:tc>
          <w:tcPr>
            <w:tcW w:w="568" w:type="pct"/>
          </w:tcPr>
          <w:p w14:paraId="26245D50" w14:textId="77777777" w:rsidR="00E32453" w:rsidRPr="006A65CA" w:rsidRDefault="00E32453" w:rsidP="006A65CA">
            <w:pPr>
              <w:pStyle w:val="Tabletext"/>
              <w:ind w:left="0" w:right="0"/>
              <w:jc w:val="center"/>
              <w:rPr>
                <w:sz w:val="20"/>
                <w:szCs w:val="20"/>
              </w:rPr>
            </w:pPr>
            <w:r w:rsidRPr="006A65CA">
              <w:rPr>
                <w:sz w:val="20"/>
                <w:szCs w:val="20"/>
              </w:rPr>
              <w:sym w:font="Wingdings" w:char="F0FC"/>
            </w:r>
          </w:p>
        </w:tc>
        <w:tc>
          <w:tcPr>
            <w:tcW w:w="732" w:type="pct"/>
          </w:tcPr>
          <w:p w14:paraId="5C1C7C02" w14:textId="77777777" w:rsidR="00E32453" w:rsidRPr="006A65CA" w:rsidRDefault="00E32453" w:rsidP="006A65CA">
            <w:pPr>
              <w:pStyle w:val="Tabletext"/>
              <w:ind w:left="0" w:right="0"/>
              <w:jc w:val="center"/>
              <w:rPr>
                <w:sz w:val="20"/>
                <w:szCs w:val="20"/>
              </w:rPr>
            </w:pPr>
            <w:r w:rsidRPr="006A65CA">
              <w:rPr>
                <w:sz w:val="20"/>
                <w:szCs w:val="20"/>
              </w:rPr>
              <w:t>–</w:t>
            </w:r>
          </w:p>
        </w:tc>
        <w:tc>
          <w:tcPr>
            <w:tcW w:w="568" w:type="pct"/>
          </w:tcPr>
          <w:p w14:paraId="4BCE5089" w14:textId="77777777" w:rsidR="00E32453" w:rsidRPr="006A65CA" w:rsidRDefault="00E32453" w:rsidP="006A65CA">
            <w:pPr>
              <w:pStyle w:val="Tabletext"/>
              <w:ind w:left="0" w:right="0"/>
              <w:jc w:val="center"/>
              <w:rPr>
                <w:sz w:val="20"/>
                <w:szCs w:val="20"/>
              </w:rPr>
            </w:pPr>
            <w:r w:rsidRPr="006A65CA">
              <w:rPr>
                <w:sz w:val="20"/>
                <w:szCs w:val="20"/>
              </w:rPr>
              <w:t>–</w:t>
            </w:r>
          </w:p>
        </w:tc>
        <w:tc>
          <w:tcPr>
            <w:tcW w:w="712" w:type="pct"/>
          </w:tcPr>
          <w:p w14:paraId="44F4829E" w14:textId="77777777" w:rsidR="00E32453" w:rsidRPr="006A65CA" w:rsidRDefault="00E32453" w:rsidP="006A65CA">
            <w:pPr>
              <w:pStyle w:val="Tabletext"/>
              <w:ind w:left="0" w:right="0"/>
              <w:jc w:val="center"/>
              <w:rPr>
                <w:sz w:val="20"/>
                <w:szCs w:val="20"/>
              </w:rPr>
            </w:pPr>
            <w:r w:rsidRPr="006A65CA">
              <w:rPr>
                <w:sz w:val="20"/>
                <w:szCs w:val="20"/>
              </w:rPr>
              <w:t>–</w:t>
            </w:r>
          </w:p>
        </w:tc>
      </w:tr>
      <w:tr w:rsidR="006A65CA" w:rsidRPr="006A65CA" w14:paraId="093D9BB8" w14:textId="77777777" w:rsidTr="006A65CA">
        <w:trPr>
          <w:trHeight w:val="122"/>
        </w:trPr>
        <w:tc>
          <w:tcPr>
            <w:tcW w:w="794" w:type="pct"/>
            <w:vMerge/>
          </w:tcPr>
          <w:p w14:paraId="0975D18B" w14:textId="77777777" w:rsidR="00E32453" w:rsidRPr="006A65CA" w:rsidRDefault="00E32453" w:rsidP="006A65CA">
            <w:pPr>
              <w:pStyle w:val="Tabletext"/>
              <w:ind w:left="0" w:right="0"/>
              <w:rPr>
                <w:b/>
                <w:sz w:val="20"/>
                <w:szCs w:val="20"/>
              </w:rPr>
            </w:pPr>
          </w:p>
        </w:tc>
        <w:tc>
          <w:tcPr>
            <w:tcW w:w="1626" w:type="pct"/>
          </w:tcPr>
          <w:p w14:paraId="07F471AE" w14:textId="77777777" w:rsidR="00E32453" w:rsidRPr="006A65CA" w:rsidRDefault="00E32453" w:rsidP="006A65CA">
            <w:pPr>
              <w:pStyle w:val="Tabletext"/>
              <w:ind w:left="0" w:right="0"/>
              <w:rPr>
                <w:sz w:val="20"/>
                <w:szCs w:val="20"/>
              </w:rPr>
            </w:pPr>
            <w:r w:rsidRPr="006A65CA">
              <w:rPr>
                <w:sz w:val="20"/>
                <w:szCs w:val="20"/>
              </w:rPr>
              <w:t>Cancer of the eye or skin around the eye</w:t>
            </w:r>
          </w:p>
        </w:tc>
        <w:tc>
          <w:tcPr>
            <w:tcW w:w="568" w:type="pct"/>
          </w:tcPr>
          <w:p w14:paraId="47B9CBD2" w14:textId="77777777" w:rsidR="00E32453" w:rsidRPr="006A65CA" w:rsidRDefault="00E32453" w:rsidP="006A65CA">
            <w:pPr>
              <w:pStyle w:val="Tabletext"/>
              <w:ind w:left="0" w:right="0"/>
              <w:jc w:val="center"/>
              <w:rPr>
                <w:sz w:val="20"/>
                <w:szCs w:val="20"/>
              </w:rPr>
            </w:pPr>
            <w:r w:rsidRPr="006A65CA">
              <w:rPr>
                <w:sz w:val="20"/>
                <w:szCs w:val="20"/>
              </w:rPr>
              <w:sym w:font="Wingdings" w:char="F0FC"/>
            </w:r>
          </w:p>
        </w:tc>
        <w:tc>
          <w:tcPr>
            <w:tcW w:w="732" w:type="pct"/>
          </w:tcPr>
          <w:p w14:paraId="3DCD0630" w14:textId="77777777" w:rsidR="00E32453" w:rsidRPr="006A65CA" w:rsidRDefault="00E32453" w:rsidP="006A65CA">
            <w:pPr>
              <w:pStyle w:val="Tabletext"/>
              <w:ind w:left="0" w:right="0"/>
              <w:jc w:val="center"/>
              <w:rPr>
                <w:sz w:val="20"/>
                <w:szCs w:val="20"/>
              </w:rPr>
            </w:pPr>
            <w:r w:rsidRPr="006A65CA">
              <w:rPr>
                <w:sz w:val="20"/>
                <w:szCs w:val="20"/>
              </w:rPr>
              <w:t>–</w:t>
            </w:r>
          </w:p>
        </w:tc>
        <w:tc>
          <w:tcPr>
            <w:tcW w:w="568" w:type="pct"/>
          </w:tcPr>
          <w:p w14:paraId="7D73438A" w14:textId="77777777" w:rsidR="00E32453" w:rsidRPr="006A65CA" w:rsidRDefault="00E32453" w:rsidP="006A65CA">
            <w:pPr>
              <w:pStyle w:val="Tabletext"/>
              <w:ind w:left="0" w:right="0"/>
              <w:jc w:val="center"/>
              <w:rPr>
                <w:sz w:val="20"/>
                <w:szCs w:val="20"/>
              </w:rPr>
            </w:pPr>
            <w:r w:rsidRPr="006A65CA">
              <w:rPr>
                <w:sz w:val="20"/>
                <w:szCs w:val="20"/>
              </w:rPr>
              <w:t>–</w:t>
            </w:r>
          </w:p>
        </w:tc>
        <w:tc>
          <w:tcPr>
            <w:tcW w:w="712" w:type="pct"/>
          </w:tcPr>
          <w:p w14:paraId="49F2F8BF" w14:textId="77777777" w:rsidR="00E32453" w:rsidRPr="006A65CA" w:rsidRDefault="00E32453" w:rsidP="006A65CA">
            <w:pPr>
              <w:pStyle w:val="Tabletext"/>
              <w:ind w:left="0" w:right="0"/>
              <w:jc w:val="center"/>
              <w:rPr>
                <w:sz w:val="20"/>
                <w:szCs w:val="20"/>
              </w:rPr>
            </w:pPr>
            <w:r w:rsidRPr="006A65CA">
              <w:rPr>
                <w:sz w:val="20"/>
                <w:szCs w:val="20"/>
              </w:rPr>
              <w:t>–</w:t>
            </w:r>
          </w:p>
        </w:tc>
      </w:tr>
      <w:tr w:rsidR="006A65CA" w:rsidRPr="006A65CA" w14:paraId="0F608E67" w14:textId="77777777" w:rsidTr="006A65CA">
        <w:trPr>
          <w:trHeight w:val="112"/>
        </w:trPr>
        <w:tc>
          <w:tcPr>
            <w:tcW w:w="794" w:type="pct"/>
            <w:vMerge/>
          </w:tcPr>
          <w:p w14:paraId="1B8B9DA4" w14:textId="77777777" w:rsidR="00E32453" w:rsidRPr="006A65CA" w:rsidRDefault="00E32453" w:rsidP="006A65CA">
            <w:pPr>
              <w:pStyle w:val="Tabletext"/>
              <w:ind w:left="0" w:right="0"/>
              <w:rPr>
                <w:b/>
                <w:sz w:val="20"/>
                <w:szCs w:val="20"/>
              </w:rPr>
            </w:pPr>
          </w:p>
        </w:tc>
        <w:tc>
          <w:tcPr>
            <w:tcW w:w="1626" w:type="pct"/>
          </w:tcPr>
          <w:p w14:paraId="562B4E1B" w14:textId="77777777" w:rsidR="00E32453" w:rsidRPr="006A65CA" w:rsidRDefault="00E32453" w:rsidP="006A65CA">
            <w:pPr>
              <w:pStyle w:val="Tabletext"/>
              <w:ind w:left="0" w:right="0"/>
              <w:rPr>
                <w:sz w:val="20"/>
                <w:szCs w:val="20"/>
              </w:rPr>
            </w:pPr>
            <w:r w:rsidRPr="006A65CA">
              <w:rPr>
                <w:sz w:val="20"/>
                <w:szCs w:val="20"/>
              </w:rPr>
              <w:t>Corneal calcification</w:t>
            </w:r>
          </w:p>
        </w:tc>
        <w:tc>
          <w:tcPr>
            <w:tcW w:w="568" w:type="pct"/>
          </w:tcPr>
          <w:p w14:paraId="56603E1F" w14:textId="77777777" w:rsidR="00E32453" w:rsidRPr="006A65CA" w:rsidRDefault="00E32453" w:rsidP="006A65CA">
            <w:pPr>
              <w:pStyle w:val="Tabletext"/>
              <w:ind w:left="0" w:right="0"/>
              <w:jc w:val="center"/>
              <w:rPr>
                <w:sz w:val="20"/>
                <w:szCs w:val="20"/>
              </w:rPr>
            </w:pPr>
            <w:r w:rsidRPr="006A65CA">
              <w:rPr>
                <w:sz w:val="20"/>
                <w:szCs w:val="20"/>
              </w:rPr>
              <w:sym w:font="Wingdings" w:char="F0FC"/>
            </w:r>
          </w:p>
        </w:tc>
        <w:tc>
          <w:tcPr>
            <w:tcW w:w="732" w:type="pct"/>
          </w:tcPr>
          <w:p w14:paraId="453BFCB5" w14:textId="77777777" w:rsidR="00E32453" w:rsidRPr="006A65CA" w:rsidRDefault="00E32453" w:rsidP="006A65CA">
            <w:pPr>
              <w:pStyle w:val="Tabletext"/>
              <w:ind w:left="0" w:right="0"/>
              <w:jc w:val="center"/>
              <w:rPr>
                <w:sz w:val="20"/>
                <w:szCs w:val="20"/>
              </w:rPr>
            </w:pPr>
            <w:r w:rsidRPr="006A65CA">
              <w:rPr>
                <w:sz w:val="20"/>
                <w:szCs w:val="20"/>
              </w:rPr>
              <w:t>–</w:t>
            </w:r>
          </w:p>
        </w:tc>
        <w:tc>
          <w:tcPr>
            <w:tcW w:w="568" w:type="pct"/>
          </w:tcPr>
          <w:p w14:paraId="295A969A" w14:textId="77777777" w:rsidR="00E32453" w:rsidRPr="006A65CA" w:rsidRDefault="00E32453" w:rsidP="006A65CA">
            <w:pPr>
              <w:pStyle w:val="Tabletext"/>
              <w:ind w:left="0" w:right="0"/>
              <w:jc w:val="center"/>
              <w:rPr>
                <w:sz w:val="20"/>
                <w:szCs w:val="20"/>
              </w:rPr>
            </w:pPr>
            <w:r w:rsidRPr="006A65CA">
              <w:rPr>
                <w:sz w:val="20"/>
                <w:szCs w:val="20"/>
              </w:rPr>
              <w:sym w:font="Wingdings" w:char="F0FC"/>
            </w:r>
            <w:r w:rsidRPr="006A65CA">
              <w:rPr>
                <w:sz w:val="20"/>
                <w:szCs w:val="20"/>
              </w:rPr>
              <w:t>*</w:t>
            </w:r>
          </w:p>
        </w:tc>
        <w:tc>
          <w:tcPr>
            <w:tcW w:w="712" w:type="pct"/>
          </w:tcPr>
          <w:p w14:paraId="13506C89" w14:textId="77777777" w:rsidR="00E32453" w:rsidRPr="006A65CA" w:rsidRDefault="00E32453" w:rsidP="006A65CA">
            <w:pPr>
              <w:pStyle w:val="Tabletext"/>
              <w:ind w:left="0" w:right="0"/>
              <w:jc w:val="center"/>
              <w:rPr>
                <w:sz w:val="20"/>
                <w:szCs w:val="20"/>
              </w:rPr>
            </w:pPr>
            <w:r w:rsidRPr="006A65CA">
              <w:rPr>
                <w:sz w:val="20"/>
                <w:szCs w:val="20"/>
              </w:rPr>
              <w:t>–</w:t>
            </w:r>
          </w:p>
        </w:tc>
      </w:tr>
      <w:tr w:rsidR="006A65CA" w:rsidRPr="006A65CA" w14:paraId="355E7004" w14:textId="77777777" w:rsidTr="006A65CA">
        <w:trPr>
          <w:trHeight w:val="178"/>
        </w:trPr>
        <w:tc>
          <w:tcPr>
            <w:tcW w:w="794" w:type="pct"/>
            <w:vMerge w:val="restart"/>
          </w:tcPr>
          <w:p w14:paraId="0643B59A" w14:textId="77777777" w:rsidR="00E32453" w:rsidRPr="006A65CA" w:rsidRDefault="00E32453" w:rsidP="006A65CA">
            <w:pPr>
              <w:pStyle w:val="Tabletext"/>
              <w:ind w:left="0" w:right="0"/>
              <w:rPr>
                <w:b/>
                <w:sz w:val="20"/>
                <w:szCs w:val="20"/>
              </w:rPr>
            </w:pPr>
            <w:r w:rsidRPr="006A65CA">
              <w:rPr>
                <w:b/>
                <w:sz w:val="20"/>
                <w:szCs w:val="20"/>
              </w:rPr>
              <w:t>Missing information</w:t>
            </w:r>
          </w:p>
        </w:tc>
        <w:tc>
          <w:tcPr>
            <w:tcW w:w="1626" w:type="pct"/>
          </w:tcPr>
          <w:p w14:paraId="6E9A808D" w14:textId="77777777" w:rsidR="00E32453" w:rsidRPr="006A65CA" w:rsidRDefault="00E32453" w:rsidP="006A65CA">
            <w:pPr>
              <w:pStyle w:val="Tabletext"/>
              <w:ind w:left="0" w:right="0"/>
              <w:rPr>
                <w:sz w:val="20"/>
                <w:szCs w:val="20"/>
              </w:rPr>
            </w:pPr>
            <w:r w:rsidRPr="006A65CA">
              <w:rPr>
                <w:sz w:val="20"/>
                <w:szCs w:val="20"/>
              </w:rPr>
              <w:t>Pregnant or breastfeeding women</w:t>
            </w:r>
          </w:p>
        </w:tc>
        <w:tc>
          <w:tcPr>
            <w:tcW w:w="568" w:type="pct"/>
          </w:tcPr>
          <w:p w14:paraId="3842967C" w14:textId="77777777" w:rsidR="00E32453" w:rsidRPr="006A65CA" w:rsidRDefault="00E32453" w:rsidP="006A65CA">
            <w:pPr>
              <w:pStyle w:val="Tabletext"/>
              <w:ind w:left="0" w:right="0"/>
              <w:jc w:val="center"/>
              <w:rPr>
                <w:sz w:val="20"/>
                <w:szCs w:val="20"/>
              </w:rPr>
            </w:pPr>
            <w:r w:rsidRPr="006A65CA">
              <w:rPr>
                <w:sz w:val="20"/>
                <w:szCs w:val="20"/>
              </w:rPr>
              <w:sym w:font="Wingdings" w:char="F0FC"/>
            </w:r>
          </w:p>
        </w:tc>
        <w:tc>
          <w:tcPr>
            <w:tcW w:w="732" w:type="pct"/>
          </w:tcPr>
          <w:p w14:paraId="6D93F739" w14:textId="77777777" w:rsidR="00E32453" w:rsidRPr="006A65CA" w:rsidRDefault="00E32453" w:rsidP="006A65CA">
            <w:pPr>
              <w:pStyle w:val="Tabletext"/>
              <w:ind w:left="0" w:right="0"/>
              <w:jc w:val="center"/>
              <w:rPr>
                <w:sz w:val="20"/>
                <w:szCs w:val="20"/>
              </w:rPr>
            </w:pPr>
            <w:r w:rsidRPr="006A65CA">
              <w:rPr>
                <w:sz w:val="20"/>
                <w:szCs w:val="20"/>
              </w:rPr>
              <w:t>–</w:t>
            </w:r>
          </w:p>
        </w:tc>
        <w:tc>
          <w:tcPr>
            <w:tcW w:w="568" w:type="pct"/>
          </w:tcPr>
          <w:p w14:paraId="6080404A" w14:textId="77777777" w:rsidR="00E32453" w:rsidRPr="006A65CA" w:rsidRDefault="00E32453" w:rsidP="006A65CA">
            <w:pPr>
              <w:pStyle w:val="Tabletext"/>
              <w:ind w:left="0" w:right="0"/>
              <w:jc w:val="center"/>
              <w:rPr>
                <w:sz w:val="20"/>
                <w:szCs w:val="20"/>
              </w:rPr>
            </w:pPr>
            <w:r w:rsidRPr="006A65CA">
              <w:rPr>
                <w:sz w:val="20"/>
                <w:szCs w:val="20"/>
              </w:rPr>
              <w:sym w:font="Wingdings" w:char="F0FC"/>
            </w:r>
          </w:p>
        </w:tc>
        <w:tc>
          <w:tcPr>
            <w:tcW w:w="712" w:type="pct"/>
          </w:tcPr>
          <w:p w14:paraId="332F3704" w14:textId="77777777" w:rsidR="00E32453" w:rsidRPr="006A65CA" w:rsidRDefault="00E32453" w:rsidP="006A65CA">
            <w:pPr>
              <w:pStyle w:val="Tabletext"/>
              <w:ind w:left="0" w:right="0"/>
              <w:jc w:val="center"/>
              <w:rPr>
                <w:sz w:val="20"/>
                <w:szCs w:val="20"/>
              </w:rPr>
            </w:pPr>
            <w:r w:rsidRPr="006A65CA">
              <w:rPr>
                <w:sz w:val="20"/>
                <w:szCs w:val="20"/>
              </w:rPr>
              <w:t>–</w:t>
            </w:r>
          </w:p>
        </w:tc>
      </w:tr>
      <w:tr w:rsidR="006A65CA" w:rsidRPr="006A65CA" w14:paraId="3A25160A" w14:textId="77777777" w:rsidTr="006A65CA">
        <w:trPr>
          <w:trHeight w:val="140"/>
        </w:trPr>
        <w:tc>
          <w:tcPr>
            <w:tcW w:w="794" w:type="pct"/>
            <w:vMerge/>
          </w:tcPr>
          <w:p w14:paraId="02FC21F3" w14:textId="77777777" w:rsidR="00E32453" w:rsidRPr="006A65CA" w:rsidRDefault="00E32453" w:rsidP="006A65CA">
            <w:pPr>
              <w:pStyle w:val="Tabletext"/>
              <w:ind w:left="0" w:right="0"/>
              <w:rPr>
                <w:sz w:val="20"/>
                <w:szCs w:val="20"/>
              </w:rPr>
            </w:pPr>
          </w:p>
        </w:tc>
        <w:tc>
          <w:tcPr>
            <w:tcW w:w="1626" w:type="pct"/>
          </w:tcPr>
          <w:p w14:paraId="1DAF0840" w14:textId="77777777" w:rsidR="00E32453" w:rsidRPr="006A65CA" w:rsidRDefault="00E32453" w:rsidP="006A65CA">
            <w:pPr>
              <w:pStyle w:val="Tabletext"/>
              <w:ind w:left="0" w:right="0"/>
              <w:rPr>
                <w:sz w:val="20"/>
                <w:szCs w:val="20"/>
              </w:rPr>
            </w:pPr>
            <w:r w:rsidRPr="006A65CA">
              <w:rPr>
                <w:sz w:val="20"/>
                <w:szCs w:val="20"/>
              </w:rPr>
              <w:t>Paediatric use</w:t>
            </w:r>
          </w:p>
        </w:tc>
        <w:tc>
          <w:tcPr>
            <w:tcW w:w="568" w:type="pct"/>
          </w:tcPr>
          <w:p w14:paraId="5EDC2FBB" w14:textId="77777777" w:rsidR="00E32453" w:rsidRPr="006A65CA" w:rsidRDefault="00E32453" w:rsidP="006A65CA">
            <w:pPr>
              <w:pStyle w:val="Tabletext"/>
              <w:ind w:left="0" w:right="0"/>
              <w:jc w:val="center"/>
              <w:rPr>
                <w:sz w:val="20"/>
                <w:szCs w:val="20"/>
              </w:rPr>
            </w:pPr>
            <w:r w:rsidRPr="006A65CA">
              <w:rPr>
                <w:sz w:val="20"/>
                <w:szCs w:val="20"/>
              </w:rPr>
              <w:sym w:font="Wingdings" w:char="F0FC"/>
            </w:r>
          </w:p>
        </w:tc>
        <w:tc>
          <w:tcPr>
            <w:tcW w:w="732" w:type="pct"/>
          </w:tcPr>
          <w:p w14:paraId="401FF76B" w14:textId="77777777" w:rsidR="00E32453" w:rsidRPr="006A65CA" w:rsidRDefault="00E32453" w:rsidP="006A65CA">
            <w:pPr>
              <w:pStyle w:val="Tabletext"/>
              <w:ind w:left="0" w:right="0"/>
              <w:jc w:val="center"/>
              <w:rPr>
                <w:sz w:val="20"/>
                <w:szCs w:val="20"/>
              </w:rPr>
            </w:pPr>
            <w:r w:rsidRPr="006A65CA">
              <w:rPr>
                <w:sz w:val="20"/>
                <w:szCs w:val="20"/>
              </w:rPr>
              <w:t>–</w:t>
            </w:r>
          </w:p>
        </w:tc>
        <w:tc>
          <w:tcPr>
            <w:tcW w:w="568" w:type="pct"/>
          </w:tcPr>
          <w:p w14:paraId="25639F96" w14:textId="77777777" w:rsidR="00E32453" w:rsidRPr="006A65CA" w:rsidRDefault="00E32453" w:rsidP="006A65CA">
            <w:pPr>
              <w:pStyle w:val="Tabletext"/>
              <w:ind w:left="0" w:right="0"/>
              <w:jc w:val="center"/>
              <w:rPr>
                <w:sz w:val="20"/>
                <w:szCs w:val="20"/>
              </w:rPr>
            </w:pPr>
            <w:r w:rsidRPr="006A65CA">
              <w:rPr>
                <w:sz w:val="20"/>
                <w:szCs w:val="20"/>
              </w:rPr>
              <w:sym w:font="Wingdings" w:char="F0FC"/>
            </w:r>
          </w:p>
        </w:tc>
        <w:tc>
          <w:tcPr>
            <w:tcW w:w="712" w:type="pct"/>
          </w:tcPr>
          <w:p w14:paraId="79EDFD8D" w14:textId="77777777" w:rsidR="00E32453" w:rsidRPr="006A65CA" w:rsidRDefault="00E32453" w:rsidP="006A65CA">
            <w:pPr>
              <w:pStyle w:val="Tabletext"/>
              <w:ind w:left="0" w:right="0"/>
              <w:jc w:val="center"/>
              <w:rPr>
                <w:sz w:val="20"/>
                <w:szCs w:val="20"/>
              </w:rPr>
            </w:pPr>
            <w:r w:rsidRPr="006A65CA">
              <w:rPr>
                <w:sz w:val="20"/>
                <w:szCs w:val="20"/>
              </w:rPr>
              <w:t>–</w:t>
            </w:r>
          </w:p>
        </w:tc>
      </w:tr>
    </w:tbl>
    <w:p w14:paraId="3BCB5560" w14:textId="77777777" w:rsidR="00E32453" w:rsidRPr="00DB095A" w:rsidRDefault="00E32453" w:rsidP="00DB095A">
      <w:pPr>
        <w:pStyle w:val="TableDescription"/>
      </w:pPr>
      <w:r w:rsidRPr="00DB095A">
        <w:t>*ASA only</w:t>
      </w:r>
    </w:p>
    <w:p w14:paraId="02971241" w14:textId="77777777" w:rsidR="00AC7CFC" w:rsidRPr="00DB095A" w:rsidRDefault="006A65CA" w:rsidP="00DB095A">
      <w:r>
        <w:t>The s</w:t>
      </w:r>
      <w:r w:rsidR="00AC7CFC" w:rsidRPr="00D22117">
        <w:t xml:space="preserve">ummary of safety concerns was considered as acceptable by the RMP evaluator. </w:t>
      </w:r>
      <w:r w:rsidR="00AC7CFC">
        <w:t xml:space="preserve">The sponsor has included </w:t>
      </w:r>
      <w:r>
        <w:t xml:space="preserve">the Black Triangle </w:t>
      </w:r>
      <w:r w:rsidR="00AC7CFC">
        <w:t xml:space="preserve">to </w:t>
      </w:r>
      <w:r>
        <w:t xml:space="preserve">the </w:t>
      </w:r>
      <w:r w:rsidR="00AC7CFC">
        <w:t xml:space="preserve">PI and </w:t>
      </w:r>
      <w:r>
        <w:t>Consumer Medicines Information (</w:t>
      </w:r>
      <w:r w:rsidR="00AC7CFC">
        <w:t>CMI</w:t>
      </w:r>
      <w:r>
        <w:t>)</w:t>
      </w:r>
      <w:r w:rsidR="00AC7CFC">
        <w:t xml:space="preserve"> as suggested by the evaluator.</w:t>
      </w:r>
    </w:p>
    <w:p w14:paraId="7B8A3610" w14:textId="4F210C34" w:rsidR="00677CEF" w:rsidRDefault="00677CEF" w:rsidP="00A92E0A">
      <w:r>
        <w:lastRenderedPageBreak/>
        <w:t xml:space="preserve">The evaluator has highlighted that the sponsor has mentioned in the core RMP that </w:t>
      </w:r>
      <w:r>
        <w:rPr>
          <w:i/>
        </w:rPr>
        <w:t>‘</w:t>
      </w:r>
      <w:r w:rsidRPr="00700CC1">
        <w:rPr>
          <w:i/>
        </w:rPr>
        <w:t>Cequa must not be given to patients with kn</w:t>
      </w:r>
      <w:r>
        <w:rPr>
          <w:i/>
        </w:rPr>
        <w:t>own or suspected eye infections’</w:t>
      </w:r>
      <w:r>
        <w:t xml:space="preserve">. In relation to the risk of cancer of the eye, the sponsor has also mentioned that </w:t>
      </w:r>
      <w:r w:rsidRPr="00D17D4A">
        <w:t>‘</w:t>
      </w:r>
      <w:r w:rsidRPr="00700CC1">
        <w:rPr>
          <w:i/>
        </w:rPr>
        <w:t>risk groups include people with light coloured eyes, older people, patients with dysplastic nevus syndrome or oculodermal melanocytosis’</w:t>
      </w:r>
      <w:r w:rsidRPr="00D17D4A">
        <w:t xml:space="preserve">. The sponsor also states that </w:t>
      </w:r>
      <w:r w:rsidRPr="00700CC1">
        <w:rPr>
          <w:i/>
        </w:rPr>
        <w:t>‘The patient groups above should be warned of a potentially increased risk of developing cancer of the eye or skin around the eye’</w:t>
      </w:r>
      <w:r w:rsidRPr="00D17D4A">
        <w:t xml:space="preserve"> as a preventative measure</w:t>
      </w:r>
      <w:r>
        <w:t>. Based on these statements, the evaluator has suggested the Delegate to consider recommending the sponsor to include wordings in PI related to this risk.</w:t>
      </w:r>
    </w:p>
    <w:p w14:paraId="375A1E6D" w14:textId="27DF23EF" w:rsidR="00677CEF" w:rsidRPr="00E32453" w:rsidRDefault="00677CEF" w:rsidP="00A92E0A">
      <w:r>
        <w:t>The D</w:t>
      </w:r>
      <w:r w:rsidRPr="00700CC1">
        <w:t>elegate has requested the sponsor to provide the basis of those s</w:t>
      </w:r>
      <w:r>
        <w:t>tatements in the core RMP. The D</w:t>
      </w:r>
      <w:r w:rsidRPr="00700CC1">
        <w:t xml:space="preserve">elegate </w:t>
      </w:r>
      <w:r>
        <w:t>agrees with RMP evaluator’s recommendation to include</w:t>
      </w:r>
      <w:r w:rsidRPr="00700CC1">
        <w:t xml:space="preserve"> these statements in PI or </w:t>
      </w:r>
      <w:r>
        <w:t>to provide a reason for why it is</w:t>
      </w:r>
      <w:r w:rsidRPr="00700CC1">
        <w:t xml:space="preserve"> not required.</w:t>
      </w:r>
      <w:bookmarkStart w:id="43" w:name="_Ref37926521"/>
      <w:r>
        <w:rPr>
          <w:rStyle w:val="FootnoteReference"/>
        </w:rPr>
        <w:footnoteReference w:id="16"/>
      </w:r>
      <w:bookmarkEnd w:id="43"/>
    </w:p>
    <w:p w14:paraId="0B90F03C" w14:textId="77777777" w:rsidR="008E7846" w:rsidRDefault="00AA0ED0" w:rsidP="008E7846">
      <w:pPr>
        <w:pStyle w:val="Heading3"/>
      </w:pPr>
      <w:bookmarkStart w:id="44" w:name="_Toc247691531"/>
      <w:bookmarkStart w:id="45" w:name="_Toc314842515"/>
      <w:bookmarkStart w:id="46" w:name="_Toc40254849"/>
      <w:bookmarkStart w:id="47" w:name="_Toc196046505"/>
      <w:bookmarkStart w:id="48" w:name="_Toc196046949"/>
      <w:r>
        <w:t>Risk-benefit a</w:t>
      </w:r>
      <w:r w:rsidR="008E7846">
        <w:t>nalysis</w:t>
      </w:r>
      <w:bookmarkEnd w:id="44"/>
      <w:bookmarkEnd w:id="45"/>
      <w:bookmarkEnd w:id="46"/>
    </w:p>
    <w:p w14:paraId="525CD2D0" w14:textId="77777777" w:rsidR="00D23139" w:rsidRDefault="00D23139" w:rsidP="00D23139">
      <w:pPr>
        <w:pStyle w:val="Heading4"/>
      </w:pPr>
      <w:r w:rsidRPr="00D23139">
        <w:t>Delegate’s considerations</w:t>
      </w:r>
    </w:p>
    <w:p w14:paraId="4E104510" w14:textId="77777777" w:rsidR="00DB095A" w:rsidRDefault="004F5757" w:rsidP="00DB095A">
      <w:r w:rsidRPr="00FA6A95">
        <w:t>The sponsor has p</w:t>
      </w:r>
      <w:r w:rsidR="00DB095A">
        <w:t>rovided clinical data from two P</w:t>
      </w:r>
      <w:r w:rsidRPr="00FA6A95">
        <w:t>hase III studies to support the proposed indication:</w:t>
      </w:r>
    </w:p>
    <w:p w14:paraId="613645EF" w14:textId="77777777" w:rsidR="004F5757" w:rsidRPr="00DB095A" w:rsidRDefault="00DB095A" w:rsidP="00DB095A">
      <w:pPr>
        <w:ind w:left="720"/>
        <w:rPr>
          <w:i/>
        </w:rPr>
      </w:pPr>
      <w:r w:rsidRPr="00DB095A">
        <w:rPr>
          <w:i/>
        </w:rPr>
        <w:t>Cequa</w:t>
      </w:r>
      <w:r w:rsidR="004F5757" w:rsidRPr="00DB095A">
        <w:rPr>
          <w:i/>
        </w:rPr>
        <w:t xml:space="preserve"> is indicated to increase tear production in patients with moderate to severe kerat</w:t>
      </w:r>
      <w:r w:rsidRPr="00DB095A">
        <w:rPr>
          <w:i/>
        </w:rPr>
        <w:t>oconjunctivitis sicca (dry eye)</w:t>
      </w:r>
      <w:r w:rsidR="004F5757" w:rsidRPr="00DB095A">
        <w:rPr>
          <w:i/>
        </w:rPr>
        <w:t>.</w:t>
      </w:r>
    </w:p>
    <w:p w14:paraId="7A25DAD5" w14:textId="77777777" w:rsidR="004F5757" w:rsidRPr="00FA6A95" w:rsidRDefault="004F5757" w:rsidP="00DB095A">
      <w:r w:rsidRPr="00FA6A95">
        <w:t>An increased treatment benefit was obse</w:t>
      </w:r>
      <w:r w:rsidR="006A65CA">
        <w:t>rved for cyclosporine 0.09% in S</w:t>
      </w:r>
      <w:r w:rsidR="00826768">
        <w:t>tudy OTX</w:t>
      </w:r>
      <w:r w:rsidR="00826768">
        <w:noBreakHyphen/>
        <w:t>101</w:t>
      </w:r>
      <w:r w:rsidR="00826768">
        <w:noBreakHyphen/>
      </w:r>
      <w:r w:rsidR="006A65CA" w:rsidRPr="0041636F">
        <w:t>2014-001</w:t>
      </w:r>
      <w:r w:rsidRPr="00FA6A95">
        <w:t xml:space="preserve">, which is the proposed strength for marketing, compared to 0.05% formulation. </w:t>
      </w:r>
      <w:r>
        <w:t>No major difference in safety signals were observed between doses.</w:t>
      </w:r>
    </w:p>
    <w:p w14:paraId="194904A2" w14:textId="77777777" w:rsidR="004F5757" w:rsidRPr="00FA6A95" w:rsidRDefault="004F5757" w:rsidP="00DB095A">
      <w:r>
        <w:t xml:space="preserve">The clinical relevance of the magnitude of change reported with the efficacy endpoints was uncertain. </w:t>
      </w:r>
      <w:r w:rsidRPr="00FA6A95">
        <w:t xml:space="preserve">Conjunctival and corneal staining, as efficacy endpoints used in the clinical studies enabled to provide objective measures of underlying pathology of dry eyes. </w:t>
      </w:r>
      <w:r>
        <w:t xml:space="preserve">However, the clinical relevance of the magnitude of change in the outcome measures was unclear. </w:t>
      </w:r>
      <w:r w:rsidR="006A65CA">
        <w:t>Schirmer’s T</w:t>
      </w:r>
      <w:r w:rsidRPr="00FA6A95">
        <w:t>est, whi</w:t>
      </w:r>
      <w:r w:rsidR="006A65CA">
        <w:t>ch was the primary endpoint in S</w:t>
      </w:r>
      <w:r w:rsidRPr="00FA6A95">
        <w:t xml:space="preserve">tudy </w:t>
      </w:r>
      <w:r w:rsidR="006A65CA" w:rsidRPr="00A50FFF">
        <w:t>OTX-101-2016-001</w:t>
      </w:r>
      <w:r w:rsidRPr="00FA6A95">
        <w:t xml:space="preserve"> is also used to assess functional improvement after treatment of dry eyes</w:t>
      </w:r>
      <w:r>
        <w:t xml:space="preserve"> in clinical setting</w:t>
      </w:r>
      <w:r w:rsidRPr="00FA6A95">
        <w:t xml:space="preserve">. However, the outcome measure of this test </w:t>
      </w:r>
      <w:r>
        <w:t xml:space="preserve">(length of moistening in the filter paper) </w:t>
      </w:r>
      <w:r w:rsidRPr="00FA6A95">
        <w:t>is variable if repeated and also confounded by the paradoxical</w:t>
      </w:r>
      <w:r>
        <w:t xml:space="preserve">ly increased </w:t>
      </w:r>
      <w:r w:rsidRPr="00FA6A95">
        <w:t>tear production seen i</w:t>
      </w:r>
      <w:r w:rsidR="00DB095A">
        <w:t>n some patients with dry eyes.</w:t>
      </w:r>
    </w:p>
    <w:p w14:paraId="21437A05" w14:textId="3BC6754E" w:rsidR="004F5757" w:rsidRDefault="004F5757" w:rsidP="00DB095A">
      <w:r w:rsidRPr="00FA6A95">
        <w:t xml:space="preserve">The significant improvement in conjunctival staining in Study </w:t>
      </w:r>
      <w:r w:rsidR="006A65CA">
        <w:t>OTX-101-2014-001</w:t>
      </w:r>
      <w:r w:rsidRPr="00FA6A95">
        <w:t xml:space="preserve"> was not supported</w:t>
      </w:r>
      <w:r>
        <w:t xml:space="preserve"> by improvements in </w:t>
      </w:r>
      <w:r w:rsidRPr="00FA6A95">
        <w:t>treatment scores that measures quality o</w:t>
      </w:r>
      <w:r w:rsidR="006A65CA">
        <w:t>f life outcomes. Similarly, in S</w:t>
      </w:r>
      <w:r w:rsidRPr="00FA6A95">
        <w:t xml:space="preserve">tudy </w:t>
      </w:r>
      <w:r w:rsidR="006A65CA">
        <w:t>OTX-101-2016-001, significant improvements in Schir</w:t>
      </w:r>
      <w:r w:rsidR="00362710">
        <w:t>mer’s T</w:t>
      </w:r>
      <w:r w:rsidRPr="00FA6A95">
        <w:t>est and conjunctival and corneal staining outcomes were not supported by quality of life measures. The short study duration (84 days) might have contributed to this sub-optimal response in quality of life measures</w:t>
      </w:r>
      <w:r>
        <w:t xml:space="preserve"> of patients with a chronic condition (dry eyes)</w:t>
      </w:r>
      <w:r w:rsidRPr="00FA6A95">
        <w:t>. It also appears that this dissociation between clinical signs and symptoms in dry ey</w:t>
      </w:r>
      <w:r>
        <w:t>e disease is well recognised</w:t>
      </w:r>
      <w:r w:rsidRPr="00FA6A95">
        <w:t>.</w:t>
      </w:r>
      <w:r w:rsidR="008F3F02">
        <w:rPr>
          <w:rStyle w:val="FootnoteReference"/>
        </w:rPr>
        <w:footnoteReference w:id="17"/>
      </w:r>
      <w:r w:rsidRPr="00FA6A95">
        <w:t xml:space="preserve"> Physiological factors, along with variable sensitivity, specificity and reproducibility of clinical markers </w:t>
      </w:r>
      <w:r w:rsidR="008F3F02">
        <w:t>(</w:t>
      </w:r>
      <w:r w:rsidR="00AE1468">
        <w:t>Schirmer’s</w:t>
      </w:r>
      <w:r w:rsidR="008F3F02">
        <w:t xml:space="preserve"> T</w:t>
      </w:r>
      <w:r>
        <w:t xml:space="preserve">est) </w:t>
      </w:r>
      <w:r w:rsidRPr="00FA6A95">
        <w:t>for treatment benefit are propo</w:t>
      </w:r>
      <w:r w:rsidR="00DB095A">
        <w:t>sed to be contributing factors.</w:t>
      </w:r>
    </w:p>
    <w:p w14:paraId="34ACCA03" w14:textId="597129A9" w:rsidR="004F5757" w:rsidRPr="00FA6A95" w:rsidRDefault="004F5757" w:rsidP="00DB095A">
      <w:r w:rsidRPr="00FA6A95">
        <w:t>The short duration of study also limits the ability to assess long term eff</w:t>
      </w:r>
      <w:r w:rsidR="008F3F02">
        <w:t xml:space="preserve">icacy and safety of </w:t>
      </w:r>
      <w:r w:rsidR="000F4207">
        <w:t>ciclosporin</w:t>
      </w:r>
      <w:r w:rsidRPr="00FA6A95">
        <w:t xml:space="preserve"> for the treatment of dry eyes, which is a chronic condition, requiring longer </w:t>
      </w:r>
      <w:r w:rsidRPr="00FA6A95">
        <w:lastRenderedPageBreak/>
        <w:t>duration of treatmen</w:t>
      </w:r>
      <w:r>
        <w:t xml:space="preserve">t. The improvement in corneal staining is re-assuring that the treatment has modified the pathophysiology of dry eyes, and might be beneficial in the long term. </w:t>
      </w:r>
      <w:r w:rsidR="00677CEF">
        <w:t>Long term safety data is lacking in this submission.</w:t>
      </w:r>
      <w:r w:rsidR="00AE1468">
        <w:rPr>
          <w:rStyle w:val="FootnoteReference"/>
        </w:rPr>
        <w:footnoteReference w:id="18"/>
      </w:r>
    </w:p>
    <w:p w14:paraId="63CEB7C5" w14:textId="6AD2970A" w:rsidR="004F5757" w:rsidRPr="00FA6A95" w:rsidRDefault="004F5757" w:rsidP="00DB095A">
      <w:r w:rsidRPr="00FA6A95">
        <w:t>In terms of clinical endpoints, the improvement in corneal and conjunctival staining was modest</w:t>
      </w:r>
      <w:r>
        <w:t xml:space="preserve"> (treatment difference of around 10%)</w:t>
      </w:r>
      <w:r w:rsidRPr="00FA6A95">
        <w:t>. It is re-assur</w:t>
      </w:r>
      <w:r w:rsidR="008F3F02">
        <w:t>ing that results of Schirmer’s T</w:t>
      </w:r>
      <w:r w:rsidRPr="00FA6A95">
        <w:t>est, which is a common test used in clinical settings to assess dry eye severity were statistically significant and clinically relevant</w:t>
      </w:r>
      <w:r w:rsidR="008F3F02">
        <w:t xml:space="preserve"> (</w:t>
      </w:r>
      <w:r w:rsidR="004B7D43">
        <w:t>≥</w:t>
      </w:r>
      <w:r w:rsidR="008F3F02">
        <w:t xml:space="preserve"> 10 mm improvement) in S</w:t>
      </w:r>
      <w:r w:rsidR="000F4207">
        <w:t>tudy OTX</w:t>
      </w:r>
      <w:r w:rsidR="000F4207">
        <w:noBreakHyphen/>
        <w:t>101</w:t>
      </w:r>
      <w:r w:rsidR="000F4207">
        <w:noBreakHyphen/>
      </w:r>
      <w:r w:rsidR="008F3F02">
        <w:t>2016-001</w:t>
      </w:r>
      <w:r w:rsidRPr="00FA6A95">
        <w:t xml:space="preserve">. </w:t>
      </w:r>
      <w:r>
        <w:t>However, it was also noted that there was a &lt;</w:t>
      </w:r>
      <w:r w:rsidR="008F3F02">
        <w:t xml:space="preserve"> </w:t>
      </w:r>
      <w:r>
        <w:t>10% difference between Cequa and vehicle group in the proportion of patients w</w:t>
      </w:r>
      <w:r w:rsidR="008F3F02">
        <w:t xml:space="preserve">ith </w:t>
      </w:r>
      <w:r w:rsidR="00C077C8">
        <w:t>≥</w:t>
      </w:r>
      <w:r w:rsidR="008F3F02">
        <w:t xml:space="preserve"> 10 mm improvement in Schirmer’s Test.</w:t>
      </w:r>
    </w:p>
    <w:p w14:paraId="0C6CE2E0" w14:textId="77777777" w:rsidR="004F5757" w:rsidRPr="00FA6A95" w:rsidRDefault="008F3F02" w:rsidP="00DB095A">
      <w:r>
        <w:t xml:space="preserve">The safety profile of </w:t>
      </w:r>
      <w:r w:rsidR="000F4207">
        <w:t>ciclosporin</w:t>
      </w:r>
      <w:r w:rsidR="004F5757" w:rsidRPr="00FA6A95">
        <w:t xml:space="preserve"> in the patient population indicated was acceptable. Instillation site pain, which was the </w:t>
      </w:r>
      <w:r>
        <w:t>most common</w:t>
      </w:r>
      <w:r w:rsidR="004F5757" w:rsidRPr="00FA6A95">
        <w:t xml:space="preserve"> treatment-related TEAE is mentioned in the PI and CMI to inform prescribers and patients.</w:t>
      </w:r>
    </w:p>
    <w:p w14:paraId="48486AD7" w14:textId="732FBE1A" w:rsidR="004F5757" w:rsidRPr="00FA6A95" w:rsidRDefault="008F3F02" w:rsidP="00DB095A">
      <w:r>
        <w:t>The D</w:t>
      </w:r>
      <w:r w:rsidR="004F5757" w:rsidRPr="00FA6A95">
        <w:t>elegate has considered that, in the treatment paradigm of dry eyes, there is a paucity in the availability of TGA</w:t>
      </w:r>
      <w:r w:rsidR="00BE706A">
        <w:t>-</w:t>
      </w:r>
      <w:r w:rsidR="004F5757" w:rsidRPr="00FA6A95">
        <w:t xml:space="preserve">approved treatment options for patients with moderate to severe dry eye disease and with inadequate response to tear substitutes (first line treatment). </w:t>
      </w:r>
      <w:r w:rsidR="004F5757">
        <w:t>Prescribers have been accessing ciclosporin eye drops for the treatment of dry eyes</w:t>
      </w:r>
      <w:r>
        <w:t xml:space="preserve"> through TGA’s Special Access Scheme (SAS) arrangement.</w:t>
      </w:r>
      <w:r>
        <w:rPr>
          <w:rStyle w:val="FootnoteReference"/>
        </w:rPr>
        <w:footnoteReference w:id="19"/>
      </w:r>
    </w:p>
    <w:p w14:paraId="7756268A" w14:textId="72CD07B9" w:rsidR="00456765" w:rsidRDefault="004F5757" w:rsidP="00DB095A">
      <w:r w:rsidRPr="00FA6A95">
        <w:t xml:space="preserve">In summary, based on the </w:t>
      </w:r>
      <w:r>
        <w:t>clinically relevant magnitude of tr</w:t>
      </w:r>
      <w:r w:rsidR="008F3F02">
        <w:t>eatment benefit in terms of Schir</w:t>
      </w:r>
      <w:r w:rsidR="000F4207">
        <w:t>mer’s T</w:t>
      </w:r>
      <w:r>
        <w:t xml:space="preserve">est outcome and the </w:t>
      </w:r>
      <w:r w:rsidRPr="00FA6A95">
        <w:t xml:space="preserve">statistically significant </w:t>
      </w:r>
      <w:r>
        <w:t>outcomes for both corneal and conjunctival staining in</w:t>
      </w:r>
      <w:r w:rsidR="008F3F02">
        <w:t xml:space="preserve"> S</w:t>
      </w:r>
      <w:r w:rsidRPr="00FA6A95">
        <w:t xml:space="preserve">tudy </w:t>
      </w:r>
      <w:r w:rsidR="008F3F02">
        <w:t>OTX-101-2016-001</w:t>
      </w:r>
      <w:r w:rsidRPr="00FA6A95">
        <w:t xml:space="preserve"> and a positive trend observed for quality of life measures outcomes in both </w:t>
      </w:r>
      <w:r w:rsidR="008F3F02">
        <w:t>Studies OTX-101-2014-001</w:t>
      </w:r>
      <w:r w:rsidRPr="00FA6A95">
        <w:t xml:space="preserve"> and </w:t>
      </w:r>
      <w:r w:rsidR="000F4207">
        <w:t>OTX</w:t>
      </w:r>
      <w:r w:rsidR="000F4207">
        <w:noBreakHyphen/>
        <w:t>101</w:t>
      </w:r>
      <w:r w:rsidR="000F4207">
        <w:noBreakHyphen/>
        <w:t>2016</w:t>
      </w:r>
      <w:r w:rsidR="000F4207">
        <w:noBreakHyphen/>
      </w:r>
      <w:r w:rsidR="008F3F02">
        <w:t>001, the D</w:t>
      </w:r>
      <w:r w:rsidRPr="00FA6A95">
        <w:t>ele</w:t>
      </w:r>
      <w:r w:rsidR="008F3F02">
        <w:t xml:space="preserve">gate considers that </w:t>
      </w:r>
      <w:r w:rsidR="000F4207">
        <w:t>ciclosporin</w:t>
      </w:r>
      <w:r w:rsidRPr="00FA6A95">
        <w:t xml:space="preserve"> 0.9% eye drops has a positive benefit-risk profile </w:t>
      </w:r>
      <w:r w:rsidR="008F3F02">
        <w:t>for the treatment of dry eyes.</w:t>
      </w:r>
    </w:p>
    <w:p w14:paraId="415D6F4B" w14:textId="2CB5136E" w:rsidR="00677CEF" w:rsidRPr="00456765" w:rsidRDefault="00677CEF" w:rsidP="00DB095A">
      <w:r w:rsidRPr="00FA6A95">
        <w:t>Considering the modest evidence</w:t>
      </w:r>
      <w:r>
        <w:t xml:space="preserve"> of treatment benefit, the D</w:t>
      </w:r>
      <w:r w:rsidRPr="00FA6A95">
        <w:t xml:space="preserve">elegate has recommended </w:t>
      </w:r>
      <w:r w:rsidR="00BE706A">
        <w:t xml:space="preserve">inclusion of </w:t>
      </w:r>
      <w:r w:rsidRPr="00FA6A95">
        <w:t>statements to be inserted in the PI that indicate initiation of treatment by an ophthalmologist and treatment response to be reviewed at least every 6 months</w:t>
      </w:r>
      <w:r>
        <w:t xml:space="preserve"> and treatment to be ceased if there is no adequate response.</w:t>
      </w:r>
      <w:bookmarkStart w:id="49" w:name="_Ref37926524"/>
      <w:r>
        <w:rPr>
          <w:rStyle w:val="FootnoteReference"/>
        </w:rPr>
        <w:footnoteReference w:id="20"/>
      </w:r>
      <w:bookmarkEnd w:id="49"/>
    </w:p>
    <w:p w14:paraId="3F11864D" w14:textId="77777777" w:rsidR="00D23139" w:rsidRDefault="00D23139" w:rsidP="00D23139">
      <w:pPr>
        <w:pStyle w:val="Heading4"/>
      </w:pPr>
      <w:r w:rsidRPr="00D23139">
        <w:t>Proposed action</w:t>
      </w:r>
    </w:p>
    <w:p w14:paraId="1E5A0FB7" w14:textId="57588DE3" w:rsidR="00456765" w:rsidRPr="004F5757" w:rsidRDefault="004F5757" w:rsidP="00DB095A">
      <w:r>
        <w:t>This</w:t>
      </w:r>
      <w:r w:rsidRPr="00FA6A95">
        <w:t xml:space="preserve"> application will be progressed based on sponsor’s response to </w:t>
      </w:r>
      <w:r w:rsidR="008F3F02">
        <w:t xml:space="preserve">the </w:t>
      </w:r>
      <w:r w:rsidRPr="00FA6A95">
        <w:t>recommended changes to PI.</w:t>
      </w:r>
      <w:r w:rsidR="00677CEF">
        <w:fldChar w:fldCharType="begin"/>
      </w:r>
      <w:r w:rsidR="00677CEF">
        <w:instrText xml:space="preserve"> NOTEREF _Ref37926521 \f \h </w:instrText>
      </w:r>
      <w:r w:rsidR="00677CEF">
        <w:fldChar w:fldCharType="separate"/>
      </w:r>
      <w:r w:rsidR="001134FB" w:rsidRPr="001134FB">
        <w:rPr>
          <w:rStyle w:val="FootnoteReference"/>
        </w:rPr>
        <w:t>16</w:t>
      </w:r>
      <w:r w:rsidR="00677CEF">
        <w:fldChar w:fldCharType="end"/>
      </w:r>
      <w:r w:rsidR="00677CEF" w:rsidRPr="00D75342">
        <w:rPr>
          <w:vertAlign w:val="superscript"/>
        </w:rPr>
        <w:t>,</w:t>
      </w:r>
      <w:r w:rsidR="00677CEF">
        <w:fldChar w:fldCharType="begin"/>
      </w:r>
      <w:r w:rsidR="00677CEF">
        <w:instrText xml:space="preserve"> NOTEREF _Ref37926524 \f \h </w:instrText>
      </w:r>
      <w:r w:rsidR="00677CEF">
        <w:fldChar w:fldCharType="separate"/>
      </w:r>
      <w:r w:rsidR="001134FB" w:rsidRPr="001134FB">
        <w:rPr>
          <w:rStyle w:val="FootnoteReference"/>
        </w:rPr>
        <w:t>20</w:t>
      </w:r>
      <w:r w:rsidR="00677CEF">
        <w:fldChar w:fldCharType="end"/>
      </w:r>
    </w:p>
    <w:p w14:paraId="0019ADDC" w14:textId="77777777" w:rsidR="008E7846" w:rsidRDefault="008E7846" w:rsidP="008E7846">
      <w:pPr>
        <w:pStyle w:val="Heading4"/>
      </w:pPr>
      <w:r>
        <w:lastRenderedPageBreak/>
        <w:t>Advisory Committee Considerations</w:t>
      </w:r>
      <w:r w:rsidR="00456765">
        <w:rPr>
          <w:rStyle w:val="FootnoteReference"/>
        </w:rPr>
        <w:footnoteReference w:id="21"/>
      </w:r>
    </w:p>
    <w:p w14:paraId="742F843F" w14:textId="77777777" w:rsidR="00456765" w:rsidRPr="00A322B3" w:rsidRDefault="00456765" w:rsidP="00DB095A">
      <w:r>
        <w:t>The Delegate did not refer this application to the Advisory Committee on Medicines (ACM) for advice.</w:t>
      </w:r>
    </w:p>
    <w:p w14:paraId="5DF14EFC" w14:textId="77777777" w:rsidR="008E7846" w:rsidRPr="002E238E" w:rsidRDefault="008E7846" w:rsidP="008E7846">
      <w:pPr>
        <w:pStyle w:val="Heading3"/>
      </w:pPr>
      <w:bookmarkStart w:id="50" w:name="_Toc247691532"/>
      <w:bookmarkStart w:id="51" w:name="_Toc314842516"/>
      <w:bookmarkStart w:id="52" w:name="_Toc40254850"/>
      <w:bookmarkEnd w:id="31"/>
      <w:bookmarkEnd w:id="47"/>
      <w:bookmarkEnd w:id="48"/>
      <w:r>
        <w:t>Outcome</w:t>
      </w:r>
      <w:bookmarkEnd w:id="50"/>
      <w:bookmarkEnd w:id="51"/>
      <w:bookmarkEnd w:id="52"/>
    </w:p>
    <w:p w14:paraId="0D7008F8" w14:textId="77777777" w:rsidR="00D23139" w:rsidRPr="00D23139" w:rsidRDefault="00D23139" w:rsidP="00D23139">
      <w:bookmarkStart w:id="53" w:name="_Toc247691533"/>
      <w:bookmarkStart w:id="54" w:name="_Toc314842517"/>
      <w:r w:rsidRPr="00D23139">
        <w:t xml:space="preserve">Based on a review of quality, safety and efficacy, TGA approved the registration of </w:t>
      </w:r>
      <w:r w:rsidR="004F5757">
        <w:rPr>
          <w:rFonts w:eastAsiaTheme="minorHAnsi" w:cs="Cambria"/>
        </w:rPr>
        <w:t>Cequa (ciclosporin) 900 µg/mL eye drops</w:t>
      </w:r>
      <w:r w:rsidRPr="00D23139">
        <w:t>, indicated for:</w:t>
      </w:r>
    </w:p>
    <w:p w14:paraId="1E14C965" w14:textId="77777777" w:rsidR="00D23139" w:rsidRPr="004F5757" w:rsidRDefault="004F5757" w:rsidP="004F5757">
      <w:pPr>
        <w:ind w:left="720"/>
        <w:rPr>
          <w:i/>
        </w:rPr>
      </w:pPr>
      <w:r w:rsidRPr="004F5757">
        <w:rPr>
          <w:i/>
        </w:rPr>
        <w:t>Cequa is indicated to increase tear production in patients with moderate to severe keratoconjunctivitis sicca (dry eye) where prior use of artificial tears has not been sufficient.</w:t>
      </w:r>
    </w:p>
    <w:p w14:paraId="1E7EDD1E" w14:textId="77777777" w:rsidR="00D23139" w:rsidRPr="00D23139" w:rsidRDefault="00D23139" w:rsidP="00D23139">
      <w:pPr>
        <w:pStyle w:val="Heading4"/>
      </w:pPr>
      <w:r w:rsidRPr="00D23139">
        <w:t>Specific conditions of registration applying to these goods</w:t>
      </w:r>
    </w:p>
    <w:p w14:paraId="03F58EEF" w14:textId="77777777" w:rsidR="004F5757" w:rsidRDefault="00DB095A" w:rsidP="008F3F02">
      <w:pPr>
        <w:pStyle w:val="ListBullet"/>
      </w:pPr>
      <w:r>
        <w:t>Cequa</w:t>
      </w:r>
      <w:r w:rsidR="004F5757">
        <w:t xml:space="preserve"> (ciclosporin) is to be included in the Black Triangle Scheme. The PI and CMI for </w:t>
      </w:r>
      <w:r>
        <w:t>Cequa</w:t>
      </w:r>
      <w:r w:rsidR="004F5757">
        <w:t xml:space="preserve"> must include the black triangle symbol and mandatory accompanying text for five years, which starts from the date that the sponsor notifies the TGA of supply of the product.</w:t>
      </w:r>
    </w:p>
    <w:p w14:paraId="7E7921CA" w14:textId="77777777" w:rsidR="004F5757" w:rsidRDefault="004F5757" w:rsidP="008F3F02">
      <w:pPr>
        <w:pStyle w:val="ListBullet"/>
      </w:pPr>
      <w:r>
        <w:t>Any changes to which the sponsor has agreed should be included in a revised RMP and ASA. However, irrespective of whether or not they are included in the currently available version of the RMP document, the agreed changes become part of the risk management system.</w:t>
      </w:r>
    </w:p>
    <w:p w14:paraId="081240B7" w14:textId="77777777" w:rsidR="009752A5" w:rsidRDefault="004F5757" w:rsidP="008F3F02">
      <w:pPr>
        <w:pStyle w:val="ListBullet"/>
        <w:numPr>
          <w:ilvl w:val="0"/>
          <w:numId w:val="0"/>
        </w:numPr>
        <w:ind w:left="360"/>
      </w:pPr>
      <w:r>
        <w:t xml:space="preserve">The </w:t>
      </w:r>
      <w:r w:rsidR="00DB095A">
        <w:t>Cequa</w:t>
      </w:r>
      <w:r>
        <w:t xml:space="preserve"> Core </w:t>
      </w:r>
      <w:r w:rsidR="008F3F02">
        <w:t>RMP</w:t>
      </w:r>
      <w:r>
        <w:t>, version 0.1, dated 19 August 2019 (</w:t>
      </w:r>
      <w:r w:rsidR="008F3F02">
        <w:t>DLP</w:t>
      </w:r>
      <w:r>
        <w:t xml:space="preserve"> 31 October 2017), with </w:t>
      </w:r>
      <w:r w:rsidR="008F3F02">
        <w:t>ASA</w:t>
      </w:r>
      <w:r>
        <w:t>, version 0.1, dated18 January 2019, included with submission PM-2019-00113-1, and any subsequent revisions, as agreed with the TGA will be implemented in Australia.</w:t>
      </w:r>
    </w:p>
    <w:p w14:paraId="3F49698C" w14:textId="77777777" w:rsidR="004F5757" w:rsidRDefault="004F5757" w:rsidP="008F3F02">
      <w:pPr>
        <w:pStyle w:val="ListBullet"/>
        <w:numPr>
          <w:ilvl w:val="0"/>
          <w:numId w:val="0"/>
        </w:numPr>
        <w:ind w:left="360"/>
      </w:pPr>
      <w:r>
        <w:t>An obligatory component of risk management plans is routine pharmacovigilance. Routine pharmacovigilance includes the submission of periodic safety update reports (PSURs).</w:t>
      </w:r>
    </w:p>
    <w:p w14:paraId="7E62FB1E" w14:textId="77777777" w:rsidR="004F5757" w:rsidRDefault="004F5757" w:rsidP="008F3F02">
      <w:pPr>
        <w:pStyle w:val="ListBullet"/>
        <w:numPr>
          <w:ilvl w:val="0"/>
          <w:numId w:val="0"/>
        </w:numPr>
        <w:ind w:left="360"/>
      </w:pPr>
      <w:r>
        <w:t>Unless agreed separately between the supplier who is the recipient of the approval and the T</w:t>
      </w:r>
      <w:r w:rsidR="00DB095A">
        <w:t>G</w:t>
      </w:r>
      <w:r>
        <w:t>A, the first report must be submitted to T</w:t>
      </w:r>
      <w:r w:rsidR="00DB095A">
        <w:t>G</w:t>
      </w:r>
      <w:r>
        <w:t>A no later than 15 calendar months after the date of this approval letter. The subsequent reports must be submitted no less frequently than annually from the date of the first submitted report until the period covered by such reports is not less than three years from the date of this approval letter. The annual submission may be made up of two PSURs each covering six months. If the sponsor wishes, the six monthly reports may be submitted separately as they become available.</w:t>
      </w:r>
    </w:p>
    <w:p w14:paraId="3648B73E" w14:textId="77777777" w:rsidR="004F5757" w:rsidRDefault="004F5757" w:rsidP="008F3F02">
      <w:pPr>
        <w:pStyle w:val="ListBullet"/>
        <w:numPr>
          <w:ilvl w:val="0"/>
          <w:numId w:val="0"/>
        </w:numPr>
        <w:ind w:left="360"/>
      </w:pPr>
      <w:r>
        <w:t xml:space="preserve">The reports are to at least meet the requirements for PSURs as described in the European Medicines Agency’s Guideline on </w:t>
      </w:r>
      <w:r w:rsidR="00DB095A">
        <w:t>Good Pharmacovigilance Practic</w:t>
      </w:r>
      <w:r>
        <w:t>es (GVP)</w:t>
      </w:r>
    </w:p>
    <w:p w14:paraId="1EAA9D6B" w14:textId="77777777" w:rsidR="004F5757" w:rsidRDefault="004F5757" w:rsidP="008F3F02">
      <w:pPr>
        <w:pStyle w:val="ListBullet"/>
        <w:numPr>
          <w:ilvl w:val="0"/>
          <w:numId w:val="0"/>
        </w:numPr>
        <w:ind w:left="360"/>
      </w:pPr>
      <w:r>
        <w:lastRenderedPageBreak/>
        <w:t>Module VII-periodic safety update report (Rev 1), Part VII.B Structures and processes. Note that submission of a PSUR does not constitute an application to vary the registration. Each report must have been prepared within ninety calendar days of the data lock point for that report.</w:t>
      </w:r>
    </w:p>
    <w:p w14:paraId="1265C7D3" w14:textId="77777777" w:rsidR="008E7846" w:rsidRDefault="00A80B5B" w:rsidP="00D23139">
      <w:pPr>
        <w:pStyle w:val="Heading2"/>
      </w:pPr>
      <w:bookmarkStart w:id="55" w:name="_Toc40254851"/>
      <w:r>
        <w:t xml:space="preserve">Attachment 1. </w:t>
      </w:r>
      <w:r w:rsidR="008E7846">
        <w:t xml:space="preserve">Product </w:t>
      </w:r>
      <w:r w:rsidR="00AA0ED0">
        <w:t>I</w:t>
      </w:r>
      <w:r w:rsidR="008E7846">
        <w:t>nformation</w:t>
      </w:r>
      <w:bookmarkEnd w:id="53"/>
      <w:bookmarkEnd w:id="54"/>
      <w:bookmarkEnd w:id="55"/>
    </w:p>
    <w:p w14:paraId="65AF94BC" w14:textId="77777777" w:rsidR="00770CAC" w:rsidRPr="008F3F02" w:rsidRDefault="006136D7" w:rsidP="008F3F02">
      <w:pPr>
        <w:rPr>
          <w:color w:val="000000"/>
          <w:lang w:eastAsia="en-AU"/>
        </w:rPr>
      </w:pPr>
      <w:r w:rsidRPr="002B3624">
        <w:t xml:space="preserve">The </w:t>
      </w:r>
      <w:r>
        <w:t>PI</w:t>
      </w:r>
      <w:r w:rsidRPr="002B3624">
        <w:t xml:space="preserve"> for </w:t>
      </w:r>
      <w:r w:rsidR="004F5757">
        <w:t>Cequa</w:t>
      </w:r>
      <w:r w:rsidRPr="002B3624">
        <w:t xml:space="preserve"> </w:t>
      </w:r>
      <w:r>
        <w:t xml:space="preserve">approved with the submission which is described in </w:t>
      </w:r>
      <w:r w:rsidRPr="002B3624">
        <w:t xml:space="preserve">this AusPAR is at Attachment 1. For the most recent </w:t>
      </w:r>
      <w:r>
        <w:t>PI,</w:t>
      </w:r>
      <w:r w:rsidRPr="002B3624">
        <w:t xml:space="preserve"> please refer to the </w:t>
      </w:r>
      <w:r w:rsidRPr="007C6B9B">
        <w:t xml:space="preserve">TGA website at </w:t>
      </w:r>
      <w:r w:rsidR="007C6B9B" w:rsidRPr="007C6B9B">
        <w:t>&lt;</w:t>
      </w:r>
      <w:hyperlink r:id="rId27" w:history="1">
        <w:r w:rsidR="007C6B9B" w:rsidRPr="007C6B9B">
          <w:rPr>
            <w:rStyle w:val="Hyperlink"/>
          </w:rPr>
          <w:t>https://www.tga.gov.au/product-information-pi</w:t>
        </w:r>
      </w:hyperlink>
      <w:r w:rsidR="004F5757">
        <w:t>&gt;.</w:t>
      </w:r>
    </w:p>
    <w:p w14:paraId="1BE9DB26" w14:textId="77777777" w:rsidR="00291957" w:rsidRDefault="00291957" w:rsidP="00291957">
      <w:pPr>
        <w:rPr>
          <w:lang w:eastAsia="ja-JP"/>
        </w:rPr>
      </w:pPr>
    </w:p>
    <w:p w14:paraId="7588F507" w14:textId="77777777" w:rsidR="00C80137" w:rsidRPr="001D043B" w:rsidRDefault="00C80137" w:rsidP="003A7F6C">
      <w:pPr>
        <w:pStyle w:val="TableTitle"/>
        <w:sectPr w:rsidR="00C80137" w:rsidRPr="001D043B" w:rsidSect="00B452CE">
          <w:headerReference w:type="even" r:id="rId28"/>
          <w:headerReference w:type="default" r:id="rId29"/>
          <w:headerReference w:type="first" r:id="rId30"/>
          <w:footerReference w:type="first" r:id="rId31"/>
          <w:pgSz w:w="11906" w:h="16838" w:code="9"/>
          <w:pgMar w:top="834" w:right="1701" w:bottom="1191" w:left="1701" w:header="907" w:footer="216" w:gutter="0"/>
          <w:cols w:space="708"/>
          <w:docGrid w:linePitch="360"/>
        </w:sectPr>
      </w:pPr>
    </w:p>
    <w:tbl>
      <w:tblPr>
        <w:tblW w:w="9175" w:type="dxa"/>
        <w:tblInd w:w="-284" w:type="dxa"/>
        <w:tblLayout w:type="fixed"/>
        <w:tblCellMar>
          <w:left w:w="0" w:type="dxa"/>
          <w:right w:w="0" w:type="dxa"/>
        </w:tblCellMar>
        <w:tblLook w:val="04A0" w:firstRow="1" w:lastRow="0" w:firstColumn="1" w:lastColumn="0" w:noHBand="0" w:noVBand="1"/>
      </w:tblPr>
      <w:tblGrid>
        <w:gridCol w:w="9175"/>
      </w:tblGrid>
      <w:tr w:rsidR="001C32CD" w:rsidRPr="00487162" w14:paraId="332DA450" w14:textId="77777777" w:rsidTr="00A05FA4">
        <w:trPr>
          <w:trHeight w:hRule="exact" w:val="704"/>
        </w:trPr>
        <w:tc>
          <w:tcPr>
            <w:tcW w:w="9175" w:type="dxa"/>
          </w:tcPr>
          <w:p w14:paraId="222CFE89" w14:textId="77777777" w:rsidR="001C32CD" w:rsidRPr="00487162" w:rsidRDefault="001C32CD" w:rsidP="00A05FA4">
            <w:pPr>
              <w:pStyle w:val="TGASignoff"/>
            </w:pPr>
            <w:r w:rsidRPr="00487162">
              <w:lastRenderedPageBreak/>
              <w:t>Therapeutic Goods Administration</w:t>
            </w:r>
          </w:p>
        </w:tc>
      </w:tr>
      <w:tr w:rsidR="001C32CD" w:rsidRPr="004C239D" w14:paraId="04E7C4B2" w14:textId="77777777" w:rsidTr="00A05FA4">
        <w:trPr>
          <w:trHeight w:val="1221"/>
        </w:trPr>
        <w:tc>
          <w:tcPr>
            <w:tcW w:w="9175" w:type="dxa"/>
            <w:tcMar>
              <w:top w:w="28" w:type="dxa"/>
            </w:tcMar>
          </w:tcPr>
          <w:p w14:paraId="79056308" w14:textId="77777777" w:rsidR="001C32CD" w:rsidRPr="00487162" w:rsidRDefault="001C32CD" w:rsidP="00A05FA4">
            <w:pPr>
              <w:pStyle w:val="Address"/>
            </w:pPr>
            <w:r w:rsidRPr="00487162">
              <w:t>PO Box 100 Woden ACT 2606 Australia</w:t>
            </w:r>
          </w:p>
          <w:p w14:paraId="5EB51F2B" w14:textId="77777777" w:rsidR="001C32CD" w:rsidRPr="00487162" w:rsidRDefault="001C32CD" w:rsidP="00A05FA4">
            <w:pPr>
              <w:pStyle w:val="Address"/>
            </w:pPr>
            <w:r w:rsidRPr="00487162">
              <w:t xml:space="preserve">Email: </w:t>
            </w:r>
            <w:hyperlink r:id="rId32" w:history="1">
              <w:r w:rsidRPr="004C239D">
                <w:rPr>
                  <w:rStyle w:val="Hyperlink"/>
                </w:rPr>
                <w:t>info@tga.gov.au</w:t>
              </w:r>
            </w:hyperlink>
            <w:r w:rsidRPr="00487162">
              <w:t xml:space="preserve">  Phone: 1800 020 653  Fax: 02 6232 8605</w:t>
            </w:r>
          </w:p>
          <w:p w14:paraId="657998CC" w14:textId="77777777" w:rsidR="001C32CD" w:rsidRPr="004C239D" w:rsidRDefault="003E27B3" w:rsidP="00A05FA4">
            <w:pPr>
              <w:pStyle w:val="Address"/>
              <w:spacing w:line="260" w:lineRule="atLeast"/>
              <w:rPr>
                <w:b/>
                <w:color w:val="0000FF"/>
                <w:u w:val="single"/>
              </w:rPr>
            </w:pPr>
            <w:hyperlink r:id="rId33" w:history="1">
              <w:r w:rsidR="007C6B9B" w:rsidRPr="007C6B9B">
                <w:rPr>
                  <w:rStyle w:val="Hyperlink"/>
                  <w:b/>
                </w:rPr>
                <w:t>https://www.tga.gov.au</w:t>
              </w:r>
            </w:hyperlink>
          </w:p>
        </w:tc>
      </w:tr>
    </w:tbl>
    <w:p w14:paraId="4A719A6F" w14:textId="77777777" w:rsidR="00774E1D" w:rsidRPr="008A5E0B" w:rsidRDefault="00774E1D" w:rsidP="004C239D"/>
    <w:sectPr w:rsidR="00774E1D" w:rsidRPr="008A5E0B" w:rsidSect="001C32CD">
      <w:headerReference w:type="even" r:id="rId34"/>
      <w:headerReference w:type="default" r:id="rId35"/>
      <w:footerReference w:type="default" r:id="rId36"/>
      <w:headerReference w:type="first" r:id="rId37"/>
      <w:footerReference w:type="first" r:id="rId38"/>
      <w:pgSz w:w="11906" w:h="16838" w:code="9"/>
      <w:pgMar w:top="13467" w:right="1701" w:bottom="426" w:left="1701" w:header="907" w:footer="0"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47D2C1" w16cex:dateUtc="2020-04-19T21:50:00Z"/>
  <w16cex:commentExtensible w16cex:durableId="2242D607" w16cex:dateUtc="2020-04-16T03:03:00Z"/>
  <w16cex:commentExtensible w16cex:durableId="2247D418" w16cex:dateUtc="2020-04-19T21: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A98054D" w16cid:durableId="2242D5F7"/>
  <w16cid:commentId w16cid:paraId="74B635AA" w16cid:durableId="2235A51E"/>
  <w16cid:commentId w16cid:paraId="2D4CECF1" w16cid:durableId="2242D5F9"/>
  <w16cid:commentId w16cid:paraId="5120DBE2" w16cid:durableId="2247D2C1"/>
  <w16cid:commentId w16cid:paraId="12C16726" w16cid:durableId="2235A145"/>
  <w16cid:commentId w16cid:paraId="1E4D6C6E" w16cid:durableId="2242D5FB"/>
  <w16cid:commentId w16cid:paraId="2A78E782" w16cid:durableId="2242D607"/>
  <w16cid:commentId w16cid:paraId="1128AE46" w16cid:durableId="2235A810"/>
  <w16cid:commentId w16cid:paraId="4CF9EF2A" w16cid:durableId="2242D5FD"/>
  <w16cid:commentId w16cid:paraId="7DD39E35" w16cid:durableId="2247D418"/>
  <w16cid:commentId w16cid:paraId="5C934EAE" w16cid:durableId="2242D5F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7D6315" w14:textId="77777777" w:rsidR="001A03B1" w:rsidRDefault="001A03B1" w:rsidP="00C40A36">
      <w:pPr>
        <w:spacing w:after="0"/>
      </w:pPr>
      <w:r>
        <w:separator/>
      </w:r>
    </w:p>
  </w:endnote>
  <w:endnote w:type="continuationSeparator" w:id="0">
    <w:p w14:paraId="5F126B94" w14:textId="77777777" w:rsidR="001A03B1" w:rsidRDefault="001A03B1" w:rsidP="00C40A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PMingLiU">
    <w:altName w:val="新細明體"/>
    <w:panose1 w:val="02020500000000000000"/>
    <w:charset w:val="88"/>
    <w:family w:val="roman"/>
    <w:pitch w:val="variable"/>
    <w:sig w:usb0="A00002FF" w:usb1="2ACFFCFA" w:usb2="00000016" w:usb3="00000000" w:csb0="00100001"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Wingdings 3">
    <w:panose1 w:val="05040102010807070707"/>
    <w:charset w:val="02"/>
    <w:family w:val="roman"/>
    <w:pitch w:val="variable"/>
    <w:sig w:usb0="00000000" w:usb1="10000000" w:usb2="00000000" w:usb3="00000000" w:csb0="80000000" w:csb1="00000000"/>
  </w:font>
  <w:font w:name="MingLiU">
    <w:altName w:val="細明體"/>
    <w:panose1 w:val="02020509000000000000"/>
    <w:charset w:val="88"/>
    <w:family w:val="modern"/>
    <w:pitch w:val="fixed"/>
    <w:sig w:usb0="A00002FF" w:usb1="2A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438B52" w14:textId="77777777" w:rsidR="001A03B1" w:rsidRDefault="001A03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861" w:type="dxa"/>
      <w:tblBorders>
        <w:top w:val="single" w:sz="4" w:space="0" w:color="auto"/>
      </w:tblBorders>
      <w:tblLayout w:type="fixed"/>
      <w:tblCellMar>
        <w:top w:w="170" w:type="dxa"/>
        <w:left w:w="0" w:type="dxa"/>
        <w:bottom w:w="227" w:type="dxa"/>
        <w:right w:w="0" w:type="dxa"/>
      </w:tblCellMar>
      <w:tblLook w:val="04A0" w:firstRow="1" w:lastRow="0" w:firstColumn="1" w:lastColumn="0" w:noHBand="0" w:noVBand="1"/>
    </w:tblPr>
    <w:tblGrid>
      <w:gridCol w:w="7371"/>
      <w:gridCol w:w="1490"/>
    </w:tblGrid>
    <w:tr w:rsidR="001A03B1" w:rsidRPr="00487162" w14:paraId="1479EB6A" w14:textId="77777777" w:rsidTr="00DB750B">
      <w:trPr>
        <w:trHeight w:val="269"/>
      </w:trPr>
      <w:tc>
        <w:tcPr>
          <w:tcW w:w="7371" w:type="dxa"/>
          <w:tcMar>
            <w:top w:w="142" w:type="dxa"/>
            <w:bottom w:w="0" w:type="dxa"/>
          </w:tcMar>
        </w:tcPr>
        <w:p w14:paraId="16E44A2E" w14:textId="143BADC8" w:rsidR="001A03B1" w:rsidRPr="00487162" w:rsidRDefault="001A03B1" w:rsidP="001134FB">
          <w:pPr>
            <w:pStyle w:val="Footer"/>
          </w:pPr>
          <w:r w:rsidRPr="00487162">
            <w:t>AusPA</w:t>
          </w:r>
          <w:r>
            <w:t xml:space="preserve">R - </w:t>
          </w:r>
          <w:r w:rsidRPr="00713696">
            <w:t>CEQUA - ciclosporin - Sun Pharma ANZ Pty Ltd - PM-2019-00113-1-5</w:t>
          </w:r>
          <w:r>
            <w:br/>
            <w:t>FINAL 24 April 2020</w:t>
          </w:r>
        </w:p>
      </w:tc>
      <w:tc>
        <w:tcPr>
          <w:tcW w:w="1490" w:type="dxa"/>
          <w:tcMar>
            <w:top w:w="142" w:type="dxa"/>
            <w:bottom w:w="0" w:type="dxa"/>
          </w:tcMar>
        </w:tcPr>
        <w:p w14:paraId="4EFE7FCE" w14:textId="07EB0CCA" w:rsidR="001A03B1" w:rsidRPr="00487162" w:rsidRDefault="001A03B1" w:rsidP="00DB750B">
          <w:pPr>
            <w:pStyle w:val="Footer"/>
            <w:jc w:val="right"/>
          </w:pPr>
          <w:r w:rsidRPr="00487162">
            <w:t xml:space="preserve">Page </w:t>
          </w:r>
          <w:r>
            <w:fldChar w:fldCharType="begin"/>
          </w:r>
          <w:r>
            <w:instrText xml:space="preserve"> PAGE  \* Arabic </w:instrText>
          </w:r>
          <w:r>
            <w:fldChar w:fldCharType="separate"/>
          </w:r>
          <w:r w:rsidR="003E27B3">
            <w:rPr>
              <w:noProof/>
            </w:rPr>
            <w:t>15</w:t>
          </w:r>
          <w:r>
            <w:fldChar w:fldCharType="end"/>
          </w:r>
          <w:r w:rsidRPr="00487162">
            <w:t xml:space="preserve"> of </w:t>
          </w:r>
          <w:fldSimple w:instr=" NUMPAGES  \* Arabic ">
            <w:r w:rsidR="003E27B3">
              <w:rPr>
                <w:noProof/>
              </w:rPr>
              <w:t>22</w:t>
            </w:r>
          </w:fldSimple>
        </w:p>
      </w:tc>
    </w:tr>
  </w:tbl>
  <w:p w14:paraId="2448F25D" w14:textId="77777777" w:rsidR="001A03B1" w:rsidRDefault="001A03B1" w:rsidP="003D1E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0C5B1A" w14:textId="77777777" w:rsidR="001A03B1" w:rsidRDefault="001A03B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861" w:type="dxa"/>
      <w:tblLayout w:type="fixed"/>
      <w:tblCellMar>
        <w:top w:w="170" w:type="dxa"/>
        <w:left w:w="0" w:type="dxa"/>
        <w:bottom w:w="227" w:type="dxa"/>
        <w:right w:w="0" w:type="dxa"/>
      </w:tblCellMar>
      <w:tblLook w:val="04A0" w:firstRow="1" w:lastRow="0" w:firstColumn="1" w:lastColumn="0" w:noHBand="0" w:noVBand="1"/>
    </w:tblPr>
    <w:tblGrid>
      <w:gridCol w:w="4519"/>
      <w:gridCol w:w="4342"/>
    </w:tblGrid>
    <w:tr w:rsidR="001A03B1" w:rsidRPr="00487162" w14:paraId="50A601FE" w14:textId="77777777" w:rsidTr="00E45619">
      <w:trPr>
        <w:trHeight w:val="269"/>
      </w:trPr>
      <w:tc>
        <w:tcPr>
          <w:tcW w:w="4519" w:type="dxa"/>
          <w:tcBorders>
            <w:top w:val="single" w:sz="4" w:space="0" w:color="auto"/>
          </w:tcBorders>
          <w:tcMar>
            <w:top w:w="142" w:type="dxa"/>
            <w:bottom w:w="0" w:type="dxa"/>
          </w:tcMar>
        </w:tcPr>
        <w:p w14:paraId="5C7EFE77" w14:textId="77777777" w:rsidR="001A03B1" w:rsidRPr="00487162" w:rsidRDefault="001A03B1" w:rsidP="00FE1DEE">
          <w:pPr>
            <w:pStyle w:val="Footer"/>
          </w:pPr>
          <w:r w:rsidRPr="00487162">
            <w:t>Document title, Part #, Section # - Section title</w:t>
          </w:r>
        </w:p>
        <w:p w14:paraId="0EF4F932" w14:textId="77777777" w:rsidR="001A03B1" w:rsidRPr="00487162" w:rsidRDefault="001A03B1" w:rsidP="00FE1DEE">
          <w:pPr>
            <w:pStyle w:val="Footer"/>
          </w:pPr>
          <w:r w:rsidRPr="00487162">
            <w:t>V1.0 October 2010</w:t>
          </w:r>
        </w:p>
      </w:tc>
      <w:tc>
        <w:tcPr>
          <w:tcW w:w="4342" w:type="dxa"/>
          <w:tcBorders>
            <w:top w:val="single" w:sz="4" w:space="0" w:color="auto"/>
          </w:tcBorders>
          <w:tcMar>
            <w:top w:w="142" w:type="dxa"/>
            <w:bottom w:w="0" w:type="dxa"/>
          </w:tcMar>
        </w:tcPr>
        <w:p w14:paraId="67089E19" w14:textId="77777777" w:rsidR="001A03B1" w:rsidRPr="00487162" w:rsidRDefault="001A03B1" w:rsidP="00E45619">
          <w:pPr>
            <w:pStyle w:val="Footer"/>
            <w:jc w:val="right"/>
          </w:pPr>
          <w:r w:rsidRPr="00487162">
            <w:t xml:space="preserve">Page </w:t>
          </w:r>
          <w:r>
            <w:fldChar w:fldCharType="begin"/>
          </w:r>
          <w:r>
            <w:instrText xml:space="preserve"> PAGE   \* MERGEFORMAT </w:instrText>
          </w:r>
          <w:r>
            <w:fldChar w:fldCharType="separate"/>
          </w:r>
          <w:r w:rsidRPr="00487162">
            <w:rPr>
              <w:noProof/>
            </w:rPr>
            <w:t>3</w:t>
          </w:r>
          <w:r>
            <w:rPr>
              <w:noProof/>
            </w:rPr>
            <w:fldChar w:fldCharType="end"/>
          </w:r>
          <w:r w:rsidRPr="00487162">
            <w:t xml:space="preserve"> of </w:t>
          </w:r>
          <w:fldSimple w:instr=" NUMPAGES  ">
            <w:r>
              <w:rPr>
                <w:noProof/>
              </w:rPr>
              <w:t>3</w:t>
            </w:r>
          </w:fldSimple>
        </w:p>
      </w:tc>
    </w:tr>
  </w:tbl>
  <w:p w14:paraId="0BA7501B" w14:textId="77777777" w:rsidR="001A03B1" w:rsidRDefault="001A03B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BB9C9C" w14:textId="77777777" w:rsidR="001A03B1" w:rsidRPr="001C32CD" w:rsidRDefault="001A03B1" w:rsidP="001C32C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875" w:type="dxa"/>
      <w:tblLayout w:type="fixed"/>
      <w:tblCellMar>
        <w:top w:w="170" w:type="dxa"/>
        <w:left w:w="0" w:type="dxa"/>
        <w:bottom w:w="227" w:type="dxa"/>
        <w:right w:w="0" w:type="dxa"/>
      </w:tblCellMar>
      <w:tblLook w:val="04A0" w:firstRow="1" w:lastRow="0" w:firstColumn="1" w:lastColumn="0" w:noHBand="0" w:noVBand="1"/>
    </w:tblPr>
    <w:tblGrid>
      <w:gridCol w:w="4519"/>
      <w:gridCol w:w="4356"/>
    </w:tblGrid>
    <w:tr w:rsidR="001A03B1" w14:paraId="005DC332" w14:textId="77777777" w:rsidTr="0010601F">
      <w:trPr>
        <w:trHeight w:val="108"/>
      </w:trPr>
      <w:tc>
        <w:tcPr>
          <w:tcW w:w="8875" w:type="dxa"/>
          <w:gridSpan w:val="2"/>
          <w:tcBorders>
            <w:bottom w:val="single" w:sz="4" w:space="0" w:color="auto"/>
          </w:tcBorders>
          <w:tcMar>
            <w:right w:w="284" w:type="dxa"/>
          </w:tcMar>
        </w:tcPr>
        <w:p w14:paraId="2C838F9E" w14:textId="77777777" w:rsidR="001A03B1" w:rsidRDefault="001A03B1" w:rsidP="006E08B3">
          <w:pPr>
            <w:pStyle w:val="Heading3"/>
          </w:pPr>
          <w:r>
            <w:t>Copyright</w:t>
          </w:r>
        </w:p>
        <w:p w14:paraId="4E295DC4" w14:textId="77777777" w:rsidR="001A03B1" w:rsidRDefault="001A03B1" w:rsidP="006E08B3">
          <w:r>
            <w:rPr>
              <w:rFonts w:cs="Arial"/>
            </w:rPr>
            <w:t>©</w:t>
          </w:r>
          <w:r>
            <w:t xml:space="preserve"> Commonwealth of Australia [add year]</w:t>
          </w:r>
        </w:p>
        <w:p w14:paraId="23FEF8FA" w14:textId="77777777" w:rsidR="001A03B1" w:rsidRDefault="001A03B1" w:rsidP="006E08B3"/>
        <w:p w14:paraId="07A26152" w14:textId="77777777" w:rsidR="001A03B1" w:rsidRDefault="001A03B1" w:rsidP="006E08B3">
          <w:r>
            <w:t xml:space="preserve">This work is copyright. Apart from any use as permitted under the Copyright Act 1968, no part may be reproduced by any process without prior written permission from the Commonwealth Copyright Administration, Attorney General’s Department, National Circuit, Barton ACT 2600 or posted at  </w:t>
          </w:r>
          <w:r w:rsidRPr="006E08B3">
            <w:t>http://www.ag.gov.au/cca</w:t>
          </w:r>
        </w:p>
        <w:p w14:paraId="7B7C39BD" w14:textId="77777777" w:rsidR="001A03B1" w:rsidRDefault="001A03B1" w:rsidP="006E08B3"/>
        <w:p w14:paraId="67BFF547" w14:textId="77777777" w:rsidR="001A03B1" w:rsidRDefault="001A03B1" w:rsidP="006E08B3">
          <w:pPr>
            <w:pStyle w:val="Heading3"/>
          </w:pPr>
          <w:r>
            <w:t>Confidentiality</w:t>
          </w:r>
        </w:p>
        <w:p w14:paraId="4A319B1B" w14:textId="77777777" w:rsidR="001A03B1" w:rsidRDefault="001A03B1" w:rsidP="006E08B3">
          <w:r>
            <w:t>All submissions received will be placed on the TGA’s Internet site, unless marked confidential. Any confidential material contained within your submission should be provided under a separate cover and clearly marked “IN CONFIDENCE”. Reasons for a claim to confidentiality must be included in the space provided on the TGA submission coversheet.</w:t>
          </w:r>
        </w:p>
        <w:p w14:paraId="6C182D61" w14:textId="77777777" w:rsidR="001A03B1" w:rsidRDefault="001A03B1" w:rsidP="006E08B3"/>
        <w:p w14:paraId="7691C285" w14:textId="77777777" w:rsidR="001A03B1" w:rsidRDefault="001A03B1" w:rsidP="006E08B3">
          <w:r>
            <w:t>For submission made by individuals, all personal details, other than your name, will be removed from your submission before it is published on the TGA’s Internet site.</w:t>
          </w:r>
        </w:p>
        <w:p w14:paraId="50E051E4" w14:textId="77777777" w:rsidR="001A03B1" w:rsidRDefault="001A03B1" w:rsidP="006E08B3"/>
        <w:p w14:paraId="48B26F1F" w14:textId="77777777" w:rsidR="001A03B1" w:rsidRDefault="001A03B1" w:rsidP="006E08B3">
          <w:r>
            <w:t>In addition, a list of parties making submissions will be published. If you do not wish to be identified with your submission you must specifically request this in the space provided ib the submission coversheet.</w:t>
          </w:r>
        </w:p>
      </w:tc>
    </w:tr>
    <w:tr w:rsidR="001A03B1" w14:paraId="47D5C8BD" w14:textId="77777777" w:rsidTr="0010601F">
      <w:trPr>
        <w:trHeight w:val="417"/>
      </w:trPr>
      <w:tc>
        <w:tcPr>
          <w:tcW w:w="4519" w:type="dxa"/>
          <w:tcBorders>
            <w:top w:val="single" w:sz="4" w:space="0" w:color="auto"/>
          </w:tcBorders>
          <w:tcMar>
            <w:top w:w="142" w:type="dxa"/>
            <w:bottom w:w="0" w:type="dxa"/>
          </w:tcMar>
        </w:tcPr>
        <w:p w14:paraId="2815FADB" w14:textId="77777777" w:rsidR="001A03B1" w:rsidRDefault="001A03B1" w:rsidP="006E08B3">
          <w:r>
            <w:t>Document title, Part #, Section # - Section title</w:t>
          </w:r>
        </w:p>
        <w:p w14:paraId="6E45650B" w14:textId="77777777" w:rsidR="001A03B1" w:rsidRDefault="001A03B1" w:rsidP="006E08B3">
          <w:r>
            <w:t>V1.0 October 2010</w:t>
          </w:r>
        </w:p>
      </w:tc>
      <w:tc>
        <w:tcPr>
          <w:tcW w:w="4356" w:type="dxa"/>
          <w:tcBorders>
            <w:top w:val="single" w:sz="4" w:space="0" w:color="auto"/>
          </w:tcBorders>
          <w:tcMar>
            <w:top w:w="142" w:type="dxa"/>
            <w:bottom w:w="0" w:type="dxa"/>
          </w:tcMar>
        </w:tcPr>
        <w:p w14:paraId="77425C24" w14:textId="77777777" w:rsidR="001A03B1" w:rsidRDefault="001A03B1" w:rsidP="006E08B3">
          <w:pPr>
            <w:jc w:val="right"/>
          </w:pPr>
          <w:r>
            <w:t xml:space="preserve">Page </w:t>
          </w:r>
          <w:r>
            <w:fldChar w:fldCharType="begin"/>
          </w:r>
          <w:r>
            <w:instrText xml:space="preserve"> PAGE   \* MERGEFORMAT </w:instrText>
          </w:r>
          <w:r>
            <w:fldChar w:fldCharType="separate"/>
          </w:r>
          <w:r>
            <w:rPr>
              <w:noProof/>
            </w:rPr>
            <w:t>1</w:t>
          </w:r>
          <w:r>
            <w:rPr>
              <w:noProof/>
            </w:rPr>
            <w:fldChar w:fldCharType="end"/>
          </w:r>
          <w:r>
            <w:t xml:space="preserve"> of </w:t>
          </w:r>
          <w:fldSimple w:instr=" NUMPAGES  \* Arabic ">
            <w:r>
              <w:rPr>
                <w:noProof/>
              </w:rPr>
              <w:t>3</w:t>
            </w:r>
          </w:fldSimple>
          <w:r>
            <w:t xml:space="preserve">  </w:t>
          </w:r>
        </w:p>
      </w:tc>
    </w:tr>
  </w:tbl>
  <w:p w14:paraId="6F82D7A5" w14:textId="77777777" w:rsidR="001A03B1" w:rsidRDefault="001A03B1"/>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4FB1F2" w14:textId="77777777" w:rsidR="001A03B1" w:rsidRDefault="001A03B1" w:rsidP="00C40A36">
      <w:pPr>
        <w:spacing w:after="0"/>
      </w:pPr>
      <w:r>
        <w:separator/>
      </w:r>
    </w:p>
  </w:footnote>
  <w:footnote w:type="continuationSeparator" w:id="0">
    <w:p w14:paraId="2A3523CC" w14:textId="77777777" w:rsidR="001A03B1" w:rsidRDefault="001A03B1" w:rsidP="00C40A36">
      <w:pPr>
        <w:spacing w:after="0"/>
      </w:pPr>
      <w:r>
        <w:continuationSeparator/>
      </w:r>
    </w:p>
  </w:footnote>
  <w:footnote w:id="1">
    <w:p w14:paraId="7BE1687B" w14:textId="77777777" w:rsidR="001A03B1" w:rsidRDefault="001A03B1" w:rsidP="00A92E0A">
      <w:pPr>
        <w:pStyle w:val="FootnoteText"/>
      </w:pPr>
      <w:r>
        <w:rPr>
          <w:rStyle w:val="FootnoteReference"/>
        </w:rPr>
        <w:footnoteRef/>
      </w:r>
      <w:r>
        <w:t xml:space="preserve"> Cyclosporin and ciclosporin are alternative spellings of the same active ingredient.</w:t>
      </w:r>
    </w:p>
  </w:footnote>
  <w:footnote w:id="2">
    <w:p w14:paraId="1C388F06" w14:textId="3ADBA765" w:rsidR="001A03B1" w:rsidRPr="001134FB" w:rsidRDefault="001A03B1">
      <w:pPr>
        <w:pStyle w:val="FootnoteText"/>
        <w:rPr>
          <w:lang w:val="en-GB"/>
        </w:rPr>
      </w:pPr>
      <w:r>
        <w:rPr>
          <w:rStyle w:val="FootnoteReference"/>
        </w:rPr>
        <w:footnoteRef/>
      </w:r>
      <w:r>
        <w:t xml:space="preserve"> </w:t>
      </w:r>
      <w:r>
        <w:rPr>
          <w:lang w:val="en-GB"/>
        </w:rPr>
        <w:t>OTX-101 is the drug development name for Cequa, a</w:t>
      </w:r>
      <w:r w:rsidRPr="006F22BD">
        <w:rPr>
          <w:lang w:val="en-GB"/>
        </w:rPr>
        <w:t>queous nanom</w:t>
      </w:r>
      <w:r>
        <w:rPr>
          <w:lang w:val="en-GB"/>
        </w:rPr>
        <w:t>icellar solution of ciclosporin, discussed in this AusPAR</w:t>
      </w:r>
    </w:p>
  </w:footnote>
  <w:footnote w:id="3">
    <w:p w14:paraId="6FD17AC0" w14:textId="0A1C9713" w:rsidR="001A03B1" w:rsidRDefault="001A03B1" w:rsidP="00AD78A4">
      <w:pPr>
        <w:pStyle w:val="FootnoteText"/>
        <w:spacing w:before="120" w:after="120"/>
        <w:rPr>
          <w:lang w:eastAsia="ja-JP"/>
        </w:rPr>
      </w:pPr>
      <w:r>
        <w:rPr>
          <w:rStyle w:val="FootnoteReference"/>
        </w:rPr>
        <w:footnoteRef/>
      </w:r>
      <w:r>
        <w:t xml:space="preserve"> </w:t>
      </w:r>
      <w:r w:rsidRPr="001134FB">
        <w:rPr>
          <w:lang w:eastAsia="ja-JP"/>
        </w:rPr>
        <w:t>TGO 91</w:t>
      </w:r>
      <w:r w:rsidRPr="00124ACD">
        <w:rPr>
          <w:b/>
          <w:lang w:eastAsia="ja-JP"/>
        </w:rPr>
        <w:t>:</w:t>
      </w:r>
      <w:r>
        <w:rPr>
          <w:lang w:eastAsia="ja-JP"/>
        </w:rPr>
        <w:t xml:space="preserve"> Therapeutic Goods Order 91; Standards required for labels of prescription and related medicines; made under Section 10 of the Therapeutic Goods Act (1989).</w:t>
      </w:r>
      <w:r w:rsidRPr="009A3D29">
        <w:rPr>
          <w:lang w:eastAsia="ja-JP"/>
        </w:rPr>
        <w:t>This Order sets out what kinds of information are required to be included on the label of prescript</w:t>
      </w:r>
      <w:r>
        <w:rPr>
          <w:lang w:eastAsia="ja-JP"/>
        </w:rPr>
        <w:t xml:space="preserve">ion and other related medicines. For further information, visit the TGA website: </w:t>
      </w:r>
      <w:hyperlink r:id="rId1" w:history="1">
        <w:r w:rsidRPr="00124ACD">
          <w:rPr>
            <w:rStyle w:val="Hyperlink"/>
            <w:lang w:eastAsia="ja-JP"/>
          </w:rPr>
          <w:t>https://www.tga.gov.au/therapeutic-goods-orders</w:t>
        </w:r>
      </w:hyperlink>
      <w:r>
        <w:rPr>
          <w:lang w:eastAsia="ja-JP"/>
        </w:rPr>
        <w:t>.</w:t>
      </w:r>
    </w:p>
  </w:footnote>
  <w:footnote w:id="4">
    <w:p w14:paraId="525EFC61" w14:textId="77777777" w:rsidR="001A03B1" w:rsidRDefault="001A03B1">
      <w:pPr>
        <w:pStyle w:val="FootnoteText"/>
      </w:pPr>
      <w:r>
        <w:rPr>
          <w:rStyle w:val="FootnoteReference"/>
        </w:rPr>
        <w:footnoteRef/>
      </w:r>
      <w:r>
        <w:t xml:space="preserve"> Section 14 consent decisions are listed on the TGA website at </w:t>
      </w:r>
      <w:r w:rsidRPr="007847AE">
        <w:t>https://www.tga.gov.au/ws-s14-index</w:t>
      </w:r>
      <w:r>
        <w:t>.</w:t>
      </w:r>
    </w:p>
  </w:footnote>
  <w:footnote w:id="5">
    <w:p w14:paraId="2104ECFB" w14:textId="77777777" w:rsidR="001A03B1" w:rsidRDefault="001A03B1">
      <w:pPr>
        <w:pStyle w:val="FootnoteText"/>
      </w:pPr>
      <w:r>
        <w:rPr>
          <w:rStyle w:val="FootnoteReference"/>
        </w:rPr>
        <w:footnoteRef/>
      </w:r>
      <w:r>
        <w:t xml:space="preserve"> Australian Pregnancy Category C: </w:t>
      </w:r>
      <w:r w:rsidRPr="007847AE">
        <w:t>Drugs which, owing to their pharmacological effects, have caused or may be suspected of causing, harmful effects on the human fetus or neonate without causing malformations. These effects may be reversible. Accompanying texts should be consulted for further details.</w:t>
      </w:r>
    </w:p>
  </w:footnote>
  <w:footnote w:id="6">
    <w:p w14:paraId="5504278F" w14:textId="77777777" w:rsidR="001A03B1" w:rsidRDefault="001A03B1" w:rsidP="007847AE">
      <w:pPr>
        <w:pStyle w:val="FootnoteText"/>
      </w:pPr>
      <w:r>
        <w:rPr>
          <w:rStyle w:val="FootnoteReference"/>
        </w:rPr>
        <w:footnoteRef/>
      </w:r>
      <w:r>
        <w:t xml:space="preserve"> Australian Pregnancy Category B2: Drugs which have been taken by only a limited number of pregnant women and women of childbearing age, without an increase in the frequency of malformation or other direct or indirect harmful effects on the human fetus having been observed.</w:t>
      </w:r>
    </w:p>
    <w:p w14:paraId="1B6E72A4" w14:textId="77777777" w:rsidR="001A03B1" w:rsidRDefault="001A03B1" w:rsidP="007847AE">
      <w:pPr>
        <w:pStyle w:val="FootnoteText"/>
      </w:pPr>
      <w:r>
        <w:t>Studies in animals are inadequate or may be lacking, but available data show no evidence of an increased occurrence of fetal damage.</w:t>
      </w:r>
    </w:p>
  </w:footnote>
  <w:footnote w:id="7">
    <w:p w14:paraId="583E3EB9" w14:textId="59F3D17E" w:rsidR="001A03B1" w:rsidRPr="001134FB" w:rsidRDefault="001A03B1">
      <w:pPr>
        <w:pStyle w:val="FootnoteText"/>
        <w:rPr>
          <w:lang w:val="en-GB"/>
        </w:rPr>
      </w:pPr>
      <w:r>
        <w:rPr>
          <w:rStyle w:val="FootnoteReference"/>
        </w:rPr>
        <w:footnoteRef/>
      </w:r>
      <w:r>
        <w:t xml:space="preserve"> </w:t>
      </w:r>
      <w:r>
        <w:rPr>
          <w:lang w:val="en-GB"/>
        </w:rPr>
        <w:t>A vehicle is the equivalent to the active drug formulation, containing the same relatively inert excipients intended to act as a medium for carrying the active drug component, minus the active drug component itself.</w:t>
      </w:r>
    </w:p>
  </w:footnote>
  <w:footnote w:id="8">
    <w:p w14:paraId="7730C14F" w14:textId="6E86110D" w:rsidR="001A03B1" w:rsidRDefault="001A03B1" w:rsidP="009F1FFA">
      <w:pPr>
        <w:pStyle w:val="FootnoteText"/>
      </w:pPr>
      <w:r>
        <w:rPr>
          <w:rStyle w:val="FootnoteReference"/>
        </w:rPr>
        <w:footnoteRef/>
      </w:r>
      <w:r>
        <w:t xml:space="preserve"> 20/200 is a visual acuity measurement using the Snellen chart. This notation means that a person needs to be at a distance of 20 feet (6 metres) from the chart, in order to read letters that a person with normal visual acuity could read at 200 feet (60 metres).</w:t>
      </w:r>
    </w:p>
  </w:footnote>
  <w:footnote w:id="9">
    <w:p w14:paraId="2474FBB2" w14:textId="3CE002E9" w:rsidR="001A03B1" w:rsidRDefault="001A03B1">
      <w:pPr>
        <w:pStyle w:val="FootnoteText"/>
      </w:pPr>
      <w:r>
        <w:rPr>
          <w:rStyle w:val="FootnoteReference"/>
        </w:rPr>
        <w:footnoteRef/>
      </w:r>
      <w:r>
        <w:t xml:space="preserve"> </w:t>
      </w:r>
      <w:r w:rsidRPr="00AB0E16">
        <w:t xml:space="preserve">Lissamine green conjunctival staining was performed using 1 drop (10 </w:t>
      </w:r>
      <w:r>
        <w:t>µ</w:t>
      </w:r>
      <w:r w:rsidRPr="00AB0E16">
        <w:t>L) of 1% lissamine green solution by pipette. Between 1 and 4 minutes following instillation, staining was measured in low to moderate intensity white light of the slit-lamp. Six (6) areas of the c</w:t>
      </w:r>
      <w:r>
        <w:t>onjunctiva were evaluated. The i</w:t>
      </w:r>
      <w:r w:rsidRPr="00AB0E16">
        <w:t>nvestigator recorded a score for each area of each eye. Total conjunctival staining score in the designated study eye was calculated as the sum of scores for zones 1, 3, 5, 6. Staining was scored as Grade 0 (none), 1, 2 or 3 (worst).</w:t>
      </w:r>
    </w:p>
  </w:footnote>
  <w:footnote w:id="10">
    <w:p w14:paraId="36E8A937" w14:textId="77777777" w:rsidR="001A03B1" w:rsidRDefault="001A03B1" w:rsidP="00C10CFD">
      <w:pPr>
        <w:pStyle w:val="FootnoteText"/>
      </w:pPr>
      <w:r>
        <w:rPr>
          <w:rStyle w:val="FootnoteReference"/>
        </w:rPr>
        <w:footnoteRef/>
      </w:r>
      <w:r>
        <w:t xml:space="preserve"> Schaumberg, D.A. et al. Development and validation of a short global dry eye symptom index. </w:t>
      </w:r>
      <w:r w:rsidRPr="00C10CFD">
        <w:rPr>
          <w:i/>
        </w:rPr>
        <w:t>Ocul Surf</w:t>
      </w:r>
      <w:r>
        <w:t xml:space="preserve">. 2007; 5(1): 50-7. </w:t>
      </w:r>
      <w:r w:rsidRPr="00AB0E16">
        <w:t>A modified SANDE instrument was used to evaluate dry eye symptoms. Subjects were asked two questions: (1) Please indicate how often, over the past week, your eyes felt dry and/or irritated (o</w:t>
      </w:r>
      <w:r>
        <w:t>n a visual analogue scale of 0 (rarely) to 100 (all the time)</w:t>
      </w:r>
      <w:r w:rsidRPr="00AB0E16">
        <w:t>); (2) Please indicate how severe, on average you felt your symptoms of dryness and/or irritation were over the past week (o</w:t>
      </w:r>
      <w:r>
        <w:t>n a visual analogue scale of 0 (very mild) to 100 (</w:t>
      </w:r>
      <w:r w:rsidRPr="00AB0E16">
        <w:t>ve</w:t>
      </w:r>
      <w:r>
        <w:t>ry severe)</w:t>
      </w:r>
      <w:r w:rsidRPr="00AB0E16">
        <w:t>). The frequency and severity scores were recorded. The global symptom score was the square root of the frequency score times the severity score.</w:t>
      </w:r>
    </w:p>
  </w:footnote>
  <w:footnote w:id="11">
    <w:p w14:paraId="16B07CBF" w14:textId="77777777" w:rsidR="001A03B1" w:rsidRDefault="001A03B1">
      <w:pPr>
        <w:pStyle w:val="FootnoteText"/>
      </w:pPr>
      <w:r>
        <w:rPr>
          <w:rStyle w:val="FootnoteReference"/>
        </w:rPr>
        <w:footnoteRef/>
      </w:r>
      <w:r>
        <w:t xml:space="preserve"> Tear break up time (TBUT): t</w:t>
      </w:r>
      <w:r w:rsidRPr="008B465B">
        <w:t>he tear film wa</w:t>
      </w:r>
      <w:r>
        <w:t xml:space="preserve">s observed for approximately 10 to 15 seconds under the slit </w:t>
      </w:r>
      <w:r w:rsidRPr="008B465B">
        <w:t>lamp while the patient avoided blinking until tiny dry spots developed. The TBUT was measured in seconds. The test was repeated 3 times and each value was recorded.</w:t>
      </w:r>
    </w:p>
  </w:footnote>
  <w:footnote w:id="12">
    <w:p w14:paraId="0BAE7618" w14:textId="77777777" w:rsidR="001A03B1" w:rsidRDefault="001A03B1">
      <w:pPr>
        <w:pStyle w:val="FootnoteText"/>
      </w:pPr>
      <w:r>
        <w:rPr>
          <w:rStyle w:val="FootnoteReference"/>
        </w:rPr>
        <w:footnoteRef/>
      </w:r>
      <w:r>
        <w:t xml:space="preserve"> </w:t>
      </w:r>
      <w:r w:rsidRPr="008B465B">
        <w:t>Fluorescein staining of the corneal epithelium was performed. One drop (10 μL) of 0.5% fluorescein solution was instilled by pipette into the conjunctival cul-de-sac followed by adequate blinking. Staining was measured 2 to 2.5 minutes after instillation. The Expanded National Eye Institute (NEI)/Industry Workshop Scale for Corneal Staining Score was used to grade each of the 5 areas of the cornea on a 0 to 4 scale in 0.5 increments</w:t>
      </w:r>
      <w:r>
        <w:t xml:space="preserve">. </w:t>
      </w:r>
      <w:r w:rsidRPr="008B465B">
        <w:t>Lemp</w:t>
      </w:r>
      <w:r>
        <w:t>,</w:t>
      </w:r>
      <w:r w:rsidRPr="008B465B">
        <w:t xml:space="preserve"> M</w:t>
      </w:r>
      <w:r>
        <w:t>.</w:t>
      </w:r>
      <w:r w:rsidRPr="008B465B">
        <w:t xml:space="preserve">A. Report of the National Eye Institute/Industry workshop on Clinical Trials in Dry Eyes. </w:t>
      </w:r>
      <w:r w:rsidRPr="008B465B">
        <w:rPr>
          <w:i/>
        </w:rPr>
        <w:t>Clao J</w:t>
      </w:r>
      <w:r w:rsidRPr="008B465B">
        <w:t>. 1995;</w:t>
      </w:r>
      <w:r>
        <w:t xml:space="preserve"> </w:t>
      </w:r>
      <w:r w:rsidRPr="008B465B">
        <w:t>21(4):</w:t>
      </w:r>
      <w:r>
        <w:t xml:space="preserve"> </w:t>
      </w:r>
      <w:r w:rsidRPr="008B465B">
        <w:t>221–232.</w:t>
      </w:r>
    </w:p>
  </w:footnote>
  <w:footnote w:id="13">
    <w:p w14:paraId="3EF52DDE" w14:textId="77777777" w:rsidR="001A03B1" w:rsidRDefault="001A03B1">
      <w:pPr>
        <w:pStyle w:val="FootnoteText"/>
      </w:pPr>
      <w:r>
        <w:rPr>
          <w:rStyle w:val="FootnoteReference"/>
        </w:rPr>
        <w:footnoteRef/>
      </w:r>
      <w:r>
        <w:t xml:space="preserve"> Schirmer’s Test is a test of tear production. The score represents</w:t>
      </w:r>
      <w:r w:rsidRPr="0083782B">
        <w:t xml:space="preserve"> the </w:t>
      </w:r>
      <w:r>
        <w:t>length of wetting (in mm) on a paper</w:t>
      </w:r>
      <w:r w:rsidRPr="0083782B">
        <w:t xml:space="preserve"> strip</w:t>
      </w:r>
      <w:r>
        <w:t xml:space="preserve"> placed on the eye. </w:t>
      </w:r>
      <w:r w:rsidRPr="00F260EA">
        <w:t>Strips were placed in both eyes at the same time and timed for 5 minutes. Strips were removed after 5 minutes and the amount of wetting was recorded in millimetres (mm).</w:t>
      </w:r>
    </w:p>
  </w:footnote>
  <w:footnote w:id="14">
    <w:p w14:paraId="5EED6B7F" w14:textId="77777777" w:rsidR="001A03B1" w:rsidRDefault="001A03B1">
      <w:pPr>
        <w:pStyle w:val="FootnoteText"/>
      </w:pPr>
      <w:r>
        <w:rPr>
          <w:rStyle w:val="FootnoteReference"/>
        </w:rPr>
        <w:footnoteRef/>
      </w:r>
      <w:r>
        <w:t xml:space="preserve"> </w:t>
      </w:r>
      <w:r w:rsidRPr="00EF7A57">
        <w:rPr>
          <w:sz w:val="16"/>
          <w:szCs w:val="16"/>
        </w:rPr>
        <w:t>The OSDI is a 12-item questionnaire designed to provide a rapid assessment of the symptoms of ocular irritation consistent with dry eye disease and their impact on vision-related functioning.</w:t>
      </w:r>
    </w:p>
  </w:footnote>
  <w:footnote w:id="15">
    <w:p w14:paraId="5541DCC6" w14:textId="77777777" w:rsidR="001A03B1" w:rsidRDefault="001A03B1" w:rsidP="00E32453">
      <w:pPr>
        <w:pStyle w:val="FootnoteText"/>
      </w:pPr>
      <w:r>
        <w:rPr>
          <w:rStyle w:val="FootnoteReference"/>
        </w:rPr>
        <w:footnoteRef/>
      </w:r>
      <w:r>
        <w:t xml:space="preserve"> </w:t>
      </w:r>
      <w:r w:rsidRPr="00F12492">
        <w:rPr>
          <w:i/>
        </w:rPr>
        <w:t>Routine risk minimisation</w:t>
      </w:r>
      <w:r>
        <w:t xml:space="preserve"> activities may be limited to ensuring that suitable warnings are included in the product information or by careful use of labelling and packaging.</w:t>
      </w:r>
    </w:p>
    <w:p w14:paraId="5ABF7883" w14:textId="77777777" w:rsidR="001A03B1" w:rsidRDefault="001A03B1" w:rsidP="00E32453">
      <w:pPr>
        <w:pStyle w:val="FootnoteText"/>
      </w:pPr>
      <w:r w:rsidRPr="00F12492">
        <w:rPr>
          <w:i/>
        </w:rPr>
        <w:t>Routine pharmacovigilance</w:t>
      </w:r>
      <w:r>
        <w:t xml:space="preserve"> practices involve the following activities:</w:t>
      </w:r>
    </w:p>
    <w:p w14:paraId="7E7F1898" w14:textId="77777777" w:rsidR="001A03B1" w:rsidRDefault="001A03B1" w:rsidP="00E32453">
      <w:pPr>
        <w:pStyle w:val="FootnoteText"/>
        <w:numPr>
          <w:ilvl w:val="0"/>
          <w:numId w:val="28"/>
        </w:numPr>
      </w:pPr>
      <w:r>
        <w:t>All suspected adverse reactions that are reported to the personnel of the company are collected and collated in an accessible manner;</w:t>
      </w:r>
    </w:p>
    <w:p w14:paraId="6CDF8BB5" w14:textId="77777777" w:rsidR="001A03B1" w:rsidRDefault="001A03B1" w:rsidP="00E32453">
      <w:pPr>
        <w:pStyle w:val="FootnoteText"/>
        <w:numPr>
          <w:ilvl w:val="0"/>
          <w:numId w:val="28"/>
        </w:numPr>
      </w:pPr>
      <w:r>
        <w:t>Reporting to regulatory authorities;</w:t>
      </w:r>
    </w:p>
    <w:p w14:paraId="56FF8EC5" w14:textId="77777777" w:rsidR="001A03B1" w:rsidRDefault="001A03B1" w:rsidP="00E32453">
      <w:pPr>
        <w:pStyle w:val="FootnoteText"/>
        <w:numPr>
          <w:ilvl w:val="0"/>
          <w:numId w:val="28"/>
        </w:numPr>
      </w:pPr>
      <w:r>
        <w:t>Continuous monitoring of the safety profiles of approved products including signal detection and updating of labelling;</w:t>
      </w:r>
    </w:p>
    <w:p w14:paraId="25150AB0" w14:textId="77777777" w:rsidR="001A03B1" w:rsidRDefault="001A03B1" w:rsidP="00E32453">
      <w:pPr>
        <w:pStyle w:val="FootnoteText"/>
        <w:numPr>
          <w:ilvl w:val="0"/>
          <w:numId w:val="28"/>
        </w:numPr>
      </w:pPr>
      <w:r>
        <w:t>Submission of PSURs;</w:t>
      </w:r>
    </w:p>
    <w:p w14:paraId="3347C3BA" w14:textId="77777777" w:rsidR="001A03B1" w:rsidRPr="00F12492" w:rsidRDefault="001A03B1" w:rsidP="00E32453">
      <w:pPr>
        <w:pStyle w:val="FootnoteText"/>
        <w:numPr>
          <w:ilvl w:val="0"/>
          <w:numId w:val="28"/>
        </w:numPr>
        <w:rPr>
          <w:lang w:val="en-US"/>
        </w:rPr>
      </w:pPr>
      <w:r>
        <w:t>Meeting other local regulatory agency requirements.</w:t>
      </w:r>
    </w:p>
  </w:footnote>
  <w:footnote w:id="16">
    <w:p w14:paraId="3672420B" w14:textId="31CFD52B" w:rsidR="001A03B1" w:rsidRDefault="001A03B1">
      <w:pPr>
        <w:pStyle w:val="FootnoteText"/>
      </w:pPr>
      <w:r>
        <w:rPr>
          <w:rStyle w:val="FootnoteReference"/>
        </w:rPr>
        <w:footnoteRef/>
      </w:r>
      <w:r>
        <w:t xml:space="preserve"> The s</w:t>
      </w:r>
      <w:r w:rsidRPr="00677CEF">
        <w:t>ponsor subsequently provided the basis for the statements</w:t>
      </w:r>
      <w:r>
        <w:t>,</w:t>
      </w:r>
      <w:r w:rsidRPr="00677CEF">
        <w:t xml:space="preserve"> which is that these are general risk factors and not specifically linked to Cequa use. The Delegate concluded that the warning specified was not warranted in the Product Information</w:t>
      </w:r>
      <w:r>
        <w:t>.</w:t>
      </w:r>
    </w:p>
  </w:footnote>
  <w:footnote w:id="17">
    <w:p w14:paraId="632C7C7A" w14:textId="77777777" w:rsidR="001A03B1" w:rsidRDefault="001A03B1">
      <w:pPr>
        <w:pStyle w:val="FootnoteText"/>
      </w:pPr>
      <w:r>
        <w:rPr>
          <w:rStyle w:val="FootnoteReference"/>
        </w:rPr>
        <w:footnoteRef/>
      </w:r>
      <w:r>
        <w:t xml:space="preserve"> Baudouin, C. et al.</w:t>
      </w:r>
      <w:r w:rsidRPr="008F3F02">
        <w:t xml:space="preserve"> Diagnosing the severity of dry eye: a clear and practical algorithm. </w:t>
      </w:r>
      <w:r w:rsidRPr="008F3F02">
        <w:rPr>
          <w:i/>
        </w:rPr>
        <w:t>Br J Ophthalmol</w:t>
      </w:r>
      <w:r>
        <w:t xml:space="preserve">, 2014. 98(9): </w:t>
      </w:r>
      <w:r w:rsidRPr="008F3F02">
        <w:t>1168-</w:t>
      </w:r>
      <w:r>
        <w:t>11</w:t>
      </w:r>
      <w:r w:rsidRPr="008F3F02">
        <w:t>76</w:t>
      </w:r>
    </w:p>
  </w:footnote>
  <w:footnote w:id="18">
    <w:p w14:paraId="71758C45" w14:textId="30695DC8" w:rsidR="001A03B1" w:rsidRDefault="001A03B1" w:rsidP="00AE1468">
      <w:pPr>
        <w:pStyle w:val="FootnoteText"/>
      </w:pPr>
      <w:r>
        <w:rPr>
          <w:rStyle w:val="FootnoteReference"/>
        </w:rPr>
        <w:footnoteRef/>
      </w:r>
      <w:r>
        <w:t xml:space="preserve"> Study OTX-101-2016-002 was included in the submission, which evaluated the safety of Cequa treatment for up to 52 weeks. However, there were no studies designed to assess patient outcomes once treatment is ceased. Hence, dependency on treatment to maintain optimal benefits cannot be ruled out.</w:t>
      </w:r>
    </w:p>
  </w:footnote>
  <w:footnote w:id="19">
    <w:p w14:paraId="3CB04038" w14:textId="77777777" w:rsidR="001A03B1" w:rsidRDefault="001A03B1">
      <w:pPr>
        <w:pStyle w:val="FootnoteText"/>
      </w:pPr>
      <w:r>
        <w:rPr>
          <w:rStyle w:val="FootnoteReference"/>
        </w:rPr>
        <w:footnoteRef/>
      </w:r>
      <w:r>
        <w:t xml:space="preserve"> </w:t>
      </w:r>
      <w:r w:rsidRPr="008F3F02">
        <w:t xml:space="preserve">The Special Access Scheme (SAS) allows certain health practitioners to access therapeutic goods (such as medicines, medical devices or biologicals) that are not included in the Australian Register of Therapeutic Goods (ARTG) for a single patient. Therapeutic goods that are not included in the ARTG (and are not otherwise exempt from being </w:t>
      </w:r>
      <w:r>
        <w:t>in the ARTG) are described by the TGA</w:t>
      </w:r>
      <w:r w:rsidRPr="008F3F02">
        <w:t xml:space="preserve"> as 'unapproved'.</w:t>
      </w:r>
    </w:p>
  </w:footnote>
  <w:footnote w:id="20">
    <w:p w14:paraId="27497839" w14:textId="41C3B5D5" w:rsidR="001A03B1" w:rsidRDefault="001A03B1">
      <w:pPr>
        <w:pStyle w:val="FootnoteText"/>
      </w:pPr>
      <w:r>
        <w:rPr>
          <w:rStyle w:val="FootnoteReference"/>
        </w:rPr>
        <w:footnoteRef/>
      </w:r>
      <w:r>
        <w:t xml:space="preserve"> </w:t>
      </w:r>
      <w:r w:rsidRPr="00677CEF">
        <w:t>In the response t</w:t>
      </w:r>
      <w:r>
        <w:t>o the Delegate’s Overview, the s</w:t>
      </w:r>
      <w:r w:rsidRPr="00677CEF">
        <w:t>ponsor provided reasons for not including initiation of treatment by ophthalmologist in the PI</w:t>
      </w:r>
      <w:r>
        <w:t>,</w:t>
      </w:r>
      <w:r w:rsidRPr="00677CEF">
        <w:t xml:space="preserve"> which related to the ability of GPs and optometrists to diagnose the condition and prescribe Cequa</w:t>
      </w:r>
      <w:r>
        <w:t>,</w:t>
      </w:r>
      <w:r w:rsidRPr="00677CEF">
        <w:t xml:space="preserve"> and the impracticalities and cost to patients associated with visiting an ophthalmologist. It was subsequently considered unnecessary by the Delegate to include initiation of treatment by an ophthalmologist in the PI</w:t>
      </w:r>
      <w:r>
        <w:t>.</w:t>
      </w:r>
    </w:p>
  </w:footnote>
  <w:footnote w:id="21">
    <w:p w14:paraId="509C6D66" w14:textId="77777777" w:rsidR="001A03B1" w:rsidRDefault="001A03B1" w:rsidP="00456765">
      <w:pPr>
        <w:pStyle w:val="FootnoteText"/>
      </w:pPr>
      <w:r>
        <w:rPr>
          <w:rStyle w:val="FootnoteReference"/>
        </w:rPr>
        <w:footnoteRef/>
      </w:r>
      <w:r>
        <w:t xml:space="preserve"> The ACM provides independent medical and scientific advice to the Minister for Health and the Therapeutic Goods Administration (TGA) on issues relating to the safety, quality and efficacy of medicines supplied in Australia including issues relating to pre-market and post-market functions for medicines.</w:t>
      </w:r>
    </w:p>
    <w:p w14:paraId="1C1DBFB8" w14:textId="77777777" w:rsidR="001A03B1" w:rsidRPr="00456765" w:rsidRDefault="001A03B1" w:rsidP="00456765">
      <w:pPr>
        <w:pStyle w:val="FootnoteText"/>
        <w:rPr>
          <w:lang w:val="en-US"/>
        </w:rPr>
      </w:pPr>
      <w:r>
        <w:t xml:space="preserve">The Committee is established under Regulation 35 of the Therapeutic Goods Regulations 1990. Members are appointed by the Minister. The ACM was established in January 2017 replacing </w:t>
      </w:r>
      <w:r w:rsidRPr="009E0C19">
        <w:t xml:space="preserve">Advisory Committee on Prescription Medicines (ACPM) </w:t>
      </w:r>
      <w:r>
        <w:t xml:space="preserve">which </w:t>
      </w:r>
      <w:r w:rsidRPr="009E0C19">
        <w:t>was formed in January 2010</w:t>
      </w:r>
      <w:r>
        <w:t>. ACM encompass pre and post-market advice for medicines, following the consolidation of the previous functions of the Advisory Committee on Prescription Medicines (ACPM), the Advisory Committee on the Safety of Medicines (ACSOM) and the Advisory Committee on Non-Prescription Medicines (ACNM). Membership comprises of professionals with specific scientific, medical or clinical expertise, as well as appropriate consumer health issues relating to medicines.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B86BD0" w14:textId="77777777" w:rsidR="001A03B1" w:rsidRDefault="001A03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368D9F" w14:textId="77777777" w:rsidR="001A03B1" w:rsidRDefault="001A03B1" w:rsidP="00E45619">
    <w:pPr>
      <w:pStyle w:val="Header"/>
    </w:pPr>
    <w:r>
      <w:t>Therapeutic Goods Administration</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5E788F" w14:textId="77777777" w:rsidR="001A03B1" w:rsidRDefault="001A03B1">
    <w:pPr>
      <w:rPr>
        <w:noProof/>
        <w:lang w:eastAsia="en-AU"/>
      </w:rPr>
    </w:pPr>
    <w:r w:rsidRPr="00347824">
      <w:rPr>
        <w:noProof/>
        <w:lang w:eastAsia="en-AU"/>
      </w:rPr>
      <w:drawing>
        <wp:anchor distT="0" distB="0" distL="114300" distR="114300" simplePos="0" relativeHeight="251659264" behindDoc="1" locked="0" layoutInCell="1" allowOverlap="1" wp14:anchorId="69C48A9D" wp14:editId="3406A0B2">
          <wp:simplePos x="0" y="0"/>
          <wp:positionH relativeFrom="column">
            <wp:posOffset>-1089660</wp:posOffset>
          </wp:positionH>
          <wp:positionV relativeFrom="paragraph">
            <wp:posOffset>-585470</wp:posOffset>
          </wp:positionV>
          <wp:extent cx="7572375" cy="10706100"/>
          <wp:effectExtent l="19050" t="0" r="0" b="0"/>
          <wp:wrapNone/>
          <wp:docPr id="2" name="Picture 0"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PAR-BG-HQ03.gif"/>
                  <pic:cNvPicPr/>
                </pic:nvPicPr>
                <pic:blipFill>
                  <a:blip r:embed="rId1"/>
                  <a:stretch>
                    <a:fillRect/>
                  </a:stretch>
                </pic:blipFill>
                <pic:spPr>
                  <a:xfrm>
                    <a:off x="0" y="0"/>
                    <a:ext cx="7568736" cy="10706100"/>
                  </a:xfrm>
                  <a:prstGeom prst="rect">
                    <a:avLst/>
                  </a:prstGeom>
                </pic:spPr>
              </pic:pic>
            </a:graphicData>
          </a:graphic>
        </wp:anchor>
      </w:drawing>
    </w:r>
  </w:p>
  <w:p w14:paraId="5343ED6D" w14:textId="326AC234" w:rsidR="001A03B1" w:rsidRDefault="001A03B1" w:rsidP="00593AD1">
    <w:pPr>
      <w:pStyle w:val="HeaderNoLin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1CAC94" w14:textId="77777777" w:rsidR="001A03B1" w:rsidRDefault="001A03B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6445A3" w14:textId="77777777" w:rsidR="001A03B1" w:rsidRDefault="001A03B1">
    <w:pPr>
      <w:pStyle w:val="Header"/>
    </w:pPr>
    <w:r>
      <w:t>Therapeutic Goods Administration</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46EF5D" w14:textId="77777777" w:rsidR="001A03B1" w:rsidRDefault="001A03B1">
    <w:pPr>
      <w:pStyle w:val="Header"/>
    </w:pPr>
    <w:r>
      <w:t>Therapeutic Goods Administration</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506E86" w14:textId="77777777" w:rsidR="001A03B1" w:rsidRDefault="001A03B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06FCA7" w14:textId="77777777" w:rsidR="001A03B1" w:rsidRDefault="001A03B1" w:rsidP="004C239D">
    <w:pPr>
      <w:pStyle w:val="HeaderNoLine"/>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DFAD68" w14:textId="77777777" w:rsidR="001A03B1" w:rsidRDefault="001A03B1" w:rsidP="006E08B3">
    <w:r>
      <w:t>Therapeutic Goods Administration</w:t>
    </w:r>
  </w:p>
  <w:p w14:paraId="590C1EE2" w14:textId="77777777" w:rsidR="001A03B1" w:rsidRDefault="001A03B1" w:rsidP="006D03E5"/>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406830BE"/>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A04AD474"/>
    <w:lvl w:ilvl="0">
      <w:start w:val="1"/>
      <w:numFmt w:val="bullet"/>
      <w:lvlText w:val="–"/>
      <w:lvlJc w:val="left"/>
      <w:pPr>
        <w:ind w:left="643" w:hanging="360"/>
      </w:pPr>
      <w:rPr>
        <w:rFonts w:ascii="Arial" w:hAnsi="Arial" w:hint="default"/>
      </w:rPr>
    </w:lvl>
  </w:abstractNum>
  <w:abstractNum w:abstractNumId="2" w15:restartNumberingAfterBreak="0">
    <w:nsid w:val="FFFFFF89"/>
    <w:multiLevelType w:val="singleLevel"/>
    <w:tmpl w:val="F4085A32"/>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B8320B0A"/>
    <w:lvl w:ilvl="0">
      <w:numFmt w:val="bullet"/>
      <w:lvlText w:val="*"/>
      <w:lvlJc w:val="left"/>
    </w:lvl>
  </w:abstractNum>
  <w:abstractNum w:abstractNumId="4" w15:restartNumberingAfterBreak="0">
    <w:nsid w:val="0E9108CD"/>
    <w:multiLevelType w:val="hybridMultilevel"/>
    <w:tmpl w:val="650A8E6A"/>
    <w:lvl w:ilvl="0" w:tplc="7E7496A6">
      <w:start w:val="1"/>
      <w:numFmt w:val="bullet"/>
      <w:pStyle w:val="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6" w15:restartNumberingAfterBreak="0">
    <w:nsid w:val="168F13E9"/>
    <w:multiLevelType w:val="multilevel"/>
    <w:tmpl w:val="29E80158"/>
    <w:styleLink w:val="ListBullets"/>
    <w:lvl w:ilvl="0">
      <w:start w:val="1"/>
      <w:numFmt w:val="bullet"/>
      <w:pStyle w:val="ListBullet"/>
      <w:lvlText w:val="•"/>
      <w:lvlJc w:val="left"/>
      <w:pPr>
        <w:ind w:left="360" w:hanging="360"/>
      </w:pPr>
      <w:rPr>
        <w:rFonts w:ascii="Cambria" w:hAnsi="Cambria" w:hint="default"/>
        <w:color w:val="auto"/>
        <w:sz w:val="20"/>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7" w15:restartNumberingAfterBreak="0">
    <w:nsid w:val="2DF84521"/>
    <w:multiLevelType w:val="hybridMultilevel"/>
    <w:tmpl w:val="76BC78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069330D"/>
    <w:multiLevelType w:val="hybridMultilevel"/>
    <w:tmpl w:val="6DDE57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89B15D7"/>
    <w:multiLevelType w:val="hybridMultilevel"/>
    <w:tmpl w:val="3D2E60CC"/>
    <w:lvl w:ilvl="0" w:tplc="04CEB5FC">
      <w:start w:val="1"/>
      <w:numFmt w:val="bullet"/>
      <w:pStyle w:val="Bulletpoint"/>
      <w:lvlText w:val=""/>
      <w:lvlJc w:val="left"/>
      <w:pPr>
        <w:tabs>
          <w:tab w:val="num" w:pos="369"/>
        </w:tabs>
        <w:ind w:left="369" w:hanging="227"/>
      </w:pPr>
      <w:rPr>
        <w:rFonts w:ascii="Symbol" w:hAnsi="Symbol" w:hint="default"/>
        <w:position w:val="0"/>
        <w:sz w:val="22"/>
        <w:szCs w:val="22"/>
      </w:rPr>
    </w:lvl>
    <w:lvl w:ilvl="1" w:tplc="0C090003" w:tentative="1">
      <w:start w:val="1"/>
      <w:numFmt w:val="bullet"/>
      <w:lvlText w:val="o"/>
      <w:lvlJc w:val="left"/>
      <w:pPr>
        <w:tabs>
          <w:tab w:val="num" w:pos="1440"/>
        </w:tabs>
        <w:ind w:left="1440" w:hanging="360"/>
      </w:pPr>
      <w:rPr>
        <w:rFonts w:ascii="Courier New" w:hAnsi="Courier New" w:cs="Symbo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Symbol"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Symbol"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EB41F2F"/>
    <w:multiLevelType w:val="hybridMultilevel"/>
    <w:tmpl w:val="E79C11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7606DC0"/>
    <w:multiLevelType w:val="hybridMultilevel"/>
    <w:tmpl w:val="8780E0A6"/>
    <w:lvl w:ilvl="0" w:tplc="4224B92E">
      <w:numFmt w:val="bullet"/>
      <w:lvlText w:val="•"/>
      <w:lvlJc w:val="left"/>
      <w:pPr>
        <w:ind w:left="360" w:hanging="360"/>
      </w:pPr>
      <w:rPr>
        <w:rFonts w:ascii="Cambria" w:eastAsia="Cambria" w:hAnsi="Cambria"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6"/>
  </w:num>
  <w:num w:numId="4">
    <w:abstractNumId w:val="6"/>
  </w:num>
  <w:num w:numId="5">
    <w:abstractNumId w:val="0"/>
  </w:num>
  <w:num w:numId="6">
    <w:abstractNumId w:val="6"/>
  </w:num>
  <w:num w:numId="7">
    <w:abstractNumId w:val="6"/>
  </w:num>
  <w:num w:numId="8">
    <w:abstractNumId w:val="5"/>
  </w:num>
  <w:num w:numId="9">
    <w:abstractNumId w:val="5"/>
  </w:num>
  <w:num w:numId="10">
    <w:abstractNumId w:val="5"/>
  </w:num>
  <w:num w:numId="11">
    <w:abstractNumId w:val="5"/>
  </w:num>
  <w:num w:numId="12">
    <w:abstractNumId w:val="3"/>
    <w:lvlOverride w:ilvl="0">
      <w:lvl w:ilvl="0">
        <w:numFmt w:val="bullet"/>
        <w:lvlText w:val="•"/>
        <w:legacy w:legacy="1" w:legacySpace="0" w:legacyIndent="0"/>
        <w:lvlJc w:val="left"/>
        <w:rPr>
          <w:rFonts w:ascii="Helv" w:hAnsi="Helv" w:hint="default"/>
        </w:rPr>
      </w:lvl>
    </w:lvlOverride>
  </w:num>
  <w:num w:numId="13">
    <w:abstractNumId w:val="6"/>
  </w:num>
  <w:num w:numId="14">
    <w:abstractNumId w:val="6"/>
  </w:num>
  <w:num w:numId="15">
    <w:abstractNumId w:val="6"/>
  </w:num>
  <w:num w:numId="16">
    <w:abstractNumId w:val="5"/>
  </w:num>
  <w:num w:numId="17">
    <w:abstractNumId w:val="5"/>
  </w:num>
  <w:num w:numId="18">
    <w:abstractNumId w:val="5"/>
  </w:num>
  <w:num w:numId="19">
    <w:abstractNumId w:val="6"/>
  </w:num>
  <w:num w:numId="20">
    <w:abstractNumId w:val="6"/>
  </w:num>
  <w:num w:numId="21">
    <w:abstractNumId w:val="6"/>
  </w:num>
  <w:num w:numId="22">
    <w:abstractNumId w:val="5"/>
  </w:num>
  <w:num w:numId="23">
    <w:abstractNumId w:val="5"/>
  </w:num>
  <w:num w:numId="24">
    <w:abstractNumId w:val="5"/>
  </w:num>
  <w:num w:numId="25">
    <w:abstractNumId w:val="5"/>
    <w:lvlOverride w:ilvl="0">
      <w:lvl w:ilvl="0">
        <w:start w:val="1"/>
        <w:numFmt w:val="decimal"/>
        <w:pStyle w:val="Numberbullet0"/>
        <w:lvlText w:val="%1."/>
        <w:lvlJc w:val="left"/>
        <w:pPr>
          <w:ind w:left="425" w:hanging="425"/>
        </w:pPr>
        <w:rPr>
          <w:rFonts w:ascii="Cambria" w:hAnsi="Cambria" w:hint="default"/>
        </w:rPr>
      </w:lvl>
    </w:lvlOverride>
    <w:lvlOverride w:ilvl="1">
      <w:lvl w:ilvl="1">
        <w:start w:val="1"/>
        <w:numFmt w:val="lowerLetter"/>
        <w:pStyle w:val="Numberbullet2"/>
        <w:lvlText w:val="%2."/>
        <w:lvlJc w:val="left"/>
        <w:pPr>
          <w:ind w:left="851" w:hanging="426"/>
        </w:pPr>
        <w:rPr>
          <w:rFonts w:hint="default"/>
        </w:rPr>
      </w:lvl>
    </w:lvlOverride>
    <w:lvlOverride w:ilvl="2">
      <w:lvl w:ilvl="2">
        <w:start w:val="1"/>
        <w:numFmt w:val="lowerRoman"/>
        <w:pStyle w:val="Numberbullet3"/>
        <w:lvlText w:val="%3."/>
        <w:lvlJc w:val="left"/>
        <w:pPr>
          <w:ind w:left="1276" w:hanging="425"/>
        </w:pPr>
        <w:rPr>
          <w:rFonts w:hint="default"/>
        </w:rPr>
      </w:lvl>
    </w:lvlOverride>
    <w:lvlOverride w:ilvl="3">
      <w:lvl w:ilvl="3">
        <w:start w:val="1"/>
        <w:numFmt w:val="none"/>
        <w:lvlText w:val=""/>
        <w:lvlJc w:val="left"/>
        <w:pPr>
          <w:ind w:left="1276" w:hanging="425"/>
        </w:pPr>
        <w:rPr>
          <w:rFonts w:hint="default"/>
        </w:rPr>
      </w:lvl>
    </w:lvlOverride>
    <w:lvlOverride w:ilvl="4">
      <w:lvl w:ilvl="4">
        <w:start w:val="1"/>
        <w:numFmt w:val="none"/>
        <w:lvlText w:val=""/>
        <w:lvlJc w:val="left"/>
        <w:pPr>
          <w:ind w:left="1276" w:hanging="425"/>
        </w:pPr>
        <w:rPr>
          <w:rFonts w:hint="default"/>
        </w:rPr>
      </w:lvl>
    </w:lvlOverride>
    <w:lvlOverride w:ilvl="5">
      <w:lvl w:ilvl="5">
        <w:start w:val="1"/>
        <w:numFmt w:val="none"/>
        <w:lvlText w:val=""/>
        <w:lvlJc w:val="left"/>
        <w:pPr>
          <w:ind w:left="1276" w:hanging="425"/>
        </w:pPr>
        <w:rPr>
          <w:rFonts w:hint="default"/>
        </w:rPr>
      </w:lvl>
    </w:lvlOverride>
    <w:lvlOverride w:ilvl="6">
      <w:lvl w:ilvl="6">
        <w:start w:val="1"/>
        <w:numFmt w:val="none"/>
        <w:lvlText w:val="%7"/>
        <w:lvlJc w:val="left"/>
        <w:pPr>
          <w:ind w:left="1276" w:hanging="425"/>
        </w:pPr>
        <w:rPr>
          <w:rFonts w:hint="default"/>
        </w:rPr>
      </w:lvl>
    </w:lvlOverride>
    <w:lvlOverride w:ilvl="7">
      <w:lvl w:ilvl="7">
        <w:start w:val="1"/>
        <w:numFmt w:val="none"/>
        <w:lvlText w:val=""/>
        <w:lvlJc w:val="left"/>
        <w:pPr>
          <w:ind w:left="1276" w:hanging="425"/>
        </w:pPr>
        <w:rPr>
          <w:rFonts w:hint="default"/>
        </w:rPr>
      </w:lvl>
    </w:lvlOverride>
    <w:lvlOverride w:ilvl="8">
      <w:lvl w:ilvl="8">
        <w:start w:val="1"/>
        <w:numFmt w:val="none"/>
        <w:lvlText w:val=""/>
        <w:lvlJc w:val="left"/>
        <w:pPr>
          <w:ind w:left="1276" w:hanging="425"/>
        </w:pPr>
        <w:rPr>
          <w:rFonts w:hint="default"/>
        </w:rPr>
      </w:lvl>
    </w:lvlOverride>
  </w:num>
  <w:num w:numId="26">
    <w:abstractNumId w:val="5"/>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pStyle w:val="Numberbullet3"/>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27">
    <w:abstractNumId w:val="10"/>
  </w:num>
  <w:num w:numId="28">
    <w:abstractNumId w:val="11"/>
  </w:num>
  <w:num w:numId="29">
    <w:abstractNumId w:val="9"/>
  </w:num>
  <w:num w:numId="30">
    <w:abstractNumId w:val="7"/>
  </w:num>
  <w:num w:numId="31">
    <w:abstractNumId w:val="8"/>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314F"/>
    <w:rsid w:val="00002031"/>
    <w:rsid w:val="00004734"/>
    <w:rsid w:val="00006B22"/>
    <w:rsid w:val="0001276A"/>
    <w:rsid w:val="000246AE"/>
    <w:rsid w:val="00025C67"/>
    <w:rsid w:val="00044772"/>
    <w:rsid w:val="0004541C"/>
    <w:rsid w:val="0005559E"/>
    <w:rsid w:val="000604D6"/>
    <w:rsid w:val="00067C6B"/>
    <w:rsid w:val="000734D8"/>
    <w:rsid w:val="00077775"/>
    <w:rsid w:val="00090471"/>
    <w:rsid w:val="00096AA7"/>
    <w:rsid w:val="000A3AED"/>
    <w:rsid w:val="000B3532"/>
    <w:rsid w:val="000B3A75"/>
    <w:rsid w:val="000C00C2"/>
    <w:rsid w:val="000C690F"/>
    <w:rsid w:val="000D1295"/>
    <w:rsid w:val="000D391B"/>
    <w:rsid w:val="000D3D6D"/>
    <w:rsid w:val="000D4FC7"/>
    <w:rsid w:val="000E6196"/>
    <w:rsid w:val="000F4207"/>
    <w:rsid w:val="000F4869"/>
    <w:rsid w:val="000F5B42"/>
    <w:rsid w:val="000F6E6F"/>
    <w:rsid w:val="0010601F"/>
    <w:rsid w:val="0010788A"/>
    <w:rsid w:val="00107A31"/>
    <w:rsid w:val="00110EA5"/>
    <w:rsid w:val="00112F56"/>
    <w:rsid w:val="001134FB"/>
    <w:rsid w:val="00124ACD"/>
    <w:rsid w:val="00125318"/>
    <w:rsid w:val="001305A2"/>
    <w:rsid w:val="00133238"/>
    <w:rsid w:val="00133A1B"/>
    <w:rsid w:val="0014197B"/>
    <w:rsid w:val="001447CD"/>
    <w:rsid w:val="001516B1"/>
    <w:rsid w:val="00154EBB"/>
    <w:rsid w:val="00156316"/>
    <w:rsid w:val="00161181"/>
    <w:rsid w:val="00162D14"/>
    <w:rsid w:val="00163780"/>
    <w:rsid w:val="00165389"/>
    <w:rsid w:val="00173348"/>
    <w:rsid w:val="0017693F"/>
    <w:rsid w:val="0018110E"/>
    <w:rsid w:val="00181684"/>
    <w:rsid w:val="001843C6"/>
    <w:rsid w:val="00184CE4"/>
    <w:rsid w:val="001850E0"/>
    <w:rsid w:val="001A03AF"/>
    <w:rsid w:val="001A03B1"/>
    <w:rsid w:val="001A2158"/>
    <w:rsid w:val="001A525F"/>
    <w:rsid w:val="001B09F9"/>
    <w:rsid w:val="001B5C90"/>
    <w:rsid w:val="001B6448"/>
    <w:rsid w:val="001C32CD"/>
    <w:rsid w:val="001C66C1"/>
    <w:rsid w:val="001D2984"/>
    <w:rsid w:val="001E07CF"/>
    <w:rsid w:val="001E59F1"/>
    <w:rsid w:val="001F2CEE"/>
    <w:rsid w:val="001F49EB"/>
    <w:rsid w:val="001F6CBA"/>
    <w:rsid w:val="00201D4E"/>
    <w:rsid w:val="002076C9"/>
    <w:rsid w:val="00220B8A"/>
    <w:rsid w:val="002257F3"/>
    <w:rsid w:val="00233456"/>
    <w:rsid w:val="002339A5"/>
    <w:rsid w:val="00253648"/>
    <w:rsid w:val="00257848"/>
    <w:rsid w:val="002578E8"/>
    <w:rsid w:val="002617A3"/>
    <w:rsid w:val="0027084A"/>
    <w:rsid w:val="00280265"/>
    <w:rsid w:val="00286434"/>
    <w:rsid w:val="00286C59"/>
    <w:rsid w:val="00291957"/>
    <w:rsid w:val="002942D1"/>
    <w:rsid w:val="0029501A"/>
    <w:rsid w:val="002A3721"/>
    <w:rsid w:val="002B1638"/>
    <w:rsid w:val="002B3624"/>
    <w:rsid w:val="002D0952"/>
    <w:rsid w:val="002E40B3"/>
    <w:rsid w:val="002E4C9A"/>
    <w:rsid w:val="002F11F8"/>
    <w:rsid w:val="002F3F56"/>
    <w:rsid w:val="002F44B5"/>
    <w:rsid w:val="002F5122"/>
    <w:rsid w:val="00300366"/>
    <w:rsid w:val="00311AC0"/>
    <w:rsid w:val="003176FC"/>
    <w:rsid w:val="0032583B"/>
    <w:rsid w:val="00327883"/>
    <w:rsid w:val="00335504"/>
    <w:rsid w:val="00340C18"/>
    <w:rsid w:val="003442FD"/>
    <w:rsid w:val="00347824"/>
    <w:rsid w:val="00350567"/>
    <w:rsid w:val="003521E8"/>
    <w:rsid w:val="00353DC8"/>
    <w:rsid w:val="00362710"/>
    <w:rsid w:val="00370CE3"/>
    <w:rsid w:val="003728F3"/>
    <w:rsid w:val="003735BC"/>
    <w:rsid w:val="0037496E"/>
    <w:rsid w:val="00383221"/>
    <w:rsid w:val="00386150"/>
    <w:rsid w:val="003874CE"/>
    <w:rsid w:val="00390900"/>
    <w:rsid w:val="00396852"/>
    <w:rsid w:val="003A7F6C"/>
    <w:rsid w:val="003B4D60"/>
    <w:rsid w:val="003B7E39"/>
    <w:rsid w:val="003C0CCC"/>
    <w:rsid w:val="003C58DC"/>
    <w:rsid w:val="003D1E62"/>
    <w:rsid w:val="003E0B99"/>
    <w:rsid w:val="003E2486"/>
    <w:rsid w:val="003E27B3"/>
    <w:rsid w:val="003E3208"/>
    <w:rsid w:val="003F0B04"/>
    <w:rsid w:val="0040134E"/>
    <w:rsid w:val="004244F0"/>
    <w:rsid w:val="004334C7"/>
    <w:rsid w:val="00440A2D"/>
    <w:rsid w:val="00441C3F"/>
    <w:rsid w:val="00444D1A"/>
    <w:rsid w:val="0045186A"/>
    <w:rsid w:val="004564A7"/>
    <w:rsid w:val="00456765"/>
    <w:rsid w:val="004617BF"/>
    <w:rsid w:val="00463658"/>
    <w:rsid w:val="004637A0"/>
    <w:rsid w:val="004722CC"/>
    <w:rsid w:val="00490483"/>
    <w:rsid w:val="004936E4"/>
    <w:rsid w:val="00494E60"/>
    <w:rsid w:val="00497487"/>
    <w:rsid w:val="004A2771"/>
    <w:rsid w:val="004A6189"/>
    <w:rsid w:val="004A7390"/>
    <w:rsid w:val="004B7B76"/>
    <w:rsid w:val="004B7D43"/>
    <w:rsid w:val="004C239D"/>
    <w:rsid w:val="004C2DCA"/>
    <w:rsid w:val="004C61D2"/>
    <w:rsid w:val="004F0C4A"/>
    <w:rsid w:val="004F0F38"/>
    <w:rsid w:val="004F11E0"/>
    <w:rsid w:val="004F47D6"/>
    <w:rsid w:val="004F5757"/>
    <w:rsid w:val="00500337"/>
    <w:rsid w:val="00501921"/>
    <w:rsid w:val="00520632"/>
    <w:rsid w:val="00530354"/>
    <w:rsid w:val="0053625B"/>
    <w:rsid w:val="005434C6"/>
    <w:rsid w:val="00543B39"/>
    <w:rsid w:val="00546154"/>
    <w:rsid w:val="00550096"/>
    <w:rsid w:val="00555280"/>
    <w:rsid w:val="00557FF9"/>
    <w:rsid w:val="00562327"/>
    <w:rsid w:val="005711D5"/>
    <w:rsid w:val="00576378"/>
    <w:rsid w:val="00577130"/>
    <w:rsid w:val="00577945"/>
    <w:rsid w:val="00577E38"/>
    <w:rsid w:val="00585322"/>
    <w:rsid w:val="005857C6"/>
    <w:rsid w:val="00592F6E"/>
    <w:rsid w:val="00593AD1"/>
    <w:rsid w:val="005A68B6"/>
    <w:rsid w:val="005C5570"/>
    <w:rsid w:val="005C79A4"/>
    <w:rsid w:val="005D5442"/>
    <w:rsid w:val="005E6713"/>
    <w:rsid w:val="005F261A"/>
    <w:rsid w:val="006006AF"/>
    <w:rsid w:val="00603F32"/>
    <w:rsid w:val="00605AD4"/>
    <w:rsid w:val="006136D7"/>
    <w:rsid w:val="00625A6E"/>
    <w:rsid w:val="00632398"/>
    <w:rsid w:val="00640FC3"/>
    <w:rsid w:val="00642020"/>
    <w:rsid w:val="006430EE"/>
    <w:rsid w:val="006460CD"/>
    <w:rsid w:val="006528ED"/>
    <w:rsid w:val="00652A2E"/>
    <w:rsid w:val="0065337B"/>
    <w:rsid w:val="0065419D"/>
    <w:rsid w:val="006603BC"/>
    <w:rsid w:val="006604D8"/>
    <w:rsid w:val="00664A5B"/>
    <w:rsid w:val="0066735C"/>
    <w:rsid w:val="0067499A"/>
    <w:rsid w:val="006763D2"/>
    <w:rsid w:val="00677CEF"/>
    <w:rsid w:val="00680C08"/>
    <w:rsid w:val="006916A0"/>
    <w:rsid w:val="006931B1"/>
    <w:rsid w:val="006A15C0"/>
    <w:rsid w:val="006A58A8"/>
    <w:rsid w:val="006A65CA"/>
    <w:rsid w:val="006C3E2A"/>
    <w:rsid w:val="006C642F"/>
    <w:rsid w:val="006C65F8"/>
    <w:rsid w:val="006D03E5"/>
    <w:rsid w:val="006D5D3E"/>
    <w:rsid w:val="006E08B3"/>
    <w:rsid w:val="006E5651"/>
    <w:rsid w:val="006E7050"/>
    <w:rsid w:val="006F17AC"/>
    <w:rsid w:val="006F22BD"/>
    <w:rsid w:val="006F25B8"/>
    <w:rsid w:val="006F572E"/>
    <w:rsid w:val="007046D6"/>
    <w:rsid w:val="00705DB0"/>
    <w:rsid w:val="00713696"/>
    <w:rsid w:val="00722B57"/>
    <w:rsid w:val="00730F8A"/>
    <w:rsid w:val="00734297"/>
    <w:rsid w:val="00735A8C"/>
    <w:rsid w:val="0074113A"/>
    <w:rsid w:val="0074253D"/>
    <w:rsid w:val="0074429B"/>
    <w:rsid w:val="0074606A"/>
    <w:rsid w:val="007615BC"/>
    <w:rsid w:val="00762F05"/>
    <w:rsid w:val="007652FF"/>
    <w:rsid w:val="00770CAC"/>
    <w:rsid w:val="00770EF1"/>
    <w:rsid w:val="00773EF7"/>
    <w:rsid w:val="00774E1D"/>
    <w:rsid w:val="007765D8"/>
    <w:rsid w:val="0077675A"/>
    <w:rsid w:val="00780355"/>
    <w:rsid w:val="007819FD"/>
    <w:rsid w:val="007847AE"/>
    <w:rsid w:val="00784F1E"/>
    <w:rsid w:val="00785717"/>
    <w:rsid w:val="00785721"/>
    <w:rsid w:val="00793A59"/>
    <w:rsid w:val="007A46F5"/>
    <w:rsid w:val="007A6505"/>
    <w:rsid w:val="007B6132"/>
    <w:rsid w:val="007B6E9F"/>
    <w:rsid w:val="007C1216"/>
    <w:rsid w:val="007C1AF7"/>
    <w:rsid w:val="007C6B9B"/>
    <w:rsid w:val="007D2CD5"/>
    <w:rsid w:val="00805D27"/>
    <w:rsid w:val="00806DCB"/>
    <w:rsid w:val="00812BFD"/>
    <w:rsid w:val="00821776"/>
    <w:rsid w:val="00826768"/>
    <w:rsid w:val="008321F5"/>
    <w:rsid w:val="00832369"/>
    <w:rsid w:val="00834660"/>
    <w:rsid w:val="00836BC2"/>
    <w:rsid w:val="0083782B"/>
    <w:rsid w:val="0085156D"/>
    <w:rsid w:val="00852B28"/>
    <w:rsid w:val="0085641B"/>
    <w:rsid w:val="00857136"/>
    <w:rsid w:val="00875A6B"/>
    <w:rsid w:val="00885B11"/>
    <w:rsid w:val="00886D15"/>
    <w:rsid w:val="00887DD8"/>
    <w:rsid w:val="00891BA9"/>
    <w:rsid w:val="00896018"/>
    <w:rsid w:val="008960DD"/>
    <w:rsid w:val="0089635C"/>
    <w:rsid w:val="008A2B9D"/>
    <w:rsid w:val="008A3D9F"/>
    <w:rsid w:val="008A5E0B"/>
    <w:rsid w:val="008A6D59"/>
    <w:rsid w:val="008B465B"/>
    <w:rsid w:val="008B4B03"/>
    <w:rsid w:val="008B596F"/>
    <w:rsid w:val="008B7783"/>
    <w:rsid w:val="008C159F"/>
    <w:rsid w:val="008C1623"/>
    <w:rsid w:val="008C1850"/>
    <w:rsid w:val="008C51A9"/>
    <w:rsid w:val="008C57B9"/>
    <w:rsid w:val="008E7846"/>
    <w:rsid w:val="008F02E5"/>
    <w:rsid w:val="008F1CCC"/>
    <w:rsid w:val="008F2967"/>
    <w:rsid w:val="008F3F02"/>
    <w:rsid w:val="008F6943"/>
    <w:rsid w:val="00902A21"/>
    <w:rsid w:val="0091523F"/>
    <w:rsid w:val="00920330"/>
    <w:rsid w:val="009219D7"/>
    <w:rsid w:val="00922D53"/>
    <w:rsid w:val="00923B70"/>
    <w:rsid w:val="00924482"/>
    <w:rsid w:val="00930237"/>
    <w:rsid w:val="00937C17"/>
    <w:rsid w:val="00940A89"/>
    <w:rsid w:val="00941F77"/>
    <w:rsid w:val="00946EA5"/>
    <w:rsid w:val="00960520"/>
    <w:rsid w:val="00963C08"/>
    <w:rsid w:val="009752A5"/>
    <w:rsid w:val="009848D1"/>
    <w:rsid w:val="0098585A"/>
    <w:rsid w:val="009A3D29"/>
    <w:rsid w:val="009A4CED"/>
    <w:rsid w:val="009A690D"/>
    <w:rsid w:val="009B1D12"/>
    <w:rsid w:val="009B416B"/>
    <w:rsid w:val="009C4BD5"/>
    <w:rsid w:val="009D7B77"/>
    <w:rsid w:val="009E0BB0"/>
    <w:rsid w:val="009E3FBB"/>
    <w:rsid w:val="009E6A58"/>
    <w:rsid w:val="009F1FFA"/>
    <w:rsid w:val="009F7353"/>
    <w:rsid w:val="00A04F85"/>
    <w:rsid w:val="00A05FA4"/>
    <w:rsid w:val="00A07171"/>
    <w:rsid w:val="00A102E4"/>
    <w:rsid w:val="00A1219C"/>
    <w:rsid w:val="00A12C42"/>
    <w:rsid w:val="00A14DF7"/>
    <w:rsid w:val="00A22D57"/>
    <w:rsid w:val="00A3246D"/>
    <w:rsid w:val="00A36FA7"/>
    <w:rsid w:val="00A44DDB"/>
    <w:rsid w:val="00A475B7"/>
    <w:rsid w:val="00A47AF7"/>
    <w:rsid w:val="00A47C3E"/>
    <w:rsid w:val="00A50226"/>
    <w:rsid w:val="00A60BAD"/>
    <w:rsid w:val="00A77F87"/>
    <w:rsid w:val="00A80B5B"/>
    <w:rsid w:val="00A84E36"/>
    <w:rsid w:val="00A92E0A"/>
    <w:rsid w:val="00A964D1"/>
    <w:rsid w:val="00AA0ED0"/>
    <w:rsid w:val="00AB0E16"/>
    <w:rsid w:val="00AC2B40"/>
    <w:rsid w:val="00AC2BB2"/>
    <w:rsid w:val="00AC2C3C"/>
    <w:rsid w:val="00AC512D"/>
    <w:rsid w:val="00AC7CFC"/>
    <w:rsid w:val="00AD0083"/>
    <w:rsid w:val="00AD3935"/>
    <w:rsid w:val="00AD78A4"/>
    <w:rsid w:val="00AE1468"/>
    <w:rsid w:val="00AE65EB"/>
    <w:rsid w:val="00AE67A7"/>
    <w:rsid w:val="00AF1D94"/>
    <w:rsid w:val="00AF60C5"/>
    <w:rsid w:val="00B009C6"/>
    <w:rsid w:val="00B01548"/>
    <w:rsid w:val="00B044EF"/>
    <w:rsid w:val="00B130C5"/>
    <w:rsid w:val="00B13EBD"/>
    <w:rsid w:val="00B21D29"/>
    <w:rsid w:val="00B25034"/>
    <w:rsid w:val="00B33588"/>
    <w:rsid w:val="00B33863"/>
    <w:rsid w:val="00B37D17"/>
    <w:rsid w:val="00B4175E"/>
    <w:rsid w:val="00B41C85"/>
    <w:rsid w:val="00B452CE"/>
    <w:rsid w:val="00B54C25"/>
    <w:rsid w:val="00B7019E"/>
    <w:rsid w:val="00B76B91"/>
    <w:rsid w:val="00B77EB1"/>
    <w:rsid w:val="00B811C6"/>
    <w:rsid w:val="00B855B0"/>
    <w:rsid w:val="00B92E08"/>
    <w:rsid w:val="00BC622A"/>
    <w:rsid w:val="00BE0A78"/>
    <w:rsid w:val="00BE3F1E"/>
    <w:rsid w:val="00BE5F7F"/>
    <w:rsid w:val="00BE706A"/>
    <w:rsid w:val="00BE79F0"/>
    <w:rsid w:val="00BF046D"/>
    <w:rsid w:val="00BF1190"/>
    <w:rsid w:val="00BF3774"/>
    <w:rsid w:val="00BF5D04"/>
    <w:rsid w:val="00C009AA"/>
    <w:rsid w:val="00C077C8"/>
    <w:rsid w:val="00C10CFD"/>
    <w:rsid w:val="00C1164D"/>
    <w:rsid w:val="00C16861"/>
    <w:rsid w:val="00C346AB"/>
    <w:rsid w:val="00C404A6"/>
    <w:rsid w:val="00C40A36"/>
    <w:rsid w:val="00C44419"/>
    <w:rsid w:val="00C45E7B"/>
    <w:rsid w:val="00C471B1"/>
    <w:rsid w:val="00C52E24"/>
    <w:rsid w:val="00C6316B"/>
    <w:rsid w:val="00C634A9"/>
    <w:rsid w:val="00C6394F"/>
    <w:rsid w:val="00C64586"/>
    <w:rsid w:val="00C70D53"/>
    <w:rsid w:val="00C73D0B"/>
    <w:rsid w:val="00C74F5C"/>
    <w:rsid w:val="00C772FF"/>
    <w:rsid w:val="00C80137"/>
    <w:rsid w:val="00C801AF"/>
    <w:rsid w:val="00C80256"/>
    <w:rsid w:val="00C94CD4"/>
    <w:rsid w:val="00C9747E"/>
    <w:rsid w:val="00CB6BC0"/>
    <w:rsid w:val="00CB787D"/>
    <w:rsid w:val="00CC1B7C"/>
    <w:rsid w:val="00CC727F"/>
    <w:rsid w:val="00CF15C3"/>
    <w:rsid w:val="00CF2B6F"/>
    <w:rsid w:val="00CF2F3E"/>
    <w:rsid w:val="00CF58B6"/>
    <w:rsid w:val="00D0062D"/>
    <w:rsid w:val="00D017ED"/>
    <w:rsid w:val="00D040D3"/>
    <w:rsid w:val="00D04C65"/>
    <w:rsid w:val="00D100CC"/>
    <w:rsid w:val="00D153D8"/>
    <w:rsid w:val="00D201D2"/>
    <w:rsid w:val="00D224FE"/>
    <w:rsid w:val="00D23139"/>
    <w:rsid w:val="00D2504D"/>
    <w:rsid w:val="00D425BB"/>
    <w:rsid w:val="00D453FA"/>
    <w:rsid w:val="00D6493E"/>
    <w:rsid w:val="00D7195D"/>
    <w:rsid w:val="00D7301E"/>
    <w:rsid w:val="00D75342"/>
    <w:rsid w:val="00D83AE1"/>
    <w:rsid w:val="00D855D4"/>
    <w:rsid w:val="00D902C9"/>
    <w:rsid w:val="00D93466"/>
    <w:rsid w:val="00D956D2"/>
    <w:rsid w:val="00DA1124"/>
    <w:rsid w:val="00DA64CB"/>
    <w:rsid w:val="00DA7F98"/>
    <w:rsid w:val="00DB06B8"/>
    <w:rsid w:val="00DB095A"/>
    <w:rsid w:val="00DB6124"/>
    <w:rsid w:val="00DB750B"/>
    <w:rsid w:val="00DB75B7"/>
    <w:rsid w:val="00DC0A2F"/>
    <w:rsid w:val="00DC1948"/>
    <w:rsid w:val="00DC6E02"/>
    <w:rsid w:val="00DD28CD"/>
    <w:rsid w:val="00DE02AE"/>
    <w:rsid w:val="00DE39D1"/>
    <w:rsid w:val="00DF1D7F"/>
    <w:rsid w:val="00DF4BE4"/>
    <w:rsid w:val="00E02382"/>
    <w:rsid w:val="00E02FB4"/>
    <w:rsid w:val="00E13FC7"/>
    <w:rsid w:val="00E20571"/>
    <w:rsid w:val="00E235F7"/>
    <w:rsid w:val="00E23659"/>
    <w:rsid w:val="00E239D4"/>
    <w:rsid w:val="00E26130"/>
    <w:rsid w:val="00E32453"/>
    <w:rsid w:val="00E34C09"/>
    <w:rsid w:val="00E40B22"/>
    <w:rsid w:val="00E44ED1"/>
    <w:rsid w:val="00E45619"/>
    <w:rsid w:val="00E4588F"/>
    <w:rsid w:val="00E46DA3"/>
    <w:rsid w:val="00E51BB1"/>
    <w:rsid w:val="00E55CB0"/>
    <w:rsid w:val="00E624A5"/>
    <w:rsid w:val="00E64BA4"/>
    <w:rsid w:val="00E668FD"/>
    <w:rsid w:val="00E7344E"/>
    <w:rsid w:val="00E82665"/>
    <w:rsid w:val="00EB0798"/>
    <w:rsid w:val="00EB40AD"/>
    <w:rsid w:val="00EB586E"/>
    <w:rsid w:val="00EB5FC8"/>
    <w:rsid w:val="00EC463D"/>
    <w:rsid w:val="00EC7A85"/>
    <w:rsid w:val="00ED2922"/>
    <w:rsid w:val="00ED3CAD"/>
    <w:rsid w:val="00ED5A41"/>
    <w:rsid w:val="00EE1DE8"/>
    <w:rsid w:val="00EE27C2"/>
    <w:rsid w:val="00EF4BAD"/>
    <w:rsid w:val="00EF59DC"/>
    <w:rsid w:val="00F033EC"/>
    <w:rsid w:val="00F04F68"/>
    <w:rsid w:val="00F12670"/>
    <w:rsid w:val="00F14B27"/>
    <w:rsid w:val="00F15F8A"/>
    <w:rsid w:val="00F260EA"/>
    <w:rsid w:val="00F3148D"/>
    <w:rsid w:val="00F325C5"/>
    <w:rsid w:val="00F32FE0"/>
    <w:rsid w:val="00F35298"/>
    <w:rsid w:val="00F47333"/>
    <w:rsid w:val="00F47E37"/>
    <w:rsid w:val="00F5314F"/>
    <w:rsid w:val="00F53C07"/>
    <w:rsid w:val="00F54B65"/>
    <w:rsid w:val="00F640B6"/>
    <w:rsid w:val="00F6449D"/>
    <w:rsid w:val="00F66DF2"/>
    <w:rsid w:val="00F80E40"/>
    <w:rsid w:val="00F848D9"/>
    <w:rsid w:val="00FA5069"/>
    <w:rsid w:val="00FA5B82"/>
    <w:rsid w:val="00FA639E"/>
    <w:rsid w:val="00FC1FCA"/>
    <w:rsid w:val="00FC25E4"/>
    <w:rsid w:val="00FC4EF7"/>
    <w:rsid w:val="00FD0824"/>
    <w:rsid w:val="00FD119B"/>
    <w:rsid w:val="00FD1EDC"/>
    <w:rsid w:val="00FE1DEE"/>
    <w:rsid w:val="00FF2126"/>
    <w:rsid w:val="00FF5755"/>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5F7FC96A"/>
  <w15:docId w15:val="{1D59D25B-1949-4C5F-B8A3-26B7BFDF5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0" w:defUnhideWhenUsed="0" w:defQFormat="0" w:count="371">
    <w:lsdException w:name="Normal" w:uiPriority="0" w:qFormat="1"/>
    <w:lsdException w:name="heading 1" w:uiPriority="0"/>
    <w:lsdException w:name="heading 2" w:uiPriority="0" w:qFormat="1"/>
    <w:lsdException w:name="heading 3" w:uiPriority="0" w:qFormat="1"/>
    <w:lsdException w:name="heading 4" w:uiPriority="0" w:qFormat="1"/>
    <w:lsdException w:name="heading 5" w:uiPriority="9"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2"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2"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AD3935"/>
    <w:pPr>
      <w:spacing w:before="120" w:after="120" w:line="240" w:lineRule="atLeast"/>
    </w:pPr>
    <w:rPr>
      <w:rFonts w:ascii="Cambria" w:eastAsia="Cambria" w:hAnsi="Cambria" w:cs="Times New Roman"/>
    </w:rPr>
  </w:style>
  <w:style w:type="paragraph" w:styleId="Heading1">
    <w:name w:val="heading 1"/>
    <w:basedOn w:val="Heading2"/>
    <w:next w:val="Normal"/>
    <w:link w:val="Heading1Char"/>
    <w:rsid w:val="000C690F"/>
    <w:pPr>
      <w:spacing w:before="120" w:after="360"/>
      <w:outlineLvl w:val="0"/>
    </w:pPr>
    <w:rPr>
      <w:rFonts w:asciiTheme="majorHAnsi" w:hAnsiTheme="majorHAnsi" w:cstheme="majorHAnsi"/>
      <w:sz w:val="64"/>
      <w:szCs w:val="64"/>
    </w:rPr>
  </w:style>
  <w:style w:type="paragraph" w:styleId="Heading2">
    <w:name w:val="heading 2"/>
    <w:basedOn w:val="Normal"/>
    <w:next w:val="Normal"/>
    <w:link w:val="Heading2Char"/>
    <w:qFormat/>
    <w:rsid w:val="004722CC"/>
    <w:pPr>
      <w:keepNext/>
      <w:keepLines/>
      <w:spacing w:before="480"/>
      <w:outlineLvl w:val="1"/>
    </w:pPr>
    <w:rPr>
      <w:rFonts w:ascii="Arial" w:eastAsia="Times New Roman" w:hAnsi="Arial"/>
      <w:b/>
      <w:bCs/>
      <w:sz w:val="32"/>
      <w:szCs w:val="26"/>
    </w:rPr>
  </w:style>
  <w:style w:type="paragraph" w:styleId="Heading3">
    <w:name w:val="heading 3"/>
    <w:basedOn w:val="Normal"/>
    <w:next w:val="Normal"/>
    <w:link w:val="Heading3Char"/>
    <w:qFormat/>
    <w:rsid w:val="00EF59DC"/>
    <w:pPr>
      <w:keepNext/>
      <w:keepLines/>
      <w:spacing w:before="480" w:after="0" w:line="220" w:lineRule="atLeast"/>
      <w:outlineLvl w:val="2"/>
    </w:pPr>
    <w:rPr>
      <w:rFonts w:ascii="Arial" w:eastAsia="Times New Roman" w:hAnsi="Arial"/>
      <w:b/>
      <w:bCs/>
      <w:sz w:val="26"/>
      <w:szCs w:val="21"/>
    </w:rPr>
  </w:style>
  <w:style w:type="paragraph" w:styleId="Heading4">
    <w:name w:val="heading 4"/>
    <w:basedOn w:val="Normal"/>
    <w:next w:val="Normal"/>
    <w:link w:val="Heading4Char"/>
    <w:qFormat/>
    <w:rsid w:val="00AD0083"/>
    <w:pPr>
      <w:keepNext/>
      <w:spacing w:before="360" w:after="0" w:line="220" w:lineRule="atLeast"/>
      <w:outlineLvl w:val="3"/>
    </w:pPr>
    <w:rPr>
      <w:b/>
      <w:bCs/>
      <w:szCs w:val="21"/>
    </w:rPr>
  </w:style>
  <w:style w:type="paragraph" w:styleId="Heading5">
    <w:name w:val="heading 5"/>
    <w:basedOn w:val="Normal"/>
    <w:next w:val="Normal"/>
    <w:link w:val="Heading5Char"/>
    <w:qFormat/>
    <w:rsid w:val="004722CC"/>
    <w:pPr>
      <w:keepNext/>
      <w:keepLines/>
      <w:spacing w:line="220" w:lineRule="atLeast"/>
      <w:outlineLvl w:val="4"/>
    </w:pPr>
    <w:rPr>
      <w:rFonts w:eastAsia="Times New Roman"/>
      <w:b/>
      <w:bCs/>
      <w:i/>
      <w:color w:val="001523"/>
      <w:szCs w:val="21"/>
    </w:rPr>
  </w:style>
  <w:style w:type="paragraph" w:styleId="Heading6">
    <w:name w:val="heading 6"/>
    <w:basedOn w:val="Normal"/>
    <w:next w:val="Normal"/>
    <w:link w:val="Heading6Char"/>
    <w:uiPriority w:val="9"/>
    <w:rsid w:val="00577130"/>
    <w:pPr>
      <w:keepNext/>
      <w:spacing w:line="220" w:lineRule="atLeast"/>
      <w:outlineLvl w:val="5"/>
    </w:pPr>
    <w:rPr>
      <w:rFonts w:eastAsia="Times New Roman"/>
      <w:bCs/>
      <w:i/>
      <w:szCs w:val="21"/>
    </w:rPr>
  </w:style>
  <w:style w:type="paragraph" w:styleId="Heading7">
    <w:name w:val="heading 7"/>
    <w:basedOn w:val="Normal"/>
    <w:next w:val="Normal"/>
    <w:link w:val="Heading7Char"/>
    <w:uiPriority w:val="9"/>
    <w:rsid w:val="00770CAC"/>
    <w:pPr>
      <w:keepNext/>
      <w:spacing w:after="60" w:line="180" w:lineRule="atLeast"/>
      <w:outlineLvl w:val="6"/>
    </w:pPr>
    <w:rPr>
      <w:rFonts w:eastAsia="Times New Roman"/>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690F"/>
    <w:rPr>
      <w:rFonts w:asciiTheme="majorHAnsi" w:eastAsia="Times New Roman" w:hAnsiTheme="majorHAnsi" w:cstheme="majorHAnsi"/>
      <w:b/>
      <w:bCs/>
      <w:sz w:val="64"/>
      <w:szCs w:val="64"/>
    </w:rPr>
  </w:style>
  <w:style w:type="character" w:customStyle="1" w:styleId="Heading2Char">
    <w:name w:val="Heading 2 Char"/>
    <w:basedOn w:val="DefaultParagraphFont"/>
    <w:link w:val="Heading2"/>
    <w:rsid w:val="00AD3935"/>
    <w:rPr>
      <w:rFonts w:ascii="Arial" w:eastAsia="Times New Roman" w:hAnsi="Arial" w:cs="Times New Roman"/>
      <w:b/>
      <w:bCs/>
      <w:sz w:val="32"/>
      <w:szCs w:val="26"/>
    </w:rPr>
  </w:style>
  <w:style w:type="character" w:customStyle="1" w:styleId="Heading3Char">
    <w:name w:val="Heading 3 Char"/>
    <w:basedOn w:val="DefaultParagraphFont"/>
    <w:link w:val="Heading3"/>
    <w:rsid w:val="00EF59DC"/>
    <w:rPr>
      <w:rFonts w:ascii="Arial" w:eastAsia="Times New Roman" w:hAnsi="Arial" w:cs="Times New Roman"/>
      <w:b/>
      <w:bCs/>
      <w:sz w:val="26"/>
      <w:szCs w:val="21"/>
    </w:rPr>
  </w:style>
  <w:style w:type="paragraph" w:customStyle="1" w:styleId="Address">
    <w:name w:val="Address"/>
    <w:basedOn w:val="Normal"/>
    <w:rsid w:val="00E45619"/>
    <w:pPr>
      <w:spacing w:before="0" w:after="0" w:line="280" w:lineRule="atLeast"/>
      <w:jc w:val="center"/>
    </w:pPr>
  </w:style>
  <w:style w:type="paragraph" w:customStyle="1" w:styleId="AxisLabel">
    <w:name w:val="Axis Label"/>
    <w:basedOn w:val="Normal"/>
    <w:rsid w:val="00F3148D"/>
    <w:pPr>
      <w:spacing w:after="0" w:line="240" w:lineRule="auto"/>
    </w:pPr>
    <w:rPr>
      <w:rFonts w:ascii="Arial" w:hAnsi="Arial"/>
      <w:noProof/>
      <w:sz w:val="14"/>
      <w:lang w:eastAsia="en-AU"/>
    </w:rPr>
  </w:style>
  <w:style w:type="paragraph" w:customStyle="1" w:styleId="AxisTitle">
    <w:name w:val="Axis Title"/>
    <w:basedOn w:val="Normal"/>
    <w:rsid w:val="00F3148D"/>
    <w:pPr>
      <w:spacing w:after="0" w:line="240" w:lineRule="auto"/>
    </w:pPr>
    <w:rPr>
      <w:rFonts w:ascii="Arial" w:hAnsi="Arial"/>
      <w:sz w:val="16"/>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Caption">
    <w:name w:val="caption"/>
    <w:basedOn w:val="Normal"/>
    <w:next w:val="Normal"/>
    <w:uiPriority w:val="35"/>
    <w:rsid w:val="003D1E62"/>
    <w:pPr>
      <w:spacing w:before="0"/>
    </w:pPr>
    <w:rPr>
      <w:sz w:val="19"/>
      <w:szCs w:val="18"/>
    </w:rPr>
  </w:style>
  <w:style w:type="paragraph" w:customStyle="1" w:styleId="Contents">
    <w:name w:val="Contents"/>
    <w:basedOn w:val="Normal"/>
    <w:rsid w:val="003B4D60"/>
    <w:pPr>
      <w:spacing w:before="0" w:after="0"/>
    </w:pPr>
    <w:rPr>
      <w:rFonts w:ascii="Arial" w:hAnsi="Arial"/>
      <w:b/>
      <w:sz w:val="48"/>
    </w:rPr>
  </w:style>
  <w:style w:type="paragraph" w:styleId="Date">
    <w:name w:val="Date"/>
    <w:basedOn w:val="Normal"/>
    <w:next w:val="Normal"/>
    <w:link w:val="DateChar"/>
    <w:uiPriority w:val="99"/>
    <w:rsid w:val="00F3148D"/>
    <w:pPr>
      <w:spacing w:after="0"/>
    </w:pPr>
    <w:rPr>
      <w:rFonts w:ascii="Arial" w:hAnsi="Arial"/>
      <w:sz w:val="28"/>
    </w:rPr>
  </w:style>
  <w:style w:type="character" w:customStyle="1" w:styleId="DateChar">
    <w:name w:val="Date Char"/>
    <w:basedOn w:val="DefaultParagraphFont"/>
    <w:link w:val="Date"/>
    <w:uiPriority w:val="99"/>
    <w:rsid w:val="00F3148D"/>
    <w:rPr>
      <w:rFonts w:ascii="Arial" w:hAnsi="Arial"/>
      <w:sz w:val="28"/>
    </w:rPr>
  </w:style>
  <w:style w:type="paragraph" w:customStyle="1" w:styleId="FigureDescription">
    <w:name w:val="Figure Description"/>
    <w:basedOn w:val="Normal"/>
    <w:rsid w:val="003D1E62"/>
    <w:pPr>
      <w:spacing w:after="0"/>
    </w:pPr>
    <w:rPr>
      <w:sz w:val="19"/>
    </w:rPr>
  </w:style>
  <w:style w:type="paragraph" w:customStyle="1" w:styleId="FigureTitle">
    <w:name w:val="Figure Title"/>
    <w:basedOn w:val="Normal"/>
    <w:rsid w:val="001B5C90"/>
    <w:pPr>
      <w:keepNext/>
      <w:spacing w:line="220" w:lineRule="atLeast"/>
    </w:pPr>
    <w:rPr>
      <w:b/>
    </w:rPr>
  </w:style>
  <w:style w:type="character" w:customStyle="1" w:styleId="Heading4Char">
    <w:name w:val="Heading 4 Char"/>
    <w:basedOn w:val="DefaultParagraphFont"/>
    <w:link w:val="Heading4"/>
    <w:rsid w:val="00AD3935"/>
    <w:rPr>
      <w:rFonts w:ascii="Cambria" w:eastAsia="Cambria" w:hAnsi="Cambria" w:cs="Times New Roman"/>
      <w:b/>
      <w:bCs/>
      <w:szCs w:val="21"/>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3B4D60"/>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3B4D60"/>
    <w:rPr>
      <w:rFonts w:ascii="Cambria" w:eastAsia="Cambria" w:hAnsi="Cambria" w:cs="Times New Roman"/>
      <w:sz w:val="17"/>
    </w:rPr>
  </w:style>
  <w:style w:type="paragraph" w:styleId="Header">
    <w:name w:val="header"/>
    <w:basedOn w:val="Normal"/>
    <w:link w:val="HeaderChar"/>
    <w:uiPriority w:val="99"/>
    <w:rsid w:val="003B4D60"/>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basedOn w:val="DefaultParagraphFont"/>
    <w:link w:val="Header"/>
    <w:uiPriority w:val="99"/>
    <w:rsid w:val="003B4D60"/>
    <w:rPr>
      <w:rFonts w:ascii="Cambria" w:eastAsia="Cambria" w:hAnsi="Cambria" w:cs="Times New Roman"/>
      <w:sz w:val="17"/>
    </w:rPr>
  </w:style>
  <w:style w:type="paragraph" w:customStyle="1" w:styleId="HeaderNoLine">
    <w:name w:val="Header No Line"/>
    <w:basedOn w:val="Header"/>
    <w:rsid w:val="00F3148D"/>
    <w:pPr>
      <w:pBdr>
        <w:bottom w:val="none" w:sz="0" w:space="0" w:color="auto"/>
      </w:pBdr>
      <w:jc w:val="left"/>
    </w:pPr>
  </w:style>
  <w:style w:type="character" w:customStyle="1" w:styleId="Heading5Char">
    <w:name w:val="Heading 5 Char"/>
    <w:basedOn w:val="DefaultParagraphFont"/>
    <w:link w:val="Heading5"/>
    <w:rsid w:val="00AD3935"/>
    <w:rPr>
      <w:rFonts w:ascii="Cambria" w:eastAsia="Times New Roman" w:hAnsi="Cambria" w:cs="Times New Roman"/>
      <w:b/>
      <w:bCs/>
      <w:i/>
      <w:color w:val="001523"/>
      <w:szCs w:val="21"/>
    </w:rPr>
  </w:style>
  <w:style w:type="character" w:customStyle="1" w:styleId="Heading6Char">
    <w:name w:val="Heading 6 Char"/>
    <w:basedOn w:val="DefaultParagraphFont"/>
    <w:link w:val="Heading6"/>
    <w:uiPriority w:val="9"/>
    <w:rsid w:val="00577130"/>
    <w:rPr>
      <w:rFonts w:ascii="Cambria" w:eastAsia="Times New Roman" w:hAnsi="Cambria" w:cs="Times New Roman"/>
      <w:bCs/>
      <w:i/>
      <w:szCs w:val="21"/>
    </w:rPr>
  </w:style>
  <w:style w:type="character" w:customStyle="1" w:styleId="Heading7Char">
    <w:name w:val="Heading 7 Char"/>
    <w:basedOn w:val="DefaultParagraphFont"/>
    <w:link w:val="Heading7"/>
    <w:uiPriority w:val="9"/>
    <w:rsid w:val="00770CAC"/>
    <w:rPr>
      <w:rFonts w:ascii="Cambria" w:eastAsia="Times New Roman" w:hAnsi="Cambria" w:cs="Times New Roman"/>
      <w:bCs/>
      <w:sz w:val="20"/>
      <w:szCs w:val="24"/>
    </w:rPr>
  </w:style>
  <w:style w:type="character" w:styleId="Hyperlink">
    <w:name w:val="Hyperlink"/>
    <w:basedOn w:val="DefaultParagraphFont"/>
    <w:uiPriority w:val="99"/>
    <w:unhideWhenUsed/>
    <w:rsid w:val="008960DD"/>
    <w:rPr>
      <w:color w:val="0000FF"/>
      <w:u w:val="single"/>
    </w:rPr>
  </w:style>
  <w:style w:type="paragraph" w:customStyle="1" w:styleId="Key">
    <w:name w:val="Key"/>
    <w:basedOn w:val="Normal"/>
    <w:rsid w:val="00F3148D"/>
    <w:rPr>
      <w:sz w:val="14"/>
    </w:rPr>
  </w:style>
  <w:style w:type="paragraph" w:customStyle="1" w:styleId="LegalCopy">
    <w:name w:val="Legal Copy"/>
    <w:basedOn w:val="Footer"/>
    <w:rsid w:val="00F3148D"/>
  </w:style>
  <w:style w:type="paragraph" w:customStyle="1" w:styleId="LegalSubheading">
    <w:name w:val="Legal Subheading"/>
    <w:basedOn w:val="Footer"/>
    <w:rsid w:val="00C74F5C"/>
    <w:pPr>
      <w:outlineLvl w:val="1"/>
    </w:pPr>
    <w:rPr>
      <w:b/>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2"/>
    <w:qFormat/>
    <w:rsid w:val="001A03B1"/>
    <w:pPr>
      <w:numPr>
        <w:numId w:val="21"/>
      </w:numPr>
    </w:pPr>
  </w:style>
  <w:style w:type="paragraph" w:styleId="ListBullet2">
    <w:name w:val="List Bullet 2"/>
    <w:basedOn w:val="Normal"/>
    <w:uiPriority w:val="2"/>
    <w:qFormat/>
    <w:rsid w:val="004C2DCA"/>
    <w:pPr>
      <w:numPr>
        <w:ilvl w:val="1"/>
        <w:numId w:val="21"/>
      </w:numPr>
    </w:pPr>
  </w:style>
  <w:style w:type="paragraph" w:styleId="ListBullet3">
    <w:name w:val="List Bullet 3"/>
    <w:basedOn w:val="Normal"/>
    <w:uiPriority w:val="2"/>
    <w:qFormat/>
    <w:rsid w:val="004C2DCA"/>
    <w:pPr>
      <w:numPr>
        <w:ilvl w:val="2"/>
        <w:numId w:val="21"/>
      </w:numPr>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rsid w:val="00C74F5C"/>
    <w:pPr>
      <w:spacing w:before="240"/>
      <w:outlineLvl w:val="1"/>
    </w:pPr>
    <w:rPr>
      <w:rFonts w:ascii="Arial" w:hAnsi="Arial"/>
      <w:b/>
      <w:sz w:val="32"/>
    </w:rPr>
  </w:style>
  <w:style w:type="paragraph" w:customStyle="1" w:styleId="Notes">
    <w:name w:val="Notes"/>
    <w:basedOn w:val="Normal"/>
    <w:locked/>
    <w:rsid w:val="00F3148D"/>
    <w:pPr>
      <w:spacing w:after="0" w:line="240" w:lineRule="auto"/>
    </w:pPr>
    <w:rPr>
      <w:rFonts w:ascii="Arial" w:hAnsi="Arial"/>
      <w:sz w:val="16"/>
    </w:rPr>
  </w:style>
  <w:style w:type="paragraph" w:customStyle="1" w:styleId="Numberbullet0">
    <w:name w:val="Number bullet"/>
    <w:basedOn w:val="ListBullet"/>
    <w:uiPriority w:val="2"/>
    <w:qFormat/>
    <w:rsid w:val="004C2DCA"/>
    <w:pPr>
      <w:numPr>
        <w:numId w:val="24"/>
      </w:numPr>
    </w:pPr>
  </w:style>
  <w:style w:type="paragraph" w:customStyle="1" w:styleId="Numberbullet2">
    <w:name w:val="Number bullet 2"/>
    <w:basedOn w:val="ListBullet2"/>
    <w:uiPriority w:val="2"/>
    <w:qFormat/>
    <w:rsid w:val="004C2DCA"/>
    <w:pPr>
      <w:numPr>
        <w:numId w:val="24"/>
      </w:numPr>
    </w:pPr>
  </w:style>
  <w:style w:type="paragraph" w:customStyle="1" w:styleId="Numberbullet3">
    <w:name w:val="Number bullet 3"/>
    <w:basedOn w:val="ListBullet3"/>
    <w:uiPriority w:val="2"/>
    <w:qFormat/>
    <w:rsid w:val="004C2DCA"/>
    <w:pPr>
      <w:numPr>
        <w:numId w:val="24"/>
      </w:numPr>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styleId="Subtitle">
    <w:name w:val="Subtitle"/>
    <w:basedOn w:val="Normal"/>
    <w:next w:val="Normal"/>
    <w:link w:val="SubtitleChar"/>
    <w:uiPriority w:val="11"/>
    <w:rsid w:val="008A5E0B"/>
    <w:pPr>
      <w:numPr>
        <w:ilvl w:val="1"/>
      </w:numPr>
      <w:spacing w:after="360"/>
      <w:ind w:left="170"/>
    </w:pPr>
    <w:rPr>
      <w:rFonts w:ascii="Arial" w:eastAsia="Times New Roman" w:hAnsi="Arial"/>
      <w:bCs/>
      <w:iCs/>
      <w:sz w:val="40"/>
      <w:szCs w:val="24"/>
    </w:rPr>
  </w:style>
  <w:style w:type="character" w:customStyle="1" w:styleId="SubtitleChar">
    <w:name w:val="Subtitle Char"/>
    <w:basedOn w:val="DefaultParagraphFont"/>
    <w:link w:val="Subtitle"/>
    <w:uiPriority w:val="11"/>
    <w:rsid w:val="00F3148D"/>
    <w:rPr>
      <w:rFonts w:ascii="Arial" w:eastAsia="Times New Roman" w:hAnsi="Arial" w:cs="Times New Roman"/>
      <w:bCs/>
      <w:iCs/>
      <w:sz w:val="40"/>
      <w:szCs w:val="24"/>
    </w:rPr>
  </w:style>
  <w:style w:type="paragraph" w:customStyle="1" w:styleId="TableDescription">
    <w:name w:val="Table Description"/>
    <w:basedOn w:val="FigureDescription"/>
    <w:rsid w:val="00500337"/>
    <w:pPr>
      <w:spacing w:line="240" w:lineRule="auto"/>
    </w:pPr>
    <w:rPr>
      <w:szCs w:val="19"/>
    </w:rPr>
  </w:style>
  <w:style w:type="table" w:styleId="TableGrid">
    <w:name w:val="Table Grid"/>
    <w:basedOn w:val="TableNormal"/>
    <w:uiPriority w:val="59"/>
    <w:rsid w:val="00F3148D"/>
    <w:pPr>
      <w:spacing w:after="0" w:line="240" w:lineRule="auto"/>
    </w:pPr>
    <w:rPr>
      <w:rFonts w:ascii="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link w:val="TabletextChar"/>
    <w:qFormat/>
    <w:rsid w:val="00F3148D"/>
    <w:rPr>
      <w:sz w:val="19"/>
    </w:rPr>
  </w:style>
  <w:style w:type="table" w:customStyle="1" w:styleId="TableTGAblue">
    <w:name w:val="Table TGA blue"/>
    <w:basedOn w:val="TableNormal"/>
    <w:uiPriority w:val="99"/>
    <w:qFormat/>
    <w:rsid w:val="00FD119B"/>
    <w:pPr>
      <w:spacing w:after="0" w:line="240" w:lineRule="auto"/>
      <w:ind w:left="170" w:right="170"/>
    </w:pPr>
    <w:rPr>
      <w:rFonts w:ascii="Cambria" w:hAnsi="Cambria" w:cs="Times New Roman"/>
      <w:color w:val="000000" w:themeColor="text1"/>
      <w:szCs w:val="21"/>
      <w:lang w:eastAsia="en-AU"/>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auto"/>
    </w:tcPr>
    <w:tblStylePr w:type="firstRow">
      <w:pPr>
        <w:keepNext/>
        <w:wordWrap/>
      </w:pPr>
      <w:rPr>
        <w:rFonts w:ascii="Cambria" w:hAnsi="Cambria"/>
        <w:b/>
        <w:color w:val="FFFFFF" w:themeColor="background1"/>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EE1DE8"/>
    <w:pPr>
      <w:spacing w:before="60" w:after="0" w:line="240" w:lineRule="auto"/>
      <w:ind w:left="170" w:right="170"/>
    </w:pPr>
    <w:rPr>
      <w:rFonts w:ascii="Cambria" w:hAnsi="Cambria" w:cs="Times New Roman"/>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shd w:val="clear" w:color="auto" w:fill="000000" w:themeFill="text1"/>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customStyle="1" w:styleId="TableTitle">
    <w:name w:val="Table Title"/>
    <w:basedOn w:val="Normal"/>
    <w:rsid w:val="002E40B3"/>
    <w:pPr>
      <w:keepNext/>
    </w:pPr>
    <w:rPr>
      <w:b/>
    </w:rPr>
  </w:style>
  <w:style w:type="paragraph" w:customStyle="1" w:styleId="TGASignoff">
    <w:name w:val="TGA Signoff"/>
    <w:basedOn w:val="Normal"/>
    <w:rsid w:val="00F3148D"/>
    <w:pPr>
      <w:jc w:val="center"/>
    </w:pPr>
    <w:rPr>
      <w:rFonts w:ascii="Arial" w:hAnsi="Arial"/>
      <w:b/>
      <w:sz w:val="28"/>
    </w:rPr>
  </w:style>
  <w:style w:type="paragraph" w:styleId="Title">
    <w:name w:val="Title"/>
    <w:next w:val="Normal"/>
    <w:link w:val="TitleChar"/>
    <w:uiPriority w:val="10"/>
    <w:rsid w:val="00C74F5C"/>
    <w:pPr>
      <w:spacing w:after="480" w:line="240" w:lineRule="auto"/>
      <w:contextualSpacing/>
      <w:outlineLvl w:val="0"/>
    </w:pPr>
    <w:rPr>
      <w:rFonts w:ascii="Arial" w:eastAsia="Times New Roman" w:hAnsi="Arial" w:cs="Times New Roman"/>
      <w:spacing w:val="5"/>
      <w:kern w:val="28"/>
      <w:sz w:val="52"/>
      <w:szCs w:val="52"/>
    </w:rPr>
  </w:style>
  <w:style w:type="character" w:customStyle="1" w:styleId="TitleChar">
    <w:name w:val="Title Char"/>
    <w:basedOn w:val="DefaultParagraphFont"/>
    <w:link w:val="Title"/>
    <w:uiPriority w:val="10"/>
    <w:rsid w:val="00C74F5C"/>
    <w:rPr>
      <w:rFonts w:ascii="Arial" w:eastAsia="Times New Roman" w:hAnsi="Arial" w:cs="Times New Roman"/>
      <w:spacing w:val="5"/>
      <w:kern w:val="28"/>
      <w:sz w:val="52"/>
      <w:szCs w:val="52"/>
    </w:rPr>
  </w:style>
  <w:style w:type="paragraph" w:styleId="TOC1">
    <w:name w:val="toc 1"/>
    <w:basedOn w:val="Normal"/>
    <w:next w:val="Normal"/>
    <w:uiPriority w:val="39"/>
    <w:rsid w:val="00F3148D"/>
    <w:pPr>
      <w:tabs>
        <w:tab w:val="right" w:pos="8505"/>
      </w:tabs>
      <w:spacing w:after="200"/>
    </w:pPr>
    <w:rPr>
      <w:rFonts w:ascii="Arial" w:hAnsi="Arial"/>
      <w:b/>
      <w:sz w:val="32"/>
    </w:rPr>
  </w:style>
  <w:style w:type="paragraph" w:styleId="TOC2">
    <w:name w:val="toc 2"/>
    <w:basedOn w:val="Normal"/>
    <w:next w:val="Normal"/>
    <w:uiPriority w:val="39"/>
    <w:rsid w:val="00F3148D"/>
    <w:pPr>
      <w:tabs>
        <w:tab w:val="right" w:leader="underscore" w:pos="8505"/>
      </w:tabs>
      <w:spacing w:after="100"/>
      <w:ind w:left="624"/>
    </w:pPr>
    <w:rPr>
      <w:b/>
      <w:sz w:val="25"/>
    </w:rPr>
  </w:style>
  <w:style w:type="paragraph" w:styleId="TOC3">
    <w:name w:val="toc 3"/>
    <w:basedOn w:val="Normal"/>
    <w:next w:val="Normal"/>
    <w:uiPriority w:val="39"/>
    <w:rsid w:val="00F3148D"/>
    <w:pPr>
      <w:tabs>
        <w:tab w:val="right" w:leader="underscore" w:pos="8505"/>
      </w:tabs>
      <w:spacing w:after="100"/>
      <w:ind w:left="1021"/>
    </w:pPr>
  </w:style>
  <w:style w:type="paragraph" w:styleId="TOCHeading">
    <w:name w:val="TOC Heading"/>
    <w:basedOn w:val="Heading1"/>
    <w:next w:val="Normal"/>
    <w:uiPriority w:val="39"/>
    <w:semiHidden/>
    <w:unhideWhenUsed/>
    <w:qFormat/>
    <w:rsid w:val="00F3148D"/>
    <w:pPr>
      <w:framePr w:wrap="around" w:hAnchor="text"/>
      <w:spacing w:before="480" w:after="0" w:line="276" w:lineRule="auto"/>
      <w:outlineLvl w:val="9"/>
    </w:pPr>
    <w:rPr>
      <w:rFonts w:cstheme="minorBidi"/>
      <w:color w:val="002035"/>
      <w:sz w:val="28"/>
      <w:lang w:val="en-US"/>
    </w:rPr>
  </w:style>
  <w:style w:type="paragraph" w:styleId="FootnoteText">
    <w:name w:val="footnote text"/>
    <w:basedOn w:val="Normal"/>
    <w:link w:val="FootnoteTextChar"/>
    <w:unhideWhenUsed/>
    <w:rsid w:val="001B5C90"/>
    <w:pPr>
      <w:spacing w:before="0" w:after="0" w:line="240" w:lineRule="auto"/>
    </w:pPr>
    <w:rPr>
      <w:sz w:val="18"/>
      <w:szCs w:val="20"/>
    </w:rPr>
  </w:style>
  <w:style w:type="character" w:customStyle="1" w:styleId="FootnoteTextChar">
    <w:name w:val="Footnote Text Char"/>
    <w:basedOn w:val="DefaultParagraphFont"/>
    <w:link w:val="FootnoteText"/>
    <w:rsid w:val="001B5C90"/>
    <w:rPr>
      <w:rFonts w:ascii="Cambria" w:eastAsia="Cambria" w:hAnsi="Cambria" w:cs="Times New Roman"/>
      <w:sz w:val="18"/>
      <w:szCs w:val="20"/>
    </w:rPr>
  </w:style>
  <w:style w:type="character" w:styleId="FootnoteReference">
    <w:name w:val="footnote reference"/>
    <w:basedOn w:val="DefaultParagraphFont"/>
    <w:uiPriority w:val="99"/>
    <w:unhideWhenUsed/>
    <w:rsid w:val="001B5C90"/>
    <w:rPr>
      <w:vertAlign w:val="superscript"/>
    </w:rPr>
  </w:style>
  <w:style w:type="paragraph" w:customStyle="1" w:styleId="Quotation">
    <w:name w:val="Quotation"/>
    <w:basedOn w:val="Normal"/>
    <w:next w:val="Normal"/>
    <w:uiPriority w:val="4"/>
    <w:qFormat/>
    <w:rsid w:val="00E13FC7"/>
    <w:pPr>
      <w:spacing w:after="180"/>
      <w:ind w:left="425"/>
    </w:pPr>
    <w:rPr>
      <w:rFonts w:eastAsiaTheme="minorEastAsia" w:cstheme="minorBidi"/>
      <w:sz w:val="20"/>
      <w:lang w:eastAsia="zh-TW"/>
    </w:rPr>
  </w:style>
  <w:style w:type="paragraph" w:customStyle="1" w:styleId="Comment">
    <w:name w:val="Comment"/>
    <w:basedOn w:val="Normal"/>
    <w:next w:val="Normal"/>
    <w:uiPriority w:val="1"/>
    <w:qFormat/>
    <w:rsid w:val="00DD28CD"/>
    <w:pPr>
      <w:ind w:left="992" w:hanging="992"/>
    </w:pPr>
  </w:style>
  <w:style w:type="paragraph" w:styleId="EndnoteText">
    <w:name w:val="endnote text"/>
    <w:basedOn w:val="Normal"/>
    <w:link w:val="EndnoteTextChar"/>
    <w:uiPriority w:val="99"/>
    <w:semiHidden/>
    <w:unhideWhenUsed/>
    <w:rsid w:val="000E6196"/>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0E6196"/>
    <w:rPr>
      <w:rFonts w:ascii="Cambria" w:eastAsia="Cambria" w:hAnsi="Cambria" w:cs="Times New Roman"/>
      <w:sz w:val="20"/>
      <w:szCs w:val="20"/>
    </w:rPr>
  </w:style>
  <w:style w:type="character" w:styleId="EndnoteReference">
    <w:name w:val="endnote reference"/>
    <w:basedOn w:val="DefaultParagraphFont"/>
    <w:uiPriority w:val="99"/>
    <w:semiHidden/>
    <w:unhideWhenUsed/>
    <w:rsid w:val="000E6196"/>
    <w:rPr>
      <w:vertAlign w:val="superscript"/>
    </w:rPr>
  </w:style>
  <w:style w:type="character" w:styleId="CommentReference">
    <w:name w:val="annotation reference"/>
    <w:basedOn w:val="DefaultParagraphFont"/>
    <w:uiPriority w:val="99"/>
    <w:semiHidden/>
    <w:unhideWhenUsed/>
    <w:rsid w:val="00EC463D"/>
    <w:rPr>
      <w:sz w:val="16"/>
      <w:szCs w:val="16"/>
    </w:rPr>
  </w:style>
  <w:style w:type="paragraph" w:styleId="CommentText">
    <w:name w:val="annotation text"/>
    <w:basedOn w:val="Normal"/>
    <w:link w:val="CommentTextChar"/>
    <w:uiPriority w:val="99"/>
    <w:semiHidden/>
    <w:unhideWhenUsed/>
    <w:rsid w:val="00EC463D"/>
    <w:pPr>
      <w:spacing w:line="240" w:lineRule="auto"/>
    </w:pPr>
    <w:rPr>
      <w:sz w:val="20"/>
      <w:szCs w:val="20"/>
    </w:rPr>
  </w:style>
  <w:style w:type="character" w:customStyle="1" w:styleId="CommentTextChar">
    <w:name w:val="Comment Text Char"/>
    <w:basedOn w:val="DefaultParagraphFont"/>
    <w:link w:val="CommentText"/>
    <w:uiPriority w:val="99"/>
    <w:semiHidden/>
    <w:rsid w:val="00EC463D"/>
    <w:rPr>
      <w:rFonts w:ascii="Cambria" w:eastAsia="Cambria" w:hAnsi="Cambria" w:cs="Times New Roman"/>
      <w:sz w:val="20"/>
      <w:szCs w:val="20"/>
    </w:rPr>
  </w:style>
  <w:style w:type="paragraph" w:styleId="CommentSubject">
    <w:name w:val="annotation subject"/>
    <w:basedOn w:val="CommentText"/>
    <w:next w:val="CommentText"/>
    <w:link w:val="CommentSubjectChar"/>
    <w:uiPriority w:val="99"/>
    <w:semiHidden/>
    <w:unhideWhenUsed/>
    <w:rsid w:val="00EC463D"/>
    <w:rPr>
      <w:b/>
      <w:bCs/>
    </w:rPr>
  </w:style>
  <w:style w:type="character" w:customStyle="1" w:styleId="CommentSubjectChar">
    <w:name w:val="Comment Subject Char"/>
    <w:basedOn w:val="CommentTextChar"/>
    <w:link w:val="CommentSubject"/>
    <w:uiPriority w:val="99"/>
    <w:semiHidden/>
    <w:rsid w:val="00EC463D"/>
    <w:rPr>
      <w:rFonts w:ascii="Cambria" w:eastAsia="Cambria" w:hAnsi="Cambria" w:cs="Times New Roman"/>
      <w:b/>
      <w:bCs/>
      <w:sz w:val="20"/>
      <w:szCs w:val="20"/>
    </w:rPr>
  </w:style>
  <w:style w:type="paragraph" w:styleId="Revision">
    <w:name w:val="Revision"/>
    <w:hidden/>
    <w:uiPriority w:val="99"/>
    <w:semiHidden/>
    <w:rsid w:val="003442FD"/>
    <w:pPr>
      <w:spacing w:after="0" w:line="240" w:lineRule="auto"/>
    </w:pPr>
    <w:rPr>
      <w:rFonts w:ascii="Cambria" w:eastAsia="Cambria" w:hAnsi="Cambria" w:cs="Times New Roman"/>
    </w:rPr>
  </w:style>
  <w:style w:type="paragraph" w:customStyle="1" w:styleId="Instructions">
    <w:name w:val="Instructions"/>
    <w:basedOn w:val="Normal"/>
    <w:next w:val="Normal"/>
    <w:uiPriority w:val="1"/>
    <w:qFormat/>
    <w:rsid w:val="00EE27C2"/>
    <w:rPr>
      <w:i/>
      <w:color w:val="007099"/>
    </w:rPr>
  </w:style>
  <w:style w:type="character" w:customStyle="1" w:styleId="st1">
    <w:name w:val="st1"/>
    <w:basedOn w:val="DefaultParagraphFont"/>
    <w:rsid w:val="00E668FD"/>
    <w:rPr>
      <w:b w:val="0"/>
      <w:bCs w:val="0"/>
      <w:color w:val="222222"/>
      <w:sz w:val="27"/>
      <w:szCs w:val="27"/>
    </w:rPr>
  </w:style>
  <w:style w:type="paragraph" w:customStyle="1" w:styleId="Bulletpoint">
    <w:name w:val="Bullet point"/>
    <w:basedOn w:val="Normal"/>
    <w:rsid w:val="00AC7CFC"/>
    <w:pPr>
      <w:numPr>
        <w:numId w:val="29"/>
      </w:numPr>
      <w:tabs>
        <w:tab w:val="clear" w:pos="369"/>
        <w:tab w:val="left" w:pos="397"/>
        <w:tab w:val="num" w:pos="511"/>
      </w:tabs>
      <w:spacing w:before="0" w:after="180" w:line="252" w:lineRule="auto"/>
    </w:pPr>
    <w:rPr>
      <w:rFonts w:asciiTheme="minorHAnsi" w:eastAsia="Times New Roman" w:hAnsiTheme="minorHAnsi" w:cstheme="minorBidi"/>
      <w:snapToGrid w:val="0"/>
      <w:kern w:val="16"/>
      <w:szCs w:val="24"/>
      <w:lang w:eastAsia="en-AU"/>
    </w:rPr>
  </w:style>
  <w:style w:type="paragraph" w:styleId="ListParagraph">
    <w:name w:val="List Paragraph"/>
    <w:basedOn w:val="Normal"/>
    <w:link w:val="ListParagraphChar"/>
    <w:uiPriority w:val="34"/>
    <w:rsid w:val="00AC7CFC"/>
    <w:pPr>
      <w:adjustRightInd w:val="0"/>
      <w:snapToGrid w:val="0"/>
      <w:spacing w:before="180" w:after="180"/>
      <w:ind w:left="720"/>
      <w:contextualSpacing/>
    </w:pPr>
    <w:rPr>
      <w:rFonts w:eastAsia="MS Mincho"/>
      <w:szCs w:val="20"/>
      <w:lang w:eastAsia="ja-JP"/>
    </w:rPr>
  </w:style>
  <w:style w:type="character" w:customStyle="1" w:styleId="ListParagraphChar">
    <w:name w:val="List Paragraph Char"/>
    <w:basedOn w:val="DefaultParagraphFont"/>
    <w:link w:val="ListParagraph"/>
    <w:uiPriority w:val="34"/>
    <w:rsid w:val="00AC7CFC"/>
    <w:rPr>
      <w:rFonts w:ascii="Cambria" w:eastAsia="MS Mincho" w:hAnsi="Cambria" w:cs="Times New Roman"/>
      <w:szCs w:val="20"/>
      <w:lang w:eastAsia="ja-JP"/>
    </w:rPr>
  </w:style>
  <w:style w:type="paragraph" w:customStyle="1" w:styleId="Standard">
    <w:name w:val="Standard"/>
    <w:basedOn w:val="Normal"/>
    <w:link w:val="StandardChar"/>
    <w:qFormat/>
    <w:rsid w:val="00E32453"/>
    <w:pPr>
      <w:spacing w:before="0" w:after="220" w:line="252" w:lineRule="auto"/>
    </w:pPr>
    <w:rPr>
      <w:rFonts w:eastAsia="Times New Roman"/>
      <w:snapToGrid w:val="0"/>
      <w:kern w:val="16"/>
      <w:sz w:val="23"/>
      <w:szCs w:val="24"/>
    </w:rPr>
  </w:style>
  <w:style w:type="character" w:customStyle="1" w:styleId="StandardChar">
    <w:name w:val="Standard Char"/>
    <w:basedOn w:val="DefaultParagraphFont"/>
    <w:link w:val="Standard"/>
    <w:rsid w:val="00E32453"/>
    <w:rPr>
      <w:rFonts w:ascii="Cambria" w:eastAsia="Times New Roman" w:hAnsi="Cambria" w:cs="Times New Roman"/>
      <w:snapToGrid w:val="0"/>
      <w:kern w:val="16"/>
      <w:sz w:val="23"/>
      <w:szCs w:val="24"/>
    </w:rPr>
  </w:style>
  <w:style w:type="paragraph" w:customStyle="1" w:styleId="Bulletlist">
    <w:name w:val="Bullet list"/>
    <w:basedOn w:val="Standard"/>
    <w:link w:val="BulletlistChar"/>
    <w:qFormat/>
    <w:rsid w:val="00E32453"/>
    <w:pPr>
      <w:numPr>
        <w:numId w:val="32"/>
      </w:numPr>
      <w:spacing w:after="180"/>
    </w:pPr>
    <w:rPr>
      <w:kern w:val="2"/>
    </w:rPr>
  </w:style>
  <w:style w:type="character" w:customStyle="1" w:styleId="TabletextChar">
    <w:name w:val="Table text Char"/>
    <w:basedOn w:val="StandardChar"/>
    <w:link w:val="Tabletext"/>
    <w:rsid w:val="00E32453"/>
    <w:rPr>
      <w:rFonts w:ascii="Cambria" w:eastAsia="Cambria" w:hAnsi="Cambria" w:cs="Times New Roman"/>
      <w:snapToGrid/>
      <w:kern w:val="16"/>
      <w:sz w:val="19"/>
      <w:szCs w:val="24"/>
    </w:rPr>
  </w:style>
  <w:style w:type="character" w:customStyle="1" w:styleId="BulletlistChar">
    <w:name w:val="Bullet list Char"/>
    <w:basedOn w:val="StandardChar"/>
    <w:link w:val="Bulletlist"/>
    <w:rsid w:val="00E32453"/>
    <w:rPr>
      <w:rFonts w:ascii="Cambria" w:eastAsia="Times New Roman" w:hAnsi="Cambria" w:cs="Times New Roman"/>
      <w:snapToGrid w:val="0"/>
      <w:kern w:val="2"/>
      <w:sz w:val="23"/>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96095">
      <w:bodyDiv w:val="1"/>
      <w:marLeft w:val="0"/>
      <w:marRight w:val="0"/>
      <w:marTop w:val="0"/>
      <w:marBottom w:val="0"/>
      <w:divBdr>
        <w:top w:val="none" w:sz="0" w:space="0" w:color="auto"/>
        <w:left w:val="none" w:sz="0" w:space="0" w:color="auto"/>
        <w:bottom w:val="none" w:sz="0" w:space="0" w:color="auto"/>
        <w:right w:val="none" w:sz="0" w:space="0" w:color="auto"/>
      </w:divBdr>
    </w:div>
    <w:div w:id="357195369">
      <w:bodyDiv w:val="1"/>
      <w:marLeft w:val="0"/>
      <w:marRight w:val="0"/>
      <w:marTop w:val="0"/>
      <w:marBottom w:val="0"/>
      <w:divBdr>
        <w:top w:val="none" w:sz="0" w:space="0" w:color="auto"/>
        <w:left w:val="none" w:sz="0" w:space="0" w:color="auto"/>
        <w:bottom w:val="none" w:sz="0" w:space="0" w:color="auto"/>
        <w:right w:val="none" w:sz="0" w:space="0" w:color="auto"/>
      </w:divBdr>
    </w:div>
    <w:div w:id="663822495">
      <w:bodyDiv w:val="1"/>
      <w:marLeft w:val="0"/>
      <w:marRight w:val="0"/>
      <w:marTop w:val="0"/>
      <w:marBottom w:val="0"/>
      <w:divBdr>
        <w:top w:val="none" w:sz="0" w:space="0" w:color="auto"/>
        <w:left w:val="none" w:sz="0" w:space="0" w:color="auto"/>
        <w:bottom w:val="none" w:sz="0" w:space="0" w:color="auto"/>
        <w:right w:val="none" w:sz="0" w:space="0" w:color="auto"/>
      </w:divBdr>
      <w:divsChild>
        <w:div w:id="553081903">
          <w:marLeft w:val="0"/>
          <w:marRight w:val="0"/>
          <w:marTop w:val="0"/>
          <w:marBottom w:val="0"/>
          <w:divBdr>
            <w:top w:val="none" w:sz="0" w:space="0" w:color="auto"/>
            <w:left w:val="none" w:sz="0" w:space="0" w:color="auto"/>
            <w:bottom w:val="none" w:sz="0" w:space="0" w:color="auto"/>
            <w:right w:val="none" w:sz="0" w:space="0" w:color="auto"/>
          </w:divBdr>
          <w:divsChild>
            <w:div w:id="201090690">
              <w:marLeft w:val="0"/>
              <w:marRight w:val="0"/>
              <w:marTop w:val="0"/>
              <w:marBottom w:val="0"/>
              <w:divBdr>
                <w:top w:val="none" w:sz="0" w:space="0" w:color="auto"/>
                <w:left w:val="none" w:sz="0" w:space="0" w:color="auto"/>
                <w:bottom w:val="none" w:sz="0" w:space="0" w:color="auto"/>
                <w:right w:val="none" w:sz="0" w:space="0" w:color="auto"/>
              </w:divBdr>
              <w:divsChild>
                <w:div w:id="1067993300">
                  <w:marLeft w:val="0"/>
                  <w:marRight w:val="0"/>
                  <w:marTop w:val="0"/>
                  <w:marBottom w:val="0"/>
                  <w:divBdr>
                    <w:top w:val="none" w:sz="0" w:space="0" w:color="auto"/>
                    <w:left w:val="none" w:sz="0" w:space="0" w:color="auto"/>
                    <w:bottom w:val="none" w:sz="0" w:space="0" w:color="auto"/>
                    <w:right w:val="none" w:sz="0" w:space="0" w:color="auto"/>
                  </w:divBdr>
                  <w:divsChild>
                    <w:div w:id="852955452">
                      <w:marLeft w:val="0"/>
                      <w:marRight w:val="0"/>
                      <w:marTop w:val="0"/>
                      <w:marBottom w:val="0"/>
                      <w:divBdr>
                        <w:top w:val="none" w:sz="0" w:space="0" w:color="auto"/>
                        <w:left w:val="none" w:sz="0" w:space="0" w:color="auto"/>
                        <w:bottom w:val="none" w:sz="0" w:space="0" w:color="auto"/>
                        <w:right w:val="none" w:sz="0" w:space="0" w:color="auto"/>
                      </w:divBdr>
                      <w:divsChild>
                        <w:div w:id="1441101060">
                          <w:marLeft w:val="0"/>
                          <w:marRight w:val="0"/>
                          <w:marTop w:val="0"/>
                          <w:marBottom w:val="0"/>
                          <w:divBdr>
                            <w:top w:val="none" w:sz="0" w:space="0" w:color="auto"/>
                            <w:left w:val="none" w:sz="0" w:space="0" w:color="auto"/>
                            <w:bottom w:val="none" w:sz="0" w:space="0" w:color="auto"/>
                            <w:right w:val="none" w:sz="0" w:space="0" w:color="auto"/>
                          </w:divBdr>
                          <w:divsChild>
                            <w:div w:id="204684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678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image" Target="media/image7.png"/><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2.png"/><Relationship Id="rId34" Type="http://schemas.openxmlformats.org/officeDocument/2006/relationships/header" Target="header7.xml"/><Relationship Id="rId42"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hyperlink" Target="mailto:tga.copyright@tga.gov.au" TargetMode="External"/><Relationship Id="rId17" Type="http://schemas.openxmlformats.org/officeDocument/2006/relationships/header" Target="header3.xml"/><Relationship Id="rId25" Type="http://schemas.openxmlformats.org/officeDocument/2006/relationships/image" Target="media/image6.png"/><Relationship Id="rId33" Type="http://schemas.openxmlformats.org/officeDocument/2006/relationships/hyperlink" Target="https://www.tga.gov.au" TargetMode="External"/><Relationship Id="rId38"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legislation.gov.au/Details/C2014C00410" TargetMode="External"/><Relationship Id="rId29" Type="http://schemas.openxmlformats.org/officeDocument/2006/relationships/header" Target="header5.xml"/><Relationship Id="rId41"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ga.gov.au" TargetMode="External"/><Relationship Id="rId24" Type="http://schemas.openxmlformats.org/officeDocument/2006/relationships/image" Target="media/image5.png"/><Relationship Id="rId32" Type="http://schemas.openxmlformats.org/officeDocument/2006/relationships/hyperlink" Target="mailto:info@tga.gov.au" TargetMode="External"/><Relationship Id="rId37" Type="http://schemas.openxmlformats.org/officeDocument/2006/relationships/header" Target="header9.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image" Target="media/image4.png"/><Relationship Id="rId28" Type="http://schemas.openxmlformats.org/officeDocument/2006/relationships/header" Target="header4.xml"/><Relationship Id="rId36"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hyperlink" Target="https://www.tga.gov.au/product-information-pi" TargetMode="External"/><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image" Target="media/image3.png"/><Relationship Id="rId27" Type="http://schemas.openxmlformats.org/officeDocument/2006/relationships/hyperlink" Target="https://www.tga.gov.au/product-information-pi" TargetMode="External"/><Relationship Id="rId30" Type="http://schemas.openxmlformats.org/officeDocument/2006/relationships/header" Target="header6.xml"/><Relationship Id="rId35" Type="http://schemas.openxmlformats.org/officeDocument/2006/relationships/header" Target="header8.xml"/></Relationships>
</file>

<file path=word/_rels/footnotes.xml.rels><?xml version="1.0" encoding="UTF-8" standalone="yes"?>
<Relationships xmlns="http://schemas.openxmlformats.org/package/2006/relationships"><Relationship Id="rId1" Type="http://schemas.openxmlformats.org/officeDocument/2006/relationships/hyperlink" Target="https://www.tga.gov.au/therapeutic-goods-orders"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ergul\AppData\Local\Hewlett-Packard\HP%20TRIM\TEMP\HPTRIM.17788\t0QACUQ1.DOTX" TargetMode="External"/></Relationships>
</file>

<file path=word/theme/theme1.xml><?xml version="1.0" encoding="utf-8"?>
<a:theme xmlns:a="http://schemas.openxmlformats.org/drawingml/2006/main" name="TGA">
  <a:themeElements>
    <a:clrScheme name="TGA_Colours">
      <a:dk1>
        <a:sysClr val="windowText" lastClr="000000"/>
      </a:dk1>
      <a:lt1>
        <a:sysClr val="window" lastClr="FFFFFF"/>
      </a:lt1>
      <a:dk2>
        <a:srgbClr val="002C47"/>
      </a:dk2>
      <a:lt2>
        <a:srgbClr val="50555C"/>
      </a:lt2>
      <a:accent1>
        <a:srgbClr val="002C47"/>
      </a:accent1>
      <a:accent2>
        <a:srgbClr val="B3C960"/>
      </a:accent2>
      <a:accent3>
        <a:srgbClr val="006DA7"/>
      </a:accent3>
      <a:accent4>
        <a:srgbClr val="006664"/>
      </a:accent4>
      <a:accent5>
        <a:srgbClr val="4D2779"/>
      </a:accent5>
      <a:accent6>
        <a:srgbClr val="25451C"/>
      </a:accent6>
      <a:hlink>
        <a:srgbClr val="50555C"/>
      </a:hlink>
      <a:folHlink>
        <a:srgbClr val="365171"/>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C14AAD1DBFF614B838A39C8939D29D7" ma:contentTypeVersion="9" ma:contentTypeDescription="Create a new document." ma:contentTypeScope="" ma:versionID="269533b287bbe16dfc314c2f6ae1d534">
  <xsd:schema xmlns:xsd="http://www.w3.org/2001/XMLSchema" xmlns:xs="http://www.w3.org/2001/XMLSchema" xmlns:p="http://schemas.microsoft.com/office/2006/metadata/properties" xmlns:ns2="1741c4b9-69f4-4730-97a3-6d1739910d43" targetNamespace="http://schemas.microsoft.com/office/2006/metadata/properties" ma:root="true" ma:fieldsID="6fab84a40e67bc9b673b2be0a749668a" ns2:_="">
    <xsd:import namespace="1741c4b9-69f4-4730-97a3-6d1739910d4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AutoKeyPoints" minOccurs="0"/>
                <xsd:element ref="ns2:MediaServiceKeyPoint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41c4b9-69f4-4730-97a3-6d1739910d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E930D4-5C43-46E8-B2E0-388B73E8B6C5}">
  <ds:schemaRefs>
    <ds:schemaRef ds:uri="http://schemas.microsoft.com/office/2006/documentManagement/types"/>
    <ds:schemaRef ds:uri="http://purl.org/dc/elements/1.1/"/>
    <ds:schemaRef ds:uri="http://schemas.openxmlformats.org/package/2006/metadata/core-properties"/>
    <ds:schemaRef ds:uri="http://schemas.microsoft.com/office/infopath/2007/PartnerControls"/>
    <ds:schemaRef ds:uri="1741c4b9-69f4-4730-97a3-6d1739910d43"/>
    <ds:schemaRef ds:uri="http://purl.org/dc/terms/"/>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BD06929B-D29E-43A8-A7FB-B1A1DCA391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41c4b9-69f4-4730-97a3-6d1739910d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12504D-F588-4E72-88AF-8980556B670A}">
  <ds:schemaRefs>
    <ds:schemaRef ds:uri="http://schemas.microsoft.com/sharepoint/v3/contenttype/forms"/>
  </ds:schemaRefs>
</ds:datastoreItem>
</file>

<file path=customXml/itemProps4.xml><?xml version="1.0" encoding="utf-8"?>
<ds:datastoreItem xmlns:ds="http://schemas.openxmlformats.org/officeDocument/2006/customXml" ds:itemID="{4A977B94-28AF-4D5E-B5EC-E79E5758C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t0QACUQ1</Template>
  <TotalTime>71</TotalTime>
  <Pages>22</Pages>
  <Words>5601</Words>
  <Characters>31593</Characters>
  <Application>Microsoft Office Word</Application>
  <DocSecurity>0</DocSecurity>
  <Lines>752</Lines>
  <Paragraphs>432</Paragraphs>
  <ScaleCrop>false</ScaleCrop>
  <HeadingPairs>
    <vt:vector size="2" baseType="variant">
      <vt:variant>
        <vt:lpstr>Title</vt:lpstr>
      </vt:variant>
      <vt:variant>
        <vt:i4>1</vt:i4>
      </vt:variant>
    </vt:vector>
  </HeadingPairs>
  <TitlesOfParts>
    <vt:vector size="1" baseType="lpstr">
      <vt:lpstr>Australian public assessment report forCiclosporin</vt:lpstr>
    </vt:vector>
  </TitlesOfParts>
  <Company>Department of Health Therapeutic Goods Administration</Company>
  <LinksUpToDate>false</LinksUpToDate>
  <CharactersWithSpaces>36762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public assessment report for Ciclosporin</dc:title>
  <dc:subject>prescription medicines</dc:subject>
  <dc:creator>Therapeutic Goods Administration</dc:creator>
  <cp:lastPrinted>2019-08-14T04:30:00Z</cp:lastPrinted>
  <dcterms:created xsi:type="dcterms:W3CDTF">2020-05-12T23:12:00Z</dcterms:created>
  <dcterms:modified xsi:type="dcterms:W3CDTF">2020-05-13T00:25:00Z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0x0101007C14AAD1DBFF614B838A39C8939D29D7</vt:lpwstr>
  </property>
</Properties>
</file>