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96978" w14:textId="29B8D054" w:rsidR="00491C41" w:rsidRDefault="00526341" w:rsidP="007C336D">
      <w:r w:rsidRPr="00526341">
        <w:rPr>
          <w:noProof/>
          <w:lang w:eastAsia="en-AU"/>
        </w:rPr>
        <w:drawing>
          <wp:inline distT="0" distB="0" distL="0" distR="0" wp14:anchorId="4B501D92" wp14:editId="53B6DFE9">
            <wp:extent cx="182880" cy="175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75260"/>
                    </a:xfrm>
                    <a:prstGeom prst="rect">
                      <a:avLst/>
                    </a:prstGeom>
                    <a:noFill/>
                    <a:ln>
                      <a:noFill/>
                    </a:ln>
                  </pic:spPr>
                </pic:pic>
              </a:graphicData>
            </a:graphic>
          </wp:inline>
        </w:drawing>
      </w:r>
      <w:r w:rsidRPr="00526341">
        <w:t xml:space="preserve"> This medicinal product is subject to additional monitoring in Australia. This will allow quick identification of new safety information. Healthcare professionals are asked to report any suspected adverse events at </w:t>
      </w:r>
      <w:hyperlink r:id="rId11" w:history="1">
        <w:r w:rsidRPr="00526341">
          <w:rPr>
            <w:rStyle w:val="Hyperlink"/>
          </w:rPr>
          <w:t>www.tga.gov.au/reporting-problems</w:t>
        </w:r>
      </w:hyperlink>
      <w:r w:rsidRPr="00526341">
        <w:t>.</w:t>
      </w:r>
    </w:p>
    <w:p w14:paraId="0AC50919" w14:textId="4FA9FFEB" w:rsidR="004032BD" w:rsidRPr="006F6631" w:rsidRDefault="004032BD" w:rsidP="00DF5E99">
      <w:pPr>
        <w:pStyle w:val="Heading1"/>
        <w:numPr>
          <w:ilvl w:val="0"/>
          <w:numId w:val="0"/>
        </w:numPr>
        <w:spacing w:after="240"/>
        <w:rPr>
          <w:rFonts w:eastAsia="SimSun" w:cstheme="minorHAnsi"/>
        </w:rPr>
      </w:pPr>
      <w:r w:rsidRPr="006F6631">
        <w:rPr>
          <w:rFonts w:eastAsia="SimSun" w:cstheme="minorHAnsi"/>
        </w:rPr>
        <w:t>Australian P</w:t>
      </w:r>
      <w:r w:rsidR="00610CA0">
        <w:rPr>
          <w:rFonts w:eastAsia="SimSun" w:cstheme="minorHAnsi"/>
        </w:rPr>
        <w:t xml:space="preserve">roduct </w:t>
      </w:r>
      <w:r w:rsidRPr="006F6631">
        <w:rPr>
          <w:rFonts w:eastAsia="SimSun" w:cstheme="minorHAnsi"/>
        </w:rPr>
        <w:t>I</w:t>
      </w:r>
      <w:r w:rsidR="00610CA0">
        <w:rPr>
          <w:rFonts w:eastAsia="SimSun" w:cstheme="minorHAnsi"/>
        </w:rPr>
        <w:t>nformation</w:t>
      </w:r>
      <w:r w:rsidRPr="006F6631">
        <w:rPr>
          <w:rFonts w:eastAsia="SimSun" w:cstheme="minorHAnsi"/>
        </w:rPr>
        <w:t xml:space="preserve"> – </w:t>
      </w:r>
      <w:r w:rsidR="00DD278D" w:rsidRPr="006F6631">
        <w:rPr>
          <w:rFonts w:eastAsia="SimSun" w:cstheme="minorHAnsi"/>
        </w:rPr>
        <w:t>cequa</w:t>
      </w:r>
      <w:r w:rsidR="00DD278D" w:rsidRPr="006F6631">
        <w:rPr>
          <w:rFonts w:eastAsia="SimSun" w:cstheme="minorHAnsi"/>
          <w:vertAlign w:val="superscript"/>
        </w:rPr>
        <w:t>tm</w:t>
      </w:r>
      <w:r w:rsidR="007E693C" w:rsidRPr="006F6631">
        <w:rPr>
          <w:rFonts w:eastAsia="SimSun" w:cstheme="minorHAnsi"/>
        </w:rPr>
        <w:t xml:space="preserve"> </w:t>
      </w:r>
      <w:r w:rsidRPr="006F6631">
        <w:rPr>
          <w:rFonts w:eastAsia="SimSun" w:cstheme="minorHAnsi"/>
        </w:rPr>
        <w:t>(</w:t>
      </w:r>
      <w:r w:rsidR="00DD278D" w:rsidRPr="006F6631">
        <w:rPr>
          <w:rFonts w:eastAsia="SimSun" w:cstheme="minorHAnsi"/>
        </w:rPr>
        <w:t>ciclosporin</w:t>
      </w:r>
      <w:r w:rsidRPr="006F6631">
        <w:rPr>
          <w:rFonts w:eastAsia="SimSun" w:cstheme="minorHAnsi"/>
        </w:rPr>
        <w:t>)</w:t>
      </w:r>
      <w:r w:rsidR="00497C85" w:rsidRPr="006F6631">
        <w:rPr>
          <w:rFonts w:eastAsia="SimSun" w:cstheme="minorHAnsi"/>
        </w:rPr>
        <w:t xml:space="preserve"> </w:t>
      </w:r>
      <w:r w:rsidR="005E5F17" w:rsidRPr="006F6631">
        <w:rPr>
          <w:rFonts w:eastAsia="SimSun" w:cstheme="minorHAnsi"/>
        </w:rPr>
        <w:t>eye drops</w:t>
      </w:r>
    </w:p>
    <w:p w14:paraId="43FAAEA4" w14:textId="2995FDFE" w:rsidR="001A3992" w:rsidRPr="006F6631" w:rsidRDefault="001A3992" w:rsidP="00DF5E99">
      <w:pPr>
        <w:pStyle w:val="Heading1"/>
        <w:spacing w:before="0" w:after="120"/>
        <w:ind w:left="431" w:hanging="431"/>
        <w:rPr>
          <w:rFonts w:cstheme="minorHAnsi"/>
        </w:rPr>
      </w:pPr>
      <w:r w:rsidRPr="006F6631">
        <w:rPr>
          <w:rFonts w:cstheme="minorHAnsi"/>
        </w:rPr>
        <w:t>Name of the medicine</w:t>
      </w:r>
    </w:p>
    <w:p w14:paraId="7A3DBE94" w14:textId="291D08A8" w:rsidR="005E5F17" w:rsidRPr="006F6631" w:rsidRDefault="005E5F17" w:rsidP="005E5F17">
      <w:pPr>
        <w:rPr>
          <w:rFonts w:asciiTheme="majorHAnsi" w:hAnsiTheme="majorHAnsi"/>
        </w:rPr>
      </w:pPr>
      <w:r w:rsidRPr="006F6631">
        <w:rPr>
          <w:rFonts w:asciiTheme="majorHAnsi" w:hAnsiTheme="majorHAnsi"/>
        </w:rPr>
        <w:t>Ciclosporin</w:t>
      </w:r>
    </w:p>
    <w:p w14:paraId="030AAA04" w14:textId="77777777" w:rsidR="001A3992" w:rsidRPr="006F6631" w:rsidRDefault="001A3992" w:rsidP="001A3992">
      <w:pPr>
        <w:pStyle w:val="Heading1"/>
        <w:spacing w:before="0" w:after="120"/>
        <w:rPr>
          <w:rFonts w:cstheme="minorHAnsi"/>
        </w:rPr>
      </w:pPr>
      <w:r w:rsidRPr="006F6631">
        <w:rPr>
          <w:rFonts w:cstheme="minorHAnsi"/>
        </w:rPr>
        <w:t>Qualitative and quantitative composition</w:t>
      </w:r>
    </w:p>
    <w:p w14:paraId="4A00E2FE" w14:textId="1F9ECFD4" w:rsidR="005E5F17" w:rsidRPr="00942570" w:rsidRDefault="00A415D7" w:rsidP="005E5F17">
      <w:pPr>
        <w:rPr>
          <w:rFonts w:asciiTheme="majorHAnsi" w:hAnsiTheme="majorHAnsi"/>
        </w:rPr>
      </w:pPr>
      <w:r>
        <w:rPr>
          <w:rFonts w:asciiTheme="majorHAnsi" w:hAnsiTheme="majorHAnsi"/>
        </w:rPr>
        <w:t>C</w:t>
      </w:r>
      <w:r w:rsidR="00E12F92">
        <w:rPr>
          <w:rFonts w:asciiTheme="majorHAnsi" w:hAnsiTheme="majorHAnsi"/>
        </w:rPr>
        <w:t>EQUA</w:t>
      </w:r>
      <w:r>
        <w:rPr>
          <w:rFonts w:asciiTheme="majorHAnsi" w:hAnsiTheme="majorHAnsi"/>
        </w:rPr>
        <w:t xml:space="preserve"> contains</w:t>
      </w:r>
      <w:r w:rsidR="00172E13">
        <w:rPr>
          <w:rFonts w:asciiTheme="majorHAnsi" w:hAnsiTheme="majorHAnsi"/>
        </w:rPr>
        <w:t xml:space="preserve"> </w:t>
      </w:r>
      <w:r w:rsidR="00971607">
        <w:rPr>
          <w:rFonts w:asciiTheme="majorHAnsi" w:hAnsiTheme="majorHAnsi"/>
        </w:rPr>
        <w:t>c</w:t>
      </w:r>
      <w:r w:rsidR="005E5F17" w:rsidRPr="006F6631">
        <w:rPr>
          <w:rFonts w:asciiTheme="majorHAnsi" w:hAnsiTheme="majorHAnsi"/>
        </w:rPr>
        <w:t xml:space="preserve">iclosporin </w:t>
      </w:r>
      <w:r w:rsidR="00F535B9">
        <w:rPr>
          <w:rFonts w:asciiTheme="majorHAnsi" w:hAnsiTheme="majorHAnsi"/>
        </w:rPr>
        <w:t xml:space="preserve">900 </w:t>
      </w:r>
      <w:r w:rsidR="00942570">
        <w:rPr>
          <w:rFonts w:asciiTheme="majorHAnsi" w:hAnsiTheme="majorHAnsi"/>
        </w:rPr>
        <w:t>microgram/</w:t>
      </w:r>
      <w:r w:rsidR="007F0031">
        <w:rPr>
          <w:rFonts w:asciiTheme="majorHAnsi" w:hAnsiTheme="majorHAnsi"/>
        </w:rPr>
        <w:t>mL as</w:t>
      </w:r>
      <w:r w:rsidR="004E57A6">
        <w:rPr>
          <w:rFonts w:asciiTheme="majorHAnsi" w:hAnsiTheme="majorHAnsi"/>
        </w:rPr>
        <w:t xml:space="preserve"> the active ingredient</w:t>
      </w:r>
      <w:r w:rsidR="00915D24">
        <w:rPr>
          <w:rFonts w:asciiTheme="majorHAnsi" w:hAnsiTheme="majorHAnsi"/>
        </w:rPr>
        <w:t xml:space="preserve">. It has an osmolality of 160 to 190 </w:t>
      </w:r>
      <w:proofErr w:type="spellStart"/>
      <w:r w:rsidR="00915D24">
        <w:rPr>
          <w:rFonts w:asciiTheme="majorHAnsi" w:hAnsiTheme="majorHAnsi"/>
        </w:rPr>
        <w:t>mOsmol</w:t>
      </w:r>
      <w:proofErr w:type="spellEnd"/>
      <w:r w:rsidR="005B0207">
        <w:rPr>
          <w:rFonts w:asciiTheme="majorHAnsi" w:hAnsiTheme="majorHAnsi"/>
        </w:rPr>
        <w:t>/kg and a pH of 6.5</w:t>
      </w:r>
      <w:r w:rsidR="002633AB">
        <w:rPr>
          <w:rFonts w:asciiTheme="majorHAnsi" w:hAnsiTheme="majorHAnsi"/>
        </w:rPr>
        <w:t>-7.2</w:t>
      </w:r>
      <w:r w:rsidR="00B94442" w:rsidRPr="00942570">
        <w:t>.</w:t>
      </w:r>
      <w:r w:rsidR="00CA490C" w:rsidRPr="00942570">
        <w:t xml:space="preserve"> </w:t>
      </w:r>
    </w:p>
    <w:p w14:paraId="4B290629" w14:textId="06B5B079" w:rsidR="00497C85" w:rsidRPr="006F6631" w:rsidRDefault="00497C85" w:rsidP="00497C85">
      <w:pPr>
        <w:rPr>
          <w:rFonts w:asciiTheme="majorHAnsi" w:hAnsiTheme="majorHAnsi" w:cstheme="minorHAnsi"/>
        </w:rPr>
      </w:pPr>
      <w:r w:rsidRPr="006F6631">
        <w:rPr>
          <w:rFonts w:asciiTheme="majorHAnsi" w:hAnsiTheme="majorHAnsi" w:cstheme="minorHAnsi"/>
          <w:lang w:val="en"/>
        </w:rPr>
        <w:t>For the full list of excipients, see Section 6.1 List of excipients.</w:t>
      </w:r>
    </w:p>
    <w:p w14:paraId="7FDE4143" w14:textId="59E1EEB8" w:rsidR="001A3992" w:rsidRPr="006F6631" w:rsidRDefault="001A3992" w:rsidP="001A3992">
      <w:pPr>
        <w:pStyle w:val="Heading1"/>
        <w:spacing w:before="0" w:after="120"/>
        <w:rPr>
          <w:rFonts w:cstheme="minorHAnsi"/>
        </w:rPr>
      </w:pPr>
      <w:r w:rsidRPr="006F6631">
        <w:rPr>
          <w:rFonts w:cstheme="minorHAnsi"/>
        </w:rPr>
        <w:t>Pharmaceutical form</w:t>
      </w:r>
    </w:p>
    <w:p w14:paraId="2BB91365" w14:textId="2A97C8DD" w:rsidR="00FE0114" w:rsidRDefault="005E5F17" w:rsidP="005E5F17">
      <w:pPr>
        <w:rPr>
          <w:lang w:val="en-US"/>
        </w:rPr>
      </w:pPr>
      <w:r w:rsidRPr="006F6631">
        <w:rPr>
          <w:rFonts w:asciiTheme="majorHAnsi" w:hAnsiTheme="majorHAnsi"/>
        </w:rPr>
        <w:t>Eye drop</w:t>
      </w:r>
      <w:r w:rsidR="00FE0114">
        <w:rPr>
          <w:rFonts w:asciiTheme="majorHAnsi" w:hAnsiTheme="majorHAnsi"/>
        </w:rPr>
        <w:t>s</w:t>
      </w:r>
      <w:r w:rsidR="00B94442">
        <w:rPr>
          <w:rFonts w:asciiTheme="majorHAnsi" w:hAnsiTheme="majorHAnsi"/>
        </w:rPr>
        <w:t>.</w:t>
      </w:r>
    </w:p>
    <w:p w14:paraId="4B8FF2F1" w14:textId="17F0B40E" w:rsidR="005E5F17" w:rsidRPr="006F6631" w:rsidRDefault="007A6432" w:rsidP="005E5F17">
      <w:pPr>
        <w:rPr>
          <w:rFonts w:asciiTheme="majorHAnsi" w:hAnsiTheme="majorHAnsi"/>
        </w:rPr>
      </w:pPr>
      <w:r w:rsidRPr="000B7B77">
        <w:rPr>
          <w:lang w:val="en-US"/>
        </w:rPr>
        <w:t>CEQUA is a sterile, clear,</w:t>
      </w:r>
      <w:r>
        <w:rPr>
          <w:lang w:val="en-US"/>
        </w:rPr>
        <w:t xml:space="preserve"> </w:t>
      </w:r>
      <w:r w:rsidRPr="000B7B77">
        <w:rPr>
          <w:lang w:val="en-US"/>
        </w:rPr>
        <w:t>colo</w:t>
      </w:r>
      <w:r>
        <w:rPr>
          <w:lang w:val="en-US"/>
        </w:rPr>
        <w:t>u</w:t>
      </w:r>
      <w:r w:rsidRPr="000B7B77">
        <w:rPr>
          <w:lang w:val="en-US"/>
        </w:rPr>
        <w:t>rless solution</w:t>
      </w:r>
      <w:r w:rsidR="00AF6865">
        <w:rPr>
          <w:lang w:val="en-US"/>
        </w:rPr>
        <w:t xml:space="preserve">, </w:t>
      </w:r>
      <w:r w:rsidR="002144C7">
        <w:rPr>
          <w:lang w:val="en-US"/>
        </w:rPr>
        <w:t>practically free from visible particulates</w:t>
      </w:r>
      <w:r w:rsidR="003E6485">
        <w:rPr>
          <w:lang w:val="en-US"/>
        </w:rPr>
        <w:t>.</w:t>
      </w:r>
    </w:p>
    <w:p w14:paraId="0C7AAD8A" w14:textId="77777777" w:rsidR="001A3992" w:rsidRPr="006F6631" w:rsidRDefault="001A3992" w:rsidP="001A3992">
      <w:pPr>
        <w:pStyle w:val="Heading1"/>
        <w:spacing w:before="0" w:after="120"/>
        <w:rPr>
          <w:rFonts w:cstheme="minorHAnsi"/>
        </w:rPr>
      </w:pPr>
      <w:r w:rsidRPr="006F6631">
        <w:rPr>
          <w:rFonts w:cstheme="minorHAnsi"/>
        </w:rPr>
        <w:t>Clinical particulars</w:t>
      </w:r>
    </w:p>
    <w:p w14:paraId="596046E5" w14:textId="37B370DE" w:rsidR="001A3992" w:rsidRPr="006F6631" w:rsidRDefault="001A3992" w:rsidP="001A3992">
      <w:pPr>
        <w:pStyle w:val="Heading2"/>
        <w:spacing w:before="0" w:after="120"/>
        <w:rPr>
          <w:rFonts w:cstheme="minorHAnsi"/>
        </w:rPr>
      </w:pPr>
      <w:r w:rsidRPr="006F6631">
        <w:rPr>
          <w:rFonts w:cstheme="minorHAnsi"/>
        </w:rPr>
        <w:t xml:space="preserve">Therapeutic indications </w:t>
      </w:r>
    </w:p>
    <w:p w14:paraId="79FDD53A" w14:textId="17730113" w:rsidR="005E5F17" w:rsidRPr="006F6631" w:rsidRDefault="00122241" w:rsidP="005E5F17">
      <w:pPr>
        <w:rPr>
          <w:rFonts w:asciiTheme="majorHAnsi" w:eastAsia="Calibri" w:hAnsiTheme="majorHAnsi"/>
          <w:color w:val="000000"/>
          <w:lang w:eastAsia="en-AU"/>
        </w:rPr>
      </w:pPr>
      <w:r w:rsidRPr="006A1A58">
        <w:t xml:space="preserve">CEQUA </w:t>
      </w:r>
      <w:r>
        <w:t>is</w:t>
      </w:r>
      <w:r w:rsidRPr="006A1A58">
        <w:t xml:space="preserve"> indicated to increase tear production in patients with </w:t>
      </w:r>
      <w:bookmarkStart w:id="0" w:name="_Hlk530387808"/>
      <w:r w:rsidR="0046742A">
        <w:t>moderate to severe</w:t>
      </w:r>
      <w:r w:rsidR="00F5391F">
        <w:t xml:space="preserve"> </w:t>
      </w:r>
      <w:r w:rsidRPr="006A1A58">
        <w:t xml:space="preserve">keratoconjunctivitis sicca </w:t>
      </w:r>
      <w:bookmarkEnd w:id="0"/>
      <w:r w:rsidRPr="006A1A58">
        <w:t>(dry eye)</w:t>
      </w:r>
      <w:r w:rsidR="000001B1">
        <w:t xml:space="preserve"> where prior use of artificial tears has not been sufficient</w:t>
      </w:r>
      <w:r w:rsidRPr="006A1A58">
        <w:t>.</w:t>
      </w:r>
    </w:p>
    <w:p w14:paraId="5D8CAF22" w14:textId="6557F484" w:rsidR="001A3992" w:rsidRPr="006F6631" w:rsidRDefault="001A3992" w:rsidP="001A3992">
      <w:pPr>
        <w:pStyle w:val="Heading2"/>
        <w:spacing w:before="0" w:after="120"/>
        <w:rPr>
          <w:rFonts w:cstheme="minorHAnsi"/>
        </w:rPr>
      </w:pPr>
      <w:r w:rsidRPr="006F6631">
        <w:rPr>
          <w:rFonts w:cstheme="minorHAnsi"/>
        </w:rPr>
        <w:t>Do</w:t>
      </w:r>
      <w:r w:rsidR="00674B8F">
        <w:rPr>
          <w:rFonts w:cstheme="minorHAnsi"/>
        </w:rPr>
        <w:t>se and method of administration</w:t>
      </w:r>
    </w:p>
    <w:p w14:paraId="2F0CBF48" w14:textId="502471D1" w:rsidR="008F0F89" w:rsidRDefault="008F0F89" w:rsidP="005E5F17">
      <w:pPr>
        <w:rPr>
          <w:rFonts w:asciiTheme="majorHAnsi" w:hAnsiTheme="majorHAnsi"/>
        </w:rPr>
      </w:pPr>
      <w:bookmarkStart w:id="1" w:name="_Hlk529797529"/>
      <w:r>
        <w:rPr>
          <w:rFonts w:asciiTheme="majorHAnsi" w:hAnsiTheme="majorHAnsi"/>
        </w:rPr>
        <w:t>For topical ophthalmic use.</w:t>
      </w:r>
    </w:p>
    <w:p w14:paraId="007B2DD9" w14:textId="083843F9" w:rsidR="00EC48BE" w:rsidRDefault="00EC48BE" w:rsidP="005E5F17">
      <w:pPr>
        <w:rPr>
          <w:rFonts w:asciiTheme="majorHAnsi" w:hAnsiTheme="majorHAnsi"/>
        </w:rPr>
      </w:pPr>
      <w:r>
        <w:rPr>
          <w:rFonts w:asciiTheme="majorHAnsi" w:hAnsiTheme="majorHAnsi"/>
        </w:rPr>
        <w:t xml:space="preserve">Each CEQUA </w:t>
      </w:r>
      <w:r w:rsidR="008101B0">
        <w:rPr>
          <w:rFonts w:asciiTheme="majorHAnsi" w:hAnsiTheme="majorHAnsi"/>
        </w:rPr>
        <w:t>ampoule</w:t>
      </w:r>
      <w:r>
        <w:rPr>
          <w:rFonts w:asciiTheme="majorHAnsi" w:hAnsiTheme="majorHAnsi"/>
        </w:rPr>
        <w:t xml:space="preserve"> is for single use in one patient only.</w:t>
      </w:r>
    </w:p>
    <w:p w14:paraId="569EA8CE" w14:textId="0E605B17" w:rsidR="006D3DD3" w:rsidRDefault="006F6631" w:rsidP="005E5F17">
      <w:pPr>
        <w:rPr>
          <w:rFonts w:asciiTheme="majorHAnsi" w:hAnsiTheme="majorHAnsi"/>
        </w:rPr>
      </w:pPr>
      <w:bookmarkStart w:id="2" w:name="_Hlk530389510"/>
      <w:r w:rsidRPr="006F6631">
        <w:rPr>
          <w:rFonts w:asciiTheme="majorHAnsi" w:hAnsiTheme="majorHAnsi"/>
        </w:rPr>
        <w:t>Instil</w:t>
      </w:r>
      <w:r w:rsidR="005E5F17" w:rsidRPr="006F6631">
        <w:rPr>
          <w:rFonts w:asciiTheme="majorHAnsi" w:hAnsiTheme="majorHAnsi"/>
        </w:rPr>
        <w:t xml:space="preserve"> one drop of CEQUA twice daily (approximately 12 hours apart) into </w:t>
      </w:r>
      <w:r w:rsidR="0019774B">
        <w:rPr>
          <w:rFonts w:asciiTheme="majorHAnsi" w:hAnsiTheme="majorHAnsi"/>
        </w:rPr>
        <w:t>the affected eye</w:t>
      </w:r>
      <w:r w:rsidR="007A3D50">
        <w:rPr>
          <w:rFonts w:asciiTheme="majorHAnsi" w:hAnsiTheme="majorHAnsi"/>
        </w:rPr>
        <w:t>(</w:t>
      </w:r>
      <w:r w:rsidR="0019774B">
        <w:rPr>
          <w:rFonts w:asciiTheme="majorHAnsi" w:hAnsiTheme="majorHAnsi"/>
        </w:rPr>
        <w:t>s</w:t>
      </w:r>
      <w:r w:rsidR="007A3D50">
        <w:rPr>
          <w:rFonts w:asciiTheme="majorHAnsi" w:hAnsiTheme="majorHAnsi"/>
        </w:rPr>
        <w:t>)</w:t>
      </w:r>
      <w:r w:rsidR="005E5F17" w:rsidRPr="006F6631">
        <w:rPr>
          <w:rFonts w:asciiTheme="majorHAnsi" w:hAnsiTheme="majorHAnsi"/>
        </w:rPr>
        <w:t xml:space="preserve">. </w:t>
      </w:r>
    </w:p>
    <w:p w14:paraId="4B2A9454" w14:textId="778579CD" w:rsidR="007F0D50" w:rsidRDefault="00740912" w:rsidP="005E5F17">
      <w:pPr>
        <w:rPr>
          <w:rFonts w:asciiTheme="majorHAnsi" w:hAnsiTheme="majorHAnsi"/>
        </w:rPr>
      </w:pPr>
      <w:r w:rsidRPr="00771937">
        <w:rPr>
          <w:rFonts w:asciiTheme="majorHAnsi" w:hAnsiTheme="majorHAnsi"/>
        </w:rPr>
        <w:t xml:space="preserve">Response to treatment </w:t>
      </w:r>
      <w:r w:rsidR="00F26047" w:rsidRPr="00771937">
        <w:rPr>
          <w:rFonts w:asciiTheme="majorHAnsi" w:hAnsiTheme="majorHAnsi"/>
        </w:rPr>
        <w:t xml:space="preserve">should be reassessed at least </w:t>
      </w:r>
      <w:r w:rsidR="006D3DD3" w:rsidRPr="00771937">
        <w:rPr>
          <w:rFonts w:asciiTheme="majorHAnsi" w:hAnsiTheme="majorHAnsi"/>
        </w:rPr>
        <w:t>every 6 months.</w:t>
      </w:r>
    </w:p>
    <w:p w14:paraId="0D79FD0B" w14:textId="0E79C226" w:rsidR="00D00B70" w:rsidRPr="006F6631" w:rsidRDefault="005E5F17" w:rsidP="005E5F17">
      <w:pPr>
        <w:rPr>
          <w:rFonts w:asciiTheme="majorHAnsi" w:hAnsiTheme="majorHAnsi"/>
        </w:rPr>
      </w:pPr>
      <w:r w:rsidRPr="006F6631">
        <w:rPr>
          <w:rFonts w:asciiTheme="majorHAnsi" w:hAnsiTheme="majorHAnsi"/>
        </w:rPr>
        <w:t xml:space="preserve">CEQUA can be used concomitantly with artificial tears, allowing a 15-minute interval between products. Discard the </w:t>
      </w:r>
      <w:r w:rsidR="008101B0">
        <w:rPr>
          <w:rFonts w:asciiTheme="majorHAnsi" w:hAnsiTheme="majorHAnsi"/>
        </w:rPr>
        <w:t>ampoule</w:t>
      </w:r>
      <w:r w:rsidRPr="006F6631">
        <w:rPr>
          <w:rFonts w:asciiTheme="majorHAnsi" w:hAnsiTheme="majorHAnsi"/>
        </w:rPr>
        <w:t xml:space="preserve"> immediately after using in both eyes.</w:t>
      </w:r>
      <w:bookmarkEnd w:id="1"/>
      <w:bookmarkEnd w:id="2"/>
    </w:p>
    <w:p w14:paraId="7927936C" w14:textId="5075213B" w:rsidR="001A3992" w:rsidRPr="006F6631" w:rsidRDefault="001A3992" w:rsidP="001A3992">
      <w:pPr>
        <w:pStyle w:val="Heading2"/>
        <w:spacing w:before="0" w:after="120"/>
        <w:rPr>
          <w:rFonts w:cstheme="minorHAnsi"/>
        </w:rPr>
      </w:pPr>
      <w:r w:rsidRPr="006F6631">
        <w:rPr>
          <w:rFonts w:cstheme="minorHAnsi"/>
        </w:rPr>
        <w:t>Contraindications</w:t>
      </w:r>
    </w:p>
    <w:p w14:paraId="3888A73B" w14:textId="1A33842D" w:rsidR="005E5F17" w:rsidRDefault="00C8094D" w:rsidP="005E5F17">
      <w:pPr>
        <w:rPr>
          <w:rFonts w:asciiTheme="majorHAnsi" w:hAnsiTheme="majorHAnsi"/>
        </w:rPr>
      </w:pPr>
      <w:r>
        <w:t>Hypersensitivity to the active substance or to any of the excipients listed in section 6.1</w:t>
      </w:r>
      <w:r w:rsidR="008B2F6D">
        <w:t xml:space="preserve"> List of excipients</w:t>
      </w:r>
      <w:r w:rsidR="005E5F17" w:rsidRPr="006F6631">
        <w:rPr>
          <w:rFonts w:asciiTheme="majorHAnsi" w:hAnsiTheme="majorHAnsi"/>
        </w:rPr>
        <w:t>.</w:t>
      </w:r>
    </w:p>
    <w:p w14:paraId="01AD6621" w14:textId="77777777" w:rsidR="005D2981" w:rsidRPr="005D2981" w:rsidRDefault="005D2981" w:rsidP="005D2981">
      <w:pPr>
        <w:rPr>
          <w:rFonts w:asciiTheme="majorHAnsi" w:hAnsiTheme="majorHAnsi"/>
        </w:rPr>
      </w:pPr>
      <w:r w:rsidRPr="005D2981">
        <w:rPr>
          <w:rFonts w:asciiTheme="majorHAnsi" w:hAnsiTheme="majorHAnsi"/>
        </w:rPr>
        <w:t>Active or suspected ocular or peri-ocular infection (see Section 4.4 Special warnings and precautions for use).</w:t>
      </w:r>
    </w:p>
    <w:p w14:paraId="01950215" w14:textId="7433C06C" w:rsidR="005D2981" w:rsidRPr="006F6631" w:rsidRDefault="005D2981" w:rsidP="005D2981">
      <w:pPr>
        <w:rPr>
          <w:rFonts w:asciiTheme="majorHAnsi" w:hAnsiTheme="majorHAnsi"/>
        </w:rPr>
      </w:pPr>
      <w:r w:rsidRPr="005D2981">
        <w:rPr>
          <w:rFonts w:asciiTheme="majorHAnsi" w:hAnsiTheme="majorHAnsi"/>
        </w:rPr>
        <w:t>Ocular or peri-ocular malignancies or premalignant conditions.</w:t>
      </w:r>
    </w:p>
    <w:p w14:paraId="7E4FA1E6" w14:textId="77777777" w:rsidR="001A3992" w:rsidRPr="006F6631" w:rsidRDefault="00E74A56" w:rsidP="001A3992">
      <w:pPr>
        <w:pStyle w:val="Heading2"/>
        <w:spacing w:before="0" w:after="120"/>
        <w:rPr>
          <w:rFonts w:cstheme="minorHAnsi"/>
        </w:rPr>
      </w:pPr>
      <w:r w:rsidRPr="006F6631">
        <w:rPr>
          <w:rFonts w:cstheme="minorHAnsi"/>
        </w:rPr>
        <w:lastRenderedPageBreak/>
        <w:t>Special warnings and p</w:t>
      </w:r>
      <w:r w:rsidR="001A3992" w:rsidRPr="006F6631">
        <w:rPr>
          <w:rFonts w:cstheme="minorHAnsi"/>
        </w:rPr>
        <w:t xml:space="preserve">recautions </w:t>
      </w:r>
      <w:r w:rsidRPr="006F6631">
        <w:rPr>
          <w:rFonts w:cstheme="minorHAnsi"/>
        </w:rPr>
        <w:t>for use</w:t>
      </w:r>
    </w:p>
    <w:p w14:paraId="301A587E" w14:textId="7DC1B15C" w:rsidR="005E5F17" w:rsidRPr="006F6631" w:rsidRDefault="005E5F17" w:rsidP="00CA490C">
      <w:pPr>
        <w:pStyle w:val="Heading3"/>
      </w:pPr>
      <w:bookmarkStart w:id="3" w:name="_Hlk529798183"/>
      <w:r w:rsidRPr="00CA490C">
        <w:t>Potential</w:t>
      </w:r>
      <w:r w:rsidRPr="006F6631">
        <w:t xml:space="preserve"> for Eye Injury and Contamination</w:t>
      </w:r>
    </w:p>
    <w:p w14:paraId="0ABE2397" w14:textId="29D6CB1D" w:rsidR="005E5F17" w:rsidRPr="006F6631" w:rsidRDefault="005E5F17" w:rsidP="005E5F17">
      <w:pPr>
        <w:rPr>
          <w:rFonts w:asciiTheme="majorHAnsi" w:hAnsiTheme="majorHAnsi"/>
        </w:rPr>
      </w:pPr>
      <w:r w:rsidRPr="006F6631">
        <w:rPr>
          <w:rFonts w:asciiTheme="majorHAnsi" w:hAnsiTheme="majorHAnsi"/>
        </w:rPr>
        <w:t xml:space="preserve">To avoid the potential for eye injury and contamination, advise patients not to touch the </w:t>
      </w:r>
      <w:r w:rsidR="008101B0">
        <w:rPr>
          <w:rFonts w:asciiTheme="majorHAnsi" w:hAnsiTheme="majorHAnsi"/>
        </w:rPr>
        <w:t>ampoule</w:t>
      </w:r>
      <w:r w:rsidRPr="006F6631">
        <w:rPr>
          <w:rFonts w:asciiTheme="majorHAnsi" w:hAnsiTheme="majorHAnsi"/>
        </w:rPr>
        <w:t xml:space="preserve"> tip to the eye or other surfaces.</w:t>
      </w:r>
    </w:p>
    <w:p w14:paraId="0E832470" w14:textId="1ABFF276" w:rsidR="005E5F17" w:rsidRPr="006F6631" w:rsidRDefault="005E5F17" w:rsidP="0015010D">
      <w:pPr>
        <w:pStyle w:val="Heading3"/>
      </w:pPr>
      <w:r w:rsidRPr="006F6631">
        <w:t>Use with Contact Lenses</w:t>
      </w:r>
    </w:p>
    <w:p w14:paraId="695D3A2D" w14:textId="1EDB7968" w:rsidR="005E5F17" w:rsidRDefault="005E5F17" w:rsidP="005E5F17">
      <w:pPr>
        <w:rPr>
          <w:rFonts w:asciiTheme="majorHAnsi" w:hAnsiTheme="majorHAnsi"/>
        </w:rPr>
      </w:pPr>
      <w:r w:rsidRPr="006F6631">
        <w:rPr>
          <w:rFonts w:asciiTheme="majorHAnsi" w:hAnsiTheme="majorHAnsi"/>
        </w:rPr>
        <w:t>CEQUA should not be administered while wearing contact lenses. If contact lenses are worn, they should be removed prior to administration of the solution. Lenses may be reinserted 15 minutes following administration of CEQUA ophthalmic solution.</w:t>
      </w:r>
    </w:p>
    <w:p w14:paraId="34B14F6C" w14:textId="2DA42E46" w:rsidR="00D2058E" w:rsidRPr="00D2058E" w:rsidRDefault="00D2058E" w:rsidP="00D2058E">
      <w:pPr>
        <w:rPr>
          <w:rFonts w:asciiTheme="majorHAnsi" w:hAnsiTheme="majorHAnsi"/>
        </w:rPr>
      </w:pPr>
      <w:r w:rsidRPr="00D2058E">
        <w:rPr>
          <w:rFonts w:asciiTheme="majorHAnsi" w:hAnsiTheme="majorHAnsi"/>
        </w:rPr>
        <w:t>Patients wearing contact lenses have not be</w:t>
      </w:r>
      <w:r w:rsidR="00674B8F">
        <w:rPr>
          <w:rFonts w:asciiTheme="majorHAnsi" w:hAnsiTheme="majorHAnsi"/>
        </w:rPr>
        <w:t>en studied.</w:t>
      </w:r>
    </w:p>
    <w:p w14:paraId="11409F4E" w14:textId="77777777" w:rsidR="00D2058E" w:rsidRPr="00D2058E" w:rsidRDefault="00D2058E" w:rsidP="00D2058E">
      <w:pPr>
        <w:rPr>
          <w:rFonts w:asciiTheme="majorHAnsi" w:hAnsiTheme="majorHAnsi"/>
        </w:rPr>
      </w:pPr>
      <w:r w:rsidRPr="00D2058E">
        <w:rPr>
          <w:rFonts w:asciiTheme="majorHAnsi" w:hAnsiTheme="majorHAnsi"/>
        </w:rPr>
        <w:t>Careful monitoring of patients with severe keratitis is recommended.</w:t>
      </w:r>
    </w:p>
    <w:p w14:paraId="772C283B" w14:textId="77777777" w:rsidR="00D2058E" w:rsidRPr="00D2058E" w:rsidRDefault="00D2058E" w:rsidP="00CB076A">
      <w:pPr>
        <w:pStyle w:val="Heading3"/>
      </w:pPr>
      <w:r w:rsidRPr="00D2058E">
        <w:t>Infections</w:t>
      </w:r>
    </w:p>
    <w:p w14:paraId="64CD57E1" w14:textId="676B1B96" w:rsidR="00D2058E" w:rsidRDefault="00D2058E" w:rsidP="00D2058E">
      <w:pPr>
        <w:rPr>
          <w:rFonts w:asciiTheme="majorHAnsi" w:hAnsiTheme="majorHAnsi"/>
          <w:lang w:val="en-GB"/>
        </w:rPr>
      </w:pPr>
      <w:r w:rsidRPr="00D2058E">
        <w:rPr>
          <w:rFonts w:asciiTheme="majorHAnsi" w:hAnsiTheme="majorHAnsi"/>
        </w:rPr>
        <w:t xml:space="preserve">Resolve existing or suspected ocular or peri-ocular infections before initiating CEQUA treatment. </w:t>
      </w:r>
      <w:r w:rsidRPr="00D2058E">
        <w:rPr>
          <w:rFonts w:asciiTheme="majorHAnsi" w:hAnsiTheme="majorHAnsi"/>
          <w:lang w:val="en-GB"/>
        </w:rPr>
        <w:t>If an infection occurs during treatment, CEQUA should be temporarily withheld until the infection has been resolved.</w:t>
      </w:r>
    </w:p>
    <w:p w14:paraId="139F72E7" w14:textId="77777777" w:rsidR="00897157" w:rsidRPr="003C3302" w:rsidRDefault="00897157" w:rsidP="00CB076A">
      <w:pPr>
        <w:pStyle w:val="Heading3"/>
      </w:pPr>
      <w:r w:rsidRPr="003C3302">
        <w:t>Effects on the immune system</w:t>
      </w:r>
    </w:p>
    <w:p w14:paraId="130E47E6" w14:textId="6707C7D4" w:rsidR="00897157" w:rsidRPr="006F6631" w:rsidRDefault="00897157" w:rsidP="00897157">
      <w:pPr>
        <w:rPr>
          <w:rFonts w:asciiTheme="majorHAnsi" w:hAnsiTheme="majorHAnsi"/>
        </w:rPr>
      </w:pPr>
      <w:r w:rsidRPr="003C3302">
        <w:rPr>
          <w:rFonts w:asciiTheme="majorHAnsi" w:hAnsiTheme="majorHAnsi"/>
        </w:rPr>
        <w:t>Ophthalmic medicinal products, which affect the immune system, including ciclosporin, may affect host defences against local infections and malignancies. Therefore, regular examination of the eye(s) is recommended, e.g. at least every 6 months, when CEQUA is used for long periods.</w:t>
      </w:r>
    </w:p>
    <w:p w14:paraId="2F3C517C" w14:textId="2192228C" w:rsidR="001A3992" w:rsidRPr="006F6631" w:rsidRDefault="001A3992" w:rsidP="001A3992">
      <w:pPr>
        <w:pStyle w:val="Heading3"/>
        <w:spacing w:before="0" w:after="120"/>
        <w:rPr>
          <w:rFonts w:cstheme="minorHAnsi"/>
        </w:rPr>
      </w:pPr>
      <w:r w:rsidRPr="006F6631">
        <w:rPr>
          <w:rFonts w:cstheme="minorHAnsi"/>
        </w:rPr>
        <w:t>Use in the elderly</w:t>
      </w:r>
    </w:p>
    <w:p w14:paraId="7E441453" w14:textId="46B63195" w:rsidR="00720298" w:rsidRPr="006F6631" w:rsidRDefault="00720298" w:rsidP="00720298">
      <w:pPr>
        <w:rPr>
          <w:rFonts w:asciiTheme="majorHAnsi" w:hAnsiTheme="majorHAnsi"/>
        </w:rPr>
      </w:pPr>
      <w:r w:rsidRPr="006F6631">
        <w:rPr>
          <w:rFonts w:asciiTheme="majorHAnsi" w:hAnsiTheme="majorHAnsi"/>
        </w:rPr>
        <w:t>No overall differences in safety or effectiveness have been observed between elderly and younger adult patients.</w:t>
      </w:r>
    </w:p>
    <w:p w14:paraId="380EC795" w14:textId="2F3AD34E" w:rsidR="001A3992" w:rsidRPr="006F6631" w:rsidRDefault="001A3992" w:rsidP="001A3992">
      <w:pPr>
        <w:pStyle w:val="Heading3"/>
        <w:spacing w:before="0" w:after="120"/>
        <w:rPr>
          <w:rFonts w:cstheme="minorHAnsi"/>
        </w:rPr>
      </w:pPr>
      <w:r w:rsidRPr="006F6631">
        <w:rPr>
          <w:rFonts w:cstheme="minorHAnsi"/>
        </w:rPr>
        <w:t>Paediatric use</w:t>
      </w:r>
    </w:p>
    <w:p w14:paraId="7EC91A8B" w14:textId="75F90A6E" w:rsidR="00AF2E94" w:rsidRPr="006F6631" w:rsidRDefault="00AF2E94" w:rsidP="00AF2E94">
      <w:pPr>
        <w:rPr>
          <w:rFonts w:asciiTheme="majorHAnsi" w:hAnsiTheme="majorHAnsi"/>
        </w:rPr>
      </w:pPr>
      <w:r w:rsidRPr="006F6631">
        <w:rPr>
          <w:rFonts w:asciiTheme="majorHAnsi" w:hAnsiTheme="majorHAnsi"/>
        </w:rPr>
        <w:t>The safety and efficacy of CEQUA ophthalmic solution have not been established in p</w:t>
      </w:r>
      <w:r w:rsidR="0015010D">
        <w:rPr>
          <w:rFonts w:asciiTheme="majorHAnsi" w:hAnsiTheme="majorHAnsi"/>
        </w:rPr>
        <w:t>a</w:t>
      </w:r>
      <w:r w:rsidRPr="006F6631">
        <w:rPr>
          <w:rFonts w:asciiTheme="majorHAnsi" w:hAnsiTheme="majorHAnsi"/>
        </w:rPr>
        <w:t>ediatric patients below the age of 18.</w:t>
      </w:r>
    </w:p>
    <w:p w14:paraId="2A0B6830" w14:textId="6E1209DB" w:rsidR="001A3992" w:rsidRDefault="001A3992" w:rsidP="001A3992">
      <w:pPr>
        <w:pStyle w:val="Heading3"/>
        <w:spacing w:before="0" w:after="120"/>
        <w:rPr>
          <w:rFonts w:cstheme="minorHAnsi"/>
        </w:rPr>
      </w:pPr>
      <w:r w:rsidRPr="006F6631">
        <w:rPr>
          <w:rFonts w:cstheme="minorHAnsi"/>
        </w:rPr>
        <w:t>Effects on laboratory tests</w:t>
      </w:r>
    </w:p>
    <w:p w14:paraId="451105FA" w14:textId="02D361EA" w:rsidR="0015010D" w:rsidRPr="0015010D" w:rsidRDefault="0015010D" w:rsidP="0015010D">
      <w:r>
        <w:t>No data available.</w:t>
      </w:r>
      <w:bookmarkEnd w:id="3"/>
    </w:p>
    <w:p w14:paraId="12A8B0BD" w14:textId="49B0707C" w:rsidR="001A3992" w:rsidRDefault="001A3992" w:rsidP="001A3992">
      <w:pPr>
        <w:pStyle w:val="Heading2"/>
        <w:keepNext/>
        <w:keepLines/>
        <w:spacing w:before="0" w:after="120"/>
        <w:rPr>
          <w:rFonts w:cstheme="minorHAnsi"/>
        </w:rPr>
      </w:pPr>
      <w:r w:rsidRPr="006F6631">
        <w:rPr>
          <w:rFonts w:cstheme="minorHAnsi"/>
        </w:rPr>
        <w:t>Interactions with other medicines and other forms of interactions</w:t>
      </w:r>
    </w:p>
    <w:p w14:paraId="10D80F9B" w14:textId="0DFDC622" w:rsidR="000C78E6" w:rsidRPr="000C78E6" w:rsidRDefault="00ED118B" w:rsidP="000C78E6">
      <w:r>
        <w:t>No data available.</w:t>
      </w:r>
    </w:p>
    <w:p w14:paraId="6C90F815" w14:textId="77777777" w:rsidR="001A3992" w:rsidRPr="006F6631" w:rsidRDefault="001A3992" w:rsidP="001A3992">
      <w:pPr>
        <w:pStyle w:val="Heading2"/>
        <w:spacing w:before="0" w:after="120"/>
        <w:rPr>
          <w:rFonts w:cstheme="minorHAnsi"/>
        </w:rPr>
      </w:pPr>
      <w:r w:rsidRPr="006F6631">
        <w:rPr>
          <w:rFonts w:cstheme="minorHAnsi"/>
        </w:rPr>
        <w:t xml:space="preserve">Fertility, pregnancy and lactation </w:t>
      </w:r>
    </w:p>
    <w:p w14:paraId="108A2B07" w14:textId="73687137" w:rsidR="001A3992" w:rsidRPr="006F6631" w:rsidRDefault="001A3992" w:rsidP="001A3992">
      <w:pPr>
        <w:pStyle w:val="Heading3"/>
        <w:spacing w:before="0" w:after="120"/>
        <w:rPr>
          <w:rFonts w:cstheme="minorHAnsi"/>
        </w:rPr>
      </w:pPr>
      <w:bookmarkStart w:id="4" w:name="_Hlk529799345"/>
      <w:r w:rsidRPr="006F6631">
        <w:rPr>
          <w:rFonts w:cstheme="minorHAnsi"/>
        </w:rPr>
        <w:t>Effects on fertility</w:t>
      </w:r>
    </w:p>
    <w:p w14:paraId="08CC433E" w14:textId="211F5EB2" w:rsidR="00650A15" w:rsidRPr="006F6631" w:rsidRDefault="00C540DB" w:rsidP="00650A15">
      <w:pPr>
        <w:rPr>
          <w:rFonts w:asciiTheme="majorHAnsi" w:hAnsiTheme="majorHAnsi"/>
        </w:rPr>
      </w:pPr>
      <w:r>
        <w:rPr>
          <w:rFonts w:asciiTheme="majorHAnsi" w:hAnsiTheme="majorHAnsi"/>
        </w:rPr>
        <w:t xml:space="preserve">Male and female </w:t>
      </w:r>
      <w:r w:rsidR="00650A15" w:rsidRPr="006F6631">
        <w:rPr>
          <w:rFonts w:asciiTheme="majorHAnsi" w:hAnsiTheme="majorHAnsi"/>
        </w:rPr>
        <w:t>fertility</w:t>
      </w:r>
      <w:r>
        <w:rPr>
          <w:rFonts w:asciiTheme="majorHAnsi" w:hAnsiTheme="majorHAnsi"/>
        </w:rPr>
        <w:t xml:space="preserve"> were unaffected by ciclosporin</w:t>
      </w:r>
      <w:r w:rsidR="00AD66C8">
        <w:rPr>
          <w:rFonts w:asciiTheme="majorHAnsi" w:hAnsiTheme="majorHAnsi"/>
        </w:rPr>
        <w:t xml:space="preserve"> in rats</w:t>
      </w:r>
      <w:r w:rsidR="00650A15" w:rsidRPr="006F6631">
        <w:rPr>
          <w:rFonts w:asciiTheme="majorHAnsi" w:hAnsiTheme="majorHAnsi"/>
        </w:rPr>
        <w:t xml:space="preserve"> at</w:t>
      </w:r>
      <w:r w:rsidR="00AD66C8">
        <w:rPr>
          <w:rFonts w:asciiTheme="majorHAnsi" w:hAnsiTheme="majorHAnsi"/>
        </w:rPr>
        <w:t xml:space="preserve"> oral</w:t>
      </w:r>
      <w:r w:rsidR="00650A15" w:rsidRPr="006F6631">
        <w:rPr>
          <w:rFonts w:asciiTheme="majorHAnsi" w:hAnsiTheme="majorHAnsi"/>
        </w:rPr>
        <w:t xml:space="preserve"> doses up to 15 mg/kg/day (</w:t>
      </w:r>
      <w:r w:rsidR="00AD66C8">
        <w:rPr>
          <w:rFonts w:asciiTheme="majorHAnsi" w:hAnsiTheme="majorHAnsi"/>
        </w:rPr>
        <w:t>more than 1500</w:t>
      </w:r>
      <w:r w:rsidR="00650A15" w:rsidRPr="006F6631">
        <w:rPr>
          <w:rFonts w:asciiTheme="majorHAnsi" w:hAnsiTheme="majorHAnsi"/>
        </w:rPr>
        <w:t xml:space="preserve"> times higher than the maximum recommended human ophthalmic dose</w:t>
      </w:r>
      <w:r w:rsidR="008F7B09">
        <w:rPr>
          <w:rFonts w:asciiTheme="majorHAnsi" w:hAnsiTheme="majorHAnsi"/>
        </w:rPr>
        <w:t>, based on body surface area-adjusted doses for a 50 kg subject</w:t>
      </w:r>
      <w:r w:rsidR="00650A15" w:rsidRPr="006F6631">
        <w:rPr>
          <w:rFonts w:asciiTheme="majorHAnsi" w:hAnsiTheme="majorHAnsi"/>
        </w:rPr>
        <w:t>).</w:t>
      </w:r>
    </w:p>
    <w:p w14:paraId="1FA16684" w14:textId="4B80841E" w:rsidR="001A3992" w:rsidRPr="006F6631" w:rsidRDefault="001A3992" w:rsidP="001A3992">
      <w:pPr>
        <w:pStyle w:val="Heading3"/>
        <w:spacing w:before="0" w:after="120"/>
        <w:rPr>
          <w:rFonts w:cstheme="minorHAnsi"/>
        </w:rPr>
      </w:pPr>
      <w:r w:rsidRPr="006F6631">
        <w:rPr>
          <w:rFonts w:cstheme="minorHAnsi"/>
        </w:rPr>
        <w:t xml:space="preserve">Use in pregnancy </w:t>
      </w:r>
      <w:r w:rsidR="00497C85" w:rsidRPr="006F6631">
        <w:rPr>
          <w:rFonts w:cstheme="minorHAnsi"/>
        </w:rPr>
        <w:t xml:space="preserve">– Pregnancy Category </w:t>
      </w:r>
      <w:r w:rsidR="008835C4">
        <w:rPr>
          <w:rFonts w:cstheme="minorHAnsi"/>
        </w:rPr>
        <w:t>C</w:t>
      </w:r>
    </w:p>
    <w:p w14:paraId="4F961F48" w14:textId="49AE0535" w:rsidR="002E6776" w:rsidRPr="006F6631" w:rsidRDefault="002E6776" w:rsidP="002E6776">
      <w:pPr>
        <w:rPr>
          <w:rFonts w:asciiTheme="majorHAnsi" w:hAnsiTheme="majorHAnsi"/>
        </w:rPr>
      </w:pPr>
      <w:r w:rsidRPr="003B0B89">
        <w:t>There are no adequate and well-controlled studies of CEQUA administration in pregnant women</w:t>
      </w:r>
      <w:r w:rsidR="005A6E53" w:rsidRPr="003B0B89">
        <w:t>.</w:t>
      </w:r>
      <w:r w:rsidRPr="003B0B89">
        <w:t xml:space="preserve"> </w:t>
      </w:r>
      <w:r w:rsidR="00D23583" w:rsidRPr="003B0B89">
        <w:t xml:space="preserve"> Studies in animals</w:t>
      </w:r>
      <w:r w:rsidR="00D23583" w:rsidRPr="00D23583">
        <w:rPr>
          <w:rFonts w:asciiTheme="majorHAnsi" w:hAnsiTheme="majorHAnsi"/>
          <w:lang w:val="en-US"/>
        </w:rPr>
        <w:t xml:space="preserve"> do not indicate a likely risk of </w:t>
      </w:r>
      <w:proofErr w:type="spellStart"/>
      <w:r w:rsidR="00D23583" w:rsidRPr="00D23583">
        <w:rPr>
          <w:rFonts w:asciiTheme="majorHAnsi" w:hAnsiTheme="majorHAnsi"/>
          <w:lang w:val="en-US"/>
        </w:rPr>
        <w:t>embryofetal</w:t>
      </w:r>
      <w:proofErr w:type="spellEnd"/>
      <w:r w:rsidR="00D23583" w:rsidRPr="00D23583">
        <w:rPr>
          <w:rFonts w:asciiTheme="majorHAnsi" w:hAnsiTheme="majorHAnsi"/>
          <w:lang w:val="en-US"/>
        </w:rPr>
        <w:t xml:space="preserve"> harm with ophthalmic </w:t>
      </w:r>
      <w:r w:rsidR="00D23583" w:rsidRPr="00D23583">
        <w:rPr>
          <w:rFonts w:asciiTheme="majorHAnsi" w:hAnsiTheme="majorHAnsi"/>
          <w:lang w:val="en-US"/>
        </w:rPr>
        <w:lastRenderedPageBreak/>
        <w:t xml:space="preserve">use of ciclosporin. No </w:t>
      </w:r>
      <w:proofErr w:type="spellStart"/>
      <w:r w:rsidR="00D23583" w:rsidRPr="00D23583">
        <w:rPr>
          <w:rFonts w:asciiTheme="majorHAnsi" w:hAnsiTheme="majorHAnsi"/>
          <w:lang w:val="en-US"/>
        </w:rPr>
        <w:t>embryofetal</w:t>
      </w:r>
      <w:proofErr w:type="spellEnd"/>
      <w:r w:rsidR="00D23583" w:rsidRPr="00D23583">
        <w:rPr>
          <w:rFonts w:asciiTheme="majorHAnsi" w:hAnsiTheme="majorHAnsi"/>
          <w:lang w:val="en-US"/>
        </w:rPr>
        <w:t xml:space="preserve"> toxicity was observed with ciclosporin at oral doses of 17 mg/kg/day in the rat and 30 mg/kg/day in the rabbit, which are approximately 1800 and 6200 times higher than the maximum recommended human ophthalmic dose (based on body surface area-adjusted doses for a 50 kg subject). Embryo- and </w:t>
      </w:r>
      <w:proofErr w:type="spellStart"/>
      <w:r w:rsidR="00D23583" w:rsidRPr="00D23583">
        <w:rPr>
          <w:rFonts w:asciiTheme="majorHAnsi" w:hAnsiTheme="majorHAnsi"/>
          <w:lang w:val="en-US"/>
        </w:rPr>
        <w:t>fetotoxicity</w:t>
      </w:r>
      <w:proofErr w:type="spellEnd"/>
      <w:r w:rsidR="00BE1B40">
        <w:rPr>
          <w:rFonts w:asciiTheme="majorHAnsi" w:hAnsiTheme="majorHAnsi"/>
          <w:lang w:val="en-US"/>
        </w:rPr>
        <w:t>;</w:t>
      </w:r>
      <w:r w:rsidR="00D23583" w:rsidRPr="00D23583">
        <w:rPr>
          <w:rFonts w:asciiTheme="majorHAnsi" w:hAnsiTheme="majorHAnsi"/>
          <w:lang w:val="en-US"/>
        </w:rPr>
        <w:t xml:space="preserve"> as increased pre- and postnatal mortality, reduced fetal weight and skeletal retardations</w:t>
      </w:r>
      <w:r w:rsidR="00F07EF9">
        <w:rPr>
          <w:rFonts w:asciiTheme="majorHAnsi" w:hAnsiTheme="majorHAnsi"/>
          <w:lang w:val="en-US"/>
        </w:rPr>
        <w:t>,</w:t>
      </w:r>
      <w:r w:rsidR="00D23583" w:rsidRPr="00D23583">
        <w:rPr>
          <w:rFonts w:asciiTheme="majorHAnsi" w:hAnsiTheme="majorHAnsi"/>
          <w:lang w:val="en-US"/>
        </w:rPr>
        <w:t xml:space="preserve"> were observed in animals at higher oral doses that were maternally toxic (30 mg/kg/day in rats and 100 mg/kg/day in rabbits). The offspring of pregnant rabbits given ciclosporin subcutaneously at 10 mg/kg/day had reduced numbers of nephrons and exhibited renal hypertrophy, systemic hypertension and progressive renal insufficiency </w:t>
      </w:r>
      <w:proofErr w:type="spellStart"/>
      <w:r w:rsidR="00D23583" w:rsidRPr="00D23583">
        <w:rPr>
          <w:rFonts w:asciiTheme="majorHAnsi" w:hAnsiTheme="majorHAnsi"/>
          <w:lang w:val="en-US"/>
        </w:rPr>
        <w:t>postnatally</w:t>
      </w:r>
      <w:proofErr w:type="spellEnd"/>
      <w:r w:rsidR="00D23583">
        <w:rPr>
          <w:rFonts w:asciiTheme="majorHAnsi" w:hAnsiTheme="majorHAnsi"/>
          <w:lang w:val="en-US"/>
        </w:rPr>
        <w:t>.</w:t>
      </w:r>
    </w:p>
    <w:p w14:paraId="0DE6878F" w14:textId="0E9B61C7" w:rsidR="001A3992" w:rsidRPr="006F6631" w:rsidRDefault="001A3992" w:rsidP="001A3992">
      <w:pPr>
        <w:pStyle w:val="Heading3"/>
        <w:spacing w:before="0" w:after="120"/>
        <w:rPr>
          <w:rFonts w:cstheme="minorHAnsi"/>
        </w:rPr>
      </w:pPr>
      <w:r w:rsidRPr="006F6631">
        <w:rPr>
          <w:rFonts w:cstheme="minorHAnsi"/>
        </w:rPr>
        <w:t xml:space="preserve">Use in lactation. </w:t>
      </w:r>
    </w:p>
    <w:p w14:paraId="7A02D007" w14:textId="3874F32C" w:rsidR="00B561AA" w:rsidRPr="006F6631" w:rsidRDefault="00B561AA" w:rsidP="00B561AA">
      <w:pPr>
        <w:rPr>
          <w:rFonts w:asciiTheme="majorHAnsi" w:hAnsiTheme="majorHAnsi"/>
        </w:rPr>
      </w:pPr>
      <w:r w:rsidRPr="006F6631">
        <w:rPr>
          <w:rFonts w:asciiTheme="majorHAnsi" w:hAnsiTheme="majorHAnsi"/>
        </w:rPr>
        <w:t>C</w:t>
      </w:r>
      <w:r w:rsidR="002505E0">
        <w:rPr>
          <w:rFonts w:asciiTheme="majorHAnsi" w:hAnsiTheme="majorHAnsi"/>
        </w:rPr>
        <w:t>i</w:t>
      </w:r>
      <w:r w:rsidRPr="006F6631">
        <w:rPr>
          <w:rFonts w:asciiTheme="majorHAnsi" w:hAnsiTheme="majorHAnsi"/>
        </w:rPr>
        <w:t>closporin blood concentrations are low following topical ocular administration of CEQUA</w:t>
      </w:r>
      <w:r w:rsidR="002505E0">
        <w:rPr>
          <w:rFonts w:asciiTheme="majorHAnsi" w:hAnsiTheme="majorHAnsi"/>
        </w:rPr>
        <w:t xml:space="preserve"> (see Section 5.2 Pharmacokinetic properties)</w:t>
      </w:r>
      <w:r w:rsidRPr="006F6631">
        <w:rPr>
          <w:rFonts w:asciiTheme="majorHAnsi" w:hAnsiTheme="majorHAnsi"/>
        </w:rPr>
        <w:t xml:space="preserve">. There is no information regarding the presence of </w:t>
      </w:r>
      <w:r w:rsidR="00EF79DF">
        <w:rPr>
          <w:rFonts w:asciiTheme="majorHAnsi" w:hAnsiTheme="majorHAnsi"/>
        </w:rPr>
        <w:t>c</w:t>
      </w:r>
      <w:r w:rsidR="002505E0">
        <w:rPr>
          <w:rFonts w:asciiTheme="majorHAnsi" w:hAnsiTheme="majorHAnsi"/>
        </w:rPr>
        <w:t>i</w:t>
      </w:r>
      <w:r w:rsidR="00EF79DF">
        <w:rPr>
          <w:rFonts w:asciiTheme="majorHAnsi" w:hAnsiTheme="majorHAnsi"/>
        </w:rPr>
        <w:t>closporin</w:t>
      </w:r>
      <w:r w:rsidRPr="006F6631">
        <w:rPr>
          <w:rFonts w:asciiTheme="majorHAnsi" w:hAnsiTheme="majorHAnsi"/>
        </w:rPr>
        <w:t xml:space="preserve"> in human milk following topical administration or on the effects of CEQUA on the breastfed infants and milk production. </w:t>
      </w:r>
      <w:r w:rsidR="007B56A8" w:rsidRPr="007B56A8">
        <w:rPr>
          <w:rFonts w:asciiTheme="majorHAnsi" w:hAnsiTheme="majorHAnsi"/>
          <w:lang w:val="en-US"/>
        </w:rPr>
        <w:t xml:space="preserve">While systemically absorbed ciclosporin is excreted in milk, ciclosporin blood concentrations are low following topical ocular administration of CEQUA (see Section 5.2 Pharmacokinetic properties). Adverse effects in breast-fed infants are not expected given the low level of potential </w:t>
      </w:r>
      <w:r w:rsidR="007F0031" w:rsidRPr="007B56A8">
        <w:rPr>
          <w:rFonts w:asciiTheme="majorHAnsi" w:hAnsiTheme="majorHAnsi"/>
          <w:lang w:val="en-US"/>
        </w:rPr>
        <w:t>exposure but</w:t>
      </w:r>
      <w:r w:rsidR="007B56A8" w:rsidRPr="007B56A8">
        <w:rPr>
          <w:rFonts w:asciiTheme="majorHAnsi" w:hAnsiTheme="majorHAnsi"/>
          <w:lang w:val="en-US"/>
        </w:rPr>
        <w:t xml:space="preserve"> cannot be excluded</w:t>
      </w:r>
      <w:r w:rsidR="007B56A8">
        <w:rPr>
          <w:rFonts w:asciiTheme="majorHAnsi" w:hAnsiTheme="majorHAnsi"/>
          <w:lang w:val="en-US"/>
        </w:rPr>
        <w:t xml:space="preserve">. </w:t>
      </w:r>
      <w:r w:rsidRPr="006F6631">
        <w:rPr>
          <w:rFonts w:asciiTheme="majorHAnsi" w:hAnsiTheme="majorHAnsi"/>
        </w:rPr>
        <w:t xml:space="preserve">The developmental and health benefits of breastfeeding should be considered along with the mother’s clinical need for CEQUA and any potential adverse effects on the breast-fed child from </w:t>
      </w:r>
      <w:r w:rsidR="00EF79DF">
        <w:rPr>
          <w:rFonts w:asciiTheme="majorHAnsi" w:hAnsiTheme="majorHAnsi"/>
        </w:rPr>
        <w:t>c</w:t>
      </w:r>
      <w:r w:rsidR="002505E0">
        <w:rPr>
          <w:rFonts w:asciiTheme="majorHAnsi" w:hAnsiTheme="majorHAnsi"/>
        </w:rPr>
        <w:t>i</w:t>
      </w:r>
      <w:r w:rsidR="00EF79DF">
        <w:rPr>
          <w:rFonts w:asciiTheme="majorHAnsi" w:hAnsiTheme="majorHAnsi"/>
        </w:rPr>
        <w:t>closporin</w:t>
      </w:r>
      <w:r w:rsidRPr="006F6631">
        <w:rPr>
          <w:rFonts w:asciiTheme="majorHAnsi" w:hAnsiTheme="majorHAnsi"/>
        </w:rPr>
        <w:t>.</w:t>
      </w:r>
      <w:bookmarkEnd w:id="4"/>
    </w:p>
    <w:p w14:paraId="5FEB35DD" w14:textId="77777777" w:rsidR="001A3992" w:rsidRPr="006F6631" w:rsidRDefault="001A3992" w:rsidP="001A3992">
      <w:pPr>
        <w:pStyle w:val="Heading2"/>
        <w:spacing w:before="0" w:after="120"/>
        <w:rPr>
          <w:rFonts w:cstheme="minorHAnsi"/>
        </w:rPr>
      </w:pPr>
      <w:r w:rsidRPr="006F6631">
        <w:rPr>
          <w:rFonts w:cstheme="minorHAnsi"/>
        </w:rPr>
        <w:t xml:space="preserve">Effects on ability to drive and use machines </w:t>
      </w:r>
    </w:p>
    <w:p w14:paraId="5D7E52F9" w14:textId="3510343A" w:rsidR="00497C85" w:rsidRPr="006F6631" w:rsidRDefault="00497C85" w:rsidP="00497C85">
      <w:pPr>
        <w:rPr>
          <w:rFonts w:asciiTheme="majorHAnsi" w:hAnsiTheme="majorHAnsi" w:cstheme="minorHAnsi"/>
        </w:rPr>
      </w:pPr>
      <w:r w:rsidRPr="006F6631">
        <w:rPr>
          <w:rFonts w:asciiTheme="majorHAnsi" w:hAnsiTheme="majorHAnsi" w:cstheme="minorHAnsi"/>
          <w:lang w:val="en"/>
        </w:rPr>
        <w:t>The effects of this medicine on a person's ability to drive and use machines were not assessed as part of its registration.</w:t>
      </w:r>
    </w:p>
    <w:p w14:paraId="524205AE" w14:textId="77777777" w:rsidR="001A3992" w:rsidRPr="006F6631" w:rsidRDefault="001A3992" w:rsidP="001A3992">
      <w:pPr>
        <w:pStyle w:val="Heading2"/>
        <w:keepNext/>
        <w:keepLines/>
        <w:spacing w:before="0" w:after="120"/>
        <w:rPr>
          <w:rFonts w:cstheme="minorHAnsi"/>
        </w:rPr>
      </w:pPr>
      <w:r w:rsidRPr="006F6631">
        <w:rPr>
          <w:rFonts w:cstheme="minorHAnsi"/>
        </w:rPr>
        <w:t>Adverse effects (Undesirable effects)</w:t>
      </w:r>
    </w:p>
    <w:p w14:paraId="01DFA384" w14:textId="5F29A518" w:rsidR="0086378C" w:rsidRPr="00AC1B1F" w:rsidRDefault="00765C6A" w:rsidP="00AC1B1F">
      <w:pPr>
        <w:spacing w:after="120"/>
        <w:rPr>
          <w:b/>
          <w:bCs/>
          <w:lang w:val="en"/>
        </w:rPr>
      </w:pPr>
      <w:r w:rsidRPr="00AC1B1F">
        <w:rPr>
          <w:b/>
          <w:bCs/>
          <w:lang w:val="en"/>
        </w:rPr>
        <w:t>OTX-101-2014-001 and OTX 101-2016-001 Pooled data</w:t>
      </w:r>
    </w:p>
    <w:p w14:paraId="7362CCEB" w14:textId="1747C078" w:rsidR="00765C6A" w:rsidRDefault="00765C6A" w:rsidP="00497C85">
      <w:pPr>
        <w:rPr>
          <w:rFonts w:asciiTheme="majorHAnsi" w:hAnsiTheme="majorHAnsi" w:cstheme="minorHAnsi"/>
          <w:lang w:val="en"/>
        </w:rPr>
      </w:pPr>
      <w:r w:rsidRPr="00C04B51">
        <w:t xml:space="preserve">Safety data from the </w:t>
      </w:r>
      <w:r>
        <w:t xml:space="preserve">two 12-week pivotal studies, where a total of 524 subjects received OTX-101 0.09% (Safety Population), </w:t>
      </w:r>
      <w:r w:rsidRPr="00C04B51">
        <w:rPr>
          <w:lang w:eastAsia="en-AU"/>
        </w:rPr>
        <w:t>were pooled to provide increased sensitivity and precision.</w:t>
      </w:r>
      <w:r w:rsidRPr="00765C6A">
        <w:t xml:space="preserve"> </w:t>
      </w:r>
      <w:r w:rsidRPr="00AF58EF">
        <w:t>Most subjects were treated between 9 and &lt; 13 weeks</w:t>
      </w:r>
      <w:r>
        <w:t>.</w:t>
      </w:r>
    </w:p>
    <w:p w14:paraId="7E675A54" w14:textId="7064FE7B" w:rsidR="00765C6A" w:rsidRPr="00765C6A" w:rsidRDefault="00765C6A" w:rsidP="00765C6A">
      <w:pPr>
        <w:rPr>
          <w:rFonts w:asciiTheme="majorHAnsi" w:hAnsiTheme="majorHAnsi" w:cstheme="minorHAnsi"/>
          <w:lang w:val="en-US"/>
        </w:rPr>
      </w:pPr>
      <w:r w:rsidRPr="00765C6A">
        <w:rPr>
          <w:rFonts w:asciiTheme="majorHAnsi" w:hAnsiTheme="majorHAnsi" w:cstheme="minorHAnsi"/>
          <w:lang w:val="en-US"/>
        </w:rPr>
        <w:t>Subjects in the OTX-101 0.09% group had a higher incidence of any AE (38.7% versus 27.1%) and treatment-related AEs (25.2% versus 8.6%) compared with the Vehicle group. However, OTX-101 0.09% was generally well tolerated, with most AEs (approximately 70%), including ocular AEs, considered mild and did not require treatment. The most common AE was instillation site pain (OTX-101: 21.8%, Vehicle: 4.0%)</w:t>
      </w:r>
      <w:r>
        <w:rPr>
          <w:rFonts w:asciiTheme="majorHAnsi" w:hAnsiTheme="majorHAnsi" w:cstheme="minorHAnsi"/>
          <w:lang w:val="en-US"/>
        </w:rPr>
        <w:t>.</w:t>
      </w:r>
      <w:r w:rsidRPr="00765C6A">
        <w:rPr>
          <w:rFonts w:asciiTheme="majorHAnsi" w:hAnsiTheme="majorHAnsi" w:cstheme="minorHAnsi"/>
          <w:lang w:val="en-US"/>
        </w:rPr>
        <w:t xml:space="preserve"> </w:t>
      </w:r>
    </w:p>
    <w:p w14:paraId="509B350E" w14:textId="300E3DC4" w:rsidR="00765C6A" w:rsidRPr="00765C6A" w:rsidRDefault="00765C6A" w:rsidP="00765C6A">
      <w:pPr>
        <w:rPr>
          <w:rFonts w:asciiTheme="majorHAnsi" w:hAnsiTheme="majorHAnsi" w:cstheme="minorHAnsi"/>
          <w:lang w:val="en-US"/>
        </w:rPr>
      </w:pPr>
      <w:r w:rsidRPr="00765C6A">
        <w:rPr>
          <w:rFonts w:asciiTheme="majorHAnsi" w:hAnsiTheme="majorHAnsi" w:cstheme="minorHAnsi"/>
          <w:lang w:val="en-US"/>
        </w:rPr>
        <w:t>AEs of severe intensity (1.7% vs 0.8%), and events that led to interruption (0.8% vs 0.4%) or discontinuation (4.2% vs 1.7%) of study drug were low. Serious adverse events were uncommon (1.1% in both treatment groups).</w:t>
      </w:r>
      <w:r w:rsidRPr="00765C6A" w:rsidDel="009A0701">
        <w:rPr>
          <w:rFonts w:asciiTheme="majorHAnsi" w:hAnsiTheme="majorHAnsi" w:cstheme="minorHAnsi"/>
          <w:lang w:val="en-US"/>
        </w:rPr>
        <w:t xml:space="preserve"> </w:t>
      </w:r>
      <w:r w:rsidRPr="00765C6A">
        <w:rPr>
          <w:rFonts w:asciiTheme="majorHAnsi" w:hAnsiTheme="majorHAnsi" w:cstheme="minorHAnsi"/>
          <w:lang w:val="en-US"/>
        </w:rPr>
        <w:t>One subject randomized to OTX-101 0.09% in OTX-101-2016-001 died from an unknown cause, but not considered to be related to study drug.</w:t>
      </w:r>
      <w:r>
        <w:rPr>
          <w:rFonts w:asciiTheme="majorHAnsi" w:hAnsiTheme="majorHAnsi" w:cstheme="minorHAnsi"/>
          <w:lang w:val="en-US"/>
        </w:rPr>
        <w:t xml:space="preserve"> </w:t>
      </w:r>
      <w:r w:rsidRPr="00765C6A">
        <w:rPr>
          <w:rFonts w:asciiTheme="majorHAnsi" w:hAnsiTheme="majorHAnsi" w:cstheme="minorHAnsi"/>
          <w:lang w:val="en-US"/>
        </w:rPr>
        <w:t xml:space="preserve">Table </w:t>
      </w:r>
      <w:r>
        <w:rPr>
          <w:rFonts w:asciiTheme="majorHAnsi" w:hAnsiTheme="majorHAnsi" w:cstheme="minorHAnsi"/>
          <w:lang w:val="en-US"/>
        </w:rPr>
        <w:t>1</w:t>
      </w:r>
      <w:r w:rsidRPr="00765C6A">
        <w:rPr>
          <w:rFonts w:asciiTheme="majorHAnsi" w:hAnsiTheme="majorHAnsi" w:cstheme="minorHAnsi"/>
          <w:lang w:val="en-US"/>
        </w:rPr>
        <w:t xml:space="preserve"> presents treatment-emergent adverse events (TEAEs) reported</w:t>
      </w:r>
      <w:r w:rsidR="00A6681F">
        <w:rPr>
          <w:rFonts w:asciiTheme="majorHAnsi" w:hAnsiTheme="majorHAnsi" w:cstheme="minorHAnsi"/>
          <w:lang w:val="en-US"/>
        </w:rPr>
        <w:t xml:space="preserve"> in </w:t>
      </w:r>
      <w:r w:rsidR="00674B8F">
        <w:t>≥</w:t>
      </w:r>
      <w:r w:rsidR="00A6681F">
        <w:rPr>
          <w:rFonts w:asciiTheme="majorHAnsi" w:hAnsiTheme="majorHAnsi" w:cstheme="minorHAnsi"/>
          <w:lang w:val="en-US"/>
        </w:rPr>
        <w:t xml:space="preserve"> 2% of subjects</w:t>
      </w:r>
      <w:r w:rsidRPr="00765C6A">
        <w:rPr>
          <w:rFonts w:asciiTheme="majorHAnsi" w:hAnsiTheme="majorHAnsi" w:cstheme="minorHAnsi"/>
          <w:lang w:val="en-US"/>
        </w:rPr>
        <w:t xml:space="preserve"> in the </w:t>
      </w:r>
      <w:r w:rsidR="00A6681F">
        <w:rPr>
          <w:rFonts w:asciiTheme="majorHAnsi" w:hAnsiTheme="majorHAnsi" w:cstheme="minorHAnsi"/>
          <w:lang w:val="en-US"/>
        </w:rPr>
        <w:t>S</w:t>
      </w:r>
      <w:r w:rsidRPr="00765C6A">
        <w:rPr>
          <w:rFonts w:asciiTheme="majorHAnsi" w:hAnsiTheme="majorHAnsi" w:cstheme="minorHAnsi"/>
          <w:lang w:val="en-US"/>
        </w:rPr>
        <w:t xml:space="preserve">afety </w:t>
      </w:r>
      <w:r w:rsidR="00A6681F">
        <w:rPr>
          <w:rFonts w:asciiTheme="majorHAnsi" w:hAnsiTheme="majorHAnsi" w:cstheme="minorHAnsi"/>
          <w:lang w:val="en-US"/>
        </w:rPr>
        <w:t>P</w:t>
      </w:r>
      <w:r w:rsidRPr="00765C6A">
        <w:rPr>
          <w:rFonts w:asciiTheme="majorHAnsi" w:hAnsiTheme="majorHAnsi" w:cstheme="minorHAnsi"/>
          <w:lang w:val="en-US"/>
        </w:rPr>
        <w:t>opulation</w:t>
      </w:r>
      <w:r w:rsidR="00A6681F">
        <w:rPr>
          <w:rFonts w:asciiTheme="majorHAnsi" w:hAnsiTheme="majorHAnsi" w:cstheme="minorHAnsi"/>
          <w:lang w:val="en-US"/>
        </w:rPr>
        <w:t>.</w:t>
      </w:r>
    </w:p>
    <w:p w14:paraId="6D4F45AE" w14:textId="7DA79A44" w:rsidR="00765C6A" w:rsidRPr="00A27335" w:rsidRDefault="00765C6A" w:rsidP="00CB4731">
      <w:pPr>
        <w:pageBreakBefore/>
        <w:spacing w:after="120"/>
        <w:rPr>
          <w:b/>
          <w:bCs/>
          <w:lang w:val="en-US"/>
        </w:rPr>
      </w:pPr>
      <w:bookmarkStart w:id="5" w:name="_GoBack"/>
      <w:bookmarkEnd w:id="5"/>
      <w:r w:rsidRPr="00A27335">
        <w:rPr>
          <w:b/>
          <w:bCs/>
          <w:lang w:val="en-US"/>
        </w:rPr>
        <w:lastRenderedPageBreak/>
        <w:t xml:space="preserve">Table </w:t>
      </w:r>
      <w:r w:rsidR="00A6681F" w:rsidRPr="00A27335">
        <w:rPr>
          <w:b/>
          <w:bCs/>
          <w:lang w:val="en-US"/>
        </w:rPr>
        <w:t>1</w:t>
      </w:r>
      <w:r w:rsidRPr="00A27335">
        <w:rPr>
          <w:b/>
          <w:bCs/>
          <w:lang w:val="en-US"/>
        </w:rPr>
        <w:t>: T</w:t>
      </w:r>
      <w:r w:rsidR="00A6681F" w:rsidRPr="00A27335">
        <w:rPr>
          <w:b/>
          <w:bCs/>
          <w:lang w:val="en-US"/>
        </w:rPr>
        <w:t>EAEs</w:t>
      </w:r>
      <w:r w:rsidRPr="00A27335">
        <w:rPr>
          <w:b/>
          <w:bCs/>
          <w:lang w:val="en-US"/>
        </w:rPr>
        <w:t xml:space="preserve"> </w:t>
      </w:r>
      <w:r w:rsidR="00A6681F" w:rsidRPr="00A27335">
        <w:rPr>
          <w:b/>
          <w:bCs/>
          <w:lang w:val="en-US"/>
        </w:rPr>
        <w:t>r</w:t>
      </w:r>
      <w:r w:rsidRPr="00A27335">
        <w:rPr>
          <w:b/>
          <w:bCs/>
          <w:lang w:val="en-US"/>
        </w:rPr>
        <w:t xml:space="preserve">eported in </w:t>
      </w:r>
      <w:r w:rsidR="00674B8F" w:rsidRPr="00674B8F">
        <w:rPr>
          <w:b/>
          <w:bCs/>
          <w:lang w:val="en-US"/>
        </w:rPr>
        <w:t>≥</w:t>
      </w:r>
      <w:r w:rsidRPr="00A27335">
        <w:rPr>
          <w:b/>
          <w:bCs/>
          <w:lang w:val="en-US"/>
        </w:rPr>
        <w:t xml:space="preserve"> 2% of </w:t>
      </w:r>
      <w:r w:rsidR="00A6681F" w:rsidRPr="00A27335">
        <w:rPr>
          <w:b/>
          <w:bCs/>
          <w:lang w:val="en-US"/>
        </w:rPr>
        <w:t>s</w:t>
      </w:r>
      <w:r w:rsidRPr="00A27335">
        <w:rPr>
          <w:b/>
          <w:bCs/>
          <w:lang w:val="en-US"/>
        </w:rPr>
        <w:t xml:space="preserve">ubjects in </w:t>
      </w:r>
      <w:r w:rsidR="00A6681F" w:rsidRPr="00A27335">
        <w:rPr>
          <w:b/>
          <w:bCs/>
          <w:lang w:val="en-US"/>
        </w:rPr>
        <w:t>e</w:t>
      </w:r>
      <w:r w:rsidRPr="00A27335">
        <w:rPr>
          <w:b/>
          <w:bCs/>
          <w:lang w:val="en-US"/>
        </w:rPr>
        <w:t xml:space="preserve">ither </w:t>
      </w:r>
      <w:r w:rsidR="00A6681F" w:rsidRPr="00A27335">
        <w:rPr>
          <w:b/>
          <w:bCs/>
          <w:lang w:val="en-US"/>
        </w:rPr>
        <w:t>t</w:t>
      </w:r>
      <w:r w:rsidRPr="00A27335">
        <w:rPr>
          <w:b/>
          <w:bCs/>
          <w:lang w:val="en-US"/>
        </w:rPr>
        <w:t xml:space="preserve">reatment </w:t>
      </w:r>
      <w:r w:rsidR="00A6681F" w:rsidRPr="00A27335">
        <w:rPr>
          <w:b/>
          <w:bCs/>
          <w:lang w:val="en-US"/>
        </w:rPr>
        <w:t>g</w:t>
      </w:r>
      <w:r w:rsidRPr="00A27335">
        <w:rPr>
          <w:b/>
          <w:bCs/>
          <w:lang w:val="en-US"/>
        </w:rPr>
        <w:t xml:space="preserve">roup in </w:t>
      </w:r>
      <w:r w:rsidR="00A6681F" w:rsidRPr="00A27335">
        <w:rPr>
          <w:b/>
          <w:bCs/>
          <w:lang w:val="en-US"/>
        </w:rPr>
        <w:t>the S</w:t>
      </w:r>
      <w:r w:rsidRPr="00A27335">
        <w:rPr>
          <w:b/>
          <w:bCs/>
          <w:lang w:val="en-US"/>
        </w:rPr>
        <w:t xml:space="preserve">afety </w:t>
      </w:r>
      <w:r w:rsidR="00A6681F" w:rsidRPr="00A27335">
        <w:rPr>
          <w:b/>
          <w:bCs/>
          <w:lang w:val="en-US"/>
        </w:rPr>
        <w:t>P</w:t>
      </w:r>
      <w:r w:rsidRPr="00A27335">
        <w:rPr>
          <w:b/>
          <w:bCs/>
          <w:lang w:val="en-US"/>
        </w:rPr>
        <w:t>opulation</w:t>
      </w:r>
    </w:p>
    <w:tbl>
      <w:tblPr>
        <w:tblStyle w:val="TableGrid"/>
        <w:tblW w:w="9209" w:type="dxa"/>
        <w:tblLook w:val="04A0" w:firstRow="1" w:lastRow="0" w:firstColumn="1" w:lastColumn="0" w:noHBand="0" w:noVBand="1"/>
      </w:tblPr>
      <w:tblGrid>
        <w:gridCol w:w="2830"/>
        <w:gridCol w:w="1134"/>
        <w:gridCol w:w="993"/>
        <w:gridCol w:w="1134"/>
        <w:gridCol w:w="992"/>
        <w:gridCol w:w="1134"/>
        <w:gridCol w:w="992"/>
      </w:tblGrid>
      <w:tr w:rsidR="00765C6A" w:rsidRPr="00765C6A" w14:paraId="3BDF5472" w14:textId="77777777" w:rsidTr="00674B8F">
        <w:trPr>
          <w:tblHeader/>
        </w:trPr>
        <w:tc>
          <w:tcPr>
            <w:tcW w:w="2830" w:type="dxa"/>
            <w:tcBorders>
              <w:right w:val="single" w:sz="4" w:space="0" w:color="auto"/>
            </w:tcBorders>
            <w:shd w:val="clear" w:color="auto" w:fill="auto"/>
          </w:tcPr>
          <w:p w14:paraId="15311E1F" w14:textId="77777777" w:rsidR="00765C6A" w:rsidRPr="00765C6A" w:rsidRDefault="00765C6A" w:rsidP="00765C6A">
            <w:pPr>
              <w:spacing w:before="60" w:after="60"/>
              <w:rPr>
                <w:rFonts w:asciiTheme="majorHAnsi" w:hAnsiTheme="majorHAnsi" w:cstheme="minorHAnsi"/>
                <w:b/>
                <w:sz w:val="20"/>
                <w:szCs w:val="20"/>
                <w:lang w:val="en-US"/>
              </w:rPr>
            </w:pPr>
            <w:bookmarkStart w:id="6" w:name="_Hlk529283591"/>
          </w:p>
        </w:tc>
        <w:tc>
          <w:tcPr>
            <w:tcW w:w="2127" w:type="dxa"/>
            <w:gridSpan w:val="2"/>
            <w:tcBorders>
              <w:left w:val="single" w:sz="4" w:space="0" w:color="auto"/>
              <w:right w:val="single" w:sz="4" w:space="0" w:color="auto"/>
            </w:tcBorders>
            <w:shd w:val="clear" w:color="auto" w:fill="auto"/>
            <w:vAlign w:val="center"/>
          </w:tcPr>
          <w:p w14:paraId="185D531F"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Pooled data</w:t>
            </w:r>
          </w:p>
        </w:tc>
        <w:tc>
          <w:tcPr>
            <w:tcW w:w="2126" w:type="dxa"/>
            <w:gridSpan w:val="2"/>
            <w:tcBorders>
              <w:left w:val="single" w:sz="4" w:space="0" w:color="auto"/>
              <w:right w:val="single" w:sz="4" w:space="0" w:color="auto"/>
            </w:tcBorders>
            <w:shd w:val="clear" w:color="auto" w:fill="auto"/>
            <w:vAlign w:val="center"/>
          </w:tcPr>
          <w:p w14:paraId="4F4A8728"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OTX-101-2014-001</w:t>
            </w:r>
          </w:p>
        </w:tc>
        <w:tc>
          <w:tcPr>
            <w:tcW w:w="2126" w:type="dxa"/>
            <w:gridSpan w:val="2"/>
            <w:tcBorders>
              <w:left w:val="single" w:sz="4" w:space="0" w:color="auto"/>
            </w:tcBorders>
            <w:shd w:val="clear" w:color="auto" w:fill="auto"/>
            <w:vAlign w:val="center"/>
          </w:tcPr>
          <w:p w14:paraId="792FDA87"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OTX-101-2016-001</w:t>
            </w:r>
          </w:p>
        </w:tc>
      </w:tr>
      <w:tr w:rsidR="00A6681F" w:rsidRPr="00765C6A" w14:paraId="2867C83F" w14:textId="77777777" w:rsidTr="00A6681F">
        <w:tc>
          <w:tcPr>
            <w:tcW w:w="2830" w:type="dxa"/>
            <w:tcBorders>
              <w:bottom w:val="single" w:sz="4" w:space="0" w:color="auto"/>
              <w:right w:val="single" w:sz="4" w:space="0" w:color="auto"/>
            </w:tcBorders>
            <w:shd w:val="clear" w:color="auto" w:fill="auto"/>
          </w:tcPr>
          <w:p w14:paraId="01B7665F"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Preferred Term</w:t>
            </w:r>
          </w:p>
        </w:tc>
        <w:tc>
          <w:tcPr>
            <w:tcW w:w="1134" w:type="dxa"/>
            <w:tcBorders>
              <w:left w:val="single" w:sz="4" w:space="0" w:color="auto"/>
              <w:bottom w:val="single" w:sz="4" w:space="0" w:color="auto"/>
              <w:right w:val="single" w:sz="4" w:space="0" w:color="auto"/>
            </w:tcBorders>
            <w:shd w:val="clear" w:color="auto" w:fill="auto"/>
          </w:tcPr>
          <w:p w14:paraId="73DEEC87"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OTX-101 0.09% (N=524)</w:t>
            </w:r>
          </w:p>
        </w:tc>
        <w:tc>
          <w:tcPr>
            <w:tcW w:w="993" w:type="dxa"/>
            <w:tcBorders>
              <w:left w:val="single" w:sz="4" w:space="0" w:color="auto"/>
              <w:bottom w:val="single" w:sz="4" w:space="0" w:color="auto"/>
              <w:right w:val="single" w:sz="4" w:space="0" w:color="auto"/>
            </w:tcBorders>
            <w:shd w:val="clear" w:color="auto" w:fill="auto"/>
          </w:tcPr>
          <w:p w14:paraId="4A24E2B8"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Vehicle (N=524)</w:t>
            </w:r>
          </w:p>
        </w:tc>
        <w:tc>
          <w:tcPr>
            <w:tcW w:w="1134" w:type="dxa"/>
            <w:tcBorders>
              <w:left w:val="single" w:sz="4" w:space="0" w:color="auto"/>
              <w:bottom w:val="single" w:sz="4" w:space="0" w:color="auto"/>
              <w:right w:val="single" w:sz="4" w:space="0" w:color="auto"/>
            </w:tcBorders>
            <w:shd w:val="clear" w:color="auto" w:fill="auto"/>
          </w:tcPr>
          <w:p w14:paraId="041A7800"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OTX-101 0.09% (N=152)</w:t>
            </w:r>
          </w:p>
        </w:tc>
        <w:tc>
          <w:tcPr>
            <w:tcW w:w="992" w:type="dxa"/>
            <w:tcBorders>
              <w:left w:val="single" w:sz="4" w:space="0" w:color="auto"/>
              <w:bottom w:val="single" w:sz="4" w:space="0" w:color="auto"/>
              <w:right w:val="single" w:sz="4" w:space="0" w:color="auto"/>
            </w:tcBorders>
            <w:shd w:val="clear" w:color="auto" w:fill="auto"/>
          </w:tcPr>
          <w:p w14:paraId="067A5299"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Vehicle (N=152)</w:t>
            </w:r>
          </w:p>
        </w:tc>
        <w:tc>
          <w:tcPr>
            <w:tcW w:w="1134" w:type="dxa"/>
            <w:tcBorders>
              <w:left w:val="single" w:sz="4" w:space="0" w:color="auto"/>
              <w:bottom w:val="single" w:sz="4" w:space="0" w:color="auto"/>
              <w:right w:val="single" w:sz="4" w:space="0" w:color="auto"/>
            </w:tcBorders>
            <w:shd w:val="clear" w:color="auto" w:fill="auto"/>
          </w:tcPr>
          <w:p w14:paraId="1DBF6CB5"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OTX-101 0.09% (N=372)</w:t>
            </w:r>
          </w:p>
        </w:tc>
        <w:tc>
          <w:tcPr>
            <w:tcW w:w="992" w:type="dxa"/>
            <w:tcBorders>
              <w:left w:val="single" w:sz="4" w:space="0" w:color="auto"/>
              <w:bottom w:val="single" w:sz="4" w:space="0" w:color="auto"/>
            </w:tcBorders>
            <w:shd w:val="clear" w:color="auto" w:fill="auto"/>
          </w:tcPr>
          <w:p w14:paraId="53BA2D46"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Vehicle (N=372)</w:t>
            </w:r>
          </w:p>
        </w:tc>
      </w:tr>
      <w:tr w:rsidR="00765C6A" w:rsidRPr="00765C6A" w14:paraId="6B17171F" w14:textId="77777777" w:rsidTr="00CB3B1B">
        <w:tc>
          <w:tcPr>
            <w:tcW w:w="2830" w:type="dxa"/>
            <w:tcBorders>
              <w:bottom w:val="single" w:sz="4" w:space="0" w:color="auto"/>
              <w:right w:val="single" w:sz="4" w:space="0" w:color="auto"/>
            </w:tcBorders>
            <w:vAlign w:val="center"/>
          </w:tcPr>
          <w:p w14:paraId="3079EF5B"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Any ocular AE, </w:t>
            </w:r>
            <w:r w:rsidRPr="00765C6A">
              <w:rPr>
                <w:rFonts w:asciiTheme="majorHAnsi" w:hAnsiTheme="majorHAnsi" w:cstheme="minorHAnsi"/>
                <w:b/>
                <w:sz w:val="20"/>
                <w:szCs w:val="20"/>
                <w:lang w:val="en-US"/>
              </w:rPr>
              <w:br/>
              <w:t>n (%)</w:t>
            </w:r>
          </w:p>
        </w:tc>
        <w:tc>
          <w:tcPr>
            <w:tcW w:w="1134" w:type="dxa"/>
            <w:tcBorders>
              <w:left w:val="single" w:sz="4" w:space="0" w:color="auto"/>
              <w:bottom w:val="single" w:sz="4" w:space="0" w:color="auto"/>
              <w:right w:val="single" w:sz="4" w:space="0" w:color="auto"/>
            </w:tcBorders>
          </w:tcPr>
          <w:p w14:paraId="50E04110"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162 </w:t>
            </w:r>
            <w:r w:rsidRPr="00765C6A">
              <w:rPr>
                <w:rFonts w:asciiTheme="majorHAnsi" w:hAnsiTheme="majorHAnsi" w:cstheme="minorHAnsi"/>
                <w:b/>
                <w:sz w:val="20"/>
                <w:szCs w:val="20"/>
                <w:lang w:val="en-US"/>
              </w:rPr>
              <w:br/>
              <w:t>(30.9)</w:t>
            </w:r>
          </w:p>
        </w:tc>
        <w:tc>
          <w:tcPr>
            <w:tcW w:w="993" w:type="dxa"/>
            <w:tcBorders>
              <w:left w:val="single" w:sz="4" w:space="0" w:color="auto"/>
              <w:bottom w:val="single" w:sz="4" w:space="0" w:color="auto"/>
              <w:right w:val="single" w:sz="4" w:space="0" w:color="auto"/>
            </w:tcBorders>
          </w:tcPr>
          <w:p w14:paraId="462CD5D5"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94 </w:t>
            </w:r>
            <w:r w:rsidRPr="00765C6A">
              <w:rPr>
                <w:rFonts w:asciiTheme="majorHAnsi" w:hAnsiTheme="majorHAnsi" w:cstheme="minorHAnsi"/>
                <w:b/>
                <w:sz w:val="20"/>
                <w:szCs w:val="20"/>
                <w:lang w:val="en-US"/>
              </w:rPr>
              <w:br/>
              <w:t>(17.9)</w:t>
            </w:r>
          </w:p>
        </w:tc>
        <w:tc>
          <w:tcPr>
            <w:tcW w:w="1134" w:type="dxa"/>
            <w:tcBorders>
              <w:left w:val="single" w:sz="4" w:space="0" w:color="auto"/>
              <w:bottom w:val="single" w:sz="4" w:space="0" w:color="auto"/>
              <w:right w:val="single" w:sz="4" w:space="0" w:color="auto"/>
            </w:tcBorders>
          </w:tcPr>
          <w:p w14:paraId="4114301C"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37 </w:t>
            </w:r>
            <w:r w:rsidRPr="00765C6A">
              <w:rPr>
                <w:rFonts w:asciiTheme="majorHAnsi" w:hAnsiTheme="majorHAnsi" w:cstheme="minorHAnsi"/>
                <w:b/>
                <w:sz w:val="20"/>
                <w:szCs w:val="20"/>
                <w:lang w:val="en-US"/>
              </w:rPr>
              <w:br/>
              <w:t>(24.3)</w:t>
            </w:r>
          </w:p>
        </w:tc>
        <w:tc>
          <w:tcPr>
            <w:tcW w:w="992" w:type="dxa"/>
            <w:tcBorders>
              <w:left w:val="single" w:sz="4" w:space="0" w:color="auto"/>
              <w:bottom w:val="single" w:sz="4" w:space="0" w:color="auto"/>
              <w:right w:val="single" w:sz="4" w:space="0" w:color="auto"/>
            </w:tcBorders>
          </w:tcPr>
          <w:p w14:paraId="3E8672F2"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28 </w:t>
            </w:r>
            <w:r w:rsidRPr="00765C6A">
              <w:rPr>
                <w:rFonts w:asciiTheme="majorHAnsi" w:hAnsiTheme="majorHAnsi" w:cstheme="minorHAnsi"/>
                <w:b/>
                <w:sz w:val="20"/>
                <w:szCs w:val="20"/>
                <w:lang w:val="en-US"/>
              </w:rPr>
              <w:br/>
              <w:t>(18.4)</w:t>
            </w:r>
          </w:p>
        </w:tc>
        <w:tc>
          <w:tcPr>
            <w:tcW w:w="1134" w:type="dxa"/>
            <w:tcBorders>
              <w:left w:val="single" w:sz="4" w:space="0" w:color="auto"/>
              <w:bottom w:val="single" w:sz="4" w:space="0" w:color="auto"/>
              <w:right w:val="single" w:sz="4" w:space="0" w:color="auto"/>
            </w:tcBorders>
          </w:tcPr>
          <w:p w14:paraId="46F48069"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125 </w:t>
            </w:r>
            <w:r w:rsidRPr="00765C6A">
              <w:rPr>
                <w:rFonts w:asciiTheme="majorHAnsi" w:hAnsiTheme="majorHAnsi" w:cstheme="minorHAnsi"/>
                <w:b/>
                <w:sz w:val="20"/>
                <w:szCs w:val="20"/>
                <w:lang w:val="en-US"/>
              </w:rPr>
              <w:br/>
              <w:t>(33.6)</w:t>
            </w:r>
          </w:p>
        </w:tc>
        <w:tc>
          <w:tcPr>
            <w:tcW w:w="992" w:type="dxa"/>
            <w:tcBorders>
              <w:left w:val="single" w:sz="4" w:space="0" w:color="auto"/>
              <w:bottom w:val="single" w:sz="4" w:space="0" w:color="auto"/>
            </w:tcBorders>
          </w:tcPr>
          <w:p w14:paraId="2CEF1576"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66 </w:t>
            </w:r>
            <w:r w:rsidRPr="00765C6A">
              <w:rPr>
                <w:rFonts w:asciiTheme="majorHAnsi" w:hAnsiTheme="majorHAnsi" w:cstheme="minorHAnsi"/>
                <w:b/>
                <w:sz w:val="20"/>
                <w:szCs w:val="20"/>
                <w:lang w:val="en-US"/>
              </w:rPr>
              <w:br/>
              <w:t>(17.7)</w:t>
            </w:r>
          </w:p>
        </w:tc>
      </w:tr>
      <w:tr w:rsidR="00765C6A" w:rsidRPr="00765C6A" w14:paraId="624ADC9C" w14:textId="77777777" w:rsidTr="00CB3B1B">
        <w:tc>
          <w:tcPr>
            <w:tcW w:w="2830" w:type="dxa"/>
            <w:tcBorders>
              <w:top w:val="nil"/>
              <w:bottom w:val="nil"/>
              <w:right w:val="single" w:sz="4" w:space="0" w:color="auto"/>
            </w:tcBorders>
          </w:tcPr>
          <w:p w14:paraId="6FDEF67F"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Instillation site pain</w:t>
            </w:r>
          </w:p>
        </w:tc>
        <w:tc>
          <w:tcPr>
            <w:tcW w:w="1134" w:type="dxa"/>
            <w:tcBorders>
              <w:top w:val="nil"/>
              <w:left w:val="single" w:sz="4" w:space="0" w:color="auto"/>
              <w:bottom w:val="nil"/>
              <w:right w:val="single" w:sz="4" w:space="0" w:color="auto"/>
            </w:tcBorders>
          </w:tcPr>
          <w:p w14:paraId="57A35840"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114 (21.8)</w:t>
            </w:r>
          </w:p>
        </w:tc>
        <w:tc>
          <w:tcPr>
            <w:tcW w:w="993" w:type="dxa"/>
            <w:tcBorders>
              <w:top w:val="nil"/>
              <w:left w:val="single" w:sz="4" w:space="0" w:color="auto"/>
              <w:bottom w:val="nil"/>
              <w:right w:val="single" w:sz="4" w:space="0" w:color="auto"/>
            </w:tcBorders>
          </w:tcPr>
          <w:p w14:paraId="307D81AB"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21 (4.0)</w:t>
            </w:r>
          </w:p>
        </w:tc>
        <w:tc>
          <w:tcPr>
            <w:tcW w:w="1134" w:type="dxa"/>
            <w:tcBorders>
              <w:top w:val="nil"/>
              <w:left w:val="single" w:sz="4" w:space="0" w:color="auto"/>
              <w:bottom w:val="nil"/>
              <w:right w:val="single" w:sz="4" w:space="0" w:color="auto"/>
            </w:tcBorders>
          </w:tcPr>
          <w:p w14:paraId="59E43E9B"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23 (15.1)</w:t>
            </w:r>
          </w:p>
        </w:tc>
        <w:tc>
          <w:tcPr>
            <w:tcW w:w="992" w:type="dxa"/>
            <w:tcBorders>
              <w:top w:val="nil"/>
              <w:left w:val="single" w:sz="4" w:space="0" w:color="auto"/>
              <w:bottom w:val="nil"/>
              <w:right w:val="single" w:sz="4" w:space="0" w:color="auto"/>
            </w:tcBorders>
          </w:tcPr>
          <w:p w14:paraId="2442B712"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5 (3.3)</w:t>
            </w:r>
          </w:p>
        </w:tc>
        <w:tc>
          <w:tcPr>
            <w:tcW w:w="1134" w:type="dxa"/>
            <w:tcBorders>
              <w:top w:val="nil"/>
              <w:left w:val="single" w:sz="4" w:space="0" w:color="auto"/>
              <w:bottom w:val="nil"/>
              <w:right w:val="single" w:sz="4" w:space="0" w:color="auto"/>
            </w:tcBorders>
          </w:tcPr>
          <w:p w14:paraId="2E76038F"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90 (24.2)</w:t>
            </w:r>
          </w:p>
        </w:tc>
        <w:tc>
          <w:tcPr>
            <w:tcW w:w="992" w:type="dxa"/>
            <w:tcBorders>
              <w:top w:val="nil"/>
              <w:left w:val="single" w:sz="4" w:space="0" w:color="auto"/>
              <w:bottom w:val="nil"/>
            </w:tcBorders>
          </w:tcPr>
          <w:p w14:paraId="00734C83"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16 (4.3)</w:t>
            </w:r>
          </w:p>
        </w:tc>
      </w:tr>
      <w:tr w:rsidR="00765C6A" w:rsidRPr="00765C6A" w14:paraId="3BD89B37" w14:textId="77777777" w:rsidTr="00CB3B1B">
        <w:tc>
          <w:tcPr>
            <w:tcW w:w="2830" w:type="dxa"/>
            <w:tcBorders>
              <w:top w:val="nil"/>
              <w:bottom w:val="nil"/>
              <w:right w:val="single" w:sz="4" w:space="0" w:color="auto"/>
            </w:tcBorders>
          </w:tcPr>
          <w:p w14:paraId="6CFE2E27"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 xml:space="preserve">Conjunctival </w:t>
            </w:r>
            <w:proofErr w:type="spellStart"/>
            <w:r w:rsidRPr="00765C6A">
              <w:rPr>
                <w:rFonts w:asciiTheme="majorHAnsi" w:hAnsiTheme="majorHAnsi" w:cstheme="minorHAnsi"/>
                <w:sz w:val="18"/>
                <w:szCs w:val="18"/>
                <w:lang w:val="en-US"/>
              </w:rPr>
              <w:t>hyperaemia</w:t>
            </w:r>
            <w:proofErr w:type="spellEnd"/>
          </w:p>
        </w:tc>
        <w:tc>
          <w:tcPr>
            <w:tcW w:w="1134" w:type="dxa"/>
            <w:tcBorders>
              <w:top w:val="nil"/>
              <w:left w:val="single" w:sz="4" w:space="0" w:color="auto"/>
              <w:bottom w:val="nil"/>
              <w:right w:val="single" w:sz="4" w:space="0" w:color="auto"/>
            </w:tcBorders>
          </w:tcPr>
          <w:p w14:paraId="6E3D7F88"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30 (5.7)</w:t>
            </w:r>
          </w:p>
        </w:tc>
        <w:tc>
          <w:tcPr>
            <w:tcW w:w="993" w:type="dxa"/>
            <w:tcBorders>
              <w:top w:val="nil"/>
              <w:left w:val="single" w:sz="4" w:space="0" w:color="auto"/>
              <w:bottom w:val="nil"/>
              <w:right w:val="single" w:sz="4" w:space="0" w:color="auto"/>
            </w:tcBorders>
          </w:tcPr>
          <w:p w14:paraId="48527DDD"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19 (3.6)</w:t>
            </w:r>
          </w:p>
        </w:tc>
        <w:tc>
          <w:tcPr>
            <w:tcW w:w="1134" w:type="dxa"/>
            <w:tcBorders>
              <w:top w:val="nil"/>
              <w:left w:val="single" w:sz="4" w:space="0" w:color="auto"/>
              <w:bottom w:val="nil"/>
              <w:right w:val="single" w:sz="4" w:space="0" w:color="auto"/>
            </w:tcBorders>
          </w:tcPr>
          <w:p w14:paraId="1FB3720F"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0</w:t>
            </w:r>
          </w:p>
        </w:tc>
        <w:tc>
          <w:tcPr>
            <w:tcW w:w="992" w:type="dxa"/>
            <w:tcBorders>
              <w:top w:val="nil"/>
              <w:left w:val="single" w:sz="4" w:space="0" w:color="auto"/>
              <w:bottom w:val="nil"/>
              <w:right w:val="single" w:sz="4" w:space="0" w:color="auto"/>
            </w:tcBorders>
          </w:tcPr>
          <w:p w14:paraId="422B7D12"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0</w:t>
            </w:r>
          </w:p>
        </w:tc>
        <w:tc>
          <w:tcPr>
            <w:tcW w:w="1134" w:type="dxa"/>
            <w:tcBorders>
              <w:top w:val="nil"/>
              <w:left w:val="single" w:sz="4" w:space="0" w:color="auto"/>
              <w:bottom w:val="nil"/>
              <w:right w:val="single" w:sz="4" w:space="0" w:color="auto"/>
            </w:tcBorders>
          </w:tcPr>
          <w:p w14:paraId="1969EA4B"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30 (8.1)</w:t>
            </w:r>
          </w:p>
        </w:tc>
        <w:tc>
          <w:tcPr>
            <w:tcW w:w="992" w:type="dxa"/>
            <w:tcBorders>
              <w:top w:val="nil"/>
              <w:left w:val="single" w:sz="4" w:space="0" w:color="auto"/>
              <w:bottom w:val="nil"/>
            </w:tcBorders>
          </w:tcPr>
          <w:p w14:paraId="0F4DEF0E"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19 (5.1)</w:t>
            </w:r>
          </w:p>
        </w:tc>
      </w:tr>
      <w:tr w:rsidR="00765C6A" w:rsidRPr="00765C6A" w14:paraId="0452D0A0" w14:textId="77777777" w:rsidTr="00A6681F">
        <w:tc>
          <w:tcPr>
            <w:tcW w:w="2830" w:type="dxa"/>
            <w:tcBorders>
              <w:top w:val="nil"/>
              <w:bottom w:val="nil"/>
              <w:right w:val="single" w:sz="4" w:space="0" w:color="auto"/>
            </w:tcBorders>
          </w:tcPr>
          <w:p w14:paraId="7FC7707B"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Eye irritation</w:t>
            </w:r>
          </w:p>
        </w:tc>
        <w:tc>
          <w:tcPr>
            <w:tcW w:w="1134" w:type="dxa"/>
            <w:tcBorders>
              <w:top w:val="nil"/>
              <w:left w:val="single" w:sz="4" w:space="0" w:color="auto"/>
              <w:bottom w:val="nil"/>
              <w:right w:val="single" w:sz="4" w:space="0" w:color="auto"/>
            </w:tcBorders>
          </w:tcPr>
          <w:p w14:paraId="21332748"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6 (1.1)</w:t>
            </w:r>
          </w:p>
        </w:tc>
        <w:tc>
          <w:tcPr>
            <w:tcW w:w="993" w:type="dxa"/>
            <w:tcBorders>
              <w:top w:val="nil"/>
              <w:left w:val="single" w:sz="4" w:space="0" w:color="auto"/>
              <w:bottom w:val="nil"/>
              <w:right w:val="single" w:sz="4" w:space="0" w:color="auto"/>
            </w:tcBorders>
          </w:tcPr>
          <w:p w14:paraId="4276ADBA"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6 (1.1)</w:t>
            </w:r>
          </w:p>
        </w:tc>
        <w:tc>
          <w:tcPr>
            <w:tcW w:w="1134" w:type="dxa"/>
            <w:tcBorders>
              <w:top w:val="nil"/>
              <w:left w:val="single" w:sz="4" w:space="0" w:color="auto"/>
              <w:bottom w:val="nil"/>
              <w:right w:val="single" w:sz="4" w:space="0" w:color="auto"/>
            </w:tcBorders>
          </w:tcPr>
          <w:p w14:paraId="5DF397BA"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3 (2.0)</w:t>
            </w:r>
          </w:p>
        </w:tc>
        <w:tc>
          <w:tcPr>
            <w:tcW w:w="992" w:type="dxa"/>
            <w:tcBorders>
              <w:top w:val="nil"/>
              <w:left w:val="single" w:sz="4" w:space="0" w:color="auto"/>
              <w:bottom w:val="nil"/>
              <w:right w:val="single" w:sz="4" w:space="0" w:color="auto"/>
            </w:tcBorders>
          </w:tcPr>
          <w:p w14:paraId="6510AEA2"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 (0.7)</w:t>
            </w:r>
          </w:p>
        </w:tc>
        <w:tc>
          <w:tcPr>
            <w:tcW w:w="1134" w:type="dxa"/>
            <w:tcBorders>
              <w:top w:val="nil"/>
              <w:left w:val="single" w:sz="4" w:space="0" w:color="auto"/>
              <w:bottom w:val="nil"/>
              <w:right w:val="single" w:sz="4" w:space="0" w:color="auto"/>
            </w:tcBorders>
          </w:tcPr>
          <w:p w14:paraId="4C08648D"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3 (0.8)</w:t>
            </w:r>
          </w:p>
        </w:tc>
        <w:tc>
          <w:tcPr>
            <w:tcW w:w="992" w:type="dxa"/>
            <w:tcBorders>
              <w:top w:val="nil"/>
              <w:left w:val="single" w:sz="4" w:space="0" w:color="auto"/>
              <w:bottom w:val="nil"/>
            </w:tcBorders>
          </w:tcPr>
          <w:p w14:paraId="79065E0B"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5 (1.3)</w:t>
            </w:r>
          </w:p>
        </w:tc>
      </w:tr>
      <w:tr w:rsidR="00765C6A" w:rsidRPr="00765C6A" w14:paraId="1E231F76" w14:textId="77777777" w:rsidTr="00A6681F">
        <w:tc>
          <w:tcPr>
            <w:tcW w:w="2830" w:type="dxa"/>
            <w:tcBorders>
              <w:top w:val="nil"/>
              <w:bottom w:val="single" w:sz="4" w:space="0" w:color="auto"/>
              <w:right w:val="single" w:sz="4" w:space="0" w:color="auto"/>
            </w:tcBorders>
          </w:tcPr>
          <w:p w14:paraId="39C734C5" w14:textId="6119B710"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 xml:space="preserve">Eye </w:t>
            </w:r>
            <w:proofErr w:type="spellStart"/>
            <w:r w:rsidRPr="00765C6A">
              <w:rPr>
                <w:rFonts w:asciiTheme="majorHAnsi" w:hAnsiTheme="majorHAnsi" w:cstheme="minorHAnsi"/>
                <w:sz w:val="18"/>
                <w:szCs w:val="18"/>
                <w:lang w:val="en-US"/>
              </w:rPr>
              <w:t>pru</w:t>
            </w:r>
            <w:r w:rsidR="00A6681F" w:rsidRPr="00A6681F">
              <w:rPr>
                <w:rFonts w:asciiTheme="majorHAnsi" w:hAnsiTheme="majorHAnsi" w:cstheme="minorHAnsi"/>
                <w:sz w:val="18"/>
                <w:szCs w:val="18"/>
                <w:lang w:val="en-US"/>
              </w:rPr>
              <w:t>r</w:t>
            </w:r>
            <w:r w:rsidRPr="00765C6A">
              <w:rPr>
                <w:rFonts w:asciiTheme="majorHAnsi" w:hAnsiTheme="majorHAnsi" w:cstheme="minorHAnsi"/>
                <w:sz w:val="18"/>
                <w:szCs w:val="18"/>
                <w:lang w:val="en-US"/>
              </w:rPr>
              <w:t>itis</w:t>
            </w:r>
            <w:proofErr w:type="spellEnd"/>
          </w:p>
        </w:tc>
        <w:tc>
          <w:tcPr>
            <w:tcW w:w="1134" w:type="dxa"/>
            <w:tcBorders>
              <w:top w:val="nil"/>
              <w:left w:val="single" w:sz="4" w:space="0" w:color="auto"/>
              <w:bottom w:val="single" w:sz="4" w:space="0" w:color="auto"/>
              <w:right w:val="single" w:sz="4" w:space="0" w:color="auto"/>
            </w:tcBorders>
          </w:tcPr>
          <w:p w14:paraId="2A404488"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2 (0.4)</w:t>
            </w:r>
          </w:p>
        </w:tc>
        <w:tc>
          <w:tcPr>
            <w:tcW w:w="993" w:type="dxa"/>
            <w:tcBorders>
              <w:top w:val="nil"/>
              <w:left w:val="single" w:sz="4" w:space="0" w:color="auto"/>
              <w:bottom w:val="single" w:sz="4" w:space="0" w:color="auto"/>
              <w:right w:val="single" w:sz="4" w:space="0" w:color="auto"/>
            </w:tcBorders>
          </w:tcPr>
          <w:p w14:paraId="7E91DC82"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8 (1.5)</w:t>
            </w:r>
          </w:p>
        </w:tc>
        <w:tc>
          <w:tcPr>
            <w:tcW w:w="1134" w:type="dxa"/>
            <w:tcBorders>
              <w:top w:val="nil"/>
              <w:left w:val="single" w:sz="4" w:space="0" w:color="auto"/>
              <w:bottom w:val="single" w:sz="4" w:space="0" w:color="auto"/>
              <w:right w:val="single" w:sz="4" w:space="0" w:color="auto"/>
            </w:tcBorders>
          </w:tcPr>
          <w:p w14:paraId="3CC575E4"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 (0.7)</w:t>
            </w:r>
          </w:p>
        </w:tc>
        <w:tc>
          <w:tcPr>
            <w:tcW w:w="992" w:type="dxa"/>
            <w:tcBorders>
              <w:top w:val="nil"/>
              <w:left w:val="single" w:sz="4" w:space="0" w:color="auto"/>
              <w:bottom w:val="single" w:sz="4" w:space="0" w:color="auto"/>
              <w:right w:val="single" w:sz="4" w:space="0" w:color="auto"/>
            </w:tcBorders>
          </w:tcPr>
          <w:p w14:paraId="7E487FAB"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4 (2.6)</w:t>
            </w:r>
          </w:p>
        </w:tc>
        <w:tc>
          <w:tcPr>
            <w:tcW w:w="1134" w:type="dxa"/>
            <w:tcBorders>
              <w:top w:val="nil"/>
              <w:left w:val="single" w:sz="4" w:space="0" w:color="auto"/>
              <w:bottom w:val="single" w:sz="4" w:space="0" w:color="auto"/>
              <w:right w:val="single" w:sz="4" w:space="0" w:color="auto"/>
            </w:tcBorders>
          </w:tcPr>
          <w:p w14:paraId="3E56CD24"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 (0.3)</w:t>
            </w:r>
          </w:p>
        </w:tc>
        <w:tc>
          <w:tcPr>
            <w:tcW w:w="992" w:type="dxa"/>
            <w:tcBorders>
              <w:top w:val="nil"/>
              <w:left w:val="single" w:sz="4" w:space="0" w:color="auto"/>
              <w:bottom w:val="single" w:sz="4" w:space="0" w:color="auto"/>
            </w:tcBorders>
          </w:tcPr>
          <w:p w14:paraId="2308A809"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5 (1.3)</w:t>
            </w:r>
          </w:p>
        </w:tc>
      </w:tr>
      <w:tr w:rsidR="00765C6A" w:rsidRPr="00765C6A" w14:paraId="0CBC9407" w14:textId="77777777" w:rsidTr="00A6681F">
        <w:trPr>
          <w:trHeight w:val="630"/>
        </w:trPr>
        <w:tc>
          <w:tcPr>
            <w:tcW w:w="2830" w:type="dxa"/>
            <w:tcBorders>
              <w:top w:val="single" w:sz="4" w:space="0" w:color="auto"/>
              <w:bottom w:val="single" w:sz="4" w:space="0" w:color="auto"/>
              <w:right w:val="single" w:sz="4" w:space="0" w:color="auto"/>
            </w:tcBorders>
            <w:vAlign w:val="center"/>
          </w:tcPr>
          <w:p w14:paraId="1E67F2D8"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Any non-ocular AE, </w:t>
            </w:r>
            <w:r w:rsidRPr="00765C6A">
              <w:rPr>
                <w:rFonts w:asciiTheme="majorHAnsi" w:hAnsiTheme="majorHAnsi" w:cstheme="minorHAnsi"/>
                <w:b/>
                <w:sz w:val="20"/>
                <w:szCs w:val="20"/>
                <w:lang w:val="en-US"/>
              </w:rPr>
              <w:br/>
              <w:t>n (%)</w:t>
            </w:r>
          </w:p>
        </w:tc>
        <w:tc>
          <w:tcPr>
            <w:tcW w:w="1134" w:type="dxa"/>
            <w:tcBorders>
              <w:top w:val="single" w:sz="4" w:space="0" w:color="auto"/>
              <w:left w:val="single" w:sz="4" w:space="0" w:color="auto"/>
              <w:bottom w:val="single" w:sz="4" w:space="0" w:color="auto"/>
              <w:right w:val="single" w:sz="4" w:space="0" w:color="auto"/>
            </w:tcBorders>
            <w:vAlign w:val="center"/>
          </w:tcPr>
          <w:p w14:paraId="14DC0444"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70 </w:t>
            </w:r>
            <w:r w:rsidRPr="00765C6A">
              <w:rPr>
                <w:rFonts w:asciiTheme="majorHAnsi" w:hAnsiTheme="majorHAnsi" w:cstheme="minorHAnsi"/>
                <w:b/>
                <w:sz w:val="20"/>
                <w:szCs w:val="20"/>
                <w:lang w:val="en-US"/>
              </w:rPr>
              <w:br/>
              <w:t>(13.4)</w:t>
            </w:r>
          </w:p>
        </w:tc>
        <w:tc>
          <w:tcPr>
            <w:tcW w:w="993" w:type="dxa"/>
            <w:tcBorders>
              <w:top w:val="single" w:sz="4" w:space="0" w:color="auto"/>
              <w:left w:val="single" w:sz="4" w:space="0" w:color="auto"/>
              <w:bottom w:val="single" w:sz="4" w:space="0" w:color="auto"/>
              <w:right w:val="single" w:sz="4" w:space="0" w:color="auto"/>
            </w:tcBorders>
            <w:vAlign w:val="center"/>
          </w:tcPr>
          <w:p w14:paraId="579C563B"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65 </w:t>
            </w:r>
            <w:r w:rsidRPr="00765C6A">
              <w:rPr>
                <w:rFonts w:asciiTheme="majorHAnsi" w:hAnsiTheme="majorHAnsi" w:cstheme="minorHAnsi"/>
                <w:b/>
                <w:sz w:val="20"/>
                <w:szCs w:val="20"/>
                <w:lang w:val="en-US"/>
              </w:rPr>
              <w:br/>
              <w:t>(12.4)</w:t>
            </w:r>
          </w:p>
        </w:tc>
        <w:tc>
          <w:tcPr>
            <w:tcW w:w="1134" w:type="dxa"/>
            <w:tcBorders>
              <w:top w:val="single" w:sz="4" w:space="0" w:color="auto"/>
              <w:left w:val="single" w:sz="4" w:space="0" w:color="auto"/>
              <w:bottom w:val="single" w:sz="4" w:space="0" w:color="auto"/>
              <w:right w:val="single" w:sz="4" w:space="0" w:color="auto"/>
            </w:tcBorders>
            <w:vAlign w:val="center"/>
          </w:tcPr>
          <w:p w14:paraId="23A4F1BF"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21 </w:t>
            </w:r>
            <w:r w:rsidRPr="00765C6A">
              <w:rPr>
                <w:rFonts w:asciiTheme="majorHAnsi" w:hAnsiTheme="majorHAnsi" w:cstheme="minorHAnsi"/>
                <w:b/>
                <w:sz w:val="20"/>
                <w:szCs w:val="20"/>
                <w:lang w:val="en-US"/>
              </w:rPr>
              <w:br/>
              <w:t>(13.8)</w:t>
            </w:r>
          </w:p>
        </w:tc>
        <w:tc>
          <w:tcPr>
            <w:tcW w:w="992" w:type="dxa"/>
            <w:tcBorders>
              <w:top w:val="single" w:sz="4" w:space="0" w:color="auto"/>
              <w:left w:val="single" w:sz="4" w:space="0" w:color="auto"/>
              <w:bottom w:val="single" w:sz="4" w:space="0" w:color="auto"/>
              <w:right w:val="single" w:sz="4" w:space="0" w:color="auto"/>
            </w:tcBorders>
            <w:vAlign w:val="center"/>
          </w:tcPr>
          <w:p w14:paraId="09DAFDD6"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32 </w:t>
            </w:r>
            <w:r w:rsidRPr="00765C6A">
              <w:rPr>
                <w:rFonts w:asciiTheme="majorHAnsi" w:hAnsiTheme="majorHAnsi" w:cstheme="minorHAnsi"/>
                <w:b/>
                <w:sz w:val="20"/>
                <w:szCs w:val="20"/>
                <w:lang w:val="en-US"/>
              </w:rPr>
              <w:br/>
              <w:t>(21.1)</w:t>
            </w:r>
          </w:p>
        </w:tc>
        <w:tc>
          <w:tcPr>
            <w:tcW w:w="1134" w:type="dxa"/>
            <w:tcBorders>
              <w:top w:val="single" w:sz="4" w:space="0" w:color="auto"/>
              <w:left w:val="single" w:sz="4" w:space="0" w:color="auto"/>
              <w:bottom w:val="single" w:sz="4" w:space="0" w:color="auto"/>
              <w:right w:val="single" w:sz="4" w:space="0" w:color="auto"/>
            </w:tcBorders>
            <w:vAlign w:val="center"/>
          </w:tcPr>
          <w:p w14:paraId="3148BF3A"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49 </w:t>
            </w:r>
            <w:r w:rsidRPr="00765C6A">
              <w:rPr>
                <w:rFonts w:asciiTheme="majorHAnsi" w:hAnsiTheme="majorHAnsi" w:cstheme="minorHAnsi"/>
                <w:b/>
                <w:sz w:val="20"/>
                <w:szCs w:val="20"/>
                <w:lang w:val="en-US"/>
              </w:rPr>
              <w:br/>
              <w:t>(13.2)</w:t>
            </w:r>
          </w:p>
        </w:tc>
        <w:tc>
          <w:tcPr>
            <w:tcW w:w="992" w:type="dxa"/>
            <w:tcBorders>
              <w:top w:val="single" w:sz="4" w:space="0" w:color="auto"/>
              <w:left w:val="single" w:sz="4" w:space="0" w:color="auto"/>
              <w:bottom w:val="single" w:sz="4" w:space="0" w:color="auto"/>
            </w:tcBorders>
            <w:vAlign w:val="center"/>
          </w:tcPr>
          <w:p w14:paraId="4EDCEEA8" w14:textId="77777777" w:rsidR="00765C6A" w:rsidRPr="00765C6A" w:rsidRDefault="00765C6A" w:rsidP="00765C6A">
            <w:pPr>
              <w:spacing w:before="60" w:after="60"/>
              <w:rPr>
                <w:rFonts w:asciiTheme="majorHAnsi" w:hAnsiTheme="majorHAnsi" w:cstheme="minorHAnsi"/>
                <w:b/>
                <w:sz w:val="20"/>
                <w:szCs w:val="20"/>
                <w:lang w:val="en-US"/>
              </w:rPr>
            </w:pPr>
            <w:r w:rsidRPr="00765C6A">
              <w:rPr>
                <w:rFonts w:asciiTheme="majorHAnsi" w:hAnsiTheme="majorHAnsi" w:cstheme="minorHAnsi"/>
                <w:b/>
                <w:sz w:val="20"/>
                <w:szCs w:val="20"/>
                <w:lang w:val="en-US"/>
              </w:rPr>
              <w:t xml:space="preserve">33 </w:t>
            </w:r>
            <w:r w:rsidRPr="00765C6A">
              <w:rPr>
                <w:rFonts w:asciiTheme="majorHAnsi" w:hAnsiTheme="majorHAnsi" w:cstheme="minorHAnsi"/>
                <w:b/>
                <w:sz w:val="20"/>
                <w:szCs w:val="20"/>
                <w:lang w:val="en-US"/>
              </w:rPr>
              <w:br/>
              <w:t>(8.9)</w:t>
            </w:r>
          </w:p>
        </w:tc>
      </w:tr>
      <w:tr w:rsidR="00765C6A" w:rsidRPr="00765C6A" w14:paraId="3831AF78" w14:textId="77777777" w:rsidTr="00CB3B1B">
        <w:tc>
          <w:tcPr>
            <w:tcW w:w="2830" w:type="dxa"/>
            <w:tcBorders>
              <w:top w:val="nil"/>
              <w:bottom w:val="nil"/>
              <w:right w:val="single" w:sz="4" w:space="0" w:color="auto"/>
            </w:tcBorders>
          </w:tcPr>
          <w:p w14:paraId="28091095"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Upper respiratory tract infection</w:t>
            </w:r>
          </w:p>
        </w:tc>
        <w:tc>
          <w:tcPr>
            <w:tcW w:w="1134" w:type="dxa"/>
            <w:tcBorders>
              <w:top w:val="nil"/>
              <w:left w:val="single" w:sz="4" w:space="0" w:color="auto"/>
              <w:bottom w:val="nil"/>
              <w:right w:val="single" w:sz="4" w:space="0" w:color="auto"/>
            </w:tcBorders>
          </w:tcPr>
          <w:p w14:paraId="7ECDEB88"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4 (0.8)</w:t>
            </w:r>
          </w:p>
        </w:tc>
        <w:tc>
          <w:tcPr>
            <w:tcW w:w="993" w:type="dxa"/>
            <w:tcBorders>
              <w:top w:val="nil"/>
              <w:left w:val="single" w:sz="4" w:space="0" w:color="auto"/>
              <w:bottom w:val="nil"/>
              <w:right w:val="single" w:sz="4" w:space="0" w:color="auto"/>
            </w:tcBorders>
          </w:tcPr>
          <w:p w14:paraId="3CD1C495"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5 (1.0)</w:t>
            </w:r>
          </w:p>
        </w:tc>
        <w:tc>
          <w:tcPr>
            <w:tcW w:w="1134" w:type="dxa"/>
            <w:tcBorders>
              <w:top w:val="nil"/>
              <w:left w:val="single" w:sz="4" w:space="0" w:color="auto"/>
              <w:bottom w:val="nil"/>
              <w:right w:val="single" w:sz="4" w:space="0" w:color="auto"/>
            </w:tcBorders>
          </w:tcPr>
          <w:p w14:paraId="566F4B7D"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3 (2.0)</w:t>
            </w:r>
          </w:p>
        </w:tc>
        <w:tc>
          <w:tcPr>
            <w:tcW w:w="992" w:type="dxa"/>
            <w:tcBorders>
              <w:top w:val="nil"/>
              <w:left w:val="single" w:sz="4" w:space="0" w:color="auto"/>
              <w:bottom w:val="nil"/>
              <w:right w:val="single" w:sz="4" w:space="0" w:color="auto"/>
            </w:tcBorders>
          </w:tcPr>
          <w:p w14:paraId="06AFDF91"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2 (1.3)</w:t>
            </w:r>
          </w:p>
        </w:tc>
        <w:tc>
          <w:tcPr>
            <w:tcW w:w="1134" w:type="dxa"/>
            <w:tcBorders>
              <w:top w:val="nil"/>
              <w:left w:val="single" w:sz="4" w:space="0" w:color="auto"/>
              <w:bottom w:val="nil"/>
              <w:right w:val="single" w:sz="4" w:space="0" w:color="auto"/>
            </w:tcBorders>
          </w:tcPr>
          <w:p w14:paraId="24207965"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 (0.3)</w:t>
            </w:r>
          </w:p>
        </w:tc>
        <w:tc>
          <w:tcPr>
            <w:tcW w:w="992" w:type="dxa"/>
            <w:tcBorders>
              <w:top w:val="nil"/>
              <w:left w:val="single" w:sz="4" w:space="0" w:color="auto"/>
              <w:bottom w:val="nil"/>
            </w:tcBorders>
          </w:tcPr>
          <w:p w14:paraId="0CDDE89E"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2 (0.5)</w:t>
            </w:r>
          </w:p>
        </w:tc>
      </w:tr>
      <w:tr w:rsidR="00765C6A" w:rsidRPr="00765C6A" w14:paraId="6191F782" w14:textId="77777777" w:rsidTr="00CB3B1B">
        <w:trPr>
          <w:trHeight w:val="310"/>
        </w:trPr>
        <w:tc>
          <w:tcPr>
            <w:tcW w:w="2830" w:type="dxa"/>
            <w:tcBorders>
              <w:top w:val="nil"/>
              <w:bottom w:val="single" w:sz="4" w:space="0" w:color="auto"/>
              <w:right w:val="single" w:sz="4" w:space="0" w:color="auto"/>
            </w:tcBorders>
          </w:tcPr>
          <w:p w14:paraId="65255FAA" w14:textId="77777777" w:rsidR="00765C6A" w:rsidRPr="00765C6A" w:rsidRDefault="00765C6A" w:rsidP="00765C6A">
            <w:pPr>
              <w:spacing w:before="60" w:after="60"/>
              <w:rPr>
                <w:rFonts w:asciiTheme="majorHAnsi" w:hAnsiTheme="majorHAnsi" w:cstheme="minorHAnsi"/>
                <w:sz w:val="18"/>
                <w:szCs w:val="18"/>
                <w:lang w:val="en-US"/>
              </w:rPr>
            </w:pPr>
            <w:proofErr w:type="spellStart"/>
            <w:r w:rsidRPr="00765C6A">
              <w:rPr>
                <w:rFonts w:asciiTheme="majorHAnsi" w:hAnsiTheme="majorHAnsi" w:cstheme="minorHAnsi"/>
                <w:sz w:val="18"/>
                <w:szCs w:val="18"/>
                <w:lang w:val="en-US"/>
              </w:rPr>
              <w:t>Nasopharyngitis</w:t>
            </w:r>
            <w:proofErr w:type="spellEnd"/>
          </w:p>
        </w:tc>
        <w:tc>
          <w:tcPr>
            <w:tcW w:w="1134" w:type="dxa"/>
            <w:tcBorders>
              <w:top w:val="nil"/>
              <w:left w:val="single" w:sz="4" w:space="0" w:color="auto"/>
              <w:bottom w:val="single" w:sz="4" w:space="0" w:color="auto"/>
              <w:right w:val="single" w:sz="4" w:space="0" w:color="auto"/>
            </w:tcBorders>
          </w:tcPr>
          <w:p w14:paraId="65D3EB20"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 (0.2)</w:t>
            </w:r>
          </w:p>
        </w:tc>
        <w:tc>
          <w:tcPr>
            <w:tcW w:w="993" w:type="dxa"/>
            <w:tcBorders>
              <w:top w:val="nil"/>
              <w:left w:val="single" w:sz="4" w:space="0" w:color="auto"/>
              <w:bottom w:val="single" w:sz="4" w:space="0" w:color="auto"/>
              <w:right w:val="single" w:sz="4" w:space="0" w:color="auto"/>
            </w:tcBorders>
          </w:tcPr>
          <w:p w14:paraId="0DF019D2"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5 (1.0)</w:t>
            </w:r>
          </w:p>
        </w:tc>
        <w:tc>
          <w:tcPr>
            <w:tcW w:w="1134" w:type="dxa"/>
            <w:tcBorders>
              <w:top w:val="nil"/>
              <w:left w:val="single" w:sz="4" w:space="0" w:color="auto"/>
              <w:bottom w:val="single" w:sz="4" w:space="0" w:color="auto"/>
              <w:right w:val="single" w:sz="4" w:space="0" w:color="auto"/>
            </w:tcBorders>
          </w:tcPr>
          <w:p w14:paraId="4F1B560B"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 (0.7)</w:t>
            </w:r>
          </w:p>
        </w:tc>
        <w:tc>
          <w:tcPr>
            <w:tcW w:w="992" w:type="dxa"/>
            <w:tcBorders>
              <w:top w:val="nil"/>
              <w:left w:val="single" w:sz="4" w:space="0" w:color="auto"/>
              <w:bottom w:val="single" w:sz="4" w:space="0" w:color="auto"/>
              <w:right w:val="single" w:sz="4" w:space="0" w:color="auto"/>
            </w:tcBorders>
          </w:tcPr>
          <w:p w14:paraId="66C0CC25"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4 (2.6)</w:t>
            </w:r>
          </w:p>
        </w:tc>
        <w:tc>
          <w:tcPr>
            <w:tcW w:w="1134" w:type="dxa"/>
            <w:tcBorders>
              <w:top w:val="nil"/>
              <w:left w:val="single" w:sz="4" w:space="0" w:color="auto"/>
              <w:bottom w:val="single" w:sz="4" w:space="0" w:color="auto"/>
              <w:right w:val="single" w:sz="4" w:space="0" w:color="auto"/>
            </w:tcBorders>
          </w:tcPr>
          <w:p w14:paraId="0D6493B7"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0</w:t>
            </w:r>
          </w:p>
        </w:tc>
        <w:tc>
          <w:tcPr>
            <w:tcW w:w="992" w:type="dxa"/>
            <w:tcBorders>
              <w:top w:val="nil"/>
              <w:left w:val="single" w:sz="4" w:space="0" w:color="auto"/>
              <w:bottom w:val="single" w:sz="4" w:space="0" w:color="auto"/>
            </w:tcBorders>
          </w:tcPr>
          <w:p w14:paraId="66839903" w14:textId="77777777" w:rsidR="00765C6A" w:rsidRPr="00765C6A" w:rsidRDefault="00765C6A" w:rsidP="00765C6A">
            <w:pPr>
              <w:spacing w:before="60" w:after="60"/>
              <w:rPr>
                <w:rFonts w:asciiTheme="majorHAnsi" w:hAnsiTheme="majorHAnsi" w:cstheme="minorHAnsi"/>
                <w:sz w:val="18"/>
                <w:szCs w:val="18"/>
                <w:lang w:val="en-US"/>
              </w:rPr>
            </w:pPr>
            <w:r w:rsidRPr="00765C6A">
              <w:rPr>
                <w:rFonts w:asciiTheme="majorHAnsi" w:hAnsiTheme="majorHAnsi" w:cstheme="minorHAnsi"/>
                <w:sz w:val="18"/>
                <w:szCs w:val="18"/>
                <w:lang w:val="en-US"/>
              </w:rPr>
              <w:t>1 (0.3)</w:t>
            </w:r>
          </w:p>
        </w:tc>
      </w:tr>
      <w:bookmarkEnd w:id="6"/>
    </w:tbl>
    <w:p w14:paraId="3BFFBE60" w14:textId="0D98B276" w:rsidR="00765C6A" w:rsidRDefault="00765C6A" w:rsidP="00497C85">
      <w:pPr>
        <w:rPr>
          <w:rFonts w:asciiTheme="majorHAnsi" w:hAnsiTheme="majorHAnsi" w:cstheme="minorHAnsi"/>
          <w:lang w:val="en"/>
        </w:rPr>
      </w:pPr>
    </w:p>
    <w:p w14:paraId="36030A05" w14:textId="1C4EB61B" w:rsidR="00A6681F" w:rsidRPr="00A27335" w:rsidRDefault="00A6681F" w:rsidP="00A27335">
      <w:pPr>
        <w:spacing w:after="120"/>
        <w:rPr>
          <w:b/>
          <w:bCs/>
          <w:lang w:eastAsia="en-AU"/>
        </w:rPr>
      </w:pPr>
      <w:bookmarkStart w:id="7" w:name="_Toc529176112"/>
      <w:r w:rsidRPr="00A27335">
        <w:rPr>
          <w:b/>
          <w:bCs/>
          <w:lang w:eastAsia="en-AU"/>
        </w:rPr>
        <w:t>OTX-101-2016-002 Safety Extension Study</w:t>
      </w:r>
      <w:bookmarkEnd w:id="7"/>
    </w:p>
    <w:p w14:paraId="12ACE860" w14:textId="3ED66452" w:rsidR="00A6681F" w:rsidRDefault="006E7770" w:rsidP="00A6681F">
      <w:pPr>
        <w:rPr>
          <w:lang w:eastAsia="en-AU"/>
        </w:rPr>
      </w:pPr>
      <w:r>
        <w:rPr>
          <w:lang w:eastAsia="en-AU"/>
        </w:rPr>
        <w:t xml:space="preserve">All 258 subjects from the phase 3 study OTX-101-2016-001 who subsequently participated in the open-label 40-week OTX-101-2016-002 extension study were treated with OTX-101 0.09%. Of these, 129 subjects had previously received OTX-101 0.09% (Group 1) and another 129 subjects received Vehicle (Group 2) during the 12-week OTX-101-2016-001 study period. At completion of the extension study, a total of 225 subjects had more than 6 months exposure to OTX-101 0.09%, including 138 subjects who had </w:t>
      </w:r>
      <w:r w:rsidR="00674B8F">
        <w:t>≥</w:t>
      </w:r>
      <w:r>
        <w:rPr>
          <w:lang w:eastAsia="en-AU"/>
        </w:rPr>
        <w:t>12 months of total exposure. The overall mean duration of exposure was 10.42 months.</w:t>
      </w:r>
    </w:p>
    <w:p w14:paraId="0E0A6ECB" w14:textId="51FA3980" w:rsidR="006E7770" w:rsidRPr="006E7770" w:rsidRDefault="006E7770" w:rsidP="006E7770">
      <w:pPr>
        <w:rPr>
          <w:lang w:val="en-US" w:eastAsia="en-AU"/>
        </w:rPr>
      </w:pPr>
      <w:r w:rsidRPr="006E7770">
        <w:rPr>
          <w:lang w:eastAsia="en-AU"/>
        </w:rPr>
        <w:t>An analysis of AEs in the full safety population for OTX-101-2016-002 did not reveal any new findings. There were no changes to the SAE profile. Instillation site pain remained the most commonly reported AE</w:t>
      </w:r>
      <w:r>
        <w:rPr>
          <w:lang w:eastAsia="en-AU"/>
        </w:rPr>
        <w:t>. I</w:t>
      </w:r>
      <w:r w:rsidRPr="006E7770">
        <w:rPr>
          <w:lang w:eastAsia="en-AU"/>
        </w:rPr>
        <w:t>t was reported at a higher incidence, as expected, in subjects who had received Vehicle prior to being switched to OTX-101 0.09%.</w:t>
      </w:r>
    </w:p>
    <w:p w14:paraId="41608721" w14:textId="000E03E3" w:rsidR="006E7770" w:rsidRDefault="006E7770" w:rsidP="006E7770">
      <w:pPr>
        <w:rPr>
          <w:lang w:eastAsia="en-AU"/>
        </w:rPr>
      </w:pPr>
      <w:r w:rsidRPr="006E7770">
        <w:rPr>
          <w:lang w:eastAsia="en-AU"/>
        </w:rPr>
        <w:t xml:space="preserve">Besides instillation site pain (22.9%), conjunctival </w:t>
      </w:r>
      <w:proofErr w:type="spellStart"/>
      <w:r w:rsidRPr="006E7770">
        <w:rPr>
          <w:lang w:eastAsia="en-AU"/>
        </w:rPr>
        <w:t>hyperemia</w:t>
      </w:r>
      <w:proofErr w:type="spellEnd"/>
      <w:r w:rsidRPr="006E7770">
        <w:rPr>
          <w:lang w:eastAsia="en-AU"/>
        </w:rPr>
        <w:t xml:space="preserve"> (10.1%), and punctate keratitis (6.2%) were the most commonly reported TEAEs. Punctate keratitis was reported by more subjects in Group 1, but it was considered unrelated to treatment in all cases but one, and the difference is attributed to the natural variability of the presentation of KCS.</w:t>
      </w:r>
      <w:r>
        <w:rPr>
          <w:lang w:eastAsia="en-AU"/>
        </w:rPr>
        <w:t xml:space="preserve"> </w:t>
      </w:r>
      <w:r w:rsidRPr="006E7770">
        <w:rPr>
          <w:lang w:eastAsia="en-AU"/>
        </w:rPr>
        <w:t xml:space="preserve">Table </w:t>
      </w:r>
      <w:r>
        <w:rPr>
          <w:lang w:eastAsia="en-AU"/>
        </w:rPr>
        <w:t>2</w:t>
      </w:r>
      <w:r w:rsidRPr="006E7770">
        <w:rPr>
          <w:lang w:eastAsia="en-AU"/>
        </w:rPr>
        <w:t xml:space="preserve"> presents the </w:t>
      </w:r>
      <w:r>
        <w:rPr>
          <w:lang w:eastAsia="en-AU"/>
        </w:rPr>
        <w:t>TEAEs</w:t>
      </w:r>
      <w:r w:rsidRPr="006E7770">
        <w:rPr>
          <w:lang w:eastAsia="en-AU"/>
        </w:rPr>
        <w:t xml:space="preserve"> reported in </w:t>
      </w:r>
      <w:r w:rsidR="00674B8F">
        <w:t xml:space="preserve">≥ </w:t>
      </w:r>
      <w:r w:rsidR="008101B0">
        <w:rPr>
          <w:lang w:eastAsia="en-AU"/>
        </w:rPr>
        <w:t>2</w:t>
      </w:r>
      <w:r w:rsidRPr="006E7770">
        <w:rPr>
          <w:lang w:eastAsia="en-AU"/>
        </w:rPr>
        <w:t>% of total subjects.</w:t>
      </w:r>
    </w:p>
    <w:p w14:paraId="424D5911" w14:textId="6CA9C9E1" w:rsidR="006E7770" w:rsidRPr="0004232D" w:rsidRDefault="006E7770" w:rsidP="00674B8F">
      <w:pPr>
        <w:pageBreakBefore/>
        <w:spacing w:after="120"/>
        <w:rPr>
          <w:b/>
          <w:bCs/>
          <w:lang w:eastAsia="en-AU"/>
        </w:rPr>
      </w:pPr>
      <w:r w:rsidRPr="0004232D">
        <w:rPr>
          <w:b/>
          <w:bCs/>
          <w:lang w:val="en-US" w:eastAsia="en-AU"/>
        </w:rPr>
        <w:lastRenderedPageBreak/>
        <w:t xml:space="preserve">Table 2: </w:t>
      </w:r>
      <w:r w:rsidRPr="0004232D">
        <w:rPr>
          <w:b/>
          <w:bCs/>
          <w:lang w:eastAsia="en-AU"/>
        </w:rPr>
        <w:t xml:space="preserve">TEAEs Reported in </w:t>
      </w:r>
      <w:r w:rsidR="00674B8F" w:rsidRPr="00674B8F">
        <w:rPr>
          <w:b/>
        </w:rPr>
        <w:t>≥</w:t>
      </w:r>
      <w:r w:rsidRPr="0004232D">
        <w:rPr>
          <w:b/>
          <w:bCs/>
          <w:lang w:eastAsia="en-AU"/>
        </w:rPr>
        <w:t xml:space="preserve"> 2% of </w:t>
      </w:r>
      <w:r w:rsidR="00EF79DF" w:rsidRPr="0004232D">
        <w:rPr>
          <w:b/>
          <w:bCs/>
          <w:lang w:eastAsia="en-AU"/>
        </w:rPr>
        <w:t>s</w:t>
      </w:r>
      <w:r w:rsidRPr="0004232D">
        <w:rPr>
          <w:b/>
          <w:bCs/>
          <w:lang w:eastAsia="en-AU"/>
        </w:rPr>
        <w:t xml:space="preserve">ubjects in the OTX-101-2016-002 </w:t>
      </w:r>
      <w:r w:rsidR="008101B0" w:rsidRPr="0004232D">
        <w:rPr>
          <w:b/>
          <w:bCs/>
          <w:lang w:eastAsia="en-AU"/>
        </w:rPr>
        <w:t xml:space="preserve">Safety Extension </w:t>
      </w:r>
      <w:r w:rsidR="00A37958" w:rsidRPr="0004232D">
        <w:rPr>
          <w:b/>
          <w:bCs/>
          <w:lang w:eastAsia="en-AU"/>
        </w:rPr>
        <w:t>S</w:t>
      </w:r>
      <w:r w:rsidRPr="0004232D">
        <w:rPr>
          <w:b/>
          <w:bCs/>
          <w:lang w:eastAsia="en-AU"/>
        </w:rPr>
        <w:t>tudy</w:t>
      </w:r>
    </w:p>
    <w:tbl>
      <w:tblPr>
        <w:tblStyle w:val="TableGrid"/>
        <w:tblW w:w="8926" w:type="dxa"/>
        <w:tblLook w:val="04A0" w:firstRow="1" w:lastRow="0" w:firstColumn="1" w:lastColumn="0" w:noHBand="0" w:noVBand="1"/>
      </w:tblPr>
      <w:tblGrid>
        <w:gridCol w:w="3114"/>
        <w:gridCol w:w="2268"/>
        <w:gridCol w:w="1843"/>
        <w:gridCol w:w="1701"/>
      </w:tblGrid>
      <w:tr w:rsidR="006E7770" w:rsidRPr="006E7770" w14:paraId="5D5B872F" w14:textId="77777777" w:rsidTr="00374559">
        <w:trPr>
          <w:tblHeader/>
        </w:trPr>
        <w:tc>
          <w:tcPr>
            <w:tcW w:w="3114" w:type="dxa"/>
            <w:tcBorders>
              <w:top w:val="single" w:sz="4" w:space="0" w:color="auto"/>
              <w:left w:val="single" w:sz="4" w:space="0" w:color="auto"/>
              <w:bottom w:val="single" w:sz="4" w:space="0" w:color="auto"/>
              <w:right w:val="nil"/>
            </w:tcBorders>
            <w:shd w:val="clear" w:color="auto" w:fill="auto"/>
          </w:tcPr>
          <w:p w14:paraId="03352A5E" w14:textId="77777777" w:rsidR="006E7770" w:rsidRPr="006E7770" w:rsidRDefault="006E7770" w:rsidP="00EF79DF">
            <w:pPr>
              <w:spacing w:before="60" w:after="60"/>
              <w:rPr>
                <w:b/>
                <w:sz w:val="20"/>
                <w:szCs w:val="20"/>
                <w:lang w:val="en-US" w:eastAsia="en-AU"/>
              </w:rPr>
            </w:pPr>
            <w:bookmarkStart w:id="8" w:name="_Hlk529284394"/>
            <w:proofErr w:type="spellStart"/>
            <w:r w:rsidRPr="006E7770">
              <w:rPr>
                <w:b/>
                <w:sz w:val="20"/>
                <w:szCs w:val="20"/>
                <w:lang w:val="en-US" w:eastAsia="en-AU"/>
              </w:rPr>
              <w:t>Prefered</w:t>
            </w:r>
            <w:proofErr w:type="spellEnd"/>
            <w:r w:rsidRPr="006E7770">
              <w:rPr>
                <w:b/>
                <w:sz w:val="20"/>
                <w:szCs w:val="20"/>
                <w:lang w:val="en-US" w:eastAsia="en-AU"/>
              </w:rPr>
              <w:t xml:space="preserve"> Term</w:t>
            </w:r>
          </w:p>
        </w:tc>
        <w:tc>
          <w:tcPr>
            <w:tcW w:w="2268" w:type="dxa"/>
            <w:tcBorders>
              <w:top w:val="single" w:sz="4" w:space="0" w:color="auto"/>
              <w:left w:val="nil"/>
              <w:bottom w:val="single" w:sz="4" w:space="0" w:color="auto"/>
              <w:right w:val="nil"/>
            </w:tcBorders>
            <w:shd w:val="clear" w:color="auto" w:fill="auto"/>
          </w:tcPr>
          <w:p w14:paraId="29A71AD6" w14:textId="77777777" w:rsidR="006E7770" w:rsidRPr="006E7770" w:rsidRDefault="006E7770" w:rsidP="00EF79DF">
            <w:pPr>
              <w:spacing w:before="60" w:after="60"/>
              <w:rPr>
                <w:b/>
                <w:sz w:val="20"/>
                <w:szCs w:val="20"/>
                <w:lang w:val="en-US" w:eastAsia="en-AU"/>
              </w:rPr>
            </w:pPr>
            <w:r w:rsidRPr="006E7770">
              <w:rPr>
                <w:b/>
                <w:sz w:val="20"/>
                <w:szCs w:val="20"/>
                <w:lang w:val="en-US" w:eastAsia="en-AU"/>
              </w:rPr>
              <w:t xml:space="preserve">Group 1 </w:t>
            </w:r>
            <w:r w:rsidRPr="006E7770">
              <w:rPr>
                <w:b/>
                <w:sz w:val="20"/>
                <w:szCs w:val="20"/>
                <w:lang w:val="en-US" w:eastAsia="en-AU"/>
              </w:rPr>
              <w:br/>
              <w:t>(N=129)</w:t>
            </w:r>
          </w:p>
        </w:tc>
        <w:tc>
          <w:tcPr>
            <w:tcW w:w="1843" w:type="dxa"/>
            <w:tcBorders>
              <w:top w:val="single" w:sz="4" w:space="0" w:color="auto"/>
              <w:left w:val="nil"/>
              <w:bottom w:val="single" w:sz="4" w:space="0" w:color="auto"/>
              <w:right w:val="nil"/>
            </w:tcBorders>
            <w:shd w:val="clear" w:color="auto" w:fill="auto"/>
          </w:tcPr>
          <w:p w14:paraId="0ABD508D" w14:textId="77777777" w:rsidR="006E7770" w:rsidRPr="006E7770" w:rsidRDefault="006E7770" w:rsidP="00EF79DF">
            <w:pPr>
              <w:spacing w:before="60" w:after="60"/>
              <w:rPr>
                <w:b/>
                <w:sz w:val="20"/>
                <w:szCs w:val="20"/>
                <w:lang w:val="en-US" w:eastAsia="en-AU"/>
              </w:rPr>
            </w:pPr>
            <w:r w:rsidRPr="006E7770">
              <w:rPr>
                <w:b/>
                <w:sz w:val="20"/>
                <w:szCs w:val="20"/>
                <w:lang w:val="en-US" w:eastAsia="en-AU"/>
              </w:rPr>
              <w:t xml:space="preserve">Group 2 </w:t>
            </w:r>
            <w:r w:rsidRPr="006E7770">
              <w:rPr>
                <w:b/>
                <w:sz w:val="20"/>
                <w:szCs w:val="20"/>
                <w:lang w:val="en-US" w:eastAsia="en-AU"/>
              </w:rPr>
              <w:br/>
              <w:t>(N=129)</w:t>
            </w:r>
          </w:p>
        </w:tc>
        <w:tc>
          <w:tcPr>
            <w:tcW w:w="1701" w:type="dxa"/>
            <w:tcBorders>
              <w:top w:val="single" w:sz="4" w:space="0" w:color="auto"/>
              <w:left w:val="nil"/>
              <w:bottom w:val="single" w:sz="4" w:space="0" w:color="auto"/>
              <w:right w:val="single" w:sz="4" w:space="0" w:color="auto"/>
            </w:tcBorders>
            <w:shd w:val="clear" w:color="auto" w:fill="auto"/>
          </w:tcPr>
          <w:p w14:paraId="1BC7DC4F" w14:textId="77777777" w:rsidR="006E7770" w:rsidRPr="006E7770" w:rsidRDefault="006E7770" w:rsidP="00EF79DF">
            <w:pPr>
              <w:spacing w:before="60" w:after="60"/>
              <w:rPr>
                <w:b/>
                <w:sz w:val="20"/>
                <w:szCs w:val="20"/>
                <w:lang w:val="en-US" w:eastAsia="en-AU"/>
              </w:rPr>
            </w:pPr>
            <w:r w:rsidRPr="006E7770">
              <w:rPr>
                <w:b/>
                <w:sz w:val="20"/>
                <w:szCs w:val="20"/>
                <w:lang w:val="en-US" w:eastAsia="en-AU"/>
              </w:rPr>
              <w:t xml:space="preserve">Total </w:t>
            </w:r>
            <w:r w:rsidRPr="006E7770">
              <w:rPr>
                <w:b/>
                <w:sz w:val="20"/>
                <w:szCs w:val="20"/>
                <w:lang w:val="en-US" w:eastAsia="en-AU"/>
              </w:rPr>
              <w:br/>
              <w:t>(N=258)</w:t>
            </w:r>
          </w:p>
        </w:tc>
      </w:tr>
      <w:tr w:rsidR="006E7770" w:rsidRPr="006E7770" w14:paraId="68179C4C" w14:textId="77777777" w:rsidTr="00CB3B1B">
        <w:tc>
          <w:tcPr>
            <w:tcW w:w="3114" w:type="dxa"/>
            <w:tcBorders>
              <w:top w:val="single" w:sz="4" w:space="0" w:color="auto"/>
              <w:bottom w:val="nil"/>
              <w:right w:val="nil"/>
            </w:tcBorders>
          </w:tcPr>
          <w:p w14:paraId="1B5DF0AA"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Instillation site pain</w:t>
            </w:r>
          </w:p>
        </w:tc>
        <w:tc>
          <w:tcPr>
            <w:tcW w:w="2268" w:type="dxa"/>
            <w:tcBorders>
              <w:top w:val="single" w:sz="4" w:space="0" w:color="auto"/>
              <w:left w:val="nil"/>
              <w:bottom w:val="nil"/>
              <w:right w:val="nil"/>
            </w:tcBorders>
          </w:tcPr>
          <w:p w14:paraId="7DE67462"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17 (13.2)</w:t>
            </w:r>
          </w:p>
        </w:tc>
        <w:tc>
          <w:tcPr>
            <w:tcW w:w="1843" w:type="dxa"/>
            <w:tcBorders>
              <w:top w:val="single" w:sz="4" w:space="0" w:color="auto"/>
              <w:left w:val="nil"/>
              <w:bottom w:val="nil"/>
              <w:right w:val="nil"/>
            </w:tcBorders>
          </w:tcPr>
          <w:p w14:paraId="0D0BD083"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42 (32.6)</w:t>
            </w:r>
          </w:p>
        </w:tc>
        <w:tc>
          <w:tcPr>
            <w:tcW w:w="1701" w:type="dxa"/>
            <w:tcBorders>
              <w:top w:val="single" w:sz="4" w:space="0" w:color="auto"/>
              <w:left w:val="nil"/>
              <w:bottom w:val="nil"/>
            </w:tcBorders>
          </w:tcPr>
          <w:p w14:paraId="194ADD47"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59 (22.9)</w:t>
            </w:r>
          </w:p>
        </w:tc>
      </w:tr>
      <w:tr w:rsidR="006E7770" w:rsidRPr="006E7770" w14:paraId="0BA826FF" w14:textId="77777777" w:rsidTr="00CB3B1B">
        <w:tc>
          <w:tcPr>
            <w:tcW w:w="3114" w:type="dxa"/>
            <w:tcBorders>
              <w:top w:val="nil"/>
              <w:bottom w:val="nil"/>
              <w:right w:val="nil"/>
            </w:tcBorders>
          </w:tcPr>
          <w:p w14:paraId="6CD3EF97"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 xml:space="preserve">Conjunctival </w:t>
            </w:r>
            <w:proofErr w:type="spellStart"/>
            <w:r w:rsidRPr="006E7770">
              <w:rPr>
                <w:rFonts w:asciiTheme="majorHAnsi" w:hAnsiTheme="majorHAnsi"/>
                <w:sz w:val="18"/>
                <w:szCs w:val="18"/>
                <w:lang w:val="en-US" w:eastAsia="en-AU"/>
              </w:rPr>
              <w:t>hyperaemia</w:t>
            </w:r>
            <w:proofErr w:type="spellEnd"/>
          </w:p>
        </w:tc>
        <w:tc>
          <w:tcPr>
            <w:tcW w:w="2268" w:type="dxa"/>
            <w:tcBorders>
              <w:top w:val="nil"/>
              <w:left w:val="nil"/>
              <w:bottom w:val="nil"/>
              <w:right w:val="nil"/>
            </w:tcBorders>
          </w:tcPr>
          <w:p w14:paraId="199B67D9"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12 (9.3)</w:t>
            </w:r>
          </w:p>
        </w:tc>
        <w:tc>
          <w:tcPr>
            <w:tcW w:w="1843" w:type="dxa"/>
            <w:tcBorders>
              <w:top w:val="nil"/>
              <w:left w:val="nil"/>
              <w:bottom w:val="nil"/>
              <w:right w:val="nil"/>
            </w:tcBorders>
          </w:tcPr>
          <w:p w14:paraId="79EBAA33"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14 (10.9)</w:t>
            </w:r>
          </w:p>
        </w:tc>
        <w:tc>
          <w:tcPr>
            <w:tcW w:w="1701" w:type="dxa"/>
            <w:tcBorders>
              <w:top w:val="nil"/>
              <w:left w:val="nil"/>
              <w:bottom w:val="nil"/>
            </w:tcBorders>
          </w:tcPr>
          <w:p w14:paraId="60ED5379"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26 (10.1)</w:t>
            </w:r>
          </w:p>
        </w:tc>
      </w:tr>
      <w:tr w:rsidR="006E7770" w:rsidRPr="006E7770" w14:paraId="6A989E9F" w14:textId="77777777" w:rsidTr="00CB3B1B">
        <w:tc>
          <w:tcPr>
            <w:tcW w:w="3114" w:type="dxa"/>
            <w:tcBorders>
              <w:top w:val="nil"/>
              <w:bottom w:val="nil"/>
              <w:right w:val="nil"/>
            </w:tcBorders>
          </w:tcPr>
          <w:p w14:paraId="4CECB68A"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Punctate keratitis</w:t>
            </w:r>
          </w:p>
        </w:tc>
        <w:tc>
          <w:tcPr>
            <w:tcW w:w="2268" w:type="dxa"/>
            <w:tcBorders>
              <w:top w:val="nil"/>
              <w:left w:val="nil"/>
              <w:bottom w:val="nil"/>
              <w:right w:val="nil"/>
            </w:tcBorders>
          </w:tcPr>
          <w:p w14:paraId="3023A4ED"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12 (9.3)</w:t>
            </w:r>
          </w:p>
        </w:tc>
        <w:tc>
          <w:tcPr>
            <w:tcW w:w="1843" w:type="dxa"/>
            <w:tcBorders>
              <w:top w:val="nil"/>
              <w:left w:val="nil"/>
              <w:bottom w:val="nil"/>
              <w:right w:val="nil"/>
            </w:tcBorders>
          </w:tcPr>
          <w:p w14:paraId="627AD4F0"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 (3.1)</w:t>
            </w:r>
          </w:p>
        </w:tc>
        <w:tc>
          <w:tcPr>
            <w:tcW w:w="1701" w:type="dxa"/>
            <w:tcBorders>
              <w:top w:val="nil"/>
              <w:left w:val="nil"/>
              <w:bottom w:val="nil"/>
            </w:tcBorders>
          </w:tcPr>
          <w:p w14:paraId="1D47E7E9"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16 (6.2)</w:t>
            </w:r>
          </w:p>
        </w:tc>
      </w:tr>
      <w:tr w:rsidR="006E7770" w:rsidRPr="006E7770" w14:paraId="4DFCACDA" w14:textId="77777777" w:rsidTr="00CB3B1B">
        <w:tc>
          <w:tcPr>
            <w:tcW w:w="3114" w:type="dxa"/>
            <w:tcBorders>
              <w:top w:val="nil"/>
              <w:bottom w:val="nil"/>
              <w:right w:val="nil"/>
            </w:tcBorders>
          </w:tcPr>
          <w:p w14:paraId="7C0A36D0"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Blepharitis</w:t>
            </w:r>
          </w:p>
        </w:tc>
        <w:tc>
          <w:tcPr>
            <w:tcW w:w="2268" w:type="dxa"/>
            <w:tcBorders>
              <w:top w:val="nil"/>
              <w:left w:val="nil"/>
              <w:bottom w:val="nil"/>
              <w:right w:val="nil"/>
            </w:tcBorders>
          </w:tcPr>
          <w:p w14:paraId="2EE5CFD6"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3 (2.3)</w:t>
            </w:r>
          </w:p>
        </w:tc>
        <w:tc>
          <w:tcPr>
            <w:tcW w:w="1843" w:type="dxa"/>
            <w:tcBorders>
              <w:top w:val="nil"/>
              <w:left w:val="nil"/>
              <w:bottom w:val="nil"/>
              <w:right w:val="nil"/>
            </w:tcBorders>
          </w:tcPr>
          <w:p w14:paraId="41630B66"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 (3.1)</w:t>
            </w:r>
          </w:p>
        </w:tc>
        <w:tc>
          <w:tcPr>
            <w:tcW w:w="1701" w:type="dxa"/>
            <w:tcBorders>
              <w:top w:val="nil"/>
              <w:left w:val="nil"/>
              <w:bottom w:val="nil"/>
            </w:tcBorders>
          </w:tcPr>
          <w:p w14:paraId="0FB92CE9" w14:textId="77777777" w:rsidR="006E7770" w:rsidRPr="006E7770" w:rsidDel="000D308A"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7 (2.7)</w:t>
            </w:r>
          </w:p>
        </w:tc>
      </w:tr>
      <w:tr w:rsidR="006E7770" w:rsidRPr="006E7770" w14:paraId="539B2834" w14:textId="77777777" w:rsidTr="00CB3B1B">
        <w:tc>
          <w:tcPr>
            <w:tcW w:w="3114" w:type="dxa"/>
            <w:tcBorders>
              <w:top w:val="nil"/>
              <w:bottom w:val="nil"/>
              <w:right w:val="nil"/>
            </w:tcBorders>
          </w:tcPr>
          <w:p w14:paraId="71800899"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Vitreous detachment</w:t>
            </w:r>
          </w:p>
        </w:tc>
        <w:tc>
          <w:tcPr>
            <w:tcW w:w="2268" w:type="dxa"/>
            <w:tcBorders>
              <w:top w:val="nil"/>
              <w:left w:val="nil"/>
              <w:bottom w:val="nil"/>
              <w:right w:val="nil"/>
            </w:tcBorders>
          </w:tcPr>
          <w:p w14:paraId="57D6DAE1"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5 (3.9)</w:t>
            </w:r>
          </w:p>
        </w:tc>
        <w:tc>
          <w:tcPr>
            <w:tcW w:w="1843" w:type="dxa"/>
            <w:tcBorders>
              <w:top w:val="nil"/>
              <w:left w:val="nil"/>
              <w:bottom w:val="nil"/>
              <w:right w:val="nil"/>
            </w:tcBorders>
          </w:tcPr>
          <w:p w14:paraId="6897C8F8"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2 (1.6)</w:t>
            </w:r>
          </w:p>
        </w:tc>
        <w:tc>
          <w:tcPr>
            <w:tcW w:w="1701" w:type="dxa"/>
            <w:tcBorders>
              <w:top w:val="nil"/>
              <w:left w:val="nil"/>
              <w:bottom w:val="nil"/>
            </w:tcBorders>
          </w:tcPr>
          <w:p w14:paraId="2205CD21" w14:textId="77777777" w:rsidR="006E7770" w:rsidRPr="006E7770" w:rsidDel="000D308A"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7 (2.7)</w:t>
            </w:r>
          </w:p>
        </w:tc>
      </w:tr>
      <w:tr w:rsidR="006E7770" w:rsidRPr="006E7770" w14:paraId="6198FF4E" w14:textId="77777777" w:rsidTr="00CB3B1B">
        <w:tc>
          <w:tcPr>
            <w:tcW w:w="3114" w:type="dxa"/>
            <w:tcBorders>
              <w:top w:val="nil"/>
              <w:bottom w:val="nil"/>
              <w:right w:val="nil"/>
            </w:tcBorders>
          </w:tcPr>
          <w:p w14:paraId="02623C18"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Bronchitis</w:t>
            </w:r>
          </w:p>
        </w:tc>
        <w:tc>
          <w:tcPr>
            <w:tcW w:w="2268" w:type="dxa"/>
            <w:tcBorders>
              <w:top w:val="nil"/>
              <w:left w:val="nil"/>
              <w:bottom w:val="nil"/>
              <w:right w:val="nil"/>
            </w:tcBorders>
          </w:tcPr>
          <w:p w14:paraId="0DA81919"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2 (1.6)</w:t>
            </w:r>
          </w:p>
        </w:tc>
        <w:tc>
          <w:tcPr>
            <w:tcW w:w="1843" w:type="dxa"/>
            <w:tcBorders>
              <w:top w:val="nil"/>
              <w:left w:val="nil"/>
              <w:bottom w:val="nil"/>
              <w:right w:val="nil"/>
            </w:tcBorders>
          </w:tcPr>
          <w:p w14:paraId="04D7864A"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 (3.1)</w:t>
            </w:r>
          </w:p>
        </w:tc>
        <w:tc>
          <w:tcPr>
            <w:tcW w:w="1701" w:type="dxa"/>
            <w:tcBorders>
              <w:top w:val="nil"/>
              <w:left w:val="nil"/>
              <w:bottom w:val="nil"/>
            </w:tcBorders>
          </w:tcPr>
          <w:p w14:paraId="5B4783D2" w14:textId="77777777" w:rsidR="006E7770" w:rsidRPr="006E7770" w:rsidDel="000D308A"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6 (2.3)</w:t>
            </w:r>
          </w:p>
        </w:tc>
      </w:tr>
      <w:tr w:rsidR="006E7770" w:rsidRPr="006E7770" w14:paraId="0ECB60DD" w14:textId="77777777" w:rsidTr="00CB3B1B">
        <w:tc>
          <w:tcPr>
            <w:tcW w:w="3114" w:type="dxa"/>
            <w:tcBorders>
              <w:top w:val="nil"/>
              <w:bottom w:val="nil"/>
              <w:right w:val="nil"/>
            </w:tcBorders>
          </w:tcPr>
          <w:p w14:paraId="45874261"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Posterior capsule opacification</w:t>
            </w:r>
          </w:p>
        </w:tc>
        <w:tc>
          <w:tcPr>
            <w:tcW w:w="2268" w:type="dxa"/>
            <w:tcBorders>
              <w:top w:val="nil"/>
              <w:left w:val="nil"/>
              <w:bottom w:val="nil"/>
              <w:right w:val="nil"/>
            </w:tcBorders>
          </w:tcPr>
          <w:p w14:paraId="710A646B"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5 (3.9)</w:t>
            </w:r>
          </w:p>
        </w:tc>
        <w:tc>
          <w:tcPr>
            <w:tcW w:w="1843" w:type="dxa"/>
            <w:tcBorders>
              <w:top w:val="nil"/>
              <w:left w:val="nil"/>
              <w:bottom w:val="nil"/>
              <w:right w:val="nil"/>
            </w:tcBorders>
          </w:tcPr>
          <w:p w14:paraId="36BB4D44"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 (0.8)</w:t>
            </w:r>
          </w:p>
        </w:tc>
        <w:tc>
          <w:tcPr>
            <w:tcW w:w="1701" w:type="dxa"/>
            <w:tcBorders>
              <w:top w:val="nil"/>
              <w:left w:val="nil"/>
              <w:bottom w:val="nil"/>
            </w:tcBorders>
          </w:tcPr>
          <w:p w14:paraId="4A8FEEDD" w14:textId="77777777" w:rsidR="006E7770" w:rsidRPr="006E7770" w:rsidDel="000D308A"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6 (2.3)</w:t>
            </w:r>
          </w:p>
        </w:tc>
      </w:tr>
      <w:tr w:rsidR="006E7770" w:rsidRPr="006E7770" w14:paraId="5F9C2630" w14:textId="77777777" w:rsidTr="00CB3B1B">
        <w:tc>
          <w:tcPr>
            <w:tcW w:w="3114" w:type="dxa"/>
            <w:tcBorders>
              <w:top w:val="nil"/>
              <w:bottom w:val="nil"/>
              <w:right w:val="nil"/>
            </w:tcBorders>
          </w:tcPr>
          <w:p w14:paraId="2B4FCA30"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Instillation site reaction</w:t>
            </w:r>
          </w:p>
        </w:tc>
        <w:tc>
          <w:tcPr>
            <w:tcW w:w="2268" w:type="dxa"/>
            <w:tcBorders>
              <w:top w:val="nil"/>
              <w:left w:val="nil"/>
              <w:bottom w:val="nil"/>
              <w:right w:val="nil"/>
            </w:tcBorders>
          </w:tcPr>
          <w:p w14:paraId="2F0C6D5A"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 (0.8)</w:t>
            </w:r>
          </w:p>
        </w:tc>
        <w:tc>
          <w:tcPr>
            <w:tcW w:w="1843" w:type="dxa"/>
            <w:tcBorders>
              <w:top w:val="nil"/>
              <w:left w:val="nil"/>
              <w:bottom w:val="nil"/>
              <w:right w:val="nil"/>
            </w:tcBorders>
          </w:tcPr>
          <w:p w14:paraId="0ACBEE57"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3 (2.3)</w:t>
            </w:r>
          </w:p>
        </w:tc>
        <w:tc>
          <w:tcPr>
            <w:tcW w:w="1701" w:type="dxa"/>
            <w:tcBorders>
              <w:top w:val="nil"/>
              <w:left w:val="nil"/>
              <w:bottom w:val="nil"/>
            </w:tcBorders>
          </w:tcPr>
          <w:p w14:paraId="4C832E83"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 (1.6)</w:t>
            </w:r>
          </w:p>
        </w:tc>
      </w:tr>
      <w:tr w:rsidR="006E7770" w:rsidRPr="006E7770" w:rsidDel="000D308A" w14:paraId="59D8D408" w14:textId="77777777" w:rsidTr="00CB3B1B">
        <w:tc>
          <w:tcPr>
            <w:tcW w:w="3114" w:type="dxa"/>
            <w:tcBorders>
              <w:top w:val="nil"/>
              <w:bottom w:val="nil"/>
              <w:right w:val="nil"/>
            </w:tcBorders>
          </w:tcPr>
          <w:p w14:paraId="223AA4D2"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Instillation site lacrimation</w:t>
            </w:r>
          </w:p>
        </w:tc>
        <w:tc>
          <w:tcPr>
            <w:tcW w:w="2268" w:type="dxa"/>
            <w:tcBorders>
              <w:top w:val="nil"/>
              <w:left w:val="nil"/>
              <w:bottom w:val="nil"/>
              <w:right w:val="nil"/>
            </w:tcBorders>
          </w:tcPr>
          <w:p w14:paraId="3ED1DAF7"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 (0.8)</w:t>
            </w:r>
          </w:p>
        </w:tc>
        <w:tc>
          <w:tcPr>
            <w:tcW w:w="1843" w:type="dxa"/>
            <w:tcBorders>
              <w:top w:val="nil"/>
              <w:left w:val="nil"/>
              <w:bottom w:val="nil"/>
              <w:right w:val="nil"/>
            </w:tcBorders>
          </w:tcPr>
          <w:p w14:paraId="13CA04EF"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3 (2.3)</w:t>
            </w:r>
          </w:p>
        </w:tc>
        <w:tc>
          <w:tcPr>
            <w:tcW w:w="1701" w:type="dxa"/>
            <w:tcBorders>
              <w:top w:val="nil"/>
              <w:left w:val="nil"/>
              <w:bottom w:val="nil"/>
            </w:tcBorders>
          </w:tcPr>
          <w:p w14:paraId="482BF813"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 (1.6)</w:t>
            </w:r>
          </w:p>
        </w:tc>
      </w:tr>
      <w:tr w:rsidR="006E7770" w:rsidRPr="006E7770" w14:paraId="5CED419A" w14:textId="77777777" w:rsidTr="00EF79DF">
        <w:tc>
          <w:tcPr>
            <w:tcW w:w="3114" w:type="dxa"/>
            <w:tcBorders>
              <w:top w:val="nil"/>
              <w:bottom w:val="nil"/>
              <w:right w:val="nil"/>
            </w:tcBorders>
          </w:tcPr>
          <w:p w14:paraId="74C8983A"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Osteoarthritis</w:t>
            </w:r>
          </w:p>
        </w:tc>
        <w:tc>
          <w:tcPr>
            <w:tcW w:w="2268" w:type="dxa"/>
            <w:tcBorders>
              <w:top w:val="nil"/>
              <w:left w:val="nil"/>
              <w:bottom w:val="nil"/>
              <w:right w:val="nil"/>
            </w:tcBorders>
          </w:tcPr>
          <w:p w14:paraId="4E84EAB2"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3 (2.3)</w:t>
            </w:r>
          </w:p>
        </w:tc>
        <w:tc>
          <w:tcPr>
            <w:tcW w:w="1843" w:type="dxa"/>
            <w:tcBorders>
              <w:top w:val="nil"/>
              <w:left w:val="nil"/>
              <w:bottom w:val="nil"/>
              <w:right w:val="nil"/>
            </w:tcBorders>
          </w:tcPr>
          <w:p w14:paraId="5C2C91CB"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1 (0.8)</w:t>
            </w:r>
          </w:p>
        </w:tc>
        <w:tc>
          <w:tcPr>
            <w:tcW w:w="1701" w:type="dxa"/>
            <w:tcBorders>
              <w:top w:val="nil"/>
              <w:left w:val="nil"/>
              <w:bottom w:val="nil"/>
            </w:tcBorders>
          </w:tcPr>
          <w:p w14:paraId="34E1FE80"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 (1.6)</w:t>
            </w:r>
          </w:p>
        </w:tc>
      </w:tr>
      <w:tr w:rsidR="006E7770" w:rsidRPr="006E7770" w14:paraId="6CCEF174" w14:textId="77777777" w:rsidTr="00EF79DF">
        <w:tc>
          <w:tcPr>
            <w:tcW w:w="3114" w:type="dxa"/>
            <w:tcBorders>
              <w:top w:val="nil"/>
              <w:bottom w:val="single" w:sz="4" w:space="0" w:color="auto"/>
              <w:right w:val="nil"/>
            </w:tcBorders>
          </w:tcPr>
          <w:p w14:paraId="14FA8744"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Sinusitis</w:t>
            </w:r>
          </w:p>
        </w:tc>
        <w:tc>
          <w:tcPr>
            <w:tcW w:w="2268" w:type="dxa"/>
            <w:tcBorders>
              <w:top w:val="nil"/>
              <w:left w:val="nil"/>
              <w:bottom w:val="single" w:sz="4" w:space="0" w:color="auto"/>
              <w:right w:val="nil"/>
            </w:tcBorders>
          </w:tcPr>
          <w:p w14:paraId="6A23F8C4"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0</w:t>
            </w:r>
          </w:p>
        </w:tc>
        <w:tc>
          <w:tcPr>
            <w:tcW w:w="1843" w:type="dxa"/>
            <w:tcBorders>
              <w:top w:val="nil"/>
              <w:left w:val="nil"/>
              <w:bottom w:val="single" w:sz="4" w:space="0" w:color="auto"/>
              <w:right w:val="nil"/>
            </w:tcBorders>
          </w:tcPr>
          <w:p w14:paraId="010B78D5"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 (3.1)</w:t>
            </w:r>
          </w:p>
        </w:tc>
        <w:tc>
          <w:tcPr>
            <w:tcW w:w="1701" w:type="dxa"/>
            <w:tcBorders>
              <w:top w:val="nil"/>
              <w:left w:val="nil"/>
              <w:bottom w:val="single" w:sz="4" w:space="0" w:color="auto"/>
            </w:tcBorders>
          </w:tcPr>
          <w:p w14:paraId="30273FFF" w14:textId="77777777" w:rsidR="006E7770" w:rsidRPr="006E7770" w:rsidRDefault="006E7770" w:rsidP="00EF79DF">
            <w:pPr>
              <w:spacing w:before="60" w:after="60"/>
              <w:rPr>
                <w:rFonts w:asciiTheme="majorHAnsi" w:hAnsiTheme="majorHAnsi"/>
                <w:sz w:val="18"/>
                <w:szCs w:val="18"/>
                <w:lang w:val="en-US" w:eastAsia="en-AU"/>
              </w:rPr>
            </w:pPr>
            <w:r w:rsidRPr="006E7770">
              <w:rPr>
                <w:rFonts w:asciiTheme="majorHAnsi" w:hAnsiTheme="majorHAnsi"/>
                <w:sz w:val="18"/>
                <w:szCs w:val="18"/>
                <w:lang w:val="en-US" w:eastAsia="en-AU"/>
              </w:rPr>
              <w:t>4 (1.6)</w:t>
            </w:r>
          </w:p>
        </w:tc>
      </w:tr>
      <w:bookmarkEnd w:id="8"/>
    </w:tbl>
    <w:p w14:paraId="428FE7F3" w14:textId="77777777" w:rsidR="00674B8F" w:rsidRDefault="00674B8F" w:rsidP="00497C85"/>
    <w:p w14:paraId="69736AD0" w14:textId="769EBB9A" w:rsidR="006C101F" w:rsidRDefault="006C101F" w:rsidP="00497C85">
      <w:pPr>
        <w:rPr>
          <w:rFonts w:asciiTheme="majorHAnsi" w:hAnsiTheme="majorHAnsi" w:cstheme="minorHAnsi"/>
          <w:lang w:val="en"/>
        </w:rPr>
      </w:pPr>
      <w:r w:rsidRPr="00BC7B8D">
        <w:t>Cases of corneal calcification have been reported very rarely in association with the use of phosphate containing eye drops in some patients with significantly damaged corneas.</w:t>
      </w:r>
    </w:p>
    <w:p w14:paraId="3A425F62" w14:textId="77777777" w:rsidR="0004232D" w:rsidRPr="0004232D" w:rsidRDefault="0004232D" w:rsidP="0004232D">
      <w:pPr>
        <w:pStyle w:val="Heading3"/>
        <w:rPr>
          <w:lang w:val="en"/>
        </w:rPr>
      </w:pPr>
      <w:r w:rsidRPr="0004232D">
        <w:t>Reporting suspected adverse effects</w:t>
      </w:r>
    </w:p>
    <w:p w14:paraId="49E0BB47" w14:textId="5DFE3E7F" w:rsidR="00497C85" w:rsidRPr="006F6631" w:rsidRDefault="00497C85" w:rsidP="00497C85">
      <w:pPr>
        <w:rPr>
          <w:rFonts w:asciiTheme="majorHAnsi" w:hAnsiTheme="majorHAnsi" w:cstheme="minorHAnsi"/>
        </w:rPr>
      </w:pPr>
      <w:r w:rsidRPr="006F6631">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6F6631">
          <w:rPr>
            <w:rStyle w:val="Hyperlink"/>
            <w:rFonts w:asciiTheme="majorHAnsi" w:hAnsiTheme="majorHAnsi" w:cstheme="minorHAnsi"/>
            <w:lang w:val="en"/>
          </w:rPr>
          <w:t>www.tga.gov.au/reporting-problems</w:t>
        </w:r>
      </w:hyperlink>
      <w:r w:rsidRPr="006F6631">
        <w:rPr>
          <w:rFonts w:asciiTheme="majorHAnsi" w:hAnsiTheme="majorHAnsi" w:cstheme="minorHAnsi"/>
          <w:lang w:val="en"/>
        </w:rPr>
        <w:t>.</w:t>
      </w:r>
    </w:p>
    <w:p w14:paraId="4D7D6F2E" w14:textId="77777777" w:rsidR="001A3992" w:rsidRPr="006F6631" w:rsidRDefault="001A3992" w:rsidP="001A3992">
      <w:pPr>
        <w:pStyle w:val="Heading2"/>
        <w:keepNext/>
        <w:keepLines/>
        <w:spacing w:before="0" w:after="120"/>
        <w:rPr>
          <w:rFonts w:cstheme="minorHAnsi"/>
        </w:rPr>
      </w:pPr>
      <w:r w:rsidRPr="006F6631">
        <w:rPr>
          <w:rFonts w:cstheme="minorHAnsi"/>
        </w:rPr>
        <w:t>Overdose</w:t>
      </w:r>
    </w:p>
    <w:p w14:paraId="601F1020" w14:textId="77777777" w:rsidR="00497C85" w:rsidRPr="006F6631" w:rsidRDefault="00497C85" w:rsidP="00497C85">
      <w:pPr>
        <w:rPr>
          <w:rFonts w:asciiTheme="majorHAnsi" w:hAnsiTheme="majorHAnsi" w:cstheme="minorHAnsi"/>
        </w:rPr>
      </w:pPr>
      <w:r w:rsidRPr="006F6631">
        <w:rPr>
          <w:rFonts w:asciiTheme="majorHAnsi" w:hAnsiTheme="majorHAnsi" w:cstheme="minorHAnsi"/>
          <w:lang w:val="en"/>
        </w:rPr>
        <w:t>For information on the management of overdose, contact the Poisons Information Centre on 13 11 26 (Australia).</w:t>
      </w:r>
    </w:p>
    <w:p w14:paraId="22BA825B" w14:textId="77777777" w:rsidR="001A3992" w:rsidRPr="006F6631" w:rsidRDefault="001A3992" w:rsidP="001A3992">
      <w:pPr>
        <w:pStyle w:val="Heading1"/>
        <w:spacing w:before="0" w:after="120"/>
        <w:rPr>
          <w:rFonts w:cstheme="minorHAnsi"/>
          <w:lang w:val="en-US"/>
        </w:rPr>
      </w:pPr>
      <w:r w:rsidRPr="006F6631">
        <w:rPr>
          <w:rFonts w:cstheme="minorHAnsi"/>
          <w:lang w:val="en-US"/>
        </w:rPr>
        <w:t>Pharmacological properties</w:t>
      </w:r>
    </w:p>
    <w:p w14:paraId="682791A8" w14:textId="77777777" w:rsidR="001A3992" w:rsidRPr="006F6631" w:rsidRDefault="001A3992" w:rsidP="001A3992">
      <w:pPr>
        <w:pStyle w:val="Heading2"/>
        <w:spacing w:before="0" w:after="120"/>
        <w:rPr>
          <w:rFonts w:cstheme="minorHAnsi"/>
          <w:lang w:val="en-US"/>
        </w:rPr>
      </w:pPr>
      <w:r w:rsidRPr="006F6631">
        <w:rPr>
          <w:rFonts w:cstheme="minorHAnsi"/>
          <w:lang w:val="en-US"/>
        </w:rPr>
        <w:t xml:space="preserve">Pharmacodynamic properties </w:t>
      </w:r>
    </w:p>
    <w:p w14:paraId="510BC780" w14:textId="350D5973" w:rsidR="001A3992" w:rsidRPr="006F6631" w:rsidRDefault="001A3992" w:rsidP="001A3992">
      <w:pPr>
        <w:pStyle w:val="Heading3"/>
        <w:spacing w:before="0" w:after="120"/>
        <w:rPr>
          <w:rFonts w:cstheme="minorHAnsi"/>
        </w:rPr>
      </w:pPr>
      <w:r w:rsidRPr="006F6631">
        <w:rPr>
          <w:rFonts w:cstheme="minorHAnsi"/>
        </w:rPr>
        <w:t>Mechanism of action</w:t>
      </w:r>
    </w:p>
    <w:p w14:paraId="5C2D60F3" w14:textId="3B3F7DD2" w:rsidR="00794D78" w:rsidRPr="006F6631" w:rsidRDefault="00707093" w:rsidP="00707093">
      <w:pPr>
        <w:rPr>
          <w:rFonts w:asciiTheme="majorHAnsi" w:hAnsiTheme="majorHAnsi"/>
        </w:rPr>
      </w:pPr>
      <w:bookmarkStart w:id="9" w:name="_Hlk529801675"/>
      <w:r w:rsidRPr="006F6631">
        <w:rPr>
          <w:rFonts w:asciiTheme="majorHAnsi" w:hAnsiTheme="majorHAnsi"/>
        </w:rPr>
        <w:t>C</w:t>
      </w:r>
      <w:r w:rsidR="002505E0">
        <w:rPr>
          <w:rFonts w:asciiTheme="majorHAnsi" w:hAnsiTheme="majorHAnsi"/>
        </w:rPr>
        <w:t>i</w:t>
      </w:r>
      <w:r w:rsidRPr="006F6631">
        <w:rPr>
          <w:rFonts w:asciiTheme="majorHAnsi" w:hAnsiTheme="majorHAnsi"/>
        </w:rPr>
        <w:t xml:space="preserve">closporin is a </w:t>
      </w:r>
      <w:proofErr w:type="spellStart"/>
      <w:r w:rsidRPr="006F6631">
        <w:rPr>
          <w:rFonts w:asciiTheme="majorHAnsi" w:hAnsiTheme="majorHAnsi"/>
        </w:rPr>
        <w:t>calcineurin</w:t>
      </w:r>
      <w:proofErr w:type="spellEnd"/>
      <w:r w:rsidRPr="006F6631">
        <w:rPr>
          <w:rFonts w:asciiTheme="majorHAnsi" w:hAnsiTheme="majorHAnsi"/>
        </w:rPr>
        <w:t xml:space="preserve"> inhibitor immunosuppressant agent when administered</w:t>
      </w:r>
      <w:r w:rsidR="00501D22" w:rsidRPr="006F6631">
        <w:rPr>
          <w:rFonts w:asciiTheme="majorHAnsi" w:hAnsiTheme="majorHAnsi"/>
        </w:rPr>
        <w:t xml:space="preserve"> </w:t>
      </w:r>
      <w:r w:rsidRPr="006F6631">
        <w:rPr>
          <w:rFonts w:asciiTheme="majorHAnsi" w:hAnsiTheme="majorHAnsi"/>
        </w:rPr>
        <w:t xml:space="preserve">systemically. </w:t>
      </w:r>
      <w:r w:rsidR="00E540FD">
        <w:rPr>
          <w:rFonts w:asciiTheme="majorHAnsi" w:hAnsiTheme="majorHAnsi"/>
        </w:rPr>
        <w:t>It is able to inhibit the activation</w:t>
      </w:r>
      <w:r w:rsidR="001C3A79">
        <w:rPr>
          <w:rFonts w:asciiTheme="majorHAnsi" w:hAnsiTheme="majorHAnsi"/>
        </w:rPr>
        <w:t xml:space="preserve"> of transcription factors required for T-cell activation and inflammatory cytokine production. </w:t>
      </w:r>
      <w:r w:rsidRPr="006F6631">
        <w:rPr>
          <w:rFonts w:asciiTheme="majorHAnsi" w:hAnsiTheme="majorHAnsi"/>
        </w:rPr>
        <w:t>In patients whose tear production is presumed to be suppressed due to ocular</w:t>
      </w:r>
      <w:r w:rsidR="00501D22" w:rsidRPr="006F6631">
        <w:rPr>
          <w:rFonts w:asciiTheme="majorHAnsi" w:hAnsiTheme="majorHAnsi"/>
        </w:rPr>
        <w:t xml:space="preserve"> </w:t>
      </w:r>
      <w:r w:rsidRPr="006F6631">
        <w:rPr>
          <w:rFonts w:asciiTheme="majorHAnsi" w:hAnsiTheme="majorHAnsi"/>
        </w:rPr>
        <w:t xml:space="preserve">inflammation associated with keratoconjunctivitis sicca, topical administration of </w:t>
      </w:r>
      <w:r w:rsidR="00EF79DF">
        <w:rPr>
          <w:rFonts w:asciiTheme="majorHAnsi" w:hAnsiTheme="majorHAnsi"/>
        </w:rPr>
        <w:t>c</w:t>
      </w:r>
      <w:r w:rsidR="002505E0">
        <w:rPr>
          <w:rFonts w:asciiTheme="majorHAnsi" w:hAnsiTheme="majorHAnsi"/>
        </w:rPr>
        <w:t>i</w:t>
      </w:r>
      <w:r w:rsidR="00EF79DF">
        <w:rPr>
          <w:rFonts w:asciiTheme="majorHAnsi" w:hAnsiTheme="majorHAnsi"/>
        </w:rPr>
        <w:t>closporin</w:t>
      </w:r>
      <w:r w:rsidRPr="006F6631">
        <w:rPr>
          <w:rFonts w:asciiTheme="majorHAnsi" w:hAnsiTheme="majorHAnsi"/>
        </w:rPr>
        <w:t xml:space="preserve"> is</w:t>
      </w:r>
      <w:r w:rsidR="00501D22" w:rsidRPr="006F6631">
        <w:rPr>
          <w:rFonts w:asciiTheme="majorHAnsi" w:hAnsiTheme="majorHAnsi"/>
        </w:rPr>
        <w:t xml:space="preserve"> </w:t>
      </w:r>
      <w:r w:rsidRPr="006F6631">
        <w:rPr>
          <w:rFonts w:asciiTheme="majorHAnsi" w:hAnsiTheme="majorHAnsi"/>
        </w:rPr>
        <w:t xml:space="preserve">thought to act as a partial </w:t>
      </w:r>
      <w:r w:rsidR="00501D22" w:rsidRPr="006F6631">
        <w:rPr>
          <w:rFonts w:asciiTheme="majorHAnsi" w:hAnsiTheme="majorHAnsi"/>
        </w:rPr>
        <w:t>i</w:t>
      </w:r>
      <w:r w:rsidRPr="006F6631">
        <w:rPr>
          <w:rFonts w:asciiTheme="majorHAnsi" w:hAnsiTheme="majorHAnsi"/>
        </w:rPr>
        <w:t xml:space="preserve">mmunomodulator. The exact mechanism of action </w:t>
      </w:r>
      <w:r w:rsidR="000F31E3" w:rsidRPr="000F31E3">
        <w:rPr>
          <w:rFonts w:asciiTheme="majorHAnsi" w:hAnsiTheme="majorHAnsi"/>
          <w:lang w:val="en-US"/>
        </w:rPr>
        <w:t xml:space="preserve">in treating keratoconjunctivitis sicca </w:t>
      </w:r>
      <w:r w:rsidRPr="006F6631">
        <w:rPr>
          <w:rFonts w:asciiTheme="majorHAnsi" w:hAnsiTheme="majorHAnsi"/>
        </w:rPr>
        <w:t>is not known.</w:t>
      </w:r>
      <w:bookmarkEnd w:id="9"/>
    </w:p>
    <w:p w14:paraId="4BF161CD" w14:textId="286C5E4C" w:rsidR="001A3992" w:rsidRPr="006F6631" w:rsidRDefault="001A3992" w:rsidP="001A3992">
      <w:pPr>
        <w:pStyle w:val="Heading3"/>
        <w:spacing w:before="0" w:after="120"/>
        <w:rPr>
          <w:rFonts w:cstheme="minorHAnsi"/>
          <w:lang w:val="en-US"/>
        </w:rPr>
      </w:pPr>
      <w:r w:rsidRPr="006F6631">
        <w:rPr>
          <w:rFonts w:cstheme="minorHAnsi"/>
        </w:rPr>
        <w:t>Clinical</w:t>
      </w:r>
      <w:r w:rsidRPr="006F6631">
        <w:rPr>
          <w:rFonts w:cstheme="minorHAnsi"/>
          <w:lang w:val="en-US"/>
        </w:rPr>
        <w:t xml:space="preserve"> trials</w:t>
      </w:r>
    </w:p>
    <w:p w14:paraId="606A4387" w14:textId="79A16B59" w:rsidR="00026D7D" w:rsidRDefault="00026D7D" w:rsidP="00026D7D">
      <w:pPr>
        <w:rPr>
          <w:rFonts w:asciiTheme="majorHAnsi" w:hAnsiTheme="majorHAnsi"/>
        </w:rPr>
      </w:pPr>
      <w:bookmarkStart w:id="10" w:name="_Hlk529801743"/>
      <w:r w:rsidRPr="006F6631">
        <w:rPr>
          <w:rFonts w:asciiTheme="majorHAnsi" w:hAnsiTheme="majorHAnsi"/>
        </w:rPr>
        <w:t>Two multicent</w:t>
      </w:r>
      <w:r w:rsidR="007B4F8C">
        <w:rPr>
          <w:rFonts w:asciiTheme="majorHAnsi" w:hAnsiTheme="majorHAnsi"/>
        </w:rPr>
        <w:t>re</w:t>
      </w:r>
      <w:r w:rsidRPr="006F6631">
        <w:rPr>
          <w:rFonts w:asciiTheme="majorHAnsi" w:hAnsiTheme="majorHAnsi"/>
        </w:rPr>
        <w:t>, randomi</w:t>
      </w:r>
      <w:r w:rsidR="00221FE4">
        <w:rPr>
          <w:rFonts w:asciiTheme="majorHAnsi" w:hAnsiTheme="majorHAnsi"/>
        </w:rPr>
        <w:t>s</w:t>
      </w:r>
      <w:r w:rsidRPr="006F6631">
        <w:rPr>
          <w:rFonts w:asciiTheme="majorHAnsi" w:hAnsiTheme="majorHAnsi"/>
        </w:rPr>
        <w:t xml:space="preserve">ed, </w:t>
      </w:r>
      <w:r w:rsidR="00221FE4">
        <w:rPr>
          <w:rFonts w:asciiTheme="majorHAnsi" w:hAnsiTheme="majorHAnsi"/>
        </w:rPr>
        <w:t>vehicle</w:t>
      </w:r>
      <w:r w:rsidRPr="006F6631">
        <w:rPr>
          <w:rFonts w:asciiTheme="majorHAnsi" w:hAnsiTheme="majorHAnsi"/>
        </w:rPr>
        <w:t>-controlled clinical studies treated 1,048 patients with keratoconjunctivitis sicca (</w:t>
      </w:r>
      <w:r w:rsidR="00221FE4">
        <w:rPr>
          <w:rFonts w:asciiTheme="majorHAnsi" w:hAnsiTheme="majorHAnsi"/>
        </w:rPr>
        <w:t>OTX-101-2014-001 and OTX-101-2016-001</w:t>
      </w:r>
      <w:r w:rsidRPr="006F6631">
        <w:rPr>
          <w:rFonts w:asciiTheme="majorHAnsi" w:hAnsiTheme="majorHAnsi"/>
        </w:rPr>
        <w:t xml:space="preserve">). In both studies, compared to vehicle at Day 84, there was a statistically significant (p&lt;0.01) higher percentage of eyes with increases of ≥ 10 mm from baseline in </w:t>
      </w:r>
      <w:proofErr w:type="spellStart"/>
      <w:r w:rsidRPr="006F6631">
        <w:rPr>
          <w:rFonts w:asciiTheme="majorHAnsi" w:hAnsiTheme="majorHAnsi"/>
        </w:rPr>
        <w:t>Schirmer</w:t>
      </w:r>
      <w:proofErr w:type="spellEnd"/>
      <w:r w:rsidRPr="006F6631">
        <w:rPr>
          <w:rFonts w:asciiTheme="majorHAnsi" w:hAnsiTheme="majorHAnsi"/>
        </w:rPr>
        <w:t xml:space="preserve"> wetting. This effect was seen in </w:t>
      </w:r>
      <w:r w:rsidRPr="006F6631">
        <w:rPr>
          <w:rFonts w:asciiTheme="majorHAnsi" w:hAnsiTheme="majorHAnsi"/>
        </w:rPr>
        <w:lastRenderedPageBreak/>
        <w:t>approximately 17% of CEQUA-treated patients versus approximately 9% of vehicle-treated patients.</w:t>
      </w:r>
      <w:r w:rsidR="000C78E6">
        <w:rPr>
          <w:rFonts w:asciiTheme="majorHAnsi" w:hAnsiTheme="majorHAnsi"/>
        </w:rPr>
        <w:t xml:space="preserve"> Table 3 presents data from the studies.</w:t>
      </w:r>
    </w:p>
    <w:p w14:paraId="40A0298C" w14:textId="5E62851A" w:rsidR="00E4524D" w:rsidRPr="00E4524D" w:rsidRDefault="00E4524D" w:rsidP="00026D7D">
      <w:pPr>
        <w:rPr>
          <w:rFonts w:asciiTheme="majorHAnsi" w:hAnsiTheme="majorHAnsi"/>
          <w:b/>
        </w:rPr>
      </w:pPr>
      <w:r w:rsidRPr="00E4524D">
        <w:rPr>
          <w:rFonts w:asciiTheme="majorHAnsi" w:hAnsiTheme="majorHAnsi"/>
          <w:b/>
        </w:rPr>
        <w:t>Table 3</w:t>
      </w:r>
    </w:p>
    <w:tbl>
      <w:tblPr>
        <w:tblStyle w:val="TableGrid"/>
        <w:tblW w:w="0" w:type="auto"/>
        <w:tblLook w:val="04A0" w:firstRow="1" w:lastRow="0" w:firstColumn="1" w:lastColumn="0" w:noHBand="0" w:noVBand="1"/>
      </w:tblPr>
      <w:tblGrid>
        <w:gridCol w:w="2853"/>
        <w:gridCol w:w="1537"/>
        <w:gridCol w:w="1417"/>
        <w:gridCol w:w="1559"/>
        <w:gridCol w:w="1650"/>
      </w:tblGrid>
      <w:tr w:rsidR="00512A1F" w:rsidRPr="000C78E6" w14:paraId="5AC3367B" w14:textId="77777777" w:rsidTr="00D20979">
        <w:tc>
          <w:tcPr>
            <w:tcW w:w="9016" w:type="dxa"/>
            <w:gridSpan w:val="5"/>
          </w:tcPr>
          <w:p w14:paraId="1E5FC2DC" w14:textId="383FB8CE" w:rsidR="00512A1F" w:rsidRPr="000C78E6" w:rsidRDefault="00512A1F" w:rsidP="000C78E6">
            <w:pPr>
              <w:spacing w:before="60" w:after="60"/>
              <w:jc w:val="center"/>
              <w:rPr>
                <w:rFonts w:asciiTheme="majorHAnsi" w:hAnsiTheme="majorHAnsi"/>
                <w:b/>
                <w:sz w:val="20"/>
                <w:szCs w:val="20"/>
                <w:lang w:val="en-US"/>
              </w:rPr>
            </w:pPr>
            <w:r w:rsidRPr="000C78E6">
              <w:rPr>
                <w:rFonts w:asciiTheme="majorHAnsi" w:hAnsiTheme="majorHAnsi"/>
                <w:b/>
                <w:sz w:val="20"/>
                <w:szCs w:val="20"/>
                <w:lang w:val="en-US"/>
              </w:rPr>
              <w:t>Tear Production</w:t>
            </w:r>
          </w:p>
        </w:tc>
      </w:tr>
      <w:tr w:rsidR="00221FE4" w:rsidRPr="000C78E6" w14:paraId="6BBDB26C" w14:textId="77777777" w:rsidTr="00221FE4">
        <w:tc>
          <w:tcPr>
            <w:tcW w:w="2853" w:type="dxa"/>
          </w:tcPr>
          <w:p w14:paraId="0E0DEE3E" w14:textId="77777777" w:rsidR="00221FE4" w:rsidRPr="000C78E6" w:rsidRDefault="00221FE4" w:rsidP="000C78E6">
            <w:pPr>
              <w:spacing w:before="60" w:after="60"/>
              <w:rPr>
                <w:rFonts w:asciiTheme="majorHAnsi" w:hAnsiTheme="majorHAnsi"/>
                <w:sz w:val="20"/>
                <w:szCs w:val="20"/>
                <w:lang w:val="en-US"/>
              </w:rPr>
            </w:pPr>
          </w:p>
        </w:tc>
        <w:tc>
          <w:tcPr>
            <w:tcW w:w="2954" w:type="dxa"/>
            <w:gridSpan w:val="2"/>
          </w:tcPr>
          <w:p w14:paraId="1C3E14D3" w14:textId="30AA8BBD" w:rsidR="00221FE4" w:rsidRPr="000C78E6" w:rsidRDefault="00221FE4" w:rsidP="000C78E6">
            <w:pPr>
              <w:spacing w:before="60" w:after="60"/>
              <w:jc w:val="center"/>
              <w:rPr>
                <w:rFonts w:asciiTheme="majorHAnsi" w:hAnsiTheme="majorHAnsi"/>
                <w:b/>
                <w:sz w:val="20"/>
                <w:szCs w:val="20"/>
                <w:lang w:val="en-US"/>
              </w:rPr>
            </w:pPr>
            <w:r w:rsidRPr="000C78E6">
              <w:rPr>
                <w:rFonts w:asciiTheme="majorHAnsi" w:hAnsiTheme="majorHAnsi"/>
                <w:b/>
                <w:sz w:val="20"/>
                <w:szCs w:val="20"/>
                <w:lang w:val="en-US"/>
              </w:rPr>
              <w:t>OTX-101-2014-001</w:t>
            </w:r>
          </w:p>
        </w:tc>
        <w:tc>
          <w:tcPr>
            <w:tcW w:w="3209" w:type="dxa"/>
            <w:gridSpan w:val="2"/>
          </w:tcPr>
          <w:p w14:paraId="7FE41319" w14:textId="10245357" w:rsidR="00221FE4" w:rsidRPr="000C78E6" w:rsidRDefault="00221FE4" w:rsidP="000C78E6">
            <w:pPr>
              <w:spacing w:before="60" w:after="60"/>
              <w:jc w:val="center"/>
              <w:rPr>
                <w:rFonts w:asciiTheme="majorHAnsi" w:hAnsiTheme="majorHAnsi"/>
                <w:b/>
                <w:sz w:val="20"/>
                <w:szCs w:val="20"/>
                <w:lang w:val="en-US"/>
              </w:rPr>
            </w:pPr>
            <w:r w:rsidRPr="000C78E6">
              <w:rPr>
                <w:rFonts w:asciiTheme="majorHAnsi" w:hAnsiTheme="majorHAnsi"/>
                <w:b/>
                <w:sz w:val="20"/>
                <w:szCs w:val="20"/>
                <w:lang w:val="en-US"/>
              </w:rPr>
              <w:t>OTX-101-2016-001</w:t>
            </w:r>
          </w:p>
        </w:tc>
      </w:tr>
      <w:tr w:rsidR="00221FE4" w:rsidRPr="000C78E6" w14:paraId="7A2F1A2E" w14:textId="77777777" w:rsidTr="00221FE4">
        <w:tc>
          <w:tcPr>
            <w:tcW w:w="2853" w:type="dxa"/>
          </w:tcPr>
          <w:p w14:paraId="3F9755B5" w14:textId="77777777" w:rsidR="00221FE4" w:rsidRPr="000C78E6" w:rsidRDefault="00221FE4" w:rsidP="000C78E6">
            <w:pPr>
              <w:spacing w:before="60" w:after="60"/>
              <w:rPr>
                <w:rFonts w:asciiTheme="majorHAnsi" w:hAnsiTheme="majorHAnsi"/>
                <w:sz w:val="20"/>
                <w:szCs w:val="20"/>
                <w:lang w:val="en-US"/>
              </w:rPr>
            </w:pPr>
          </w:p>
        </w:tc>
        <w:tc>
          <w:tcPr>
            <w:tcW w:w="1537" w:type="dxa"/>
          </w:tcPr>
          <w:p w14:paraId="720049B0" w14:textId="77777777" w:rsidR="00221FE4" w:rsidRPr="00221FE4" w:rsidRDefault="00221FE4" w:rsidP="000C78E6">
            <w:pPr>
              <w:spacing w:before="60" w:after="60"/>
              <w:jc w:val="center"/>
              <w:rPr>
                <w:rFonts w:asciiTheme="majorHAnsi" w:hAnsiTheme="majorHAnsi"/>
                <w:b/>
                <w:bCs/>
                <w:sz w:val="20"/>
                <w:szCs w:val="20"/>
              </w:rPr>
            </w:pPr>
            <w:r w:rsidRPr="00221FE4">
              <w:rPr>
                <w:rFonts w:asciiTheme="majorHAnsi" w:hAnsiTheme="majorHAnsi"/>
                <w:b/>
                <w:bCs/>
                <w:sz w:val="20"/>
                <w:szCs w:val="20"/>
              </w:rPr>
              <w:t>CEQUA</w:t>
            </w:r>
          </w:p>
          <w:p w14:paraId="2BBFE097" w14:textId="1017E91D" w:rsidR="00221FE4" w:rsidRPr="000C78E6" w:rsidRDefault="00221FE4" w:rsidP="000C78E6">
            <w:pPr>
              <w:spacing w:before="60" w:after="60"/>
              <w:jc w:val="center"/>
              <w:rPr>
                <w:rFonts w:asciiTheme="majorHAnsi" w:hAnsiTheme="majorHAnsi"/>
                <w:sz w:val="20"/>
                <w:szCs w:val="20"/>
                <w:lang w:val="en-US"/>
              </w:rPr>
            </w:pPr>
            <w:r w:rsidRPr="000C78E6">
              <w:rPr>
                <w:rFonts w:asciiTheme="majorHAnsi" w:hAnsiTheme="majorHAnsi"/>
                <w:b/>
                <w:bCs/>
                <w:sz w:val="20"/>
                <w:szCs w:val="20"/>
              </w:rPr>
              <w:t>N = 152</w:t>
            </w:r>
          </w:p>
        </w:tc>
        <w:tc>
          <w:tcPr>
            <w:tcW w:w="1417" w:type="dxa"/>
          </w:tcPr>
          <w:p w14:paraId="00F50B55" w14:textId="77777777" w:rsidR="00221FE4" w:rsidRPr="00221FE4" w:rsidRDefault="00221FE4" w:rsidP="000C78E6">
            <w:pPr>
              <w:spacing w:before="60" w:after="60"/>
              <w:jc w:val="center"/>
              <w:rPr>
                <w:rFonts w:asciiTheme="majorHAnsi" w:hAnsiTheme="majorHAnsi"/>
                <w:b/>
                <w:bCs/>
                <w:sz w:val="20"/>
                <w:szCs w:val="20"/>
              </w:rPr>
            </w:pPr>
            <w:r w:rsidRPr="00221FE4">
              <w:rPr>
                <w:rFonts w:asciiTheme="majorHAnsi" w:hAnsiTheme="majorHAnsi"/>
                <w:b/>
                <w:bCs/>
                <w:sz w:val="20"/>
                <w:szCs w:val="20"/>
              </w:rPr>
              <w:t>Vehicle</w:t>
            </w:r>
          </w:p>
          <w:p w14:paraId="7B17C08B" w14:textId="53C061DE" w:rsidR="00221FE4" w:rsidRPr="000C78E6" w:rsidRDefault="00221FE4" w:rsidP="000C78E6">
            <w:pPr>
              <w:spacing w:before="60" w:after="60"/>
              <w:jc w:val="center"/>
              <w:rPr>
                <w:rFonts w:asciiTheme="majorHAnsi" w:hAnsiTheme="majorHAnsi"/>
                <w:sz w:val="20"/>
                <w:szCs w:val="20"/>
                <w:lang w:val="en-US"/>
              </w:rPr>
            </w:pPr>
            <w:r w:rsidRPr="000C78E6">
              <w:rPr>
                <w:rFonts w:asciiTheme="majorHAnsi" w:hAnsiTheme="majorHAnsi"/>
                <w:b/>
                <w:bCs/>
                <w:sz w:val="20"/>
                <w:szCs w:val="20"/>
              </w:rPr>
              <w:t>N = 152</w:t>
            </w:r>
          </w:p>
        </w:tc>
        <w:tc>
          <w:tcPr>
            <w:tcW w:w="1559" w:type="dxa"/>
          </w:tcPr>
          <w:p w14:paraId="27749FB5" w14:textId="77777777" w:rsidR="00221FE4" w:rsidRPr="00221FE4" w:rsidRDefault="00221FE4" w:rsidP="000C78E6">
            <w:pPr>
              <w:spacing w:before="60" w:after="60"/>
              <w:jc w:val="center"/>
              <w:rPr>
                <w:rFonts w:asciiTheme="majorHAnsi" w:hAnsiTheme="majorHAnsi"/>
                <w:b/>
                <w:bCs/>
                <w:sz w:val="20"/>
                <w:szCs w:val="20"/>
              </w:rPr>
            </w:pPr>
            <w:r w:rsidRPr="00221FE4">
              <w:rPr>
                <w:rFonts w:asciiTheme="majorHAnsi" w:hAnsiTheme="majorHAnsi"/>
                <w:b/>
                <w:bCs/>
                <w:sz w:val="20"/>
                <w:szCs w:val="20"/>
              </w:rPr>
              <w:t>CEQUA</w:t>
            </w:r>
          </w:p>
          <w:p w14:paraId="59427D78" w14:textId="401F9901" w:rsidR="00221FE4" w:rsidRPr="000C78E6" w:rsidRDefault="00221FE4" w:rsidP="000C78E6">
            <w:pPr>
              <w:spacing w:before="60" w:after="60"/>
              <w:jc w:val="center"/>
              <w:rPr>
                <w:rFonts w:asciiTheme="majorHAnsi" w:hAnsiTheme="majorHAnsi"/>
                <w:sz w:val="20"/>
                <w:szCs w:val="20"/>
                <w:lang w:val="en-US"/>
              </w:rPr>
            </w:pPr>
            <w:r w:rsidRPr="000C78E6">
              <w:rPr>
                <w:rFonts w:asciiTheme="majorHAnsi" w:hAnsiTheme="majorHAnsi"/>
                <w:b/>
                <w:bCs/>
                <w:sz w:val="20"/>
                <w:szCs w:val="20"/>
              </w:rPr>
              <w:t>N = 371</w:t>
            </w:r>
          </w:p>
        </w:tc>
        <w:tc>
          <w:tcPr>
            <w:tcW w:w="1650" w:type="dxa"/>
          </w:tcPr>
          <w:p w14:paraId="0DDAF8BB" w14:textId="77777777" w:rsidR="00221FE4" w:rsidRPr="00221FE4" w:rsidRDefault="00221FE4" w:rsidP="000C78E6">
            <w:pPr>
              <w:spacing w:before="60" w:after="60"/>
              <w:jc w:val="center"/>
              <w:rPr>
                <w:rFonts w:asciiTheme="majorHAnsi" w:hAnsiTheme="majorHAnsi"/>
                <w:b/>
                <w:bCs/>
                <w:sz w:val="20"/>
                <w:szCs w:val="20"/>
              </w:rPr>
            </w:pPr>
            <w:r w:rsidRPr="00221FE4">
              <w:rPr>
                <w:rFonts w:asciiTheme="majorHAnsi" w:hAnsiTheme="majorHAnsi"/>
                <w:b/>
                <w:bCs/>
                <w:sz w:val="20"/>
                <w:szCs w:val="20"/>
              </w:rPr>
              <w:t>Vehicle</w:t>
            </w:r>
          </w:p>
          <w:p w14:paraId="66D450DD" w14:textId="2484D190" w:rsidR="00221FE4" w:rsidRPr="000C78E6" w:rsidRDefault="00221FE4" w:rsidP="000C78E6">
            <w:pPr>
              <w:spacing w:before="60" w:after="60"/>
              <w:jc w:val="center"/>
              <w:rPr>
                <w:rFonts w:asciiTheme="majorHAnsi" w:hAnsiTheme="majorHAnsi"/>
                <w:sz w:val="20"/>
                <w:szCs w:val="20"/>
                <w:lang w:val="en-US"/>
              </w:rPr>
            </w:pPr>
            <w:r w:rsidRPr="000C78E6">
              <w:rPr>
                <w:rFonts w:asciiTheme="majorHAnsi" w:hAnsiTheme="majorHAnsi"/>
                <w:b/>
                <w:bCs/>
                <w:sz w:val="20"/>
                <w:szCs w:val="20"/>
              </w:rPr>
              <w:t>N = 373</w:t>
            </w:r>
          </w:p>
        </w:tc>
      </w:tr>
      <w:tr w:rsidR="00221FE4" w:rsidRPr="006F6631" w14:paraId="0A8948AD" w14:textId="77777777" w:rsidTr="00221FE4">
        <w:tc>
          <w:tcPr>
            <w:tcW w:w="2853" w:type="dxa"/>
          </w:tcPr>
          <w:p w14:paraId="6772BB50" w14:textId="4246AF3F" w:rsidR="00221FE4" w:rsidRPr="00221FE4" w:rsidRDefault="00674B8F" w:rsidP="000C78E6">
            <w:pPr>
              <w:spacing w:before="60" w:after="60"/>
              <w:rPr>
                <w:rFonts w:asciiTheme="majorHAnsi" w:hAnsiTheme="majorHAnsi"/>
                <w:sz w:val="18"/>
                <w:szCs w:val="18"/>
                <w:lang w:val="en-US"/>
              </w:rPr>
            </w:pPr>
            <w:r>
              <w:t>≥</w:t>
            </w:r>
            <w:r w:rsidR="00221FE4" w:rsidRPr="00221FE4">
              <w:rPr>
                <w:rFonts w:asciiTheme="majorHAnsi" w:hAnsiTheme="majorHAnsi"/>
                <w:sz w:val="18"/>
                <w:szCs w:val="18"/>
              </w:rPr>
              <w:t xml:space="preserve"> 10-mm increase in tear production (% of eyes) at Day 84</w:t>
            </w:r>
          </w:p>
        </w:tc>
        <w:tc>
          <w:tcPr>
            <w:tcW w:w="1537" w:type="dxa"/>
          </w:tcPr>
          <w:p w14:paraId="3788E36D" w14:textId="26DDD463" w:rsidR="00221FE4" w:rsidRPr="00221FE4" w:rsidRDefault="00221FE4" w:rsidP="000C78E6">
            <w:pPr>
              <w:spacing w:before="60" w:after="60"/>
              <w:jc w:val="center"/>
              <w:rPr>
                <w:rFonts w:asciiTheme="majorHAnsi" w:hAnsiTheme="majorHAnsi"/>
                <w:sz w:val="18"/>
                <w:szCs w:val="18"/>
                <w:lang w:val="en-US"/>
              </w:rPr>
            </w:pPr>
            <w:r w:rsidRPr="00221FE4">
              <w:rPr>
                <w:rFonts w:asciiTheme="majorHAnsi" w:hAnsiTheme="majorHAnsi" w:cs="TimesNewRomanPSMT"/>
                <w:sz w:val="18"/>
                <w:szCs w:val="18"/>
              </w:rPr>
              <w:t>16.8%</w:t>
            </w:r>
          </w:p>
        </w:tc>
        <w:tc>
          <w:tcPr>
            <w:tcW w:w="1417" w:type="dxa"/>
          </w:tcPr>
          <w:p w14:paraId="19898DA3" w14:textId="2FA4A26C" w:rsidR="00221FE4" w:rsidRPr="00221FE4" w:rsidRDefault="00221FE4" w:rsidP="000C78E6">
            <w:pPr>
              <w:spacing w:before="60" w:after="60"/>
              <w:jc w:val="center"/>
              <w:rPr>
                <w:rFonts w:asciiTheme="majorHAnsi" w:hAnsiTheme="majorHAnsi"/>
                <w:sz w:val="18"/>
                <w:szCs w:val="18"/>
                <w:lang w:val="en-US"/>
              </w:rPr>
            </w:pPr>
            <w:r w:rsidRPr="00221FE4">
              <w:rPr>
                <w:rFonts w:asciiTheme="majorHAnsi" w:hAnsiTheme="majorHAnsi" w:cs="TimesNewRomanPSMT"/>
                <w:sz w:val="18"/>
                <w:szCs w:val="18"/>
              </w:rPr>
              <w:t>8.6%</w:t>
            </w:r>
          </w:p>
        </w:tc>
        <w:tc>
          <w:tcPr>
            <w:tcW w:w="1559" w:type="dxa"/>
          </w:tcPr>
          <w:p w14:paraId="4D0B732A" w14:textId="7615DB9B" w:rsidR="00221FE4" w:rsidRPr="00221FE4" w:rsidRDefault="00221FE4" w:rsidP="000C78E6">
            <w:pPr>
              <w:spacing w:before="60" w:after="60"/>
              <w:jc w:val="center"/>
              <w:rPr>
                <w:rFonts w:asciiTheme="majorHAnsi" w:hAnsiTheme="majorHAnsi"/>
                <w:sz w:val="18"/>
                <w:szCs w:val="18"/>
                <w:lang w:val="en-US"/>
              </w:rPr>
            </w:pPr>
            <w:r w:rsidRPr="00221FE4">
              <w:rPr>
                <w:rFonts w:asciiTheme="majorHAnsi" w:hAnsiTheme="majorHAnsi" w:cs="TimesNewRomanPSMT"/>
                <w:sz w:val="18"/>
                <w:szCs w:val="18"/>
              </w:rPr>
              <w:t>16.6%</w:t>
            </w:r>
          </w:p>
        </w:tc>
        <w:tc>
          <w:tcPr>
            <w:tcW w:w="1650" w:type="dxa"/>
          </w:tcPr>
          <w:p w14:paraId="4B4E0100" w14:textId="3F96AEFD" w:rsidR="00221FE4" w:rsidRPr="00221FE4" w:rsidRDefault="00221FE4" w:rsidP="000C78E6">
            <w:pPr>
              <w:spacing w:before="60" w:after="60"/>
              <w:jc w:val="center"/>
              <w:rPr>
                <w:rFonts w:asciiTheme="majorHAnsi" w:hAnsiTheme="majorHAnsi"/>
                <w:sz w:val="18"/>
                <w:szCs w:val="18"/>
                <w:lang w:val="en-US"/>
              </w:rPr>
            </w:pPr>
            <w:r w:rsidRPr="00221FE4">
              <w:rPr>
                <w:rFonts w:asciiTheme="majorHAnsi" w:hAnsiTheme="majorHAnsi" w:cs="TimesNewRomanPSMT"/>
                <w:sz w:val="18"/>
                <w:szCs w:val="18"/>
              </w:rPr>
              <w:t>9.2%</w:t>
            </w:r>
          </w:p>
        </w:tc>
      </w:tr>
      <w:tr w:rsidR="00221FE4" w:rsidRPr="006F6631" w14:paraId="6EC5B800" w14:textId="77777777" w:rsidTr="0048760C">
        <w:tc>
          <w:tcPr>
            <w:tcW w:w="2853" w:type="dxa"/>
          </w:tcPr>
          <w:p w14:paraId="4FB5C8FF" w14:textId="3252FF06" w:rsidR="00221FE4" w:rsidRPr="000C78E6" w:rsidRDefault="00221FE4" w:rsidP="000C78E6">
            <w:pPr>
              <w:spacing w:before="60" w:after="60"/>
              <w:rPr>
                <w:rFonts w:asciiTheme="majorHAnsi" w:hAnsiTheme="majorHAnsi"/>
                <w:sz w:val="18"/>
                <w:szCs w:val="18"/>
                <w:lang w:val="en-US"/>
              </w:rPr>
            </w:pPr>
            <w:r w:rsidRPr="000C78E6">
              <w:rPr>
                <w:rFonts w:asciiTheme="majorHAnsi" w:hAnsiTheme="majorHAnsi"/>
                <w:sz w:val="18"/>
                <w:szCs w:val="18"/>
              </w:rPr>
              <w:t>Difference (95% CI)</w:t>
            </w:r>
            <w:r w:rsidR="000C78E6" w:rsidRPr="000C78E6">
              <w:rPr>
                <w:rFonts w:asciiTheme="majorHAnsi" w:hAnsiTheme="majorHAnsi"/>
                <w:sz w:val="18"/>
                <w:szCs w:val="18"/>
              </w:rPr>
              <w:t>, p-value</w:t>
            </w:r>
          </w:p>
        </w:tc>
        <w:tc>
          <w:tcPr>
            <w:tcW w:w="2954" w:type="dxa"/>
            <w:gridSpan w:val="2"/>
          </w:tcPr>
          <w:p w14:paraId="15DAD610" w14:textId="3D3E8758" w:rsidR="00221FE4" w:rsidRPr="000C78E6" w:rsidRDefault="00221FE4" w:rsidP="000C78E6">
            <w:pPr>
              <w:spacing w:before="60" w:after="60"/>
              <w:rPr>
                <w:rFonts w:asciiTheme="majorHAnsi" w:hAnsiTheme="majorHAnsi"/>
                <w:sz w:val="18"/>
                <w:szCs w:val="18"/>
                <w:lang w:val="en-US"/>
              </w:rPr>
            </w:pPr>
            <w:r w:rsidRPr="000C78E6">
              <w:rPr>
                <w:rFonts w:asciiTheme="majorHAnsi" w:hAnsiTheme="majorHAnsi"/>
                <w:sz w:val="18"/>
                <w:szCs w:val="18"/>
              </w:rPr>
              <w:t>8.2% (1.9%, 14.6%)</w:t>
            </w:r>
            <w:r w:rsidR="000C78E6" w:rsidRPr="000C78E6">
              <w:rPr>
                <w:rFonts w:asciiTheme="majorHAnsi" w:hAnsiTheme="majorHAnsi"/>
                <w:sz w:val="18"/>
                <w:szCs w:val="18"/>
              </w:rPr>
              <w:t>, &lt;0.01</w:t>
            </w:r>
          </w:p>
        </w:tc>
        <w:tc>
          <w:tcPr>
            <w:tcW w:w="3209" w:type="dxa"/>
            <w:gridSpan w:val="2"/>
          </w:tcPr>
          <w:p w14:paraId="0EDDD1C9" w14:textId="12442E8C" w:rsidR="00221FE4" w:rsidRPr="000C78E6" w:rsidRDefault="00221FE4" w:rsidP="000C78E6">
            <w:pPr>
              <w:spacing w:before="60" w:after="60"/>
              <w:rPr>
                <w:rFonts w:asciiTheme="majorHAnsi" w:hAnsiTheme="majorHAnsi"/>
                <w:sz w:val="18"/>
                <w:szCs w:val="18"/>
                <w:lang w:val="en-US"/>
              </w:rPr>
            </w:pPr>
            <w:r w:rsidRPr="000C78E6">
              <w:rPr>
                <w:rFonts w:asciiTheme="majorHAnsi" w:hAnsiTheme="majorHAnsi"/>
                <w:sz w:val="18"/>
                <w:szCs w:val="18"/>
              </w:rPr>
              <w:t>7.3% (3.3%, 11.3%)</w:t>
            </w:r>
            <w:r w:rsidR="000C78E6" w:rsidRPr="000C78E6">
              <w:rPr>
                <w:rFonts w:asciiTheme="majorHAnsi" w:hAnsiTheme="majorHAnsi"/>
                <w:sz w:val="18"/>
                <w:szCs w:val="18"/>
              </w:rPr>
              <w:t>,</w:t>
            </w:r>
            <w:r w:rsidR="000C78E6" w:rsidRPr="000C78E6">
              <w:rPr>
                <w:rFonts w:ascii="TimesNewRomanPSMT" w:hAnsi="TimesNewRomanPSMT" w:cs="TimesNewRomanPSMT"/>
                <w:sz w:val="18"/>
                <w:szCs w:val="18"/>
              </w:rPr>
              <w:t xml:space="preserve"> </w:t>
            </w:r>
            <w:r w:rsidR="000C78E6" w:rsidRPr="000C78E6">
              <w:rPr>
                <w:rFonts w:asciiTheme="majorHAnsi" w:hAnsiTheme="majorHAnsi"/>
                <w:sz w:val="18"/>
                <w:szCs w:val="18"/>
              </w:rPr>
              <w:t>&lt;0.01</w:t>
            </w:r>
          </w:p>
        </w:tc>
      </w:tr>
      <w:bookmarkEnd w:id="10"/>
    </w:tbl>
    <w:p w14:paraId="1B68A540" w14:textId="77777777" w:rsidR="00026D7D" w:rsidRPr="006F6631" w:rsidRDefault="00026D7D" w:rsidP="00026D7D">
      <w:pPr>
        <w:rPr>
          <w:rFonts w:asciiTheme="majorHAnsi" w:hAnsiTheme="majorHAnsi"/>
          <w:lang w:val="en-US"/>
        </w:rPr>
      </w:pPr>
    </w:p>
    <w:p w14:paraId="0641C952" w14:textId="3BA68367" w:rsidR="001A3992" w:rsidRPr="006F6631" w:rsidRDefault="001A3992" w:rsidP="001A3992">
      <w:pPr>
        <w:pStyle w:val="Heading2"/>
        <w:keepNext/>
        <w:spacing w:before="0" w:after="120"/>
        <w:rPr>
          <w:rFonts w:cstheme="minorHAnsi"/>
          <w:lang w:val="en-US"/>
        </w:rPr>
      </w:pPr>
      <w:r w:rsidRPr="006F6631">
        <w:rPr>
          <w:rFonts w:cstheme="minorHAnsi"/>
          <w:lang w:val="en-US"/>
        </w:rPr>
        <w:t xml:space="preserve">Pharmacokinetic properties </w:t>
      </w:r>
    </w:p>
    <w:p w14:paraId="24D50C15" w14:textId="4DC2429D" w:rsidR="001A3992" w:rsidRPr="006F6631" w:rsidRDefault="001A3992" w:rsidP="001A3992">
      <w:pPr>
        <w:pStyle w:val="Heading3"/>
        <w:spacing w:before="0" w:after="120"/>
        <w:rPr>
          <w:rFonts w:cstheme="minorHAnsi"/>
        </w:rPr>
      </w:pPr>
      <w:r w:rsidRPr="006F6631">
        <w:rPr>
          <w:rFonts w:cstheme="minorHAnsi"/>
        </w:rPr>
        <w:t>Absorption</w:t>
      </w:r>
    </w:p>
    <w:p w14:paraId="1737EEC5" w14:textId="6D6C1270" w:rsidR="00945D54" w:rsidRPr="006F6631" w:rsidRDefault="00945D54" w:rsidP="00945D54">
      <w:pPr>
        <w:rPr>
          <w:rFonts w:asciiTheme="majorHAnsi" w:hAnsiTheme="majorHAnsi"/>
          <w:lang w:val="en-US"/>
        </w:rPr>
      </w:pPr>
      <w:r w:rsidRPr="006F6631">
        <w:rPr>
          <w:rFonts w:asciiTheme="majorHAnsi" w:hAnsiTheme="majorHAnsi"/>
        </w:rPr>
        <w:t xml:space="preserve">Blood concentrations of </w:t>
      </w:r>
      <w:r w:rsidR="00EF79DF">
        <w:rPr>
          <w:rFonts w:asciiTheme="majorHAnsi" w:hAnsiTheme="majorHAnsi"/>
        </w:rPr>
        <w:t>c</w:t>
      </w:r>
      <w:r w:rsidR="002505E0">
        <w:rPr>
          <w:rFonts w:asciiTheme="majorHAnsi" w:hAnsiTheme="majorHAnsi"/>
        </w:rPr>
        <w:t>i</w:t>
      </w:r>
      <w:r w:rsidR="00EF79DF">
        <w:rPr>
          <w:rFonts w:asciiTheme="majorHAnsi" w:hAnsiTheme="majorHAnsi"/>
        </w:rPr>
        <w:t>closporin</w:t>
      </w:r>
      <w:r w:rsidRPr="006F6631">
        <w:rPr>
          <w:rFonts w:asciiTheme="majorHAnsi" w:hAnsiTheme="majorHAnsi"/>
        </w:rPr>
        <w:t xml:space="preserve"> after twice daily topical ocular administration of CEQUA into each eye of healthy subjects for up to 7 days, and once on Day 8, were either not detectable or were marginally above the lower limit of assay quantitation of 0.100 ng/mL (range 0.101 to 0.195 ng/mL) for up to 2 hours after a single dose, and up to 4 hours after multiple doses</w:t>
      </w:r>
      <w:r w:rsidR="0078434F">
        <w:rPr>
          <w:rFonts w:asciiTheme="majorHAnsi" w:hAnsiTheme="majorHAnsi"/>
        </w:rPr>
        <w:t>.</w:t>
      </w:r>
    </w:p>
    <w:p w14:paraId="14F2B9A1" w14:textId="77777777" w:rsidR="001A3992" w:rsidRPr="006F6631" w:rsidRDefault="001A3992" w:rsidP="001A3992">
      <w:pPr>
        <w:pStyle w:val="Heading2"/>
        <w:spacing w:before="0" w:after="120"/>
        <w:rPr>
          <w:rFonts w:cstheme="minorHAnsi"/>
          <w:lang w:val="en-US"/>
        </w:rPr>
      </w:pPr>
      <w:r w:rsidRPr="006F6631">
        <w:rPr>
          <w:rFonts w:cstheme="minorHAnsi"/>
          <w:lang w:val="en-US"/>
        </w:rPr>
        <w:t>Preclinical safety data</w:t>
      </w:r>
    </w:p>
    <w:p w14:paraId="3EC81A93" w14:textId="3AC29392" w:rsidR="001A3992" w:rsidRPr="006F6631" w:rsidRDefault="001A3992" w:rsidP="001A3992">
      <w:pPr>
        <w:pStyle w:val="Heading3"/>
        <w:spacing w:before="0" w:after="120"/>
        <w:rPr>
          <w:rFonts w:cstheme="minorHAnsi"/>
        </w:rPr>
      </w:pPr>
      <w:proofErr w:type="spellStart"/>
      <w:r w:rsidRPr="006F6631">
        <w:rPr>
          <w:rFonts w:cstheme="minorHAnsi"/>
        </w:rPr>
        <w:t>Genotoxicity</w:t>
      </w:r>
      <w:proofErr w:type="spellEnd"/>
    </w:p>
    <w:p w14:paraId="55A41D3B" w14:textId="783D852C" w:rsidR="00EB0D4F" w:rsidRPr="006F6631" w:rsidRDefault="00BD39A2" w:rsidP="00EB0D4F">
      <w:pPr>
        <w:rPr>
          <w:rFonts w:asciiTheme="majorHAnsi" w:hAnsiTheme="majorHAnsi"/>
        </w:rPr>
      </w:pPr>
      <w:r>
        <w:rPr>
          <w:rFonts w:asciiTheme="majorHAnsi" w:hAnsiTheme="majorHAnsi"/>
        </w:rPr>
        <w:t>C</w:t>
      </w:r>
      <w:r w:rsidR="002505E0">
        <w:rPr>
          <w:rFonts w:asciiTheme="majorHAnsi" w:hAnsiTheme="majorHAnsi"/>
        </w:rPr>
        <w:t>i</w:t>
      </w:r>
      <w:r w:rsidR="00EF79DF">
        <w:rPr>
          <w:rFonts w:asciiTheme="majorHAnsi" w:hAnsiTheme="majorHAnsi"/>
        </w:rPr>
        <w:t>closporin</w:t>
      </w:r>
      <w:r w:rsidR="00EB0D4F" w:rsidRPr="006F6631">
        <w:rPr>
          <w:rFonts w:asciiTheme="majorHAnsi" w:hAnsiTheme="majorHAnsi"/>
        </w:rPr>
        <w:t xml:space="preserve"> </w:t>
      </w:r>
      <w:r w:rsidR="00E9145C">
        <w:rPr>
          <w:rFonts w:asciiTheme="majorHAnsi" w:hAnsiTheme="majorHAnsi"/>
        </w:rPr>
        <w:t xml:space="preserve">was not </w:t>
      </w:r>
      <w:r w:rsidR="00EB0D4F" w:rsidRPr="006F6631">
        <w:rPr>
          <w:rFonts w:asciiTheme="majorHAnsi" w:hAnsiTheme="majorHAnsi"/>
        </w:rPr>
        <w:t xml:space="preserve">genotoxic in the Ames Test, the V79-HGPRT Test, the micronucleus test in mice and Chinese hamsters, the chromosome-aberration tests in Chinese hamster bone-marrow, the mouse dominant lethal assay, and the DNA-repair test in sperm from treated mice. </w:t>
      </w:r>
      <w:r w:rsidR="007960E2">
        <w:rPr>
          <w:rFonts w:asciiTheme="majorHAnsi" w:hAnsiTheme="majorHAnsi"/>
        </w:rPr>
        <w:t>A</w:t>
      </w:r>
      <w:r w:rsidR="00EB0D4F" w:rsidRPr="006F6631">
        <w:rPr>
          <w:rFonts w:asciiTheme="majorHAnsi" w:hAnsiTheme="majorHAnsi"/>
        </w:rPr>
        <w:t xml:space="preserve">n </w:t>
      </w:r>
      <w:r w:rsidR="00EB0D4F" w:rsidRPr="006F6631">
        <w:rPr>
          <w:rFonts w:asciiTheme="majorHAnsi" w:hAnsiTheme="majorHAnsi"/>
          <w:i/>
        </w:rPr>
        <w:t>in vitro</w:t>
      </w:r>
      <w:r w:rsidR="00EB0D4F" w:rsidRPr="006F6631">
        <w:rPr>
          <w:rFonts w:asciiTheme="majorHAnsi" w:hAnsiTheme="majorHAnsi"/>
        </w:rPr>
        <w:t xml:space="preserve"> sister chromatid exchange (SCE) assay using human lymphocytes</w:t>
      </w:r>
      <w:r w:rsidR="007960E2">
        <w:rPr>
          <w:rFonts w:asciiTheme="majorHAnsi" w:hAnsiTheme="majorHAnsi"/>
        </w:rPr>
        <w:t xml:space="preserve"> gave indications of a positive effect for ciclosporin at high concentrations</w:t>
      </w:r>
      <w:r w:rsidR="00EB0D4F" w:rsidRPr="006F6631">
        <w:rPr>
          <w:rFonts w:asciiTheme="majorHAnsi" w:hAnsiTheme="majorHAnsi"/>
        </w:rPr>
        <w:t>.</w:t>
      </w:r>
    </w:p>
    <w:p w14:paraId="1DB03F03" w14:textId="004B17A6" w:rsidR="001A3992" w:rsidRPr="006F6631" w:rsidRDefault="001A3992" w:rsidP="001A3992">
      <w:pPr>
        <w:pStyle w:val="Heading3"/>
        <w:spacing w:before="0" w:after="120"/>
        <w:rPr>
          <w:rFonts w:cstheme="minorHAnsi"/>
          <w:lang w:val="en-US"/>
        </w:rPr>
      </w:pPr>
      <w:proofErr w:type="spellStart"/>
      <w:r w:rsidRPr="006F6631">
        <w:rPr>
          <w:rFonts w:cstheme="minorHAnsi"/>
        </w:rPr>
        <w:t>Carcin</w:t>
      </w:r>
      <w:r w:rsidRPr="006F6631">
        <w:rPr>
          <w:rFonts w:cstheme="minorHAnsi"/>
          <w:lang w:val="en-US"/>
        </w:rPr>
        <w:t>ogenicity</w:t>
      </w:r>
      <w:proofErr w:type="spellEnd"/>
    </w:p>
    <w:p w14:paraId="7F02B3CC" w14:textId="77777777" w:rsidR="005205EA" w:rsidRDefault="00C247F6" w:rsidP="00C247F6">
      <w:r w:rsidRPr="006F6631">
        <w:rPr>
          <w:rFonts w:asciiTheme="majorHAnsi" w:hAnsiTheme="majorHAnsi"/>
        </w:rPr>
        <w:t xml:space="preserve">Systemic carcinogenicity studies were carried out in mice and rats. </w:t>
      </w:r>
      <w:r w:rsidR="00E446B8">
        <w:rPr>
          <w:rFonts w:asciiTheme="majorHAnsi" w:hAnsiTheme="majorHAnsi"/>
        </w:rPr>
        <w:t>A</w:t>
      </w:r>
      <w:r w:rsidRPr="006F6631">
        <w:rPr>
          <w:rFonts w:asciiTheme="majorHAnsi" w:hAnsiTheme="majorHAnsi"/>
        </w:rPr>
        <w:t xml:space="preserve"> 78-week mouse study, at</w:t>
      </w:r>
      <w:r w:rsidR="001E242A">
        <w:rPr>
          <w:rFonts w:asciiTheme="majorHAnsi" w:hAnsiTheme="majorHAnsi"/>
        </w:rPr>
        <w:t xml:space="preserve"> oral</w:t>
      </w:r>
      <w:r w:rsidRPr="006F6631">
        <w:rPr>
          <w:rFonts w:asciiTheme="majorHAnsi" w:hAnsiTheme="majorHAnsi"/>
        </w:rPr>
        <w:t xml:space="preserve"> doses of 1, 4, and 16 mg/kg/day,</w:t>
      </w:r>
      <w:r w:rsidR="007770B9">
        <w:rPr>
          <w:rFonts w:asciiTheme="majorHAnsi" w:hAnsiTheme="majorHAnsi"/>
        </w:rPr>
        <w:t xml:space="preserve"> revealed a</w:t>
      </w:r>
      <w:r w:rsidRPr="006F6631">
        <w:rPr>
          <w:rFonts w:asciiTheme="majorHAnsi" w:hAnsiTheme="majorHAnsi"/>
        </w:rPr>
        <w:t xml:space="preserve"> trend for</w:t>
      </w:r>
      <w:r w:rsidR="007770B9">
        <w:rPr>
          <w:rFonts w:asciiTheme="majorHAnsi" w:hAnsiTheme="majorHAnsi"/>
        </w:rPr>
        <w:t xml:space="preserve"> increased incidences of</w:t>
      </w:r>
      <w:r w:rsidRPr="006F6631">
        <w:rPr>
          <w:rFonts w:asciiTheme="majorHAnsi" w:hAnsiTheme="majorHAnsi"/>
        </w:rPr>
        <w:t xml:space="preserve"> lymphomas</w:t>
      </w:r>
      <w:r w:rsidR="005B52C7">
        <w:rPr>
          <w:rFonts w:asciiTheme="majorHAnsi" w:hAnsiTheme="majorHAnsi"/>
        </w:rPr>
        <w:t xml:space="preserve"> at the highest dose studied</w:t>
      </w:r>
      <w:r w:rsidRPr="006F6631">
        <w:rPr>
          <w:rFonts w:asciiTheme="majorHAnsi" w:hAnsiTheme="majorHAnsi"/>
        </w:rPr>
        <w:t>.</w:t>
      </w:r>
      <w:r w:rsidR="00676889" w:rsidRPr="00676889">
        <w:t xml:space="preserve"> </w:t>
      </w:r>
      <w:r w:rsidR="00676889">
        <w:t>In</w:t>
      </w:r>
      <w:r w:rsidR="00676889">
        <w:rPr>
          <w:spacing w:val="-1"/>
        </w:rPr>
        <w:t xml:space="preserve"> </w:t>
      </w:r>
      <w:r w:rsidR="00676889">
        <w:t>a</w:t>
      </w:r>
      <w:r w:rsidR="00676889">
        <w:rPr>
          <w:spacing w:val="-3"/>
        </w:rPr>
        <w:t>n</w:t>
      </w:r>
      <w:r w:rsidR="00676889">
        <w:t>other</w:t>
      </w:r>
      <w:r w:rsidR="00676889">
        <w:rPr>
          <w:spacing w:val="-3"/>
        </w:rPr>
        <w:t xml:space="preserve"> </w:t>
      </w:r>
      <w:r w:rsidR="00676889">
        <w:t>stu</w:t>
      </w:r>
      <w:r w:rsidR="00676889">
        <w:rPr>
          <w:spacing w:val="-5"/>
        </w:rPr>
        <w:t>d</w:t>
      </w:r>
      <w:r w:rsidR="00676889">
        <w:t xml:space="preserve">y with </w:t>
      </w:r>
      <w:r w:rsidR="00676889">
        <w:rPr>
          <w:spacing w:val="-2"/>
        </w:rPr>
        <w:t>A</w:t>
      </w:r>
      <w:r w:rsidR="00676889">
        <w:t>RK</w:t>
      </w:r>
      <w:r w:rsidR="00676889">
        <w:rPr>
          <w:spacing w:val="-3"/>
        </w:rPr>
        <w:t xml:space="preserve"> </w:t>
      </w:r>
      <w:r w:rsidR="00676889">
        <w:t>m</w:t>
      </w:r>
      <w:r w:rsidR="00676889">
        <w:rPr>
          <w:spacing w:val="-2"/>
        </w:rPr>
        <w:t>i</w:t>
      </w:r>
      <w:r w:rsidR="00676889">
        <w:t>ce t</w:t>
      </w:r>
      <w:r w:rsidR="00676889">
        <w:rPr>
          <w:spacing w:val="-4"/>
        </w:rPr>
        <w:t>r</w:t>
      </w:r>
      <w:r w:rsidR="00676889">
        <w:rPr>
          <w:spacing w:val="-3"/>
        </w:rPr>
        <w:t>e</w:t>
      </w:r>
      <w:r w:rsidR="00676889">
        <w:t>a</w:t>
      </w:r>
      <w:r w:rsidR="00676889">
        <w:rPr>
          <w:spacing w:val="-3"/>
        </w:rPr>
        <w:t>t</w:t>
      </w:r>
      <w:r w:rsidR="00676889">
        <w:t xml:space="preserve">ed </w:t>
      </w:r>
      <w:r w:rsidR="00676889">
        <w:rPr>
          <w:spacing w:val="-1"/>
        </w:rPr>
        <w:t>w</w:t>
      </w:r>
      <w:r w:rsidR="00676889">
        <w:rPr>
          <w:spacing w:val="-2"/>
        </w:rPr>
        <w:t>i</w:t>
      </w:r>
      <w:r w:rsidR="00676889">
        <w:t>th c</w:t>
      </w:r>
      <w:r w:rsidR="00676889">
        <w:rPr>
          <w:spacing w:val="-2"/>
        </w:rPr>
        <w:t>i</w:t>
      </w:r>
      <w:r w:rsidR="00676889">
        <w:t>cl</w:t>
      </w:r>
      <w:r w:rsidR="00676889">
        <w:rPr>
          <w:spacing w:val="-3"/>
        </w:rPr>
        <w:t>o</w:t>
      </w:r>
      <w:r w:rsidR="00676889">
        <w:t>spo</w:t>
      </w:r>
      <w:r w:rsidR="00676889">
        <w:rPr>
          <w:spacing w:val="-3"/>
        </w:rPr>
        <w:t>r</w:t>
      </w:r>
      <w:r w:rsidR="00676889">
        <w:t>in</w:t>
      </w:r>
      <w:r w:rsidR="00676889">
        <w:rPr>
          <w:spacing w:val="-1"/>
        </w:rPr>
        <w:t xml:space="preserve"> </w:t>
      </w:r>
      <w:r w:rsidR="00676889">
        <w:t>at</w:t>
      </w:r>
      <w:r w:rsidR="00676889">
        <w:rPr>
          <w:spacing w:val="-2"/>
        </w:rPr>
        <w:t xml:space="preserve"> </w:t>
      </w:r>
      <w:r w:rsidR="00676889">
        <w:t>150</w:t>
      </w:r>
      <w:r w:rsidR="00676889">
        <w:rPr>
          <w:spacing w:val="-1"/>
        </w:rPr>
        <w:t xml:space="preserve"> </w:t>
      </w:r>
      <w:r w:rsidR="00676889">
        <w:t>m</w:t>
      </w:r>
      <w:r w:rsidR="00676889">
        <w:rPr>
          <w:spacing w:val="-2"/>
        </w:rPr>
        <w:t>g</w:t>
      </w:r>
      <w:r w:rsidR="00676889">
        <w:rPr>
          <w:spacing w:val="-3"/>
        </w:rPr>
        <w:t>/k</w:t>
      </w:r>
      <w:r w:rsidR="00676889">
        <w:t>g</w:t>
      </w:r>
      <w:r w:rsidR="00676889">
        <w:rPr>
          <w:spacing w:val="-1"/>
        </w:rPr>
        <w:t xml:space="preserve"> </w:t>
      </w:r>
      <w:r w:rsidR="00676889">
        <w:t>in</w:t>
      </w:r>
      <w:r w:rsidR="00676889">
        <w:rPr>
          <w:spacing w:val="-1"/>
        </w:rPr>
        <w:t xml:space="preserve"> </w:t>
      </w:r>
      <w:r w:rsidR="00676889">
        <w:t>the die</w:t>
      </w:r>
      <w:r w:rsidR="00676889">
        <w:rPr>
          <w:spacing w:val="2"/>
        </w:rPr>
        <w:t>t</w:t>
      </w:r>
      <w:r w:rsidR="00676889">
        <w:t>, c</w:t>
      </w:r>
      <w:r w:rsidR="00676889">
        <w:rPr>
          <w:spacing w:val="-2"/>
        </w:rPr>
        <w:t>i</w:t>
      </w:r>
      <w:r w:rsidR="00676889">
        <w:t>c</w:t>
      </w:r>
      <w:r w:rsidR="00676889">
        <w:rPr>
          <w:spacing w:val="-3"/>
        </w:rPr>
        <w:t>l</w:t>
      </w:r>
      <w:r w:rsidR="00676889">
        <w:t>o</w:t>
      </w:r>
      <w:r w:rsidR="00676889">
        <w:rPr>
          <w:spacing w:val="1"/>
        </w:rPr>
        <w:t>s</w:t>
      </w:r>
      <w:r w:rsidR="00676889">
        <w:rPr>
          <w:spacing w:val="-3"/>
        </w:rPr>
        <w:t>p</w:t>
      </w:r>
      <w:r w:rsidR="00676889">
        <w:t>or</w:t>
      </w:r>
      <w:r w:rsidR="00676889">
        <w:rPr>
          <w:spacing w:val="1"/>
        </w:rPr>
        <w:t>i</w:t>
      </w:r>
      <w:r w:rsidR="00676889">
        <w:t>n</w:t>
      </w:r>
      <w:r w:rsidR="00676889">
        <w:rPr>
          <w:spacing w:val="-4"/>
        </w:rPr>
        <w:t xml:space="preserve"> </w:t>
      </w:r>
      <w:r w:rsidR="00676889">
        <w:t>a</w:t>
      </w:r>
      <w:r w:rsidR="00676889">
        <w:rPr>
          <w:spacing w:val="1"/>
        </w:rPr>
        <w:t>c</w:t>
      </w:r>
      <w:r w:rsidR="00676889">
        <w:rPr>
          <w:spacing w:val="-2"/>
        </w:rPr>
        <w:t>c</w:t>
      </w:r>
      <w:r w:rsidR="00676889">
        <w:t>ele</w:t>
      </w:r>
      <w:r w:rsidR="00676889">
        <w:rPr>
          <w:spacing w:val="-5"/>
        </w:rPr>
        <w:t>r</w:t>
      </w:r>
      <w:r w:rsidR="00676889">
        <w:t>a</w:t>
      </w:r>
      <w:r w:rsidR="00676889">
        <w:rPr>
          <w:spacing w:val="-3"/>
        </w:rPr>
        <w:t>t</w:t>
      </w:r>
      <w:r w:rsidR="00676889">
        <w:t>ed the d</w:t>
      </w:r>
      <w:r w:rsidR="00676889">
        <w:rPr>
          <w:spacing w:val="-3"/>
        </w:rPr>
        <w:t>e</w:t>
      </w:r>
      <w:r w:rsidR="00676889">
        <w:rPr>
          <w:spacing w:val="-6"/>
        </w:rPr>
        <w:t>v</w:t>
      </w:r>
      <w:r w:rsidR="00676889">
        <w:t>elo</w:t>
      </w:r>
      <w:r w:rsidR="00676889">
        <w:rPr>
          <w:spacing w:val="-3"/>
        </w:rPr>
        <w:t>p</w:t>
      </w:r>
      <w:r w:rsidR="00676889">
        <w:t>ment</w:t>
      </w:r>
      <w:r w:rsidR="00676889">
        <w:rPr>
          <w:spacing w:val="-1"/>
        </w:rPr>
        <w:t xml:space="preserve"> </w:t>
      </w:r>
      <w:r w:rsidR="00676889">
        <w:t xml:space="preserve">of </w:t>
      </w:r>
      <w:r w:rsidR="00676889">
        <w:rPr>
          <w:spacing w:val="-6"/>
        </w:rPr>
        <w:t>l</w:t>
      </w:r>
      <w:r w:rsidR="00676889">
        <w:rPr>
          <w:spacing w:val="-4"/>
        </w:rPr>
        <w:t>y</w:t>
      </w:r>
      <w:r w:rsidR="00676889">
        <w:t>mp</w:t>
      </w:r>
      <w:r w:rsidR="00676889">
        <w:rPr>
          <w:spacing w:val="-3"/>
        </w:rPr>
        <w:t>h</w:t>
      </w:r>
      <w:r w:rsidR="00676889">
        <w:t>o</w:t>
      </w:r>
      <w:r w:rsidR="00676889">
        <w:rPr>
          <w:spacing w:val="1"/>
        </w:rPr>
        <w:t>m</w:t>
      </w:r>
      <w:r w:rsidR="00676889">
        <w:rPr>
          <w:spacing w:val="-3"/>
        </w:rPr>
        <w:t>a</w:t>
      </w:r>
      <w:r w:rsidR="00676889">
        <w:t>s.</w:t>
      </w:r>
    </w:p>
    <w:p w14:paraId="46568226" w14:textId="3E76B62E" w:rsidR="00DA6B07" w:rsidRPr="006F6631" w:rsidRDefault="00C247F6" w:rsidP="00DA6B07">
      <w:pPr>
        <w:rPr>
          <w:rFonts w:asciiTheme="majorHAnsi" w:hAnsiTheme="majorHAnsi"/>
          <w:lang w:val="en-US"/>
        </w:rPr>
      </w:pPr>
      <w:r w:rsidRPr="006F6631">
        <w:rPr>
          <w:rFonts w:asciiTheme="majorHAnsi" w:hAnsiTheme="majorHAnsi"/>
        </w:rPr>
        <w:t xml:space="preserve">In </w:t>
      </w:r>
      <w:r w:rsidR="00270912">
        <w:rPr>
          <w:rFonts w:asciiTheme="majorHAnsi" w:hAnsiTheme="majorHAnsi"/>
        </w:rPr>
        <w:t xml:space="preserve">a </w:t>
      </w:r>
      <w:r w:rsidRPr="006F6631">
        <w:rPr>
          <w:rFonts w:asciiTheme="majorHAnsi" w:hAnsiTheme="majorHAnsi"/>
        </w:rPr>
        <w:t>24-month rat study, conducted at</w:t>
      </w:r>
      <w:r w:rsidR="00270912">
        <w:rPr>
          <w:rFonts w:asciiTheme="majorHAnsi" w:hAnsiTheme="majorHAnsi"/>
        </w:rPr>
        <w:t xml:space="preserve"> oral doses of</w:t>
      </w:r>
      <w:r w:rsidRPr="006F6631">
        <w:rPr>
          <w:rFonts w:asciiTheme="majorHAnsi" w:hAnsiTheme="majorHAnsi"/>
        </w:rPr>
        <w:t xml:space="preserve"> 0.5, 2, and 8 mg/kg/day, </w:t>
      </w:r>
      <w:r w:rsidR="00270912">
        <w:rPr>
          <w:rFonts w:asciiTheme="majorHAnsi" w:hAnsiTheme="majorHAnsi"/>
        </w:rPr>
        <w:t>no significant increase</w:t>
      </w:r>
      <w:r w:rsidR="00B12892">
        <w:rPr>
          <w:rFonts w:asciiTheme="majorHAnsi" w:hAnsiTheme="majorHAnsi"/>
        </w:rPr>
        <w:t xml:space="preserve"> in tumour incidence was observed</w:t>
      </w:r>
      <w:r w:rsidRPr="006F6631">
        <w:rPr>
          <w:rFonts w:asciiTheme="majorHAnsi" w:hAnsiTheme="majorHAnsi"/>
        </w:rPr>
        <w:t xml:space="preserve">. </w:t>
      </w:r>
      <w:r w:rsidR="00184CB3">
        <w:rPr>
          <w:spacing w:val="-4"/>
        </w:rPr>
        <w:t>A</w:t>
      </w:r>
      <w:r w:rsidR="00184CB3">
        <w:t>d</w:t>
      </w:r>
      <w:r w:rsidR="00184CB3">
        <w:rPr>
          <w:spacing w:val="-2"/>
        </w:rPr>
        <w:t>j</w:t>
      </w:r>
      <w:r w:rsidR="00184CB3">
        <w:t>u</w:t>
      </w:r>
      <w:r w:rsidR="00184CB3">
        <w:rPr>
          <w:spacing w:val="1"/>
        </w:rPr>
        <w:t>s</w:t>
      </w:r>
      <w:r w:rsidR="00184CB3">
        <w:rPr>
          <w:spacing w:val="-3"/>
        </w:rPr>
        <w:t>t</w:t>
      </w:r>
      <w:r w:rsidR="00184CB3">
        <w:t xml:space="preserve">ed </w:t>
      </w:r>
      <w:r w:rsidR="00184CB3">
        <w:rPr>
          <w:spacing w:val="-3"/>
        </w:rPr>
        <w:t>f</w:t>
      </w:r>
      <w:r w:rsidR="00184CB3">
        <w:t xml:space="preserve">or </w:t>
      </w:r>
      <w:r w:rsidR="00184CB3">
        <w:rPr>
          <w:spacing w:val="-2"/>
        </w:rPr>
        <w:t>b</w:t>
      </w:r>
      <w:r w:rsidR="00184CB3">
        <w:t>o</w:t>
      </w:r>
      <w:r w:rsidR="00184CB3">
        <w:rPr>
          <w:spacing w:val="-5"/>
        </w:rPr>
        <w:t>d</w:t>
      </w:r>
      <w:r w:rsidR="00184CB3">
        <w:t>y</w:t>
      </w:r>
      <w:r w:rsidR="00184CB3">
        <w:rPr>
          <w:spacing w:val="-1"/>
        </w:rPr>
        <w:t xml:space="preserve"> </w:t>
      </w:r>
      <w:r w:rsidR="00184CB3">
        <w:rPr>
          <w:spacing w:val="-2"/>
        </w:rPr>
        <w:t>s</w:t>
      </w:r>
      <w:r w:rsidR="00184CB3">
        <w:t>ur</w:t>
      </w:r>
      <w:r w:rsidR="00184CB3">
        <w:rPr>
          <w:spacing w:val="-2"/>
        </w:rPr>
        <w:t>f</w:t>
      </w:r>
      <w:r w:rsidR="00184CB3">
        <w:rPr>
          <w:spacing w:val="-3"/>
        </w:rPr>
        <w:t>a</w:t>
      </w:r>
      <w:r w:rsidR="00184CB3">
        <w:t>ce</w:t>
      </w:r>
      <w:r w:rsidR="00184CB3">
        <w:rPr>
          <w:spacing w:val="-3"/>
        </w:rPr>
        <w:t xml:space="preserve"> </w:t>
      </w:r>
      <w:r w:rsidR="00184CB3">
        <w:t>a</w:t>
      </w:r>
      <w:r w:rsidR="00184CB3">
        <w:rPr>
          <w:spacing w:val="-3"/>
        </w:rPr>
        <w:t>r</w:t>
      </w:r>
      <w:r w:rsidR="00184CB3">
        <w:t xml:space="preserve">ea, </w:t>
      </w:r>
      <w:r w:rsidR="00184CB3">
        <w:rPr>
          <w:spacing w:val="-4"/>
        </w:rPr>
        <w:t>t</w:t>
      </w:r>
      <w:r w:rsidR="00184CB3">
        <w:t xml:space="preserve">he </w:t>
      </w:r>
      <w:r w:rsidR="00184CB3">
        <w:rPr>
          <w:spacing w:val="-3"/>
        </w:rPr>
        <w:t>h</w:t>
      </w:r>
      <w:r w:rsidR="00184CB3">
        <w:t>i</w:t>
      </w:r>
      <w:r w:rsidR="00184CB3">
        <w:rPr>
          <w:spacing w:val="-4"/>
        </w:rPr>
        <w:t>g</w:t>
      </w:r>
      <w:r w:rsidR="00184CB3">
        <w:t>hest</w:t>
      </w:r>
      <w:r w:rsidR="00184CB3">
        <w:rPr>
          <w:spacing w:val="-1"/>
        </w:rPr>
        <w:t xml:space="preserve"> </w:t>
      </w:r>
      <w:r w:rsidR="00184CB3">
        <w:rPr>
          <w:spacing w:val="-3"/>
        </w:rPr>
        <w:t>d</w:t>
      </w:r>
      <w:r w:rsidR="00184CB3">
        <w:t>o</w:t>
      </w:r>
      <w:r w:rsidR="00184CB3">
        <w:rPr>
          <w:spacing w:val="1"/>
        </w:rPr>
        <w:t>s</w:t>
      </w:r>
      <w:r w:rsidR="00184CB3">
        <w:rPr>
          <w:spacing w:val="-3"/>
        </w:rPr>
        <w:t>e</w:t>
      </w:r>
      <w:r w:rsidR="00184CB3">
        <w:t>s</w:t>
      </w:r>
      <w:r w:rsidR="00184CB3">
        <w:rPr>
          <w:spacing w:val="1"/>
        </w:rPr>
        <w:t xml:space="preserve"> </w:t>
      </w:r>
      <w:r w:rsidR="00184CB3">
        <w:rPr>
          <w:spacing w:val="-2"/>
        </w:rPr>
        <w:t>wi</w:t>
      </w:r>
      <w:r w:rsidR="00184CB3">
        <w:t>thout</w:t>
      </w:r>
      <w:r w:rsidR="00184CB3">
        <w:rPr>
          <w:spacing w:val="-1"/>
        </w:rPr>
        <w:t xml:space="preserve"> </w:t>
      </w:r>
      <w:proofErr w:type="spellStart"/>
      <w:r w:rsidR="00184CB3">
        <w:t>t</w:t>
      </w:r>
      <w:r w:rsidR="00184CB3">
        <w:rPr>
          <w:spacing w:val="-3"/>
        </w:rPr>
        <w:t>u</w:t>
      </w:r>
      <w:r w:rsidR="00184CB3">
        <w:t>m</w:t>
      </w:r>
      <w:r w:rsidR="00184CB3">
        <w:rPr>
          <w:spacing w:val="-2"/>
        </w:rPr>
        <w:t>o</w:t>
      </w:r>
      <w:r w:rsidR="00184CB3">
        <w:t>ur</w:t>
      </w:r>
      <w:r w:rsidR="00184CB3">
        <w:rPr>
          <w:spacing w:val="1"/>
        </w:rPr>
        <w:t>i</w:t>
      </w:r>
      <w:r w:rsidR="00184CB3">
        <w:rPr>
          <w:spacing w:val="-2"/>
        </w:rPr>
        <w:t>g</w:t>
      </w:r>
      <w:r w:rsidR="00184CB3">
        <w:t>e</w:t>
      </w:r>
      <w:r w:rsidR="00184CB3">
        <w:rPr>
          <w:spacing w:val="-3"/>
        </w:rPr>
        <w:t>n</w:t>
      </w:r>
      <w:r w:rsidR="00184CB3">
        <w:t>ic</w:t>
      </w:r>
      <w:proofErr w:type="spellEnd"/>
      <w:r w:rsidR="00184CB3">
        <w:rPr>
          <w:spacing w:val="1"/>
        </w:rPr>
        <w:t xml:space="preserve"> </w:t>
      </w:r>
      <w:r w:rsidR="00184CB3">
        <w:rPr>
          <w:spacing w:val="-3"/>
        </w:rPr>
        <w:t>e</w:t>
      </w:r>
      <w:r w:rsidR="00184CB3">
        <w:t>f</w:t>
      </w:r>
      <w:r w:rsidR="00184CB3">
        <w:rPr>
          <w:spacing w:val="-2"/>
        </w:rPr>
        <w:t>f</w:t>
      </w:r>
      <w:r w:rsidR="00184CB3">
        <w:rPr>
          <w:spacing w:val="-3"/>
        </w:rPr>
        <w:t>e</w:t>
      </w:r>
      <w:r w:rsidR="00184CB3">
        <w:t>ct</w:t>
      </w:r>
      <w:r w:rsidR="00184CB3">
        <w:rPr>
          <w:spacing w:val="-4"/>
        </w:rPr>
        <w:t xml:space="preserve"> </w:t>
      </w:r>
      <w:r w:rsidR="00184CB3">
        <w:t>in</w:t>
      </w:r>
      <w:r w:rsidR="00184CB3">
        <w:rPr>
          <w:spacing w:val="3"/>
        </w:rPr>
        <w:t xml:space="preserve"> </w:t>
      </w:r>
      <w:r w:rsidR="00184CB3">
        <w:t xml:space="preserve">the </w:t>
      </w:r>
      <w:r w:rsidR="00184CB3">
        <w:rPr>
          <w:spacing w:val="-2"/>
        </w:rPr>
        <w:t>m</w:t>
      </w:r>
      <w:r w:rsidR="00184CB3">
        <w:t>o</w:t>
      </w:r>
      <w:r w:rsidR="00184CB3">
        <w:rPr>
          <w:spacing w:val="-2"/>
        </w:rPr>
        <w:t>u</w:t>
      </w:r>
      <w:r w:rsidR="00184CB3">
        <w:t>se and</w:t>
      </w:r>
      <w:r w:rsidR="00184CB3">
        <w:rPr>
          <w:spacing w:val="-1"/>
        </w:rPr>
        <w:t xml:space="preserve"> </w:t>
      </w:r>
      <w:r w:rsidR="00184CB3">
        <w:rPr>
          <w:spacing w:val="-6"/>
        </w:rPr>
        <w:t>r</w:t>
      </w:r>
      <w:r w:rsidR="00184CB3">
        <w:t>at a</w:t>
      </w:r>
      <w:r w:rsidR="00184CB3">
        <w:rPr>
          <w:spacing w:val="-3"/>
        </w:rPr>
        <w:t>r</w:t>
      </w:r>
      <w:r w:rsidR="00184CB3">
        <w:t>e ap</w:t>
      </w:r>
      <w:r w:rsidR="00184CB3">
        <w:rPr>
          <w:spacing w:val="-1"/>
        </w:rPr>
        <w:t>p</w:t>
      </w:r>
      <w:r w:rsidR="00184CB3">
        <w:rPr>
          <w:spacing w:val="-5"/>
        </w:rPr>
        <w:t>r</w:t>
      </w:r>
      <w:r w:rsidR="00184CB3">
        <w:rPr>
          <w:spacing w:val="-2"/>
        </w:rPr>
        <w:t>oxi</w:t>
      </w:r>
      <w:r w:rsidR="00184CB3">
        <w:t>ma</w:t>
      </w:r>
      <w:r w:rsidR="00184CB3">
        <w:rPr>
          <w:spacing w:val="-3"/>
        </w:rPr>
        <w:t>t</w:t>
      </w:r>
      <w:r w:rsidR="00184CB3">
        <w:t>e</w:t>
      </w:r>
      <w:r w:rsidR="00184CB3">
        <w:rPr>
          <w:spacing w:val="-5"/>
        </w:rPr>
        <w:t>l</w:t>
      </w:r>
      <w:r w:rsidR="00184CB3">
        <w:t>y</w:t>
      </w:r>
      <w:r w:rsidR="00184CB3">
        <w:rPr>
          <w:spacing w:val="-3"/>
        </w:rPr>
        <w:t xml:space="preserve"> </w:t>
      </w:r>
      <w:r w:rsidR="00184CB3">
        <w:t>210</w:t>
      </w:r>
      <w:r w:rsidR="00184CB3">
        <w:rPr>
          <w:spacing w:val="-1"/>
        </w:rPr>
        <w:t xml:space="preserve"> </w:t>
      </w:r>
      <w:r w:rsidR="00184CB3">
        <w:t>and</w:t>
      </w:r>
      <w:r w:rsidR="00184CB3">
        <w:rPr>
          <w:spacing w:val="-2"/>
        </w:rPr>
        <w:t xml:space="preserve"> </w:t>
      </w:r>
      <w:r w:rsidR="00184CB3">
        <w:t>830</w:t>
      </w:r>
      <w:r w:rsidR="00184CB3">
        <w:rPr>
          <w:spacing w:val="-1"/>
        </w:rPr>
        <w:t xml:space="preserve"> </w:t>
      </w:r>
      <w:r w:rsidR="00184CB3">
        <w:t>t</w:t>
      </w:r>
      <w:r w:rsidR="00184CB3">
        <w:rPr>
          <w:spacing w:val="-2"/>
        </w:rPr>
        <w:t>i</w:t>
      </w:r>
      <w:r w:rsidR="00184CB3">
        <w:t>m</w:t>
      </w:r>
      <w:r w:rsidR="00184CB3">
        <w:rPr>
          <w:spacing w:val="-3"/>
        </w:rPr>
        <w:t>e</w:t>
      </w:r>
      <w:r w:rsidR="00184CB3">
        <w:t>s</w:t>
      </w:r>
      <w:r w:rsidR="00184CB3">
        <w:rPr>
          <w:spacing w:val="1"/>
        </w:rPr>
        <w:t xml:space="preserve"> </w:t>
      </w:r>
      <w:r w:rsidR="00184CB3">
        <w:rPr>
          <w:spacing w:val="-3"/>
        </w:rPr>
        <w:t>h</w:t>
      </w:r>
      <w:r w:rsidR="00184CB3">
        <w:t>i</w:t>
      </w:r>
      <w:r w:rsidR="00184CB3">
        <w:rPr>
          <w:spacing w:val="-4"/>
        </w:rPr>
        <w:t>g</w:t>
      </w:r>
      <w:r w:rsidR="00184CB3">
        <w:t>her</w:t>
      </w:r>
      <w:r w:rsidR="00184CB3">
        <w:rPr>
          <w:spacing w:val="-3"/>
        </w:rPr>
        <w:t xml:space="preserve"> </w:t>
      </w:r>
      <w:r w:rsidR="00184CB3">
        <w:rPr>
          <w:spacing w:val="-1"/>
        </w:rPr>
        <w:t>t</w:t>
      </w:r>
      <w:r w:rsidR="00184CB3">
        <w:t>han</w:t>
      </w:r>
      <w:r w:rsidR="00184CB3">
        <w:rPr>
          <w:spacing w:val="-1"/>
        </w:rPr>
        <w:t xml:space="preserve"> t</w:t>
      </w:r>
      <w:r w:rsidR="00184CB3">
        <w:t xml:space="preserve">he </w:t>
      </w:r>
      <w:r w:rsidR="00184CB3">
        <w:rPr>
          <w:spacing w:val="-2"/>
        </w:rPr>
        <w:t>m</w:t>
      </w:r>
      <w:r w:rsidR="00184CB3">
        <w:t>a</w:t>
      </w:r>
      <w:r w:rsidR="00184CB3">
        <w:rPr>
          <w:spacing w:val="-2"/>
        </w:rPr>
        <w:t>x</w:t>
      </w:r>
      <w:r w:rsidR="00184CB3">
        <w:t>i</w:t>
      </w:r>
      <w:r w:rsidR="00184CB3">
        <w:rPr>
          <w:spacing w:val="-2"/>
        </w:rPr>
        <w:t>m</w:t>
      </w:r>
      <w:r w:rsidR="00184CB3">
        <w:rPr>
          <w:spacing w:val="-3"/>
        </w:rPr>
        <w:t>u</w:t>
      </w:r>
      <w:r w:rsidR="00184CB3">
        <w:t>m</w:t>
      </w:r>
      <w:r w:rsidR="00184CB3">
        <w:rPr>
          <w:spacing w:val="1"/>
        </w:rPr>
        <w:t xml:space="preserve"> </w:t>
      </w:r>
      <w:r w:rsidR="00184CB3">
        <w:rPr>
          <w:spacing w:val="-3"/>
        </w:rPr>
        <w:t>re</w:t>
      </w:r>
      <w:r w:rsidR="00184CB3">
        <w:t>c</w:t>
      </w:r>
      <w:r w:rsidR="00184CB3">
        <w:rPr>
          <w:spacing w:val="-2"/>
        </w:rPr>
        <w:t>o</w:t>
      </w:r>
      <w:r w:rsidR="00184CB3">
        <w:t>m</w:t>
      </w:r>
      <w:r w:rsidR="00184CB3">
        <w:rPr>
          <w:spacing w:val="-2"/>
        </w:rPr>
        <w:t>m</w:t>
      </w:r>
      <w:r w:rsidR="00184CB3">
        <w:t>en</w:t>
      </w:r>
      <w:r w:rsidR="00184CB3">
        <w:rPr>
          <w:spacing w:val="-1"/>
        </w:rPr>
        <w:t>d</w:t>
      </w:r>
      <w:r w:rsidR="00184CB3">
        <w:t>ed ophth</w:t>
      </w:r>
      <w:r w:rsidR="00184CB3">
        <w:rPr>
          <w:spacing w:val="-3"/>
        </w:rPr>
        <w:t>a</w:t>
      </w:r>
      <w:r w:rsidR="00184CB3">
        <w:t>l</w:t>
      </w:r>
      <w:r w:rsidR="00184CB3">
        <w:rPr>
          <w:spacing w:val="-2"/>
        </w:rPr>
        <w:t>m</w:t>
      </w:r>
      <w:r w:rsidR="00184CB3">
        <w:t>ic</w:t>
      </w:r>
      <w:r w:rsidR="00184CB3">
        <w:rPr>
          <w:spacing w:val="1"/>
        </w:rPr>
        <w:t xml:space="preserve"> </w:t>
      </w:r>
      <w:r w:rsidR="00184CB3">
        <w:rPr>
          <w:spacing w:val="-4"/>
        </w:rPr>
        <w:t>d</w:t>
      </w:r>
      <w:r w:rsidR="00184CB3">
        <w:t>o</w:t>
      </w:r>
      <w:r w:rsidR="00184CB3">
        <w:rPr>
          <w:spacing w:val="-1"/>
        </w:rPr>
        <w:t>s</w:t>
      </w:r>
      <w:r w:rsidR="00184CB3">
        <w:t xml:space="preserve">e of </w:t>
      </w:r>
      <w:r w:rsidR="00184CB3">
        <w:rPr>
          <w:spacing w:val="-2"/>
        </w:rPr>
        <w:t>c</w:t>
      </w:r>
      <w:r w:rsidR="00184CB3">
        <w:t>i</w:t>
      </w:r>
      <w:r w:rsidR="00184CB3">
        <w:rPr>
          <w:spacing w:val="-2"/>
        </w:rPr>
        <w:t>c</w:t>
      </w:r>
      <w:r w:rsidR="00184CB3">
        <w:t>l</w:t>
      </w:r>
      <w:r w:rsidR="00184CB3">
        <w:rPr>
          <w:spacing w:val="-3"/>
        </w:rPr>
        <w:t>o</w:t>
      </w:r>
      <w:r w:rsidR="00184CB3">
        <w:rPr>
          <w:spacing w:val="-2"/>
        </w:rPr>
        <w:t>s</w:t>
      </w:r>
      <w:r w:rsidR="00184CB3">
        <w:t>porin</w:t>
      </w:r>
      <w:r w:rsidR="00184CB3">
        <w:rPr>
          <w:spacing w:val="-1"/>
        </w:rPr>
        <w:t xml:space="preserve"> p</w:t>
      </w:r>
      <w:r w:rsidR="00184CB3">
        <w:rPr>
          <w:spacing w:val="-5"/>
        </w:rPr>
        <w:t>r</w:t>
      </w:r>
      <w:r w:rsidR="00184CB3">
        <w:rPr>
          <w:spacing w:val="-2"/>
        </w:rPr>
        <w:t>o</w:t>
      </w:r>
      <w:r w:rsidR="00184CB3">
        <w:rPr>
          <w:spacing w:val="-1"/>
        </w:rPr>
        <w:t>v</w:t>
      </w:r>
      <w:r w:rsidR="00184CB3">
        <w:t>i</w:t>
      </w:r>
      <w:r w:rsidR="00184CB3">
        <w:rPr>
          <w:spacing w:val="-3"/>
        </w:rPr>
        <w:t>d</w:t>
      </w:r>
      <w:r w:rsidR="00184CB3">
        <w:t xml:space="preserve">ed </w:t>
      </w:r>
      <w:r w:rsidR="00184CB3">
        <w:rPr>
          <w:spacing w:val="-4"/>
        </w:rPr>
        <w:t>b</w:t>
      </w:r>
      <w:r w:rsidR="00184CB3">
        <w:t>y</w:t>
      </w:r>
      <w:r w:rsidR="00184CB3">
        <w:rPr>
          <w:spacing w:val="-1"/>
        </w:rPr>
        <w:t xml:space="preserve"> </w:t>
      </w:r>
      <w:r w:rsidR="00184CB3">
        <w:t>C</w:t>
      </w:r>
      <w:r w:rsidR="00C14ED7">
        <w:t>EQUA</w:t>
      </w:r>
      <w:r w:rsidR="00184CB3">
        <w:t xml:space="preserve"> </w:t>
      </w:r>
      <w:r w:rsidR="00184CB3">
        <w:rPr>
          <w:spacing w:val="-4"/>
        </w:rPr>
        <w:t>t</w:t>
      </w:r>
      <w:r w:rsidR="00184CB3">
        <w:t>he</w:t>
      </w:r>
      <w:r w:rsidR="00184CB3">
        <w:rPr>
          <w:spacing w:val="-5"/>
        </w:rPr>
        <w:t>r</w:t>
      </w:r>
      <w:r w:rsidR="00184CB3">
        <w:t>a</w:t>
      </w:r>
      <w:r w:rsidR="00184CB3">
        <w:rPr>
          <w:spacing w:val="-3"/>
        </w:rPr>
        <w:t>p</w:t>
      </w:r>
      <w:r w:rsidR="00184CB3">
        <w:rPr>
          <w:spacing w:val="-21"/>
        </w:rPr>
        <w:t>y</w:t>
      </w:r>
      <w:r w:rsidR="00184CB3">
        <w:rPr>
          <w:spacing w:val="2"/>
        </w:rPr>
        <w:t>.</w:t>
      </w:r>
    </w:p>
    <w:p w14:paraId="0D6E261E" w14:textId="77777777" w:rsidR="001A3992" w:rsidRPr="006F6631" w:rsidRDefault="001A3992" w:rsidP="00674B8F">
      <w:pPr>
        <w:pStyle w:val="Heading1"/>
        <w:pageBreakBefore/>
        <w:spacing w:before="0" w:after="120"/>
        <w:ind w:left="431" w:hanging="431"/>
        <w:rPr>
          <w:rFonts w:cstheme="minorHAnsi"/>
          <w:lang w:val="en-US"/>
        </w:rPr>
      </w:pPr>
      <w:r w:rsidRPr="006F6631">
        <w:rPr>
          <w:rFonts w:cstheme="minorHAnsi"/>
          <w:lang w:val="en-US"/>
        </w:rPr>
        <w:lastRenderedPageBreak/>
        <w:t>Pharmaceutical particulars</w:t>
      </w:r>
    </w:p>
    <w:p w14:paraId="55B90013" w14:textId="77777777" w:rsidR="001A3992" w:rsidRPr="006F6631" w:rsidRDefault="001A3992" w:rsidP="001A3992">
      <w:pPr>
        <w:pStyle w:val="Heading2"/>
        <w:spacing w:before="0" w:after="120"/>
        <w:rPr>
          <w:rFonts w:cstheme="minorHAnsi"/>
          <w:lang w:val="en-US"/>
        </w:rPr>
      </w:pPr>
      <w:r w:rsidRPr="006F6631">
        <w:rPr>
          <w:rFonts w:cstheme="minorHAnsi"/>
          <w:lang w:val="en-US"/>
        </w:rPr>
        <w:t xml:space="preserve">List of excipients </w:t>
      </w:r>
    </w:p>
    <w:p w14:paraId="0EDD80A7" w14:textId="6B37D1AF" w:rsidR="005B2816" w:rsidRDefault="00EA2E8C" w:rsidP="00865765">
      <w:pPr>
        <w:autoSpaceDE w:val="0"/>
        <w:autoSpaceDN w:val="0"/>
        <w:adjustRightInd w:val="0"/>
        <w:spacing w:after="0" w:line="240" w:lineRule="auto"/>
        <w:rPr>
          <w:rFonts w:asciiTheme="majorHAnsi" w:hAnsiTheme="majorHAnsi" w:cstheme="minorHAnsi"/>
        </w:rPr>
      </w:pPr>
      <w:bookmarkStart w:id="11" w:name="_Hlk530401947"/>
      <w:r>
        <w:rPr>
          <w:rFonts w:asciiTheme="majorHAnsi" w:hAnsiTheme="majorHAnsi" w:cstheme="minorHAnsi"/>
          <w:lang w:val="en-US"/>
        </w:rPr>
        <w:t>P</w:t>
      </w:r>
      <w:r w:rsidR="005B2816">
        <w:rPr>
          <w:rFonts w:asciiTheme="majorHAnsi" w:hAnsiTheme="majorHAnsi" w:cstheme="minorHAnsi"/>
          <w:lang w:val="en-US"/>
        </w:rPr>
        <w:t xml:space="preserve">EG-40 hydrogenated castor oil, </w:t>
      </w:r>
      <w:proofErr w:type="spellStart"/>
      <w:r w:rsidR="005B2816">
        <w:rPr>
          <w:rFonts w:asciiTheme="majorHAnsi" w:hAnsiTheme="majorHAnsi" w:cstheme="minorHAnsi"/>
          <w:lang w:val="en-US"/>
        </w:rPr>
        <w:t>octoxinol</w:t>
      </w:r>
      <w:proofErr w:type="spellEnd"/>
      <w:r w:rsidR="005B2816">
        <w:rPr>
          <w:rFonts w:asciiTheme="majorHAnsi" w:hAnsiTheme="majorHAnsi" w:cstheme="minorHAnsi"/>
          <w:lang w:val="en-US"/>
        </w:rPr>
        <w:t xml:space="preserve"> 40, povidone, dibasic </w:t>
      </w:r>
      <w:r>
        <w:rPr>
          <w:rFonts w:asciiTheme="majorHAnsi" w:hAnsiTheme="majorHAnsi" w:cstheme="minorHAnsi"/>
          <w:lang w:val="en-US"/>
        </w:rPr>
        <w:t xml:space="preserve">sodium </w:t>
      </w:r>
      <w:r w:rsidR="005B2816">
        <w:rPr>
          <w:rFonts w:asciiTheme="majorHAnsi" w:hAnsiTheme="majorHAnsi" w:cstheme="minorHAnsi"/>
          <w:lang w:val="en-US"/>
        </w:rPr>
        <w:t>phosphate</w:t>
      </w:r>
      <w:r>
        <w:rPr>
          <w:rFonts w:asciiTheme="majorHAnsi" w:hAnsiTheme="majorHAnsi" w:cstheme="minorHAnsi"/>
          <w:lang w:val="en-US"/>
        </w:rPr>
        <w:t>,</w:t>
      </w:r>
      <w:r w:rsidR="00FF12EA">
        <w:rPr>
          <w:rFonts w:asciiTheme="majorHAnsi" w:hAnsiTheme="majorHAnsi" w:cstheme="minorHAnsi"/>
          <w:lang w:val="en-US"/>
        </w:rPr>
        <w:t xml:space="preserve"> monobasic sodium phosphate </w:t>
      </w:r>
      <w:proofErr w:type="spellStart"/>
      <w:r w:rsidR="00FF12EA">
        <w:rPr>
          <w:rFonts w:asciiTheme="majorHAnsi" w:hAnsiTheme="majorHAnsi" w:cstheme="minorHAnsi"/>
          <w:lang w:val="en-US"/>
        </w:rPr>
        <w:t>dihydrate</w:t>
      </w:r>
      <w:proofErr w:type="spellEnd"/>
      <w:r w:rsidR="00865765">
        <w:rPr>
          <w:rFonts w:asciiTheme="majorHAnsi" w:hAnsiTheme="majorHAnsi" w:cstheme="minorHAnsi"/>
          <w:lang w:val="en-US"/>
        </w:rPr>
        <w:t xml:space="preserve">, </w:t>
      </w:r>
      <w:r w:rsidR="00A16161" w:rsidRPr="00D77A43">
        <w:rPr>
          <w:rFonts w:asciiTheme="majorHAnsi" w:hAnsiTheme="majorHAnsi" w:cstheme="minorHAnsi"/>
          <w:lang w:val="en-US"/>
        </w:rPr>
        <w:t xml:space="preserve">sodium chloride, </w:t>
      </w:r>
      <w:r w:rsidR="00865765" w:rsidRPr="00D77A43">
        <w:rPr>
          <w:rFonts w:asciiTheme="majorHAnsi" w:hAnsiTheme="majorHAnsi" w:cstheme="minorHAnsi"/>
          <w:lang w:val="en-US"/>
        </w:rPr>
        <w:t>w</w:t>
      </w:r>
      <w:r w:rsidRPr="00D77A43">
        <w:rPr>
          <w:rFonts w:asciiTheme="majorHAnsi" w:hAnsiTheme="majorHAnsi" w:cstheme="minorHAnsi"/>
          <w:lang w:val="en-US"/>
        </w:rPr>
        <w:t xml:space="preserve">ater for injections and </w:t>
      </w:r>
      <w:r w:rsidRPr="00D77A43">
        <w:rPr>
          <w:rFonts w:asciiTheme="majorHAnsi" w:hAnsiTheme="majorHAnsi" w:cstheme="minorHAnsi"/>
        </w:rPr>
        <w:t xml:space="preserve">sodium hydroxide or hydrochloric acid to adjust </w:t>
      </w:r>
      <w:proofErr w:type="spellStart"/>
      <w:r w:rsidRPr="00D77A43">
        <w:rPr>
          <w:rFonts w:asciiTheme="majorHAnsi" w:hAnsiTheme="majorHAnsi" w:cstheme="minorHAnsi"/>
        </w:rPr>
        <w:t>pH</w:t>
      </w:r>
      <w:bookmarkEnd w:id="11"/>
      <w:r>
        <w:rPr>
          <w:rFonts w:asciiTheme="majorHAnsi" w:hAnsiTheme="majorHAnsi" w:cstheme="minorHAnsi"/>
        </w:rPr>
        <w:t>.</w:t>
      </w:r>
      <w:proofErr w:type="spellEnd"/>
    </w:p>
    <w:p w14:paraId="3F986149" w14:textId="77777777" w:rsidR="00865765" w:rsidRPr="006F6631" w:rsidRDefault="00865765" w:rsidP="00865765">
      <w:pPr>
        <w:autoSpaceDE w:val="0"/>
        <w:autoSpaceDN w:val="0"/>
        <w:adjustRightInd w:val="0"/>
        <w:spacing w:after="0" w:line="240" w:lineRule="auto"/>
        <w:rPr>
          <w:rFonts w:asciiTheme="majorHAnsi" w:hAnsiTheme="majorHAnsi" w:cstheme="minorHAnsi"/>
          <w:lang w:val="en-US"/>
        </w:rPr>
      </w:pPr>
    </w:p>
    <w:p w14:paraId="27E310B0" w14:textId="77777777" w:rsidR="001A3992" w:rsidRPr="006F6631" w:rsidRDefault="001A3992" w:rsidP="001A3992">
      <w:pPr>
        <w:pStyle w:val="Heading2"/>
        <w:keepNext/>
        <w:keepLines/>
        <w:spacing w:before="0" w:after="120"/>
        <w:rPr>
          <w:rFonts w:cstheme="minorHAnsi"/>
          <w:lang w:val="en-US"/>
        </w:rPr>
      </w:pPr>
      <w:r w:rsidRPr="006F6631">
        <w:rPr>
          <w:rFonts w:cstheme="minorHAnsi"/>
          <w:lang w:val="en-US"/>
        </w:rPr>
        <w:t xml:space="preserve">Incompatibilities </w:t>
      </w:r>
    </w:p>
    <w:p w14:paraId="4D03FCAA" w14:textId="233D4A2E" w:rsidR="00497C85" w:rsidRPr="009E2E7C" w:rsidRDefault="0046319A" w:rsidP="006C7219">
      <w:pPr>
        <w:autoSpaceDE w:val="0"/>
        <w:autoSpaceDN w:val="0"/>
        <w:adjustRightInd w:val="0"/>
        <w:spacing w:after="0" w:line="240" w:lineRule="auto"/>
        <w:rPr>
          <w:rFonts w:cstheme="minorHAnsi"/>
          <w:lang w:val="en-US"/>
        </w:rPr>
      </w:pPr>
      <w:r w:rsidRPr="009E2E7C">
        <w:rPr>
          <w:rFonts w:cstheme="minorHAnsi"/>
          <w:sz w:val="24"/>
          <w:szCs w:val="24"/>
        </w:rPr>
        <w:t xml:space="preserve">CEQUA should not be administered </w:t>
      </w:r>
      <w:r w:rsidR="003732C4" w:rsidRPr="009E2E7C">
        <w:rPr>
          <w:rFonts w:cstheme="minorHAnsi"/>
          <w:sz w:val="24"/>
          <w:szCs w:val="24"/>
        </w:rPr>
        <w:t>to patients</w:t>
      </w:r>
      <w:r w:rsidR="00D001FA" w:rsidRPr="009E2E7C">
        <w:rPr>
          <w:rFonts w:cstheme="minorHAnsi"/>
          <w:sz w:val="24"/>
          <w:szCs w:val="24"/>
        </w:rPr>
        <w:t xml:space="preserve"> while they are</w:t>
      </w:r>
      <w:r w:rsidRPr="009E2E7C">
        <w:rPr>
          <w:rFonts w:cstheme="minorHAnsi"/>
          <w:sz w:val="24"/>
          <w:szCs w:val="24"/>
        </w:rPr>
        <w:t xml:space="preserve"> wearing contact lenses</w:t>
      </w:r>
      <w:r w:rsidR="00DE6FAA" w:rsidRPr="009E2E7C">
        <w:rPr>
          <w:rFonts w:cstheme="minorHAnsi"/>
          <w:sz w:val="24"/>
          <w:szCs w:val="24"/>
        </w:rPr>
        <w:t xml:space="preserve"> (see Section 4.4 Warnings and precautions</w:t>
      </w:r>
      <w:r w:rsidR="00AF11FE">
        <w:rPr>
          <w:rFonts w:cstheme="minorHAnsi"/>
          <w:sz w:val="24"/>
          <w:szCs w:val="24"/>
        </w:rPr>
        <w:t xml:space="preserve"> for use</w:t>
      </w:r>
      <w:r w:rsidR="006C7219" w:rsidRPr="009E2E7C">
        <w:rPr>
          <w:rFonts w:cstheme="minorHAnsi"/>
          <w:sz w:val="24"/>
          <w:szCs w:val="24"/>
        </w:rPr>
        <w:t>)</w:t>
      </w:r>
      <w:r w:rsidRPr="009E2E7C">
        <w:rPr>
          <w:rFonts w:cstheme="minorHAnsi"/>
          <w:sz w:val="24"/>
          <w:szCs w:val="24"/>
        </w:rPr>
        <w:t>.</w:t>
      </w:r>
    </w:p>
    <w:p w14:paraId="2D344D99" w14:textId="77777777" w:rsidR="006C7219" w:rsidRPr="006F6631" w:rsidRDefault="006C7219" w:rsidP="006C7219">
      <w:pPr>
        <w:autoSpaceDE w:val="0"/>
        <w:autoSpaceDN w:val="0"/>
        <w:adjustRightInd w:val="0"/>
        <w:spacing w:after="0" w:line="240" w:lineRule="auto"/>
        <w:rPr>
          <w:rFonts w:asciiTheme="majorHAnsi" w:hAnsiTheme="majorHAnsi" w:cstheme="minorHAnsi"/>
          <w:lang w:val="en-US"/>
        </w:rPr>
      </w:pPr>
    </w:p>
    <w:p w14:paraId="2D00DF99" w14:textId="77777777" w:rsidR="001A3992" w:rsidRPr="006F6631" w:rsidRDefault="001A3992" w:rsidP="001A3992">
      <w:pPr>
        <w:pStyle w:val="Heading2"/>
        <w:spacing w:before="0" w:after="120"/>
        <w:rPr>
          <w:rFonts w:cstheme="minorHAnsi"/>
          <w:lang w:val="en-US"/>
        </w:rPr>
      </w:pPr>
      <w:r w:rsidRPr="006F6631">
        <w:rPr>
          <w:rFonts w:cstheme="minorHAnsi"/>
          <w:lang w:val="en-US"/>
        </w:rPr>
        <w:t xml:space="preserve">Shelf life </w:t>
      </w:r>
    </w:p>
    <w:p w14:paraId="158EC242" w14:textId="00483A2B" w:rsidR="00497C85" w:rsidRPr="006F6631" w:rsidRDefault="00497C85" w:rsidP="00497C85">
      <w:pPr>
        <w:rPr>
          <w:rFonts w:asciiTheme="majorHAnsi" w:hAnsiTheme="majorHAnsi" w:cstheme="minorHAnsi"/>
          <w:lang w:val="en-US"/>
        </w:rPr>
      </w:pPr>
      <w:r w:rsidRPr="006F6631">
        <w:rPr>
          <w:rFonts w:asciiTheme="majorHAnsi" w:hAnsiTheme="majorHAnsi" w:cstheme="minorHAnsi"/>
          <w:lang w:val="en"/>
        </w:rPr>
        <w:t>In Australia, information on the shelf life can be found on the public summary of the Australian Register of Therapeutic Goods (ARTG). The expiry date can be found on the packaging.</w:t>
      </w:r>
    </w:p>
    <w:p w14:paraId="20BF1101" w14:textId="09FD8DF9" w:rsidR="001A3992" w:rsidRDefault="001A3992" w:rsidP="001A3992">
      <w:pPr>
        <w:pStyle w:val="Heading2"/>
        <w:keepNext/>
        <w:keepLines/>
        <w:spacing w:before="0" w:after="120"/>
        <w:rPr>
          <w:rFonts w:cstheme="minorHAnsi"/>
          <w:lang w:val="en-US"/>
        </w:rPr>
      </w:pPr>
      <w:r w:rsidRPr="006F6631">
        <w:rPr>
          <w:rFonts w:cstheme="minorHAnsi"/>
          <w:lang w:val="en-US"/>
        </w:rPr>
        <w:t xml:space="preserve">Special precautions for storage </w:t>
      </w:r>
    </w:p>
    <w:p w14:paraId="5F3C43E6" w14:textId="577411A5" w:rsidR="00433AF5" w:rsidRPr="00433AF5" w:rsidRDefault="00433AF5" w:rsidP="00433AF5">
      <w:pPr>
        <w:rPr>
          <w:lang w:val="en-US"/>
        </w:rPr>
      </w:pPr>
      <w:r>
        <w:rPr>
          <w:lang w:val="en-US"/>
        </w:rPr>
        <w:t>Store below 25</w:t>
      </w:r>
      <w:r w:rsidR="005A589D">
        <w:rPr>
          <w:lang w:val="en-US"/>
        </w:rPr>
        <w:t>°C. Do not freeze.</w:t>
      </w:r>
      <w:r w:rsidR="00E00740">
        <w:rPr>
          <w:lang w:val="en-US"/>
        </w:rPr>
        <w:t xml:space="preserve"> Store</w:t>
      </w:r>
      <w:r w:rsidR="00D357B3">
        <w:rPr>
          <w:lang w:val="en-US"/>
        </w:rPr>
        <w:t xml:space="preserve"> the </w:t>
      </w:r>
      <w:r w:rsidR="008101B0">
        <w:rPr>
          <w:lang w:val="en-US"/>
        </w:rPr>
        <w:t>ampoule</w:t>
      </w:r>
      <w:r w:rsidR="00D357B3">
        <w:rPr>
          <w:lang w:val="en-US"/>
        </w:rPr>
        <w:t>s in the original foil pouch.</w:t>
      </w:r>
      <w:r w:rsidR="008E35D6">
        <w:rPr>
          <w:lang w:val="en-US"/>
        </w:rPr>
        <w:t xml:space="preserve"> </w:t>
      </w:r>
      <w:r w:rsidR="008101B0">
        <w:rPr>
          <w:lang w:val="en-US"/>
        </w:rPr>
        <w:t>Protect from light.</w:t>
      </w:r>
    </w:p>
    <w:p w14:paraId="5CFC2196" w14:textId="384B9F78" w:rsidR="001A3992" w:rsidRDefault="001A3992" w:rsidP="001A3992">
      <w:pPr>
        <w:pStyle w:val="Heading2"/>
        <w:spacing w:before="0" w:after="120"/>
        <w:rPr>
          <w:rFonts w:cstheme="minorHAnsi"/>
          <w:lang w:val="en-US"/>
        </w:rPr>
      </w:pPr>
      <w:r w:rsidRPr="006F6631">
        <w:rPr>
          <w:rFonts w:cstheme="minorHAnsi"/>
          <w:lang w:val="en-US"/>
        </w:rPr>
        <w:t>Nature and contents of container</w:t>
      </w:r>
    </w:p>
    <w:p w14:paraId="6230D54E" w14:textId="189324D4" w:rsidR="001F519B" w:rsidRDefault="00D357B3" w:rsidP="00D357B3">
      <w:pPr>
        <w:rPr>
          <w:lang w:val="en-US"/>
        </w:rPr>
      </w:pPr>
      <w:r w:rsidRPr="00D357B3">
        <w:rPr>
          <w:lang w:val="en-US"/>
        </w:rPr>
        <w:t xml:space="preserve">CEQUA ophthalmic solution is packaged in </w:t>
      </w:r>
      <w:r w:rsidR="00C112BF">
        <w:rPr>
          <w:lang w:val="en-US"/>
        </w:rPr>
        <w:t>sin</w:t>
      </w:r>
      <w:r w:rsidRPr="00D357B3">
        <w:rPr>
          <w:lang w:val="en-US"/>
        </w:rPr>
        <w:t xml:space="preserve">gle-use </w:t>
      </w:r>
      <w:r w:rsidR="00C112BF">
        <w:rPr>
          <w:lang w:val="en-US"/>
        </w:rPr>
        <w:t xml:space="preserve">LDPE </w:t>
      </w:r>
      <w:r w:rsidR="008101B0">
        <w:rPr>
          <w:lang w:val="en-US"/>
        </w:rPr>
        <w:t>ampoule</w:t>
      </w:r>
      <w:r w:rsidR="003254B0">
        <w:rPr>
          <w:lang w:val="en-US"/>
        </w:rPr>
        <w:t>s</w:t>
      </w:r>
      <w:r w:rsidRPr="00D357B3">
        <w:rPr>
          <w:lang w:val="en-US"/>
        </w:rPr>
        <w:t xml:space="preserve">. Each </w:t>
      </w:r>
      <w:r w:rsidR="008101B0">
        <w:rPr>
          <w:lang w:val="en-US"/>
        </w:rPr>
        <w:t>ampoule</w:t>
      </w:r>
      <w:r w:rsidR="00AD30B8">
        <w:rPr>
          <w:lang w:val="en-US"/>
        </w:rPr>
        <w:t xml:space="preserve"> </w:t>
      </w:r>
      <w:r w:rsidRPr="00D357B3">
        <w:rPr>
          <w:lang w:val="en-US"/>
        </w:rPr>
        <w:t xml:space="preserve">contains 0.25 mL </w:t>
      </w:r>
      <w:r w:rsidR="00C112BF">
        <w:rPr>
          <w:lang w:val="en-US"/>
        </w:rPr>
        <w:t>of the solution</w:t>
      </w:r>
      <w:r w:rsidR="00715582">
        <w:rPr>
          <w:lang w:val="en-US"/>
        </w:rPr>
        <w:t>.</w:t>
      </w:r>
    </w:p>
    <w:p w14:paraId="483193B6" w14:textId="029A1908" w:rsidR="000B7B77" w:rsidRPr="000B7B77" w:rsidRDefault="003254B0" w:rsidP="00D357B3">
      <w:pPr>
        <w:rPr>
          <w:lang w:val="en-US"/>
        </w:rPr>
      </w:pPr>
      <w:r>
        <w:rPr>
          <w:lang w:val="en-US"/>
        </w:rPr>
        <w:t xml:space="preserve">CEQUA </w:t>
      </w:r>
      <w:r w:rsidR="008101B0">
        <w:rPr>
          <w:lang w:val="en-US"/>
        </w:rPr>
        <w:t>ampoule</w:t>
      </w:r>
      <w:r>
        <w:rPr>
          <w:lang w:val="en-US"/>
        </w:rPr>
        <w:t>s are</w:t>
      </w:r>
      <w:r w:rsidR="00C61D86">
        <w:rPr>
          <w:lang w:val="en-US"/>
        </w:rPr>
        <w:t xml:space="preserve"> </w:t>
      </w:r>
      <w:r>
        <w:rPr>
          <w:lang w:val="en-US"/>
        </w:rPr>
        <w:t xml:space="preserve">packaged in cartons of </w:t>
      </w:r>
      <w:r w:rsidR="00D66489">
        <w:rPr>
          <w:lang w:val="en-US"/>
        </w:rPr>
        <w:t xml:space="preserve">10 or </w:t>
      </w:r>
      <w:r>
        <w:rPr>
          <w:lang w:val="en-US"/>
        </w:rPr>
        <w:t>60</w:t>
      </w:r>
      <w:r w:rsidR="00D66489">
        <w:rPr>
          <w:lang w:val="en-US"/>
        </w:rPr>
        <w:t xml:space="preserve"> </w:t>
      </w:r>
      <w:r w:rsidR="008101B0">
        <w:rPr>
          <w:lang w:val="en-US"/>
        </w:rPr>
        <w:t>ampoule</w:t>
      </w:r>
      <w:r w:rsidR="00D66489">
        <w:rPr>
          <w:lang w:val="en-US"/>
        </w:rPr>
        <w:t>s</w:t>
      </w:r>
      <w:r w:rsidR="00A73DF1">
        <w:rPr>
          <w:lang w:val="en-US"/>
        </w:rPr>
        <w:t>:</w:t>
      </w:r>
      <w:r w:rsidR="00D357B3" w:rsidRPr="00D357B3">
        <w:rPr>
          <w:lang w:val="en-US"/>
        </w:rPr>
        <w:t xml:space="preserve"> 10 </w:t>
      </w:r>
      <w:r w:rsidR="008101B0">
        <w:rPr>
          <w:lang w:val="en-US"/>
        </w:rPr>
        <w:t>ampoule</w:t>
      </w:r>
      <w:r w:rsidR="00D357B3" w:rsidRPr="00D357B3">
        <w:rPr>
          <w:lang w:val="en-US"/>
        </w:rPr>
        <w:t xml:space="preserve">s (2 cards of 5 </w:t>
      </w:r>
      <w:r w:rsidR="008101B0">
        <w:rPr>
          <w:lang w:val="en-US"/>
        </w:rPr>
        <w:t>ampoule</w:t>
      </w:r>
      <w:r w:rsidR="00D357B3" w:rsidRPr="00D357B3">
        <w:rPr>
          <w:lang w:val="en-US"/>
        </w:rPr>
        <w:t>s) are packaged in a</w:t>
      </w:r>
      <w:r w:rsidR="00AD30B8">
        <w:rPr>
          <w:lang w:val="en-US"/>
        </w:rPr>
        <w:t xml:space="preserve"> </w:t>
      </w:r>
      <w:proofErr w:type="spellStart"/>
      <w:r w:rsidR="00D357B3" w:rsidRPr="00D357B3">
        <w:rPr>
          <w:lang w:val="en-US"/>
        </w:rPr>
        <w:t>polyfoil</w:t>
      </w:r>
      <w:proofErr w:type="spellEnd"/>
      <w:r w:rsidR="00D357B3" w:rsidRPr="00D357B3">
        <w:rPr>
          <w:lang w:val="en-US"/>
        </w:rPr>
        <w:t xml:space="preserve"> aluminum pouch; </w:t>
      </w:r>
      <w:r w:rsidR="00912E62">
        <w:rPr>
          <w:lang w:val="en-US"/>
        </w:rPr>
        <w:t xml:space="preserve">1 pouch (10s) or </w:t>
      </w:r>
      <w:r w:rsidR="00D357B3" w:rsidRPr="00D357B3">
        <w:rPr>
          <w:lang w:val="en-US"/>
        </w:rPr>
        <w:t xml:space="preserve">6 pouches </w:t>
      </w:r>
      <w:r w:rsidR="00912E62">
        <w:rPr>
          <w:lang w:val="en-US"/>
        </w:rPr>
        <w:t xml:space="preserve">(60s) </w:t>
      </w:r>
      <w:r w:rsidR="00D357B3" w:rsidRPr="00D357B3">
        <w:rPr>
          <w:lang w:val="en-US"/>
        </w:rPr>
        <w:t xml:space="preserve">are packaged in </w:t>
      </w:r>
      <w:r w:rsidR="00D21CE9">
        <w:rPr>
          <w:lang w:val="en-US"/>
        </w:rPr>
        <w:t>the carton</w:t>
      </w:r>
      <w:r w:rsidR="00912E62">
        <w:rPr>
          <w:lang w:val="en-US"/>
        </w:rPr>
        <w:t>s</w:t>
      </w:r>
      <w:r w:rsidR="000B7B77" w:rsidRPr="000B7B77">
        <w:rPr>
          <w:lang w:val="en-US"/>
        </w:rPr>
        <w:t>.</w:t>
      </w:r>
      <w:r w:rsidR="001C56BE">
        <w:rPr>
          <w:lang w:val="en-US"/>
        </w:rPr>
        <w:t xml:space="preserve"> </w:t>
      </w:r>
      <w:r w:rsidR="008101B0">
        <w:rPr>
          <w:lang w:val="en-US"/>
        </w:rPr>
        <w:t>The carton of 10 ampoules is a sample pack only.</w:t>
      </w:r>
    </w:p>
    <w:p w14:paraId="4FA1699B" w14:textId="77777777" w:rsidR="001A3992" w:rsidRPr="006F6631" w:rsidRDefault="001A3992" w:rsidP="001A3992">
      <w:pPr>
        <w:pStyle w:val="Heading2"/>
        <w:spacing w:before="0" w:after="120"/>
        <w:rPr>
          <w:rFonts w:cstheme="minorHAnsi"/>
          <w:lang w:val="en-US"/>
        </w:rPr>
      </w:pPr>
      <w:r w:rsidRPr="006F6631">
        <w:rPr>
          <w:rFonts w:cstheme="minorHAnsi"/>
          <w:lang w:val="en-US"/>
        </w:rPr>
        <w:t xml:space="preserve">Special precautions for disposal </w:t>
      </w:r>
    </w:p>
    <w:p w14:paraId="7E5D51A5" w14:textId="0A875A3F" w:rsidR="00497C85" w:rsidRPr="006F6631" w:rsidRDefault="00497C85" w:rsidP="00497C85">
      <w:pPr>
        <w:rPr>
          <w:rFonts w:asciiTheme="majorHAnsi" w:hAnsiTheme="majorHAnsi" w:cstheme="minorHAnsi"/>
          <w:lang w:val="en-US"/>
        </w:rPr>
      </w:pPr>
      <w:r w:rsidRPr="006F6631">
        <w:rPr>
          <w:rFonts w:asciiTheme="majorHAnsi" w:hAnsiTheme="majorHAnsi" w:cstheme="minorHAnsi"/>
          <w:lang w:val="en"/>
        </w:rPr>
        <w:t xml:space="preserve">In Australia, any unused medicine or waste material </w:t>
      </w:r>
      <w:r w:rsidR="005D3C6A">
        <w:rPr>
          <w:rFonts w:asciiTheme="majorHAnsi" w:hAnsiTheme="majorHAnsi" w:cstheme="minorHAnsi"/>
          <w:lang w:val="en"/>
        </w:rPr>
        <w:t>can</w:t>
      </w:r>
      <w:r w:rsidRPr="006F6631">
        <w:rPr>
          <w:rFonts w:asciiTheme="majorHAnsi" w:hAnsiTheme="majorHAnsi" w:cstheme="minorHAnsi"/>
          <w:lang w:val="en"/>
        </w:rPr>
        <w:t xml:space="preserve"> be disposed of by taking to your local pharmacy.</w:t>
      </w:r>
    </w:p>
    <w:p w14:paraId="5D122E2F" w14:textId="5687F293" w:rsidR="001A3992" w:rsidRDefault="001A3992" w:rsidP="001A3992">
      <w:pPr>
        <w:pStyle w:val="Heading2"/>
        <w:spacing w:before="0" w:after="120"/>
        <w:rPr>
          <w:rFonts w:cstheme="minorHAnsi"/>
          <w:lang w:val="en-US"/>
        </w:rPr>
      </w:pPr>
      <w:r w:rsidRPr="006F6631">
        <w:rPr>
          <w:rFonts w:cstheme="minorHAnsi"/>
          <w:lang w:val="en-US"/>
        </w:rPr>
        <w:t>Physicochemical properties</w:t>
      </w:r>
    </w:p>
    <w:p w14:paraId="3871E518" w14:textId="023F3698" w:rsidR="00BD5229" w:rsidRPr="00BD5229" w:rsidRDefault="00BD5229" w:rsidP="00BD5229">
      <w:pPr>
        <w:rPr>
          <w:lang w:val="en-US"/>
        </w:rPr>
      </w:pPr>
      <w:r w:rsidRPr="00BD5229">
        <w:t>Ciclosporin is a white powder that is insoluble in water and freely soluble in ethanol.</w:t>
      </w:r>
    </w:p>
    <w:p w14:paraId="1D82BC09" w14:textId="0CD6F9BF" w:rsidR="001A3992" w:rsidRDefault="001A3992" w:rsidP="00674B8F">
      <w:pPr>
        <w:pStyle w:val="Heading3"/>
        <w:pageBreakBefore/>
        <w:spacing w:before="0" w:after="120"/>
        <w:rPr>
          <w:rFonts w:cstheme="minorHAnsi"/>
          <w:lang w:val="en-US"/>
        </w:rPr>
      </w:pPr>
      <w:r w:rsidRPr="006F6631">
        <w:rPr>
          <w:rFonts w:cstheme="minorHAnsi"/>
          <w:lang w:val="en-US"/>
        </w:rPr>
        <w:lastRenderedPageBreak/>
        <w:t>Chemical structure</w:t>
      </w:r>
    </w:p>
    <w:p w14:paraId="2E37C9E3" w14:textId="176629E6" w:rsidR="00D40149" w:rsidRPr="00D40149" w:rsidRDefault="006E2B7C" w:rsidP="00D40149">
      <w:pPr>
        <w:rPr>
          <w:lang w:val="en-US"/>
        </w:rPr>
      </w:pPr>
      <w:r>
        <w:rPr>
          <w:lang w:val="en-US"/>
        </w:rPr>
        <w:t xml:space="preserve">Mol. </w:t>
      </w:r>
      <w:r w:rsidRPr="006E2B7C">
        <w:rPr>
          <w:lang w:val="en-US"/>
        </w:rPr>
        <w:t>Formula: C</w:t>
      </w:r>
      <w:r w:rsidRPr="006E2B7C">
        <w:rPr>
          <w:vertAlign w:val="subscript"/>
          <w:lang w:val="en-US"/>
        </w:rPr>
        <w:t>62</w:t>
      </w:r>
      <w:r w:rsidRPr="006E2B7C">
        <w:rPr>
          <w:lang w:val="en-US"/>
        </w:rPr>
        <w:t>H</w:t>
      </w:r>
      <w:r w:rsidRPr="006E2B7C">
        <w:rPr>
          <w:vertAlign w:val="subscript"/>
          <w:lang w:val="en-US"/>
        </w:rPr>
        <w:t>111</w:t>
      </w:r>
      <w:r w:rsidRPr="006E2B7C">
        <w:rPr>
          <w:lang w:val="en-US"/>
        </w:rPr>
        <w:t>N</w:t>
      </w:r>
      <w:r w:rsidRPr="006E2B7C">
        <w:rPr>
          <w:vertAlign w:val="subscript"/>
          <w:lang w:val="en-US"/>
        </w:rPr>
        <w:t>11</w:t>
      </w:r>
      <w:r w:rsidRPr="006E2B7C">
        <w:rPr>
          <w:lang w:val="en-US"/>
        </w:rPr>
        <w:t>O</w:t>
      </w:r>
      <w:r w:rsidRPr="006E2B7C">
        <w:rPr>
          <w:vertAlign w:val="subscript"/>
          <w:lang w:val="en-US"/>
        </w:rPr>
        <w:t>12</w:t>
      </w:r>
      <w:r>
        <w:rPr>
          <w:lang w:val="en-US"/>
        </w:rPr>
        <w:tab/>
      </w:r>
      <w:r w:rsidRPr="006E2B7C">
        <w:rPr>
          <w:lang w:val="en-US"/>
        </w:rPr>
        <w:t>Mol. Wt.: 1202.6</w:t>
      </w:r>
    </w:p>
    <w:p w14:paraId="7505B7E3" w14:textId="7396911E" w:rsidR="00630768" w:rsidRPr="00630768" w:rsidRDefault="00630768" w:rsidP="00630768">
      <w:pPr>
        <w:rPr>
          <w:lang w:val="en-US"/>
        </w:rPr>
      </w:pPr>
      <w:r w:rsidRPr="00630768">
        <w:rPr>
          <w:noProof/>
          <w:lang w:eastAsia="en-AU"/>
        </w:rPr>
        <w:drawing>
          <wp:inline distT="0" distB="0" distL="0" distR="0" wp14:anchorId="75E34D4C" wp14:editId="00F34365">
            <wp:extent cx="5731510" cy="3244850"/>
            <wp:effectExtent l="0" t="0" r="2540" b="0"/>
            <wp:docPr id="1" name="Picture 1" descr="Mol. Formula: C62H111N11O12 Mol. Wt.: 1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244850"/>
                    </a:xfrm>
                    <a:prstGeom prst="rect">
                      <a:avLst/>
                    </a:prstGeom>
                    <a:noFill/>
                    <a:ln>
                      <a:noFill/>
                    </a:ln>
                  </pic:spPr>
                </pic:pic>
              </a:graphicData>
            </a:graphic>
          </wp:inline>
        </w:drawing>
      </w:r>
    </w:p>
    <w:p w14:paraId="39E5956F" w14:textId="37A299DE" w:rsidR="002B306E" w:rsidRDefault="001A3992" w:rsidP="001A3992">
      <w:pPr>
        <w:pStyle w:val="Heading3"/>
        <w:spacing w:before="0" w:after="120"/>
        <w:rPr>
          <w:rFonts w:cstheme="minorHAnsi"/>
          <w:lang w:val="en-US"/>
        </w:rPr>
      </w:pPr>
      <w:r w:rsidRPr="006F6631">
        <w:rPr>
          <w:rFonts w:cstheme="minorHAnsi"/>
          <w:lang w:val="en-US"/>
        </w:rPr>
        <w:t>CAS number</w:t>
      </w:r>
    </w:p>
    <w:p w14:paraId="3B745B85" w14:textId="359BED26" w:rsidR="001A3992" w:rsidRDefault="00D82E22" w:rsidP="001A3992">
      <w:pPr>
        <w:pStyle w:val="Heading3"/>
        <w:spacing w:before="0" w:after="120"/>
        <w:rPr>
          <w:rFonts w:cstheme="minorHAnsi"/>
          <w:lang w:val="en-US"/>
        </w:rPr>
      </w:pPr>
      <w:r w:rsidRPr="00D82E22">
        <w:rPr>
          <w:rFonts w:cstheme="minorHAnsi"/>
          <w:b w:val="0"/>
          <w:lang w:val="en-US"/>
        </w:rPr>
        <w:t>59865-13-3</w:t>
      </w:r>
    </w:p>
    <w:p w14:paraId="79E7C445" w14:textId="1E621969" w:rsidR="001A3992" w:rsidRDefault="001A3992" w:rsidP="001A3992">
      <w:pPr>
        <w:pStyle w:val="Heading1"/>
        <w:spacing w:before="0" w:after="120"/>
        <w:rPr>
          <w:rFonts w:cstheme="minorHAnsi"/>
          <w:lang w:val="en-US"/>
        </w:rPr>
      </w:pPr>
      <w:r w:rsidRPr="006F6631">
        <w:rPr>
          <w:rFonts w:cstheme="minorHAnsi"/>
          <w:lang w:val="en-US"/>
        </w:rPr>
        <w:t>Medicine schedule (Poisons Standard)</w:t>
      </w:r>
    </w:p>
    <w:p w14:paraId="34759F72" w14:textId="4AB76AA3" w:rsidR="00C24F68" w:rsidRPr="00C24F68" w:rsidRDefault="00CC4088" w:rsidP="00C24F68">
      <w:pPr>
        <w:rPr>
          <w:lang w:val="en-US"/>
        </w:rPr>
      </w:pPr>
      <w:r>
        <w:rPr>
          <w:lang w:val="en-US"/>
        </w:rPr>
        <w:t>S4</w:t>
      </w:r>
      <w:r w:rsidR="00057F8F">
        <w:rPr>
          <w:lang w:val="en-US"/>
        </w:rPr>
        <w:t xml:space="preserve"> </w:t>
      </w:r>
      <w:r w:rsidR="008101B0">
        <w:rPr>
          <w:lang w:val="en-US"/>
        </w:rPr>
        <w:t>– Prescription only medicine.</w:t>
      </w:r>
    </w:p>
    <w:p w14:paraId="4B618BCB" w14:textId="229A6A3D" w:rsidR="001A3992" w:rsidRDefault="001A3992" w:rsidP="001A3992">
      <w:pPr>
        <w:pStyle w:val="Heading1"/>
        <w:spacing w:before="0" w:after="120"/>
        <w:rPr>
          <w:rFonts w:cstheme="minorHAnsi"/>
          <w:lang w:val="en-US"/>
        </w:rPr>
      </w:pPr>
      <w:r w:rsidRPr="006F6631">
        <w:rPr>
          <w:rFonts w:cstheme="minorHAnsi"/>
          <w:lang w:val="en-US"/>
        </w:rPr>
        <w:t>Sponsor</w:t>
      </w:r>
    </w:p>
    <w:p w14:paraId="5A3B0E4E" w14:textId="24C7EF29" w:rsidR="00267A11" w:rsidRDefault="009E2E7C" w:rsidP="00267A11">
      <w:r>
        <w:t>Sun Pharma ANZ Pty Ltd</w:t>
      </w:r>
      <w:r w:rsidR="00415929">
        <w:br/>
      </w:r>
      <w:r w:rsidR="008101B0">
        <w:t>12 Waterloo Road</w:t>
      </w:r>
      <w:r>
        <w:br/>
        <w:t>Macquarie Park, Sydney NSW 2113</w:t>
      </w:r>
      <w:r>
        <w:br/>
        <w:t>Australia</w:t>
      </w:r>
    </w:p>
    <w:p w14:paraId="5D9D990C" w14:textId="0E3A8129" w:rsidR="00582BB9" w:rsidRPr="00415929" w:rsidRDefault="008101B0" w:rsidP="00267A11">
      <w:r>
        <w:t xml:space="preserve">Tel: </w:t>
      </w:r>
      <w:r>
        <w:tab/>
        <w:t>1800 726229</w:t>
      </w:r>
      <w:r>
        <w:br/>
        <w:t>Email:</w:t>
      </w:r>
      <w:r>
        <w:tab/>
        <w:t>customerservice.aus@sunpharma.com</w:t>
      </w:r>
    </w:p>
    <w:p w14:paraId="4DFB79F2" w14:textId="77777777" w:rsidR="009E2E7C" w:rsidRDefault="001A3992" w:rsidP="001A3992">
      <w:pPr>
        <w:pStyle w:val="Heading1"/>
        <w:spacing w:before="0" w:after="120"/>
        <w:rPr>
          <w:rFonts w:cstheme="minorHAnsi"/>
          <w:lang w:val="en-US"/>
        </w:rPr>
      </w:pPr>
      <w:r w:rsidRPr="006F6631">
        <w:rPr>
          <w:rFonts w:cstheme="minorHAnsi"/>
          <w:lang w:val="en-US"/>
        </w:rPr>
        <w:t>Date of first approval</w:t>
      </w:r>
    </w:p>
    <w:p w14:paraId="783CC6FB" w14:textId="0144D1B0" w:rsidR="001A3992" w:rsidRPr="009E2E7C" w:rsidRDefault="005205EA" w:rsidP="009E2E7C">
      <w:pPr>
        <w:rPr>
          <w:lang w:val="en-US"/>
        </w:rPr>
      </w:pPr>
      <w:r>
        <w:rPr>
          <w:lang w:val="en-US"/>
        </w:rPr>
        <w:t>31 January 2020</w:t>
      </w:r>
    </w:p>
    <w:p w14:paraId="4EAA7C06" w14:textId="7FE62AA6" w:rsidR="001A3992" w:rsidRDefault="001A3992" w:rsidP="001A3992">
      <w:pPr>
        <w:pStyle w:val="Heading1"/>
        <w:spacing w:before="0" w:after="120"/>
        <w:rPr>
          <w:rFonts w:cstheme="minorHAnsi"/>
          <w:lang w:val="en-US"/>
        </w:rPr>
      </w:pPr>
      <w:r w:rsidRPr="006F6631">
        <w:rPr>
          <w:rFonts w:cstheme="minorHAnsi"/>
          <w:lang w:val="en-US"/>
        </w:rPr>
        <w:t xml:space="preserve">Date of revision </w:t>
      </w:r>
    </w:p>
    <w:p w14:paraId="7D64E14B" w14:textId="77777777" w:rsidR="001A3992" w:rsidRPr="006F6631" w:rsidRDefault="001A3992" w:rsidP="001A3992">
      <w:pPr>
        <w:pStyle w:val="Heading2"/>
        <w:numPr>
          <w:ilvl w:val="0"/>
          <w:numId w:val="0"/>
        </w:numPr>
        <w:spacing w:before="0" w:after="120"/>
        <w:rPr>
          <w:rFonts w:cstheme="minorHAnsi"/>
          <w:lang w:val="en-US"/>
        </w:rPr>
      </w:pPr>
      <w:r w:rsidRPr="006F6631">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6F6631" w14:paraId="1556D907" w14:textId="77777777" w:rsidTr="00674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222408C3" w14:textId="77777777" w:rsidR="00ED0937" w:rsidRPr="006F6631" w:rsidRDefault="00ED0937" w:rsidP="0021319F">
            <w:pPr>
              <w:rPr>
                <w:rFonts w:asciiTheme="majorHAnsi" w:hAnsiTheme="majorHAnsi" w:cstheme="minorHAnsi"/>
                <w:sz w:val="20"/>
                <w:lang w:val="en-US"/>
              </w:rPr>
            </w:pPr>
            <w:r w:rsidRPr="006F6631">
              <w:rPr>
                <w:rFonts w:asciiTheme="majorHAnsi" w:hAnsiTheme="majorHAnsi" w:cstheme="minorHAnsi"/>
                <w:sz w:val="20"/>
                <w:lang w:val="en-US"/>
              </w:rPr>
              <w:t>Section Changed</w:t>
            </w:r>
          </w:p>
        </w:tc>
        <w:tc>
          <w:tcPr>
            <w:tcW w:w="7635" w:type="dxa"/>
            <w:shd w:val="clear" w:color="auto" w:fill="F2F2F2" w:themeFill="background1" w:themeFillShade="F2"/>
            <w:vAlign w:val="center"/>
          </w:tcPr>
          <w:p w14:paraId="5B70E6E5" w14:textId="77777777" w:rsidR="00ED0937" w:rsidRPr="006F6631" w:rsidRDefault="00ED0937" w:rsidP="0021319F">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sz w:val="20"/>
                <w:lang w:val="en-US"/>
              </w:rPr>
            </w:pPr>
            <w:r w:rsidRPr="006F6631">
              <w:rPr>
                <w:rFonts w:asciiTheme="majorHAnsi" w:hAnsiTheme="majorHAnsi" w:cstheme="minorHAnsi"/>
                <w:sz w:val="20"/>
                <w:lang w:val="en-US"/>
              </w:rPr>
              <w:t>Summary of new information</w:t>
            </w:r>
          </w:p>
        </w:tc>
      </w:tr>
      <w:tr w:rsidR="00ED0937" w:rsidRPr="006F6631" w14:paraId="634EDF56" w14:textId="77777777" w:rsidTr="00674B8F">
        <w:tc>
          <w:tcPr>
            <w:cnfStyle w:val="001000000000" w:firstRow="0" w:lastRow="0" w:firstColumn="1" w:lastColumn="0" w:oddVBand="0" w:evenVBand="0" w:oddHBand="0" w:evenHBand="0" w:firstRowFirstColumn="0" w:firstRowLastColumn="0" w:lastRowFirstColumn="0" w:lastRowLastColumn="0"/>
            <w:tcW w:w="1371" w:type="dxa"/>
            <w:vAlign w:val="center"/>
          </w:tcPr>
          <w:p w14:paraId="3FD0A25B" w14:textId="6CBF0891" w:rsidR="00ED0937" w:rsidRPr="009E2E7C" w:rsidRDefault="00ED0937" w:rsidP="0021319F">
            <w:pPr>
              <w:rPr>
                <w:rFonts w:asciiTheme="majorHAnsi" w:hAnsiTheme="majorHAnsi" w:cstheme="minorHAnsi"/>
                <w:b w:val="0"/>
                <w:lang w:val="en-US"/>
              </w:rPr>
            </w:pPr>
          </w:p>
        </w:tc>
        <w:tc>
          <w:tcPr>
            <w:tcW w:w="7635" w:type="dxa"/>
            <w:vAlign w:val="center"/>
          </w:tcPr>
          <w:p w14:paraId="41F15B78" w14:textId="77B89983" w:rsidR="00ED0937" w:rsidRPr="006F6631" w:rsidRDefault="00ED0937" w:rsidP="00213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5652EBDA" w14:textId="77777777" w:rsidR="00960CD5" w:rsidRPr="006F6631" w:rsidRDefault="00960CD5" w:rsidP="00674B8F">
      <w:pPr>
        <w:spacing w:after="120"/>
        <w:rPr>
          <w:rFonts w:asciiTheme="majorHAnsi" w:hAnsiTheme="majorHAnsi" w:cstheme="minorHAnsi"/>
        </w:rPr>
      </w:pPr>
    </w:p>
    <w:sectPr w:rsidR="00960CD5" w:rsidRPr="006F6631" w:rsidSect="00674B8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1E620" w14:textId="77777777" w:rsidR="00196196" w:rsidRDefault="00196196" w:rsidP="001A3992">
      <w:pPr>
        <w:spacing w:after="0" w:line="240" w:lineRule="auto"/>
      </w:pPr>
      <w:r>
        <w:separator/>
      </w:r>
    </w:p>
  </w:endnote>
  <w:endnote w:type="continuationSeparator" w:id="0">
    <w:p w14:paraId="47F1EC7F" w14:textId="77777777" w:rsidR="00196196" w:rsidRDefault="00196196"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150C3" w14:textId="77777777" w:rsidR="00CA6CCF" w:rsidRDefault="00CA6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0CD959E6" w14:textId="03A81CE2" w:rsidR="00B8074A" w:rsidRPr="00B8074A" w:rsidRDefault="00431ACD" w:rsidP="00B8074A">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CB4731">
          <w:rPr>
            <w:noProof/>
            <w:sz w:val="20"/>
          </w:rPr>
          <w:t>4</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9768" w14:textId="77777777" w:rsidR="00CA6CCF" w:rsidRDefault="00CA6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308F3" w14:textId="77777777" w:rsidR="00196196" w:rsidRDefault="00196196" w:rsidP="001A3992">
      <w:pPr>
        <w:spacing w:after="0" w:line="240" w:lineRule="auto"/>
      </w:pPr>
      <w:r>
        <w:separator/>
      </w:r>
    </w:p>
  </w:footnote>
  <w:footnote w:type="continuationSeparator" w:id="0">
    <w:p w14:paraId="4555624C" w14:textId="77777777" w:rsidR="00196196" w:rsidRDefault="00196196"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8FA8" w14:textId="77777777" w:rsidR="00CA6CCF" w:rsidRDefault="00CA6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6FD83" w14:textId="77777777" w:rsidR="00CA6CCF" w:rsidRDefault="00CA6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72FD" w14:textId="77777777" w:rsidR="00CA6CCF" w:rsidRDefault="00CA6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1.95pt;height:39.45pt;visibility:visible;mso-wrap-style:square" o:bullet="t">
        <v:imagedata r:id="rId1" o:title=""/>
      </v:shape>
    </w:pict>
  </w:numPicBullet>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A64849"/>
    <w:multiLevelType w:val="hybridMultilevel"/>
    <w:tmpl w:val="9258A812"/>
    <w:lvl w:ilvl="0" w:tplc="07663286">
      <w:start w:val="7"/>
      <w:numFmt w:val="bullet"/>
      <w:lvlText w:val="-"/>
      <w:lvlJc w:val="left"/>
      <w:pPr>
        <w:ind w:left="720" w:hanging="360"/>
      </w:pPr>
      <w:rPr>
        <w:rFonts w:ascii="Cambria" w:eastAsiaTheme="minorHAnsi" w:hAnsi="Cambria"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10"/>
  </w:num>
  <w:num w:numId="6">
    <w:abstractNumId w:val="8"/>
  </w:num>
  <w:num w:numId="7">
    <w:abstractNumId w:val="6"/>
  </w:num>
  <w:num w:numId="8">
    <w:abstractNumId w:val="9"/>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8D"/>
    <w:rsid w:val="000001B1"/>
    <w:rsid w:val="000074C1"/>
    <w:rsid w:val="00017749"/>
    <w:rsid w:val="00026D7D"/>
    <w:rsid w:val="0004232D"/>
    <w:rsid w:val="00051D02"/>
    <w:rsid w:val="00057F8F"/>
    <w:rsid w:val="00096144"/>
    <w:rsid w:val="000B13E3"/>
    <w:rsid w:val="000B7B77"/>
    <w:rsid w:val="000C78E6"/>
    <w:rsid w:val="000F31E3"/>
    <w:rsid w:val="00114EB0"/>
    <w:rsid w:val="00115F56"/>
    <w:rsid w:val="00122241"/>
    <w:rsid w:val="00134B57"/>
    <w:rsid w:val="00137D45"/>
    <w:rsid w:val="0015010D"/>
    <w:rsid w:val="00172E13"/>
    <w:rsid w:val="00184CB3"/>
    <w:rsid w:val="00193AC9"/>
    <w:rsid w:val="00196196"/>
    <w:rsid w:val="0019774B"/>
    <w:rsid w:val="001A3992"/>
    <w:rsid w:val="001C3A79"/>
    <w:rsid w:val="001C56BE"/>
    <w:rsid w:val="001C7B2A"/>
    <w:rsid w:val="001E242A"/>
    <w:rsid w:val="001F519B"/>
    <w:rsid w:val="00210BDA"/>
    <w:rsid w:val="002144C7"/>
    <w:rsid w:val="00221FE4"/>
    <w:rsid w:val="002276D6"/>
    <w:rsid w:val="002505E0"/>
    <w:rsid w:val="002633AB"/>
    <w:rsid w:val="00267A11"/>
    <w:rsid w:val="00270912"/>
    <w:rsid w:val="00275E21"/>
    <w:rsid w:val="0028155A"/>
    <w:rsid w:val="002A0481"/>
    <w:rsid w:val="002B306E"/>
    <w:rsid w:val="002D1457"/>
    <w:rsid w:val="002E277D"/>
    <w:rsid w:val="002E6776"/>
    <w:rsid w:val="002F0246"/>
    <w:rsid w:val="00311D5B"/>
    <w:rsid w:val="00320666"/>
    <w:rsid w:val="003241EA"/>
    <w:rsid w:val="003254B0"/>
    <w:rsid w:val="00344B97"/>
    <w:rsid w:val="003732C4"/>
    <w:rsid w:val="00374559"/>
    <w:rsid w:val="00396C37"/>
    <w:rsid w:val="003A4D63"/>
    <w:rsid w:val="003B0B89"/>
    <w:rsid w:val="003C3302"/>
    <w:rsid w:val="003D5699"/>
    <w:rsid w:val="003E6485"/>
    <w:rsid w:val="004032BD"/>
    <w:rsid w:val="00415929"/>
    <w:rsid w:val="00431ACD"/>
    <w:rsid w:val="00433AF5"/>
    <w:rsid w:val="00434BA9"/>
    <w:rsid w:val="00441A28"/>
    <w:rsid w:val="00441D5C"/>
    <w:rsid w:val="0046319A"/>
    <w:rsid w:val="0046742A"/>
    <w:rsid w:val="00491C41"/>
    <w:rsid w:val="00497C85"/>
    <w:rsid w:val="004C3D81"/>
    <w:rsid w:val="004C4DB3"/>
    <w:rsid w:val="004E3693"/>
    <w:rsid w:val="004E57A6"/>
    <w:rsid w:val="004F6029"/>
    <w:rsid w:val="00501D22"/>
    <w:rsid w:val="00504B7D"/>
    <w:rsid w:val="00512A1F"/>
    <w:rsid w:val="00512BA0"/>
    <w:rsid w:val="005150B9"/>
    <w:rsid w:val="005205EA"/>
    <w:rsid w:val="00526341"/>
    <w:rsid w:val="0052757F"/>
    <w:rsid w:val="00527874"/>
    <w:rsid w:val="00550CAA"/>
    <w:rsid w:val="00553C63"/>
    <w:rsid w:val="00561ACB"/>
    <w:rsid w:val="00582BB9"/>
    <w:rsid w:val="005A589D"/>
    <w:rsid w:val="005A6E53"/>
    <w:rsid w:val="005B0207"/>
    <w:rsid w:val="005B2816"/>
    <w:rsid w:val="005B50E0"/>
    <w:rsid w:val="005B52C7"/>
    <w:rsid w:val="005B70C2"/>
    <w:rsid w:val="005C3968"/>
    <w:rsid w:val="005D2981"/>
    <w:rsid w:val="005D3C6A"/>
    <w:rsid w:val="005E5F17"/>
    <w:rsid w:val="00610CA0"/>
    <w:rsid w:val="00613B0D"/>
    <w:rsid w:val="00630768"/>
    <w:rsid w:val="006435AF"/>
    <w:rsid w:val="00650A15"/>
    <w:rsid w:val="00654323"/>
    <w:rsid w:val="00657F51"/>
    <w:rsid w:val="00661D4D"/>
    <w:rsid w:val="00672BD7"/>
    <w:rsid w:val="00674B8F"/>
    <w:rsid w:val="00676889"/>
    <w:rsid w:val="006C101F"/>
    <w:rsid w:val="006C7219"/>
    <w:rsid w:val="006D3DD3"/>
    <w:rsid w:val="006E2B7C"/>
    <w:rsid w:val="006E3F80"/>
    <w:rsid w:val="006E7770"/>
    <w:rsid w:val="006F6631"/>
    <w:rsid w:val="00707093"/>
    <w:rsid w:val="00715582"/>
    <w:rsid w:val="00720298"/>
    <w:rsid w:val="00722016"/>
    <w:rsid w:val="00740912"/>
    <w:rsid w:val="00765C6A"/>
    <w:rsid w:val="00771937"/>
    <w:rsid w:val="007770B9"/>
    <w:rsid w:val="00783BF1"/>
    <w:rsid w:val="0078434F"/>
    <w:rsid w:val="00794D78"/>
    <w:rsid w:val="007960E2"/>
    <w:rsid w:val="007A3D50"/>
    <w:rsid w:val="007A6432"/>
    <w:rsid w:val="007B447B"/>
    <w:rsid w:val="007B4F8C"/>
    <w:rsid w:val="007B56A8"/>
    <w:rsid w:val="007C336D"/>
    <w:rsid w:val="007D75EA"/>
    <w:rsid w:val="007E41E1"/>
    <w:rsid w:val="007E693C"/>
    <w:rsid w:val="007F0031"/>
    <w:rsid w:val="007F0D50"/>
    <w:rsid w:val="008101B0"/>
    <w:rsid w:val="00832A6A"/>
    <w:rsid w:val="00836ADE"/>
    <w:rsid w:val="00840120"/>
    <w:rsid w:val="0086378C"/>
    <w:rsid w:val="00865765"/>
    <w:rsid w:val="008835C4"/>
    <w:rsid w:val="0089047A"/>
    <w:rsid w:val="00897157"/>
    <w:rsid w:val="008A3D1C"/>
    <w:rsid w:val="008B06D7"/>
    <w:rsid w:val="008B2F6D"/>
    <w:rsid w:val="008E32E1"/>
    <w:rsid w:val="008E35D6"/>
    <w:rsid w:val="008F0F89"/>
    <w:rsid w:val="008F7B09"/>
    <w:rsid w:val="00912E62"/>
    <w:rsid w:val="00915D24"/>
    <w:rsid w:val="00920BBE"/>
    <w:rsid w:val="00942570"/>
    <w:rsid w:val="00945D54"/>
    <w:rsid w:val="00951CC9"/>
    <w:rsid w:val="00954599"/>
    <w:rsid w:val="00955EB1"/>
    <w:rsid w:val="009560C3"/>
    <w:rsid w:val="00956C52"/>
    <w:rsid w:val="009578D0"/>
    <w:rsid w:val="00960CD5"/>
    <w:rsid w:val="00967D90"/>
    <w:rsid w:val="00971408"/>
    <w:rsid w:val="00971607"/>
    <w:rsid w:val="009E29D9"/>
    <w:rsid w:val="009E2E7C"/>
    <w:rsid w:val="00A04524"/>
    <w:rsid w:val="00A16161"/>
    <w:rsid w:val="00A27335"/>
    <w:rsid w:val="00A37958"/>
    <w:rsid w:val="00A415D7"/>
    <w:rsid w:val="00A42896"/>
    <w:rsid w:val="00A54124"/>
    <w:rsid w:val="00A6681F"/>
    <w:rsid w:val="00A70CB4"/>
    <w:rsid w:val="00A73DF1"/>
    <w:rsid w:val="00A7780E"/>
    <w:rsid w:val="00AB0685"/>
    <w:rsid w:val="00AC1B1F"/>
    <w:rsid w:val="00AD2808"/>
    <w:rsid w:val="00AD30B8"/>
    <w:rsid w:val="00AD66C8"/>
    <w:rsid w:val="00AE2F1A"/>
    <w:rsid w:val="00AF0DF7"/>
    <w:rsid w:val="00AF11FE"/>
    <w:rsid w:val="00AF2A77"/>
    <w:rsid w:val="00AF2E94"/>
    <w:rsid w:val="00AF6865"/>
    <w:rsid w:val="00B05DF8"/>
    <w:rsid w:val="00B12892"/>
    <w:rsid w:val="00B22FCD"/>
    <w:rsid w:val="00B436C8"/>
    <w:rsid w:val="00B561AA"/>
    <w:rsid w:val="00B85DD8"/>
    <w:rsid w:val="00B86039"/>
    <w:rsid w:val="00B94442"/>
    <w:rsid w:val="00BC7E1F"/>
    <w:rsid w:val="00BD12C5"/>
    <w:rsid w:val="00BD39A2"/>
    <w:rsid w:val="00BD5229"/>
    <w:rsid w:val="00BD52A5"/>
    <w:rsid w:val="00BE1B40"/>
    <w:rsid w:val="00C0494E"/>
    <w:rsid w:val="00C112BF"/>
    <w:rsid w:val="00C14ED7"/>
    <w:rsid w:val="00C247F6"/>
    <w:rsid w:val="00C24A5C"/>
    <w:rsid w:val="00C24F68"/>
    <w:rsid w:val="00C540DB"/>
    <w:rsid w:val="00C61D86"/>
    <w:rsid w:val="00C67105"/>
    <w:rsid w:val="00C8094D"/>
    <w:rsid w:val="00C8228E"/>
    <w:rsid w:val="00C92201"/>
    <w:rsid w:val="00CA490C"/>
    <w:rsid w:val="00CA6CCF"/>
    <w:rsid w:val="00CB076A"/>
    <w:rsid w:val="00CB4731"/>
    <w:rsid w:val="00CC4088"/>
    <w:rsid w:val="00CF4F7C"/>
    <w:rsid w:val="00CF539F"/>
    <w:rsid w:val="00D001FA"/>
    <w:rsid w:val="00D00B70"/>
    <w:rsid w:val="00D2058E"/>
    <w:rsid w:val="00D21CE9"/>
    <w:rsid w:val="00D2234A"/>
    <w:rsid w:val="00D23583"/>
    <w:rsid w:val="00D357B3"/>
    <w:rsid w:val="00D364E4"/>
    <w:rsid w:val="00D40149"/>
    <w:rsid w:val="00D44BA0"/>
    <w:rsid w:val="00D6535F"/>
    <w:rsid w:val="00D66489"/>
    <w:rsid w:val="00D67E9B"/>
    <w:rsid w:val="00D77A43"/>
    <w:rsid w:val="00D82E22"/>
    <w:rsid w:val="00DA6B07"/>
    <w:rsid w:val="00DB0F06"/>
    <w:rsid w:val="00DB1DB9"/>
    <w:rsid w:val="00DC63B1"/>
    <w:rsid w:val="00DD278D"/>
    <w:rsid w:val="00DE6FAA"/>
    <w:rsid w:val="00DF5657"/>
    <w:rsid w:val="00DF5E99"/>
    <w:rsid w:val="00E00740"/>
    <w:rsid w:val="00E07F77"/>
    <w:rsid w:val="00E12F92"/>
    <w:rsid w:val="00E446B8"/>
    <w:rsid w:val="00E4524D"/>
    <w:rsid w:val="00E540FD"/>
    <w:rsid w:val="00E74A56"/>
    <w:rsid w:val="00E9145C"/>
    <w:rsid w:val="00EA2E8C"/>
    <w:rsid w:val="00EB0D4F"/>
    <w:rsid w:val="00EB5E31"/>
    <w:rsid w:val="00EC48BE"/>
    <w:rsid w:val="00ED0937"/>
    <w:rsid w:val="00ED0A3B"/>
    <w:rsid w:val="00ED0D89"/>
    <w:rsid w:val="00ED118B"/>
    <w:rsid w:val="00EF79DF"/>
    <w:rsid w:val="00F07EF9"/>
    <w:rsid w:val="00F26047"/>
    <w:rsid w:val="00F34A49"/>
    <w:rsid w:val="00F50880"/>
    <w:rsid w:val="00F535B9"/>
    <w:rsid w:val="00F5391F"/>
    <w:rsid w:val="00F71B1B"/>
    <w:rsid w:val="00F80C59"/>
    <w:rsid w:val="00FE0114"/>
    <w:rsid w:val="00FE18E9"/>
    <w:rsid w:val="00FF12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6BAEB"/>
  <w15:docId w15:val="{089D69DA-B710-453E-BA01-085DAD48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10D"/>
    <w:rPr>
      <w:rFonts w:ascii="Cambria" w:hAnsi="Cambria"/>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5010D"/>
    <w:pPr>
      <w:keepNext/>
      <w:keepLines/>
      <w:spacing w:before="120" w:after="6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5010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5E5F17"/>
    <w:rPr>
      <w:rFonts w:asciiTheme="minorHAnsi" w:hAnsiTheme="minorHAnsi"/>
      <w:b/>
      <w:bCs/>
    </w:rPr>
  </w:style>
  <w:style w:type="character" w:customStyle="1" w:styleId="CommentSubjectChar">
    <w:name w:val="Comment Subject Char"/>
    <w:basedOn w:val="CommentTextChar"/>
    <w:link w:val="CommentSubject"/>
    <w:uiPriority w:val="99"/>
    <w:semiHidden/>
    <w:rsid w:val="005E5F17"/>
    <w:rPr>
      <w:rFonts w:ascii="Cambria" w:hAnsi="Cambria"/>
      <w:b/>
      <w:bCs/>
      <w:sz w:val="20"/>
      <w:szCs w:val="20"/>
    </w:rPr>
  </w:style>
  <w:style w:type="paragraph" w:customStyle="1" w:styleId="Default">
    <w:name w:val="Default"/>
    <w:rsid w:val="009578D0"/>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unhideWhenUsed/>
    <w:rsid w:val="0051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6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ga.gov.au/reporting-problem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Khu\OneDrive%20-%20CAPITAL%20K%20CONSULTING%20PTY%20LTD\Cequa\Submission\pi-template-new-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4AAD1DBFF614B838A39C8939D29D7" ma:contentTypeVersion="9" ma:contentTypeDescription="Create a new document." ma:contentTypeScope="" ma:versionID="269533b287bbe16dfc314c2f6ae1d534">
  <xsd:schema xmlns:xsd="http://www.w3.org/2001/XMLSchema" xmlns:xs="http://www.w3.org/2001/XMLSchema" xmlns:p="http://schemas.microsoft.com/office/2006/metadata/properties" xmlns:ns2="1741c4b9-69f4-4730-97a3-6d1739910d43" targetNamespace="http://schemas.microsoft.com/office/2006/metadata/properties" ma:root="true" ma:fieldsID="6fab84a40e67bc9b673b2be0a749668a" ns2:_="">
    <xsd:import namespace="1741c4b9-69f4-4730-97a3-6d1739910d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c4b9-69f4-4730-97a3-6d1739910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91A4B-1B5F-4C1A-B784-3593143F630D}">
  <ds:schemaRefs>
    <ds:schemaRef ds:uri="http://schemas.microsoft.com/sharepoint/v3/contenttype/forms"/>
  </ds:schemaRefs>
</ds:datastoreItem>
</file>

<file path=customXml/itemProps2.xml><?xml version="1.0" encoding="utf-8"?>
<ds:datastoreItem xmlns:ds="http://schemas.openxmlformats.org/officeDocument/2006/customXml" ds:itemID="{4E60D272-9A7A-4534-8849-17428B2BE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1c4b9-69f4-4730-97a3-6d1739910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8C920-6AD1-4AFE-AE16-22627540F8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pi-template-new-format</Template>
  <TotalTime>29</TotalTime>
  <Pages>8</Pages>
  <Words>2330</Words>
  <Characters>12938</Characters>
  <Application>Microsoft Office Word</Application>
  <DocSecurity>0</DocSecurity>
  <Lines>404</Lines>
  <Paragraphs>288</Paragraphs>
  <ScaleCrop>false</ScaleCrop>
  <HeadingPairs>
    <vt:vector size="2" baseType="variant">
      <vt:variant>
        <vt:lpstr>Title</vt:lpstr>
      </vt:variant>
      <vt:variant>
        <vt:i4>1</vt:i4>
      </vt:variant>
    </vt:vector>
  </HeadingPairs>
  <TitlesOfParts>
    <vt:vector size="1" baseType="lpstr">
      <vt:lpstr>Attachment: Product Information for Ciclosporin</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Ciclosporin</dc:title>
  <dc:creator>n/a</dc:creator>
  <cp:lastPrinted>2020-01-21T23:59:00Z</cp:lastPrinted>
  <dcterms:created xsi:type="dcterms:W3CDTF">2020-02-03T21:00:00Z</dcterms:created>
  <dcterms:modified xsi:type="dcterms:W3CDTF">2020-05-13T01:18:00Z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0x0101007C14AAD1DBFF614B838A39C8939D29D7</vt:lpwstr>
  </property>
  <property fmtid="{D5CDD505-2E9C-101B-9397-08002B2CF9AE}" pid="3" name="Order">
    <vt:r8>121800</vt:r8>
  </property>
</Properties>
</file>