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3EBF6DD3" w14:textId="77777777" w:rsidTr="00BF1190">
        <w:trPr>
          <w:trHeight w:val="1863"/>
        </w:trPr>
        <w:tc>
          <w:tcPr>
            <w:tcW w:w="3652" w:type="dxa"/>
            <w:tcBorders>
              <w:top w:val="nil"/>
              <w:left w:val="nil"/>
              <w:bottom w:val="nil"/>
              <w:right w:val="nil"/>
            </w:tcBorders>
          </w:tcPr>
          <w:p w14:paraId="725B9711" w14:textId="1464A1F4" w:rsidR="008E7846" w:rsidRPr="00096AA7" w:rsidRDefault="008B416E" w:rsidP="00096AA7">
            <w:pPr>
              <w:rPr>
                <w:rFonts w:ascii="Arial" w:hAnsi="Arial" w:cs="Arial"/>
                <w:b/>
                <w:color w:val="002C47"/>
                <w:sz w:val="36"/>
                <w:szCs w:val="36"/>
              </w:rPr>
            </w:pPr>
            <w:r>
              <w:rPr>
                <w:rFonts w:ascii="Arial" w:hAnsi="Arial" w:cs="Arial"/>
                <w:b/>
                <w:color w:val="002C47"/>
                <w:sz w:val="36"/>
                <w:szCs w:val="36"/>
              </w:rPr>
              <w:t>September</w:t>
            </w:r>
            <w:r w:rsidR="00FB5255">
              <w:rPr>
                <w:rFonts w:ascii="Arial" w:hAnsi="Arial" w:cs="Arial"/>
                <w:b/>
                <w:color w:val="002C47"/>
                <w:sz w:val="36"/>
                <w:szCs w:val="36"/>
              </w:rPr>
              <w:t xml:space="preserve"> </w:t>
            </w:r>
            <w:r w:rsidR="000036FA">
              <w:rPr>
                <w:rFonts w:ascii="Arial" w:hAnsi="Arial" w:cs="Arial"/>
                <w:b/>
                <w:color w:val="002C47"/>
                <w:sz w:val="36"/>
                <w:szCs w:val="36"/>
              </w:rPr>
              <w:t>2021</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7B78C780" w14:textId="77777777" w:rsidTr="0032583B">
        <w:trPr>
          <w:trHeight w:val="868"/>
        </w:trPr>
        <w:tc>
          <w:tcPr>
            <w:tcW w:w="9079" w:type="dxa"/>
          </w:tcPr>
          <w:p w14:paraId="50E4FADD" w14:textId="77777777" w:rsidR="0032583B" w:rsidRPr="00A964D1" w:rsidRDefault="0032583B" w:rsidP="000036FA">
            <w:pPr>
              <w:pStyle w:val="Title"/>
              <w:rPr>
                <w:color w:val="FFFFFF" w:themeColor="background1"/>
              </w:rPr>
            </w:pPr>
            <w:r w:rsidRPr="00A964D1">
              <w:rPr>
                <w:color w:val="FFFFFF" w:themeColor="background1"/>
              </w:rPr>
              <w:t>Australia</w:t>
            </w:r>
            <w:r w:rsidR="000036FA">
              <w:rPr>
                <w:color w:val="FFFFFF" w:themeColor="background1"/>
              </w:rPr>
              <w:t>n Public Assessment Report for Chlormethine hydrochloride</w:t>
            </w:r>
          </w:p>
        </w:tc>
      </w:tr>
      <w:tr w:rsidR="0032583B" w:rsidRPr="00B64760" w14:paraId="4F2465E6" w14:textId="77777777" w:rsidTr="0032583B">
        <w:tc>
          <w:tcPr>
            <w:tcW w:w="9079" w:type="dxa"/>
          </w:tcPr>
          <w:p w14:paraId="638A63D2" w14:textId="77777777" w:rsidR="0032583B" w:rsidRPr="008E7846" w:rsidRDefault="000036FA" w:rsidP="000036FA">
            <w:pPr>
              <w:pStyle w:val="Subtitle"/>
              <w:rPr>
                <w:color w:val="FFFFFF" w:themeColor="background1"/>
              </w:rPr>
            </w:pPr>
            <w:r>
              <w:rPr>
                <w:color w:val="FFFFFF" w:themeColor="background1"/>
              </w:rPr>
              <w:t xml:space="preserve">Proprietary Product Name: </w:t>
            </w:r>
            <w:proofErr w:type="spellStart"/>
            <w:r>
              <w:rPr>
                <w:color w:val="FFFFFF" w:themeColor="background1"/>
              </w:rPr>
              <w:t>Ledaga</w:t>
            </w:r>
            <w:proofErr w:type="spellEnd"/>
          </w:p>
        </w:tc>
      </w:tr>
      <w:tr w:rsidR="0032583B" w:rsidRPr="00E07380" w14:paraId="618D2ACC" w14:textId="77777777" w:rsidTr="0032583B">
        <w:trPr>
          <w:trHeight w:val="486"/>
        </w:trPr>
        <w:tc>
          <w:tcPr>
            <w:tcW w:w="9079" w:type="dxa"/>
          </w:tcPr>
          <w:p w14:paraId="42661700" w14:textId="77777777" w:rsidR="0032583B" w:rsidRPr="00C91574" w:rsidRDefault="000036FA" w:rsidP="0032583B">
            <w:pPr>
              <w:pStyle w:val="Subtitle"/>
              <w:rPr>
                <w:color w:val="FFFFFF" w:themeColor="background1"/>
                <w:lang w:val="it-CH"/>
              </w:rPr>
            </w:pPr>
            <w:r w:rsidRPr="00C91574">
              <w:rPr>
                <w:color w:val="FFFFFF" w:themeColor="background1"/>
                <w:lang w:val="it-CH"/>
              </w:rPr>
              <w:t>Sponsor: Recordati Rare Disease Australia Pty Ltd</w:t>
            </w:r>
          </w:p>
        </w:tc>
      </w:tr>
    </w:tbl>
    <w:p w14:paraId="7FAFBF1A" w14:textId="77777777" w:rsidR="008E7846" w:rsidRPr="00C91574" w:rsidRDefault="008E7846" w:rsidP="0085156D">
      <w:pPr>
        <w:rPr>
          <w:lang w:val="it-CH"/>
        </w:rPr>
      </w:pPr>
      <w:r w:rsidRPr="00C91574">
        <w:rPr>
          <w:lang w:val="it-CH"/>
        </w:rPr>
        <w:br w:type="page"/>
      </w:r>
    </w:p>
    <w:p w14:paraId="14435756" w14:textId="77777777" w:rsidR="008E7846" w:rsidRPr="001F6CBA" w:rsidRDefault="008E7846" w:rsidP="008E7846">
      <w:pPr>
        <w:pStyle w:val="NonTOCHeading2"/>
      </w:pPr>
      <w:r w:rsidRPr="001F6CBA">
        <w:lastRenderedPageBreak/>
        <w:t>About the Therapeutic Goods Administration (TGA)</w:t>
      </w:r>
    </w:p>
    <w:p w14:paraId="767A40B3" w14:textId="77777777"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4B1117A6" w14:textId="77777777"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14:paraId="69C5289F" w14:textId="77777777"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14:paraId="4BB45C7D" w14:textId="77777777"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14:paraId="614D037F" w14:textId="6C37036C"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11" w:history="1">
        <w:r w:rsidR="00441C3F">
          <w:rPr>
            <w:rStyle w:val="Hyperlink"/>
          </w:rPr>
          <w:t>https://www.tga.gov.au</w:t>
        </w:r>
      </w:hyperlink>
      <w:r w:rsidR="00441C3F">
        <w:t>&gt;.</w:t>
      </w:r>
    </w:p>
    <w:p w14:paraId="628C020A" w14:textId="77777777" w:rsidR="008E7846" w:rsidRDefault="008E7846" w:rsidP="00875A6B">
      <w:pPr>
        <w:pStyle w:val="NonTOCHeading2"/>
      </w:pPr>
      <w:r>
        <w:t xml:space="preserve">About </w:t>
      </w:r>
      <w:proofErr w:type="spellStart"/>
      <w:r>
        <w:t>AusPARs</w:t>
      </w:r>
      <w:proofErr w:type="spellEnd"/>
    </w:p>
    <w:p w14:paraId="303730D8" w14:textId="77777777" w:rsidR="008E7846" w:rsidRDefault="008E7846" w:rsidP="008E7846">
      <w:pPr>
        <w:pStyle w:val="ListBullet"/>
        <w:numPr>
          <w:ilvl w:val="0"/>
          <w:numId w:val="3"/>
        </w:numPr>
        <w:ind w:left="357" w:hanging="357"/>
      </w:pPr>
      <w:r>
        <w:t>An Australian Public Assessment Re</w:t>
      </w:r>
      <w:r w:rsidR="00133A1B">
        <w:t>port</w:t>
      </w:r>
      <w:r>
        <w:t xml:space="preserve"> (</w:t>
      </w:r>
      <w:proofErr w:type="spellStart"/>
      <w:r>
        <w:t>AusPAR</w:t>
      </w:r>
      <w:proofErr w:type="spellEnd"/>
      <w:r>
        <w:t>) provides information about the evaluation of a prescription medicine and the considerations that led the TGA to approve or not approve a pr</w:t>
      </w:r>
      <w:r w:rsidR="00441C3F">
        <w:t>escription medicine submission.</w:t>
      </w:r>
    </w:p>
    <w:p w14:paraId="5059A7EF" w14:textId="77777777" w:rsidR="008E7846" w:rsidRDefault="008E7846" w:rsidP="008E7846">
      <w:pPr>
        <w:pStyle w:val="ListBullet"/>
        <w:numPr>
          <w:ilvl w:val="0"/>
          <w:numId w:val="3"/>
        </w:numPr>
        <w:ind w:left="357" w:hanging="357"/>
      </w:pPr>
      <w:proofErr w:type="spellStart"/>
      <w:r>
        <w:t>AusPARs</w:t>
      </w:r>
      <w:proofErr w:type="spellEnd"/>
      <w:r>
        <w:t xml:space="preserve"> are prepared and published by the TGA.</w:t>
      </w:r>
    </w:p>
    <w:p w14:paraId="1A8C5105" w14:textId="77777777" w:rsidR="008E7846" w:rsidRDefault="008E7846" w:rsidP="008E7846">
      <w:pPr>
        <w:pStyle w:val="ListBullet"/>
        <w:numPr>
          <w:ilvl w:val="0"/>
          <w:numId w:val="3"/>
        </w:numPr>
        <w:ind w:left="357" w:hanging="357"/>
      </w:pPr>
      <w:r>
        <w:t xml:space="preserve">An </w:t>
      </w:r>
      <w:proofErr w:type="spellStart"/>
      <w:r>
        <w:t>AusPAR</w:t>
      </w:r>
      <w:proofErr w:type="spellEnd"/>
      <w:r>
        <w:t xml:space="preserve"> is prepared for submissions that relate to new chemical entities, generic medicines, major variations and extensions of indications.</w:t>
      </w:r>
    </w:p>
    <w:p w14:paraId="140CF473" w14:textId="77777777" w:rsidR="008E7846" w:rsidRDefault="008E7846" w:rsidP="008E7846">
      <w:pPr>
        <w:pStyle w:val="ListBullet"/>
        <w:numPr>
          <w:ilvl w:val="0"/>
          <w:numId w:val="3"/>
        </w:numPr>
        <w:ind w:left="357" w:hanging="357"/>
      </w:pPr>
      <w:r>
        <w:t xml:space="preserve">An </w:t>
      </w:r>
      <w:proofErr w:type="spellStart"/>
      <w:r>
        <w:t>AusPAR</w:t>
      </w:r>
      <w:proofErr w:type="spellEnd"/>
      <w:r>
        <w:t xml:space="preserve"> is a static document</w:t>
      </w:r>
      <w:r w:rsidR="00133A1B">
        <w:t>;</w:t>
      </w:r>
      <w:r>
        <w:t xml:space="preserve"> it provide</w:t>
      </w:r>
      <w:r w:rsidR="00133A1B">
        <w:t>s</w:t>
      </w:r>
      <w:r>
        <w:t xml:space="preserve"> information that relates to a submission at a particular point in time.</w:t>
      </w:r>
    </w:p>
    <w:p w14:paraId="500AAC21" w14:textId="77777777" w:rsidR="00B452CE" w:rsidRDefault="008E7846" w:rsidP="00FF5755">
      <w:pPr>
        <w:pStyle w:val="ListBullet"/>
        <w:numPr>
          <w:ilvl w:val="0"/>
          <w:numId w:val="3"/>
        </w:numPr>
        <w:ind w:left="357" w:hanging="357"/>
      </w:pPr>
      <w:r>
        <w:t xml:space="preserve">A new </w:t>
      </w:r>
      <w:proofErr w:type="spellStart"/>
      <w:r>
        <w:t>AusPAR</w:t>
      </w:r>
      <w:proofErr w:type="spellEnd"/>
      <w:r>
        <w:t xml:space="preserve"> will be developed to reflect changes to indications and/or major variations to a prescription medicine subject to evaluation by the TGA.</w:t>
      </w:r>
    </w:p>
    <w:p w14:paraId="447A4B59" w14:textId="77777777" w:rsidR="00924482" w:rsidRPr="00DF1D7F" w:rsidRDefault="00924482" w:rsidP="00F54B65">
      <w:pPr>
        <w:pStyle w:val="LegalSubheading"/>
        <w:spacing w:before="3120"/>
      </w:pPr>
      <w:r w:rsidRPr="00DF1D7F">
        <w:t>Copyright</w:t>
      </w:r>
    </w:p>
    <w:p w14:paraId="22A97B9C" w14:textId="158B2F83" w:rsidR="00924482" w:rsidRDefault="00924482" w:rsidP="00924482">
      <w:pPr>
        <w:pStyle w:val="LegalCopy"/>
      </w:pPr>
      <w:r w:rsidRPr="00191B3B">
        <w:rPr>
          <w:rFonts w:cs="Arial"/>
          <w:lang w:val="en-GB"/>
        </w:rPr>
        <w:t>© Comm</w:t>
      </w:r>
      <w:r>
        <w:rPr>
          <w:rFonts w:cs="Arial"/>
          <w:lang w:val="en-GB"/>
        </w:rPr>
        <w:t>onwealth of Australia 20</w:t>
      </w:r>
      <w:r w:rsidR="00460036">
        <w:rPr>
          <w:rFonts w:cs="Arial"/>
          <w:lang w:val="en-GB"/>
        </w:rPr>
        <w:t>2</w:t>
      </w:r>
      <w:r w:rsidR="00324E45">
        <w:rPr>
          <w:rFonts w:cs="Arial"/>
          <w:lang w:val="en-GB"/>
        </w:rPr>
        <w:t>1</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2" w:history="1">
        <w:r w:rsidRPr="00191B3B">
          <w:rPr>
            <w:rStyle w:val="Hyperlink"/>
            <w:rFonts w:cs="Arial"/>
            <w:lang w:val="en-GB"/>
          </w:rPr>
          <w:t>tga.copyright@tga.gov.au</w:t>
        </w:r>
      </w:hyperlink>
      <w:r w:rsidRPr="00191B3B">
        <w:rPr>
          <w:rFonts w:cs="Arial"/>
        </w:rPr>
        <w:t>&gt;.</w:t>
      </w:r>
    </w:p>
    <w:p w14:paraId="5AF7E730" w14:textId="77777777" w:rsidR="00924482" w:rsidRDefault="00924482" w:rsidP="00924482">
      <w:pPr>
        <w:pStyle w:val="LegalCopy"/>
        <w:sectPr w:rsidR="00924482" w:rsidSect="003D1E62">
          <w:headerReference w:type="even" r:id="rId13"/>
          <w:headerReference w:type="default" r:id="rId14"/>
          <w:footerReference w:type="even" r:id="rId15"/>
          <w:footerReference w:type="default" r:id="rId16"/>
          <w:headerReference w:type="first" r:id="rId17"/>
          <w:footerReference w:type="first" r:id="rId18"/>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736CFC45" w14:textId="77777777" w:rsidR="0089635C" w:rsidRPr="0089635C" w:rsidRDefault="0089635C" w:rsidP="0010788A">
          <w:pPr>
            <w:pStyle w:val="Contents"/>
          </w:pPr>
          <w:r w:rsidRPr="0010788A">
            <w:t>Contents</w:t>
          </w:r>
        </w:p>
        <w:p w14:paraId="7492F85D" w14:textId="4B713D7C" w:rsidR="001F50F7" w:rsidRDefault="00C525A2">
          <w:pPr>
            <w:pStyle w:val="TOC1"/>
            <w:rPr>
              <w:rFonts w:asciiTheme="minorHAnsi" w:eastAsiaTheme="minorEastAsia" w:hAnsiTheme="minorHAnsi" w:cstheme="minorBidi"/>
              <w:b w:val="0"/>
              <w:noProof/>
              <w:sz w:val="22"/>
              <w:lang w:eastAsia="en-AU"/>
            </w:rPr>
          </w:pPr>
          <w:r>
            <w:fldChar w:fldCharType="begin"/>
          </w:r>
          <w:r>
            <w:instrText xml:space="preserve"> TOC \h \z \t "Heading 2,1,Heading 3,2" </w:instrText>
          </w:r>
          <w:r>
            <w:fldChar w:fldCharType="separate"/>
          </w:r>
          <w:hyperlink w:anchor="_Toc83118503" w:history="1">
            <w:r w:rsidR="001F50F7" w:rsidRPr="00793A2E">
              <w:rPr>
                <w:rStyle w:val="Hyperlink"/>
                <w:noProof/>
              </w:rPr>
              <w:t>List of abbreviations</w:t>
            </w:r>
            <w:r w:rsidR="001F50F7">
              <w:rPr>
                <w:noProof/>
                <w:webHidden/>
              </w:rPr>
              <w:tab/>
            </w:r>
            <w:r w:rsidR="001F50F7">
              <w:rPr>
                <w:noProof/>
                <w:webHidden/>
              </w:rPr>
              <w:fldChar w:fldCharType="begin"/>
            </w:r>
            <w:r w:rsidR="001F50F7">
              <w:rPr>
                <w:noProof/>
                <w:webHidden/>
              </w:rPr>
              <w:instrText xml:space="preserve"> PAGEREF _Toc83118503 \h </w:instrText>
            </w:r>
            <w:r w:rsidR="001F50F7">
              <w:rPr>
                <w:noProof/>
                <w:webHidden/>
              </w:rPr>
            </w:r>
            <w:r w:rsidR="001F50F7">
              <w:rPr>
                <w:noProof/>
                <w:webHidden/>
              </w:rPr>
              <w:fldChar w:fldCharType="separate"/>
            </w:r>
            <w:r w:rsidR="001F50F7">
              <w:rPr>
                <w:noProof/>
                <w:webHidden/>
              </w:rPr>
              <w:t>4</w:t>
            </w:r>
            <w:r w:rsidR="001F50F7">
              <w:rPr>
                <w:noProof/>
                <w:webHidden/>
              </w:rPr>
              <w:fldChar w:fldCharType="end"/>
            </w:r>
          </w:hyperlink>
        </w:p>
        <w:p w14:paraId="454F10C1" w14:textId="4638D0EB" w:rsidR="001F50F7" w:rsidRDefault="001F50F7">
          <w:pPr>
            <w:pStyle w:val="TOC1"/>
            <w:rPr>
              <w:rFonts w:asciiTheme="minorHAnsi" w:eastAsiaTheme="minorEastAsia" w:hAnsiTheme="minorHAnsi" w:cstheme="minorBidi"/>
              <w:b w:val="0"/>
              <w:noProof/>
              <w:sz w:val="22"/>
              <w:lang w:eastAsia="en-AU"/>
            </w:rPr>
          </w:pPr>
          <w:hyperlink w:anchor="_Toc83118504" w:history="1">
            <w:r w:rsidRPr="00793A2E">
              <w:rPr>
                <w:rStyle w:val="Hyperlink"/>
                <w:noProof/>
              </w:rPr>
              <w:t>I. Introduction to product submission</w:t>
            </w:r>
            <w:r>
              <w:rPr>
                <w:noProof/>
                <w:webHidden/>
              </w:rPr>
              <w:tab/>
            </w:r>
            <w:r>
              <w:rPr>
                <w:noProof/>
                <w:webHidden/>
              </w:rPr>
              <w:fldChar w:fldCharType="begin"/>
            </w:r>
            <w:r>
              <w:rPr>
                <w:noProof/>
                <w:webHidden/>
              </w:rPr>
              <w:instrText xml:space="preserve"> PAGEREF _Toc83118504 \h </w:instrText>
            </w:r>
            <w:r>
              <w:rPr>
                <w:noProof/>
                <w:webHidden/>
              </w:rPr>
            </w:r>
            <w:r>
              <w:rPr>
                <w:noProof/>
                <w:webHidden/>
              </w:rPr>
              <w:fldChar w:fldCharType="separate"/>
            </w:r>
            <w:r>
              <w:rPr>
                <w:noProof/>
                <w:webHidden/>
              </w:rPr>
              <w:t>6</w:t>
            </w:r>
            <w:r>
              <w:rPr>
                <w:noProof/>
                <w:webHidden/>
              </w:rPr>
              <w:fldChar w:fldCharType="end"/>
            </w:r>
          </w:hyperlink>
        </w:p>
        <w:p w14:paraId="05429774" w14:textId="3F3E48CD" w:rsidR="001F50F7" w:rsidRDefault="001F50F7">
          <w:pPr>
            <w:pStyle w:val="TOC2"/>
            <w:rPr>
              <w:rFonts w:asciiTheme="minorHAnsi" w:eastAsiaTheme="minorEastAsia" w:hAnsiTheme="minorHAnsi" w:cstheme="minorBidi"/>
              <w:b w:val="0"/>
              <w:noProof/>
              <w:sz w:val="22"/>
              <w:lang w:eastAsia="en-AU"/>
            </w:rPr>
          </w:pPr>
          <w:hyperlink w:anchor="_Toc83118505" w:history="1">
            <w:r w:rsidRPr="00793A2E">
              <w:rPr>
                <w:rStyle w:val="Hyperlink"/>
                <w:noProof/>
                <w:lang w:eastAsia="en-AU"/>
              </w:rPr>
              <w:t>Submission details</w:t>
            </w:r>
            <w:r>
              <w:rPr>
                <w:noProof/>
                <w:webHidden/>
              </w:rPr>
              <w:tab/>
            </w:r>
            <w:r>
              <w:rPr>
                <w:noProof/>
                <w:webHidden/>
              </w:rPr>
              <w:fldChar w:fldCharType="begin"/>
            </w:r>
            <w:r>
              <w:rPr>
                <w:noProof/>
                <w:webHidden/>
              </w:rPr>
              <w:instrText xml:space="preserve"> PAGEREF _Toc83118505 \h </w:instrText>
            </w:r>
            <w:r>
              <w:rPr>
                <w:noProof/>
                <w:webHidden/>
              </w:rPr>
            </w:r>
            <w:r>
              <w:rPr>
                <w:noProof/>
                <w:webHidden/>
              </w:rPr>
              <w:fldChar w:fldCharType="separate"/>
            </w:r>
            <w:r>
              <w:rPr>
                <w:noProof/>
                <w:webHidden/>
              </w:rPr>
              <w:t>6</w:t>
            </w:r>
            <w:r>
              <w:rPr>
                <w:noProof/>
                <w:webHidden/>
              </w:rPr>
              <w:fldChar w:fldCharType="end"/>
            </w:r>
          </w:hyperlink>
        </w:p>
        <w:p w14:paraId="66B900B9" w14:textId="7C1D8E0A" w:rsidR="001F50F7" w:rsidRDefault="001F50F7">
          <w:pPr>
            <w:pStyle w:val="TOC2"/>
            <w:rPr>
              <w:rFonts w:asciiTheme="minorHAnsi" w:eastAsiaTheme="minorEastAsia" w:hAnsiTheme="minorHAnsi" w:cstheme="minorBidi"/>
              <w:b w:val="0"/>
              <w:noProof/>
              <w:sz w:val="22"/>
              <w:lang w:eastAsia="en-AU"/>
            </w:rPr>
          </w:pPr>
          <w:hyperlink w:anchor="_Toc83118506" w:history="1">
            <w:r w:rsidRPr="00793A2E">
              <w:rPr>
                <w:rStyle w:val="Hyperlink"/>
                <w:noProof/>
              </w:rPr>
              <w:t>Product background</w:t>
            </w:r>
            <w:r>
              <w:rPr>
                <w:noProof/>
                <w:webHidden/>
              </w:rPr>
              <w:tab/>
            </w:r>
            <w:r>
              <w:rPr>
                <w:noProof/>
                <w:webHidden/>
              </w:rPr>
              <w:fldChar w:fldCharType="begin"/>
            </w:r>
            <w:r>
              <w:rPr>
                <w:noProof/>
                <w:webHidden/>
              </w:rPr>
              <w:instrText xml:space="preserve"> PAGEREF _Toc83118506 \h </w:instrText>
            </w:r>
            <w:r>
              <w:rPr>
                <w:noProof/>
                <w:webHidden/>
              </w:rPr>
            </w:r>
            <w:r>
              <w:rPr>
                <w:noProof/>
                <w:webHidden/>
              </w:rPr>
              <w:fldChar w:fldCharType="separate"/>
            </w:r>
            <w:r>
              <w:rPr>
                <w:noProof/>
                <w:webHidden/>
              </w:rPr>
              <w:t>7</w:t>
            </w:r>
            <w:r>
              <w:rPr>
                <w:noProof/>
                <w:webHidden/>
              </w:rPr>
              <w:fldChar w:fldCharType="end"/>
            </w:r>
          </w:hyperlink>
        </w:p>
        <w:p w14:paraId="625DB343" w14:textId="74D4A509" w:rsidR="001F50F7" w:rsidRDefault="001F50F7">
          <w:pPr>
            <w:pStyle w:val="TOC2"/>
            <w:rPr>
              <w:rFonts w:asciiTheme="minorHAnsi" w:eastAsiaTheme="minorEastAsia" w:hAnsiTheme="minorHAnsi" w:cstheme="minorBidi"/>
              <w:b w:val="0"/>
              <w:noProof/>
              <w:sz w:val="22"/>
              <w:lang w:eastAsia="en-AU"/>
            </w:rPr>
          </w:pPr>
          <w:hyperlink w:anchor="_Toc83118507" w:history="1">
            <w:r w:rsidRPr="00793A2E">
              <w:rPr>
                <w:rStyle w:val="Hyperlink"/>
                <w:noProof/>
              </w:rPr>
              <w:t>Regulatory status</w:t>
            </w:r>
            <w:r>
              <w:rPr>
                <w:noProof/>
                <w:webHidden/>
              </w:rPr>
              <w:tab/>
            </w:r>
            <w:r>
              <w:rPr>
                <w:noProof/>
                <w:webHidden/>
              </w:rPr>
              <w:fldChar w:fldCharType="begin"/>
            </w:r>
            <w:r>
              <w:rPr>
                <w:noProof/>
                <w:webHidden/>
              </w:rPr>
              <w:instrText xml:space="preserve"> PAGEREF _Toc83118507 \h </w:instrText>
            </w:r>
            <w:r>
              <w:rPr>
                <w:noProof/>
                <w:webHidden/>
              </w:rPr>
            </w:r>
            <w:r>
              <w:rPr>
                <w:noProof/>
                <w:webHidden/>
              </w:rPr>
              <w:fldChar w:fldCharType="separate"/>
            </w:r>
            <w:r>
              <w:rPr>
                <w:noProof/>
                <w:webHidden/>
              </w:rPr>
              <w:t>9</w:t>
            </w:r>
            <w:r>
              <w:rPr>
                <w:noProof/>
                <w:webHidden/>
              </w:rPr>
              <w:fldChar w:fldCharType="end"/>
            </w:r>
          </w:hyperlink>
        </w:p>
        <w:p w14:paraId="3FB30D6C" w14:textId="14ABD9E0" w:rsidR="001F50F7" w:rsidRDefault="001F50F7">
          <w:pPr>
            <w:pStyle w:val="TOC2"/>
            <w:rPr>
              <w:rFonts w:asciiTheme="minorHAnsi" w:eastAsiaTheme="minorEastAsia" w:hAnsiTheme="minorHAnsi" w:cstheme="minorBidi"/>
              <w:b w:val="0"/>
              <w:noProof/>
              <w:sz w:val="22"/>
              <w:lang w:eastAsia="en-AU"/>
            </w:rPr>
          </w:pPr>
          <w:hyperlink w:anchor="_Toc83118508" w:history="1">
            <w:r w:rsidRPr="00793A2E">
              <w:rPr>
                <w:rStyle w:val="Hyperlink"/>
                <w:noProof/>
              </w:rPr>
              <w:t>Product Information</w:t>
            </w:r>
            <w:r>
              <w:rPr>
                <w:noProof/>
                <w:webHidden/>
              </w:rPr>
              <w:tab/>
            </w:r>
            <w:r>
              <w:rPr>
                <w:noProof/>
                <w:webHidden/>
              </w:rPr>
              <w:fldChar w:fldCharType="begin"/>
            </w:r>
            <w:r>
              <w:rPr>
                <w:noProof/>
                <w:webHidden/>
              </w:rPr>
              <w:instrText xml:space="preserve"> PAGEREF _Toc83118508 \h </w:instrText>
            </w:r>
            <w:r>
              <w:rPr>
                <w:noProof/>
                <w:webHidden/>
              </w:rPr>
            </w:r>
            <w:r>
              <w:rPr>
                <w:noProof/>
                <w:webHidden/>
              </w:rPr>
              <w:fldChar w:fldCharType="separate"/>
            </w:r>
            <w:r>
              <w:rPr>
                <w:noProof/>
                <w:webHidden/>
              </w:rPr>
              <w:t>10</w:t>
            </w:r>
            <w:r>
              <w:rPr>
                <w:noProof/>
                <w:webHidden/>
              </w:rPr>
              <w:fldChar w:fldCharType="end"/>
            </w:r>
          </w:hyperlink>
        </w:p>
        <w:p w14:paraId="5316BA48" w14:textId="6A0BF846" w:rsidR="001F50F7" w:rsidRDefault="001F50F7">
          <w:pPr>
            <w:pStyle w:val="TOC1"/>
            <w:rPr>
              <w:rFonts w:asciiTheme="minorHAnsi" w:eastAsiaTheme="minorEastAsia" w:hAnsiTheme="minorHAnsi" w:cstheme="minorBidi"/>
              <w:b w:val="0"/>
              <w:noProof/>
              <w:sz w:val="22"/>
              <w:lang w:eastAsia="en-AU"/>
            </w:rPr>
          </w:pPr>
          <w:hyperlink w:anchor="_Toc83118509" w:history="1">
            <w:r w:rsidRPr="00793A2E">
              <w:rPr>
                <w:rStyle w:val="Hyperlink"/>
                <w:noProof/>
              </w:rPr>
              <w:t>II. Registration timeline</w:t>
            </w:r>
            <w:r>
              <w:rPr>
                <w:noProof/>
                <w:webHidden/>
              </w:rPr>
              <w:tab/>
            </w:r>
            <w:r>
              <w:rPr>
                <w:noProof/>
                <w:webHidden/>
              </w:rPr>
              <w:fldChar w:fldCharType="begin"/>
            </w:r>
            <w:r>
              <w:rPr>
                <w:noProof/>
                <w:webHidden/>
              </w:rPr>
              <w:instrText xml:space="preserve"> PAGEREF _Toc83118509 \h </w:instrText>
            </w:r>
            <w:r>
              <w:rPr>
                <w:noProof/>
                <w:webHidden/>
              </w:rPr>
            </w:r>
            <w:r>
              <w:rPr>
                <w:noProof/>
                <w:webHidden/>
              </w:rPr>
              <w:fldChar w:fldCharType="separate"/>
            </w:r>
            <w:r>
              <w:rPr>
                <w:noProof/>
                <w:webHidden/>
              </w:rPr>
              <w:t>11</w:t>
            </w:r>
            <w:r>
              <w:rPr>
                <w:noProof/>
                <w:webHidden/>
              </w:rPr>
              <w:fldChar w:fldCharType="end"/>
            </w:r>
          </w:hyperlink>
        </w:p>
        <w:p w14:paraId="29F53207" w14:textId="443CCA5A" w:rsidR="001F50F7" w:rsidRDefault="001F50F7">
          <w:pPr>
            <w:pStyle w:val="TOC1"/>
            <w:rPr>
              <w:rFonts w:asciiTheme="minorHAnsi" w:eastAsiaTheme="minorEastAsia" w:hAnsiTheme="minorHAnsi" w:cstheme="minorBidi"/>
              <w:b w:val="0"/>
              <w:noProof/>
              <w:sz w:val="22"/>
              <w:lang w:eastAsia="en-AU"/>
            </w:rPr>
          </w:pPr>
          <w:hyperlink w:anchor="_Toc83118510" w:history="1">
            <w:r w:rsidRPr="00793A2E">
              <w:rPr>
                <w:rStyle w:val="Hyperlink"/>
                <w:noProof/>
              </w:rPr>
              <w:t>III. Submission overview and risk/benefit assessment</w:t>
            </w:r>
            <w:r>
              <w:rPr>
                <w:noProof/>
                <w:webHidden/>
              </w:rPr>
              <w:tab/>
            </w:r>
            <w:r>
              <w:rPr>
                <w:noProof/>
                <w:webHidden/>
              </w:rPr>
              <w:fldChar w:fldCharType="begin"/>
            </w:r>
            <w:r>
              <w:rPr>
                <w:noProof/>
                <w:webHidden/>
              </w:rPr>
              <w:instrText xml:space="preserve"> PAGEREF _Toc83118510 \h </w:instrText>
            </w:r>
            <w:r>
              <w:rPr>
                <w:noProof/>
                <w:webHidden/>
              </w:rPr>
            </w:r>
            <w:r>
              <w:rPr>
                <w:noProof/>
                <w:webHidden/>
              </w:rPr>
              <w:fldChar w:fldCharType="separate"/>
            </w:r>
            <w:r>
              <w:rPr>
                <w:noProof/>
                <w:webHidden/>
              </w:rPr>
              <w:t>11</w:t>
            </w:r>
            <w:r>
              <w:rPr>
                <w:noProof/>
                <w:webHidden/>
              </w:rPr>
              <w:fldChar w:fldCharType="end"/>
            </w:r>
          </w:hyperlink>
        </w:p>
        <w:p w14:paraId="3E8CF02A" w14:textId="5A52A362" w:rsidR="001F50F7" w:rsidRDefault="001F50F7">
          <w:pPr>
            <w:pStyle w:val="TOC2"/>
            <w:rPr>
              <w:rFonts w:asciiTheme="minorHAnsi" w:eastAsiaTheme="minorEastAsia" w:hAnsiTheme="minorHAnsi" w:cstheme="minorBidi"/>
              <w:b w:val="0"/>
              <w:noProof/>
              <w:sz w:val="22"/>
              <w:lang w:eastAsia="en-AU"/>
            </w:rPr>
          </w:pPr>
          <w:hyperlink w:anchor="_Toc83118511" w:history="1">
            <w:r w:rsidRPr="00793A2E">
              <w:rPr>
                <w:rStyle w:val="Hyperlink"/>
                <w:noProof/>
              </w:rPr>
              <w:t>Quality</w:t>
            </w:r>
            <w:r>
              <w:rPr>
                <w:noProof/>
                <w:webHidden/>
              </w:rPr>
              <w:tab/>
            </w:r>
            <w:r>
              <w:rPr>
                <w:noProof/>
                <w:webHidden/>
              </w:rPr>
              <w:fldChar w:fldCharType="begin"/>
            </w:r>
            <w:r>
              <w:rPr>
                <w:noProof/>
                <w:webHidden/>
              </w:rPr>
              <w:instrText xml:space="preserve"> PAGEREF _Toc83118511 \h </w:instrText>
            </w:r>
            <w:r>
              <w:rPr>
                <w:noProof/>
                <w:webHidden/>
              </w:rPr>
            </w:r>
            <w:r>
              <w:rPr>
                <w:noProof/>
                <w:webHidden/>
              </w:rPr>
              <w:fldChar w:fldCharType="separate"/>
            </w:r>
            <w:r>
              <w:rPr>
                <w:noProof/>
                <w:webHidden/>
              </w:rPr>
              <w:t>11</w:t>
            </w:r>
            <w:r>
              <w:rPr>
                <w:noProof/>
                <w:webHidden/>
              </w:rPr>
              <w:fldChar w:fldCharType="end"/>
            </w:r>
          </w:hyperlink>
        </w:p>
        <w:p w14:paraId="3FE648E2" w14:textId="138780FC" w:rsidR="001F50F7" w:rsidRDefault="001F50F7">
          <w:pPr>
            <w:pStyle w:val="TOC2"/>
            <w:rPr>
              <w:rFonts w:asciiTheme="minorHAnsi" w:eastAsiaTheme="minorEastAsia" w:hAnsiTheme="minorHAnsi" w:cstheme="minorBidi"/>
              <w:b w:val="0"/>
              <w:noProof/>
              <w:sz w:val="22"/>
              <w:lang w:eastAsia="en-AU"/>
            </w:rPr>
          </w:pPr>
          <w:hyperlink w:anchor="_Toc83118512" w:history="1">
            <w:r w:rsidRPr="00793A2E">
              <w:rPr>
                <w:rStyle w:val="Hyperlink"/>
                <w:noProof/>
              </w:rPr>
              <w:t>Nonclinical</w:t>
            </w:r>
            <w:r>
              <w:rPr>
                <w:noProof/>
                <w:webHidden/>
              </w:rPr>
              <w:tab/>
            </w:r>
            <w:r>
              <w:rPr>
                <w:noProof/>
                <w:webHidden/>
              </w:rPr>
              <w:fldChar w:fldCharType="begin"/>
            </w:r>
            <w:r>
              <w:rPr>
                <w:noProof/>
                <w:webHidden/>
              </w:rPr>
              <w:instrText xml:space="preserve"> PAGEREF _Toc83118512 \h </w:instrText>
            </w:r>
            <w:r>
              <w:rPr>
                <w:noProof/>
                <w:webHidden/>
              </w:rPr>
            </w:r>
            <w:r>
              <w:rPr>
                <w:noProof/>
                <w:webHidden/>
              </w:rPr>
              <w:fldChar w:fldCharType="separate"/>
            </w:r>
            <w:r>
              <w:rPr>
                <w:noProof/>
                <w:webHidden/>
              </w:rPr>
              <w:t>12</w:t>
            </w:r>
            <w:r>
              <w:rPr>
                <w:noProof/>
                <w:webHidden/>
              </w:rPr>
              <w:fldChar w:fldCharType="end"/>
            </w:r>
          </w:hyperlink>
        </w:p>
        <w:p w14:paraId="0086E6D7" w14:textId="6E7402E2" w:rsidR="001F50F7" w:rsidRDefault="001F50F7">
          <w:pPr>
            <w:pStyle w:val="TOC2"/>
            <w:rPr>
              <w:rFonts w:asciiTheme="minorHAnsi" w:eastAsiaTheme="minorEastAsia" w:hAnsiTheme="minorHAnsi" w:cstheme="minorBidi"/>
              <w:b w:val="0"/>
              <w:noProof/>
              <w:sz w:val="22"/>
              <w:lang w:eastAsia="en-AU"/>
            </w:rPr>
          </w:pPr>
          <w:hyperlink w:anchor="_Toc83118513" w:history="1">
            <w:r w:rsidRPr="00793A2E">
              <w:rPr>
                <w:rStyle w:val="Hyperlink"/>
                <w:noProof/>
              </w:rPr>
              <w:t>Clinical</w:t>
            </w:r>
            <w:r>
              <w:rPr>
                <w:noProof/>
                <w:webHidden/>
              </w:rPr>
              <w:tab/>
            </w:r>
            <w:r>
              <w:rPr>
                <w:noProof/>
                <w:webHidden/>
              </w:rPr>
              <w:fldChar w:fldCharType="begin"/>
            </w:r>
            <w:r>
              <w:rPr>
                <w:noProof/>
                <w:webHidden/>
              </w:rPr>
              <w:instrText xml:space="preserve"> PAGEREF _Toc83118513 \h </w:instrText>
            </w:r>
            <w:r>
              <w:rPr>
                <w:noProof/>
                <w:webHidden/>
              </w:rPr>
            </w:r>
            <w:r>
              <w:rPr>
                <w:noProof/>
                <w:webHidden/>
              </w:rPr>
              <w:fldChar w:fldCharType="separate"/>
            </w:r>
            <w:r>
              <w:rPr>
                <w:noProof/>
                <w:webHidden/>
              </w:rPr>
              <w:t>12</w:t>
            </w:r>
            <w:r>
              <w:rPr>
                <w:noProof/>
                <w:webHidden/>
              </w:rPr>
              <w:fldChar w:fldCharType="end"/>
            </w:r>
          </w:hyperlink>
        </w:p>
        <w:p w14:paraId="52526653" w14:textId="00EC3616" w:rsidR="001F50F7" w:rsidRDefault="001F50F7">
          <w:pPr>
            <w:pStyle w:val="TOC2"/>
            <w:rPr>
              <w:rFonts w:asciiTheme="minorHAnsi" w:eastAsiaTheme="minorEastAsia" w:hAnsiTheme="minorHAnsi" w:cstheme="minorBidi"/>
              <w:b w:val="0"/>
              <w:noProof/>
              <w:sz w:val="22"/>
              <w:lang w:eastAsia="en-AU"/>
            </w:rPr>
          </w:pPr>
          <w:hyperlink w:anchor="_Toc83118514" w:history="1">
            <w:r w:rsidRPr="00793A2E">
              <w:rPr>
                <w:rStyle w:val="Hyperlink"/>
                <w:noProof/>
                <w:lang w:eastAsia="en-AU"/>
              </w:rPr>
              <w:t>Risk management plan</w:t>
            </w:r>
            <w:r>
              <w:rPr>
                <w:noProof/>
                <w:webHidden/>
              </w:rPr>
              <w:tab/>
            </w:r>
            <w:r>
              <w:rPr>
                <w:noProof/>
                <w:webHidden/>
              </w:rPr>
              <w:fldChar w:fldCharType="begin"/>
            </w:r>
            <w:r>
              <w:rPr>
                <w:noProof/>
                <w:webHidden/>
              </w:rPr>
              <w:instrText xml:space="preserve"> PAGEREF _Toc83118514 \h </w:instrText>
            </w:r>
            <w:r>
              <w:rPr>
                <w:noProof/>
                <w:webHidden/>
              </w:rPr>
            </w:r>
            <w:r>
              <w:rPr>
                <w:noProof/>
                <w:webHidden/>
              </w:rPr>
              <w:fldChar w:fldCharType="separate"/>
            </w:r>
            <w:r>
              <w:rPr>
                <w:noProof/>
                <w:webHidden/>
              </w:rPr>
              <w:t>20</w:t>
            </w:r>
            <w:r>
              <w:rPr>
                <w:noProof/>
                <w:webHidden/>
              </w:rPr>
              <w:fldChar w:fldCharType="end"/>
            </w:r>
          </w:hyperlink>
        </w:p>
        <w:p w14:paraId="3E2C5C0A" w14:textId="72FF01D0" w:rsidR="001F50F7" w:rsidRDefault="001F50F7">
          <w:pPr>
            <w:pStyle w:val="TOC2"/>
            <w:rPr>
              <w:rFonts w:asciiTheme="minorHAnsi" w:eastAsiaTheme="minorEastAsia" w:hAnsiTheme="minorHAnsi" w:cstheme="minorBidi"/>
              <w:b w:val="0"/>
              <w:noProof/>
              <w:sz w:val="22"/>
              <w:lang w:eastAsia="en-AU"/>
            </w:rPr>
          </w:pPr>
          <w:hyperlink w:anchor="_Toc83118515" w:history="1">
            <w:r w:rsidRPr="00793A2E">
              <w:rPr>
                <w:rStyle w:val="Hyperlink"/>
                <w:noProof/>
              </w:rPr>
              <w:t>Risk-benefit analysis</w:t>
            </w:r>
            <w:r>
              <w:rPr>
                <w:noProof/>
                <w:webHidden/>
              </w:rPr>
              <w:tab/>
            </w:r>
            <w:r>
              <w:rPr>
                <w:noProof/>
                <w:webHidden/>
              </w:rPr>
              <w:fldChar w:fldCharType="begin"/>
            </w:r>
            <w:r>
              <w:rPr>
                <w:noProof/>
                <w:webHidden/>
              </w:rPr>
              <w:instrText xml:space="preserve"> PAGEREF _Toc83118515 \h </w:instrText>
            </w:r>
            <w:r>
              <w:rPr>
                <w:noProof/>
                <w:webHidden/>
              </w:rPr>
            </w:r>
            <w:r>
              <w:rPr>
                <w:noProof/>
                <w:webHidden/>
              </w:rPr>
              <w:fldChar w:fldCharType="separate"/>
            </w:r>
            <w:r>
              <w:rPr>
                <w:noProof/>
                <w:webHidden/>
              </w:rPr>
              <w:t>22</w:t>
            </w:r>
            <w:r>
              <w:rPr>
                <w:noProof/>
                <w:webHidden/>
              </w:rPr>
              <w:fldChar w:fldCharType="end"/>
            </w:r>
          </w:hyperlink>
        </w:p>
        <w:p w14:paraId="46D3C16D" w14:textId="1066D17C" w:rsidR="001F50F7" w:rsidRDefault="001F50F7">
          <w:pPr>
            <w:pStyle w:val="TOC2"/>
            <w:rPr>
              <w:rFonts w:asciiTheme="minorHAnsi" w:eastAsiaTheme="minorEastAsia" w:hAnsiTheme="minorHAnsi" w:cstheme="minorBidi"/>
              <w:b w:val="0"/>
              <w:noProof/>
              <w:sz w:val="22"/>
              <w:lang w:eastAsia="en-AU"/>
            </w:rPr>
          </w:pPr>
          <w:hyperlink w:anchor="_Toc83118516" w:history="1">
            <w:r w:rsidRPr="00793A2E">
              <w:rPr>
                <w:rStyle w:val="Hyperlink"/>
                <w:noProof/>
              </w:rPr>
              <w:t>Outcome</w:t>
            </w:r>
            <w:r>
              <w:rPr>
                <w:noProof/>
                <w:webHidden/>
              </w:rPr>
              <w:tab/>
            </w:r>
            <w:r>
              <w:rPr>
                <w:noProof/>
                <w:webHidden/>
              </w:rPr>
              <w:fldChar w:fldCharType="begin"/>
            </w:r>
            <w:r>
              <w:rPr>
                <w:noProof/>
                <w:webHidden/>
              </w:rPr>
              <w:instrText xml:space="preserve"> PAGEREF _Toc83118516 \h </w:instrText>
            </w:r>
            <w:r>
              <w:rPr>
                <w:noProof/>
                <w:webHidden/>
              </w:rPr>
            </w:r>
            <w:r>
              <w:rPr>
                <w:noProof/>
                <w:webHidden/>
              </w:rPr>
              <w:fldChar w:fldCharType="separate"/>
            </w:r>
            <w:r>
              <w:rPr>
                <w:noProof/>
                <w:webHidden/>
              </w:rPr>
              <w:t>24</w:t>
            </w:r>
            <w:r>
              <w:rPr>
                <w:noProof/>
                <w:webHidden/>
              </w:rPr>
              <w:fldChar w:fldCharType="end"/>
            </w:r>
          </w:hyperlink>
        </w:p>
        <w:p w14:paraId="44B04B9D" w14:textId="362DE2A0" w:rsidR="001F50F7" w:rsidRDefault="001F50F7">
          <w:pPr>
            <w:pStyle w:val="TOC1"/>
            <w:rPr>
              <w:rFonts w:asciiTheme="minorHAnsi" w:eastAsiaTheme="minorEastAsia" w:hAnsiTheme="minorHAnsi" w:cstheme="minorBidi"/>
              <w:b w:val="0"/>
              <w:noProof/>
              <w:sz w:val="22"/>
              <w:lang w:eastAsia="en-AU"/>
            </w:rPr>
          </w:pPr>
          <w:hyperlink w:anchor="_Toc83118517" w:history="1">
            <w:r w:rsidRPr="00793A2E">
              <w:rPr>
                <w:rStyle w:val="Hyperlink"/>
                <w:noProof/>
              </w:rPr>
              <w:t>Attachment 1. Product Information</w:t>
            </w:r>
            <w:r>
              <w:rPr>
                <w:noProof/>
                <w:webHidden/>
              </w:rPr>
              <w:tab/>
            </w:r>
            <w:r>
              <w:rPr>
                <w:noProof/>
                <w:webHidden/>
              </w:rPr>
              <w:fldChar w:fldCharType="begin"/>
            </w:r>
            <w:r>
              <w:rPr>
                <w:noProof/>
                <w:webHidden/>
              </w:rPr>
              <w:instrText xml:space="preserve"> PAGEREF _Toc83118517 \h </w:instrText>
            </w:r>
            <w:r>
              <w:rPr>
                <w:noProof/>
                <w:webHidden/>
              </w:rPr>
            </w:r>
            <w:r>
              <w:rPr>
                <w:noProof/>
                <w:webHidden/>
              </w:rPr>
              <w:fldChar w:fldCharType="separate"/>
            </w:r>
            <w:r>
              <w:rPr>
                <w:noProof/>
                <w:webHidden/>
              </w:rPr>
              <w:t>24</w:t>
            </w:r>
            <w:r>
              <w:rPr>
                <w:noProof/>
                <w:webHidden/>
              </w:rPr>
              <w:fldChar w:fldCharType="end"/>
            </w:r>
          </w:hyperlink>
        </w:p>
        <w:p w14:paraId="34DA2D80" w14:textId="3A5197C8" w:rsidR="003A7F6C" w:rsidRPr="00B811C6" w:rsidRDefault="00C525A2" w:rsidP="00B811C6">
          <w:pPr>
            <w:pStyle w:val="TOC2"/>
          </w:pPr>
          <w:r>
            <w:fldChar w:fldCharType="end"/>
          </w:r>
        </w:p>
      </w:sdtContent>
    </w:sdt>
    <w:bookmarkStart w:id="2" w:name="_Toc314842482" w:displacedByCustomXml="prev"/>
    <w:p w14:paraId="31105D38" w14:textId="77777777" w:rsidR="00FD119B" w:rsidRDefault="00FD119B">
      <w:pPr>
        <w:spacing w:before="0" w:after="200" w:line="0" w:lineRule="auto"/>
      </w:pPr>
      <w:r>
        <w:br w:type="page"/>
      </w:r>
    </w:p>
    <w:p w14:paraId="5BD4FF64" w14:textId="77777777" w:rsidR="00C52E24" w:rsidRPr="00C52E24" w:rsidRDefault="00324E45" w:rsidP="000036FA">
      <w:pPr>
        <w:pStyle w:val="Heading2"/>
      </w:pPr>
      <w:bookmarkStart w:id="3" w:name="_Toc351716269"/>
      <w:bookmarkStart w:id="4" w:name="_Toc351718881"/>
      <w:bookmarkStart w:id="5" w:name="_Toc355338616"/>
      <w:bookmarkStart w:id="6" w:name="_Toc356306144"/>
      <w:bookmarkStart w:id="7" w:name="_Toc83118503"/>
      <w:r>
        <w:lastRenderedPageBreak/>
        <w:t>List of</w:t>
      </w:r>
      <w:r w:rsidR="00FD119B" w:rsidRPr="00FD119B">
        <w:t xml:space="preserve"> abbreviations</w:t>
      </w:r>
      <w:bookmarkEnd w:id="3"/>
      <w:bookmarkEnd w:id="4"/>
      <w:bookmarkEnd w:id="5"/>
      <w:bookmarkEnd w:id="6"/>
      <w:bookmarkEnd w:id="7"/>
    </w:p>
    <w:tbl>
      <w:tblPr>
        <w:tblStyle w:val="TableTGAblue"/>
        <w:tblW w:w="0" w:type="auto"/>
        <w:tblLook w:val="04A0" w:firstRow="1" w:lastRow="0" w:firstColumn="1" w:lastColumn="0" w:noHBand="0" w:noVBand="1"/>
      </w:tblPr>
      <w:tblGrid>
        <w:gridCol w:w="1796"/>
        <w:gridCol w:w="6698"/>
      </w:tblGrid>
      <w:tr w:rsidR="005478DB" w14:paraId="631F5FE6" w14:textId="77777777" w:rsidTr="00CA3482">
        <w:trPr>
          <w:cnfStyle w:val="100000000000" w:firstRow="1" w:lastRow="0" w:firstColumn="0" w:lastColumn="0" w:oddVBand="0" w:evenVBand="0" w:oddHBand="0" w:evenHBand="0" w:firstRowFirstColumn="0" w:firstRowLastColumn="0" w:lastRowFirstColumn="0" w:lastRowLastColumn="0"/>
        </w:trPr>
        <w:tc>
          <w:tcPr>
            <w:tcW w:w="1796" w:type="dxa"/>
            <w:tcBorders>
              <w:top w:val="single" w:sz="4" w:space="0" w:color="auto"/>
              <w:left w:val="single" w:sz="4" w:space="0" w:color="auto"/>
              <w:bottom w:val="single" w:sz="4" w:space="0" w:color="auto"/>
              <w:right w:val="single" w:sz="4" w:space="0" w:color="auto"/>
            </w:tcBorders>
            <w:hideMark/>
          </w:tcPr>
          <w:p w14:paraId="4CD74071" w14:textId="77777777" w:rsidR="005478DB" w:rsidRDefault="005478DB">
            <w:pPr>
              <w:ind w:left="0" w:right="0"/>
            </w:pPr>
            <w:r>
              <w:t>Abbreviation</w:t>
            </w:r>
          </w:p>
        </w:tc>
        <w:tc>
          <w:tcPr>
            <w:tcW w:w="6698" w:type="dxa"/>
            <w:tcBorders>
              <w:top w:val="single" w:sz="4" w:space="0" w:color="auto"/>
              <w:left w:val="single" w:sz="4" w:space="0" w:color="auto"/>
              <w:bottom w:val="single" w:sz="4" w:space="0" w:color="auto"/>
              <w:right w:val="single" w:sz="4" w:space="0" w:color="auto"/>
            </w:tcBorders>
            <w:hideMark/>
          </w:tcPr>
          <w:p w14:paraId="78D01E17" w14:textId="77777777" w:rsidR="005478DB" w:rsidRDefault="005478DB" w:rsidP="00CA3482">
            <w:r>
              <w:t>Meaning</w:t>
            </w:r>
          </w:p>
        </w:tc>
      </w:tr>
      <w:tr w:rsidR="005478DB" w14:paraId="2653CC28" w14:textId="77777777" w:rsidTr="00CA3482">
        <w:tc>
          <w:tcPr>
            <w:tcW w:w="179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5AEEB06" w14:textId="77777777" w:rsidR="005478DB" w:rsidRDefault="005478DB">
            <w:r>
              <w:t>ACM</w:t>
            </w:r>
          </w:p>
        </w:tc>
        <w:tc>
          <w:tcPr>
            <w:tcW w:w="669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27B114E" w14:textId="77777777" w:rsidR="005478DB" w:rsidRDefault="005478DB">
            <w:r>
              <w:t>Advisory Committee on Medicines</w:t>
            </w:r>
          </w:p>
        </w:tc>
      </w:tr>
      <w:tr w:rsidR="005478DB" w14:paraId="2E79B054" w14:textId="77777777" w:rsidTr="00CA3482">
        <w:tc>
          <w:tcPr>
            <w:tcW w:w="179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7CBE6CE" w14:textId="77777777" w:rsidR="005478DB" w:rsidRDefault="005478DB">
            <w:r>
              <w:t>AE</w:t>
            </w:r>
          </w:p>
        </w:tc>
        <w:tc>
          <w:tcPr>
            <w:tcW w:w="669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4626997" w14:textId="77777777" w:rsidR="005478DB" w:rsidRDefault="005478DB">
            <w:r>
              <w:t>Adverse event</w:t>
            </w:r>
          </w:p>
        </w:tc>
      </w:tr>
      <w:tr w:rsidR="005478DB" w14:paraId="12ECE2EC" w14:textId="77777777" w:rsidTr="00CA3482">
        <w:tc>
          <w:tcPr>
            <w:tcW w:w="179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F9B10EF" w14:textId="77777777" w:rsidR="005478DB" w:rsidRDefault="005478DB">
            <w:r>
              <w:t>ARTG</w:t>
            </w:r>
          </w:p>
        </w:tc>
        <w:tc>
          <w:tcPr>
            <w:tcW w:w="669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AE58A06" w14:textId="77777777" w:rsidR="005478DB" w:rsidRDefault="005478DB">
            <w:r>
              <w:t>Australian Register of Therapeutic Goods</w:t>
            </w:r>
          </w:p>
        </w:tc>
      </w:tr>
      <w:tr w:rsidR="005478DB" w14:paraId="73145021" w14:textId="77777777" w:rsidTr="00CA3482">
        <w:tc>
          <w:tcPr>
            <w:tcW w:w="179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4CA29F0" w14:textId="77777777" w:rsidR="005478DB" w:rsidRDefault="005478DB">
            <w:r>
              <w:t>ASA</w:t>
            </w:r>
          </w:p>
        </w:tc>
        <w:tc>
          <w:tcPr>
            <w:tcW w:w="669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AB7AA7C" w14:textId="77777777" w:rsidR="005478DB" w:rsidRDefault="005478DB">
            <w:r>
              <w:t>Australian specific annex</w:t>
            </w:r>
          </w:p>
        </w:tc>
      </w:tr>
      <w:tr w:rsidR="005478DB" w14:paraId="2A2E0C89" w14:textId="77777777" w:rsidTr="00CA3482">
        <w:tc>
          <w:tcPr>
            <w:tcW w:w="179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D52F035" w14:textId="77777777" w:rsidR="005478DB" w:rsidRDefault="005478DB">
            <w:proofErr w:type="spellStart"/>
            <w:r>
              <w:t>AusPAR</w:t>
            </w:r>
            <w:proofErr w:type="spellEnd"/>
          </w:p>
        </w:tc>
        <w:tc>
          <w:tcPr>
            <w:tcW w:w="669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1D60297" w14:textId="77777777" w:rsidR="005478DB" w:rsidRDefault="005478DB">
            <w:r>
              <w:t>Australian Public Assessment Report</w:t>
            </w:r>
          </w:p>
        </w:tc>
      </w:tr>
      <w:tr w:rsidR="005478DB" w14:paraId="212D6665" w14:textId="77777777" w:rsidTr="00CA3482">
        <w:tc>
          <w:tcPr>
            <w:tcW w:w="179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3A3A7A8" w14:textId="77777777" w:rsidR="005478DB" w:rsidRDefault="005478DB">
            <w:r>
              <w:t>BSA</w:t>
            </w:r>
          </w:p>
        </w:tc>
        <w:tc>
          <w:tcPr>
            <w:tcW w:w="669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863A13C" w14:textId="77777777" w:rsidR="005478DB" w:rsidRDefault="005478DB">
            <w:r>
              <w:t>Body surface area</w:t>
            </w:r>
          </w:p>
        </w:tc>
      </w:tr>
      <w:tr w:rsidR="005478DB" w14:paraId="5A2E7AD7" w14:textId="77777777" w:rsidTr="00CA3482">
        <w:tc>
          <w:tcPr>
            <w:tcW w:w="179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5BE043C" w14:textId="77777777" w:rsidR="005478DB" w:rsidRDefault="005478DB">
            <w:r>
              <w:t>CAILS</w:t>
            </w:r>
          </w:p>
        </w:tc>
        <w:tc>
          <w:tcPr>
            <w:tcW w:w="669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5B55FF1" w14:textId="77777777" w:rsidR="005478DB" w:rsidRDefault="005478DB">
            <w:r>
              <w:t>Composite Assessment of Index Lesion Severity</w:t>
            </w:r>
          </w:p>
        </w:tc>
      </w:tr>
      <w:tr w:rsidR="005478DB" w14:paraId="0CE9A0C6" w14:textId="77777777" w:rsidTr="00CA3482">
        <w:tc>
          <w:tcPr>
            <w:tcW w:w="179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42B5F39" w14:textId="77777777" w:rsidR="005478DB" w:rsidRDefault="005478DB">
            <w:r>
              <w:t>CI</w:t>
            </w:r>
          </w:p>
        </w:tc>
        <w:tc>
          <w:tcPr>
            <w:tcW w:w="669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EF0F4BC" w14:textId="77777777" w:rsidR="005478DB" w:rsidRDefault="005478DB">
            <w:r>
              <w:t>Confidence interval</w:t>
            </w:r>
          </w:p>
        </w:tc>
      </w:tr>
      <w:tr w:rsidR="005478DB" w14:paraId="663EBCF0" w14:textId="77777777" w:rsidTr="00CA3482">
        <w:tc>
          <w:tcPr>
            <w:tcW w:w="179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9C9828D" w14:textId="77777777" w:rsidR="005478DB" w:rsidRDefault="005478DB">
            <w:r>
              <w:t>CMI</w:t>
            </w:r>
          </w:p>
        </w:tc>
        <w:tc>
          <w:tcPr>
            <w:tcW w:w="669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2A24506" w14:textId="77777777" w:rsidR="005478DB" w:rsidRDefault="005478DB">
            <w:r>
              <w:t>Consumer Medicines Information</w:t>
            </w:r>
          </w:p>
        </w:tc>
      </w:tr>
      <w:tr w:rsidR="005478DB" w14:paraId="77EE425A" w14:textId="77777777" w:rsidTr="00CA3482">
        <w:tc>
          <w:tcPr>
            <w:tcW w:w="179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FE32127" w14:textId="77777777" w:rsidR="005478DB" w:rsidRDefault="005478DB">
            <w:r>
              <w:t>CR</w:t>
            </w:r>
          </w:p>
        </w:tc>
        <w:tc>
          <w:tcPr>
            <w:tcW w:w="669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77B801B" w14:textId="77777777" w:rsidR="005478DB" w:rsidRDefault="005478DB">
            <w:r>
              <w:t>Complete response</w:t>
            </w:r>
          </w:p>
        </w:tc>
      </w:tr>
      <w:tr w:rsidR="005478DB" w14:paraId="6BAC3835" w14:textId="77777777" w:rsidTr="00CA3482">
        <w:tc>
          <w:tcPr>
            <w:tcW w:w="179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A747FE5" w14:textId="77777777" w:rsidR="005478DB" w:rsidRDefault="005478DB">
            <w:r>
              <w:t>CTCL</w:t>
            </w:r>
          </w:p>
        </w:tc>
        <w:tc>
          <w:tcPr>
            <w:tcW w:w="669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25B17C9" w14:textId="77777777" w:rsidR="005478DB" w:rsidRDefault="005478DB">
            <w:r>
              <w:t>Cutaneous T-cell lymphoma</w:t>
            </w:r>
          </w:p>
        </w:tc>
      </w:tr>
      <w:tr w:rsidR="005478DB" w14:paraId="3F6603F2" w14:textId="77777777" w:rsidTr="00CA3482">
        <w:tc>
          <w:tcPr>
            <w:tcW w:w="179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8F54051" w14:textId="77777777" w:rsidR="005478DB" w:rsidRDefault="005478DB">
            <w:r>
              <w:t>DLP</w:t>
            </w:r>
          </w:p>
        </w:tc>
        <w:tc>
          <w:tcPr>
            <w:tcW w:w="669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3B12F08" w14:textId="77777777" w:rsidR="005478DB" w:rsidRDefault="005478DB">
            <w:r>
              <w:t>Data lock point</w:t>
            </w:r>
          </w:p>
        </w:tc>
      </w:tr>
      <w:tr w:rsidR="005478DB" w14:paraId="32CDD71B" w14:textId="77777777" w:rsidTr="00CA3482">
        <w:tc>
          <w:tcPr>
            <w:tcW w:w="179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7B2440A" w14:textId="77777777" w:rsidR="005478DB" w:rsidRDefault="005478DB">
            <w:r>
              <w:t>DNA</w:t>
            </w:r>
          </w:p>
        </w:tc>
        <w:tc>
          <w:tcPr>
            <w:tcW w:w="669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CE90768" w14:textId="77777777" w:rsidR="005478DB" w:rsidRDefault="005478DB">
            <w:r>
              <w:t>Deoxyribonucleic acid</w:t>
            </w:r>
          </w:p>
        </w:tc>
      </w:tr>
      <w:tr w:rsidR="005478DB" w14:paraId="29BFD899" w14:textId="77777777" w:rsidTr="00CA3482">
        <w:tc>
          <w:tcPr>
            <w:tcW w:w="179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DC1F4BD" w14:textId="77777777" w:rsidR="005478DB" w:rsidRDefault="005478DB">
            <w:r>
              <w:t>EE</w:t>
            </w:r>
          </w:p>
        </w:tc>
        <w:tc>
          <w:tcPr>
            <w:tcW w:w="669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4D6A68A" w14:textId="77777777" w:rsidR="005478DB" w:rsidRDefault="005478DB">
            <w:r>
              <w:t>Efficacy evaluable</w:t>
            </w:r>
          </w:p>
        </w:tc>
      </w:tr>
      <w:tr w:rsidR="005478DB" w14:paraId="01C0E890" w14:textId="77777777" w:rsidTr="00CA3482">
        <w:tc>
          <w:tcPr>
            <w:tcW w:w="179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FE51E9A" w14:textId="77777777" w:rsidR="005478DB" w:rsidRDefault="005478DB">
            <w:r>
              <w:t>EU</w:t>
            </w:r>
          </w:p>
        </w:tc>
        <w:tc>
          <w:tcPr>
            <w:tcW w:w="669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3D3DC8D" w14:textId="77777777" w:rsidR="005478DB" w:rsidRDefault="005478DB">
            <w:r>
              <w:t>European Union</w:t>
            </w:r>
          </w:p>
        </w:tc>
      </w:tr>
      <w:tr w:rsidR="005478DB" w14:paraId="079C99FA" w14:textId="77777777" w:rsidTr="00CA3482">
        <w:tc>
          <w:tcPr>
            <w:tcW w:w="179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0A69FE5" w14:textId="77777777" w:rsidR="005478DB" w:rsidRDefault="005478DB">
            <w:r>
              <w:t>GVP</w:t>
            </w:r>
          </w:p>
        </w:tc>
        <w:tc>
          <w:tcPr>
            <w:tcW w:w="669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3510E40" w14:textId="77777777" w:rsidR="005478DB" w:rsidRDefault="005478DB">
            <w:r>
              <w:t>Good Pharmacovigilance Practices</w:t>
            </w:r>
          </w:p>
        </w:tc>
      </w:tr>
      <w:tr w:rsidR="005478DB" w14:paraId="5F203409" w14:textId="77777777" w:rsidTr="00CA3482">
        <w:tc>
          <w:tcPr>
            <w:tcW w:w="179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DCBAE84" w14:textId="77777777" w:rsidR="005478DB" w:rsidRDefault="005478DB">
            <w:r>
              <w:t>HPLC</w:t>
            </w:r>
          </w:p>
        </w:tc>
        <w:tc>
          <w:tcPr>
            <w:tcW w:w="669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9F2B540" w14:textId="77777777" w:rsidR="005478DB" w:rsidRDefault="005478DB">
            <w:r>
              <w:t>High performance liquid chromatography</w:t>
            </w:r>
          </w:p>
        </w:tc>
      </w:tr>
      <w:tr w:rsidR="005478DB" w14:paraId="0BA55366" w14:textId="77777777" w:rsidTr="00CA3482">
        <w:tc>
          <w:tcPr>
            <w:tcW w:w="179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1792AAA" w14:textId="77777777" w:rsidR="005478DB" w:rsidRDefault="005478DB">
            <w:r>
              <w:t>ISCL</w:t>
            </w:r>
          </w:p>
        </w:tc>
        <w:tc>
          <w:tcPr>
            <w:tcW w:w="669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0669D17" w14:textId="77777777" w:rsidR="005478DB" w:rsidRDefault="005478DB">
            <w:r>
              <w:t>International Society for Cutaneous Lymphoma</w:t>
            </w:r>
          </w:p>
        </w:tc>
      </w:tr>
      <w:tr w:rsidR="005478DB" w14:paraId="7C0570B5" w14:textId="77777777" w:rsidTr="00CA3482">
        <w:tc>
          <w:tcPr>
            <w:tcW w:w="179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07D33F0" w14:textId="77777777" w:rsidR="005478DB" w:rsidRDefault="005478DB">
            <w:r>
              <w:t>ITT</w:t>
            </w:r>
          </w:p>
        </w:tc>
        <w:tc>
          <w:tcPr>
            <w:tcW w:w="669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E3E6DC2" w14:textId="77777777" w:rsidR="005478DB" w:rsidRDefault="005478DB">
            <w:r>
              <w:t>Intent to treat</w:t>
            </w:r>
          </w:p>
        </w:tc>
      </w:tr>
      <w:tr w:rsidR="005478DB" w14:paraId="353BD65E" w14:textId="77777777" w:rsidTr="00CA3482">
        <w:tc>
          <w:tcPr>
            <w:tcW w:w="179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7C1C9A9" w14:textId="77777777" w:rsidR="005478DB" w:rsidRDefault="005478DB">
            <w:r>
              <w:t>LLOQ</w:t>
            </w:r>
          </w:p>
        </w:tc>
        <w:tc>
          <w:tcPr>
            <w:tcW w:w="669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062469D" w14:textId="77777777" w:rsidR="005478DB" w:rsidRDefault="005478DB">
            <w:r>
              <w:t>Lower limit of quantification</w:t>
            </w:r>
          </w:p>
        </w:tc>
      </w:tr>
      <w:tr w:rsidR="005478DB" w14:paraId="4760A218" w14:textId="77777777" w:rsidTr="00CA3482">
        <w:tc>
          <w:tcPr>
            <w:tcW w:w="179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1834D9B" w14:textId="77777777" w:rsidR="005478DB" w:rsidRDefault="005478DB">
            <w:r>
              <w:t>PI</w:t>
            </w:r>
          </w:p>
        </w:tc>
        <w:tc>
          <w:tcPr>
            <w:tcW w:w="669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5451C70" w14:textId="77777777" w:rsidR="005478DB" w:rsidRDefault="005478DB">
            <w:r>
              <w:t>Product Information</w:t>
            </w:r>
          </w:p>
        </w:tc>
      </w:tr>
      <w:tr w:rsidR="005478DB" w14:paraId="45E9F3FF" w14:textId="77777777" w:rsidTr="00CA3482">
        <w:tc>
          <w:tcPr>
            <w:tcW w:w="179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1374F67" w14:textId="77777777" w:rsidR="005478DB" w:rsidRDefault="005478DB">
            <w:r>
              <w:t>PSURs</w:t>
            </w:r>
          </w:p>
        </w:tc>
        <w:tc>
          <w:tcPr>
            <w:tcW w:w="669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1EE16B5" w14:textId="77777777" w:rsidR="005478DB" w:rsidRDefault="005478DB">
            <w:r>
              <w:t>Periodic safety update reports</w:t>
            </w:r>
          </w:p>
        </w:tc>
      </w:tr>
      <w:tr w:rsidR="005478DB" w:rsidRPr="005F55F7" w14:paraId="46EBAEAD" w14:textId="77777777" w:rsidTr="00CA3482">
        <w:tc>
          <w:tcPr>
            <w:tcW w:w="179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7CD3815" w14:textId="77777777" w:rsidR="005478DB" w:rsidRDefault="005478DB">
            <w:r>
              <w:t>PUVA</w:t>
            </w:r>
          </w:p>
        </w:tc>
        <w:tc>
          <w:tcPr>
            <w:tcW w:w="669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6ED4137" w14:textId="77777777" w:rsidR="005478DB" w:rsidRPr="00A269B4" w:rsidRDefault="005478DB">
            <w:pPr>
              <w:rPr>
                <w:lang w:val="fr-FR"/>
              </w:rPr>
            </w:pPr>
            <w:proofErr w:type="spellStart"/>
            <w:r w:rsidRPr="00A269B4">
              <w:rPr>
                <w:lang w:val="fr-FR"/>
              </w:rPr>
              <w:t>Psoralen</w:t>
            </w:r>
            <w:proofErr w:type="spellEnd"/>
            <w:r w:rsidRPr="00A269B4">
              <w:rPr>
                <w:lang w:val="fr-FR"/>
              </w:rPr>
              <w:t xml:space="preserve"> plus ultraviolet A radiation</w:t>
            </w:r>
          </w:p>
        </w:tc>
      </w:tr>
      <w:tr w:rsidR="005478DB" w14:paraId="30B02313" w14:textId="77777777" w:rsidTr="00CA3482">
        <w:tc>
          <w:tcPr>
            <w:tcW w:w="179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A98F890" w14:textId="77777777" w:rsidR="005478DB" w:rsidRDefault="005478DB">
            <w:r>
              <w:t>QoL</w:t>
            </w:r>
          </w:p>
        </w:tc>
        <w:tc>
          <w:tcPr>
            <w:tcW w:w="669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984A4B9" w14:textId="77777777" w:rsidR="005478DB" w:rsidRDefault="005478DB">
            <w:r>
              <w:t>Quality of life</w:t>
            </w:r>
          </w:p>
        </w:tc>
      </w:tr>
      <w:tr w:rsidR="005478DB" w14:paraId="7836C416" w14:textId="77777777" w:rsidTr="00CA3482">
        <w:tc>
          <w:tcPr>
            <w:tcW w:w="179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03E6FE2" w14:textId="77777777" w:rsidR="005478DB" w:rsidRDefault="005478DB">
            <w:r>
              <w:t>RMP</w:t>
            </w:r>
          </w:p>
        </w:tc>
        <w:tc>
          <w:tcPr>
            <w:tcW w:w="669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6572518" w14:textId="77777777" w:rsidR="005478DB" w:rsidRDefault="005478DB">
            <w:r>
              <w:t>Risk management plan</w:t>
            </w:r>
          </w:p>
        </w:tc>
      </w:tr>
      <w:tr w:rsidR="005478DB" w14:paraId="6AB68FF8" w14:textId="77777777" w:rsidTr="00CA3482">
        <w:tc>
          <w:tcPr>
            <w:tcW w:w="179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80D6CF0" w14:textId="77777777" w:rsidR="005478DB" w:rsidRDefault="005478DB">
            <w:r>
              <w:lastRenderedPageBreak/>
              <w:t>SAE</w:t>
            </w:r>
          </w:p>
        </w:tc>
        <w:tc>
          <w:tcPr>
            <w:tcW w:w="669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6191138" w14:textId="77777777" w:rsidR="005478DB" w:rsidRDefault="005478DB">
            <w:r>
              <w:t>Serious adverse event</w:t>
            </w:r>
          </w:p>
        </w:tc>
      </w:tr>
      <w:tr w:rsidR="005478DB" w14:paraId="4E94DF13" w14:textId="77777777" w:rsidTr="00CA3482">
        <w:tc>
          <w:tcPr>
            <w:tcW w:w="179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8BE1C3E" w14:textId="77777777" w:rsidR="005478DB" w:rsidRDefault="005478DB">
            <w:r>
              <w:t>SOC</w:t>
            </w:r>
          </w:p>
        </w:tc>
        <w:tc>
          <w:tcPr>
            <w:tcW w:w="669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04E8018" w14:textId="77777777" w:rsidR="005478DB" w:rsidRDefault="005478DB">
            <w:r>
              <w:t>System Organ Class</w:t>
            </w:r>
          </w:p>
        </w:tc>
      </w:tr>
      <w:tr w:rsidR="005478DB" w14:paraId="02F13BAE" w14:textId="77777777" w:rsidTr="00CA3482">
        <w:tc>
          <w:tcPr>
            <w:tcW w:w="179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03ECB3F" w14:textId="77777777" w:rsidR="005478DB" w:rsidRDefault="005478DB">
            <w:r>
              <w:t>SWAT</w:t>
            </w:r>
          </w:p>
        </w:tc>
        <w:tc>
          <w:tcPr>
            <w:tcW w:w="669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4080694" w14:textId="77777777" w:rsidR="005478DB" w:rsidRDefault="005478DB">
            <w:r>
              <w:t>Severity Weighted Assessment Tool</w:t>
            </w:r>
          </w:p>
        </w:tc>
      </w:tr>
      <w:tr w:rsidR="005478DB" w14:paraId="54AAD721" w14:textId="77777777" w:rsidTr="00CA3482">
        <w:tc>
          <w:tcPr>
            <w:tcW w:w="179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B8B2280" w14:textId="77777777" w:rsidR="005478DB" w:rsidRDefault="005478DB">
            <w:r>
              <w:t>TGA</w:t>
            </w:r>
          </w:p>
        </w:tc>
        <w:tc>
          <w:tcPr>
            <w:tcW w:w="669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3B793B9" w14:textId="387892E0" w:rsidR="005478DB" w:rsidRDefault="005478DB">
            <w:r>
              <w:t>Therapeutic Goods Administration</w:t>
            </w:r>
          </w:p>
        </w:tc>
      </w:tr>
      <w:tr w:rsidR="005478DB" w14:paraId="37D77F59" w14:textId="77777777" w:rsidTr="00CA3482">
        <w:tc>
          <w:tcPr>
            <w:tcW w:w="179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90BEC4C" w14:textId="77777777" w:rsidR="005478DB" w:rsidRDefault="005478DB">
            <w:r>
              <w:t>TNMB</w:t>
            </w:r>
          </w:p>
        </w:tc>
        <w:tc>
          <w:tcPr>
            <w:tcW w:w="669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974FB40" w14:textId="77777777" w:rsidR="005478DB" w:rsidRDefault="005478DB">
            <w:r>
              <w:t>Tumour, Node, Metastasis, Blood classification</w:t>
            </w:r>
          </w:p>
        </w:tc>
      </w:tr>
      <w:tr w:rsidR="005478DB" w14:paraId="48256B71" w14:textId="77777777" w:rsidTr="00CA3482">
        <w:tc>
          <w:tcPr>
            <w:tcW w:w="179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13D3C8A" w14:textId="77777777" w:rsidR="005478DB" w:rsidRDefault="005478DB">
            <w:r>
              <w:t>USA</w:t>
            </w:r>
          </w:p>
        </w:tc>
        <w:tc>
          <w:tcPr>
            <w:tcW w:w="669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54877B7" w14:textId="77777777" w:rsidR="005478DB" w:rsidRDefault="005478DB">
            <w:r>
              <w:t>United States of America</w:t>
            </w:r>
          </w:p>
        </w:tc>
      </w:tr>
      <w:tr w:rsidR="0087107D" w14:paraId="2E06DD0D" w14:textId="77777777" w:rsidTr="0087107D">
        <w:tc>
          <w:tcPr>
            <w:tcW w:w="17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EE7DFD" w14:textId="09111E79" w:rsidR="0087107D" w:rsidRDefault="0087107D">
            <w:r>
              <w:t>UVA</w:t>
            </w:r>
          </w:p>
        </w:tc>
        <w:tc>
          <w:tcPr>
            <w:tcW w:w="66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6439B6" w14:textId="7F0FE009" w:rsidR="0087107D" w:rsidRDefault="0087107D">
            <w:r>
              <w:t>Ultraviolet A</w:t>
            </w:r>
          </w:p>
        </w:tc>
      </w:tr>
      <w:tr w:rsidR="005478DB" w14:paraId="377B56FF" w14:textId="77777777" w:rsidTr="00CA3482">
        <w:tc>
          <w:tcPr>
            <w:tcW w:w="179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E979E39" w14:textId="77777777" w:rsidR="005478DB" w:rsidRDefault="005478DB">
            <w:r>
              <w:t>UVB</w:t>
            </w:r>
          </w:p>
        </w:tc>
        <w:tc>
          <w:tcPr>
            <w:tcW w:w="669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99DD82E" w14:textId="77777777" w:rsidR="005478DB" w:rsidRDefault="005478DB">
            <w:r>
              <w:t>Ultraviolet B</w:t>
            </w:r>
          </w:p>
        </w:tc>
      </w:tr>
    </w:tbl>
    <w:p w14:paraId="7BC75068" w14:textId="77777777" w:rsidR="00FD119B" w:rsidRDefault="00FD119B" w:rsidP="00FD119B"/>
    <w:p w14:paraId="28649341" w14:textId="77777777" w:rsidR="00FD119B" w:rsidRPr="00FD119B" w:rsidRDefault="00FD119B" w:rsidP="00FD119B">
      <w:pPr>
        <w:spacing w:before="0" w:after="200" w:line="0" w:lineRule="auto"/>
        <w:rPr>
          <w:b/>
          <w:i/>
          <w:sz w:val="24"/>
          <w:szCs w:val="24"/>
        </w:rPr>
      </w:pPr>
      <w:r w:rsidRPr="00FD119B">
        <w:rPr>
          <w:b/>
          <w:i/>
          <w:sz w:val="24"/>
          <w:szCs w:val="24"/>
        </w:rPr>
        <w:br w:type="page"/>
      </w:r>
    </w:p>
    <w:p w14:paraId="3571E6A0" w14:textId="77777777" w:rsidR="008E7846" w:rsidRDefault="00F53C07" w:rsidP="008E7846">
      <w:pPr>
        <w:pStyle w:val="Heading2"/>
      </w:pPr>
      <w:bookmarkStart w:id="8" w:name="_Toc83118504"/>
      <w:r>
        <w:lastRenderedPageBreak/>
        <w:t>I.</w:t>
      </w:r>
      <w:r w:rsidR="008E7846">
        <w:t xml:space="preserve"> Introduction to product submission</w:t>
      </w:r>
      <w:bookmarkEnd w:id="0"/>
      <w:bookmarkEnd w:id="2"/>
      <w:bookmarkEnd w:id="8"/>
    </w:p>
    <w:p w14:paraId="6DA962F0" w14:textId="77777777" w:rsidR="008E7846" w:rsidRDefault="008E7846" w:rsidP="008E7846">
      <w:pPr>
        <w:pStyle w:val="Heading3"/>
        <w:rPr>
          <w:lang w:eastAsia="en-AU"/>
        </w:rPr>
      </w:pPr>
      <w:bookmarkStart w:id="9" w:name="_Toc247691502"/>
      <w:bookmarkStart w:id="10" w:name="_Toc314842483"/>
      <w:bookmarkStart w:id="11" w:name="_Toc83118505"/>
      <w:r>
        <w:rPr>
          <w:lang w:eastAsia="en-AU"/>
        </w:rPr>
        <w:t>Submission details</w:t>
      </w:r>
      <w:bookmarkEnd w:id="9"/>
      <w:bookmarkEnd w:id="10"/>
      <w:bookmarkEnd w:id="11"/>
    </w:p>
    <w:tbl>
      <w:tblPr>
        <w:tblW w:w="9214" w:type="dxa"/>
        <w:tblInd w:w="108" w:type="dxa"/>
        <w:tblLook w:val="01E0" w:firstRow="1" w:lastRow="1" w:firstColumn="1" w:lastColumn="1" w:noHBand="0" w:noVBand="0"/>
      </w:tblPr>
      <w:tblGrid>
        <w:gridCol w:w="2907"/>
        <w:gridCol w:w="6307"/>
      </w:tblGrid>
      <w:tr w:rsidR="008E7846" w:rsidRPr="003D1E62" w14:paraId="4C7D0FEE" w14:textId="77777777" w:rsidTr="003735BC">
        <w:tc>
          <w:tcPr>
            <w:tcW w:w="2907" w:type="dxa"/>
          </w:tcPr>
          <w:p w14:paraId="164570B9" w14:textId="77777777" w:rsidR="008E7846" w:rsidRPr="003D1E62" w:rsidRDefault="001B5C90" w:rsidP="001B5C90">
            <w:pPr>
              <w:rPr>
                <w:i/>
              </w:rPr>
            </w:pPr>
            <w:r>
              <w:rPr>
                <w:i/>
              </w:rPr>
              <w:t>Type of s</w:t>
            </w:r>
            <w:r w:rsidR="008E7846" w:rsidRPr="003D1E62">
              <w:rPr>
                <w:i/>
              </w:rPr>
              <w:t>ubmission</w:t>
            </w:r>
            <w:r>
              <w:rPr>
                <w:i/>
              </w:rPr>
              <w:t>:</w:t>
            </w:r>
          </w:p>
        </w:tc>
        <w:tc>
          <w:tcPr>
            <w:tcW w:w="6307" w:type="dxa"/>
          </w:tcPr>
          <w:p w14:paraId="01023377" w14:textId="77777777" w:rsidR="008E7846" w:rsidRPr="003D1E62" w:rsidRDefault="008E7846" w:rsidP="001E0697">
            <w:bookmarkStart w:id="12" w:name="_Hlk83117630"/>
            <w:r w:rsidRPr="003D1E62">
              <w:t xml:space="preserve">New </w:t>
            </w:r>
            <w:r w:rsidR="001B5C90">
              <w:t>c</w:t>
            </w:r>
            <w:r w:rsidRPr="003D1E62">
              <w:t xml:space="preserve">hemical </w:t>
            </w:r>
            <w:r w:rsidR="001B5C90">
              <w:t>e</w:t>
            </w:r>
            <w:r w:rsidR="001E0697">
              <w:t>ntity</w:t>
            </w:r>
            <w:bookmarkEnd w:id="12"/>
          </w:p>
        </w:tc>
      </w:tr>
      <w:tr w:rsidR="00460036" w:rsidRPr="003D1E62" w14:paraId="02AFAF09" w14:textId="77777777" w:rsidTr="003735BC">
        <w:tc>
          <w:tcPr>
            <w:tcW w:w="2907" w:type="dxa"/>
          </w:tcPr>
          <w:p w14:paraId="74D90409" w14:textId="77777777" w:rsidR="00460036" w:rsidRPr="003D1E62" w:rsidRDefault="00460036" w:rsidP="003D1E62">
            <w:pPr>
              <w:rPr>
                <w:i/>
              </w:rPr>
            </w:pPr>
            <w:r w:rsidRPr="00460036">
              <w:rPr>
                <w:i/>
              </w:rPr>
              <w:t>Prod</w:t>
            </w:r>
            <w:r w:rsidR="001E0697">
              <w:rPr>
                <w:i/>
              </w:rPr>
              <w:t>uct name</w:t>
            </w:r>
            <w:r w:rsidRPr="00460036">
              <w:rPr>
                <w:i/>
              </w:rPr>
              <w:t>:</w:t>
            </w:r>
          </w:p>
        </w:tc>
        <w:tc>
          <w:tcPr>
            <w:tcW w:w="6307" w:type="dxa"/>
          </w:tcPr>
          <w:p w14:paraId="447CCC20" w14:textId="77777777" w:rsidR="00460036" w:rsidRPr="003D1E62" w:rsidRDefault="001E0697" w:rsidP="001B5C90">
            <w:proofErr w:type="spellStart"/>
            <w:r>
              <w:t>Ledaga</w:t>
            </w:r>
            <w:proofErr w:type="spellEnd"/>
          </w:p>
        </w:tc>
      </w:tr>
      <w:tr w:rsidR="00460036" w:rsidRPr="003D1E62" w14:paraId="1081000D" w14:textId="77777777" w:rsidTr="003735BC">
        <w:tc>
          <w:tcPr>
            <w:tcW w:w="2907" w:type="dxa"/>
          </w:tcPr>
          <w:p w14:paraId="28DAA3B8" w14:textId="77777777" w:rsidR="00460036" w:rsidRPr="003D1E62" w:rsidRDefault="001E0697" w:rsidP="003D1E62">
            <w:pPr>
              <w:rPr>
                <w:i/>
              </w:rPr>
            </w:pPr>
            <w:r>
              <w:rPr>
                <w:i/>
              </w:rPr>
              <w:t>Active ingredient</w:t>
            </w:r>
            <w:r w:rsidR="00460036" w:rsidRPr="00460036">
              <w:rPr>
                <w:i/>
              </w:rPr>
              <w:t>:</w:t>
            </w:r>
          </w:p>
        </w:tc>
        <w:tc>
          <w:tcPr>
            <w:tcW w:w="6307" w:type="dxa"/>
          </w:tcPr>
          <w:p w14:paraId="66C78D34" w14:textId="77777777" w:rsidR="00460036" w:rsidRPr="003D1E62" w:rsidRDefault="001E0697" w:rsidP="001B5C90">
            <w:r>
              <w:t>C</w:t>
            </w:r>
            <w:r w:rsidRPr="001E0697">
              <w:t>hlormethine hydrochloride</w:t>
            </w:r>
          </w:p>
        </w:tc>
      </w:tr>
      <w:tr w:rsidR="008E7846" w:rsidRPr="003D1E62" w14:paraId="4194251F" w14:textId="77777777" w:rsidTr="003735BC">
        <w:tc>
          <w:tcPr>
            <w:tcW w:w="2907" w:type="dxa"/>
          </w:tcPr>
          <w:p w14:paraId="3FEBA560" w14:textId="77777777" w:rsidR="008E7846" w:rsidRPr="003D1E62" w:rsidRDefault="008E7846" w:rsidP="003D1E62">
            <w:r w:rsidRPr="003D1E62">
              <w:rPr>
                <w:i/>
              </w:rPr>
              <w:t>Decision</w:t>
            </w:r>
            <w:r w:rsidRPr="003D1E62">
              <w:t>:</w:t>
            </w:r>
          </w:p>
        </w:tc>
        <w:tc>
          <w:tcPr>
            <w:tcW w:w="6307" w:type="dxa"/>
          </w:tcPr>
          <w:p w14:paraId="4E34259F" w14:textId="77777777" w:rsidR="008E7846" w:rsidRPr="003D1E62" w:rsidRDefault="001E0697" w:rsidP="001E0697">
            <w:r>
              <w:t>Approved</w:t>
            </w:r>
          </w:p>
        </w:tc>
      </w:tr>
      <w:tr w:rsidR="008E7846" w:rsidRPr="003D1E62" w14:paraId="65D7663F" w14:textId="77777777" w:rsidTr="003735BC">
        <w:tc>
          <w:tcPr>
            <w:tcW w:w="2907" w:type="dxa"/>
          </w:tcPr>
          <w:p w14:paraId="6B60E05D" w14:textId="77777777"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14:paraId="7E8C4246" w14:textId="77777777" w:rsidR="008E7846" w:rsidRPr="003D1E62" w:rsidRDefault="001E0697" w:rsidP="001B5C90">
            <w:r>
              <w:t>8 June 2021</w:t>
            </w:r>
          </w:p>
        </w:tc>
      </w:tr>
      <w:tr w:rsidR="00ED2922" w:rsidRPr="003D1E62" w14:paraId="4C7CDC9D" w14:textId="77777777" w:rsidTr="003735BC">
        <w:tc>
          <w:tcPr>
            <w:tcW w:w="2907" w:type="dxa"/>
          </w:tcPr>
          <w:p w14:paraId="137A719B" w14:textId="77777777" w:rsidR="00ED2922" w:rsidRPr="00441C3F" w:rsidRDefault="00ED2922" w:rsidP="001B5C90">
            <w:pPr>
              <w:rPr>
                <w:i/>
              </w:rPr>
            </w:pPr>
            <w:r w:rsidRPr="00441C3F">
              <w:rPr>
                <w:i/>
              </w:rPr>
              <w:t>Date of entry onto ARTG</w:t>
            </w:r>
            <w:r w:rsidR="00500337">
              <w:rPr>
                <w:i/>
              </w:rPr>
              <w:t>:</w:t>
            </w:r>
          </w:p>
        </w:tc>
        <w:tc>
          <w:tcPr>
            <w:tcW w:w="6307" w:type="dxa"/>
          </w:tcPr>
          <w:p w14:paraId="5B64FE4E" w14:textId="77777777" w:rsidR="00ED2922" w:rsidRPr="00441C3F" w:rsidRDefault="001E0697" w:rsidP="00D153D8">
            <w:pPr>
              <w:rPr>
                <w:i/>
              </w:rPr>
            </w:pPr>
            <w:r>
              <w:t>22 June 2021</w:t>
            </w:r>
          </w:p>
        </w:tc>
      </w:tr>
      <w:tr w:rsidR="00500337" w:rsidRPr="003D1E62" w14:paraId="2BD37637" w14:textId="77777777" w:rsidTr="003735BC">
        <w:tc>
          <w:tcPr>
            <w:tcW w:w="2907" w:type="dxa"/>
          </w:tcPr>
          <w:p w14:paraId="6D284A8D" w14:textId="77777777" w:rsidR="00500337" w:rsidRPr="00441C3F" w:rsidRDefault="001E0697" w:rsidP="001B5C90">
            <w:pPr>
              <w:rPr>
                <w:i/>
              </w:rPr>
            </w:pPr>
            <w:r>
              <w:rPr>
                <w:i/>
              </w:rPr>
              <w:t>ARTG number</w:t>
            </w:r>
            <w:r w:rsidR="00500337">
              <w:rPr>
                <w:i/>
              </w:rPr>
              <w:t>:</w:t>
            </w:r>
          </w:p>
        </w:tc>
        <w:tc>
          <w:tcPr>
            <w:tcW w:w="6307" w:type="dxa"/>
          </w:tcPr>
          <w:p w14:paraId="3DC0E30E" w14:textId="77777777" w:rsidR="00500337" w:rsidRPr="00441C3F" w:rsidRDefault="001E0697" w:rsidP="00EC463D">
            <w:r>
              <w:t>338551</w:t>
            </w:r>
          </w:p>
        </w:tc>
      </w:tr>
      <w:tr w:rsidR="003735BC" w:rsidRPr="003D1E62" w14:paraId="22B61CB4" w14:textId="77777777" w:rsidTr="003735BC">
        <w:tc>
          <w:tcPr>
            <w:tcW w:w="2907" w:type="dxa"/>
          </w:tcPr>
          <w:p w14:paraId="6A6AE58F" w14:textId="77777777" w:rsidR="003735BC" w:rsidRDefault="00FA5069" w:rsidP="001B5C90">
            <w:pPr>
              <w:rPr>
                <w:i/>
              </w:rPr>
            </w:pPr>
            <w:r>
              <w:rPr>
                <w:rFonts w:ascii="Wingdings 3" w:hAnsi="Wingdings 3"/>
                <w:sz w:val="34"/>
                <w:szCs w:val="34"/>
                <w:lang w:eastAsia="en-AU"/>
              </w:rPr>
              <w:t></w:t>
            </w:r>
            <w:r w:rsidR="003735BC" w:rsidRPr="003735BC">
              <w:rPr>
                <w:i/>
              </w:rPr>
              <w:t>Black Triangle Scheme</w:t>
            </w:r>
            <w:r w:rsidR="004C4FBE">
              <w:rPr>
                <w:i/>
              </w:rPr>
              <w:t>:</w:t>
            </w:r>
            <w:r w:rsidR="00460036">
              <w:rPr>
                <w:rStyle w:val="FootnoteReference"/>
                <w:i/>
              </w:rPr>
              <w:footnoteReference w:id="1"/>
            </w:r>
          </w:p>
        </w:tc>
        <w:tc>
          <w:tcPr>
            <w:tcW w:w="6307" w:type="dxa"/>
          </w:tcPr>
          <w:p w14:paraId="21F58707" w14:textId="77777777" w:rsidR="003735BC" w:rsidRDefault="001E0697" w:rsidP="003735BC">
            <w:r>
              <w:t>Yes</w:t>
            </w:r>
          </w:p>
          <w:p w14:paraId="6349D67B" w14:textId="77777777" w:rsidR="003735BC" w:rsidRPr="00487162" w:rsidRDefault="003735BC" w:rsidP="003735BC">
            <w:r>
              <w:t xml:space="preserve">This product will remain in the scheme for 5 years, starting on the date the product is first supplied in </w:t>
            </w:r>
            <w:r w:rsidR="001E0697">
              <w:t>Australia</w:t>
            </w:r>
          </w:p>
        </w:tc>
      </w:tr>
      <w:tr w:rsidR="008E7846" w:rsidRPr="00487162" w14:paraId="57FBC35D" w14:textId="77777777" w:rsidTr="00BF1190">
        <w:tc>
          <w:tcPr>
            <w:tcW w:w="2907" w:type="dxa"/>
          </w:tcPr>
          <w:p w14:paraId="76F509B8"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14:paraId="3182C83D" w14:textId="77777777" w:rsidR="008E7846" w:rsidRPr="00271B0C" w:rsidRDefault="001E0697" w:rsidP="00E45619">
            <w:proofErr w:type="spellStart"/>
            <w:r w:rsidRPr="00271B0C">
              <w:t>Recordati</w:t>
            </w:r>
            <w:proofErr w:type="spellEnd"/>
            <w:r w:rsidRPr="00271B0C">
              <w:t xml:space="preserve"> Rare Diseases Australia Pty Ltd</w:t>
            </w:r>
          </w:p>
          <w:p w14:paraId="3A3EB596" w14:textId="04A75DFD" w:rsidR="0087107D" w:rsidRDefault="001E0697" w:rsidP="001E0697">
            <w:r>
              <w:t>Level 6, 69 Reservoir St</w:t>
            </w:r>
          </w:p>
          <w:p w14:paraId="01489153" w14:textId="04EE04E7" w:rsidR="001E0697" w:rsidRPr="00487162" w:rsidRDefault="001E0697" w:rsidP="001E0697">
            <w:r>
              <w:t>Surry Hills, NSW 2010</w:t>
            </w:r>
          </w:p>
        </w:tc>
      </w:tr>
      <w:tr w:rsidR="008E7846" w:rsidRPr="00487162" w14:paraId="03BD6F26" w14:textId="77777777" w:rsidTr="00BF1190">
        <w:tc>
          <w:tcPr>
            <w:tcW w:w="2907" w:type="dxa"/>
          </w:tcPr>
          <w:p w14:paraId="7082B90D" w14:textId="77777777" w:rsidR="008E7846" w:rsidRPr="00487162" w:rsidRDefault="001E0697" w:rsidP="00E45619">
            <w:pPr>
              <w:rPr>
                <w:i/>
              </w:rPr>
            </w:pPr>
            <w:r>
              <w:rPr>
                <w:i/>
              </w:rPr>
              <w:t>Dose form</w:t>
            </w:r>
            <w:r w:rsidR="001B5C90">
              <w:rPr>
                <w:i/>
              </w:rPr>
              <w:t>:</w:t>
            </w:r>
          </w:p>
        </w:tc>
        <w:tc>
          <w:tcPr>
            <w:tcW w:w="6307" w:type="dxa"/>
          </w:tcPr>
          <w:p w14:paraId="62020D19" w14:textId="77777777" w:rsidR="008E7846" w:rsidRPr="00487162" w:rsidRDefault="001E0697" w:rsidP="00E45619">
            <w:r>
              <w:t>Gel</w:t>
            </w:r>
          </w:p>
        </w:tc>
      </w:tr>
      <w:tr w:rsidR="008E7846" w:rsidRPr="00487162" w14:paraId="6CA66449" w14:textId="77777777" w:rsidTr="00BF1190">
        <w:tc>
          <w:tcPr>
            <w:tcW w:w="2907" w:type="dxa"/>
          </w:tcPr>
          <w:p w14:paraId="155DA9F9" w14:textId="77777777" w:rsidR="008E7846" w:rsidRPr="00487162" w:rsidRDefault="001E0697" w:rsidP="00E45619">
            <w:pPr>
              <w:rPr>
                <w:i/>
              </w:rPr>
            </w:pPr>
            <w:r>
              <w:rPr>
                <w:i/>
              </w:rPr>
              <w:t>Strength</w:t>
            </w:r>
            <w:r w:rsidR="00324E45">
              <w:rPr>
                <w:i/>
              </w:rPr>
              <w:t>:</w:t>
            </w:r>
          </w:p>
        </w:tc>
        <w:tc>
          <w:tcPr>
            <w:tcW w:w="6307" w:type="dxa"/>
          </w:tcPr>
          <w:p w14:paraId="454E6C88" w14:textId="77777777" w:rsidR="008E7846" w:rsidRPr="00487162" w:rsidRDefault="001E0697" w:rsidP="00E45619">
            <w:r>
              <w:t xml:space="preserve">160 µg/g </w:t>
            </w:r>
            <w:r w:rsidRPr="00737771">
              <w:t>chlormethine</w:t>
            </w:r>
          </w:p>
        </w:tc>
      </w:tr>
      <w:tr w:rsidR="008E7846" w:rsidRPr="00487162" w14:paraId="7D1B6466" w14:textId="77777777" w:rsidTr="00BF1190">
        <w:tc>
          <w:tcPr>
            <w:tcW w:w="2907" w:type="dxa"/>
          </w:tcPr>
          <w:p w14:paraId="46623E47" w14:textId="77777777" w:rsidR="008E7846" w:rsidRPr="00487162" w:rsidRDefault="001E0697" w:rsidP="00E45619">
            <w:pPr>
              <w:rPr>
                <w:i/>
              </w:rPr>
            </w:pPr>
            <w:r>
              <w:rPr>
                <w:i/>
              </w:rPr>
              <w:t>Container</w:t>
            </w:r>
            <w:r w:rsidR="008E7846" w:rsidRPr="00487162">
              <w:rPr>
                <w:i/>
              </w:rPr>
              <w:t>:</w:t>
            </w:r>
          </w:p>
        </w:tc>
        <w:tc>
          <w:tcPr>
            <w:tcW w:w="6307" w:type="dxa"/>
          </w:tcPr>
          <w:p w14:paraId="41FC0A13" w14:textId="77777777" w:rsidR="008E7846" w:rsidRPr="00487162" w:rsidRDefault="001E0697" w:rsidP="00E45619">
            <w:r>
              <w:t>Tube</w:t>
            </w:r>
          </w:p>
        </w:tc>
      </w:tr>
      <w:tr w:rsidR="008E7846" w:rsidRPr="00487162" w14:paraId="13D4AD90" w14:textId="77777777" w:rsidTr="00BF1190">
        <w:tc>
          <w:tcPr>
            <w:tcW w:w="2907" w:type="dxa"/>
          </w:tcPr>
          <w:p w14:paraId="1EE793AB" w14:textId="77777777" w:rsidR="008E7846" w:rsidRPr="00487162" w:rsidRDefault="008E7846" w:rsidP="00E45619">
            <w:pPr>
              <w:rPr>
                <w:i/>
              </w:rPr>
            </w:pPr>
            <w:r w:rsidRPr="00487162">
              <w:rPr>
                <w:i/>
              </w:rPr>
              <w:t xml:space="preserve">Pack </w:t>
            </w:r>
            <w:r w:rsidR="001E0697">
              <w:rPr>
                <w:i/>
              </w:rPr>
              <w:t>size</w:t>
            </w:r>
            <w:r w:rsidRPr="00487162">
              <w:rPr>
                <w:i/>
              </w:rPr>
              <w:t>:</w:t>
            </w:r>
          </w:p>
        </w:tc>
        <w:tc>
          <w:tcPr>
            <w:tcW w:w="6307" w:type="dxa"/>
          </w:tcPr>
          <w:p w14:paraId="3518CF47" w14:textId="77777777" w:rsidR="008E7846" w:rsidRPr="00487162" w:rsidRDefault="001E0697" w:rsidP="001E0697">
            <w:r>
              <w:t>One</w:t>
            </w:r>
          </w:p>
        </w:tc>
      </w:tr>
      <w:tr w:rsidR="008E7846" w:rsidRPr="00487162" w14:paraId="09A06674" w14:textId="77777777" w:rsidTr="00BF1190">
        <w:tc>
          <w:tcPr>
            <w:tcW w:w="2907" w:type="dxa"/>
          </w:tcPr>
          <w:p w14:paraId="61132DD3"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37D1E08E" w14:textId="77777777" w:rsidR="008E7846" w:rsidRPr="0099678D" w:rsidRDefault="0099678D" w:rsidP="0099678D">
            <w:pPr>
              <w:rPr>
                <w:rFonts w:eastAsia="MS Mincho"/>
                <w:i/>
                <w:lang w:eastAsia="ja-JP"/>
              </w:rPr>
            </w:pPr>
            <w:proofErr w:type="spellStart"/>
            <w:r w:rsidRPr="0099678D">
              <w:rPr>
                <w:i/>
              </w:rPr>
              <w:t>Ledaga</w:t>
            </w:r>
            <w:proofErr w:type="spellEnd"/>
            <w:r w:rsidRPr="0099678D">
              <w:rPr>
                <w:i/>
              </w:rPr>
              <w:t xml:space="preserve"> is indicated for the topical treatment of mycosis fungoides-type cutaneous T-cell lymphoma (MF-type CTCL) in adult patients</w:t>
            </w:r>
          </w:p>
        </w:tc>
      </w:tr>
      <w:tr w:rsidR="008E7846" w:rsidRPr="00487162" w14:paraId="10F321BD" w14:textId="77777777" w:rsidTr="00BF1190">
        <w:tc>
          <w:tcPr>
            <w:tcW w:w="2907" w:type="dxa"/>
          </w:tcPr>
          <w:p w14:paraId="698732D3" w14:textId="77777777" w:rsidR="008E7846" w:rsidRPr="00487162" w:rsidRDefault="0099678D" w:rsidP="00E45619">
            <w:pPr>
              <w:rPr>
                <w:i/>
              </w:rPr>
            </w:pPr>
            <w:r>
              <w:rPr>
                <w:i/>
              </w:rPr>
              <w:t>Route</w:t>
            </w:r>
            <w:r w:rsidR="008E7846" w:rsidRPr="00487162">
              <w:rPr>
                <w:i/>
              </w:rPr>
              <w:t xml:space="preserve"> of administration:</w:t>
            </w:r>
          </w:p>
        </w:tc>
        <w:tc>
          <w:tcPr>
            <w:tcW w:w="6307" w:type="dxa"/>
          </w:tcPr>
          <w:p w14:paraId="02B5BBD2" w14:textId="77777777" w:rsidR="008E7846" w:rsidRPr="00487162" w:rsidRDefault="0099678D" w:rsidP="00E45619">
            <w:r>
              <w:t>Topical</w:t>
            </w:r>
          </w:p>
        </w:tc>
      </w:tr>
      <w:tr w:rsidR="008E7846" w:rsidRPr="00487162" w14:paraId="3349E44F" w14:textId="77777777" w:rsidTr="00BF1190">
        <w:tc>
          <w:tcPr>
            <w:tcW w:w="2907" w:type="dxa"/>
          </w:tcPr>
          <w:p w14:paraId="5A61F6D9" w14:textId="77777777" w:rsidR="008E7846" w:rsidRPr="00487162" w:rsidRDefault="008E7846" w:rsidP="00E45619">
            <w:pPr>
              <w:rPr>
                <w:i/>
              </w:rPr>
            </w:pPr>
            <w:r w:rsidRPr="00487162">
              <w:rPr>
                <w:i/>
              </w:rPr>
              <w:t>Dosage:</w:t>
            </w:r>
          </w:p>
        </w:tc>
        <w:tc>
          <w:tcPr>
            <w:tcW w:w="6307" w:type="dxa"/>
          </w:tcPr>
          <w:p w14:paraId="62B12E72" w14:textId="5AB77537" w:rsidR="0087107D" w:rsidRPr="00CA3482" w:rsidRDefault="0087107D" w:rsidP="0099678D">
            <w:pPr>
              <w:rPr>
                <w:i/>
              </w:rPr>
            </w:pPr>
            <w:r>
              <w:rPr>
                <w:i/>
              </w:rPr>
              <w:t>General use and application</w:t>
            </w:r>
          </w:p>
          <w:p w14:paraId="7B47D399" w14:textId="27A43C7C" w:rsidR="0099678D" w:rsidRDefault="0099678D" w:rsidP="0099678D">
            <w:r>
              <w:t xml:space="preserve">Treatment with </w:t>
            </w:r>
            <w:proofErr w:type="spellStart"/>
            <w:r>
              <w:t>Ledaga</w:t>
            </w:r>
            <w:proofErr w:type="spellEnd"/>
            <w:r>
              <w:t xml:space="preserve"> should be initiated by an appropriately experienced physician.</w:t>
            </w:r>
          </w:p>
          <w:p w14:paraId="0D8D7C96" w14:textId="77777777" w:rsidR="0099678D" w:rsidRDefault="0099678D" w:rsidP="0099678D">
            <w:r>
              <w:t xml:space="preserve">A thin film of </w:t>
            </w:r>
            <w:proofErr w:type="spellStart"/>
            <w:r>
              <w:t>Ledaga</w:t>
            </w:r>
            <w:proofErr w:type="spellEnd"/>
            <w:r>
              <w:t xml:space="preserve"> should be applied once daily to affected areas of the skin.</w:t>
            </w:r>
          </w:p>
          <w:p w14:paraId="07F13E78" w14:textId="47F28365" w:rsidR="0099678D" w:rsidRDefault="0099678D" w:rsidP="0099678D">
            <w:r>
              <w:t xml:space="preserve">Treatment with </w:t>
            </w:r>
            <w:proofErr w:type="spellStart"/>
            <w:r>
              <w:t>Ledaga</w:t>
            </w:r>
            <w:proofErr w:type="spellEnd"/>
            <w:r>
              <w:t xml:space="preserve"> should be stopped for any grade of skin ulceration or blistering, or moderately severe or severe </w:t>
            </w:r>
            <w:r>
              <w:lastRenderedPageBreak/>
              <w:t>dermatitis (</w:t>
            </w:r>
            <w:r w:rsidRPr="00A269B4">
              <w:t>for example, marked skin redness with oedema</w:t>
            </w:r>
            <w:r>
              <w:t>).</w:t>
            </w:r>
            <w:r w:rsidR="00023D63">
              <w:t xml:space="preserve"> </w:t>
            </w:r>
            <w:r>
              <w:t xml:space="preserve">Upon improvement, treatment with </w:t>
            </w:r>
            <w:proofErr w:type="spellStart"/>
            <w:r>
              <w:t>Ledaga</w:t>
            </w:r>
            <w:proofErr w:type="spellEnd"/>
            <w:r>
              <w:t xml:space="preserve"> can be restarted at a reduced frequency of once every three days. If reintroduction of treatment is tolerated for at least one week, the frequency of application can be increased to every other day for at least one week and then to once-daily application if tolerated.</w:t>
            </w:r>
          </w:p>
          <w:p w14:paraId="4CF62901" w14:textId="23CD78BF" w:rsidR="0099678D" w:rsidRPr="0099678D" w:rsidRDefault="0087107D" w:rsidP="0099678D">
            <w:pPr>
              <w:rPr>
                <w:i/>
              </w:rPr>
            </w:pPr>
            <w:r>
              <w:rPr>
                <w:i/>
              </w:rPr>
              <w:t>Use in the e</w:t>
            </w:r>
            <w:r w:rsidR="0099678D" w:rsidRPr="0099678D">
              <w:rPr>
                <w:i/>
              </w:rPr>
              <w:t>lderly</w:t>
            </w:r>
            <w:r>
              <w:rPr>
                <w:i/>
              </w:rPr>
              <w:t xml:space="preserve"> population</w:t>
            </w:r>
          </w:p>
          <w:p w14:paraId="1A8FFA09" w14:textId="77777777" w:rsidR="008E7846" w:rsidRDefault="0099678D" w:rsidP="0099678D">
            <w:r>
              <w:t>The dosing recommendation for elderly patients (≥ 65 years old) is the same as for younger adult patients (see Section 4.8 in the Product Information).</w:t>
            </w:r>
          </w:p>
          <w:p w14:paraId="2077E99D" w14:textId="77777777" w:rsidR="00460036" w:rsidRPr="00487162" w:rsidRDefault="00460036" w:rsidP="00E45619">
            <w:r w:rsidRPr="00460036">
              <w:t>For further information regarding dosage, refer to the Product Information.</w:t>
            </w:r>
          </w:p>
        </w:tc>
      </w:tr>
      <w:tr w:rsidR="00460036" w:rsidRPr="00487162" w14:paraId="7BE355EC" w14:textId="77777777" w:rsidTr="00BF1190">
        <w:tc>
          <w:tcPr>
            <w:tcW w:w="2907" w:type="dxa"/>
          </w:tcPr>
          <w:p w14:paraId="34C86DFC" w14:textId="77777777" w:rsidR="00460036" w:rsidRPr="00487162" w:rsidRDefault="00460036" w:rsidP="00E45619">
            <w:pPr>
              <w:rPr>
                <w:i/>
              </w:rPr>
            </w:pPr>
            <w:r w:rsidRPr="00460036">
              <w:rPr>
                <w:i/>
              </w:rPr>
              <w:lastRenderedPageBreak/>
              <w:t>Pregnancy category</w:t>
            </w:r>
            <w:r>
              <w:rPr>
                <w:i/>
              </w:rPr>
              <w:t>:</w:t>
            </w:r>
          </w:p>
        </w:tc>
        <w:tc>
          <w:tcPr>
            <w:tcW w:w="6307" w:type="dxa"/>
          </w:tcPr>
          <w:p w14:paraId="08303ABC" w14:textId="77777777" w:rsidR="0099678D" w:rsidRDefault="0099678D" w:rsidP="0099678D">
            <w:r>
              <w:t>B3</w:t>
            </w:r>
          </w:p>
          <w:p w14:paraId="3D49FE23" w14:textId="77777777" w:rsidR="0099678D" w:rsidRDefault="0099678D" w:rsidP="0099678D">
            <w:r>
              <w:t xml:space="preserve">Drugs which have been taken by only a limited number of pregnant women and women of childbearing age, without an increase in the frequency of malformation or other direct or indirect harmful effects on the human </w:t>
            </w:r>
            <w:proofErr w:type="spellStart"/>
            <w:r>
              <w:t>fetus</w:t>
            </w:r>
            <w:proofErr w:type="spellEnd"/>
            <w:r>
              <w:t xml:space="preserve"> having been observed.</w:t>
            </w:r>
          </w:p>
          <w:p w14:paraId="5AA75543" w14:textId="77777777" w:rsidR="0099678D" w:rsidRDefault="0099678D" w:rsidP="0099678D">
            <w:r>
              <w:t xml:space="preserve">Studies in animals have shown evidence of an increased occurrence of </w:t>
            </w:r>
            <w:proofErr w:type="spellStart"/>
            <w:r>
              <w:t>fetal</w:t>
            </w:r>
            <w:proofErr w:type="spellEnd"/>
            <w:r>
              <w:t xml:space="preserve"> damage, the significance of which is considered uncertain in humans.</w:t>
            </w:r>
          </w:p>
          <w:p w14:paraId="607ECF4B" w14:textId="77777777" w:rsidR="00460036" w:rsidRPr="00487162" w:rsidRDefault="00460036" w:rsidP="0099678D">
            <w:r>
              <w:t>The use of any medicine during pregnancy requires careful consideration of both risks and benefits by the treating health professional. This must not be used as the sole basis of decision making in the use of medicines during pregnancy. The TGA does not provide advice on the use of medicines in pregnancy for specific cases. More information is available from obstetric drug information services in your State or Territory.</w:t>
            </w:r>
          </w:p>
        </w:tc>
      </w:tr>
    </w:tbl>
    <w:p w14:paraId="5B642B3B" w14:textId="77777777" w:rsidR="008E7846" w:rsidRDefault="008E7846" w:rsidP="008E7846">
      <w:pPr>
        <w:pStyle w:val="Heading3"/>
      </w:pPr>
      <w:bookmarkStart w:id="13" w:name="_Toc247691503"/>
      <w:bookmarkStart w:id="14" w:name="_Toc314842484"/>
      <w:bookmarkStart w:id="15" w:name="_Toc83118506"/>
      <w:r>
        <w:t>Product background</w:t>
      </w:r>
      <w:bookmarkEnd w:id="13"/>
      <w:bookmarkEnd w:id="14"/>
      <w:bookmarkEnd w:id="15"/>
    </w:p>
    <w:p w14:paraId="2CDB50E0" w14:textId="77777777" w:rsidR="008E7846" w:rsidRDefault="00250271" w:rsidP="00940A89">
      <w:r w:rsidRPr="00250271">
        <w:t xml:space="preserve">This </w:t>
      </w:r>
      <w:proofErr w:type="spellStart"/>
      <w:r w:rsidRPr="00250271">
        <w:t>AusPA</w:t>
      </w:r>
      <w:r w:rsidR="0099678D">
        <w:t>R</w:t>
      </w:r>
      <w:proofErr w:type="spellEnd"/>
      <w:r w:rsidR="0099678D">
        <w:t xml:space="preserve"> describes the application by </w:t>
      </w:r>
      <w:proofErr w:type="spellStart"/>
      <w:r w:rsidR="0099678D" w:rsidRPr="00DE46B1">
        <w:rPr>
          <w:lang w:val="en-GB"/>
        </w:rPr>
        <w:t>Recordati</w:t>
      </w:r>
      <w:proofErr w:type="spellEnd"/>
      <w:r w:rsidR="0099678D" w:rsidRPr="00DE46B1">
        <w:rPr>
          <w:lang w:val="en-GB"/>
        </w:rPr>
        <w:t xml:space="preserve"> Rare Diseases Australia Pty Ltd</w:t>
      </w:r>
      <w:r w:rsidRPr="00250271">
        <w:t xml:space="preserve"> (the sponsor) to register </w:t>
      </w:r>
      <w:proofErr w:type="spellStart"/>
      <w:r w:rsidR="0099678D">
        <w:t>Ledaga</w:t>
      </w:r>
      <w:proofErr w:type="spellEnd"/>
      <w:r w:rsidRPr="00250271">
        <w:t xml:space="preserve"> (</w:t>
      </w:r>
      <w:r w:rsidR="0099678D">
        <w:rPr>
          <w:rFonts w:cs="Cambria"/>
          <w:lang w:eastAsia="en-AU"/>
        </w:rPr>
        <w:t>c</w:t>
      </w:r>
      <w:r w:rsidR="0099678D" w:rsidRPr="00737771">
        <w:rPr>
          <w:rFonts w:cs="Cambria"/>
          <w:lang w:eastAsia="en-AU"/>
        </w:rPr>
        <w:t>hlormethine hydrochloride</w:t>
      </w:r>
      <w:r w:rsidRPr="00250271">
        <w:t xml:space="preserve">) </w:t>
      </w:r>
      <w:r w:rsidR="0099678D" w:rsidRPr="00737771">
        <w:t>160 µg/g</w:t>
      </w:r>
      <w:r w:rsidRPr="00250271">
        <w:t xml:space="preserve">, </w:t>
      </w:r>
      <w:r w:rsidR="0099678D">
        <w:t>gel</w:t>
      </w:r>
      <w:r w:rsidRPr="00250271">
        <w:t xml:space="preserve"> for the following proposed indication</w:t>
      </w:r>
      <w:r w:rsidR="00CF5DAD">
        <w:t>:</w:t>
      </w:r>
    </w:p>
    <w:p w14:paraId="74BA5E10" w14:textId="77777777" w:rsidR="0099678D" w:rsidRPr="00AA018E" w:rsidRDefault="0099678D" w:rsidP="00AA018E">
      <w:pPr>
        <w:ind w:left="720"/>
        <w:rPr>
          <w:i/>
        </w:rPr>
      </w:pPr>
      <w:proofErr w:type="spellStart"/>
      <w:r w:rsidRPr="00AA018E">
        <w:rPr>
          <w:i/>
        </w:rPr>
        <w:t>Ledaga</w:t>
      </w:r>
      <w:proofErr w:type="spellEnd"/>
      <w:r w:rsidRPr="00AA018E">
        <w:rPr>
          <w:i/>
        </w:rPr>
        <w:t xml:space="preserve"> is indicated for the topical treatment of mycosis fungoides-type cutaneous T-cell lymphoma (M</w:t>
      </w:r>
      <w:r w:rsidR="00AA018E" w:rsidRPr="00AA018E">
        <w:rPr>
          <w:i/>
        </w:rPr>
        <w:t>F-type CTCL) in adult patients.</w:t>
      </w:r>
    </w:p>
    <w:p w14:paraId="2CB790F6" w14:textId="485BD25D" w:rsidR="00AA018E" w:rsidRDefault="00AA018E" w:rsidP="00AA018E">
      <w:r>
        <w:t>Mycosis fungoides</w:t>
      </w:r>
      <w:r w:rsidR="00BD461C">
        <w:t xml:space="preserve"> (MF)</w:t>
      </w:r>
      <w:r>
        <w:t xml:space="preserve"> and </w:t>
      </w:r>
      <w:proofErr w:type="spellStart"/>
      <w:r>
        <w:t>Sézary</w:t>
      </w:r>
      <w:proofErr w:type="spellEnd"/>
      <w:r>
        <w:t xml:space="preserve"> syndrome (leukemic involvement) are </w:t>
      </w:r>
      <w:proofErr w:type="spellStart"/>
      <w:r>
        <w:t>neoplasias</w:t>
      </w:r>
      <w:proofErr w:type="spellEnd"/>
      <w:r>
        <w:t xml:space="preserve"> of malignant T lymphocytes that usually possess the helper/inducer cell surface phenotype.</w:t>
      </w:r>
      <w:r w:rsidR="00134154">
        <w:t xml:space="preserve"> </w:t>
      </w:r>
      <w:r>
        <w:t xml:space="preserve">These kinds of neoplasms initially present as skin involvement and, as such, have been classified as cutaneous T-cell lymphomas. Cutaneous T-cell lymphomas should be distinguished from other T-cell lymphomas that involve the skin, such as anaplastic large cell lymphoma (CD30 positive), peripheral T-cell lymphoma (CD30 negative, with no epidermal involvement), adult T-cell leukaemia/lymphoma (usually with systemic involvement), or subcutaneous </w:t>
      </w:r>
      <w:proofErr w:type="spellStart"/>
      <w:r>
        <w:t>panniculitic</w:t>
      </w:r>
      <w:proofErr w:type="spellEnd"/>
      <w:r>
        <w:t xml:space="preserve"> T-cell lymphoma. </w:t>
      </w:r>
    </w:p>
    <w:p w14:paraId="1940FEAB" w14:textId="77777777" w:rsidR="00AA018E" w:rsidRDefault="00AA018E" w:rsidP="00AA018E">
      <w:r>
        <w:t xml:space="preserve">Typically, the natural history of mycosis fungoides is indolent. Symptoms of the disease may present for long periods, in a range of 2 to 10 years, because cutaneous eruptions wax and wane before they receive a biopsy confirmation. Mycosis fungoides and </w:t>
      </w:r>
      <w:proofErr w:type="spellStart"/>
      <w:r>
        <w:t>Sézary</w:t>
      </w:r>
      <w:proofErr w:type="spellEnd"/>
      <w:r>
        <w:t xml:space="preserve"> syndrome are treatable with available topical therapy, systemic therapy, or both. To date, </w:t>
      </w:r>
      <w:r>
        <w:lastRenderedPageBreak/>
        <w:t>curative modalities have proven elusive, with the possible exception of patients with minimal disease confined to the skin.</w:t>
      </w:r>
      <w:bookmarkStart w:id="16" w:name="_Ref81271480"/>
      <w:r>
        <w:rPr>
          <w:rStyle w:val="FootnoteReference"/>
        </w:rPr>
        <w:footnoteReference w:id="2"/>
      </w:r>
      <w:bookmarkEnd w:id="16"/>
    </w:p>
    <w:p w14:paraId="7A652EF3" w14:textId="30CF5536" w:rsidR="00AA018E" w:rsidRDefault="00AA018E" w:rsidP="00AA018E">
      <w:r>
        <w:t xml:space="preserve">Cutaneous T-cell lymphoma (CTCL) refers to a heterogeneous group of primary, </w:t>
      </w:r>
      <w:proofErr w:type="spellStart"/>
      <w:r>
        <w:t>epidermotropic</w:t>
      </w:r>
      <w:proofErr w:type="spellEnd"/>
      <w:r>
        <w:t xml:space="preserve"> (cutaneous) and non-</w:t>
      </w:r>
      <w:proofErr w:type="spellStart"/>
      <w:r>
        <w:t>epidermotropic</w:t>
      </w:r>
      <w:proofErr w:type="spellEnd"/>
      <w:r>
        <w:t xml:space="preserve"> (subcutaneous and systemic) non</w:t>
      </w:r>
      <w:r w:rsidR="00635A51">
        <w:noBreakHyphen/>
      </w:r>
      <w:r>
        <w:t>Hodgkin lymphomas involving malignant proliferation of mature T lymphocytes, primarily in the skin. Although</w:t>
      </w:r>
      <w:r w:rsidR="001D10A8">
        <w:t xml:space="preserve"> </w:t>
      </w:r>
      <w:r>
        <w:t>T-cell lymphomas typically begin in the skin, aggressive forms involve extra-cutaneous sites such as bone marrow, blood, lymph nodes,</w:t>
      </w:r>
      <w:r w:rsidR="00C17572">
        <w:t xml:space="preserve"> and visceral organs</w:t>
      </w:r>
      <w:r>
        <w:t>.</w:t>
      </w:r>
      <w:r w:rsidR="00C17572">
        <w:rPr>
          <w:rStyle w:val="FootnoteReference"/>
        </w:rPr>
        <w:footnoteReference w:id="3"/>
      </w:r>
      <w:r>
        <w:t xml:space="preserve"> The </w:t>
      </w:r>
      <w:proofErr w:type="spellStart"/>
      <w:r>
        <w:t>epidermotropic</w:t>
      </w:r>
      <w:proofErr w:type="spellEnd"/>
      <w:r>
        <w:t xml:space="preserve"> form of CTCL is the most common and is referred to as </w:t>
      </w:r>
      <w:r w:rsidR="00635A51">
        <w:t>mycosis fungoides</w:t>
      </w:r>
      <w:r>
        <w:t>, accounting for 60% of new CTCL cases.</w:t>
      </w:r>
    </w:p>
    <w:p w14:paraId="16C71099" w14:textId="5DDF5A9B" w:rsidR="00AA018E" w:rsidRDefault="005E34D7" w:rsidP="00AA018E">
      <w:r>
        <w:t xml:space="preserve">The </w:t>
      </w:r>
      <w:r w:rsidR="00C91574">
        <w:t>T</w:t>
      </w:r>
      <w:r w:rsidR="00AA018E">
        <w:t>umour, Node, Metastasis, Bl</w:t>
      </w:r>
      <w:r w:rsidR="00BD461C">
        <w:t xml:space="preserve">ood (TNMB) classification of </w:t>
      </w:r>
      <w:r w:rsidR="000409B2">
        <w:t xml:space="preserve">the </w:t>
      </w:r>
      <w:r w:rsidR="000C298D">
        <w:t>mycosis fungoides</w:t>
      </w:r>
      <w:r w:rsidR="000409B2">
        <w:noBreakHyphen/>
      </w:r>
      <w:r w:rsidR="00AA018E">
        <w:t>type</w:t>
      </w:r>
      <w:r w:rsidR="000409B2">
        <w:t xml:space="preserve"> of</w:t>
      </w:r>
      <w:r w:rsidR="00AA018E">
        <w:t xml:space="preserve"> CTCL</w:t>
      </w:r>
      <w:r w:rsidR="00C17572">
        <w:t>;</w:t>
      </w:r>
      <w:r w:rsidR="00C17572">
        <w:rPr>
          <w:rStyle w:val="FootnoteReference"/>
        </w:rPr>
        <w:footnoteReference w:id="4"/>
      </w:r>
      <w:r w:rsidR="00C17572" w:rsidRPr="00C17572">
        <w:rPr>
          <w:vertAlign w:val="superscript"/>
        </w:rPr>
        <w:t>,</w:t>
      </w:r>
      <w:r w:rsidR="00C17572">
        <w:rPr>
          <w:rStyle w:val="FootnoteReference"/>
        </w:rPr>
        <w:footnoteReference w:id="5"/>
      </w:r>
      <w:r w:rsidR="00AA018E">
        <w:t xml:space="preserve"> for early stage disease (Stages IA, IB, IIA)</w:t>
      </w:r>
      <w:r w:rsidR="000409B2">
        <w:t>,</w:t>
      </w:r>
      <w:r w:rsidR="00AA018E">
        <w:t xml:space="preserve"> is characterised by skin lesions (patches, papules, and/or plaques, but no cutaneous tumour or generali</w:t>
      </w:r>
      <w:r w:rsidR="00134154">
        <w:t>s</w:t>
      </w:r>
      <w:r w:rsidR="00AA018E">
        <w:t xml:space="preserve">ed erythema), </w:t>
      </w:r>
      <w:r w:rsidR="000409B2">
        <w:t xml:space="preserve">with </w:t>
      </w:r>
      <w:r w:rsidR="00AA018E">
        <w:t>normal or clinically enlarged lymph nodes but not histologically involved, no visceral involvement and no high blood tumour burden. Late stage disease (Stages IIB, IIIA, IIIB, and IV) is characterised by skin lesions (one or more cutaneous tumour or generalised erythema), normal or clinically enlarged lymph nodes with possible histopathological involvement, possible visceral involvement, and/or high blood tumour burden.</w:t>
      </w:r>
    </w:p>
    <w:p w14:paraId="6DD47BD8" w14:textId="122EEEE5" w:rsidR="00AA018E" w:rsidRDefault="000409B2" w:rsidP="00AA018E">
      <w:r>
        <w:t>Mycosis fungoides</w:t>
      </w:r>
      <w:r>
        <w:noBreakHyphen/>
        <w:t>type CTCL</w:t>
      </w:r>
      <w:r w:rsidR="00AA018E">
        <w:t xml:space="preserve"> can mimic benign skin conditions such as chronic eczema, allergic contact dermatitis, or psoriasis, thus posing a diagnostic challenge to the clinicians involved in the diagnosis. It is not unusual for the diagnosis to remain elusive for years. Nevertheless, early stages accounts for the majority o</w:t>
      </w:r>
      <w:r w:rsidR="00803A13">
        <w:t>f the patients</w:t>
      </w:r>
      <w:r w:rsidR="00AA018E">
        <w:t>.</w:t>
      </w:r>
      <w:r w:rsidR="00803A13">
        <w:rPr>
          <w:rStyle w:val="FootnoteReference"/>
        </w:rPr>
        <w:footnoteReference w:id="6"/>
      </w:r>
    </w:p>
    <w:p w14:paraId="0BA00B80" w14:textId="2D8F7486" w:rsidR="00AA018E" w:rsidRDefault="00AA018E" w:rsidP="00AA018E">
      <w:r>
        <w:t>Survival prognosis is related to the disease stage at diagnosis, the type and extent of skin lesions and the presence of extracutaneous disease. Median survival time ranges from 35.5</w:t>
      </w:r>
      <w:r w:rsidR="000409B2">
        <w:t> </w:t>
      </w:r>
      <w:r>
        <w:t xml:space="preserve">years for Stage IA </w:t>
      </w:r>
      <w:r w:rsidR="00577C89">
        <w:t xml:space="preserve">to </w:t>
      </w:r>
      <w:r w:rsidR="00AC4C07">
        <w:t>two</w:t>
      </w:r>
      <w:r w:rsidR="00577C89">
        <w:t xml:space="preserve"> years for Stage IV.</w:t>
      </w:r>
      <w:r w:rsidR="00577C89">
        <w:rPr>
          <w:rStyle w:val="FootnoteReference"/>
        </w:rPr>
        <w:footnoteReference w:id="7"/>
      </w:r>
    </w:p>
    <w:p w14:paraId="15E5F50F" w14:textId="73760E65" w:rsidR="00AA018E" w:rsidRPr="003160DA" w:rsidRDefault="00AA018E" w:rsidP="00AA018E">
      <w:r>
        <w:t>The likelihood of progression is unpredictable, with a quarter of early</w:t>
      </w:r>
      <w:r w:rsidR="00AC4C07">
        <w:t xml:space="preserve"> </w:t>
      </w:r>
      <w:r>
        <w:t xml:space="preserve">stage patients progressing to advanced stage disease which presents a poor prognosis and median survival of just 3 years. Thus, effective treatment of early stage disease is an important factor in preventing disease progression and death from </w:t>
      </w:r>
      <w:r w:rsidR="000C298D">
        <w:t>mycosis fungoides</w:t>
      </w:r>
      <w:r>
        <w:t xml:space="preserve">, as well </w:t>
      </w:r>
      <w:r w:rsidR="00577C89">
        <w:t>as relief of symptoms</w:t>
      </w:r>
      <w:r>
        <w:t>.</w:t>
      </w:r>
      <w:r w:rsidR="00577C89">
        <w:rPr>
          <w:rStyle w:val="FootnoteReference"/>
        </w:rPr>
        <w:footnoteReference w:id="8"/>
      </w:r>
    </w:p>
    <w:p w14:paraId="31F705D6" w14:textId="11AB761C" w:rsidR="00AA018E" w:rsidRDefault="00AA018E" w:rsidP="00AA018E">
      <w:r w:rsidRPr="00A269B4">
        <w:t xml:space="preserve">There </w:t>
      </w:r>
      <w:r w:rsidR="000409B2" w:rsidRPr="00A269B4">
        <w:t>remain</w:t>
      </w:r>
      <w:r w:rsidRPr="00A269B4">
        <w:t xml:space="preserve"> no app</w:t>
      </w:r>
      <w:r w:rsidR="00BD461C" w:rsidRPr="00A269B4">
        <w:t xml:space="preserve">roved topical treatments for </w:t>
      </w:r>
      <w:r w:rsidR="000C298D">
        <w:t>mycosis fungoides</w:t>
      </w:r>
      <w:r w:rsidR="000409B2">
        <w:noBreakHyphen/>
      </w:r>
      <w:r w:rsidRPr="00A269B4">
        <w:t>type</w:t>
      </w:r>
      <w:r>
        <w:t xml:space="preserve"> CTCL in Australia. In the absence of an approved topical treatment, prescribers use unapproved products (</w:t>
      </w:r>
      <w:r w:rsidR="002E68FC">
        <w:t>for example,</w:t>
      </w:r>
      <w:r>
        <w:t xml:space="preserve"> </w:t>
      </w:r>
      <w:proofErr w:type="spellStart"/>
      <w:r>
        <w:t>carmustine</w:t>
      </w:r>
      <w:proofErr w:type="spellEnd"/>
      <w:r>
        <w:t>) compounded extemporaneously in pharmacies in a non</w:t>
      </w:r>
      <w:r w:rsidR="000409B2">
        <w:noBreakHyphen/>
      </w:r>
      <w:r>
        <w:t xml:space="preserve">standardised manner. Systemically administered products are approved and available but are mainly reserved for patients who are refractory to topical treatment or show signs </w:t>
      </w:r>
      <w:r>
        <w:lastRenderedPageBreak/>
        <w:t xml:space="preserve">of progressive disease. Accordingly, there is an unmet medical need for a topical treatment for </w:t>
      </w:r>
      <w:r w:rsidR="000C298D">
        <w:t>mycosis fungoides</w:t>
      </w:r>
      <w:r w:rsidR="007D2839">
        <w:noBreakHyphen/>
      </w:r>
      <w:r>
        <w:t>type CTCL, particularly a topical chlormethine co</w:t>
      </w:r>
      <w:r w:rsidR="00BD461C">
        <w:t xml:space="preserve">ntaining product such as </w:t>
      </w:r>
      <w:proofErr w:type="spellStart"/>
      <w:r w:rsidR="00BD461C">
        <w:t>Ledaga</w:t>
      </w:r>
      <w:proofErr w:type="spellEnd"/>
      <w:r>
        <w:t>.</w:t>
      </w:r>
    </w:p>
    <w:p w14:paraId="6CA79DDC" w14:textId="79DED973" w:rsidR="00AA018E" w:rsidRDefault="00AA018E" w:rsidP="00AA018E">
      <w:proofErr w:type="spellStart"/>
      <w:r w:rsidRPr="005C1C76">
        <w:t>G</w:t>
      </w:r>
      <w:r w:rsidR="00BD461C" w:rsidRPr="005C1C76">
        <w:t>liadel</w:t>
      </w:r>
      <w:proofErr w:type="spellEnd"/>
      <w:r w:rsidRPr="005C1C76">
        <w:t>,</w:t>
      </w:r>
      <w:r w:rsidR="002E68FC" w:rsidRPr="005C1C76">
        <w:rPr>
          <w:rStyle w:val="FootnoteReference"/>
        </w:rPr>
        <w:footnoteReference w:id="9"/>
      </w:r>
      <w:r w:rsidRPr="005C1C76">
        <w:t xml:space="preserve"> an implant </w:t>
      </w:r>
      <w:r w:rsidR="008A53C0" w:rsidRPr="005C1C76">
        <w:t xml:space="preserve">indicated for glioma and </w:t>
      </w:r>
      <w:proofErr w:type="spellStart"/>
      <w:r w:rsidR="008A53C0" w:rsidRPr="005C1C76">
        <w:t>Bi</w:t>
      </w:r>
      <w:r w:rsidR="002E68FC" w:rsidRPr="005C1C76">
        <w:t>CNU</w:t>
      </w:r>
      <w:proofErr w:type="spellEnd"/>
      <w:r w:rsidRPr="009F10E2">
        <w:t>,</w:t>
      </w:r>
      <w:bookmarkStart w:id="17" w:name="_Ref77768863"/>
      <w:r w:rsidR="002E68FC" w:rsidRPr="005C1C76">
        <w:rPr>
          <w:rStyle w:val="FootnoteReference"/>
        </w:rPr>
        <w:footnoteReference w:id="10"/>
      </w:r>
      <w:bookmarkEnd w:id="17"/>
      <w:r w:rsidRPr="005C1C76">
        <w:t xml:space="preserve"> an intravenous product</w:t>
      </w:r>
      <w:r w:rsidR="007D2839">
        <w:t>,</w:t>
      </w:r>
      <w:r w:rsidRPr="005C1C76">
        <w:t xml:space="preserve"> remain the only </w:t>
      </w:r>
      <w:proofErr w:type="spellStart"/>
      <w:r w:rsidRPr="005C1C76">
        <w:t>carmustine</w:t>
      </w:r>
      <w:proofErr w:type="spellEnd"/>
      <w:r w:rsidRPr="005C1C76">
        <w:t xml:space="preserve"> products on the </w:t>
      </w:r>
      <w:r w:rsidR="008A53C0" w:rsidRPr="005C1C76">
        <w:t>Australian Register of Therapeutic Goods (</w:t>
      </w:r>
      <w:r w:rsidRPr="005C1C76">
        <w:t>ARTG</w:t>
      </w:r>
      <w:r w:rsidR="008A53C0" w:rsidRPr="005C1C76">
        <w:t>)</w:t>
      </w:r>
      <w:r w:rsidRPr="005C1C76">
        <w:t>.</w:t>
      </w:r>
    </w:p>
    <w:p w14:paraId="755FE6D2" w14:textId="0D121679" w:rsidR="00AA018E" w:rsidRDefault="00AA018E" w:rsidP="00AA018E">
      <w:r w:rsidRPr="00CD06F6">
        <w:t xml:space="preserve">Clinical staging </w:t>
      </w:r>
      <w:r>
        <w:t xml:space="preserve">of </w:t>
      </w:r>
      <w:r w:rsidR="000C298D">
        <w:t>mycosis fungoides</w:t>
      </w:r>
      <w:r w:rsidR="007D2839">
        <w:noBreakHyphen/>
        <w:t xml:space="preserve">type </w:t>
      </w:r>
      <w:r w:rsidRPr="0060487C">
        <w:t xml:space="preserve">CTCL </w:t>
      </w:r>
      <w:r w:rsidRPr="00CD06F6">
        <w:t xml:space="preserve">is based on the classification by Bunn and </w:t>
      </w:r>
      <w:proofErr w:type="spellStart"/>
      <w:r w:rsidRPr="00CD06F6">
        <w:t>Lamberg</w:t>
      </w:r>
      <w:proofErr w:type="spellEnd"/>
      <w:r w:rsidRPr="00CD06F6">
        <w:t xml:space="preserve"> (1979).</w:t>
      </w:r>
      <w:r w:rsidR="008A53C0">
        <w:rPr>
          <w:rStyle w:val="FootnoteReference"/>
        </w:rPr>
        <w:footnoteReference w:id="11"/>
      </w:r>
      <w:r w:rsidRPr="00CD06F6">
        <w:t xml:space="preserve"> For patients with Stage IA, IB skin disease only (without lymph node involvement) or IIA (enlarged but histologically uninvolved lymph</w:t>
      </w:r>
      <w:r w:rsidR="008A53C0">
        <w:t xml:space="preserve"> nodes), treatment is with skin </w:t>
      </w:r>
      <w:r w:rsidRPr="00CD06F6">
        <w:t xml:space="preserve">directed therapy. These include topical corticosteroids, topical chemotherapy with </w:t>
      </w:r>
      <w:r>
        <w:t>chlormethine</w:t>
      </w:r>
      <w:r w:rsidRPr="00CD06F6">
        <w:t xml:space="preserve"> (</w:t>
      </w:r>
      <w:r>
        <w:t xml:space="preserve">also known as </w:t>
      </w:r>
      <w:r w:rsidRPr="00CD06F6">
        <w:t>nitrogen mustard</w:t>
      </w:r>
      <w:r>
        <w:t xml:space="preserve"> and as </w:t>
      </w:r>
      <w:r w:rsidRPr="00FF490A">
        <w:t>mechlorethamine</w:t>
      </w:r>
      <w:r w:rsidR="008A53C0">
        <w:t xml:space="preserve">) or </w:t>
      </w:r>
      <w:proofErr w:type="spellStart"/>
      <w:r w:rsidR="008A53C0">
        <w:t>carmustine</w:t>
      </w:r>
      <w:proofErr w:type="spellEnd"/>
      <w:r w:rsidRPr="00CD06F6">
        <w:t>, ultraviolet B (UVB) therapy, psoralen plus ultraviolet A radiation (PUVA), retinoids and total skin electron beam therapy. Whilst in clinical series topical nitrogen mustard concentr</w:t>
      </w:r>
      <w:r w:rsidR="00BD461C">
        <w:t xml:space="preserve">ations of 0.01% to </w:t>
      </w:r>
      <w:r w:rsidRPr="00CD06F6">
        <w:t>0.02% demonstrate significant clin</w:t>
      </w:r>
      <w:r w:rsidR="008A53C0">
        <w:t>ical efficacy in early plaque</w:t>
      </w:r>
      <w:r w:rsidR="00BD461C">
        <w:t>/</w:t>
      </w:r>
      <w:r w:rsidRPr="00CD06F6">
        <w:t>patch disease, the major toxicity of this approach is allergic contract d</w:t>
      </w:r>
      <w:r w:rsidR="00BD461C">
        <w:t xml:space="preserve">ermatitis occurring in up to 35 to </w:t>
      </w:r>
      <w:r w:rsidRPr="00CD06F6">
        <w:t>70% of patients and often le</w:t>
      </w:r>
      <w:r w:rsidR="00BD461C">
        <w:t xml:space="preserve">ading to cessation of therapy. </w:t>
      </w:r>
      <w:r w:rsidRPr="00CD06F6">
        <w:t>Furthermore, due to the known alkylation of</w:t>
      </w:r>
      <w:r w:rsidR="00F51ABC">
        <w:t xml:space="preserve"> d</w:t>
      </w:r>
      <w:r w:rsidR="00F51ABC" w:rsidRPr="00F51ABC">
        <w:t>eoxyribonucleic acid</w:t>
      </w:r>
      <w:r w:rsidRPr="00CD06F6">
        <w:t xml:space="preserve"> </w:t>
      </w:r>
      <w:r w:rsidR="00F51ABC">
        <w:t>(</w:t>
      </w:r>
      <w:r w:rsidRPr="00CD06F6">
        <w:t>DNA</w:t>
      </w:r>
      <w:r w:rsidR="00F51ABC">
        <w:t>)</w:t>
      </w:r>
      <w:r w:rsidRPr="00CD06F6">
        <w:t xml:space="preserve"> induced by nitrogen mustard, there has been concern of an increase in the risk of other forms of skin cancer, including squamous cell carcinoma and basal cell carcinoma.</w:t>
      </w:r>
    </w:p>
    <w:p w14:paraId="7B2707B0" w14:textId="26E9C58E" w:rsidR="00AA018E" w:rsidRDefault="00AA018E" w:rsidP="00AA018E">
      <w:r>
        <w:t>Systemic therapies that have been used include:</w:t>
      </w:r>
      <w:r w:rsidR="008A53C0">
        <w:t xml:space="preserve"> interferon</w:t>
      </w:r>
      <w:r w:rsidR="007D2839">
        <w:noBreakHyphen/>
        <w:t>alpha</w:t>
      </w:r>
      <w:r w:rsidR="008A53C0">
        <w:t>, interferon</w:t>
      </w:r>
      <w:r w:rsidR="007D2839">
        <w:noBreakHyphen/>
        <w:t>gamma</w:t>
      </w:r>
      <w:r>
        <w:t xml:space="preserve">, methotrexate, doxorubicin, fludarabine, 2-chlorodeoxyadenosine, </w:t>
      </w:r>
      <w:proofErr w:type="spellStart"/>
      <w:r>
        <w:t>pentostatin</w:t>
      </w:r>
      <w:proofErr w:type="spellEnd"/>
      <w:r>
        <w:t xml:space="preserve">, prednisone, cyclophosphamide, lenalidomide, </w:t>
      </w:r>
      <w:proofErr w:type="spellStart"/>
      <w:r>
        <w:t>vorinostat</w:t>
      </w:r>
      <w:proofErr w:type="spellEnd"/>
      <w:r>
        <w:t xml:space="preserve">, </w:t>
      </w:r>
      <w:proofErr w:type="spellStart"/>
      <w:r>
        <w:t>brentuximob</w:t>
      </w:r>
      <w:proofErr w:type="spellEnd"/>
      <w:r>
        <w:t xml:space="preserve"> </w:t>
      </w:r>
      <w:proofErr w:type="spellStart"/>
      <w:r>
        <w:t>vedotin</w:t>
      </w:r>
      <w:proofErr w:type="spellEnd"/>
      <w:r>
        <w:t xml:space="preserve"> and allogeneic or autologous bone marrow transplantation.</w:t>
      </w:r>
    </w:p>
    <w:p w14:paraId="235EDF74" w14:textId="1680710F" w:rsidR="00AA018E" w:rsidRPr="00F61557" w:rsidRDefault="00AA018E" w:rsidP="00AA018E">
      <w:r w:rsidRPr="00643CD0">
        <w:t>These types of treatmen</w:t>
      </w:r>
      <w:r w:rsidR="008A53C0">
        <w:t xml:space="preserve">ts produce remission, but long </w:t>
      </w:r>
      <w:r w:rsidRPr="00643CD0">
        <w:t xml:space="preserve">term remission </w:t>
      </w:r>
      <w:r w:rsidR="007D2839">
        <w:t>is</w:t>
      </w:r>
      <w:r w:rsidRPr="00643CD0">
        <w:t xml:space="preserve"> uncommon. Treatment, therefore, is considered palliative for most patients, although major symptomatic improvement is regularly achieved. Survival in excess of 8 years, however, is common for patients with early stages of disease. All patients with </w:t>
      </w:r>
      <w:r w:rsidR="000C298D">
        <w:t>mycosis fungoides</w:t>
      </w:r>
      <w:r w:rsidR="007D2839">
        <w:noBreakHyphen/>
        <w:t>type CTCL</w:t>
      </w:r>
      <w:r w:rsidRPr="00643CD0">
        <w:t xml:space="preserve"> and </w:t>
      </w:r>
      <w:proofErr w:type="spellStart"/>
      <w:r w:rsidRPr="00643CD0">
        <w:t>Sézary</w:t>
      </w:r>
      <w:proofErr w:type="spellEnd"/>
      <w:r w:rsidRPr="00643CD0">
        <w:t xml:space="preserve"> syndrome are candidates for clinical trials evaluating new approaches to treatment</w:t>
      </w:r>
      <w:r>
        <w:t>.</w:t>
      </w:r>
      <w:r w:rsidR="006031DA" w:rsidRPr="004748DD">
        <w:rPr>
          <w:vertAlign w:val="superscript"/>
        </w:rPr>
        <w:fldChar w:fldCharType="begin"/>
      </w:r>
      <w:r w:rsidR="006031DA" w:rsidRPr="004748DD">
        <w:rPr>
          <w:vertAlign w:val="superscript"/>
        </w:rPr>
        <w:instrText xml:space="preserve"> NOTEREF _Ref81271480 \h </w:instrText>
      </w:r>
      <w:r w:rsidR="006031DA">
        <w:rPr>
          <w:vertAlign w:val="superscript"/>
        </w:rPr>
        <w:instrText xml:space="preserve"> \* MERGEFORMAT </w:instrText>
      </w:r>
      <w:r w:rsidR="006031DA" w:rsidRPr="004748DD">
        <w:rPr>
          <w:vertAlign w:val="superscript"/>
        </w:rPr>
      </w:r>
      <w:r w:rsidR="006031DA" w:rsidRPr="004748DD">
        <w:rPr>
          <w:vertAlign w:val="superscript"/>
        </w:rPr>
        <w:fldChar w:fldCharType="separate"/>
      </w:r>
      <w:r w:rsidR="004748DD">
        <w:rPr>
          <w:vertAlign w:val="superscript"/>
        </w:rPr>
        <w:t>2</w:t>
      </w:r>
      <w:r w:rsidR="006031DA" w:rsidRPr="004748DD">
        <w:rPr>
          <w:vertAlign w:val="superscript"/>
        </w:rPr>
        <w:fldChar w:fldCharType="end"/>
      </w:r>
    </w:p>
    <w:p w14:paraId="09AF2A01" w14:textId="77777777" w:rsidR="008E7846" w:rsidRPr="003F31A2" w:rsidRDefault="00386150" w:rsidP="008E7846">
      <w:pPr>
        <w:pStyle w:val="Heading3"/>
      </w:pPr>
      <w:bookmarkStart w:id="18" w:name="_Toc314842485"/>
      <w:bookmarkStart w:id="19" w:name="_Toc247691504"/>
      <w:bookmarkStart w:id="20" w:name="_Toc83118507"/>
      <w:r>
        <w:t>Regulatory s</w:t>
      </w:r>
      <w:r w:rsidR="008E7846">
        <w:t>tatus</w:t>
      </w:r>
      <w:bookmarkEnd w:id="18"/>
      <w:bookmarkEnd w:id="19"/>
      <w:bookmarkEnd w:id="20"/>
    </w:p>
    <w:p w14:paraId="1FEB1912" w14:textId="77777777" w:rsidR="00006FAB" w:rsidRDefault="00006FAB" w:rsidP="00CB3650">
      <w:bookmarkStart w:id="21" w:name="_Toc247691505"/>
      <w:bookmarkStart w:id="22" w:name="_Toc314842486"/>
      <w:r w:rsidRPr="00006FAB">
        <w:t>This product is considered a new chemical entity or biosimilar medicine for Australian regulatory purposes.</w:t>
      </w:r>
    </w:p>
    <w:p w14:paraId="192D7D91" w14:textId="32291177" w:rsidR="00006FAB" w:rsidRDefault="00006FAB" w:rsidP="00006FAB">
      <w:r>
        <w:t>At the time the TGA considered this application, similar application</w:t>
      </w:r>
      <w:r w:rsidR="006031DA">
        <w:t>s</w:t>
      </w:r>
      <w:r>
        <w:t xml:space="preserve"> had been approved </w:t>
      </w:r>
      <w:r w:rsidR="00E86C74">
        <w:t xml:space="preserve">in </w:t>
      </w:r>
      <w:r w:rsidR="006031DA">
        <w:t xml:space="preserve">the </w:t>
      </w:r>
      <w:r w:rsidR="00E86C74">
        <w:t xml:space="preserve">European Union (EU) on the 3 March 2017 and the United States of America (USA) on 23 August 2013. </w:t>
      </w:r>
      <w:r w:rsidR="003E0CDD">
        <w:t xml:space="preserve">It has also been approved in Israel (28 September 2016). </w:t>
      </w:r>
      <w:r w:rsidR="00E86C74">
        <w:t>It was under consideration in Canada (submitted on 30 April 2020) and Switzerland (submitted on 10</w:t>
      </w:r>
      <w:r w:rsidR="006031DA">
        <w:t> </w:t>
      </w:r>
      <w:r w:rsidR="00E86C74">
        <w:t>May 2020).</w:t>
      </w:r>
    </w:p>
    <w:p w14:paraId="5C5AF9BE" w14:textId="448F05B3" w:rsidR="006031DA" w:rsidRDefault="006031DA" w:rsidP="00006FAB">
      <w:r>
        <w:fldChar w:fldCharType="begin"/>
      </w:r>
      <w:r>
        <w:instrText xml:space="preserve"> REF _Ref81271589 \h </w:instrText>
      </w:r>
      <w:r>
        <w:fldChar w:fldCharType="separate"/>
      </w:r>
      <w:r w:rsidR="004748DD">
        <w:t xml:space="preserve">Table </w:t>
      </w:r>
      <w:r w:rsidR="004748DD">
        <w:rPr>
          <w:noProof/>
        </w:rPr>
        <w:t>1</w:t>
      </w:r>
      <w:r w:rsidR="004748DD">
        <w:t>: International regulatory status</w:t>
      </w:r>
      <w:r>
        <w:fldChar w:fldCharType="end"/>
      </w:r>
      <w:r>
        <w:t xml:space="preserve"> details the International regulatory status for similar indications as discussed in this </w:t>
      </w:r>
      <w:proofErr w:type="spellStart"/>
      <w:r>
        <w:t>AusPAR</w:t>
      </w:r>
      <w:proofErr w:type="spellEnd"/>
      <w:r>
        <w:t>.</w:t>
      </w:r>
    </w:p>
    <w:p w14:paraId="0136D5BB" w14:textId="208A0BDC" w:rsidR="00324E45" w:rsidRPr="00F0146F" w:rsidRDefault="00324E45" w:rsidP="00324E45">
      <w:pPr>
        <w:pStyle w:val="TableTitle"/>
      </w:pPr>
      <w:bookmarkStart w:id="23" w:name="_Ref81271589"/>
      <w:r>
        <w:lastRenderedPageBreak/>
        <w:t xml:space="preserve">Table </w:t>
      </w:r>
      <w:r w:rsidR="00023D63">
        <w:rPr>
          <w:noProof/>
        </w:rPr>
        <w:fldChar w:fldCharType="begin"/>
      </w:r>
      <w:r w:rsidR="00023D63">
        <w:rPr>
          <w:noProof/>
        </w:rPr>
        <w:instrText xml:space="preserve"> SEQ Table \* ARABIC </w:instrText>
      </w:r>
      <w:r w:rsidR="00023D63">
        <w:rPr>
          <w:noProof/>
        </w:rPr>
        <w:fldChar w:fldCharType="separate"/>
      </w:r>
      <w:r w:rsidR="004748DD">
        <w:rPr>
          <w:noProof/>
        </w:rPr>
        <w:t>1</w:t>
      </w:r>
      <w:r w:rsidR="00023D63">
        <w:rPr>
          <w:noProof/>
        </w:rPr>
        <w:fldChar w:fldCharType="end"/>
      </w:r>
      <w:r>
        <w:t>: International regulatory status</w:t>
      </w:r>
      <w:bookmarkEnd w:id="23"/>
    </w:p>
    <w:tbl>
      <w:tblPr>
        <w:tblStyle w:val="TableTGAblue"/>
        <w:tblW w:w="0" w:type="auto"/>
        <w:tblLook w:val="04A0" w:firstRow="1" w:lastRow="0" w:firstColumn="1" w:lastColumn="0" w:noHBand="0" w:noVBand="1"/>
      </w:tblPr>
      <w:tblGrid>
        <w:gridCol w:w="2113"/>
        <w:gridCol w:w="2109"/>
        <w:gridCol w:w="2136"/>
        <w:gridCol w:w="2136"/>
      </w:tblGrid>
      <w:tr w:rsidR="00CB3650" w14:paraId="2646BF0B" w14:textId="77777777" w:rsidTr="00CB3650">
        <w:trPr>
          <w:cnfStyle w:val="100000000000" w:firstRow="1" w:lastRow="0" w:firstColumn="0" w:lastColumn="0" w:oddVBand="0" w:evenVBand="0" w:oddHBand="0" w:evenHBand="0" w:firstRowFirstColumn="0" w:firstRowLastColumn="0" w:lastRowFirstColumn="0" w:lastRowLastColumn="0"/>
        </w:trPr>
        <w:tc>
          <w:tcPr>
            <w:tcW w:w="2113" w:type="dxa"/>
            <w:tcBorders>
              <w:top w:val="single" w:sz="4" w:space="0" w:color="auto"/>
              <w:left w:val="single" w:sz="4" w:space="0" w:color="auto"/>
              <w:bottom w:val="single" w:sz="4" w:space="0" w:color="auto"/>
              <w:right w:val="single" w:sz="4" w:space="0" w:color="auto"/>
            </w:tcBorders>
          </w:tcPr>
          <w:p w14:paraId="2FB2274C" w14:textId="77777777" w:rsidR="00006FAB" w:rsidRDefault="00006FAB" w:rsidP="00006FAB">
            <w:pPr>
              <w:ind w:left="0" w:right="0"/>
            </w:pPr>
            <w:r>
              <w:t>Region</w:t>
            </w:r>
          </w:p>
        </w:tc>
        <w:tc>
          <w:tcPr>
            <w:tcW w:w="2109" w:type="dxa"/>
            <w:tcBorders>
              <w:top w:val="single" w:sz="4" w:space="0" w:color="auto"/>
              <w:left w:val="single" w:sz="4" w:space="0" w:color="auto"/>
              <w:bottom w:val="single" w:sz="4" w:space="0" w:color="auto"/>
              <w:right w:val="single" w:sz="4" w:space="0" w:color="auto"/>
            </w:tcBorders>
          </w:tcPr>
          <w:p w14:paraId="609A6992" w14:textId="77777777" w:rsidR="00006FAB" w:rsidRDefault="00006FAB" w:rsidP="00006FAB">
            <w:pPr>
              <w:ind w:left="0" w:right="0"/>
            </w:pPr>
            <w:r>
              <w:t>Submission date</w:t>
            </w:r>
          </w:p>
        </w:tc>
        <w:tc>
          <w:tcPr>
            <w:tcW w:w="2136" w:type="dxa"/>
            <w:tcBorders>
              <w:top w:val="single" w:sz="4" w:space="0" w:color="auto"/>
              <w:left w:val="single" w:sz="4" w:space="0" w:color="auto"/>
              <w:bottom w:val="single" w:sz="4" w:space="0" w:color="auto"/>
              <w:right w:val="single" w:sz="4" w:space="0" w:color="auto"/>
            </w:tcBorders>
          </w:tcPr>
          <w:p w14:paraId="1ED0FF03" w14:textId="77777777" w:rsidR="00006FAB" w:rsidRDefault="00006FAB" w:rsidP="00006FAB">
            <w:pPr>
              <w:ind w:left="0" w:right="0"/>
            </w:pPr>
            <w:r>
              <w:t>Status</w:t>
            </w:r>
          </w:p>
        </w:tc>
        <w:tc>
          <w:tcPr>
            <w:tcW w:w="2136" w:type="dxa"/>
            <w:tcBorders>
              <w:top w:val="single" w:sz="4" w:space="0" w:color="auto"/>
              <w:left w:val="single" w:sz="4" w:space="0" w:color="auto"/>
              <w:bottom w:val="single" w:sz="4" w:space="0" w:color="auto"/>
              <w:right w:val="single" w:sz="4" w:space="0" w:color="auto"/>
            </w:tcBorders>
          </w:tcPr>
          <w:p w14:paraId="52D3E6B6" w14:textId="77777777" w:rsidR="00006FAB" w:rsidRDefault="00006FAB" w:rsidP="00006FAB">
            <w:pPr>
              <w:ind w:left="0" w:right="0"/>
            </w:pPr>
            <w:r>
              <w:t>Approved indications</w:t>
            </w:r>
          </w:p>
        </w:tc>
      </w:tr>
      <w:tr w:rsidR="00CB3650" w14:paraId="4F4634D2" w14:textId="77777777" w:rsidTr="00CB3650">
        <w:tc>
          <w:tcPr>
            <w:tcW w:w="2113" w:type="dxa"/>
            <w:tcBorders>
              <w:top w:val="single" w:sz="4" w:space="0" w:color="auto"/>
            </w:tcBorders>
          </w:tcPr>
          <w:p w14:paraId="031BC432" w14:textId="77777777" w:rsidR="00CB3650" w:rsidRDefault="00CB3650" w:rsidP="00006FAB">
            <w:pPr>
              <w:ind w:left="0" w:right="0"/>
            </w:pPr>
            <w:r>
              <w:t>European Union</w:t>
            </w:r>
          </w:p>
          <w:p w14:paraId="5B42524F" w14:textId="6C8FDC84" w:rsidR="00CB3650" w:rsidRDefault="00CB3650" w:rsidP="00006FAB">
            <w:pPr>
              <w:ind w:left="0" w:right="0"/>
            </w:pPr>
            <w:r>
              <w:t>(</w:t>
            </w:r>
            <w:r w:rsidR="006031DA">
              <w:t>via C</w:t>
            </w:r>
            <w:r>
              <w:t>entralised</w:t>
            </w:r>
            <w:r w:rsidR="006031DA">
              <w:t xml:space="preserve"> procedure</w:t>
            </w:r>
            <w:r>
              <w:t>)</w:t>
            </w:r>
          </w:p>
        </w:tc>
        <w:tc>
          <w:tcPr>
            <w:tcW w:w="2109" w:type="dxa"/>
            <w:tcBorders>
              <w:top w:val="single" w:sz="4" w:space="0" w:color="auto"/>
            </w:tcBorders>
          </w:tcPr>
          <w:p w14:paraId="1A5C779F" w14:textId="77777777" w:rsidR="00006FAB" w:rsidRDefault="00CB3650" w:rsidP="00006FAB">
            <w:pPr>
              <w:ind w:left="0" w:right="0"/>
            </w:pPr>
            <w:r>
              <w:t>28 May 2015</w:t>
            </w:r>
          </w:p>
        </w:tc>
        <w:tc>
          <w:tcPr>
            <w:tcW w:w="2136" w:type="dxa"/>
            <w:tcBorders>
              <w:top w:val="single" w:sz="4" w:space="0" w:color="auto"/>
            </w:tcBorders>
          </w:tcPr>
          <w:p w14:paraId="6865CDD9" w14:textId="660BAF6F" w:rsidR="00006FAB" w:rsidRDefault="00CB3650" w:rsidP="00CB3650">
            <w:pPr>
              <w:ind w:left="0" w:right="0"/>
            </w:pPr>
            <w:r>
              <w:t>Approved on 3</w:t>
            </w:r>
            <w:r w:rsidR="006031DA">
              <w:t> </w:t>
            </w:r>
            <w:r>
              <w:t>March 2017</w:t>
            </w:r>
          </w:p>
        </w:tc>
        <w:tc>
          <w:tcPr>
            <w:tcW w:w="2136" w:type="dxa"/>
            <w:tcBorders>
              <w:top w:val="single" w:sz="4" w:space="0" w:color="auto"/>
            </w:tcBorders>
          </w:tcPr>
          <w:p w14:paraId="2496FBCA" w14:textId="69561C59" w:rsidR="00006FAB" w:rsidRPr="00CB3650" w:rsidRDefault="00CB3650" w:rsidP="006031DA">
            <w:pPr>
              <w:ind w:left="0"/>
              <w:rPr>
                <w:i/>
              </w:rPr>
            </w:pPr>
            <w:proofErr w:type="spellStart"/>
            <w:r>
              <w:rPr>
                <w:i/>
              </w:rPr>
              <w:t>Ledaga</w:t>
            </w:r>
            <w:proofErr w:type="spellEnd"/>
            <w:r>
              <w:rPr>
                <w:i/>
              </w:rPr>
              <w:t xml:space="preserve"> is indicated for the topical treatment of mycosis fungoides-type cutaneous T cell lymphoma (MF</w:t>
            </w:r>
            <w:r w:rsidR="006031DA">
              <w:rPr>
                <w:i/>
              </w:rPr>
              <w:noBreakHyphen/>
            </w:r>
            <w:r>
              <w:rPr>
                <w:i/>
              </w:rPr>
              <w:t xml:space="preserve">type </w:t>
            </w:r>
            <w:r w:rsidRPr="00CB3650">
              <w:rPr>
                <w:i/>
              </w:rPr>
              <w:t>CTCL) in adult patients</w:t>
            </w:r>
          </w:p>
        </w:tc>
      </w:tr>
      <w:tr w:rsidR="00CB3650" w14:paraId="273A825D" w14:textId="77777777" w:rsidTr="00CB3650">
        <w:tc>
          <w:tcPr>
            <w:tcW w:w="2113" w:type="dxa"/>
            <w:tcBorders>
              <w:top w:val="single" w:sz="4" w:space="0" w:color="auto"/>
            </w:tcBorders>
          </w:tcPr>
          <w:p w14:paraId="53653E38" w14:textId="77777777" w:rsidR="00CB3650" w:rsidRDefault="00CB3650" w:rsidP="00CB3650">
            <w:pPr>
              <w:ind w:left="0"/>
            </w:pPr>
            <w:r>
              <w:t>United States of America</w:t>
            </w:r>
          </w:p>
        </w:tc>
        <w:tc>
          <w:tcPr>
            <w:tcW w:w="2109" w:type="dxa"/>
            <w:tcBorders>
              <w:top w:val="single" w:sz="4" w:space="0" w:color="auto"/>
            </w:tcBorders>
          </w:tcPr>
          <w:p w14:paraId="6E10D3B1" w14:textId="77777777" w:rsidR="00CB3650" w:rsidRDefault="00CB3650" w:rsidP="00CB3650">
            <w:pPr>
              <w:ind w:left="0"/>
            </w:pPr>
            <w:r>
              <w:t>27 July 2011</w:t>
            </w:r>
          </w:p>
        </w:tc>
        <w:tc>
          <w:tcPr>
            <w:tcW w:w="2136" w:type="dxa"/>
            <w:tcBorders>
              <w:top w:val="single" w:sz="4" w:space="0" w:color="auto"/>
            </w:tcBorders>
          </w:tcPr>
          <w:p w14:paraId="169615FA" w14:textId="278A792C" w:rsidR="00CB3650" w:rsidRPr="00006FAB" w:rsidRDefault="00CB3650" w:rsidP="00CB3650">
            <w:pPr>
              <w:ind w:left="0"/>
            </w:pPr>
            <w:r>
              <w:t>Approved on 23</w:t>
            </w:r>
            <w:r w:rsidR="006031DA">
              <w:t> </w:t>
            </w:r>
            <w:r>
              <w:t>August 2013</w:t>
            </w:r>
          </w:p>
        </w:tc>
        <w:tc>
          <w:tcPr>
            <w:tcW w:w="2136" w:type="dxa"/>
            <w:tcBorders>
              <w:top w:val="single" w:sz="4" w:space="0" w:color="auto"/>
            </w:tcBorders>
          </w:tcPr>
          <w:p w14:paraId="16D5E839" w14:textId="0657439C" w:rsidR="00CB3650" w:rsidRPr="008A53C0" w:rsidRDefault="00CB3650" w:rsidP="00CB3650">
            <w:pPr>
              <w:ind w:left="0"/>
              <w:rPr>
                <w:i/>
              </w:rPr>
            </w:pPr>
            <w:proofErr w:type="spellStart"/>
            <w:r w:rsidRPr="00CB3650">
              <w:rPr>
                <w:i/>
              </w:rPr>
              <w:t>V</w:t>
            </w:r>
            <w:r>
              <w:rPr>
                <w:i/>
              </w:rPr>
              <w:t>alchlor</w:t>
            </w:r>
            <w:proofErr w:type="spellEnd"/>
            <w:r w:rsidRPr="00CB3650">
              <w:rPr>
                <w:i/>
              </w:rPr>
              <w:t xml:space="preserve"> is indicated for the topical treatment of Stage IA and IB mycosis fungoides-type cutaneous T</w:t>
            </w:r>
            <w:r w:rsidR="006031DA">
              <w:rPr>
                <w:i/>
              </w:rPr>
              <w:t> </w:t>
            </w:r>
            <w:r w:rsidRPr="00CB3650">
              <w:rPr>
                <w:i/>
              </w:rPr>
              <w:t>cell lymphoma in p</w:t>
            </w:r>
            <w:r w:rsidR="008A53C0">
              <w:rPr>
                <w:i/>
              </w:rPr>
              <w:t xml:space="preserve">atients who have received prior </w:t>
            </w:r>
            <w:r w:rsidRPr="00CB3650">
              <w:rPr>
                <w:i/>
              </w:rPr>
              <w:t>skin-directed therapy</w:t>
            </w:r>
            <w:r w:rsidR="008A53C0">
              <w:rPr>
                <w:i/>
              </w:rPr>
              <w:t>.</w:t>
            </w:r>
            <w:r w:rsidR="008A53C0">
              <w:rPr>
                <w:rStyle w:val="FootnoteReference"/>
                <w:i/>
              </w:rPr>
              <w:footnoteReference w:id="12"/>
            </w:r>
          </w:p>
        </w:tc>
      </w:tr>
      <w:tr w:rsidR="00BC5393" w14:paraId="54E92CD3" w14:textId="77777777" w:rsidTr="00CB3650">
        <w:tc>
          <w:tcPr>
            <w:tcW w:w="2113" w:type="dxa"/>
            <w:tcBorders>
              <w:top w:val="single" w:sz="4" w:space="0" w:color="auto"/>
            </w:tcBorders>
          </w:tcPr>
          <w:p w14:paraId="5FB26DE4" w14:textId="68871E23" w:rsidR="00BC5393" w:rsidRDefault="00BC5393" w:rsidP="00CA3482">
            <w:pPr>
              <w:ind w:left="0" w:right="0"/>
            </w:pPr>
            <w:r>
              <w:t>Israel</w:t>
            </w:r>
          </w:p>
        </w:tc>
        <w:tc>
          <w:tcPr>
            <w:tcW w:w="2109" w:type="dxa"/>
            <w:tcBorders>
              <w:top w:val="single" w:sz="4" w:space="0" w:color="auto"/>
            </w:tcBorders>
          </w:tcPr>
          <w:p w14:paraId="5B2EA562" w14:textId="2255A177" w:rsidR="00BC5393" w:rsidRDefault="00080BA8" w:rsidP="00CA3482">
            <w:pPr>
              <w:ind w:left="0" w:right="0"/>
            </w:pPr>
            <w:r>
              <w:t>3 August 2015</w:t>
            </w:r>
          </w:p>
        </w:tc>
        <w:tc>
          <w:tcPr>
            <w:tcW w:w="2136" w:type="dxa"/>
            <w:tcBorders>
              <w:top w:val="single" w:sz="4" w:space="0" w:color="auto"/>
            </w:tcBorders>
          </w:tcPr>
          <w:p w14:paraId="278B8D79" w14:textId="121C3938" w:rsidR="00BC5393" w:rsidRDefault="005323E6" w:rsidP="00CA3482">
            <w:pPr>
              <w:ind w:left="0" w:right="0"/>
            </w:pPr>
            <w:r>
              <w:t>28 September</w:t>
            </w:r>
            <w:r w:rsidR="0063555C">
              <w:t xml:space="preserve"> </w:t>
            </w:r>
            <w:r>
              <w:t>2016</w:t>
            </w:r>
          </w:p>
        </w:tc>
        <w:tc>
          <w:tcPr>
            <w:tcW w:w="2136" w:type="dxa"/>
            <w:tcBorders>
              <w:top w:val="single" w:sz="4" w:space="0" w:color="auto"/>
            </w:tcBorders>
          </w:tcPr>
          <w:p w14:paraId="2FBF31E0" w14:textId="7511DF8B" w:rsidR="00BC5393" w:rsidRPr="00CB3650" w:rsidRDefault="00694437" w:rsidP="00CA3482">
            <w:pPr>
              <w:ind w:left="0" w:right="0"/>
              <w:rPr>
                <w:i/>
              </w:rPr>
            </w:pPr>
            <w:r w:rsidRPr="00694437">
              <w:rPr>
                <w:i/>
              </w:rPr>
              <w:t>Topical treatment of Stage</w:t>
            </w:r>
            <w:r>
              <w:rPr>
                <w:i/>
              </w:rPr>
              <w:t xml:space="preserve"> </w:t>
            </w:r>
            <w:r w:rsidRPr="00694437">
              <w:rPr>
                <w:i/>
              </w:rPr>
              <w:t>1A and 1B mycosis</w:t>
            </w:r>
            <w:r>
              <w:rPr>
                <w:i/>
              </w:rPr>
              <w:t xml:space="preserve"> </w:t>
            </w:r>
            <w:r w:rsidRPr="00694437">
              <w:rPr>
                <w:i/>
              </w:rPr>
              <w:t>fungoides-type cutaneous T</w:t>
            </w:r>
            <w:r w:rsidR="006031DA">
              <w:rPr>
                <w:i/>
              </w:rPr>
              <w:t xml:space="preserve"> </w:t>
            </w:r>
            <w:r w:rsidRPr="00694437">
              <w:rPr>
                <w:i/>
              </w:rPr>
              <w:t>cell</w:t>
            </w:r>
            <w:r>
              <w:rPr>
                <w:i/>
              </w:rPr>
              <w:t xml:space="preserve"> </w:t>
            </w:r>
            <w:r w:rsidRPr="00694437">
              <w:rPr>
                <w:i/>
              </w:rPr>
              <w:t>lymphoma in patients</w:t>
            </w:r>
            <w:r>
              <w:rPr>
                <w:i/>
              </w:rPr>
              <w:t xml:space="preserve"> </w:t>
            </w:r>
            <w:r w:rsidRPr="00694437">
              <w:rPr>
                <w:i/>
              </w:rPr>
              <w:t>who have received prior</w:t>
            </w:r>
            <w:r>
              <w:rPr>
                <w:i/>
              </w:rPr>
              <w:t xml:space="preserve"> </w:t>
            </w:r>
            <w:r w:rsidRPr="00694437">
              <w:rPr>
                <w:i/>
              </w:rPr>
              <w:t>skin-directed therapy</w:t>
            </w:r>
          </w:p>
        </w:tc>
      </w:tr>
      <w:tr w:rsidR="00CB3650" w14:paraId="5FA75E49" w14:textId="77777777" w:rsidTr="00CB3650">
        <w:tc>
          <w:tcPr>
            <w:tcW w:w="2113" w:type="dxa"/>
            <w:tcBorders>
              <w:top w:val="single" w:sz="4" w:space="0" w:color="auto"/>
            </w:tcBorders>
          </w:tcPr>
          <w:p w14:paraId="0AA7F158" w14:textId="77777777" w:rsidR="00CB3650" w:rsidRDefault="00CB3650" w:rsidP="00CB3650">
            <w:pPr>
              <w:ind w:left="0"/>
            </w:pPr>
            <w:r>
              <w:t>Canada</w:t>
            </w:r>
          </w:p>
        </w:tc>
        <w:tc>
          <w:tcPr>
            <w:tcW w:w="2109" w:type="dxa"/>
            <w:tcBorders>
              <w:top w:val="single" w:sz="4" w:space="0" w:color="auto"/>
            </w:tcBorders>
          </w:tcPr>
          <w:p w14:paraId="67E2825A" w14:textId="77777777" w:rsidR="00CB3650" w:rsidRDefault="00CB3650" w:rsidP="00CB3650">
            <w:pPr>
              <w:ind w:left="0"/>
            </w:pPr>
            <w:r>
              <w:t>30 April 2020</w:t>
            </w:r>
          </w:p>
        </w:tc>
        <w:tc>
          <w:tcPr>
            <w:tcW w:w="2136" w:type="dxa"/>
            <w:tcBorders>
              <w:top w:val="single" w:sz="4" w:space="0" w:color="auto"/>
            </w:tcBorders>
          </w:tcPr>
          <w:p w14:paraId="77AF982D" w14:textId="77777777" w:rsidR="00CB3650" w:rsidRPr="00006FAB" w:rsidRDefault="00CB3650" w:rsidP="00CB3650">
            <w:pPr>
              <w:ind w:left="0"/>
            </w:pPr>
            <w:r>
              <w:t>Under consideration</w:t>
            </w:r>
          </w:p>
        </w:tc>
        <w:tc>
          <w:tcPr>
            <w:tcW w:w="2136" w:type="dxa"/>
            <w:tcBorders>
              <w:top w:val="single" w:sz="4" w:space="0" w:color="auto"/>
            </w:tcBorders>
          </w:tcPr>
          <w:p w14:paraId="266DDC41" w14:textId="77777777" w:rsidR="00CB3650" w:rsidRDefault="00CB3650" w:rsidP="00CB3650">
            <w:pPr>
              <w:ind w:left="0"/>
            </w:pPr>
            <w:r>
              <w:t>Under consideration</w:t>
            </w:r>
          </w:p>
        </w:tc>
      </w:tr>
      <w:tr w:rsidR="00CB3650" w14:paraId="76B035DF" w14:textId="77777777" w:rsidTr="00CB3650">
        <w:tc>
          <w:tcPr>
            <w:tcW w:w="2113" w:type="dxa"/>
            <w:tcBorders>
              <w:top w:val="single" w:sz="4" w:space="0" w:color="auto"/>
            </w:tcBorders>
          </w:tcPr>
          <w:p w14:paraId="32D90AF6" w14:textId="77777777" w:rsidR="00CB3650" w:rsidRDefault="00A40E4D" w:rsidP="00CB3650">
            <w:pPr>
              <w:ind w:left="0"/>
            </w:pPr>
            <w:r>
              <w:t>Switzerland</w:t>
            </w:r>
          </w:p>
        </w:tc>
        <w:tc>
          <w:tcPr>
            <w:tcW w:w="2109" w:type="dxa"/>
            <w:tcBorders>
              <w:top w:val="single" w:sz="4" w:space="0" w:color="auto"/>
            </w:tcBorders>
          </w:tcPr>
          <w:p w14:paraId="4B863D2F" w14:textId="77777777" w:rsidR="00CB3650" w:rsidRDefault="00CB3650" w:rsidP="00CB3650">
            <w:pPr>
              <w:ind w:left="0"/>
            </w:pPr>
            <w:r>
              <w:t>10 May 2020</w:t>
            </w:r>
          </w:p>
        </w:tc>
        <w:tc>
          <w:tcPr>
            <w:tcW w:w="2136" w:type="dxa"/>
            <w:tcBorders>
              <w:top w:val="single" w:sz="4" w:space="0" w:color="auto"/>
            </w:tcBorders>
          </w:tcPr>
          <w:p w14:paraId="77E6084A" w14:textId="77777777" w:rsidR="00CB3650" w:rsidRPr="00006FAB" w:rsidRDefault="00CB3650" w:rsidP="00CB3650">
            <w:pPr>
              <w:ind w:left="0"/>
            </w:pPr>
            <w:r>
              <w:t>Under consideration</w:t>
            </w:r>
          </w:p>
        </w:tc>
        <w:tc>
          <w:tcPr>
            <w:tcW w:w="2136" w:type="dxa"/>
            <w:tcBorders>
              <w:top w:val="single" w:sz="4" w:space="0" w:color="auto"/>
            </w:tcBorders>
          </w:tcPr>
          <w:p w14:paraId="4ED90561" w14:textId="77777777" w:rsidR="00CB3650" w:rsidRDefault="00CB3650" w:rsidP="00CB3650">
            <w:pPr>
              <w:ind w:left="0"/>
            </w:pPr>
            <w:r>
              <w:t>Under consideration</w:t>
            </w:r>
          </w:p>
        </w:tc>
      </w:tr>
    </w:tbl>
    <w:p w14:paraId="610FB1D5" w14:textId="77777777" w:rsidR="008E7846" w:rsidRDefault="008E7846" w:rsidP="00940A89">
      <w:pPr>
        <w:pStyle w:val="Heading3"/>
      </w:pPr>
      <w:bookmarkStart w:id="24" w:name="_Toc83118508"/>
      <w:r>
        <w:t>Product Information</w:t>
      </w:r>
      <w:bookmarkEnd w:id="21"/>
      <w:bookmarkEnd w:id="22"/>
      <w:bookmarkEnd w:id="24"/>
    </w:p>
    <w:p w14:paraId="3226221B" w14:textId="50E0C4B5" w:rsidR="00940A89" w:rsidRDefault="006136D7" w:rsidP="00940A89">
      <w:bookmarkStart w:id="25" w:name="_Toc247691506"/>
      <w:bookmarkStart w:id="26" w:name="_Toc314842487"/>
      <w:r w:rsidRPr="00940A89">
        <w:t xml:space="preserve">The Product Information (PI) </w:t>
      </w:r>
      <w:r>
        <w:t xml:space="preserve">approved with the submission which is described in </w:t>
      </w:r>
      <w:r w:rsidRPr="00940A89">
        <w:t xml:space="preserve">this </w:t>
      </w:r>
      <w:proofErr w:type="spellStart"/>
      <w:r w:rsidRPr="00940A89">
        <w:t>AusPAR</w:t>
      </w:r>
      <w:proofErr w:type="spellEnd"/>
      <w:r w:rsidRPr="00940A89">
        <w:t xml:space="preserve"> can be found as Attachment 1. For the most recent </w:t>
      </w:r>
      <w:r>
        <w:t>PI,</w:t>
      </w:r>
      <w:r w:rsidRPr="00940A89">
        <w:t xml:space="preserve"> ple</w:t>
      </w:r>
      <w:r>
        <w:t>ase refer to the TGA website</w:t>
      </w:r>
      <w:r w:rsidRPr="00441C3F">
        <w:t xml:space="preserve"> at </w:t>
      </w:r>
      <w:r w:rsidR="00441C3F" w:rsidRPr="00441C3F">
        <w:t>&lt;</w:t>
      </w:r>
      <w:hyperlink r:id="rId19" w:history="1">
        <w:r w:rsidR="00441C3F" w:rsidRPr="00441C3F">
          <w:rPr>
            <w:rStyle w:val="Hyperlink"/>
          </w:rPr>
          <w:t>https://www.tga.gov.au/product-information-pi</w:t>
        </w:r>
      </w:hyperlink>
      <w:r w:rsidR="00441C3F">
        <w:t>&gt;</w:t>
      </w:r>
      <w:r w:rsidR="00940A89" w:rsidRPr="00940A89">
        <w:t>.</w:t>
      </w:r>
    </w:p>
    <w:p w14:paraId="7BF72498" w14:textId="77777777" w:rsidR="00500337" w:rsidRDefault="00500337" w:rsidP="00500337">
      <w:pPr>
        <w:pStyle w:val="Heading2"/>
      </w:pPr>
      <w:bookmarkStart w:id="27" w:name="_Toc504480011"/>
      <w:bookmarkStart w:id="28" w:name="_Toc83118509"/>
      <w:r>
        <w:lastRenderedPageBreak/>
        <w:t>II. Registration timeline</w:t>
      </w:r>
      <w:bookmarkEnd w:id="27"/>
      <w:bookmarkEnd w:id="28"/>
    </w:p>
    <w:p w14:paraId="5343E3AA" w14:textId="77777777" w:rsidR="00500337" w:rsidRDefault="00500337" w:rsidP="00500337">
      <w:r>
        <w:t xml:space="preserve">The following table captures the key steps and dates for this application and which are detailed and discussed in this </w:t>
      </w:r>
      <w:proofErr w:type="spellStart"/>
      <w:r>
        <w:t>AusPAR</w:t>
      </w:r>
      <w:proofErr w:type="spellEnd"/>
      <w:r>
        <w:t>.</w:t>
      </w:r>
    </w:p>
    <w:p w14:paraId="6E81C1C1" w14:textId="01CF2888" w:rsidR="00500337" w:rsidRDefault="00F50298" w:rsidP="00F50298">
      <w:pPr>
        <w:pStyle w:val="TableTitle"/>
      </w:pPr>
      <w:r w:rsidRPr="00F50298">
        <w:t xml:space="preserve">Table </w:t>
      </w:r>
      <w:r w:rsidR="00023D63">
        <w:rPr>
          <w:noProof/>
        </w:rPr>
        <w:fldChar w:fldCharType="begin"/>
      </w:r>
      <w:r w:rsidR="00023D63">
        <w:rPr>
          <w:noProof/>
        </w:rPr>
        <w:instrText xml:space="preserve"> SEQ Table \* ARABIC </w:instrText>
      </w:r>
      <w:r w:rsidR="00023D63">
        <w:rPr>
          <w:noProof/>
        </w:rPr>
        <w:fldChar w:fldCharType="separate"/>
      </w:r>
      <w:r w:rsidR="004748DD">
        <w:rPr>
          <w:noProof/>
        </w:rPr>
        <w:t>2</w:t>
      </w:r>
      <w:r w:rsidR="00023D63">
        <w:rPr>
          <w:noProof/>
        </w:rPr>
        <w:fldChar w:fldCharType="end"/>
      </w:r>
      <w:r>
        <w:t xml:space="preserve">: </w:t>
      </w:r>
      <w:r w:rsidR="006A58A8" w:rsidRPr="006A58A8">
        <w:t>Timeline for Submission PM-20</w:t>
      </w:r>
      <w:r w:rsidR="00324E45">
        <w:t>2</w:t>
      </w:r>
      <w:r w:rsidR="00CB3650">
        <w:t>0-03014-1-6</w:t>
      </w:r>
    </w:p>
    <w:tbl>
      <w:tblPr>
        <w:tblStyle w:val="TableTGAblue"/>
        <w:tblW w:w="0" w:type="auto"/>
        <w:tblLook w:val="04A0" w:firstRow="1" w:lastRow="0" w:firstColumn="1" w:lastColumn="0" w:noHBand="0" w:noVBand="1"/>
      </w:tblPr>
      <w:tblGrid>
        <w:gridCol w:w="6374"/>
        <w:gridCol w:w="2120"/>
      </w:tblGrid>
      <w:tr w:rsidR="00500337" w14:paraId="07EBC0AB" w14:textId="77777777" w:rsidTr="001F50F7">
        <w:trPr>
          <w:cnfStyle w:val="100000000000" w:firstRow="1" w:lastRow="0" w:firstColumn="0" w:lastColumn="0" w:oddVBand="0" w:evenVBand="0" w:oddHBand="0" w:evenHBand="0" w:firstRowFirstColumn="0" w:firstRowLastColumn="0" w:lastRowFirstColumn="0" w:lastRowLastColumn="0"/>
          <w:cantSplit/>
        </w:trPr>
        <w:tc>
          <w:tcPr>
            <w:tcW w:w="6374" w:type="dxa"/>
            <w:tcBorders>
              <w:top w:val="single" w:sz="4" w:space="0" w:color="auto"/>
              <w:left w:val="single" w:sz="4" w:space="0" w:color="auto"/>
              <w:bottom w:val="single" w:sz="4" w:space="0" w:color="auto"/>
              <w:right w:val="single" w:sz="4" w:space="0" w:color="auto"/>
            </w:tcBorders>
          </w:tcPr>
          <w:p w14:paraId="02F2F085" w14:textId="77777777" w:rsidR="00500337" w:rsidRDefault="00500337" w:rsidP="00500337">
            <w:pPr>
              <w:ind w:left="0" w:right="0"/>
            </w:pPr>
            <w:r>
              <w:t>Description</w:t>
            </w:r>
          </w:p>
        </w:tc>
        <w:tc>
          <w:tcPr>
            <w:tcW w:w="2120" w:type="dxa"/>
            <w:tcBorders>
              <w:top w:val="single" w:sz="4" w:space="0" w:color="auto"/>
              <w:left w:val="single" w:sz="4" w:space="0" w:color="auto"/>
              <w:bottom w:val="single" w:sz="4" w:space="0" w:color="auto"/>
              <w:right w:val="single" w:sz="4" w:space="0" w:color="auto"/>
            </w:tcBorders>
          </w:tcPr>
          <w:p w14:paraId="3D01C4E8" w14:textId="77777777" w:rsidR="00500337" w:rsidRDefault="00500337" w:rsidP="00500337">
            <w:pPr>
              <w:ind w:left="0" w:right="0"/>
            </w:pPr>
            <w:r>
              <w:t>Date</w:t>
            </w:r>
          </w:p>
        </w:tc>
      </w:tr>
      <w:tr w:rsidR="00500337" w14:paraId="0D240AAE" w14:textId="77777777" w:rsidTr="001F50F7">
        <w:tc>
          <w:tcPr>
            <w:tcW w:w="6374" w:type="dxa"/>
            <w:tcBorders>
              <w:top w:val="single" w:sz="4" w:space="0" w:color="auto"/>
            </w:tcBorders>
          </w:tcPr>
          <w:p w14:paraId="7A4B1611" w14:textId="231C702B" w:rsidR="00500337" w:rsidRDefault="00CB3650" w:rsidP="00CB3650">
            <w:pPr>
              <w:ind w:left="0" w:right="0"/>
            </w:pPr>
            <w:r>
              <w:t>Designation: Orphan</w:t>
            </w:r>
            <w:r w:rsidR="006031DA">
              <w:rPr>
                <w:rStyle w:val="FootnoteReference"/>
              </w:rPr>
              <w:footnoteReference w:id="13"/>
            </w:r>
          </w:p>
          <w:p w14:paraId="2D9A81FD" w14:textId="77777777" w:rsidR="00CB3650" w:rsidRDefault="00CB3650" w:rsidP="00CB3650">
            <w:pPr>
              <w:ind w:left="0" w:right="0"/>
            </w:pPr>
            <w:r>
              <w:t>Extension</w:t>
            </w:r>
          </w:p>
        </w:tc>
        <w:tc>
          <w:tcPr>
            <w:tcW w:w="2120" w:type="dxa"/>
            <w:tcBorders>
              <w:top w:val="single" w:sz="4" w:space="0" w:color="auto"/>
            </w:tcBorders>
          </w:tcPr>
          <w:p w14:paraId="1B798B79" w14:textId="77777777" w:rsidR="00500337" w:rsidRDefault="00CB3650" w:rsidP="00500337">
            <w:pPr>
              <w:ind w:left="0" w:right="0"/>
            </w:pPr>
            <w:r>
              <w:t>15 August 2019</w:t>
            </w:r>
          </w:p>
          <w:p w14:paraId="20E85C27" w14:textId="77777777" w:rsidR="00CB3650" w:rsidRDefault="00CB3650" w:rsidP="00500337">
            <w:pPr>
              <w:ind w:left="0" w:right="0"/>
            </w:pPr>
            <w:r>
              <w:t>4 December 2019</w:t>
            </w:r>
          </w:p>
        </w:tc>
      </w:tr>
      <w:tr w:rsidR="00500337" w14:paraId="50108D53" w14:textId="77777777" w:rsidTr="001F50F7">
        <w:tc>
          <w:tcPr>
            <w:tcW w:w="6374" w:type="dxa"/>
          </w:tcPr>
          <w:p w14:paraId="3ABA65C4" w14:textId="77777777" w:rsidR="00500337" w:rsidRDefault="00500337" w:rsidP="00500337">
            <w:pPr>
              <w:ind w:left="0" w:right="0"/>
            </w:pPr>
            <w:r>
              <w:t>Submission dossier accepted and first round evaluation commenced</w:t>
            </w:r>
          </w:p>
        </w:tc>
        <w:tc>
          <w:tcPr>
            <w:tcW w:w="2120" w:type="dxa"/>
          </w:tcPr>
          <w:p w14:paraId="1BDEDEA8" w14:textId="77777777" w:rsidR="00500337" w:rsidRDefault="00CB3650" w:rsidP="00500337">
            <w:pPr>
              <w:ind w:left="0" w:right="0"/>
            </w:pPr>
            <w:r>
              <w:t>31 July 2020</w:t>
            </w:r>
          </w:p>
        </w:tc>
      </w:tr>
      <w:tr w:rsidR="00500337" w14:paraId="70DBEE97" w14:textId="77777777" w:rsidTr="001F50F7">
        <w:tc>
          <w:tcPr>
            <w:tcW w:w="6374" w:type="dxa"/>
          </w:tcPr>
          <w:p w14:paraId="260A8F22" w14:textId="77777777" w:rsidR="00500337" w:rsidRDefault="00500337" w:rsidP="00500337">
            <w:pPr>
              <w:ind w:left="0" w:right="0"/>
            </w:pPr>
            <w:r>
              <w:t>First round evaluation completed</w:t>
            </w:r>
          </w:p>
        </w:tc>
        <w:tc>
          <w:tcPr>
            <w:tcW w:w="2120" w:type="dxa"/>
          </w:tcPr>
          <w:p w14:paraId="7E21C6FE" w14:textId="77777777" w:rsidR="00500337" w:rsidRDefault="00CB3650" w:rsidP="00500337">
            <w:pPr>
              <w:ind w:left="0" w:right="0"/>
            </w:pPr>
            <w:r>
              <w:t>24 December 2020</w:t>
            </w:r>
          </w:p>
        </w:tc>
      </w:tr>
      <w:tr w:rsidR="00500337" w14:paraId="12ED62C3" w14:textId="77777777" w:rsidTr="001F50F7">
        <w:tc>
          <w:tcPr>
            <w:tcW w:w="6374" w:type="dxa"/>
          </w:tcPr>
          <w:p w14:paraId="405CFB7C" w14:textId="77777777" w:rsidR="00500337" w:rsidRDefault="00500337" w:rsidP="00500337">
            <w:pPr>
              <w:ind w:left="0" w:right="0"/>
            </w:pPr>
            <w:r>
              <w:t>Sponsor provides responses on questions raised in first round evaluation</w:t>
            </w:r>
          </w:p>
        </w:tc>
        <w:tc>
          <w:tcPr>
            <w:tcW w:w="2120" w:type="dxa"/>
          </w:tcPr>
          <w:p w14:paraId="4A289BCA" w14:textId="77777777" w:rsidR="00500337" w:rsidRDefault="00CB3650" w:rsidP="00500337">
            <w:pPr>
              <w:ind w:left="0" w:right="0"/>
            </w:pPr>
            <w:r>
              <w:t>2 March 2021</w:t>
            </w:r>
          </w:p>
        </w:tc>
      </w:tr>
      <w:tr w:rsidR="00500337" w14:paraId="3F4BFBB1" w14:textId="77777777" w:rsidTr="001F50F7">
        <w:tc>
          <w:tcPr>
            <w:tcW w:w="6374" w:type="dxa"/>
          </w:tcPr>
          <w:p w14:paraId="37F2862B" w14:textId="77777777" w:rsidR="00500337" w:rsidRDefault="00500337" w:rsidP="00500337">
            <w:pPr>
              <w:ind w:left="0" w:right="0"/>
            </w:pPr>
            <w:r>
              <w:t>Second round evaluation completed</w:t>
            </w:r>
          </w:p>
        </w:tc>
        <w:tc>
          <w:tcPr>
            <w:tcW w:w="2120" w:type="dxa"/>
          </w:tcPr>
          <w:p w14:paraId="6E11E35B" w14:textId="77777777" w:rsidR="00500337" w:rsidRDefault="00CB3650" w:rsidP="00500337">
            <w:pPr>
              <w:ind w:left="0" w:right="0"/>
            </w:pPr>
            <w:r>
              <w:t>13 April 2021</w:t>
            </w:r>
          </w:p>
        </w:tc>
      </w:tr>
      <w:tr w:rsidR="00500337" w14:paraId="7D0DAE11" w14:textId="77777777" w:rsidTr="001F50F7">
        <w:tc>
          <w:tcPr>
            <w:tcW w:w="6374" w:type="dxa"/>
          </w:tcPr>
          <w:p w14:paraId="610382DA" w14:textId="77777777" w:rsidR="00500337" w:rsidRDefault="00324E45" w:rsidP="00CB3650">
            <w:pPr>
              <w:ind w:left="0" w:right="0"/>
            </w:pPr>
            <w:r>
              <w:t>Delegate’s Overall benefit-risk assessment</w:t>
            </w:r>
          </w:p>
        </w:tc>
        <w:tc>
          <w:tcPr>
            <w:tcW w:w="2120" w:type="dxa"/>
          </w:tcPr>
          <w:p w14:paraId="5EBFBEF5" w14:textId="77777777" w:rsidR="00500337" w:rsidRDefault="00CB3650" w:rsidP="00500337">
            <w:pPr>
              <w:ind w:left="0" w:right="0"/>
            </w:pPr>
            <w:r>
              <w:t>15 April 2021</w:t>
            </w:r>
          </w:p>
        </w:tc>
      </w:tr>
      <w:tr w:rsidR="00500337" w14:paraId="57BB0CAD" w14:textId="77777777" w:rsidTr="001F50F7">
        <w:tc>
          <w:tcPr>
            <w:tcW w:w="6374" w:type="dxa"/>
          </w:tcPr>
          <w:p w14:paraId="10DBC60E" w14:textId="77777777" w:rsidR="00500337" w:rsidRDefault="00500337" w:rsidP="00500337">
            <w:pPr>
              <w:ind w:left="0" w:right="0"/>
            </w:pPr>
            <w:r>
              <w:t>Sponsor’s pre-Advisory Committee response</w:t>
            </w:r>
          </w:p>
        </w:tc>
        <w:tc>
          <w:tcPr>
            <w:tcW w:w="2120" w:type="dxa"/>
          </w:tcPr>
          <w:p w14:paraId="5A49AE92" w14:textId="77777777" w:rsidR="00500337" w:rsidRDefault="00CB3650" w:rsidP="00500337">
            <w:pPr>
              <w:ind w:left="0" w:right="0"/>
            </w:pPr>
            <w:r>
              <w:t>Not applicable</w:t>
            </w:r>
          </w:p>
        </w:tc>
      </w:tr>
      <w:tr w:rsidR="00500337" w14:paraId="760EF338" w14:textId="77777777" w:rsidTr="001F50F7">
        <w:tc>
          <w:tcPr>
            <w:tcW w:w="6374" w:type="dxa"/>
          </w:tcPr>
          <w:p w14:paraId="3DE2296E" w14:textId="77777777" w:rsidR="00500337" w:rsidRDefault="00500337" w:rsidP="00500337">
            <w:pPr>
              <w:ind w:left="0" w:right="0"/>
            </w:pPr>
            <w:r>
              <w:t>Advisory Committee meeting</w:t>
            </w:r>
          </w:p>
        </w:tc>
        <w:tc>
          <w:tcPr>
            <w:tcW w:w="2120" w:type="dxa"/>
          </w:tcPr>
          <w:p w14:paraId="285C3FF9" w14:textId="77777777" w:rsidR="00500337" w:rsidRDefault="00CB3650" w:rsidP="00500337">
            <w:pPr>
              <w:ind w:left="0" w:right="0"/>
            </w:pPr>
            <w:r>
              <w:t>Not applicable</w:t>
            </w:r>
          </w:p>
        </w:tc>
      </w:tr>
      <w:tr w:rsidR="00500337" w14:paraId="70C89743" w14:textId="77777777" w:rsidTr="001F50F7">
        <w:tc>
          <w:tcPr>
            <w:tcW w:w="6374" w:type="dxa"/>
          </w:tcPr>
          <w:p w14:paraId="36959B4A" w14:textId="77777777" w:rsidR="00500337" w:rsidRDefault="00500337" w:rsidP="00500337">
            <w:pPr>
              <w:ind w:left="0" w:right="0"/>
            </w:pPr>
            <w:r>
              <w:t>Registration decision (Outcome)</w:t>
            </w:r>
          </w:p>
        </w:tc>
        <w:tc>
          <w:tcPr>
            <w:tcW w:w="2120" w:type="dxa"/>
          </w:tcPr>
          <w:p w14:paraId="247327BF" w14:textId="77777777" w:rsidR="00500337" w:rsidRDefault="00CB3650" w:rsidP="00500337">
            <w:pPr>
              <w:ind w:left="0" w:right="0"/>
            </w:pPr>
            <w:r>
              <w:t>8 June 2021</w:t>
            </w:r>
          </w:p>
        </w:tc>
      </w:tr>
      <w:tr w:rsidR="00500337" w14:paraId="23A46D87" w14:textId="77777777" w:rsidTr="001F50F7">
        <w:tc>
          <w:tcPr>
            <w:tcW w:w="6374" w:type="dxa"/>
          </w:tcPr>
          <w:p w14:paraId="5A5FCD1D" w14:textId="77777777" w:rsidR="00500337" w:rsidRDefault="00500337" w:rsidP="00500337">
            <w:pPr>
              <w:ind w:left="0" w:right="0"/>
            </w:pPr>
            <w:r>
              <w:t xml:space="preserve">Completion of administrative activities and registration on </w:t>
            </w:r>
            <w:r w:rsidR="00006FAB">
              <w:t xml:space="preserve">the </w:t>
            </w:r>
            <w:r>
              <w:t>ARTG</w:t>
            </w:r>
          </w:p>
        </w:tc>
        <w:tc>
          <w:tcPr>
            <w:tcW w:w="2120" w:type="dxa"/>
          </w:tcPr>
          <w:p w14:paraId="284CC168" w14:textId="77777777" w:rsidR="00500337" w:rsidRDefault="00CB3650" w:rsidP="00500337">
            <w:pPr>
              <w:ind w:left="0" w:right="0"/>
            </w:pPr>
            <w:r>
              <w:t>22 June 2021</w:t>
            </w:r>
          </w:p>
        </w:tc>
      </w:tr>
      <w:tr w:rsidR="00500337" w14:paraId="18972EB6" w14:textId="77777777" w:rsidTr="001F50F7">
        <w:tc>
          <w:tcPr>
            <w:tcW w:w="6374" w:type="dxa"/>
          </w:tcPr>
          <w:p w14:paraId="760A971A" w14:textId="77777777" w:rsidR="00500337" w:rsidRDefault="00500337" w:rsidP="00500337">
            <w:pPr>
              <w:ind w:left="0" w:right="0"/>
            </w:pPr>
            <w:r>
              <w:t>Number of working days from submission dossier acceptance to registration decision*</w:t>
            </w:r>
          </w:p>
        </w:tc>
        <w:tc>
          <w:tcPr>
            <w:tcW w:w="2120" w:type="dxa"/>
          </w:tcPr>
          <w:p w14:paraId="0F53B017" w14:textId="77777777" w:rsidR="00500337" w:rsidRDefault="00CB3650" w:rsidP="00500337">
            <w:pPr>
              <w:ind w:left="0" w:right="0"/>
            </w:pPr>
            <w:r>
              <w:t>170</w:t>
            </w:r>
          </w:p>
        </w:tc>
      </w:tr>
    </w:tbl>
    <w:p w14:paraId="7AE7B31C" w14:textId="77777777" w:rsidR="00500337" w:rsidRDefault="00500337" w:rsidP="00500337">
      <w:pPr>
        <w:pStyle w:val="TableDescription"/>
      </w:pPr>
      <w:r>
        <w:t>*</w:t>
      </w:r>
      <w:r w:rsidR="006603BC" w:rsidRPr="006603BC">
        <w:t>Statutory timeframe for standard applications is 255 working days</w:t>
      </w:r>
    </w:p>
    <w:p w14:paraId="25CF45D0" w14:textId="77777777" w:rsidR="008E7846" w:rsidRPr="00792A32" w:rsidRDefault="00456765" w:rsidP="008E7846">
      <w:pPr>
        <w:pStyle w:val="Heading2"/>
      </w:pPr>
      <w:bookmarkStart w:id="29" w:name="_Toc196046504"/>
      <w:bookmarkStart w:id="30" w:name="_Toc247691527"/>
      <w:bookmarkStart w:id="31" w:name="_Toc314842510"/>
      <w:bookmarkStart w:id="32" w:name="_Toc163441390"/>
      <w:bookmarkStart w:id="33" w:name="_Toc83118510"/>
      <w:bookmarkEnd w:id="1"/>
      <w:bookmarkEnd w:id="25"/>
      <w:bookmarkEnd w:id="26"/>
      <w:r>
        <w:t>I</w:t>
      </w:r>
      <w:r w:rsidR="00DA64CB">
        <w:t>I</w:t>
      </w:r>
      <w:r w:rsidR="008E7846">
        <w:t xml:space="preserve">I. </w:t>
      </w:r>
      <w:r w:rsidR="00006FAB" w:rsidRPr="00006FAB">
        <w:t xml:space="preserve">Submission overview </w:t>
      </w:r>
      <w:r w:rsidR="008E7846" w:rsidRPr="00792A32">
        <w:t xml:space="preserve">and </w:t>
      </w:r>
      <w:r w:rsidR="008E7846">
        <w:t>r</w:t>
      </w:r>
      <w:r w:rsidR="008E7846" w:rsidRPr="00792A32">
        <w:t>isk/</w:t>
      </w:r>
      <w:r w:rsidR="008E7846">
        <w:t>b</w:t>
      </w:r>
      <w:r w:rsidR="008E7846" w:rsidRPr="00792A32">
        <w:t xml:space="preserve">enefit </w:t>
      </w:r>
      <w:r w:rsidR="008E7846">
        <w:t>a</w:t>
      </w:r>
      <w:r w:rsidR="008E7846" w:rsidRPr="00792A32">
        <w:t>ssessment</w:t>
      </w:r>
      <w:bookmarkEnd w:id="29"/>
      <w:bookmarkEnd w:id="30"/>
      <w:bookmarkEnd w:id="31"/>
      <w:bookmarkEnd w:id="33"/>
    </w:p>
    <w:p w14:paraId="1BB61428" w14:textId="77777777" w:rsidR="00006FAB" w:rsidRDefault="00006FAB" w:rsidP="00CA3482">
      <w:pPr>
        <w:keepNext/>
      </w:pPr>
      <w:bookmarkStart w:id="34" w:name="_Toc247691528"/>
      <w:r>
        <w:t>The submission was summarised in the following Delegate’s overview and recommendations.</w:t>
      </w:r>
    </w:p>
    <w:p w14:paraId="333002F8" w14:textId="77777777" w:rsidR="008E7846" w:rsidRDefault="008E7846" w:rsidP="008E7846">
      <w:pPr>
        <w:pStyle w:val="Heading3"/>
      </w:pPr>
      <w:bookmarkStart w:id="35" w:name="_Toc314842511"/>
      <w:bookmarkStart w:id="36" w:name="_Toc83118511"/>
      <w:r>
        <w:t>Quality</w:t>
      </w:r>
      <w:bookmarkEnd w:id="34"/>
      <w:bookmarkEnd w:id="35"/>
      <w:bookmarkEnd w:id="36"/>
    </w:p>
    <w:p w14:paraId="53EEC606" w14:textId="77777777" w:rsidR="00E86C74" w:rsidRDefault="00E86C74" w:rsidP="00E86C74">
      <w:r>
        <w:t>There were no objections to registration with respect to</w:t>
      </w:r>
      <w:r w:rsidR="008A53C0">
        <w:t xml:space="preserve"> chemistry and quality control.</w:t>
      </w:r>
    </w:p>
    <w:p w14:paraId="0A2FBD88" w14:textId="013589AC" w:rsidR="00E86C74" w:rsidRDefault="00E86C74" w:rsidP="00E86C74">
      <w:r>
        <w:lastRenderedPageBreak/>
        <w:t xml:space="preserve">The drug substance, chlormethine hydrochloride is a nitrogen mustard analogue, similar to </w:t>
      </w:r>
      <w:proofErr w:type="spellStart"/>
      <w:r>
        <w:t>bendamustine</w:t>
      </w:r>
      <w:proofErr w:type="spellEnd"/>
      <w:r>
        <w:t xml:space="preserve"> and cyclophos</w:t>
      </w:r>
      <w:r w:rsidR="008A53C0">
        <w:t>phamide, and is a cytotoxic DNA alkylating agent (see</w:t>
      </w:r>
      <w:r w:rsidR="00EE7D11">
        <w:t> </w:t>
      </w:r>
      <w:r w:rsidR="008A53C0">
        <w:fldChar w:fldCharType="begin"/>
      </w:r>
      <w:r w:rsidR="008A53C0">
        <w:instrText xml:space="preserve"> REF _Ref77582006 \h </w:instrText>
      </w:r>
      <w:r w:rsidR="008A53C0">
        <w:fldChar w:fldCharType="separate"/>
      </w:r>
      <w:r w:rsidR="004748DD" w:rsidRPr="008A53C0">
        <w:t xml:space="preserve">Figure </w:t>
      </w:r>
      <w:r w:rsidR="004748DD">
        <w:rPr>
          <w:noProof/>
        </w:rPr>
        <w:t>1</w:t>
      </w:r>
      <w:r w:rsidR="008A53C0">
        <w:fldChar w:fldCharType="end"/>
      </w:r>
      <w:r w:rsidR="008A53C0">
        <w:t>)</w:t>
      </w:r>
      <w:r w:rsidR="00EE7D11">
        <w:t>.</w:t>
      </w:r>
    </w:p>
    <w:p w14:paraId="6486CCB7" w14:textId="72C98FA6" w:rsidR="008A53C0" w:rsidRDefault="008A53C0" w:rsidP="008A53C0">
      <w:pPr>
        <w:pStyle w:val="FigureTitle"/>
      </w:pPr>
      <w:bookmarkStart w:id="37" w:name="_Ref77582006"/>
      <w:r w:rsidRPr="008A53C0">
        <w:t xml:space="preserve">Figure </w:t>
      </w:r>
      <w:r w:rsidR="00023D63">
        <w:rPr>
          <w:noProof/>
        </w:rPr>
        <w:fldChar w:fldCharType="begin"/>
      </w:r>
      <w:r w:rsidR="00023D63">
        <w:rPr>
          <w:noProof/>
        </w:rPr>
        <w:instrText xml:space="preserve"> SEQ Figure \* ARABIC </w:instrText>
      </w:r>
      <w:r w:rsidR="00023D63">
        <w:rPr>
          <w:noProof/>
        </w:rPr>
        <w:fldChar w:fldCharType="separate"/>
      </w:r>
      <w:r w:rsidR="004748DD">
        <w:rPr>
          <w:noProof/>
        </w:rPr>
        <w:t>1</w:t>
      </w:r>
      <w:r w:rsidR="00023D63">
        <w:rPr>
          <w:noProof/>
        </w:rPr>
        <w:fldChar w:fldCharType="end"/>
      </w:r>
      <w:bookmarkEnd w:id="37"/>
      <w:r>
        <w:t>: Chemical structure of chlormethine hydrochloride</w:t>
      </w:r>
    </w:p>
    <w:p w14:paraId="22687F2B" w14:textId="77777777" w:rsidR="00E86C74" w:rsidRDefault="00E86C74" w:rsidP="00E86C74">
      <w:r w:rsidRPr="00F30E84">
        <w:rPr>
          <w:noProof/>
          <w:lang w:val="en-GB" w:eastAsia="en-GB"/>
        </w:rPr>
        <w:drawing>
          <wp:inline distT="0" distB="0" distL="0" distR="0" wp14:anchorId="7867BE20" wp14:editId="270FE17D">
            <wp:extent cx="2719345" cy="739471"/>
            <wp:effectExtent l="0" t="0" r="5080" b="3810"/>
            <wp:docPr id="1" name="Picture 1" descr="Figure 1: Chemical structure of chlormethine hydrochlor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 Chemical structure of chlormethine hydrochlorid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24934" cy="740991"/>
                    </a:xfrm>
                    <a:prstGeom prst="rect">
                      <a:avLst/>
                    </a:prstGeom>
                    <a:noFill/>
                    <a:ln>
                      <a:noFill/>
                    </a:ln>
                  </pic:spPr>
                </pic:pic>
              </a:graphicData>
            </a:graphic>
          </wp:inline>
        </w:drawing>
      </w:r>
    </w:p>
    <w:p w14:paraId="1DE363AC" w14:textId="3346C69B" w:rsidR="00E86C74" w:rsidRDefault="00E86C74" w:rsidP="008A53C0">
      <w:r>
        <w:t>Chlormethine hydrochloride exhibits good stability and the data submitted supports a retest period of five years when stored below 25˚C.</w:t>
      </w:r>
    </w:p>
    <w:p w14:paraId="3773892A" w14:textId="77777777" w:rsidR="00E86C74" w:rsidRPr="00E86C74" w:rsidRDefault="00E86C74" w:rsidP="008A53C0">
      <w:r>
        <w:t>The drug product is a clear colourless gel, free of particles and packaged in a resealable multiuse tube, for topical administration. Each tube contains 60 g of gel and each tube is packaged within a carton. The tube and ca</w:t>
      </w:r>
      <w:r w:rsidR="00F51ABC">
        <w:t xml:space="preserve">rton is supplied with a child </w:t>
      </w:r>
      <w:r>
        <w:t>resistant plastic bag for storage in a home refrigerator.</w:t>
      </w:r>
    </w:p>
    <w:p w14:paraId="6661D544" w14:textId="77777777" w:rsidR="008E7846" w:rsidRDefault="008E7846" w:rsidP="008E7846">
      <w:pPr>
        <w:pStyle w:val="Heading3"/>
      </w:pPr>
      <w:bookmarkStart w:id="38" w:name="_Toc314842512"/>
      <w:bookmarkStart w:id="39" w:name="_Toc83118512"/>
      <w:r>
        <w:t>Nonclinical</w:t>
      </w:r>
      <w:bookmarkEnd w:id="38"/>
      <w:bookmarkEnd w:id="39"/>
    </w:p>
    <w:p w14:paraId="523F76B5" w14:textId="77777777" w:rsidR="00E86C74" w:rsidRDefault="00BD461C" w:rsidP="00E86C74">
      <w:r>
        <w:t>There were no non</w:t>
      </w:r>
      <w:r w:rsidR="00E86C74">
        <w:t>clini</w:t>
      </w:r>
      <w:r w:rsidR="00F51ABC">
        <w:t xml:space="preserve">cal objections to registration of </w:t>
      </w:r>
      <w:proofErr w:type="spellStart"/>
      <w:r w:rsidR="00F51ABC">
        <w:t>Ledaga</w:t>
      </w:r>
      <w:proofErr w:type="spellEnd"/>
      <w:r w:rsidR="00F51ABC">
        <w:t xml:space="preserve"> (chlormethine hydrochloride).</w:t>
      </w:r>
    </w:p>
    <w:p w14:paraId="67B9D1E5" w14:textId="77777777" w:rsidR="00E86C74" w:rsidRDefault="00E86C74" w:rsidP="001E7823">
      <w:pPr>
        <w:pStyle w:val="ListBullet"/>
      </w:pPr>
      <w:r>
        <w:t>Chlormethine is an alkylating agent, and the prototypical nitrogen mustard.</w:t>
      </w:r>
    </w:p>
    <w:p w14:paraId="5EB63DB8" w14:textId="3884A6EE" w:rsidR="00E86C74" w:rsidRDefault="00E86C74" w:rsidP="001E7823">
      <w:pPr>
        <w:pStyle w:val="ListBullet"/>
      </w:pPr>
      <w:r>
        <w:t xml:space="preserve">Chlormethine contains two reactive side chains that covalent bind to DNA to form cross-links, inducing cell death. Cytotoxicity by chlormethine was demonstrated </w:t>
      </w:r>
      <w:r w:rsidRPr="00E86C74">
        <w:rPr>
          <w:i/>
        </w:rPr>
        <w:t>in vitro</w:t>
      </w:r>
      <w:r>
        <w:t xml:space="preserve"> (against various human cancer cell lines, including a </w:t>
      </w:r>
      <w:proofErr w:type="spellStart"/>
      <w:r>
        <w:t>leukaemic</w:t>
      </w:r>
      <w:proofErr w:type="spellEnd"/>
      <w:r>
        <w:t xml:space="preserve"> T</w:t>
      </w:r>
      <w:r w:rsidR="00B837C1">
        <w:noBreakHyphen/>
      </w:r>
      <w:r>
        <w:t xml:space="preserve">cell lymphoblast cell line) and </w:t>
      </w:r>
      <w:r w:rsidRPr="00E86C74">
        <w:rPr>
          <w:i/>
        </w:rPr>
        <w:t>in vivo</w:t>
      </w:r>
      <w:r>
        <w:t xml:space="preserve"> (in mice).</w:t>
      </w:r>
    </w:p>
    <w:p w14:paraId="106A9B88" w14:textId="77777777" w:rsidR="00E86C74" w:rsidRDefault="00E86C74" w:rsidP="00E86C74">
      <w:pPr>
        <w:pStyle w:val="ListBullet"/>
      </w:pPr>
      <w:r>
        <w:t xml:space="preserve">Topical application of chlormethine was shown to result in no apparent or negligible systemic exposure in studies in mice and </w:t>
      </w:r>
      <w:r w:rsidR="00F51ABC">
        <w:t xml:space="preserve">rats. Chlormethine and its half </w:t>
      </w:r>
      <w:r>
        <w:t xml:space="preserve">mustard metabolite were not detected in the plasma of patients treated with </w:t>
      </w:r>
      <w:proofErr w:type="spellStart"/>
      <w:r>
        <w:t>Ledaga</w:t>
      </w:r>
      <w:proofErr w:type="spellEnd"/>
      <w:r>
        <w:t>.</w:t>
      </w:r>
    </w:p>
    <w:p w14:paraId="64DD6228" w14:textId="5404D66C" w:rsidR="00E86C74" w:rsidRDefault="00E86C74" w:rsidP="00E86C74">
      <w:pPr>
        <w:pStyle w:val="ListBullet"/>
      </w:pPr>
      <w:r>
        <w:t xml:space="preserve">Demonstration of systemic toxicity following topical dermal application of chlormethine in mice required the use of very high doses and formulations containing particular solvents that enhance skin permeability. Nitrogen mustards are well known vesicants, and local skin reactions are expected in patients treated with </w:t>
      </w:r>
      <w:proofErr w:type="spellStart"/>
      <w:r>
        <w:t>Ledaga</w:t>
      </w:r>
      <w:proofErr w:type="spellEnd"/>
      <w:r>
        <w:t>. Monitoring, suspension of treatment and avoidance of application to particularly susceptible sites are described in the draft Product Information</w:t>
      </w:r>
      <w:r w:rsidR="00F51ABC">
        <w:t xml:space="preserve"> (PI)</w:t>
      </w:r>
      <w:r>
        <w:t xml:space="preserve"> document</w:t>
      </w:r>
      <w:r w:rsidR="00F51ABC">
        <w:t xml:space="preserve"> (</w:t>
      </w:r>
      <w:r w:rsidR="00B837C1">
        <w:t>n</w:t>
      </w:r>
      <w:r w:rsidR="00F51ABC">
        <w:t xml:space="preserve">ot shown in this </w:t>
      </w:r>
      <w:proofErr w:type="spellStart"/>
      <w:r w:rsidR="00F51ABC">
        <w:t>AusPAR</w:t>
      </w:r>
      <w:proofErr w:type="spellEnd"/>
      <w:r w:rsidR="00F51ABC">
        <w:t>)</w:t>
      </w:r>
      <w:r>
        <w:t>.</w:t>
      </w:r>
    </w:p>
    <w:p w14:paraId="1C0B89C0" w14:textId="77777777" w:rsidR="00E86C74" w:rsidRDefault="00E86C74" w:rsidP="00E86C74">
      <w:pPr>
        <w:pStyle w:val="ListBullet"/>
      </w:pPr>
      <w:r>
        <w:t>Chlormethine is genotoxic. This is the key basis for its desired cytotoxic action.</w:t>
      </w:r>
    </w:p>
    <w:p w14:paraId="01B04FD7" w14:textId="77777777" w:rsidR="00E86C74" w:rsidRDefault="00E86C74" w:rsidP="00E86C74">
      <w:pPr>
        <w:pStyle w:val="ListBullet"/>
      </w:pPr>
      <w:r>
        <w:t xml:space="preserve">Carcinogenicity by chlormethine has been demonstrated in rodents following systemic administration and also topical dermal application. Notably, though, topical dermal application in mice was only seen to result in skin tumours (squamous cell carcinomas and </w:t>
      </w:r>
      <w:proofErr w:type="spellStart"/>
      <w:r>
        <w:t>papillomas</w:t>
      </w:r>
      <w:proofErr w:type="spellEnd"/>
      <w:r>
        <w:t>), with no systemic tumours observed.</w:t>
      </w:r>
    </w:p>
    <w:p w14:paraId="63F38A59" w14:textId="77777777" w:rsidR="00E86C74" w:rsidRDefault="00E86C74" w:rsidP="00E86C74">
      <w:pPr>
        <w:pStyle w:val="ListBullet"/>
      </w:pPr>
      <w:r>
        <w:t xml:space="preserve">Reproductive and </w:t>
      </w:r>
      <w:r w:rsidR="00F51ABC">
        <w:t>developmental toxicity studies,</w:t>
      </w:r>
      <w:r>
        <w:t> all involvin</w:t>
      </w:r>
      <w:r w:rsidR="00F51ABC">
        <w:t xml:space="preserve">g systemic administration only. It </w:t>
      </w:r>
      <w:r>
        <w:t xml:space="preserve">showed impairment of fertility (in males and possibly also females), </w:t>
      </w:r>
      <w:proofErr w:type="spellStart"/>
      <w:r>
        <w:t>fetal</w:t>
      </w:r>
      <w:proofErr w:type="spellEnd"/>
      <w:r>
        <w:t xml:space="preserve"> malformations, embryofetal lethality and </w:t>
      </w:r>
      <w:proofErr w:type="spellStart"/>
      <w:r>
        <w:t>fetal</w:t>
      </w:r>
      <w:proofErr w:type="spellEnd"/>
      <w:r>
        <w:t xml:space="preserve"> growth retardation with chlormethine.</w:t>
      </w:r>
      <w:r w:rsidR="00F26FC2">
        <w:t xml:space="preserve"> Pregnancy Category B3, as the s</w:t>
      </w:r>
      <w:r>
        <w:t>ponsor proposes, is considered to be appropriate</w:t>
      </w:r>
      <w:r w:rsidR="00297B11">
        <w:t>d</w:t>
      </w:r>
      <w:r>
        <w:t>.</w:t>
      </w:r>
    </w:p>
    <w:p w14:paraId="110F6EB9" w14:textId="77777777" w:rsidR="008E7846" w:rsidRDefault="008E7846" w:rsidP="008E7846">
      <w:pPr>
        <w:pStyle w:val="Heading3"/>
      </w:pPr>
      <w:bookmarkStart w:id="40" w:name="_Toc247691530"/>
      <w:bookmarkStart w:id="41" w:name="_Toc314842513"/>
      <w:bookmarkStart w:id="42" w:name="_Toc83118513"/>
      <w:r>
        <w:t>Clinical</w:t>
      </w:r>
      <w:bookmarkEnd w:id="40"/>
      <w:bookmarkEnd w:id="41"/>
      <w:bookmarkEnd w:id="42"/>
    </w:p>
    <w:p w14:paraId="18177964" w14:textId="77777777" w:rsidR="00F26FC2" w:rsidRDefault="00F26FC2" w:rsidP="00F26FC2">
      <w:bookmarkStart w:id="43" w:name="_Toc314842514"/>
      <w:r>
        <w:t>The clinical dossier consisted of:</w:t>
      </w:r>
    </w:p>
    <w:p w14:paraId="57989E0F" w14:textId="5A65A7B2" w:rsidR="00F26FC2" w:rsidRDefault="00F26FC2" w:rsidP="00F26FC2">
      <w:pPr>
        <w:pStyle w:val="ListBullet"/>
      </w:pPr>
      <w:r>
        <w:lastRenderedPageBreak/>
        <w:t>three</w:t>
      </w:r>
      <w:r w:rsidRPr="0060487C">
        <w:t xml:space="preserve"> efficacy and safety </w:t>
      </w:r>
      <w:r>
        <w:t>studies</w:t>
      </w:r>
      <w:r w:rsidR="00B837C1">
        <w:t xml:space="preserve">, Studies </w:t>
      </w:r>
      <w:r w:rsidRPr="0060487C">
        <w:t>2005 NMMF-201-US, 2007</w:t>
      </w:r>
      <w:r>
        <w:t xml:space="preserve"> NMMF-202-US </w:t>
      </w:r>
      <w:r w:rsidR="00B837C1">
        <w:t xml:space="preserve">(abbreviated as Study 201 and Study 202 respectively) </w:t>
      </w:r>
      <w:r>
        <w:t xml:space="preserve">and the </w:t>
      </w:r>
      <w:proofErr w:type="spellStart"/>
      <w:r>
        <w:t>PROVe</w:t>
      </w:r>
      <w:proofErr w:type="spellEnd"/>
      <w:r w:rsidR="00B37AB1">
        <w:t xml:space="preserve"> trial</w:t>
      </w:r>
      <w:r>
        <w:t>;</w:t>
      </w:r>
    </w:p>
    <w:p w14:paraId="14F49026" w14:textId="48E6D427" w:rsidR="00F26FC2" w:rsidRDefault="00F26FC2" w:rsidP="00F26FC2">
      <w:pPr>
        <w:pStyle w:val="ListBullet"/>
      </w:pPr>
      <w:r w:rsidRPr="0060487C">
        <w:t xml:space="preserve">a </w:t>
      </w:r>
      <w:r w:rsidRPr="00CA3482">
        <w:rPr>
          <w:i/>
        </w:rPr>
        <w:t>post</w:t>
      </w:r>
      <w:r w:rsidR="00B837C1">
        <w:rPr>
          <w:i/>
        </w:rPr>
        <w:noBreakHyphen/>
      </w:r>
      <w:r w:rsidRPr="00CA3482">
        <w:rPr>
          <w:i/>
        </w:rPr>
        <w:t>hoc</w:t>
      </w:r>
      <w:r>
        <w:t xml:space="preserve"> analysis of Study 201;</w:t>
      </w:r>
    </w:p>
    <w:p w14:paraId="054ACE76" w14:textId="08DF351A" w:rsidR="00F26FC2" w:rsidRDefault="00F26FC2" w:rsidP="00F26FC2">
      <w:pPr>
        <w:pStyle w:val="ListBullet"/>
      </w:pPr>
      <w:r>
        <w:t>seven</w:t>
      </w:r>
      <w:r w:rsidRPr="0060487C">
        <w:t xml:space="preserve"> </w:t>
      </w:r>
      <w:r w:rsidR="00086F7A">
        <w:t>periodic safety update r</w:t>
      </w:r>
      <w:r>
        <w:t>eports (</w:t>
      </w:r>
      <w:r w:rsidRPr="0060487C">
        <w:t>PSUR</w:t>
      </w:r>
      <w:r>
        <w:t>s)</w:t>
      </w:r>
      <w:r w:rsidR="00B837C1">
        <w:t>;</w:t>
      </w:r>
      <w:r>
        <w:t xml:space="preserve"> and</w:t>
      </w:r>
    </w:p>
    <w:p w14:paraId="21DF3160" w14:textId="77777777" w:rsidR="00F26FC2" w:rsidRDefault="00F26FC2" w:rsidP="00F26FC2">
      <w:pPr>
        <w:pStyle w:val="ListBullet"/>
      </w:pPr>
      <w:r>
        <w:t>supporting literatures.</w:t>
      </w:r>
    </w:p>
    <w:p w14:paraId="0A7605AC" w14:textId="77777777" w:rsidR="008A7D0B" w:rsidRDefault="008A7D0B" w:rsidP="00132F0D">
      <w:pPr>
        <w:pStyle w:val="Heading4"/>
      </w:pPr>
      <w:r>
        <w:t>Pharmacology</w:t>
      </w:r>
    </w:p>
    <w:p w14:paraId="6CC44A22" w14:textId="361182E9" w:rsidR="00132F0D" w:rsidRPr="00132F0D" w:rsidRDefault="00132F0D" w:rsidP="00132F0D">
      <w:r>
        <w:t xml:space="preserve">The </w:t>
      </w:r>
      <w:proofErr w:type="spellStart"/>
      <w:r>
        <w:t>Ledaga</w:t>
      </w:r>
      <w:proofErr w:type="spellEnd"/>
      <w:r>
        <w:t xml:space="preserve"> product is referred to as</w:t>
      </w:r>
      <w:r w:rsidR="00DB02E6">
        <w:t xml:space="preserve"> chlormethine hydrochloride in</w:t>
      </w:r>
      <w:r>
        <w:t xml:space="preserve"> propylene glycol gel</w:t>
      </w:r>
      <w:r w:rsidR="00DB02E6">
        <w:t xml:space="preserve"> formulation</w:t>
      </w:r>
      <w:r>
        <w:t xml:space="preserve"> </w:t>
      </w:r>
      <w:r w:rsidR="00B411FA">
        <w:t>and</w:t>
      </w:r>
      <w:r w:rsidR="00DB02E6">
        <w:t xml:space="preserve"> </w:t>
      </w:r>
      <w:r>
        <w:t xml:space="preserve">nitrogen mustard gel </w:t>
      </w:r>
      <w:r w:rsidR="00DB02E6">
        <w:t xml:space="preserve">formulation </w:t>
      </w:r>
      <w:r>
        <w:t>in the text below.</w:t>
      </w:r>
    </w:p>
    <w:p w14:paraId="415CF276" w14:textId="77777777" w:rsidR="008A7D0B" w:rsidRDefault="00132F0D" w:rsidP="00132F0D">
      <w:pPr>
        <w:pStyle w:val="Heading5"/>
      </w:pPr>
      <w:r>
        <w:t>Pharmacokinetics</w:t>
      </w:r>
    </w:p>
    <w:p w14:paraId="25CE794D" w14:textId="77777777" w:rsidR="008A7D0B" w:rsidRDefault="008A7D0B" w:rsidP="008A7D0B">
      <w:r>
        <w:t>The product is intend</w:t>
      </w:r>
      <w:r w:rsidR="00DB02E6">
        <w:t xml:space="preserve">ed for topical administration. </w:t>
      </w:r>
      <w:r>
        <w:t>In the pivotal study, Study 201 and its extension, Study 202 no systemic nitrogen mustard was detected</w:t>
      </w:r>
      <w:r w:rsidR="00132F0D">
        <w:t xml:space="preserve"> using sensitive assays.</w:t>
      </w:r>
    </w:p>
    <w:p w14:paraId="7D10500B" w14:textId="779A2F89" w:rsidR="008A7D0B" w:rsidRDefault="00B411FA" w:rsidP="008A7D0B">
      <w:r>
        <w:t xml:space="preserve">In Study 201, </w:t>
      </w:r>
      <w:r w:rsidR="008A7D0B">
        <w:t>blood samples wer</w:t>
      </w:r>
      <w:r w:rsidR="00132F0D">
        <w:t>e collected at pre-dose at the B</w:t>
      </w:r>
      <w:r>
        <w:t>aseline V</w:t>
      </w:r>
      <w:r w:rsidR="008A7D0B">
        <w:t>isit and 1, 3, and 6 hours after the first application of study treatment. Samples were also collected at the Month 1 visit of the study, just prior to application. Plasma samples from 23 patients,</w:t>
      </w:r>
      <w:r>
        <w:t xml:space="preserve"> </w:t>
      </w:r>
      <w:r w:rsidR="008A7D0B">
        <w:t xml:space="preserve">16 of whom had been treated with the </w:t>
      </w:r>
      <w:r w:rsidR="00DF4ED1">
        <w:t xml:space="preserve">propylene glycol </w:t>
      </w:r>
      <w:r w:rsidR="008A7D0B">
        <w:t>gel formulation proposed for registration, were analysed using a high</w:t>
      </w:r>
      <w:r w:rsidR="00E43F98">
        <w:t>-</w:t>
      </w:r>
      <w:r w:rsidR="008A7D0B">
        <w:t>performance liquid chromatography (HPLC) method with a lower limit of quantification (LLOQ) of 41.5 ng/mL fo</w:t>
      </w:r>
      <w:r w:rsidR="00132F0D">
        <w:t>r chlormethine</w:t>
      </w:r>
      <w:r w:rsidR="008A7D0B">
        <w:t xml:space="preserve">. There was no evidence of systemic exposure following treatment with </w:t>
      </w:r>
      <w:r w:rsidR="00DF4ED1">
        <w:t>propylene glycol</w:t>
      </w:r>
      <w:r w:rsidR="008A7D0B">
        <w:t xml:space="preserve"> gel or the comparator, </w:t>
      </w:r>
      <w:proofErr w:type="spellStart"/>
      <w:r w:rsidR="00132F0D">
        <w:t>a</w:t>
      </w:r>
      <w:r w:rsidR="00132F0D" w:rsidRPr="00132F0D">
        <w:t>quaphor</w:t>
      </w:r>
      <w:proofErr w:type="spellEnd"/>
      <w:r>
        <w:t xml:space="preserve"> ointment</w:t>
      </w:r>
      <w:r w:rsidR="008A7D0B">
        <w:t>, with no measurable plasma concentrations of chlormethine in any of the samples assayed, including those taken from patients who received whole body treatment.</w:t>
      </w:r>
    </w:p>
    <w:p w14:paraId="75DBA45D" w14:textId="77777777" w:rsidR="008A7D0B" w:rsidRDefault="00132F0D" w:rsidP="00132F0D">
      <w:pPr>
        <w:pStyle w:val="Heading5"/>
      </w:pPr>
      <w:r>
        <w:t>Pharmacodynamics</w:t>
      </w:r>
    </w:p>
    <w:p w14:paraId="063D730F" w14:textId="3A663FA8" w:rsidR="008A7D0B" w:rsidRDefault="008A7D0B" w:rsidP="008A7D0B">
      <w:r>
        <w:t xml:space="preserve">No specific </w:t>
      </w:r>
      <w:r w:rsidR="00132F0D" w:rsidRPr="00A464EA">
        <w:t>pharmacodynamic</w:t>
      </w:r>
      <w:r>
        <w:t xml:space="preserve"> investigations we</w:t>
      </w:r>
      <w:r w:rsidR="00132F0D">
        <w:t xml:space="preserve">re included in the submission. </w:t>
      </w:r>
      <w:r>
        <w:t>The mechanism of action of nitrogen mustard is well established and it has had a long history of use in the manage</w:t>
      </w:r>
      <w:r w:rsidR="00132F0D">
        <w:t>ment of other malignancies.</w:t>
      </w:r>
    </w:p>
    <w:p w14:paraId="7E73AFE2" w14:textId="77777777" w:rsidR="008A7D0B" w:rsidRDefault="008A7D0B" w:rsidP="00132F0D">
      <w:pPr>
        <w:pStyle w:val="Heading4"/>
      </w:pPr>
      <w:r>
        <w:t>Efficacy</w:t>
      </w:r>
    </w:p>
    <w:p w14:paraId="372F5C1A" w14:textId="77777777" w:rsidR="008A7D0B" w:rsidRDefault="008A7D0B" w:rsidP="008A7D0B">
      <w:r>
        <w:t>Based on historical literature suggesting efficacy and safety with 0.02% and 0.04% chlormethine, these concentrations were used in Studies 201 and 202.</w:t>
      </w:r>
    </w:p>
    <w:p w14:paraId="2EED139C" w14:textId="7FA4F40F" w:rsidR="008A7D0B" w:rsidRDefault="008A7D0B" w:rsidP="008A7D0B">
      <w:r>
        <w:t>St</w:t>
      </w:r>
      <w:r w:rsidR="00132F0D">
        <w:t xml:space="preserve">udy 201 was the pivotal study. </w:t>
      </w:r>
      <w:r>
        <w:t xml:space="preserve">It evaluated the safety and efficacy of </w:t>
      </w:r>
      <w:r w:rsidR="00132F0D">
        <w:t>NM 0.02% gel in patients with S</w:t>
      </w:r>
      <w:r>
        <w:t xml:space="preserve">tage I or IIA </w:t>
      </w:r>
      <w:r w:rsidR="000C298D">
        <w:t>mycosis fungoides</w:t>
      </w:r>
      <w:r w:rsidR="00DF4ED1">
        <w:noBreakHyphen/>
        <w:t>type CTCL</w:t>
      </w:r>
      <w:r>
        <w:t>. It was conducted in 13 centres in the USA, commencing in May 2</w:t>
      </w:r>
      <w:r w:rsidR="00132F0D">
        <w:t>006 and completed in July 2010.</w:t>
      </w:r>
    </w:p>
    <w:p w14:paraId="55ACCDFA" w14:textId="5986D964" w:rsidR="00DF4ED1" w:rsidRDefault="008A7D0B" w:rsidP="008A7D0B">
      <w:r>
        <w:t>The primary objective was to evaluate the efficacy of topical application of 0.02%</w:t>
      </w:r>
      <w:r w:rsidR="00132F0D">
        <w:t xml:space="preserve"> </w:t>
      </w:r>
      <w:r w:rsidR="00DF4ED1">
        <w:t xml:space="preserve">nitrogen mustard </w:t>
      </w:r>
      <w:r>
        <w:t xml:space="preserve">in a </w:t>
      </w:r>
      <w:r w:rsidR="00DF4ED1">
        <w:t xml:space="preserve">propylene glycol </w:t>
      </w:r>
      <w:r>
        <w:t>gel (as proposed) v</w:t>
      </w:r>
      <w:r w:rsidR="00B411FA">
        <w:t>ersu</w:t>
      </w:r>
      <w:r>
        <w:t>s 0.02%</w:t>
      </w:r>
      <w:r w:rsidR="00132F0D">
        <w:t xml:space="preserve"> </w:t>
      </w:r>
      <w:r w:rsidR="00DF4ED1">
        <w:t xml:space="preserve">nitrogen mustard </w:t>
      </w:r>
      <w:r>
        <w:t xml:space="preserve">in an </w:t>
      </w:r>
      <w:proofErr w:type="spellStart"/>
      <w:r w:rsidR="00DF4ED1">
        <w:t>aquaphor</w:t>
      </w:r>
      <w:proofErr w:type="spellEnd"/>
      <w:r w:rsidR="00DF4ED1">
        <w:t xml:space="preserve"> </w:t>
      </w:r>
      <w:r w:rsidR="00132F0D">
        <w:t>ointment, in subjects with S</w:t>
      </w:r>
      <w:r>
        <w:t xml:space="preserve">tage I or IIA </w:t>
      </w:r>
      <w:r w:rsidR="000C298D">
        <w:t>mycosis fungoides</w:t>
      </w:r>
      <w:r>
        <w:t>.</w:t>
      </w:r>
    </w:p>
    <w:p w14:paraId="58160A0F" w14:textId="254EA939" w:rsidR="008A7D0B" w:rsidRDefault="008A7D0B" w:rsidP="008A7D0B">
      <w:r>
        <w:t>Secondary objectives were to evaluate tolerability and safety of topical application of both formulations in these patients.</w:t>
      </w:r>
    </w:p>
    <w:p w14:paraId="608CB8BD" w14:textId="6CD02B6D" w:rsidR="008A7D0B" w:rsidRDefault="008A7D0B" w:rsidP="008A7D0B">
      <w:r>
        <w:t>This w</w:t>
      </w:r>
      <w:r w:rsidR="00EF2ED8">
        <w:t>as a pivotal Phase II/III multi</w:t>
      </w:r>
      <w:r>
        <w:t xml:space="preserve">centre, randomised, third party (observer) blinded study in previously treated patients with Stage I or IIA </w:t>
      </w:r>
      <w:r w:rsidR="000C298D">
        <w:t>mycosis fungoides</w:t>
      </w:r>
      <w:r w:rsidR="00DF4ED1">
        <w:noBreakHyphen/>
        <w:t>type CTCL</w:t>
      </w:r>
      <w:r>
        <w:t xml:space="preserve"> comparing the proposed </w:t>
      </w:r>
      <w:r w:rsidR="00A464EA">
        <w:t xml:space="preserve">0.02% </w:t>
      </w:r>
      <w:r w:rsidR="00DF4ED1">
        <w:t xml:space="preserve">nitrogen mustard </w:t>
      </w:r>
      <w:r w:rsidR="00A464EA">
        <w:t xml:space="preserve">compounded in </w:t>
      </w:r>
      <w:r w:rsidR="00DF4ED1">
        <w:t>propylene glycol</w:t>
      </w:r>
      <w:r>
        <w:t xml:space="preserve"> gel, to </w:t>
      </w:r>
      <w:r w:rsidR="00A464EA">
        <w:t xml:space="preserve">0.02% </w:t>
      </w:r>
      <w:r w:rsidR="00DF4ED1">
        <w:t xml:space="preserve">nitrogen mustard </w:t>
      </w:r>
      <w:r>
        <w:t xml:space="preserve">compounded in </w:t>
      </w:r>
      <w:proofErr w:type="spellStart"/>
      <w:r w:rsidR="00DF4ED1">
        <w:t>aquaphor</w:t>
      </w:r>
      <w:proofErr w:type="spellEnd"/>
      <w:r w:rsidR="00DF4ED1">
        <w:t xml:space="preserve"> </w:t>
      </w:r>
      <w:r w:rsidR="00EF2ED8">
        <w:t>ointment.</w:t>
      </w:r>
    </w:p>
    <w:p w14:paraId="11981BF4" w14:textId="423C10B5" w:rsidR="008A7D0B" w:rsidRDefault="008A7D0B" w:rsidP="008A7D0B">
      <w:r>
        <w:t xml:space="preserve">Patients were treated on this trial for 12 months unless disease progression, treatment limiting toxicity, concomitant illness, or other change in health status necessitated discontinuation of study therapy. Patients were also free to withdraw consent for any reason at any time during the trial. Patients were followed off study for an additional </w:t>
      </w:r>
      <w:r>
        <w:lastRenderedPageBreak/>
        <w:t>12</w:t>
      </w:r>
      <w:r w:rsidR="00DF4ED1">
        <w:t> </w:t>
      </w:r>
      <w:r>
        <w:t>months to assess the potential for the development of cutaneous tumours, in particular squamous cell carcinom</w:t>
      </w:r>
      <w:r w:rsidR="00EF2ED8">
        <w:t>as. During this 12</w:t>
      </w:r>
      <w:r w:rsidR="00E43F98">
        <w:t>-</w:t>
      </w:r>
      <w:r w:rsidR="00EF2ED8">
        <w:t xml:space="preserve">month follow </w:t>
      </w:r>
      <w:r>
        <w:t xml:space="preserve">up period, patients who had not achieved a complete response on either the </w:t>
      </w:r>
      <w:r w:rsidR="00DF4ED1">
        <w:t>propylene glycol</w:t>
      </w:r>
      <w:r>
        <w:t xml:space="preserve"> or </w:t>
      </w:r>
      <w:proofErr w:type="spellStart"/>
      <w:r w:rsidR="00DF4ED1">
        <w:t>aquaphor</w:t>
      </w:r>
      <w:proofErr w:type="spellEnd"/>
      <w:r>
        <w:t xml:space="preserve"> formulation of topical 0.02%</w:t>
      </w:r>
      <w:r w:rsidR="00A464EA">
        <w:t xml:space="preserve"> </w:t>
      </w:r>
      <w:r w:rsidR="00DF4ED1">
        <w:t>nitrogen mustard</w:t>
      </w:r>
      <w:r w:rsidR="00132F0D">
        <w:t xml:space="preserve"> could enrol in the open label </w:t>
      </w:r>
      <w:r w:rsidR="00DF4ED1">
        <w:t>7</w:t>
      </w:r>
      <w:r w:rsidR="00DF4ED1">
        <w:noBreakHyphen/>
      </w:r>
      <w:r>
        <w:t xml:space="preserve">month trial of the </w:t>
      </w:r>
      <w:r w:rsidR="00DF4ED1">
        <w:t>propylene glycol</w:t>
      </w:r>
      <w:r>
        <w:t xml:space="preserve"> formulation containing 0.04% </w:t>
      </w:r>
      <w:r w:rsidR="00DF4ED1">
        <w:t>nitrogen mustard</w:t>
      </w:r>
      <w:r>
        <w:t>. Patients not entering that study were observed or treated in accordance with standard medical practice.</w:t>
      </w:r>
    </w:p>
    <w:p w14:paraId="13752BB2" w14:textId="2CEB514A" w:rsidR="008A7D0B" w:rsidRDefault="008A7D0B" w:rsidP="008A7D0B">
      <w:r>
        <w:t xml:space="preserve">This was a non-inferiority study. The proposed </w:t>
      </w:r>
      <w:r w:rsidR="00DF4ED1">
        <w:t>propylene glycol</w:t>
      </w:r>
      <w:r>
        <w:t xml:space="preserve"> chlormethine formulation</w:t>
      </w:r>
      <w:r w:rsidR="00132F0D">
        <w:t xml:space="preserve"> would be designated as ‘non-inferior’</w:t>
      </w:r>
      <w:r>
        <w:t xml:space="preserve"> to the </w:t>
      </w:r>
      <w:proofErr w:type="spellStart"/>
      <w:r w:rsidR="00DF4ED1">
        <w:t>aquaphor</w:t>
      </w:r>
      <w:proofErr w:type="spellEnd"/>
      <w:r>
        <w:t xml:space="preserve"> formulation if the lower limit of the 95% confidence interval</w:t>
      </w:r>
      <w:r w:rsidR="00132F0D">
        <w:t xml:space="preserve"> (CI)</w:t>
      </w:r>
      <w:r>
        <w:t xml:space="preserve"> around the ratio of response rates (based on ≥</w:t>
      </w:r>
      <w:r w:rsidR="00132F0D">
        <w:t xml:space="preserve"> </w:t>
      </w:r>
      <w:r w:rsidR="001E7823">
        <w:t>50% improvement in the B</w:t>
      </w:r>
      <w:r>
        <w:t xml:space="preserve">aseline </w:t>
      </w:r>
      <w:r w:rsidR="00A464EA" w:rsidRPr="001E7823">
        <w:t xml:space="preserve">Composite Assessment of Index Lesion Severity </w:t>
      </w:r>
      <w:r w:rsidR="00A464EA">
        <w:t>(</w:t>
      </w:r>
      <w:r w:rsidRPr="001E7823">
        <w:t>CAILS</w:t>
      </w:r>
      <w:r w:rsidR="00A464EA">
        <w:t>)</w:t>
      </w:r>
      <w:r w:rsidRPr="001E7823">
        <w:t xml:space="preserve"> score</w:t>
      </w:r>
      <w:r w:rsidR="001E7823">
        <w:t>;</w:t>
      </w:r>
      <w:bookmarkStart w:id="44" w:name="_Ref77077322"/>
      <w:r w:rsidR="001E7823">
        <w:rPr>
          <w:rStyle w:val="FootnoteReference"/>
        </w:rPr>
        <w:footnoteReference w:id="14"/>
      </w:r>
      <w:bookmarkEnd w:id="44"/>
      <w:r>
        <w:t xml:space="preserve"> which was confirmed at the next visit at least four weeks later) of the </w:t>
      </w:r>
      <w:r w:rsidR="00DF4ED1">
        <w:t>propylene glycol</w:t>
      </w:r>
      <w:r>
        <w:t xml:space="preserve"> formulation to the </w:t>
      </w:r>
      <w:proofErr w:type="spellStart"/>
      <w:r w:rsidR="00DF4ED1">
        <w:t>aquaphor</w:t>
      </w:r>
      <w:proofErr w:type="spellEnd"/>
      <w:r>
        <w:t xml:space="preserve"> formulation was ≥</w:t>
      </w:r>
      <w:r w:rsidR="001E7823">
        <w:t xml:space="preserve"> 0.75, that is</w:t>
      </w:r>
      <w:r>
        <w:t xml:space="preserve"> there was 95% confidence that the true response rate with the </w:t>
      </w:r>
      <w:r w:rsidR="00DF4ED1">
        <w:t>propylene glycol</w:t>
      </w:r>
      <w:r>
        <w:t xml:space="preserve"> formulation was no more than 25% less th</w:t>
      </w:r>
      <w:r w:rsidR="001E7823">
        <w:t xml:space="preserve">an that of the </w:t>
      </w:r>
      <w:proofErr w:type="spellStart"/>
      <w:r w:rsidR="00DF4ED1">
        <w:t>aquaphor</w:t>
      </w:r>
      <w:proofErr w:type="spellEnd"/>
      <w:r w:rsidR="001E7823">
        <w:t xml:space="preserve"> formulation. </w:t>
      </w:r>
      <w:r>
        <w:t xml:space="preserve">It was estimated that a total of 250 patients would be required. To control for multiple testing among the secondary efficacy endpoints a </w:t>
      </w:r>
      <w:r w:rsidR="00A464EA">
        <w:t>T</w:t>
      </w:r>
      <w:r>
        <w:t>ype I error rate of 0.010 was applied for each endpoint.</w:t>
      </w:r>
    </w:p>
    <w:p w14:paraId="111A0D28" w14:textId="4ED4A455" w:rsidR="008A7D0B" w:rsidRDefault="008A7D0B" w:rsidP="008A7D0B">
      <w:r>
        <w:t xml:space="preserve">The selected </w:t>
      </w:r>
      <w:r w:rsidR="001E7823">
        <w:t>chlormethine h</w:t>
      </w:r>
      <w:r w:rsidR="001E7823" w:rsidRPr="000036FA">
        <w:t>ydrochloride</w:t>
      </w:r>
      <w:r w:rsidR="001E7823">
        <w:t xml:space="preserve"> 0.02% compounded in </w:t>
      </w:r>
      <w:proofErr w:type="spellStart"/>
      <w:r w:rsidR="00DF4ED1">
        <w:t>aquaphor</w:t>
      </w:r>
      <w:proofErr w:type="spellEnd"/>
      <w:r>
        <w:t xml:space="preserve"> corresponded to current standard of care in the US</w:t>
      </w:r>
      <w:r w:rsidR="001E7823">
        <w:t>A</w:t>
      </w:r>
      <w:r>
        <w:t xml:space="preserve"> and was considered to have an established efficacy and safety profile</w:t>
      </w:r>
      <w:r w:rsidR="00D24608">
        <w:t>, based on published data</w:t>
      </w:r>
      <w:r>
        <w:t>.</w:t>
      </w:r>
      <w:r w:rsidR="00996ECE">
        <w:rPr>
          <w:rStyle w:val="FootnoteReference"/>
        </w:rPr>
        <w:footnoteReference w:id="15"/>
      </w:r>
      <w:r w:rsidR="00D24608" w:rsidRPr="00D24608">
        <w:rPr>
          <w:vertAlign w:val="superscript"/>
        </w:rPr>
        <w:t>,</w:t>
      </w:r>
      <w:r w:rsidR="00D24608">
        <w:rPr>
          <w:rStyle w:val="FootnoteReference"/>
        </w:rPr>
        <w:footnoteReference w:id="16"/>
      </w:r>
      <w:r>
        <w:t xml:space="preserve"> The CAILS requires scoring of up to five index lesions (lesions selected for assessm</w:t>
      </w:r>
      <w:r w:rsidR="001E7823">
        <w:t xml:space="preserve">ent of efficacy) for scaling (0 to </w:t>
      </w:r>
      <w:r>
        <w:t>8), erythema (</w:t>
      </w:r>
      <w:r w:rsidR="001E7823">
        <w:t xml:space="preserve">0 to </w:t>
      </w:r>
      <w:r>
        <w:t>8), plaque elevation (0</w:t>
      </w:r>
      <w:r w:rsidR="001E7823">
        <w:t xml:space="preserve"> to</w:t>
      </w:r>
      <w:r>
        <w:t>3), and surface area (0</w:t>
      </w:r>
      <w:r w:rsidR="001E7823">
        <w:t xml:space="preserve"> to</w:t>
      </w:r>
      <w:r>
        <w:t>18). The sum of the scores for each of these categories and each of the five index lesions re</w:t>
      </w:r>
      <w:r w:rsidR="00D24608">
        <w:t>presents the total CAILS score</w:t>
      </w:r>
      <w:r>
        <w:t>.</w:t>
      </w:r>
      <w:r w:rsidR="00D24608">
        <w:rPr>
          <w:rStyle w:val="FootnoteReference"/>
        </w:rPr>
        <w:footnoteReference w:id="17"/>
      </w:r>
      <w:r>
        <w:t xml:space="preserve"> CAILS was chosen as the primary efficacy endpoint because it had been previously used successfully in a study to support authorisation of </w:t>
      </w:r>
      <w:r w:rsidR="00167F61">
        <w:t>bexarotene (Targretin</w:t>
      </w:r>
      <w:r>
        <w:t>) capsules as second</w:t>
      </w:r>
      <w:r w:rsidR="00F57540">
        <w:t xml:space="preserve"> </w:t>
      </w:r>
      <w:r>
        <w:t>line treatment f</w:t>
      </w:r>
      <w:r w:rsidR="00167F61">
        <w:t xml:space="preserve">or </w:t>
      </w:r>
      <w:r w:rsidR="000C298D">
        <w:t>mycosis fungoides</w:t>
      </w:r>
      <w:r w:rsidR="00DF4ED1">
        <w:noBreakHyphen/>
      </w:r>
      <w:r w:rsidR="00167F61">
        <w:t>type CTCL in both the EU</w:t>
      </w:r>
      <w:r>
        <w:t xml:space="preserve"> and US</w:t>
      </w:r>
      <w:r w:rsidR="00167F61">
        <w:t>A</w:t>
      </w:r>
      <w:r>
        <w:t>.</w:t>
      </w:r>
    </w:p>
    <w:p w14:paraId="2F776191" w14:textId="100DE7FB" w:rsidR="008A7D0B" w:rsidRDefault="008A7D0B" w:rsidP="008A7D0B">
      <w:r>
        <w:t>The most widely used method for total body skin scoring is the Severity Weighted Assessment Tool (SWAT).</w:t>
      </w:r>
      <w:bookmarkStart w:id="45" w:name="_Ref77077386"/>
      <w:r w:rsidR="00E172B2">
        <w:rPr>
          <w:rStyle w:val="FootnoteReference"/>
        </w:rPr>
        <w:footnoteReference w:id="18"/>
      </w:r>
      <w:bookmarkEnd w:id="45"/>
      <w:r>
        <w:t xml:space="preserve"> This instrument involves the direct assessment of the body surface area (BSA) of each </w:t>
      </w:r>
      <w:r w:rsidR="000C298D">
        <w:t>mycosis fungoides</w:t>
      </w:r>
      <w:r w:rsidR="00DF4ED1">
        <w:noBreakHyphen/>
      </w:r>
      <w:r>
        <w:t xml:space="preserve">type CTCL lesion. The SWAT score is intended to capture the extent and severity of all </w:t>
      </w:r>
      <w:r w:rsidR="000C298D">
        <w:t>mycosis fungoides</w:t>
      </w:r>
      <w:r w:rsidR="00DF4ED1">
        <w:noBreakHyphen/>
      </w:r>
      <w:r>
        <w:t>type CTCL lesions, rather than just selected index lesions, thereby providing a better indication of global cutaneous disease activity. The SWAT score is derived by weighting BSA involvement for patches, plaques, and tumours, and summing the scores for each category.</w:t>
      </w:r>
    </w:p>
    <w:p w14:paraId="5D59580C" w14:textId="0089501E" w:rsidR="00DF4ED1" w:rsidRDefault="008A7D0B" w:rsidP="008A7D0B">
      <w:r>
        <w:t>The SWAT score is the sum of</w:t>
      </w:r>
      <w:r w:rsidR="00DF4ED1">
        <w:t>:</w:t>
      </w:r>
    </w:p>
    <w:p w14:paraId="341FB2DE" w14:textId="2ED350C3" w:rsidR="00DF4ED1" w:rsidRDefault="008A7D0B" w:rsidP="00CA3482">
      <w:pPr>
        <w:pStyle w:val="ListBullet"/>
      </w:pPr>
      <w:r>
        <w:t>(1 x patch %BSA) + (2 x plaque %BSA) + (3 x tumour/ulcer %BSA)</w:t>
      </w:r>
    </w:p>
    <w:p w14:paraId="11E6CDB2" w14:textId="7BCE15B7" w:rsidR="008A7D0B" w:rsidRDefault="008A7D0B" w:rsidP="008A7D0B">
      <w:r>
        <w:lastRenderedPageBreak/>
        <w:t>The SWAT</w:t>
      </w:r>
      <w:r w:rsidR="00E74DD5">
        <w:t xml:space="preserve"> score</w:t>
      </w:r>
      <w:r>
        <w:t xml:space="preserve"> was considered the most important secondary endpoint in Study 201.</w:t>
      </w:r>
    </w:p>
    <w:p w14:paraId="5E6DED38" w14:textId="2C2400C2" w:rsidR="008A7D0B" w:rsidRDefault="00DF4ED1" w:rsidP="008A7D0B">
      <w:r>
        <w:t>The m</w:t>
      </w:r>
      <w:r w:rsidR="00D24608">
        <w:t>ain inclusion criteria</w:t>
      </w:r>
      <w:r>
        <w:t xml:space="preserve"> were</w:t>
      </w:r>
      <w:r w:rsidR="00D24608">
        <w:t>:</w:t>
      </w:r>
    </w:p>
    <w:p w14:paraId="3A326917" w14:textId="7C3DEAAA" w:rsidR="008A7D0B" w:rsidRDefault="008A7D0B" w:rsidP="00D24608">
      <w:pPr>
        <w:pStyle w:val="ListBullet"/>
      </w:pPr>
      <w:r>
        <w:t xml:space="preserve">A diagnosis of Stage I or IIA (cutaneous only) </w:t>
      </w:r>
      <w:r w:rsidR="000C298D">
        <w:t>mycosis fungoides</w:t>
      </w:r>
      <w:r>
        <w:t xml:space="preserve"> confirmed by skin biopsy. Patients not to h</w:t>
      </w:r>
      <w:r w:rsidR="00D24608">
        <w:t>ave used steroids for at least four</w:t>
      </w:r>
      <w:r>
        <w:t xml:space="preserve"> weeks before the biopsy.</w:t>
      </w:r>
    </w:p>
    <w:p w14:paraId="3AF678D6" w14:textId="77777777" w:rsidR="008A7D0B" w:rsidRDefault="008A7D0B" w:rsidP="00D24608">
      <w:pPr>
        <w:pStyle w:val="ListBullet"/>
      </w:pPr>
      <w:r>
        <w:t>Concordance between local site pathologist and pathologist at the lead site (Fox Chase Cancer Centre) using internationally agreed upon histologic and diagnostic criteria developed by the International Society</w:t>
      </w:r>
      <w:r w:rsidR="00D24608">
        <w:t xml:space="preserve"> for Cutaneous Lymphoma (ISCL)</w:t>
      </w:r>
      <w:r>
        <w:t>.</w:t>
      </w:r>
      <w:r w:rsidR="00D24608">
        <w:rPr>
          <w:rStyle w:val="FootnoteReference"/>
        </w:rPr>
        <w:footnoteReference w:id="19"/>
      </w:r>
    </w:p>
    <w:p w14:paraId="1C868FA6" w14:textId="7DEF2EEC" w:rsidR="008A7D0B" w:rsidRDefault="008A7D0B" w:rsidP="00E74DD5">
      <w:pPr>
        <w:pStyle w:val="ListBullet"/>
      </w:pPr>
      <w:r>
        <w:t>Patients must have been tr</w:t>
      </w:r>
      <w:r w:rsidR="00D24608">
        <w:t>eated previously with at least one</w:t>
      </w:r>
      <w:r>
        <w:t xml:space="preserve"> skin directed therapy for </w:t>
      </w:r>
      <w:r w:rsidR="000C298D">
        <w:t>mycosis fungoides</w:t>
      </w:r>
      <w:r>
        <w:t xml:space="preserve"> including </w:t>
      </w:r>
      <w:r w:rsidR="00E74DD5">
        <w:t xml:space="preserve">taking a combination treatment of </w:t>
      </w:r>
      <w:r>
        <w:t xml:space="preserve">PUVA, </w:t>
      </w:r>
      <w:r w:rsidR="00E74DD5">
        <w:t xml:space="preserve">irradiation with shortwave </w:t>
      </w:r>
      <w:r>
        <w:t>UVB, corticostero</w:t>
      </w:r>
      <w:r w:rsidR="00D24608">
        <w:t xml:space="preserve">ids but not </w:t>
      </w:r>
      <w:r w:rsidR="00DF4ED1">
        <w:t>nitrogen mustard</w:t>
      </w:r>
      <w:r w:rsidR="00D24608">
        <w:t xml:space="preserve"> within the last two</w:t>
      </w:r>
      <w:r>
        <w:t xml:space="preserve"> years nor topical</w:t>
      </w:r>
      <w:r w:rsidR="00E74DD5">
        <w:t xml:space="preserve"> </w:t>
      </w:r>
      <w:proofErr w:type="spellStart"/>
      <w:r w:rsidR="00E74DD5" w:rsidRPr="00F57540">
        <w:t>B</w:t>
      </w:r>
      <w:r w:rsidR="00F57540" w:rsidRPr="00F57540">
        <w:t>i</w:t>
      </w:r>
      <w:r w:rsidR="00E74DD5" w:rsidRPr="00F57540">
        <w:t>CNU</w:t>
      </w:r>
      <w:proofErr w:type="spellEnd"/>
      <w:r>
        <w:t xml:space="preserve"> </w:t>
      </w:r>
      <w:r w:rsidR="00E74DD5">
        <w:t>(</w:t>
      </w:r>
      <w:proofErr w:type="spellStart"/>
      <w:r w:rsidR="00E74DD5">
        <w:t>carmustine</w:t>
      </w:r>
      <w:proofErr w:type="spellEnd"/>
      <w:r w:rsidR="00E74DD5">
        <w:t>)</w:t>
      </w:r>
      <w:r>
        <w:t>.</w:t>
      </w:r>
      <w:r w:rsidR="00F57540">
        <w:fldChar w:fldCharType="begin"/>
      </w:r>
      <w:r w:rsidR="00F57540">
        <w:instrText xml:space="preserve"> NOTEREF _Ref77768863 \f \h </w:instrText>
      </w:r>
      <w:r w:rsidR="00F57540">
        <w:fldChar w:fldCharType="separate"/>
      </w:r>
      <w:r w:rsidR="004748DD" w:rsidRPr="004748DD">
        <w:rPr>
          <w:rStyle w:val="FootnoteReference"/>
        </w:rPr>
        <w:t>10</w:t>
      </w:r>
      <w:r w:rsidR="00F57540">
        <w:fldChar w:fldCharType="end"/>
      </w:r>
    </w:p>
    <w:p w14:paraId="714187FA" w14:textId="6E363CCB" w:rsidR="008A7D0B" w:rsidRDefault="00DF4ED1" w:rsidP="00D24608">
      <w:pPr>
        <w:pStyle w:val="ListBullet"/>
        <w:numPr>
          <w:ilvl w:val="0"/>
          <w:numId w:val="0"/>
        </w:numPr>
      </w:pPr>
      <w:r>
        <w:t>The m</w:t>
      </w:r>
      <w:r w:rsidR="008A7D0B">
        <w:t>ain exclusion criteria</w:t>
      </w:r>
      <w:r>
        <w:t xml:space="preserve"> were</w:t>
      </w:r>
      <w:r w:rsidR="008A7D0B">
        <w:t>:</w:t>
      </w:r>
    </w:p>
    <w:p w14:paraId="7A0A7641" w14:textId="00A70AC7" w:rsidR="008A7D0B" w:rsidRDefault="008A7D0B" w:rsidP="00D24608">
      <w:pPr>
        <w:pStyle w:val="ListBullet"/>
      </w:pPr>
      <w:r>
        <w:t xml:space="preserve">A prior history of treatment with topical </w:t>
      </w:r>
      <w:r w:rsidR="00DF4ED1">
        <w:t>nitrogen mustard</w:t>
      </w:r>
      <w:r>
        <w:t xml:space="preserve"> within the l</w:t>
      </w:r>
      <w:r w:rsidR="00D24608">
        <w:t>ast two</w:t>
      </w:r>
      <w:r>
        <w:t xml:space="preserve"> years or topical </w:t>
      </w:r>
      <w:proofErr w:type="spellStart"/>
      <w:r>
        <w:t>B</w:t>
      </w:r>
      <w:r w:rsidR="00F57540">
        <w:t>i</w:t>
      </w:r>
      <w:r>
        <w:t>CNU</w:t>
      </w:r>
      <w:proofErr w:type="spellEnd"/>
      <w:r w:rsidR="00E74DD5">
        <w:t xml:space="preserve"> (</w:t>
      </w:r>
      <w:proofErr w:type="spellStart"/>
      <w:r w:rsidR="00E74DD5">
        <w:t>carmustine</w:t>
      </w:r>
      <w:proofErr w:type="spellEnd"/>
      <w:r w:rsidR="00E74DD5">
        <w:t>)</w:t>
      </w:r>
      <w:r>
        <w:t>.</w:t>
      </w:r>
      <w:r w:rsidR="00F57540">
        <w:fldChar w:fldCharType="begin"/>
      </w:r>
      <w:r w:rsidR="00F57540">
        <w:instrText xml:space="preserve"> NOTEREF _Ref77768863 \f \h </w:instrText>
      </w:r>
      <w:r w:rsidR="00F57540">
        <w:fldChar w:fldCharType="separate"/>
      </w:r>
      <w:r w:rsidR="004748DD" w:rsidRPr="004748DD">
        <w:rPr>
          <w:rStyle w:val="FootnoteReference"/>
        </w:rPr>
        <w:t>10</w:t>
      </w:r>
      <w:r w:rsidR="00F57540">
        <w:fldChar w:fldCharType="end"/>
      </w:r>
    </w:p>
    <w:p w14:paraId="7E67A64D" w14:textId="41C5E218" w:rsidR="008A7D0B" w:rsidRDefault="008A7D0B" w:rsidP="00D24608">
      <w:pPr>
        <w:pStyle w:val="ListBullet"/>
      </w:pPr>
      <w:r>
        <w:t>Use of topical or systemic therapies including</w:t>
      </w:r>
      <w:r w:rsidR="00D24608">
        <w:t xml:space="preserve"> corticosteroids for </w:t>
      </w:r>
      <w:r w:rsidR="000C298D">
        <w:t>mycosis fungoides</w:t>
      </w:r>
      <w:r w:rsidR="00D24608">
        <w:t xml:space="preserve"> within four</w:t>
      </w:r>
      <w:r>
        <w:t xml:space="preserve"> weeks of entry into the study.</w:t>
      </w:r>
    </w:p>
    <w:p w14:paraId="6963E091" w14:textId="77777777" w:rsidR="008A7D0B" w:rsidRDefault="008A7D0B" w:rsidP="00D24608">
      <w:pPr>
        <w:pStyle w:val="ListBullet"/>
      </w:pPr>
      <w:r>
        <w:t>Patients with Stage IIB to IV disease.</w:t>
      </w:r>
    </w:p>
    <w:p w14:paraId="37AAF99C" w14:textId="5F7F78B3" w:rsidR="008A7D0B" w:rsidRDefault="008A7D0B" w:rsidP="00D24608">
      <w:pPr>
        <w:pStyle w:val="ListBullet"/>
      </w:pPr>
      <w:r>
        <w:t xml:space="preserve">Patients with a history of a higher T </w:t>
      </w:r>
      <w:r w:rsidR="00DF4ED1">
        <w:t xml:space="preserve">(Tumour) </w:t>
      </w:r>
      <w:r>
        <w:t>score than T2 or a higher N</w:t>
      </w:r>
      <w:r w:rsidR="00DF4ED1">
        <w:t xml:space="preserve"> (Node)</w:t>
      </w:r>
      <w:r>
        <w:t>score than N1.</w:t>
      </w:r>
    </w:p>
    <w:p w14:paraId="3536B4D5" w14:textId="77777777" w:rsidR="008A7D0B" w:rsidRDefault="008A7D0B" w:rsidP="008A7D0B">
      <w:pPr>
        <w:pStyle w:val="ListBullet"/>
      </w:pPr>
      <w:r>
        <w:t>Patients who had radiation therapy within 1 year of study start.</w:t>
      </w:r>
    </w:p>
    <w:p w14:paraId="0EC41D15" w14:textId="7D58ACA8" w:rsidR="008A7D0B" w:rsidRDefault="008A7D0B" w:rsidP="00D24608">
      <w:r>
        <w:t xml:space="preserve">Patients were asked to apply a thin layer of product topically daily at approximately the same time each day for the duration of the study period (up to 12 months). The frequency of application could be adjusted for toxicity. Patients with Stage IA disease were generally instructed to treat all affected lesions and whole body application (excluding areas around the eyes and mucous membranes) was prescribed if the patient had either Stage IB or IIA </w:t>
      </w:r>
      <w:r w:rsidR="000C298D">
        <w:t>mycosis fungoides</w:t>
      </w:r>
      <w:r>
        <w:t xml:space="preserve"> or severity of new lesions developing after treatment initiation met criteria for progressive disease (&gt;</w:t>
      </w:r>
      <w:r w:rsidR="00D24608">
        <w:t xml:space="preserve"> </w:t>
      </w:r>
      <w:r>
        <w:t>25% worsening). Patients were instructed to wear disposable gloves and/or wash their hands after applying the study treatment. Topical steroids (up to 1%) were permitted on non-</w:t>
      </w:r>
      <w:r w:rsidR="000C298D">
        <w:t>mycosis fungoides</w:t>
      </w:r>
      <w:r>
        <w:t xml:space="preserve"> lesions and to areas where topica</w:t>
      </w:r>
      <w:r w:rsidR="00D24608">
        <w:t xml:space="preserve">l </w:t>
      </w:r>
      <w:r w:rsidR="00DF4ED1">
        <w:t>nitrogen mustard</w:t>
      </w:r>
      <w:r w:rsidR="00D24608">
        <w:t xml:space="preserve"> could not be applied, for example,</w:t>
      </w:r>
      <w:r>
        <w:t xml:space="preserve"> the eyelids.</w:t>
      </w:r>
    </w:p>
    <w:p w14:paraId="149C6FF8" w14:textId="779B8EEB" w:rsidR="008A7D0B" w:rsidRDefault="008A7D0B" w:rsidP="008A7D0B">
      <w:r>
        <w:t xml:space="preserve">Usage of chlormethine was estimated by calculating the number of returned used tubes and assuming that the entire contents of each 25 g tube were used. Daily usage was then calculated from this total based on an individual patient’s total days on study drug. Calculated mean daily use of </w:t>
      </w:r>
      <w:r w:rsidR="00DF4ED1">
        <w:t>propylene glycol</w:t>
      </w:r>
      <w:r>
        <w:t xml:space="preserve"> </w:t>
      </w:r>
      <w:r w:rsidR="00DF4ED1">
        <w:t>g</w:t>
      </w:r>
      <w:r>
        <w:t xml:space="preserve">el was 2.81 g overall (1.77 g/day for Stage IA patients and 4.28 g/day for Stage IB/IIA patients). Calculated median daily use of </w:t>
      </w:r>
      <w:r w:rsidR="00DF4ED1">
        <w:t>propylene glycol</w:t>
      </w:r>
      <w:r>
        <w:t xml:space="preserve"> </w:t>
      </w:r>
      <w:r w:rsidR="00DF4ED1">
        <w:t>g</w:t>
      </w:r>
      <w:r>
        <w:t>el was 1.83 g overall (1.24 g/day for Stage IA patients and 4.23</w:t>
      </w:r>
      <w:r w:rsidR="00DF4ED1">
        <w:t> </w:t>
      </w:r>
      <w:r>
        <w:t xml:space="preserve">g/day for Stage IB/IIA patients). The maximum calculated daily usage of </w:t>
      </w:r>
      <w:r w:rsidR="00DF4ED1">
        <w:t>propylene glycol</w:t>
      </w:r>
      <w:r>
        <w:t xml:space="preserve"> </w:t>
      </w:r>
      <w:r w:rsidR="00DF4ED1">
        <w:t>g</w:t>
      </w:r>
      <w:r>
        <w:t>el f</w:t>
      </w:r>
      <w:r w:rsidR="00E74DD5">
        <w:t>or a single subject was 10.5 g</w:t>
      </w:r>
      <w:r w:rsidR="00D24608">
        <w:t>.</w:t>
      </w:r>
    </w:p>
    <w:p w14:paraId="50803F8E" w14:textId="61BB4718" w:rsidR="008A7D0B" w:rsidRDefault="008A7D0B" w:rsidP="008A7D0B">
      <w:r>
        <w:t>The primary efficacy endpoint was the CAILS score.</w:t>
      </w:r>
      <w:r w:rsidR="00E74DD5">
        <w:fldChar w:fldCharType="begin"/>
      </w:r>
      <w:r w:rsidR="00E74DD5">
        <w:instrText xml:space="preserve"> NOTEREF _Ref77077322 \f \h </w:instrText>
      </w:r>
      <w:r w:rsidR="00E74DD5">
        <w:fldChar w:fldCharType="separate"/>
      </w:r>
      <w:r w:rsidR="004748DD" w:rsidRPr="004748DD">
        <w:rPr>
          <w:rStyle w:val="FootnoteReference"/>
        </w:rPr>
        <w:t>14</w:t>
      </w:r>
      <w:r w:rsidR="00E74DD5">
        <w:fldChar w:fldCharType="end"/>
      </w:r>
      <w:r>
        <w:t xml:space="preserve"> The score is obtained by adding the severity score of each of th</w:t>
      </w:r>
      <w:r w:rsidR="00E74DD5">
        <w:t>e following symptoms for up to five</w:t>
      </w:r>
      <w:r>
        <w:t xml:space="preserve"> index lesions: erythema, scaling, plaque elevation, and surface area. Severity was graded from 0 (none) to 8 (severe) for erythema and scaling; 0 to 3 for plaque elevation; and 0 to 9 for surface area. A response is defined as ≥</w:t>
      </w:r>
      <w:r w:rsidR="00E74DD5">
        <w:t xml:space="preserve"> </w:t>
      </w:r>
      <w:r>
        <w:t xml:space="preserve">50% reduction in the </w:t>
      </w:r>
      <w:r w:rsidR="00B55893">
        <w:t>B</w:t>
      </w:r>
      <w:r>
        <w:t>aseline CAILS score</w:t>
      </w:r>
      <w:r w:rsidR="00E74DD5">
        <w:t>;</w:t>
      </w:r>
      <w:r w:rsidR="00E74DD5">
        <w:fldChar w:fldCharType="begin"/>
      </w:r>
      <w:r w:rsidR="00E74DD5">
        <w:instrText xml:space="preserve"> NOTEREF _Ref77077322 \f \h </w:instrText>
      </w:r>
      <w:r w:rsidR="00E74DD5">
        <w:fldChar w:fldCharType="separate"/>
      </w:r>
      <w:r w:rsidR="004748DD" w:rsidRPr="004748DD">
        <w:rPr>
          <w:rStyle w:val="FootnoteReference"/>
        </w:rPr>
        <w:t>14</w:t>
      </w:r>
      <w:r w:rsidR="00E74DD5">
        <w:fldChar w:fldCharType="end"/>
      </w:r>
      <w:r>
        <w:t xml:space="preserve"> that is confirmed at the next vis</w:t>
      </w:r>
      <w:r w:rsidR="00E74DD5">
        <w:t>it at least four weeks later.</w:t>
      </w:r>
    </w:p>
    <w:p w14:paraId="631308D8" w14:textId="5DB637FE" w:rsidR="008A7D0B" w:rsidRDefault="008A7D0B" w:rsidP="008A7D0B">
      <w:r>
        <w:lastRenderedPageBreak/>
        <w:t>Secondary efficacy endpoints included &gt;</w:t>
      </w:r>
      <w:r w:rsidR="00E74DD5">
        <w:t xml:space="preserve"> 50% improvement in </w:t>
      </w:r>
      <w:r>
        <w:t>SWAT</w:t>
      </w:r>
      <w:r w:rsidR="00E74DD5">
        <w:t xml:space="preserve"> score;</w:t>
      </w:r>
      <w:r w:rsidR="00E74DD5">
        <w:fldChar w:fldCharType="begin"/>
      </w:r>
      <w:r w:rsidR="00E74DD5">
        <w:instrText xml:space="preserve"> NOTEREF _Ref77077386 \f \h </w:instrText>
      </w:r>
      <w:r w:rsidR="00E74DD5">
        <w:fldChar w:fldCharType="separate"/>
      </w:r>
      <w:r w:rsidR="004748DD" w:rsidRPr="004748DD">
        <w:rPr>
          <w:rStyle w:val="FootnoteReference"/>
        </w:rPr>
        <w:t>18</w:t>
      </w:r>
      <w:r w:rsidR="00E74DD5">
        <w:fldChar w:fldCharType="end"/>
      </w:r>
      <w:r>
        <w:t xml:space="preserve"> which is derived by measuring each involved area as a percentage of total body surface area and multiplying it by a severity-weighting factor (1 </w:t>
      </w:r>
      <w:r w:rsidR="00E74DD5">
        <w:t>= patch, 2 = plaque, 3 = tumour).</w:t>
      </w:r>
      <w:r>
        <w:t xml:space="preserve"> An additional secondary efficacy endpoint was change in percent of total body surface area involved, as a component of the SWAT. A final secondary efficacy endpoint was time to first confirmed response, duration of response and the time to disease progression based on the CAILS score.</w:t>
      </w:r>
      <w:r w:rsidR="00E74DD5">
        <w:fldChar w:fldCharType="begin"/>
      </w:r>
      <w:r w:rsidR="00E74DD5">
        <w:instrText xml:space="preserve"> NOTEREF _Ref77077322 \f \h </w:instrText>
      </w:r>
      <w:r w:rsidR="00E74DD5">
        <w:fldChar w:fldCharType="separate"/>
      </w:r>
      <w:r w:rsidR="004748DD" w:rsidRPr="004748DD">
        <w:rPr>
          <w:rStyle w:val="FootnoteReference"/>
        </w:rPr>
        <w:t>14</w:t>
      </w:r>
      <w:r w:rsidR="00E74DD5">
        <w:fldChar w:fldCharType="end"/>
      </w:r>
    </w:p>
    <w:p w14:paraId="6C4733A3" w14:textId="77777777" w:rsidR="008A7D0B" w:rsidRDefault="00F50298" w:rsidP="008A7D0B">
      <w:r>
        <w:t xml:space="preserve">The efficacy </w:t>
      </w:r>
      <w:r w:rsidR="008A7D0B">
        <w:t>evaluable (EE) population was the primary population for assessment of non-inferiority of respo</w:t>
      </w:r>
      <w:r>
        <w:t xml:space="preserve">nse for CAILS, SWAT and % BSA. </w:t>
      </w:r>
      <w:r w:rsidR="008A7D0B">
        <w:t xml:space="preserve">That population met the following criteria: </w:t>
      </w:r>
    </w:p>
    <w:p w14:paraId="0294E702" w14:textId="77777777" w:rsidR="008A7D0B" w:rsidRDefault="008A7D0B" w:rsidP="00F50298">
      <w:pPr>
        <w:pStyle w:val="ListBullet"/>
      </w:pPr>
      <w:r>
        <w:t>did not have major exclusion or inclusion criteria exceptions</w:t>
      </w:r>
      <w:r w:rsidR="00F50298">
        <w:t>;</w:t>
      </w:r>
    </w:p>
    <w:p w14:paraId="256EF5B2" w14:textId="77777777" w:rsidR="008A7D0B" w:rsidRDefault="008A7D0B" w:rsidP="00F50298">
      <w:pPr>
        <w:pStyle w:val="ListBullet"/>
      </w:pPr>
      <w:r>
        <w:t>no major or prolonged deviations related to study drug administration</w:t>
      </w:r>
      <w:r w:rsidR="00F50298">
        <w:t>;</w:t>
      </w:r>
    </w:p>
    <w:p w14:paraId="2CD46976" w14:textId="77777777" w:rsidR="008A7D0B" w:rsidRDefault="008A7D0B" w:rsidP="00F50298">
      <w:pPr>
        <w:pStyle w:val="ListBullet"/>
      </w:pPr>
      <w:r>
        <w:t>at leas</w:t>
      </w:r>
      <w:r w:rsidR="00F50298">
        <w:t>t 6 months continuous treatment;</w:t>
      </w:r>
    </w:p>
    <w:p w14:paraId="6BDE9C65" w14:textId="574D8C33" w:rsidR="008A7D0B" w:rsidRDefault="008A7D0B" w:rsidP="00F50298">
      <w:pPr>
        <w:pStyle w:val="ListBullet"/>
      </w:pPr>
      <w:r>
        <w:t xml:space="preserve">no concomitant medication or treatment for </w:t>
      </w:r>
      <w:r w:rsidR="000C298D">
        <w:t>mycosis fungoides</w:t>
      </w:r>
      <w:r>
        <w:t xml:space="preserve"> during the randomised treatment period</w:t>
      </w:r>
      <w:r w:rsidR="00DF4ED1">
        <w:t>;</w:t>
      </w:r>
      <w:r w:rsidR="00F50298">
        <w:t xml:space="preserve"> and</w:t>
      </w:r>
    </w:p>
    <w:p w14:paraId="5622C84D" w14:textId="77777777" w:rsidR="008A7D0B" w:rsidRDefault="008A7D0B" w:rsidP="00F50298">
      <w:pPr>
        <w:pStyle w:val="ListBullet"/>
      </w:pPr>
      <w:r>
        <w:t>had two or more p</w:t>
      </w:r>
      <w:r w:rsidR="00F50298">
        <w:t>ost baseline CAILS assessments.</w:t>
      </w:r>
    </w:p>
    <w:p w14:paraId="0F6B0452" w14:textId="77777777" w:rsidR="008A7D0B" w:rsidRDefault="008A7D0B" w:rsidP="008A7D0B">
      <w:r>
        <w:t>The CAILS, SWAT and %BSA analyses were repeated for the intent-to-treat population.</w:t>
      </w:r>
    </w:p>
    <w:p w14:paraId="1791892B" w14:textId="3267F3A2" w:rsidR="008A7D0B" w:rsidRDefault="008A7D0B" w:rsidP="008A7D0B">
      <w:r>
        <w:t>Patients enrolled at one study site (</w:t>
      </w:r>
      <w:r w:rsidRPr="00901266">
        <w:t>NYU)</w:t>
      </w:r>
      <w:r>
        <w:t xml:space="preserve"> were not randomised to treatment in accordance with the protocol. Patients were assigned to treatment based on </w:t>
      </w:r>
      <w:r w:rsidR="000C298D">
        <w:t>mycosis fungoides</w:t>
      </w:r>
      <w:r>
        <w:t xml:space="preserve"> Stage: Patients with Stage IA</w:t>
      </w:r>
      <w:r w:rsidR="00F50298">
        <w:t xml:space="preserve"> disease were assigned to Drug ‘A’</w:t>
      </w:r>
      <w:r>
        <w:t xml:space="preserve"> (</w:t>
      </w:r>
      <w:r w:rsidR="00DF4ED1">
        <w:t>propylene glycol</w:t>
      </w:r>
      <w:r>
        <w:t xml:space="preserve"> formulation) and patients with Stage IB</w:t>
      </w:r>
      <w:r w:rsidR="00F50298">
        <w:t xml:space="preserve"> disease were assigned to Drug ‘B’</w:t>
      </w:r>
      <w:r>
        <w:t xml:space="preserve"> (</w:t>
      </w:r>
      <w:proofErr w:type="spellStart"/>
      <w:r w:rsidR="00DF4ED1">
        <w:t>aquaphor</w:t>
      </w:r>
      <w:proofErr w:type="spellEnd"/>
      <w:r>
        <w:t xml:space="preserve"> formulation). Rather than exclude data from these patients, efficac</w:t>
      </w:r>
      <w:r w:rsidR="00F50298">
        <w:t>y data were analysed for three ‘Intent to Treat’</w:t>
      </w:r>
      <w:r>
        <w:t xml:space="preserve"> </w:t>
      </w:r>
      <w:r w:rsidR="00B55893">
        <w:t xml:space="preserve">(ITT) </w:t>
      </w:r>
      <w:r>
        <w:t xml:space="preserve">data sets: </w:t>
      </w:r>
      <w:r w:rsidR="00E43F98">
        <w:t>a</w:t>
      </w:r>
      <w:r>
        <w:t>ll enrolled (n</w:t>
      </w:r>
      <w:r w:rsidR="00F50298">
        <w:t> </w:t>
      </w:r>
      <w:r>
        <w:t>=</w:t>
      </w:r>
      <w:r w:rsidR="00F50298">
        <w:t> </w:t>
      </w:r>
      <w:r>
        <w:t>260); all excluding NYU (n</w:t>
      </w:r>
      <w:r w:rsidR="00F50298">
        <w:t xml:space="preserve"> </w:t>
      </w:r>
      <w:r>
        <w:t>=</w:t>
      </w:r>
      <w:r w:rsidR="00F50298">
        <w:t xml:space="preserve"> </w:t>
      </w:r>
      <w:r>
        <w:t xml:space="preserve">242) and all as they should have been </w:t>
      </w:r>
      <w:r w:rsidR="00F50298">
        <w:t xml:space="preserve">randomised, that is </w:t>
      </w:r>
      <w:r>
        <w:t xml:space="preserve">ITT with NYU as planned). 185 patients were </w:t>
      </w:r>
      <w:r w:rsidR="00F50298">
        <w:t xml:space="preserve">included in the EE population. </w:t>
      </w:r>
      <w:r>
        <w:t xml:space="preserve">Demographic and other baseline characteristics (ITT population) are tabulated </w:t>
      </w:r>
      <w:r w:rsidR="00F50298">
        <w:t xml:space="preserve">in </w:t>
      </w:r>
      <w:r w:rsidR="00F50298">
        <w:fldChar w:fldCharType="begin"/>
      </w:r>
      <w:r w:rsidR="00F50298">
        <w:instrText xml:space="preserve"> REF _Ref77077939 \h </w:instrText>
      </w:r>
      <w:r w:rsidR="00F50298">
        <w:fldChar w:fldCharType="separate"/>
      </w:r>
      <w:r w:rsidR="004748DD" w:rsidRPr="00F50298">
        <w:t xml:space="preserve">Table </w:t>
      </w:r>
      <w:r w:rsidR="004748DD">
        <w:rPr>
          <w:noProof/>
        </w:rPr>
        <w:t>3</w:t>
      </w:r>
      <w:r w:rsidR="00F50298">
        <w:fldChar w:fldCharType="end"/>
      </w:r>
      <w:r>
        <w:t>.</w:t>
      </w:r>
    </w:p>
    <w:p w14:paraId="4548061F" w14:textId="18AF785A" w:rsidR="00F50298" w:rsidRDefault="00F50298" w:rsidP="00F50298">
      <w:pPr>
        <w:pStyle w:val="TableTitle"/>
      </w:pPr>
      <w:bookmarkStart w:id="46" w:name="_Ref77077939"/>
      <w:r w:rsidRPr="00F50298">
        <w:lastRenderedPageBreak/>
        <w:t xml:space="preserve">Table </w:t>
      </w:r>
      <w:r w:rsidR="00023D63">
        <w:rPr>
          <w:noProof/>
        </w:rPr>
        <w:fldChar w:fldCharType="begin"/>
      </w:r>
      <w:r w:rsidR="00023D63">
        <w:rPr>
          <w:noProof/>
        </w:rPr>
        <w:instrText xml:space="preserve"> SEQ Table \* ARABIC </w:instrText>
      </w:r>
      <w:r w:rsidR="00023D63">
        <w:rPr>
          <w:noProof/>
        </w:rPr>
        <w:fldChar w:fldCharType="separate"/>
      </w:r>
      <w:r w:rsidR="004748DD">
        <w:rPr>
          <w:noProof/>
        </w:rPr>
        <w:t>3</w:t>
      </w:r>
      <w:r w:rsidR="00023D63">
        <w:rPr>
          <w:noProof/>
        </w:rPr>
        <w:fldChar w:fldCharType="end"/>
      </w:r>
      <w:bookmarkEnd w:id="46"/>
      <w:r>
        <w:t>:</w:t>
      </w:r>
      <w:r w:rsidR="003E613A">
        <w:t xml:space="preserve"> Study 201</w:t>
      </w:r>
      <w:r>
        <w:t xml:space="preserve"> </w:t>
      </w:r>
      <w:r w:rsidRPr="00F50298">
        <w:t>Demographic characteristics</w:t>
      </w:r>
    </w:p>
    <w:p w14:paraId="771FA262" w14:textId="13CCE0AF" w:rsidR="00F50298" w:rsidRDefault="00F50298" w:rsidP="008A7D0B">
      <w:r w:rsidRPr="00EA19AB">
        <w:rPr>
          <w:noProof/>
          <w:lang w:val="en-GB" w:eastAsia="en-GB"/>
        </w:rPr>
        <w:drawing>
          <wp:inline distT="0" distB="0" distL="0" distR="0" wp14:anchorId="77D00023" wp14:editId="0E24B0C1">
            <wp:extent cx="5229058" cy="5098694"/>
            <wp:effectExtent l="0" t="0" r="0" b="6985"/>
            <wp:docPr id="3" name="Picture 3" descr="Table 3: Study 201 Demographic character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 3: Study 201 Demographic characteristic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31529" cy="5101104"/>
                    </a:xfrm>
                    <a:prstGeom prst="rect">
                      <a:avLst/>
                    </a:prstGeom>
                    <a:noFill/>
                    <a:ln>
                      <a:noFill/>
                    </a:ln>
                  </pic:spPr>
                </pic:pic>
              </a:graphicData>
            </a:graphic>
          </wp:inline>
        </w:drawing>
      </w:r>
    </w:p>
    <w:p w14:paraId="35D4646E" w14:textId="02DD45F2" w:rsidR="00DC3058" w:rsidRDefault="00DC3058" w:rsidP="00CA3482">
      <w:pPr>
        <w:pStyle w:val="FootnoteText"/>
      </w:pPr>
      <w:r>
        <w:t xml:space="preserve">AP = </w:t>
      </w:r>
      <w:proofErr w:type="spellStart"/>
      <w:r>
        <w:t>aquaphor</w:t>
      </w:r>
      <w:proofErr w:type="spellEnd"/>
      <w:r>
        <w:t>; CAILS = Composite Assessment of Index Lesion Severity; PG = propylene glycol; SWAT = Severity Weighted Assessment Tool.</w:t>
      </w:r>
    </w:p>
    <w:p w14:paraId="13A5829D" w14:textId="72EC43B0" w:rsidR="00F50298" w:rsidRDefault="00F50298" w:rsidP="00F50298">
      <w:r>
        <w:t xml:space="preserve">A total of 62% of the patients treated with the </w:t>
      </w:r>
      <w:r w:rsidR="00DF4ED1">
        <w:t>propylene glycol</w:t>
      </w:r>
      <w:r>
        <w:t xml:space="preserve"> formulation and 66% of the patients treated with the </w:t>
      </w:r>
      <w:proofErr w:type="spellStart"/>
      <w:r w:rsidR="00DF4ED1">
        <w:t>aquaphor</w:t>
      </w:r>
      <w:proofErr w:type="spellEnd"/>
      <w:r>
        <w:t xml:space="preserve"> formulation completed the 12</w:t>
      </w:r>
      <w:r w:rsidR="00E43F98">
        <w:t>-</w:t>
      </w:r>
      <w:r>
        <w:t xml:space="preserve">month study. The most frequent reasons for discontinuation were: treatment limiting toxicity (16.2% </w:t>
      </w:r>
      <w:r w:rsidR="00DF4ED1">
        <w:t>propylene glycol</w:t>
      </w:r>
      <w:r>
        <w:t xml:space="preserve"> and 12.3% </w:t>
      </w:r>
      <w:proofErr w:type="spellStart"/>
      <w:r w:rsidR="00DF4ED1">
        <w:t>aquaphor</w:t>
      </w:r>
      <w:proofErr w:type="spellEnd"/>
      <w:r>
        <w:t xml:space="preserve">); other adverse events (AE) (3.8% </w:t>
      </w:r>
      <w:r w:rsidR="00DF4ED1">
        <w:t>propylene glycol</w:t>
      </w:r>
      <w:r>
        <w:t xml:space="preserve"> and 4.6% </w:t>
      </w:r>
      <w:proofErr w:type="spellStart"/>
      <w:r w:rsidR="00DF4ED1">
        <w:t>aquaphor</w:t>
      </w:r>
      <w:proofErr w:type="spellEnd"/>
      <w:r>
        <w:t xml:space="preserve">). Lack of efficacy accounted for 3.1% of withdrawals in both the </w:t>
      </w:r>
      <w:r w:rsidR="00DF4ED1">
        <w:t>propylene glycol</w:t>
      </w:r>
      <w:r>
        <w:t xml:space="preserve"> and </w:t>
      </w:r>
      <w:proofErr w:type="spellStart"/>
      <w:r w:rsidR="00DF4ED1">
        <w:t>aquaphor</w:t>
      </w:r>
      <w:proofErr w:type="spellEnd"/>
      <w:r>
        <w:t xml:space="preserve"> treatment groups.</w:t>
      </w:r>
    </w:p>
    <w:p w14:paraId="4F9081FF" w14:textId="35FFC3AD" w:rsidR="00F50298" w:rsidRDefault="00F50298" w:rsidP="00F50298">
      <w:r>
        <w:t xml:space="preserve">Non-inferiority of </w:t>
      </w:r>
      <w:r w:rsidR="00DF4ED1">
        <w:t>propylene glycol</w:t>
      </w:r>
      <w:r>
        <w:t xml:space="preserve"> to </w:t>
      </w:r>
      <w:proofErr w:type="spellStart"/>
      <w:r w:rsidR="00DF4ED1">
        <w:t>aquaphor</w:t>
      </w:r>
      <w:proofErr w:type="spellEnd"/>
      <w:r w:rsidR="00B55893">
        <w:t xml:space="preserve"> formulation</w:t>
      </w:r>
      <w:r>
        <w:t xml:space="preserve"> was met in each of the ITT analyses and for the EE analysis (patients who completed at least 6 months treatment). CAILS and SWAT response rates were in each analysis population higher for the </w:t>
      </w:r>
      <w:r w:rsidR="00DF4ED1">
        <w:t>propylene glycol</w:t>
      </w:r>
      <w:r>
        <w:t xml:space="preserve"> treated population compared with the </w:t>
      </w:r>
      <w:proofErr w:type="spellStart"/>
      <w:r w:rsidR="00DF4ED1">
        <w:t>aquaphor</w:t>
      </w:r>
      <w:proofErr w:type="spellEnd"/>
      <w:r>
        <w:t xml:space="preserve"> population.</w:t>
      </w:r>
    </w:p>
    <w:p w14:paraId="75D7FFFB" w14:textId="5141C221" w:rsidR="00F50298" w:rsidRDefault="00F50298" w:rsidP="00607F15">
      <w:pPr>
        <w:pStyle w:val="TableTitle"/>
      </w:pPr>
      <w:r w:rsidRPr="00607F15">
        <w:lastRenderedPageBreak/>
        <w:t xml:space="preserve">Table </w:t>
      </w:r>
      <w:r w:rsidR="00023D63">
        <w:rPr>
          <w:noProof/>
        </w:rPr>
        <w:fldChar w:fldCharType="begin"/>
      </w:r>
      <w:r w:rsidR="00023D63">
        <w:rPr>
          <w:noProof/>
        </w:rPr>
        <w:instrText xml:space="preserve"> SEQ Table \* ARABIC </w:instrText>
      </w:r>
      <w:r w:rsidR="00023D63">
        <w:rPr>
          <w:noProof/>
        </w:rPr>
        <w:fldChar w:fldCharType="separate"/>
      </w:r>
      <w:r w:rsidR="004748DD">
        <w:rPr>
          <w:noProof/>
        </w:rPr>
        <w:t>4</w:t>
      </w:r>
      <w:r w:rsidR="00023D63">
        <w:rPr>
          <w:noProof/>
        </w:rPr>
        <w:fldChar w:fldCharType="end"/>
      </w:r>
      <w:r>
        <w:t xml:space="preserve">: Study 201 Treatment response </w:t>
      </w:r>
      <w:r w:rsidR="00607F15">
        <w:t>(intent to treat and efficacy evaluable population)</w:t>
      </w:r>
    </w:p>
    <w:p w14:paraId="7A84330C" w14:textId="61127E85" w:rsidR="00607F15" w:rsidRDefault="00607F15" w:rsidP="00607F15">
      <w:r w:rsidRPr="003F2058">
        <w:rPr>
          <w:noProof/>
          <w:lang w:val="en-GB" w:eastAsia="en-GB"/>
        </w:rPr>
        <w:drawing>
          <wp:inline distT="0" distB="0" distL="0" distR="0" wp14:anchorId="49432475" wp14:editId="38533FA9">
            <wp:extent cx="5230368" cy="1904164"/>
            <wp:effectExtent l="0" t="0" r="0" b="1270"/>
            <wp:docPr id="2" name="Picture 2" descr="Table 4: Study 201 Treatment response (intent to treat and efficacy evaluable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 4: Study 201 Treatment response (intent to treat and efficacy evaluable populatio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37286" cy="1906683"/>
                    </a:xfrm>
                    <a:prstGeom prst="rect">
                      <a:avLst/>
                    </a:prstGeom>
                    <a:noFill/>
                    <a:ln>
                      <a:noFill/>
                    </a:ln>
                  </pic:spPr>
                </pic:pic>
              </a:graphicData>
            </a:graphic>
          </wp:inline>
        </w:drawing>
      </w:r>
    </w:p>
    <w:p w14:paraId="1D8C9803" w14:textId="0781ECFC" w:rsidR="00DC3058" w:rsidRDefault="00DC3058" w:rsidP="00CA3482">
      <w:pPr>
        <w:pStyle w:val="FootnoteText"/>
      </w:pPr>
      <w:r>
        <w:t xml:space="preserve">AP = </w:t>
      </w:r>
      <w:proofErr w:type="spellStart"/>
      <w:r>
        <w:t>aquapor</w:t>
      </w:r>
      <w:proofErr w:type="spellEnd"/>
      <w:r>
        <w:t>; CAILS = Composite Assessment of Index Lesion Severity; EE = efficacy evaluable; ITT = intent to treat; PG = propylene glycol; SWAT = Severity Weighted Assessment Tool.</w:t>
      </w:r>
    </w:p>
    <w:p w14:paraId="3CA73EBB" w14:textId="58FA6C2F" w:rsidR="00607F15" w:rsidRDefault="00607F15" w:rsidP="00607F15">
      <w:r>
        <w:t>Similar results were also apparent for othe</w:t>
      </w:r>
      <w:r w:rsidR="00F723FF">
        <w:t xml:space="preserve">r secondary efficacy endpoints. Of CAILS responders, 65 out of </w:t>
      </w:r>
      <w:r>
        <w:t>7</w:t>
      </w:r>
      <w:r w:rsidR="00F723FF">
        <w:t xml:space="preserve">6 (85.6%) in the </w:t>
      </w:r>
      <w:r w:rsidR="00DF4ED1">
        <w:t>propylene glycol</w:t>
      </w:r>
      <w:r w:rsidR="00F723FF">
        <w:t xml:space="preserve"> arm and 51 out of </w:t>
      </w:r>
      <w:r>
        <w:t xml:space="preserve">62 (82.2%) in the </w:t>
      </w:r>
      <w:proofErr w:type="spellStart"/>
      <w:r w:rsidR="00DF4ED1">
        <w:t>aquaphor</w:t>
      </w:r>
      <w:proofErr w:type="spellEnd"/>
      <w:r>
        <w:t xml:space="preserve"> arm maintained their response through to the end of the trial. Complete response, defined as a CAILS score</w:t>
      </w:r>
      <w:r w:rsidR="00F723FF">
        <w:t>;</w:t>
      </w:r>
      <w:r w:rsidR="00F723FF">
        <w:fldChar w:fldCharType="begin"/>
      </w:r>
      <w:r w:rsidR="00F723FF">
        <w:instrText xml:space="preserve"> NOTEREF _Ref77077322 \f \h </w:instrText>
      </w:r>
      <w:r w:rsidR="00F723FF">
        <w:fldChar w:fldCharType="separate"/>
      </w:r>
      <w:r w:rsidR="004748DD" w:rsidRPr="004748DD">
        <w:rPr>
          <w:rStyle w:val="FootnoteReference"/>
        </w:rPr>
        <w:t>14</w:t>
      </w:r>
      <w:r w:rsidR="00F723FF">
        <w:fldChar w:fldCharType="end"/>
      </w:r>
      <w:r>
        <w:t xml:space="preserve"> of 0 confirmed at the next visit &gt;</w:t>
      </w:r>
      <w:r w:rsidR="00F723FF">
        <w:t xml:space="preserve"> </w:t>
      </w:r>
      <w:r>
        <w:t xml:space="preserve">28 days was achieved by 14% of patients given </w:t>
      </w:r>
      <w:r w:rsidR="00DF4ED1">
        <w:t>propylene glycol</w:t>
      </w:r>
      <w:r>
        <w:t xml:space="preserve"> gel and 11% given </w:t>
      </w:r>
      <w:proofErr w:type="spellStart"/>
      <w:r w:rsidR="00DF4ED1">
        <w:t>aquaphor</w:t>
      </w:r>
      <w:proofErr w:type="spellEnd"/>
      <w:r>
        <w:t xml:space="preserve"> in the ITT population analyses with both</w:t>
      </w:r>
      <w:r w:rsidR="00134154">
        <w:t xml:space="preserve"> </w:t>
      </w:r>
      <w:r>
        <w:t>inclusion and exclusion of NYU patients.</w:t>
      </w:r>
    </w:p>
    <w:p w14:paraId="771E7102" w14:textId="1A153B37" w:rsidR="00607F15" w:rsidRDefault="00607F15" w:rsidP="00607F15">
      <w:r>
        <w:t>Study 202 was an open</w:t>
      </w:r>
      <w:r w:rsidR="00F723FF">
        <w:t xml:space="preserve"> </w:t>
      </w:r>
      <w:r>
        <w:t xml:space="preserve">label follow on study for patients who completed 12 months of treatment in Study 201 without a complete response. All patients received an investigational product containing </w:t>
      </w:r>
      <w:r w:rsidR="00F723FF">
        <w:t xml:space="preserve">0.04% </w:t>
      </w:r>
      <w:r w:rsidR="00DF4ED1">
        <w:t>nitrogen mustard</w:t>
      </w:r>
      <w:r w:rsidR="00B55893">
        <w:t xml:space="preserve"> </w:t>
      </w:r>
      <w:r w:rsidR="00F723FF">
        <w:t xml:space="preserve">for up to </w:t>
      </w:r>
      <w:r w:rsidR="00B55893">
        <w:t>seven</w:t>
      </w:r>
      <w:r w:rsidR="00F723FF">
        <w:t xml:space="preserve"> months. </w:t>
      </w:r>
      <w:r>
        <w:t xml:space="preserve">A total of 100 patients were enrolled with </w:t>
      </w:r>
      <w:r w:rsidR="00F723FF">
        <w:t xml:space="preserve">98 receiving study medication. </w:t>
      </w:r>
      <w:r>
        <w:t>26 patients (26.5%) achieved a confirmed response defined as ≥</w:t>
      </w:r>
      <w:r w:rsidR="00F723FF">
        <w:t xml:space="preserve"> </w:t>
      </w:r>
      <w:r>
        <w:t>50% impro</w:t>
      </w:r>
      <w:r w:rsidR="00F723FF">
        <w:t>vement in CAILS score;</w:t>
      </w:r>
      <w:r w:rsidR="00F723FF">
        <w:fldChar w:fldCharType="begin"/>
      </w:r>
      <w:r w:rsidR="00F723FF">
        <w:instrText xml:space="preserve"> NOTEREF _Ref77077322 \f \h </w:instrText>
      </w:r>
      <w:r w:rsidR="00F723FF">
        <w:fldChar w:fldCharType="separate"/>
      </w:r>
      <w:r w:rsidR="004748DD" w:rsidRPr="004748DD">
        <w:rPr>
          <w:rStyle w:val="FootnoteReference"/>
        </w:rPr>
        <w:t>14</w:t>
      </w:r>
      <w:r w:rsidR="00F723FF">
        <w:fldChar w:fldCharType="end"/>
      </w:r>
      <w:r w:rsidR="00F723FF">
        <w:t xml:space="preserve"> from the B</w:t>
      </w:r>
      <w:r>
        <w:t>aseline of Study 202 based on all index lesions followed and 14 (14.3%) additional patients had their first response (≥</w:t>
      </w:r>
      <w:r w:rsidR="00F723FF">
        <w:t xml:space="preserve"> </w:t>
      </w:r>
      <w:r>
        <w:t>50% improvement in CAILS score) at their final visit for an overall response rate of 40.8%.</w:t>
      </w:r>
    </w:p>
    <w:p w14:paraId="1DD1AAF9" w14:textId="1362A97B" w:rsidR="00811D6F" w:rsidRDefault="00607F15" w:rsidP="00607F15">
      <w:r w:rsidRPr="00A269B4">
        <w:t>Study 501 (</w:t>
      </w:r>
      <w:proofErr w:type="spellStart"/>
      <w:r w:rsidRPr="00A269B4">
        <w:t>PROVe</w:t>
      </w:r>
      <w:r w:rsidR="00B37AB1">
        <w:t>trial</w:t>
      </w:r>
      <w:proofErr w:type="spellEnd"/>
      <w:r w:rsidR="00967CE4">
        <w:t>,</w:t>
      </w:r>
      <w:r w:rsidRPr="00A269B4">
        <w:t xml:space="preserve"> a</w:t>
      </w:r>
      <w:r w:rsidR="00F723FF" w:rsidRPr="00A269B4">
        <w:t xml:space="preserve"> </w:t>
      </w:r>
      <w:proofErr w:type="spellStart"/>
      <w:r w:rsidR="00967CE4">
        <w:t>PRO</w:t>
      </w:r>
      <w:r w:rsidR="00F723FF" w:rsidRPr="00A269B4">
        <w:t>spective</w:t>
      </w:r>
      <w:proofErr w:type="spellEnd"/>
      <w:r w:rsidR="00F723FF" w:rsidRPr="00A269B4">
        <w:t xml:space="preserve">, observational, </w:t>
      </w:r>
      <w:r w:rsidRPr="00A269B4">
        <w:t xml:space="preserve">study assessing outcomes, </w:t>
      </w:r>
      <w:r w:rsidR="00967CE4">
        <w:t>adverse events (</w:t>
      </w:r>
      <w:r w:rsidRPr="00A269B4">
        <w:t>AEs</w:t>
      </w:r>
      <w:r w:rsidR="00967CE4">
        <w:t>)</w:t>
      </w:r>
      <w:r w:rsidRPr="00A269B4">
        <w:t xml:space="preserve">, treatment patterns and </w:t>
      </w:r>
      <w:r w:rsidR="00F723FF" w:rsidRPr="00A269B4">
        <w:t>quality of life (</w:t>
      </w:r>
      <w:r w:rsidRPr="00A269B4">
        <w:t>QoL</w:t>
      </w:r>
      <w:r w:rsidR="00F723FF" w:rsidRPr="00A269B4">
        <w:t>)</w:t>
      </w:r>
      <w:r w:rsidRPr="00A269B4">
        <w:t xml:space="preserve"> in patients with </w:t>
      </w:r>
      <w:r w:rsidR="000C298D">
        <w:t>mycosis fungoides</w:t>
      </w:r>
      <w:r w:rsidRPr="00A269B4">
        <w:t xml:space="preserve"> treated with the </w:t>
      </w:r>
      <w:r w:rsidR="00967CE4">
        <w:t xml:space="preserve"> </w:t>
      </w:r>
      <w:r w:rsidR="001025E4" w:rsidRPr="00A269B4">
        <w:t>chlormethine gel</w:t>
      </w:r>
      <w:r w:rsidR="00967CE4">
        <w:t xml:space="preserve"> and other therapies)</w:t>
      </w:r>
      <w:r w:rsidR="00811D6F">
        <w:t>,</w:t>
      </w:r>
      <w:r w:rsidR="00832D6D">
        <w:t xml:space="preserve"> </w:t>
      </w:r>
      <w:r w:rsidRPr="00A269B4">
        <w:t>conducted between March 2</w:t>
      </w:r>
      <w:r w:rsidR="00F723FF" w:rsidRPr="00A269B4">
        <w:t>015 and October 2018</w:t>
      </w:r>
      <w:r w:rsidR="00967CE4">
        <w:t>, was designed to examine the real-world use of chlormethine gel in routine clinical practice in the US.</w:t>
      </w:r>
      <w:r w:rsidR="00F723FF" w:rsidRPr="00A269B4">
        <w:t xml:space="preserve">. </w:t>
      </w:r>
    </w:p>
    <w:p w14:paraId="65E25B33" w14:textId="60074EB0" w:rsidR="00607F15" w:rsidRPr="00A32640" w:rsidRDefault="00607F15" w:rsidP="00A32640">
      <w:pPr>
        <w:autoSpaceDE w:val="0"/>
        <w:autoSpaceDN w:val="0"/>
        <w:adjustRightInd w:val="0"/>
        <w:spacing w:before="0" w:after="0" w:line="240" w:lineRule="auto"/>
        <w:rPr>
          <w:rFonts w:ascii="TimesNewRomanPSMT" w:eastAsiaTheme="minorHAnsi" w:hAnsi="TimesNewRomanPSMT" w:cs="TimesNewRomanPSMT"/>
          <w:sz w:val="20"/>
          <w:szCs w:val="20"/>
          <w:lang w:val="en-GB"/>
        </w:rPr>
      </w:pPr>
      <w:r w:rsidRPr="00A269B4">
        <w:t>Patients did not receive experimental intervention or treatment as a consequence of this participation and standard medical care was provided in a real</w:t>
      </w:r>
      <w:r w:rsidR="001025E4" w:rsidRPr="00A269B4">
        <w:t>-</w:t>
      </w:r>
      <w:r w:rsidRPr="00A269B4">
        <w:t xml:space="preserve">world setting. </w:t>
      </w:r>
      <w:r w:rsidR="00EF6BFA" w:rsidRPr="00EF6BFA">
        <w:t xml:space="preserve">The study was prematurely discontinued due to </w:t>
      </w:r>
      <w:r w:rsidR="00EF6BFA">
        <w:t>s</w:t>
      </w:r>
      <w:r w:rsidR="00EF6BFA" w:rsidRPr="00EF6BFA">
        <w:t>ponsor</w:t>
      </w:r>
      <w:r w:rsidR="00EF6BFA">
        <w:t>’s</w:t>
      </w:r>
      <w:r w:rsidR="00EF6BFA" w:rsidRPr="00EF6BFA">
        <w:t xml:space="preserve"> decision, after change in ownership of worldwide rights to the product</w:t>
      </w:r>
      <w:r w:rsidR="001B6B70">
        <w:t>.</w:t>
      </w:r>
      <w:r w:rsidR="001B6B70">
        <w:rPr>
          <w:rStyle w:val="FootnoteReference"/>
        </w:rPr>
        <w:footnoteReference w:id="20"/>
      </w:r>
    </w:p>
    <w:p w14:paraId="75A37123" w14:textId="207075E2" w:rsidR="00D3613B" w:rsidRDefault="00607F15" w:rsidP="00CA3482">
      <w:r w:rsidRPr="00A269B4">
        <w:t xml:space="preserve">A total of 300 patients from 46 treatment centres were enrolled with 298 receiving treatment with the </w:t>
      </w:r>
      <w:r w:rsidR="001025E4" w:rsidRPr="00A269B4">
        <w:t xml:space="preserve">chlormethine gel </w:t>
      </w:r>
      <w:r w:rsidRPr="00A269B4">
        <w:t xml:space="preserve">formulation prior to enrolment. Patients had newly initiated </w:t>
      </w:r>
      <w:proofErr w:type="spellStart"/>
      <w:r w:rsidRPr="00A269B4">
        <w:t>Valchlor</w:t>
      </w:r>
      <w:proofErr w:type="spellEnd"/>
      <w:r w:rsidRPr="00A269B4">
        <w:t xml:space="preserve"> or were continuing treatment with </w:t>
      </w:r>
      <w:proofErr w:type="spellStart"/>
      <w:r w:rsidRPr="00A269B4">
        <w:t>Valchlor</w:t>
      </w:r>
      <w:proofErr w:type="spellEnd"/>
      <w:r w:rsidRPr="00A269B4">
        <w:t xml:space="preserve">, as well as multiple other </w:t>
      </w:r>
      <w:r w:rsidR="000C298D">
        <w:t>mycosis fungoides</w:t>
      </w:r>
      <w:r w:rsidR="00811D6F">
        <w:t>-</w:t>
      </w:r>
      <w:r w:rsidRPr="00A269B4">
        <w:t>CTCL therapies. Patients were to be followed by their physician according to routine clinical practice.</w:t>
      </w:r>
      <w:r w:rsidR="00D3613B" w:rsidRPr="00D3613B">
        <w:t xml:space="preserve"> </w:t>
      </w:r>
      <w:r w:rsidR="00D3613B">
        <w:t>With the exception of protocol required patient-completed questionnaires, there were no specific or mandated clinical assessments and patients were not to receive experimental intervention or treatment as a consequence of their participation in this study.</w:t>
      </w:r>
      <w:r w:rsidR="00CA3482">
        <w:t xml:space="preserve"> </w:t>
      </w:r>
      <w:r w:rsidR="00D3613B" w:rsidRPr="00BD461C">
        <w:t>The study protocol did not mandate any specific schedule of visits. Patients were to undergo clinical assessments and receive standard medical care as determined by th</w:t>
      </w:r>
      <w:r w:rsidR="00D3613B">
        <w:t xml:space="preserve">e patient’s physician in a real </w:t>
      </w:r>
      <w:r w:rsidR="00D3613B" w:rsidRPr="00BD461C">
        <w:t xml:space="preserve">world setting. The primary efficacy </w:t>
      </w:r>
      <w:r w:rsidR="00D3613B" w:rsidRPr="00BD461C">
        <w:lastRenderedPageBreak/>
        <w:t>endpoint was the prop</w:t>
      </w:r>
      <w:r w:rsidR="00D3613B">
        <w:t>ortion of</w:t>
      </w:r>
      <w:r w:rsidR="00DC3058">
        <w:t xml:space="preserve"> Stage</w:t>
      </w:r>
      <w:r w:rsidR="00D3613B">
        <w:t xml:space="preserve"> IA to </w:t>
      </w:r>
      <w:r w:rsidR="00D3613B" w:rsidRPr="00BD461C">
        <w:t>IB patients who were responders to treatment at the 12</w:t>
      </w:r>
      <w:r w:rsidR="00D3613B">
        <w:t xml:space="preserve"> </w:t>
      </w:r>
      <w:r w:rsidR="00D3613B" w:rsidRPr="00BD461C">
        <w:t>month timepoint using a ≥</w:t>
      </w:r>
      <w:r w:rsidR="00D3613B">
        <w:t xml:space="preserve"> </w:t>
      </w:r>
      <w:r w:rsidR="00D3613B" w:rsidRPr="00BD461C">
        <w:t xml:space="preserve">50% reduction from </w:t>
      </w:r>
      <w:r w:rsidR="00DC3058">
        <w:t>B</w:t>
      </w:r>
      <w:r w:rsidR="00D3613B" w:rsidRPr="00BD461C">
        <w:t>aseline in BSA as the definition of a responder in the group of patients who used mechlorethamine gel plus corticosteroids and possibly another treatment. Respon</w:t>
      </w:r>
      <w:r w:rsidR="00D3613B">
        <w:t xml:space="preserve">der rates were approximately 40 to </w:t>
      </w:r>
      <w:r w:rsidR="00D3613B" w:rsidRPr="00BD461C">
        <w:t xml:space="preserve">50% in all groups for </w:t>
      </w:r>
      <w:r w:rsidR="00DC3058">
        <w:t>S</w:t>
      </w:r>
      <w:r w:rsidR="00D3613B" w:rsidRPr="00BD461C">
        <w:t>tages</w:t>
      </w:r>
      <w:r w:rsidR="00DC3058">
        <w:t> </w:t>
      </w:r>
      <w:r w:rsidR="00D3613B" w:rsidRPr="00BD461C">
        <w:t>IA and IB, all staging and all patients with or without staging.</w:t>
      </w:r>
    </w:p>
    <w:p w14:paraId="291640B3" w14:textId="77777777" w:rsidR="00BD461C" w:rsidRDefault="00BD461C" w:rsidP="00BD461C">
      <w:pPr>
        <w:pStyle w:val="Heading4"/>
      </w:pPr>
      <w:r>
        <w:t>Safety</w:t>
      </w:r>
    </w:p>
    <w:p w14:paraId="55BCC947" w14:textId="77777777" w:rsidR="00BD461C" w:rsidRDefault="00BD461C" w:rsidP="00BD461C">
      <w:r>
        <w:t>Study 201 is the only randomised, controlled study available using topical chlormethine. Controlled studies identified in the literature search were not randomised. Many of the studies were uncontrolled or retrospective.</w:t>
      </w:r>
    </w:p>
    <w:p w14:paraId="468286C1" w14:textId="28AA8C9F" w:rsidR="00BD461C" w:rsidRDefault="00BD461C" w:rsidP="00BD461C">
      <w:r>
        <w:t xml:space="preserve">The full safety analysis set comprised 255 patients who received at least one application of study treatment during the study (Safety analysis set), with 128 receiving </w:t>
      </w:r>
      <w:r w:rsidR="00DF4ED1">
        <w:t>propylene glycol</w:t>
      </w:r>
      <w:r>
        <w:t xml:space="preserve">. A total of 165 patients (81 on </w:t>
      </w:r>
      <w:r w:rsidR="00DF4ED1">
        <w:t>propylene glycol</w:t>
      </w:r>
      <w:r>
        <w:t xml:space="preserve"> and 84 on </w:t>
      </w:r>
      <w:proofErr w:type="spellStart"/>
      <w:r w:rsidR="00DF4ED1">
        <w:t>aquaphor</w:t>
      </w:r>
      <w:proofErr w:type="spellEnd"/>
      <w:r>
        <w:t xml:space="preserve">) received study treatment for &gt; 48 weeks. Median exposure was 51.7 weeks in the </w:t>
      </w:r>
      <w:r w:rsidR="00DF4ED1">
        <w:t>propylene glycol</w:t>
      </w:r>
      <w:r>
        <w:t xml:space="preserve"> arm and 52 weeks in the </w:t>
      </w:r>
      <w:proofErr w:type="spellStart"/>
      <w:r w:rsidR="00DF4ED1">
        <w:t>aquaphor</w:t>
      </w:r>
      <w:proofErr w:type="spellEnd"/>
      <w:r>
        <w:t xml:space="preserve"> arm.</w:t>
      </w:r>
    </w:p>
    <w:p w14:paraId="18786B6A" w14:textId="5A920E1B" w:rsidR="00BD461C" w:rsidRDefault="00BD461C" w:rsidP="00BD461C">
      <w:r>
        <w:t>Most patients tolerated daily application of topical chlormethine however more reductions in frequency or temporary suspension of dosing occurre</w:t>
      </w:r>
      <w:r w:rsidR="00952521">
        <w:t xml:space="preserve">d in the </w:t>
      </w:r>
      <w:r w:rsidR="00DF4ED1">
        <w:t>propylene glycol</w:t>
      </w:r>
      <w:r w:rsidR="00952521">
        <w:t xml:space="preserve"> arm, with 29 (23%) versus</w:t>
      </w:r>
      <w:r>
        <w:t xml:space="preserve"> 15 (12%)</w:t>
      </w:r>
      <w:r w:rsidR="00952521">
        <w:t xml:space="preserve"> in the </w:t>
      </w:r>
      <w:proofErr w:type="spellStart"/>
      <w:r w:rsidR="00DF4ED1">
        <w:t>aquaphor</w:t>
      </w:r>
      <w:proofErr w:type="spellEnd"/>
      <w:r w:rsidR="00952521">
        <w:t xml:space="preserve"> arm having at least one</w:t>
      </w:r>
      <w:r>
        <w:t xml:space="preserve"> </w:t>
      </w:r>
      <w:r w:rsidR="00952521">
        <w:t xml:space="preserve">reduction in frequency dosing. </w:t>
      </w:r>
      <w:r>
        <w:t xml:space="preserve">Furthermore, 44 </w:t>
      </w:r>
      <w:r w:rsidR="00952521">
        <w:t xml:space="preserve">patients (34%) in the </w:t>
      </w:r>
      <w:r w:rsidR="00DF4ED1">
        <w:t>propylene glycol</w:t>
      </w:r>
      <w:r w:rsidR="00952521">
        <w:t xml:space="preserve"> arm versus</w:t>
      </w:r>
      <w:r>
        <w:t xml:space="preserve"> 25 patients (20%) in the </w:t>
      </w:r>
      <w:proofErr w:type="spellStart"/>
      <w:r w:rsidR="00DF4ED1">
        <w:t>aquaphor</w:t>
      </w:r>
      <w:proofErr w:type="spellEnd"/>
      <w:r>
        <w:t xml:space="preserve"> arm had study medication temporarily suspended at least once during the trial. Study withdrawal due to AEs occurred for 21.9% of patien</w:t>
      </w:r>
      <w:r w:rsidR="00952521">
        <w:t xml:space="preserve">ts given </w:t>
      </w:r>
      <w:r w:rsidR="00DF4ED1">
        <w:t>propylene glycol</w:t>
      </w:r>
      <w:r w:rsidR="00952521">
        <w:t xml:space="preserve"> and 18.1% given </w:t>
      </w:r>
      <w:proofErr w:type="spellStart"/>
      <w:r w:rsidR="00DF4ED1">
        <w:t>aquaphor</w:t>
      </w:r>
      <w:proofErr w:type="spellEnd"/>
      <w:r w:rsidR="00952521">
        <w:t>.</w:t>
      </w:r>
    </w:p>
    <w:p w14:paraId="5EBD780E" w14:textId="3FA4ADC2" w:rsidR="00BD461C" w:rsidRDefault="00BD461C" w:rsidP="00BD461C">
      <w:r>
        <w:t xml:space="preserve">One patient in the </w:t>
      </w:r>
      <w:r w:rsidR="00DF4ED1">
        <w:t>propylene glycol</w:t>
      </w:r>
      <w:r>
        <w:t xml:space="preserve"> arm died from metastatic col</w:t>
      </w:r>
      <w:r w:rsidR="00952521">
        <w:t>orectal cancer after less than two months on treatment. Twent</w:t>
      </w:r>
      <w:r w:rsidR="00316705">
        <w:t>y-</w:t>
      </w:r>
      <w:r>
        <w:t xml:space="preserve">five patients (14 with </w:t>
      </w:r>
      <w:r w:rsidR="00DF4ED1">
        <w:t>propylene glycol</w:t>
      </w:r>
      <w:r>
        <w:t xml:space="preserve"> </w:t>
      </w:r>
      <w:r w:rsidR="00952521">
        <w:t xml:space="preserve">and 11 with </w:t>
      </w:r>
      <w:proofErr w:type="spellStart"/>
      <w:r w:rsidR="00DF4ED1">
        <w:t>aquaphor</w:t>
      </w:r>
      <w:proofErr w:type="spellEnd"/>
      <w:r w:rsidR="00952521">
        <w:t>) experienced an serious adverse event (S</w:t>
      </w:r>
      <w:r>
        <w:t>AE</w:t>
      </w:r>
      <w:r w:rsidR="00952521">
        <w:t>)</w:t>
      </w:r>
      <w:r>
        <w:t>. These were broadly comparable in both treatment groups and none of the SAEs were considered to be related to the study drug.</w:t>
      </w:r>
    </w:p>
    <w:p w14:paraId="25B393EB" w14:textId="43F5B197" w:rsidR="00BD461C" w:rsidRDefault="00BD461C" w:rsidP="00BD461C">
      <w:r>
        <w:t xml:space="preserve">143 (56.1%) of patients in the study reported at least one AE with Skin and Subcutaneous Tissue Disorders the most frequently reported </w:t>
      </w:r>
      <w:r w:rsidR="00071783">
        <w:t>System Organ Class (</w:t>
      </w:r>
      <w:r>
        <w:t>SOC</w:t>
      </w:r>
      <w:r w:rsidR="00071783">
        <w:t>)</w:t>
      </w:r>
      <w:r>
        <w:t xml:space="preserve"> with 78 (60.6%) given </w:t>
      </w:r>
      <w:r w:rsidR="00DF4ED1">
        <w:t>propylene glycol</w:t>
      </w:r>
      <w:r>
        <w:t xml:space="preserve"> and 59 (46.5%) given </w:t>
      </w:r>
      <w:proofErr w:type="spellStart"/>
      <w:r w:rsidR="00DF4ED1">
        <w:t>aquaphor</w:t>
      </w:r>
      <w:proofErr w:type="spellEnd"/>
      <w:r>
        <w:t xml:space="preserve"> reporting an AE in this SOC. Most of the difference was due to the higher incidences of skin irritation (24.2% </w:t>
      </w:r>
      <w:r w:rsidR="00DF4ED1">
        <w:t>propylene glycol</w:t>
      </w:r>
      <w:r>
        <w:t xml:space="preserve"> </w:t>
      </w:r>
      <w:r w:rsidR="00071783">
        <w:t>versus</w:t>
      </w:r>
      <w:r>
        <w:t xml:space="preserve"> 11.8</w:t>
      </w:r>
      <w:r w:rsidR="00071783">
        <w:t xml:space="preserve">% </w:t>
      </w:r>
      <w:proofErr w:type="spellStart"/>
      <w:r w:rsidR="00DF4ED1">
        <w:t>aquaphor</w:t>
      </w:r>
      <w:proofErr w:type="spellEnd"/>
      <w:r w:rsidR="00071783">
        <w:t xml:space="preserve">) and pruritus (15.6% </w:t>
      </w:r>
      <w:r w:rsidR="00DF4ED1">
        <w:t>propylene glycol</w:t>
      </w:r>
      <w:r w:rsidR="00071783">
        <w:t xml:space="preserve"> versus</w:t>
      </w:r>
      <w:r>
        <w:t xml:space="preserve"> 9.4% </w:t>
      </w:r>
      <w:proofErr w:type="spellStart"/>
      <w:r w:rsidR="00DF4ED1">
        <w:t>aquaphor</w:t>
      </w:r>
      <w:proofErr w:type="spellEnd"/>
      <w:r>
        <w:t xml:space="preserve">). Grade 3 and 4 local dermal irritation was also more frequent in the patients given </w:t>
      </w:r>
      <w:r w:rsidR="00DF4ED1">
        <w:t>propylene glycol</w:t>
      </w:r>
      <w:r>
        <w:t xml:space="preserve"> with</w:t>
      </w:r>
      <w:r w:rsidR="00071783">
        <w:t xml:space="preserve"> 28.1% for </w:t>
      </w:r>
      <w:r w:rsidR="00DF4ED1">
        <w:t>propylene glycol</w:t>
      </w:r>
      <w:r w:rsidR="00071783">
        <w:t xml:space="preserve"> vs. 17.3% for </w:t>
      </w:r>
      <w:proofErr w:type="spellStart"/>
      <w:r w:rsidR="00DF4ED1">
        <w:t>aquaphor</w:t>
      </w:r>
      <w:proofErr w:type="spellEnd"/>
      <w:r w:rsidR="00071783">
        <w:t>.</w:t>
      </w:r>
    </w:p>
    <w:p w14:paraId="753E683F" w14:textId="43AAD675" w:rsidR="00BD461C" w:rsidRDefault="00BD461C" w:rsidP="00BD461C">
      <w:r>
        <w:t xml:space="preserve">The most frequent adverse events in patients given </w:t>
      </w:r>
      <w:r w:rsidR="00DF4ED1">
        <w:t>propylene glycol</w:t>
      </w:r>
      <w:r>
        <w:t xml:space="preserve"> were: skin irritation 25%, pruritus 19.5%, erythema 17.2% and contact dermatitis 14.8%. Skin hyperpigmentation pigmentation was repo</w:t>
      </w:r>
      <w:r w:rsidR="00071783">
        <w:t>rted for 7 (5.5%) of patients.</w:t>
      </w:r>
    </w:p>
    <w:p w14:paraId="76323CD5" w14:textId="208FB205" w:rsidR="00BD461C" w:rsidRDefault="00BD461C" w:rsidP="00BD461C">
      <w:r>
        <w:t xml:space="preserve">Secondary skin cancers which were </w:t>
      </w:r>
      <w:r w:rsidR="00071783">
        <w:t>non-melanoma were diagnosed in eight</w:t>
      </w:r>
      <w:r>
        <w:t xml:space="preserve"> patients (2 in </w:t>
      </w:r>
      <w:r w:rsidR="00DF4ED1">
        <w:t>propylene glycol</w:t>
      </w:r>
      <w:r>
        <w:t xml:space="preserve"> and 6 with </w:t>
      </w:r>
      <w:proofErr w:type="spellStart"/>
      <w:r w:rsidR="00DF4ED1">
        <w:t>aquaphor</w:t>
      </w:r>
      <w:proofErr w:type="spellEnd"/>
      <w:r>
        <w:t xml:space="preserve">). Two further patients (1 </w:t>
      </w:r>
      <w:r w:rsidR="00DF4ED1">
        <w:t>propylene glycol</w:t>
      </w:r>
      <w:r>
        <w:t>, 1</w:t>
      </w:r>
      <w:r w:rsidR="00DC3058">
        <w:t xml:space="preserve"> </w:t>
      </w:r>
      <w:proofErr w:type="spellStart"/>
      <w:r w:rsidR="00DF4ED1">
        <w:t>aquaphor</w:t>
      </w:r>
      <w:proofErr w:type="spellEnd"/>
      <w:r>
        <w:t xml:space="preserve">) developed </w:t>
      </w:r>
      <w:r w:rsidR="00071783">
        <w:t>squamous cell carcinoma</w:t>
      </w:r>
      <w:r>
        <w:t xml:space="preserve"> during the 12</w:t>
      </w:r>
      <w:r w:rsidR="00316705">
        <w:t>-</w:t>
      </w:r>
      <w:r>
        <w:t>month follow up period. The majority of these skin cance</w:t>
      </w:r>
      <w:r w:rsidR="00071783">
        <w:t>rs occurred in untreated areas.</w:t>
      </w:r>
    </w:p>
    <w:p w14:paraId="0054B2A4" w14:textId="4F4F618B" w:rsidR="00BD461C" w:rsidRDefault="00BD461C" w:rsidP="00BD461C">
      <w:r>
        <w:t xml:space="preserve">Nine patients using </w:t>
      </w:r>
      <w:r w:rsidR="00DF4ED1">
        <w:t>propylene glycol</w:t>
      </w:r>
      <w:r>
        <w:t xml:space="preserve"> gel applied or were prescribed topical corticosteroids for use not directly involving index </w:t>
      </w:r>
      <w:r w:rsidR="000C298D">
        <w:t>mycosis fungoides</w:t>
      </w:r>
      <w:r>
        <w:t xml:space="preserve"> lesions in Study 201. This study did not allow for assessment of safety or efficacy of concomitant use of topical corticosteroid and </w:t>
      </w:r>
      <w:proofErr w:type="spellStart"/>
      <w:r>
        <w:t>L</w:t>
      </w:r>
      <w:r w:rsidR="00071783">
        <w:t>edaga</w:t>
      </w:r>
      <w:proofErr w:type="spellEnd"/>
      <w:r w:rsidR="00071783">
        <w:t xml:space="preserve"> applied to </w:t>
      </w:r>
      <w:r w:rsidR="000C298D">
        <w:t>mycosis fungoides</w:t>
      </w:r>
      <w:r w:rsidR="00071783">
        <w:t xml:space="preserve"> lesions.</w:t>
      </w:r>
    </w:p>
    <w:p w14:paraId="4C55E969" w14:textId="0AD62A71" w:rsidR="00BD461C" w:rsidRDefault="00BD461C" w:rsidP="00BD461C">
      <w:r>
        <w:t>An addendum to Study 201provided longer term safety data with respect to</w:t>
      </w:r>
      <w:r w:rsidR="00071783">
        <w:t xml:space="preserve"> skin cancer. A total of 11 (11 out of </w:t>
      </w:r>
      <w:r>
        <w:t>255, 4.3%) patients developed a non-melanoma skin cancer during treatment or within one year of ending treatment in Study 201. Eight of these patients developed non-melanoma skin cancer during treatment; three additional patients developed non-melanoma skin cancer during the one</w:t>
      </w:r>
      <w:r w:rsidR="00071783">
        <w:t xml:space="preserve"> year follow </w:t>
      </w:r>
      <w:r>
        <w:t xml:space="preserve">up period. Three of these </w:t>
      </w:r>
      <w:r>
        <w:lastRenderedPageBreak/>
        <w:t xml:space="preserve">patients were treated only with </w:t>
      </w:r>
      <w:r w:rsidR="00DF4ED1">
        <w:t>propylene glycol</w:t>
      </w:r>
      <w:r>
        <w:t xml:space="preserve"> gel 0.02%, seven were treated only with </w:t>
      </w:r>
      <w:proofErr w:type="spellStart"/>
      <w:r w:rsidR="00DF4ED1">
        <w:t>aquaphor</w:t>
      </w:r>
      <w:proofErr w:type="spellEnd"/>
      <w:r>
        <w:t xml:space="preserve"> 0.02%, and one patient was treated with </w:t>
      </w:r>
      <w:proofErr w:type="spellStart"/>
      <w:r w:rsidR="00DF4ED1">
        <w:t>aquaphor</w:t>
      </w:r>
      <w:proofErr w:type="spellEnd"/>
      <w:r>
        <w:t xml:space="preserve"> 0.02% followed by seven months treatment wi</w:t>
      </w:r>
      <w:r w:rsidR="00071783">
        <w:t xml:space="preserve">th a </w:t>
      </w:r>
      <w:r w:rsidR="00DF4ED1">
        <w:t>propylene glycol</w:t>
      </w:r>
      <w:r w:rsidR="00071783">
        <w:t xml:space="preserve"> gel 0.04% in Study 202.</w:t>
      </w:r>
    </w:p>
    <w:p w14:paraId="16E844F4" w14:textId="4E9E71C9" w:rsidR="00BD461C" w:rsidRDefault="00BD461C" w:rsidP="00BD461C">
      <w:r>
        <w:t xml:space="preserve">Five of these patients (two treated with </w:t>
      </w:r>
      <w:r w:rsidR="00DF4ED1">
        <w:t>propylene glycol</w:t>
      </w:r>
      <w:r>
        <w:t xml:space="preserve"> gel 0.02% and three treated with </w:t>
      </w:r>
      <w:proofErr w:type="spellStart"/>
      <w:r w:rsidR="00DF4ED1">
        <w:t>aquaphor</w:t>
      </w:r>
      <w:proofErr w:type="spellEnd"/>
      <w:r>
        <w:t xml:space="preserve"> 0.02%) had a squamous cell carcinoma. None of these non-melanoma skin cancers were attributed specifically to the study treatment, as they occurred in untreated areas, in patients with a history of skin cancers, or in patients who had been previously treated with therapies recognised to increase the risk of skin cancer.</w:t>
      </w:r>
    </w:p>
    <w:p w14:paraId="67AA0467" w14:textId="77777777" w:rsidR="00BD461C" w:rsidRDefault="00BD461C" w:rsidP="00BD461C">
      <w:r>
        <w:t>Haematology and serum chemist</w:t>
      </w:r>
      <w:r w:rsidR="00071783">
        <w:t>ry parameters were assessed at Baseline and M</w:t>
      </w:r>
      <w:r>
        <w:t>onths 4, 8 and 12 (or termination visit). There was no consistent pattern seen with any of the values measured during treatment exposure.</w:t>
      </w:r>
    </w:p>
    <w:p w14:paraId="0077D35D" w14:textId="62510C2D" w:rsidR="00BD461C" w:rsidRDefault="00071783" w:rsidP="00BD461C">
      <w:r>
        <w:t xml:space="preserve">In Study 202, the </w:t>
      </w:r>
      <w:r w:rsidR="000F4ECE">
        <w:t>seven</w:t>
      </w:r>
      <w:r>
        <w:t xml:space="preserve"> </w:t>
      </w:r>
      <w:r w:rsidR="00BD461C">
        <w:t>month</w:t>
      </w:r>
      <w:r>
        <w:t>s</w:t>
      </w:r>
      <w:r w:rsidR="00BD461C">
        <w:t xml:space="preserve"> extension study to Study 201</w:t>
      </w:r>
      <w:r w:rsidR="00832D6D">
        <w:t>,</w:t>
      </w:r>
      <w:r w:rsidR="00BD461C">
        <w:t xml:space="preserve"> a total of 98 patients who had not experienced a complete response received a</w:t>
      </w:r>
      <w:r>
        <w:t xml:space="preserve"> 0.4% chlormethine formulation.</w:t>
      </w:r>
      <w:r w:rsidR="00BD461C">
        <w:t xml:space="preserve"> Patients were treated for an</w:t>
      </w:r>
      <w:r>
        <w:t xml:space="preserve"> average of 28.8 weeks (range 2 to </w:t>
      </w:r>
      <w:r w:rsidR="00BD461C">
        <w:t>46 weeks). Most patients received &gt;</w:t>
      </w:r>
      <w:r>
        <w:t> </w:t>
      </w:r>
      <w:r w:rsidR="00BD461C">
        <w:t>24 weeks of treatment. There were no deaths on study. Four patients withdrew due to AEs, all in the Skin and Subcutaneous Tissues SOC. The relative frequencies of skin irrita</w:t>
      </w:r>
      <w:r>
        <w:t>tion, erythema and pruritus in S</w:t>
      </w:r>
      <w:r w:rsidR="00BD461C">
        <w:t>tudy 201 and 202. There was a small increase in skin irritation with the higher concentration of chlormethine.</w:t>
      </w:r>
    </w:p>
    <w:p w14:paraId="0846B5EB" w14:textId="18F619E3" w:rsidR="001212B3" w:rsidRPr="001212B3" w:rsidRDefault="00BD461C" w:rsidP="004748DD">
      <w:r>
        <w:t>Post-market study and literature reports of other formulations of topical chlormethine did not id</w:t>
      </w:r>
      <w:r w:rsidR="00071783">
        <w:t>entify other safety concerns.</w:t>
      </w:r>
    </w:p>
    <w:p w14:paraId="2BF3E571" w14:textId="77777777" w:rsidR="007B6132" w:rsidRDefault="007B6132" w:rsidP="00555280">
      <w:pPr>
        <w:pStyle w:val="Heading4"/>
      </w:pPr>
      <w:r w:rsidRPr="007B6132">
        <w:t>Clinical evaluator’s recommendation</w:t>
      </w:r>
    </w:p>
    <w:p w14:paraId="46B5F535" w14:textId="77777777" w:rsidR="00071783" w:rsidRPr="00456765" w:rsidRDefault="00071783" w:rsidP="00071783">
      <w:r w:rsidRPr="00071783">
        <w:t>There were no clini</w:t>
      </w:r>
      <w:r>
        <w:t>cal objections to registration.</w:t>
      </w:r>
    </w:p>
    <w:p w14:paraId="4D8CC995" w14:textId="77777777" w:rsidR="008E7846" w:rsidRDefault="00386150" w:rsidP="007B6132">
      <w:pPr>
        <w:pStyle w:val="Heading3"/>
        <w:rPr>
          <w:lang w:eastAsia="en-AU"/>
        </w:rPr>
      </w:pPr>
      <w:bookmarkStart w:id="47" w:name="_Toc83118514"/>
      <w:r>
        <w:rPr>
          <w:lang w:eastAsia="en-AU"/>
        </w:rPr>
        <w:t>Risk m</w:t>
      </w:r>
      <w:r w:rsidR="008E7846">
        <w:rPr>
          <w:lang w:eastAsia="en-AU"/>
        </w:rPr>
        <w:t xml:space="preserve">anagement </w:t>
      </w:r>
      <w:r>
        <w:rPr>
          <w:lang w:eastAsia="en-AU"/>
        </w:rPr>
        <w:t>p</w:t>
      </w:r>
      <w:r w:rsidR="008E7846">
        <w:rPr>
          <w:lang w:eastAsia="en-AU"/>
        </w:rPr>
        <w:t>lan</w:t>
      </w:r>
      <w:bookmarkEnd w:id="43"/>
      <w:bookmarkEnd w:id="47"/>
    </w:p>
    <w:p w14:paraId="2D1E3AB0" w14:textId="0220199C" w:rsidR="001A7955" w:rsidRDefault="001A7955" w:rsidP="001A7955">
      <w:proofErr w:type="spellStart"/>
      <w:r w:rsidRPr="001A7955">
        <w:t>Recordati</w:t>
      </w:r>
      <w:proofErr w:type="spellEnd"/>
      <w:r w:rsidRPr="001A7955">
        <w:t xml:space="preserve"> Rare Diseases Pty Ltd has submitted EU-</w:t>
      </w:r>
      <w:r>
        <w:t>risk management plan (</w:t>
      </w:r>
      <w:r w:rsidRPr="001A7955">
        <w:t>RMP</w:t>
      </w:r>
      <w:r>
        <w:t>)</w:t>
      </w:r>
      <w:r w:rsidRPr="001A7955">
        <w:t xml:space="preserve"> version 2.0 (8 March 2017; </w:t>
      </w:r>
      <w:r>
        <w:t>data lock point</w:t>
      </w:r>
      <w:r w:rsidR="000F4ECE">
        <w:t xml:space="preserve"> (DLP)</w:t>
      </w:r>
      <w:r>
        <w:t>:</w:t>
      </w:r>
      <w:r w:rsidRPr="001A7955">
        <w:t xml:space="preserve"> 22 February 2016) and A</w:t>
      </w:r>
      <w:r>
        <w:t>ustralian specific annex</w:t>
      </w:r>
      <w:r w:rsidRPr="001A7955">
        <w:t xml:space="preserve"> </w:t>
      </w:r>
      <w:r w:rsidR="000F4ECE">
        <w:t>(ASA)</w:t>
      </w:r>
      <w:r w:rsidRPr="001A7955">
        <w:t>version 2.0 (19 April 2021) in support of this application.</w:t>
      </w:r>
    </w:p>
    <w:p w14:paraId="7BBE3871" w14:textId="3CD95639" w:rsidR="007D53B6" w:rsidRDefault="007D53B6" w:rsidP="007D53B6">
      <w:r>
        <w:t>The summary of safety concerns and their associated risk monitoring and mitigation strat</w:t>
      </w:r>
      <w:r w:rsidR="001A7955">
        <w:t xml:space="preserve">egies are summarised in </w:t>
      </w:r>
      <w:r w:rsidR="001A7955">
        <w:fldChar w:fldCharType="begin"/>
      </w:r>
      <w:r w:rsidR="001A7955">
        <w:instrText xml:space="preserve"> REF _Ref77241923 \h </w:instrText>
      </w:r>
      <w:r w:rsidR="001A7955">
        <w:fldChar w:fldCharType="separate"/>
      </w:r>
      <w:r w:rsidR="004748DD" w:rsidRPr="001A7955">
        <w:t xml:space="preserve">Table </w:t>
      </w:r>
      <w:r w:rsidR="004748DD">
        <w:rPr>
          <w:noProof/>
        </w:rPr>
        <w:t>5</w:t>
      </w:r>
      <w:r w:rsidR="001A7955">
        <w:fldChar w:fldCharType="end"/>
      </w:r>
      <w:r>
        <w:t>.</w:t>
      </w:r>
      <w:r>
        <w:rPr>
          <w:rStyle w:val="FootnoteReference"/>
        </w:rPr>
        <w:footnoteReference w:id="21"/>
      </w:r>
    </w:p>
    <w:p w14:paraId="4B884455" w14:textId="6B48931B" w:rsidR="001A7955" w:rsidRDefault="001A7955" w:rsidP="001F50F7">
      <w:pPr>
        <w:pStyle w:val="TableTitle"/>
        <w:pageBreakBefore/>
      </w:pPr>
      <w:bookmarkStart w:id="48" w:name="_Ref77241923"/>
      <w:r w:rsidRPr="001A7955">
        <w:lastRenderedPageBreak/>
        <w:t xml:space="preserve">Table </w:t>
      </w:r>
      <w:r w:rsidR="00023D63">
        <w:rPr>
          <w:noProof/>
        </w:rPr>
        <w:fldChar w:fldCharType="begin"/>
      </w:r>
      <w:r w:rsidR="00023D63">
        <w:rPr>
          <w:noProof/>
        </w:rPr>
        <w:instrText xml:space="preserve"> SEQ Table \* ARABIC </w:instrText>
      </w:r>
      <w:r w:rsidR="00023D63">
        <w:rPr>
          <w:noProof/>
        </w:rPr>
        <w:fldChar w:fldCharType="separate"/>
      </w:r>
      <w:r w:rsidR="004748DD">
        <w:rPr>
          <w:noProof/>
        </w:rPr>
        <w:t>5</w:t>
      </w:r>
      <w:r w:rsidR="00023D63">
        <w:rPr>
          <w:noProof/>
        </w:rPr>
        <w:fldChar w:fldCharType="end"/>
      </w:r>
      <w:bookmarkEnd w:id="48"/>
      <w:r>
        <w:t>: S</w:t>
      </w:r>
      <w:r w:rsidRPr="00544B49">
        <w:t>ummary of safety concerns and their associated risk monitoring and mitigation strategie</w:t>
      </w:r>
      <w:r>
        <w:t>s</w:t>
      </w:r>
    </w:p>
    <w:tbl>
      <w:tblPr>
        <w:tblStyle w:val="TableTGAblue"/>
        <w:tblW w:w="5000" w:type="pct"/>
        <w:tblLook w:val="04A0" w:firstRow="1" w:lastRow="0" w:firstColumn="1" w:lastColumn="0" w:noHBand="0" w:noVBand="1"/>
      </w:tblPr>
      <w:tblGrid>
        <w:gridCol w:w="1442"/>
        <w:gridCol w:w="2683"/>
        <w:gridCol w:w="992"/>
        <w:gridCol w:w="1193"/>
        <w:gridCol w:w="992"/>
        <w:gridCol w:w="1192"/>
      </w:tblGrid>
      <w:tr w:rsidR="001A7955" w:rsidRPr="00BF52F4" w14:paraId="3D60D260" w14:textId="77777777" w:rsidTr="001A7955">
        <w:trPr>
          <w:cnfStyle w:val="100000000000" w:firstRow="1" w:lastRow="0" w:firstColumn="0" w:lastColumn="0" w:oddVBand="0" w:evenVBand="0" w:oddHBand="0" w:evenHBand="0" w:firstRowFirstColumn="0" w:firstRowLastColumn="0" w:lastRowFirstColumn="0" w:lastRowLastColumn="0"/>
          <w:trHeight w:val="155"/>
        </w:trPr>
        <w:tc>
          <w:tcPr>
            <w:tcW w:w="2429" w:type="pct"/>
            <w:gridSpan w:val="2"/>
            <w:vMerge w:val="restart"/>
            <w:tcBorders>
              <w:top w:val="single" w:sz="4" w:space="0" w:color="auto"/>
              <w:left w:val="single" w:sz="4" w:space="0" w:color="auto"/>
              <w:bottom w:val="single" w:sz="4" w:space="0" w:color="auto"/>
              <w:right w:val="single" w:sz="4" w:space="0" w:color="auto"/>
            </w:tcBorders>
          </w:tcPr>
          <w:p w14:paraId="45B23F54" w14:textId="77777777" w:rsidR="001A7955" w:rsidRPr="00BF52F4" w:rsidRDefault="001A7955" w:rsidP="001A7955">
            <w:pPr>
              <w:pStyle w:val="Tabletext"/>
              <w:spacing w:line="276" w:lineRule="auto"/>
              <w:ind w:left="0"/>
              <w:rPr>
                <w:b w:val="0"/>
              </w:rPr>
            </w:pPr>
            <w:r w:rsidRPr="00BF52F4">
              <w:t>Summary of safety concerns</w:t>
            </w:r>
          </w:p>
        </w:tc>
        <w:tc>
          <w:tcPr>
            <w:tcW w:w="1286" w:type="pct"/>
            <w:gridSpan w:val="2"/>
            <w:tcBorders>
              <w:top w:val="single" w:sz="4" w:space="0" w:color="auto"/>
              <w:left w:val="single" w:sz="4" w:space="0" w:color="auto"/>
              <w:bottom w:val="single" w:sz="4" w:space="0" w:color="auto"/>
              <w:right w:val="single" w:sz="4" w:space="0" w:color="auto"/>
            </w:tcBorders>
          </w:tcPr>
          <w:p w14:paraId="62345A2C" w14:textId="77777777" w:rsidR="001A7955" w:rsidRPr="00BF52F4" w:rsidRDefault="001A7955" w:rsidP="001A7955">
            <w:pPr>
              <w:pStyle w:val="Tabletext"/>
              <w:spacing w:line="276" w:lineRule="auto"/>
              <w:ind w:left="0"/>
              <w:rPr>
                <w:b w:val="0"/>
                <w:sz w:val="18"/>
              </w:rPr>
            </w:pPr>
            <w:r w:rsidRPr="00BF52F4">
              <w:rPr>
                <w:sz w:val="18"/>
              </w:rPr>
              <w:t>Pharmacovigilance</w:t>
            </w:r>
          </w:p>
        </w:tc>
        <w:tc>
          <w:tcPr>
            <w:tcW w:w="1286" w:type="pct"/>
            <w:gridSpan w:val="2"/>
            <w:tcBorders>
              <w:top w:val="single" w:sz="4" w:space="0" w:color="auto"/>
              <w:left w:val="single" w:sz="4" w:space="0" w:color="auto"/>
              <w:bottom w:val="single" w:sz="4" w:space="0" w:color="auto"/>
              <w:right w:val="single" w:sz="4" w:space="0" w:color="auto"/>
            </w:tcBorders>
          </w:tcPr>
          <w:p w14:paraId="0D742FF7" w14:textId="77777777" w:rsidR="001A7955" w:rsidRPr="00BF52F4" w:rsidRDefault="001A7955" w:rsidP="001A7955">
            <w:pPr>
              <w:pStyle w:val="Tabletext"/>
              <w:spacing w:line="276" w:lineRule="auto"/>
              <w:ind w:left="0"/>
              <w:rPr>
                <w:b w:val="0"/>
                <w:sz w:val="18"/>
              </w:rPr>
            </w:pPr>
            <w:r w:rsidRPr="00BF52F4">
              <w:rPr>
                <w:sz w:val="18"/>
              </w:rPr>
              <w:t>Risk Minimisation</w:t>
            </w:r>
          </w:p>
        </w:tc>
      </w:tr>
      <w:tr w:rsidR="001A7955" w:rsidRPr="00BF52F4" w14:paraId="7FF0A841" w14:textId="77777777" w:rsidTr="001A7955">
        <w:trPr>
          <w:trHeight w:val="178"/>
        </w:trPr>
        <w:tc>
          <w:tcPr>
            <w:tcW w:w="2429" w:type="pct"/>
            <w:gridSpan w:val="2"/>
            <w:vMerge/>
            <w:tcBorders>
              <w:top w:val="single" w:sz="4" w:space="0" w:color="auto"/>
              <w:left w:val="single" w:sz="4" w:space="0" w:color="auto"/>
              <w:bottom w:val="single" w:sz="4" w:space="0" w:color="auto"/>
              <w:right w:val="single" w:sz="4" w:space="0" w:color="auto"/>
            </w:tcBorders>
          </w:tcPr>
          <w:p w14:paraId="467376D4" w14:textId="77777777" w:rsidR="001A7955" w:rsidRPr="00BF52F4" w:rsidRDefault="001A7955" w:rsidP="00C17572">
            <w:pPr>
              <w:pStyle w:val="Tabletext"/>
              <w:spacing w:line="276" w:lineRule="auto"/>
              <w:rPr>
                <w:b/>
              </w:rPr>
            </w:pPr>
          </w:p>
        </w:tc>
        <w:tc>
          <w:tcPr>
            <w:tcW w:w="584" w:type="pct"/>
            <w:tcBorders>
              <w:top w:val="single" w:sz="4" w:space="0" w:color="auto"/>
              <w:left w:val="single" w:sz="4" w:space="0" w:color="auto"/>
              <w:bottom w:val="single" w:sz="4" w:space="0" w:color="auto"/>
              <w:right w:val="single" w:sz="4" w:space="0" w:color="auto"/>
            </w:tcBorders>
            <w:shd w:val="clear" w:color="auto" w:fill="006DA7"/>
          </w:tcPr>
          <w:p w14:paraId="56A28791" w14:textId="77777777" w:rsidR="001A7955" w:rsidRPr="001A7955" w:rsidRDefault="001A7955" w:rsidP="001A7955">
            <w:pPr>
              <w:pStyle w:val="Tabletext"/>
              <w:spacing w:line="276" w:lineRule="auto"/>
              <w:ind w:left="0"/>
              <w:rPr>
                <w:color w:val="FFFFFF" w:themeColor="background1"/>
                <w:sz w:val="18"/>
              </w:rPr>
            </w:pPr>
            <w:r w:rsidRPr="001A7955">
              <w:rPr>
                <w:color w:val="FFFFFF" w:themeColor="background1"/>
                <w:sz w:val="18"/>
              </w:rPr>
              <w:t>Routine</w:t>
            </w:r>
          </w:p>
        </w:tc>
        <w:tc>
          <w:tcPr>
            <w:tcW w:w="702" w:type="pct"/>
            <w:tcBorders>
              <w:top w:val="single" w:sz="4" w:space="0" w:color="auto"/>
              <w:left w:val="single" w:sz="4" w:space="0" w:color="auto"/>
              <w:bottom w:val="single" w:sz="4" w:space="0" w:color="auto"/>
              <w:right w:val="single" w:sz="4" w:space="0" w:color="auto"/>
            </w:tcBorders>
            <w:shd w:val="clear" w:color="auto" w:fill="006DA7"/>
          </w:tcPr>
          <w:p w14:paraId="3437BCBD" w14:textId="77777777" w:rsidR="001A7955" w:rsidRPr="001A7955" w:rsidRDefault="001A7955" w:rsidP="001A7955">
            <w:pPr>
              <w:pStyle w:val="Tabletext"/>
              <w:spacing w:line="276" w:lineRule="auto"/>
              <w:ind w:left="0"/>
              <w:rPr>
                <w:color w:val="FFFFFF" w:themeColor="background1"/>
                <w:sz w:val="18"/>
              </w:rPr>
            </w:pPr>
            <w:r w:rsidRPr="001A7955">
              <w:rPr>
                <w:color w:val="FFFFFF" w:themeColor="background1"/>
                <w:sz w:val="18"/>
              </w:rPr>
              <w:t>Additional</w:t>
            </w:r>
          </w:p>
        </w:tc>
        <w:tc>
          <w:tcPr>
            <w:tcW w:w="584" w:type="pct"/>
            <w:tcBorders>
              <w:top w:val="single" w:sz="4" w:space="0" w:color="auto"/>
              <w:left w:val="single" w:sz="4" w:space="0" w:color="auto"/>
              <w:bottom w:val="single" w:sz="4" w:space="0" w:color="auto"/>
              <w:right w:val="single" w:sz="4" w:space="0" w:color="auto"/>
            </w:tcBorders>
            <w:shd w:val="clear" w:color="auto" w:fill="006DA7"/>
          </w:tcPr>
          <w:p w14:paraId="59506A30" w14:textId="77777777" w:rsidR="001A7955" w:rsidRPr="001A7955" w:rsidRDefault="001A7955" w:rsidP="001A7955">
            <w:pPr>
              <w:pStyle w:val="Tabletext"/>
              <w:spacing w:line="276" w:lineRule="auto"/>
              <w:ind w:left="0"/>
              <w:rPr>
                <w:color w:val="FFFFFF" w:themeColor="background1"/>
                <w:sz w:val="18"/>
              </w:rPr>
            </w:pPr>
            <w:r w:rsidRPr="001A7955">
              <w:rPr>
                <w:color w:val="FFFFFF" w:themeColor="background1"/>
                <w:sz w:val="18"/>
              </w:rPr>
              <w:t>Routine</w:t>
            </w:r>
          </w:p>
        </w:tc>
        <w:tc>
          <w:tcPr>
            <w:tcW w:w="702" w:type="pct"/>
            <w:tcBorders>
              <w:top w:val="single" w:sz="4" w:space="0" w:color="auto"/>
              <w:left w:val="single" w:sz="4" w:space="0" w:color="auto"/>
              <w:bottom w:val="single" w:sz="4" w:space="0" w:color="auto"/>
              <w:right w:val="single" w:sz="4" w:space="0" w:color="auto"/>
            </w:tcBorders>
            <w:shd w:val="clear" w:color="auto" w:fill="006DA7"/>
          </w:tcPr>
          <w:p w14:paraId="7D0690DF" w14:textId="77777777" w:rsidR="001A7955" w:rsidRPr="001A7955" w:rsidRDefault="001A7955" w:rsidP="001A7955">
            <w:pPr>
              <w:pStyle w:val="Tabletext"/>
              <w:spacing w:line="276" w:lineRule="auto"/>
              <w:ind w:left="0"/>
              <w:rPr>
                <w:color w:val="FFFFFF" w:themeColor="background1"/>
                <w:sz w:val="18"/>
              </w:rPr>
            </w:pPr>
            <w:r w:rsidRPr="001A7955">
              <w:rPr>
                <w:color w:val="FFFFFF" w:themeColor="background1"/>
                <w:sz w:val="18"/>
              </w:rPr>
              <w:t>Additional</w:t>
            </w:r>
          </w:p>
        </w:tc>
      </w:tr>
      <w:tr w:rsidR="001A7955" w:rsidRPr="00BF52F4" w14:paraId="1D076B0E" w14:textId="77777777" w:rsidTr="001A7955">
        <w:trPr>
          <w:trHeight w:val="162"/>
        </w:trPr>
        <w:tc>
          <w:tcPr>
            <w:tcW w:w="849" w:type="pct"/>
            <w:vMerge w:val="restart"/>
            <w:tcBorders>
              <w:top w:val="single" w:sz="4" w:space="0" w:color="auto"/>
            </w:tcBorders>
          </w:tcPr>
          <w:p w14:paraId="4E73BF85" w14:textId="77777777" w:rsidR="001A7955" w:rsidRPr="00BF52F4" w:rsidRDefault="001A7955" w:rsidP="001A7955">
            <w:pPr>
              <w:pStyle w:val="Tabletext"/>
              <w:spacing w:line="276" w:lineRule="auto"/>
              <w:ind w:left="0"/>
              <w:rPr>
                <w:b/>
              </w:rPr>
            </w:pPr>
            <w:r w:rsidRPr="00BF52F4">
              <w:rPr>
                <w:b/>
              </w:rPr>
              <w:t>Important identified risks</w:t>
            </w:r>
          </w:p>
        </w:tc>
        <w:tc>
          <w:tcPr>
            <w:tcW w:w="1580" w:type="pct"/>
            <w:tcBorders>
              <w:top w:val="single" w:sz="4" w:space="0" w:color="auto"/>
            </w:tcBorders>
          </w:tcPr>
          <w:p w14:paraId="49873F89" w14:textId="77777777" w:rsidR="001A7955" w:rsidRPr="00BF52F4" w:rsidRDefault="001A7955" w:rsidP="00C17572">
            <w:pPr>
              <w:pStyle w:val="Tabletext"/>
              <w:spacing w:line="276" w:lineRule="auto"/>
            </w:pPr>
            <w:r>
              <w:t>Hypersensitivity</w:t>
            </w:r>
          </w:p>
        </w:tc>
        <w:tc>
          <w:tcPr>
            <w:tcW w:w="584" w:type="pct"/>
            <w:tcBorders>
              <w:top w:val="single" w:sz="4" w:space="0" w:color="auto"/>
            </w:tcBorders>
          </w:tcPr>
          <w:p w14:paraId="649D4C06" w14:textId="77777777" w:rsidR="001A7955" w:rsidRPr="00EB7307" w:rsidRDefault="001A7955" w:rsidP="00C17572">
            <w:pPr>
              <w:pStyle w:val="Tabletext"/>
              <w:spacing w:line="276" w:lineRule="auto"/>
              <w:jc w:val="center"/>
            </w:pPr>
            <w:r w:rsidRPr="00EB7307">
              <w:sym w:font="Wingdings" w:char="F0FC"/>
            </w:r>
          </w:p>
        </w:tc>
        <w:tc>
          <w:tcPr>
            <w:tcW w:w="702" w:type="pct"/>
            <w:tcBorders>
              <w:top w:val="single" w:sz="4" w:space="0" w:color="auto"/>
            </w:tcBorders>
          </w:tcPr>
          <w:p w14:paraId="017A798B" w14:textId="77777777" w:rsidR="001A7955" w:rsidRPr="00EB7307" w:rsidRDefault="001A7955" w:rsidP="00C17572">
            <w:pPr>
              <w:pStyle w:val="Tabletext"/>
              <w:spacing w:line="276" w:lineRule="auto"/>
              <w:jc w:val="center"/>
            </w:pPr>
            <w:r w:rsidRPr="00EB7307">
              <w:t>–</w:t>
            </w:r>
          </w:p>
        </w:tc>
        <w:tc>
          <w:tcPr>
            <w:tcW w:w="584" w:type="pct"/>
            <w:tcBorders>
              <w:top w:val="single" w:sz="4" w:space="0" w:color="auto"/>
            </w:tcBorders>
          </w:tcPr>
          <w:p w14:paraId="52958A88" w14:textId="77777777" w:rsidR="001A7955" w:rsidRPr="00EB7307" w:rsidRDefault="001A7955" w:rsidP="00C17572">
            <w:pPr>
              <w:pStyle w:val="Tabletext"/>
              <w:spacing w:line="276" w:lineRule="auto"/>
              <w:jc w:val="center"/>
            </w:pPr>
            <w:r w:rsidRPr="00EB7307">
              <w:sym w:font="Wingdings" w:char="F0FC"/>
            </w:r>
          </w:p>
        </w:tc>
        <w:tc>
          <w:tcPr>
            <w:tcW w:w="702" w:type="pct"/>
            <w:tcBorders>
              <w:top w:val="single" w:sz="4" w:space="0" w:color="auto"/>
            </w:tcBorders>
          </w:tcPr>
          <w:p w14:paraId="4DF076B9" w14:textId="77777777" w:rsidR="001A7955" w:rsidRPr="00EB7307" w:rsidRDefault="001A7955" w:rsidP="00C17572">
            <w:pPr>
              <w:pStyle w:val="Tabletext"/>
              <w:spacing w:line="276" w:lineRule="auto"/>
              <w:jc w:val="center"/>
            </w:pPr>
            <w:r w:rsidRPr="00EB7307">
              <w:t>–</w:t>
            </w:r>
          </w:p>
        </w:tc>
      </w:tr>
      <w:tr w:rsidR="001A7955" w:rsidRPr="00BF52F4" w14:paraId="72CF8794" w14:textId="77777777" w:rsidTr="001A7955">
        <w:trPr>
          <w:trHeight w:val="111"/>
        </w:trPr>
        <w:tc>
          <w:tcPr>
            <w:tcW w:w="849" w:type="pct"/>
            <w:vMerge/>
          </w:tcPr>
          <w:p w14:paraId="40A2B561" w14:textId="77777777" w:rsidR="001A7955" w:rsidRPr="00BF52F4" w:rsidRDefault="001A7955" w:rsidP="00C17572">
            <w:pPr>
              <w:pStyle w:val="Tabletext"/>
              <w:spacing w:line="276" w:lineRule="auto"/>
              <w:rPr>
                <w:b/>
              </w:rPr>
            </w:pPr>
          </w:p>
        </w:tc>
        <w:tc>
          <w:tcPr>
            <w:tcW w:w="1580" w:type="pct"/>
          </w:tcPr>
          <w:p w14:paraId="3D15140B" w14:textId="77777777" w:rsidR="001A7955" w:rsidRPr="00BF52F4" w:rsidRDefault="001A7955" w:rsidP="00C17572">
            <w:pPr>
              <w:pStyle w:val="Tabletext"/>
              <w:spacing w:line="276" w:lineRule="auto"/>
            </w:pPr>
            <w:r>
              <w:t>Local skin reactions</w:t>
            </w:r>
          </w:p>
        </w:tc>
        <w:tc>
          <w:tcPr>
            <w:tcW w:w="584" w:type="pct"/>
          </w:tcPr>
          <w:p w14:paraId="6CAEC09C" w14:textId="77777777" w:rsidR="001A7955" w:rsidRPr="00EB7307" w:rsidRDefault="001A7955" w:rsidP="00C17572">
            <w:pPr>
              <w:pStyle w:val="Tabletext"/>
              <w:spacing w:line="276" w:lineRule="auto"/>
              <w:jc w:val="center"/>
            </w:pPr>
            <w:r w:rsidRPr="00EB7307">
              <w:sym w:font="Wingdings" w:char="F0FC"/>
            </w:r>
          </w:p>
        </w:tc>
        <w:tc>
          <w:tcPr>
            <w:tcW w:w="702" w:type="pct"/>
          </w:tcPr>
          <w:p w14:paraId="07201FFB" w14:textId="77777777" w:rsidR="001A7955" w:rsidRPr="00EB7307" w:rsidRDefault="001A7955" w:rsidP="00C17572">
            <w:pPr>
              <w:pStyle w:val="Tabletext"/>
              <w:spacing w:line="276" w:lineRule="auto"/>
              <w:jc w:val="center"/>
            </w:pPr>
            <w:r w:rsidRPr="00EB7307">
              <w:t>–</w:t>
            </w:r>
          </w:p>
        </w:tc>
        <w:tc>
          <w:tcPr>
            <w:tcW w:w="584" w:type="pct"/>
          </w:tcPr>
          <w:p w14:paraId="767784AC" w14:textId="77777777" w:rsidR="001A7955" w:rsidRPr="00EB7307" w:rsidRDefault="001A7955" w:rsidP="00C17572">
            <w:pPr>
              <w:pStyle w:val="Tabletext"/>
              <w:spacing w:line="276" w:lineRule="auto"/>
              <w:jc w:val="center"/>
            </w:pPr>
            <w:r w:rsidRPr="00EB7307">
              <w:sym w:font="Wingdings" w:char="F0FC"/>
            </w:r>
          </w:p>
        </w:tc>
        <w:tc>
          <w:tcPr>
            <w:tcW w:w="702" w:type="pct"/>
          </w:tcPr>
          <w:p w14:paraId="6229A5EE" w14:textId="77777777" w:rsidR="001A7955" w:rsidRPr="00EB7307" w:rsidRDefault="001A7955" w:rsidP="00C17572">
            <w:pPr>
              <w:pStyle w:val="Tabletext"/>
              <w:spacing w:line="276" w:lineRule="auto"/>
              <w:jc w:val="center"/>
            </w:pPr>
            <w:r w:rsidRPr="00EB7307">
              <w:t>–</w:t>
            </w:r>
          </w:p>
        </w:tc>
      </w:tr>
      <w:tr w:rsidR="001A7955" w:rsidRPr="00BF52F4" w14:paraId="6164E6C5" w14:textId="77777777" w:rsidTr="001A7955">
        <w:trPr>
          <w:trHeight w:val="221"/>
        </w:trPr>
        <w:tc>
          <w:tcPr>
            <w:tcW w:w="849" w:type="pct"/>
            <w:vMerge/>
          </w:tcPr>
          <w:p w14:paraId="1E913D17" w14:textId="77777777" w:rsidR="001A7955" w:rsidRPr="00BF52F4" w:rsidRDefault="001A7955" w:rsidP="00C17572">
            <w:pPr>
              <w:pStyle w:val="Tabletext"/>
              <w:spacing w:line="276" w:lineRule="auto"/>
              <w:rPr>
                <w:b/>
              </w:rPr>
            </w:pPr>
          </w:p>
        </w:tc>
        <w:tc>
          <w:tcPr>
            <w:tcW w:w="1580" w:type="pct"/>
          </w:tcPr>
          <w:p w14:paraId="44E16CCD" w14:textId="77777777" w:rsidR="001A7955" w:rsidRPr="00BF52F4" w:rsidRDefault="001A7955" w:rsidP="00C17572">
            <w:pPr>
              <w:pStyle w:val="Tabletext"/>
              <w:spacing w:line="276" w:lineRule="auto"/>
            </w:pPr>
            <w:r>
              <w:t>Toxicity to mucous membranes/ eye</w:t>
            </w:r>
          </w:p>
        </w:tc>
        <w:tc>
          <w:tcPr>
            <w:tcW w:w="584" w:type="pct"/>
          </w:tcPr>
          <w:p w14:paraId="1717DF53" w14:textId="77777777" w:rsidR="001A7955" w:rsidRPr="00EB7307" w:rsidRDefault="001A7955" w:rsidP="00C17572">
            <w:pPr>
              <w:pStyle w:val="Tabletext"/>
              <w:spacing w:line="276" w:lineRule="auto"/>
              <w:jc w:val="center"/>
            </w:pPr>
            <w:r w:rsidRPr="00EB7307">
              <w:sym w:font="Wingdings" w:char="F0FC"/>
            </w:r>
          </w:p>
        </w:tc>
        <w:tc>
          <w:tcPr>
            <w:tcW w:w="702" w:type="pct"/>
          </w:tcPr>
          <w:p w14:paraId="09DF2762" w14:textId="77777777" w:rsidR="001A7955" w:rsidRPr="00EB7307" w:rsidRDefault="001A7955" w:rsidP="00C17572">
            <w:pPr>
              <w:pStyle w:val="Tabletext"/>
              <w:spacing w:line="276" w:lineRule="auto"/>
              <w:jc w:val="center"/>
            </w:pPr>
            <w:r w:rsidRPr="00EB7307">
              <w:t>–</w:t>
            </w:r>
          </w:p>
        </w:tc>
        <w:tc>
          <w:tcPr>
            <w:tcW w:w="584" w:type="pct"/>
          </w:tcPr>
          <w:p w14:paraId="50F67EDE" w14:textId="79942FEF" w:rsidR="001A7955" w:rsidRPr="00EB7307" w:rsidRDefault="00134154" w:rsidP="00C17572">
            <w:pPr>
              <w:pStyle w:val="Tabletext"/>
              <w:spacing w:line="276" w:lineRule="auto"/>
              <w:jc w:val="center"/>
            </w:pPr>
            <w:r>
              <w:t xml:space="preserve"> </w:t>
            </w:r>
            <w:r w:rsidR="001A7955" w:rsidRPr="00EB7307">
              <w:sym w:font="Wingdings" w:char="F0FC"/>
            </w:r>
            <w:r w:rsidR="001A7955">
              <w:t>*</w:t>
            </w:r>
          </w:p>
        </w:tc>
        <w:tc>
          <w:tcPr>
            <w:tcW w:w="702" w:type="pct"/>
          </w:tcPr>
          <w:p w14:paraId="1B6DE131" w14:textId="77777777" w:rsidR="001A7955" w:rsidRPr="00EB7307" w:rsidRDefault="001A7955" w:rsidP="00C17572">
            <w:pPr>
              <w:pStyle w:val="Tabletext"/>
              <w:spacing w:line="276" w:lineRule="auto"/>
              <w:jc w:val="center"/>
            </w:pPr>
            <w:r w:rsidRPr="00EB7307">
              <w:t>–</w:t>
            </w:r>
          </w:p>
        </w:tc>
      </w:tr>
      <w:tr w:rsidR="001A7955" w:rsidRPr="00BF52F4" w14:paraId="496E6FEF" w14:textId="77777777" w:rsidTr="001A7955">
        <w:trPr>
          <w:trHeight w:val="188"/>
        </w:trPr>
        <w:tc>
          <w:tcPr>
            <w:tcW w:w="849" w:type="pct"/>
            <w:vMerge w:val="restart"/>
          </w:tcPr>
          <w:p w14:paraId="76F608D3" w14:textId="77777777" w:rsidR="001A7955" w:rsidRPr="00BF52F4" w:rsidRDefault="001A7955" w:rsidP="001A7955">
            <w:pPr>
              <w:pStyle w:val="Tabletext"/>
              <w:spacing w:line="276" w:lineRule="auto"/>
              <w:ind w:left="0"/>
              <w:rPr>
                <w:b/>
              </w:rPr>
            </w:pPr>
            <w:r w:rsidRPr="00BF52F4">
              <w:rPr>
                <w:b/>
              </w:rPr>
              <w:t>Important potential risks</w:t>
            </w:r>
          </w:p>
        </w:tc>
        <w:tc>
          <w:tcPr>
            <w:tcW w:w="1580" w:type="pct"/>
          </w:tcPr>
          <w:p w14:paraId="57BD911E" w14:textId="77777777" w:rsidR="001A7955" w:rsidRDefault="001A7955" w:rsidP="00C17572">
            <w:pPr>
              <w:pStyle w:val="Tabletext"/>
              <w:spacing w:line="276" w:lineRule="auto"/>
            </w:pPr>
            <w:r>
              <w:t>Skin cancers</w:t>
            </w:r>
          </w:p>
        </w:tc>
        <w:tc>
          <w:tcPr>
            <w:tcW w:w="584" w:type="pct"/>
          </w:tcPr>
          <w:p w14:paraId="1E751F84" w14:textId="77777777" w:rsidR="001A7955" w:rsidRPr="00EB7307" w:rsidRDefault="001A7955" w:rsidP="00C17572">
            <w:pPr>
              <w:pStyle w:val="Tabletext"/>
              <w:spacing w:line="276" w:lineRule="auto"/>
              <w:jc w:val="center"/>
            </w:pPr>
            <w:r w:rsidRPr="00EB7307">
              <w:sym w:font="Wingdings" w:char="F0FC"/>
            </w:r>
          </w:p>
        </w:tc>
        <w:tc>
          <w:tcPr>
            <w:tcW w:w="702" w:type="pct"/>
          </w:tcPr>
          <w:p w14:paraId="0E46C8D9" w14:textId="77777777" w:rsidR="001A7955" w:rsidRPr="00EB7307" w:rsidRDefault="001A7955" w:rsidP="00C17572">
            <w:pPr>
              <w:pStyle w:val="Tabletext"/>
              <w:spacing w:line="276" w:lineRule="auto"/>
              <w:jc w:val="center"/>
            </w:pPr>
            <w:r w:rsidRPr="00EB7307">
              <w:t>–</w:t>
            </w:r>
          </w:p>
        </w:tc>
        <w:tc>
          <w:tcPr>
            <w:tcW w:w="584" w:type="pct"/>
          </w:tcPr>
          <w:p w14:paraId="4C93E1A8" w14:textId="77777777" w:rsidR="001A7955" w:rsidRPr="00EB7307" w:rsidRDefault="001A7955" w:rsidP="00C17572">
            <w:pPr>
              <w:pStyle w:val="Tabletext"/>
              <w:spacing w:line="276" w:lineRule="auto"/>
              <w:jc w:val="center"/>
            </w:pPr>
            <w:r w:rsidRPr="00EB7307">
              <w:sym w:font="Wingdings" w:char="F0FC"/>
            </w:r>
          </w:p>
        </w:tc>
        <w:tc>
          <w:tcPr>
            <w:tcW w:w="702" w:type="pct"/>
          </w:tcPr>
          <w:p w14:paraId="6044C60B" w14:textId="77777777" w:rsidR="001A7955" w:rsidRPr="00EB7307" w:rsidRDefault="001A7955" w:rsidP="00C17572">
            <w:pPr>
              <w:pStyle w:val="Tabletext"/>
              <w:spacing w:line="276" w:lineRule="auto"/>
              <w:jc w:val="center"/>
            </w:pPr>
            <w:r w:rsidRPr="00EB7307">
              <w:t>–</w:t>
            </w:r>
          </w:p>
        </w:tc>
      </w:tr>
      <w:tr w:rsidR="001A7955" w:rsidRPr="00BF52F4" w14:paraId="48E46D92" w14:textId="77777777" w:rsidTr="001A7955">
        <w:trPr>
          <w:trHeight w:val="188"/>
        </w:trPr>
        <w:tc>
          <w:tcPr>
            <w:tcW w:w="849" w:type="pct"/>
            <w:vMerge/>
          </w:tcPr>
          <w:p w14:paraId="2CC8F8CB" w14:textId="77777777" w:rsidR="001A7955" w:rsidRPr="00BF52F4" w:rsidRDefault="001A7955" w:rsidP="00C17572">
            <w:pPr>
              <w:pStyle w:val="Tabletext"/>
              <w:spacing w:line="276" w:lineRule="auto"/>
              <w:rPr>
                <w:b/>
              </w:rPr>
            </w:pPr>
          </w:p>
        </w:tc>
        <w:tc>
          <w:tcPr>
            <w:tcW w:w="1580" w:type="pct"/>
          </w:tcPr>
          <w:p w14:paraId="34FD5CD6" w14:textId="77777777" w:rsidR="001A7955" w:rsidRDefault="001A7955" w:rsidP="00C17572">
            <w:pPr>
              <w:pStyle w:val="Tabletext"/>
              <w:spacing w:line="276" w:lineRule="auto"/>
            </w:pPr>
            <w:r>
              <w:t>Secondary exposure to someone other than the patient</w:t>
            </w:r>
          </w:p>
        </w:tc>
        <w:tc>
          <w:tcPr>
            <w:tcW w:w="584" w:type="pct"/>
          </w:tcPr>
          <w:p w14:paraId="76DF5674" w14:textId="77777777" w:rsidR="001A7955" w:rsidRPr="00EB7307" w:rsidRDefault="001A7955" w:rsidP="00C17572">
            <w:pPr>
              <w:pStyle w:val="Tabletext"/>
              <w:spacing w:line="276" w:lineRule="auto"/>
              <w:jc w:val="center"/>
            </w:pPr>
            <w:r w:rsidRPr="00EB7307">
              <w:sym w:font="Wingdings" w:char="F0FC"/>
            </w:r>
          </w:p>
        </w:tc>
        <w:tc>
          <w:tcPr>
            <w:tcW w:w="702" w:type="pct"/>
          </w:tcPr>
          <w:p w14:paraId="7104A2BD" w14:textId="77777777" w:rsidR="001A7955" w:rsidRPr="00EB7307" w:rsidRDefault="001A7955" w:rsidP="00C17572">
            <w:pPr>
              <w:pStyle w:val="Tabletext"/>
              <w:spacing w:line="276" w:lineRule="auto"/>
              <w:jc w:val="center"/>
            </w:pPr>
            <w:r w:rsidRPr="00EB7307">
              <w:t>–</w:t>
            </w:r>
          </w:p>
        </w:tc>
        <w:tc>
          <w:tcPr>
            <w:tcW w:w="584" w:type="pct"/>
          </w:tcPr>
          <w:p w14:paraId="59E41D93" w14:textId="245ADAA4" w:rsidR="001A7955" w:rsidRPr="00EB7307" w:rsidRDefault="00134154" w:rsidP="00C17572">
            <w:pPr>
              <w:pStyle w:val="Tabletext"/>
              <w:spacing w:line="276" w:lineRule="auto"/>
              <w:jc w:val="center"/>
            </w:pPr>
            <w:r>
              <w:t xml:space="preserve"> </w:t>
            </w:r>
            <w:r w:rsidR="001A7955" w:rsidRPr="00EB7307">
              <w:sym w:font="Wingdings" w:char="F0FC"/>
            </w:r>
            <w:r w:rsidR="001A7955">
              <w:t>*</w:t>
            </w:r>
          </w:p>
        </w:tc>
        <w:tc>
          <w:tcPr>
            <w:tcW w:w="702" w:type="pct"/>
          </w:tcPr>
          <w:p w14:paraId="1F4F866B" w14:textId="77777777" w:rsidR="001A7955" w:rsidRPr="00EB7307" w:rsidRDefault="001A7955" w:rsidP="00C17572">
            <w:pPr>
              <w:pStyle w:val="Tabletext"/>
              <w:spacing w:line="276" w:lineRule="auto"/>
              <w:jc w:val="center"/>
            </w:pPr>
            <w:r w:rsidRPr="00EB7307">
              <w:t>–</w:t>
            </w:r>
          </w:p>
        </w:tc>
      </w:tr>
      <w:tr w:rsidR="001A7955" w:rsidRPr="00BF52F4" w14:paraId="5AA34945" w14:textId="77777777" w:rsidTr="001A7955">
        <w:trPr>
          <w:trHeight w:val="188"/>
        </w:trPr>
        <w:tc>
          <w:tcPr>
            <w:tcW w:w="849" w:type="pct"/>
            <w:vMerge/>
          </w:tcPr>
          <w:p w14:paraId="7E4C4470" w14:textId="77777777" w:rsidR="001A7955" w:rsidRPr="00BF52F4" w:rsidRDefault="001A7955" w:rsidP="00C17572">
            <w:pPr>
              <w:pStyle w:val="Tabletext"/>
              <w:spacing w:line="276" w:lineRule="auto"/>
              <w:rPr>
                <w:b/>
              </w:rPr>
            </w:pPr>
          </w:p>
        </w:tc>
        <w:tc>
          <w:tcPr>
            <w:tcW w:w="1580" w:type="pct"/>
          </w:tcPr>
          <w:p w14:paraId="4EEA8B0D" w14:textId="77777777" w:rsidR="001A7955" w:rsidRDefault="001A7955" w:rsidP="00C17572">
            <w:pPr>
              <w:pStyle w:val="Tabletext"/>
              <w:spacing w:line="276" w:lineRule="auto"/>
            </w:pPr>
            <w:r>
              <w:t xml:space="preserve">Use during pregnancy and lactation </w:t>
            </w:r>
          </w:p>
        </w:tc>
        <w:tc>
          <w:tcPr>
            <w:tcW w:w="584" w:type="pct"/>
          </w:tcPr>
          <w:p w14:paraId="16E5500F" w14:textId="77777777" w:rsidR="001A7955" w:rsidRPr="00EB7307" w:rsidRDefault="001A7955" w:rsidP="00C17572">
            <w:pPr>
              <w:pStyle w:val="Tabletext"/>
              <w:spacing w:line="276" w:lineRule="auto"/>
              <w:jc w:val="center"/>
            </w:pPr>
            <w:r w:rsidRPr="00EB7307">
              <w:sym w:font="Wingdings" w:char="F0FC"/>
            </w:r>
          </w:p>
        </w:tc>
        <w:tc>
          <w:tcPr>
            <w:tcW w:w="702" w:type="pct"/>
          </w:tcPr>
          <w:p w14:paraId="763D1D39" w14:textId="77777777" w:rsidR="001A7955" w:rsidRPr="00EB7307" w:rsidRDefault="001A7955" w:rsidP="00C17572">
            <w:pPr>
              <w:pStyle w:val="Tabletext"/>
              <w:spacing w:line="276" w:lineRule="auto"/>
              <w:jc w:val="center"/>
            </w:pPr>
            <w:r w:rsidRPr="00EB7307">
              <w:t>–</w:t>
            </w:r>
          </w:p>
        </w:tc>
        <w:tc>
          <w:tcPr>
            <w:tcW w:w="584" w:type="pct"/>
          </w:tcPr>
          <w:p w14:paraId="21970261" w14:textId="77777777" w:rsidR="001A7955" w:rsidRPr="00EB7307" w:rsidRDefault="001A7955" w:rsidP="00C17572">
            <w:pPr>
              <w:pStyle w:val="Tabletext"/>
              <w:spacing w:line="276" w:lineRule="auto"/>
              <w:jc w:val="center"/>
            </w:pPr>
            <w:r w:rsidRPr="00EB7307">
              <w:sym w:font="Wingdings" w:char="F0FC"/>
            </w:r>
          </w:p>
        </w:tc>
        <w:tc>
          <w:tcPr>
            <w:tcW w:w="702" w:type="pct"/>
          </w:tcPr>
          <w:p w14:paraId="394301A7" w14:textId="77777777" w:rsidR="001A7955" w:rsidRPr="00EB7307" w:rsidRDefault="001A7955" w:rsidP="00C17572">
            <w:pPr>
              <w:pStyle w:val="Tabletext"/>
              <w:spacing w:line="276" w:lineRule="auto"/>
              <w:jc w:val="center"/>
            </w:pPr>
            <w:r w:rsidRPr="00EB7307">
              <w:t>–</w:t>
            </w:r>
          </w:p>
        </w:tc>
      </w:tr>
      <w:tr w:rsidR="001A7955" w:rsidRPr="00BF52F4" w14:paraId="44EF43DE" w14:textId="77777777" w:rsidTr="001A7955">
        <w:trPr>
          <w:trHeight w:val="211"/>
        </w:trPr>
        <w:tc>
          <w:tcPr>
            <w:tcW w:w="849" w:type="pct"/>
            <w:vMerge w:val="restart"/>
          </w:tcPr>
          <w:p w14:paraId="453EC198" w14:textId="77777777" w:rsidR="001A7955" w:rsidRPr="00BF52F4" w:rsidRDefault="001A7955" w:rsidP="001A7955">
            <w:pPr>
              <w:pStyle w:val="Tabletext"/>
              <w:spacing w:line="276" w:lineRule="auto"/>
              <w:ind w:left="0"/>
              <w:rPr>
                <w:b/>
              </w:rPr>
            </w:pPr>
            <w:r w:rsidRPr="00BF52F4">
              <w:rPr>
                <w:b/>
              </w:rPr>
              <w:t>Missing information</w:t>
            </w:r>
          </w:p>
        </w:tc>
        <w:tc>
          <w:tcPr>
            <w:tcW w:w="1580" w:type="pct"/>
          </w:tcPr>
          <w:p w14:paraId="1395C2C8" w14:textId="77777777" w:rsidR="001A7955" w:rsidRPr="00BF52F4" w:rsidRDefault="001A7955" w:rsidP="00C17572">
            <w:pPr>
              <w:pStyle w:val="Tabletext"/>
              <w:spacing w:line="276" w:lineRule="auto"/>
            </w:pPr>
            <w:r>
              <w:t xml:space="preserve">Use in paediatric patients </w:t>
            </w:r>
          </w:p>
        </w:tc>
        <w:tc>
          <w:tcPr>
            <w:tcW w:w="584" w:type="pct"/>
          </w:tcPr>
          <w:p w14:paraId="735E2EF9" w14:textId="77777777" w:rsidR="001A7955" w:rsidRPr="00EB7307" w:rsidRDefault="001A7955" w:rsidP="00C17572">
            <w:pPr>
              <w:pStyle w:val="Tabletext"/>
              <w:spacing w:line="276" w:lineRule="auto"/>
              <w:jc w:val="center"/>
            </w:pPr>
            <w:r w:rsidRPr="00EB7307">
              <w:sym w:font="Wingdings" w:char="F0FC"/>
            </w:r>
          </w:p>
        </w:tc>
        <w:tc>
          <w:tcPr>
            <w:tcW w:w="702" w:type="pct"/>
          </w:tcPr>
          <w:p w14:paraId="7F3CE8C2" w14:textId="77777777" w:rsidR="001A7955" w:rsidRPr="00EB7307" w:rsidRDefault="001A7955" w:rsidP="00C17572">
            <w:pPr>
              <w:pStyle w:val="Tabletext"/>
              <w:spacing w:line="276" w:lineRule="auto"/>
              <w:jc w:val="center"/>
            </w:pPr>
            <w:r w:rsidRPr="00EB7307">
              <w:t>–</w:t>
            </w:r>
          </w:p>
        </w:tc>
        <w:tc>
          <w:tcPr>
            <w:tcW w:w="584" w:type="pct"/>
          </w:tcPr>
          <w:p w14:paraId="5EBA66AA" w14:textId="77777777" w:rsidR="001A7955" w:rsidRPr="00EB7307" w:rsidRDefault="001A7955" w:rsidP="00C17572">
            <w:pPr>
              <w:pStyle w:val="Tabletext"/>
              <w:spacing w:line="276" w:lineRule="auto"/>
              <w:jc w:val="center"/>
            </w:pPr>
            <w:r w:rsidRPr="00EB7307">
              <w:sym w:font="Wingdings" w:char="F0FC"/>
            </w:r>
          </w:p>
        </w:tc>
        <w:tc>
          <w:tcPr>
            <w:tcW w:w="702" w:type="pct"/>
          </w:tcPr>
          <w:p w14:paraId="30018244" w14:textId="77777777" w:rsidR="001A7955" w:rsidRPr="00EB7307" w:rsidRDefault="001A7955" w:rsidP="00C17572">
            <w:pPr>
              <w:pStyle w:val="Tabletext"/>
              <w:spacing w:line="276" w:lineRule="auto"/>
              <w:jc w:val="center"/>
            </w:pPr>
            <w:r w:rsidRPr="00EB7307">
              <w:t>–</w:t>
            </w:r>
          </w:p>
        </w:tc>
      </w:tr>
      <w:tr w:rsidR="001A7955" w:rsidRPr="00BF52F4" w14:paraId="3E6269B7" w14:textId="77777777" w:rsidTr="001A7955">
        <w:trPr>
          <w:trHeight w:val="122"/>
        </w:trPr>
        <w:tc>
          <w:tcPr>
            <w:tcW w:w="849" w:type="pct"/>
            <w:vMerge/>
          </w:tcPr>
          <w:p w14:paraId="2A0B7B55" w14:textId="77777777" w:rsidR="001A7955" w:rsidRPr="00BF52F4" w:rsidRDefault="001A7955" w:rsidP="00C17572">
            <w:pPr>
              <w:pStyle w:val="Tabletext"/>
              <w:spacing w:line="276" w:lineRule="auto"/>
            </w:pPr>
          </w:p>
        </w:tc>
        <w:tc>
          <w:tcPr>
            <w:tcW w:w="1580" w:type="pct"/>
          </w:tcPr>
          <w:p w14:paraId="158743FF" w14:textId="77777777" w:rsidR="001A7955" w:rsidRPr="00BF52F4" w:rsidRDefault="001A7955" w:rsidP="00C17572">
            <w:pPr>
              <w:pStyle w:val="Tabletext"/>
              <w:spacing w:line="276" w:lineRule="auto"/>
            </w:pPr>
            <w:r>
              <w:t xml:space="preserve">Concomitant use with topical corticosteroids </w:t>
            </w:r>
          </w:p>
        </w:tc>
        <w:tc>
          <w:tcPr>
            <w:tcW w:w="584" w:type="pct"/>
          </w:tcPr>
          <w:p w14:paraId="0148587F" w14:textId="77777777" w:rsidR="001A7955" w:rsidRPr="00EB7307" w:rsidRDefault="001A7955" w:rsidP="00C17572">
            <w:pPr>
              <w:pStyle w:val="Tabletext"/>
              <w:spacing w:line="276" w:lineRule="auto"/>
              <w:jc w:val="center"/>
            </w:pPr>
            <w:r w:rsidRPr="00EB7307">
              <w:sym w:font="Wingdings" w:char="F0FC"/>
            </w:r>
          </w:p>
        </w:tc>
        <w:tc>
          <w:tcPr>
            <w:tcW w:w="702" w:type="pct"/>
          </w:tcPr>
          <w:p w14:paraId="4F779EDB" w14:textId="77777777" w:rsidR="001A7955" w:rsidRPr="00EB7307" w:rsidRDefault="001A7955" w:rsidP="00C17572">
            <w:pPr>
              <w:pStyle w:val="Tabletext"/>
              <w:spacing w:line="276" w:lineRule="auto"/>
              <w:jc w:val="center"/>
            </w:pPr>
            <w:r w:rsidRPr="00EB7307">
              <w:t>–</w:t>
            </w:r>
          </w:p>
        </w:tc>
        <w:tc>
          <w:tcPr>
            <w:tcW w:w="584" w:type="pct"/>
          </w:tcPr>
          <w:p w14:paraId="3B162388" w14:textId="77777777" w:rsidR="001A7955" w:rsidRPr="00EB7307" w:rsidRDefault="001A7955" w:rsidP="00C17572">
            <w:pPr>
              <w:pStyle w:val="Tabletext"/>
              <w:spacing w:line="276" w:lineRule="auto"/>
              <w:jc w:val="center"/>
            </w:pPr>
            <w:r w:rsidRPr="00EB7307">
              <w:sym w:font="Wingdings" w:char="F0FC"/>
            </w:r>
          </w:p>
        </w:tc>
        <w:tc>
          <w:tcPr>
            <w:tcW w:w="702" w:type="pct"/>
          </w:tcPr>
          <w:p w14:paraId="5B5DF3E4" w14:textId="77777777" w:rsidR="001A7955" w:rsidRPr="00EB7307" w:rsidRDefault="001A7955" w:rsidP="00C17572">
            <w:pPr>
              <w:pStyle w:val="Tabletext"/>
              <w:spacing w:line="276" w:lineRule="auto"/>
              <w:jc w:val="center"/>
            </w:pPr>
            <w:r w:rsidRPr="00EB7307">
              <w:t>–</w:t>
            </w:r>
          </w:p>
        </w:tc>
      </w:tr>
    </w:tbl>
    <w:p w14:paraId="607E5CEE" w14:textId="77777777" w:rsidR="001A7955" w:rsidRDefault="001A7955" w:rsidP="001A7955">
      <w:pPr>
        <w:pStyle w:val="TableDescription"/>
      </w:pPr>
      <w:r w:rsidRPr="001A7955">
        <w:t>*Patient Alert Card</w:t>
      </w:r>
    </w:p>
    <w:p w14:paraId="6AC0134A" w14:textId="77777777" w:rsidR="001A7955" w:rsidRDefault="001A7955" w:rsidP="001A7955">
      <w:r>
        <w:t>The proposed summary of safety concerns is considered acceptable from an RMP perspective.</w:t>
      </w:r>
    </w:p>
    <w:p w14:paraId="65B0EF3F" w14:textId="77777777" w:rsidR="001A7955" w:rsidRDefault="001A7955" w:rsidP="001A7955">
      <w:r>
        <w:t>The sponsor has proposed routine pharmacovigilance activities only for all safety concerns. This is considered acceptable.</w:t>
      </w:r>
    </w:p>
    <w:p w14:paraId="4FD73D45" w14:textId="77777777" w:rsidR="001A7955" w:rsidRDefault="001A7955" w:rsidP="001A7955">
      <w:bookmarkStart w:id="49" w:name="_Hlk78380087"/>
      <w:r>
        <w:t xml:space="preserve">The sponsor has proposed routine risk minimisation activities for all safety concerns. A transparent sealable plastic bag is to be supplied separately to </w:t>
      </w:r>
      <w:proofErr w:type="spellStart"/>
      <w:r>
        <w:t>Ledaga</w:t>
      </w:r>
      <w:proofErr w:type="spellEnd"/>
      <w:r>
        <w:t xml:space="preserve"> at the time of dispensing. A patient alert card is to be included in the packaging with the package insert as a routine risk minimisation activity for an important identified risk (that is, toxicity to mucous membranes/eye) and an important potential risk (that is, secondary exposure to someone other than the patient). This is acceptable.</w:t>
      </w:r>
    </w:p>
    <w:bookmarkEnd w:id="49"/>
    <w:p w14:paraId="0F5663CD" w14:textId="77777777" w:rsidR="001A7955" w:rsidRDefault="001A7955" w:rsidP="001A7955">
      <w:pPr>
        <w:pStyle w:val="Heading4"/>
      </w:pPr>
      <w:r>
        <w:t>Wording for conditions of registration</w:t>
      </w:r>
    </w:p>
    <w:p w14:paraId="003F59E3" w14:textId="77777777" w:rsidR="001A7955" w:rsidRDefault="001A7955" w:rsidP="001A7955">
      <w:r>
        <w:t xml:space="preserve">Any changes to which the sponsor has agreed should be included in a revised RMP and ASA. However, irrespective of whether or not they are included in the currently available version of the RMP document, the agreed changes become part of the risk management system. </w:t>
      </w:r>
    </w:p>
    <w:p w14:paraId="1968059A" w14:textId="77777777" w:rsidR="001A7955" w:rsidRDefault="001A7955" w:rsidP="001A7955">
      <w:r>
        <w:t xml:space="preserve">The suggested wording is: </w:t>
      </w:r>
    </w:p>
    <w:p w14:paraId="46AB97E6" w14:textId="77777777" w:rsidR="001A7955" w:rsidRPr="001A7955" w:rsidRDefault="001A7955" w:rsidP="001A7955">
      <w:pPr>
        <w:rPr>
          <w:i/>
        </w:rPr>
      </w:pPr>
      <w:r>
        <w:rPr>
          <w:i/>
        </w:rPr>
        <w:t xml:space="preserve">The </w:t>
      </w:r>
      <w:proofErr w:type="spellStart"/>
      <w:r>
        <w:rPr>
          <w:i/>
        </w:rPr>
        <w:t>Ledaga</w:t>
      </w:r>
      <w:proofErr w:type="spellEnd"/>
      <w:r>
        <w:rPr>
          <w:i/>
        </w:rPr>
        <w:t xml:space="preserve"> EU-risk management plan</w:t>
      </w:r>
      <w:r w:rsidRPr="001A7955">
        <w:rPr>
          <w:i/>
        </w:rPr>
        <w:t xml:space="preserve"> (version 2.0, dated 8 March 2017, data lock point 22 F</w:t>
      </w:r>
      <w:r>
        <w:rPr>
          <w:i/>
        </w:rPr>
        <w:t>ebruary 2016), with Australian specific a</w:t>
      </w:r>
      <w:r w:rsidRPr="001A7955">
        <w:rPr>
          <w:i/>
        </w:rPr>
        <w:t>nnex (version 2.0, dated 19 April 2021), included with submission 2020-03014-1-6, and any subsequent revisions, as agreed with the TGA will be implemented in Australia.</w:t>
      </w:r>
    </w:p>
    <w:p w14:paraId="3FEF282E" w14:textId="77777777" w:rsidR="001A7955" w:rsidRPr="001A7955" w:rsidRDefault="001A7955" w:rsidP="001A7955">
      <w:pPr>
        <w:rPr>
          <w:i/>
        </w:rPr>
      </w:pPr>
      <w:r w:rsidRPr="001A7955">
        <w:rPr>
          <w:i/>
        </w:rPr>
        <w:lastRenderedPageBreak/>
        <w:t>An obligatory component of risk management plans is routine pharmacovigilance. Routine pharmacovigilance includes the submission of periodic safety update reports (PSURs).</w:t>
      </w:r>
    </w:p>
    <w:p w14:paraId="54E53FA8" w14:textId="77777777" w:rsidR="001A7955" w:rsidRPr="001A7955" w:rsidRDefault="001A7955" w:rsidP="001A7955">
      <w:pPr>
        <w:rPr>
          <w:i/>
        </w:rPr>
      </w:pPr>
      <w:r w:rsidRPr="001A7955">
        <w:rPr>
          <w:i/>
        </w:rPr>
        <w:t>Reports are to be provided in line with the current published list of EU reference dates and frequency of submission of PSURs until the period covered by such reports is not less than three years from th</w:t>
      </w:r>
      <w:r>
        <w:rPr>
          <w:i/>
        </w:rPr>
        <w:t>e date of this approval letter.</w:t>
      </w:r>
    </w:p>
    <w:p w14:paraId="79C7ECCA" w14:textId="77777777" w:rsidR="001A7955" w:rsidRPr="001A7955" w:rsidRDefault="001A7955" w:rsidP="001A7955">
      <w:pPr>
        <w:rPr>
          <w:i/>
        </w:rPr>
      </w:pPr>
      <w:r w:rsidRPr="001A7955">
        <w:rPr>
          <w:i/>
        </w:rPr>
        <w:t>The reports are to at least meet the requirements for PSURs as described in the European M</w:t>
      </w:r>
      <w:r>
        <w:rPr>
          <w:i/>
        </w:rPr>
        <w:t>edicines Agency’s Guideline on Good Pharmacovigilance P</w:t>
      </w:r>
      <w:r w:rsidRPr="001A7955">
        <w:rPr>
          <w:i/>
        </w:rPr>
        <w:t>ractices (GVP) Module VII-periodic safety update report (Rev 1), Part VII.B Structures and processes. Note that submission of a PSUR does not constitute an applic</w:t>
      </w:r>
      <w:r>
        <w:rPr>
          <w:i/>
        </w:rPr>
        <w:t>ation to vary the registration.</w:t>
      </w:r>
    </w:p>
    <w:p w14:paraId="05D3FCA5" w14:textId="77777777" w:rsidR="001A7955" w:rsidRDefault="001A7955" w:rsidP="001A7955">
      <w:r>
        <w:t xml:space="preserve">As </w:t>
      </w:r>
      <w:proofErr w:type="spellStart"/>
      <w:r>
        <w:t>Ledaga</w:t>
      </w:r>
      <w:proofErr w:type="spellEnd"/>
      <w:r>
        <w:t xml:space="preserve"> is a new chemical entity it should be included in the Black Triangle Scheme as a condition of registration. The following wording is recommended for the condition of registration:</w:t>
      </w:r>
    </w:p>
    <w:p w14:paraId="308FF1C7" w14:textId="77777777" w:rsidR="001A7955" w:rsidRPr="001A7955" w:rsidRDefault="001A7955" w:rsidP="001A7955">
      <w:pPr>
        <w:rPr>
          <w:i/>
        </w:rPr>
      </w:pPr>
      <w:proofErr w:type="spellStart"/>
      <w:r w:rsidRPr="001A7955">
        <w:rPr>
          <w:i/>
        </w:rPr>
        <w:t>Ledaga</w:t>
      </w:r>
      <w:proofErr w:type="spellEnd"/>
      <w:r w:rsidRPr="001A7955">
        <w:rPr>
          <w:i/>
        </w:rPr>
        <w:t xml:space="preserve"> (chlormethine) is to be included in the Black Triangle Scheme. The P</w:t>
      </w:r>
      <w:r>
        <w:rPr>
          <w:i/>
        </w:rPr>
        <w:t xml:space="preserve">roduct </w:t>
      </w:r>
      <w:r w:rsidRPr="001A7955">
        <w:rPr>
          <w:i/>
        </w:rPr>
        <w:t>I</w:t>
      </w:r>
      <w:r>
        <w:rPr>
          <w:i/>
        </w:rPr>
        <w:t>nformation (PI)</w:t>
      </w:r>
      <w:r w:rsidRPr="001A7955">
        <w:rPr>
          <w:i/>
        </w:rPr>
        <w:t xml:space="preserve"> and </w:t>
      </w:r>
      <w:r>
        <w:rPr>
          <w:i/>
        </w:rPr>
        <w:t>consumer medicines information (</w:t>
      </w:r>
      <w:r w:rsidRPr="001A7955">
        <w:rPr>
          <w:i/>
        </w:rPr>
        <w:t>CMI</w:t>
      </w:r>
      <w:r>
        <w:rPr>
          <w:i/>
        </w:rPr>
        <w:t>)</w:t>
      </w:r>
      <w:r w:rsidRPr="001A7955">
        <w:rPr>
          <w:i/>
        </w:rPr>
        <w:t xml:space="preserve"> for </w:t>
      </w:r>
      <w:proofErr w:type="spellStart"/>
      <w:r w:rsidRPr="001A7955">
        <w:rPr>
          <w:i/>
        </w:rPr>
        <w:t>Ledaga</w:t>
      </w:r>
      <w:proofErr w:type="spellEnd"/>
      <w:r w:rsidRPr="001A7955">
        <w:rPr>
          <w:i/>
        </w:rPr>
        <w:t xml:space="preserve"> must include the black triangle symbol and mandatory accompanying text for five years, which starts from the date that the sponsor notifies the TGA of supply of the product.</w:t>
      </w:r>
    </w:p>
    <w:p w14:paraId="1D3B1CBD" w14:textId="77777777" w:rsidR="008E7846" w:rsidRDefault="00AA0ED0" w:rsidP="008E7846">
      <w:pPr>
        <w:pStyle w:val="Heading3"/>
      </w:pPr>
      <w:bookmarkStart w:id="50" w:name="_Toc247691531"/>
      <w:bookmarkStart w:id="51" w:name="_Toc314842515"/>
      <w:bookmarkStart w:id="52" w:name="_Toc196046505"/>
      <w:bookmarkStart w:id="53" w:name="_Toc196046949"/>
      <w:bookmarkStart w:id="54" w:name="_Toc83118515"/>
      <w:r>
        <w:t>Risk-benefit a</w:t>
      </w:r>
      <w:r w:rsidR="008E7846">
        <w:t>nalysis</w:t>
      </w:r>
      <w:bookmarkEnd w:id="50"/>
      <w:bookmarkEnd w:id="51"/>
      <w:bookmarkEnd w:id="54"/>
    </w:p>
    <w:p w14:paraId="7FCA3009" w14:textId="77777777" w:rsidR="00D23139" w:rsidRDefault="007D53B6" w:rsidP="00D23139">
      <w:pPr>
        <w:pStyle w:val="Heading4"/>
      </w:pPr>
      <w:r>
        <w:t>Delegate’s considerations</w:t>
      </w:r>
    </w:p>
    <w:p w14:paraId="0AA1BE03" w14:textId="44978231" w:rsidR="001A7955" w:rsidRDefault="001A7955" w:rsidP="001A7955">
      <w:r>
        <w:t xml:space="preserve">There is no registered topical treatment for </w:t>
      </w:r>
      <w:r w:rsidR="000C298D">
        <w:t>mycosis fungoides</w:t>
      </w:r>
      <w:r>
        <w:t xml:space="preserve">. The comparator for the pivotal efficacy study was selected based on its long history of use in </w:t>
      </w:r>
      <w:r w:rsidR="000C298D">
        <w:t>mycosis fungoides</w:t>
      </w:r>
      <w:r>
        <w:t xml:space="preserve"> in the USA. The comparator, 0.02% </w:t>
      </w:r>
      <w:r w:rsidR="00DF4ED1">
        <w:t>nitrogen mustard</w:t>
      </w:r>
      <w:r w:rsidR="00560989">
        <w:t xml:space="preserve"> </w:t>
      </w:r>
      <w:r>
        <w:t xml:space="preserve">compounded in an Aquaphor ointment base at a central pharmacy, is not commercially available however it had been used to treat early stage </w:t>
      </w:r>
      <w:r w:rsidR="000C298D">
        <w:t>mycosis fungoides</w:t>
      </w:r>
      <w:r>
        <w:t xml:space="preserve"> since the 1980s. Both the comparator and the non-inferiority margin of the </w:t>
      </w:r>
      <w:r w:rsidR="00DF4ED1">
        <w:t>propylene glycol</w:t>
      </w:r>
      <w:r>
        <w:t xml:space="preserve"> formulation with the use of the </w:t>
      </w:r>
      <w:proofErr w:type="spellStart"/>
      <w:r w:rsidR="00DF4ED1">
        <w:t>aquaphor</w:t>
      </w:r>
      <w:proofErr w:type="spellEnd"/>
      <w:r>
        <w:t xml:space="preserve"> formulation as the comparator were agreed with the </w:t>
      </w:r>
      <w:r w:rsidR="00560989" w:rsidRPr="00560989">
        <w:t>Food and Drug Administration</w:t>
      </w:r>
      <w:r w:rsidR="00560989">
        <w:t xml:space="preserve"> (</w:t>
      </w:r>
      <w:r w:rsidR="00DC3058">
        <w:t>USA</w:t>
      </w:r>
      <w:r w:rsidR="00560989">
        <w:t>)</w:t>
      </w:r>
      <w:r>
        <w:t>. Given the absence of any registered topical treatmen</w:t>
      </w:r>
      <w:r w:rsidR="005F6814">
        <w:t>t the comparator is acceptable.</w:t>
      </w:r>
    </w:p>
    <w:p w14:paraId="7A032C90" w14:textId="036A6606" w:rsidR="001A7955" w:rsidRDefault="001A7955" w:rsidP="001A7955">
      <w:r>
        <w:t xml:space="preserve">The primary efficacy endpoint, CAILS response, had previously been used in a study of bexarotene, an oral treatment for </w:t>
      </w:r>
      <w:r w:rsidR="000C298D">
        <w:t>mycosis fungoides</w:t>
      </w:r>
      <w:r>
        <w:t>. Bexarotene is not registered in Austral</w:t>
      </w:r>
      <w:r w:rsidR="005F6814">
        <w:t xml:space="preserve">ia. </w:t>
      </w:r>
      <w:r>
        <w:t>CAILS response is based o</w:t>
      </w:r>
      <w:r w:rsidR="005F6814">
        <w:t>n the response of a maximum of five</w:t>
      </w:r>
      <w:r>
        <w:t xml:space="preserve"> lesions and as so has the potential to miss substantial</w:t>
      </w:r>
      <w:r w:rsidR="005F6814">
        <w:t xml:space="preserve"> changes in non-index lesions. </w:t>
      </w:r>
      <w:r>
        <w:t>It was therefore important to also include the SWAT assessment which allows for a global assessment of response in the description of efficacy from the pivotal study. The non-inferiority margin of -25% with 95% confidence was applied to both the CAILS and SWAT analyses</w:t>
      </w:r>
      <w:r w:rsidR="005F6814">
        <w:t xml:space="preserve"> and is an acceptable margin.</w:t>
      </w:r>
    </w:p>
    <w:p w14:paraId="66D18858" w14:textId="23D8ADF4" w:rsidR="001A7955" w:rsidRDefault="001A7955" w:rsidP="001A7955">
      <w:r>
        <w:t xml:space="preserve">The study report for Study 201, the pivotal study, indicated that the evaluable population was the primary population for assessment of efficacy. While this may be useful for the demonstration of non-inferiority, given the high frequency of patients not meeting the eligibility criteria for inclusion in the efficacy-evaluable population it is important that emphasis be given to the ITT population because this population is more likely to closely reflect efficacy in the wider </w:t>
      </w:r>
      <w:r w:rsidR="000C298D">
        <w:t>mycosis fungoides</w:t>
      </w:r>
      <w:r>
        <w:t xml:space="preserve"> population. The NYU patient group should be excluded from the ITT analysis given they rece</w:t>
      </w:r>
      <w:r w:rsidR="005F6814">
        <w:t>ived mis-allocated treatment.</w:t>
      </w:r>
    </w:p>
    <w:p w14:paraId="0F6897E0" w14:textId="77777777" w:rsidR="001A7955" w:rsidRDefault="001A7955" w:rsidP="001A7955">
      <w:r>
        <w:t>The sponsor proposed highlighting the evaluable for efficacy CAILS and SWAT results in the clinical trial description in the PI, subdividing each of these to present complete and partial response rates. Given that the CAILS assessment is based</w:t>
      </w:r>
      <w:r w:rsidR="005F6814">
        <w:t xml:space="preserve"> on criteria from a maximum of five</w:t>
      </w:r>
      <w:r>
        <w:t xml:space="preserve"> index lesions a patient would be considered a CAILS </w:t>
      </w:r>
      <w:r w:rsidR="005F6814">
        <w:t>complete response (</w:t>
      </w:r>
      <w:r>
        <w:t>CR</w:t>
      </w:r>
      <w:r w:rsidR="005F6814">
        <w:t>)</w:t>
      </w:r>
      <w:r>
        <w:t xml:space="preserve"> w</w:t>
      </w:r>
      <w:r w:rsidR="005F6814">
        <w:t>ith complete resolution of all five</w:t>
      </w:r>
      <w:r>
        <w:t xml:space="preserve"> index lesions, but may still have remaining disease (non-index lesions), or have developed new lesions. Of the 31 patients who </w:t>
      </w:r>
      <w:r>
        <w:lastRenderedPageBreak/>
        <w:t xml:space="preserve">achieved a CAILS CR, only 11 (35%) had a global CR (SWAT response) as well. The remaining 18 patients had partial </w:t>
      </w:r>
      <w:r w:rsidR="005F6814">
        <w:t>response on SWAT criteria, and two</w:t>
      </w:r>
      <w:r>
        <w:t xml:space="preserve"> patients had st</w:t>
      </w:r>
      <w:r w:rsidR="005F6814">
        <w:t>able disease on SWAT criteria. The Delegate</w:t>
      </w:r>
      <w:r>
        <w:t xml:space="preserve"> consider</w:t>
      </w:r>
      <w:r w:rsidR="005F6814">
        <w:t>s</w:t>
      </w:r>
      <w:r>
        <w:t xml:space="preserve"> it </w:t>
      </w:r>
      <w:r w:rsidR="005F6814">
        <w:t xml:space="preserve">is </w:t>
      </w:r>
      <w:r>
        <w:t>inappropriate to include CR in the clinical trial description because it is potentially misleading in that it does not indicate an overall com</w:t>
      </w:r>
      <w:r w:rsidR="005F6814">
        <w:t xml:space="preserve">plete response to treatment. The Delegate </w:t>
      </w:r>
      <w:r>
        <w:t>consider</w:t>
      </w:r>
      <w:r w:rsidR="005F6814">
        <w:t>s</w:t>
      </w:r>
      <w:r>
        <w:t xml:space="preserve"> that the ITT (excluding NYU patients who were mis-allocated to treatment) should be the primary population displayed in the clinical trials section because that population most closely reflects the expected efficacy in</w:t>
      </w:r>
      <w:r w:rsidR="005F6814">
        <w:t xml:space="preserve"> the wider patient population.</w:t>
      </w:r>
    </w:p>
    <w:p w14:paraId="3A97222D" w14:textId="05CC7FC1" w:rsidR="001A7955" w:rsidRDefault="001A7955" w:rsidP="001A7955">
      <w:r>
        <w:t xml:space="preserve">The sponsor proposes including all grades of </w:t>
      </w:r>
      <w:r w:rsidR="000C298D">
        <w:t>mycosis fungoides</w:t>
      </w:r>
      <w:r>
        <w:t xml:space="preserve"> in the indication though the pivotal study was restricted to patients with Stage</w:t>
      </w:r>
      <w:r w:rsidR="00C040EB">
        <w:t xml:space="preserve"> I or IIA (cutaneous only) </w:t>
      </w:r>
      <w:r w:rsidR="000C298D">
        <w:t>mycosis fungoides</w:t>
      </w:r>
      <w:r w:rsidR="00C040EB">
        <w:t>. The Delegate</w:t>
      </w:r>
      <w:r>
        <w:t xml:space="preserve"> note</w:t>
      </w:r>
      <w:r w:rsidR="00C040EB">
        <w:t>s</w:t>
      </w:r>
      <w:r>
        <w:t xml:space="preserve"> that the indication in the USA is restric</w:t>
      </w:r>
      <w:r w:rsidR="00C040EB">
        <w:t>ted to patients with the Stage I</w:t>
      </w:r>
      <w:r>
        <w:t xml:space="preserve"> and IIA </w:t>
      </w:r>
      <w:r w:rsidR="000C298D">
        <w:t>mycosis fungoides</w:t>
      </w:r>
      <w:r>
        <w:t xml:space="preserve"> while the indication in the EU includes all stages of </w:t>
      </w:r>
      <w:r w:rsidR="000C298D">
        <w:t>mycosis fungoides</w:t>
      </w:r>
      <w:r>
        <w:t xml:space="preserve">. Patients enrolled in Study 201 had only early stage disease however skin manifestations occur in all stages of </w:t>
      </w:r>
      <w:r w:rsidR="000C298D">
        <w:t>mycosis fungoides</w:t>
      </w:r>
      <w:r>
        <w:t xml:space="preserve"> and topical treatment can be given in combination with systemic treatments, therefore it is appropriate that the indication not be restricted to pati</w:t>
      </w:r>
      <w:r w:rsidR="00C040EB">
        <w:t>ents with early stage disease.</w:t>
      </w:r>
    </w:p>
    <w:p w14:paraId="5306DBDB" w14:textId="114DD480" w:rsidR="001A7955" w:rsidRDefault="001A7955" w:rsidP="001A7955">
      <w:r>
        <w:t>Given that no systemic absorption of chlormethine was detected it could be anticipated that treatment</w:t>
      </w:r>
      <w:r w:rsidR="00C040EB">
        <w:t xml:space="preserve"> </w:t>
      </w:r>
      <w:r>
        <w:t>related AEs would be concentrated in the Skin and Subcutaneous Tissue Diso</w:t>
      </w:r>
      <w:r w:rsidR="00C040EB">
        <w:t xml:space="preserve">rders SOC as was demonstrated. </w:t>
      </w:r>
      <w:r>
        <w:t xml:space="preserve">Study 201 showed that the </w:t>
      </w:r>
      <w:r w:rsidR="00DF4ED1">
        <w:t>propylene glycol</w:t>
      </w:r>
      <w:r>
        <w:t xml:space="preserve"> formulation proposed for registration showed somewhat more skin irritation and pruritus and a higher proportion of patients requiring treatment disruptions or study withdrawal due to AEs but the diff</w:t>
      </w:r>
      <w:r w:rsidR="00C040EB">
        <w:t xml:space="preserve">erences were relatively minor. </w:t>
      </w:r>
      <w:r>
        <w:t>Individuals would also be concerned with hyperpigmentation which occurred in 5.5% of patients.</w:t>
      </w:r>
    </w:p>
    <w:p w14:paraId="492D53A6" w14:textId="77777777" w:rsidR="001A7955" w:rsidRPr="00456765" w:rsidRDefault="001A7955" w:rsidP="001A7955">
      <w:r>
        <w:t>There is potential for skin malignancies with long term use however the data presented was not sufficient to accurately dete</w:t>
      </w:r>
      <w:r w:rsidR="00C040EB">
        <w:t xml:space="preserve">rmine the extent of this risk. </w:t>
      </w:r>
      <w:r>
        <w:t xml:space="preserve">Patients using </w:t>
      </w:r>
      <w:proofErr w:type="spellStart"/>
      <w:r>
        <w:t>L</w:t>
      </w:r>
      <w:r w:rsidR="00C040EB">
        <w:t>edaga</w:t>
      </w:r>
      <w:proofErr w:type="spellEnd"/>
      <w:r>
        <w:t xml:space="preserve"> should be advised to notify their physician of any new skin lesions and to undergo periodic assessment for signs and symptoms of skin cancer, including in areas not direct</w:t>
      </w:r>
      <w:r w:rsidR="00C040EB">
        <w:t>ly treated with chlormethine.</w:t>
      </w:r>
    </w:p>
    <w:p w14:paraId="6AEEE124" w14:textId="77777777" w:rsidR="00D23139" w:rsidRDefault="00D23139" w:rsidP="00D23139">
      <w:pPr>
        <w:pStyle w:val="Heading4"/>
      </w:pPr>
      <w:r w:rsidRPr="00D23139">
        <w:t>Proposed action</w:t>
      </w:r>
    </w:p>
    <w:p w14:paraId="69401A1C" w14:textId="69F1AC4C" w:rsidR="00C040EB" w:rsidRPr="00C040EB" w:rsidRDefault="00C040EB" w:rsidP="00C040EB">
      <w:r w:rsidRPr="00C040EB">
        <w:t xml:space="preserve">There is no objection to approval of </w:t>
      </w:r>
      <w:proofErr w:type="spellStart"/>
      <w:r w:rsidRPr="00C040EB">
        <w:t>L</w:t>
      </w:r>
      <w:r>
        <w:t>edaga</w:t>
      </w:r>
      <w:proofErr w:type="spellEnd"/>
      <w:r w:rsidRPr="00C040EB">
        <w:t xml:space="preserve"> topical gel containing 160 </w:t>
      </w:r>
      <w:r>
        <w:t>µg</w:t>
      </w:r>
      <w:r w:rsidR="004C5FFC">
        <w:t>/g</w:t>
      </w:r>
      <w:r w:rsidRPr="00C040EB">
        <w:t xml:space="preserve"> chlormethine for the topical treatment of </w:t>
      </w:r>
      <w:r w:rsidR="000C298D">
        <w:t>mycosis fungoides</w:t>
      </w:r>
      <w:r>
        <w:t xml:space="preserve"> type CTCL</w:t>
      </w:r>
      <w:r w:rsidRPr="00C040EB">
        <w:t xml:space="preserve"> in adult patients subject to successful negotiation of the conditions of registration.</w:t>
      </w:r>
    </w:p>
    <w:p w14:paraId="5B36A413" w14:textId="77777777" w:rsidR="008E7846" w:rsidRDefault="008E7846" w:rsidP="007D53B6">
      <w:pPr>
        <w:pStyle w:val="Heading4"/>
      </w:pPr>
      <w:r>
        <w:t xml:space="preserve">Advisory Committee </w:t>
      </w:r>
      <w:r w:rsidR="007D53B6">
        <w:t>c</w:t>
      </w:r>
      <w:r>
        <w:t>onsiderations</w:t>
      </w:r>
      <w:r w:rsidR="00456765">
        <w:rPr>
          <w:rStyle w:val="FootnoteReference"/>
        </w:rPr>
        <w:footnoteReference w:id="22"/>
      </w:r>
    </w:p>
    <w:p w14:paraId="5A414910" w14:textId="77777777" w:rsidR="00F10CA6" w:rsidRDefault="00F10CA6" w:rsidP="00F10CA6">
      <w:pPr>
        <w:rPr>
          <w:b/>
        </w:rPr>
      </w:pPr>
      <w:bookmarkStart w:id="55" w:name="_Toc247691532"/>
      <w:bookmarkStart w:id="56" w:name="_Toc314842516"/>
      <w:bookmarkEnd w:id="32"/>
      <w:bookmarkEnd w:id="52"/>
      <w:bookmarkEnd w:id="53"/>
      <w:r w:rsidRPr="00F10CA6">
        <w:t>The Delegate did not refer this application to the Advisory Committee on Medicines (ACM) for advice.</w:t>
      </w:r>
    </w:p>
    <w:p w14:paraId="159CD4B0" w14:textId="77777777" w:rsidR="008E7846" w:rsidRPr="002E238E" w:rsidRDefault="008E7846" w:rsidP="008E7846">
      <w:pPr>
        <w:pStyle w:val="Heading3"/>
      </w:pPr>
      <w:bookmarkStart w:id="57" w:name="_Toc83118516"/>
      <w:r>
        <w:lastRenderedPageBreak/>
        <w:t>Outcome</w:t>
      </w:r>
      <w:bookmarkEnd w:id="55"/>
      <w:bookmarkEnd w:id="56"/>
      <w:bookmarkEnd w:id="57"/>
    </w:p>
    <w:p w14:paraId="3C9830AA" w14:textId="77777777" w:rsidR="00744121" w:rsidRDefault="00744121" w:rsidP="00744121">
      <w:bookmarkStart w:id="58" w:name="_Toc247691533"/>
      <w:bookmarkStart w:id="59" w:name="_Toc314842517"/>
      <w:r>
        <w:t xml:space="preserve">Based on a review of quality, safety and efficacy, the TGA approved the registration of </w:t>
      </w:r>
      <w:proofErr w:type="spellStart"/>
      <w:r w:rsidR="005E100D">
        <w:t>Ledaga</w:t>
      </w:r>
      <w:proofErr w:type="spellEnd"/>
      <w:r w:rsidR="005E100D" w:rsidRPr="00250271">
        <w:t xml:space="preserve"> (</w:t>
      </w:r>
      <w:r w:rsidR="005E100D">
        <w:rPr>
          <w:rFonts w:cs="Cambria"/>
          <w:lang w:eastAsia="en-AU"/>
        </w:rPr>
        <w:t>c</w:t>
      </w:r>
      <w:r w:rsidR="005E100D" w:rsidRPr="00737771">
        <w:rPr>
          <w:rFonts w:cs="Cambria"/>
          <w:lang w:eastAsia="en-AU"/>
        </w:rPr>
        <w:t>hlormethine hydrochloride</w:t>
      </w:r>
      <w:r w:rsidR="005E100D" w:rsidRPr="00250271">
        <w:t xml:space="preserve">) </w:t>
      </w:r>
      <w:r w:rsidR="005E100D" w:rsidRPr="00737771">
        <w:t>160 µg/g</w:t>
      </w:r>
      <w:r w:rsidR="005E100D" w:rsidRPr="00250271">
        <w:t xml:space="preserve">, </w:t>
      </w:r>
      <w:r w:rsidR="005E100D">
        <w:t>gel, tube</w:t>
      </w:r>
      <w:r>
        <w:t>, indicated for:</w:t>
      </w:r>
    </w:p>
    <w:p w14:paraId="358FC399" w14:textId="77777777" w:rsidR="00D23139" w:rsidRPr="005E100D" w:rsidRDefault="005E100D" w:rsidP="005E100D">
      <w:pPr>
        <w:ind w:left="720"/>
        <w:rPr>
          <w:i/>
        </w:rPr>
      </w:pPr>
      <w:proofErr w:type="spellStart"/>
      <w:r w:rsidRPr="005E100D">
        <w:rPr>
          <w:i/>
        </w:rPr>
        <w:t>Ledaga</w:t>
      </w:r>
      <w:proofErr w:type="spellEnd"/>
      <w:r w:rsidRPr="005E100D">
        <w:rPr>
          <w:i/>
        </w:rPr>
        <w:t xml:space="preserve"> is indicated for the topical treatment of mycosis fungoides-type cutaneous T-cell lymphoma (MF-type CTCL) in adult patients.</w:t>
      </w:r>
    </w:p>
    <w:p w14:paraId="674F9640" w14:textId="77777777" w:rsidR="00D23139" w:rsidRPr="00D23139" w:rsidRDefault="00D23139" w:rsidP="00D23139">
      <w:pPr>
        <w:pStyle w:val="Heading4"/>
      </w:pPr>
      <w:r w:rsidRPr="00D23139">
        <w:t>Specific conditions of registration applying to these goods</w:t>
      </w:r>
    </w:p>
    <w:p w14:paraId="73441500" w14:textId="77777777" w:rsidR="005E100D" w:rsidRDefault="005E100D" w:rsidP="005E100D">
      <w:pPr>
        <w:pStyle w:val="ListBullet"/>
      </w:pPr>
      <w:proofErr w:type="spellStart"/>
      <w:r>
        <w:t>Ledaga</w:t>
      </w:r>
      <w:proofErr w:type="spellEnd"/>
      <w:r>
        <w:t xml:space="preserve"> (chlormethine) is to be included in the Black Triangle Scheme. The </w:t>
      </w:r>
      <w:r w:rsidR="009048F8">
        <w:t>PI</w:t>
      </w:r>
      <w:r>
        <w:t xml:space="preserve"> and CMI for </w:t>
      </w:r>
      <w:proofErr w:type="spellStart"/>
      <w:r>
        <w:t>Ledaga</w:t>
      </w:r>
      <w:proofErr w:type="spellEnd"/>
      <w:r>
        <w:t xml:space="preserve"> must include the black triangle symbol and mandatory accompanying text for five years, which starts from the date that the sponsor notifies the TGA of supply of the product.</w:t>
      </w:r>
    </w:p>
    <w:p w14:paraId="15E69597" w14:textId="77777777" w:rsidR="009048F8" w:rsidRDefault="005E100D" w:rsidP="009048F8">
      <w:pPr>
        <w:pStyle w:val="ListBullet"/>
      </w:pPr>
      <w:r>
        <w:t xml:space="preserve">The </w:t>
      </w:r>
      <w:proofErr w:type="spellStart"/>
      <w:r>
        <w:t>Ledaga</w:t>
      </w:r>
      <w:proofErr w:type="spellEnd"/>
      <w:r>
        <w:t xml:space="preserve"> EU-RMP (version 2.0, dated 8 March 2017, DLP: 22 February 2016), with ASA (version 2.0, dated 19 April 2021), included with submission 2020-03014-1-6, and any subsequent revisions, as agreed with the TGA will be implemented in Australia.</w:t>
      </w:r>
    </w:p>
    <w:p w14:paraId="4A058D9C" w14:textId="77777777" w:rsidR="009048F8" w:rsidRDefault="009048F8" w:rsidP="009048F8">
      <w:pPr>
        <w:pStyle w:val="ListBullet"/>
        <w:numPr>
          <w:ilvl w:val="0"/>
          <w:numId w:val="0"/>
        </w:numPr>
        <w:ind w:left="360"/>
      </w:pPr>
      <w:r>
        <w:t>An obligatory component of risk management plans is routine pharmacovigilance. Routine pharmacovigilance includes the submission of periodic safety update reports (PSURs).</w:t>
      </w:r>
    </w:p>
    <w:p w14:paraId="521665A6" w14:textId="77777777" w:rsidR="009048F8" w:rsidRDefault="009048F8" w:rsidP="009048F8">
      <w:pPr>
        <w:pStyle w:val="ListBullet"/>
        <w:numPr>
          <w:ilvl w:val="0"/>
          <w:numId w:val="0"/>
        </w:numPr>
        <w:ind w:left="360"/>
      </w:pPr>
      <w:r>
        <w:t>Reports are to be provided in line with the current published list of EU reference dates and frequency of submission of PSURs until the period covered by such reports is not less than three years from the date of this approval letter. The reports are to at least meet the requirements for PSURs as described in the European Medicines Agency’s Guideline on Good Pharmacovigilance Practices (GVP) Module VII-periodic safety update report (Rev 1), Part VII.B Structures and processes. Note that submission of a PSUR does not constitute an application to vary the registration.</w:t>
      </w:r>
    </w:p>
    <w:p w14:paraId="40467230" w14:textId="77777777" w:rsidR="008E7846" w:rsidRDefault="00A80B5B" w:rsidP="00D23139">
      <w:pPr>
        <w:pStyle w:val="Heading2"/>
      </w:pPr>
      <w:bookmarkStart w:id="60" w:name="_Toc83118517"/>
      <w:r>
        <w:t xml:space="preserve">Attachment 1. </w:t>
      </w:r>
      <w:r w:rsidR="008E7846">
        <w:t xml:space="preserve">Product </w:t>
      </w:r>
      <w:r w:rsidR="00AA0ED0">
        <w:t>I</w:t>
      </w:r>
      <w:r w:rsidR="008E7846">
        <w:t>nformation</w:t>
      </w:r>
      <w:bookmarkEnd w:id="58"/>
      <w:bookmarkEnd w:id="59"/>
      <w:bookmarkEnd w:id="60"/>
    </w:p>
    <w:p w14:paraId="69976FF4" w14:textId="384F179B" w:rsidR="00C80137" w:rsidRDefault="006136D7" w:rsidP="00C80137">
      <w:pPr>
        <w:rPr>
          <w:color w:val="000000"/>
          <w:lang w:eastAsia="en-AU"/>
        </w:rPr>
      </w:pPr>
      <w:r w:rsidRPr="002B3624">
        <w:t xml:space="preserve">The </w:t>
      </w:r>
      <w:r>
        <w:t>PI</w:t>
      </w:r>
      <w:r w:rsidRPr="002B3624">
        <w:t xml:space="preserve"> for </w:t>
      </w:r>
      <w:proofErr w:type="spellStart"/>
      <w:r w:rsidR="00114461">
        <w:t>Ledaga</w:t>
      </w:r>
      <w:proofErr w:type="spellEnd"/>
      <w:r w:rsidR="00114461">
        <w:t xml:space="preserve"> </w:t>
      </w:r>
      <w:r>
        <w:t xml:space="preserve">approved with the submission which is described in </w:t>
      </w:r>
      <w:r w:rsidRPr="002B3624">
        <w:t xml:space="preserve">this </w:t>
      </w:r>
      <w:proofErr w:type="spellStart"/>
      <w:r w:rsidRPr="002B3624">
        <w:t>AusPAR</w:t>
      </w:r>
      <w:proofErr w:type="spellEnd"/>
      <w:r w:rsidRPr="002B3624">
        <w:t xml:space="preserve"> is at Attachment 1. For the most recent </w:t>
      </w:r>
      <w:r>
        <w:t>PI,</w:t>
      </w:r>
      <w:r w:rsidRPr="002B3624">
        <w:t xml:space="preserve"> please refer to the </w:t>
      </w:r>
      <w:r w:rsidRPr="007C6B9B">
        <w:t xml:space="preserve">TGA website at </w:t>
      </w:r>
      <w:r w:rsidR="007C6B9B" w:rsidRPr="007C6B9B">
        <w:t>&lt;</w:t>
      </w:r>
      <w:hyperlink r:id="rId23" w:history="1">
        <w:r w:rsidR="007C6B9B" w:rsidRPr="007C6B9B">
          <w:rPr>
            <w:rStyle w:val="Hyperlink"/>
          </w:rPr>
          <w:t>https://www.tga.gov.au/product-information-pi</w:t>
        </w:r>
      </w:hyperlink>
      <w:r w:rsidR="007C6B9B" w:rsidRPr="007C6B9B">
        <w:t>&gt;.</w:t>
      </w:r>
    </w:p>
    <w:p w14:paraId="71AEDFA5" w14:textId="77777777" w:rsidR="00291957" w:rsidRDefault="008E7846" w:rsidP="00114461">
      <w:pPr>
        <w:autoSpaceDE w:val="0"/>
        <w:autoSpaceDN w:val="0"/>
        <w:adjustRightInd w:val="0"/>
        <w:spacing w:after="0"/>
        <w:rPr>
          <w:lang w:eastAsia="ja-JP"/>
        </w:rPr>
      </w:pPr>
      <w:r w:rsidRPr="00C80137">
        <w:rPr>
          <w:b/>
        </w:rPr>
        <w:br w:type="page"/>
      </w:r>
    </w:p>
    <w:p w14:paraId="5CC6AE62" w14:textId="77777777" w:rsidR="00C80137" w:rsidRPr="001D043B" w:rsidRDefault="00C80137" w:rsidP="003A7F6C">
      <w:pPr>
        <w:pStyle w:val="TableTitle"/>
        <w:sectPr w:rsidR="00C80137" w:rsidRPr="001D043B" w:rsidSect="00B452CE">
          <w:headerReference w:type="even" r:id="rId24"/>
          <w:headerReference w:type="default" r:id="rId25"/>
          <w:headerReference w:type="first" r:id="rId26"/>
          <w:footerReference w:type="first" r:id="rId27"/>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62F4A334" w14:textId="77777777" w:rsidTr="00A05FA4">
        <w:trPr>
          <w:trHeight w:hRule="exact" w:val="704"/>
        </w:trPr>
        <w:tc>
          <w:tcPr>
            <w:tcW w:w="9175" w:type="dxa"/>
          </w:tcPr>
          <w:p w14:paraId="4D1CBFBD" w14:textId="77777777" w:rsidR="001C32CD" w:rsidRPr="00487162" w:rsidRDefault="001C32CD" w:rsidP="00A05FA4">
            <w:pPr>
              <w:pStyle w:val="TGASignoff"/>
            </w:pPr>
            <w:r w:rsidRPr="00487162">
              <w:lastRenderedPageBreak/>
              <w:t>Therapeutic Goods Administration</w:t>
            </w:r>
          </w:p>
        </w:tc>
      </w:tr>
      <w:tr w:rsidR="001C32CD" w:rsidRPr="005F55F7" w14:paraId="4EF73851" w14:textId="77777777" w:rsidTr="00A05FA4">
        <w:trPr>
          <w:trHeight w:val="1221"/>
        </w:trPr>
        <w:tc>
          <w:tcPr>
            <w:tcW w:w="9175" w:type="dxa"/>
            <w:tcMar>
              <w:top w:w="28" w:type="dxa"/>
            </w:tcMar>
          </w:tcPr>
          <w:p w14:paraId="5E25F128" w14:textId="77777777" w:rsidR="001C32CD" w:rsidRPr="00487162" w:rsidRDefault="001C32CD" w:rsidP="00A05FA4">
            <w:pPr>
              <w:pStyle w:val="Address"/>
            </w:pPr>
            <w:r w:rsidRPr="00487162">
              <w:t>PO Box 100 Woden ACT 2606 Australia</w:t>
            </w:r>
          </w:p>
          <w:p w14:paraId="70A1819E" w14:textId="4D496ABA" w:rsidR="001C32CD" w:rsidRPr="004748DD" w:rsidRDefault="001C32CD" w:rsidP="00A05FA4">
            <w:pPr>
              <w:pStyle w:val="Address"/>
              <w:rPr>
                <w:lang w:val="en-GB"/>
              </w:rPr>
            </w:pPr>
            <w:r w:rsidRPr="004748DD">
              <w:rPr>
                <w:lang w:val="en-GB"/>
              </w:rPr>
              <w:t xml:space="preserve">Email: </w:t>
            </w:r>
            <w:hyperlink r:id="rId28" w:history="1">
              <w:r w:rsidRPr="004748DD">
                <w:rPr>
                  <w:rStyle w:val="Hyperlink"/>
                  <w:lang w:val="en-GB"/>
                </w:rPr>
                <w:t>info@tga.gov.au</w:t>
              </w:r>
            </w:hyperlink>
            <w:r w:rsidRPr="004748DD">
              <w:rPr>
                <w:lang w:val="en-GB"/>
              </w:rPr>
              <w:t xml:space="preserve">  Phone: 1800 020 653  Fax: 02 6232 8605</w:t>
            </w:r>
          </w:p>
          <w:p w14:paraId="7EF66E6D" w14:textId="14903E1C" w:rsidR="001C32CD" w:rsidRPr="004748DD" w:rsidRDefault="000B7095" w:rsidP="00A05FA4">
            <w:pPr>
              <w:pStyle w:val="Address"/>
              <w:spacing w:line="260" w:lineRule="atLeast"/>
              <w:rPr>
                <w:b/>
                <w:color w:val="0000FF"/>
                <w:u w:val="single"/>
                <w:lang w:val="en-GB"/>
              </w:rPr>
            </w:pPr>
            <w:hyperlink r:id="rId29" w:history="1">
              <w:r w:rsidR="007C6B9B" w:rsidRPr="004748DD">
                <w:rPr>
                  <w:rStyle w:val="Hyperlink"/>
                  <w:b/>
                  <w:lang w:val="en-GB"/>
                </w:rPr>
                <w:t>https://www.tga.gov.au</w:t>
              </w:r>
            </w:hyperlink>
          </w:p>
        </w:tc>
      </w:tr>
    </w:tbl>
    <w:p w14:paraId="7D386AD7" w14:textId="77777777" w:rsidR="00774E1D" w:rsidRPr="004748DD" w:rsidRDefault="00774E1D" w:rsidP="004C239D">
      <w:pPr>
        <w:rPr>
          <w:lang w:val="en-GB"/>
        </w:rPr>
      </w:pPr>
    </w:p>
    <w:sectPr w:rsidR="00774E1D" w:rsidRPr="004748DD" w:rsidSect="001C32CD">
      <w:headerReference w:type="even" r:id="rId30"/>
      <w:headerReference w:type="default" r:id="rId31"/>
      <w:footerReference w:type="default" r:id="rId32"/>
      <w:headerReference w:type="first" r:id="rId33"/>
      <w:footerReference w:type="first" r:id="rId34"/>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6893EA" w14:textId="77777777" w:rsidR="000B7095" w:rsidRDefault="000B7095" w:rsidP="00C40A36">
      <w:pPr>
        <w:spacing w:after="0"/>
      </w:pPr>
      <w:r>
        <w:separator/>
      </w:r>
    </w:p>
  </w:endnote>
  <w:endnote w:type="continuationSeparator" w:id="0">
    <w:p w14:paraId="422C675E" w14:textId="77777777" w:rsidR="000B7095" w:rsidRDefault="000B7095"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Yu Gothic"/>
    <w:panose1 w:val="00000000000000000000"/>
    <w:charset w:val="00"/>
    <w:family w:val="swiss"/>
    <w:notTrueType/>
    <w:pitch w:val="default"/>
    <w:sig w:usb0="00000003" w:usb1="08070000" w:usb2="00000010" w:usb3="00000000" w:csb0="00020001" w:csb1="00000000"/>
  </w:font>
  <w:font w:name="MingLiU">
    <w:altName w:val="細明體"/>
    <w:panose1 w:val="02020509000000000000"/>
    <w:charset w:val="88"/>
    <w:family w:val="modern"/>
    <w:pitch w:val="fixed"/>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7D37E" w14:textId="77777777" w:rsidR="000B7095" w:rsidRDefault="000B70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56"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8364"/>
      <w:gridCol w:w="992"/>
    </w:tblGrid>
    <w:tr w:rsidR="000B7095" w:rsidRPr="00487162" w14:paraId="123A652C" w14:textId="77777777" w:rsidTr="000B7095">
      <w:trPr>
        <w:trHeight w:val="269"/>
      </w:trPr>
      <w:tc>
        <w:tcPr>
          <w:tcW w:w="8364" w:type="dxa"/>
          <w:tcMar>
            <w:top w:w="142" w:type="dxa"/>
            <w:bottom w:w="0" w:type="dxa"/>
          </w:tcMar>
        </w:tcPr>
        <w:p w14:paraId="2F425DA7" w14:textId="10F0D1E4" w:rsidR="000B7095" w:rsidRPr="00487162" w:rsidRDefault="000B7095" w:rsidP="000036FA">
          <w:pPr>
            <w:pStyle w:val="Footer"/>
          </w:pPr>
          <w:proofErr w:type="spellStart"/>
          <w:r w:rsidRPr="00487162">
            <w:t>AusPA</w:t>
          </w:r>
          <w:r>
            <w:t>R</w:t>
          </w:r>
          <w:proofErr w:type="spellEnd"/>
          <w:r>
            <w:t xml:space="preserve"> – </w:t>
          </w:r>
          <w:proofErr w:type="spellStart"/>
          <w:r>
            <w:t>Ledaga</w:t>
          </w:r>
          <w:proofErr w:type="spellEnd"/>
          <w:r>
            <w:t xml:space="preserve"> - chlormethine h</w:t>
          </w:r>
          <w:r w:rsidRPr="000036FA">
            <w:t xml:space="preserve">ydrochloride - </w:t>
          </w:r>
          <w:proofErr w:type="spellStart"/>
          <w:r w:rsidRPr="000036FA">
            <w:t>Recordati</w:t>
          </w:r>
          <w:proofErr w:type="spellEnd"/>
          <w:r w:rsidRPr="000036FA">
            <w:t xml:space="preserve"> Rare Diseases Australia Pty Ltd - PM-2020-03014-1-6</w:t>
          </w:r>
          <w:r>
            <w:t xml:space="preserve"> FINAL</w:t>
          </w:r>
          <w:r w:rsidRPr="00487162">
            <w:t xml:space="preserve"> </w:t>
          </w:r>
          <w:r>
            <w:t>2 September 2021</w:t>
          </w:r>
        </w:p>
      </w:tc>
      <w:tc>
        <w:tcPr>
          <w:tcW w:w="992" w:type="dxa"/>
          <w:tcMar>
            <w:top w:w="142" w:type="dxa"/>
            <w:bottom w:w="0" w:type="dxa"/>
          </w:tcMar>
        </w:tcPr>
        <w:p w14:paraId="200F9E58" w14:textId="6AD9AF14" w:rsidR="000B7095" w:rsidRPr="00487162" w:rsidRDefault="000B7095" w:rsidP="00DB750B">
          <w:pPr>
            <w:pStyle w:val="Footer"/>
            <w:jc w:val="right"/>
          </w:pPr>
          <w:r w:rsidRPr="00487162">
            <w:t xml:space="preserve">Page </w:t>
          </w:r>
          <w:r>
            <w:fldChar w:fldCharType="begin"/>
          </w:r>
          <w:r>
            <w:instrText xml:space="preserve"> PAGE  \* Arabic </w:instrText>
          </w:r>
          <w:r>
            <w:fldChar w:fldCharType="separate"/>
          </w:r>
          <w:r>
            <w:rPr>
              <w:noProof/>
            </w:rPr>
            <w:t>5</w:t>
          </w:r>
          <w:r>
            <w:fldChar w:fldCharType="end"/>
          </w:r>
          <w:r w:rsidRPr="00487162">
            <w:t xml:space="preserve"> of </w:t>
          </w:r>
          <w:r>
            <w:rPr>
              <w:noProof/>
            </w:rPr>
            <w:fldChar w:fldCharType="begin"/>
          </w:r>
          <w:r>
            <w:rPr>
              <w:noProof/>
            </w:rPr>
            <w:instrText xml:space="preserve"> NUMPAGES  \* Arabic </w:instrText>
          </w:r>
          <w:r>
            <w:rPr>
              <w:noProof/>
            </w:rPr>
            <w:fldChar w:fldCharType="separate"/>
          </w:r>
          <w:r>
            <w:rPr>
              <w:noProof/>
            </w:rPr>
            <w:t>26</w:t>
          </w:r>
          <w:r>
            <w:rPr>
              <w:noProof/>
            </w:rPr>
            <w:fldChar w:fldCharType="end"/>
          </w:r>
        </w:p>
      </w:tc>
    </w:tr>
  </w:tbl>
  <w:p w14:paraId="6547FC3C" w14:textId="77777777" w:rsidR="000B7095" w:rsidRDefault="000B7095" w:rsidP="003D1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A4CE4" w14:textId="77777777" w:rsidR="000B7095" w:rsidRDefault="000B70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0B7095" w:rsidRPr="00487162" w14:paraId="5A51DDDD" w14:textId="77777777" w:rsidTr="00E45619">
      <w:trPr>
        <w:trHeight w:val="269"/>
      </w:trPr>
      <w:tc>
        <w:tcPr>
          <w:tcW w:w="4519" w:type="dxa"/>
          <w:tcBorders>
            <w:top w:val="single" w:sz="4" w:space="0" w:color="auto"/>
          </w:tcBorders>
          <w:tcMar>
            <w:top w:w="142" w:type="dxa"/>
            <w:bottom w:w="0" w:type="dxa"/>
          </w:tcMar>
        </w:tcPr>
        <w:p w14:paraId="724AFE9A" w14:textId="77777777" w:rsidR="000B7095" w:rsidRPr="00487162" w:rsidRDefault="000B7095" w:rsidP="00FE1DEE">
          <w:pPr>
            <w:pStyle w:val="Footer"/>
          </w:pPr>
          <w:r w:rsidRPr="00487162">
            <w:t>Document title, Part #, Section # - Section title</w:t>
          </w:r>
        </w:p>
        <w:p w14:paraId="421645FE" w14:textId="77777777" w:rsidR="000B7095" w:rsidRPr="00487162" w:rsidRDefault="000B7095" w:rsidP="00FE1DEE">
          <w:pPr>
            <w:pStyle w:val="Footer"/>
          </w:pPr>
          <w:r w:rsidRPr="00487162">
            <w:t>V1.0 October 2010</w:t>
          </w:r>
        </w:p>
      </w:tc>
      <w:tc>
        <w:tcPr>
          <w:tcW w:w="4342" w:type="dxa"/>
          <w:tcBorders>
            <w:top w:val="single" w:sz="4" w:space="0" w:color="auto"/>
          </w:tcBorders>
          <w:tcMar>
            <w:top w:w="142" w:type="dxa"/>
            <w:bottom w:w="0" w:type="dxa"/>
          </w:tcMar>
        </w:tcPr>
        <w:p w14:paraId="6B87F86A" w14:textId="77777777" w:rsidR="000B7095" w:rsidRPr="00487162" w:rsidRDefault="000B7095"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rPr>
              <w:noProof/>
            </w:rPr>
            <w:fldChar w:fldCharType="begin"/>
          </w:r>
          <w:r>
            <w:rPr>
              <w:noProof/>
            </w:rPr>
            <w:instrText xml:space="preserve"> NUMPAGES  </w:instrText>
          </w:r>
          <w:r>
            <w:rPr>
              <w:noProof/>
            </w:rPr>
            <w:fldChar w:fldCharType="separate"/>
          </w:r>
          <w:r>
            <w:rPr>
              <w:noProof/>
            </w:rPr>
            <w:t>2</w:t>
          </w:r>
          <w:r>
            <w:rPr>
              <w:noProof/>
            </w:rPr>
            <w:fldChar w:fldCharType="end"/>
          </w:r>
        </w:p>
      </w:tc>
    </w:tr>
  </w:tbl>
  <w:p w14:paraId="11B93BBC" w14:textId="77777777" w:rsidR="000B7095" w:rsidRDefault="000B709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E5967" w14:textId="77777777" w:rsidR="000B7095" w:rsidRPr="001C32CD" w:rsidRDefault="000B7095" w:rsidP="001C32C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0B7095" w14:paraId="3AFA7F13" w14:textId="77777777" w:rsidTr="0010601F">
      <w:trPr>
        <w:trHeight w:val="108"/>
      </w:trPr>
      <w:tc>
        <w:tcPr>
          <w:tcW w:w="8875" w:type="dxa"/>
          <w:gridSpan w:val="2"/>
          <w:tcBorders>
            <w:bottom w:val="single" w:sz="4" w:space="0" w:color="auto"/>
          </w:tcBorders>
          <w:tcMar>
            <w:right w:w="284" w:type="dxa"/>
          </w:tcMar>
        </w:tcPr>
        <w:p w14:paraId="35C043F2" w14:textId="77777777" w:rsidR="000B7095" w:rsidRDefault="000B7095" w:rsidP="006E08B3">
          <w:pPr>
            <w:pStyle w:val="Heading3"/>
          </w:pPr>
          <w:r>
            <w:t>Copyright</w:t>
          </w:r>
        </w:p>
        <w:p w14:paraId="2BFB7401" w14:textId="77777777" w:rsidR="000B7095" w:rsidRDefault="000B7095" w:rsidP="006E08B3">
          <w:r>
            <w:rPr>
              <w:rFonts w:cs="Arial"/>
            </w:rPr>
            <w:t>©</w:t>
          </w:r>
          <w:r>
            <w:t xml:space="preserve"> Commonwealth of Australia [add year]</w:t>
          </w:r>
        </w:p>
        <w:p w14:paraId="689E2314" w14:textId="77777777" w:rsidR="000B7095" w:rsidRDefault="000B7095" w:rsidP="006E08B3"/>
        <w:p w14:paraId="15B49281" w14:textId="77777777" w:rsidR="000B7095" w:rsidRDefault="000B7095"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4B652957" w14:textId="77777777" w:rsidR="000B7095" w:rsidRDefault="000B7095" w:rsidP="006E08B3"/>
        <w:p w14:paraId="02EFDD94" w14:textId="77777777" w:rsidR="000B7095" w:rsidRDefault="000B7095" w:rsidP="006E08B3">
          <w:pPr>
            <w:pStyle w:val="Heading3"/>
          </w:pPr>
          <w:r>
            <w:t>Confidentiality</w:t>
          </w:r>
        </w:p>
        <w:p w14:paraId="47142A9E" w14:textId="77777777" w:rsidR="000B7095" w:rsidRDefault="000B7095"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6BB3BD8C" w14:textId="77777777" w:rsidR="000B7095" w:rsidRDefault="000B7095" w:rsidP="006E08B3"/>
        <w:p w14:paraId="697BA602" w14:textId="77777777" w:rsidR="000B7095" w:rsidRDefault="000B7095" w:rsidP="006E08B3">
          <w:r>
            <w:t>For submission made by individuals, all personal details, other than your name, will be removed from your submission before it is published on the TGA’s Internet site.</w:t>
          </w:r>
        </w:p>
        <w:p w14:paraId="479C8832" w14:textId="77777777" w:rsidR="000B7095" w:rsidRDefault="000B7095" w:rsidP="006E08B3"/>
        <w:p w14:paraId="5B21CE77" w14:textId="77777777" w:rsidR="000B7095" w:rsidRDefault="000B7095"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0B7095" w14:paraId="5B61E2DF" w14:textId="77777777" w:rsidTr="0010601F">
      <w:trPr>
        <w:trHeight w:val="417"/>
      </w:trPr>
      <w:tc>
        <w:tcPr>
          <w:tcW w:w="4519" w:type="dxa"/>
          <w:tcBorders>
            <w:top w:val="single" w:sz="4" w:space="0" w:color="auto"/>
          </w:tcBorders>
          <w:tcMar>
            <w:top w:w="142" w:type="dxa"/>
            <w:bottom w:w="0" w:type="dxa"/>
          </w:tcMar>
        </w:tcPr>
        <w:p w14:paraId="36E9DF8F" w14:textId="77777777" w:rsidR="000B7095" w:rsidRDefault="000B7095" w:rsidP="006E08B3">
          <w:r>
            <w:t>Document title, Part #, Section # - Section title</w:t>
          </w:r>
        </w:p>
        <w:p w14:paraId="45323AC1" w14:textId="77777777" w:rsidR="000B7095" w:rsidRDefault="000B7095" w:rsidP="006E08B3">
          <w:r>
            <w:t>V1.0 October 2010</w:t>
          </w:r>
        </w:p>
      </w:tc>
      <w:tc>
        <w:tcPr>
          <w:tcW w:w="4356" w:type="dxa"/>
          <w:tcBorders>
            <w:top w:val="single" w:sz="4" w:space="0" w:color="auto"/>
          </w:tcBorders>
          <w:tcMar>
            <w:top w:w="142" w:type="dxa"/>
            <w:bottom w:w="0" w:type="dxa"/>
          </w:tcMar>
        </w:tcPr>
        <w:p w14:paraId="3304D4BB" w14:textId="77777777" w:rsidR="000B7095" w:rsidRDefault="000B7095"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Pr>
              <w:noProof/>
            </w:rPr>
            <w:fldChar w:fldCharType="begin"/>
          </w:r>
          <w:r>
            <w:rPr>
              <w:noProof/>
            </w:rPr>
            <w:instrText xml:space="preserve"> NUMPAGES  \* Arabic </w:instrText>
          </w:r>
          <w:r>
            <w:rPr>
              <w:noProof/>
            </w:rPr>
            <w:fldChar w:fldCharType="separate"/>
          </w:r>
          <w:r>
            <w:rPr>
              <w:noProof/>
            </w:rPr>
            <w:t>2</w:t>
          </w:r>
          <w:r>
            <w:rPr>
              <w:noProof/>
            </w:rPr>
            <w:fldChar w:fldCharType="end"/>
          </w:r>
          <w:r>
            <w:t xml:space="preserve">  </w:t>
          </w:r>
        </w:p>
      </w:tc>
    </w:tr>
  </w:tbl>
  <w:p w14:paraId="55497627" w14:textId="77777777" w:rsidR="000B7095" w:rsidRDefault="000B70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B5DC99" w14:textId="77777777" w:rsidR="000B7095" w:rsidRDefault="000B7095" w:rsidP="00C40A36">
      <w:pPr>
        <w:spacing w:after="0"/>
      </w:pPr>
      <w:r>
        <w:separator/>
      </w:r>
    </w:p>
  </w:footnote>
  <w:footnote w:type="continuationSeparator" w:id="0">
    <w:p w14:paraId="45932614" w14:textId="77777777" w:rsidR="000B7095" w:rsidRDefault="000B7095" w:rsidP="00C40A36">
      <w:pPr>
        <w:spacing w:after="0"/>
      </w:pPr>
      <w:r>
        <w:continuationSeparator/>
      </w:r>
    </w:p>
  </w:footnote>
  <w:footnote w:id="1">
    <w:p w14:paraId="7A5B0498" w14:textId="77777777" w:rsidR="000B7095" w:rsidRDefault="000B7095">
      <w:pPr>
        <w:pStyle w:val="FootnoteText"/>
      </w:pPr>
      <w:r>
        <w:rPr>
          <w:rStyle w:val="FootnoteReference"/>
        </w:rPr>
        <w:footnoteRef/>
      </w:r>
      <w:r>
        <w:t xml:space="preserve"> </w:t>
      </w:r>
      <w:r w:rsidRPr="00460036">
        <w:t xml:space="preserve">The </w:t>
      </w:r>
      <w:r w:rsidRPr="00460036">
        <w:rPr>
          <w:b/>
        </w:rPr>
        <w:t>Black Triangle Scheme</w:t>
      </w:r>
      <w:r w:rsidRPr="00460036">
        <w:t xml:space="preserve"> provides a simple means for practitioners and patients to identify certain types of new prescription medicines, including those being used in new ways and to encourage the reporting of adverse events associated with their use. The Black Triangle does not denote that there are known safety problems, just that the TGA is encouraging adverse event reporting to help us build up the full picture of a medicine's safety profile.</w:t>
      </w:r>
    </w:p>
  </w:footnote>
  <w:footnote w:id="2">
    <w:p w14:paraId="10CC4577" w14:textId="32589257" w:rsidR="000B7095" w:rsidRDefault="000B7095" w:rsidP="00AA018E">
      <w:pPr>
        <w:pStyle w:val="FootnoteText"/>
      </w:pPr>
      <w:r>
        <w:rPr>
          <w:rStyle w:val="FootnoteReference"/>
        </w:rPr>
        <w:footnoteRef/>
      </w:r>
      <w:r>
        <w:t xml:space="preserve"> P</w:t>
      </w:r>
      <w:proofErr w:type="spellStart"/>
      <w:r>
        <w:rPr>
          <w:lang w:val="en"/>
        </w:rPr>
        <w:t>hysician</w:t>
      </w:r>
      <w:proofErr w:type="spellEnd"/>
      <w:r>
        <w:rPr>
          <w:lang w:val="en"/>
        </w:rPr>
        <w:t xml:space="preserve"> Data Query (PDQ) adult treatment editorial board: Mycosis fungoides (including </w:t>
      </w:r>
      <w:proofErr w:type="spellStart"/>
      <w:r>
        <w:rPr>
          <w:lang w:val="en"/>
        </w:rPr>
        <w:t>Sézary</w:t>
      </w:r>
      <w:proofErr w:type="spellEnd"/>
      <w:r>
        <w:rPr>
          <w:lang w:val="en"/>
        </w:rPr>
        <w:t xml:space="preserve"> syndrome) treatment (Physician Data Query), health professional version, </w:t>
      </w:r>
      <w:r>
        <w:rPr>
          <w:color w:val="2E2E2E"/>
          <w:lang w:val="en"/>
        </w:rPr>
        <w:t>Bethesda, USA: National Cancer Institute. Updated 20 September 2019. Available at:</w:t>
      </w:r>
      <w:r>
        <w:rPr>
          <w:lang w:val="en"/>
        </w:rPr>
        <w:t xml:space="preserve"> </w:t>
      </w:r>
      <w:r w:rsidRPr="004748DD">
        <w:t>https://www.cancer.gov/types/lymphoma/hp/mycosis-fungoides-treatment-pdq</w:t>
      </w:r>
    </w:p>
  </w:footnote>
  <w:footnote w:id="3">
    <w:p w14:paraId="07919EA8" w14:textId="4D8E1873" w:rsidR="000B7095" w:rsidRDefault="000B7095">
      <w:pPr>
        <w:pStyle w:val="FootnoteText"/>
      </w:pPr>
      <w:r>
        <w:rPr>
          <w:rStyle w:val="FootnoteReference"/>
        </w:rPr>
        <w:footnoteRef/>
      </w:r>
      <w:r>
        <w:t xml:space="preserve"> Burg G, </w:t>
      </w:r>
      <w:r w:rsidRPr="00C17572">
        <w:t xml:space="preserve">et al. </w:t>
      </w:r>
      <w:r>
        <w:t xml:space="preserve">(2005) </w:t>
      </w:r>
      <w:r w:rsidRPr="00C17572">
        <w:t xml:space="preserve">WHO/EORTC classification of cutaneous lymphomas 2005: histological and molecular aspects. </w:t>
      </w:r>
      <w:r w:rsidRPr="00C17572">
        <w:rPr>
          <w:i/>
        </w:rPr>
        <w:t xml:space="preserve">J </w:t>
      </w:r>
      <w:proofErr w:type="spellStart"/>
      <w:r w:rsidRPr="00C17572">
        <w:rPr>
          <w:i/>
        </w:rPr>
        <w:t>Cutan</w:t>
      </w:r>
      <w:proofErr w:type="spellEnd"/>
      <w:r w:rsidRPr="00C17572">
        <w:rPr>
          <w:i/>
        </w:rPr>
        <w:t xml:space="preserve"> </w:t>
      </w:r>
      <w:proofErr w:type="spellStart"/>
      <w:r w:rsidRPr="00C17572">
        <w:rPr>
          <w:i/>
        </w:rPr>
        <w:t>Pathol</w:t>
      </w:r>
      <w:proofErr w:type="spellEnd"/>
      <w:r w:rsidRPr="00C17572">
        <w:t>;</w:t>
      </w:r>
      <w:r>
        <w:t xml:space="preserve"> </w:t>
      </w:r>
      <w:r w:rsidRPr="00C17572">
        <w:t>32:647-74.</w:t>
      </w:r>
    </w:p>
  </w:footnote>
  <w:footnote w:id="4">
    <w:p w14:paraId="78803DE3" w14:textId="7FF82FE6" w:rsidR="000B7095" w:rsidRDefault="000B7095">
      <w:pPr>
        <w:pStyle w:val="FootnoteText"/>
      </w:pPr>
      <w:r>
        <w:rPr>
          <w:rStyle w:val="FootnoteReference"/>
        </w:rPr>
        <w:footnoteRef/>
      </w:r>
      <w:r>
        <w:t xml:space="preserve"> </w:t>
      </w:r>
      <w:proofErr w:type="spellStart"/>
      <w:r>
        <w:t>Trautinger</w:t>
      </w:r>
      <w:proofErr w:type="spellEnd"/>
      <w:r>
        <w:t xml:space="preserve"> F, </w:t>
      </w:r>
      <w:r w:rsidRPr="00C17572">
        <w:t>et al.</w:t>
      </w:r>
      <w:r>
        <w:t xml:space="preserve"> (2006)</w:t>
      </w:r>
      <w:r w:rsidRPr="00C17572">
        <w:t xml:space="preserve"> EORTC consensus recommendations for the treatment of mycosis fungoides/Sezary syndrome</w:t>
      </w:r>
      <w:r w:rsidRPr="00C17572">
        <w:rPr>
          <w:i/>
        </w:rPr>
        <w:t>. Eur J Can</w:t>
      </w:r>
      <w:r w:rsidRPr="00C17572">
        <w:t>;42: 1014–30.</w:t>
      </w:r>
    </w:p>
  </w:footnote>
  <w:footnote w:id="5">
    <w:p w14:paraId="6AD329C5" w14:textId="77777777" w:rsidR="000B7095" w:rsidRDefault="000B7095">
      <w:pPr>
        <w:pStyle w:val="FootnoteText"/>
      </w:pPr>
      <w:r>
        <w:rPr>
          <w:rStyle w:val="FootnoteReference"/>
        </w:rPr>
        <w:footnoteRef/>
      </w:r>
      <w:r>
        <w:t xml:space="preserve"> </w:t>
      </w:r>
      <w:r w:rsidRPr="00C17572">
        <w:t xml:space="preserve">Olsen 2011, Clinical End Points and Response Criteria in </w:t>
      </w:r>
      <w:proofErr w:type="spellStart"/>
      <w:r w:rsidRPr="00C17572">
        <w:t>MycosisFungoides</w:t>
      </w:r>
      <w:proofErr w:type="spellEnd"/>
      <w:r w:rsidRPr="00C17572">
        <w:t xml:space="preserve"> and Sezary Syndrome: A Consensus Statement of the International Society for Cutaneous Lymphomas, the United States Cutaneous Lymphoma Consortium, and the Cutaneous Lymphoma Task Force of the European Organisation for Research and Treatment of Cancer.</w:t>
      </w:r>
    </w:p>
  </w:footnote>
  <w:footnote w:id="6">
    <w:p w14:paraId="41F65198" w14:textId="154FFE4D" w:rsidR="000B7095" w:rsidRDefault="000B7095">
      <w:pPr>
        <w:pStyle w:val="FootnoteText"/>
      </w:pPr>
      <w:r>
        <w:rPr>
          <w:rStyle w:val="FootnoteReference"/>
        </w:rPr>
        <w:footnoteRef/>
      </w:r>
      <w:r>
        <w:t xml:space="preserve"> </w:t>
      </w:r>
      <w:proofErr w:type="spellStart"/>
      <w:r>
        <w:t>Trautinger</w:t>
      </w:r>
      <w:proofErr w:type="spellEnd"/>
      <w:r>
        <w:t xml:space="preserve"> F, </w:t>
      </w:r>
      <w:r w:rsidRPr="00803A13">
        <w:t>et al.</w:t>
      </w:r>
      <w:r>
        <w:t xml:space="preserve"> (2017)</w:t>
      </w:r>
      <w:r w:rsidRPr="00803A13">
        <w:t xml:space="preserve"> European Organisation for Research and Treatment of Cancer consensus recommendations for the treatment of mycosis fungoides/</w:t>
      </w:r>
      <w:proofErr w:type="spellStart"/>
      <w:r w:rsidRPr="00803A13">
        <w:t>Sézary</w:t>
      </w:r>
      <w:proofErr w:type="spellEnd"/>
      <w:r w:rsidRPr="00803A13">
        <w:t xml:space="preserve"> syndrome - Update 2017. </w:t>
      </w:r>
      <w:r w:rsidRPr="00803A13">
        <w:rPr>
          <w:i/>
        </w:rPr>
        <w:t>Eur J Cancer</w:t>
      </w:r>
      <w:r w:rsidRPr="00803A13">
        <w:t>;</w:t>
      </w:r>
      <w:r>
        <w:t xml:space="preserve"> </w:t>
      </w:r>
      <w:r w:rsidRPr="00803A13">
        <w:t>77:57-74.</w:t>
      </w:r>
    </w:p>
  </w:footnote>
  <w:footnote w:id="7">
    <w:p w14:paraId="21A504C5" w14:textId="77777777" w:rsidR="000B7095" w:rsidRDefault="000B7095">
      <w:pPr>
        <w:pStyle w:val="FootnoteText"/>
      </w:pPr>
      <w:r>
        <w:rPr>
          <w:rStyle w:val="FootnoteReference"/>
        </w:rPr>
        <w:footnoteRef/>
      </w:r>
      <w:r>
        <w:t xml:space="preserve"> Agar, N. S, et al</w:t>
      </w:r>
      <w:r w:rsidRPr="00577C89">
        <w:t xml:space="preserve"> (2010). Survival outcomes and prognostic factors in mycosis fungoides/</w:t>
      </w:r>
      <w:proofErr w:type="spellStart"/>
      <w:r w:rsidRPr="00577C89">
        <w:t>Sézary</w:t>
      </w:r>
      <w:proofErr w:type="spellEnd"/>
      <w:r w:rsidRPr="00577C89">
        <w:t xml:space="preserve"> syndrome: validation of the revised International Society for Cutaneous Lymphomas/European Organisation for Research and Treatment of Cancer staging propos</w:t>
      </w:r>
      <w:r>
        <w:t xml:space="preserve">al. </w:t>
      </w:r>
      <w:r w:rsidRPr="00577C89">
        <w:rPr>
          <w:i/>
        </w:rPr>
        <w:t>J clinical oncology</w:t>
      </w:r>
      <w:r w:rsidRPr="00577C89">
        <w:t>, 28(31), 4730–4739</w:t>
      </w:r>
      <w:r>
        <w:t>.</w:t>
      </w:r>
    </w:p>
  </w:footnote>
  <w:footnote w:id="8">
    <w:p w14:paraId="52B4B728" w14:textId="2B1594A9" w:rsidR="000B7095" w:rsidRDefault="000B7095">
      <w:pPr>
        <w:pStyle w:val="FootnoteText"/>
      </w:pPr>
      <w:r>
        <w:rPr>
          <w:rStyle w:val="FootnoteReference"/>
        </w:rPr>
        <w:footnoteRef/>
      </w:r>
      <w:r>
        <w:t xml:space="preserve"> Kim YH, et al. (1996) </w:t>
      </w:r>
      <w:r w:rsidRPr="00577C89">
        <w:t xml:space="preserve">Clinical Stage IA (limited patch and plaque) mycosis fungoides. A long-term outcome analysis. </w:t>
      </w:r>
      <w:r w:rsidRPr="005E34D7">
        <w:rPr>
          <w:i/>
        </w:rPr>
        <w:t>Arch Dermatol</w:t>
      </w:r>
      <w:r>
        <w:t>; 132:1309-13</w:t>
      </w:r>
    </w:p>
  </w:footnote>
  <w:footnote w:id="9">
    <w:p w14:paraId="79E35F35" w14:textId="77777777" w:rsidR="000B7095" w:rsidRDefault="000B7095">
      <w:pPr>
        <w:pStyle w:val="FootnoteText"/>
      </w:pPr>
      <w:r>
        <w:rPr>
          <w:rStyle w:val="FootnoteReference"/>
        </w:rPr>
        <w:footnoteRef/>
      </w:r>
      <w:r>
        <w:t xml:space="preserve"> </w:t>
      </w:r>
      <w:proofErr w:type="spellStart"/>
      <w:r>
        <w:t>Gliadel</w:t>
      </w:r>
      <w:proofErr w:type="spellEnd"/>
      <w:r>
        <w:t xml:space="preserve"> was registered in Australia on 16 May 2002, ARTG number: 77283.</w:t>
      </w:r>
    </w:p>
  </w:footnote>
  <w:footnote w:id="10">
    <w:p w14:paraId="22C860C1" w14:textId="4D9266B8" w:rsidR="000B7095" w:rsidRDefault="000B7095">
      <w:pPr>
        <w:pStyle w:val="FootnoteText"/>
      </w:pPr>
      <w:r>
        <w:rPr>
          <w:rStyle w:val="FootnoteReference"/>
        </w:rPr>
        <w:footnoteRef/>
      </w:r>
      <w:r>
        <w:t xml:space="preserve"> </w:t>
      </w:r>
      <w:proofErr w:type="spellStart"/>
      <w:r>
        <w:t>BiCNU</w:t>
      </w:r>
      <w:proofErr w:type="spellEnd"/>
      <w:r>
        <w:t xml:space="preserve"> was registered in Australia on 30 September 1991, ARTG number: 19243.</w:t>
      </w:r>
    </w:p>
  </w:footnote>
  <w:footnote w:id="11">
    <w:p w14:paraId="7C34802F" w14:textId="77777777" w:rsidR="000B7095" w:rsidRDefault="000B7095">
      <w:pPr>
        <w:pStyle w:val="FootnoteText"/>
      </w:pPr>
      <w:r>
        <w:rPr>
          <w:rStyle w:val="FootnoteReference"/>
        </w:rPr>
        <w:footnoteRef/>
      </w:r>
      <w:r w:rsidRPr="00D440DF">
        <w:rPr>
          <w:lang w:val="de-DE"/>
        </w:rPr>
        <w:t xml:space="preserve"> </w:t>
      </w:r>
      <w:r w:rsidRPr="00D440DF">
        <w:rPr>
          <w:lang w:val="de-DE"/>
        </w:rPr>
        <w:t xml:space="preserve">Bunn, P. A., Jr, &amp; Lamberg, S. I. (1979). </w:t>
      </w:r>
      <w:r w:rsidRPr="008A53C0">
        <w:t xml:space="preserve">Report of the Committee on Staging and Classification of Cutaneous T-Cell Lymphomas. </w:t>
      </w:r>
      <w:r w:rsidRPr="008A53C0">
        <w:rPr>
          <w:i/>
        </w:rPr>
        <w:t>Cancer treatment reports</w:t>
      </w:r>
      <w:r w:rsidRPr="008A53C0">
        <w:t>, 63(4), 725–728.</w:t>
      </w:r>
    </w:p>
  </w:footnote>
  <w:footnote w:id="12">
    <w:p w14:paraId="341B84B5" w14:textId="10CF1508" w:rsidR="000B7095" w:rsidRDefault="000B7095">
      <w:pPr>
        <w:pStyle w:val="FootnoteText"/>
      </w:pPr>
      <w:r>
        <w:rPr>
          <w:rStyle w:val="FootnoteReference"/>
        </w:rPr>
        <w:footnoteRef/>
      </w:r>
      <w:r>
        <w:t xml:space="preserve"> </w:t>
      </w:r>
      <w:proofErr w:type="spellStart"/>
      <w:r w:rsidRPr="008A53C0">
        <w:t>Valchlor</w:t>
      </w:r>
      <w:proofErr w:type="spellEnd"/>
      <w:r>
        <w:t xml:space="preserve"> is the tradename for sale of </w:t>
      </w:r>
      <w:proofErr w:type="spellStart"/>
      <w:r>
        <w:t>Ledaga</w:t>
      </w:r>
      <w:proofErr w:type="spellEnd"/>
      <w:r>
        <w:t xml:space="preserve"> (chlormethine hydrochloride) in the United States of America.</w:t>
      </w:r>
    </w:p>
  </w:footnote>
  <w:footnote w:id="13">
    <w:p w14:paraId="1507E0A4" w14:textId="7C86426B" w:rsidR="000B7095" w:rsidRPr="004748DD" w:rsidRDefault="000B7095">
      <w:pPr>
        <w:pStyle w:val="FootnoteText"/>
        <w:rPr>
          <w:lang w:val="en-US"/>
        </w:rPr>
      </w:pPr>
      <w:r>
        <w:rPr>
          <w:rStyle w:val="FootnoteReference"/>
        </w:rPr>
        <w:footnoteRef/>
      </w:r>
      <w:r>
        <w:t xml:space="preserve"> </w:t>
      </w:r>
      <w:r w:rsidRPr="004748DD">
        <w:rPr>
          <w:i/>
        </w:rPr>
        <w:t>Orphan drugs</w:t>
      </w:r>
      <w:r w:rsidRPr="006031DA">
        <w:t xml:space="preserve"> are often developed to treat small and very specific patient populations who suffer from rare diseases and conditions. In order to facilitate orphan drug access to the Australian marketplace and help offset orphan drug development costs the TGA waives application and evaluation fees for prescription medicine registration applications if a related orphan designation is in force. A medicine may be eligible for orphan drug designation if all orphan criteria set by the TGA are met. The orphan designation application precedes the registration application and the designation is specific to the sponsor, orphan indication for which designation was granted and dosage form of the medicine.</w:t>
      </w:r>
    </w:p>
  </w:footnote>
  <w:footnote w:id="14">
    <w:p w14:paraId="1EBEF2EA" w14:textId="77777777" w:rsidR="000B7095" w:rsidRDefault="000B7095">
      <w:pPr>
        <w:pStyle w:val="FootnoteText"/>
      </w:pPr>
      <w:r>
        <w:rPr>
          <w:rStyle w:val="FootnoteReference"/>
        </w:rPr>
        <w:footnoteRef/>
      </w:r>
      <w:r>
        <w:t xml:space="preserve"> </w:t>
      </w:r>
      <w:r w:rsidRPr="001E7823">
        <w:t>The Composite Assessment of Index Lesion Severity CAILS score is obtained by adding the severity score of each of the following categories for up to 5 index lesions: erythema, scaling, plaque elevation, and surface area. Severity is graded from 0 (none) to 8 (severe) for erythema and scaling; 0 to 3 for plaque elevation; and 0 to 9 for surface area.</w:t>
      </w:r>
    </w:p>
  </w:footnote>
  <w:footnote w:id="15">
    <w:p w14:paraId="1E79C8B6" w14:textId="77777777" w:rsidR="000B7095" w:rsidRDefault="000B7095">
      <w:pPr>
        <w:pStyle w:val="FootnoteText"/>
      </w:pPr>
      <w:r>
        <w:rPr>
          <w:rStyle w:val="FootnoteReference"/>
        </w:rPr>
        <w:footnoteRef/>
      </w:r>
      <w:r>
        <w:t xml:space="preserve"> </w:t>
      </w:r>
      <w:r w:rsidRPr="00996ECE">
        <w:t xml:space="preserve">Kim YH. Management with topical nitrogen mustard in mycosis fungoides. </w:t>
      </w:r>
      <w:r w:rsidRPr="00D24608">
        <w:rPr>
          <w:i/>
        </w:rPr>
        <w:t xml:space="preserve">Dermatol </w:t>
      </w:r>
      <w:proofErr w:type="spellStart"/>
      <w:r w:rsidRPr="00D24608">
        <w:rPr>
          <w:i/>
        </w:rPr>
        <w:t>Ther</w:t>
      </w:r>
      <w:proofErr w:type="spellEnd"/>
      <w:r w:rsidRPr="00996ECE">
        <w:t>. 2003;16(4):288-98.</w:t>
      </w:r>
    </w:p>
  </w:footnote>
  <w:footnote w:id="16">
    <w:p w14:paraId="4115AF74" w14:textId="77777777" w:rsidR="000B7095" w:rsidRDefault="000B7095">
      <w:pPr>
        <w:pStyle w:val="FootnoteText"/>
      </w:pPr>
      <w:r>
        <w:rPr>
          <w:rStyle w:val="FootnoteReference"/>
        </w:rPr>
        <w:footnoteRef/>
      </w:r>
      <w:r>
        <w:t xml:space="preserve"> Kim YH, et al</w:t>
      </w:r>
      <w:r w:rsidRPr="00D24608">
        <w:t xml:space="preserve">. Topical Nitrogen Mustard in the Management of Mycosis Fungoides: Update of the Stanford Experience. </w:t>
      </w:r>
      <w:r w:rsidRPr="00D24608">
        <w:rPr>
          <w:i/>
        </w:rPr>
        <w:t>Arch Dermatol</w:t>
      </w:r>
      <w:r w:rsidRPr="00D24608">
        <w:t>. 2003;139(2):165–173.</w:t>
      </w:r>
    </w:p>
  </w:footnote>
  <w:footnote w:id="17">
    <w:p w14:paraId="77F8DDF6" w14:textId="77777777" w:rsidR="000B7095" w:rsidRDefault="000B7095">
      <w:pPr>
        <w:pStyle w:val="FootnoteText"/>
      </w:pPr>
      <w:r>
        <w:rPr>
          <w:rStyle w:val="FootnoteReference"/>
        </w:rPr>
        <w:footnoteRef/>
      </w:r>
      <w:r>
        <w:t xml:space="preserve"> </w:t>
      </w:r>
      <w:r w:rsidRPr="00D24608">
        <w:t>Olsen EA,</w:t>
      </w:r>
      <w:r>
        <w:t xml:space="preserve"> et al</w:t>
      </w:r>
      <w:r w:rsidRPr="00D24608">
        <w:t xml:space="preserve">. Clinical end points and response criteria in mycosis fungoides and </w:t>
      </w:r>
      <w:proofErr w:type="spellStart"/>
      <w:r w:rsidRPr="00D24608">
        <w:t>Sézary</w:t>
      </w:r>
      <w:proofErr w:type="spellEnd"/>
      <w:r w:rsidRPr="00D24608">
        <w:t xml:space="preserve"> syndrome: a consensus statement of the International Society for Cutaneous Lymphomas, the United States Cutaneous Lymphoma Consortium, and the Cutaneous Lymphoma Task Force of the European Organisation for Research and Treatment of Cancer. </w:t>
      </w:r>
      <w:r w:rsidRPr="00D24608">
        <w:rPr>
          <w:i/>
        </w:rPr>
        <w:t>J Clin Oncol</w:t>
      </w:r>
      <w:r w:rsidRPr="00D24608">
        <w:t>. 2011 Jun 20;29(18):2598-607.</w:t>
      </w:r>
    </w:p>
  </w:footnote>
  <w:footnote w:id="18">
    <w:p w14:paraId="21682AFE" w14:textId="77777777" w:rsidR="000B7095" w:rsidRDefault="000B7095" w:rsidP="00316705">
      <w:pPr>
        <w:pStyle w:val="FootnoteText"/>
        <w:keepNext/>
        <w:keepLines/>
      </w:pPr>
      <w:r>
        <w:rPr>
          <w:rStyle w:val="FootnoteReference"/>
        </w:rPr>
        <w:footnoteRef/>
      </w:r>
      <w:r>
        <w:t xml:space="preserve"> Severity Weighted Assessment Tool is </w:t>
      </w:r>
      <w:r w:rsidRPr="00E172B2">
        <w:t xml:space="preserve">one of several tools a health care provider uses to monitor </w:t>
      </w:r>
      <w:r>
        <w:t xml:space="preserve">active cutaneous T-cell lymphoma (CTCL). The provider inspected each individual patch, plaque, and </w:t>
      </w:r>
      <w:proofErr w:type="spellStart"/>
      <w:r>
        <w:t>tumor</w:t>
      </w:r>
      <w:proofErr w:type="spellEnd"/>
      <w:r>
        <w:t xml:space="preserve">. Multipliers, also known as weighting factors, gave specific ‘weight’ or ‘value’ to each CTCL lesion type. Patches, which are flat, earned a multiplier of one. Plaques, which are raised, earned a multiplier of two. </w:t>
      </w:r>
      <w:proofErr w:type="spellStart"/>
      <w:r>
        <w:t>Tumors</w:t>
      </w:r>
      <w:proofErr w:type="spellEnd"/>
      <w:r>
        <w:t>, which are larger and solid, earned a multiplier of three. Mathematically, a multiplier of three (</w:t>
      </w:r>
      <w:proofErr w:type="spellStart"/>
      <w:r>
        <w:t>tumor</w:t>
      </w:r>
      <w:proofErr w:type="spellEnd"/>
      <w:r>
        <w:t>) contributed to a higher SWAT score than a multiplier of one or two. In the last step of the SWAT, the total in each of the three categories of lesions was added to obtain a final score.</w:t>
      </w:r>
    </w:p>
  </w:footnote>
  <w:footnote w:id="19">
    <w:p w14:paraId="3446193B" w14:textId="77777777" w:rsidR="000B7095" w:rsidRDefault="000B7095">
      <w:pPr>
        <w:pStyle w:val="FootnoteText"/>
      </w:pPr>
      <w:r>
        <w:rPr>
          <w:rStyle w:val="FootnoteReference"/>
        </w:rPr>
        <w:footnoteRef/>
      </w:r>
      <w:r>
        <w:t xml:space="preserve"> </w:t>
      </w:r>
      <w:proofErr w:type="spellStart"/>
      <w:r w:rsidRPr="00D24608">
        <w:t>Pimpinelli</w:t>
      </w:r>
      <w:proofErr w:type="spellEnd"/>
      <w:r w:rsidRPr="00D24608">
        <w:t xml:space="preserve"> N</w:t>
      </w:r>
      <w:r>
        <w:t xml:space="preserve">, et al. </w:t>
      </w:r>
      <w:r w:rsidRPr="00D24608">
        <w:t xml:space="preserve">Defining early mycosis fungoides. </w:t>
      </w:r>
      <w:r w:rsidRPr="00D24608">
        <w:rPr>
          <w:i/>
        </w:rPr>
        <w:t xml:space="preserve">J Am </w:t>
      </w:r>
      <w:proofErr w:type="spellStart"/>
      <w:r w:rsidRPr="00D24608">
        <w:rPr>
          <w:i/>
        </w:rPr>
        <w:t>Acad</w:t>
      </w:r>
      <w:proofErr w:type="spellEnd"/>
      <w:r w:rsidRPr="00D24608">
        <w:rPr>
          <w:i/>
        </w:rPr>
        <w:t xml:space="preserve"> Dermatol</w:t>
      </w:r>
      <w:r w:rsidRPr="00D24608">
        <w:t>. 2005 Dec;53(6):1053-63.</w:t>
      </w:r>
    </w:p>
  </w:footnote>
  <w:footnote w:id="20">
    <w:p w14:paraId="55E96010" w14:textId="0742FCFC" w:rsidR="000B7095" w:rsidRDefault="000B7095">
      <w:pPr>
        <w:pStyle w:val="FootnoteText"/>
      </w:pPr>
      <w:r>
        <w:rPr>
          <w:rStyle w:val="FootnoteReference"/>
        </w:rPr>
        <w:footnoteRef/>
      </w:r>
      <w:r>
        <w:t xml:space="preserve"> Sponsor clarification: C</w:t>
      </w:r>
      <w:r w:rsidRPr="00A32640">
        <w:t xml:space="preserve">ontinuation in the study was not contingent on continuation of </w:t>
      </w:r>
      <w:proofErr w:type="spellStart"/>
      <w:r w:rsidRPr="00A32640">
        <w:t>Valchlor</w:t>
      </w:r>
      <w:proofErr w:type="spellEnd"/>
      <w:r>
        <w:t xml:space="preserve"> (Tradename of the propylene glycol formulation in the USA).</w:t>
      </w:r>
    </w:p>
  </w:footnote>
  <w:footnote w:id="21">
    <w:p w14:paraId="0042C6CD" w14:textId="77777777" w:rsidR="000B7095" w:rsidRDefault="000B7095" w:rsidP="007D53B6">
      <w:pPr>
        <w:pStyle w:val="FootnoteText"/>
      </w:pPr>
      <w:r>
        <w:rPr>
          <w:rStyle w:val="FootnoteReference"/>
        </w:rPr>
        <w:footnoteRef/>
      </w:r>
      <w:r>
        <w:t xml:space="preserve"> </w:t>
      </w:r>
      <w:r w:rsidRPr="007D53B6">
        <w:rPr>
          <w:i/>
        </w:rPr>
        <w:t xml:space="preserve">Routine risk minimisation </w:t>
      </w:r>
      <w:r>
        <w:t>activities may be limited to ensuring that suitable warnings are included in the product information or by careful use of labelling and packaging.</w:t>
      </w:r>
    </w:p>
    <w:p w14:paraId="1CD15C33" w14:textId="77777777" w:rsidR="000B7095" w:rsidRDefault="000B7095" w:rsidP="007D53B6">
      <w:pPr>
        <w:pStyle w:val="FootnoteText"/>
      </w:pPr>
      <w:r w:rsidRPr="007D53B6">
        <w:rPr>
          <w:i/>
        </w:rPr>
        <w:t>Routine pharmacovigilance</w:t>
      </w:r>
      <w:r>
        <w:t xml:space="preserve"> practices involve the following activities:</w:t>
      </w:r>
    </w:p>
    <w:p w14:paraId="26CACD13" w14:textId="77777777" w:rsidR="000B7095" w:rsidRDefault="000B7095" w:rsidP="007D53B6">
      <w:pPr>
        <w:pStyle w:val="FootnoteText"/>
        <w:numPr>
          <w:ilvl w:val="0"/>
          <w:numId w:val="32"/>
        </w:numPr>
        <w:ind w:left="284" w:hanging="284"/>
      </w:pPr>
      <w:r>
        <w:t>All suspected adverse reactions that are reported to the personnel of the company are collected and collated in an accessible manner;</w:t>
      </w:r>
    </w:p>
    <w:p w14:paraId="4D2A0AC6" w14:textId="77777777" w:rsidR="000B7095" w:rsidRDefault="000B7095" w:rsidP="007D53B6">
      <w:pPr>
        <w:pStyle w:val="FootnoteText"/>
        <w:numPr>
          <w:ilvl w:val="0"/>
          <w:numId w:val="32"/>
        </w:numPr>
        <w:ind w:left="284" w:hanging="284"/>
      </w:pPr>
      <w:r>
        <w:t>Reporting to regulatory authorities;</w:t>
      </w:r>
    </w:p>
    <w:p w14:paraId="60EC2299" w14:textId="77777777" w:rsidR="000B7095" w:rsidRDefault="000B7095" w:rsidP="007D53B6">
      <w:pPr>
        <w:pStyle w:val="FootnoteText"/>
        <w:numPr>
          <w:ilvl w:val="0"/>
          <w:numId w:val="32"/>
        </w:numPr>
        <w:ind w:left="284" w:hanging="284"/>
      </w:pPr>
      <w:r>
        <w:t>Continuous monitoring of the safety profiles of approved products including signal detection and updating of labelling;</w:t>
      </w:r>
    </w:p>
    <w:p w14:paraId="5DF82B29" w14:textId="77777777" w:rsidR="000B7095" w:rsidRDefault="000B7095" w:rsidP="007D53B6">
      <w:pPr>
        <w:pStyle w:val="FootnoteText"/>
        <w:numPr>
          <w:ilvl w:val="0"/>
          <w:numId w:val="32"/>
        </w:numPr>
        <w:ind w:left="284" w:hanging="284"/>
      </w:pPr>
      <w:r>
        <w:t>Submission of PSURs;</w:t>
      </w:r>
    </w:p>
    <w:p w14:paraId="149CAD19" w14:textId="77777777" w:rsidR="000B7095" w:rsidRDefault="000B7095" w:rsidP="007D53B6">
      <w:pPr>
        <w:pStyle w:val="FootnoteText"/>
        <w:numPr>
          <w:ilvl w:val="0"/>
          <w:numId w:val="32"/>
        </w:numPr>
        <w:ind w:left="284" w:hanging="284"/>
      </w:pPr>
      <w:r>
        <w:t>Meeting other local regulatory agency requirements.</w:t>
      </w:r>
    </w:p>
  </w:footnote>
  <w:footnote w:id="22">
    <w:p w14:paraId="59A94C75" w14:textId="77777777" w:rsidR="000B7095" w:rsidRDefault="000B7095" w:rsidP="00456765">
      <w:pPr>
        <w:pStyle w:val="FootnoteText"/>
      </w:pPr>
      <w:r>
        <w:rPr>
          <w:rStyle w:val="FootnoteReference"/>
        </w:rPr>
        <w:footnoteRef/>
      </w:r>
      <w:r>
        <w:t xml:space="preserve"> The ACM provides independent medical and scientific advice to the Minister for Health and the Therapeutic Goods Administration (TGA) on issues relating to the safety, quality and efficacy of medicines supplied in Australia including issues relating to pre-market and post-market functions for medicines.</w:t>
      </w:r>
    </w:p>
    <w:p w14:paraId="4EE6FD12" w14:textId="77777777" w:rsidR="000B7095" w:rsidRPr="00456765" w:rsidRDefault="000B7095" w:rsidP="00456765">
      <w:pPr>
        <w:pStyle w:val="FootnoteText"/>
        <w:rPr>
          <w:lang w:val="en-US"/>
        </w:rPr>
      </w:pPr>
      <w:r>
        <w:t xml:space="preserve">The Committee is established under Regulation 35 of the Therapeutic Goods Regulations 1990. Members are appointed by the Minister. The ACM was established in January 2017 replacing </w:t>
      </w:r>
      <w:r w:rsidRPr="009E0C19">
        <w:t xml:space="preserve">Advisory Committee on Prescription Medicines (ACPM) </w:t>
      </w:r>
      <w:r>
        <w:t xml:space="preserve">which </w:t>
      </w:r>
      <w:r w:rsidRPr="009E0C19">
        <w:t>was formed in January 2010</w:t>
      </w:r>
      <w:r>
        <w:t>. ACM encompass pre and post-market advice for medicines, following the consolidation of the previous functions of the Advisory Committee on Prescription Medicines (ACPM), the Advisory Committee on the Safety of Medicines (ACSOM) and the Advisory Committee on Non-Prescription Medicines (ACNM). Membership comprises of professionals with specific scientific, medical or clinical expertise, as well as appropriate consumer health issues relating to medicines.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C88D0D" w14:textId="77777777" w:rsidR="000B7095" w:rsidRDefault="000B70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A72D3" w14:textId="77777777" w:rsidR="000B7095" w:rsidRDefault="000B7095" w:rsidP="00E45619">
    <w:pPr>
      <w:pStyle w:val="Header"/>
    </w:pPr>
    <w: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3A5D9" w14:textId="77777777" w:rsidR="000B7095" w:rsidRDefault="000B7095">
    <w:pPr>
      <w:rPr>
        <w:noProof/>
        <w:lang w:eastAsia="en-AU"/>
      </w:rPr>
    </w:pPr>
    <w:r w:rsidRPr="00347824">
      <w:rPr>
        <w:noProof/>
        <w:lang w:val="en-GB" w:eastAsia="en-GB"/>
      </w:rPr>
      <w:drawing>
        <wp:anchor distT="0" distB="0" distL="114300" distR="114300" simplePos="0" relativeHeight="251659264" behindDoc="1" locked="0" layoutInCell="1" allowOverlap="1" wp14:anchorId="3A19D4EB" wp14:editId="0C0A1883">
          <wp:simplePos x="0" y="0"/>
          <wp:positionH relativeFrom="column">
            <wp:posOffset>-1089660</wp:posOffset>
          </wp:positionH>
          <wp:positionV relativeFrom="paragraph">
            <wp:posOffset>-585470</wp:posOffset>
          </wp:positionV>
          <wp:extent cx="7572375" cy="10706100"/>
          <wp:effectExtent l="19050" t="0" r="0" b="0"/>
          <wp:wrapNone/>
          <wp:docPr id="8"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212E694C" w14:textId="77777777" w:rsidR="000B7095" w:rsidRDefault="000B7095" w:rsidP="00593AD1">
    <w:pPr>
      <w:pStyle w:val="HeaderNoLi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88D87" w14:textId="77777777" w:rsidR="000B7095" w:rsidRDefault="000B709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14652" w14:textId="77777777" w:rsidR="000B7095" w:rsidRDefault="000B7095">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944DD" w14:textId="77777777" w:rsidR="000B7095" w:rsidRDefault="000B7095">
    <w:pPr>
      <w:pStyle w:val="Header"/>
    </w:pPr>
    <w:r>
      <w:t>Therapeutic Goods Administration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F86DF" w14:textId="77777777" w:rsidR="000B7095" w:rsidRDefault="000B709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9C741" w14:textId="77777777" w:rsidR="000B7095" w:rsidRDefault="000B7095" w:rsidP="004C239D">
    <w:pPr>
      <w:pStyle w:val="HeaderNoLi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BEBE3" w14:textId="77777777" w:rsidR="000B7095" w:rsidRDefault="000B7095" w:rsidP="006E08B3">
    <w:r>
      <w:t>Therapeutic Goods Administration</w:t>
    </w:r>
  </w:p>
  <w:p w14:paraId="09653F7B" w14:textId="77777777" w:rsidR="000B7095" w:rsidRDefault="000B7095" w:rsidP="006D03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080017AB"/>
    <w:multiLevelType w:val="hybridMultilevel"/>
    <w:tmpl w:val="7FB83D2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1F3578D"/>
    <w:multiLevelType w:val="hybridMultilevel"/>
    <w:tmpl w:val="1D92B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8F13E9"/>
    <w:multiLevelType w:val="multilevel"/>
    <w:tmpl w:val="595C7BE6"/>
    <w:styleLink w:val="ListBullets"/>
    <w:lvl w:ilvl="0">
      <w:start w:val="1"/>
      <w:numFmt w:val="bullet"/>
      <w:pStyle w:val="ListBullet"/>
      <w:lvlText w:val="•"/>
      <w:lvlJc w:val="left"/>
      <w:pPr>
        <w:ind w:left="360" w:hanging="360"/>
      </w:pPr>
      <w:rPr>
        <w:rFonts w:ascii="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3A2F5CDC"/>
    <w:multiLevelType w:val="hybridMultilevel"/>
    <w:tmpl w:val="CB4A66D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07279CB"/>
    <w:multiLevelType w:val="hybridMultilevel"/>
    <w:tmpl w:val="324839D4"/>
    <w:lvl w:ilvl="0" w:tplc="E5EACD22">
      <w:numFmt w:val="bullet"/>
      <w:lvlText w:val="•"/>
      <w:lvlJc w:val="left"/>
      <w:pPr>
        <w:ind w:left="720" w:hanging="72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7"/>
  </w:num>
  <w:num w:numId="4">
    <w:abstractNumId w:val="7"/>
  </w:num>
  <w:num w:numId="5">
    <w:abstractNumId w:val="0"/>
  </w:num>
  <w:num w:numId="6">
    <w:abstractNumId w:val="7"/>
  </w:num>
  <w:num w:numId="7">
    <w:abstractNumId w:val="7"/>
  </w:num>
  <w:num w:numId="8">
    <w:abstractNumId w:val="5"/>
  </w:num>
  <w:num w:numId="9">
    <w:abstractNumId w:val="5"/>
  </w:num>
  <w:num w:numId="10">
    <w:abstractNumId w:val="5"/>
  </w:num>
  <w:num w:numId="11">
    <w:abstractNumId w:val="5"/>
  </w:num>
  <w:num w:numId="12">
    <w:abstractNumId w:val="3"/>
    <w:lvlOverride w:ilvl="0">
      <w:lvl w:ilvl="0">
        <w:numFmt w:val="bullet"/>
        <w:lvlText w:val="•"/>
        <w:legacy w:legacy="1" w:legacySpace="0" w:legacyIndent="0"/>
        <w:lvlJc w:val="left"/>
        <w:rPr>
          <w:rFonts w:ascii="Helv" w:hAnsi="Helv" w:hint="default"/>
        </w:rPr>
      </w:lvl>
    </w:lvlOverride>
  </w:num>
  <w:num w:numId="13">
    <w:abstractNumId w:val="7"/>
  </w:num>
  <w:num w:numId="14">
    <w:abstractNumId w:val="7"/>
  </w:num>
  <w:num w:numId="15">
    <w:abstractNumId w:val="7"/>
  </w:num>
  <w:num w:numId="16">
    <w:abstractNumId w:val="5"/>
  </w:num>
  <w:num w:numId="17">
    <w:abstractNumId w:val="5"/>
  </w:num>
  <w:num w:numId="18">
    <w:abstractNumId w:val="5"/>
  </w:num>
  <w:num w:numId="19">
    <w:abstractNumId w:val="7"/>
  </w:num>
  <w:num w:numId="20">
    <w:abstractNumId w:val="7"/>
  </w:num>
  <w:num w:numId="21">
    <w:abstractNumId w:val="7"/>
  </w:num>
  <w:num w:numId="22">
    <w:abstractNumId w:val="5"/>
  </w:num>
  <w:num w:numId="23">
    <w:abstractNumId w:val="5"/>
  </w:num>
  <w:num w:numId="24">
    <w:abstractNumId w:val="5"/>
  </w:num>
  <w:num w:numId="25">
    <w:abstractNumId w:val="5"/>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9"/>
  </w:num>
  <w:num w:numId="28">
    <w:abstractNumId w:val="11"/>
  </w:num>
  <w:num w:numId="29">
    <w:abstractNumId w:val="6"/>
  </w:num>
  <w:num w:numId="30">
    <w:abstractNumId w:val="8"/>
  </w:num>
  <w:num w:numId="31">
    <w:abstractNumId w:val="4"/>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8D0"/>
    <w:rsid w:val="00002031"/>
    <w:rsid w:val="000036FA"/>
    <w:rsid w:val="00004734"/>
    <w:rsid w:val="00006B22"/>
    <w:rsid w:val="00006FAB"/>
    <w:rsid w:val="0001276A"/>
    <w:rsid w:val="00013871"/>
    <w:rsid w:val="00023D63"/>
    <w:rsid w:val="000246AE"/>
    <w:rsid w:val="00025C67"/>
    <w:rsid w:val="000409B2"/>
    <w:rsid w:val="00044772"/>
    <w:rsid w:val="0004541C"/>
    <w:rsid w:val="0005559E"/>
    <w:rsid w:val="000604D6"/>
    <w:rsid w:val="00071783"/>
    <w:rsid w:val="000734D8"/>
    <w:rsid w:val="00077775"/>
    <w:rsid w:val="00080013"/>
    <w:rsid w:val="00080BA8"/>
    <w:rsid w:val="00086F7A"/>
    <w:rsid w:val="00090471"/>
    <w:rsid w:val="00096AA7"/>
    <w:rsid w:val="000A3AED"/>
    <w:rsid w:val="000B3532"/>
    <w:rsid w:val="000B3A75"/>
    <w:rsid w:val="000B7095"/>
    <w:rsid w:val="000C00C2"/>
    <w:rsid w:val="000C298D"/>
    <w:rsid w:val="000C690F"/>
    <w:rsid w:val="000D1295"/>
    <w:rsid w:val="000D391B"/>
    <w:rsid w:val="000D3D6D"/>
    <w:rsid w:val="000D4FC7"/>
    <w:rsid w:val="000E6196"/>
    <w:rsid w:val="000F4869"/>
    <w:rsid w:val="000F4ECE"/>
    <w:rsid w:val="000F5B42"/>
    <w:rsid w:val="000F6E6F"/>
    <w:rsid w:val="001025E4"/>
    <w:rsid w:val="0010601F"/>
    <w:rsid w:val="0010788A"/>
    <w:rsid w:val="00107A31"/>
    <w:rsid w:val="00110EA5"/>
    <w:rsid w:val="00112F56"/>
    <w:rsid w:val="00114461"/>
    <w:rsid w:val="001212B3"/>
    <w:rsid w:val="00122C2E"/>
    <w:rsid w:val="00123397"/>
    <w:rsid w:val="00124ACD"/>
    <w:rsid w:val="00125318"/>
    <w:rsid w:val="001305A2"/>
    <w:rsid w:val="00132F0D"/>
    <w:rsid w:val="00133238"/>
    <w:rsid w:val="00133A1B"/>
    <w:rsid w:val="00134154"/>
    <w:rsid w:val="0014197B"/>
    <w:rsid w:val="001447CD"/>
    <w:rsid w:val="001516B1"/>
    <w:rsid w:val="00154EBB"/>
    <w:rsid w:val="00156316"/>
    <w:rsid w:val="00161181"/>
    <w:rsid w:val="00162D14"/>
    <w:rsid w:val="00163780"/>
    <w:rsid w:val="00165389"/>
    <w:rsid w:val="00167F61"/>
    <w:rsid w:val="00173F92"/>
    <w:rsid w:val="0017693F"/>
    <w:rsid w:val="00180955"/>
    <w:rsid w:val="0018110E"/>
    <w:rsid w:val="00181684"/>
    <w:rsid w:val="001843C6"/>
    <w:rsid w:val="001850E0"/>
    <w:rsid w:val="001A03AF"/>
    <w:rsid w:val="001A2158"/>
    <w:rsid w:val="001A525F"/>
    <w:rsid w:val="001A7955"/>
    <w:rsid w:val="001B09F9"/>
    <w:rsid w:val="001B5C90"/>
    <w:rsid w:val="001B6448"/>
    <w:rsid w:val="001B67B2"/>
    <w:rsid w:val="001B6B70"/>
    <w:rsid w:val="001C32CD"/>
    <w:rsid w:val="001D10A8"/>
    <w:rsid w:val="001D2984"/>
    <w:rsid w:val="001D6AE3"/>
    <w:rsid w:val="001E0697"/>
    <w:rsid w:val="001E07CF"/>
    <w:rsid w:val="001E59F1"/>
    <w:rsid w:val="001E7823"/>
    <w:rsid w:val="001F26D0"/>
    <w:rsid w:val="001F2CEE"/>
    <w:rsid w:val="001F49EB"/>
    <w:rsid w:val="001F50F7"/>
    <w:rsid w:val="001F6CBA"/>
    <w:rsid w:val="00201D4E"/>
    <w:rsid w:val="002076C9"/>
    <w:rsid w:val="00220B8A"/>
    <w:rsid w:val="002257F3"/>
    <w:rsid w:val="00233456"/>
    <w:rsid w:val="002339A5"/>
    <w:rsid w:val="00250271"/>
    <w:rsid w:val="00257848"/>
    <w:rsid w:val="002578E8"/>
    <w:rsid w:val="0027084A"/>
    <w:rsid w:val="00271B0C"/>
    <w:rsid w:val="00280265"/>
    <w:rsid w:val="00286434"/>
    <w:rsid w:val="00286C59"/>
    <w:rsid w:val="00291957"/>
    <w:rsid w:val="002942D1"/>
    <w:rsid w:val="0029501A"/>
    <w:rsid w:val="00297213"/>
    <w:rsid w:val="00297B11"/>
    <w:rsid w:val="002A3721"/>
    <w:rsid w:val="002B1638"/>
    <w:rsid w:val="002B3624"/>
    <w:rsid w:val="002C470E"/>
    <w:rsid w:val="002D0952"/>
    <w:rsid w:val="002E2CC5"/>
    <w:rsid w:val="002E40B3"/>
    <w:rsid w:val="002E4C9A"/>
    <w:rsid w:val="002E6665"/>
    <w:rsid w:val="002E68FC"/>
    <w:rsid w:val="002F11F8"/>
    <w:rsid w:val="002F3F56"/>
    <w:rsid w:val="002F44B5"/>
    <w:rsid w:val="002F5122"/>
    <w:rsid w:val="00311AC0"/>
    <w:rsid w:val="00316705"/>
    <w:rsid w:val="003176FC"/>
    <w:rsid w:val="00324E45"/>
    <w:rsid w:val="0032583B"/>
    <w:rsid w:val="00327883"/>
    <w:rsid w:val="00335504"/>
    <w:rsid w:val="00340C18"/>
    <w:rsid w:val="003442FD"/>
    <w:rsid w:val="00347824"/>
    <w:rsid w:val="00350567"/>
    <w:rsid w:val="003521E8"/>
    <w:rsid w:val="00370CE3"/>
    <w:rsid w:val="003728F3"/>
    <w:rsid w:val="003735BC"/>
    <w:rsid w:val="0037496E"/>
    <w:rsid w:val="00383221"/>
    <w:rsid w:val="00386150"/>
    <w:rsid w:val="003874CE"/>
    <w:rsid w:val="00390900"/>
    <w:rsid w:val="00392F7B"/>
    <w:rsid w:val="003A7F6C"/>
    <w:rsid w:val="003B4D60"/>
    <w:rsid w:val="003B7E39"/>
    <w:rsid w:val="003C58DC"/>
    <w:rsid w:val="003D1E62"/>
    <w:rsid w:val="003E0B99"/>
    <w:rsid w:val="003E0CDD"/>
    <w:rsid w:val="003E2486"/>
    <w:rsid w:val="003E3208"/>
    <w:rsid w:val="003E613A"/>
    <w:rsid w:val="003F0B04"/>
    <w:rsid w:val="0040134E"/>
    <w:rsid w:val="00415977"/>
    <w:rsid w:val="004334C7"/>
    <w:rsid w:val="00440A2D"/>
    <w:rsid w:val="00441C3F"/>
    <w:rsid w:val="00444D1A"/>
    <w:rsid w:val="0045186A"/>
    <w:rsid w:val="004564A7"/>
    <w:rsid w:val="00456765"/>
    <w:rsid w:val="00460036"/>
    <w:rsid w:val="004617BF"/>
    <w:rsid w:val="00463658"/>
    <w:rsid w:val="004637A0"/>
    <w:rsid w:val="004722CC"/>
    <w:rsid w:val="004748DD"/>
    <w:rsid w:val="00483B09"/>
    <w:rsid w:val="00485C58"/>
    <w:rsid w:val="00490483"/>
    <w:rsid w:val="004936E4"/>
    <w:rsid w:val="00494E60"/>
    <w:rsid w:val="00497487"/>
    <w:rsid w:val="004A2771"/>
    <w:rsid w:val="004A38D0"/>
    <w:rsid w:val="004A6189"/>
    <w:rsid w:val="004A7390"/>
    <w:rsid w:val="004B7B76"/>
    <w:rsid w:val="004C239D"/>
    <w:rsid w:val="004C2DCA"/>
    <w:rsid w:val="004C4FBE"/>
    <w:rsid w:val="004C5FFC"/>
    <w:rsid w:val="004C61D2"/>
    <w:rsid w:val="004F0C4A"/>
    <w:rsid w:val="004F0F38"/>
    <w:rsid w:val="004F47D6"/>
    <w:rsid w:val="00500337"/>
    <w:rsid w:val="00501761"/>
    <w:rsid w:val="00501921"/>
    <w:rsid w:val="005271B0"/>
    <w:rsid w:val="00530354"/>
    <w:rsid w:val="005323E6"/>
    <w:rsid w:val="0053625B"/>
    <w:rsid w:val="005434C6"/>
    <w:rsid w:val="00543B39"/>
    <w:rsid w:val="00546154"/>
    <w:rsid w:val="005478DB"/>
    <w:rsid w:val="00550096"/>
    <w:rsid w:val="00555280"/>
    <w:rsid w:val="00557FF9"/>
    <w:rsid w:val="00560989"/>
    <w:rsid w:val="00562327"/>
    <w:rsid w:val="005711D5"/>
    <w:rsid w:val="00576378"/>
    <w:rsid w:val="00577130"/>
    <w:rsid w:val="00577945"/>
    <w:rsid w:val="00577C89"/>
    <w:rsid w:val="00577E38"/>
    <w:rsid w:val="00582BAF"/>
    <w:rsid w:val="00585322"/>
    <w:rsid w:val="005857C6"/>
    <w:rsid w:val="00592F6E"/>
    <w:rsid w:val="00593AD1"/>
    <w:rsid w:val="005A68B6"/>
    <w:rsid w:val="005C1C76"/>
    <w:rsid w:val="005C5570"/>
    <w:rsid w:val="005C5B66"/>
    <w:rsid w:val="005C79A4"/>
    <w:rsid w:val="005D5442"/>
    <w:rsid w:val="005E100D"/>
    <w:rsid w:val="005E34D7"/>
    <w:rsid w:val="005F55F7"/>
    <w:rsid w:val="005F6814"/>
    <w:rsid w:val="006031DA"/>
    <w:rsid w:val="00603F32"/>
    <w:rsid w:val="00605AD4"/>
    <w:rsid w:val="00607F15"/>
    <w:rsid w:val="006136D7"/>
    <w:rsid w:val="00623C8C"/>
    <w:rsid w:val="00625A6E"/>
    <w:rsid w:val="00632398"/>
    <w:rsid w:val="0063555C"/>
    <w:rsid w:val="00635A51"/>
    <w:rsid w:val="00640FC3"/>
    <w:rsid w:val="00642020"/>
    <w:rsid w:val="006430EE"/>
    <w:rsid w:val="0065337B"/>
    <w:rsid w:val="0065419D"/>
    <w:rsid w:val="006603BC"/>
    <w:rsid w:val="006604D8"/>
    <w:rsid w:val="00664A5B"/>
    <w:rsid w:val="0066735C"/>
    <w:rsid w:val="006763D2"/>
    <w:rsid w:val="0068097E"/>
    <w:rsid w:val="00680C08"/>
    <w:rsid w:val="006916A0"/>
    <w:rsid w:val="006925F5"/>
    <w:rsid w:val="006931B1"/>
    <w:rsid w:val="00694437"/>
    <w:rsid w:val="006A15C0"/>
    <w:rsid w:val="006A58A8"/>
    <w:rsid w:val="006B1182"/>
    <w:rsid w:val="006C3E2A"/>
    <w:rsid w:val="006C642F"/>
    <w:rsid w:val="006D03E5"/>
    <w:rsid w:val="006D5D3E"/>
    <w:rsid w:val="006E08B3"/>
    <w:rsid w:val="006F17AC"/>
    <w:rsid w:val="006F25B8"/>
    <w:rsid w:val="006F572E"/>
    <w:rsid w:val="007046D6"/>
    <w:rsid w:val="00705DB0"/>
    <w:rsid w:val="00722B57"/>
    <w:rsid w:val="00730F8A"/>
    <w:rsid w:val="00735A8C"/>
    <w:rsid w:val="00735FC6"/>
    <w:rsid w:val="0074253D"/>
    <w:rsid w:val="00744121"/>
    <w:rsid w:val="0074429B"/>
    <w:rsid w:val="007615BC"/>
    <w:rsid w:val="007616BD"/>
    <w:rsid w:val="00762F05"/>
    <w:rsid w:val="007652FF"/>
    <w:rsid w:val="00770CAC"/>
    <w:rsid w:val="00770EF1"/>
    <w:rsid w:val="00773EF7"/>
    <w:rsid w:val="00774E1D"/>
    <w:rsid w:val="007765D8"/>
    <w:rsid w:val="0077675A"/>
    <w:rsid w:val="00780355"/>
    <w:rsid w:val="007819FD"/>
    <w:rsid w:val="00785717"/>
    <w:rsid w:val="00785721"/>
    <w:rsid w:val="00793A59"/>
    <w:rsid w:val="007A46F5"/>
    <w:rsid w:val="007A6505"/>
    <w:rsid w:val="007B6132"/>
    <w:rsid w:val="007B6E9F"/>
    <w:rsid w:val="007C1216"/>
    <w:rsid w:val="007C1AF7"/>
    <w:rsid w:val="007C6B9B"/>
    <w:rsid w:val="007D2839"/>
    <w:rsid w:val="007D53B6"/>
    <w:rsid w:val="007E2853"/>
    <w:rsid w:val="007E5922"/>
    <w:rsid w:val="00803A13"/>
    <w:rsid w:val="00805D27"/>
    <w:rsid w:val="00806DCB"/>
    <w:rsid w:val="00811D6F"/>
    <w:rsid w:val="00821776"/>
    <w:rsid w:val="008321F5"/>
    <w:rsid w:val="00832369"/>
    <w:rsid w:val="00832D6D"/>
    <w:rsid w:val="00834660"/>
    <w:rsid w:val="00836BC2"/>
    <w:rsid w:val="00844E85"/>
    <w:rsid w:val="0085156D"/>
    <w:rsid w:val="00852B28"/>
    <w:rsid w:val="0085641B"/>
    <w:rsid w:val="00857136"/>
    <w:rsid w:val="0087107D"/>
    <w:rsid w:val="0087279C"/>
    <w:rsid w:val="00875A6B"/>
    <w:rsid w:val="00885B11"/>
    <w:rsid w:val="00886D15"/>
    <w:rsid w:val="00887DD8"/>
    <w:rsid w:val="00891BA9"/>
    <w:rsid w:val="00896018"/>
    <w:rsid w:val="008960DD"/>
    <w:rsid w:val="0089635C"/>
    <w:rsid w:val="008A2B9D"/>
    <w:rsid w:val="008A3D9F"/>
    <w:rsid w:val="008A4E4E"/>
    <w:rsid w:val="008A53C0"/>
    <w:rsid w:val="008A5E0B"/>
    <w:rsid w:val="008A6D59"/>
    <w:rsid w:val="008A7D0B"/>
    <w:rsid w:val="008B416E"/>
    <w:rsid w:val="008B4B03"/>
    <w:rsid w:val="008B596F"/>
    <w:rsid w:val="008B5AC7"/>
    <w:rsid w:val="008C159F"/>
    <w:rsid w:val="008C1623"/>
    <w:rsid w:val="008C1850"/>
    <w:rsid w:val="008C51A9"/>
    <w:rsid w:val="008E7846"/>
    <w:rsid w:val="008F02E5"/>
    <w:rsid w:val="008F1CCC"/>
    <w:rsid w:val="008F2967"/>
    <w:rsid w:val="008F6943"/>
    <w:rsid w:val="00901266"/>
    <w:rsid w:val="00902A21"/>
    <w:rsid w:val="009048F8"/>
    <w:rsid w:val="0091523F"/>
    <w:rsid w:val="00920330"/>
    <w:rsid w:val="00920E56"/>
    <w:rsid w:val="009219D7"/>
    <w:rsid w:val="00922D53"/>
    <w:rsid w:val="00923B70"/>
    <w:rsid w:val="00923EEB"/>
    <w:rsid w:val="00924482"/>
    <w:rsid w:val="00930237"/>
    <w:rsid w:val="00931ECE"/>
    <w:rsid w:val="00937C17"/>
    <w:rsid w:val="00940A89"/>
    <w:rsid w:val="00941F77"/>
    <w:rsid w:val="00944532"/>
    <w:rsid w:val="00946EA5"/>
    <w:rsid w:val="00952521"/>
    <w:rsid w:val="009562A0"/>
    <w:rsid w:val="00960520"/>
    <w:rsid w:val="00963C08"/>
    <w:rsid w:val="00967CE4"/>
    <w:rsid w:val="009752A5"/>
    <w:rsid w:val="0098585A"/>
    <w:rsid w:val="0099678D"/>
    <w:rsid w:val="00996ECE"/>
    <w:rsid w:val="009A4CED"/>
    <w:rsid w:val="009A690D"/>
    <w:rsid w:val="009B1D12"/>
    <w:rsid w:val="009B416B"/>
    <w:rsid w:val="009C4BD5"/>
    <w:rsid w:val="009D7B77"/>
    <w:rsid w:val="009E0BB0"/>
    <w:rsid w:val="009E3FBB"/>
    <w:rsid w:val="009F10E2"/>
    <w:rsid w:val="009F7353"/>
    <w:rsid w:val="00A02294"/>
    <w:rsid w:val="00A04F85"/>
    <w:rsid w:val="00A05FA4"/>
    <w:rsid w:val="00A102E4"/>
    <w:rsid w:val="00A1219C"/>
    <w:rsid w:val="00A12C42"/>
    <w:rsid w:val="00A14DF7"/>
    <w:rsid w:val="00A22D57"/>
    <w:rsid w:val="00A24AE2"/>
    <w:rsid w:val="00A269B4"/>
    <w:rsid w:val="00A30A95"/>
    <w:rsid w:val="00A3246D"/>
    <w:rsid w:val="00A32640"/>
    <w:rsid w:val="00A36FA7"/>
    <w:rsid w:val="00A40E4D"/>
    <w:rsid w:val="00A44DDB"/>
    <w:rsid w:val="00A462A4"/>
    <w:rsid w:val="00A464EA"/>
    <w:rsid w:val="00A475B7"/>
    <w:rsid w:val="00A47AF7"/>
    <w:rsid w:val="00A47C3E"/>
    <w:rsid w:val="00A50226"/>
    <w:rsid w:val="00A53625"/>
    <w:rsid w:val="00A60BAD"/>
    <w:rsid w:val="00A77F87"/>
    <w:rsid w:val="00A80B5B"/>
    <w:rsid w:val="00A84E36"/>
    <w:rsid w:val="00A964D1"/>
    <w:rsid w:val="00AA018E"/>
    <w:rsid w:val="00AA0ED0"/>
    <w:rsid w:val="00AC2B40"/>
    <w:rsid w:val="00AC2BB2"/>
    <w:rsid w:val="00AC2C3C"/>
    <w:rsid w:val="00AC4C07"/>
    <w:rsid w:val="00AC512D"/>
    <w:rsid w:val="00AD0083"/>
    <w:rsid w:val="00AD272D"/>
    <w:rsid w:val="00AD3935"/>
    <w:rsid w:val="00AE65EB"/>
    <w:rsid w:val="00AE67A7"/>
    <w:rsid w:val="00AF1D94"/>
    <w:rsid w:val="00AF60C5"/>
    <w:rsid w:val="00B009C6"/>
    <w:rsid w:val="00B01548"/>
    <w:rsid w:val="00B130C5"/>
    <w:rsid w:val="00B13EBD"/>
    <w:rsid w:val="00B20C7C"/>
    <w:rsid w:val="00B21D29"/>
    <w:rsid w:val="00B25034"/>
    <w:rsid w:val="00B33588"/>
    <w:rsid w:val="00B33863"/>
    <w:rsid w:val="00B37AB1"/>
    <w:rsid w:val="00B37D17"/>
    <w:rsid w:val="00B411FA"/>
    <w:rsid w:val="00B4175E"/>
    <w:rsid w:val="00B41C85"/>
    <w:rsid w:val="00B452CE"/>
    <w:rsid w:val="00B54C25"/>
    <w:rsid w:val="00B55893"/>
    <w:rsid w:val="00B7476C"/>
    <w:rsid w:val="00B76B91"/>
    <w:rsid w:val="00B77EB1"/>
    <w:rsid w:val="00B811C6"/>
    <w:rsid w:val="00B82708"/>
    <w:rsid w:val="00B837C1"/>
    <w:rsid w:val="00B855B0"/>
    <w:rsid w:val="00B92E08"/>
    <w:rsid w:val="00BC5393"/>
    <w:rsid w:val="00BC5DA3"/>
    <w:rsid w:val="00BC622A"/>
    <w:rsid w:val="00BD461C"/>
    <w:rsid w:val="00BE0A78"/>
    <w:rsid w:val="00BE79F0"/>
    <w:rsid w:val="00BF046D"/>
    <w:rsid w:val="00BF1190"/>
    <w:rsid w:val="00BF3774"/>
    <w:rsid w:val="00BF5D04"/>
    <w:rsid w:val="00C009AA"/>
    <w:rsid w:val="00C040EB"/>
    <w:rsid w:val="00C1164D"/>
    <w:rsid w:val="00C16861"/>
    <w:rsid w:val="00C17572"/>
    <w:rsid w:val="00C17B82"/>
    <w:rsid w:val="00C346AB"/>
    <w:rsid w:val="00C404A6"/>
    <w:rsid w:val="00C40A36"/>
    <w:rsid w:val="00C44419"/>
    <w:rsid w:val="00C45E7B"/>
    <w:rsid w:val="00C471B1"/>
    <w:rsid w:val="00C525A2"/>
    <w:rsid w:val="00C52E24"/>
    <w:rsid w:val="00C6316B"/>
    <w:rsid w:val="00C634A9"/>
    <w:rsid w:val="00C64586"/>
    <w:rsid w:val="00C67011"/>
    <w:rsid w:val="00C70A36"/>
    <w:rsid w:val="00C70D53"/>
    <w:rsid w:val="00C73D0B"/>
    <w:rsid w:val="00C74F5C"/>
    <w:rsid w:val="00C772FF"/>
    <w:rsid w:val="00C80137"/>
    <w:rsid w:val="00C801AF"/>
    <w:rsid w:val="00C80256"/>
    <w:rsid w:val="00C91574"/>
    <w:rsid w:val="00C94CD4"/>
    <w:rsid w:val="00C9747E"/>
    <w:rsid w:val="00CA00D1"/>
    <w:rsid w:val="00CA2CB5"/>
    <w:rsid w:val="00CA3482"/>
    <w:rsid w:val="00CB3650"/>
    <w:rsid w:val="00CB6BC0"/>
    <w:rsid w:val="00CC11B6"/>
    <w:rsid w:val="00CC1B7C"/>
    <w:rsid w:val="00CC727F"/>
    <w:rsid w:val="00CF15C3"/>
    <w:rsid w:val="00CF2B6F"/>
    <w:rsid w:val="00CF2F3E"/>
    <w:rsid w:val="00CF58B6"/>
    <w:rsid w:val="00CF5DAD"/>
    <w:rsid w:val="00D0062D"/>
    <w:rsid w:val="00D017ED"/>
    <w:rsid w:val="00D040D3"/>
    <w:rsid w:val="00D04C65"/>
    <w:rsid w:val="00D05D47"/>
    <w:rsid w:val="00D153D8"/>
    <w:rsid w:val="00D201D2"/>
    <w:rsid w:val="00D224FE"/>
    <w:rsid w:val="00D23139"/>
    <w:rsid w:val="00D24608"/>
    <w:rsid w:val="00D3613B"/>
    <w:rsid w:val="00D425BB"/>
    <w:rsid w:val="00D440DF"/>
    <w:rsid w:val="00D453FA"/>
    <w:rsid w:val="00D6493E"/>
    <w:rsid w:val="00D7195D"/>
    <w:rsid w:val="00D7301E"/>
    <w:rsid w:val="00D83AE1"/>
    <w:rsid w:val="00D855D4"/>
    <w:rsid w:val="00D902C9"/>
    <w:rsid w:val="00D93466"/>
    <w:rsid w:val="00DA1124"/>
    <w:rsid w:val="00DA2BB3"/>
    <w:rsid w:val="00DA64CB"/>
    <w:rsid w:val="00DB02E6"/>
    <w:rsid w:val="00DB06B8"/>
    <w:rsid w:val="00DB6124"/>
    <w:rsid w:val="00DB750B"/>
    <w:rsid w:val="00DB75B7"/>
    <w:rsid w:val="00DC0A2F"/>
    <w:rsid w:val="00DC1948"/>
    <w:rsid w:val="00DC3058"/>
    <w:rsid w:val="00DC6E02"/>
    <w:rsid w:val="00DD28CD"/>
    <w:rsid w:val="00DE02AE"/>
    <w:rsid w:val="00DE16D9"/>
    <w:rsid w:val="00DE39D1"/>
    <w:rsid w:val="00DE46B1"/>
    <w:rsid w:val="00DF1D7F"/>
    <w:rsid w:val="00DF4BE4"/>
    <w:rsid w:val="00DF4ED1"/>
    <w:rsid w:val="00E02382"/>
    <w:rsid w:val="00E02FB4"/>
    <w:rsid w:val="00E07380"/>
    <w:rsid w:val="00E13FC7"/>
    <w:rsid w:val="00E172B2"/>
    <w:rsid w:val="00E20571"/>
    <w:rsid w:val="00E235F7"/>
    <w:rsid w:val="00E23659"/>
    <w:rsid w:val="00E239D4"/>
    <w:rsid w:val="00E26130"/>
    <w:rsid w:val="00E33D42"/>
    <w:rsid w:val="00E40B22"/>
    <w:rsid w:val="00E43F98"/>
    <w:rsid w:val="00E44ED1"/>
    <w:rsid w:val="00E45619"/>
    <w:rsid w:val="00E4588F"/>
    <w:rsid w:val="00E46DA3"/>
    <w:rsid w:val="00E51BB1"/>
    <w:rsid w:val="00E55CB0"/>
    <w:rsid w:val="00E624A5"/>
    <w:rsid w:val="00E64BA4"/>
    <w:rsid w:val="00E7344E"/>
    <w:rsid w:val="00E74DD5"/>
    <w:rsid w:val="00E82665"/>
    <w:rsid w:val="00E86C74"/>
    <w:rsid w:val="00E92596"/>
    <w:rsid w:val="00EA7E55"/>
    <w:rsid w:val="00EB0798"/>
    <w:rsid w:val="00EB1A07"/>
    <w:rsid w:val="00EB40AD"/>
    <w:rsid w:val="00EB586E"/>
    <w:rsid w:val="00EB5FC8"/>
    <w:rsid w:val="00EC463D"/>
    <w:rsid w:val="00EC7A85"/>
    <w:rsid w:val="00ED2922"/>
    <w:rsid w:val="00ED3CAD"/>
    <w:rsid w:val="00ED5A41"/>
    <w:rsid w:val="00EE1DE8"/>
    <w:rsid w:val="00EE27C2"/>
    <w:rsid w:val="00EE7D11"/>
    <w:rsid w:val="00EF2ED8"/>
    <w:rsid w:val="00EF4BAD"/>
    <w:rsid w:val="00EF59DC"/>
    <w:rsid w:val="00EF6BFA"/>
    <w:rsid w:val="00F033EC"/>
    <w:rsid w:val="00F04F68"/>
    <w:rsid w:val="00F10CA6"/>
    <w:rsid w:val="00F12670"/>
    <w:rsid w:val="00F13FA8"/>
    <w:rsid w:val="00F14B27"/>
    <w:rsid w:val="00F26FC2"/>
    <w:rsid w:val="00F31461"/>
    <w:rsid w:val="00F3148D"/>
    <w:rsid w:val="00F325C5"/>
    <w:rsid w:val="00F32FE0"/>
    <w:rsid w:val="00F35298"/>
    <w:rsid w:val="00F47333"/>
    <w:rsid w:val="00F47E37"/>
    <w:rsid w:val="00F50298"/>
    <w:rsid w:val="00F51ABC"/>
    <w:rsid w:val="00F53C07"/>
    <w:rsid w:val="00F54B65"/>
    <w:rsid w:val="00F57540"/>
    <w:rsid w:val="00F63DBF"/>
    <w:rsid w:val="00F640B6"/>
    <w:rsid w:val="00F66DF2"/>
    <w:rsid w:val="00F723FF"/>
    <w:rsid w:val="00F80E40"/>
    <w:rsid w:val="00F848D9"/>
    <w:rsid w:val="00FA5069"/>
    <w:rsid w:val="00FA5B82"/>
    <w:rsid w:val="00FA639E"/>
    <w:rsid w:val="00FA7E63"/>
    <w:rsid w:val="00FB5255"/>
    <w:rsid w:val="00FC1FCA"/>
    <w:rsid w:val="00FC25E4"/>
    <w:rsid w:val="00FC4EF7"/>
    <w:rsid w:val="00FD0824"/>
    <w:rsid w:val="00FD119B"/>
    <w:rsid w:val="00FD1EDC"/>
    <w:rsid w:val="00FD4EE2"/>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DB9FDF"/>
  <w15:docId w15:val="{D80177E1-BB25-46E6-94AF-23AA3B97E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1F50F7"/>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C74F5C"/>
    <w:pPr>
      <w:spacing w:after="480" w:line="240" w:lineRule="auto"/>
      <w:contextualSpacing/>
      <w:outlineLvl w:val="0"/>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C74F5C"/>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character" w:customStyle="1" w:styleId="TabletextChar">
    <w:name w:val="Table text Char"/>
    <w:basedOn w:val="DefaultParagraphFont"/>
    <w:link w:val="Tabletext"/>
    <w:rsid w:val="001A7955"/>
    <w:rPr>
      <w:rFonts w:ascii="Cambria" w:eastAsia="Cambria" w:hAnsi="Cambria" w:cs="Times New Roman"/>
      <w:sz w:val="19"/>
    </w:rPr>
  </w:style>
  <w:style w:type="paragraph" w:customStyle="1" w:styleId="Default">
    <w:name w:val="Default"/>
    <w:rsid w:val="00811D6F"/>
    <w:pPr>
      <w:autoSpaceDE w:val="0"/>
      <w:autoSpaceDN w:val="0"/>
      <w:adjustRightInd w:val="0"/>
      <w:spacing w:after="0" w:line="240" w:lineRule="auto"/>
    </w:pPr>
    <w:rPr>
      <w:rFonts w:ascii="Times New Roman" w:hAnsi="Times New Roman" w:cs="Times New Roman"/>
      <w:color w:val="000000"/>
      <w:sz w:val="24"/>
      <w:szCs w:val="24"/>
      <w:lang w:val="it-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0337960">
      <w:bodyDiv w:val="1"/>
      <w:marLeft w:val="0"/>
      <w:marRight w:val="0"/>
      <w:marTop w:val="0"/>
      <w:marBottom w:val="0"/>
      <w:divBdr>
        <w:top w:val="none" w:sz="0" w:space="0" w:color="auto"/>
        <w:left w:val="none" w:sz="0" w:space="0" w:color="auto"/>
        <w:bottom w:val="none" w:sz="0" w:space="0" w:color="auto"/>
        <w:right w:val="none" w:sz="0" w:space="0" w:color="auto"/>
      </w:divBdr>
    </w:div>
    <w:div w:id="118143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yperlink" Target="mailto:tga.copyright@tga.gov.au" TargetMode="External"/><Relationship Id="rId17" Type="http://schemas.openxmlformats.org/officeDocument/2006/relationships/header" Target="header3.xml"/><Relationship Id="rId25" Type="http://schemas.openxmlformats.org/officeDocument/2006/relationships/header" Target="header5.xml"/><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png"/><Relationship Id="rId29" Type="http://schemas.openxmlformats.org/officeDocument/2006/relationships/hyperlink" Target="https://www.tga.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ga.gov.au" TargetMode="External"/><Relationship Id="rId24" Type="http://schemas.openxmlformats.org/officeDocument/2006/relationships/header" Target="header4.xm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tga.gov.au/product-information-pi" TargetMode="External"/><Relationship Id="rId28" Type="http://schemas.openxmlformats.org/officeDocument/2006/relationships/hyperlink" Target="mailto:info@tga.gov.au"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tga.gov.au/product-information-pi" TargetMode="Externa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4.emf"/><Relationship Id="rId27" Type="http://schemas.openxmlformats.org/officeDocument/2006/relationships/footer" Target="footer4.xml"/><Relationship Id="rId30" Type="http://schemas.openxmlformats.org/officeDocument/2006/relationships/header" Target="header7.xml"/><Relationship Id="rId35"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YYIN\AppData\Local\Hewlett-Packard\HP%20TRIM\TEMP\HPTRIM.48976\D19-5975236%20%20AusPAR%20-%20template%20-%20streamlined.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BA26BBAE37D1E4A9689E2CFF262A6DD" ma:contentTypeVersion="13" ma:contentTypeDescription="Create a new document." ma:contentTypeScope="" ma:versionID="9ab9323616e343c84e880740aefb73b1">
  <xsd:schema xmlns:xsd="http://www.w3.org/2001/XMLSchema" xmlns:xs="http://www.w3.org/2001/XMLSchema" xmlns:p="http://schemas.microsoft.com/office/2006/metadata/properties" xmlns:ns1="http://schemas.microsoft.com/sharepoint/v3" xmlns:ns2="75e6f6c7-399b-4f8f-8348-4148de2611cd" xmlns:ns3="11bd01df-c60f-45a1-9d8c-b9d56758f72b" targetNamespace="http://schemas.microsoft.com/office/2006/metadata/properties" ma:root="true" ma:fieldsID="8d96248ec3908e2ba072f6f29ef16682" ns1:_="" ns2:_="" ns3:_="">
    <xsd:import namespace="http://schemas.microsoft.com/sharepoint/v3"/>
    <xsd:import namespace="75e6f6c7-399b-4f8f-8348-4148de2611cd"/>
    <xsd:import namespace="11bd01df-c60f-45a1-9d8c-b9d56758f72b"/>
    <xsd:element name="properties">
      <xsd:complexType>
        <xsd:sequence>
          <xsd:element name="documentManagement">
            <xsd:complexType>
              <xsd:all>
                <xsd:element ref="ns1:PublishingStartDate" minOccurs="0"/>
                <xsd:element ref="ns1:PublishingExpirationDate" minOccurs="0"/>
                <xsd:element ref="ns2:Key_x0020_Docs"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e6f6c7-399b-4f8f-8348-4148de2611cd" elementFormDefault="qualified">
    <xsd:import namespace="http://schemas.microsoft.com/office/2006/documentManagement/types"/>
    <xsd:import namespace="http://schemas.microsoft.com/office/infopath/2007/PartnerControls"/>
    <xsd:element name="Key_x0020_Docs" ma:index="6" nillable="true" ma:displayName="Key Docs" ma:default="1" ma:internalName="Key_x0020_Docs" ma:readOnly="false">
      <xsd:simpleType>
        <xsd:restriction base="dms:Boolea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bd01df-c60f-45a1-9d8c-b9d56758f72b"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Key_x0020_Docs xmlns="75e6f6c7-399b-4f8f-8348-4148de2611cd">true</Key_x0020_Docs>
    <SharedWithUsers xmlns="11bd01df-c60f-45a1-9d8c-b9d56758f72b">
      <UserInfo>
        <DisplayName/>
        <AccountId xsi:nil="true"/>
        <AccountType/>
      </UserInfo>
    </SharedWithUsers>
  </documentManagement>
</p:properties>
</file>

<file path=customXml/itemProps1.xml><?xml version="1.0" encoding="utf-8"?>
<ds:datastoreItem xmlns:ds="http://schemas.openxmlformats.org/officeDocument/2006/customXml" ds:itemID="{8C5AB9AF-94DB-4941-B957-E4D1F632F794}">
  <ds:schemaRefs>
    <ds:schemaRef ds:uri="http://schemas.openxmlformats.org/officeDocument/2006/bibliography"/>
  </ds:schemaRefs>
</ds:datastoreItem>
</file>

<file path=customXml/itemProps2.xml><?xml version="1.0" encoding="utf-8"?>
<ds:datastoreItem xmlns:ds="http://schemas.openxmlformats.org/officeDocument/2006/customXml" ds:itemID="{90F8883E-B898-4342-B240-E3FF30E00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e6f6c7-399b-4f8f-8348-4148de2611cd"/>
    <ds:schemaRef ds:uri="11bd01df-c60f-45a1-9d8c-b9d56758f7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729B71-88B9-4B3F-8B7E-141BB3DD61A9}">
  <ds:schemaRefs>
    <ds:schemaRef ds:uri="http://schemas.microsoft.com/sharepoint/v3/contenttype/forms"/>
  </ds:schemaRefs>
</ds:datastoreItem>
</file>

<file path=customXml/itemProps4.xml><?xml version="1.0" encoding="utf-8"?>
<ds:datastoreItem xmlns:ds="http://schemas.openxmlformats.org/officeDocument/2006/customXml" ds:itemID="{D65DBC52-8DA4-40F2-A99E-04A791E18DEF}">
  <ds:schemaRefs>
    <ds:schemaRef ds:uri="http://schemas.microsoft.com/office/2006/metadata/properties"/>
    <ds:schemaRef ds:uri="http://schemas.microsoft.com/office/infopath/2007/PartnerControls"/>
    <ds:schemaRef ds:uri="http://schemas.microsoft.com/sharepoint/v3"/>
    <ds:schemaRef ds:uri="75e6f6c7-399b-4f8f-8348-4148de2611cd"/>
    <ds:schemaRef ds:uri="11bd01df-c60f-45a1-9d8c-b9d56758f72b"/>
  </ds:schemaRefs>
</ds:datastoreItem>
</file>

<file path=docProps/app.xml><?xml version="1.0" encoding="utf-8"?>
<Properties xmlns="http://schemas.openxmlformats.org/officeDocument/2006/extended-properties" xmlns:vt="http://schemas.openxmlformats.org/officeDocument/2006/docPropsVTypes">
  <Template>D19-5975236  AusPAR - template - streamlined.DOTX</Template>
  <TotalTime>6</TotalTime>
  <Pages>25</Pages>
  <Words>7871</Words>
  <Characters>44237</Characters>
  <Application>Microsoft Office Word</Application>
  <DocSecurity>0</DocSecurity>
  <Lines>2010</Lines>
  <Paragraphs>1108</Paragraphs>
  <ScaleCrop>false</ScaleCrop>
  <HeadingPairs>
    <vt:vector size="2" baseType="variant">
      <vt:variant>
        <vt:lpstr>Title</vt:lpstr>
      </vt:variant>
      <vt:variant>
        <vt:i4>1</vt:i4>
      </vt:variant>
    </vt:vector>
  </HeadingPairs>
  <TitlesOfParts>
    <vt:vector size="1" baseType="lpstr">
      <vt:lpstr>Australian public assessment report for</vt:lpstr>
    </vt:vector>
  </TitlesOfParts>
  <Company>Department of Health Therapeutic Goods Administration</Company>
  <LinksUpToDate>false</LinksUpToDate>
  <CharactersWithSpaces>51000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Chlormethine hydrochloride</dc:title>
  <dc:subject>prescription medicines</dc:subject>
  <dc:creator>Therapeutic Goods Administration</dc:creator>
  <cp:keywords/>
  <cp:lastPrinted>2019-08-14T04:30:00Z</cp:lastPrinted>
  <dcterms:created xsi:type="dcterms:W3CDTF">2021-09-21T02:02:00Z</dcterms:created>
  <dcterms:modified xsi:type="dcterms:W3CDTF">2021-09-21T02:08:00Z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0x0101004BA26BBAE37D1E4A9689E2CFF262A6DD</vt:lpwstr>
  </property>
  <property fmtid="{D5CDD505-2E9C-101B-9397-08002B2CF9AE}" pid="3" name="Order">
    <vt:r8>189200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ies>
</file>