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3FDE4F4" w14:textId="77777777" w:rsidTr="00BF1190">
        <w:trPr>
          <w:trHeight w:val="1863"/>
        </w:trPr>
        <w:tc>
          <w:tcPr>
            <w:tcW w:w="3652" w:type="dxa"/>
            <w:tcBorders>
              <w:top w:val="nil"/>
              <w:left w:val="nil"/>
              <w:bottom w:val="nil"/>
              <w:right w:val="nil"/>
            </w:tcBorders>
          </w:tcPr>
          <w:p w14:paraId="32077AC7" w14:textId="77777777" w:rsidR="008E7846" w:rsidRPr="00096AA7" w:rsidRDefault="00DE7972" w:rsidP="00096AA7">
            <w:pPr>
              <w:rPr>
                <w:rFonts w:ascii="Arial" w:hAnsi="Arial" w:cs="Arial"/>
                <w:b/>
                <w:color w:val="002C47"/>
                <w:sz w:val="36"/>
                <w:szCs w:val="36"/>
              </w:rPr>
            </w:pPr>
            <w:r>
              <w:rPr>
                <w:rFonts w:ascii="Arial" w:hAnsi="Arial" w:cs="Arial"/>
                <w:b/>
                <w:color w:val="002C47"/>
                <w:sz w:val="36"/>
                <w:szCs w:val="36"/>
              </w:rPr>
              <w:t>February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5D3344E" w14:textId="77777777" w:rsidTr="0032583B">
        <w:trPr>
          <w:trHeight w:val="868"/>
        </w:trPr>
        <w:tc>
          <w:tcPr>
            <w:tcW w:w="9079" w:type="dxa"/>
          </w:tcPr>
          <w:p w14:paraId="1E455B7B" w14:textId="77777777"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r w:rsidR="00DE7972" w:rsidRPr="00DE7972">
              <w:rPr>
                <w:color w:val="FFFFFF" w:themeColor="background1"/>
              </w:rPr>
              <w:t>ChAdOx1-S</w:t>
            </w:r>
          </w:p>
        </w:tc>
      </w:tr>
      <w:tr w:rsidR="0032583B" w:rsidRPr="00B64760" w14:paraId="4615CA79" w14:textId="77777777" w:rsidTr="0032583B">
        <w:tc>
          <w:tcPr>
            <w:tcW w:w="9079" w:type="dxa"/>
          </w:tcPr>
          <w:p w14:paraId="728A7E22" w14:textId="77777777" w:rsidR="0032583B" w:rsidRPr="008E7846" w:rsidRDefault="0032583B" w:rsidP="00460036">
            <w:pPr>
              <w:pStyle w:val="Subtitle"/>
              <w:rPr>
                <w:color w:val="FFFFFF" w:themeColor="background1"/>
              </w:rPr>
            </w:pPr>
            <w:r w:rsidRPr="008E7846">
              <w:rPr>
                <w:color w:val="FFFFFF" w:themeColor="background1"/>
              </w:rPr>
              <w:t xml:space="preserve">Proprietary Product Name: </w:t>
            </w:r>
            <w:r w:rsidR="007243A2">
              <w:rPr>
                <w:color w:val="FFFFFF" w:themeColor="background1"/>
              </w:rPr>
              <w:t>COVID-19 Vaccine Astra</w:t>
            </w:r>
            <w:r w:rsidR="00DE7972" w:rsidRPr="00DE7972">
              <w:rPr>
                <w:color w:val="FFFFFF" w:themeColor="background1"/>
              </w:rPr>
              <w:t>Zeneca</w:t>
            </w:r>
          </w:p>
        </w:tc>
      </w:tr>
      <w:tr w:rsidR="0032583B" w:rsidRPr="00B64760" w14:paraId="628D258A" w14:textId="77777777" w:rsidTr="0032583B">
        <w:trPr>
          <w:trHeight w:val="486"/>
        </w:trPr>
        <w:tc>
          <w:tcPr>
            <w:tcW w:w="9079" w:type="dxa"/>
          </w:tcPr>
          <w:p w14:paraId="4D0561FE" w14:textId="77777777" w:rsidR="0032583B" w:rsidRPr="008E7846" w:rsidRDefault="00460036" w:rsidP="0032583B">
            <w:pPr>
              <w:pStyle w:val="Subtitle"/>
              <w:rPr>
                <w:color w:val="FFFFFF" w:themeColor="background1"/>
              </w:rPr>
            </w:pPr>
            <w:r>
              <w:rPr>
                <w:color w:val="FFFFFF" w:themeColor="background1"/>
              </w:rPr>
              <w:t xml:space="preserve">Sponsor: </w:t>
            </w:r>
            <w:r w:rsidR="00DE7972" w:rsidRPr="00DE7972">
              <w:rPr>
                <w:color w:val="FFFFFF" w:themeColor="background1"/>
              </w:rPr>
              <w:t>AstraZeneca Pty Ltd</w:t>
            </w:r>
          </w:p>
        </w:tc>
      </w:tr>
    </w:tbl>
    <w:p w14:paraId="5BE5F7EC" w14:textId="77777777" w:rsidR="008E7846" w:rsidRPr="0085156D" w:rsidRDefault="008E7846" w:rsidP="0085156D">
      <w:r w:rsidRPr="0085156D">
        <w:br w:type="page"/>
      </w:r>
    </w:p>
    <w:p w14:paraId="2064FBF1" w14:textId="77777777" w:rsidR="008E7846" w:rsidRPr="001F6CBA" w:rsidRDefault="008E7846" w:rsidP="008E7846">
      <w:pPr>
        <w:pStyle w:val="NonTOCHeading2"/>
      </w:pPr>
      <w:r w:rsidRPr="001F6CBA">
        <w:lastRenderedPageBreak/>
        <w:t>About the Therapeutic Goods Administration (TGA)</w:t>
      </w:r>
    </w:p>
    <w:p w14:paraId="5D2212E8"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F3C3D9F"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4514F9D1"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0C0A6E9"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09D00646" w14:textId="7F14B1B9"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0C8D65CD" w14:textId="77777777" w:rsidR="008E7846" w:rsidRDefault="008E7846" w:rsidP="00875A6B">
      <w:pPr>
        <w:pStyle w:val="NonTOCHeading2"/>
      </w:pPr>
      <w:r>
        <w:t xml:space="preserve">About </w:t>
      </w:r>
      <w:proofErr w:type="spellStart"/>
      <w:r>
        <w:t>AusPARs</w:t>
      </w:r>
      <w:proofErr w:type="spellEnd"/>
    </w:p>
    <w:p w14:paraId="2787300F"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084B66FA"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4FBA28C9"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33BB880E"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3C5F3D2E"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2CBADB1D" w14:textId="77777777" w:rsidR="00924482" w:rsidRPr="00DF1D7F" w:rsidRDefault="00924482" w:rsidP="00F54B65">
      <w:pPr>
        <w:pStyle w:val="LegalSubheading"/>
        <w:spacing w:before="3120"/>
      </w:pPr>
      <w:r w:rsidRPr="00DF1D7F">
        <w:t>Copyright</w:t>
      </w:r>
    </w:p>
    <w:p w14:paraId="1774B35E" w14:textId="57F30B8A"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7311C9BA"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C74E7B3" w14:textId="77777777" w:rsidR="0089635C" w:rsidRPr="0089635C" w:rsidRDefault="0089635C" w:rsidP="0010788A">
          <w:pPr>
            <w:pStyle w:val="Contents"/>
          </w:pPr>
          <w:r w:rsidRPr="0010788A">
            <w:t>Contents</w:t>
          </w:r>
        </w:p>
        <w:p w14:paraId="33A0856C" w14:textId="5825F688" w:rsidR="00CA039C"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64365637" w:history="1">
            <w:r w:rsidR="00CA039C" w:rsidRPr="00BA5547">
              <w:rPr>
                <w:rStyle w:val="Hyperlink"/>
                <w:noProof/>
              </w:rPr>
              <w:t>List of abbreviations</w:t>
            </w:r>
            <w:r w:rsidR="00CA039C">
              <w:rPr>
                <w:noProof/>
                <w:webHidden/>
              </w:rPr>
              <w:tab/>
            </w:r>
            <w:r w:rsidR="00CA039C">
              <w:rPr>
                <w:noProof/>
                <w:webHidden/>
              </w:rPr>
              <w:fldChar w:fldCharType="begin"/>
            </w:r>
            <w:r w:rsidR="00CA039C">
              <w:rPr>
                <w:noProof/>
                <w:webHidden/>
              </w:rPr>
              <w:instrText xml:space="preserve"> PAGEREF _Toc64365637 \h </w:instrText>
            </w:r>
            <w:r w:rsidR="00CA039C">
              <w:rPr>
                <w:noProof/>
                <w:webHidden/>
              </w:rPr>
            </w:r>
            <w:r w:rsidR="00CA039C">
              <w:rPr>
                <w:noProof/>
                <w:webHidden/>
              </w:rPr>
              <w:fldChar w:fldCharType="separate"/>
            </w:r>
            <w:r w:rsidR="00CA039C">
              <w:rPr>
                <w:noProof/>
                <w:webHidden/>
              </w:rPr>
              <w:t>4</w:t>
            </w:r>
            <w:r w:rsidR="00CA039C">
              <w:rPr>
                <w:noProof/>
                <w:webHidden/>
              </w:rPr>
              <w:fldChar w:fldCharType="end"/>
            </w:r>
          </w:hyperlink>
        </w:p>
        <w:p w14:paraId="302B4CD0" w14:textId="1A56DD8D" w:rsidR="00CA039C" w:rsidRDefault="002D3B9B">
          <w:pPr>
            <w:pStyle w:val="TOC1"/>
            <w:rPr>
              <w:rFonts w:asciiTheme="minorHAnsi" w:eastAsiaTheme="minorEastAsia" w:hAnsiTheme="minorHAnsi" w:cstheme="minorBidi"/>
              <w:b w:val="0"/>
              <w:noProof/>
              <w:sz w:val="22"/>
              <w:lang w:eastAsia="en-AU"/>
            </w:rPr>
          </w:pPr>
          <w:hyperlink w:anchor="_Toc64365638" w:history="1">
            <w:r w:rsidR="00CA039C" w:rsidRPr="00BA5547">
              <w:rPr>
                <w:rStyle w:val="Hyperlink"/>
                <w:noProof/>
              </w:rPr>
              <w:t>I. Introduction to product submission</w:t>
            </w:r>
            <w:r w:rsidR="00CA039C">
              <w:rPr>
                <w:noProof/>
                <w:webHidden/>
              </w:rPr>
              <w:tab/>
            </w:r>
            <w:r w:rsidR="00CA039C">
              <w:rPr>
                <w:noProof/>
                <w:webHidden/>
              </w:rPr>
              <w:fldChar w:fldCharType="begin"/>
            </w:r>
            <w:r w:rsidR="00CA039C">
              <w:rPr>
                <w:noProof/>
                <w:webHidden/>
              </w:rPr>
              <w:instrText xml:space="preserve"> PAGEREF _Toc64365638 \h </w:instrText>
            </w:r>
            <w:r w:rsidR="00CA039C">
              <w:rPr>
                <w:noProof/>
                <w:webHidden/>
              </w:rPr>
            </w:r>
            <w:r w:rsidR="00CA039C">
              <w:rPr>
                <w:noProof/>
                <w:webHidden/>
              </w:rPr>
              <w:fldChar w:fldCharType="separate"/>
            </w:r>
            <w:r w:rsidR="00CA039C">
              <w:rPr>
                <w:noProof/>
                <w:webHidden/>
              </w:rPr>
              <w:t>7</w:t>
            </w:r>
            <w:r w:rsidR="00CA039C">
              <w:rPr>
                <w:noProof/>
                <w:webHidden/>
              </w:rPr>
              <w:fldChar w:fldCharType="end"/>
            </w:r>
          </w:hyperlink>
        </w:p>
        <w:p w14:paraId="082E9378" w14:textId="1F7B852F" w:rsidR="00CA039C" w:rsidRDefault="002D3B9B">
          <w:pPr>
            <w:pStyle w:val="TOC2"/>
            <w:rPr>
              <w:rFonts w:asciiTheme="minorHAnsi" w:eastAsiaTheme="minorEastAsia" w:hAnsiTheme="minorHAnsi" w:cstheme="minorBidi"/>
              <w:b w:val="0"/>
              <w:noProof/>
              <w:sz w:val="22"/>
              <w:lang w:eastAsia="en-AU"/>
            </w:rPr>
          </w:pPr>
          <w:hyperlink w:anchor="_Toc64365639" w:history="1">
            <w:r w:rsidR="00CA039C" w:rsidRPr="00BA5547">
              <w:rPr>
                <w:rStyle w:val="Hyperlink"/>
                <w:noProof/>
                <w:lang w:eastAsia="en-AU"/>
              </w:rPr>
              <w:t>Submission details</w:t>
            </w:r>
            <w:r w:rsidR="00CA039C">
              <w:rPr>
                <w:noProof/>
                <w:webHidden/>
              </w:rPr>
              <w:tab/>
            </w:r>
            <w:r w:rsidR="00CA039C">
              <w:rPr>
                <w:noProof/>
                <w:webHidden/>
              </w:rPr>
              <w:fldChar w:fldCharType="begin"/>
            </w:r>
            <w:r w:rsidR="00CA039C">
              <w:rPr>
                <w:noProof/>
                <w:webHidden/>
              </w:rPr>
              <w:instrText xml:space="preserve"> PAGEREF _Toc64365639 \h </w:instrText>
            </w:r>
            <w:r w:rsidR="00CA039C">
              <w:rPr>
                <w:noProof/>
                <w:webHidden/>
              </w:rPr>
            </w:r>
            <w:r w:rsidR="00CA039C">
              <w:rPr>
                <w:noProof/>
                <w:webHidden/>
              </w:rPr>
              <w:fldChar w:fldCharType="separate"/>
            </w:r>
            <w:r w:rsidR="00CA039C">
              <w:rPr>
                <w:noProof/>
                <w:webHidden/>
              </w:rPr>
              <w:t>7</w:t>
            </w:r>
            <w:r w:rsidR="00CA039C">
              <w:rPr>
                <w:noProof/>
                <w:webHidden/>
              </w:rPr>
              <w:fldChar w:fldCharType="end"/>
            </w:r>
          </w:hyperlink>
        </w:p>
        <w:p w14:paraId="7DDC1624" w14:textId="320798E6" w:rsidR="00CA039C" w:rsidRDefault="002D3B9B">
          <w:pPr>
            <w:pStyle w:val="TOC2"/>
            <w:rPr>
              <w:rFonts w:asciiTheme="minorHAnsi" w:eastAsiaTheme="minorEastAsia" w:hAnsiTheme="minorHAnsi" w:cstheme="minorBidi"/>
              <w:b w:val="0"/>
              <w:noProof/>
              <w:sz w:val="22"/>
              <w:lang w:eastAsia="en-AU"/>
            </w:rPr>
          </w:pPr>
          <w:hyperlink w:anchor="_Toc64365640" w:history="1">
            <w:r w:rsidR="00CA039C" w:rsidRPr="00BA5547">
              <w:rPr>
                <w:rStyle w:val="Hyperlink"/>
                <w:noProof/>
              </w:rPr>
              <w:t>Product background</w:t>
            </w:r>
            <w:r w:rsidR="00CA039C">
              <w:rPr>
                <w:noProof/>
                <w:webHidden/>
              </w:rPr>
              <w:tab/>
            </w:r>
            <w:r w:rsidR="00CA039C">
              <w:rPr>
                <w:noProof/>
                <w:webHidden/>
              </w:rPr>
              <w:fldChar w:fldCharType="begin"/>
            </w:r>
            <w:r w:rsidR="00CA039C">
              <w:rPr>
                <w:noProof/>
                <w:webHidden/>
              </w:rPr>
              <w:instrText xml:space="preserve"> PAGEREF _Toc64365640 \h </w:instrText>
            </w:r>
            <w:r w:rsidR="00CA039C">
              <w:rPr>
                <w:noProof/>
                <w:webHidden/>
              </w:rPr>
            </w:r>
            <w:r w:rsidR="00CA039C">
              <w:rPr>
                <w:noProof/>
                <w:webHidden/>
              </w:rPr>
              <w:fldChar w:fldCharType="separate"/>
            </w:r>
            <w:r w:rsidR="00CA039C">
              <w:rPr>
                <w:noProof/>
                <w:webHidden/>
              </w:rPr>
              <w:t>8</w:t>
            </w:r>
            <w:r w:rsidR="00CA039C">
              <w:rPr>
                <w:noProof/>
                <w:webHidden/>
              </w:rPr>
              <w:fldChar w:fldCharType="end"/>
            </w:r>
          </w:hyperlink>
        </w:p>
        <w:p w14:paraId="7F4A6214" w14:textId="0D0E305D" w:rsidR="00CA039C" w:rsidRDefault="002D3B9B">
          <w:pPr>
            <w:pStyle w:val="TOC2"/>
            <w:rPr>
              <w:rFonts w:asciiTheme="minorHAnsi" w:eastAsiaTheme="minorEastAsia" w:hAnsiTheme="minorHAnsi" w:cstheme="minorBidi"/>
              <w:b w:val="0"/>
              <w:noProof/>
              <w:sz w:val="22"/>
              <w:lang w:eastAsia="en-AU"/>
            </w:rPr>
          </w:pPr>
          <w:hyperlink w:anchor="_Toc64365641" w:history="1">
            <w:r w:rsidR="00CA039C" w:rsidRPr="00BA5547">
              <w:rPr>
                <w:rStyle w:val="Hyperlink"/>
                <w:noProof/>
              </w:rPr>
              <w:t>Regulatory status</w:t>
            </w:r>
            <w:r w:rsidR="00CA039C">
              <w:rPr>
                <w:noProof/>
                <w:webHidden/>
              </w:rPr>
              <w:tab/>
            </w:r>
            <w:r w:rsidR="00CA039C">
              <w:rPr>
                <w:noProof/>
                <w:webHidden/>
              </w:rPr>
              <w:fldChar w:fldCharType="begin"/>
            </w:r>
            <w:r w:rsidR="00CA039C">
              <w:rPr>
                <w:noProof/>
                <w:webHidden/>
              </w:rPr>
              <w:instrText xml:space="preserve"> PAGEREF _Toc64365641 \h </w:instrText>
            </w:r>
            <w:r w:rsidR="00CA039C">
              <w:rPr>
                <w:noProof/>
                <w:webHidden/>
              </w:rPr>
            </w:r>
            <w:r w:rsidR="00CA039C">
              <w:rPr>
                <w:noProof/>
                <w:webHidden/>
              </w:rPr>
              <w:fldChar w:fldCharType="separate"/>
            </w:r>
            <w:r w:rsidR="00CA039C">
              <w:rPr>
                <w:noProof/>
                <w:webHidden/>
              </w:rPr>
              <w:t>10</w:t>
            </w:r>
            <w:r w:rsidR="00CA039C">
              <w:rPr>
                <w:noProof/>
                <w:webHidden/>
              </w:rPr>
              <w:fldChar w:fldCharType="end"/>
            </w:r>
          </w:hyperlink>
        </w:p>
        <w:p w14:paraId="63A194F8" w14:textId="357BD5BD" w:rsidR="00CA039C" w:rsidRDefault="002D3B9B">
          <w:pPr>
            <w:pStyle w:val="TOC2"/>
            <w:rPr>
              <w:rFonts w:asciiTheme="minorHAnsi" w:eastAsiaTheme="minorEastAsia" w:hAnsiTheme="minorHAnsi" w:cstheme="minorBidi"/>
              <w:b w:val="0"/>
              <w:noProof/>
              <w:sz w:val="22"/>
              <w:lang w:eastAsia="en-AU"/>
            </w:rPr>
          </w:pPr>
          <w:hyperlink w:anchor="_Toc64365642" w:history="1">
            <w:r w:rsidR="00CA039C" w:rsidRPr="00BA5547">
              <w:rPr>
                <w:rStyle w:val="Hyperlink"/>
                <w:noProof/>
              </w:rPr>
              <w:t>Product Information</w:t>
            </w:r>
            <w:r w:rsidR="00CA039C">
              <w:rPr>
                <w:noProof/>
                <w:webHidden/>
              </w:rPr>
              <w:tab/>
            </w:r>
            <w:r w:rsidR="00CA039C">
              <w:rPr>
                <w:noProof/>
                <w:webHidden/>
              </w:rPr>
              <w:fldChar w:fldCharType="begin"/>
            </w:r>
            <w:r w:rsidR="00CA039C">
              <w:rPr>
                <w:noProof/>
                <w:webHidden/>
              </w:rPr>
              <w:instrText xml:space="preserve"> PAGEREF _Toc64365642 \h </w:instrText>
            </w:r>
            <w:r w:rsidR="00CA039C">
              <w:rPr>
                <w:noProof/>
                <w:webHidden/>
              </w:rPr>
            </w:r>
            <w:r w:rsidR="00CA039C">
              <w:rPr>
                <w:noProof/>
                <w:webHidden/>
              </w:rPr>
              <w:fldChar w:fldCharType="separate"/>
            </w:r>
            <w:r w:rsidR="00CA039C">
              <w:rPr>
                <w:noProof/>
                <w:webHidden/>
              </w:rPr>
              <w:t>10</w:t>
            </w:r>
            <w:r w:rsidR="00CA039C">
              <w:rPr>
                <w:noProof/>
                <w:webHidden/>
              </w:rPr>
              <w:fldChar w:fldCharType="end"/>
            </w:r>
          </w:hyperlink>
        </w:p>
        <w:p w14:paraId="48DCEA1A" w14:textId="37764C7F" w:rsidR="00CA039C" w:rsidRDefault="002D3B9B">
          <w:pPr>
            <w:pStyle w:val="TOC1"/>
            <w:rPr>
              <w:rFonts w:asciiTheme="minorHAnsi" w:eastAsiaTheme="minorEastAsia" w:hAnsiTheme="minorHAnsi" w:cstheme="minorBidi"/>
              <w:b w:val="0"/>
              <w:noProof/>
              <w:sz w:val="22"/>
              <w:lang w:eastAsia="en-AU"/>
            </w:rPr>
          </w:pPr>
          <w:hyperlink w:anchor="_Toc64365643" w:history="1">
            <w:r w:rsidR="00CA039C" w:rsidRPr="00BA5547">
              <w:rPr>
                <w:rStyle w:val="Hyperlink"/>
                <w:noProof/>
              </w:rPr>
              <w:t>II. Registration timeline</w:t>
            </w:r>
            <w:r w:rsidR="00CA039C">
              <w:rPr>
                <w:noProof/>
                <w:webHidden/>
              </w:rPr>
              <w:tab/>
            </w:r>
            <w:r w:rsidR="00CA039C">
              <w:rPr>
                <w:noProof/>
                <w:webHidden/>
              </w:rPr>
              <w:fldChar w:fldCharType="begin"/>
            </w:r>
            <w:r w:rsidR="00CA039C">
              <w:rPr>
                <w:noProof/>
                <w:webHidden/>
              </w:rPr>
              <w:instrText xml:space="preserve"> PAGEREF _Toc64365643 \h </w:instrText>
            </w:r>
            <w:r w:rsidR="00CA039C">
              <w:rPr>
                <w:noProof/>
                <w:webHidden/>
              </w:rPr>
            </w:r>
            <w:r w:rsidR="00CA039C">
              <w:rPr>
                <w:noProof/>
                <w:webHidden/>
              </w:rPr>
              <w:fldChar w:fldCharType="separate"/>
            </w:r>
            <w:r w:rsidR="00CA039C">
              <w:rPr>
                <w:noProof/>
                <w:webHidden/>
              </w:rPr>
              <w:t>10</w:t>
            </w:r>
            <w:r w:rsidR="00CA039C">
              <w:rPr>
                <w:noProof/>
                <w:webHidden/>
              </w:rPr>
              <w:fldChar w:fldCharType="end"/>
            </w:r>
          </w:hyperlink>
        </w:p>
        <w:p w14:paraId="5E0DB286" w14:textId="4980C209" w:rsidR="00CA039C" w:rsidRDefault="002D3B9B">
          <w:pPr>
            <w:pStyle w:val="TOC1"/>
            <w:rPr>
              <w:rFonts w:asciiTheme="minorHAnsi" w:eastAsiaTheme="minorEastAsia" w:hAnsiTheme="minorHAnsi" w:cstheme="minorBidi"/>
              <w:b w:val="0"/>
              <w:noProof/>
              <w:sz w:val="22"/>
              <w:lang w:eastAsia="en-AU"/>
            </w:rPr>
          </w:pPr>
          <w:hyperlink w:anchor="_Toc64365644" w:history="1">
            <w:r w:rsidR="00CA039C" w:rsidRPr="00BA5547">
              <w:rPr>
                <w:rStyle w:val="Hyperlink"/>
                <w:noProof/>
              </w:rPr>
              <w:t>III. Submission overview and risk/benefit assessment</w:t>
            </w:r>
            <w:r w:rsidR="00CA039C">
              <w:rPr>
                <w:noProof/>
                <w:webHidden/>
              </w:rPr>
              <w:tab/>
            </w:r>
            <w:r w:rsidR="00CA039C">
              <w:rPr>
                <w:noProof/>
                <w:webHidden/>
              </w:rPr>
              <w:fldChar w:fldCharType="begin"/>
            </w:r>
            <w:r w:rsidR="00CA039C">
              <w:rPr>
                <w:noProof/>
                <w:webHidden/>
              </w:rPr>
              <w:instrText xml:space="preserve"> PAGEREF _Toc64365644 \h </w:instrText>
            </w:r>
            <w:r w:rsidR="00CA039C">
              <w:rPr>
                <w:noProof/>
                <w:webHidden/>
              </w:rPr>
            </w:r>
            <w:r w:rsidR="00CA039C">
              <w:rPr>
                <w:noProof/>
                <w:webHidden/>
              </w:rPr>
              <w:fldChar w:fldCharType="separate"/>
            </w:r>
            <w:r w:rsidR="00CA039C">
              <w:rPr>
                <w:noProof/>
                <w:webHidden/>
              </w:rPr>
              <w:t>11</w:t>
            </w:r>
            <w:r w:rsidR="00CA039C">
              <w:rPr>
                <w:noProof/>
                <w:webHidden/>
              </w:rPr>
              <w:fldChar w:fldCharType="end"/>
            </w:r>
          </w:hyperlink>
        </w:p>
        <w:p w14:paraId="4E8698AB" w14:textId="77D0D68D" w:rsidR="00CA039C" w:rsidRDefault="002D3B9B">
          <w:pPr>
            <w:pStyle w:val="TOC2"/>
            <w:rPr>
              <w:rFonts w:asciiTheme="minorHAnsi" w:eastAsiaTheme="minorEastAsia" w:hAnsiTheme="minorHAnsi" w:cstheme="minorBidi"/>
              <w:b w:val="0"/>
              <w:noProof/>
              <w:sz w:val="22"/>
              <w:lang w:eastAsia="en-AU"/>
            </w:rPr>
          </w:pPr>
          <w:hyperlink w:anchor="_Toc64365645" w:history="1">
            <w:r w:rsidR="00CA039C" w:rsidRPr="00BA5547">
              <w:rPr>
                <w:rStyle w:val="Hyperlink"/>
                <w:noProof/>
              </w:rPr>
              <w:t>Quality</w:t>
            </w:r>
            <w:r w:rsidR="00CA039C">
              <w:rPr>
                <w:noProof/>
                <w:webHidden/>
              </w:rPr>
              <w:tab/>
            </w:r>
            <w:r w:rsidR="00CA039C">
              <w:rPr>
                <w:noProof/>
                <w:webHidden/>
              </w:rPr>
              <w:fldChar w:fldCharType="begin"/>
            </w:r>
            <w:r w:rsidR="00CA039C">
              <w:rPr>
                <w:noProof/>
                <w:webHidden/>
              </w:rPr>
              <w:instrText xml:space="preserve"> PAGEREF _Toc64365645 \h </w:instrText>
            </w:r>
            <w:r w:rsidR="00CA039C">
              <w:rPr>
                <w:noProof/>
                <w:webHidden/>
              </w:rPr>
            </w:r>
            <w:r w:rsidR="00CA039C">
              <w:rPr>
                <w:noProof/>
                <w:webHidden/>
              </w:rPr>
              <w:fldChar w:fldCharType="separate"/>
            </w:r>
            <w:r w:rsidR="00CA039C">
              <w:rPr>
                <w:noProof/>
                <w:webHidden/>
              </w:rPr>
              <w:t>11</w:t>
            </w:r>
            <w:r w:rsidR="00CA039C">
              <w:rPr>
                <w:noProof/>
                <w:webHidden/>
              </w:rPr>
              <w:fldChar w:fldCharType="end"/>
            </w:r>
          </w:hyperlink>
        </w:p>
        <w:p w14:paraId="1C9BB7BB" w14:textId="64257502" w:rsidR="00CA039C" w:rsidRDefault="002D3B9B">
          <w:pPr>
            <w:pStyle w:val="TOC2"/>
            <w:rPr>
              <w:rFonts w:asciiTheme="minorHAnsi" w:eastAsiaTheme="minorEastAsia" w:hAnsiTheme="minorHAnsi" w:cstheme="minorBidi"/>
              <w:b w:val="0"/>
              <w:noProof/>
              <w:sz w:val="22"/>
              <w:lang w:eastAsia="en-AU"/>
            </w:rPr>
          </w:pPr>
          <w:hyperlink w:anchor="_Toc64365646" w:history="1">
            <w:r w:rsidR="00CA039C" w:rsidRPr="00BA5547">
              <w:rPr>
                <w:rStyle w:val="Hyperlink"/>
                <w:noProof/>
              </w:rPr>
              <w:t>Nonclinical</w:t>
            </w:r>
            <w:r w:rsidR="00CA039C">
              <w:rPr>
                <w:noProof/>
                <w:webHidden/>
              </w:rPr>
              <w:tab/>
            </w:r>
            <w:r w:rsidR="00CA039C">
              <w:rPr>
                <w:noProof/>
                <w:webHidden/>
              </w:rPr>
              <w:fldChar w:fldCharType="begin"/>
            </w:r>
            <w:r w:rsidR="00CA039C">
              <w:rPr>
                <w:noProof/>
                <w:webHidden/>
              </w:rPr>
              <w:instrText xml:space="preserve"> PAGEREF _Toc64365646 \h </w:instrText>
            </w:r>
            <w:r w:rsidR="00CA039C">
              <w:rPr>
                <w:noProof/>
                <w:webHidden/>
              </w:rPr>
            </w:r>
            <w:r w:rsidR="00CA039C">
              <w:rPr>
                <w:noProof/>
                <w:webHidden/>
              </w:rPr>
              <w:fldChar w:fldCharType="separate"/>
            </w:r>
            <w:r w:rsidR="00CA039C">
              <w:rPr>
                <w:noProof/>
                <w:webHidden/>
              </w:rPr>
              <w:t>13</w:t>
            </w:r>
            <w:r w:rsidR="00CA039C">
              <w:rPr>
                <w:noProof/>
                <w:webHidden/>
              </w:rPr>
              <w:fldChar w:fldCharType="end"/>
            </w:r>
          </w:hyperlink>
        </w:p>
        <w:p w14:paraId="1CE45215" w14:textId="50D11332" w:rsidR="00CA039C" w:rsidRDefault="002D3B9B">
          <w:pPr>
            <w:pStyle w:val="TOC2"/>
            <w:rPr>
              <w:rFonts w:asciiTheme="minorHAnsi" w:eastAsiaTheme="minorEastAsia" w:hAnsiTheme="minorHAnsi" w:cstheme="minorBidi"/>
              <w:b w:val="0"/>
              <w:noProof/>
              <w:sz w:val="22"/>
              <w:lang w:eastAsia="en-AU"/>
            </w:rPr>
          </w:pPr>
          <w:hyperlink w:anchor="_Toc64365647" w:history="1">
            <w:r w:rsidR="00CA039C" w:rsidRPr="00BA5547">
              <w:rPr>
                <w:rStyle w:val="Hyperlink"/>
                <w:noProof/>
              </w:rPr>
              <w:t>Clinical</w:t>
            </w:r>
            <w:r w:rsidR="00CA039C">
              <w:rPr>
                <w:noProof/>
                <w:webHidden/>
              </w:rPr>
              <w:tab/>
            </w:r>
            <w:r w:rsidR="00CA039C">
              <w:rPr>
                <w:noProof/>
                <w:webHidden/>
              </w:rPr>
              <w:fldChar w:fldCharType="begin"/>
            </w:r>
            <w:r w:rsidR="00CA039C">
              <w:rPr>
                <w:noProof/>
                <w:webHidden/>
              </w:rPr>
              <w:instrText xml:space="preserve"> PAGEREF _Toc64365647 \h </w:instrText>
            </w:r>
            <w:r w:rsidR="00CA039C">
              <w:rPr>
                <w:noProof/>
                <w:webHidden/>
              </w:rPr>
            </w:r>
            <w:r w:rsidR="00CA039C">
              <w:rPr>
                <w:noProof/>
                <w:webHidden/>
              </w:rPr>
              <w:fldChar w:fldCharType="separate"/>
            </w:r>
            <w:r w:rsidR="00CA039C">
              <w:rPr>
                <w:noProof/>
                <w:webHidden/>
              </w:rPr>
              <w:t>15</w:t>
            </w:r>
            <w:r w:rsidR="00CA039C">
              <w:rPr>
                <w:noProof/>
                <w:webHidden/>
              </w:rPr>
              <w:fldChar w:fldCharType="end"/>
            </w:r>
          </w:hyperlink>
        </w:p>
        <w:p w14:paraId="7E2DBE9A" w14:textId="709E5BD2" w:rsidR="00CA039C" w:rsidRDefault="002D3B9B">
          <w:pPr>
            <w:pStyle w:val="TOC2"/>
            <w:rPr>
              <w:rFonts w:asciiTheme="minorHAnsi" w:eastAsiaTheme="minorEastAsia" w:hAnsiTheme="minorHAnsi" w:cstheme="minorBidi"/>
              <w:b w:val="0"/>
              <w:noProof/>
              <w:sz w:val="22"/>
              <w:lang w:eastAsia="en-AU"/>
            </w:rPr>
          </w:pPr>
          <w:hyperlink w:anchor="_Toc64365648" w:history="1">
            <w:r w:rsidR="00CA039C" w:rsidRPr="00BA5547">
              <w:rPr>
                <w:rStyle w:val="Hyperlink"/>
                <w:noProof/>
                <w:lang w:eastAsia="en-AU"/>
              </w:rPr>
              <w:t>Risk management plan</w:t>
            </w:r>
            <w:r w:rsidR="00CA039C">
              <w:rPr>
                <w:noProof/>
                <w:webHidden/>
              </w:rPr>
              <w:tab/>
            </w:r>
            <w:r w:rsidR="00CA039C">
              <w:rPr>
                <w:noProof/>
                <w:webHidden/>
              </w:rPr>
              <w:fldChar w:fldCharType="begin"/>
            </w:r>
            <w:r w:rsidR="00CA039C">
              <w:rPr>
                <w:noProof/>
                <w:webHidden/>
              </w:rPr>
              <w:instrText xml:space="preserve"> PAGEREF _Toc64365648 \h </w:instrText>
            </w:r>
            <w:r w:rsidR="00CA039C">
              <w:rPr>
                <w:noProof/>
                <w:webHidden/>
              </w:rPr>
            </w:r>
            <w:r w:rsidR="00CA039C">
              <w:rPr>
                <w:noProof/>
                <w:webHidden/>
              </w:rPr>
              <w:fldChar w:fldCharType="separate"/>
            </w:r>
            <w:r w:rsidR="00CA039C">
              <w:rPr>
                <w:noProof/>
                <w:webHidden/>
              </w:rPr>
              <w:t>28</w:t>
            </w:r>
            <w:r w:rsidR="00CA039C">
              <w:rPr>
                <w:noProof/>
                <w:webHidden/>
              </w:rPr>
              <w:fldChar w:fldCharType="end"/>
            </w:r>
          </w:hyperlink>
        </w:p>
        <w:p w14:paraId="3BF60505" w14:textId="1E12F296" w:rsidR="00CA039C" w:rsidRDefault="002D3B9B">
          <w:pPr>
            <w:pStyle w:val="TOC2"/>
            <w:rPr>
              <w:rFonts w:asciiTheme="minorHAnsi" w:eastAsiaTheme="minorEastAsia" w:hAnsiTheme="minorHAnsi" w:cstheme="minorBidi"/>
              <w:b w:val="0"/>
              <w:noProof/>
              <w:sz w:val="22"/>
              <w:lang w:eastAsia="en-AU"/>
            </w:rPr>
          </w:pPr>
          <w:hyperlink w:anchor="_Toc64365649" w:history="1">
            <w:r w:rsidR="00CA039C" w:rsidRPr="00BA5547">
              <w:rPr>
                <w:rStyle w:val="Hyperlink"/>
                <w:noProof/>
              </w:rPr>
              <w:t>Risk-benefit analysis</w:t>
            </w:r>
            <w:r w:rsidR="00CA039C">
              <w:rPr>
                <w:noProof/>
                <w:webHidden/>
              </w:rPr>
              <w:tab/>
            </w:r>
            <w:r w:rsidR="00CA039C">
              <w:rPr>
                <w:noProof/>
                <w:webHidden/>
              </w:rPr>
              <w:fldChar w:fldCharType="begin"/>
            </w:r>
            <w:r w:rsidR="00CA039C">
              <w:rPr>
                <w:noProof/>
                <w:webHidden/>
              </w:rPr>
              <w:instrText xml:space="preserve"> PAGEREF _Toc64365649 \h </w:instrText>
            </w:r>
            <w:r w:rsidR="00CA039C">
              <w:rPr>
                <w:noProof/>
                <w:webHidden/>
              </w:rPr>
            </w:r>
            <w:r w:rsidR="00CA039C">
              <w:rPr>
                <w:noProof/>
                <w:webHidden/>
              </w:rPr>
              <w:fldChar w:fldCharType="separate"/>
            </w:r>
            <w:r w:rsidR="00CA039C">
              <w:rPr>
                <w:noProof/>
                <w:webHidden/>
              </w:rPr>
              <w:t>37</w:t>
            </w:r>
            <w:r w:rsidR="00CA039C">
              <w:rPr>
                <w:noProof/>
                <w:webHidden/>
              </w:rPr>
              <w:fldChar w:fldCharType="end"/>
            </w:r>
          </w:hyperlink>
        </w:p>
        <w:p w14:paraId="682B5A05" w14:textId="61F9F6EB" w:rsidR="00CA039C" w:rsidRDefault="002D3B9B">
          <w:pPr>
            <w:pStyle w:val="TOC2"/>
            <w:rPr>
              <w:rFonts w:asciiTheme="minorHAnsi" w:eastAsiaTheme="minorEastAsia" w:hAnsiTheme="minorHAnsi" w:cstheme="minorBidi"/>
              <w:b w:val="0"/>
              <w:noProof/>
              <w:sz w:val="22"/>
              <w:lang w:eastAsia="en-AU"/>
            </w:rPr>
          </w:pPr>
          <w:hyperlink w:anchor="_Toc64365650" w:history="1">
            <w:r w:rsidR="00CA039C" w:rsidRPr="00BA5547">
              <w:rPr>
                <w:rStyle w:val="Hyperlink"/>
                <w:noProof/>
              </w:rPr>
              <w:t>Outcome</w:t>
            </w:r>
            <w:r w:rsidR="00CA039C">
              <w:rPr>
                <w:noProof/>
                <w:webHidden/>
              </w:rPr>
              <w:tab/>
            </w:r>
            <w:r w:rsidR="00CA039C">
              <w:rPr>
                <w:noProof/>
                <w:webHidden/>
              </w:rPr>
              <w:fldChar w:fldCharType="begin"/>
            </w:r>
            <w:r w:rsidR="00CA039C">
              <w:rPr>
                <w:noProof/>
                <w:webHidden/>
              </w:rPr>
              <w:instrText xml:space="preserve"> PAGEREF _Toc64365650 \h </w:instrText>
            </w:r>
            <w:r w:rsidR="00CA039C">
              <w:rPr>
                <w:noProof/>
                <w:webHidden/>
              </w:rPr>
            </w:r>
            <w:r w:rsidR="00CA039C">
              <w:rPr>
                <w:noProof/>
                <w:webHidden/>
              </w:rPr>
              <w:fldChar w:fldCharType="separate"/>
            </w:r>
            <w:r w:rsidR="00CA039C">
              <w:rPr>
                <w:noProof/>
                <w:webHidden/>
              </w:rPr>
              <w:t>45</w:t>
            </w:r>
            <w:r w:rsidR="00CA039C">
              <w:rPr>
                <w:noProof/>
                <w:webHidden/>
              </w:rPr>
              <w:fldChar w:fldCharType="end"/>
            </w:r>
          </w:hyperlink>
        </w:p>
        <w:p w14:paraId="62295D69" w14:textId="52DEC8B5" w:rsidR="00CA039C" w:rsidRDefault="002D3B9B">
          <w:pPr>
            <w:pStyle w:val="TOC1"/>
            <w:rPr>
              <w:rFonts w:asciiTheme="minorHAnsi" w:eastAsiaTheme="minorEastAsia" w:hAnsiTheme="minorHAnsi" w:cstheme="minorBidi"/>
              <w:b w:val="0"/>
              <w:noProof/>
              <w:sz w:val="22"/>
              <w:lang w:eastAsia="en-AU"/>
            </w:rPr>
          </w:pPr>
          <w:hyperlink w:anchor="_Toc64365651" w:history="1">
            <w:r w:rsidR="00CA039C" w:rsidRPr="00BA5547">
              <w:rPr>
                <w:rStyle w:val="Hyperlink"/>
                <w:noProof/>
              </w:rPr>
              <w:t>Attachment 1. Product Information</w:t>
            </w:r>
            <w:r w:rsidR="00CA039C">
              <w:rPr>
                <w:noProof/>
                <w:webHidden/>
              </w:rPr>
              <w:tab/>
            </w:r>
            <w:r w:rsidR="00CA039C">
              <w:rPr>
                <w:noProof/>
                <w:webHidden/>
              </w:rPr>
              <w:fldChar w:fldCharType="begin"/>
            </w:r>
            <w:r w:rsidR="00CA039C">
              <w:rPr>
                <w:noProof/>
                <w:webHidden/>
              </w:rPr>
              <w:instrText xml:space="preserve"> PAGEREF _Toc64365651 \h </w:instrText>
            </w:r>
            <w:r w:rsidR="00CA039C">
              <w:rPr>
                <w:noProof/>
                <w:webHidden/>
              </w:rPr>
            </w:r>
            <w:r w:rsidR="00CA039C">
              <w:rPr>
                <w:noProof/>
                <w:webHidden/>
              </w:rPr>
              <w:fldChar w:fldCharType="separate"/>
            </w:r>
            <w:r w:rsidR="00CA039C">
              <w:rPr>
                <w:noProof/>
                <w:webHidden/>
              </w:rPr>
              <w:t>48</w:t>
            </w:r>
            <w:r w:rsidR="00CA039C">
              <w:rPr>
                <w:noProof/>
                <w:webHidden/>
              </w:rPr>
              <w:fldChar w:fldCharType="end"/>
            </w:r>
          </w:hyperlink>
        </w:p>
        <w:p w14:paraId="2B977670" w14:textId="4643D71E" w:rsidR="003A7F6C" w:rsidRPr="00B811C6" w:rsidRDefault="00C525A2" w:rsidP="00B811C6">
          <w:pPr>
            <w:pStyle w:val="TOC2"/>
          </w:pPr>
          <w:r>
            <w:fldChar w:fldCharType="end"/>
          </w:r>
        </w:p>
      </w:sdtContent>
    </w:sdt>
    <w:bookmarkStart w:id="2" w:name="_Toc314842482" w:displacedByCustomXml="prev"/>
    <w:p w14:paraId="6CA78026" w14:textId="77777777" w:rsidR="00FD119B" w:rsidRDefault="00FD119B">
      <w:pPr>
        <w:spacing w:before="0" w:after="200" w:line="0" w:lineRule="auto"/>
      </w:pPr>
      <w:r>
        <w:br w:type="page"/>
      </w:r>
    </w:p>
    <w:p w14:paraId="70EC2D5C" w14:textId="77777777" w:rsidR="00C52E24" w:rsidRPr="00C52E24" w:rsidRDefault="00324E45" w:rsidP="00DE7972">
      <w:pPr>
        <w:pStyle w:val="Heading2"/>
      </w:pPr>
      <w:bookmarkStart w:id="3" w:name="_Toc351716269"/>
      <w:bookmarkStart w:id="4" w:name="_Toc351718881"/>
      <w:bookmarkStart w:id="5" w:name="_Toc355338616"/>
      <w:bookmarkStart w:id="6" w:name="_Toc356306144"/>
      <w:bookmarkStart w:id="7" w:name="_Toc64365637"/>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7E1B0D" w:rsidRPr="00C8531E" w14:paraId="1924661C"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456E6981" w14:textId="77777777" w:rsidR="007E1B0D" w:rsidRPr="008705AB" w:rsidRDefault="007E1B0D" w:rsidP="008705AB">
            <w:r w:rsidRPr="00C8531E">
              <w:t>Abbreviation</w:t>
            </w:r>
          </w:p>
        </w:tc>
        <w:tc>
          <w:tcPr>
            <w:tcW w:w="6911" w:type="dxa"/>
            <w:tcBorders>
              <w:top w:val="single" w:sz="4" w:space="0" w:color="auto"/>
              <w:left w:val="single" w:sz="4" w:space="0" w:color="auto"/>
              <w:bottom w:val="single" w:sz="4" w:space="0" w:color="auto"/>
              <w:right w:val="single" w:sz="4" w:space="0" w:color="auto"/>
            </w:tcBorders>
          </w:tcPr>
          <w:p w14:paraId="37D24817" w14:textId="77777777" w:rsidR="007E1B0D" w:rsidRPr="008705AB" w:rsidRDefault="007E1B0D" w:rsidP="008705AB">
            <w:r w:rsidRPr="00C8531E">
              <w:t>Meaning</w:t>
            </w:r>
          </w:p>
        </w:tc>
      </w:tr>
      <w:tr w:rsidR="00B46039" w:rsidRPr="00C8531E" w14:paraId="3465C2E4" w14:textId="77777777" w:rsidTr="00CF5DAD">
        <w:tc>
          <w:tcPr>
            <w:tcW w:w="1809" w:type="dxa"/>
            <w:tcBorders>
              <w:top w:val="single" w:sz="4" w:space="0" w:color="auto"/>
            </w:tcBorders>
          </w:tcPr>
          <w:p w14:paraId="03812B8E" w14:textId="2203F753" w:rsidR="00B46039" w:rsidRPr="00C8531E" w:rsidRDefault="00B46039" w:rsidP="008705AB">
            <w:r>
              <w:t>ABN</w:t>
            </w:r>
          </w:p>
        </w:tc>
        <w:tc>
          <w:tcPr>
            <w:tcW w:w="6911" w:type="dxa"/>
            <w:tcBorders>
              <w:top w:val="single" w:sz="4" w:space="0" w:color="auto"/>
            </w:tcBorders>
          </w:tcPr>
          <w:p w14:paraId="0D709DE3" w14:textId="5953534E" w:rsidR="00B46039" w:rsidRPr="00C8531E" w:rsidRDefault="00B46039" w:rsidP="008705AB">
            <w:r>
              <w:t>Australian Biological Name</w:t>
            </w:r>
          </w:p>
        </w:tc>
      </w:tr>
      <w:tr w:rsidR="007E1B0D" w:rsidRPr="00C8531E" w14:paraId="118AC3F7" w14:textId="77777777" w:rsidTr="00CF5DAD">
        <w:tc>
          <w:tcPr>
            <w:tcW w:w="1809" w:type="dxa"/>
            <w:tcBorders>
              <w:top w:val="single" w:sz="4" w:space="0" w:color="auto"/>
            </w:tcBorders>
          </w:tcPr>
          <w:p w14:paraId="42F92026" w14:textId="77777777" w:rsidR="007E1B0D" w:rsidRPr="00C8531E" w:rsidRDefault="007E1B0D" w:rsidP="008705AB">
            <w:r w:rsidRPr="00C8531E">
              <w:t>ACV</w:t>
            </w:r>
          </w:p>
        </w:tc>
        <w:tc>
          <w:tcPr>
            <w:tcW w:w="6911" w:type="dxa"/>
            <w:tcBorders>
              <w:top w:val="single" w:sz="4" w:space="0" w:color="auto"/>
            </w:tcBorders>
          </w:tcPr>
          <w:p w14:paraId="6A531CF5" w14:textId="77777777" w:rsidR="007E1B0D" w:rsidRPr="00C8531E" w:rsidRDefault="007E1B0D" w:rsidP="008705AB">
            <w:r w:rsidRPr="00C8531E">
              <w:t>Advisory Committee on Vaccines</w:t>
            </w:r>
          </w:p>
        </w:tc>
      </w:tr>
      <w:tr w:rsidR="007E1B0D" w:rsidRPr="00C8531E" w14:paraId="10C56F16" w14:textId="77777777" w:rsidTr="00FD119B">
        <w:tc>
          <w:tcPr>
            <w:tcW w:w="1809" w:type="dxa"/>
          </w:tcPr>
          <w:p w14:paraId="138C8FDC" w14:textId="77777777" w:rsidR="007E1B0D" w:rsidRPr="00C8531E" w:rsidRDefault="007E1B0D" w:rsidP="008705AB">
            <w:r w:rsidRPr="00C8531E">
              <w:t>AE</w:t>
            </w:r>
          </w:p>
        </w:tc>
        <w:tc>
          <w:tcPr>
            <w:tcW w:w="6911" w:type="dxa"/>
          </w:tcPr>
          <w:p w14:paraId="12779615" w14:textId="1AD8AE38" w:rsidR="007E1B0D" w:rsidRPr="00C8531E" w:rsidRDefault="007E1B0D" w:rsidP="008705AB">
            <w:r w:rsidRPr="00C8531E">
              <w:t>Adverse event</w:t>
            </w:r>
          </w:p>
        </w:tc>
      </w:tr>
      <w:tr w:rsidR="007E1B0D" w:rsidRPr="00C8531E" w14:paraId="04BA4805" w14:textId="77777777" w:rsidTr="00FD119B">
        <w:tc>
          <w:tcPr>
            <w:tcW w:w="1809" w:type="dxa"/>
          </w:tcPr>
          <w:p w14:paraId="01434F1A" w14:textId="77777777" w:rsidR="007E1B0D" w:rsidRPr="00C8531E" w:rsidRDefault="007E1B0D" w:rsidP="008705AB">
            <w:r w:rsidRPr="00C8531E">
              <w:t>AESI</w:t>
            </w:r>
          </w:p>
        </w:tc>
        <w:tc>
          <w:tcPr>
            <w:tcW w:w="6911" w:type="dxa"/>
          </w:tcPr>
          <w:p w14:paraId="0E3E3D17" w14:textId="77777777" w:rsidR="007E1B0D" w:rsidRPr="00C8531E" w:rsidRDefault="007E1B0D" w:rsidP="008705AB">
            <w:r w:rsidRPr="00C8531E">
              <w:t>Adverse event of special interest</w:t>
            </w:r>
          </w:p>
        </w:tc>
      </w:tr>
      <w:tr w:rsidR="007E1B0D" w:rsidRPr="00C8531E" w14:paraId="640E2990" w14:textId="77777777" w:rsidTr="00FD119B">
        <w:tc>
          <w:tcPr>
            <w:tcW w:w="1809" w:type="dxa"/>
          </w:tcPr>
          <w:p w14:paraId="79698A51" w14:textId="77777777" w:rsidR="007E1B0D" w:rsidRPr="00C8531E" w:rsidRDefault="007E1B0D" w:rsidP="008705AB">
            <w:r w:rsidRPr="00C8531E">
              <w:t>ARGPM</w:t>
            </w:r>
          </w:p>
        </w:tc>
        <w:tc>
          <w:tcPr>
            <w:tcW w:w="6911" w:type="dxa"/>
          </w:tcPr>
          <w:p w14:paraId="60EC4B35" w14:textId="77777777" w:rsidR="007E1B0D" w:rsidRPr="00C8531E" w:rsidRDefault="007E1B0D" w:rsidP="008705AB">
            <w:r w:rsidRPr="00C8531E">
              <w:t>Australian Regulatory Guidelines for Prescription Medicines</w:t>
            </w:r>
          </w:p>
        </w:tc>
      </w:tr>
      <w:tr w:rsidR="007E1B0D" w:rsidRPr="00C8531E" w14:paraId="1D51C33C" w14:textId="77777777" w:rsidTr="00FD119B">
        <w:tc>
          <w:tcPr>
            <w:tcW w:w="1809" w:type="dxa"/>
          </w:tcPr>
          <w:p w14:paraId="0E5D5614" w14:textId="77777777" w:rsidR="007E1B0D" w:rsidRPr="00C8531E" w:rsidRDefault="007E1B0D" w:rsidP="008705AB">
            <w:r w:rsidRPr="00C8531E">
              <w:t>ARTG</w:t>
            </w:r>
          </w:p>
        </w:tc>
        <w:tc>
          <w:tcPr>
            <w:tcW w:w="6911" w:type="dxa"/>
          </w:tcPr>
          <w:p w14:paraId="2DBBEBCC" w14:textId="77777777" w:rsidR="007E1B0D" w:rsidRPr="00C8531E" w:rsidRDefault="007E1B0D" w:rsidP="008705AB">
            <w:r w:rsidRPr="00C8531E">
              <w:t>Australian Register of Therapeutic Goods</w:t>
            </w:r>
          </w:p>
        </w:tc>
      </w:tr>
      <w:tr w:rsidR="007E1B0D" w:rsidRPr="00C8531E" w14:paraId="25E8C577" w14:textId="77777777" w:rsidTr="00FD119B">
        <w:tc>
          <w:tcPr>
            <w:tcW w:w="1809" w:type="dxa"/>
          </w:tcPr>
          <w:p w14:paraId="64BB8B45" w14:textId="77777777" w:rsidR="007E1B0D" w:rsidRPr="00C8531E" w:rsidRDefault="007E1B0D" w:rsidP="008705AB">
            <w:r w:rsidRPr="00C8531E">
              <w:t>ASA</w:t>
            </w:r>
          </w:p>
        </w:tc>
        <w:tc>
          <w:tcPr>
            <w:tcW w:w="6911" w:type="dxa"/>
          </w:tcPr>
          <w:p w14:paraId="09DAB1EF" w14:textId="677BD068" w:rsidR="007E1B0D" w:rsidRPr="00C8531E" w:rsidRDefault="007E1B0D" w:rsidP="008705AB">
            <w:r w:rsidRPr="00C8531E">
              <w:t xml:space="preserve">Australian specific </w:t>
            </w:r>
            <w:r w:rsidR="00C8531E">
              <w:t>A</w:t>
            </w:r>
            <w:r w:rsidRPr="00C8531E">
              <w:t>nnex</w:t>
            </w:r>
          </w:p>
        </w:tc>
      </w:tr>
      <w:tr w:rsidR="007E1B0D" w:rsidRPr="00C8531E" w14:paraId="0C9AFA25" w14:textId="77777777" w:rsidTr="00FD119B">
        <w:tc>
          <w:tcPr>
            <w:tcW w:w="1809" w:type="dxa"/>
          </w:tcPr>
          <w:p w14:paraId="6DEC1D13" w14:textId="77777777" w:rsidR="007E1B0D" w:rsidRPr="00C8531E" w:rsidRDefault="007E1B0D" w:rsidP="008705AB">
            <w:proofErr w:type="spellStart"/>
            <w:r w:rsidRPr="00C8531E">
              <w:t>AusPAR</w:t>
            </w:r>
            <w:proofErr w:type="spellEnd"/>
          </w:p>
        </w:tc>
        <w:tc>
          <w:tcPr>
            <w:tcW w:w="6911" w:type="dxa"/>
          </w:tcPr>
          <w:p w14:paraId="1624609C" w14:textId="77777777" w:rsidR="007E1B0D" w:rsidRPr="00C8531E" w:rsidRDefault="007E1B0D" w:rsidP="008705AB">
            <w:r w:rsidRPr="00C8531E">
              <w:t>Australian Public Assessment Report</w:t>
            </w:r>
          </w:p>
        </w:tc>
      </w:tr>
      <w:tr w:rsidR="007E1B0D" w:rsidRPr="00C8531E" w14:paraId="2F1CC091" w14:textId="77777777" w:rsidTr="00FD119B">
        <w:tc>
          <w:tcPr>
            <w:tcW w:w="1809" w:type="dxa"/>
          </w:tcPr>
          <w:p w14:paraId="307B1D22" w14:textId="77777777" w:rsidR="007E1B0D" w:rsidRPr="00C8531E" w:rsidRDefault="007E1B0D" w:rsidP="008705AB">
            <w:r w:rsidRPr="008705AB">
              <w:t>AZD1222</w:t>
            </w:r>
          </w:p>
        </w:tc>
        <w:tc>
          <w:tcPr>
            <w:tcW w:w="6911" w:type="dxa"/>
          </w:tcPr>
          <w:p w14:paraId="7E1963F6" w14:textId="12948CC2" w:rsidR="007E1B0D" w:rsidRPr="00C8531E" w:rsidRDefault="007E1B0D" w:rsidP="008705AB">
            <w:r w:rsidRPr="00C8531E">
              <w:t>Drug development code for COVID-19 Vaccine AstraZeneca (ChAdOx1-S)</w:t>
            </w:r>
          </w:p>
        </w:tc>
      </w:tr>
      <w:tr w:rsidR="00770630" w:rsidRPr="00C8531E" w14:paraId="4DD86C04" w14:textId="77777777" w:rsidTr="00FD119B">
        <w:tc>
          <w:tcPr>
            <w:tcW w:w="1809" w:type="dxa"/>
          </w:tcPr>
          <w:p w14:paraId="4FDB1C74" w14:textId="3BBCA8B8" w:rsidR="00770630" w:rsidRPr="00C8531E" w:rsidRDefault="00770630" w:rsidP="008705AB">
            <w:r w:rsidRPr="00C8531E">
              <w:t>BMI</w:t>
            </w:r>
          </w:p>
        </w:tc>
        <w:tc>
          <w:tcPr>
            <w:tcW w:w="6911" w:type="dxa"/>
          </w:tcPr>
          <w:p w14:paraId="23DF7000" w14:textId="29A3C3A9" w:rsidR="00770630" w:rsidRPr="00C8531E" w:rsidRDefault="00770630" w:rsidP="008705AB">
            <w:r w:rsidRPr="00C8531E">
              <w:t>Body mass index</w:t>
            </w:r>
          </w:p>
        </w:tc>
      </w:tr>
      <w:tr w:rsidR="007E1B0D" w:rsidRPr="00C8531E" w14:paraId="638DCC76" w14:textId="77777777" w:rsidTr="00FD119B">
        <w:tc>
          <w:tcPr>
            <w:tcW w:w="1809" w:type="dxa"/>
          </w:tcPr>
          <w:p w14:paraId="7D14393D" w14:textId="77777777" w:rsidR="007E1B0D" w:rsidRPr="00C8531E" w:rsidRDefault="007E1B0D" w:rsidP="008705AB">
            <w:r w:rsidRPr="00C8531E">
              <w:t>CD4+</w:t>
            </w:r>
          </w:p>
        </w:tc>
        <w:tc>
          <w:tcPr>
            <w:tcW w:w="6911" w:type="dxa"/>
          </w:tcPr>
          <w:p w14:paraId="0BE4CCB4" w14:textId="77777777" w:rsidR="007E1B0D" w:rsidRPr="00C8531E" w:rsidRDefault="007E1B0D" w:rsidP="008705AB">
            <w:r w:rsidRPr="00C8531E">
              <w:t>Cluster of differentiation 4 positive</w:t>
            </w:r>
          </w:p>
        </w:tc>
      </w:tr>
      <w:tr w:rsidR="007E1B0D" w:rsidRPr="00C8531E" w14:paraId="2228A1AC" w14:textId="77777777" w:rsidTr="00FD119B">
        <w:tc>
          <w:tcPr>
            <w:tcW w:w="1809" w:type="dxa"/>
          </w:tcPr>
          <w:p w14:paraId="51E9B81D" w14:textId="77777777" w:rsidR="007E1B0D" w:rsidRPr="00C8531E" w:rsidRDefault="007E1B0D" w:rsidP="008705AB">
            <w:r w:rsidRPr="00C8531E">
              <w:t>CD8+</w:t>
            </w:r>
          </w:p>
        </w:tc>
        <w:tc>
          <w:tcPr>
            <w:tcW w:w="6911" w:type="dxa"/>
          </w:tcPr>
          <w:p w14:paraId="0E4903EF" w14:textId="77777777" w:rsidR="007E1B0D" w:rsidRPr="00C8531E" w:rsidRDefault="007E1B0D" w:rsidP="008705AB">
            <w:r w:rsidRPr="00C8531E">
              <w:t>Cluster of differentiation 8 positive</w:t>
            </w:r>
          </w:p>
        </w:tc>
      </w:tr>
      <w:tr w:rsidR="007E1B0D" w:rsidRPr="00C8531E" w14:paraId="6F1A0D56" w14:textId="77777777" w:rsidTr="00FD119B">
        <w:tc>
          <w:tcPr>
            <w:tcW w:w="1809" w:type="dxa"/>
          </w:tcPr>
          <w:p w14:paraId="0BCEFFA8" w14:textId="77777777" w:rsidR="007E1B0D" w:rsidRPr="00C8531E" w:rsidRDefault="007E1B0D" w:rsidP="008705AB">
            <w:r w:rsidRPr="00C8531E">
              <w:t>ChAdOx1</w:t>
            </w:r>
          </w:p>
        </w:tc>
        <w:tc>
          <w:tcPr>
            <w:tcW w:w="6911" w:type="dxa"/>
          </w:tcPr>
          <w:p w14:paraId="1F327E0A" w14:textId="77777777" w:rsidR="007E1B0D" w:rsidRPr="00C8531E" w:rsidRDefault="007E1B0D" w:rsidP="008705AB">
            <w:r w:rsidRPr="00C8531E">
              <w:t>Chimpanzee adenovirus Ox1</w:t>
            </w:r>
          </w:p>
        </w:tc>
      </w:tr>
      <w:tr w:rsidR="007E1B0D" w:rsidRPr="00C8531E" w14:paraId="68DD8FE4" w14:textId="77777777" w:rsidTr="00FD119B">
        <w:tc>
          <w:tcPr>
            <w:tcW w:w="1809" w:type="dxa"/>
          </w:tcPr>
          <w:p w14:paraId="557E95ED" w14:textId="77777777" w:rsidR="007E1B0D" w:rsidRPr="00C8531E" w:rsidRDefault="007E1B0D" w:rsidP="008705AB">
            <w:r w:rsidRPr="00C8531E">
              <w:t>CHMP</w:t>
            </w:r>
          </w:p>
        </w:tc>
        <w:tc>
          <w:tcPr>
            <w:tcW w:w="6911" w:type="dxa"/>
          </w:tcPr>
          <w:p w14:paraId="744A7E56" w14:textId="285F0189" w:rsidR="007E1B0D" w:rsidRPr="00C8531E" w:rsidRDefault="007E1B0D" w:rsidP="008705AB">
            <w:r w:rsidRPr="00C8531E">
              <w:t>Committee for Medicinal Products for Human Use (European Union)</w:t>
            </w:r>
          </w:p>
        </w:tc>
      </w:tr>
      <w:tr w:rsidR="007E1B0D" w:rsidRPr="00C8531E" w14:paraId="07BE9978" w14:textId="77777777" w:rsidTr="00FD119B">
        <w:tc>
          <w:tcPr>
            <w:tcW w:w="1809" w:type="dxa"/>
          </w:tcPr>
          <w:p w14:paraId="16E61857" w14:textId="77777777" w:rsidR="007E1B0D" w:rsidRPr="00C8531E" w:rsidRDefault="007E1B0D" w:rsidP="008705AB">
            <w:r w:rsidRPr="00C8531E">
              <w:t>CI</w:t>
            </w:r>
          </w:p>
        </w:tc>
        <w:tc>
          <w:tcPr>
            <w:tcW w:w="6911" w:type="dxa"/>
          </w:tcPr>
          <w:p w14:paraId="14407469" w14:textId="77777777" w:rsidR="007E1B0D" w:rsidRPr="00C8531E" w:rsidRDefault="007E1B0D" w:rsidP="008705AB">
            <w:r w:rsidRPr="00C8531E">
              <w:t>Confidence interval</w:t>
            </w:r>
          </w:p>
        </w:tc>
      </w:tr>
      <w:tr w:rsidR="007E1B0D" w:rsidRPr="00C8531E" w14:paraId="0187C587" w14:textId="77777777" w:rsidTr="00FD119B">
        <w:tc>
          <w:tcPr>
            <w:tcW w:w="1809" w:type="dxa"/>
          </w:tcPr>
          <w:p w14:paraId="36124259" w14:textId="77777777" w:rsidR="007E1B0D" w:rsidRPr="00C8531E" w:rsidRDefault="007E1B0D" w:rsidP="008705AB">
            <w:r w:rsidRPr="00C8531E">
              <w:t>CMI</w:t>
            </w:r>
          </w:p>
        </w:tc>
        <w:tc>
          <w:tcPr>
            <w:tcW w:w="6911" w:type="dxa"/>
          </w:tcPr>
          <w:p w14:paraId="75881B2F" w14:textId="77777777" w:rsidR="007E1B0D" w:rsidRPr="00C8531E" w:rsidRDefault="007E1B0D" w:rsidP="008705AB">
            <w:r w:rsidRPr="00C8531E">
              <w:t>Consumer Medicines Information</w:t>
            </w:r>
          </w:p>
        </w:tc>
      </w:tr>
      <w:tr w:rsidR="007E1B0D" w:rsidRPr="00C8531E" w14:paraId="07DB0E12" w14:textId="77777777" w:rsidTr="00FD119B">
        <w:tc>
          <w:tcPr>
            <w:tcW w:w="1809" w:type="dxa"/>
          </w:tcPr>
          <w:p w14:paraId="50B16B70" w14:textId="77777777" w:rsidR="007E1B0D" w:rsidRPr="00C8531E" w:rsidRDefault="007E1B0D" w:rsidP="008705AB">
            <w:r w:rsidRPr="00C8531E">
              <w:t>COVID-19</w:t>
            </w:r>
          </w:p>
        </w:tc>
        <w:tc>
          <w:tcPr>
            <w:tcW w:w="6911" w:type="dxa"/>
          </w:tcPr>
          <w:p w14:paraId="417385A6" w14:textId="77777777" w:rsidR="007E1B0D" w:rsidRPr="00C8531E" w:rsidRDefault="007E1B0D" w:rsidP="008705AB">
            <w:r w:rsidRPr="008705AB">
              <w:rPr>
                <w:lang w:eastAsia="en-US"/>
              </w:rPr>
              <w:t>Coronavirus disease 2019</w:t>
            </w:r>
          </w:p>
        </w:tc>
      </w:tr>
      <w:tr w:rsidR="007E1B0D" w:rsidRPr="00C8531E" w14:paraId="0A48933C" w14:textId="77777777" w:rsidTr="00FD119B">
        <w:tc>
          <w:tcPr>
            <w:tcW w:w="1809" w:type="dxa"/>
          </w:tcPr>
          <w:p w14:paraId="79B77711" w14:textId="77777777" w:rsidR="007E1B0D" w:rsidRPr="00C8531E" w:rsidRDefault="007E1B0D" w:rsidP="008705AB">
            <w:r w:rsidRPr="00C8531E">
              <w:t>CPD</w:t>
            </w:r>
          </w:p>
        </w:tc>
        <w:tc>
          <w:tcPr>
            <w:tcW w:w="6911" w:type="dxa"/>
          </w:tcPr>
          <w:p w14:paraId="0E5FBFAA" w14:textId="77777777" w:rsidR="007E1B0D" w:rsidRPr="00C8531E" w:rsidRDefault="007E1B0D" w:rsidP="008705AB">
            <w:r w:rsidRPr="00C8531E">
              <w:t>Certified Product Details</w:t>
            </w:r>
          </w:p>
        </w:tc>
      </w:tr>
      <w:tr w:rsidR="007E1B0D" w:rsidRPr="00C8531E" w14:paraId="6FA774E1" w14:textId="77777777" w:rsidTr="00FD119B">
        <w:tc>
          <w:tcPr>
            <w:tcW w:w="1809" w:type="dxa"/>
          </w:tcPr>
          <w:p w14:paraId="1D451A4C" w14:textId="77777777" w:rsidR="007E1B0D" w:rsidRPr="00C8531E" w:rsidRDefault="007E1B0D" w:rsidP="008705AB">
            <w:r w:rsidRPr="00C8531E">
              <w:t>DIR</w:t>
            </w:r>
          </w:p>
        </w:tc>
        <w:tc>
          <w:tcPr>
            <w:tcW w:w="6911" w:type="dxa"/>
          </w:tcPr>
          <w:p w14:paraId="7F0EA39B" w14:textId="77777777" w:rsidR="007E1B0D" w:rsidRPr="00C8531E" w:rsidRDefault="007E1B0D" w:rsidP="008705AB">
            <w:r w:rsidRPr="00C8531E">
              <w:t>Dealing involving an Intentional Release (of genetically modified organisms into the Australian environment)</w:t>
            </w:r>
          </w:p>
        </w:tc>
      </w:tr>
      <w:tr w:rsidR="007E1B0D" w:rsidRPr="00C8531E" w14:paraId="1C86C428" w14:textId="77777777" w:rsidTr="00FD119B">
        <w:tc>
          <w:tcPr>
            <w:tcW w:w="1809" w:type="dxa"/>
          </w:tcPr>
          <w:p w14:paraId="063BDA72" w14:textId="77777777" w:rsidR="007E1B0D" w:rsidRPr="00C8531E" w:rsidRDefault="007E1B0D" w:rsidP="008705AB">
            <w:r w:rsidRPr="00C8531E">
              <w:t>DLP</w:t>
            </w:r>
          </w:p>
        </w:tc>
        <w:tc>
          <w:tcPr>
            <w:tcW w:w="6911" w:type="dxa"/>
          </w:tcPr>
          <w:p w14:paraId="413800E2" w14:textId="77777777" w:rsidR="007E1B0D" w:rsidRPr="00C8531E" w:rsidRDefault="007E1B0D" w:rsidP="008705AB">
            <w:r w:rsidRPr="00C8531E">
              <w:t>Data lock point</w:t>
            </w:r>
          </w:p>
        </w:tc>
      </w:tr>
      <w:tr w:rsidR="007E1B0D" w:rsidRPr="00C8531E" w14:paraId="25BD2C5C" w14:textId="77777777" w:rsidTr="00FD119B">
        <w:tc>
          <w:tcPr>
            <w:tcW w:w="1809" w:type="dxa"/>
          </w:tcPr>
          <w:p w14:paraId="791FF524" w14:textId="77777777" w:rsidR="007E1B0D" w:rsidRPr="00C8531E" w:rsidRDefault="007E1B0D" w:rsidP="008705AB">
            <w:r w:rsidRPr="00C8531E">
              <w:t>EMA</w:t>
            </w:r>
          </w:p>
        </w:tc>
        <w:tc>
          <w:tcPr>
            <w:tcW w:w="6911" w:type="dxa"/>
          </w:tcPr>
          <w:p w14:paraId="5A0C5246" w14:textId="77777777" w:rsidR="007E1B0D" w:rsidRPr="00C8531E" w:rsidRDefault="007E1B0D" w:rsidP="008705AB">
            <w:r w:rsidRPr="00C8531E">
              <w:t>European Medicines Agency (European Union)</w:t>
            </w:r>
          </w:p>
        </w:tc>
      </w:tr>
      <w:tr w:rsidR="007E1B0D" w:rsidRPr="00C8531E" w14:paraId="64DA27F5" w14:textId="77777777" w:rsidTr="00FD119B">
        <w:tc>
          <w:tcPr>
            <w:tcW w:w="1809" w:type="dxa"/>
          </w:tcPr>
          <w:p w14:paraId="655B9299" w14:textId="77777777" w:rsidR="007E1B0D" w:rsidRPr="00C8531E" w:rsidRDefault="007E1B0D" w:rsidP="008705AB">
            <w:r w:rsidRPr="00C8531E">
              <w:t>EU</w:t>
            </w:r>
          </w:p>
        </w:tc>
        <w:tc>
          <w:tcPr>
            <w:tcW w:w="6911" w:type="dxa"/>
          </w:tcPr>
          <w:p w14:paraId="0513D4DF" w14:textId="77777777" w:rsidR="007E1B0D" w:rsidRPr="00C8531E" w:rsidRDefault="007E1B0D" w:rsidP="008705AB">
            <w:r w:rsidRPr="00C8531E">
              <w:t>European Union</w:t>
            </w:r>
          </w:p>
        </w:tc>
      </w:tr>
      <w:tr w:rsidR="007E1B0D" w:rsidRPr="00C8531E" w14:paraId="732B6ED7" w14:textId="77777777" w:rsidTr="00FD119B">
        <w:tc>
          <w:tcPr>
            <w:tcW w:w="1809" w:type="dxa"/>
          </w:tcPr>
          <w:p w14:paraId="203BBDA5" w14:textId="77777777" w:rsidR="007E1B0D" w:rsidRPr="00C8531E" w:rsidRDefault="007E1B0D" w:rsidP="008705AB">
            <w:r w:rsidRPr="00C8531E">
              <w:t>FDA</w:t>
            </w:r>
          </w:p>
        </w:tc>
        <w:tc>
          <w:tcPr>
            <w:tcW w:w="6911" w:type="dxa"/>
          </w:tcPr>
          <w:p w14:paraId="2EE71C0A" w14:textId="77777777" w:rsidR="007E1B0D" w:rsidRPr="00C8531E" w:rsidRDefault="007E1B0D" w:rsidP="008705AB">
            <w:r w:rsidRPr="00C8531E">
              <w:t>Food and Drug Administration (United States)</w:t>
            </w:r>
          </w:p>
        </w:tc>
      </w:tr>
      <w:tr w:rsidR="007E1B0D" w:rsidRPr="00C8531E" w14:paraId="6101C1BA" w14:textId="77777777" w:rsidTr="00FD119B">
        <w:tc>
          <w:tcPr>
            <w:tcW w:w="1809" w:type="dxa"/>
          </w:tcPr>
          <w:p w14:paraId="64482BAF" w14:textId="77777777" w:rsidR="007E1B0D" w:rsidRPr="00C8531E" w:rsidRDefault="007E1B0D" w:rsidP="008705AB">
            <w:r w:rsidRPr="00C8531E">
              <w:lastRenderedPageBreak/>
              <w:t>GMO</w:t>
            </w:r>
          </w:p>
        </w:tc>
        <w:tc>
          <w:tcPr>
            <w:tcW w:w="6911" w:type="dxa"/>
          </w:tcPr>
          <w:p w14:paraId="3FC0C2E6" w14:textId="77777777" w:rsidR="007E1B0D" w:rsidRPr="00C8531E" w:rsidRDefault="007E1B0D" w:rsidP="008705AB">
            <w:r w:rsidRPr="00C8531E">
              <w:t>Genetically modified organism</w:t>
            </w:r>
          </w:p>
        </w:tc>
      </w:tr>
      <w:tr w:rsidR="007E1B0D" w:rsidRPr="00C8531E" w14:paraId="58E7B26A" w14:textId="77777777" w:rsidTr="00FD119B">
        <w:tc>
          <w:tcPr>
            <w:tcW w:w="1809" w:type="dxa"/>
          </w:tcPr>
          <w:p w14:paraId="1B71E40D" w14:textId="77777777" w:rsidR="007E1B0D" w:rsidRPr="00C8531E" w:rsidRDefault="007E1B0D" w:rsidP="008705AB">
            <w:r w:rsidRPr="00C8531E">
              <w:t>GMP</w:t>
            </w:r>
          </w:p>
        </w:tc>
        <w:tc>
          <w:tcPr>
            <w:tcW w:w="6911" w:type="dxa"/>
          </w:tcPr>
          <w:p w14:paraId="7B467447" w14:textId="77777777" w:rsidR="007E1B0D" w:rsidRPr="00C8531E" w:rsidRDefault="007E1B0D" w:rsidP="008705AB">
            <w:r w:rsidRPr="00C8531E">
              <w:t>Good Manufacturing Practice</w:t>
            </w:r>
          </w:p>
        </w:tc>
      </w:tr>
      <w:tr w:rsidR="007E1B0D" w:rsidRPr="00C8531E" w14:paraId="2A8C8B14" w14:textId="77777777" w:rsidTr="00FD119B">
        <w:tc>
          <w:tcPr>
            <w:tcW w:w="1809" w:type="dxa"/>
          </w:tcPr>
          <w:p w14:paraId="4BB478A1" w14:textId="77777777" w:rsidR="007E1B0D" w:rsidRPr="00C8531E" w:rsidRDefault="007E1B0D" w:rsidP="008705AB">
            <w:r w:rsidRPr="00C8531E">
              <w:t>GMT</w:t>
            </w:r>
          </w:p>
        </w:tc>
        <w:tc>
          <w:tcPr>
            <w:tcW w:w="6911" w:type="dxa"/>
          </w:tcPr>
          <w:p w14:paraId="65849672" w14:textId="77777777" w:rsidR="007E1B0D" w:rsidRPr="00C8531E" w:rsidRDefault="007E1B0D" w:rsidP="008705AB">
            <w:r w:rsidRPr="00C8531E">
              <w:t>Geometric mean titre</w:t>
            </w:r>
          </w:p>
        </w:tc>
      </w:tr>
      <w:tr w:rsidR="007E1B0D" w:rsidRPr="00C8531E" w14:paraId="197DD6A6" w14:textId="77777777" w:rsidTr="00FD119B">
        <w:tc>
          <w:tcPr>
            <w:tcW w:w="1809" w:type="dxa"/>
          </w:tcPr>
          <w:p w14:paraId="6CC034D0" w14:textId="77777777" w:rsidR="007E1B0D" w:rsidRPr="00C8531E" w:rsidRDefault="007E1B0D" w:rsidP="008705AB">
            <w:r w:rsidRPr="00C8531E">
              <w:t>HIV</w:t>
            </w:r>
          </w:p>
        </w:tc>
        <w:tc>
          <w:tcPr>
            <w:tcW w:w="6911" w:type="dxa"/>
          </w:tcPr>
          <w:p w14:paraId="24B6F265" w14:textId="77777777" w:rsidR="007E1B0D" w:rsidRPr="00C8531E" w:rsidRDefault="007E1B0D" w:rsidP="008705AB">
            <w:r w:rsidRPr="00C8531E">
              <w:t>Human immunodeficiency virus</w:t>
            </w:r>
          </w:p>
        </w:tc>
      </w:tr>
      <w:tr w:rsidR="007E1B0D" w:rsidRPr="00C8531E" w14:paraId="58A29145" w14:textId="77777777" w:rsidTr="00FD119B">
        <w:tc>
          <w:tcPr>
            <w:tcW w:w="1809" w:type="dxa"/>
          </w:tcPr>
          <w:p w14:paraId="0BA05C80" w14:textId="77777777" w:rsidR="007E1B0D" w:rsidRPr="00C8531E" w:rsidRDefault="007E1B0D" w:rsidP="008705AB">
            <w:r w:rsidRPr="00C8531E">
              <w:t>ICMR</w:t>
            </w:r>
          </w:p>
        </w:tc>
        <w:tc>
          <w:tcPr>
            <w:tcW w:w="6911" w:type="dxa"/>
          </w:tcPr>
          <w:p w14:paraId="220944D6" w14:textId="77777777" w:rsidR="007E1B0D" w:rsidRPr="00C8531E" w:rsidRDefault="007E1B0D" w:rsidP="008705AB">
            <w:r w:rsidRPr="00C8531E">
              <w:t>Indian Council on Medical Research</w:t>
            </w:r>
          </w:p>
        </w:tc>
      </w:tr>
      <w:tr w:rsidR="007E1B0D" w:rsidRPr="00C8531E" w14:paraId="2BE5EAEF" w14:textId="77777777" w:rsidTr="00FD119B">
        <w:tc>
          <w:tcPr>
            <w:tcW w:w="1809" w:type="dxa"/>
          </w:tcPr>
          <w:p w14:paraId="6FABE180" w14:textId="77777777" w:rsidR="007E1B0D" w:rsidRPr="00C8531E" w:rsidRDefault="007E1B0D" w:rsidP="008705AB">
            <w:r w:rsidRPr="008705AB">
              <w:t>ICU</w:t>
            </w:r>
          </w:p>
        </w:tc>
        <w:tc>
          <w:tcPr>
            <w:tcW w:w="6911" w:type="dxa"/>
          </w:tcPr>
          <w:p w14:paraId="2FF6D8BF" w14:textId="77777777" w:rsidR="007E1B0D" w:rsidRPr="00C8531E" w:rsidRDefault="007E1B0D" w:rsidP="008705AB">
            <w:r w:rsidRPr="008705AB">
              <w:t>Intensive care unit</w:t>
            </w:r>
          </w:p>
        </w:tc>
      </w:tr>
      <w:tr w:rsidR="007E1B0D" w:rsidRPr="00C8531E" w14:paraId="4BE3F0B3" w14:textId="77777777" w:rsidTr="00FD119B">
        <w:tc>
          <w:tcPr>
            <w:tcW w:w="1809" w:type="dxa"/>
          </w:tcPr>
          <w:p w14:paraId="2E729A9B" w14:textId="77777777" w:rsidR="007E1B0D" w:rsidRPr="00C8531E" w:rsidRDefault="007E1B0D" w:rsidP="008705AB">
            <w:proofErr w:type="spellStart"/>
            <w:r w:rsidRPr="00C8531E">
              <w:t>IFNγ</w:t>
            </w:r>
            <w:proofErr w:type="spellEnd"/>
          </w:p>
        </w:tc>
        <w:tc>
          <w:tcPr>
            <w:tcW w:w="6911" w:type="dxa"/>
          </w:tcPr>
          <w:p w14:paraId="7DA20698" w14:textId="77777777" w:rsidR="007E1B0D" w:rsidRPr="00C8531E" w:rsidRDefault="007E1B0D" w:rsidP="008705AB">
            <w:r w:rsidRPr="00C8531E">
              <w:t>Interferon gamma</w:t>
            </w:r>
          </w:p>
        </w:tc>
      </w:tr>
      <w:tr w:rsidR="007E1B0D" w:rsidRPr="00C8531E" w14:paraId="7199A9EF" w14:textId="77777777" w:rsidTr="00FD119B">
        <w:tc>
          <w:tcPr>
            <w:tcW w:w="1809" w:type="dxa"/>
          </w:tcPr>
          <w:p w14:paraId="0295EA0F" w14:textId="77777777" w:rsidR="007E1B0D" w:rsidRPr="00C8531E" w:rsidRDefault="007E1B0D" w:rsidP="008705AB">
            <w:r w:rsidRPr="00C8531E">
              <w:t>IgG</w:t>
            </w:r>
          </w:p>
        </w:tc>
        <w:tc>
          <w:tcPr>
            <w:tcW w:w="6911" w:type="dxa"/>
          </w:tcPr>
          <w:p w14:paraId="4C40EB8F" w14:textId="77777777" w:rsidR="007E1B0D" w:rsidRPr="00C8531E" w:rsidRDefault="007E1B0D" w:rsidP="008705AB">
            <w:r w:rsidRPr="00C8531E">
              <w:t>Immunoglobulin G</w:t>
            </w:r>
          </w:p>
        </w:tc>
      </w:tr>
      <w:tr w:rsidR="007E1B0D" w:rsidRPr="00C8531E" w14:paraId="51F2525D" w14:textId="77777777" w:rsidTr="00FD119B">
        <w:tc>
          <w:tcPr>
            <w:tcW w:w="1809" w:type="dxa"/>
          </w:tcPr>
          <w:p w14:paraId="2F1936A1" w14:textId="77777777" w:rsidR="007E1B0D" w:rsidRPr="00C8531E" w:rsidRDefault="007E1B0D" w:rsidP="008705AB">
            <w:r w:rsidRPr="00C8531E">
              <w:t>IM</w:t>
            </w:r>
          </w:p>
        </w:tc>
        <w:tc>
          <w:tcPr>
            <w:tcW w:w="6911" w:type="dxa"/>
          </w:tcPr>
          <w:p w14:paraId="75517B41" w14:textId="77777777" w:rsidR="007E1B0D" w:rsidRPr="00C8531E" w:rsidRDefault="007E1B0D" w:rsidP="008705AB">
            <w:r w:rsidRPr="00C8531E">
              <w:t>Intramuscular</w:t>
            </w:r>
          </w:p>
        </w:tc>
      </w:tr>
      <w:tr w:rsidR="007E1B0D" w:rsidRPr="00C8531E" w14:paraId="2181DFE4" w14:textId="77777777" w:rsidTr="00FD119B">
        <w:tc>
          <w:tcPr>
            <w:tcW w:w="1809" w:type="dxa"/>
          </w:tcPr>
          <w:p w14:paraId="584EAD66" w14:textId="77777777" w:rsidR="007E1B0D" w:rsidRPr="00C8531E" w:rsidRDefault="007E1B0D" w:rsidP="008705AB">
            <w:r w:rsidRPr="00C8531E">
              <w:t>ITT</w:t>
            </w:r>
          </w:p>
        </w:tc>
        <w:tc>
          <w:tcPr>
            <w:tcW w:w="6911" w:type="dxa"/>
          </w:tcPr>
          <w:p w14:paraId="5D5F064F" w14:textId="77777777" w:rsidR="007E1B0D" w:rsidRPr="00C8531E" w:rsidRDefault="007E1B0D" w:rsidP="008705AB">
            <w:r w:rsidRPr="00C8531E">
              <w:t>Intent to treat</w:t>
            </w:r>
          </w:p>
        </w:tc>
      </w:tr>
      <w:tr w:rsidR="007E1B0D" w:rsidRPr="00C8531E" w14:paraId="12AE07F3" w14:textId="77777777" w:rsidTr="00FD119B">
        <w:tc>
          <w:tcPr>
            <w:tcW w:w="1809" w:type="dxa"/>
          </w:tcPr>
          <w:p w14:paraId="0E76E37B" w14:textId="77777777" w:rsidR="007E1B0D" w:rsidRPr="00C8531E" w:rsidRDefault="007E1B0D" w:rsidP="008705AB">
            <w:r w:rsidRPr="00C8531E">
              <w:t>LD</w:t>
            </w:r>
          </w:p>
        </w:tc>
        <w:tc>
          <w:tcPr>
            <w:tcW w:w="6911" w:type="dxa"/>
          </w:tcPr>
          <w:p w14:paraId="02019B43" w14:textId="77777777" w:rsidR="007E1B0D" w:rsidRPr="00C8531E" w:rsidRDefault="007E1B0D" w:rsidP="008705AB">
            <w:r w:rsidRPr="00C8531E">
              <w:t>Low dose of ChAdOx1-S (</w:t>
            </w:r>
            <w:r w:rsidRPr="008705AB">
              <w:t>2.2 to 2.5 x 10</w:t>
            </w:r>
            <w:r w:rsidRPr="008705AB">
              <w:rPr>
                <w:vertAlign w:val="superscript"/>
              </w:rPr>
              <w:t>10</w:t>
            </w:r>
            <w:r w:rsidRPr="008705AB">
              <w:t xml:space="preserve"> viral particles)</w:t>
            </w:r>
          </w:p>
        </w:tc>
      </w:tr>
      <w:tr w:rsidR="007E1B0D" w:rsidRPr="00C8531E" w14:paraId="36EBDECD" w14:textId="77777777" w:rsidTr="00FD119B">
        <w:tc>
          <w:tcPr>
            <w:tcW w:w="1809" w:type="dxa"/>
          </w:tcPr>
          <w:p w14:paraId="3973A802" w14:textId="77777777" w:rsidR="007E1B0D" w:rsidRPr="00C8531E" w:rsidRDefault="007E1B0D" w:rsidP="008705AB">
            <w:r w:rsidRPr="00C8531E">
              <w:t>LDSD</w:t>
            </w:r>
          </w:p>
        </w:tc>
        <w:tc>
          <w:tcPr>
            <w:tcW w:w="6911" w:type="dxa"/>
          </w:tcPr>
          <w:p w14:paraId="25011E15" w14:textId="77777777" w:rsidR="007E1B0D" w:rsidRPr="00C8531E" w:rsidRDefault="007E1B0D" w:rsidP="008705AB">
            <w:r w:rsidRPr="00C8531E">
              <w:t>Low dose for the first dose followed by standard dose for the second dose</w:t>
            </w:r>
          </w:p>
        </w:tc>
      </w:tr>
      <w:tr w:rsidR="007E1B0D" w:rsidRPr="00C8531E" w14:paraId="506E94E6" w14:textId="77777777" w:rsidTr="00FD119B">
        <w:tc>
          <w:tcPr>
            <w:tcW w:w="1809" w:type="dxa"/>
          </w:tcPr>
          <w:p w14:paraId="11CF29C7" w14:textId="77777777" w:rsidR="007E1B0D" w:rsidRPr="00C8531E" w:rsidRDefault="007E1B0D" w:rsidP="008705AB">
            <w:r w:rsidRPr="00C8531E">
              <w:t>MedDRA</w:t>
            </w:r>
          </w:p>
        </w:tc>
        <w:tc>
          <w:tcPr>
            <w:tcW w:w="6911" w:type="dxa"/>
          </w:tcPr>
          <w:p w14:paraId="53827FD3" w14:textId="77777777" w:rsidR="007E1B0D" w:rsidRPr="00C8531E" w:rsidRDefault="007E1B0D" w:rsidP="008705AB">
            <w:r w:rsidRPr="00C8531E">
              <w:t>Medical Dictionary for Regulatory Activities</w:t>
            </w:r>
          </w:p>
        </w:tc>
      </w:tr>
      <w:tr w:rsidR="007E1B0D" w:rsidRPr="00C8531E" w14:paraId="406F2338" w14:textId="77777777" w:rsidTr="00FD119B">
        <w:tc>
          <w:tcPr>
            <w:tcW w:w="1809" w:type="dxa"/>
          </w:tcPr>
          <w:p w14:paraId="3D530DD4" w14:textId="77777777" w:rsidR="007E1B0D" w:rsidRPr="00C8531E" w:rsidRDefault="007E1B0D" w:rsidP="008705AB">
            <w:proofErr w:type="spellStart"/>
            <w:r w:rsidRPr="00C8531E">
              <w:t>MenACWY</w:t>
            </w:r>
            <w:proofErr w:type="spellEnd"/>
          </w:p>
        </w:tc>
        <w:tc>
          <w:tcPr>
            <w:tcW w:w="6911" w:type="dxa"/>
          </w:tcPr>
          <w:p w14:paraId="3646426D" w14:textId="0D86AA1C" w:rsidR="007E1B0D" w:rsidRPr="00C8531E" w:rsidRDefault="007E1B0D" w:rsidP="008705AB">
            <w:r w:rsidRPr="00C8531E">
              <w:t xml:space="preserve">Meningococcal group </w:t>
            </w:r>
            <w:r w:rsidR="00C8531E">
              <w:t>A</w:t>
            </w:r>
            <w:r w:rsidRPr="00C8531E">
              <w:t xml:space="preserve">, </w:t>
            </w:r>
            <w:r w:rsidR="00C8531E">
              <w:t>C</w:t>
            </w:r>
            <w:r w:rsidRPr="00C8531E">
              <w:t xml:space="preserve">, </w:t>
            </w:r>
            <w:r w:rsidR="00C8531E">
              <w:t>W</w:t>
            </w:r>
            <w:r w:rsidRPr="00C8531E">
              <w:t xml:space="preserve">-135, and </w:t>
            </w:r>
            <w:r w:rsidR="00C8531E">
              <w:t>Y</w:t>
            </w:r>
            <w:r w:rsidRPr="00C8531E">
              <w:t xml:space="preserve"> conjugate vaccine</w:t>
            </w:r>
          </w:p>
        </w:tc>
      </w:tr>
      <w:tr w:rsidR="007E1B0D" w:rsidRPr="00C8531E" w14:paraId="464A89F6" w14:textId="77777777" w:rsidTr="00FD119B">
        <w:tc>
          <w:tcPr>
            <w:tcW w:w="1809" w:type="dxa"/>
          </w:tcPr>
          <w:p w14:paraId="02A6EA19" w14:textId="77777777" w:rsidR="007E1B0D" w:rsidRPr="00C8531E" w:rsidRDefault="007E1B0D" w:rsidP="008705AB">
            <w:r w:rsidRPr="00C8531E">
              <w:t>MERS</w:t>
            </w:r>
          </w:p>
        </w:tc>
        <w:tc>
          <w:tcPr>
            <w:tcW w:w="6911" w:type="dxa"/>
          </w:tcPr>
          <w:p w14:paraId="586F70E3" w14:textId="77777777" w:rsidR="007E1B0D" w:rsidRPr="00C8531E" w:rsidRDefault="007E1B0D" w:rsidP="008705AB">
            <w:r w:rsidRPr="00C8531E">
              <w:t>Middle East respiratory syndrome</w:t>
            </w:r>
          </w:p>
        </w:tc>
      </w:tr>
      <w:tr w:rsidR="007E1B0D" w:rsidRPr="00C8531E" w14:paraId="663FC3CB" w14:textId="77777777" w:rsidTr="00FD119B">
        <w:tc>
          <w:tcPr>
            <w:tcW w:w="1809" w:type="dxa"/>
          </w:tcPr>
          <w:p w14:paraId="349B7683" w14:textId="77777777" w:rsidR="007E1B0D" w:rsidRPr="00C8531E" w:rsidRDefault="007E1B0D" w:rsidP="008705AB">
            <w:r w:rsidRPr="00C8531E">
              <w:t>NA</w:t>
            </w:r>
          </w:p>
        </w:tc>
        <w:tc>
          <w:tcPr>
            <w:tcW w:w="6911" w:type="dxa"/>
          </w:tcPr>
          <w:p w14:paraId="4B1E58C1" w14:textId="77777777" w:rsidR="007E1B0D" w:rsidRPr="00C8531E" w:rsidRDefault="007E1B0D" w:rsidP="008705AB">
            <w:r w:rsidRPr="00C8531E">
              <w:t>Not applicable</w:t>
            </w:r>
          </w:p>
        </w:tc>
      </w:tr>
      <w:tr w:rsidR="007E1B0D" w:rsidRPr="00C8531E" w14:paraId="232F012F" w14:textId="77777777" w:rsidTr="00FD119B">
        <w:tc>
          <w:tcPr>
            <w:tcW w:w="1809" w:type="dxa"/>
          </w:tcPr>
          <w:p w14:paraId="3747413A" w14:textId="77777777" w:rsidR="007E1B0D" w:rsidRPr="00C8531E" w:rsidRDefault="007E1B0D" w:rsidP="008705AB">
            <w:r w:rsidRPr="00C8531E">
              <w:t>NE</w:t>
            </w:r>
          </w:p>
        </w:tc>
        <w:tc>
          <w:tcPr>
            <w:tcW w:w="6911" w:type="dxa"/>
          </w:tcPr>
          <w:p w14:paraId="439E18EC" w14:textId="77777777" w:rsidR="007E1B0D" w:rsidRPr="00C8531E" w:rsidRDefault="007E1B0D" w:rsidP="008705AB">
            <w:r w:rsidRPr="00C8531E">
              <w:t>Not estimable</w:t>
            </w:r>
          </w:p>
        </w:tc>
      </w:tr>
      <w:tr w:rsidR="007E1B0D" w:rsidRPr="00C8531E" w14:paraId="12796120" w14:textId="77777777" w:rsidTr="00FD119B">
        <w:tc>
          <w:tcPr>
            <w:tcW w:w="1809" w:type="dxa"/>
          </w:tcPr>
          <w:p w14:paraId="5D4D2DAE" w14:textId="77777777" w:rsidR="007E1B0D" w:rsidRPr="00C8531E" w:rsidRDefault="007E1B0D" w:rsidP="008705AB">
            <w:r w:rsidRPr="00C8531E">
              <w:t>OCABR</w:t>
            </w:r>
          </w:p>
        </w:tc>
        <w:tc>
          <w:tcPr>
            <w:tcW w:w="6911" w:type="dxa"/>
          </w:tcPr>
          <w:p w14:paraId="74DE6298" w14:textId="77777777" w:rsidR="007E1B0D" w:rsidRPr="00C8531E" w:rsidRDefault="007E1B0D" w:rsidP="008705AB">
            <w:r w:rsidRPr="00C8531E">
              <w:t>Official Control Authority Batch Release (European Union)</w:t>
            </w:r>
          </w:p>
        </w:tc>
      </w:tr>
      <w:tr w:rsidR="007E1B0D" w:rsidRPr="00C8531E" w14:paraId="43C1ABCA" w14:textId="77777777" w:rsidTr="00FD119B">
        <w:tc>
          <w:tcPr>
            <w:tcW w:w="1809" w:type="dxa"/>
          </w:tcPr>
          <w:p w14:paraId="558FBE7F" w14:textId="77777777" w:rsidR="007E1B0D" w:rsidRPr="00C8531E" w:rsidRDefault="007E1B0D" w:rsidP="008705AB">
            <w:r w:rsidRPr="00C8531E">
              <w:t>OGTR</w:t>
            </w:r>
          </w:p>
        </w:tc>
        <w:tc>
          <w:tcPr>
            <w:tcW w:w="6911" w:type="dxa"/>
          </w:tcPr>
          <w:p w14:paraId="068BFEFC" w14:textId="77777777" w:rsidR="007E1B0D" w:rsidRPr="00C8531E" w:rsidRDefault="007E1B0D" w:rsidP="008705AB">
            <w:r w:rsidRPr="00C8531E">
              <w:t>Office of the Gene Technology Regulator</w:t>
            </w:r>
          </w:p>
        </w:tc>
      </w:tr>
      <w:tr w:rsidR="007E1B0D" w:rsidRPr="00C8531E" w14:paraId="22048E28" w14:textId="77777777" w:rsidTr="00FD119B">
        <w:tc>
          <w:tcPr>
            <w:tcW w:w="1809" w:type="dxa"/>
          </w:tcPr>
          <w:p w14:paraId="77E83E98" w14:textId="77777777" w:rsidR="007E1B0D" w:rsidRPr="00C8531E" w:rsidRDefault="007E1B0D" w:rsidP="008705AB">
            <w:r w:rsidRPr="00C8531E">
              <w:t>PCR</w:t>
            </w:r>
          </w:p>
        </w:tc>
        <w:tc>
          <w:tcPr>
            <w:tcW w:w="6911" w:type="dxa"/>
          </w:tcPr>
          <w:p w14:paraId="23B641BC" w14:textId="77777777" w:rsidR="007E1B0D" w:rsidRPr="00C8531E" w:rsidRDefault="007E1B0D" w:rsidP="008705AB">
            <w:r w:rsidRPr="00C8531E">
              <w:t>Polymerase chain reaction</w:t>
            </w:r>
          </w:p>
        </w:tc>
      </w:tr>
      <w:tr w:rsidR="007E1B0D" w:rsidRPr="00C8531E" w14:paraId="1E190A83" w14:textId="77777777" w:rsidTr="00FD119B">
        <w:tc>
          <w:tcPr>
            <w:tcW w:w="1809" w:type="dxa"/>
          </w:tcPr>
          <w:p w14:paraId="23CE6B9A" w14:textId="77777777" w:rsidR="007E1B0D" w:rsidRPr="00C8531E" w:rsidRDefault="007E1B0D" w:rsidP="008705AB">
            <w:r w:rsidRPr="00C8531E">
              <w:t>PI</w:t>
            </w:r>
          </w:p>
        </w:tc>
        <w:tc>
          <w:tcPr>
            <w:tcW w:w="6911" w:type="dxa"/>
          </w:tcPr>
          <w:p w14:paraId="4102A8F8" w14:textId="77777777" w:rsidR="007E1B0D" w:rsidRPr="00C8531E" w:rsidRDefault="007E1B0D" w:rsidP="008705AB">
            <w:r w:rsidRPr="00C8531E">
              <w:t>Product Information</w:t>
            </w:r>
          </w:p>
        </w:tc>
      </w:tr>
      <w:tr w:rsidR="00FD19BA" w:rsidRPr="00C8531E" w14:paraId="103AA1AA" w14:textId="77777777" w:rsidTr="00FD119B">
        <w:tc>
          <w:tcPr>
            <w:tcW w:w="1809" w:type="dxa"/>
          </w:tcPr>
          <w:p w14:paraId="61B60F12" w14:textId="6BD7A409" w:rsidR="00FD19BA" w:rsidRPr="00C8531E" w:rsidRDefault="00FD19BA" w:rsidP="008705AB">
            <w:r w:rsidRPr="00C8531E">
              <w:t>PSUR</w:t>
            </w:r>
          </w:p>
        </w:tc>
        <w:tc>
          <w:tcPr>
            <w:tcW w:w="6911" w:type="dxa"/>
          </w:tcPr>
          <w:p w14:paraId="206CFD35" w14:textId="0365AB14" w:rsidR="00FD19BA" w:rsidRPr="00C8531E" w:rsidRDefault="00FD19BA" w:rsidP="008705AB">
            <w:r w:rsidRPr="00C8531E">
              <w:t>Periodic safety update report</w:t>
            </w:r>
          </w:p>
        </w:tc>
      </w:tr>
      <w:tr w:rsidR="007E1B0D" w:rsidRPr="00C8531E" w14:paraId="49503B6A" w14:textId="77777777" w:rsidTr="00FD119B">
        <w:tc>
          <w:tcPr>
            <w:tcW w:w="1809" w:type="dxa"/>
          </w:tcPr>
          <w:p w14:paraId="41B503F4" w14:textId="77777777" w:rsidR="007E1B0D" w:rsidRPr="00C8531E" w:rsidRDefault="007E1B0D" w:rsidP="008705AB">
            <w:r w:rsidRPr="00C8531E">
              <w:t>PT</w:t>
            </w:r>
          </w:p>
        </w:tc>
        <w:tc>
          <w:tcPr>
            <w:tcW w:w="6911" w:type="dxa"/>
          </w:tcPr>
          <w:p w14:paraId="5865829A" w14:textId="77777777" w:rsidR="007E1B0D" w:rsidRPr="00C8531E" w:rsidRDefault="007E1B0D" w:rsidP="008705AB">
            <w:r w:rsidRPr="00C8531E">
              <w:t>Preferred Term</w:t>
            </w:r>
          </w:p>
        </w:tc>
      </w:tr>
      <w:tr w:rsidR="007E1B0D" w:rsidRPr="00C8531E" w14:paraId="7A981FA6" w14:textId="77777777" w:rsidTr="00FD119B">
        <w:tc>
          <w:tcPr>
            <w:tcW w:w="1809" w:type="dxa"/>
          </w:tcPr>
          <w:p w14:paraId="260439CF" w14:textId="77777777" w:rsidR="007E1B0D" w:rsidRPr="00C8531E" w:rsidRDefault="007E1B0D" w:rsidP="008705AB">
            <w:r w:rsidRPr="00C8531E">
              <w:t>QC</w:t>
            </w:r>
          </w:p>
        </w:tc>
        <w:tc>
          <w:tcPr>
            <w:tcW w:w="6911" w:type="dxa"/>
          </w:tcPr>
          <w:p w14:paraId="0B2A8E0C" w14:textId="77777777" w:rsidR="007E1B0D" w:rsidRPr="00C8531E" w:rsidRDefault="007E1B0D" w:rsidP="008705AB">
            <w:r w:rsidRPr="00C8531E">
              <w:t>Quality control</w:t>
            </w:r>
          </w:p>
        </w:tc>
      </w:tr>
      <w:tr w:rsidR="007E1B0D" w:rsidRPr="00C8531E" w14:paraId="43A6C337" w14:textId="77777777" w:rsidTr="00FD119B">
        <w:tc>
          <w:tcPr>
            <w:tcW w:w="1809" w:type="dxa"/>
          </w:tcPr>
          <w:p w14:paraId="39031379" w14:textId="77777777" w:rsidR="007E1B0D" w:rsidRPr="00C8531E" w:rsidRDefault="007E1B0D" w:rsidP="008705AB">
            <w:r w:rsidRPr="00C8531E">
              <w:t>RARMP</w:t>
            </w:r>
          </w:p>
        </w:tc>
        <w:tc>
          <w:tcPr>
            <w:tcW w:w="6911" w:type="dxa"/>
          </w:tcPr>
          <w:p w14:paraId="460EDFA6" w14:textId="77777777" w:rsidR="007E1B0D" w:rsidRPr="00C8531E" w:rsidRDefault="007E1B0D" w:rsidP="008705AB">
            <w:r w:rsidRPr="00C8531E">
              <w:t>Risk Assessment and Risk Management Plan (Office of the Gene Technology Regulator)</w:t>
            </w:r>
          </w:p>
        </w:tc>
      </w:tr>
      <w:tr w:rsidR="007E1B0D" w:rsidRPr="00C8531E" w14:paraId="18D835E6" w14:textId="77777777" w:rsidTr="00FD119B">
        <w:tc>
          <w:tcPr>
            <w:tcW w:w="1809" w:type="dxa"/>
          </w:tcPr>
          <w:p w14:paraId="6F9BDBA3" w14:textId="77777777" w:rsidR="007E1B0D" w:rsidRPr="00C8531E" w:rsidRDefault="007E1B0D" w:rsidP="008705AB">
            <w:r w:rsidRPr="00C8531E">
              <w:lastRenderedPageBreak/>
              <w:t>RMP</w:t>
            </w:r>
          </w:p>
        </w:tc>
        <w:tc>
          <w:tcPr>
            <w:tcW w:w="6911" w:type="dxa"/>
          </w:tcPr>
          <w:p w14:paraId="4945E111" w14:textId="77777777" w:rsidR="007E1B0D" w:rsidRPr="00C8531E" w:rsidRDefault="007E1B0D" w:rsidP="008705AB">
            <w:r w:rsidRPr="00C8531E">
              <w:t>Risk management plan</w:t>
            </w:r>
          </w:p>
        </w:tc>
      </w:tr>
      <w:tr w:rsidR="007E1B0D" w:rsidRPr="00C8531E" w14:paraId="792BFDC6" w14:textId="77777777" w:rsidTr="00FD119B">
        <w:tc>
          <w:tcPr>
            <w:tcW w:w="1809" w:type="dxa"/>
          </w:tcPr>
          <w:p w14:paraId="39988189" w14:textId="77777777" w:rsidR="007E1B0D" w:rsidRPr="00C8531E" w:rsidRDefault="007E1B0D" w:rsidP="008705AB">
            <w:r w:rsidRPr="008705AB">
              <w:t>RT-PCR</w:t>
            </w:r>
          </w:p>
        </w:tc>
        <w:tc>
          <w:tcPr>
            <w:tcW w:w="6911" w:type="dxa"/>
          </w:tcPr>
          <w:p w14:paraId="2AAE3B77" w14:textId="77777777" w:rsidR="007E1B0D" w:rsidRPr="00C8531E" w:rsidRDefault="007E1B0D" w:rsidP="008705AB">
            <w:r w:rsidRPr="008705AB">
              <w:t>Reverse transcription-polymerase chain reaction</w:t>
            </w:r>
          </w:p>
        </w:tc>
      </w:tr>
      <w:tr w:rsidR="00435394" w:rsidRPr="00C8531E" w14:paraId="2D22B1C8" w14:textId="77777777" w:rsidTr="00FD119B">
        <w:tc>
          <w:tcPr>
            <w:tcW w:w="1809" w:type="dxa"/>
          </w:tcPr>
          <w:p w14:paraId="0122D5EE" w14:textId="02172DF3" w:rsidR="00435394" w:rsidRPr="008705AB" w:rsidRDefault="00435394" w:rsidP="008705AB">
            <w:r>
              <w:t>S glycoprotein</w:t>
            </w:r>
          </w:p>
        </w:tc>
        <w:tc>
          <w:tcPr>
            <w:tcW w:w="6911" w:type="dxa"/>
          </w:tcPr>
          <w:p w14:paraId="3075AAB5" w14:textId="47B4DC03" w:rsidR="00435394" w:rsidRPr="008705AB" w:rsidRDefault="00435394" w:rsidP="008705AB">
            <w:r w:rsidRPr="008705AB">
              <w:rPr>
                <w:lang w:eastAsia="en-US"/>
              </w:rPr>
              <w:t>Severe acute respiratory syndrome coronavirus 2</w:t>
            </w:r>
            <w:r>
              <w:rPr>
                <w:snapToGrid w:val="0"/>
              </w:rPr>
              <w:t xml:space="preserve"> spike </w:t>
            </w:r>
            <w:r w:rsidRPr="00E9728F">
              <w:rPr>
                <w:snapToGrid w:val="0"/>
              </w:rPr>
              <w:t>surface g</w:t>
            </w:r>
            <w:r>
              <w:rPr>
                <w:snapToGrid w:val="0"/>
              </w:rPr>
              <w:t>lycoprotein</w:t>
            </w:r>
          </w:p>
        </w:tc>
      </w:tr>
      <w:tr w:rsidR="007E1B0D" w:rsidRPr="00C8531E" w14:paraId="3EE5BA6E" w14:textId="77777777" w:rsidTr="00FD119B">
        <w:tc>
          <w:tcPr>
            <w:tcW w:w="1809" w:type="dxa"/>
          </w:tcPr>
          <w:p w14:paraId="27B381F4" w14:textId="77777777" w:rsidR="007E1B0D" w:rsidRPr="00C8531E" w:rsidRDefault="007E1B0D" w:rsidP="008705AB">
            <w:r w:rsidRPr="00C8531E">
              <w:t>SAE</w:t>
            </w:r>
          </w:p>
        </w:tc>
        <w:tc>
          <w:tcPr>
            <w:tcW w:w="6911" w:type="dxa"/>
          </w:tcPr>
          <w:p w14:paraId="2C8D2C35" w14:textId="77777777" w:rsidR="007E1B0D" w:rsidRPr="00C8531E" w:rsidRDefault="007E1B0D" w:rsidP="008705AB">
            <w:r w:rsidRPr="00C8531E">
              <w:t>Serious adverse event</w:t>
            </w:r>
          </w:p>
        </w:tc>
      </w:tr>
      <w:tr w:rsidR="007E1B0D" w:rsidRPr="00C8531E" w14:paraId="1F9BECCE" w14:textId="77777777" w:rsidTr="00FD119B">
        <w:tc>
          <w:tcPr>
            <w:tcW w:w="1809" w:type="dxa"/>
          </w:tcPr>
          <w:p w14:paraId="0E2DEB40" w14:textId="77777777" w:rsidR="007E1B0D" w:rsidRPr="008705AB" w:rsidRDefault="007E1B0D" w:rsidP="008705AB">
            <w:r w:rsidRPr="00C8531E">
              <w:t>SARS-CoV-2</w:t>
            </w:r>
          </w:p>
        </w:tc>
        <w:tc>
          <w:tcPr>
            <w:tcW w:w="6911" w:type="dxa"/>
          </w:tcPr>
          <w:p w14:paraId="12A6AF33" w14:textId="77777777" w:rsidR="007E1B0D" w:rsidRPr="008705AB" w:rsidRDefault="007E1B0D" w:rsidP="008705AB">
            <w:r w:rsidRPr="008705AB">
              <w:rPr>
                <w:lang w:eastAsia="en-US"/>
              </w:rPr>
              <w:t>Severe acute respiratory syndrome coronavirus 2</w:t>
            </w:r>
          </w:p>
        </w:tc>
      </w:tr>
      <w:tr w:rsidR="007E1B0D" w:rsidRPr="00C8531E" w14:paraId="50CC1F7C" w14:textId="77777777" w:rsidTr="00FD119B">
        <w:tc>
          <w:tcPr>
            <w:tcW w:w="1809" w:type="dxa"/>
          </w:tcPr>
          <w:p w14:paraId="3BD853EF" w14:textId="77777777" w:rsidR="007E1B0D" w:rsidRPr="00C8531E" w:rsidRDefault="007E1B0D" w:rsidP="008705AB">
            <w:r w:rsidRPr="00C8531E">
              <w:t>SD</w:t>
            </w:r>
          </w:p>
        </w:tc>
        <w:tc>
          <w:tcPr>
            <w:tcW w:w="6911" w:type="dxa"/>
          </w:tcPr>
          <w:p w14:paraId="7518BB08" w14:textId="77777777" w:rsidR="007E1B0D" w:rsidRPr="00C8531E" w:rsidRDefault="007E1B0D" w:rsidP="008705AB">
            <w:r w:rsidRPr="00C8531E">
              <w:t xml:space="preserve">Standard dose of ChAdOx1-S (approximately </w:t>
            </w:r>
            <w:r w:rsidRPr="008705AB">
              <w:t>5 x 10</w:t>
            </w:r>
            <w:r w:rsidRPr="008705AB">
              <w:rPr>
                <w:vertAlign w:val="superscript"/>
              </w:rPr>
              <w:t>10</w:t>
            </w:r>
            <w:r w:rsidRPr="008705AB">
              <w:t xml:space="preserve"> viral particles)</w:t>
            </w:r>
          </w:p>
        </w:tc>
      </w:tr>
      <w:tr w:rsidR="007E1B0D" w:rsidRPr="00C8531E" w14:paraId="5E74CF0C" w14:textId="77777777" w:rsidTr="00FD119B">
        <w:tc>
          <w:tcPr>
            <w:tcW w:w="1809" w:type="dxa"/>
          </w:tcPr>
          <w:p w14:paraId="41E0C25F" w14:textId="77777777" w:rsidR="007E1B0D" w:rsidRPr="00C8531E" w:rsidRDefault="007E1B0D" w:rsidP="008705AB">
            <w:r w:rsidRPr="00C8531E">
              <w:t>SDSD</w:t>
            </w:r>
          </w:p>
        </w:tc>
        <w:tc>
          <w:tcPr>
            <w:tcW w:w="6911" w:type="dxa"/>
          </w:tcPr>
          <w:p w14:paraId="668D86AF" w14:textId="77777777" w:rsidR="007E1B0D" w:rsidRPr="00C8531E" w:rsidRDefault="007E1B0D" w:rsidP="008705AB">
            <w:r w:rsidRPr="00C8531E">
              <w:t>Standard dose for both the first and second dose</w:t>
            </w:r>
          </w:p>
        </w:tc>
      </w:tr>
      <w:tr w:rsidR="007E1B0D" w:rsidRPr="00C8531E" w14:paraId="202ED794" w14:textId="77777777" w:rsidTr="00FD119B">
        <w:tc>
          <w:tcPr>
            <w:tcW w:w="1809" w:type="dxa"/>
          </w:tcPr>
          <w:p w14:paraId="4237F9A4" w14:textId="77777777" w:rsidR="007E1B0D" w:rsidRPr="00C8531E" w:rsidRDefault="007E1B0D" w:rsidP="008705AB">
            <w:r w:rsidRPr="00C8531E">
              <w:t>SII</w:t>
            </w:r>
          </w:p>
        </w:tc>
        <w:tc>
          <w:tcPr>
            <w:tcW w:w="6911" w:type="dxa"/>
          </w:tcPr>
          <w:p w14:paraId="7870F333" w14:textId="50369E1E" w:rsidR="007E1B0D" w:rsidRPr="00C8531E" w:rsidRDefault="007E1B0D" w:rsidP="008705AB">
            <w:r w:rsidRPr="00C8531E">
              <w:t>Serum Institute of India</w:t>
            </w:r>
          </w:p>
        </w:tc>
      </w:tr>
      <w:tr w:rsidR="004D530C" w:rsidRPr="00C8531E" w14:paraId="6D936514" w14:textId="77777777" w:rsidTr="00FD119B">
        <w:tc>
          <w:tcPr>
            <w:tcW w:w="1809" w:type="dxa"/>
          </w:tcPr>
          <w:p w14:paraId="38AE1A4A" w14:textId="46BC78DD" w:rsidR="004D530C" w:rsidRPr="00C8531E" w:rsidRDefault="004D530C" w:rsidP="008705AB">
            <w:r w:rsidRPr="00C8531E">
              <w:t>TGA</w:t>
            </w:r>
          </w:p>
        </w:tc>
        <w:tc>
          <w:tcPr>
            <w:tcW w:w="6911" w:type="dxa"/>
          </w:tcPr>
          <w:p w14:paraId="0A335011" w14:textId="524236AE" w:rsidR="004D530C" w:rsidRPr="00C8531E" w:rsidRDefault="004D530C" w:rsidP="008705AB">
            <w:r w:rsidRPr="00C8531E">
              <w:t>Therapeutic Goods Administration</w:t>
            </w:r>
          </w:p>
        </w:tc>
      </w:tr>
      <w:tr w:rsidR="007E1B0D" w:rsidRPr="00C8531E" w14:paraId="13BF7B7E" w14:textId="77777777" w:rsidTr="00FD119B">
        <w:tc>
          <w:tcPr>
            <w:tcW w:w="1809" w:type="dxa"/>
          </w:tcPr>
          <w:p w14:paraId="4010F98B" w14:textId="77777777" w:rsidR="007E1B0D" w:rsidRPr="00C8531E" w:rsidRDefault="007E1B0D" w:rsidP="008705AB">
            <w:r w:rsidRPr="00C8531E">
              <w:t>Th1</w:t>
            </w:r>
          </w:p>
        </w:tc>
        <w:tc>
          <w:tcPr>
            <w:tcW w:w="6911" w:type="dxa"/>
          </w:tcPr>
          <w:p w14:paraId="66422CD9" w14:textId="77777777" w:rsidR="007E1B0D" w:rsidRPr="00C8531E" w:rsidRDefault="007E1B0D" w:rsidP="008705AB">
            <w:r w:rsidRPr="00C8531E">
              <w:t>T helper type 1</w:t>
            </w:r>
          </w:p>
        </w:tc>
      </w:tr>
      <w:tr w:rsidR="007E1B0D" w:rsidRPr="00C8531E" w14:paraId="281599C6" w14:textId="77777777" w:rsidTr="00FD119B">
        <w:tc>
          <w:tcPr>
            <w:tcW w:w="1809" w:type="dxa"/>
          </w:tcPr>
          <w:p w14:paraId="33F15183" w14:textId="77777777" w:rsidR="007E1B0D" w:rsidRPr="00C8531E" w:rsidRDefault="007E1B0D" w:rsidP="008705AB">
            <w:r w:rsidRPr="00C8531E">
              <w:t>UK</w:t>
            </w:r>
          </w:p>
        </w:tc>
        <w:tc>
          <w:tcPr>
            <w:tcW w:w="6911" w:type="dxa"/>
          </w:tcPr>
          <w:p w14:paraId="4BD0E608" w14:textId="77777777" w:rsidR="007E1B0D" w:rsidRPr="00C8531E" w:rsidRDefault="007E1B0D" w:rsidP="008705AB">
            <w:r w:rsidRPr="00C8531E">
              <w:t>United Kingdom</w:t>
            </w:r>
          </w:p>
        </w:tc>
      </w:tr>
      <w:tr w:rsidR="00770630" w:rsidRPr="00C8531E" w14:paraId="6684318E" w14:textId="77777777" w:rsidTr="00FD119B">
        <w:tc>
          <w:tcPr>
            <w:tcW w:w="1809" w:type="dxa"/>
          </w:tcPr>
          <w:p w14:paraId="58F22D69" w14:textId="77BC0FF3" w:rsidR="00770630" w:rsidRPr="00C8531E" w:rsidRDefault="00770630" w:rsidP="008705AB">
            <w:r w:rsidRPr="00C8531E">
              <w:t>US(A)</w:t>
            </w:r>
          </w:p>
        </w:tc>
        <w:tc>
          <w:tcPr>
            <w:tcW w:w="6911" w:type="dxa"/>
          </w:tcPr>
          <w:p w14:paraId="5DC4EB50" w14:textId="3015FE5D" w:rsidR="00770630" w:rsidRPr="00C8531E" w:rsidRDefault="00770630" w:rsidP="008705AB">
            <w:r w:rsidRPr="00C8531E">
              <w:t>United States of America</w:t>
            </w:r>
          </w:p>
        </w:tc>
      </w:tr>
      <w:tr w:rsidR="007E1B0D" w:rsidRPr="00C8531E" w14:paraId="540B66B2" w14:textId="77777777" w:rsidTr="00FD119B">
        <w:tc>
          <w:tcPr>
            <w:tcW w:w="1809" w:type="dxa"/>
          </w:tcPr>
          <w:p w14:paraId="5FB904BD" w14:textId="77777777" w:rsidR="007E1B0D" w:rsidRPr="00C8531E" w:rsidRDefault="007E1B0D" w:rsidP="008705AB">
            <w:r w:rsidRPr="00C8531E">
              <w:t>VAED</w:t>
            </w:r>
          </w:p>
        </w:tc>
        <w:tc>
          <w:tcPr>
            <w:tcW w:w="6911" w:type="dxa"/>
          </w:tcPr>
          <w:p w14:paraId="57F7AF42" w14:textId="77777777" w:rsidR="007E1B0D" w:rsidRPr="00C8531E" w:rsidRDefault="007E1B0D" w:rsidP="008705AB">
            <w:r w:rsidRPr="00C8531E">
              <w:t>Vaccine associated enhanced disease</w:t>
            </w:r>
          </w:p>
        </w:tc>
      </w:tr>
      <w:tr w:rsidR="008912FE" w:rsidRPr="00C8531E" w14:paraId="3E2E1667" w14:textId="77777777" w:rsidTr="00FD119B">
        <w:tc>
          <w:tcPr>
            <w:tcW w:w="1809" w:type="dxa"/>
          </w:tcPr>
          <w:p w14:paraId="6D509C8D" w14:textId="51602B39" w:rsidR="008912FE" w:rsidRPr="00C8531E" w:rsidRDefault="008912FE" w:rsidP="008705AB">
            <w:r w:rsidRPr="00C8531E">
              <w:t>VAERD</w:t>
            </w:r>
          </w:p>
        </w:tc>
        <w:tc>
          <w:tcPr>
            <w:tcW w:w="6911" w:type="dxa"/>
          </w:tcPr>
          <w:p w14:paraId="4892AE1B" w14:textId="68B2C9AA" w:rsidR="008912FE" w:rsidRPr="00C8531E" w:rsidRDefault="008912FE" w:rsidP="008705AB">
            <w:r w:rsidRPr="00C8531E">
              <w:t>Vaccine associated enhanced respiratory disease</w:t>
            </w:r>
          </w:p>
        </w:tc>
      </w:tr>
      <w:tr w:rsidR="007E1B0D" w:rsidRPr="00C8531E" w14:paraId="7CD792E3" w14:textId="77777777" w:rsidTr="00FD119B">
        <w:tc>
          <w:tcPr>
            <w:tcW w:w="1809" w:type="dxa"/>
          </w:tcPr>
          <w:p w14:paraId="546F8DD5" w14:textId="77777777" w:rsidR="007E1B0D" w:rsidRPr="00C8531E" w:rsidRDefault="007E1B0D" w:rsidP="008705AB">
            <w:r w:rsidRPr="00C8531E">
              <w:t>VE</w:t>
            </w:r>
          </w:p>
        </w:tc>
        <w:tc>
          <w:tcPr>
            <w:tcW w:w="6911" w:type="dxa"/>
          </w:tcPr>
          <w:p w14:paraId="56A1160B" w14:textId="77777777" w:rsidR="007E1B0D" w:rsidRPr="00C8531E" w:rsidRDefault="007E1B0D" w:rsidP="008705AB">
            <w:r w:rsidRPr="00C8531E">
              <w:t>Vaccine efficacy</w:t>
            </w:r>
          </w:p>
        </w:tc>
      </w:tr>
      <w:tr w:rsidR="007E1B0D" w:rsidRPr="00C8531E" w14:paraId="7EDAC9B3" w14:textId="77777777" w:rsidTr="00FD119B">
        <w:tc>
          <w:tcPr>
            <w:tcW w:w="1809" w:type="dxa"/>
          </w:tcPr>
          <w:p w14:paraId="752B0812" w14:textId="77777777" w:rsidR="007E1B0D" w:rsidRPr="008705AB" w:rsidRDefault="007E1B0D" w:rsidP="008705AB">
            <w:proofErr w:type="spellStart"/>
            <w:r w:rsidRPr="00C8531E">
              <w:t>vp</w:t>
            </w:r>
            <w:proofErr w:type="spellEnd"/>
          </w:p>
        </w:tc>
        <w:tc>
          <w:tcPr>
            <w:tcW w:w="6911" w:type="dxa"/>
          </w:tcPr>
          <w:p w14:paraId="0EE19340" w14:textId="77777777" w:rsidR="007E1B0D" w:rsidRPr="008705AB" w:rsidRDefault="007E1B0D" w:rsidP="008705AB">
            <w:r w:rsidRPr="00C8531E">
              <w:t>Viral particles</w:t>
            </w:r>
          </w:p>
        </w:tc>
      </w:tr>
      <w:tr w:rsidR="007E1B0D" w:rsidRPr="00C8531E" w14:paraId="7F0404DB" w14:textId="77777777" w:rsidTr="00FD119B">
        <w:tc>
          <w:tcPr>
            <w:tcW w:w="1809" w:type="dxa"/>
          </w:tcPr>
          <w:p w14:paraId="2A78D4DC" w14:textId="77777777" w:rsidR="007E1B0D" w:rsidRPr="00C8531E" w:rsidRDefault="007E1B0D" w:rsidP="008705AB">
            <w:r w:rsidRPr="00C8531E">
              <w:t>WHO</w:t>
            </w:r>
          </w:p>
        </w:tc>
        <w:tc>
          <w:tcPr>
            <w:tcW w:w="6911" w:type="dxa"/>
          </w:tcPr>
          <w:p w14:paraId="788AC712" w14:textId="77777777" w:rsidR="007E1B0D" w:rsidRPr="00C8531E" w:rsidRDefault="007E1B0D" w:rsidP="008705AB">
            <w:r w:rsidRPr="00C8531E">
              <w:t>World Health Organization</w:t>
            </w:r>
          </w:p>
        </w:tc>
      </w:tr>
    </w:tbl>
    <w:p w14:paraId="418D01F3" w14:textId="77777777" w:rsidR="00FD119B" w:rsidRDefault="00FD119B" w:rsidP="00FD119B"/>
    <w:p w14:paraId="59908E9C"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9BBCD84" w14:textId="77777777" w:rsidR="008E7846" w:rsidRDefault="00F53C07" w:rsidP="008E7846">
      <w:pPr>
        <w:pStyle w:val="Heading2"/>
      </w:pPr>
      <w:bookmarkStart w:id="8" w:name="_Toc64365638"/>
      <w:r>
        <w:lastRenderedPageBreak/>
        <w:t>I.</w:t>
      </w:r>
      <w:r w:rsidR="008E7846">
        <w:t xml:space="preserve"> Introduction to product submission</w:t>
      </w:r>
      <w:bookmarkEnd w:id="8"/>
      <w:bookmarkEnd w:id="0"/>
      <w:bookmarkEnd w:id="2"/>
    </w:p>
    <w:p w14:paraId="54C8086F" w14:textId="77777777" w:rsidR="008E7846" w:rsidRDefault="008E7846" w:rsidP="008E7846">
      <w:pPr>
        <w:pStyle w:val="Heading3"/>
        <w:rPr>
          <w:lang w:eastAsia="en-AU"/>
        </w:rPr>
      </w:pPr>
      <w:bookmarkStart w:id="9" w:name="_Toc247691502"/>
      <w:bookmarkStart w:id="10" w:name="_Toc314842483"/>
      <w:bookmarkStart w:id="11" w:name="_Toc64365639"/>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77"/>
        <w:gridCol w:w="6237"/>
      </w:tblGrid>
      <w:tr w:rsidR="008E7846" w:rsidRPr="003D1E62" w14:paraId="444C97E3" w14:textId="77777777" w:rsidTr="00385046">
        <w:tc>
          <w:tcPr>
            <w:tcW w:w="2977" w:type="dxa"/>
          </w:tcPr>
          <w:p w14:paraId="18F86F1B" w14:textId="77777777" w:rsidR="008E7846" w:rsidRPr="003D1E62" w:rsidRDefault="001B5C90" w:rsidP="001B5C90">
            <w:pPr>
              <w:rPr>
                <w:i/>
              </w:rPr>
            </w:pPr>
            <w:r>
              <w:rPr>
                <w:i/>
              </w:rPr>
              <w:t>Type of s</w:t>
            </w:r>
            <w:r w:rsidR="008E7846" w:rsidRPr="003D1E62">
              <w:rPr>
                <w:i/>
              </w:rPr>
              <w:t>ubmission</w:t>
            </w:r>
            <w:r>
              <w:rPr>
                <w:i/>
              </w:rPr>
              <w:t>:</w:t>
            </w:r>
          </w:p>
        </w:tc>
        <w:tc>
          <w:tcPr>
            <w:tcW w:w="6237" w:type="dxa"/>
          </w:tcPr>
          <w:p w14:paraId="0DCB1E0D" w14:textId="77777777" w:rsidR="008E7846" w:rsidRPr="003D1E62" w:rsidRDefault="00DE7972" w:rsidP="001B5C90">
            <w:r>
              <w:t>New biological entity</w:t>
            </w:r>
          </w:p>
        </w:tc>
      </w:tr>
      <w:tr w:rsidR="00460036" w:rsidRPr="003D1E62" w14:paraId="6DBDB03A" w14:textId="77777777" w:rsidTr="00385046">
        <w:tc>
          <w:tcPr>
            <w:tcW w:w="2977" w:type="dxa"/>
          </w:tcPr>
          <w:p w14:paraId="496BBE06" w14:textId="77777777" w:rsidR="00460036" w:rsidRPr="003D1E62" w:rsidRDefault="00460036" w:rsidP="003D1E62">
            <w:pPr>
              <w:rPr>
                <w:i/>
              </w:rPr>
            </w:pPr>
            <w:r w:rsidRPr="00460036">
              <w:rPr>
                <w:i/>
              </w:rPr>
              <w:t>Prod</w:t>
            </w:r>
            <w:r w:rsidR="00DE7972">
              <w:rPr>
                <w:i/>
              </w:rPr>
              <w:t>uct name</w:t>
            </w:r>
            <w:r w:rsidRPr="00460036">
              <w:rPr>
                <w:i/>
              </w:rPr>
              <w:t>:</w:t>
            </w:r>
          </w:p>
        </w:tc>
        <w:tc>
          <w:tcPr>
            <w:tcW w:w="6237" w:type="dxa"/>
          </w:tcPr>
          <w:p w14:paraId="4565CEDC" w14:textId="77777777" w:rsidR="00460036" w:rsidRPr="003D1E62" w:rsidRDefault="00D84D93" w:rsidP="001B5C90">
            <w:r>
              <w:t>COVID-19 Vaccine Astra</w:t>
            </w:r>
            <w:r w:rsidR="00DE7972" w:rsidRPr="00DE7972">
              <w:t>Zeneca</w:t>
            </w:r>
          </w:p>
        </w:tc>
      </w:tr>
      <w:tr w:rsidR="00460036" w:rsidRPr="003D1E62" w14:paraId="045D2132" w14:textId="77777777" w:rsidTr="00385046">
        <w:tc>
          <w:tcPr>
            <w:tcW w:w="2977" w:type="dxa"/>
          </w:tcPr>
          <w:p w14:paraId="211E86E6" w14:textId="77777777" w:rsidR="00460036" w:rsidRPr="003D1E62" w:rsidRDefault="00DE7972" w:rsidP="003D1E62">
            <w:pPr>
              <w:rPr>
                <w:i/>
              </w:rPr>
            </w:pPr>
            <w:r>
              <w:rPr>
                <w:i/>
              </w:rPr>
              <w:t>Active ingredient</w:t>
            </w:r>
            <w:r w:rsidR="00460036" w:rsidRPr="00460036">
              <w:rPr>
                <w:i/>
              </w:rPr>
              <w:t>:</w:t>
            </w:r>
          </w:p>
        </w:tc>
        <w:tc>
          <w:tcPr>
            <w:tcW w:w="6237" w:type="dxa"/>
          </w:tcPr>
          <w:p w14:paraId="2B29F9B3" w14:textId="36C51070" w:rsidR="00460036" w:rsidRPr="003D1E62" w:rsidRDefault="00DE7972" w:rsidP="00B46039">
            <w:r w:rsidRPr="00DE7972">
              <w:t>ChAdOx1-S</w:t>
            </w:r>
            <w:r w:rsidR="00B46039">
              <w:t xml:space="preserve"> </w:t>
            </w:r>
            <w:bookmarkStart w:id="12" w:name="_Ref64191694"/>
            <w:r w:rsidR="00B46039">
              <w:rPr>
                <w:rStyle w:val="FootnoteReference"/>
              </w:rPr>
              <w:footnoteReference w:id="1"/>
            </w:r>
            <w:bookmarkEnd w:id="12"/>
          </w:p>
        </w:tc>
      </w:tr>
      <w:tr w:rsidR="008E7846" w:rsidRPr="003D1E62" w14:paraId="62BF831C" w14:textId="77777777" w:rsidTr="00385046">
        <w:tc>
          <w:tcPr>
            <w:tcW w:w="2977" w:type="dxa"/>
          </w:tcPr>
          <w:p w14:paraId="03CF347D" w14:textId="77777777" w:rsidR="008E7846" w:rsidRPr="003D1E62" w:rsidRDefault="008E7846" w:rsidP="003D1E62">
            <w:r w:rsidRPr="003D1E62">
              <w:rPr>
                <w:i/>
              </w:rPr>
              <w:t>Decision</w:t>
            </w:r>
            <w:r w:rsidRPr="003D1E62">
              <w:t>:</w:t>
            </w:r>
          </w:p>
        </w:tc>
        <w:tc>
          <w:tcPr>
            <w:tcW w:w="6237" w:type="dxa"/>
          </w:tcPr>
          <w:p w14:paraId="3F1D512A" w14:textId="6B440422" w:rsidR="008E7846" w:rsidRPr="00DE7972" w:rsidRDefault="00460036" w:rsidP="008C6F0A">
            <w:pPr>
              <w:rPr>
                <w:highlight w:val="yellow"/>
              </w:rPr>
            </w:pPr>
            <w:r w:rsidRPr="008C6F0A">
              <w:t>Approved for provisional registration</w:t>
            </w:r>
          </w:p>
        </w:tc>
      </w:tr>
      <w:tr w:rsidR="008E7846" w:rsidRPr="003D1E62" w14:paraId="710AF588" w14:textId="77777777" w:rsidTr="00385046">
        <w:tc>
          <w:tcPr>
            <w:tcW w:w="2977" w:type="dxa"/>
          </w:tcPr>
          <w:p w14:paraId="6815B49E"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237" w:type="dxa"/>
          </w:tcPr>
          <w:p w14:paraId="23BEFD5F" w14:textId="5C7D3172" w:rsidR="008E7846" w:rsidRPr="00DE7972" w:rsidRDefault="002D21D4" w:rsidP="005C2845">
            <w:pPr>
              <w:rPr>
                <w:highlight w:val="yellow"/>
              </w:rPr>
            </w:pPr>
            <w:r w:rsidRPr="002D21D4">
              <w:t>15 February 2021</w:t>
            </w:r>
          </w:p>
        </w:tc>
      </w:tr>
      <w:tr w:rsidR="00ED2922" w:rsidRPr="003D1E62" w14:paraId="22065DAB" w14:textId="77777777" w:rsidTr="00385046">
        <w:tc>
          <w:tcPr>
            <w:tcW w:w="2977" w:type="dxa"/>
          </w:tcPr>
          <w:p w14:paraId="4C7A624F" w14:textId="77777777" w:rsidR="00ED2922" w:rsidRPr="00441C3F" w:rsidRDefault="00ED2922" w:rsidP="001B5C90">
            <w:pPr>
              <w:rPr>
                <w:i/>
              </w:rPr>
            </w:pPr>
            <w:r w:rsidRPr="00441C3F">
              <w:rPr>
                <w:i/>
              </w:rPr>
              <w:t>Date of entry onto ARTG</w:t>
            </w:r>
            <w:r w:rsidR="00500337">
              <w:rPr>
                <w:i/>
              </w:rPr>
              <w:t>:</w:t>
            </w:r>
          </w:p>
        </w:tc>
        <w:tc>
          <w:tcPr>
            <w:tcW w:w="6237" w:type="dxa"/>
          </w:tcPr>
          <w:p w14:paraId="0E1A4CF0" w14:textId="75E2FA4A" w:rsidR="00ED2922" w:rsidRPr="00DE7972" w:rsidRDefault="002D21D4" w:rsidP="002D21D4">
            <w:pPr>
              <w:rPr>
                <w:i/>
                <w:highlight w:val="yellow"/>
              </w:rPr>
            </w:pPr>
            <w:r w:rsidRPr="002D21D4">
              <w:t>16 February 2021</w:t>
            </w:r>
          </w:p>
        </w:tc>
      </w:tr>
      <w:tr w:rsidR="00500337" w:rsidRPr="003D1E62" w14:paraId="12239B2C" w14:textId="77777777" w:rsidTr="00385046">
        <w:tc>
          <w:tcPr>
            <w:tcW w:w="2977" w:type="dxa"/>
          </w:tcPr>
          <w:p w14:paraId="694431B9" w14:textId="1448908D" w:rsidR="00500337" w:rsidRPr="00441C3F" w:rsidRDefault="00657C54" w:rsidP="001B5C90">
            <w:pPr>
              <w:rPr>
                <w:i/>
              </w:rPr>
            </w:pPr>
            <w:r>
              <w:rPr>
                <w:i/>
              </w:rPr>
              <w:t>ARTG number</w:t>
            </w:r>
            <w:r w:rsidR="00500337">
              <w:rPr>
                <w:i/>
              </w:rPr>
              <w:t>:</w:t>
            </w:r>
          </w:p>
        </w:tc>
        <w:tc>
          <w:tcPr>
            <w:tcW w:w="6237" w:type="dxa"/>
          </w:tcPr>
          <w:p w14:paraId="783486C8" w14:textId="5F6458CD" w:rsidR="00500337" w:rsidRPr="00DE7972" w:rsidRDefault="00CE0E8A" w:rsidP="00EC463D">
            <w:pPr>
              <w:rPr>
                <w:highlight w:val="yellow"/>
              </w:rPr>
            </w:pPr>
            <w:r w:rsidRPr="00221A34">
              <w:t>349072</w:t>
            </w:r>
          </w:p>
        </w:tc>
      </w:tr>
      <w:tr w:rsidR="003735BC" w:rsidRPr="003D1E62" w14:paraId="25CD48D7" w14:textId="77777777" w:rsidTr="00385046">
        <w:tc>
          <w:tcPr>
            <w:tcW w:w="2977" w:type="dxa"/>
          </w:tcPr>
          <w:p w14:paraId="7B04ABD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2"/>
            </w:r>
          </w:p>
        </w:tc>
        <w:tc>
          <w:tcPr>
            <w:tcW w:w="6237" w:type="dxa"/>
          </w:tcPr>
          <w:p w14:paraId="7D415488" w14:textId="615D857F" w:rsidR="00CE5B4B" w:rsidRPr="008C6F0A" w:rsidRDefault="00CE5B4B" w:rsidP="00CE5B4B">
            <w:r w:rsidRPr="008C6F0A">
              <w:t>Yes</w:t>
            </w:r>
          </w:p>
          <w:p w14:paraId="614EC44B" w14:textId="27875614" w:rsidR="003735BC" w:rsidRPr="00DE7972" w:rsidRDefault="003735BC" w:rsidP="003735BC">
            <w:pPr>
              <w:rPr>
                <w:highlight w:val="yellow"/>
              </w:rPr>
            </w:pPr>
            <w:r w:rsidRPr="008C6F0A">
              <w:t>As a provisionally registered product, this medicine will remain in the Black Triangle Scheme for the duration of its provisional registration</w:t>
            </w:r>
          </w:p>
        </w:tc>
      </w:tr>
      <w:tr w:rsidR="008E7846" w:rsidRPr="00487162" w14:paraId="4D0B3897" w14:textId="77777777" w:rsidTr="00385046">
        <w:tc>
          <w:tcPr>
            <w:tcW w:w="2977" w:type="dxa"/>
          </w:tcPr>
          <w:p w14:paraId="1B9D566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237" w:type="dxa"/>
          </w:tcPr>
          <w:p w14:paraId="7E097CF2" w14:textId="735159E1" w:rsidR="008E7846" w:rsidRPr="00487162" w:rsidRDefault="004E6A3A" w:rsidP="00385046">
            <w:r>
              <w:t>AstraZeneca Pty Ltd</w:t>
            </w:r>
            <w:r w:rsidR="00385046">
              <w:br/>
            </w:r>
            <w:r>
              <w:t>66 Talavera Road</w:t>
            </w:r>
            <w:r w:rsidR="00385046">
              <w:br/>
            </w:r>
            <w:r>
              <w:t>Macquarie Park NSW 2113</w:t>
            </w:r>
          </w:p>
        </w:tc>
      </w:tr>
      <w:tr w:rsidR="008E7846" w:rsidRPr="00487162" w14:paraId="0163466A" w14:textId="77777777" w:rsidTr="00385046">
        <w:tc>
          <w:tcPr>
            <w:tcW w:w="2977" w:type="dxa"/>
          </w:tcPr>
          <w:p w14:paraId="4286C941" w14:textId="0D23C475" w:rsidR="008E7846" w:rsidRPr="00487162" w:rsidRDefault="001B5C90" w:rsidP="00E45619">
            <w:pPr>
              <w:rPr>
                <w:i/>
              </w:rPr>
            </w:pPr>
            <w:r>
              <w:rPr>
                <w:i/>
              </w:rPr>
              <w:t>Dos</w:t>
            </w:r>
            <w:r w:rsidR="004B5DB7">
              <w:rPr>
                <w:i/>
              </w:rPr>
              <w:t>e form</w:t>
            </w:r>
            <w:r>
              <w:rPr>
                <w:i/>
              </w:rPr>
              <w:t>:</w:t>
            </w:r>
          </w:p>
        </w:tc>
        <w:tc>
          <w:tcPr>
            <w:tcW w:w="6237" w:type="dxa"/>
          </w:tcPr>
          <w:p w14:paraId="47E398A1" w14:textId="77777777" w:rsidR="008E7846" w:rsidRPr="00487162" w:rsidRDefault="00D84D93" w:rsidP="00E45619">
            <w:r>
              <w:t>Solution for injection</w:t>
            </w:r>
          </w:p>
        </w:tc>
      </w:tr>
      <w:tr w:rsidR="008E7846" w:rsidRPr="00487162" w14:paraId="3B8ED90C" w14:textId="77777777" w:rsidTr="00385046">
        <w:tc>
          <w:tcPr>
            <w:tcW w:w="2977" w:type="dxa"/>
          </w:tcPr>
          <w:p w14:paraId="5890EF87" w14:textId="784C289E" w:rsidR="008E7846" w:rsidRPr="00487162" w:rsidRDefault="004B5DB7" w:rsidP="00E45619">
            <w:pPr>
              <w:rPr>
                <w:i/>
              </w:rPr>
            </w:pPr>
            <w:r>
              <w:rPr>
                <w:i/>
              </w:rPr>
              <w:t>Strength</w:t>
            </w:r>
            <w:r w:rsidR="00324E45">
              <w:rPr>
                <w:i/>
              </w:rPr>
              <w:t>:</w:t>
            </w:r>
          </w:p>
        </w:tc>
        <w:tc>
          <w:tcPr>
            <w:tcW w:w="6237" w:type="dxa"/>
          </w:tcPr>
          <w:p w14:paraId="4B41EF87" w14:textId="1FDDEAB4" w:rsidR="008E7846" w:rsidRPr="00487162" w:rsidRDefault="00D84D93" w:rsidP="00E45619">
            <w:r>
              <w:t>1 x</w:t>
            </w:r>
            <w:r w:rsidRPr="00D84D93">
              <w:t xml:space="preserve"> 10</w:t>
            </w:r>
            <w:r w:rsidRPr="00D84D93">
              <w:rPr>
                <w:vertAlign w:val="superscript"/>
              </w:rPr>
              <w:t>11</w:t>
            </w:r>
            <w:r>
              <w:t xml:space="preserve"> </w:t>
            </w:r>
            <w:r w:rsidR="00657C54">
              <w:t>viral particles (</w:t>
            </w:r>
            <w:proofErr w:type="spellStart"/>
            <w:r>
              <w:t>vp</w:t>
            </w:r>
            <w:proofErr w:type="spellEnd"/>
            <w:r w:rsidR="00657C54">
              <w:t>)</w:t>
            </w:r>
            <w:r>
              <w:t>/mL</w:t>
            </w:r>
          </w:p>
        </w:tc>
      </w:tr>
      <w:tr w:rsidR="008E7846" w:rsidRPr="00487162" w14:paraId="4F604AF1" w14:textId="77777777" w:rsidTr="00385046">
        <w:tc>
          <w:tcPr>
            <w:tcW w:w="2977" w:type="dxa"/>
          </w:tcPr>
          <w:p w14:paraId="72297461" w14:textId="77777777" w:rsidR="008E7846" w:rsidRPr="00487162" w:rsidRDefault="00D84D93" w:rsidP="00E45619">
            <w:pPr>
              <w:rPr>
                <w:i/>
              </w:rPr>
            </w:pPr>
            <w:r>
              <w:rPr>
                <w:i/>
              </w:rPr>
              <w:t>Container</w:t>
            </w:r>
            <w:r w:rsidR="008E7846" w:rsidRPr="00487162">
              <w:rPr>
                <w:i/>
              </w:rPr>
              <w:t>:</w:t>
            </w:r>
          </w:p>
        </w:tc>
        <w:tc>
          <w:tcPr>
            <w:tcW w:w="6237" w:type="dxa"/>
          </w:tcPr>
          <w:p w14:paraId="3B6290F8" w14:textId="71748EFF" w:rsidR="008E7846" w:rsidRPr="00487162" w:rsidRDefault="00DE7972" w:rsidP="00E45619">
            <w:r>
              <w:t>Multi</w:t>
            </w:r>
            <w:r w:rsidR="00E60A2A">
              <w:t xml:space="preserve"> </w:t>
            </w:r>
            <w:r>
              <w:t>dose vial</w:t>
            </w:r>
          </w:p>
        </w:tc>
      </w:tr>
      <w:tr w:rsidR="008E7846" w:rsidRPr="00487162" w14:paraId="7AD8FEEF" w14:textId="77777777" w:rsidTr="00385046">
        <w:tc>
          <w:tcPr>
            <w:tcW w:w="2977" w:type="dxa"/>
          </w:tcPr>
          <w:p w14:paraId="3C27D904" w14:textId="77777777" w:rsidR="008E7846" w:rsidRPr="00487162" w:rsidRDefault="00D84D93" w:rsidP="00E45619">
            <w:pPr>
              <w:rPr>
                <w:i/>
              </w:rPr>
            </w:pPr>
            <w:r>
              <w:rPr>
                <w:i/>
              </w:rPr>
              <w:t>Pack size</w:t>
            </w:r>
            <w:r w:rsidR="008E7846" w:rsidRPr="00487162">
              <w:rPr>
                <w:i/>
              </w:rPr>
              <w:t>:</w:t>
            </w:r>
          </w:p>
        </w:tc>
        <w:tc>
          <w:tcPr>
            <w:tcW w:w="6237" w:type="dxa"/>
          </w:tcPr>
          <w:p w14:paraId="5FBD43A5" w14:textId="77777777" w:rsidR="008E7846" w:rsidRPr="00487162" w:rsidRDefault="00D84D93" w:rsidP="00E45619">
            <w:r>
              <w:t>10 vials</w:t>
            </w:r>
          </w:p>
        </w:tc>
      </w:tr>
      <w:tr w:rsidR="008E7846" w:rsidRPr="00487162" w14:paraId="0DE13800" w14:textId="77777777" w:rsidTr="00385046">
        <w:tc>
          <w:tcPr>
            <w:tcW w:w="2977" w:type="dxa"/>
          </w:tcPr>
          <w:p w14:paraId="71B9098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237" w:type="dxa"/>
          </w:tcPr>
          <w:p w14:paraId="02320659" w14:textId="3531FD72" w:rsidR="00D178CE" w:rsidRPr="00D178CE" w:rsidRDefault="00D178CE" w:rsidP="00D178CE">
            <w:pPr>
              <w:rPr>
                <w:i/>
              </w:rPr>
            </w:pPr>
            <w:r w:rsidRPr="00D178CE">
              <w:rPr>
                <w:i/>
              </w:rPr>
              <w:t xml:space="preserve">COVID-19 Vaccine AstraZeneca has </w:t>
            </w:r>
            <w:r w:rsidRPr="00A97894">
              <w:rPr>
                <w:i/>
              </w:rPr>
              <w:t>provisional approval</w:t>
            </w:r>
            <w:r w:rsidRPr="00D178CE">
              <w:rPr>
                <w:i/>
              </w:rPr>
              <w:t xml:space="preserve"> for the indication:</w:t>
            </w:r>
          </w:p>
          <w:p w14:paraId="74667DF4" w14:textId="0718A0BC" w:rsidR="00D178CE" w:rsidRPr="00D178CE" w:rsidRDefault="00D178CE" w:rsidP="00D178CE">
            <w:pPr>
              <w:ind w:left="720"/>
              <w:rPr>
                <w:i/>
              </w:rPr>
            </w:pPr>
            <w:r w:rsidRPr="00D178CE">
              <w:rPr>
                <w:i/>
              </w:rPr>
              <w:t xml:space="preserve">Active immunisation of individuals </w:t>
            </w:r>
            <w:r w:rsidR="00E96F97" w:rsidRPr="00E96F97">
              <w:rPr>
                <w:rFonts w:asciiTheme="minorHAnsi" w:eastAsia="TimesNewRoman" w:hAnsiTheme="minorHAnsi" w:cs="TimesNewRoman"/>
                <w:sz w:val="19"/>
                <w:szCs w:val="19"/>
              </w:rPr>
              <w:sym w:font="Symbol" w:char="F0B3"/>
            </w:r>
            <w:r>
              <w:rPr>
                <w:i/>
              </w:rPr>
              <w:t xml:space="preserve"> </w:t>
            </w:r>
            <w:r w:rsidRPr="00D178CE">
              <w:rPr>
                <w:i/>
              </w:rPr>
              <w:t>18 years old for the prevention of coronavirus disease 2019 (COVID-19) caused by SARS-CoV-2.</w:t>
            </w:r>
          </w:p>
          <w:p w14:paraId="1AFAFB92" w14:textId="77777777" w:rsidR="00D178CE" w:rsidRPr="00D178CE" w:rsidRDefault="00D178CE" w:rsidP="00D178CE">
            <w:pPr>
              <w:ind w:left="720"/>
              <w:rPr>
                <w:i/>
              </w:rPr>
            </w:pPr>
            <w:r w:rsidRPr="00D178CE">
              <w:rPr>
                <w:i/>
              </w:rPr>
              <w:t>The use of this vaccine should be in accordance with official recommendations.</w:t>
            </w:r>
          </w:p>
          <w:p w14:paraId="62AFD091" w14:textId="073C3FDB" w:rsidR="008E7846" w:rsidRPr="00D178CE" w:rsidRDefault="00D178CE" w:rsidP="00D178CE">
            <w:r w:rsidRPr="00D178CE">
              <w:rPr>
                <w:i/>
              </w:rPr>
              <w:t xml:space="preserve">The decision has been made on the basis of </w:t>
            </w:r>
            <w:proofErr w:type="gramStart"/>
            <w:r w:rsidRPr="00D178CE">
              <w:rPr>
                <w:i/>
              </w:rPr>
              <w:t>short term</w:t>
            </w:r>
            <w:proofErr w:type="gramEnd"/>
            <w:r w:rsidRPr="00D178CE">
              <w:rPr>
                <w:i/>
              </w:rPr>
              <w:t xml:space="preserve"> efficacy and safety data. Continued approval is dependent upon the evidence of longer-term efficacy and safety from ongoing clinical trials and post-market assessment.</w:t>
            </w:r>
          </w:p>
        </w:tc>
      </w:tr>
      <w:tr w:rsidR="008E7846" w:rsidRPr="00487162" w14:paraId="226786E6" w14:textId="77777777" w:rsidTr="00385046">
        <w:tc>
          <w:tcPr>
            <w:tcW w:w="2977" w:type="dxa"/>
          </w:tcPr>
          <w:p w14:paraId="142E0C01" w14:textId="43C1FFD8" w:rsidR="008E7846" w:rsidRPr="00487162" w:rsidRDefault="00E60A2A" w:rsidP="00E45619">
            <w:pPr>
              <w:rPr>
                <w:i/>
              </w:rPr>
            </w:pPr>
            <w:r>
              <w:rPr>
                <w:i/>
              </w:rPr>
              <w:lastRenderedPageBreak/>
              <w:t>Route</w:t>
            </w:r>
            <w:r w:rsidR="008E7846" w:rsidRPr="00487162">
              <w:rPr>
                <w:i/>
              </w:rPr>
              <w:t xml:space="preserve"> of administration:</w:t>
            </w:r>
          </w:p>
        </w:tc>
        <w:tc>
          <w:tcPr>
            <w:tcW w:w="6237" w:type="dxa"/>
          </w:tcPr>
          <w:p w14:paraId="458F3816" w14:textId="08656654" w:rsidR="008E7846" w:rsidRPr="00487162" w:rsidRDefault="00E60A2A" w:rsidP="00E45619">
            <w:r>
              <w:t>Intramuscular</w:t>
            </w:r>
          </w:p>
        </w:tc>
      </w:tr>
      <w:tr w:rsidR="008E7846" w:rsidRPr="00487162" w14:paraId="199E480F" w14:textId="77777777" w:rsidTr="00385046">
        <w:tc>
          <w:tcPr>
            <w:tcW w:w="2977" w:type="dxa"/>
          </w:tcPr>
          <w:p w14:paraId="78AEF666" w14:textId="77777777" w:rsidR="008E7846" w:rsidRPr="00487162" w:rsidRDefault="008E7846" w:rsidP="00E45619">
            <w:pPr>
              <w:rPr>
                <w:i/>
              </w:rPr>
            </w:pPr>
            <w:r w:rsidRPr="00487162">
              <w:rPr>
                <w:i/>
              </w:rPr>
              <w:t>Dosage:</w:t>
            </w:r>
          </w:p>
        </w:tc>
        <w:tc>
          <w:tcPr>
            <w:tcW w:w="6237" w:type="dxa"/>
          </w:tcPr>
          <w:p w14:paraId="6B2FA6E1" w14:textId="6D6EE310" w:rsidR="008E7846" w:rsidRPr="002D21D4" w:rsidRDefault="004E6A3A" w:rsidP="004E6A3A">
            <w:r w:rsidRPr="002D21D4">
              <w:t>The COVID-19 Vaccine AstraZeneca vaccination course consists of two separate doses of 0.5 mL each. The second dose should be administered between 4 and 12 weeks after the first dose.</w:t>
            </w:r>
          </w:p>
          <w:p w14:paraId="5209E089" w14:textId="3A7DB084" w:rsidR="004E6A3A" w:rsidRDefault="004E6A3A" w:rsidP="004E6A3A">
            <w:r w:rsidRPr="002D21D4">
              <w:t>It is recommended that individuals who receive a first dose of COVID-19 Vaccine AstraZeneca complete the vaccination course with COVID-19 Vaccine AstraZeneca.</w:t>
            </w:r>
          </w:p>
          <w:p w14:paraId="1E220173" w14:textId="77777777" w:rsidR="00460036" w:rsidRPr="00487162" w:rsidRDefault="00460036" w:rsidP="00E45619">
            <w:r w:rsidRPr="00460036">
              <w:t>For further information regarding dosage, refer to the Product Information.</w:t>
            </w:r>
          </w:p>
        </w:tc>
      </w:tr>
      <w:tr w:rsidR="00460036" w:rsidRPr="00487162" w14:paraId="6B86AA0B" w14:textId="77777777" w:rsidTr="00385046">
        <w:tc>
          <w:tcPr>
            <w:tcW w:w="2977" w:type="dxa"/>
          </w:tcPr>
          <w:p w14:paraId="683F3286" w14:textId="77777777" w:rsidR="00460036" w:rsidRPr="00487162" w:rsidRDefault="00460036" w:rsidP="00E45619">
            <w:pPr>
              <w:rPr>
                <w:i/>
              </w:rPr>
            </w:pPr>
            <w:r w:rsidRPr="00460036">
              <w:rPr>
                <w:i/>
              </w:rPr>
              <w:t>Pregnancy category</w:t>
            </w:r>
            <w:r>
              <w:rPr>
                <w:i/>
              </w:rPr>
              <w:t>:</w:t>
            </w:r>
          </w:p>
        </w:tc>
        <w:tc>
          <w:tcPr>
            <w:tcW w:w="6237" w:type="dxa"/>
          </w:tcPr>
          <w:p w14:paraId="5B823F08" w14:textId="054F25CC" w:rsidR="00460036" w:rsidRPr="002D21D4" w:rsidRDefault="00E60A2A" w:rsidP="00E60A2A">
            <w:r w:rsidRPr="002D21D4">
              <w:t>B2</w:t>
            </w:r>
          </w:p>
          <w:p w14:paraId="543717EF" w14:textId="32009B82" w:rsidR="00E60A2A" w:rsidRPr="002D21D4" w:rsidRDefault="00E60A2A" w:rsidP="00E60A2A">
            <w:r w:rsidRPr="002D21D4">
              <w:t xml:space="preserve">Drugs which have been taken by only a limited number of pregnant women and women of childbearing age, without an increase in the frequency of malformation or other direct or indirect harmful effects on the human </w:t>
            </w:r>
            <w:proofErr w:type="spellStart"/>
            <w:r w:rsidRPr="002D21D4">
              <w:t>fetus</w:t>
            </w:r>
            <w:proofErr w:type="spellEnd"/>
            <w:r w:rsidRPr="002D21D4">
              <w:t xml:space="preserve"> having been observed.</w:t>
            </w:r>
          </w:p>
          <w:p w14:paraId="4869B396" w14:textId="609E073C" w:rsidR="00E60A2A" w:rsidRDefault="00E60A2A" w:rsidP="00E60A2A">
            <w:r w:rsidRPr="002D21D4">
              <w:t xml:space="preserve">Studies in animals are inadequate or may be lacking, but available data show no evidence of an increased occurrence of </w:t>
            </w:r>
            <w:proofErr w:type="spellStart"/>
            <w:r w:rsidRPr="002D21D4">
              <w:t>fetal</w:t>
            </w:r>
            <w:proofErr w:type="spellEnd"/>
            <w:r w:rsidRPr="002D21D4">
              <w:t xml:space="preserve"> damage.</w:t>
            </w:r>
          </w:p>
          <w:p w14:paraId="477841F2" w14:textId="397D098B" w:rsidR="00460036" w:rsidRPr="00487162" w:rsidRDefault="00460036" w:rsidP="00E60A2A">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E60A2A">
              <w:t>ces in your State or Territory.</w:t>
            </w:r>
          </w:p>
        </w:tc>
      </w:tr>
    </w:tbl>
    <w:p w14:paraId="28364CA0" w14:textId="77777777" w:rsidR="008E7846" w:rsidRDefault="008E7846" w:rsidP="008E7846">
      <w:pPr>
        <w:pStyle w:val="Heading3"/>
      </w:pPr>
      <w:bookmarkStart w:id="13" w:name="_Toc247691503"/>
      <w:bookmarkStart w:id="14" w:name="_Toc314842484"/>
      <w:bookmarkStart w:id="15" w:name="_Toc64365640"/>
      <w:r>
        <w:t>Product background</w:t>
      </w:r>
      <w:bookmarkEnd w:id="13"/>
      <w:bookmarkEnd w:id="14"/>
      <w:bookmarkEnd w:id="15"/>
    </w:p>
    <w:p w14:paraId="46266DDE" w14:textId="03E068D4" w:rsidR="008E7846" w:rsidRDefault="00250271" w:rsidP="00940A89">
      <w:r w:rsidRPr="00250271">
        <w:t xml:space="preserve">This </w:t>
      </w:r>
      <w:proofErr w:type="spellStart"/>
      <w:r w:rsidRPr="00250271">
        <w:t>AusPAR</w:t>
      </w:r>
      <w:proofErr w:type="spellEnd"/>
      <w:r w:rsidRPr="00250271">
        <w:t xml:space="preserve"> describes</w:t>
      </w:r>
      <w:r w:rsidR="007243A2">
        <w:t xml:space="preserve"> the application by </w:t>
      </w:r>
      <w:r w:rsidR="007243A2" w:rsidRPr="007243A2">
        <w:t>AstraZeneca Pty Ltd</w:t>
      </w:r>
      <w:r w:rsidRPr="00250271">
        <w:t xml:space="preserve"> (the sponsor) to register </w:t>
      </w:r>
      <w:r w:rsidR="00D84D93" w:rsidRPr="00D84D93">
        <w:t>COVID-19 Vaccine AstraZeneca</w:t>
      </w:r>
      <w:r w:rsidRPr="00250271">
        <w:t xml:space="preserve"> (</w:t>
      </w:r>
      <w:r w:rsidR="00D84D93" w:rsidRPr="00DE7972">
        <w:t>ChAdOx1-S</w:t>
      </w:r>
      <w:r w:rsidRPr="00250271">
        <w:t xml:space="preserve">) </w:t>
      </w:r>
      <w:r w:rsidR="00D84D93">
        <w:t>1 x</w:t>
      </w:r>
      <w:r w:rsidR="00D84D93" w:rsidRPr="00D84D93">
        <w:t xml:space="preserve"> 10</w:t>
      </w:r>
      <w:r w:rsidR="00D84D93" w:rsidRPr="00D84D93">
        <w:rPr>
          <w:vertAlign w:val="superscript"/>
        </w:rPr>
        <w:t>11</w:t>
      </w:r>
      <w:r w:rsidR="00D84D93">
        <w:t xml:space="preserve"> </w:t>
      </w:r>
      <w:r w:rsidR="00CE5B4B">
        <w:t>viral particles (</w:t>
      </w:r>
      <w:proofErr w:type="spellStart"/>
      <w:r w:rsidR="00D84D93">
        <w:t>vp</w:t>
      </w:r>
      <w:proofErr w:type="spellEnd"/>
      <w:r w:rsidR="00CE5B4B">
        <w:t>)</w:t>
      </w:r>
      <w:r w:rsidR="00D84D93">
        <w:t>/mL</w:t>
      </w:r>
      <w:r w:rsidR="00D84D93" w:rsidRPr="00250271">
        <w:t xml:space="preserve"> </w:t>
      </w:r>
      <w:r w:rsidR="00D84D93">
        <w:t xml:space="preserve">solution for injection </w:t>
      </w:r>
      <w:r w:rsidRPr="00250271">
        <w:t>for the following proposed ind</w:t>
      </w:r>
      <w:r w:rsidR="00D84D93">
        <w:t>ication</w:t>
      </w:r>
      <w:r w:rsidR="00CF5DAD">
        <w:t>:</w:t>
      </w:r>
    </w:p>
    <w:p w14:paraId="4B51AC06" w14:textId="57EC662D" w:rsidR="007243A2" w:rsidRPr="007243A2" w:rsidRDefault="007243A2" w:rsidP="007243A2">
      <w:pPr>
        <w:ind w:left="720"/>
        <w:rPr>
          <w:i/>
        </w:rPr>
      </w:pPr>
      <w:r w:rsidRPr="007243A2">
        <w:rPr>
          <w:i/>
        </w:rPr>
        <w:t>COVID-19 Vaccine AstraZeneca is indicated for active immunisation of individuals (</w:t>
      </w:r>
      <w:r w:rsidR="00385046">
        <w:rPr>
          <w:i/>
        </w:rPr>
        <w:sym w:font="Symbol" w:char="F0B3"/>
      </w:r>
      <w:r w:rsidRPr="007243A2">
        <w:rPr>
          <w:i/>
        </w:rPr>
        <w:t> 18 years) for the prevention of Coronavirus disease 2019 (COVID-19).</w:t>
      </w:r>
    </w:p>
    <w:p w14:paraId="3CA29DBF" w14:textId="1117EA45" w:rsidR="00D84D93" w:rsidRDefault="00D84D93" w:rsidP="00D84D93">
      <w:r>
        <w:t>In December 2019, a cluster of patients with pneumonia of unknown cause was discovered in Wuhan, China</w:t>
      </w:r>
      <w:r w:rsidR="00E63E15">
        <w:t>. T</w:t>
      </w:r>
      <w:r>
        <w:t xml:space="preserve">he patients were </w:t>
      </w:r>
      <w:r w:rsidR="002847AB">
        <w:t xml:space="preserve">subsequently </w:t>
      </w:r>
      <w:r>
        <w:t>confirmed to be infected with the novel coronavirus</w:t>
      </w:r>
      <w:r w:rsidR="00E63E15">
        <w:t>,</w:t>
      </w:r>
      <w:r>
        <w:t xml:space="preserve"> now known as </w:t>
      </w:r>
      <w:r w:rsidR="002847AB" w:rsidRPr="000748F6">
        <w:rPr>
          <w:lang w:eastAsia="ja-JP"/>
        </w:rPr>
        <w:t>severe acute respiratory syndrome coronavirus</w:t>
      </w:r>
      <w:r w:rsidR="00E63E15">
        <w:rPr>
          <w:lang w:eastAsia="ja-JP"/>
        </w:rPr>
        <w:t> </w:t>
      </w:r>
      <w:r w:rsidR="002847AB" w:rsidRPr="000748F6">
        <w:rPr>
          <w:lang w:eastAsia="ja-JP"/>
        </w:rPr>
        <w:t xml:space="preserve">2 </w:t>
      </w:r>
      <w:r w:rsidR="002847AB">
        <w:rPr>
          <w:lang w:eastAsia="ja-JP"/>
        </w:rPr>
        <w:t>(</w:t>
      </w:r>
      <w:r>
        <w:t>SARS-CoV-2</w:t>
      </w:r>
      <w:r w:rsidR="002847AB">
        <w:t>)</w:t>
      </w:r>
      <w:r>
        <w:t>.</w:t>
      </w:r>
      <w:r w:rsidR="002847AB">
        <w:rPr>
          <w:rStyle w:val="FootnoteReference"/>
        </w:rPr>
        <w:footnoteReference w:id="3"/>
      </w:r>
      <w:r>
        <w:t xml:space="preserve"> </w:t>
      </w:r>
      <w:r w:rsidR="00892CD0" w:rsidRPr="000748F6">
        <w:t xml:space="preserve">Infections caused by SARS-CoV-2, and the resulting disease, </w:t>
      </w:r>
      <w:r w:rsidR="00892CD0">
        <w:rPr>
          <w:lang w:eastAsia="ja-JP"/>
        </w:rPr>
        <w:t>c</w:t>
      </w:r>
      <w:r w:rsidR="00892CD0" w:rsidRPr="000748F6">
        <w:rPr>
          <w:lang w:eastAsia="ja-JP"/>
        </w:rPr>
        <w:t xml:space="preserve">oronavirus disease 2019 </w:t>
      </w:r>
      <w:r w:rsidR="00892CD0">
        <w:rPr>
          <w:lang w:eastAsia="ja-JP"/>
        </w:rPr>
        <w:t>(</w:t>
      </w:r>
      <w:r w:rsidR="00892CD0" w:rsidRPr="000748F6">
        <w:t>COVID-19</w:t>
      </w:r>
      <w:r w:rsidR="00892CD0">
        <w:t>)</w:t>
      </w:r>
      <w:r w:rsidR="00892CD0" w:rsidRPr="000748F6">
        <w:t xml:space="preserve">, have spread globally. </w:t>
      </w:r>
      <w:r>
        <w:t xml:space="preserve">The </w:t>
      </w:r>
      <w:r w:rsidR="00892CD0" w:rsidRPr="000748F6">
        <w:t xml:space="preserve">World Health Organization </w:t>
      </w:r>
      <w:r w:rsidR="00892CD0">
        <w:t>(</w:t>
      </w:r>
      <w:r>
        <w:t>WHO</w:t>
      </w:r>
      <w:r w:rsidR="00892CD0">
        <w:t>)</w:t>
      </w:r>
      <w:r>
        <w:t xml:space="preserve"> declared the novel coronavirus a pandemic on 11 March 2020.</w:t>
      </w:r>
      <w:r w:rsidR="002847AB">
        <w:rPr>
          <w:rStyle w:val="FootnoteReference"/>
        </w:rPr>
        <w:footnoteReference w:id="4"/>
      </w:r>
      <w:r>
        <w:t xml:space="preserve"> As of the </w:t>
      </w:r>
      <w:r w:rsidR="00892CD0">
        <w:t>1</w:t>
      </w:r>
      <w:r w:rsidR="00623ECD">
        <w:t>2</w:t>
      </w:r>
      <w:r w:rsidR="00892CD0">
        <w:t xml:space="preserve"> February</w:t>
      </w:r>
      <w:r>
        <w:t xml:space="preserve"> 2021, there have been </w:t>
      </w:r>
      <w:r w:rsidR="00892CD0">
        <w:t>more than 10</w:t>
      </w:r>
      <w:r w:rsidR="00623ECD">
        <w:t>6</w:t>
      </w:r>
      <w:r w:rsidR="00892CD0">
        <w:t xml:space="preserve"> million</w:t>
      </w:r>
      <w:r w:rsidR="002847AB">
        <w:t xml:space="preserve"> confirmed</w:t>
      </w:r>
      <w:r>
        <w:t xml:space="preserve"> cases</w:t>
      </w:r>
      <w:r w:rsidR="00892CD0">
        <w:t xml:space="preserve"> of COVID-19</w:t>
      </w:r>
      <w:r>
        <w:t xml:space="preserve">, and </w:t>
      </w:r>
      <w:r w:rsidR="00E72C6F">
        <w:t>more than 2.</w:t>
      </w:r>
      <w:r w:rsidR="00623ECD">
        <w:t>3</w:t>
      </w:r>
      <w:r w:rsidR="00E72C6F">
        <w:t> </w:t>
      </w:r>
      <w:r w:rsidR="00892CD0">
        <w:t>million</w:t>
      </w:r>
      <w:r w:rsidR="002847AB">
        <w:t xml:space="preserve"> deaths </w:t>
      </w:r>
      <w:r w:rsidR="00892CD0">
        <w:t xml:space="preserve">reported </w:t>
      </w:r>
      <w:r w:rsidR="002847AB">
        <w:t>worldwide.</w:t>
      </w:r>
      <w:r w:rsidR="002847AB">
        <w:rPr>
          <w:rStyle w:val="FootnoteReference"/>
        </w:rPr>
        <w:footnoteReference w:id="5"/>
      </w:r>
    </w:p>
    <w:p w14:paraId="458A8A05" w14:textId="1776197A" w:rsidR="00D84D93" w:rsidRPr="00E02F51" w:rsidRDefault="00D84D93" w:rsidP="00D84D93">
      <w:r>
        <w:lastRenderedPageBreak/>
        <w:t xml:space="preserve">Although most cases </w:t>
      </w:r>
      <w:r w:rsidR="008C3402">
        <w:t xml:space="preserve">of COVID-19 </w:t>
      </w:r>
      <w:r>
        <w:t>are mild or moderate in severity, severe disease can result in respiratory, multi</w:t>
      </w:r>
      <w:r w:rsidR="007432AB">
        <w:t xml:space="preserve"> </w:t>
      </w:r>
      <w:r>
        <w:t>organ failure and death.</w:t>
      </w:r>
      <w:bookmarkStart w:id="16" w:name="_Ref63092342"/>
      <w:r w:rsidR="008C3402">
        <w:rPr>
          <w:rStyle w:val="FootnoteReference"/>
        </w:rPr>
        <w:footnoteReference w:id="6"/>
      </w:r>
      <w:bookmarkEnd w:id="16"/>
      <w:r>
        <w:t xml:space="preserve"> Vulnerable groups for severe infection include the elderly, and those with co-morbidities including cardiovascular disease, respirato</w:t>
      </w:r>
      <w:r w:rsidR="00E72C6F">
        <w:t xml:space="preserve">ry disease and </w:t>
      </w:r>
      <w:r w:rsidR="00E63E15">
        <w:t xml:space="preserve">type </w:t>
      </w:r>
      <w:r w:rsidR="001F6B70">
        <w:t>2 diabetes.</w:t>
      </w:r>
      <w:r w:rsidR="001F6B70">
        <w:fldChar w:fldCharType="begin"/>
      </w:r>
      <w:r w:rsidR="001F6B70">
        <w:instrText xml:space="preserve"> NOTEREF _Ref63092342 \f \h </w:instrText>
      </w:r>
      <w:r w:rsidR="001F6B70">
        <w:fldChar w:fldCharType="separate"/>
      </w:r>
      <w:r w:rsidR="001D05A6" w:rsidRPr="001D05A6">
        <w:rPr>
          <w:rStyle w:val="FootnoteReference"/>
        </w:rPr>
        <w:t>6</w:t>
      </w:r>
      <w:r w:rsidR="001F6B70">
        <w:fldChar w:fldCharType="end"/>
      </w:r>
    </w:p>
    <w:p w14:paraId="7598B36C" w14:textId="5715CD7A" w:rsidR="00E60A2A" w:rsidRDefault="001F6B70" w:rsidP="00385046">
      <w:pPr>
        <w:ind w:right="-143"/>
      </w:pPr>
      <w:r>
        <w:t>Currently, t</w:t>
      </w:r>
      <w:r w:rsidR="00D84D93">
        <w:t xml:space="preserve">he management of COVID-19 disease is largely supportive. The only medication approved </w:t>
      </w:r>
      <w:r w:rsidR="003A6B9D">
        <w:t xml:space="preserve">in Australia </w:t>
      </w:r>
      <w:r w:rsidR="00D84D93">
        <w:t>for use f</w:t>
      </w:r>
      <w:r w:rsidR="003A6B9D">
        <w:t>or the management of COVID-19 is</w:t>
      </w:r>
      <w:r w:rsidR="00D84D93">
        <w:t xml:space="preserve"> </w:t>
      </w:r>
      <w:proofErr w:type="spellStart"/>
      <w:r w:rsidR="00E72C6F">
        <w:t>Veklury</w:t>
      </w:r>
      <w:proofErr w:type="spellEnd"/>
      <w:r w:rsidR="00E72C6F">
        <w:t> </w:t>
      </w:r>
      <w:r w:rsidR="008F24B8">
        <w:t>(</w:t>
      </w:r>
      <w:proofErr w:type="spellStart"/>
      <w:r w:rsidR="00D84D93">
        <w:t>remdesivir</w:t>
      </w:r>
      <w:proofErr w:type="spellEnd"/>
      <w:r w:rsidR="008F24B8">
        <w:t>)</w:t>
      </w:r>
      <w:r w:rsidR="00740CC0">
        <w:t xml:space="preserve">, for </w:t>
      </w:r>
      <w:r w:rsidR="0025115E">
        <w:t>use in patients with pneumonia, requiring supplemental oxygen</w:t>
      </w:r>
      <w:r w:rsidR="00D84D93">
        <w:t>.</w:t>
      </w:r>
      <w:r w:rsidR="003A6B9D">
        <w:rPr>
          <w:rStyle w:val="FootnoteReference"/>
        </w:rPr>
        <w:footnoteReference w:id="7"/>
      </w:r>
      <w:r w:rsidR="00E60A2A">
        <w:t xml:space="preserve"> </w:t>
      </w:r>
      <w:r w:rsidR="008F24B8" w:rsidRPr="000748F6">
        <w:rPr>
          <w:lang w:eastAsia="ja-JP"/>
        </w:rPr>
        <w:t>Immunisation with a safe and effective COVID-19 vaccine is a critical component of the public health strategy to reduce COVID-19-related illnesses, hospitalisations, and deaths, and to help restore societal functioning.</w:t>
      </w:r>
      <w:r w:rsidR="008F24B8">
        <w:rPr>
          <w:lang w:eastAsia="ja-JP"/>
        </w:rPr>
        <w:t xml:space="preserve"> </w:t>
      </w:r>
      <w:r w:rsidR="00D84D93">
        <w:t xml:space="preserve">There are currently </w:t>
      </w:r>
      <w:proofErr w:type="gramStart"/>
      <w:r w:rsidR="00D84D93">
        <w:t>a number of</w:t>
      </w:r>
      <w:proofErr w:type="gramEnd"/>
      <w:r w:rsidR="00D84D93">
        <w:t xml:space="preserve"> vaccine candidates in development. The TGA approved the </w:t>
      </w:r>
      <w:r w:rsidR="00A55223" w:rsidRPr="000748F6">
        <w:t>Pfizer-</w:t>
      </w:r>
      <w:proofErr w:type="spellStart"/>
      <w:r w:rsidR="00A55223" w:rsidRPr="000748F6">
        <w:t>BioNTech</w:t>
      </w:r>
      <w:proofErr w:type="spellEnd"/>
      <w:r w:rsidR="00A55223" w:rsidRPr="000748F6">
        <w:t xml:space="preserve"> COVID-19 vaccine, </w:t>
      </w:r>
      <w:proofErr w:type="spellStart"/>
      <w:r w:rsidR="00A55223" w:rsidRPr="000748F6">
        <w:t>Comirnaty</w:t>
      </w:r>
      <w:proofErr w:type="spellEnd"/>
      <w:r w:rsidR="00865465">
        <w:t xml:space="preserve"> (</w:t>
      </w:r>
      <w:r w:rsidR="00865465" w:rsidRPr="000748F6">
        <w:t>BNT162b2 mRNA</w:t>
      </w:r>
      <w:r w:rsidR="00865465">
        <w:t>),</w:t>
      </w:r>
      <w:r w:rsidR="00A55223">
        <w:t xml:space="preserve"> </w:t>
      </w:r>
      <w:r w:rsidR="008F24B8">
        <w:t>in</w:t>
      </w:r>
      <w:r w:rsidR="003A6B9D">
        <w:t xml:space="preserve"> January 2021.</w:t>
      </w:r>
      <w:r w:rsidR="003A6B9D">
        <w:rPr>
          <w:rStyle w:val="FootnoteReference"/>
        </w:rPr>
        <w:footnoteReference w:id="8"/>
      </w:r>
      <w:r w:rsidR="00E60A2A">
        <w:t xml:space="preserve"> Availability of </w:t>
      </w:r>
      <w:proofErr w:type="gramStart"/>
      <w:r w:rsidR="00E60A2A">
        <w:t>a number of</w:t>
      </w:r>
      <w:proofErr w:type="gramEnd"/>
      <w:r w:rsidR="00E60A2A">
        <w:t xml:space="preserve"> different COVID-19 vaccines will assist in providing sufficient coverage for the global population.</w:t>
      </w:r>
    </w:p>
    <w:p w14:paraId="6405402D" w14:textId="52D188CA" w:rsidR="00940A89" w:rsidRDefault="006162E6" w:rsidP="00A55223">
      <w:r w:rsidRPr="00F219D9">
        <w:t>COVID-19 Vaccine AstraZeneca</w:t>
      </w:r>
      <w:r>
        <w:t xml:space="preserve"> is a new biological entity developed </w:t>
      </w:r>
      <w:r w:rsidR="00A55223">
        <w:t xml:space="preserve">for vaccination against COVID-19. </w:t>
      </w:r>
      <w:r>
        <w:t xml:space="preserve">The active ingredient of </w:t>
      </w:r>
      <w:r w:rsidRPr="00F219D9">
        <w:t xml:space="preserve">COVID-19 Vaccine AstraZeneca </w:t>
      </w:r>
      <w:r>
        <w:t xml:space="preserve">is </w:t>
      </w:r>
      <w:r w:rsidRPr="00F219D9">
        <w:t>ChAdOx1-S</w:t>
      </w:r>
      <w:r>
        <w:rPr>
          <w:snapToGrid w:val="0"/>
        </w:rPr>
        <w:t>,</w:t>
      </w:r>
      <w:r w:rsidR="00B46039">
        <w:rPr>
          <w:snapToGrid w:val="0"/>
        </w:rPr>
        <w:fldChar w:fldCharType="begin"/>
      </w:r>
      <w:r w:rsidR="00B46039">
        <w:rPr>
          <w:snapToGrid w:val="0"/>
        </w:rPr>
        <w:instrText xml:space="preserve"> NOTEREF _Ref64191694 \f \h </w:instrText>
      </w:r>
      <w:r w:rsidR="00B46039">
        <w:rPr>
          <w:snapToGrid w:val="0"/>
        </w:rPr>
      </w:r>
      <w:r w:rsidR="00B46039">
        <w:rPr>
          <w:snapToGrid w:val="0"/>
        </w:rPr>
        <w:fldChar w:fldCharType="separate"/>
      </w:r>
      <w:r w:rsidR="001D05A6" w:rsidRPr="001D05A6">
        <w:rPr>
          <w:rStyle w:val="FootnoteReference"/>
        </w:rPr>
        <w:t>1</w:t>
      </w:r>
      <w:r w:rsidR="00B46039">
        <w:rPr>
          <w:snapToGrid w:val="0"/>
        </w:rPr>
        <w:fldChar w:fldCharType="end"/>
      </w:r>
      <w:r>
        <w:rPr>
          <w:snapToGrid w:val="0"/>
        </w:rPr>
        <w:t xml:space="preserve"> </w:t>
      </w:r>
      <w:r w:rsidR="00AA095B">
        <w:rPr>
          <w:snapToGrid w:val="0"/>
        </w:rPr>
        <w:t xml:space="preserve">previously </w:t>
      </w:r>
      <w:r>
        <w:rPr>
          <w:snapToGrid w:val="0"/>
        </w:rPr>
        <w:t xml:space="preserve">known </w:t>
      </w:r>
      <w:r w:rsidR="00A8128F">
        <w:rPr>
          <w:snapToGrid w:val="0"/>
        </w:rPr>
        <w:t>during vaccine development as</w:t>
      </w:r>
      <w:r>
        <w:rPr>
          <w:snapToGrid w:val="0"/>
        </w:rPr>
        <w:t xml:space="preserve"> </w:t>
      </w:r>
      <w:r w:rsidR="00C244A6" w:rsidRPr="00E9728F">
        <w:rPr>
          <w:snapToGrid w:val="0"/>
        </w:rPr>
        <w:t>AZD1222</w:t>
      </w:r>
      <w:r>
        <w:rPr>
          <w:snapToGrid w:val="0"/>
        </w:rPr>
        <w:t>,</w:t>
      </w:r>
      <w:r w:rsidR="00C244A6" w:rsidRPr="00E9728F">
        <w:rPr>
          <w:snapToGrid w:val="0"/>
        </w:rPr>
        <w:t xml:space="preserve"> </w:t>
      </w:r>
      <w:r>
        <w:rPr>
          <w:snapToGrid w:val="0"/>
        </w:rPr>
        <w:t xml:space="preserve">which </w:t>
      </w:r>
      <w:r w:rsidR="00C244A6" w:rsidRPr="00E9728F">
        <w:rPr>
          <w:snapToGrid w:val="0"/>
        </w:rPr>
        <w:t>is a recombinant replication-defective chimpanzee adenovi</w:t>
      </w:r>
      <w:r w:rsidR="00C244A6">
        <w:rPr>
          <w:snapToGrid w:val="0"/>
        </w:rPr>
        <w:t xml:space="preserve">rus </w:t>
      </w:r>
      <w:r w:rsidR="00553BC3">
        <w:rPr>
          <w:snapToGrid w:val="0"/>
        </w:rPr>
        <w:t>ChAdOx1,</w:t>
      </w:r>
      <w:r w:rsidR="00553BC3">
        <w:rPr>
          <w:rStyle w:val="FootnoteReference"/>
          <w:snapToGrid w:val="0"/>
        </w:rPr>
        <w:footnoteReference w:id="9"/>
      </w:r>
      <w:r w:rsidR="00553BC3">
        <w:rPr>
          <w:snapToGrid w:val="0"/>
        </w:rPr>
        <w:t xml:space="preserve"> </w:t>
      </w:r>
      <w:r w:rsidR="00657C54" w:rsidRPr="00310FCF">
        <w:rPr>
          <w:rFonts w:eastAsiaTheme="minorHAnsi"/>
        </w:rPr>
        <w:t>carrying a gene encoding</w:t>
      </w:r>
      <w:r w:rsidR="00657C54">
        <w:rPr>
          <w:rFonts w:eastAsiaTheme="minorHAnsi"/>
        </w:rPr>
        <w:t xml:space="preserve"> the</w:t>
      </w:r>
      <w:r w:rsidR="00C244A6">
        <w:rPr>
          <w:snapToGrid w:val="0"/>
        </w:rPr>
        <w:t xml:space="preserve"> </w:t>
      </w:r>
      <w:r>
        <w:rPr>
          <w:snapToGrid w:val="0"/>
        </w:rPr>
        <w:t>SARS-CoV-2</w:t>
      </w:r>
      <w:r w:rsidR="00553BC3">
        <w:rPr>
          <w:snapToGrid w:val="0"/>
        </w:rPr>
        <w:t xml:space="preserve"> s</w:t>
      </w:r>
      <w:r w:rsidR="007432AB">
        <w:rPr>
          <w:snapToGrid w:val="0"/>
        </w:rPr>
        <w:t>pike (S)</w:t>
      </w:r>
      <w:r w:rsidR="00C244A6" w:rsidRPr="00E9728F">
        <w:rPr>
          <w:snapToGrid w:val="0"/>
        </w:rPr>
        <w:t xml:space="preserve"> surface g</w:t>
      </w:r>
      <w:r w:rsidR="00C244A6">
        <w:rPr>
          <w:snapToGrid w:val="0"/>
        </w:rPr>
        <w:t>lycoprotein</w:t>
      </w:r>
      <w:r>
        <w:rPr>
          <w:snapToGrid w:val="0"/>
        </w:rPr>
        <w:t>.</w:t>
      </w:r>
      <w:r w:rsidR="00C244A6">
        <w:rPr>
          <w:snapToGrid w:val="0"/>
        </w:rPr>
        <w:t xml:space="preserve"> </w:t>
      </w:r>
      <w:r w:rsidR="00C244A6" w:rsidRPr="00E9728F">
        <w:rPr>
          <w:snapToGrid w:val="0"/>
        </w:rPr>
        <w:t>Development of</w:t>
      </w:r>
      <w:r>
        <w:rPr>
          <w:snapToGrid w:val="0"/>
        </w:rPr>
        <w:t xml:space="preserve"> </w:t>
      </w:r>
      <w:r w:rsidR="00922581" w:rsidRPr="00E9728F">
        <w:rPr>
          <w:snapToGrid w:val="0"/>
        </w:rPr>
        <w:t>AZD1222</w:t>
      </w:r>
      <w:r w:rsidR="00C244A6" w:rsidRPr="00E9728F">
        <w:rPr>
          <w:snapToGrid w:val="0"/>
        </w:rPr>
        <w:t xml:space="preserve"> was initiated by the University of Oxford</w:t>
      </w:r>
      <w:r w:rsidR="00657C54">
        <w:rPr>
          <w:snapToGrid w:val="0"/>
        </w:rPr>
        <w:t>,</w:t>
      </w:r>
      <w:r w:rsidR="00C244A6" w:rsidRPr="00E9728F">
        <w:rPr>
          <w:snapToGrid w:val="0"/>
        </w:rPr>
        <w:t xml:space="preserve"> </w:t>
      </w:r>
      <w:r w:rsidR="005068E9">
        <w:rPr>
          <w:snapToGrid w:val="0"/>
        </w:rPr>
        <w:t>and</w:t>
      </w:r>
      <w:r w:rsidR="005068E9" w:rsidRPr="00E9728F">
        <w:rPr>
          <w:snapToGrid w:val="0"/>
        </w:rPr>
        <w:t xml:space="preserve"> </w:t>
      </w:r>
      <w:r w:rsidR="00C244A6" w:rsidRPr="00E9728F">
        <w:rPr>
          <w:snapToGrid w:val="0"/>
        </w:rPr>
        <w:t>subsequent</w:t>
      </w:r>
      <w:r w:rsidR="005068E9">
        <w:rPr>
          <w:snapToGrid w:val="0"/>
        </w:rPr>
        <w:t>ly, a partnership was formed with</w:t>
      </w:r>
      <w:r w:rsidR="00C244A6">
        <w:rPr>
          <w:snapToGrid w:val="0"/>
        </w:rPr>
        <w:t xml:space="preserve"> </w:t>
      </w:r>
      <w:r>
        <w:t>the sponsor</w:t>
      </w:r>
      <w:r w:rsidR="00C244A6" w:rsidRPr="00E9728F">
        <w:t>.</w:t>
      </w:r>
    </w:p>
    <w:p w14:paraId="3212BD09" w14:textId="79ECB7AC" w:rsidR="00892CD0" w:rsidRPr="000748F6" w:rsidRDefault="00892CD0" w:rsidP="00892CD0">
      <w:r w:rsidRPr="000748F6">
        <w:t xml:space="preserve">The evaluation of </w:t>
      </w:r>
      <w:r w:rsidRPr="00892CD0">
        <w:t>COVID-19 Vaccine AstraZeneca (ChAdOx1-S)</w:t>
      </w:r>
      <w:r w:rsidRPr="000748F6">
        <w:t xml:space="preserve"> was significantly expedited without compromising the TGA’s strict standards of safety, </w:t>
      </w:r>
      <w:proofErr w:type="gramStart"/>
      <w:r w:rsidRPr="000748F6">
        <w:t>quality</w:t>
      </w:r>
      <w:proofErr w:type="gramEnd"/>
      <w:r w:rsidRPr="000748F6">
        <w:t xml:space="preserve"> and efficacy. This was facilitated through rolling data submission,</w:t>
      </w:r>
      <w:bookmarkStart w:id="17" w:name="_Ref61360545"/>
      <w:r w:rsidRPr="000748F6">
        <w:rPr>
          <w:rStyle w:val="FootnoteReference"/>
        </w:rPr>
        <w:footnoteReference w:id="10"/>
      </w:r>
      <w:bookmarkEnd w:id="17"/>
      <w:r w:rsidRPr="000748F6">
        <w:t xml:space="preserve"> and through collaboration with international regulators.</w:t>
      </w:r>
    </w:p>
    <w:p w14:paraId="1A1FF4E7" w14:textId="61BBCDE4" w:rsidR="00892CD0" w:rsidRDefault="00892CD0" w:rsidP="00250271">
      <w:r w:rsidRPr="000748F6">
        <w:t xml:space="preserve">The provisional determination for </w:t>
      </w:r>
      <w:r w:rsidRPr="00892CD0">
        <w:t>COVID-19 Vaccine AstraZeneca (ChAdOx1-S)</w:t>
      </w:r>
      <w:r w:rsidRPr="000748F6">
        <w:t xml:space="preserve"> was granted by </w:t>
      </w:r>
      <w:r w:rsidR="00657C54">
        <w:t xml:space="preserve">the </w:t>
      </w:r>
      <w:r w:rsidRPr="000748F6">
        <w:t xml:space="preserve">TGA on </w:t>
      </w:r>
      <w:r>
        <w:t>9</w:t>
      </w:r>
      <w:r w:rsidRPr="000748F6">
        <w:t xml:space="preserve"> October 2020. The provisional approval pathway allows sponsors to apply for provisional registration on the ARTG.</w:t>
      </w:r>
      <w:bookmarkStart w:id="18" w:name="_Ref61929068"/>
      <w:r w:rsidRPr="000748F6">
        <w:rPr>
          <w:rStyle w:val="FootnoteReference"/>
        </w:rPr>
        <w:footnoteReference w:id="11"/>
      </w:r>
      <w:bookmarkEnd w:id="18"/>
    </w:p>
    <w:p w14:paraId="7154B729" w14:textId="50675795" w:rsidR="002B5DB1" w:rsidRDefault="002B5DB1" w:rsidP="0042498E">
      <w:pPr>
        <w:pageBreakBefore/>
      </w:pPr>
      <w:r>
        <w:lastRenderedPageBreak/>
        <w:t xml:space="preserve">The product </w:t>
      </w:r>
      <w:r w:rsidR="008705AB">
        <w:t>contains</w:t>
      </w:r>
      <w:r>
        <w:t xml:space="preserve"> a </w:t>
      </w:r>
      <w:r w:rsidR="003A586F">
        <w:t xml:space="preserve">genetically modified organism </w:t>
      </w:r>
      <w:r>
        <w:t xml:space="preserve">(GMO). </w:t>
      </w:r>
      <w:r w:rsidRPr="00A9184B">
        <w:t>A licence applica</w:t>
      </w:r>
      <w:r w:rsidR="00E72C6F">
        <w:t>tion for a Dealing involving an</w:t>
      </w:r>
      <w:r w:rsidRPr="00A9184B">
        <w:t xml:space="preserve"> Intentional Release (DIR) of GMO</w:t>
      </w:r>
      <w:r w:rsidR="008C3402">
        <w:t>s</w:t>
      </w:r>
      <w:r w:rsidRPr="00A9184B">
        <w:t xml:space="preserve"> into the Australian environment under the </w:t>
      </w:r>
      <w:r w:rsidRPr="007432AB">
        <w:rPr>
          <w:i/>
        </w:rPr>
        <w:t>Gene Technology Act 2000</w:t>
      </w:r>
      <w:r w:rsidRPr="00A9184B">
        <w:t xml:space="preserve"> was submitted by </w:t>
      </w:r>
      <w:r w:rsidR="007E1B0D">
        <w:t>the sponsor</w:t>
      </w:r>
      <w:r w:rsidR="007432AB">
        <w:t xml:space="preserve"> to the Office of the Gene </w:t>
      </w:r>
      <w:r w:rsidRPr="00A9184B">
        <w:t>Technology Regulator (OGTR)</w:t>
      </w:r>
      <w:r w:rsidR="003A586F">
        <w:t xml:space="preserve"> under application DIR 180</w:t>
      </w:r>
      <w:r w:rsidR="00FB2EE0">
        <w:t>, and the licence was approved on 8 February 2021</w:t>
      </w:r>
      <w:r w:rsidR="008C3402">
        <w:t>.</w:t>
      </w:r>
      <w:r w:rsidR="00FB2EE0">
        <w:rPr>
          <w:rStyle w:val="FootnoteReference"/>
        </w:rPr>
        <w:footnoteReference w:id="12"/>
      </w:r>
    </w:p>
    <w:p w14:paraId="387BD989" w14:textId="77777777" w:rsidR="008E7846" w:rsidRPr="003F31A2" w:rsidRDefault="00386150" w:rsidP="00221A34">
      <w:pPr>
        <w:pStyle w:val="Heading3"/>
      </w:pPr>
      <w:bookmarkStart w:id="19" w:name="_Toc314842485"/>
      <w:bookmarkStart w:id="20" w:name="_Toc247691504"/>
      <w:bookmarkStart w:id="21" w:name="_Toc64365641"/>
      <w:r>
        <w:t>Regulatory s</w:t>
      </w:r>
      <w:r w:rsidR="008E7846">
        <w:t>tatus</w:t>
      </w:r>
      <w:bookmarkEnd w:id="19"/>
      <w:bookmarkEnd w:id="20"/>
      <w:bookmarkEnd w:id="21"/>
    </w:p>
    <w:p w14:paraId="025538C9" w14:textId="77777777" w:rsidR="00940A89" w:rsidRDefault="00006FAB" w:rsidP="00D2619F">
      <w:bookmarkStart w:id="22" w:name="_Toc247691505"/>
      <w:bookmarkStart w:id="23" w:name="_Toc314842486"/>
      <w:r w:rsidRPr="00006FAB">
        <w:t>This produ</w:t>
      </w:r>
      <w:r w:rsidR="00D84D93">
        <w:t xml:space="preserve">ct is considered a new </w:t>
      </w:r>
      <w:r w:rsidRPr="00006FAB">
        <w:t>biological entity for Australian regulatory purposes.</w:t>
      </w:r>
    </w:p>
    <w:p w14:paraId="1A702C99" w14:textId="6D7D006F" w:rsidR="00006FAB" w:rsidRPr="004E6A3A" w:rsidRDefault="00006FAB" w:rsidP="00D2619F">
      <w:r w:rsidRPr="004E6A3A">
        <w:t>At the time the TGA considered this application, similar application</w:t>
      </w:r>
      <w:r w:rsidR="00BE39FD">
        <w:t>s</w:t>
      </w:r>
      <w:r w:rsidRPr="004E6A3A">
        <w:t xml:space="preserve"> had been approved</w:t>
      </w:r>
      <w:r w:rsidR="002543E8" w:rsidRPr="004E6A3A">
        <w:t xml:space="preserve"> in the European Union (EU) and United Kingdom (UK)</w:t>
      </w:r>
      <w:r w:rsidR="00B46039">
        <w:t xml:space="preserve"> </w:t>
      </w:r>
      <w:r w:rsidR="00B46039" w:rsidRPr="004E6A3A">
        <w:t xml:space="preserve">(see </w:t>
      </w:r>
      <w:r w:rsidR="00B46039" w:rsidRPr="004E6A3A">
        <w:fldChar w:fldCharType="begin"/>
      </w:r>
      <w:r w:rsidR="00B46039" w:rsidRPr="004E6A3A">
        <w:instrText xml:space="preserve"> REF _Ref63094495 \h </w:instrText>
      </w:r>
      <w:r w:rsidR="00B46039">
        <w:instrText xml:space="preserve"> \* MERGEFORMAT </w:instrText>
      </w:r>
      <w:r w:rsidR="00B46039" w:rsidRPr="004E6A3A">
        <w:fldChar w:fldCharType="separate"/>
      </w:r>
      <w:r w:rsidR="001D05A6">
        <w:t xml:space="preserve">Table </w:t>
      </w:r>
      <w:r w:rsidR="001D05A6">
        <w:rPr>
          <w:noProof/>
        </w:rPr>
        <w:t>1</w:t>
      </w:r>
      <w:r w:rsidR="00B46039" w:rsidRPr="004E6A3A">
        <w:fldChar w:fldCharType="end"/>
      </w:r>
      <w:r w:rsidR="00B46039" w:rsidRPr="004E6A3A">
        <w:t>)</w:t>
      </w:r>
      <w:r w:rsidR="002543E8" w:rsidRPr="004E6A3A">
        <w:t xml:space="preserve">, and </w:t>
      </w:r>
      <w:r w:rsidRPr="004E6A3A">
        <w:t>w</w:t>
      </w:r>
      <w:r w:rsidR="00BE39FD">
        <w:t>ere</w:t>
      </w:r>
      <w:r w:rsidRPr="004E6A3A">
        <w:t xml:space="preserve"> under</w:t>
      </w:r>
      <w:r w:rsidR="002543E8" w:rsidRPr="004E6A3A">
        <w:t xml:space="preserve"> consideration in </w:t>
      </w:r>
      <w:r w:rsidR="00D60C23">
        <w:t>multiple regions,</w:t>
      </w:r>
      <w:r w:rsidR="00C93E43">
        <w:t xml:space="preserve"> including </w:t>
      </w:r>
      <w:r w:rsidR="002543E8" w:rsidRPr="004E6A3A">
        <w:t>Canada and Switzerland</w:t>
      </w:r>
      <w:r w:rsidRPr="004E6A3A">
        <w:t>.</w:t>
      </w:r>
    </w:p>
    <w:p w14:paraId="4668A426" w14:textId="706988E9" w:rsidR="00324E45" w:rsidRPr="00F0146F" w:rsidRDefault="00324E45" w:rsidP="00324E45">
      <w:pPr>
        <w:pStyle w:val="TableTitle"/>
      </w:pPr>
      <w:bookmarkStart w:id="24" w:name="_Ref63094495"/>
      <w:r>
        <w:t xml:space="preserve">Table </w:t>
      </w:r>
      <w:r w:rsidR="002D3B9B">
        <w:fldChar w:fldCharType="begin"/>
      </w:r>
      <w:r w:rsidR="002D3B9B">
        <w:instrText xml:space="preserve"> SEQ Table \* ARABIC </w:instrText>
      </w:r>
      <w:r w:rsidR="002D3B9B">
        <w:fldChar w:fldCharType="separate"/>
      </w:r>
      <w:r w:rsidR="001D05A6">
        <w:rPr>
          <w:noProof/>
        </w:rPr>
        <w:t>1</w:t>
      </w:r>
      <w:r w:rsidR="002D3B9B">
        <w:rPr>
          <w:noProof/>
        </w:rPr>
        <w:fldChar w:fldCharType="end"/>
      </w:r>
      <w:bookmarkEnd w:id="24"/>
      <w:r>
        <w:t xml:space="preserve">: </w:t>
      </w:r>
      <w:r w:rsidR="005068E9">
        <w:t xml:space="preserve">Major </w:t>
      </w:r>
      <w:r w:rsidR="00221A34">
        <w:t>region</w:t>
      </w:r>
      <w:r w:rsidR="005068E9">
        <w:t xml:space="preserve"> </w:t>
      </w:r>
      <w:r>
        <w:t xml:space="preserve">regulatory </w:t>
      </w:r>
      <w:r w:rsidR="005068E9">
        <w:t xml:space="preserve">approvals </w:t>
      </w:r>
      <w:r w:rsidR="00697673">
        <w:t>as of 1 February 2021</w:t>
      </w:r>
    </w:p>
    <w:tbl>
      <w:tblPr>
        <w:tblStyle w:val="TableTGAblue"/>
        <w:tblW w:w="5000" w:type="pct"/>
        <w:tblLook w:val="04A0" w:firstRow="1" w:lastRow="0" w:firstColumn="1" w:lastColumn="0" w:noHBand="0" w:noVBand="1"/>
      </w:tblPr>
      <w:tblGrid>
        <w:gridCol w:w="2109"/>
        <w:gridCol w:w="3145"/>
        <w:gridCol w:w="3466"/>
      </w:tblGrid>
      <w:tr w:rsidR="008C6F0A" w14:paraId="19AA3965" w14:textId="77777777" w:rsidTr="008C6F0A">
        <w:trPr>
          <w:cnfStyle w:val="100000000000" w:firstRow="1" w:lastRow="0" w:firstColumn="0" w:lastColumn="0" w:oddVBand="0" w:evenVBand="0" w:oddHBand="0" w:evenHBand="0" w:firstRowFirstColumn="0" w:firstRowLastColumn="0" w:lastRowFirstColumn="0" w:lastRowLastColumn="0"/>
        </w:trPr>
        <w:tc>
          <w:tcPr>
            <w:tcW w:w="1209" w:type="pct"/>
            <w:tcBorders>
              <w:top w:val="single" w:sz="4" w:space="0" w:color="auto"/>
              <w:left w:val="single" w:sz="4" w:space="0" w:color="auto"/>
              <w:bottom w:val="single" w:sz="4" w:space="0" w:color="auto"/>
              <w:right w:val="single" w:sz="4" w:space="0" w:color="auto"/>
            </w:tcBorders>
          </w:tcPr>
          <w:p w14:paraId="376E1036" w14:textId="77777777" w:rsidR="008C6F0A" w:rsidRDefault="008C6F0A" w:rsidP="00697673">
            <w:pPr>
              <w:ind w:left="0" w:right="0"/>
            </w:pPr>
            <w:r>
              <w:t>Region</w:t>
            </w:r>
          </w:p>
        </w:tc>
        <w:tc>
          <w:tcPr>
            <w:tcW w:w="1803" w:type="pct"/>
            <w:tcBorders>
              <w:top w:val="single" w:sz="4" w:space="0" w:color="auto"/>
              <w:left w:val="single" w:sz="4" w:space="0" w:color="auto"/>
              <w:bottom w:val="single" w:sz="4" w:space="0" w:color="auto"/>
              <w:right w:val="single" w:sz="4" w:space="0" w:color="auto"/>
            </w:tcBorders>
          </w:tcPr>
          <w:p w14:paraId="411A00F3" w14:textId="6F9F80FC" w:rsidR="008C6F0A" w:rsidRDefault="008C6F0A" w:rsidP="00697673">
            <w:pPr>
              <w:ind w:left="0" w:right="0"/>
            </w:pPr>
            <w:r>
              <w:t>Approval</w:t>
            </w:r>
          </w:p>
        </w:tc>
        <w:tc>
          <w:tcPr>
            <w:tcW w:w="1987" w:type="pct"/>
            <w:tcBorders>
              <w:top w:val="single" w:sz="4" w:space="0" w:color="auto"/>
              <w:left w:val="single" w:sz="4" w:space="0" w:color="auto"/>
              <w:bottom w:val="single" w:sz="4" w:space="0" w:color="auto"/>
              <w:right w:val="single" w:sz="4" w:space="0" w:color="auto"/>
            </w:tcBorders>
          </w:tcPr>
          <w:p w14:paraId="1DA3380E" w14:textId="77777777" w:rsidR="008C6F0A" w:rsidRDefault="008C6F0A" w:rsidP="00697673">
            <w:pPr>
              <w:ind w:left="0" w:right="0"/>
            </w:pPr>
            <w:r>
              <w:t>Approved indications</w:t>
            </w:r>
          </w:p>
        </w:tc>
      </w:tr>
      <w:tr w:rsidR="008C6F0A" w14:paraId="1BABF60D" w14:textId="77777777" w:rsidTr="008C6F0A">
        <w:tc>
          <w:tcPr>
            <w:tcW w:w="1209" w:type="pct"/>
            <w:tcBorders>
              <w:top w:val="single" w:sz="4" w:space="0" w:color="auto"/>
            </w:tcBorders>
          </w:tcPr>
          <w:p w14:paraId="32689608" w14:textId="34FF2D61" w:rsidR="008C6F0A" w:rsidRDefault="008C6F0A" w:rsidP="00697673">
            <w:pPr>
              <w:ind w:left="0" w:right="0"/>
            </w:pPr>
            <w:r>
              <w:t>EU (Centralised Procedure)</w:t>
            </w:r>
          </w:p>
        </w:tc>
        <w:tc>
          <w:tcPr>
            <w:tcW w:w="1803" w:type="pct"/>
            <w:tcBorders>
              <w:top w:val="single" w:sz="4" w:space="0" w:color="auto"/>
            </w:tcBorders>
          </w:tcPr>
          <w:p w14:paraId="3A9F8AC8" w14:textId="46FABB63" w:rsidR="008C6F0A" w:rsidRDefault="008C6F0A" w:rsidP="00697673">
            <w:pPr>
              <w:ind w:left="0" w:right="0"/>
            </w:pPr>
            <w:r>
              <w:t>Approved for conditional marketing authorisation on 29 January 2021</w:t>
            </w:r>
          </w:p>
        </w:tc>
        <w:tc>
          <w:tcPr>
            <w:tcW w:w="1987" w:type="pct"/>
            <w:tcBorders>
              <w:top w:val="single" w:sz="4" w:space="0" w:color="auto"/>
            </w:tcBorders>
          </w:tcPr>
          <w:p w14:paraId="159BF8FE" w14:textId="4FD52091" w:rsidR="008C6F0A" w:rsidRPr="00697673" w:rsidRDefault="008C6F0A" w:rsidP="00697673">
            <w:pPr>
              <w:ind w:left="0" w:right="0"/>
              <w:rPr>
                <w:i/>
              </w:rPr>
            </w:pPr>
            <w:r w:rsidRPr="00697673">
              <w:rPr>
                <w:i/>
              </w:rPr>
              <w:t>COVID-19 Vaccine AstraZeneca is indicated for active immunisation to prevent COVID-19 caused by SARS-CoV-2, in individuals 18 years of age and older.</w:t>
            </w:r>
          </w:p>
        </w:tc>
      </w:tr>
      <w:tr w:rsidR="008C6F0A" w14:paraId="118D21EB" w14:textId="77777777" w:rsidTr="008C6F0A">
        <w:trPr>
          <w:trHeight w:val="1757"/>
        </w:trPr>
        <w:tc>
          <w:tcPr>
            <w:tcW w:w="1209" w:type="pct"/>
          </w:tcPr>
          <w:p w14:paraId="2F0B1908" w14:textId="795DC518" w:rsidR="008C6F0A" w:rsidRDefault="008C6F0A" w:rsidP="00697673">
            <w:pPr>
              <w:ind w:left="0" w:right="0"/>
            </w:pPr>
            <w:r>
              <w:t>UK</w:t>
            </w:r>
          </w:p>
        </w:tc>
        <w:tc>
          <w:tcPr>
            <w:tcW w:w="1803" w:type="pct"/>
          </w:tcPr>
          <w:p w14:paraId="49187D85" w14:textId="35794137" w:rsidR="008C6F0A" w:rsidRDefault="008C6F0A" w:rsidP="00697673">
            <w:pPr>
              <w:ind w:left="0" w:right="0"/>
            </w:pPr>
            <w:r>
              <w:t>Approved for emergency supply on 29 December 2020</w:t>
            </w:r>
          </w:p>
        </w:tc>
        <w:tc>
          <w:tcPr>
            <w:tcW w:w="1987" w:type="pct"/>
          </w:tcPr>
          <w:p w14:paraId="4B9440F7" w14:textId="658FE105" w:rsidR="008C6F0A" w:rsidRPr="00697673" w:rsidRDefault="008C6F0A" w:rsidP="00697673">
            <w:pPr>
              <w:ind w:left="0" w:right="0"/>
              <w:rPr>
                <w:i/>
              </w:rPr>
            </w:pPr>
            <w:r w:rsidRPr="00697673">
              <w:rPr>
                <w:i/>
              </w:rPr>
              <w:t xml:space="preserve">COVID-19 Vaccine AstraZeneca is indicated for active immunisation of individuals </w:t>
            </w:r>
            <w:r w:rsidR="00E96F97" w:rsidRPr="00E96F97">
              <w:rPr>
                <w:rFonts w:asciiTheme="minorHAnsi" w:eastAsia="TimesNewRoman" w:hAnsiTheme="minorHAnsi" w:cs="TimesNewRoman"/>
                <w:i/>
                <w:sz w:val="19"/>
                <w:szCs w:val="19"/>
              </w:rPr>
              <w:sym w:font="Symbol" w:char="F0B3"/>
            </w:r>
            <w:r w:rsidRPr="00697673">
              <w:rPr>
                <w:i/>
              </w:rPr>
              <w:t> 18 years old for the prevention of coronavirus disease 2019 (COVID 19).</w:t>
            </w:r>
          </w:p>
        </w:tc>
      </w:tr>
    </w:tbl>
    <w:p w14:paraId="5DD899E6" w14:textId="085A831E" w:rsidR="004E6A3A" w:rsidRDefault="004E6A3A" w:rsidP="004E6A3A">
      <w:r>
        <w:t>Approvals (conditional, emergency use or special import licence) had also been granted to the sponsor or their partners in the following countries</w:t>
      </w:r>
      <w:r w:rsidR="00B95078">
        <w:t xml:space="preserve"> (as of 1 February 2021)</w:t>
      </w:r>
      <w:r>
        <w:t>: Argentina, El Salvador, Dominican Republic, India, Mexico, Morocco, Bangladesh, Saudi Arabia, Nepal, Brazil, Myanmar, Pakistan,</w:t>
      </w:r>
      <w:r w:rsidR="008705AB">
        <w:t xml:space="preserve"> </w:t>
      </w:r>
      <w:r>
        <w:t>Thailand, South Africa, Ecuador, Bahrain, Chile and the Philippines.</w:t>
      </w:r>
    </w:p>
    <w:p w14:paraId="6E5AF435" w14:textId="78B89FD5" w:rsidR="008E7846" w:rsidRDefault="008E7846" w:rsidP="00940A89">
      <w:pPr>
        <w:pStyle w:val="Heading3"/>
      </w:pPr>
      <w:bookmarkStart w:id="25" w:name="_Toc64365642"/>
      <w:r>
        <w:t>Product Information</w:t>
      </w:r>
      <w:bookmarkEnd w:id="22"/>
      <w:bookmarkEnd w:id="23"/>
      <w:bookmarkEnd w:id="25"/>
    </w:p>
    <w:p w14:paraId="32578C2B" w14:textId="6F86938A" w:rsidR="00940A89" w:rsidRDefault="006136D7" w:rsidP="00940A89">
      <w:bookmarkStart w:id="26" w:name="_Toc247691506"/>
      <w:bookmarkStart w:id="27"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6722DC2A" w14:textId="77777777" w:rsidR="00500337" w:rsidRDefault="00500337" w:rsidP="00500337">
      <w:pPr>
        <w:pStyle w:val="Heading2"/>
      </w:pPr>
      <w:bookmarkStart w:id="28" w:name="_Toc504480011"/>
      <w:bookmarkStart w:id="29" w:name="_Toc64365643"/>
      <w:r>
        <w:t>II. Registration timeline</w:t>
      </w:r>
      <w:bookmarkEnd w:id="28"/>
      <w:bookmarkEnd w:id="29"/>
    </w:p>
    <w:p w14:paraId="3F651FA2" w14:textId="3F919984"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w:t>
      </w:r>
      <w:proofErr w:type="spellStart"/>
      <w:r>
        <w:t>AusPAR</w:t>
      </w:r>
      <w:proofErr w:type="spellEnd"/>
      <w:r>
        <w:t>.</w:t>
      </w:r>
    </w:p>
    <w:p w14:paraId="4FBB31FF" w14:textId="0B40F9B0" w:rsidR="00892CD0" w:rsidRDefault="00892CD0" w:rsidP="00500337">
      <w:r>
        <w:t>Data were provided as a rolling submission.</w:t>
      </w:r>
      <w:r w:rsidR="006162E6">
        <w:fldChar w:fldCharType="begin"/>
      </w:r>
      <w:r w:rsidR="006162E6">
        <w:instrText xml:space="preserve"> NOTEREF _Ref61360545 \f \h </w:instrText>
      </w:r>
      <w:r w:rsidR="006162E6">
        <w:fldChar w:fldCharType="separate"/>
      </w:r>
      <w:r w:rsidR="001D05A6" w:rsidRPr="001D05A6">
        <w:rPr>
          <w:rStyle w:val="FootnoteReference"/>
        </w:rPr>
        <w:t>10</w:t>
      </w:r>
      <w:r w:rsidR="006162E6">
        <w:fldChar w:fldCharType="end"/>
      </w:r>
    </w:p>
    <w:p w14:paraId="257B64AB" w14:textId="1EFA92D1" w:rsidR="00500337" w:rsidRDefault="007243A2" w:rsidP="007243A2">
      <w:pPr>
        <w:pStyle w:val="TableTitle"/>
      </w:pPr>
      <w:r>
        <w:lastRenderedPageBreak/>
        <w:t xml:space="preserve">Table </w:t>
      </w:r>
      <w:r w:rsidR="002D3B9B">
        <w:fldChar w:fldCharType="begin"/>
      </w:r>
      <w:r w:rsidR="002D3B9B">
        <w:instrText xml:space="preserve"> SEQ Table \* ARABIC </w:instrText>
      </w:r>
      <w:r w:rsidR="002D3B9B">
        <w:fldChar w:fldCharType="separate"/>
      </w:r>
      <w:r w:rsidR="001D05A6">
        <w:rPr>
          <w:noProof/>
        </w:rPr>
        <w:t>2</w:t>
      </w:r>
      <w:r w:rsidR="002D3B9B">
        <w:rPr>
          <w:noProof/>
        </w:rPr>
        <w:fldChar w:fldCharType="end"/>
      </w:r>
      <w:r w:rsidR="00006FAB">
        <w:t>:</w:t>
      </w:r>
      <w:r w:rsidR="006A58A8" w:rsidRPr="006A58A8">
        <w:t xml:space="preserve"> Timeline for Submission </w:t>
      </w:r>
      <w:r>
        <w:t>PM-2020-06115-1-2</w:t>
      </w:r>
    </w:p>
    <w:tbl>
      <w:tblPr>
        <w:tblStyle w:val="TableTGAblue"/>
        <w:tblW w:w="0" w:type="auto"/>
        <w:tblLook w:val="04A0" w:firstRow="1" w:lastRow="0" w:firstColumn="1" w:lastColumn="0" w:noHBand="0" w:noVBand="1"/>
      </w:tblPr>
      <w:tblGrid>
        <w:gridCol w:w="5920"/>
        <w:gridCol w:w="2800"/>
      </w:tblGrid>
      <w:tr w:rsidR="00500337" w14:paraId="193B88B2" w14:textId="77777777" w:rsidTr="00D2619F">
        <w:trPr>
          <w:cnfStyle w:val="100000000000" w:firstRow="1" w:lastRow="0" w:firstColumn="0" w:lastColumn="0" w:oddVBand="0" w:evenVBand="0" w:oddHBand="0" w:evenHBand="0" w:firstRowFirstColumn="0" w:firstRowLastColumn="0" w:lastRowFirstColumn="0" w:lastRowLastColumn="0"/>
          <w:cantSplit/>
        </w:trPr>
        <w:tc>
          <w:tcPr>
            <w:tcW w:w="5920" w:type="dxa"/>
            <w:tcBorders>
              <w:top w:val="single" w:sz="4" w:space="0" w:color="auto"/>
              <w:left w:val="single" w:sz="4" w:space="0" w:color="auto"/>
              <w:bottom w:val="single" w:sz="4" w:space="0" w:color="auto"/>
              <w:right w:val="single" w:sz="4" w:space="0" w:color="auto"/>
            </w:tcBorders>
          </w:tcPr>
          <w:p w14:paraId="09D1AD4C" w14:textId="77777777" w:rsidR="00500337" w:rsidRDefault="00500337" w:rsidP="00500337">
            <w:pPr>
              <w:ind w:left="0" w:right="0"/>
            </w:pPr>
            <w:r>
              <w:t>Description</w:t>
            </w:r>
          </w:p>
        </w:tc>
        <w:tc>
          <w:tcPr>
            <w:tcW w:w="2800" w:type="dxa"/>
            <w:tcBorders>
              <w:top w:val="single" w:sz="4" w:space="0" w:color="auto"/>
              <w:left w:val="single" w:sz="4" w:space="0" w:color="auto"/>
              <w:bottom w:val="single" w:sz="4" w:space="0" w:color="auto"/>
              <w:right w:val="single" w:sz="4" w:space="0" w:color="auto"/>
            </w:tcBorders>
          </w:tcPr>
          <w:p w14:paraId="4BF1E06D" w14:textId="77777777" w:rsidR="00500337" w:rsidRDefault="00500337" w:rsidP="00500337">
            <w:pPr>
              <w:ind w:left="0" w:right="0"/>
            </w:pPr>
            <w:r>
              <w:t>Date</w:t>
            </w:r>
          </w:p>
        </w:tc>
      </w:tr>
      <w:tr w:rsidR="00500337" w14:paraId="2CE2568A" w14:textId="77777777" w:rsidTr="00D2619F">
        <w:tc>
          <w:tcPr>
            <w:tcW w:w="5920" w:type="dxa"/>
            <w:tcBorders>
              <w:top w:val="single" w:sz="4" w:space="0" w:color="auto"/>
            </w:tcBorders>
          </w:tcPr>
          <w:p w14:paraId="1BF7D900" w14:textId="77777777" w:rsidR="00500337" w:rsidRDefault="00500337" w:rsidP="007243A2">
            <w:pPr>
              <w:ind w:left="0" w:right="0"/>
            </w:pPr>
            <w:r>
              <w:t>Positive Designation (</w:t>
            </w:r>
            <w:r w:rsidR="007243A2">
              <w:t>Provisional</w:t>
            </w:r>
            <w:r>
              <w:t>)</w:t>
            </w:r>
          </w:p>
        </w:tc>
        <w:tc>
          <w:tcPr>
            <w:tcW w:w="2800" w:type="dxa"/>
            <w:tcBorders>
              <w:top w:val="single" w:sz="4" w:space="0" w:color="auto"/>
            </w:tcBorders>
          </w:tcPr>
          <w:p w14:paraId="0E4CA1A8" w14:textId="6913DA32" w:rsidR="00500337" w:rsidRDefault="002847AB" w:rsidP="00500337">
            <w:pPr>
              <w:ind w:left="0" w:right="0"/>
            </w:pPr>
            <w:r>
              <w:t>9 October 2020</w:t>
            </w:r>
          </w:p>
        </w:tc>
      </w:tr>
      <w:tr w:rsidR="00500337" w14:paraId="07137C4A" w14:textId="77777777" w:rsidTr="00D2619F">
        <w:tc>
          <w:tcPr>
            <w:tcW w:w="5920" w:type="dxa"/>
          </w:tcPr>
          <w:p w14:paraId="021EC1EE" w14:textId="77777777" w:rsidR="00500337" w:rsidRDefault="00500337" w:rsidP="00500337">
            <w:pPr>
              <w:ind w:left="0" w:right="0"/>
            </w:pPr>
            <w:r>
              <w:t>Submission dossier accepted and first round evaluation commenced</w:t>
            </w:r>
          </w:p>
        </w:tc>
        <w:tc>
          <w:tcPr>
            <w:tcW w:w="2800" w:type="dxa"/>
          </w:tcPr>
          <w:p w14:paraId="71027A1C" w14:textId="77777777" w:rsidR="00500337" w:rsidRDefault="007243A2" w:rsidP="00500337">
            <w:pPr>
              <w:ind w:left="0" w:right="0"/>
            </w:pPr>
            <w:r>
              <w:t>1 December 2020</w:t>
            </w:r>
          </w:p>
        </w:tc>
      </w:tr>
      <w:tr w:rsidR="00500337" w14:paraId="2E58F803" w14:textId="77777777" w:rsidTr="00D2619F">
        <w:tc>
          <w:tcPr>
            <w:tcW w:w="5920" w:type="dxa"/>
          </w:tcPr>
          <w:p w14:paraId="1193CD85" w14:textId="77777777" w:rsidR="00500337" w:rsidRDefault="00500337" w:rsidP="00500337">
            <w:pPr>
              <w:ind w:left="0" w:right="0"/>
            </w:pPr>
            <w:r>
              <w:t>Evaluation completed</w:t>
            </w:r>
          </w:p>
        </w:tc>
        <w:tc>
          <w:tcPr>
            <w:tcW w:w="2800" w:type="dxa"/>
          </w:tcPr>
          <w:p w14:paraId="6E40285A" w14:textId="77777777" w:rsidR="00500337" w:rsidRDefault="007243A2" w:rsidP="00500337">
            <w:pPr>
              <w:ind w:left="0" w:right="0"/>
            </w:pPr>
            <w:r>
              <w:t>28 January 2021</w:t>
            </w:r>
          </w:p>
        </w:tc>
      </w:tr>
      <w:tr w:rsidR="00500337" w14:paraId="52508B1B" w14:textId="77777777" w:rsidTr="00D2619F">
        <w:tc>
          <w:tcPr>
            <w:tcW w:w="5920" w:type="dxa"/>
          </w:tcPr>
          <w:p w14:paraId="262F538C" w14:textId="77777777" w:rsidR="00500337" w:rsidRDefault="00324E45" w:rsidP="007243A2">
            <w:pPr>
              <w:ind w:left="0" w:right="0"/>
            </w:pPr>
            <w:r>
              <w:t xml:space="preserve">Delegate’s Overall benefit-risk assessment </w:t>
            </w:r>
            <w:r w:rsidRPr="007243A2">
              <w:rPr>
                <w:color w:val="auto"/>
              </w:rPr>
              <w:t>and reques</w:t>
            </w:r>
            <w:r w:rsidR="007243A2" w:rsidRPr="007243A2">
              <w:rPr>
                <w:color w:val="auto"/>
              </w:rPr>
              <w:t>t for Advisory Committee advice</w:t>
            </w:r>
          </w:p>
        </w:tc>
        <w:tc>
          <w:tcPr>
            <w:tcW w:w="2800" w:type="dxa"/>
          </w:tcPr>
          <w:p w14:paraId="00A4EE24" w14:textId="77777777" w:rsidR="00500337" w:rsidRDefault="007243A2" w:rsidP="00500337">
            <w:pPr>
              <w:ind w:left="0" w:right="0"/>
            </w:pPr>
            <w:r>
              <w:t>28 January 2021</w:t>
            </w:r>
          </w:p>
        </w:tc>
      </w:tr>
      <w:tr w:rsidR="00500337" w14:paraId="722A5742" w14:textId="77777777" w:rsidTr="00D2619F">
        <w:tc>
          <w:tcPr>
            <w:tcW w:w="5920" w:type="dxa"/>
          </w:tcPr>
          <w:p w14:paraId="76F57534" w14:textId="77777777" w:rsidR="00500337" w:rsidRDefault="00500337" w:rsidP="00500337">
            <w:pPr>
              <w:ind w:left="0" w:right="0"/>
            </w:pPr>
            <w:r>
              <w:t>Sponsor’s pre-Advisory Committee response</w:t>
            </w:r>
          </w:p>
        </w:tc>
        <w:tc>
          <w:tcPr>
            <w:tcW w:w="2800" w:type="dxa"/>
          </w:tcPr>
          <w:p w14:paraId="419E54DC" w14:textId="59535D11" w:rsidR="00500337" w:rsidRDefault="004E6A3A" w:rsidP="00500337">
            <w:pPr>
              <w:ind w:left="0" w:right="0"/>
            </w:pPr>
            <w:r>
              <w:t>1 February 2021</w:t>
            </w:r>
          </w:p>
        </w:tc>
      </w:tr>
      <w:tr w:rsidR="00500337" w14:paraId="39B64435" w14:textId="77777777" w:rsidTr="00D2619F">
        <w:tc>
          <w:tcPr>
            <w:tcW w:w="5920" w:type="dxa"/>
          </w:tcPr>
          <w:p w14:paraId="5D6268EC" w14:textId="77777777" w:rsidR="00500337" w:rsidRDefault="00500337" w:rsidP="00500337">
            <w:pPr>
              <w:ind w:left="0" w:right="0"/>
            </w:pPr>
            <w:r>
              <w:t>Advisory Committee meeting</w:t>
            </w:r>
          </w:p>
        </w:tc>
        <w:tc>
          <w:tcPr>
            <w:tcW w:w="2800" w:type="dxa"/>
          </w:tcPr>
          <w:p w14:paraId="23601FF2" w14:textId="77777777" w:rsidR="00500337" w:rsidRDefault="007243A2" w:rsidP="00500337">
            <w:pPr>
              <w:ind w:left="0" w:right="0"/>
            </w:pPr>
            <w:r>
              <w:t>3 February 2021</w:t>
            </w:r>
          </w:p>
        </w:tc>
      </w:tr>
      <w:tr w:rsidR="00500337" w14:paraId="54D38A1D" w14:textId="77777777" w:rsidTr="00D2619F">
        <w:tc>
          <w:tcPr>
            <w:tcW w:w="5920" w:type="dxa"/>
          </w:tcPr>
          <w:p w14:paraId="20636F0F" w14:textId="77777777" w:rsidR="00500337" w:rsidRPr="008C6F0A" w:rsidRDefault="00500337" w:rsidP="00500337">
            <w:pPr>
              <w:ind w:left="0" w:right="0"/>
            </w:pPr>
            <w:r w:rsidRPr="008C6F0A">
              <w:t>Registration decision (Outcome)</w:t>
            </w:r>
          </w:p>
        </w:tc>
        <w:tc>
          <w:tcPr>
            <w:tcW w:w="2800" w:type="dxa"/>
          </w:tcPr>
          <w:p w14:paraId="21A86912" w14:textId="33CA0F3B" w:rsidR="00500337" w:rsidRPr="008C6F0A" w:rsidRDefault="008C6F0A" w:rsidP="00500337">
            <w:pPr>
              <w:ind w:left="0" w:right="0"/>
            </w:pPr>
            <w:r w:rsidRPr="008C6F0A">
              <w:t>15 February 2021</w:t>
            </w:r>
          </w:p>
        </w:tc>
      </w:tr>
      <w:tr w:rsidR="00500337" w14:paraId="5FA2503E" w14:textId="77777777" w:rsidTr="00D2619F">
        <w:tc>
          <w:tcPr>
            <w:tcW w:w="5920" w:type="dxa"/>
          </w:tcPr>
          <w:p w14:paraId="52666BAD" w14:textId="77777777" w:rsidR="00500337" w:rsidRPr="008C6F0A" w:rsidRDefault="00500337" w:rsidP="00500337">
            <w:pPr>
              <w:ind w:left="0" w:right="0"/>
            </w:pPr>
            <w:r w:rsidRPr="008C6F0A">
              <w:t xml:space="preserve">Completion of administrative activities and registration on </w:t>
            </w:r>
            <w:r w:rsidR="00006FAB" w:rsidRPr="008C6F0A">
              <w:t xml:space="preserve">the </w:t>
            </w:r>
            <w:r w:rsidRPr="008C6F0A">
              <w:t>ARTG</w:t>
            </w:r>
          </w:p>
        </w:tc>
        <w:tc>
          <w:tcPr>
            <w:tcW w:w="2800" w:type="dxa"/>
          </w:tcPr>
          <w:p w14:paraId="3E3DB054" w14:textId="37BD479A" w:rsidR="00500337" w:rsidRPr="008C6F0A" w:rsidRDefault="008C6F0A" w:rsidP="00500337">
            <w:pPr>
              <w:ind w:left="0" w:right="0"/>
            </w:pPr>
            <w:r w:rsidRPr="008C6F0A">
              <w:t>16 February 2021</w:t>
            </w:r>
          </w:p>
        </w:tc>
      </w:tr>
      <w:tr w:rsidR="00500337" w14:paraId="7989D9EE" w14:textId="77777777" w:rsidTr="00D2619F">
        <w:tc>
          <w:tcPr>
            <w:tcW w:w="5920" w:type="dxa"/>
          </w:tcPr>
          <w:p w14:paraId="70ED5088" w14:textId="77777777" w:rsidR="00500337" w:rsidRPr="008C6F0A" w:rsidRDefault="00500337" w:rsidP="00500337">
            <w:pPr>
              <w:ind w:left="0" w:right="0"/>
            </w:pPr>
            <w:r w:rsidRPr="008C6F0A">
              <w:t>Number of working days from submission dossier acceptance to registration decision*</w:t>
            </w:r>
          </w:p>
        </w:tc>
        <w:tc>
          <w:tcPr>
            <w:tcW w:w="2800" w:type="dxa"/>
          </w:tcPr>
          <w:p w14:paraId="5B3774D4" w14:textId="2FF0565B" w:rsidR="00500337" w:rsidRPr="00544B4B" w:rsidRDefault="008C6F0A" w:rsidP="00500337">
            <w:pPr>
              <w:ind w:left="0" w:right="0"/>
              <w:rPr>
                <w:highlight w:val="yellow"/>
              </w:rPr>
            </w:pPr>
            <w:r w:rsidRPr="008C6F0A">
              <w:t>48</w:t>
            </w:r>
          </w:p>
        </w:tc>
      </w:tr>
    </w:tbl>
    <w:p w14:paraId="387A7566" w14:textId="77777777" w:rsidR="00500337" w:rsidRDefault="007243A2" w:rsidP="00500337">
      <w:pPr>
        <w:pStyle w:val="TableDescription"/>
      </w:pPr>
      <w:r>
        <w:t>*</w:t>
      </w:r>
      <w:r w:rsidRPr="006603BC">
        <w:t>Statutory timeframe for standard applications is 255 working days</w:t>
      </w:r>
    </w:p>
    <w:p w14:paraId="4CF6A04C" w14:textId="77777777" w:rsidR="008E7846" w:rsidRPr="00792A32" w:rsidRDefault="00456765" w:rsidP="008E7846">
      <w:pPr>
        <w:pStyle w:val="Heading2"/>
      </w:pPr>
      <w:bookmarkStart w:id="30" w:name="_Toc196046504"/>
      <w:bookmarkStart w:id="31" w:name="_Toc247691527"/>
      <w:bookmarkStart w:id="32" w:name="_Toc314842510"/>
      <w:bookmarkStart w:id="33" w:name="_Toc64365644"/>
      <w:bookmarkStart w:id="34" w:name="_Toc163441390"/>
      <w:bookmarkEnd w:id="26"/>
      <w:bookmarkEnd w:id="27"/>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0"/>
      <w:bookmarkEnd w:id="31"/>
      <w:bookmarkEnd w:id="32"/>
      <w:bookmarkEnd w:id="33"/>
    </w:p>
    <w:p w14:paraId="2C706013" w14:textId="77777777" w:rsidR="00006FAB" w:rsidRDefault="00006FAB" w:rsidP="00006FAB">
      <w:bookmarkStart w:id="35" w:name="_Toc247691528"/>
      <w:r>
        <w:t>The submission was summarised in the following Delegate’s overview and recommendations.</w:t>
      </w:r>
    </w:p>
    <w:p w14:paraId="5A98DDF1" w14:textId="4B8CC171" w:rsidR="008E7846" w:rsidRDefault="008E40EE" w:rsidP="008E7846">
      <w:pPr>
        <w:pStyle w:val="Heading3"/>
      </w:pPr>
      <w:bookmarkStart w:id="36" w:name="_Toc314842511"/>
      <w:bookmarkStart w:id="37" w:name="_Toc64365645"/>
      <w:bookmarkEnd w:id="35"/>
      <w:r>
        <w:t>Quality</w:t>
      </w:r>
      <w:bookmarkEnd w:id="36"/>
      <w:bookmarkEnd w:id="37"/>
    </w:p>
    <w:p w14:paraId="35875080" w14:textId="35B58C74" w:rsidR="00D84D93" w:rsidRDefault="00D84D93" w:rsidP="00D84D93">
      <w:r>
        <w:t xml:space="preserve">The manufacturing and quality evaluation involved a primary and </w:t>
      </w:r>
      <w:proofErr w:type="gramStart"/>
      <w:r>
        <w:t>a number of</w:t>
      </w:r>
      <w:proofErr w:type="gramEnd"/>
      <w:r>
        <w:t xml:space="preserve"> secondary evaluations</w:t>
      </w:r>
      <w:r w:rsidR="008834DD">
        <w:t>,</w:t>
      </w:r>
      <w:r>
        <w:t xml:space="preserve"> including container safety, infectious disease, endotox</w:t>
      </w:r>
      <w:r w:rsidR="002B5DB1">
        <w:t>in, and microbiology/sterility.</w:t>
      </w:r>
    </w:p>
    <w:p w14:paraId="6D9E782A" w14:textId="4213C50F" w:rsidR="00535A2C" w:rsidRDefault="00535A2C" w:rsidP="00D84D93">
      <w:r>
        <w:t>The following points were summarised from the quality evaluation:</w:t>
      </w:r>
    </w:p>
    <w:p w14:paraId="26AA3FD9" w14:textId="7C7B9543" w:rsidR="00535A2C" w:rsidRDefault="002B5DB1" w:rsidP="00922581">
      <w:pPr>
        <w:pStyle w:val="ListBullet"/>
      </w:pPr>
      <w:r>
        <w:t>I</w:t>
      </w:r>
      <w:r w:rsidR="00D84D93">
        <w:t>nitial supply of COVID-19 into Australia will be imported from Europe. In the future, the vaccine will be manufactured in Australia. This will be the subject of a subsequent Cat</w:t>
      </w:r>
      <w:r w:rsidR="00B833F8">
        <w:t>egory 3 application.</w:t>
      </w:r>
      <w:r w:rsidR="00657C54">
        <w:rPr>
          <w:rStyle w:val="FootnoteReference"/>
        </w:rPr>
        <w:footnoteReference w:id="13"/>
      </w:r>
    </w:p>
    <w:p w14:paraId="4CBAF34B" w14:textId="7C64677F" w:rsidR="00D84D93" w:rsidRPr="00DC7F14" w:rsidRDefault="00D84D93" w:rsidP="00922581">
      <w:pPr>
        <w:pStyle w:val="ListBullet"/>
      </w:pPr>
      <w:r w:rsidRPr="00DC7F14">
        <w:t xml:space="preserve">There are no applicable quality standards for manufacturing. The sponsor will need to ensure </w:t>
      </w:r>
      <w:r w:rsidR="00795D61" w:rsidRPr="00DC7F14">
        <w:t>Good Manufacturing Practice (</w:t>
      </w:r>
      <w:r w:rsidRPr="00DC7F14">
        <w:t>GMP</w:t>
      </w:r>
      <w:r w:rsidR="00795D61" w:rsidRPr="00DC7F14">
        <w:t>)</w:t>
      </w:r>
      <w:r w:rsidRPr="00DC7F14">
        <w:t xml:space="preserve"> clearance of </w:t>
      </w:r>
      <w:proofErr w:type="gramStart"/>
      <w:r w:rsidRPr="00DC7F14">
        <w:t>all of</w:t>
      </w:r>
      <w:proofErr w:type="gramEnd"/>
      <w:r w:rsidRPr="00DC7F14">
        <w:t xml:space="preserve"> the </w:t>
      </w:r>
      <w:r w:rsidR="00DC7F14" w:rsidRPr="00DC7F14">
        <w:t xml:space="preserve">relevant </w:t>
      </w:r>
      <w:r w:rsidRPr="00DC7F14">
        <w:t>manufacturing sites prior to supply.</w:t>
      </w:r>
      <w:r w:rsidR="00497873">
        <w:rPr>
          <w:rStyle w:val="FootnoteReference"/>
        </w:rPr>
        <w:footnoteReference w:id="14"/>
      </w:r>
    </w:p>
    <w:p w14:paraId="5F299110" w14:textId="2001D91C" w:rsidR="00D84D93" w:rsidRDefault="00D84D93" w:rsidP="00922581">
      <w:pPr>
        <w:pStyle w:val="ListBullet"/>
      </w:pPr>
      <w:r>
        <w:lastRenderedPageBreak/>
        <w:t>Manufacturing process</w:t>
      </w:r>
      <w:r w:rsidR="004E6A3A">
        <w:t xml:space="preserve">es and controls were described. </w:t>
      </w:r>
      <w:r>
        <w:t>The sponsor utilised a comprehensive strategy to assess the ch</w:t>
      </w:r>
      <w:r w:rsidR="002B5DB1">
        <w:t>anges in manufacturing processes</w:t>
      </w:r>
      <w:r>
        <w:t xml:space="preserve"> during the product development. These m</w:t>
      </w:r>
      <w:r w:rsidR="00535A2C">
        <w:t>et the required specifications.</w:t>
      </w:r>
    </w:p>
    <w:p w14:paraId="58AEF4F8" w14:textId="4247FA53" w:rsidR="00D84D93" w:rsidRDefault="00D84D93" w:rsidP="00922581">
      <w:pPr>
        <w:pStyle w:val="ListBullet"/>
      </w:pPr>
      <w:r>
        <w:t xml:space="preserve">Multiple methods are used to characterise the physiochemical and biological properties of the drug product. The viral particle concentration was described in comparison to reference </w:t>
      </w:r>
      <w:proofErr w:type="gramStart"/>
      <w:r>
        <w:t>standard,</w:t>
      </w:r>
      <w:proofErr w:type="gramEnd"/>
      <w:r>
        <w:t xml:space="preserve"> however the refere</w:t>
      </w:r>
      <w:r w:rsidR="008F24B8">
        <w:t>nce standard was not described.</w:t>
      </w:r>
    </w:p>
    <w:p w14:paraId="400490DC" w14:textId="7D535159" w:rsidR="00D84D93" w:rsidRDefault="00D84D93" w:rsidP="00DC7F14">
      <w:pPr>
        <w:pStyle w:val="ListBullet"/>
      </w:pPr>
      <w:r>
        <w:t xml:space="preserve">There are </w:t>
      </w:r>
      <w:r w:rsidR="00AA095B">
        <w:t>three</w:t>
      </w:r>
      <w:r>
        <w:t xml:space="preserve"> different presentations for the drug product</w:t>
      </w:r>
      <w:r w:rsidR="00371630">
        <w:t xml:space="preserve">; only the </w:t>
      </w:r>
      <w:proofErr w:type="gramStart"/>
      <w:r w:rsidR="00371630">
        <w:t>10 dose</w:t>
      </w:r>
      <w:proofErr w:type="gramEnd"/>
      <w:r w:rsidR="00DC7F14">
        <w:t xml:space="preserve"> vial is proposed to be registered as part of the current application.</w:t>
      </w:r>
    </w:p>
    <w:p w14:paraId="587815FF" w14:textId="658BCB50" w:rsidR="00D84D93" w:rsidRDefault="00D84D93" w:rsidP="00922581">
      <w:pPr>
        <w:pStyle w:val="ListBullet"/>
        <w:rPr>
          <w:rFonts w:eastAsiaTheme="minorHAnsi" w:cs="Cambria"/>
        </w:rPr>
      </w:pPr>
      <w:r>
        <w:rPr>
          <w:rFonts w:eastAsiaTheme="minorHAnsi" w:cs="Cambria"/>
        </w:rPr>
        <w:t xml:space="preserve">The container closure system is composed of primary and secondary packaging components. The primary packaging components consist of a vial and a stopper. The secondary packaging components comprised of a seal, an opaque paperboard carton to protect the </w:t>
      </w:r>
      <w:r w:rsidR="00795D61">
        <w:rPr>
          <w:rFonts w:eastAsiaTheme="minorHAnsi" w:cs="Cambria"/>
        </w:rPr>
        <w:t xml:space="preserve">drug product </w:t>
      </w:r>
      <w:r>
        <w:rPr>
          <w:rFonts w:eastAsiaTheme="minorHAnsi" w:cs="Cambria"/>
        </w:rPr>
        <w:t xml:space="preserve">from light exposure, an internal partition to secure the </w:t>
      </w:r>
      <w:r w:rsidR="00795D61">
        <w:rPr>
          <w:rFonts w:eastAsiaTheme="minorHAnsi" w:cs="Cambria"/>
        </w:rPr>
        <w:t xml:space="preserve">drug product </w:t>
      </w:r>
      <w:r>
        <w:rPr>
          <w:rFonts w:eastAsiaTheme="minorHAnsi" w:cs="Cambria"/>
        </w:rPr>
        <w:t>duri</w:t>
      </w:r>
      <w:r w:rsidR="00657C54">
        <w:rPr>
          <w:rFonts w:eastAsiaTheme="minorHAnsi" w:cs="Cambria"/>
        </w:rPr>
        <w:t>ng transportation, and a label.</w:t>
      </w:r>
    </w:p>
    <w:p w14:paraId="11F0B23A" w14:textId="1CE41DBC" w:rsidR="00D84D93" w:rsidRDefault="004E6A3A" w:rsidP="00922581">
      <w:pPr>
        <w:pStyle w:val="ListBullet"/>
      </w:pPr>
      <w:r>
        <w:t>The in-</w:t>
      </w:r>
      <w:r w:rsidR="00D84D93">
        <w:t xml:space="preserve">use times and temperature </w:t>
      </w:r>
      <w:r>
        <w:t>conditions are intended to be 6 </w:t>
      </w:r>
      <w:r w:rsidR="00D84D93">
        <w:t>hours at ro</w:t>
      </w:r>
      <w:r w:rsidR="00535A2C">
        <w:t xml:space="preserve">om temperature or 48 hours at 2 to </w:t>
      </w:r>
      <w:r w:rsidR="00D84D93">
        <w:t>8</w:t>
      </w:r>
      <w:r w:rsidR="001510DA">
        <w:t xml:space="preserve"> °C</w:t>
      </w:r>
      <w:r>
        <w:t>,</w:t>
      </w:r>
      <w:r w:rsidR="00D84D93">
        <w:t xml:space="preserve"> and not to exceed a cumu</w:t>
      </w:r>
      <w:r w:rsidR="002B5DB1">
        <w:t>lative in-use time of 48 hours.</w:t>
      </w:r>
    </w:p>
    <w:p w14:paraId="15BAF122" w14:textId="532B8EC6" w:rsidR="002B5DB1" w:rsidRDefault="00535A2C" w:rsidP="00922581">
      <w:pPr>
        <w:pStyle w:val="ListBullet"/>
      </w:pPr>
      <w:r>
        <w:t>The quality evaluator</w:t>
      </w:r>
      <w:r w:rsidR="002B5DB1">
        <w:t xml:space="preserve"> concluded that t</w:t>
      </w:r>
      <w:r w:rsidR="002B5DB1" w:rsidRPr="002B5DB1">
        <w:t xml:space="preserve">here are no significant issues identified from the </w:t>
      </w:r>
      <w:r w:rsidRPr="002B5DB1">
        <w:t xml:space="preserve">quality evaluation </w:t>
      </w:r>
      <w:r w:rsidR="002B5DB1" w:rsidRPr="002B5DB1">
        <w:t>of the submitted data that would indicate the product should not be provisionally registered on the basis of quality, or safety-related issues arising from the quality of the product. The manufacturing qualit</w:t>
      </w:r>
      <w:r>
        <w:t>y information submitted by the s</w:t>
      </w:r>
      <w:r w:rsidR="002B5DB1" w:rsidRPr="002B5DB1">
        <w:t>ponsor support the provisional registration of COVID-19 Vaccine AstraZeneca (ChAdOx1-S).</w:t>
      </w:r>
    </w:p>
    <w:p w14:paraId="022EBFA8" w14:textId="1201C93E" w:rsidR="002B5DB1" w:rsidRPr="00577610" w:rsidRDefault="002B5DB1" w:rsidP="00922581">
      <w:pPr>
        <w:pStyle w:val="ListBullet"/>
      </w:pPr>
      <w:r w:rsidRPr="00EC00B2">
        <w:t xml:space="preserve">However, it should be noted that there are some issues that need to be fully resolved before it is possible to provide assurances that the product is able to meet all of the requirements of the </w:t>
      </w:r>
      <w:r w:rsidRPr="00795D61">
        <w:rPr>
          <w:i/>
        </w:rPr>
        <w:t>Therapeutics Goods Act 1989</w:t>
      </w:r>
      <w:r w:rsidRPr="00EC00B2">
        <w:t xml:space="preserve"> and its associated instruments. </w:t>
      </w:r>
      <w:r w:rsidR="00535A2C">
        <w:t xml:space="preserve">As such, the quality evaluator recommended </w:t>
      </w:r>
      <w:proofErr w:type="gramStart"/>
      <w:r w:rsidR="00535A2C">
        <w:t>a number of</w:t>
      </w:r>
      <w:proofErr w:type="gramEnd"/>
      <w:r w:rsidR="00535A2C">
        <w:t xml:space="preserve"> p</w:t>
      </w:r>
      <w:r w:rsidRPr="00EC00B2">
        <w:t xml:space="preserve">roposed </w:t>
      </w:r>
      <w:r w:rsidR="00535A2C" w:rsidRPr="00EC00B2">
        <w:t xml:space="preserve">conditions of registration </w:t>
      </w:r>
      <w:r w:rsidRPr="00EC00B2">
        <w:t>to ensure the product is fully compliant with all of the p</w:t>
      </w:r>
      <w:r w:rsidR="00795D61">
        <w:t>reviously mentioned instruments</w:t>
      </w:r>
      <w:r w:rsidR="00535A2C">
        <w:t xml:space="preserve"> before release into the market, see </w:t>
      </w:r>
      <w:r w:rsidR="003D5889">
        <w:t>‘</w:t>
      </w:r>
      <w:r w:rsidR="003D5889" w:rsidRPr="003D5889">
        <w:rPr>
          <w:i/>
        </w:rPr>
        <w:t>Proposed quality conditions of registration</w:t>
      </w:r>
      <w:r w:rsidR="003D5889">
        <w:t xml:space="preserve">’, </w:t>
      </w:r>
      <w:r w:rsidR="00535A2C">
        <w:t>below.</w:t>
      </w:r>
    </w:p>
    <w:p w14:paraId="59F225B3" w14:textId="77777777" w:rsidR="00D84D93" w:rsidRPr="00B833F8" w:rsidRDefault="00B833F8" w:rsidP="00B833F8">
      <w:pPr>
        <w:pStyle w:val="Heading4"/>
      </w:pPr>
      <w:r>
        <w:t>Proposed q</w:t>
      </w:r>
      <w:r w:rsidR="00D84D93" w:rsidRPr="00B833F8">
        <w:t>ua</w:t>
      </w:r>
      <w:r>
        <w:t xml:space="preserve">lity </w:t>
      </w:r>
      <w:r w:rsidR="00D84D93" w:rsidRPr="00B833F8">
        <w:t>conditions of registration</w:t>
      </w:r>
    </w:p>
    <w:p w14:paraId="676BF9D1" w14:textId="3639F435" w:rsidR="002B5DB1" w:rsidRPr="004E6A3A" w:rsidRDefault="002B5DB1" w:rsidP="004E6A3A">
      <w:pPr>
        <w:pStyle w:val="ListBullet"/>
      </w:pPr>
      <w:bookmarkStart w:id="38" w:name="_Toc63064751"/>
      <w:r w:rsidRPr="004E6A3A">
        <w:t xml:space="preserve">Batch </w:t>
      </w:r>
      <w:r w:rsidR="003D5889" w:rsidRPr="004E6A3A">
        <w:t>release testing and compliance</w:t>
      </w:r>
      <w:bookmarkEnd w:id="38"/>
    </w:p>
    <w:p w14:paraId="4127435D" w14:textId="6DB9D9F8" w:rsidR="002B5DB1" w:rsidRPr="004E6A3A" w:rsidRDefault="002B5DB1" w:rsidP="004E6A3A">
      <w:pPr>
        <w:pStyle w:val="ListBullet"/>
        <w:numPr>
          <w:ilvl w:val="0"/>
          <w:numId w:val="0"/>
        </w:numPr>
        <w:ind w:left="360"/>
      </w:pPr>
      <w:r w:rsidRPr="004E6A3A">
        <w:t xml:space="preserve">It is a condition of registration that all independent batches of </w:t>
      </w:r>
      <w:r w:rsidRPr="004E6A3A">
        <w:rPr>
          <w:bCs/>
        </w:rPr>
        <w:t xml:space="preserve">COVID-19 Vaccine AstraZeneca (ChAdOx1-S) </w:t>
      </w:r>
      <w:r w:rsidRPr="004E6A3A">
        <w:rPr>
          <w:rFonts w:eastAsiaTheme="minorHAnsi" w:cs="Helv"/>
        </w:rPr>
        <w:t>vaccine</w:t>
      </w:r>
      <w:r w:rsidRPr="004E6A3A">
        <w:rPr>
          <w:bCs/>
        </w:rPr>
        <w:t xml:space="preserve"> </w:t>
      </w:r>
      <w:r w:rsidRPr="004E6A3A">
        <w:t>imported into Australia are not supplied for distr</w:t>
      </w:r>
      <w:r w:rsidR="00120794">
        <w:t>ibution by or on behalf of the s</w:t>
      </w:r>
      <w:r w:rsidRPr="004E6A3A">
        <w:t xml:space="preserve">ponsor until samples and the manufacturer’s release data have been assessed and </w:t>
      </w:r>
      <w:r w:rsidR="003D5889">
        <w:t xml:space="preserve">the sponsor </w:t>
      </w:r>
      <w:r w:rsidRPr="004E6A3A">
        <w:t>ha</w:t>
      </w:r>
      <w:r w:rsidR="00761971">
        <w:t>s</w:t>
      </w:r>
      <w:r w:rsidRPr="004E6A3A">
        <w:t xml:space="preserve"> received notification acknowledging release from the Laboratories Branch, TGA.</w:t>
      </w:r>
    </w:p>
    <w:p w14:paraId="1A50256C" w14:textId="725C24BC" w:rsidR="002B5DB1" w:rsidRPr="004E6A3A" w:rsidRDefault="002B5DB1" w:rsidP="004E6A3A">
      <w:pPr>
        <w:pStyle w:val="ListBullet"/>
        <w:numPr>
          <w:ilvl w:val="0"/>
          <w:numId w:val="0"/>
        </w:numPr>
        <w:ind w:left="360"/>
      </w:pPr>
      <w:r w:rsidRPr="004E6A3A">
        <w:t>For each independent batch of the produc</w:t>
      </w:r>
      <w:r w:rsidR="003D5889">
        <w:t>t imported into Australia, the s</w:t>
      </w:r>
      <w:r w:rsidRPr="004E6A3A">
        <w:t>ponsor must supply the following:</w:t>
      </w:r>
    </w:p>
    <w:p w14:paraId="0FB86386" w14:textId="0DDF15EC" w:rsidR="002B5DB1" w:rsidRPr="004E6A3A" w:rsidRDefault="002B5DB1" w:rsidP="00120794">
      <w:pPr>
        <w:pStyle w:val="ListBullet2"/>
      </w:pPr>
      <w:r w:rsidRPr="004E6A3A">
        <w:t xml:space="preserve">A completed Request for Release Form, available from </w:t>
      </w:r>
      <w:hyperlink r:id="rId17" w:history="1">
        <w:r w:rsidRPr="005229E6">
          <w:rPr>
            <w:rStyle w:val="Hyperlink"/>
          </w:rPr>
          <w:t>vaccines@health.gov.au</w:t>
        </w:r>
      </w:hyperlink>
      <w:r w:rsidRPr="005229E6">
        <w:t>.</w:t>
      </w:r>
    </w:p>
    <w:p w14:paraId="2FCEC381" w14:textId="5618867C" w:rsidR="002B5DB1" w:rsidRPr="004E6A3A" w:rsidRDefault="002B5DB1" w:rsidP="00120794">
      <w:pPr>
        <w:pStyle w:val="ListBullet2"/>
      </w:pPr>
      <w:r w:rsidRPr="004E6A3A">
        <w:t xml:space="preserve">Complete summary protocols for manufacture and </w:t>
      </w:r>
      <w:r w:rsidR="00795D61">
        <w:t>quality control (</w:t>
      </w:r>
      <w:r w:rsidRPr="004E6A3A">
        <w:t>QC</w:t>
      </w:r>
      <w:r w:rsidR="00795D61">
        <w:t>)</w:t>
      </w:r>
      <w:r w:rsidRPr="004E6A3A">
        <w:t>, including all steps in production in the agreed format.</w:t>
      </w:r>
    </w:p>
    <w:p w14:paraId="2A2EEBB4" w14:textId="565E7D83" w:rsidR="002B5DB1" w:rsidRPr="004E6A3A" w:rsidRDefault="00795D61" w:rsidP="00120794">
      <w:pPr>
        <w:pStyle w:val="ListBullet2"/>
      </w:pPr>
      <w:r>
        <w:t>At least 10 (ten) vials (s</w:t>
      </w:r>
      <w:r w:rsidR="002B5DB1" w:rsidRPr="004E6A3A">
        <w:t xml:space="preserve">amples) of each manufacturing batch of </w:t>
      </w:r>
      <w:r w:rsidR="002B5DB1" w:rsidRPr="004E6A3A">
        <w:rPr>
          <w:bCs/>
        </w:rPr>
        <w:t xml:space="preserve">COVID-19 Vaccine AstraZeneca (ChAdOx1-S) </w:t>
      </w:r>
      <w:r w:rsidR="002B5DB1" w:rsidRPr="004E6A3A">
        <w:t>with the Australian approved labels, PI and packaging (unless an exemption to supply these has been granted) representative of all batches of product seeking distribution in Australia.</w:t>
      </w:r>
    </w:p>
    <w:p w14:paraId="651528F0" w14:textId="4BBA97C0" w:rsidR="002B5DB1" w:rsidRPr="004E6A3A" w:rsidRDefault="00795D61" w:rsidP="00120794">
      <w:pPr>
        <w:pStyle w:val="ListBullet2"/>
      </w:pPr>
      <w:r>
        <w:t>At least 5 (five) vials (s</w:t>
      </w:r>
      <w:r w:rsidR="002B5DB1" w:rsidRPr="004E6A3A">
        <w:t xml:space="preserve">amples) of any further consignments of a manufacturing batch </w:t>
      </w:r>
      <w:r w:rsidR="002B5DB1" w:rsidRPr="004E6A3A">
        <w:rPr>
          <w:bCs/>
        </w:rPr>
        <w:t>COVID</w:t>
      </w:r>
      <w:r w:rsidR="002B5DB1" w:rsidRPr="004E6A3A">
        <w:rPr>
          <w:bCs/>
        </w:rPr>
        <w:noBreakHyphen/>
        <w:t xml:space="preserve">19 Vaccine AstraZeneca (ChAdOx1-S) </w:t>
      </w:r>
      <w:r w:rsidR="002B5DB1" w:rsidRPr="004E6A3A">
        <w:t xml:space="preserve">with the Australian approved </w:t>
      </w:r>
      <w:r w:rsidR="002B5DB1" w:rsidRPr="004E6A3A">
        <w:lastRenderedPageBreak/>
        <w:t xml:space="preserve">labels, </w:t>
      </w:r>
      <w:proofErr w:type="gramStart"/>
      <w:r w:rsidR="002B5DB1" w:rsidRPr="004E6A3A">
        <w:t>PI</w:t>
      </w:r>
      <w:proofErr w:type="gramEnd"/>
      <w:r w:rsidR="002B5DB1" w:rsidRPr="004E6A3A">
        <w:t xml:space="preserve"> and packaging (unless an exemption to supply these has been granted). Further consignments cover batches previously supplied to TGA for the purposes of batch release testing but are seeking to be supplied again.</w:t>
      </w:r>
    </w:p>
    <w:p w14:paraId="77D06324" w14:textId="05C58E08" w:rsidR="002B5DB1" w:rsidRPr="004E6A3A" w:rsidRDefault="002B5DB1" w:rsidP="00120794">
      <w:pPr>
        <w:pStyle w:val="ListBullet2"/>
      </w:pPr>
      <w:r w:rsidRPr="004E6A3A">
        <w:t>If the manufacturing batch has been released in Europe or United Kingdom a copy of the EU Official Control Authority Batch Release (OCABR) certificate (or equivalent</w:t>
      </w:r>
      <w:r w:rsidR="005229E6">
        <w:t xml:space="preserve"> from the UK) must be provided.</w:t>
      </w:r>
    </w:p>
    <w:p w14:paraId="107841C2" w14:textId="77777777" w:rsidR="002B5DB1" w:rsidRPr="004E6A3A" w:rsidRDefault="002B5DB1" w:rsidP="00120794">
      <w:pPr>
        <w:pStyle w:val="ListBullet2"/>
      </w:pPr>
      <w:r w:rsidRPr="004E6A3A">
        <w:t>Any reagents, reference material and standards required to undertake testing, as requested by Laboratories Branch, TGA.</w:t>
      </w:r>
    </w:p>
    <w:p w14:paraId="707F75AF" w14:textId="13128749" w:rsidR="002B5DB1" w:rsidRPr="004E6A3A" w:rsidRDefault="002B5DB1" w:rsidP="00120794">
      <w:pPr>
        <w:pStyle w:val="ListBullet"/>
        <w:numPr>
          <w:ilvl w:val="0"/>
          <w:numId w:val="0"/>
        </w:numPr>
        <w:ind w:left="360"/>
      </w:pPr>
      <w:r w:rsidRPr="004E6A3A">
        <w:t xml:space="preserve">Sponsors must provide all requested </w:t>
      </w:r>
      <w:r w:rsidR="00761971">
        <w:t>s</w:t>
      </w:r>
      <w:r w:rsidRPr="004E6A3A">
        <w:t>amples and data in sufficient time (at least 5</w:t>
      </w:r>
      <w:r w:rsidR="00B56139">
        <w:t> </w:t>
      </w:r>
      <w:r w:rsidRPr="004E6A3A">
        <w:t>business days) prior to any distribution date to allow the TGA to perform testing and review. Distribution of each batch of vaccine is conditional upon fulfilment of these conditions and receipt of a letter from the Laboratories Branch acknowledging release.</w:t>
      </w:r>
    </w:p>
    <w:p w14:paraId="1D3698C9" w14:textId="77777777" w:rsidR="002B5DB1" w:rsidRPr="00352CD3" w:rsidRDefault="002B5DB1" w:rsidP="00120794">
      <w:pPr>
        <w:pStyle w:val="ListBullet"/>
      </w:pPr>
      <w:bookmarkStart w:id="39" w:name="_Toc63064752"/>
      <w:r w:rsidRPr="00352CD3">
        <w:t>Certified Product Details</w:t>
      </w:r>
      <w:bookmarkEnd w:id="39"/>
    </w:p>
    <w:p w14:paraId="4B852C86" w14:textId="04654242" w:rsidR="002B5DB1" w:rsidRDefault="002B5DB1" w:rsidP="00120794">
      <w:pPr>
        <w:pStyle w:val="ListBullet"/>
        <w:numPr>
          <w:ilvl w:val="0"/>
          <w:numId w:val="0"/>
        </w:numPr>
        <w:ind w:left="360"/>
      </w:pPr>
      <w:r w:rsidRPr="00916FDF">
        <w:t xml:space="preserve">An electronic copy of the Certified Product Details (CPD) as described in Guidance 7: Certified Product Details of the Australian Regulatory Guidelines for Prescription Medicines (ARGPM) </w:t>
      </w:r>
      <w:hyperlink r:id="rId18" w:history="1">
        <w:r w:rsidRPr="00700EF1">
          <w:rPr>
            <w:rStyle w:val="Hyperlink"/>
          </w:rPr>
          <w:t>https://www.tga.gov.au/guidance-7-certified-product-details</w:t>
        </w:r>
      </w:hyperlink>
      <w:r w:rsidRPr="00916FDF">
        <w:t xml:space="preserve">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w:t>
      </w:r>
      <w:hyperlink r:id="rId19" w:history="1">
        <w:r w:rsidRPr="00EA2282">
          <w:rPr>
            <w:rStyle w:val="Hyperlink"/>
          </w:rPr>
          <w:t>https://www.tga.gov.au/form/certified-product-details-cpd-biological-prescription-medicines</w:t>
        </w:r>
      </w:hyperlink>
      <w:r w:rsidRPr="00EA2282">
        <w:t xml:space="preserve">. </w:t>
      </w:r>
      <w:r w:rsidRPr="00916FDF">
        <w:t xml:space="preserve">The CPD should be sent as a </w:t>
      </w:r>
      <w:r w:rsidRPr="00120794">
        <w:rPr>
          <w:rFonts w:cs="Cambria-Bold"/>
          <w:bCs/>
        </w:rPr>
        <w:t>single bookmarked</w:t>
      </w:r>
      <w:r w:rsidRPr="00120794">
        <w:t xml:space="preserve"> </w:t>
      </w:r>
      <w:r w:rsidRPr="00120794">
        <w:rPr>
          <w:rFonts w:cs="Cambria-Bold"/>
          <w:bCs/>
        </w:rPr>
        <w:t>PDF</w:t>
      </w:r>
      <w:r w:rsidRPr="00916FDF">
        <w:rPr>
          <w:rFonts w:cs="Cambria-Bold"/>
          <w:b/>
          <w:bCs/>
        </w:rPr>
        <w:t xml:space="preserve"> </w:t>
      </w:r>
      <w:r w:rsidRPr="00916FDF">
        <w:t xml:space="preserve">document to </w:t>
      </w:r>
      <w:hyperlink r:id="rId20" w:history="1">
        <w:r w:rsidRPr="007430C3">
          <w:rPr>
            <w:rStyle w:val="Hyperlink"/>
          </w:rPr>
          <w:t>Vaccines@health.gov.au</w:t>
        </w:r>
      </w:hyperlink>
      <w:r w:rsidRPr="00916FDF">
        <w:t xml:space="preserve"> as soon as possible after registration/approval of the product or any subsequent changes as indicated above.</w:t>
      </w:r>
    </w:p>
    <w:p w14:paraId="44039482" w14:textId="77777777" w:rsidR="00120794" w:rsidRPr="000748F6" w:rsidRDefault="00120794" w:rsidP="00120794">
      <w:pPr>
        <w:pStyle w:val="ListBullet"/>
      </w:pPr>
      <w:r w:rsidRPr="000748F6">
        <w:t>As this medicine is being considered for provisional registration, extensive post</w:t>
      </w:r>
      <w:r w:rsidRPr="000748F6">
        <w:noBreakHyphen/>
        <w:t>approval commitments will be required of the sponsor. The additional requested quality data and notifications to the TGA should be provided as post</w:t>
      </w:r>
      <w:r w:rsidRPr="000748F6">
        <w:noBreakHyphen/>
        <w:t>approval commitments. This includes the following commitments:</w:t>
      </w:r>
    </w:p>
    <w:p w14:paraId="6E768B2B" w14:textId="72E6E035" w:rsidR="00120794" w:rsidRPr="00761971" w:rsidRDefault="00120794" w:rsidP="006C4945">
      <w:pPr>
        <w:pStyle w:val="ListBullet2"/>
      </w:pPr>
      <w:r w:rsidRPr="00761971">
        <w:t xml:space="preserve">Additional data should be provided in relation to drug substance </w:t>
      </w:r>
      <w:r w:rsidR="00761971" w:rsidRPr="00761971">
        <w:t xml:space="preserve">and drug product </w:t>
      </w:r>
      <w:r w:rsidRPr="00761971">
        <w:t>stability</w:t>
      </w:r>
      <w:r w:rsidR="006C4945" w:rsidRPr="00761971">
        <w:t>.</w:t>
      </w:r>
    </w:p>
    <w:p w14:paraId="167F16CF" w14:textId="358ABDA4" w:rsidR="006C4945" w:rsidRDefault="00986953" w:rsidP="006C4945">
      <w:pPr>
        <w:pStyle w:val="ListBullet2"/>
      </w:pPr>
      <w:r>
        <w:t xml:space="preserve">Additional information should be provided in relation to the test for </w:t>
      </w:r>
      <w:r w:rsidRPr="006C4945">
        <w:t xml:space="preserve">transgene expression of </w:t>
      </w:r>
      <w:r>
        <w:t xml:space="preserve">the </w:t>
      </w:r>
      <w:r w:rsidRPr="006C4945">
        <w:t>spike protein</w:t>
      </w:r>
      <w:r>
        <w:t>.</w:t>
      </w:r>
    </w:p>
    <w:p w14:paraId="5B24FF7C" w14:textId="77777777" w:rsidR="00982F38" w:rsidRPr="00761971" w:rsidRDefault="00982F38" w:rsidP="00982F38">
      <w:pPr>
        <w:pStyle w:val="ListBullet2"/>
      </w:pPr>
      <w:r w:rsidRPr="00761971">
        <w:t xml:space="preserve">The requested </w:t>
      </w:r>
      <w:proofErr w:type="spellStart"/>
      <w:r w:rsidRPr="00761971">
        <w:t>leachables</w:t>
      </w:r>
      <w:proofErr w:type="spellEnd"/>
      <w:r w:rsidRPr="00761971">
        <w:t xml:space="preserve"> study data should be provided.</w:t>
      </w:r>
      <w:bookmarkStart w:id="40" w:name="_Ref62227856"/>
      <w:r w:rsidRPr="00761971">
        <w:rPr>
          <w:rStyle w:val="FootnoteReference"/>
        </w:rPr>
        <w:footnoteReference w:id="15"/>
      </w:r>
      <w:bookmarkEnd w:id="40"/>
    </w:p>
    <w:p w14:paraId="305A4488" w14:textId="0DC7310C" w:rsidR="00982F38" w:rsidRPr="00761971" w:rsidRDefault="00982F38" w:rsidP="00982F38">
      <w:pPr>
        <w:pStyle w:val="ListBullet2"/>
      </w:pPr>
      <w:r w:rsidRPr="00761971">
        <w:t>The additional data related to validation of analytical procedures for endotoxin testing should be provided.</w:t>
      </w:r>
    </w:p>
    <w:p w14:paraId="5B112502" w14:textId="77777777" w:rsidR="008E7846" w:rsidRDefault="008E7846" w:rsidP="00435394">
      <w:pPr>
        <w:pStyle w:val="Heading3"/>
      </w:pPr>
      <w:bookmarkStart w:id="41" w:name="_Toc314842512"/>
      <w:bookmarkStart w:id="42" w:name="_Toc64365646"/>
      <w:r>
        <w:t>Nonclinical</w:t>
      </w:r>
      <w:bookmarkEnd w:id="41"/>
      <w:bookmarkEnd w:id="42"/>
    </w:p>
    <w:p w14:paraId="3BC5B2FD" w14:textId="77777777" w:rsidR="00D84D93" w:rsidRDefault="00B833F8" w:rsidP="00435394">
      <w:pPr>
        <w:keepNext/>
        <w:rPr>
          <w:lang w:eastAsia="en-AU"/>
        </w:rPr>
      </w:pPr>
      <w:r>
        <w:rPr>
          <w:lang w:eastAsia="en-AU"/>
        </w:rPr>
        <w:t>There were no non</w:t>
      </w:r>
      <w:r w:rsidR="00D84D93">
        <w:rPr>
          <w:lang w:eastAsia="en-AU"/>
        </w:rPr>
        <w:t>clinical objections to the provision</w:t>
      </w:r>
      <w:r>
        <w:rPr>
          <w:lang w:eastAsia="en-AU"/>
        </w:rPr>
        <w:t>al registration of the vaccine.</w:t>
      </w:r>
    </w:p>
    <w:p w14:paraId="2A707804" w14:textId="4CFE3615" w:rsidR="00D84D93" w:rsidRPr="0039301B" w:rsidRDefault="008E40EE" w:rsidP="00D2619F">
      <w:pPr>
        <w:rPr>
          <w:lang w:eastAsia="en-AU"/>
        </w:rPr>
      </w:pPr>
      <w:r w:rsidRPr="00C50B41">
        <w:rPr>
          <w:lang w:eastAsia="en-AU"/>
        </w:rPr>
        <w:t>The</w:t>
      </w:r>
      <w:r w:rsidR="00D84D93" w:rsidRPr="00C50B41">
        <w:rPr>
          <w:lang w:eastAsia="en-AU"/>
        </w:rPr>
        <w:t xml:space="preserve"> sponsor has generally conducted adequate pharmacology studies. As part of a rolling submission</w:t>
      </w:r>
      <w:r w:rsidR="00CE0E8A">
        <w:rPr>
          <w:lang w:eastAsia="en-AU"/>
        </w:rPr>
        <w:t>,</w:t>
      </w:r>
      <w:r w:rsidR="00D84D93" w:rsidRPr="00C50B41">
        <w:rPr>
          <w:lang w:eastAsia="en-AU"/>
        </w:rPr>
        <w:t xml:space="preserve"> limited toxicity studies were provided </w:t>
      </w:r>
      <w:r w:rsidR="00D84D93" w:rsidRPr="00C50B41">
        <w:rPr>
          <w:kern w:val="2"/>
          <w:lang w:eastAsia="en-AU"/>
        </w:rPr>
        <w:t>with AZD1222.</w:t>
      </w:r>
      <w:r w:rsidR="00D84D93" w:rsidRPr="00C50B41">
        <w:rPr>
          <w:lang w:eastAsia="en-AU"/>
        </w:rPr>
        <w:t xml:space="preserve"> A bio-distribution study and a main developmental </w:t>
      </w:r>
      <w:r w:rsidR="00CE0E8A">
        <w:rPr>
          <w:lang w:eastAsia="en-AU"/>
        </w:rPr>
        <w:t>and reproductive toxicity</w:t>
      </w:r>
      <w:r w:rsidR="00D84D93" w:rsidRPr="00C50B41">
        <w:rPr>
          <w:lang w:eastAsia="en-AU"/>
        </w:rPr>
        <w:t xml:space="preserve"> study in mice are pending.</w:t>
      </w:r>
    </w:p>
    <w:p w14:paraId="37B8FEB4" w14:textId="77777777" w:rsidR="00D84D93" w:rsidRDefault="00B833F8" w:rsidP="00B833F8">
      <w:pPr>
        <w:pStyle w:val="Heading4"/>
      </w:pPr>
      <w:r>
        <w:lastRenderedPageBreak/>
        <w:t>Pharmacology</w:t>
      </w:r>
    </w:p>
    <w:p w14:paraId="4F1023A5" w14:textId="07E417D5" w:rsidR="00D84D93" w:rsidRDefault="009674B3" w:rsidP="00B833F8">
      <w:r>
        <w:t>COVID</w:t>
      </w:r>
      <w:r w:rsidR="00D84D93">
        <w:t>-19 AstraZeneca was found to be immunogenic in BALB/c</w:t>
      </w:r>
      <w:r w:rsidR="00980204">
        <w:t xml:space="preserve"> and</w:t>
      </w:r>
      <w:r w:rsidR="00D84D93">
        <w:t xml:space="preserve"> CD-1 mice; ferrets; non</w:t>
      </w:r>
      <w:r w:rsidR="00980204">
        <w:noBreakHyphen/>
      </w:r>
      <w:r w:rsidR="00D84D93">
        <w:t xml:space="preserve">human primates and pigs. Mice and pigs showed </w:t>
      </w:r>
      <w:r w:rsidR="00CE0E8A">
        <w:t>T helper type 1 (</w:t>
      </w:r>
      <w:r w:rsidR="00D84D93">
        <w:t>Th1</w:t>
      </w:r>
      <w:r w:rsidR="00CE0E8A">
        <w:t>)</w:t>
      </w:r>
      <w:r w:rsidR="00D84D93">
        <w:t xml:space="preserve"> like </w:t>
      </w:r>
      <w:r w:rsidR="00EA127E">
        <w:t>cluster of differentiation 4 positive (</w:t>
      </w:r>
      <w:r w:rsidR="00D84D93">
        <w:t>CD4+</w:t>
      </w:r>
      <w:r w:rsidR="00EA127E">
        <w:t>)</w:t>
      </w:r>
      <w:r w:rsidR="00D84D93">
        <w:t xml:space="preserve"> and </w:t>
      </w:r>
      <w:r w:rsidR="00EA127E">
        <w:t xml:space="preserve">cluster of differentiation 8 positive </w:t>
      </w:r>
      <w:r w:rsidR="00980204">
        <w:t>(</w:t>
      </w:r>
      <w:r w:rsidR="00D84D93">
        <w:t>CD8+</w:t>
      </w:r>
      <w:r w:rsidR="00980204">
        <w:t>)</w:t>
      </w:r>
      <w:r w:rsidR="00D84D93">
        <w:t xml:space="preserve"> T cell responses. Pigs and inbred mice showed a response to booster vaccine. The lack of response in outbred mice was attributed to a higher initial dose. When vaccinated rhesu</w:t>
      </w:r>
      <w:r w:rsidR="00EA127E">
        <w:t xml:space="preserve">s monkeys were exposed to </w:t>
      </w:r>
      <w:r w:rsidR="00EA127E" w:rsidRPr="00476568">
        <w:t>SARS-Co</w:t>
      </w:r>
      <w:r w:rsidR="00EA127E">
        <w:t>V</w:t>
      </w:r>
      <w:r w:rsidR="00EA127E" w:rsidRPr="00476568">
        <w:t>-2</w:t>
      </w:r>
      <w:r w:rsidR="00D84D93">
        <w:t xml:space="preserve">, the clinical disease severity scores in the lungs were reduced, however there was no reduction in viral shedding from the nose. There was no evidence of </w:t>
      </w:r>
      <w:r w:rsidR="00EA127E">
        <w:t>vaccine associated enhanced disease (</w:t>
      </w:r>
      <w:r w:rsidR="00D84D93">
        <w:t>VAED</w:t>
      </w:r>
      <w:r w:rsidR="00EA127E">
        <w:t>)</w:t>
      </w:r>
      <w:r w:rsidR="00D84D93">
        <w:t xml:space="preserve"> in vaccinated monkeys exposed to COVID-19. The pharmacology studies were designed to assess short term immunogenicity only.</w:t>
      </w:r>
    </w:p>
    <w:p w14:paraId="39344C21" w14:textId="77777777" w:rsidR="00D84D93" w:rsidRPr="0039301B" w:rsidRDefault="00B833F8" w:rsidP="00B833F8">
      <w:pPr>
        <w:pStyle w:val="Heading5"/>
      </w:pPr>
      <w:r>
        <w:t>Pharmacokinetics</w:t>
      </w:r>
    </w:p>
    <w:p w14:paraId="26596A01" w14:textId="5765FEFE" w:rsidR="00D84D93" w:rsidRPr="0039301B" w:rsidRDefault="00D84D93" w:rsidP="00B833F8">
      <w:r>
        <w:t xml:space="preserve">Three different mouse studies </w:t>
      </w:r>
      <w:r w:rsidR="00B66C0C">
        <w:t xml:space="preserve">(one using the </w:t>
      </w:r>
      <w:r>
        <w:t>ChAdOx1 vector</w:t>
      </w:r>
      <w:r w:rsidR="00B66C0C">
        <w:t xml:space="preserve">, the other two using a similar vector, </w:t>
      </w:r>
      <w:r w:rsidR="00B66C0C" w:rsidRPr="00B66C0C">
        <w:t>ChAd63</w:t>
      </w:r>
      <w:r w:rsidR="00B66C0C">
        <w:t>)</w:t>
      </w:r>
      <w:r>
        <w:t xml:space="preserve"> examined the biodistribution. Two of these </w:t>
      </w:r>
      <w:r w:rsidR="00D353B0">
        <w:t xml:space="preserve">studies </w:t>
      </w:r>
      <w:r>
        <w:t>showed no evidence of the adenovirus vector beyond the site of administration. The third show</w:t>
      </w:r>
      <w:r w:rsidR="00B902E4">
        <w:t>ed that</w:t>
      </w:r>
      <w:r>
        <w:t xml:space="preserve"> low levels of the ChAdOx1 vector were found in the heart, liver, </w:t>
      </w:r>
      <w:r w:rsidR="00EA127E">
        <w:t xml:space="preserve">ovary, </w:t>
      </w:r>
      <w:proofErr w:type="gramStart"/>
      <w:r w:rsidR="00EA127E">
        <w:t>testes</w:t>
      </w:r>
      <w:proofErr w:type="gramEnd"/>
      <w:r w:rsidR="00EA127E">
        <w:t xml:space="preserve"> and lymph nodes.</w:t>
      </w:r>
      <w:r w:rsidR="008E40EE">
        <w:t xml:space="preserve"> The significance of this is uncertain.</w:t>
      </w:r>
    </w:p>
    <w:p w14:paraId="4F445DF0" w14:textId="77777777" w:rsidR="00D84D93" w:rsidRPr="0039301B" w:rsidRDefault="00D84D93" w:rsidP="00B833F8">
      <w:pPr>
        <w:pStyle w:val="Heading4"/>
      </w:pPr>
      <w:r w:rsidRPr="0039301B">
        <w:t>Toxicology</w:t>
      </w:r>
    </w:p>
    <w:p w14:paraId="0CD49529" w14:textId="3F520A4E" w:rsidR="00D84D93" w:rsidRDefault="00D84D93" w:rsidP="00B833F8">
      <w:r>
        <w:t>A repeat dose toxicology study was performed in mice. The vaccine (total viral pa</w:t>
      </w:r>
      <w:r w:rsidR="00EA127E">
        <w:t>rticle dose 3.7 x</w:t>
      </w:r>
      <w:r>
        <w:t xml:space="preserve"> 10</w:t>
      </w:r>
      <w:r w:rsidRPr="006F1BCF">
        <w:rPr>
          <w:vertAlign w:val="superscript"/>
        </w:rPr>
        <w:t>10</w:t>
      </w:r>
      <w:r>
        <w:t xml:space="preserve">) was given over 6 weeks with a </w:t>
      </w:r>
      <w:proofErr w:type="gramStart"/>
      <w:r>
        <w:t>4 week</w:t>
      </w:r>
      <w:proofErr w:type="gramEnd"/>
      <w:r>
        <w:t xml:space="preserve"> recovery period. Scheduled necroscopies were performed at the end of the </w:t>
      </w:r>
      <w:proofErr w:type="gramStart"/>
      <w:r>
        <w:t>6 week</w:t>
      </w:r>
      <w:proofErr w:type="gramEnd"/>
      <w:r>
        <w:t xml:space="preserve"> treatment period or 28 day recovery period. Injections were associated with increased temperature, decreased monocyte count, increased </w:t>
      </w:r>
      <w:proofErr w:type="gramStart"/>
      <w:r>
        <w:t>globulin</w:t>
      </w:r>
      <w:proofErr w:type="gramEnd"/>
      <w:r>
        <w:t xml:space="preserve"> and decreased albumin/globulin consistent</w:t>
      </w:r>
      <w:r w:rsidR="00B902E4">
        <w:t xml:space="preserve"> with an acute phase response. </w:t>
      </w:r>
      <w:r>
        <w:t>Highe</w:t>
      </w:r>
      <w:r w:rsidR="00B902E4">
        <w:t>r spleen weights were observed.</w:t>
      </w:r>
    </w:p>
    <w:p w14:paraId="526AF89F" w14:textId="64AD66FF" w:rsidR="00D84D93" w:rsidRDefault="00D84D93" w:rsidP="00B833F8">
      <w:r>
        <w:t xml:space="preserve">Another study was performed to investigate the potential toxicity of ChAdOx1 </w:t>
      </w:r>
      <w:r w:rsidR="00B902E4">
        <w:t>Chikungunya</w:t>
      </w:r>
      <w:r>
        <w:t xml:space="preserve"> or ChAdOx1 </w:t>
      </w:r>
      <w:r w:rsidR="00B902E4" w:rsidRPr="00B902E4">
        <w:t xml:space="preserve">Middle East respiratory syndrome </w:t>
      </w:r>
      <w:r w:rsidR="00B902E4">
        <w:t>(</w:t>
      </w:r>
      <w:r>
        <w:t>MERS</w:t>
      </w:r>
      <w:r w:rsidR="00B902E4">
        <w:t>)</w:t>
      </w:r>
      <w:r w:rsidR="008705AB">
        <w:t xml:space="preserve"> vaccines</w:t>
      </w:r>
      <w:r>
        <w:t xml:space="preserve"> in inbred (</w:t>
      </w:r>
      <w:proofErr w:type="spellStart"/>
      <w:r>
        <w:t>Balb</w:t>
      </w:r>
      <w:proofErr w:type="spellEnd"/>
      <w:r>
        <w:t xml:space="preserve">/c) mice aged </w:t>
      </w:r>
      <w:r w:rsidR="00B902E4">
        <w:t>8 weeks old and weighing 20 g. The doses given were 1 x</w:t>
      </w:r>
      <w:r>
        <w:t xml:space="preserve"> 10</w:t>
      </w:r>
      <w:r w:rsidRPr="003075DE">
        <w:rPr>
          <w:vertAlign w:val="superscript"/>
        </w:rPr>
        <w:t>10</w:t>
      </w:r>
      <w:r>
        <w:rPr>
          <w:vertAlign w:val="superscript"/>
        </w:rPr>
        <w:t xml:space="preserve"> </w:t>
      </w:r>
      <w:r>
        <w:t>viral particles, in 25 or 35</w:t>
      </w:r>
      <w:r w:rsidR="00B902E4">
        <w:t xml:space="preserve"> </w:t>
      </w:r>
      <w:r>
        <w:t>µL per injection. Vaccines were well tolerated with no advers</w:t>
      </w:r>
      <w:r w:rsidR="00B902E4">
        <w:t>e effects. Similarly, a further two</w:t>
      </w:r>
      <w:r>
        <w:t xml:space="preserve"> studies of mice with other vaccines containing the ChAdOx1 ve</w:t>
      </w:r>
      <w:r w:rsidR="00766F89">
        <w:t>ctor did not show any toxicity.</w:t>
      </w:r>
    </w:p>
    <w:p w14:paraId="6CD0C479" w14:textId="607940C6" w:rsidR="00D84D93" w:rsidRDefault="00D84D93" w:rsidP="00B833F8">
      <w:r>
        <w:t xml:space="preserve">No </w:t>
      </w:r>
      <w:r w:rsidRPr="005229E6">
        <w:t>genotoxicity or carcinogenicity</w:t>
      </w:r>
      <w:r w:rsidR="00B902E4">
        <w:t xml:space="preserve"> studies were</w:t>
      </w:r>
      <w:r>
        <w:t xml:space="preserve"> </w:t>
      </w:r>
      <w:r w:rsidR="008E40EE">
        <w:t>performed</w:t>
      </w:r>
      <w:r>
        <w:t>.</w:t>
      </w:r>
    </w:p>
    <w:p w14:paraId="200E588F" w14:textId="2163DCE7" w:rsidR="00D84D93" w:rsidRDefault="00D84D93" w:rsidP="00B833F8">
      <w:r>
        <w:t>The ChADOx1 vector is expected to have negligible risks of integrating into the human genome or recom</w:t>
      </w:r>
      <w:r w:rsidR="005229E6">
        <w:t>bination with human adenovirus.</w:t>
      </w:r>
    </w:p>
    <w:p w14:paraId="61683080" w14:textId="77777777" w:rsidR="00D84D93" w:rsidRPr="0039301B" w:rsidRDefault="00D84D93" w:rsidP="006C4945">
      <w:pPr>
        <w:pStyle w:val="Heading5"/>
      </w:pPr>
      <w:r w:rsidRPr="0039301B">
        <w:t>Reproductive and developmental toxicity</w:t>
      </w:r>
    </w:p>
    <w:p w14:paraId="7519946F" w14:textId="382BC580" w:rsidR="00D84D93" w:rsidRDefault="00D84D93" w:rsidP="00B833F8">
      <w:r>
        <w:t xml:space="preserve">A study was performed in outbred CD-1 female mice either before mating and during </w:t>
      </w:r>
      <w:proofErr w:type="gramStart"/>
      <w:r>
        <w:t>gestation;</w:t>
      </w:r>
      <w:proofErr w:type="gramEnd"/>
      <w:r>
        <w:t xml:space="preserve"> or during the littering </w:t>
      </w:r>
      <w:r w:rsidR="00B902E4">
        <w:t>phase. The dose given was 2.59 x</w:t>
      </w:r>
      <w:r>
        <w:t xml:space="preserve"> 10</w:t>
      </w:r>
      <w:r w:rsidRPr="003075DE">
        <w:rPr>
          <w:vertAlign w:val="superscript"/>
        </w:rPr>
        <w:t>10</w:t>
      </w:r>
      <w:r w:rsidRPr="00B902E4">
        <w:t xml:space="preserve"> </w:t>
      </w:r>
      <w:r>
        <w:t xml:space="preserve">viral particles per dose, which is estimated to be approximately </w:t>
      </w:r>
      <w:proofErr w:type="gramStart"/>
      <w:r>
        <w:t>906.5 fold</w:t>
      </w:r>
      <w:proofErr w:type="gramEnd"/>
      <w:r>
        <w:t xml:space="preserve"> the human dose. </w:t>
      </w:r>
      <w:r w:rsidR="00B902E4">
        <w:t>Dams produced an</w:t>
      </w:r>
      <w:r w:rsidR="007432AB">
        <w:t xml:space="preserve"> anti-spike</w:t>
      </w:r>
      <w:r>
        <w:t xml:space="preserve"> glyc</w:t>
      </w:r>
      <w:r w:rsidR="00CB05FC">
        <w:t xml:space="preserve">oprotein immune response. The </w:t>
      </w:r>
      <w:proofErr w:type="spellStart"/>
      <w:r w:rsidR="00CB05FC">
        <w:t>f</w:t>
      </w:r>
      <w:r>
        <w:t>etuses</w:t>
      </w:r>
      <w:proofErr w:type="spellEnd"/>
      <w:r>
        <w:t xml:space="preserve"> and pups were seropositive, indicative of </w:t>
      </w:r>
      <w:r w:rsidR="007432AB">
        <w:t>placental and lactational anti-spike</w:t>
      </w:r>
      <w:r>
        <w:t xml:space="preserve"> glycoprotein activity. There were no abnormal effects on female reproduction, </w:t>
      </w:r>
      <w:proofErr w:type="spellStart"/>
      <w:r>
        <w:t>fetal</w:t>
      </w:r>
      <w:proofErr w:type="spellEnd"/>
      <w:r>
        <w:t xml:space="preserve"> or pup survival and no abnormal gross pathology findings in pups or dams in either phase.</w:t>
      </w:r>
    </w:p>
    <w:p w14:paraId="716062C7" w14:textId="16187807" w:rsidR="008E7846" w:rsidRDefault="00D84D93" w:rsidP="00B833F8">
      <w:r>
        <w:t>A mouse study of embryofetal development is ongoing.</w:t>
      </w:r>
    </w:p>
    <w:p w14:paraId="43C163EF" w14:textId="6F6DDA4B" w:rsidR="00CE0E8A" w:rsidRDefault="00CE0E8A" w:rsidP="00D2619F">
      <w:pPr>
        <w:pStyle w:val="Heading4"/>
        <w:pageBreakBefore/>
      </w:pPr>
      <w:r>
        <w:lastRenderedPageBreak/>
        <w:t>Nonclinical conclusions and recommendation</w:t>
      </w:r>
    </w:p>
    <w:p w14:paraId="0C90ACC2" w14:textId="1CCA99DE" w:rsidR="00CE0E8A" w:rsidRDefault="00CE0E8A" w:rsidP="00B833F8">
      <w:r>
        <w:t>The following conclusions and recommendations were outlined in the nonclinical evaluation report:</w:t>
      </w:r>
    </w:p>
    <w:p w14:paraId="2AFDDB69" w14:textId="6DFB43AF" w:rsidR="00CE0E8A" w:rsidRPr="00AA2D20" w:rsidRDefault="00CE0E8A" w:rsidP="00CE0E8A">
      <w:pPr>
        <w:pStyle w:val="ListBullet"/>
        <w:rPr>
          <w:kern w:val="2"/>
        </w:rPr>
      </w:pPr>
      <w:r w:rsidRPr="00AA2D20">
        <w:t>Primary pharmacology studies indicate the vaccine elicits both neutrali</w:t>
      </w:r>
      <w:r>
        <w:t>s</w:t>
      </w:r>
      <w:r w:rsidRPr="00AA2D20">
        <w:t>ing antibody and cellular i</w:t>
      </w:r>
      <w:r>
        <w:t>mmune responses to the spike</w:t>
      </w:r>
      <w:r w:rsidRPr="00AA2D20">
        <w:t xml:space="preserve"> antigen in </w:t>
      </w:r>
      <w:r>
        <w:t>animal models.</w:t>
      </w:r>
    </w:p>
    <w:p w14:paraId="67D71313" w14:textId="4E0D9569" w:rsidR="00CE0E8A" w:rsidRPr="00AA2D20" w:rsidRDefault="00CE0E8A" w:rsidP="00CE0E8A">
      <w:pPr>
        <w:pStyle w:val="ListBullet"/>
        <w:rPr>
          <w:kern w:val="2"/>
        </w:rPr>
      </w:pPr>
      <w:r w:rsidRPr="00AA2D20">
        <w:t xml:space="preserve">Antibodies generally declined quickly over 2 weeks after the </w:t>
      </w:r>
      <w:r w:rsidR="00F87618">
        <w:t xml:space="preserve">peak response to the </w:t>
      </w:r>
      <w:r>
        <w:t>booster</w:t>
      </w:r>
      <w:r w:rsidRPr="00AA2D20">
        <w:t xml:space="preserve"> dose</w:t>
      </w:r>
      <w:r>
        <w:t xml:space="preserve"> of</w:t>
      </w:r>
      <w:r w:rsidRPr="00AA2D20">
        <w:t xml:space="preserve"> AZD1222</w:t>
      </w:r>
      <w:r>
        <w:t>.</w:t>
      </w:r>
      <w:r w:rsidRPr="00AA2D20">
        <w:t xml:space="preserve"> </w:t>
      </w:r>
      <w:r>
        <w:t>L</w:t>
      </w:r>
      <w:r w:rsidRPr="00AA2D20">
        <w:t>ong term immunity</w:t>
      </w:r>
      <w:r>
        <w:t xml:space="preserve"> was not assessed in nonclinical studies</w:t>
      </w:r>
      <w:r w:rsidRPr="00AA2D20">
        <w:t>.</w:t>
      </w:r>
    </w:p>
    <w:p w14:paraId="4103A821" w14:textId="0F46610E" w:rsidR="00CE0E8A" w:rsidRPr="003639C9" w:rsidRDefault="00CE0E8A" w:rsidP="00CE0E8A">
      <w:pPr>
        <w:pStyle w:val="ListBullet"/>
        <w:rPr>
          <w:kern w:val="2"/>
        </w:rPr>
      </w:pPr>
      <w:r w:rsidRPr="00B65521">
        <w:t>Immunogenicity of AZD1222 might decrease with repeated vaccination due to induction of anti-vector antibodies</w:t>
      </w:r>
      <w:r>
        <w:t>.</w:t>
      </w:r>
    </w:p>
    <w:p w14:paraId="4455C6DD" w14:textId="77777777" w:rsidR="00CE0E8A" w:rsidRPr="003142FA" w:rsidRDefault="00CE0E8A" w:rsidP="00CE0E8A">
      <w:pPr>
        <w:pStyle w:val="ListBullet"/>
        <w:rPr>
          <w:kern w:val="2"/>
        </w:rPr>
      </w:pPr>
      <w:r>
        <w:t xml:space="preserve">New variants are continuously emerging and require testing to confirm effective immunity and protection </w:t>
      </w:r>
      <w:r w:rsidRPr="003142FA">
        <w:t>by AZD1222.</w:t>
      </w:r>
    </w:p>
    <w:p w14:paraId="29BAF410" w14:textId="77777777" w:rsidR="00CE0E8A" w:rsidRPr="003142FA" w:rsidRDefault="00CE0E8A" w:rsidP="00CE0E8A">
      <w:pPr>
        <w:pStyle w:val="ListBullet"/>
        <w:rPr>
          <w:kern w:val="2"/>
        </w:rPr>
      </w:pPr>
      <w:r w:rsidRPr="003142FA">
        <w:rPr>
          <w:kern w:val="2"/>
        </w:rPr>
        <w:t>The ChAdOx1 vector is expected to have negligible risks of integrating into the human genome or recombination with human adenoviruses.</w:t>
      </w:r>
    </w:p>
    <w:p w14:paraId="0431D33F" w14:textId="4F46340D" w:rsidR="00CE0E8A" w:rsidRPr="003142FA" w:rsidRDefault="00CE0E8A" w:rsidP="00D2619F">
      <w:pPr>
        <w:pStyle w:val="ListBullet"/>
        <w:ind w:right="-994"/>
        <w:rPr>
          <w:kern w:val="2"/>
        </w:rPr>
      </w:pPr>
      <w:r w:rsidRPr="003142FA">
        <w:t xml:space="preserve">Repeat dose toxicity studies with the proposed vaccine in mice raised no safety issues. </w:t>
      </w:r>
      <w:r w:rsidRPr="003142FA">
        <w:rPr>
          <w:kern w:val="2"/>
        </w:rPr>
        <w:t>Treatment-related findings were limited to (reversible) acute inflammation at the in</w:t>
      </w:r>
      <w:r>
        <w:rPr>
          <w:kern w:val="2"/>
        </w:rPr>
        <w:t>jection sites.</w:t>
      </w:r>
    </w:p>
    <w:p w14:paraId="0681CBAA" w14:textId="3AC48BF4" w:rsidR="00CE0E8A" w:rsidRDefault="00CE0E8A" w:rsidP="00CE0E8A">
      <w:pPr>
        <w:pStyle w:val="ListBullet"/>
      </w:pPr>
      <w:r w:rsidRPr="003142FA">
        <w:rPr>
          <w:kern w:val="2"/>
        </w:rPr>
        <w:t xml:space="preserve">A reproductive toxicity study is currently ongoing and therefore </w:t>
      </w:r>
      <w:r>
        <w:t>Pregnancy C</w:t>
      </w:r>
      <w:r w:rsidRPr="003142FA">
        <w:t xml:space="preserve">ategory B2 is </w:t>
      </w:r>
      <w:r>
        <w:t>considered acceptable.</w:t>
      </w:r>
      <w:bookmarkStart w:id="43" w:name="_Ref63172921"/>
      <w:r>
        <w:rPr>
          <w:rStyle w:val="FootnoteReference"/>
        </w:rPr>
        <w:footnoteReference w:id="16"/>
      </w:r>
      <w:bookmarkEnd w:id="43"/>
      <w:r>
        <w:t xml:space="preserve"> Without adequate assessment of effects on embryofetal development, this vaccine is not recommended for use in pregnant women.</w:t>
      </w:r>
    </w:p>
    <w:p w14:paraId="3C6EFFF1" w14:textId="5803EE6F" w:rsidR="00CE0E8A" w:rsidRPr="00826472" w:rsidRDefault="00CE0E8A" w:rsidP="00D2619F">
      <w:pPr>
        <w:pStyle w:val="ListBullet"/>
        <w:ind w:right="-427"/>
        <w:rPr>
          <w:kern w:val="2"/>
        </w:rPr>
      </w:pPr>
      <w:r w:rsidRPr="00826472">
        <w:t>There are</w:t>
      </w:r>
      <w:r>
        <w:t xml:space="preserve"> no</w:t>
      </w:r>
      <w:r w:rsidRPr="00826472">
        <w:t xml:space="preserve"> nonclinical objections to the provisional registration of the vaccine</w:t>
      </w:r>
      <w:r>
        <w:t>, provided efficacy of the prime-boost regimen has been satisfactorily addressed by clinical studies</w:t>
      </w:r>
      <w:r w:rsidRPr="00826472">
        <w:t>.</w:t>
      </w:r>
    </w:p>
    <w:p w14:paraId="237D9E5C" w14:textId="23010E06" w:rsidR="00CE0E8A" w:rsidRDefault="00CE0E8A" w:rsidP="00CE0E8A">
      <w:pPr>
        <w:pStyle w:val="ListBullet"/>
      </w:pPr>
      <w:r w:rsidRPr="000C31A6">
        <w:rPr>
          <w:kern w:val="2"/>
        </w:rPr>
        <w:t xml:space="preserve">The </w:t>
      </w:r>
      <w:r>
        <w:rPr>
          <w:kern w:val="2"/>
        </w:rPr>
        <w:t xml:space="preserve">proposed nonclinical statements in the </w:t>
      </w:r>
      <w:r w:rsidRPr="000C31A6">
        <w:rPr>
          <w:kern w:val="2"/>
        </w:rPr>
        <w:t xml:space="preserve">draft </w:t>
      </w:r>
      <w:r>
        <w:rPr>
          <w:kern w:val="2"/>
        </w:rPr>
        <w:t>PI</w:t>
      </w:r>
      <w:r w:rsidRPr="000C31A6">
        <w:rPr>
          <w:kern w:val="2"/>
        </w:rPr>
        <w:t xml:space="preserve"> </w:t>
      </w:r>
      <w:r>
        <w:rPr>
          <w:kern w:val="2"/>
        </w:rPr>
        <w:t>are acceptable.</w:t>
      </w:r>
    </w:p>
    <w:p w14:paraId="21D45FE7" w14:textId="4B8453BA" w:rsidR="00CE0E8A" w:rsidRDefault="00CE0E8A" w:rsidP="00CE0E8A">
      <w:pPr>
        <w:pStyle w:val="Heading4"/>
      </w:pPr>
      <w:r>
        <w:t>Proposed nonclinical conditions of registration</w:t>
      </w:r>
    </w:p>
    <w:p w14:paraId="2E8CDBD7" w14:textId="20CC67D0" w:rsidR="00CE0E8A" w:rsidRDefault="00CE0E8A" w:rsidP="00B833F8">
      <w:r>
        <w:t>The following nonclinical post-approval commitments were proposed:</w:t>
      </w:r>
    </w:p>
    <w:p w14:paraId="0F0797C4" w14:textId="1EA5A317" w:rsidR="00CE0E8A" w:rsidRDefault="00CE0E8A" w:rsidP="00CE0E8A">
      <w:pPr>
        <w:pStyle w:val="ListBullet"/>
      </w:pPr>
      <w:r>
        <w:t>To provide the AZD1222 tissue distribution study (Study 514559) report.</w:t>
      </w:r>
    </w:p>
    <w:p w14:paraId="66157ECD" w14:textId="0C3DC773" w:rsidR="00CE0E8A" w:rsidRDefault="00CE0E8A" w:rsidP="00CE0E8A">
      <w:pPr>
        <w:pStyle w:val="ListBullet"/>
      </w:pPr>
      <w:r>
        <w:t>To provide the AZD1222 development and reproductive study (Study 490843) report.</w:t>
      </w:r>
    </w:p>
    <w:p w14:paraId="19BA6142" w14:textId="77777777" w:rsidR="008E7846" w:rsidRDefault="008E7846" w:rsidP="008E7846">
      <w:pPr>
        <w:pStyle w:val="Heading3"/>
      </w:pPr>
      <w:bookmarkStart w:id="44" w:name="_Toc247691530"/>
      <w:bookmarkStart w:id="45" w:name="_Toc314842513"/>
      <w:bookmarkStart w:id="46" w:name="_Toc64365647"/>
      <w:r>
        <w:t>Clinical</w:t>
      </w:r>
      <w:bookmarkEnd w:id="44"/>
      <w:bookmarkEnd w:id="45"/>
      <w:bookmarkEnd w:id="46"/>
    </w:p>
    <w:p w14:paraId="1DE7203E" w14:textId="454EC29D" w:rsidR="00922581" w:rsidRDefault="00922581" w:rsidP="00D2619F">
      <w:pPr>
        <w:ind w:right="-143"/>
      </w:pPr>
      <w:bookmarkStart w:id="47" w:name="_Toc314842514"/>
      <w:r>
        <w:t xml:space="preserve">The clinical development programme investigating the efficacy, safety, and immunogenicity of AZD1222 for the prevention of COVID-19 consists </w:t>
      </w:r>
      <w:r w:rsidR="00CB05FC">
        <w:t>of nine</w:t>
      </w:r>
      <w:r w:rsidR="00054485">
        <w:t xml:space="preserve"> ongoing studies</w:t>
      </w:r>
      <w:r>
        <w:t>:</w:t>
      </w:r>
    </w:p>
    <w:p w14:paraId="70645400" w14:textId="6192AC65" w:rsidR="00922581" w:rsidRDefault="00D353B0" w:rsidP="00054485">
      <w:pPr>
        <w:pStyle w:val="ListBullet"/>
      </w:pPr>
      <w:r>
        <w:t xml:space="preserve">five </w:t>
      </w:r>
      <w:r w:rsidR="00922581">
        <w:t xml:space="preserve">University of Oxford-sponsored studies (Studies </w:t>
      </w:r>
      <w:r w:rsidR="00922581" w:rsidRPr="00922581">
        <w:t>COV001</w:t>
      </w:r>
      <w:r w:rsidR="00922581">
        <w:t>, COV002, COV003, COV004 and COV005</w:t>
      </w:r>
      <w:proofErr w:type="gramStart"/>
      <w:r w:rsidR="00922581">
        <w:t>)</w:t>
      </w:r>
      <w:r>
        <w:t>;</w:t>
      </w:r>
      <w:proofErr w:type="gramEnd"/>
    </w:p>
    <w:p w14:paraId="560813D4" w14:textId="4AE563C1" w:rsidR="00922581" w:rsidRDefault="00D353B0" w:rsidP="00054485">
      <w:pPr>
        <w:pStyle w:val="ListBullet"/>
      </w:pPr>
      <w:r>
        <w:t xml:space="preserve">three </w:t>
      </w:r>
      <w:r w:rsidR="00922581">
        <w:t xml:space="preserve">applicant-sponsored studies (Studies </w:t>
      </w:r>
      <w:r w:rsidR="00922581" w:rsidRPr="00922581">
        <w:t>D8110C00001</w:t>
      </w:r>
      <w:r w:rsidR="00922581">
        <w:t xml:space="preserve">, </w:t>
      </w:r>
      <w:r w:rsidR="00922581" w:rsidRPr="00922581">
        <w:t>D8111C00001</w:t>
      </w:r>
      <w:r w:rsidR="00922581">
        <w:t xml:space="preserve"> and </w:t>
      </w:r>
      <w:r w:rsidR="00922581" w:rsidRPr="00922581">
        <w:t>D8111C00002</w:t>
      </w:r>
      <w:r w:rsidR="00922581">
        <w:t>)</w:t>
      </w:r>
      <w:r>
        <w:t>;</w:t>
      </w:r>
      <w:r w:rsidR="00922581">
        <w:t xml:space="preserve"> and</w:t>
      </w:r>
    </w:p>
    <w:p w14:paraId="2CE1E530" w14:textId="7162CE4E" w:rsidR="00922581" w:rsidRDefault="00D353B0" w:rsidP="00054485">
      <w:pPr>
        <w:pStyle w:val="ListBullet"/>
      </w:pPr>
      <w:r>
        <w:t xml:space="preserve">one </w:t>
      </w:r>
      <w:r w:rsidR="00922581">
        <w:t xml:space="preserve">study sponsored by the Serum Institute of India/Indian Council of Medical Research (Study </w:t>
      </w:r>
      <w:r w:rsidR="00922581" w:rsidRPr="00922581">
        <w:t>ICMR/SIICOVISHIELD</w:t>
      </w:r>
      <w:r w:rsidR="00922581">
        <w:t>).</w:t>
      </w:r>
    </w:p>
    <w:p w14:paraId="7490675A" w14:textId="0FBA318B" w:rsidR="007C6335" w:rsidRDefault="007C6335" w:rsidP="007C6335">
      <w:r>
        <w:t xml:space="preserve">Studies </w:t>
      </w:r>
      <w:r w:rsidRPr="00922581">
        <w:t>COV001</w:t>
      </w:r>
      <w:r>
        <w:t xml:space="preserve">, COV002, COV003 and COV005 contributed data to the submission </w:t>
      </w:r>
      <w:r w:rsidR="008E40EE">
        <w:t xml:space="preserve">and are </w:t>
      </w:r>
      <w:r>
        <w:t xml:space="preserve">described in this </w:t>
      </w:r>
      <w:proofErr w:type="spellStart"/>
      <w:r>
        <w:t>AusPAR</w:t>
      </w:r>
      <w:proofErr w:type="spellEnd"/>
      <w:r>
        <w:t>.</w:t>
      </w:r>
    </w:p>
    <w:p w14:paraId="7BCF53DB" w14:textId="77777777" w:rsidR="00766F89" w:rsidRDefault="00766F89" w:rsidP="00766F89">
      <w:pPr>
        <w:pStyle w:val="Heading4"/>
      </w:pPr>
      <w:r>
        <w:lastRenderedPageBreak/>
        <w:t>Pharmacology</w:t>
      </w:r>
    </w:p>
    <w:p w14:paraId="5BD0FD8E" w14:textId="77777777" w:rsidR="00D84D93" w:rsidRPr="00766F89" w:rsidRDefault="00B833F8" w:rsidP="00766F89">
      <w:pPr>
        <w:pStyle w:val="Heading5"/>
      </w:pPr>
      <w:r w:rsidRPr="00766F89">
        <w:t>Pharmacodynamics</w:t>
      </w:r>
    </w:p>
    <w:p w14:paraId="7B9C1A4E" w14:textId="6C9DFDCA" w:rsidR="00D84D93" w:rsidRDefault="00D84D93" w:rsidP="00D84D93">
      <w:r>
        <w:t xml:space="preserve">Vaccination with COVID-19 </w:t>
      </w:r>
      <w:r w:rsidR="003D5889">
        <w:t xml:space="preserve">Vaccine </w:t>
      </w:r>
      <w:r>
        <w:t xml:space="preserve">AstraZeneca induces a cellular </w:t>
      </w:r>
      <w:r w:rsidR="008E40EE">
        <w:t>(</w:t>
      </w:r>
      <w:r w:rsidR="002D3B9B">
        <w:t>T</w:t>
      </w:r>
      <w:r w:rsidR="008E40EE">
        <w:t xml:space="preserve"> cell) </w:t>
      </w:r>
      <w:r>
        <w:t xml:space="preserve">and humoral </w:t>
      </w:r>
      <w:r w:rsidR="00221A34">
        <w:t>(</w:t>
      </w:r>
      <w:r w:rsidR="002D3B9B">
        <w:t>B</w:t>
      </w:r>
      <w:r w:rsidR="00221A34">
        <w:t> </w:t>
      </w:r>
      <w:r w:rsidR="008E40EE">
        <w:t xml:space="preserve">cell) </w:t>
      </w:r>
      <w:r>
        <w:t>immune response.</w:t>
      </w:r>
    </w:p>
    <w:p w14:paraId="2EAA2DDB" w14:textId="1F6A1711" w:rsidR="00D84D93" w:rsidRDefault="00D84D93" w:rsidP="00D84D93">
      <w:r>
        <w:t>There is no established immunological correlate of protection ag</w:t>
      </w:r>
      <w:r w:rsidR="000C402A">
        <w:t xml:space="preserve">ainst SARS-CoV-2. The </w:t>
      </w:r>
      <w:r w:rsidR="008834DD">
        <w:t>neutralis</w:t>
      </w:r>
      <w:r>
        <w:t>ing antibody against the spike protein of SARS-CoV-2 is likely to be the best surrogate marker of efficacy. In seropositive pat</w:t>
      </w:r>
      <w:r w:rsidR="007432AB">
        <w:t xml:space="preserve">ients, antibodies to </w:t>
      </w:r>
      <w:r w:rsidR="00B902E4">
        <w:t>the receptor binding domain</w:t>
      </w:r>
      <w:r w:rsidR="007432AB">
        <w:t>, anti-spike</w:t>
      </w:r>
      <w:r>
        <w:t xml:space="preserve"> antibodies and neutralising antibodies after a single standard dose were </w:t>
      </w:r>
      <w:proofErr w:type="gramStart"/>
      <w:r>
        <w:t>similar to</w:t>
      </w:r>
      <w:proofErr w:type="gramEnd"/>
      <w:r>
        <w:t xml:space="preserve"> tha</w:t>
      </w:r>
      <w:r w:rsidR="00B902E4">
        <w:t>t seen in convalescent plasma. These peaked at D</w:t>
      </w:r>
      <w:r>
        <w:t>ay 28</w:t>
      </w:r>
      <w:r w:rsidR="00B902E4">
        <w:t>,</w:t>
      </w:r>
      <w:r>
        <w:t xml:space="preserve"> then remained stable. In seronegative patients, there was a further increase in a</w:t>
      </w:r>
      <w:r w:rsidR="00B902E4">
        <w:t>ntibodies after a second dose. The spike</w:t>
      </w:r>
      <w:r>
        <w:t xml:space="preserve">-specific antibodies are biased towards </w:t>
      </w:r>
      <w:r w:rsidR="00B902E4">
        <w:t>immunoglobulin G (</w:t>
      </w:r>
      <w:r>
        <w:t>IgG</w:t>
      </w:r>
      <w:r w:rsidR="00B902E4">
        <w:t>)</w:t>
      </w:r>
      <w:r w:rsidR="00203124">
        <w:t xml:space="preserve"> subtype </w:t>
      </w:r>
      <w:r>
        <w:t>1 and IgG</w:t>
      </w:r>
      <w:r w:rsidR="00203124">
        <w:t xml:space="preserve"> subtype </w:t>
      </w:r>
      <w:r>
        <w:t>3.</w:t>
      </w:r>
    </w:p>
    <w:p w14:paraId="51ADE66D" w14:textId="2C0F965E" w:rsidR="00D84D93" w:rsidRDefault="00D84D93" w:rsidP="00D84D93">
      <w:r>
        <w:t xml:space="preserve">Cell mediated immunity was assessed by </w:t>
      </w:r>
      <w:r w:rsidR="00B902E4">
        <w:t>interferon gamma (</w:t>
      </w:r>
      <w:proofErr w:type="spellStart"/>
      <w:r w:rsidR="007847B1">
        <w:t>IFNγ</w:t>
      </w:r>
      <w:proofErr w:type="spellEnd"/>
      <w:r w:rsidR="00B902E4">
        <w:t>)</w:t>
      </w:r>
      <w:r w:rsidR="007847B1">
        <w:t xml:space="preserve"> </w:t>
      </w:r>
      <w:r w:rsidR="007847B1" w:rsidRPr="007847B1">
        <w:t xml:space="preserve">enzyme-linked </w:t>
      </w:r>
      <w:proofErr w:type="spellStart"/>
      <w:r w:rsidR="007847B1" w:rsidRPr="007847B1">
        <w:t>immunospot</w:t>
      </w:r>
      <w:proofErr w:type="spellEnd"/>
      <w:r w:rsidR="007847B1">
        <w:t xml:space="preserve"> and pan </w:t>
      </w:r>
      <w:r w:rsidR="007847B1" w:rsidRPr="007847B1">
        <w:t>intracellular cytokine staining</w:t>
      </w:r>
      <w:r w:rsidR="007847B1">
        <w:t xml:space="preserve"> assay. </w:t>
      </w:r>
      <w:proofErr w:type="spellStart"/>
      <w:r w:rsidR="007847B1">
        <w:t>IFNγ</w:t>
      </w:r>
      <w:proofErr w:type="spellEnd"/>
      <w:r>
        <w:t xml:space="preserve"> peak</w:t>
      </w:r>
      <w:r w:rsidR="00B902E4">
        <w:t>ed at D</w:t>
      </w:r>
      <w:r w:rsidR="007847B1">
        <w:t>ay </w:t>
      </w:r>
      <w:r>
        <w:t>14 and remained stable, with no further increase after a second dose.</w:t>
      </w:r>
    </w:p>
    <w:p w14:paraId="176DC276" w14:textId="23F6CA81" w:rsidR="00D84D93" w:rsidRPr="000537E7" w:rsidRDefault="00D84D93" w:rsidP="00D84D93">
      <w:r>
        <w:t>Anti-vector antibodies increased after the initial vaccination</w:t>
      </w:r>
      <w:r w:rsidR="007847B1">
        <w:t>,</w:t>
      </w:r>
      <w:r>
        <w:t xml:space="preserve"> with no further increase after the second dose. Limited data was available as to </w:t>
      </w:r>
      <w:r w:rsidR="007432AB">
        <w:t xml:space="preserve">how these affect antibodies to </w:t>
      </w:r>
      <w:r w:rsidR="007847B1">
        <w:t xml:space="preserve">the </w:t>
      </w:r>
      <w:r w:rsidR="007432AB">
        <w:t>spike protein.</w:t>
      </w:r>
    </w:p>
    <w:p w14:paraId="68C9DAB1" w14:textId="77777777" w:rsidR="00D84D93" w:rsidRPr="00766F89" w:rsidRDefault="00D84D93" w:rsidP="00766F89">
      <w:pPr>
        <w:pStyle w:val="Heading4"/>
      </w:pPr>
      <w:r w:rsidRPr="00766F89">
        <w:t>Efficacy</w:t>
      </w:r>
    </w:p>
    <w:p w14:paraId="479A6C5F" w14:textId="2A2E5CEC" w:rsidR="00D84D93" w:rsidRDefault="00DF15F2" w:rsidP="00D84D93">
      <w:r>
        <w:t>As outlined previously, t</w:t>
      </w:r>
      <w:r w:rsidR="00D84D93">
        <w:t>he clinical development p</w:t>
      </w:r>
      <w:r>
        <w:t>rogram for AZD1222 co</w:t>
      </w:r>
      <w:r w:rsidR="007847B1">
        <w:t>nsists of nine clinical studies. F</w:t>
      </w:r>
      <w:r>
        <w:t>our</w:t>
      </w:r>
      <w:r w:rsidR="00D84D93">
        <w:t xml:space="preserve"> of these </w:t>
      </w:r>
      <w:r>
        <w:t xml:space="preserve">studies </w:t>
      </w:r>
      <w:r w:rsidR="00D84D93">
        <w:t>were</w:t>
      </w:r>
      <w:r w:rsidR="003D5889">
        <w:t xml:space="preserve"> used in the interim analysis</w:t>
      </w:r>
      <w:r w:rsidR="00DC7F14">
        <w:t xml:space="preserve"> (4 November 2020)</w:t>
      </w:r>
      <w:r w:rsidR="003D5889">
        <w:t>.</w:t>
      </w:r>
      <w:r w:rsidR="002F087E">
        <w:t xml:space="preserve"> Table 3, shown below, summarises the characteristics of these studies.</w:t>
      </w:r>
    </w:p>
    <w:p w14:paraId="5F1A097B" w14:textId="07D0FE2B" w:rsidR="00054485" w:rsidRDefault="00DF15F2" w:rsidP="00800E2F">
      <w:pPr>
        <w:pStyle w:val="TableTitle"/>
      </w:pPr>
      <w:r>
        <w:t xml:space="preserve">Table </w:t>
      </w:r>
      <w:r w:rsidR="002D3B9B">
        <w:fldChar w:fldCharType="begin"/>
      </w:r>
      <w:r w:rsidR="002D3B9B">
        <w:instrText xml:space="preserve"> SEQ Table \* ARABIC </w:instrText>
      </w:r>
      <w:r w:rsidR="002D3B9B">
        <w:fldChar w:fldCharType="separate"/>
      </w:r>
      <w:r w:rsidR="001D05A6">
        <w:rPr>
          <w:noProof/>
        </w:rPr>
        <w:t>3</w:t>
      </w:r>
      <w:r w:rsidR="002D3B9B">
        <w:rPr>
          <w:noProof/>
        </w:rPr>
        <w:fldChar w:fldCharType="end"/>
      </w:r>
      <w:r>
        <w:t xml:space="preserve">: </w:t>
      </w:r>
      <w:r w:rsidR="00054485">
        <w:t>S</w:t>
      </w:r>
      <w:r w:rsidR="00054485" w:rsidRPr="00054485">
        <w:t xml:space="preserve">tudies included in the pooled </w:t>
      </w:r>
      <w:r w:rsidR="00054485">
        <w:t>efficacy analysis</w:t>
      </w:r>
    </w:p>
    <w:tbl>
      <w:tblPr>
        <w:tblStyle w:val="TableTGAblue"/>
        <w:tblW w:w="5000" w:type="pct"/>
        <w:tblLook w:val="04A0" w:firstRow="1" w:lastRow="0" w:firstColumn="1" w:lastColumn="0" w:noHBand="0" w:noVBand="1"/>
      </w:tblPr>
      <w:tblGrid>
        <w:gridCol w:w="1775"/>
        <w:gridCol w:w="1671"/>
        <w:gridCol w:w="1732"/>
        <w:gridCol w:w="1788"/>
        <w:gridCol w:w="1754"/>
      </w:tblGrid>
      <w:tr w:rsidR="00DD63A5" w:rsidRPr="00D178CE" w14:paraId="783911E4" w14:textId="77777777" w:rsidTr="00E96F97">
        <w:trPr>
          <w:cnfStyle w:val="100000000000" w:firstRow="1" w:lastRow="0" w:firstColumn="0" w:lastColumn="0" w:oddVBand="0" w:evenVBand="0" w:oddHBand="0" w:evenHBand="0" w:firstRowFirstColumn="0" w:firstRowLastColumn="0" w:lastRowFirstColumn="0" w:lastRowLastColumn="0"/>
          <w:trHeight w:val="523"/>
        </w:trPr>
        <w:tc>
          <w:tcPr>
            <w:tcW w:w="1018" w:type="pct"/>
          </w:tcPr>
          <w:p w14:paraId="57FE655B" w14:textId="3917E25B" w:rsidR="00C5339A" w:rsidRPr="00D178CE" w:rsidRDefault="00DD63A5" w:rsidP="009674B3">
            <w:pPr>
              <w:ind w:left="0"/>
              <w:rPr>
                <w:sz w:val="20"/>
                <w:szCs w:val="20"/>
              </w:rPr>
            </w:pPr>
            <w:r w:rsidRPr="00D178CE">
              <w:rPr>
                <w:sz w:val="20"/>
                <w:szCs w:val="20"/>
              </w:rPr>
              <w:t>Study</w:t>
            </w:r>
          </w:p>
        </w:tc>
        <w:tc>
          <w:tcPr>
            <w:tcW w:w="958" w:type="pct"/>
          </w:tcPr>
          <w:p w14:paraId="55834965" w14:textId="678C1FB9" w:rsidR="00C5339A" w:rsidRPr="00D178CE" w:rsidRDefault="00C5339A" w:rsidP="009674B3">
            <w:pPr>
              <w:ind w:left="0"/>
              <w:rPr>
                <w:sz w:val="20"/>
                <w:szCs w:val="20"/>
              </w:rPr>
            </w:pPr>
            <w:r w:rsidRPr="00D178CE">
              <w:rPr>
                <w:sz w:val="20"/>
                <w:szCs w:val="20"/>
              </w:rPr>
              <w:t>COV001</w:t>
            </w:r>
          </w:p>
        </w:tc>
        <w:tc>
          <w:tcPr>
            <w:tcW w:w="993" w:type="pct"/>
          </w:tcPr>
          <w:p w14:paraId="28A392C4" w14:textId="6D5AE46D" w:rsidR="00C5339A" w:rsidRPr="00D178CE" w:rsidRDefault="00C5339A" w:rsidP="009674B3">
            <w:pPr>
              <w:ind w:left="0"/>
              <w:rPr>
                <w:sz w:val="20"/>
                <w:szCs w:val="20"/>
              </w:rPr>
            </w:pPr>
            <w:r w:rsidRPr="00D178CE">
              <w:rPr>
                <w:sz w:val="20"/>
                <w:szCs w:val="20"/>
              </w:rPr>
              <w:t>COV002</w:t>
            </w:r>
          </w:p>
        </w:tc>
        <w:tc>
          <w:tcPr>
            <w:tcW w:w="1025" w:type="pct"/>
          </w:tcPr>
          <w:p w14:paraId="26423256" w14:textId="0E1A81BB" w:rsidR="00C5339A" w:rsidRPr="00D178CE" w:rsidRDefault="00C5339A" w:rsidP="009674B3">
            <w:pPr>
              <w:ind w:left="0"/>
              <w:rPr>
                <w:sz w:val="20"/>
                <w:szCs w:val="20"/>
              </w:rPr>
            </w:pPr>
            <w:r w:rsidRPr="00D178CE">
              <w:rPr>
                <w:sz w:val="20"/>
                <w:szCs w:val="20"/>
              </w:rPr>
              <w:t>COV003</w:t>
            </w:r>
          </w:p>
        </w:tc>
        <w:tc>
          <w:tcPr>
            <w:tcW w:w="1006" w:type="pct"/>
          </w:tcPr>
          <w:p w14:paraId="5491CB82" w14:textId="1411D2B4" w:rsidR="00C5339A" w:rsidRPr="00D178CE" w:rsidRDefault="00C5339A" w:rsidP="009674B3">
            <w:pPr>
              <w:ind w:left="0"/>
              <w:rPr>
                <w:sz w:val="20"/>
                <w:szCs w:val="20"/>
              </w:rPr>
            </w:pPr>
            <w:r w:rsidRPr="00D178CE">
              <w:rPr>
                <w:sz w:val="20"/>
                <w:szCs w:val="20"/>
              </w:rPr>
              <w:t>COV005</w:t>
            </w:r>
          </w:p>
        </w:tc>
      </w:tr>
      <w:tr w:rsidR="002F087E" w:rsidRPr="00D178CE" w14:paraId="48651031" w14:textId="77777777" w:rsidTr="00A8128F">
        <w:tc>
          <w:tcPr>
            <w:tcW w:w="1018" w:type="pct"/>
          </w:tcPr>
          <w:p w14:paraId="1474FBFF" w14:textId="3941D962" w:rsidR="00FA51AA" w:rsidRPr="00D178CE" w:rsidRDefault="00DD63A5" w:rsidP="009674B3">
            <w:pPr>
              <w:keepNext/>
              <w:ind w:left="0" w:right="0"/>
              <w:rPr>
                <w:sz w:val="20"/>
                <w:szCs w:val="20"/>
              </w:rPr>
            </w:pPr>
            <w:r w:rsidRPr="00D178CE">
              <w:rPr>
                <w:sz w:val="20"/>
                <w:szCs w:val="20"/>
              </w:rPr>
              <w:t>Trial ID</w:t>
            </w:r>
          </w:p>
        </w:tc>
        <w:tc>
          <w:tcPr>
            <w:tcW w:w="958" w:type="pct"/>
          </w:tcPr>
          <w:p w14:paraId="66F40EEC" w14:textId="42AAAFF9" w:rsidR="00FA51AA" w:rsidRPr="00D178CE" w:rsidRDefault="00FA51AA" w:rsidP="009674B3">
            <w:pPr>
              <w:ind w:left="0" w:right="0"/>
              <w:rPr>
                <w:sz w:val="20"/>
                <w:szCs w:val="20"/>
              </w:rPr>
            </w:pPr>
            <w:r w:rsidRPr="00D178CE">
              <w:rPr>
                <w:sz w:val="20"/>
                <w:szCs w:val="20"/>
              </w:rPr>
              <w:t>NCT04324606</w:t>
            </w:r>
          </w:p>
        </w:tc>
        <w:tc>
          <w:tcPr>
            <w:tcW w:w="993" w:type="pct"/>
          </w:tcPr>
          <w:p w14:paraId="3BED50CC" w14:textId="72E866C5" w:rsidR="00FA51AA" w:rsidRPr="00D178CE" w:rsidRDefault="002F087E" w:rsidP="009674B3">
            <w:pPr>
              <w:ind w:left="0" w:right="0"/>
              <w:rPr>
                <w:sz w:val="20"/>
                <w:szCs w:val="20"/>
              </w:rPr>
            </w:pPr>
            <w:r w:rsidRPr="00D178CE">
              <w:rPr>
                <w:sz w:val="20"/>
                <w:szCs w:val="20"/>
              </w:rPr>
              <w:t>NCT04400838</w:t>
            </w:r>
          </w:p>
        </w:tc>
        <w:tc>
          <w:tcPr>
            <w:tcW w:w="1025" w:type="pct"/>
          </w:tcPr>
          <w:p w14:paraId="1A416C84" w14:textId="714CBC2F" w:rsidR="00FA51AA" w:rsidRPr="00D178CE" w:rsidRDefault="00FA51AA" w:rsidP="009674B3">
            <w:pPr>
              <w:ind w:left="0" w:right="0"/>
              <w:rPr>
                <w:sz w:val="20"/>
                <w:szCs w:val="20"/>
              </w:rPr>
            </w:pPr>
            <w:r w:rsidRPr="00D178CE">
              <w:rPr>
                <w:sz w:val="20"/>
                <w:szCs w:val="20"/>
              </w:rPr>
              <w:t>ISRCTN89951424</w:t>
            </w:r>
          </w:p>
        </w:tc>
        <w:tc>
          <w:tcPr>
            <w:tcW w:w="1006" w:type="pct"/>
          </w:tcPr>
          <w:p w14:paraId="5AECC597" w14:textId="14C79C24" w:rsidR="00FA51AA" w:rsidRPr="00D178CE" w:rsidRDefault="00FA51AA" w:rsidP="009674B3">
            <w:pPr>
              <w:ind w:left="0" w:right="0"/>
              <w:rPr>
                <w:sz w:val="20"/>
                <w:szCs w:val="20"/>
              </w:rPr>
            </w:pPr>
            <w:r w:rsidRPr="00D178CE">
              <w:rPr>
                <w:sz w:val="20"/>
                <w:szCs w:val="20"/>
              </w:rPr>
              <w:t>NCT04444674</w:t>
            </w:r>
          </w:p>
        </w:tc>
      </w:tr>
      <w:tr w:rsidR="002F087E" w:rsidRPr="00D178CE" w14:paraId="01D080A2" w14:textId="77777777" w:rsidTr="00A8128F">
        <w:tc>
          <w:tcPr>
            <w:tcW w:w="1018" w:type="pct"/>
          </w:tcPr>
          <w:p w14:paraId="00AA452F" w14:textId="25CC9250" w:rsidR="00FA51AA" w:rsidRPr="00D178CE" w:rsidRDefault="00DD63A5" w:rsidP="009674B3">
            <w:pPr>
              <w:keepNext/>
              <w:ind w:left="0" w:right="0"/>
              <w:rPr>
                <w:sz w:val="20"/>
                <w:szCs w:val="20"/>
              </w:rPr>
            </w:pPr>
            <w:r w:rsidRPr="00D178CE">
              <w:rPr>
                <w:sz w:val="20"/>
                <w:szCs w:val="20"/>
              </w:rPr>
              <w:t>Region</w:t>
            </w:r>
          </w:p>
        </w:tc>
        <w:tc>
          <w:tcPr>
            <w:tcW w:w="958" w:type="pct"/>
          </w:tcPr>
          <w:p w14:paraId="1F2CD938" w14:textId="2B80D086" w:rsidR="00FA51AA" w:rsidRPr="00D178CE" w:rsidRDefault="00FA51AA" w:rsidP="009674B3">
            <w:pPr>
              <w:ind w:left="0" w:right="0"/>
              <w:rPr>
                <w:sz w:val="20"/>
                <w:szCs w:val="20"/>
              </w:rPr>
            </w:pPr>
            <w:r w:rsidRPr="00D178CE">
              <w:rPr>
                <w:sz w:val="20"/>
                <w:szCs w:val="20"/>
              </w:rPr>
              <w:t>UK</w:t>
            </w:r>
          </w:p>
        </w:tc>
        <w:tc>
          <w:tcPr>
            <w:tcW w:w="993" w:type="pct"/>
          </w:tcPr>
          <w:p w14:paraId="1695F537" w14:textId="1C9075C3" w:rsidR="00FA51AA" w:rsidRPr="00D178CE" w:rsidRDefault="00FA51AA" w:rsidP="009674B3">
            <w:pPr>
              <w:ind w:left="0" w:right="0"/>
              <w:rPr>
                <w:sz w:val="20"/>
                <w:szCs w:val="20"/>
              </w:rPr>
            </w:pPr>
            <w:r w:rsidRPr="00D178CE">
              <w:rPr>
                <w:sz w:val="20"/>
                <w:szCs w:val="20"/>
              </w:rPr>
              <w:t>UK</w:t>
            </w:r>
          </w:p>
        </w:tc>
        <w:tc>
          <w:tcPr>
            <w:tcW w:w="1025" w:type="pct"/>
          </w:tcPr>
          <w:p w14:paraId="11ED02FB" w14:textId="34292E52" w:rsidR="00FA51AA" w:rsidRPr="00D178CE" w:rsidRDefault="00FA51AA" w:rsidP="009674B3">
            <w:pPr>
              <w:ind w:left="0" w:right="0"/>
              <w:rPr>
                <w:sz w:val="20"/>
                <w:szCs w:val="20"/>
              </w:rPr>
            </w:pPr>
            <w:r w:rsidRPr="00D178CE">
              <w:rPr>
                <w:sz w:val="20"/>
                <w:szCs w:val="20"/>
              </w:rPr>
              <w:t>Brazil</w:t>
            </w:r>
          </w:p>
        </w:tc>
        <w:tc>
          <w:tcPr>
            <w:tcW w:w="1006" w:type="pct"/>
          </w:tcPr>
          <w:p w14:paraId="4C9817A9" w14:textId="437D8864" w:rsidR="00FA51AA" w:rsidRPr="00D178CE" w:rsidRDefault="00FA51AA" w:rsidP="009674B3">
            <w:pPr>
              <w:ind w:left="0" w:right="0"/>
              <w:rPr>
                <w:sz w:val="20"/>
                <w:szCs w:val="20"/>
              </w:rPr>
            </w:pPr>
            <w:r w:rsidRPr="00D178CE">
              <w:rPr>
                <w:sz w:val="20"/>
                <w:szCs w:val="20"/>
              </w:rPr>
              <w:t>South Africa</w:t>
            </w:r>
          </w:p>
        </w:tc>
      </w:tr>
      <w:tr w:rsidR="00DD63A5" w:rsidRPr="00D178CE" w14:paraId="57CFE0CB" w14:textId="77777777" w:rsidTr="00A8128F">
        <w:tc>
          <w:tcPr>
            <w:tcW w:w="1018" w:type="pct"/>
          </w:tcPr>
          <w:p w14:paraId="40704599" w14:textId="4B162A55" w:rsidR="00C5339A" w:rsidRPr="00D178CE" w:rsidRDefault="00C5339A" w:rsidP="009674B3">
            <w:pPr>
              <w:keepNext/>
              <w:ind w:left="0"/>
              <w:rPr>
                <w:sz w:val="20"/>
                <w:szCs w:val="20"/>
              </w:rPr>
            </w:pPr>
            <w:r w:rsidRPr="00D178CE">
              <w:rPr>
                <w:sz w:val="20"/>
                <w:szCs w:val="20"/>
              </w:rPr>
              <w:t>Sponsor</w:t>
            </w:r>
          </w:p>
        </w:tc>
        <w:tc>
          <w:tcPr>
            <w:tcW w:w="958" w:type="pct"/>
          </w:tcPr>
          <w:p w14:paraId="2E2ADC78" w14:textId="2C62EB3B" w:rsidR="00C5339A" w:rsidRPr="00D178CE" w:rsidRDefault="00C5339A" w:rsidP="009674B3">
            <w:pPr>
              <w:keepNext/>
              <w:ind w:left="0"/>
              <w:rPr>
                <w:sz w:val="20"/>
                <w:szCs w:val="20"/>
              </w:rPr>
            </w:pPr>
            <w:r w:rsidRPr="00D178CE">
              <w:rPr>
                <w:sz w:val="20"/>
                <w:szCs w:val="20"/>
              </w:rPr>
              <w:t>University of Oxford</w:t>
            </w:r>
          </w:p>
        </w:tc>
        <w:tc>
          <w:tcPr>
            <w:tcW w:w="993" w:type="pct"/>
          </w:tcPr>
          <w:p w14:paraId="3D58B1EC" w14:textId="69E6F393" w:rsidR="00C5339A" w:rsidRPr="00D178CE" w:rsidRDefault="00C5339A" w:rsidP="009674B3">
            <w:pPr>
              <w:keepNext/>
              <w:ind w:left="0"/>
              <w:rPr>
                <w:sz w:val="20"/>
                <w:szCs w:val="20"/>
              </w:rPr>
            </w:pPr>
            <w:r w:rsidRPr="00D178CE">
              <w:rPr>
                <w:sz w:val="20"/>
                <w:szCs w:val="20"/>
              </w:rPr>
              <w:t>University of Oxford</w:t>
            </w:r>
          </w:p>
        </w:tc>
        <w:tc>
          <w:tcPr>
            <w:tcW w:w="1025" w:type="pct"/>
          </w:tcPr>
          <w:p w14:paraId="0EAE8BC5" w14:textId="5C1B30A2" w:rsidR="00C5339A" w:rsidRPr="00D178CE" w:rsidRDefault="00C5339A" w:rsidP="009674B3">
            <w:pPr>
              <w:keepNext/>
              <w:ind w:left="0"/>
              <w:rPr>
                <w:sz w:val="20"/>
                <w:szCs w:val="20"/>
              </w:rPr>
            </w:pPr>
            <w:r w:rsidRPr="00D178CE">
              <w:rPr>
                <w:sz w:val="20"/>
                <w:szCs w:val="20"/>
              </w:rPr>
              <w:t>University of Oxford</w:t>
            </w:r>
          </w:p>
        </w:tc>
        <w:tc>
          <w:tcPr>
            <w:tcW w:w="1006" w:type="pct"/>
          </w:tcPr>
          <w:p w14:paraId="5934C0A8" w14:textId="1A2595B7" w:rsidR="00C5339A" w:rsidRPr="00D178CE" w:rsidRDefault="00C5339A" w:rsidP="009674B3">
            <w:pPr>
              <w:keepNext/>
              <w:ind w:left="0"/>
              <w:rPr>
                <w:sz w:val="20"/>
                <w:szCs w:val="20"/>
              </w:rPr>
            </w:pPr>
            <w:r w:rsidRPr="00D178CE">
              <w:rPr>
                <w:sz w:val="20"/>
                <w:szCs w:val="20"/>
              </w:rPr>
              <w:t>University of Oxford</w:t>
            </w:r>
          </w:p>
        </w:tc>
      </w:tr>
      <w:tr w:rsidR="00DD63A5" w:rsidRPr="00D178CE" w14:paraId="4D262D3F" w14:textId="77777777" w:rsidTr="00A8128F">
        <w:tc>
          <w:tcPr>
            <w:tcW w:w="1018" w:type="pct"/>
          </w:tcPr>
          <w:p w14:paraId="5CEFBDEF" w14:textId="2EED3F4F" w:rsidR="00C5339A" w:rsidRPr="00D178CE" w:rsidRDefault="00C5339A" w:rsidP="009674B3">
            <w:pPr>
              <w:keepNext/>
              <w:ind w:left="0"/>
              <w:rPr>
                <w:sz w:val="20"/>
                <w:szCs w:val="20"/>
              </w:rPr>
            </w:pPr>
            <w:r w:rsidRPr="00D178CE">
              <w:rPr>
                <w:sz w:val="20"/>
                <w:szCs w:val="20"/>
              </w:rPr>
              <w:t>Start Date / Status</w:t>
            </w:r>
          </w:p>
        </w:tc>
        <w:tc>
          <w:tcPr>
            <w:tcW w:w="958" w:type="pct"/>
          </w:tcPr>
          <w:p w14:paraId="74567321" w14:textId="5EA28B85" w:rsidR="00C5339A" w:rsidRPr="00D178CE" w:rsidRDefault="00C5339A" w:rsidP="009674B3">
            <w:pPr>
              <w:keepNext/>
              <w:ind w:left="0"/>
              <w:rPr>
                <w:sz w:val="20"/>
                <w:szCs w:val="20"/>
              </w:rPr>
            </w:pPr>
            <w:r w:rsidRPr="00D178CE">
              <w:rPr>
                <w:sz w:val="20"/>
                <w:szCs w:val="20"/>
              </w:rPr>
              <w:t>April 2020 / Ongoing</w:t>
            </w:r>
          </w:p>
        </w:tc>
        <w:tc>
          <w:tcPr>
            <w:tcW w:w="993" w:type="pct"/>
          </w:tcPr>
          <w:p w14:paraId="338BBC1D" w14:textId="1CCF54A5" w:rsidR="00C5339A" w:rsidRPr="00D178CE" w:rsidRDefault="00C5339A" w:rsidP="009674B3">
            <w:pPr>
              <w:keepNext/>
              <w:ind w:left="0"/>
              <w:rPr>
                <w:sz w:val="20"/>
                <w:szCs w:val="20"/>
              </w:rPr>
            </w:pPr>
            <w:r w:rsidRPr="00D178CE">
              <w:rPr>
                <w:sz w:val="20"/>
                <w:szCs w:val="20"/>
              </w:rPr>
              <w:t>May 2020 / Ongoing</w:t>
            </w:r>
          </w:p>
        </w:tc>
        <w:tc>
          <w:tcPr>
            <w:tcW w:w="1025" w:type="pct"/>
          </w:tcPr>
          <w:p w14:paraId="12BC7995" w14:textId="58EF03EC" w:rsidR="00C5339A" w:rsidRPr="00D178CE" w:rsidRDefault="00C5339A" w:rsidP="009674B3">
            <w:pPr>
              <w:keepNext/>
              <w:ind w:left="0"/>
              <w:rPr>
                <w:sz w:val="20"/>
                <w:szCs w:val="20"/>
              </w:rPr>
            </w:pPr>
            <w:r w:rsidRPr="00D178CE">
              <w:rPr>
                <w:sz w:val="20"/>
                <w:szCs w:val="20"/>
              </w:rPr>
              <w:t>June 2020 / Ongoing</w:t>
            </w:r>
          </w:p>
        </w:tc>
        <w:tc>
          <w:tcPr>
            <w:tcW w:w="1006" w:type="pct"/>
          </w:tcPr>
          <w:p w14:paraId="639102D2" w14:textId="64766799" w:rsidR="00C5339A" w:rsidRPr="00D178CE" w:rsidRDefault="00C5339A" w:rsidP="009674B3">
            <w:pPr>
              <w:keepNext/>
              <w:ind w:left="0"/>
              <w:rPr>
                <w:sz w:val="20"/>
                <w:szCs w:val="20"/>
              </w:rPr>
            </w:pPr>
            <w:r w:rsidRPr="00D178CE">
              <w:rPr>
                <w:sz w:val="20"/>
                <w:szCs w:val="20"/>
              </w:rPr>
              <w:t>June 2020 / Ongoing</w:t>
            </w:r>
          </w:p>
        </w:tc>
      </w:tr>
      <w:tr w:rsidR="00DD63A5" w:rsidRPr="00D178CE" w14:paraId="395DCBBD" w14:textId="77777777" w:rsidTr="00A8128F">
        <w:tc>
          <w:tcPr>
            <w:tcW w:w="1018" w:type="pct"/>
          </w:tcPr>
          <w:p w14:paraId="4CA2A67F" w14:textId="2D7143E1" w:rsidR="00C5339A" w:rsidRPr="00D178CE" w:rsidRDefault="00C5339A" w:rsidP="009674B3">
            <w:pPr>
              <w:keepNext/>
              <w:ind w:left="0"/>
              <w:rPr>
                <w:sz w:val="20"/>
                <w:szCs w:val="20"/>
              </w:rPr>
            </w:pPr>
            <w:r w:rsidRPr="00D178CE">
              <w:rPr>
                <w:sz w:val="20"/>
                <w:szCs w:val="20"/>
              </w:rPr>
              <w:t>Phase</w:t>
            </w:r>
          </w:p>
        </w:tc>
        <w:tc>
          <w:tcPr>
            <w:tcW w:w="958" w:type="pct"/>
          </w:tcPr>
          <w:p w14:paraId="16DA4376" w14:textId="6D45ECC5" w:rsidR="00C5339A" w:rsidRPr="00D178CE" w:rsidRDefault="00C5339A" w:rsidP="009674B3">
            <w:pPr>
              <w:keepNext/>
              <w:ind w:left="0"/>
              <w:rPr>
                <w:sz w:val="20"/>
                <w:szCs w:val="20"/>
              </w:rPr>
            </w:pPr>
            <w:r w:rsidRPr="00D178CE">
              <w:rPr>
                <w:sz w:val="20"/>
                <w:szCs w:val="20"/>
              </w:rPr>
              <w:t>I/II</w:t>
            </w:r>
          </w:p>
        </w:tc>
        <w:tc>
          <w:tcPr>
            <w:tcW w:w="993" w:type="pct"/>
          </w:tcPr>
          <w:p w14:paraId="4E5AB9DE" w14:textId="2E994032" w:rsidR="00C5339A" w:rsidRPr="00D178CE" w:rsidRDefault="00C5339A" w:rsidP="009674B3">
            <w:pPr>
              <w:keepNext/>
              <w:ind w:left="0"/>
              <w:rPr>
                <w:sz w:val="20"/>
                <w:szCs w:val="20"/>
              </w:rPr>
            </w:pPr>
            <w:r w:rsidRPr="00D178CE">
              <w:rPr>
                <w:sz w:val="20"/>
                <w:szCs w:val="20"/>
              </w:rPr>
              <w:t>II/III</w:t>
            </w:r>
          </w:p>
        </w:tc>
        <w:tc>
          <w:tcPr>
            <w:tcW w:w="1025" w:type="pct"/>
          </w:tcPr>
          <w:p w14:paraId="099955BD" w14:textId="4840971B" w:rsidR="00C5339A" w:rsidRPr="00D178CE" w:rsidRDefault="00C5339A" w:rsidP="009674B3">
            <w:pPr>
              <w:keepNext/>
              <w:ind w:left="0"/>
              <w:rPr>
                <w:sz w:val="20"/>
                <w:szCs w:val="20"/>
              </w:rPr>
            </w:pPr>
            <w:r w:rsidRPr="00D178CE">
              <w:rPr>
                <w:sz w:val="20"/>
                <w:szCs w:val="20"/>
              </w:rPr>
              <w:t>II/III</w:t>
            </w:r>
          </w:p>
        </w:tc>
        <w:tc>
          <w:tcPr>
            <w:tcW w:w="1006" w:type="pct"/>
          </w:tcPr>
          <w:p w14:paraId="5A7AF033" w14:textId="70F1B196" w:rsidR="00C5339A" w:rsidRPr="00D178CE" w:rsidRDefault="00C5339A" w:rsidP="009674B3">
            <w:pPr>
              <w:keepNext/>
              <w:ind w:left="0"/>
              <w:rPr>
                <w:sz w:val="20"/>
                <w:szCs w:val="20"/>
              </w:rPr>
            </w:pPr>
            <w:r w:rsidRPr="00D178CE">
              <w:rPr>
                <w:sz w:val="20"/>
                <w:szCs w:val="20"/>
              </w:rPr>
              <w:t>I/II</w:t>
            </w:r>
          </w:p>
        </w:tc>
      </w:tr>
      <w:tr w:rsidR="00DD63A5" w:rsidRPr="00D178CE" w14:paraId="5A41ABF9" w14:textId="77777777" w:rsidTr="00A8128F">
        <w:tc>
          <w:tcPr>
            <w:tcW w:w="1018" w:type="pct"/>
          </w:tcPr>
          <w:p w14:paraId="5E5DEB1F" w14:textId="0336ABFA" w:rsidR="00C5339A" w:rsidRPr="00D178CE" w:rsidRDefault="00C5339A" w:rsidP="009674B3">
            <w:pPr>
              <w:ind w:left="0"/>
              <w:rPr>
                <w:sz w:val="20"/>
                <w:szCs w:val="20"/>
              </w:rPr>
            </w:pPr>
            <w:r w:rsidRPr="00D178CE">
              <w:rPr>
                <w:sz w:val="20"/>
                <w:szCs w:val="20"/>
              </w:rPr>
              <w:t>Design</w:t>
            </w:r>
          </w:p>
        </w:tc>
        <w:tc>
          <w:tcPr>
            <w:tcW w:w="958" w:type="pct"/>
          </w:tcPr>
          <w:p w14:paraId="5411FFD1" w14:textId="63703942" w:rsidR="00C5339A" w:rsidRPr="00D178CE" w:rsidRDefault="00C5339A" w:rsidP="009674B3">
            <w:pPr>
              <w:ind w:left="0"/>
              <w:rPr>
                <w:sz w:val="20"/>
                <w:szCs w:val="20"/>
              </w:rPr>
            </w:pPr>
            <w:r w:rsidRPr="00D178CE">
              <w:rPr>
                <w:sz w:val="20"/>
                <w:szCs w:val="20"/>
              </w:rPr>
              <w:t>Participant blind, randomised, controlled</w:t>
            </w:r>
          </w:p>
        </w:tc>
        <w:tc>
          <w:tcPr>
            <w:tcW w:w="993" w:type="pct"/>
          </w:tcPr>
          <w:p w14:paraId="518FE2EB" w14:textId="635195F5" w:rsidR="00C5339A" w:rsidRPr="00D178CE" w:rsidRDefault="00C5339A" w:rsidP="009674B3">
            <w:pPr>
              <w:ind w:left="0"/>
              <w:rPr>
                <w:sz w:val="20"/>
                <w:szCs w:val="20"/>
              </w:rPr>
            </w:pPr>
            <w:r w:rsidRPr="00D178CE">
              <w:rPr>
                <w:sz w:val="20"/>
                <w:szCs w:val="20"/>
              </w:rPr>
              <w:t>Participant blind, randomised, controlled</w:t>
            </w:r>
          </w:p>
        </w:tc>
        <w:tc>
          <w:tcPr>
            <w:tcW w:w="1025" w:type="pct"/>
          </w:tcPr>
          <w:p w14:paraId="18014417" w14:textId="4BF2C7F2" w:rsidR="00C5339A" w:rsidRPr="00D178CE" w:rsidRDefault="00C5339A" w:rsidP="009674B3">
            <w:pPr>
              <w:ind w:left="0"/>
              <w:rPr>
                <w:sz w:val="20"/>
                <w:szCs w:val="20"/>
              </w:rPr>
            </w:pPr>
            <w:r w:rsidRPr="00D178CE">
              <w:rPr>
                <w:sz w:val="20"/>
                <w:szCs w:val="20"/>
              </w:rPr>
              <w:t>Participant blind, randomised, controlled</w:t>
            </w:r>
          </w:p>
        </w:tc>
        <w:tc>
          <w:tcPr>
            <w:tcW w:w="1006" w:type="pct"/>
          </w:tcPr>
          <w:p w14:paraId="039DDD5B" w14:textId="3BED76FD" w:rsidR="00C5339A" w:rsidRPr="00D178CE" w:rsidRDefault="00C5339A" w:rsidP="009674B3">
            <w:pPr>
              <w:ind w:left="0"/>
              <w:rPr>
                <w:sz w:val="20"/>
                <w:szCs w:val="20"/>
              </w:rPr>
            </w:pPr>
            <w:r w:rsidRPr="00D178CE">
              <w:rPr>
                <w:sz w:val="20"/>
                <w:szCs w:val="20"/>
              </w:rPr>
              <w:t>Double blind, randomised, controlled</w:t>
            </w:r>
          </w:p>
        </w:tc>
      </w:tr>
      <w:tr w:rsidR="00DD63A5" w:rsidRPr="00D178CE" w14:paraId="2B7F6623" w14:textId="77777777" w:rsidTr="00A8128F">
        <w:tc>
          <w:tcPr>
            <w:tcW w:w="1018" w:type="pct"/>
          </w:tcPr>
          <w:p w14:paraId="246F46FA" w14:textId="1FFAAD37" w:rsidR="00C5339A" w:rsidRPr="00D178CE" w:rsidRDefault="00C5339A" w:rsidP="00435394">
            <w:pPr>
              <w:keepNext/>
              <w:ind w:left="0"/>
              <w:rPr>
                <w:sz w:val="20"/>
                <w:szCs w:val="20"/>
              </w:rPr>
            </w:pPr>
            <w:r w:rsidRPr="00D178CE">
              <w:rPr>
                <w:sz w:val="20"/>
                <w:szCs w:val="20"/>
              </w:rPr>
              <w:lastRenderedPageBreak/>
              <w:t>Planned number of participants</w:t>
            </w:r>
          </w:p>
        </w:tc>
        <w:tc>
          <w:tcPr>
            <w:tcW w:w="958" w:type="pct"/>
          </w:tcPr>
          <w:p w14:paraId="5C029E4A" w14:textId="44C29267" w:rsidR="00C5339A" w:rsidRPr="00D178CE" w:rsidRDefault="00D178CE" w:rsidP="00435394">
            <w:pPr>
              <w:keepNext/>
              <w:ind w:left="0"/>
              <w:rPr>
                <w:sz w:val="20"/>
                <w:szCs w:val="20"/>
              </w:rPr>
            </w:pPr>
            <w:r w:rsidRPr="00D178CE">
              <w:rPr>
                <w:sz w:val="20"/>
                <w:szCs w:val="20"/>
              </w:rPr>
              <w:t>Approx.</w:t>
            </w:r>
            <w:r w:rsidR="009674B3" w:rsidRPr="00D178CE">
              <w:rPr>
                <w:sz w:val="20"/>
                <w:szCs w:val="20"/>
              </w:rPr>
              <w:t xml:space="preserve"> </w:t>
            </w:r>
            <w:r w:rsidR="00C5339A" w:rsidRPr="00D178CE">
              <w:rPr>
                <w:sz w:val="20"/>
                <w:szCs w:val="20"/>
              </w:rPr>
              <w:t>1077</w:t>
            </w:r>
          </w:p>
        </w:tc>
        <w:tc>
          <w:tcPr>
            <w:tcW w:w="993" w:type="pct"/>
          </w:tcPr>
          <w:p w14:paraId="6B7F62EF" w14:textId="3A3B07D6" w:rsidR="00C5339A" w:rsidRPr="00D178CE" w:rsidRDefault="00D178CE" w:rsidP="00435394">
            <w:pPr>
              <w:keepNext/>
              <w:ind w:left="0"/>
              <w:rPr>
                <w:sz w:val="20"/>
                <w:szCs w:val="20"/>
              </w:rPr>
            </w:pPr>
            <w:r w:rsidRPr="00D178CE">
              <w:rPr>
                <w:sz w:val="20"/>
                <w:szCs w:val="20"/>
              </w:rPr>
              <w:t>Approx.</w:t>
            </w:r>
            <w:r w:rsidR="009674B3" w:rsidRPr="00D178CE">
              <w:rPr>
                <w:sz w:val="20"/>
                <w:szCs w:val="20"/>
              </w:rPr>
              <w:t xml:space="preserve"> </w:t>
            </w:r>
            <w:r w:rsidR="00C5339A" w:rsidRPr="00D178CE">
              <w:rPr>
                <w:sz w:val="20"/>
                <w:szCs w:val="20"/>
              </w:rPr>
              <w:t>12390</w:t>
            </w:r>
          </w:p>
        </w:tc>
        <w:tc>
          <w:tcPr>
            <w:tcW w:w="1025" w:type="pct"/>
          </w:tcPr>
          <w:p w14:paraId="110353CD" w14:textId="63FE2B43" w:rsidR="00C5339A" w:rsidRPr="00D178CE" w:rsidRDefault="00D178CE" w:rsidP="00435394">
            <w:pPr>
              <w:keepNext/>
              <w:ind w:left="0"/>
              <w:rPr>
                <w:sz w:val="20"/>
                <w:szCs w:val="20"/>
              </w:rPr>
            </w:pPr>
            <w:r w:rsidRPr="00D178CE">
              <w:rPr>
                <w:sz w:val="20"/>
                <w:szCs w:val="20"/>
              </w:rPr>
              <w:t>Approx.</w:t>
            </w:r>
            <w:r w:rsidR="00DD63A5" w:rsidRPr="00D178CE">
              <w:rPr>
                <w:sz w:val="20"/>
                <w:szCs w:val="20"/>
              </w:rPr>
              <w:t xml:space="preserve"> </w:t>
            </w:r>
            <w:r w:rsidR="00C5339A" w:rsidRPr="00D178CE">
              <w:rPr>
                <w:sz w:val="20"/>
                <w:szCs w:val="20"/>
              </w:rPr>
              <w:t>10300</w:t>
            </w:r>
          </w:p>
        </w:tc>
        <w:tc>
          <w:tcPr>
            <w:tcW w:w="1006" w:type="pct"/>
          </w:tcPr>
          <w:p w14:paraId="47B2A561" w14:textId="6008A785" w:rsidR="00C5339A" w:rsidRPr="00D178CE" w:rsidRDefault="00D178CE" w:rsidP="00435394">
            <w:pPr>
              <w:keepNext/>
              <w:ind w:left="0"/>
              <w:rPr>
                <w:sz w:val="20"/>
                <w:szCs w:val="20"/>
              </w:rPr>
            </w:pPr>
            <w:r w:rsidRPr="00D178CE">
              <w:rPr>
                <w:sz w:val="20"/>
                <w:szCs w:val="20"/>
              </w:rPr>
              <w:t>Approx.</w:t>
            </w:r>
            <w:r w:rsidR="00DD63A5" w:rsidRPr="00D178CE">
              <w:rPr>
                <w:sz w:val="20"/>
                <w:szCs w:val="20"/>
              </w:rPr>
              <w:t xml:space="preserve"> </w:t>
            </w:r>
            <w:r w:rsidR="00C5339A" w:rsidRPr="00D178CE">
              <w:rPr>
                <w:sz w:val="20"/>
                <w:szCs w:val="20"/>
              </w:rPr>
              <w:t>2070</w:t>
            </w:r>
          </w:p>
        </w:tc>
      </w:tr>
      <w:tr w:rsidR="00DD63A5" w:rsidRPr="00D178CE" w14:paraId="4AC5D8D1" w14:textId="77777777" w:rsidTr="00A8128F">
        <w:tc>
          <w:tcPr>
            <w:tcW w:w="1018" w:type="pct"/>
          </w:tcPr>
          <w:p w14:paraId="517E15C5" w14:textId="78E61704" w:rsidR="00C5339A" w:rsidRPr="00D178CE" w:rsidRDefault="00C5339A" w:rsidP="00435394">
            <w:pPr>
              <w:keepNext/>
              <w:ind w:left="0"/>
              <w:rPr>
                <w:sz w:val="20"/>
                <w:szCs w:val="20"/>
              </w:rPr>
            </w:pPr>
            <w:r w:rsidRPr="00D178CE">
              <w:rPr>
                <w:sz w:val="20"/>
                <w:szCs w:val="20"/>
              </w:rPr>
              <w:t>Characteristics of participants</w:t>
            </w:r>
          </w:p>
        </w:tc>
        <w:tc>
          <w:tcPr>
            <w:tcW w:w="958" w:type="pct"/>
          </w:tcPr>
          <w:p w14:paraId="6D160439" w14:textId="5B83CB67" w:rsidR="00C5339A" w:rsidRPr="00D178CE" w:rsidRDefault="00C5339A" w:rsidP="00435394">
            <w:pPr>
              <w:keepNext/>
              <w:ind w:left="0"/>
              <w:rPr>
                <w:sz w:val="20"/>
                <w:szCs w:val="20"/>
              </w:rPr>
            </w:pPr>
            <w:r w:rsidRPr="00D178CE">
              <w:rPr>
                <w:sz w:val="20"/>
                <w:szCs w:val="20"/>
              </w:rPr>
              <w:t>18</w:t>
            </w:r>
            <w:r w:rsidR="00DD63A5" w:rsidRPr="00D178CE">
              <w:rPr>
                <w:sz w:val="20"/>
                <w:szCs w:val="20"/>
              </w:rPr>
              <w:t xml:space="preserve"> to </w:t>
            </w:r>
            <w:r w:rsidRPr="00D178CE">
              <w:rPr>
                <w:sz w:val="20"/>
                <w:szCs w:val="20"/>
              </w:rPr>
              <w:t>55 y</w:t>
            </w:r>
            <w:r w:rsidR="00DD63A5" w:rsidRPr="00D178CE">
              <w:rPr>
                <w:sz w:val="20"/>
                <w:szCs w:val="20"/>
              </w:rPr>
              <w:t>ea</w:t>
            </w:r>
            <w:r w:rsidRPr="00D178CE">
              <w:rPr>
                <w:sz w:val="20"/>
                <w:szCs w:val="20"/>
              </w:rPr>
              <w:t>r</w:t>
            </w:r>
            <w:r w:rsidR="00DD63A5" w:rsidRPr="00D178CE">
              <w:rPr>
                <w:sz w:val="20"/>
                <w:szCs w:val="20"/>
              </w:rPr>
              <w:t>s</w:t>
            </w:r>
            <w:r w:rsidRPr="00D178CE">
              <w:rPr>
                <w:sz w:val="20"/>
                <w:szCs w:val="20"/>
              </w:rPr>
              <w:t>, healthy</w:t>
            </w:r>
          </w:p>
        </w:tc>
        <w:tc>
          <w:tcPr>
            <w:tcW w:w="993" w:type="pct"/>
          </w:tcPr>
          <w:p w14:paraId="00AD00DD" w14:textId="2ADA0DB7" w:rsidR="00C5339A" w:rsidRPr="00D178CE" w:rsidRDefault="006005D8" w:rsidP="00435394">
            <w:pPr>
              <w:keepNext/>
              <w:ind w:left="0"/>
              <w:rPr>
                <w:sz w:val="20"/>
                <w:szCs w:val="20"/>
              </w:rPr>
            </w:pPr>
            <w:r w:rsidRPr="00E96F97">
              <w:rPr>
                <w:rFonts w:asciiTheme="minorHAnsi" w:eastAsia="TimesNewRoman" w:hAnsiTheme="minorHAnsi" w:cs="TimesNewRoman"/>
                <w:sz w:val="19"/>
                <w:szCs w:val="19"/>
              </w:rPr>
              <w:sym w:font="Symbol" w:char="F0B3"/>
            </w:r>
            <w:r w:rsidR="00C5339A" w:rsidRPr="00D178CE">
              <w:rPr>
                <w:sz w:val="20"/>
                <w:szCs w:val="20"/>
              </w:rPr>
              <w:t>18 y</w:t>
            </w:r>
            <w:r w:rsidR="00DD63A5" w:rsidRPr="00D178CE">
              <w:rPr>
                <w:sz w:val="20"/>
                <w:szCs w:val="20"/>
              </w:rPr>
              <w:t>ears</w:t>
            </w:r>
            <w:r w:rsidR="00C5339A" w:rsidRPr="00D178CE">
              <w:rPr>
                <w:sz w:val="20"/>
                <w:szCs w:val="20"/>
              </w:rPr>
              <w:t>, healthy</w:t>
            </w:r>
          </w:p>
        </w:tc>
        <w:tc>
          <w:tcPr>
            <w:tcW w:w="1025" w:type="pct"/>
          </w:tcPr>
          <w:p w14:paraId="0806BF08" w14:textId="017F3E6A" w:rsidR="00C5339A" w:rsidRPr="00D178CE" w:rsidRDefault="006005D8" w:rsidP="00435394">
            <w:pPr>
              <w:keepNext/>
              <w:ind w:left="0"/>
              <w:rPr>
                <w:sz w:val="20"/>
                <w:szCs w:val="20"/>
              </w:rPr>
            </w:pPr>
            <w:r w:rsidRPr="00E96F97">
              <w:rPr>
                <w:rFonts w:asciiTheme="minorHAnsi" w:eastAsia="TimesNewRoman" w:hAnsiTheme="minorHAnsi" w:cs="TimesNewRoman"/>
                <w:sz w:val="19"/>
                <w:szCs w:val="19"/>
              </w:rPr>
              <w:sym w:font="Symbol" w:char="F0B3"/>
            </w:r>
            <w:r w:rsidR="00C5339A" w:rsidRPr="00D178CE">
              <w:rPr>
                <w:sz w:val="20"/>
                <w:szCs w:val="20"/>
              </w:rPr>
              <w:t xml:space="preserve"> 18 y</w:t>
            </w:r>
            <w:r w:rsidR="00DD63A5" w:rsidRPr="00D178CE">
              <w:rPr>
                <w:sz w:val="20"/>
                <w:szCs w:val="20"/>
              </w:rPr>
              <w:t>ears</w:t>
            </w:r>
            <w:r w:rsidR="00C5339A" w:rsidRPr="00D178CE">
              <w:rPr>
                <w:sz w:val="20"/>
                <w:szCs w:val="20"/>
              </w:rPr>
              <w:t>, healthy</w:t>
            </w:r>
          </w:p>
        </w:tc>
        <w:tc>
          <w:tcPr>
            <w:tcW w:w="1006" w:type="pct"/>
          </w:tcPr>
          <w:p w14:paraId="05DB57D9" w14:textId="1C9AD2B3" w:rsidR="00C5339A" w:rsidRPr="00D178CE" w:rsidRDefault="006005D8" w:rsidP="00435394">
            <w:pPr>
              <w:keepNext/>
              <w:ind w:left="0"/>
              <w:rPr>
                <w:sz w:val="20"/>
                <w:szCs w:val="20"/>
              </w:rPr>
            </w:pPr>
            <w:r w:rsidRPr="00E96F97">
              <w:rPr>
                <w:rFonts w:asciiTheme="minorHAnsi" w:eastAsia="TimesNewRoman" w:hAnsiTheme="minorHAnsi" w:cs="TimesNewRoman"/>
                <w:sz w:val="19"/>
                <w:szCs w:val="19"/>
              </w:rPr>
              <w:sym w:font="Symbol" w:char="F0B3"/>
            </w:r>
            <w:r w:rsidR="00C5339A" w:rsidRPr="00D178CE">
              <w:rPr>
                <w:sz w:val="20"/>
                <w:szCs w:val="20"/>
              </w:rPr>
              <w:t>18</w:t>
            </w:r>
            <w:r w:rsidR="00DD63A5" w:rsidRPr="00D178CE">
              <w:rPr>
                <w:sz w:val="20"/>
                <w:szCs w:val="20"/>
              </w:rPr>
              <w:t xml:space="preserve"> to </w:t>
            </w:r>
            <w:r w:rsidR="00C5339A" w:rsidRPr="00D178CE">
              <w:rPr>
                <w:sz w:val="20"/>
                <w:szCs w:val="20"/>
              </w:rPr>
              <w:t>65 y</w:t>
            </w:r>
            <w:r w:rsidR="00DD63A5" w:rsidRPr="00D178CE">
              <w:rPr>
                <w:sz w:val="20"/>
                <w:szCs w:val="20"/>
              </w:rPr>
              <w:t>ea</w:t>
            </w:r>
            <w:r w:rsidR="00C5339A" w:rsidRPr="00D178CE">
              <w:rPr>
                <w:sz w:val="20"/>
                <w:szCs w:val="20"/>
              </w:rPr>
              <w:t>r</w:t>
            </w:r>
            <w:r w:rsidR="00DD63A5" w:rsidRPr="00D178CE">
              <w:rPr>
                <w:sz w:val="20"/>
                <w:szCs w:val="20"/>
              </w:rPr>
              <w:t>s</w:t>
            </w:r>
            <w:r w:rsidR="00C5339A" w:rsidRPr="00D178CE">
              <w:rPr>
                <w:sz w:val="20"/>
                <w:szCs w:val="20"/>
              </w:rPr>
              <w:t>, healthy</w:t>
            </w:r>
          </w:p>
        </w:tc>
      </w:tr>
      <w:tr w:rsidR="00DD63A5" w:rsidRPr="00D178CE" w14:paraId="324B0485" w14:textId="77777777" w:rsidTr="00A8128F">
        <w:tc>
          <w:tcPr>
            <w:tcW w:w="1018" w:type="pct"/>
          </w:tcPr>
          <w:p w14:paraId="231B95DE" w14:textId="2FC86E60" w:rsidR="00C5339A" w:rsidRPr="00D178CE" w:rsidRDefault="00C5339A" w:rsidP="009674B3">
            <w:pPr>
              <w:ind w:left="0"/>
              <w:rPr>
                <w:sz w:val="20"/>
                <w:szCs w:val="20"/>
              </w:rPr>
            </w:pPr>
            <w:r w:rsidRPr="00D178CE">
              <w:rPr>
                <w:sz w:val="20"/>
                <w:szCs w:val="20"/>
              </w:rPr>
              <w:t>Number of doses (IM route)</w:t>
            </w:r>
          </w:p>
        </w:tc>
        <w:tc>
          <w:tcPr>
            <w:tcW w:w="958" w:type="pct"/>
          </w:tcPr>
          <w:p w14:paraId="74512FD3" w14:textId="373F193E" w:rsidR="00C5339A" w:rsidRPr="00D178CE" w:rsidRDefault="00C5339A" w:rsidP="009674B3">
            <w:pPr>
              <w:ind w:left="0"/>
              <w:rPr>
                <w:sz w:val="20"/>
                <w:szCs w:val="20"/>
              </w:rPr>
            </w:pPr>
            <w:r w:rsidRPr="00D178CE">
              <w:rPr>
                <w:sz w:val="20"/>
                <w:szCs w:val="20"/>
              </w:rPr>
              <w:t>1 or 2 (based on study group)</w:t>
            </w:r>
          </w:p>
        </w:tc>
        <w:tc>
          <w:tcPr>
            <w:tcW w:w="993" w:type="pct"/>
          </w:tcPr>
          <w:p w14:paraId="69A4AB1C" w14:textId="0AB82B21" w:rsidR="00C5339A" w:rsidRPr="00D178CE" w:rsidRDefault="00C5339A" w:rsidP="009674B3">
            <w:pPr>
              <w:ind w:left="0"/>
              <w:rPr>
                <w:sz w:val="20"/>
                <w:szCs w:val="20"/>
              </w:rPr>
            </w:pPr>
            <w:r w:rsidRPr="00D178CE">
              <w:rPr>
                <w:sz w:val="20"/>
                <w:szCs w:val="20"/>
              </w:rPr>
              <w:t>1 or 2 (based on study group)</w:t>
            </w:r>
          </w:p>
        </w:tc>
        <w:tc>
          <w:tcPr>
            <w:tcW w:w="1025" w:type="pct"/>
          </w:tcPr>
          <w:p w14:paraId="6D453BF1" w14:textId="565B4F07" w:rsidR="00C5339A" w:rsidRPr="00D178CE" w:rsidRDefault="00C5339A" w:rsidP="009674B3">
            <w:pPr>
              <w:ind w:left="0"/>
              <w:rPr>
                <w:sz w:val="20"/>
                <w:szCs w:val="20"/>
              </w:rPr>
            </w:pPr>
            <w:r w:rsidRPr="00D178CE">
              <w:rPr>
                <w:sz w:val="20"/>
                <w:szCs w:val="20"/>
              </w:rPr>
              <w:t>2</w:t>
            </w:r>
          </w:p>
        </w:tc>
        <w:tc>
          <w:tcPr>
            <w:tcW w:w="1006" w:type="pct"/>
          </w:tcPr>
          <w:p w14:paraId="14198689" w14:textId="07F3A8AC" w:rsidR="00C5339A" w:rsidRPr="00D178CE" w:rsidRDefault="00C5339A" w:rsidP="009674B3">
            <w:pPr>
              <w:ind w:left="0"/>
              <w:rPr>
                <w:sz w:val="20"/>
                <w:szCs w:val="20"/>
              </w:rPr>
            </w:pPr>
            <w:r w:rsidRPr="00D178CE">
              <w:rPr>
                <w:sz w:val="20"/>
                <w:szCs w:val="20"/>
              </w:rPr>
              <w:t>2</w:t>
            </w:r>
          </w:p>
        </w:tc>
      </w:tr>
      <w:tr w:rsidR="00DD63A5" w:rsidRPr="00D178CE" w14:paraId="60E366AC" w14:textId="77777777" w:rsidTr="00A8128F">
        <w:tc>
          <w:tcPr>
            <w:tcW w:w="1018" w:type="pct"/>
          </w:tcPr>
          <w:p w14:paraId="6CAD1F91" w14:textId="299A7BE5" w:rsidR="00C5339A" w:rsidRPr="00D178CE" w:rsidRDefault="00C5339A" w:rsidP="009674B3">
            <w:pPr>
              <w:ind w:left="0"/>
              <w:rPr>
                <w:sz w:val="20"/>
                <w:szCs w:val="20"/>
              </w:rPr>
            </w:pPr>
            <w:r w:rsidRPr="00D178CE">
              <w:rPr>
                <w:sz w:val="20"/>
                <w:szCs w:val="20"/>
              </w:rPr>
              <w:t xml:space="preserve">AZD1222 dose levels </w:t>
            </w:r>
            <w:r w:rsidRPr="00D178CE">
              <w:rPr>
                <w:sz w:val="20"/>
                <w:szCs w:val="20"/>
                <w:vertAlign w:val="superscript"/>
              </w:rPr>
              <w:t>a</w:t>
            </w:r>
          </w:p>
        </w:tc>
        <w:tc>
          <w:tcPr>
            <w:tcW w:w="958" w:type="pct"/>
          </w:tcPr>
          <w:p w14:paraId="48A0EC45" w14:textId="24216EF3" w:rsidR="00C5339A" w:rsidRPr="00D178CE" w:rsidRDefault="00C5339A" w:rsidP="009674B3">
            <w:pPr>
              <w:ind w:left="0"/>
              <w:rPr>
                <w:sz w:val="20"/>
                <w:szCs w:val="20"/>
              </w:rPr>
            </w:pPr>
            <w:r w:rsidRPr="00D178CE">
              <w:rPr>
                <w:sz w:val="20"/>
                <w:szCs w:val="20"/>
              </w:rPr>
              <w:t xml:space="preserve">SD: 5 </w:t>
            </w:r>
            <w:r w:rsidR="00DD63A5" w:rsidRPr="00D178CE">
              <w:rPr>
                <w:sz w:val="20"/>
                <w:szCs w:val="20"/>
              </w:rPr>
              <w:t>x</w:t>
            </w:r>
            <w:r w:rsidRPr="00D178CE">
              <w:rPr>
                <w:sz w:val="20"/>
                <w:szCs w:val="20"/>
              </w:rPr>
              <w:t xml:space="preserve"> 10</w:t>
            </w:r>
            <w:r w:rsidRPr="00D178CE">
              <w:rPr>
                <w:sz w:val="20"/>
                <w:szCs w:val="20"/>
                <w:vertAlign w:val="superscript"/>
              </w:rPr>
              <w:t>10</w:t>
            </w:r>
            <w:r w:rsidRPr="00D178CE">
              <w:rPr>
                <w:sz w:val="20"/>
                <w:szCs w:val="20"/>
              </w:rPr>
              <w:t xml:space="preserve"> </w:t>
            </w:r>
            <w:proofErr w:type="spellStart"/>
            <w:r w:rsidRPr="00D178CE">
              <w:rPr>
                <w:sz w:val="20"/>
                <w:szCs w:val="20"/>
              </w:rPr>
              <w:t>vp</w:t>
            </w:r>
            <w:proofErr w:type="spellEnd"/>
            <w:r w:rsidRPr="00D178CE">
              <w:rPr>
                <w:sz w:val="20"/>
                <w:szCs w:val="20"/>
              </w:rPr>
              <w:t xml:space="preserve"> LD: 2.5 </w:t>
            </w:r>
            <w:r w:rsidR="00DD63A5" w:rsidRPr="00D178CE">
              <w:rPr>
                <w:sz w:val="20"/>
                <w:szCs w:val="20"/>
              </w:rPr>
              <w:t>x</w:t>
            </w:r>
            <w:r w:rsidRPr="00D178CE">
              <w:rPr>
                <w:sz w:val="20"/>
                <w:szCs w:val="20"/>
              </w:rPr>
              <w:t xml:space="preserve"> 10</w:t>
            </w:r>
            <w:r w:rsidRPr="00D178CE">
              <w:rPr>
                <w:sz w:val="20"/>
                <w:szCs w:val="20"/>
                <w:vertAlign w:val="superscript"/>
              </w:rPr>
              <w:t>10</w:t>
            </w:r>
            <w:r w:rsidRPr="00D178CE">
              <w:rPr>
                <w:sz w:val="20"/>
                <w:szCs w:val="20"/>
              </w:rPr>
              <w:t xml:space="preserve"> </w:t>
            </w:r>
            <w:proofErr w:type="spellStart"/>
            <w:r w:rsidRPr="00D178CE">
              <w:rPr>
                <w:sz w:val="20"/>
                <w:szCs w:val="20"/>
              </w:rPr>
              <w:t>vp</w:t>
            </w:r>
            <w:proofErr w:type="spellEnd"/>
          </w:p>
        </w:tc>
        <w:tc>
          <w:tcPr>
            <w:tcW w:w="993" w:type="pct"/>
          </w:tcPr>
          <w:p w14:paraId="6094F0CD" w14:textId="67E6A0B3" w:rsidR="00C5339A" w:rsidRPr="00D178CE" w:rsidRDefault="00C5339A" w:rsidP="009674B3">
            <w:pPr>
              <w:ind w:left="0"/>
              <w:rPr>
                <w:sz w:val="20"/>
                <w:szCs w:val="20"/>
              </w:rPr>
            </w:pPr>
            <w:r w:rsidRPr="00D178CE">
              <w:rPr>
                <w:sz w:val="20"/>
                <w:szCs w:val="20"/>
              </w:rPr>
              <w:t xml:space="preserve">SD: 5 </w:t>
            </w:r>
            <w:r w:rsidR="00DD63A5" w:rsidRPr="00D178CE">
              <w:rPr>
                <w:sz w:val="20"/>
                <w:szCs w:val="20"/>
              </w:rPr>
              <w:t>x</w:t>
            </w:r>
            <w:r w:rsidRPr="00D178CE">
              <w:rPr>
                <w:sz w:val="20"/>
                <w:szCs w:val="20"/>
              </w:rPr>
              <w:t xml:space="preserve"> 10</w:t>
            </w:r>
            <w:r w:rsidRPr="00D178CE">
              <w:rPr>
                <w:sz w:val="20"/>
                <w:szCs w:val="20"/>
                <w:vertAlign w:val="superscript"/>
              </w:rPr>
              <w:t>10</w:t>
            </w:r>
            <w:r w:rsidRPr="00D178CE">
              <w:rPr>
                <w:sz w:val="20"/>
                <w:szCs w:val="20"/>
              </w:rPr>
              <w:t xml:space="preserve"> </w:t>
            </w:r>
            <w:proofErr w:type="spellStart"/>
            <w:r w:rsidRPr="00D178CE">
              <w:rPr>
                <w:sz w:val="20"/>
                <w:szCs w:val="20"/>
              </w:rPr>
              <w:t>vp</w:t>
            </w:r>
            <w:proofErr w:type="spellEnd"/>
            <w:r w:rsidRPr="00D178CE">
              <w:rPr>
                <w:sz w:val="20"/>
                <w:szCs w:val="20"/>
              </w:rPr>
              <w:t xml:space="preserve"> LD: 2.2 </w:t>
            </w:r>
            <w:r w:rsidR="00DD63A5" w:rsidRPr="00D178CE">
              <w:rPr>
                <w:sz w:val="20"/>
                <w:szCs w:val="20"/>
              </w:rPr>
              <w:t>x</w:t>
            </w:r>
            <w:r w:rsidRPr="00D178CE">
              <w:rPr>
                <w:sz w:val="20"/>
                <w:szCs w:val="20"/>
              </w:rPr>
              <w:t xml:space="preserve"> 10</w:t>
            </w:r>
            <w:r w:rsidRPr="00D178CE">
              <w:rPr>
                <w:sz w:val="20"/>
                <w:szCs w:val="20"/>
                <w:vertAlign w:val="superscript"/>
              </w:rPr>
              <w:t xml:space="preserve">10 </w:t>
            </w:r>
            <w:proofErr w:type="spellStart"/>
            <w:r w:rsidRPr="00D178CE">
              <w:rPr>
                <w:sz w:val="20"/>
                <w:szCs w:val="20"/>
              </w:rPr>
              <w:t>vp</w:t>
            </w:r>
            <w:proofErr w:type="spellEnd"/>
          </w:p>
        </w:tc>
        <w:tc>
          <w:tcPr>
            <w:tcW w:w="1025" w:type="pct"/>
          </w:tcPr>
          <w:p w14:paraId="4CE6CB3A" w14:textId="15AFF3E8" w:rsidR="00C5339A" w:rsidRPr="00D178CE" w:rsidRDefault="00C5339A" w:rsidP="009674B3">
            <w:pPr>
              <w:ind w:left="0"/>
              <w:rPr>
                <w:sz w:val="20"/>
                <w:szCs w:val="20"/>
              </w:rPr>
            </w:pPr>
            <w:r w:rsidRPr="00D178CE">
              <w:rPr>
                <w:sz w:val="20"/>
                <w:szCs w:val="20"/>
              </w:rPr>
              <w:t xml:space="preserve">SD: 5 </w:t>
            </w:r>
            <w:r w:rsidR="00DD63A5" w:rsidRPr="00D178CE">
              <w:rPr>
                <w:sz w:val="20"/>
                <w:szCs w:val="20"/>
              </w:rPr>
              <w:t>x</w:t>
            </w:r>
            <w:r w:rsidRPr="00D178CE">
              <w:rPr>
                <w:sz w:val="20"/>
                <w:szCs w:val="20"/>
              </w:rPr>
              <w:t xml:space="preserve"> 10</w:t>
            </w:r>
            <w:r w:rsidRPr="00D178CE">
              <w:rPr>
                <w:sz w:val="20"/>
                <w:szCs w:val="20"/>
                <w:vertAlign w:val="superscript"/>
              </w:rPr>
              <w:t>10</w:t>
            </w:r>
            <w:r w:rsidRPr="00D178CE">
              <w:rPr>
                <w:sz w:val="20"/>
                <w:szCs w:val="20"/>
              </w:rPr>
              <w:t xml:space="preserve"> </w:t>
            </w:r>
            <w:proofErr w:type="spellStart"/>
            <w:r w:rsidRPr="00D178CE">
              <w:rPr>
                <w:sz w:val="20"/>
                <w:szCs w:val="20"/>
              </w:rPr>
              <w:t>vp</w:t>
            </w:r>
            <w:proofErr w:type="spellEnd"/>
          </w:p>
        </w:tc>
        <w:tc>
          <w:tcPr>
            <w:tcW w:w="1006" w:type="pct"/>
          </w:tcPr>
          <w:p w14:paraId="4D0F5958" w14:textId="440BCE37" w:rsidR="00C5339A" w:rsidRPr="00D178CE" w:rsidRDefault="00C5339A" w:rsidP="009674B3">
            <w:pPr>
              <w:ind w:left="0"/>
              <w:rPr>
                <w:sz w:val="20"/>
                <w:szCs w:val="20"/>
              </w:rPr>
            </w:pPr>
            <w:r w:rsidRPr="00D178CE">
              <w:rPr>
                <w:sz w:val="20"/>
                <w:szCs w:val="20"/>
              </w:rPr>
              <w:t xml:space="preserve">SD: 5 </w:t>
            </w:r>
            <w:r w:rsidR="00DD63A5" w:rsidRPr="00D178CE">
              <w:rPr>
                <w:sz w:val="20"/>
                <w:szCs w:val="20"/>
              </w:rPr>
              <w:t>x</w:t>
            </w:r>
            <w:r w:rsidRPr="00D178CE">
              <w:rPr>
                <w:sz w:val="20"/>
                <w:szCs w:val="20"/>
              </w:rPr>
              <w:t xml:space="preserve"> 10</w:t>
            </w:r>
            <w:r w:rsidRPr="00D178CE">
              <w:rPr>
                <w:sz w:val="20"/>
                <w:szCs w:val="20"/>
                <w:vertAlign w:val="superscript"/>
              </w:rPr>
              <w:t>10</w:t>
            </w:r>
            <w:r w:rsidRPr="00D178CE">
              <w:rPr>
                <w:sz w:val="20"/>
                <w:szCs w:val="20"/>
              </w:rPr>
              <w:t xml:space="preserve"> </w:t>
            </w:r>
            <w:proofErr w:type="spellStart"/>
            <w:r w:rsidRPr="00D178CE">
              <w:rPr>
                <w:sz w:val="20"/>
                <w:szCs w:val="20"/>
              </w:rPr>
              <w:t>vp</w:t>
            </w:r>
            <w:proofErr w:type="spellEnd"/>
            <w:r w:rsidRPr="00D178CE">
              <w:rPr>
                <w:sz w:val="20"/>
                <w:szCs w:val="20"/>
              </w:rPr>
              <w:t xml:space="preserve"> LD: 2.2 </w:t>
            </w:r>
            <w:r w:rsidR="00DD63A5" w:rsidRPr="00D178CE">
              <w:rPr>
                <w:sz w:val="20"/>
                <w:szCs w:val="20"/>
              </w:rPr>
              <w:t xml:space="preserve">x </w:t>
            </w:r>
            <w:r w:rsidRPr="00D178CE">
              <w:rPr>
                <w:sz w:val="20"/>
                <w:szCs w:val="20"/>
              </w:rPr>
              <w:t>10</w:t>
            </w:r>
            <w:r w:rsidRPr="00D178CE">
              <w:rPr>
                <w:sz w:val="20"/>
                <w:szCs w:val="20"/>
                <w:vertAlign w:val="superscript"/>
              </w:rPr>
              <w:t>10</w:t>
            </w:r>
            <w:r w:rsidRPr="00D178CE">
              <w:rPr>
                <w:sz w:val="20"/>
                <w:szCs w:val="20"/>
              </w:rPr>
              <w:t xml:space="preserve"> </w:t>
            </w:r>
            <w:proofErr w:type="spellStart"/>
            <w:r w:rsidRPr="00D178CE">
              <w:rPr>
                <w:sz w:val="20"/>
                <w:szCs w:val="20"/>
              </w:rPr>
              <w:t>vp</w:t>
            </w:r>
            <w:r w:rsidRPr="00D178CE">
              <w:rPr>
                <w:sz w:val="20"/>
                <w:szCs w:val="20"/>
                <w:vertAlign w:val="superscript"/>
              </w:rPr>
              <w:t>b</w:t>
            </w:r>
            <w:proofErr w:type="spellEnd"/>
          </w:p>
        </w:tc>
      </w:tr>
      <w:tr w:rsidR="00DD63A5" w:rsidRPr="00D178CE" w14:paraId="33BAB3FA" w14:textId="77777777" w:rsidTr="00A8128F">
        <w:tc>
          <w:tcPr>
            <w:tcW w:w="1018" w:type="pct"/>
          </w:tcPr>
          <w:p w14:paraId="0E42B4D9" w14:textId="3BB2A245" w:rsidR="00C5339A" w:rsidRPr="00D178CE" w:rsidRDefault="00C5339A" w:rsidP="009674B3">
            <w:pPr>
              <w:ind w:left="0"/>
              <w:rPr>
                <w:sz w:val="20"/>
                <w:szCs w:val="20"/>
              </w:rPr>
            </w:pPr>
            <w:r w:rsidRPr="00D178CE">
              <w:rPr>
                <w:sz w:val="20"/>
                <w:szCs w:val="20"/>
              </w:rPr>
              <w:t>Control</w:t>
            </w:r>
          </w:p>
        </w:tc>
        <w:tc>
          <w:tcPr>
            <w:tcW w:w="958" w:type="pct"/>
          </w:tcPr>
          <w:p w14:paraId="302090EC" w14:textId="4F081698" w:rsidR="00C5339A" w:rsidRPr="00D178CE" w:rsidRDefault="00C5339A" w:rsidP="009674B3">
            <w:pPr>
              <w:ind w:left="0"/>
              <w:rPr>
                <w:sz w:val="20"/>
                <w:szCs w:val="20"/>
              </w:rPr>
            </w:pPr>
            <w:proofErr w:type="spellStart"/>
            <w:r w:rsidRPr="00D178CE">
              <w:rPr>
                <w:sz w:val="20"/>
                <w:szCs w:val="20"/>
              </w:rPr>
              <w:t>MenACWY</w:t>
            </w:r>
            <w:proofErr w:type="spellEnd"/>
          </w:p>
        </w:tc>
        <w:tc>
          <w:tcPr>
            <w:tcW w:w="993" w:type="pct"/>
          </w:tcPr>
          <w:p w14:paraId="6C646807" w14:textId="0457A3C8" w:rsidR="00C5339A" w:rsidRPr="00D178CE" w:rsidRDefault="00C5339A" w:rsidP="009674B3">
            <w:pPr>
              <w:ind w:left="0"/>
              <w:rPr>
                <w:sz w:val="20"/>
                <w:szCs w:val="20"/>
              </w:rPr>
            </w:pPr>
            <w:proofErr w:type="spellStart"/>
            <w:r w:rsidRPr="00D178CE">
              <w:rPr>
                <w:sz w:val="20"/>
                <w:szCs w:val="20"/>
              </w:rPr>
              <w:t>MenACWY</w:t>
            </w:r>
            <w:proofErr w:type="spellEnd"/>
          </w:p>
        </w:tc>
        <w:tc>
          <w:tcPr>
            <w:tcW w:w="1025" w:type="pct"/>
          </w:tcPr>
          <w:p w14:paraId="62F7BA85" w14:textId="78E99D4C" w:rsidR="00C5339A" w:rsidRPr="00D178CE" w:rsidRDefault="00C5339A" w:rsidP="009674B3">
            <w:pPr>
              <w:ind w:left="0"/>
              <w:rPr>
                <w:sz w:val="20"/>
                <w:szCs w:val="20"/>
              </w:rPr>
            </w:pPr>
            <w:proofErr w:type="spellStart"/>
            <w:r w:rsidRPr="00D178CE">
              <w:rPr>
                <w:sz w:val="20"/>
                <w:szCs w:val="20"/>
              </w:rPr>
              <w:t>MenACWY</w:t>
            </w:r>
            <w:proofErr w:type="spellEnd"/>
            <w:r w:rsidRPr="00D178CE">
              <w:rPr>
                <w:sz w:val="20"/>
                <w:szCs w:val="20"/>
              </w:rPr>
              <w:t xml:space="preserve"> (first dose</w:t>
            </w:r>
            <w:proofErr w:type="gramStart"/>
            <w:r w:rsidRPr="00D178CE">
              <w:rPr>
                <w:sz w:val="20"/>
                <w:szCs w:val="20"/>
              </w:rPr>
              <w:t>)</w:t>
            </w:r>
            <w:r w:rsidR="00DD63A5" w:rsidRPr="00D178CE">
              <w:rPr>
                <w:sz w:val="20"/>
                <w:szCs w:val="20"/>
              </w:rPr>
              <w:t>;</w:t>
            </w:r>
            <w:r w:rsidR="00CC2D41" w:rsidRPr="00D178CE">
              <w:rPr>
                <w:sz w:val="20"/>
                <w:szCs w:val="20"/>
              </w:rPr>
              <w:t>saline</w:t>
            </w:r>
            <w:proofErr w:type="gramEnd"/>
            <w:r w:rsidR="00CC2D41" w:rsidRPr="00D178CE">
              <w:rPr>
                <w:sz w:val="20"/>
                <w:szCs w:val="20"/>
              </w:rPr>
              <w:t xml:space="preserve"> placebo </w:t>
            </w:r>
            <w:r w:rsidRPr="00D178CE">
              <w:rPr>
                <w:sz w:val="20"/>
                <w:szCs w:val="20"/>
              </w:rPr>
              <w:t>(second dose)</w:t>
            </w:r>
          </w:p>
        </w:tc>
        <w:tc>
          <w:tcPr>
            <w:tcW w:w="1006" w:type="pct"/>
          </w:tcPr>
          <w:p w14:paraId="54BB6266" w14:textId="36B09130" w:rsidR="00C5339A" w:rsidRPr="00D178CE" w:rsidRDefault="00C5339A" w:rsidP="009674B3">
            <w:pPr>
              <w:ind w:left="0"/>
              <w:rPr>
                <w:sz w:val="20"/>
                <w:szCs w:val="20"/>
              </w:rPr>
            </w:pPr>
            <w:r w:rsidRPr="00D178CE">
              <w:rPr>
                <w:sz w:val="20"/>
                <w:szCs w:val="20"/>
              </w:rPr>
              <w:t>Saline</w:t>
            </w:r>
            <w:r w:rsidR="00DD63A5" w:rsidRPr="00D178CE">
              <w:rPr>
                <w:sz w:val="20"/>
                <w:szCs w:val="20"/>
              </w:rPr>
              <w:t>;</w:t>
            </w:r>
            <w:r w:rsidRPr="00D178CE">
              <w:rPr>
                <w:sz w:val="20"/>
                <w:szCs w:val="20"/>
              </w:rPr>
              <w:t xml:space="preserve"> </w:t>
            </w:r>
            <w:r w:rsidR="00CC2D41" w:rsidRPr="00D178CE">
              <w:rPr>
                <w:sz w:val="20"/>
                <w:szCs w:val="20"/>
              </w:rPr>
              <w:t>p</w:t>
            </w:r>
            <w:r w:rsidRPr="00D178CE">
              <w:rPr>
                <w:sz w:val="20"/>
                <w:szCs w:val="20"/>
              </w:rPr>
              <w:t>lacebo</w:t>
            </w:r>
          </w:p>
        </w:tc>
      </w:tr>
      <w:tr w:rsidR="00DD63A5" w:rsidRPr="00D178CE" w14:paraId="4028E96F" w14:textId="77777777" w:rsidTr="00A8128F">
        <w:tc>
          <w:tcPr>
            <w:tcW w:w="1018" w:type="pct"/>
          </w:tcPr>
          <w:p w14:paraId="13E96516" w14:textId="6E8FBCA8" w:rsidR="00C5339A" w:rsidRPr="00D178CE" w:rsidRDefault="00C5339A" w:rsidP="009674B3">
            <w:pPr>
              <w:ind w:left="0"/>
              <w:rPr>
                <w:sz w:val="20"/>
                <w:szCs w:val="20"/>
              </w:rPr>
            </w:pPr>
            <w:r w:rsidRPr="00D178CE">
              <w:rPr>
                <w:sz w:val="20"/>
                <w:szCs w:val="20"/>
              </w:rPr>
              <w:t xml:space="preserve">Planned </w:t>
            </w:r>
            <w:r w:rsidR="00CC2D41" w:rsidRPr="00D178CE">
              <w:rPr>
                <w:sz w:val="20"/>
                <w:szCs w:val="20"/>
              </w:rPr>
              <w:t>d</w:t>
            </w:r>
            <w:r w:rsidRPr="00D178CE">
              <w:rPr>
                <w:sz w:val="20"/>
                <w:szCs w:val="20"/>
              </w:rPr>
              <w:t>ose interval</w:t>
            </w:r>
          </w:p>
        </w:tc>
        <w:tc>
          <w:tcPr>
            <w:tcW w:w="958" w:type="pct"/>
          </w:tcPr>
          <w:p w14:paraId="7BD7A719" w14:textId="00B86B55" w:rsidR="00C5339A" w:rsidRPr="00D178CE" w:rsidRDefault="00CC2D41" w:rsidP="009674B3">
            <w:pPr>
              <w:ind w:left="0"/>
              <w:rPr>
                <w:sz w:val="20"/>
                <w:szCs w:val="20"/>
              </w:rPr>
            </w:pPr>
            <w:r w:rsidRPr="00D178CE">
              <w:rPr>
                <w:sz w:val="20"/>
                <w:szCs w:val="20"/>
              </w:rPr>
              <w:t xml:space="preserve">4 to </w:t>
            </w:r>
            <w:r w:rsidR="00C5339A" w:rsidRPr="00D178CE">
              <w:rPr>
                <w:sz w:val="20"/>
                <w:szCs w:val="20"/>
              </w:rPr>
              <w:t>8 w</w:t>
            </w:r>
            <w:r w:rsidR="00DD63A5" w:rsidRPr="00D178CE">
              <w:rPr>
                <w:sz w:val="20"/>
                <w:szCs w:val="20"/>
              </w:rPr>
              <w:t>eeks</w:t>
            </w:r>
          </w:p>
        </w:tc>
        <w:tc>
          <w:tcPr>
            <w:tcW w:w="993" w:type="pct"/>
          </w:tcPr>
          <w:p w14:paraId="1B326D6F" w14:textId="5C2ECFB2" w:rsidR="00C5339A" w:rsidRPr="00D178CE" w:rsidRDefault="00C5339A" w:rsidP="009674B3">
            <w:pPr>
              <w:ind w:left="0"/>
              <w:rPr>
                <w:sz w:val="20"/>
                <w:szCs w:val="20"/>
              </w:rPr>
            </w:pPr>
            <w:r w:rsidRPr="00D178CE">
              <w:rPr>
                <w:sz w:val="20"/>
                <w:szCs w:val="20"/>
              </w:rPr>
              <w:t xml:space="preserve">4 </w:t>
            </w:r>
            <w:r w:rsidR="00CC2D41" w:rsidRPr="00D178CE">
              <w:rPr>
                <w:sz w:val="20"/>
                <w:szCs w:val="20"/>
              </w:rPr>
              <w:t xml:space="preserve">to </w:t>
            </w:r>
            <w:r w:rsidRPr="00D178CE">
              <w:rPr>
                <w:sz w:val="20"/>
                <w:szCs w:val="20"/>
              </w:rPr>
              <w:t>6 w</w:t>
            </w:r>
            <w:r w:rsidR="00DD63A5" w:rsidRPr="00D178CE">
              <w:rPr>
                <w:sz w:val="20"/>
                <w:szCs w:val="20"/>
              </w:rPr>
              <w:t>eeks</w:t>
            </w:r>
          </w:p>
        </w:tc>
        <w:tc>
          <w:tcPr>
            <w:tcW w:w="1025" w:type="pct"/>
          </w:tcPr>
          <w:p w14:paraId="789CFED5" w14:textId="0AFC3F2F" w:rsidR="00C5339A" w:rsidRPr="00D178CE" w:rsidRDefault="00C5339A" w:rsidP="009674B3">
            <w:pPr>
              <w:ind w:left="0"/>
              <w:rPr>
                <w:sz w:val="20"/>
                <w:szCs w:val="20"/>
              </w:rPr>
            </w:pPr>
            <w:r w:rsidRPr="00D178CE">
              <w:rPr>
                <w:sz w:val="20"/>
                <w:szCs w:val="20"/>
              </w:rPr>
              <w:t>4</w:t>
            </w:r>
            <w:r w:rsidR="00CC2D41" w:rsidRPr="00D178CE">
              <w:rPr>
                <w:sz w:val="20"/>
                <w:szCs w:val="20"/>
              </w:rPr>
              <w:t xml:space="preserve"> to</w:t>
            </w:r>
            <w:r w:rsidRPr="00D178CE">
              <w:rPr>
                <w:sz w:val="20"/>
                <w:szCs w:val="20"/>
              </w:rPr>
              <w:t xml:space="preserve"> 12 w</w:t>
            </w:r>
            <w:r w:rsidR="00DD63A5" w:rsidRPr="00D178CE">
              <w:rPr>
                <w:sz w:val="20"/>
                <w:szCs w:val="20"/>
              </w:rPr>
              <w:t>eeks</w:t>
            </w:r>
          </w:p>
        </w:tc>
        <w:tc>
          <w:tcPr>
            <w:tcW w:w="1006" w:type="pct"/>
          </w:tcPr>
          <w:p w14:paraId="39E92478" w14:textId="217B6A8F" w:rsidR="00C5339A" w:rsidRPr="00D178CE" w:rsidRDefault="00C5339A" w:rsidP="009674B3">
            <w:pPr>
              <w:ind w:left="0"/>
              <w:rPr>
                <w:sz w:val="20"/>
                <w:szCs w:val="20"/>
              </w:rPr>
            </w:pPr>
            <w:r w:rsidRPr="00D178CE">
              <w:rPr>
                <w:sz w:val="20"/>
                <w:szCs w:val="20"/>
              </w:rPr>
              <w:t>4 w</w:t>
            </w:r>
            <w:r w:rsidR="00DD63A5" w:rsidRPr="00D178CE">
              <w:rPr>
                <w:sz w:val="20"/>
                <w:szCs w:val="20"/>
              </w:rPr>
              <w:t>eeks</w:t>
            </w:r>
          </w:p>
        </w:tc>
      </w:tr>
      <w:tr w:rsidR="00DD63A5" w:rsidRPr="00D178CE" w14:paraId="1CFC6641" w14:textId="77777777" w:rsidTr="00A8128F">
        <w:tc>
          <w:tcPr>
            <w:tcW w:w="1018" w:type="pct"/>
          </w:tcPr>
          <w:p w14:paraId="7FE289D7" w14:textId="1E7184DA" w:rsidR="00C5339A" w:rsidRPr="00D178CE" w:rsidRDefault="00C5339A" w:rsidP="009674B3">
            <w:pPr>
              <w:ind w:left="0"/>
              <w:rPr>
                <w:sz w:val="20"/>
                <w:szCs w:val="20"/>
              </w:rPr>
            </w:pPr>
            <w:r w:rsidRPr="00D178CE">
              <w:rPr>
                <w:sz w:val="20"/>
                <w:szCs w:val="20"/>
              </w:rPr>
              <w:t xml:space="preserve">Case </w:t>
            </w:r>
            <w:r w:rsidR="00CC2D41" w:rsidRPr="00D178CE">
              <w:rPr>
                <w:sz w:val="20"/>
                <w:szCs w:val="20"/>
              </w:rPr>
              <w:t>d</w:t>
            </w:r>
            <w:r w:rsidRPr="00D178CE">
              <w:rPr>
                <w:sz w:val="20"/>
                <w:szCs w:val="20"/>
              </w:rPr>
              <w:t>etection</w:t>
            </w:r>
          </w:p>
        </w:tc>
        <w:tc>
          <w:tcPr>
            <w:tcW w:w="958" w:type="pct"/>
          </w:tcPr>
          <w:p w14:paraId="30CEFF1B" w14:textId="0822BB7A" w:rsidR="00C5339A" w:rsidRPr="00D178CE" w:rsidRDefault="00C5339A" w:rsidP="009674B3">
            <w:pPr>
              <w:ind w:left="0"/>
              <w:rPr>
                <w:sz w:val="20"/>
                <w:szCs w:val="20"/>
              </w:rPr>
            </w:pPr>
            <w:r w:rsidRPr="00D178CE">
              <w:rPr>
                <w:sz w:val="20"/>
                <w:szCs w:val="20"/>
              </w:rPr>
              <w:t>Passive</w:t>
            </w:r>
          </w:p>
        </w:tc>
        <w:tc>
          <w:tcPr>
            <w:tcW w:w="993" w:type="pct"/>
          </w:tcPr>
          <w:p w14:paraId="101D8E58" w14:textId="377EE999" w:rsidR="00C5339A" w:rsidRPr="00D178CE" w:rsidRDefault="00C5339A" w:rsidP="009674B3">
            <w:pPr>
              <w:ind w:left="0"/>
              <w:rPr>
                <w:sz w:val="20"/>
                <w:szCs w:val="20"/>
              </w:rPr>
            </w:pPr>
            <w:r w:rsidRPr="00D178CE">
              <w:rPr>
                <w:sz w:val="20"/>
                <w:szCs w:val="20"/>
              </w:rPr>
              <w:t>Passive and active (weekly swabbing, SARS-CoV-2 PCR)</w:t>
            </w:r>
          </w:p>
        </w:tc>
        <w:tc>
          <w:tcPr>
            <w:tcW w:w="1025" w:type="pct"/>
          </w:tcPr>
          <w:p w14:paraId="58EA9026" w14:textId="1AD467DA" w:rsidR="00C5339A" w:rsidRPr="00D178CE" w:rsidRDefault="00C5339A" w:rsidP="009674B3">
            <w:pPr>
              <w:ind w:left="0"/>
              <w:rPr>
                <w:sz w:val="20"/>
                <w:szCs w:val="20"/>
              </w:rPr>
            </w:pPr>
            <w:r w:rsidRPr="00D178CE">
              <w:rPr>
                <w:sz w:val="20"/>
                <w:szCs w:val="20"/>
              </w:rPr>
              <w:t>Passive</w:t>
            </w:r>
          </w:p>
        </w:tc>
        <w:tc>
          <w:tcPr>
            <w:tcW w:w="1006" w:type="pct"/>
          </w:tcPr>
          <w:p w14:paraId="39A8D4E7" w14:textId="61A0E4CB" w:rsidR="00C5339A" w:rsidRPr="00D178CE" w:rsidRDefault="00C5339A" w:rsidP="009674B3">
            <w:pPr>
              <w:ind w:left="0"/>
              <w:rPr>
                <w:sz w:val="20"/>
                <w:szCs w:val="20"/>
              </w:rPr>
            </w:pPr>
            <w:r w:rsidRPr="00D178CE">
              <w:rPr>
                <w:sz w:val="20"/>
                <w:szCs w:val="20"/>
              </w:rPr>
              <w:t>Passive and active (by-visit nasal swabs and/or saliva collection, SARS CoV-2 PCR)</w:t>
            </w:r>
          </w:p>
        </w:tc>
      </w:tr>
      <w:tr w:rsidR="00DD63A5" w:rsidRPr="00D178CE" w14:paraId="34615B30" w14:textId="77777777" w:rsidTr="00A8128F">
        <w:tc>
          <w:tcPr>
            <w:tcW w:w="1018" w:type="pct"/>
          </w:tcPr>
          <w:p w14:paraId="4006FD5D" w14:textId="74762E56" w:rsidR="00C5339A" w:rsidRPr="00D178CE" w:rsidRDefault="00C5339A" w:rsidP="009674B3">
            <w:pPr>
              <w:ind w:left="0"/>
              <w:rPr>
                <w:sz w:val="20"/>
                <w:szCs w:val="20"/>
              </w:rPr>
            </w:pPr>
            <w:r w:rsidRPr="00D178CE">
              <w:rPr>
                <w:sz w:val="20"/>
                <w:szCs w:val="20"/>
              </w:rPr>
              <w:t>Planned duration of Follow-up</w:t>
            </w:r>
          </w:p>
        </w:tc>
        <w:tc>
          <w:tcPr>
            <w:tcW w:w="958" w:type="pct"/>
          </w:tcPr>
          <w:p w14:paraId="6732BC23" w14:textId="74DC9D56" w:rsidR="00C5339A" w:rsidRPr="00D178CE" w:rsidRDefault="00C5339A" w:rsidP="009674B3">
            <w:pPr>
              <w:ind w:left="0"/>
              <w:rPr>
                <w:sz w:val="20"/>
                <w:szCs w:val="20"/>
              </w:rPr>
            </w:pPr>
            <w:r w:rsidRPr="00D178CE">
              <w:rPr>
                <w:sz w:val="20"/>
                <w:szCs w:val="20"/>
              </w:rPr>
              <w:t>364 days after the last dose</w:t>
            </w:r>
          </w:p>
        </w:tc>
        <w:tc>
          <w:tcPr>
            <w:tcW w:w="993" w:type="pct"/>
          </w:tcPr>
          <w:p w14:paraId="20688560" w14:textId="4E8CF56F" w:rsidR="00C5339A" w:rsidRPr="00D178CE" w:rsidRDefault="00C5339A" w:rsidP="009674B3">
            <w:pPr>
              <w:ind w:left="0"/>
              <w:rPr>
                <w:sz w:val="20"/>
                <w:szCs w:val="20"/>
              </w:rPr>
            </w:pPr>
            <w:r w:rsidRPr="00D178CE">
              <w:rPr>
                <w:sz w:val="20"/>
                <w:szCs w:val="20"/>
              </w:rPr>
              <w:t>364 days after the last dose</w:t>
            </w:r>
          </w:p>
        </w:tc>
        <w:tc>
          <w:tcPr>
            <w:tcW w:w="1025" w:type="pct"/>
          </w:tcPr>
          <w:p w14:paraId="64D1749C" w14:textId="10B093A5" w:rsidR="00C5339A" w:rsidRPr="00D178CE" w:rsidRDefault="00C5339A" w:rsidP="009674B3">
            <w:pPr>
              <w:ind w:left="0"/>
              <w:rPr>
                <w:sz w:val="20"/>
                <w:szCs w:val="20"/>
              </w:rPr>
            </w:pPr>
            <w:r w:rsidRPr="00D178CE">
              <w:rPr>
                <w:sz w:val="20"/>
                <w:szCs w:val="20"/>
              </w:rPr>
              <w:t>364 days after the last dose</w:t>
            </w:r>
          </w:p>
        </w:tc>
        <w:tc>
          <w:tcPr>
            <w:tcW w:w="1006" w:type="pct"/>
          </w:tcPr>
          <w:p w14:paraId="5273827A" w14:textId="611CDF21" w:rsidR="00C5339A" w:rsidRPr="00D178CE" w:rsidRDefault="00C5339A" w:rsidP="009674B3">
            <w:pPr>
              <w:ind w:left="0"/>
              <w:rPr>
                <w:sz w:val="20"/>
                <w:szCs w:val="20"/>
              </w:rPr>
            </w:pPr>
            <w:r w:rsidRPr="00D178CE">
              <w:rPr>
                <w:sz w:val="20"/>
                <w:szCs w:val="20"/>
              </w:rPr>
              <w:t>364 days after the first dose</w:t>
            </w:r>
          </w:p>
        </w:tc>
      </w:tr>
    </w:tbl>
    <w:p w14:paraId="6882CBF8" w14:textId="417CD1D6" w:rsidR="00CB05FC" w:rsidRDefault="00CB05FC" w:rsidP="00DF15F2">
      <w:pPr>
        <w:pStyle w:val="TableDescription"/>
      </w:pPr>
      <w:r>
        <w:t>a</w:t>
      </w:r>
      <w:r w:rsidR="00A56F05">
        <w:t>:</w:t>
      </w:r>
      <w:r>
        <w:t xml:space="preserve"> AstraZeneca assay of reference, b</w:t>
      </w:r>
      <w:r w:rsidR="00A56F05">
        <w:t>:</w:t>
      </w:r>
      <w:r>
        <w:t xml:space="preserve"> Estimated administered dose.</w:t>
      </w:r>
    </w:p>
    <w:p w14:paraId="249A21FC" w14:textId="28085AAE" w:rsidR="00CB05FC" w:rsidRDefault="00D178CE" w:rsidP="00DF15F2">
      <w:pPr>
        <w:pStyle w:val="TableDescription"/>
      </w:pPr>
      <w:r>
        <w:t xml:space="preserve">Approx. = approximately; </w:t>
      </w:r>
      <w:r w:rsidR="00CB05FC">
        <w:t>HIV = human immunodeficiency virus; IM = intramuscular;</w:t>
      </w:r>
      <w:r w:rsidR="007847B1">
        <w:t xml:space="preserve"> LD = low dose; </w:t>
      </w:r>
      <w:proofErr w:type="spellStart"/>
      <w:r w:rsidR="00CB05FC">
        <w:t>MenACWY</w:t>
      </w:r>
      <w:proofErr w:type="spellEnd"/>
      <w:r w:rsidR="00CB05FC">
        <w:t xml:space="preserve"> = meningococcal group </w:t>
      </w:r>
      <w:r w:rsidR="002F087E">
        <w:t>A, C, W</w:t>
      </w:r>
      <w:r w:rsidR="007847B1">
        <w:t xml:space="preserve">-135, and </w:t>
      </w:r>
      <w:r w:rsidR="002F087E">
        <w:t>Y</w:t>
      </w:r>
      <w:r w:rsidR="007847B1">
        <w:t xml:space="preserve"> conjugate vaccine; PCR = polymerase chain reaction; SD = standard dose; </w:t>
      </w:r>
      <w:proofErr w:type="spellStart"/>
      <w:r w:rsidR="007847B1">
        <w:t>vp</w:t>
      </w:r>
      <w:proofErr w:type="spellEnd"/>
      <w:r w:rsidR="002F087E">
        <w:t> </w:t>
      </w:r>
      <w:r w:rsidR="007847B1">
        <w:t>=</w:t>
      </w:r>
      <w:r w:rsidR="002F087E">
        <w:t> </w:t>
      </w:r>
      <w:r w:rsidR="007847B1">
        <w:t>viral particles</w:t>
      </w:r>
      <w:r w:rsidR="002F087E">
        <w:t>.</w:t>
      </w:r>
    </w:p>
    <w:p w14:paraId="0A3C64DD" w14:textId="376CB9F3" w:rsidR="00D84D93" w:rsidRPr="001510DA" w:rsidRDefault="00D84D93" w:rsidP="003D5889">
      <w:r w:rsidRPr="001510DA">
        <w:t xml:space="preserve">All clinical trials have had </w:t>
      </w:r>
      <w:proofErr w:type="gramStart"/>
      <w:r w:rsidR="001510DA">
        <w:t xml:space="preserve">a </w:t>
      </w:r>
      <w:r w:rsidRPr="001510DA">
        <w:t>number of</w:t>
      </w:r>
      <w:proofErr w:type="gramEnd"/>
      <w:r w:rsidRPr="001510DA">
        <w:t xml:space="preserve"> prot</w:t>
      </w:r>
      <w:r w:rsidR="001510DA">
        <w:t>ocol changes since commencement;</w:t>
      </w:r>
      <w:r w:rsidRPr="001510DA">
        <w:t xml:space="preserve"> </w:t>
      </w:r>
      <w:r w:rsidR="001510DA">
        <w:t>Study COV001 has had twelve</w:t>
      </w:r>
      <w:r w:rsidRPr="001510DA">
        <w:t xml:space="preserve">, </w:t>
      </w:r>
      <w:r w:rsidR="001510DA">
        <w:t>Study COV002 has had fourteen</w:t>
      </w:r>
      <w:r w:rsidRPr="001510DA">
        <w:t xml:space="preserve">, </w:t>
      </w:r>
      <w:r w:rsidR="001510DA">
        <w:t>Study COV003 has had eight</w:t>
      </w:r>
      <w:r w:rsidRPr="001510DA">
        <w:t xml:space="preserve"> and </w:t>
      </w:r>
      <w:r w:rsidR="001510DA">
        <w:t>Study COV005 has had four.</w:t>
      </w:r>
    </w:p>
    <w:p w14:paraId="49F6186C" w14:textId="7066AE84" w:rsidR="00D84D93" w:rsidRPr="001510DA" w:rsidRDefault="001510DA" w:rsidP="003D5889">
      <w:r>
        <w:t>Only S</w:t>
      </w:r>
      <w:r w:rsidR="00D84D93" w:rsidRPr="001510DA">
        <w:t>tudies C</w:t>
      </w:r>
      <w:r w:rsidR="003D5889" w:rsidRPr="001510DA">
        <w:t>O</w:t>
      </w:r>
      <w:r w:rsidR="00D84D93" w:rsidRPr="001510DA">
        <w:t>V002 and C</w:t>
      </w:r>
      <w:r w:rsidR="003D5889" w:rsidRPr="001510DA">
        <w:t>O</w:t>
      </w:r>
      <w:r w:rsidR="00D84D93" w:rsidRPr="001510DA">
        <w:t>V003 were used in the interim analysis for efficacy based on the date lock from 4 November 2020. This i</w:t>
      </w:r>
      <w:r>
        <w:t xml:space="preserve">s because </w:t>
      </w:r>
      <w:r w:rsidR="00951CFA">
        <w:t xml:space="preserve">the statistical analysis plan involved excluding studies were </w:t>
      </w:r>
      <w:r>
        <w:t>there were less than five cases detected</w:t>
      </w:r>
      <w:r w:rsidR="00951CFA">
        <w:t>, as was the case</w:t>
      </w:r>
      <w:r>
        <w:t xml:space="preserve"> in Studies COV001 and COV005.</w:t>
      </w:r>
    </w:p>
    <w:p w14:paraId="18AB8D5A" w14:textId="77777777" w:rsidR="0042498E" w:rsidRDefault="001510DA" w:rsidP="0042498E">
      <w:r>
        <w:t>The dosing regimens (that is</w:t>
      </w:r>
      <w:r w:rsidR="00D84D93" w:rsidRPr="001510DA">
        <w:t>, number of doses, dose level, an</w:t>
      </w:r>
      <w:r w:rsidR="003D5889" w:rsidRPr="001510DA">
        <w:t xml:space="preserve">d dose schedule) chosen for the </w:t>
      </w:r>
      <w:r>
        <w:t>four</w:t>
      </w:r>
      <w:r w:rsidR="00D84D93" w:rsidRPr="001510DA">
        <w:t xml:space="preserve"> University of Oxford-sponsored efficacy studies were se</w:t>
      </w:r>
      <w:r w:rsidR="003D5889" w:rsidRPr="001510DA">
        <w:t xml:space="preserve">lected on the basis of clinical </w:t>
      </w:r>
      <w:r w:rsidR="00D84D93" w:rsidRPr="001510DA">
        <w:t>experience with the ChAdOx1 adenovirus vector expressing diff</w:t>
      </w:r>
      <w:r w:rsidR="003D5889" w:rsidRPr="001510DA">
        <w:t xml:space="preserve">erent inserts and other similar </w:t>
      </w:r>
      <w:r w:rsidR="00D84D93" w:rsidRPr="001510DA">
        <w:t xml:space="preserve">adenovirus vectored vaccines. </w:t>
      </w:r>
      <w:r w:rsidR="005229E6" w:rsidRPr="001510DA">
        <w:t>Across the four</w:t>
      </w:r>
      <w:r w:rsidR="00D84D93" w:rsidRPr="001510DA">
        <w:t xml:space="preserve"> ongoi</w:t>
      </w:r>
      <w:r w:rsidR="003D5889" w:rsidRPr="001510DA">
        <w:t xml:space="preserve">ng studies, a single dose and a </w:t>
      </w:r>
      <w:proofErr w:type="gramStart"/>
      <w:r>
        <w:t xml:space="preserve">two </w:t>
      </w:r>
      <w:r w:rsidR="00D84D93" w:rsidRPr="001510DA">
        <w:t>dose</w:t>
      </w:r>
      <w:proofErr w:type="gramEnd"/>
      <w:r w:rsidR="00D84D93" w:rsidRPr="001510DA">
        <w:t xml:space="preserve"> regimen were being evaluated. Two AZD1222 dose le</w:t>
      </w:r>
      <w:r>
        <w:t>vels were a standard dose (SD) of approximately 5 x</w:t>
      </w:r>
      <w:r w:rsidR="00D84D93" w:rsidRPr="001510DA">
        <w:t xml:space="preserve"> 10</w:t>
      </w:r>
      <w:r w:rsidR="00D84D93" w:rsidRPr="001510DA">
        <w:rPr>
          <w:vertAlign w:val="superscript"/>
        </w:rPr>
        <w:t>10</w:t>
      </w:r>
      <w:r w:rsidR="00D84D93" w:rsidRPr="001510DA">
        <w:t xml:space="preserve"> </w:t>
      </w:r>
      <w:proofErr w:type="spellStart"/>
      <w:r w:rsidR="00D84D93" w:rsidRPr="001510DA">
        <w:t>vp</w:t>
      </w:r>
      <w:proofErr w:type="spellEnd"/>
      <w:r w:rsidR="00D84D93" w:rsidRPr="001510DA">
        <w:t xml:space="preserve"> a</w:t>
      </w:r>
      <w:r>
        <w:t>nd a low dose (LD) of 2.2 to 2.5 x</w:t>
      </w:r>
      <w:r w:rsidR="00D84D93" w:rsidRPr="001510DA">
        <w:t xml:space="preserve"> 10</w:t>
      </w:r>
      <w:r w:rsidR="00D84D93" w:rsidRPr="001510DA">
        <w:rPr>
          <w:vertAlign w:val="superscript"/>
        </w:rPr>
        <w:t>10</w:t>
      </w:r>
      <w:r w:rsidR="00D84D93" w:rsidRPr="001510DA">
        <w:t xml:space="preserve"> </w:t>
      </w:r>
      <w:proofErr w:type="spellStart"/>
      <w:r w:rsidR="00D84D93" w:rsidRPr="001510DA">
        <w:t>vp</w:t>
      </w:r>
      <w:proofErr w:type="spellEnd"/>
      <w:r w:rsidR="00D84D93" w:rsidRPr="001510DA">
        <w:t>.</w:t>
      </w:r>
    </w:p>
    <w:p w14:paraId="27C83FF6" w14:textId="00C1D532" w:rsidR="00D84D93" w:rsidRPr="001510DA" w:rsidRDefault="00D84D93" w:rsidP="0042498E">
      <w:r w:rsidRPr="001510DA">
        <w:lastRenderedPageBreak/>
        <w:t xml:space="preserve">Due to differences in concentration determination between analytical methods, a subset of participants in Studies COV002 and COV005 who were due to receive </w:t>
      </w:r>
      <w:r w:rsidR="001E6229">
        <w:t xml:space="preserve">the </w:t>
      </w:r>
      <w:r w:rsidRPr="001510DA">
        <w:t xml:space="preserve">SD </w:t>
      </w:r>
      <w:proofErr w:type="gramStart"/>
      <w:r w:rsidRPr="001510DA">
        <w:t>actually received</w:t>
      </w:r>
      <w:proofErr w:type="gramEnd"/>
      <w:r w:rsidRPr="001510DA">
        <w:t xml:space="preserve"> </w:t>
      </w:r>
      <w:r w:rsidR="001E6229">
        <w:t xml:space="preserve">the </w:t>
      </w:r>
      <w:r w:rsidRPr="001510DA">
        <w:t>LD.</w:t>
      </w:r>
    </w:p>
    <w:p w14:paraId="5B5209C0" w14:textId="55ADFF01" w:rsidR="00D84D93" w:rsidRDefault="00D84D93" w:rsidP="003D5889">
      <w:pPr>
        <w:rPr>
          <w:rFonts w:asciiTheme="minorHAnsi" w:eastAsia="TimesNewRoman" w:hAnsiTheme="minorHAnsi" w:cs="TimesNewRoman"/>
        </w:rPr>
      </w:pPr>
      <w:r w:rsidRPr="001510DA">
        <w:rPr>
          <w:rFonts w:asciiTheme="minorHAnsi" w:eastAsia="TimesNewRoman" w:hAnsiTheme="minorHAnsi" w:cs="TimesNewRoman"/>
        </w:rPr>
        <w:t>The initial intent of this programme was to impleme</w:t>
      </w:r>
      <w:r w:rsidR="001510DA">
        <w:rPr>
          <w:rFonts w:asciiTheme="minorHAnsi" w:eastAsia="TimesNewRoman" w:hAnsiTheme="minorHAnsi" w:cs="TimesNewRoman"/>
        </w:rPr>
        <w:t>nt a one dose only immunis</w:t>
      </w:r>
      <w:r w:rsidR="003D5889" w:rsidRPr="001510DA">
        <w:rPr>
          <w:rFonts w:asciiTheme="minorHAnsi" w:eastAsia="TimesNewRoman" w:hAnsiTheme="minorHAnsi" w:cs="TimesNewRoman"/>
        </w:rPr>
        <w:t xml:space="preserve">ation </w:t>
      </w:r>
      <w:r w:rsidRPr="001510DA">
        <w:rPr>
          <w:rFonts w:asciiTheme="minorHAnsi" w:eastAsia="TimesNewRoman" w:hAnsiTheme="minorHAnsi" w:cs="TimesNewRoman"/>
        </w:rPr>
        <w:t xml:space="preserve">schedule. </w:t>
      </w:r>
      <w:proofErr w:type="gramStart"/>
      <w:r w:rsidRPr="001510DA">
        <w:rPr>
          <w:rFonts w:asciiTheme="minorHAnsi" w:eastAsia="TimesNewRoman" w:hAnsiTheme="minorHAnsi" w:cs="TimesNewRoman"/>
        </w:rPr>
        <w:t>Following review of immunogenicity data from Study COV001, it</w:t>
      </w:r>
      <w:proofErr w:type="gramEnd"/>
      <w:r w:rsidRPr="001510DA">
        <w:rPr>
          <w:rFonts w:asciiTheme="minorHAnsi" w:eastAsia="TimesNewRoman" w:hAnsiTheme="minorHAnsi" w:cs="TimesNewRoman"/>
        </w:rPr>
        <w:t xml:space="preserve"> became apparent that a second dose provided increased immunogenicity. This led to a decision to </w:t>
      </w:r>
      <w:r w:rsidR="001510DA">
        <w:rPr>
          <w:rFonts w:asciiTheme="minorHAnsi" w:eastAsia="TimesNewRoman" w:hAnsiTheme="minorHAnsi" w:cs="TimesNewRoman"/>
        </w:rPr>
        <w:t xml:space="preserve">more extensively evaluate a </w:t>
      </w:r>
      <w:proofErr w:type="gramStart"/>
      <w:r w:rsidR="001510DA">
        <w:rPr>
          <w:rFonts w:asciiTheme="minorHAnsi" w:eastAsia="TimesNewRoman" w:hAnsiTheme="minorHAnsi" w:cs="TimesNewRoman"/>
        </w:rPr>
        <w:t xml:space="preserve">two </w:t>
      </w:r>
      <w:r w:rsidRPr="001510DA">
        <w:rPr>
          <w:rFonts w:asciiTheme="minorHAnsi" w:eastAsia="TimesNewRoman" w:hAnsiTheme="minorHAnsi" w:cs="TimesNewRoman"/>
        </w:rPr>
        <w:t>dose</w:t>
      </w:r>
      <w:proofErr w:type="gramEnd"/>
      <w:r w:rsidRPr="001510DA">
        <w:rPr>
          <w:rFonts w:asciiTheme="minorHAnsi" w:eastAsia="TimesNewRoman" w:hAnsiTheme="minorHAnsi" w:cs="TimesNewRoman"/>
        </w:rPr>
        <w:t xml:space="preserve"> schedule. In the context of logistical constraints related to the rapid conditions in which this clinical programme and scale-up manufacturing were initiated in parallel, delays occurred in clinical trial material availability for second dose vacc</w:t>
      </w:r>
      <w:r w:rsidR="001510DA">
        <w:rPr>
          <w:rFonts w:asciiTheme="minorHAnsi" w:eastAsia="TimesNewRoman" w:hAnsiTheme="minorHAnsi" w:cs="TimesNewRoman"/>
        </w:rPr>
        <w:t>inations,</w:t>
      </w:r>
      <w:r w:rsidR="001E6229">
        <w:rPr>
          <w:rFonts w:asciiTheme="minorHAnsi" w:eastAsia="TimesNewRoman" w:hAnsiTheme="minorHAnsi" w:cs="TimesNewRoman"/>
        </w:rPr>
        <w:t xml:space="preserve"> </w:t>
      </w:r>
      <w:r w:rsidR="001510DA">
        <w:rPr>
          <w:rFonts w:asciiTheme="minorHAnsi" w:eastAsia="TimesNewRoman" w:hAnsiTheme="minorHAnsi" w:cs="TimesNewRoman"/>
        </w:rPr>
        <w:t xml:space="preserve">mainly </w:t>
      </w:r>
      <w:r w:rsidR="001E6229">
        <w:rPr>
          <w:rFonts w:asciiTheme="minorHAnsi" w:eastAsia="TimesNewRoman" w:hAnsiTheme="minorHAnsi" w:cs="TimesNewRoman"/>
        </w:rPr>
        <w:t xml:space="preserve">in </w:t>
      </w:r>
      <w:r w:rsidR="001510DA">
        <w:rPr>
          <w:rFonts w:asciiTheme="minorHAnsi" w:eastAsia="TimesNewRoman" w:hAnsiTheme="minorHAnsi" w:cs="TimesNewRoman"/>
        </w:rPr>
        <w:t>the UK</w:t>
      </w:r>
      <w:r w:rsidR="001E6229">
        <w:rPr>
          <w:rFonts w:asciiTheme="minorHAnsi" w:eastAsia="TimesNewRoman" w:hAnsiTheme="minorHAnsi" w:cs="TimesNewRoman"/>
        </w:rPr>
        <w:t>-based</w:t>
      </w:r>
      <w:r w:rsidR="001510DA">
        <w:rPr>
          <w:rFonts w:asciiTheme="minorHAnsi" w:eastAsia="TimesNewRoman" w:hAnsiTheme="minorHAnsi" w:cs="TimesNewRoman"/>
        </w:rPr>
        <w:t xml:space="preserve"> studies, Studies </w:t>
      </w:r>
      <w:r w:rsidRPr="001510DA">
        <w:rPr>
          <w:rFonts w:asciiTheme="minorHAnsi" w:eastAsia="TimesNewRoman" w:hAnsiTheme="minorHAnsi" w:cs="TimesNewRoman"/>
        </w:rPr>
        <w:t>COV001 and COV002. The interval between doses 1 and 2 was originally intended to range from 4</w:t>
      </w:r>
      <w:r w:rsidR="001E6229">
        <w:rPr>
          <w:rFonts w:asciiTheme="minorHAnsi" w:eastAsia="TimesNewRoman" w:hAnsiTheme="minorHAnsi" w:cs="TimesNewRoman"/>
        </w:rPr>
        <w:t> </w:t>
      </w:r>
      <w:r w:rsidRPr="001510DA">
        <w:rPr>
          <w:rFonts w:asciiTheme="minorHAnsi" w:eastAsia="TimesNewRoman" w:hAnsiTheme="minorHAnsi" w:cs="TimesNewRoman"/>
        </w:rPr>
        <w:t>to 12</w:t>
      </w:r>
      <w:r w:rsidR="001E6229">
        <w:rPr>
          <w:rFonts w:asciiTheme="minorHAnsi" w:eastAsia="TimesNewRoman" w:hAnsiTheme="minorHAnsi" w:cs="TimesNewRoman"/>
        </w:rPr>
        <w:t> </w:t>
      </w:r>
      <w:r w:rsidRPr="001510DA">
        <w:rPr>
          <w:rFonts w:asciiTheme="minorHAnsi" w:eastAsia="TimesNewRoman" w:hAnsiTheme="minorHAnsi" w:cs="TimesNewRoman"/>
        </w:rPr>
        <w:t xml:space="preserve">weeks, however extended to </w:t>
      </w:r>
      <w:proofErr w:type="gramStart"/>
      <w:r w:rsidRPr="001510DA">
        <w:rPr>
          <w:rFonts w:asciiTheme="minorHAnsi" w:eastAsia="TimesNewRoman" w:hAnsiTheme="minorHAnsi" w:cs="TimesNewRoman"/>
        </w:rPr>
        <w:t>as long as</w:t>
      </w:r>
      <w:proofErr w:type="gramEnd"/>
      <w:r w:rsidRPr="001510DA">
        <w:rPr>
          <w:rFonts w:asciiTheme="minorHAnsi" w:eastAsia="TimesNewRoman" w:hAnsiTheme="minorHAnsi" w:cs="TimesNewRoman"/>
        </w:rPr>
        <w:t xml:space="preserve"> 26 weeks</w:t>
      </w:r>
      <w:r w:rsidR="001510DA">
        <w:rPr>
          <w:rFonts w:asciiTheme="minorHAnsi" w:eastAsia="TimesNewRoman" w:hAnsiTheme="minorHAnsi" w:cs="TimesNewRoman"/>
        </w:rPr>
        <w:t>.</w:t>
      </w:r>
    </w:p>
    <w:p w14:paraId="0F1CA800" w14:textId="6CE58598" w:rsidR="00951CFA" w:rsidRDefault="00951CFA" w:rsidP="003D5889">
      <w:pPr>
        <w:rPr>
          <w:rFonts w:asciiTheme="minorHAnsi" w:eastAsia="TimesNewRoman" w:hAnsiTheme="minorHAnsi" w:cs="TimesNewRoman"/>
        </w:rPr>
      </w:pPr>
      <w:r>
        <w:rPr>
          <w:rFonts w:asciiTheme="minorHAnsi" w:eastAsia="TimesNewRoman" w:hAnsiTheme="minorHAnsi" w:cs="TimesNewRoman"/>
        </w:rPr>
        <w:t>Changes to the study protocol such as this are not ideal, however are an accepted phenomenon seen with vaccines developed in the context of a pandemic.</w:t>
      </w:r>
    </w:p>
    <w:p w14:paraId="754CE5C9" w14:textId="395EF9A7" w:rsidR="00D84D93" w:rsidRPr="000950A8" w:rsidRDefault="003D5889" w:rsidP="003D5889">
      <w:pPr>
        <w:pStyle w:val="Heading5"/>
        <w:rPr>
          <w:rFonts w:eastAsia="TimesNewRoman"/>
        </w:rPr>
      </w:pPr>
      <w:r>
        <w:rPr>
          <w:rFonts w:eastAsia="TimesNewRoman"/>
        </w:rPr>
        <w:t>Efficacy endpoint</w:t>
      </w:r>
    </w:p>
    <w:p w14:paraId="22184476" w14:textId="55758081" w:rsidR="00D84D93" w:rsidRDefault="00D84D93" w:rsidP="00C74B6C">
      <w:pPr>
        <w:autoSpaceDE w:val="0"/>
        <w:autoSpaceDN w:val="0"/>
        <w:adjustRightInd w:val="0"/>
        <w:spacing w:before="0" w:after="0" w:line="240" w:lineRule="auto"/>
        <w:rPr>
          <w:rFonts w:asciiTheme="minorHAnsi" w:eastAsia="TimesNewRoman" w:hAnsiTheme="minorHAnsi" w:cs="TimesNewRoman"/>
        </w:rPr>
      </w:pPr>
      <w:r>
        <w:rPr>
          <w:rFonts w:asciiTheme="minorHAnsi" w:eastAsia="TimesNewRoman" w:hAnsiTheme="minorHAnsi" w:cs="TimesNewRoman"/>
        </w:rPr>
        <w:t xml:space="preserve">The primary efficacy endpoint was patients with symptoms (either fever </w:t>
      </w:r>
      <w:r w:rsidR="006005D8" w:rsidRPr="00E96F97">
        <w:rPr>
          <w:rFonts w:asciiTheme="minorHAnsi" w:eastAsia="TimesNewRoman" w:hAnsiTheme="minorHAnsi" w:cs="TimesNewRoman"/>
          <w:sz w:val="19"/>
          <w:szCs w:val="19"/>
        </w:rPr>
        <w:sym w:font="Symbol" w:char="F0B3"/>
      </w:r>
      <w:r>
        <w:rPr>
          <w:rFonts w:asciiTheme="minorHAnsi" w:eastAsia="TimesNewRoman" w:hAnsiTheme="minorHAnsi" w:cs="TimesNewRoman"/>
        </w:rPr>
        <w:t xml:space="preserve"> 37.8</w:t>
      </w:r>
      <w:r w:rsidR="001510DA">
        <w:rPr>
          <w:rFonts w:asciiTheme="minorHAnsi" w:eastAsia="TimesNewRoman" w:hAnsiTheme="minorHAnsi" w:cs="TimesNewRoman"/>
        </w:rPr>
        <w:t xml:space="preserve"> °C</w:t>
      </w:r>
      <w:r>
        <w:rPr>
          <w:rFonts w:asciiTheme="minorHAnsi" w:eastAsia="TimesNewRoman" w:hAnsiTheme="minorHAnsi" w:cs="TimesNewRoman"/>
        </w:rPr>
        <w:t>, cough, shortness of breath, anosmia or ageusia) and a pos</w:t>
      </w:r>
      <w:r w:rsidR="00DF15F2">
        <w:rPr>
          <w:rFonts w:asciiTheme="minorHAnsi" w:eastAsia="TimesNewRoman" w:hAnsiTheme="minorHAnsi" w:cs="TimesNewRoman"/>
        </w:rPr>
        <w:t xml:space="preserve">itive </w:t>
      </w:r>
      <w:r w:rsidR="001510DA">
        <w:rPr>
          <w:rFonts w:asciiTheme="minorHAnsi" w:eastAsia="TimesNewRoman" w:hAnsiTheme="minorHAnsi" w:cs="TimesNewRoman"/>
        </w:rPr>
        <w:t>r</w:t>
      </w:r>
      <w:r w:rsidR="001510DA" w:rsidRPr="001510DA">
        <w:rPr>
          <w:rFonts w:asciiTheme="minorHAnsi" w:eastAsia="TimesNewRoman" w:hAnsiTheme="minorHAnsi" w:cs="TimesNewRoman"/>
        </w:rPr>
        <w:t xml:space="preserve">everse transcription-polymerase chain reaction </w:t>
      </w:r>
      <w:r w:rsidR="001510DA">
        <w:rPr>
          <w:rFonts w:asciiTheme="minorHAnsi" w:eastAsia="TimesNewRoman" w:hAnsiTheme="minorHAnsi" w:cs="TimesNewRoman"/>
        </w:rPr>
        <w:t>(</w:t>
      </w:r>
      <w:r w:rsidR="00DF15F2">
        <w:rPr>
          <w:rFonts w:asciiTheme="minorHAnsi" w:eastAsia="TimesNewRoman" w:hAnsiTheme="minorHAnsi" w:cs="TimesNewRoman"/>
        </w:rPr>
        <w:t>RT-PCR</w:t>
      </w:r>
      <w:r w:rsidR="001510DA">
        <w:rPr>
          <w:rFonts w:asciiTheme="minorHAnsi" w:eastAsia="TimesNewRoman" w:hAnsiTheme="minorHAnsi" w:cs="TimesNewRoman"/>
        </w:rPr>
        <w:t>)</w:t>
      </w:r>
      <w:r w:rsidR="00DF15F2">
        <w:rPr>
          <w:rFonts w:asciiTheme="minorHAnsi" w:eastAsia="TimesNewRoman" w:hAnsiTheme="minorHAnsi" w:cs="TimesNewRoman"/>
        </w:rPr>
        <w:t xml:space="preserve"> test </w:t>
      </w:r>
      <w:r w:rsidR="00C74B6C">
        <w:rPr>
          <w:rFonts w:asciiTheme="minorHAnsi" w:eastAsia="TimesNewRoman" w:hAnsiTheme="minorHAnsi" w:cs="TimesNewRoman"/>
        </w:rPr>
        <w:t xml:space="preserve">(or other nucleic acid </w:t>
      </w:r>
      <w:r w:rsidR="00C74B6C" w:rsidRPr="00C74B6C">
        <w:rPr>
          <w:rFonts w:asciiTheme="minorHAnsi" w:eastAsia="TimesNewRoman" w:hAnsiTheme="minorHAnsi" w:cs="TimesNewRoman"/>
        </w:rPr>
        <w:t>amplification test)</w:t>
      </w:r>
      <w:r w:rsidR="00C74B6C">
        <w:rPr>
          <w:rFonts w:asciiTheme="minorHAnsi" w:eastAsia="TimesNewRoman" w:hAnsiTheme="minorHAnsi" w:cs="TimesNewRoman"/>
        </w:rPr>
        <w:t xml:space="preserve"> </w:t>
      </w:r>
      <w:r w:rsidR="00DF15F2">
        <w:rPr>
          <w:rFonts w:asciiTheme="minorHAnsi" w:eastAsia="TimesNewRoman" w:hAnsiTheme="minorHAnsi" w:cs="TimesNewRoman"/>
        </w:rPr>
        <w:t>for COVID-19.</w:t>
      </w:r>
      <w:r w:rsidR="001E6229">
        <w:rPr>
          <w:rFonts w:asciiTheme="minorHAnsi" w:eastAsia="TimesNewRoman" w:hAnsiTheme="minorHAnsi" w:cs="TimesNewRoman"/>
        </w:rPr>
        <w:t xml:space="preserve"> Definitions of </w:t>
      </w:r>
      <w:r w:rsidR="009674B3">
        <w:rPr>
          <w:rFonts w:asciiTheme="minorHAnsi" w:eastAsia="TimesNewRoman" w:hAnsiTheme="minorHAnsi" w:cs="TimesNewRoman"/>
        </w:rPr>
        <w:t>COVID</w:t>
      </w:r>
      <w:r w:rsidR="001E6229">
        <w:rPr>
          <w:rFonts w:asciiTheme="minorHAnsi" w:eastAsia="TimesNewRoman" w:hAnsiTheme="minorHAnsi" w:cs="TimesNewRoman"/>
        </w:rPr>
        <w:t>-19 cases for the evaluation of efficacy are given in Table 4, below.</w:t>
      </w:r>
    </w:p>
    <w:p w14:paraId="4BB7D42F" w14:textId="6CD384B5" w:rsidR="001510DA" w:rsidRPr="00804163" w:rsidRDefault="00DF15F2" w:rsidP="007133F9">
      <w:pPr>
        <w:pStyle w:val="TableTitle"/>
      </w:pPr>
      <w:r>
        <w:t xml:space="preserve">Table </w:t>
      </w:r>
      <w:r w:rsidR="002D3B9B">
        <w:fldChar w:fldCharType="begin"/>
      </w:r>
      <w:r w:rsidR="002D3B9B">
        <w:instrText xml:space="preserve"> SEQ Table \* ARABIC </w:instrText>
      </w:r>
      <w:r w:rsidR="002D3B9B">
        <w:fldChar w:fldCharType="separate"/>
      </w:r>
      <w:r w:rsidR="001D05A6">
        <w:rPr>
          <w:noProof/>
        </w:rPr>
        <w:t>4</w:t>
      </w:r>
      <w:r w:rsidR="002D3B9B">
        <w:rPr>
          <w:noProof/>
        </w:rPr>
        <w:fldChar w:fldCharType="end"/>
      </w:r>
      <w:r>
        <w:t xml:space="preserve">: </w:t>
      </w:r>
      <w:r w:rsidRPr="00DF15F2">
        <w:t>Definitions of COVID-19 cases for evaluation of efficacy</w:t>
      </w:r>
    </w:p>
    <w:tbl>
      <w:tblPr>
        <w:tblStyle w:val="TableTGAblue"/>
        <w:tblW w:w="0" w:type="auto"/>
        <w:tblLook w:val="04A0" w:firstRow="1" w:lastRow="0" w:firstColumn="1" w:lastColumn="0" w:noHBand="0" w:noVBand="1"/>
      </w:tblPr>
      <w:tblGrid>
        <w:gridCol w:w="3227"/>
        <w:gridCol w:w="5493"/>
      </w:tblGrid>
      <w:tr w:rsidR="001510DA" w14:paraId="0B309005" w14:textId="77777777" w:rsidTr="00804163">
        <w:trPr>
          <w:cnfStyle w:val="100000000000" w:firstRow="1" w:lastRow="0" w:firstColumn="0" w:lastColumn="0" w:oddVBand="0" w:evenVBand="0" w:oddHBand="0" w:evenHBand="0" w:firstRowFirstColumn="0" w:firstRowLastColumn="0" w:lastRowFirstColumn="0" w:lastRowLastColumn="0"/>
        </w:trPr>
        <w:tc>
          <w:tcPr>
            <w:tcW w:w="3227" w:type="dxa"/>
          </w:tcPr>
          <w:p w14:paraId="2A42D17B" w14:textId="7CD355C2" w:rsidR="001510DA" w:rsidRPr="001E6229" w:rsidRDefault="001510DA" w:rsidP="00E96F97">
            <w:r w:rsidRPr="001E6229">
              <w:t>Case</w:t>
            </w:r>
          </w:p>
        </w:tc>
        <w:tc>
          <w:tcPr>
            <w:tcW w:w="5493" w:type="dxa"/>
          </w:tcPr>
          <w:p w14:paraId="606B3080" w14:textId="040F1FA5" w:rsidR="001510DA" w:rsidRPr="001E6229" w:rsidRDefault="001510DA" w:rsidP="00E96F97">
            <w:r w:rsidRPr="001E6229">
              <w:t>Definition</w:t>
            </w:r>
          </w:p>
        </w:tc>
      </w:tr>
      <w:tr w:rsidR="001510DA" w14:paraId="420B8D60" w14:textId="77777777" w:rsidTr="00804163">
        <w:tc>
          <w:tcPr>
            <w:tcW w:w="3227" w:type="dxa"/>
          </w:tcPr>
          <w:p w14:paraId="6111CA69" w14:textId="1CC89D3B" w:rsidR="001510DA" w:rsidRDefault="00804163" w:rsidP="00E96F97">
            <w:pPr>
              <w:rPr>
                <w:rFonts w:asciiTheme="minorHAnsi" w:eastAsia="TimesNewRoman" w:hAnsiTheme="minorHAnsi" w:cs="TimesNewRoman"/>
              </w:rPr>
            </w:pPr>
            <w:r>
              <w:rPr>
                <w:rFonts w:asciiTheme="minorHAnsi" w:eastAsia="TimesNewRoman" w:hAnsiTheme="minorHAnsi" w:cs="TimesNewRoman"/>
              </w:rPr>
              <w:t>COVID-19 (primary) v</w:t>
            </w:r>
            <w:r w:rsidRPr="00804163">
              <w:rPr>
                <w:rFonts w:asciiTheme="minorHAnsi" w:eastAsia="TimesNewRoman" w:hAnsiTheme="minorHAnsi" w:cs="TimesNewRoman"/>
              </w:rPr>
              <w:t>irolo</w:t>
            </w:r>
            <w:r>
              <w:rPr>
                <w:rFonts w:asciiTheme="minorHAnsi" w:eastAsia="TimesNewRoman" w:hAnsiTheme="minorHAnsi" w:cs="TimesNewRoman"/>
              </w:rPr>
              <w:t xml:space="preserve">gically </w:t>
            </w:r>
            <w:proofErr w:type="spellStart"/>
            <w:r>
              <w:rPr>
                <w:rFonts w:asciiTheme="minorHAnsi" w:eastAsia="TimesNewRoman" w:hAnsiTheme="minorHAnsi" w:cs="TimesNewRoman"/>
              </w:rPr>
              <w:t>confirmed</w:t>
            </w:r>
            <w:r w:rsidRPr="00804163">
              <w:rPr>
                <w:rFonts w:asciiTheme="minorHAnsi" w:eastAsia="TimesNewRoman" w:hAnsiTheme="minorHAnsi" w:cs="TimesNewRoman"/>
                <w:vertAlign w:val="superscript"/>
              </w:rPr>
              <w:t>a</w:t>
            </w:r>
            <w:proofErr w:type="spellEnd"/>
            <w:r>
              <w:rPr>
                <w:rFonts w:asciiTheme="minorHAnsi" w:eastAsia="TimesNewRoman" w:hAnsiTheme="minorHAnsi" w:cs="TimesNewRoman"/>
              </w:rPr>
              <w:t xml:space="preserve"> symptomatic </w:t>
            </w:r>
            <w:r w:rsidRPr="00804163">
              <w:rPr>
                <w:rFonts w:asciiTheme="minorHAnsi" w:eastAsia="TimesNewRoman" w:hAnsiTheme="minorHAnsi" w:cs="TimesNewRoman"/>
              </w:rPr>
              <w:t>cases of COVID-19</w:t>
            </w:r>
          </w:p>
        </w:tc>
        <w:tc>
          <w:tcPr>
            <w:tcW w:w="5493" w:type="dxa"/>
          </w:tcPr>
          <w:p w14:paraId="028EF9A3" w14:textId="692CEF64" w:rsidR="001510DA" w:rsidRDefault="00804163" w:rsidP="00E96F97">
            <w:pPr>
              <w:rPr>
                <w:rFonts w:asciiTheme="minorHAnsi" w:eastAsia="TimesNewRoman" w:hAnsiTheme="minorHAnsi" w:cs="TimesNewRoman"/>
              </w:rPr>
            </w:pPr>
            <w:r w:rsidRPr="00804163">
              <w:rPr>
                <w:rFonts w:asciiTheme="minorHAnsi" w:eastAsia="TimesNewRoman" w:hAnsiTheme="minorHAnsi" w:cs="TimesNewRoman"/>
              </w:rPr>
              <w:t>Virologically confirmed SAR</w:t>
            </w:r>
            <w:r>
              <w:rPr>
                <w:rFonts w:asciiTheme="minorHAnsi" w:eastAsia="TimesNewRoman" w:hAnsiTheme="minorHAnsi" w:cs="TimesNewRoman"/>
              </w:rPr>
              <w:t xml:space="preserve">S-CoV-2 and at least one of the </w:t>
            </w:r>
            <w:r w:rsidRPr="00804163">
              <w:rPr>
                <w:rFonts w:asciiTheme="minorHAnsi" w:eastAsia="TimesNewRoman" w:hAnsiTheme="minorHAnsi" w:cs="TimesNewRoman"/>
              </w:rPr>
              <w:t>following symptoms: objectiv</w:t>
            </w:r>
            <w:r>
              <w:rPr>
                <w:rFonts w:asciiTheme="minorHAnsi" w:eastAsia="TimesNewRoman" w:hAnsiTheme="minorHAnsi" w:cs="TimesNewRoman"/>
              </w:rPr>
              <w:t xml:space="preserve">e fever (defined as </w:t>
            </w:r>
            <w:r w:rsidR="00E96F97">
              <w:rPr>
                <w:rFonts w:asciiTheme="minorHAnsi" w:eastAsia="TimesNewRoman" w:hAnsiTheme="minorHAnsi" w:cs="TimesNewRoman"/>
              </w:rPr>
              <w:sym w:font="Symbol" w:char="F0B3"/>
            </w:r>
            <w:r>
              <w:rPr>
                <w:rFonts w:asciiTheme="minorHAnsi" w:eastAsia="TimesNewRoman" w:hAnsiTheme="minorHAnsi" w:cs="TimesNewRoman"/>
              </w:rPr>
              <w:t xml:space="preserve"> 37.8 °C), </w:t>
            </w:r>
            <w:r w:rsidRPr="00804163">
              <w:rPr>
                <w:rFonts w:asciiTheme="minorHAnsi" w:eastAsia="TimesNewRoman" w:hAnsiTheme="minorHAnsi" w:cs="TimesNewRoman"/>
              </w:rPr>
              <w:t>cough, shortness of breath, an</w:t>
            </w:r>
            <w:r>
              <w:rPr>
                <w:rFonts w:asciiTheme="minorHAnsi" w:eastAsia="TimesNewRoman" w:hAnsiTheme="minorHAnsi" w:cs="TimesNewRoman"/>
              </w:rPr>
              <w:t xml:space="preserve">osmia, or ageusia. Confirmed by </w:t>
            </w:r>
            <w:r w:rsidRPr="00804163">
              <w:rPr>
                <w:rFonts w:asciiTheme="minorHAnsi" w:eastAsia="TimesNewRoman" w:hAnsiTheme="minorHAnsi" w:cs="TimesNewRoman"/>
              </w:rPr>
              <w:t>adjudication committee.</w:t>
            </w:r>
          </w:p>
        </w:tc>
      </w:tr>
      <w:tr w:rsidR="001510DA" w14:paraId="6F9821D8" w14:textId="77777777" w:rsidTr="00804163">
        <w:tc>
          <w:tcPr>
            <w:tcW w:w="3227" w:type="dxa"/>
          </w:tcPr>
          <w:p w14:paraId="503B6754" w14:textId="0214AE8F" w:rsidR="001510DA" w:rsidRDefault="00804163" w:rsidP="00E96F97">
            <w:pPr>
              <w:rPr>
                <w:rFonts w:asciiTheme="minorHAnsi" w:eastAsia="TimesNewRoman" w:hAnsiTheme="minorHAnsi" w:cs="TimesNewRoman"/>
              </w:rPr>
            </w:pPr>
            <w:r w:rsidRPr="00804163">
              <w:rPr>
                <w:rFonts w:asciiTheme="minorHAnsi" w:eastAsia="TimesNewRoman" w:hAnsiTheme="minorHAnsi" w:cs="TimesNewRoman"/>
              </w:rPr>
              <w:t>COVID-19 hospital admission</w:t>
            </w:r>
          </w:p>
        </w:tc>
        <w:tc>
          <w:tcPr>
            <w:tcW w:w="5493" w:type="dxa"/>
          </w:tcPr>
          <w:p w14:paraId="11F7EEFD" w14:textId="1234E86F" w:rsidR="001510DA" w:rsidRDefault="00804163" w:rsidP="00E96F97">
            <w:pPr>
              <w:rPr>
                <w:rFonts w:asciiTheme="minorHAnsi" w:eastAsia="TimesNewRoman" w:hAnsiTheme="minorHAnsi" w:cs="TimesNewRoman"/>
              </w:rPr>
            </w:pPr>
            <w:r>
              <w:rPr>
                <w:rFonts w:asciiTheme="minorHAnsi" w:eastAsia="TimesNewRoman" w:hAnsiTheme="minorHAnsi" w:cs="TimesNewRoman"/>
              </w:rPr>
              <w:t xml:space="preserve">WHO Grade </w:t>
            </w:r>
            <w:r w:rsidR="00E96F97">
              <w:rPr>
                <w:rFonts w:asciiTheme="minorHAnsi" w:eastAsia="TimesNewRoman" w:hAnsiTheme="minorHAnsi" w:cs="TimesNewRoman"/>
              </w:rPr>
              <w:sym w:font="Symbol" w:char="F0B3"/>
            </w:r>
            <w:r>
              <w:rPr>
                <w:rFonts w:asciiTheme="minorHAnsi" w:eastAsia="TimesNewRoman" w:hAnsiTheme="minorHAnsi" w:cs="TimesNewRoman"/>
              </w:rPr>
              <w:t xml:space="preserve"> 4</w:t>
            </w:r>
            <w:r w:rsidRPr="00804163">
              <w:rPr>
                <w:rFonts w:asciiTheme="minorHAnsi" w:eastAsia="TimesNewRoman" w:hAnsiTheme="minorHAnsi" w:cs="TimesNewRoman"/>
                <w:vertAlign w:val="superscript"/>
              </w:rPr>
              <w:t>b</w:t>
            </w:r>
          </w:p>
        </w:tc>
      </w:tr>
      <w:tr w:rsidR="001510DA" w14:paraId="6E6F4B89" w14:textId="77777777" w:rsidTr="00804163">
        <w:tc>
          <w:tcPr>
            <w:tcW w:w="3227" w:type="dxa"/>
          </w:tcPr>
          <w:p w14:paraId="3A5755AD" w14:textId="5F788FBB" w:rsidR="001510DA" w:rsidRDefault="00804163" w:rsidP="00E96F97">
            <w:pPr>
              <w:rPr>
                <w:rFonts w:asciiTheme="minorHAnsi" w:eastAsia="TimesNewRoman" w:hAnsiTheme="minorHAnsi" w:cs="TimesNewRoman"/>
              </w:rPr>
            </w:pPr>
            <w:r w:rsidRPr="00804163">
              <w:rPr>
                <w:rFonts w:asciiTheme="minorHAnsi" w:eastAsia="TimesNewRoman" w:hAnsiTheme="minorHAnsi" w:cs="TimesNewRoman"/>
              </w:rPr>
              <w:t>COVID-19 severe disease</w:t>
            </w:r>
          </w:p>
        </w:tc>
        <w:tc>
          <w:tcPr>
            <w:tcW w:w="5493" w:type="dxa"/>
          </w:tcPr>
          <w:p w14:paraId="437EB194" w14:textId="5F92B156" w:rsidR="001510DA" w:rsidRDefault="00804163" w:rsidP="00E96F97">
            <w:pPr>
              <w:rPr>
                <w:rFonts w:asciiTheme="minorHAnsi" w:eastAsia="TimesNewRoman" w:hAnsiTheme="minorHAnsi" w:cs="TimesNewRoman"/>
              </w:rPr>
            </w:pPr>
            <w:r>
              <w:rPr>
                <w:rFonts w:asciiTheme="minorHAnsi" w:eastAsia="TimesNewRoman" w:hAnsiTheme="minorHAnsi" w:cs="TimesNewRoman"/>
              </w:rPr>
              <w:t xml:space="preserve">WHO Grade </w:t>
            </w:r>
            <w:r w:rsidR="00E96F97">
              <w:rPr>
                <w:rFonts w:asciiTheme="minorHAnsi" w:eastAsia="TimesNewRoman" w:hAnsiTheme="minorHAnsi" w:cs="TimesNewRoman"/>
              </w:rPr>
              <w:sym w:font="Symbol" w:char="F0B3"/>
            </w:r>
            <w:r>
              <w:rPr>
                <w:rFonts w:asciiTheme="minorHAnsi" w:eastAsia="TimesNewRoman" w:hAnsiTheme="minorHAnsi" w:cs="TimesNewRoman"/>
              </w:rPr>
              <w:t xml:space="preserve"> 6</w:t>
            </w:r>
            <w:r w:rsidRPr="00804163">
              <w:rPr>
                <w:rFonts w:asciiTheme="minorHAnsi" w:eastAsia="TimesNewRoman" w:hAnsiTheme="minorHAnsi" w:cs="TimesNewRoman"/>
                <w:vertAlign w:val="superscript"/>
              </w:rPr>
              <w:t>b</w:t>
            </w:r>
          </w:p>
        </w:tc>
      </w:tr>
      <w:tr w:rsidR="001510DA" w14:paraId="6924F1F6" w14:textId="77777777" w:rsidTr="00804163">
        <w:tc>
          <w:tcPr>
            <w:tcW w:w="3227" w:type="dxa"/>
          </w:tcPr>
          <w:p w14:paraId="3EB1BFA1" w14:textId="5953420F" w:rsidR="001510DA" w:rsidRDefault="00804163" w:rsidP="00E96F97">
            <w:pPr>
              <w:rPr>
                <w:rFonts w:asciiTheme="minorHAnsi" w:eastAsia="TimesNewRoman" w:hAnsiTheme="minorHAnsi" w:cs="TimesNewRoman"/>
              </w:rPr>
            </w:pPr>
            <w:r>
              <w:rPr>
                <w:rFonts w:asciiTheme="minorHAnsi" w:eastAsia="TimesNewRoman" w:hAnsiTheme="minorHAnsi" w:cs="TimesNewRoman"/>
              </w:rPr>
              <w:t>COVID-19 r</w:t>
            </w:r>
            <w:r w:rsidRPr="00804163">
              <w:rPr>
                <w:rFonts w:asciiTheme="minorHAnsi" w:eastAsia="TimesNewRoman" w:hAnsiTheme="minorHAnsi" w:cs="TimesNewRoman"/>
              </w:rPr>
              <w:t xml:space="preserve">equiring </w:t>
            </w:r>
            <w:r>
              <w:rPr>
                <w:rFonts w:asciiTheme="minorHAnsi" w:eastAsia="TimesNewRoman" w:hAnsiTheme="minorHAnsi" w:cs="TimesNewRoman"/>
              </w:rPr>
              <w:t>intensive care unit (</w:t>
            </w:r>
            <w:r w:rsidRPr="00804163">
              <w:rPr>
                <w:rFonts w:asciiTheme="minorHAnsi" w:eastAsia="TimesNewRoman" w:hAnsiTheme="minorHAnsi" w:cs="TimesNewRoman"/>
              </w:rPr>
              <w:t>ICU</w:t>
            </w:r>
            <w:r>
              <w:rPr>
                <w:rFonts w:asciiTheme="minorHAnsi" w:eastAsia="TimesNewRoman" w:hAnsiTheme="minorHAnsi" w:cs="TimesNewRoman"/>
              </w:rPr>
              <w:t>)</w:t>
            </w:r>
          </w:p>
        </w:tc>
        <w:tc>
          <w:tcPr>
            <w:tcW w:w="5493" w:type="dxa"/>
          </w:tcPr>
          <w:p w14:paraId="44115CE1" w14:textId="61D28065" w:rsidR="001510DA" w:rsidRDefault="00804163" w:rsidP="00E96F97">
            <w:pPr>
              <w:rPr>
                <w:rFonts w:asciiTheme="minorHAnsi" w:eastAsia="TimesNewRoman" w:hAnsiTheme="minorHAnsi" w:cs="TimesNewRoman"/>
              </w:rPr>
            </w:pPr>
            <w:r>
              <w:rPr>
                <w:rFonts w:asciiTheme="minorHAnsi" w:eastAsia="TimesNewRoman" w:hAnsiTheme="minorHAnsi" w:cs="TimesNewRoman"/>
              </w:rPr>
              <w:t xml:space="preserve">WHO Grade </w:t>
            </w:r>
            <w:r w:rsidR="00E96F97">
              <w:rPr>
                <w:rFonts w:asciiTheme="minorHAnsi" w:eastAsia="TimesNewRoman" w:hAnsiTheme="minorHAnsi" w:cs="TimesNewRoman"/>
              </w:rPr>
              <w:sym w:font="Symbol" w:char="F0B3"/>
            </w:r>
            <w:r>
              <w:rPr>
                <w:rFonts w:asciiTheme="minorHAnsi" w:eastAsia="TimesNewRoman" w:hAnsiTheme="minorHAnsi" w:cs="TimesNewRoman"/>
              </w:rPr>
              <w:t xml:space="preserve"> 7</w:t>
            </w:r>
            <w:r w:rsidRPr="00804163">
              <w:rPr>
                <w:rFonts w:asciiTheme="minorHAnsi" w:eastAsia="TimesNewRoman" w:hAnsiTheme="minorHAnsi" w:cs="TimesNewRoman"/>
                <w:vertAlign w:val="superscript"/>
              </w:rPr>
              <w:t>b</w:t>
            </w:r>
          </w:p>
        </w:tc>
      </w:tr>
      <w:tr w:rsidR="001510DA" w14:paraId="3BC94010" w14:textId="77777777" w:rsidTr="00804163">
        <w:tc>
          <w:tcPr>
            <w:tcW w:w="3227" w:type="dxa"/>
          </w:tcPr>
          <w:p w14:paraId="49635C7C" w14:textId="16F48DA3" w:rsidR="001510DA" w:rsidRDefault="00804163" w:rsidP="00E96F97">
            <w:pPr>
              <w:rPr>
                <w:rFonts w:asciiTheme="minorHAnsi" w:eastAsia="TimesNewRoman" w:hAnsiTheme="minorHAnsi" w:cs="TimesNewRoman"/>
              </w:rPr>
            </w:pPr>
            <w:r>
              <w:rPr>
                <w:rFonts w:asciiTheme="minorHAnsi" w:eastAsia="TimesNewRoman" w:hAnsiTheme="minorHAnsi" w:cs="TimesNewRoman"/>
              </w:rPr>
              <w:t>COVID-19 d</w:t>
            </w:r>
            <w:r w:rsidRPr="00804163">
              <w:rPr>
                <w:rFonts w:asciiTheme="minorHAnsi" w:eastAsia="TimesNewRoman" w:hAnsiTheme="minorHAnsi" w:cs="TimesNewRoman"/>
              </w:rPr>
              <w:t>eath</w:t>
            </w:r>
          </w:p>
        </w:tc>
        <w:tc>
          <w:tcPr>
            <w:tcW w:w="5493" w:type="dxa"/>
          </w:tcPr>
          <w:p w14:paraId="03DFCD07" w14:textId="69A290C2" w:rsidR="001510DA" w:rsidRDefault="00804163" w:rsidP="00E96F97">
            <w:pPr>
              <w:rPr>
                <w:rFonts w:asciiTheme="minorHAnsi" w:eastAsia="TimesNewRoman" w:hAnsiTheme="minorHAnsi" w:cs="TimesNewRoman"/>
              </w:rPr>
            </w:pPr>
            <w:r>
              <w:rPr>
                <w:rFonts w:asciiTheme="minorHAnsi" w:eastAsia="TimesNewRoman" w:hAnsiTheme="minorHAnsi" w:cs="TimesNewRoman"/>
              </w:rPr>
              <w:t>WHO Grade = 10</w:t>
            </w:r>
            <w:r w:rsidRPr="00804163">
              <w:rPr>
                <w:rFonts w:asciiTheme="minorHAnsi" w:eastAsia="TimesNewRoman" w:hAnsiTheme="minorHAnsi" w:cs="TimesNewRoman"/>
                <w:vertAlign w:val="superscript"/>
              </w:rPr>
              <w:t>b</w:t>
            </w:r>
          </w:p>
        </w:tc>
      </w:tr>
      <w:tr w:rsidR="001510DA" w14:paraId="26CBB3C2" w14:textId="77777777" w:rsidTr="00804163">
        <w:tc>
          <w:tcPr>
            <w:tcW w:w="3227" w:type="dxa"/>
          </w:tcPr>
          <w:p w14:paraId="32AB7A55" w14:textId="0BFBDD49" w:rsidR="001510DA" w:rsidRDefault="00804163" w:rsidP="00E96F97">
            <w:pPr>
              <w:rPr>
                <w:rFonts w:asciiTheme="minorHAnsi" w:eastAsia="TimesNewRoman" w:hAnsiTheme="minorHAnsi" w:cs="TimesNewRoman"/>
              </w:rPr>
            </w:pPr>
            <w:r w:rsidRPr="00804163">
              <w:rPr>
                <w:rFonts w:asciiTheme="minorHAnsi" w:eastAsia="TimesNewRoman" w:hAnsiTheme="minorHAnsi" w:cs="TimesNewRoman"/>
              </w:rPr>
              <w:t>Asymptomatic SARS-CoV-2 infection</w:t>
            </w:r>
          </w:p>
        </w:tc>
        <w:tc>
          <w:tcPr>
            <w:tcW w:w="5493" w:type="dxa"/>
          </w:tcPr>
          <w:p w14:paraId="7780E485" w14:textId="44A5A7CE" w:rsidR="001510DA" w:rsidRDefault="00804163" w:rsidP="00E96F97">
            <w:pPr>
              <w:rPr>
                <w:rFonts w:asciiTheme="minorHAnsi" w:eastAsia="TimesNewRoman" w:hAnsiTheme="minorHAnsi" w:cs="TimesNewRoman"/>
              </w:rPr>
            </w:pPr>
            <w:r w:rsidRPr="00804163">
              <w:rPr>
                <w:rFonts w:asciiTheme="minorHAnsi" w:eastAsia="TimesNewRoman" w:hAnsiTheme="minorHAnsi" w:cs="TimesNewRoman"/>
              </w:rPr>
              <w:t>Virologically confirmed SARS</w:t>
            </w:r>
            <w:r>
              <w:rPr>
                <w:rFonts w:asciiTheme="minorHAnsi" w:eastAsia="TimesNewRoman" w:hAnsiTheme="minorHAnsi" w:cs="TimesNewRoman"/>
              </w:rPr>
              <w:t xml:space="preserve">-CoV-2 infection and no symptom </w:t>
            </w:r>
            <w:r w:rsidRPr="00804163">
              <w:rPr>
                <w:rFonts w:asciiTheme="minorHAnsi" w:eastAsia="TimesNewRoman" w:hAnsiTheme="minorHAnsi" w:cs="TimesNewRoman"/>
              </w:rPr>
              <w:t>record in data. Confirmed by adjudication committee.</w:t>
            </w:r>
          </w:p>
        </w:tc>
      </w:tr>
      <w:tr w:rsidR="001510DA" w14:paraId="2A920C30" w14:textId="77777777" w:rsidTr="00804163">
        <w:tc>
          <w:tcPr>
            <w:tcW w:w="3227" w:type="dxa"/>
          </w:tcPr>
          <w:p w14:paraId="6FBBF39D" w14:textId="69C54CAC" w:rsidR="001510DA" w:rsidRDefault="00804163" w:rsidP="00E96F97">
            <w:pPr>
              <w:rPr>
                <w:rFonts w:asciiTheme="minorHAnsi" w:eastAsia="TimesNewRoman" w:hAnsiTheme="minorHAnsi" w:cs="TimesNewRoman"/>
              </w:rPr>
            </w:pPr>
            <w:r w:rsidRPr="00804163">
              <w:rPr>
                <w:rFonts w:asciiTheme="minorHAnsi" w:eastAsia="TimesNewRoman" w:hAnsiTheme="minorHAnsi" w:cs="TimesNewRoman"/>
              </w:rPr>
              <w:t>As</w:t>
            </w:r>
            <w:r>
              <w:rPr>
                <w:rFonts w:asciiTheme="minorHAnsi" w:eastAsia="TimesNewRoman" w:hAnsiTheme="minorHAnsi" w:cs="TimesNewRoman"/>
              </w:rPr>
              <w:t>ymptomatic and unknown symptoms SARS</w:t>
            </w:r>
            <w:r>
              <w:rPr>
                <w:rFonts w:asciiTheme="minorHAnsi" w:eastAsia="TimesNewRoman" w:hAnsiTheme="minorHAnsi" w:cs="TimesNewRoman"/>
              </w:rPr>
              <w:noBreakHyphen/>
            </w:r>
            <w:r w:rsidRPr="00804163">
              <w:rPr>
                <w:rFonts w:asciiTheme="minorHAnsi" w:eastAsia="TimesNewRoman" w:hAnsiTheme="minorHAnsi" w:cs="TimesNewRoman"/>
              </w:rPr>
              <w:t>CoV-2 infection</w:t>
            </w:r>
          </w:p>
        </w:tc>
        <w:tc>
          <w:tcPr>
            <w:tcW w:w="5493" w:type="dxa"/>
          </w:tcPr>
          <w:p w14:paraId="187DBB95" w14:textId="22C8BDEB" w:rsidR="001510DA" w:rsidRDefault="00804163" w:rsidP="00E96F97">
            <w:pPr>
              <w:rPr>
                <w:rFonts w:asciiTheme="minorHAnsi" w:eastAsia="TimesNewRoman" w:hAnsiTheme="minorHAnsi" w:cs="TimesNewRoman"/>
              </w:rPr>
            </w:pPr>
            <w:r w:rsidRPr="00804163">
              <w:rPr>
                <w:rFonts w:asciiTheme="minorHAnsi" w:eastAsia="TimesNewRoman" w:hAnsiTheme="minorHAnsi" w:cs="TimesNewRoman"/>
              </w:rPr>
              <w:t>Virologically confirmed SARS</w:t>
            </w:r>
            <w:r>
              <w:rPr>
                <w:rFonts w:asciiTheme="minorHAnsi" w:eastAsia="TimesNewRoman" w:hAnsiTheme="minorHAnsi" w:cs="TimesNewRoman"/>
              </w:rPr>
              <w:t xml:space="preserve">-CoV-2 infection and no symptom </w:t>
            </w:r>
            <w:r w:rsidRPr="00804163">
              <w:rPr>
                <w:rFonts w:asciiTheme="minorHAnsi" w:eastAsia="TimesNewRoman" w:hAnsiTheme="minorHAnsi" w:cs="TimesNewRoman"/>
              </w:rPr>
              <w:t>record in data or symptoms unk</w:t>
            </w:r>
            <w:r>
              <w:rPr>
                <w:rFonts w:asciiTheme="minorHAnsi" w:eastAsia="TimesNewRoman" w:hAnsiTheme="minorHAnsi" w:cs="TimesNewRoman"/>
              </w:rPr>
              <w:t xml:space="preserve">nown. Confirmed by adjudication </w:t>
            </w:r>
            <w:r w:rsidRPr="00804163">
              <w:rPr>
                <w:rFonts w:asciiTheme="minorHAnsi" w:eastAsia="TimesNewRoman" w:hAnsiTheme="minorHAnsi" w:cs="TimesNewRoman"/>
              </w:rPr>
              <w:t>committee.</w:t>
            </w:r>
          </w:p>
        </w:tc>
      </w:tr>
    </w:tbl>
    <w:p w14:paraId="09C8FDD7" w14:textId="6187D023" w:rsidR="001510DA" w:rsidRDefault="00804163" w:rsidP="00804163">
      <w:pPr>
        <w:pStyle w:val="TableDescription"/>
      </w:pPr>
      <w:r w:rsidRPr="001510DA">
        <w:t>a</w:t>
      </w:r>
      <w:r w:rsidR="00A56F05">
        <w:t>:</w:t>
      </w:r>
      <w:r w:rsidRPr="001510DA">
        <w:t xml:space="preserve"> Virologically confirmed from RT-PCR or other n</w:t>
      </w:r>
      <w:r>
        <w:t xml:space="preserve">ucleic acid amplification test; </w:t>
      </w:r>
      <w:r w:rsidRPr="001510DA">
        <w:t>b</w:t>
      </w:r>
      <w:r w:rsidR="00A56F05">
        <w:t>:</w:t>
      </w:r>
      <w:r w:rsidRPr="001510DA">
        <w:t xml:space="preserve"> WHO clinical </w:t>
      </w:r>
      <w:r>
        <w:t>progression scale.</w:t>
      </w:r>
      <w:r>
        <w:rPr>
          <w:rStyle w:val="FootnoteReference"/>
        </w:rPr>
        <w:footnoteReference w:id="17"/>
      </w:r>
    </w:p>
    <w:p w14:paraId="64836D88" w14:textId="77777777" w:rsidR="00D84D93" w:rsidRDefault="00D84D93" w:rsidP="003D5889">
      <w:r>
        <w:lastRenderedPageBreak/>
        <w:t>Secondary analysis included severe disease, death, asymptomatic cases, and subgroup analysis.</w:t>
      </w:r>
    </w:p>
    <w:p w14:paraId="300947B5" w14:textId="4D571AC5" w:rsidR="00D84D93" w:rsidRDefault="00D84D93" w:rsidP="003D5889">
      <w:r>
        <w:t>Asymptomatic c</w:t>
      </w:r>
      <w:r w:rsidR="00804163">
        <w:t>ases were only identified from S</w:t>
      </w:r>
      <w:r>
        <w:t>tudy COV002 as this was the only study which included</w:t>
      </w:r>
      <w:r w:rsidR="003D5889">
        <w:t xml:space="preserve"> weekly PCR swabs for COVID-19.</w:t>
      </w:r>
    </w:p>
    <w:p w14:paraId="21AADCF2" w14:textId="3596AA05" w:rsidR="00951CFA" w:rsidRDefault="00951CFA" w:rsidP="003D5889">
      <w:r>
        <w:t>These studies were not designed to assess disease transmission.</w:t>
      </w:r>
    </w:p>
    <w:p w14:paraId="6F10BC33" w14:textId="52B95C57" w:rsidR="00D84D93" w:rsidRPr="000950A8" w:rsidRDefault="003D5889" w:rsidP="003D5889">
      <w:pPr>
        <w:pStyle w:val="Heading5"/>
        <w:rPr>
          <w:rFonts w:eastAsia="TimesNewRoman"/>
        </w:rPr>
      </w:pPr>
      <w:r>
        <w:rPr>
          <w:rFonts w:eastAsia="TimesNewRoman"/>
        </w:rPr>
        <w:t>Statistical methods</w:t>
      </w:r>
    </w:p>
    <w:p w14:paraId="53027BAD" w14:textId="0BB439C2" w:rsidR="00D84D93" w:rsidRPr="003D5889" w:rsidRDefault="00D84D93" w:rsidP="003D5889">
      <w:r w:rsidRPr="003D5889">
        <w:t xml:space="preserve">The </w:t>
      </w:r>
      <w:r w:rsidR="00951CFA">
        <w:t xml:space="preserve">study protocol stated that the </w:t>
      </w:r>
      <w:r w:rsidRPr="003D5889">
        <w:t xml:space="preserve">interim pooled analysis was to occur when at least 53 cases of SARS-CoV-2 virologically confirmed symptomatic COVID-19 that occurred </w:t>
      </w:r>
      <w:r w:rsidR="00E96F97">
        <w:rPr>
          <w:rFonts w:asciiTheme="minorHAnsi" w:eastAsia="TimesNewRoman" w:hAnsiTheme="minorHAnsi" w:cs="TimesNewRoman"/>
        </w:rPr>
        <w:sym w:font="Symbol" w:char="F0B3"/>
      </w:r>
      <w:r w:rsidRPr="003D5889">
        <w:t xml:space="preserve"> 15 days post the second dose had been reported in participants who received SDSD across the AZD1222 and control groups in pooled studies. This was expected to provide approximately 80% power for a 20% threshold for an assumed vaccine efficacy of 70% for the primary population (participants who received </w:t>
      </w:r>
      <w:r w:rsidR="00EC4E2A">
        <w:t>standard dose for both the first and second dose (</w:t>
      </w:r>
      <w:r w:rsidRPr="003D5889">
        <w:t>SDSD</w:t>
      </w:r>
      <w:r w:rsidR="00EC4E2A">
        <w:t>)</w:t>
      </w:r>
      <w:r w:rsidRPr="003D5889">
        <w:t xml:space="preserve"> and </w:t>
      </w:r>
      <w:r w:rsidR="00EC4E2A">
        <w:t>low dose for the first dose followed by standard dose for the second dose (</w:t>
      </w:r>
      <w:r w:rsidRPr="003D5889">
        <w:t>LDSD</w:t>
      </w:r>
      <w:r w:rsidR="00EC4E2A">
        <w:t>)</w:t>
      </w:r>
      <w:r w:rsidRPr="003D5889">
        <w:t>). Due to the sudden rise in baseline incidence and rapid accumulation of cases prior to data cut-off, 131 events were included in the analysis, of which 98 were in participants that received the SDSD regimen</w:t>
      </w:r>
      <w:r w:rsidR="003D5889" w:rsidRPr="003D5889">
        <w:t>.</w:t>
      </w:r>
    </w:p>
    <w:p w14:paraId="4009F089" w14:textId="539D58D5" w:rsidR="00D84D93" w:rsidRDefault="00D84D93" w:rsidP="003D5889">
      <w:r w:rsidRPr="00A8564C">
        <w:t>A Poisson regression model with robust variance w</w:t>
      </w:r>
      <w:r w:rsidR="003D5889">
        <w:t xml:space="preserve">as used as the primary efficacy </w:t>
      </w:r>
      <w:r w:rsidRPr="00A8564C">
        <w:t>analysis model to estimate the relative risk on the incide</w:t>
      </w:r>
      <w:r w:rsidR="003D5889">
        <w:t xml:space="preserve">nce of SARS-CoV-2 virologically </w:t>
      </w:r>
      <w:r w:rsidRPr="00A8564C">
        <w:t xml:space="preserve">confirmed primary symptomatic COVID-19 between the </w:t>
      </w:r>
      <w:r w:rsidR="003D5889">
        <w:t xml:space="preserve">AZD1222 and control groups. The </w:t>
      </w:r>
      <w:r w:rsidRPr="00A8564C">
        <w:t>model contained the terms of study code, treatment, age group at</w:t>
      </w:r>
      <w:r w:rsidR="003D5889">
        <w:t xml:space="preserve"> screening (18 to 55, 56 to 69, </w:t>
      </w:r>
      <w:r w:rsidRPr="00A8564C">
        <w:t xml:space="preserve">and </w:t>
      </w:r>
      <w:r w:rsidR="00E96F97">
        <w:rPr>
          <w:rFonts w:asciiTheme="minorHAnsi" w:eastAsia="TimesNewRoman" w:hAnsiTheme="minorHAnsi" w:cs="TimesNewRoman"/>
        </w:rPr>
        <w:sym w:font="Symbol" w:char="F0B3"/>
      </w:r>
      <w:r w:rsidR="00EC4E2A">
        <w:t> </w:t>
      </w:r>
      <w:r w:rsidRPr="00A8564C">
        <w:t>70 years</w:t>
      </w:r>
      <w:r w:rsidR="00EC4E2A">
        <w:t xml:space="preserve"> of age</w:t>
      </w:r>
      <w:r w:rsidRPr="00A8564C">
        <w:t>). The logarithm of the period at risk for t</w:t>
      </w:r>
      <w:r w:rsidR="003D5889">
        <w:t xml:space="preserve">he primary endpoint for primary </w:t>
      </w:r>
      <w:r w:rsidRPr="00A8564C">
        <w:t>analysis was used as an offset variable in the model to adjust fo</w:t>
      </w:r>
      <w:r w:rsidR="003D5889">
        <w:t xml:space="preserve">r participants having different </w:t>
      </w:r>
      <w:r w:rsidRPr="00A8564C">
        <w:t xml:space="preserve">follow up times during which the events occurred. Vaccine efficacy (VE), which was the incidence in the vaccine </w:t>
      </w:r>
      <w:r>
        <w:t xml:space="preserve">group relative to the incidence </w:t>
      </w:r>
      <w:r w:rsidRPr="00A8564C">
        <w:t>in the control group expressed as a percentage, was calculate</w:t>
      </w:r>
      <w:r>
        <w:t>d as VE = 1</w:t>
      </w:r>
      <w:r w:rsidR="00EC4E2A">
        <w:t xml:space="preserve"> </w:t>
      </w:r>
      <w:r>
        <w:t xml:space="preserve">- relative risk. The </w:t>
      </w:r>
      <w:r w:rsidR="00EC4E2A">
        <w:t xml:space="preserve">VE, and its corresponding 2 </w:t>
      </w:r>
      <w:r w:rsidRPr="00A8564C">
        <w:t>sided (1</w:t>
      </w:r>
      <w:r w:rsidR="00EC4E2A">
        <w:t xml:space="preserve"> </w:t>
      </w:r>
      <w:r w:rsidRPr="00A8564C">
        <w:t>-</w:t>
      </w:r>
      <w:r w:rsidR="00EC4E2A">
        <w:t xml:space="preserve"> </w:t>
      </w:r>
      <w:proofErr w:type="gramStart"/>
      <w:r w:rsidRPr="00A8564C">
        <w:t>α)%</w:t>
      </w:r>
      <w:proofErr w:type="gramEnd"/>
      <w:r w:rsidRPr="00A8564C">
        <w:t xml:space="preserve"> </w:t>
      </w:r>
      <w:r w:rsidR="00EC4E2A">
        <w:t>confidence interval (</w:t>
      </w:r>
      <w:r w:rsidRPr="00A8564C">
        <w:t>CI</w:t>
      </w:r>
      <w:r w:rsidR="00EC4E2A">
        <w:t>)</w:t>
      </w:r>
      <w:r w:rsidRPr="00A8564C">
        <w:t>, were estimated from the model.</w:t>
      </w:r>
    </w:p>
    <w:p w14:paraId="585D8671" w14:textId="2F6B52A2" w:rsidR="00D84D93" w:rsidRPr="000950A8" w:rsidRDefault="00D84D93" w:rsidP="003D5889">
      <w:pPr>
        <w:pStyle w:val="Heading5"/>
        <w:rPr>
          <w:rFonts w:eastAsia="TimesNewRoman"/>
        </w:rPr>
      </w:pPr>
      <w:r w:rsidRPr="000950A8">
        <w:rPr>
          <w:rFonts w:eastAsia="TimesNewRoman"/>
        </w:rPr>
        <w:t xml:space="preserve">Participant </w:t>
      </w:r>
      <w:r w:rsidR="003D5889">
        <w:rPr>
          <w:rFonts w:eastAsia="TimesNewRoman"/>
        </w:rPr>
        <w:t>disposition</w:t>
      </w:r>
    </w:p>
    <w:p w14:paraId="16FB929E" w14:textId="682CC206" w:rsidR="00D84D93" w:rsidRDefault="00D84D93" w:rsidP="003D5889">
      <w:r>
        <w:t>As of the data cut off point 4 November 2020, 23</w:t>
      </w:r>
      <w:r w:rsidR="00EC4E2A">
        <w:t>,</w:t>
      </w:r>
      <w:r>
        <w:t>745 participants had</w:t>
      </w:r>
      <w:r w:rsidR="00EC4E2A">
        <w:t xml:space="preserve"> been randomised to one of the four</w:t>
      </w:r>
      <w:r>
        <w:t xml:space="preserve"> studies, received at least one dose of study </w:t>
      </w:r>
      <w:proofErr w:type="gramStart"/>
      <w:r>
        <w:t>intervention</w:t>
      </w:r>
      <w:proofErr w:type="gramEnd"/>
      <w:r>
        <w:t xml:space="preserve"> and met the inclusion criteria for inclusion in the pooled analysis. Almost all (99.4%) of t</w:t>
      </w:r>
      <w:r w:rsidR="00EC4E2A">
        <w:t xml:space="preserve">hese participants are ongoing. </w:t>
      </w:r>
      <w:r>
        <w:t>The full efficacy population</w:t>
      </w:r>
      <w:r w:rsidR="001E6229">
        <w:t xml:space="preserve"> (</w:t>
      </w:r>
      <w:r w:rsidR="007C5D2E">
        <w:t xml:space="preserve">also referred to as the </w:t>
      </w:r>
      <w:r w:rsidR="001E6229">
        <w:t>‘any dose efficacy’</w:t>
      </w:r>
      <w:r w:rsidR="007C5D2E">
        <w:t xml:space="preserve"> population,</w:t>
      </w:r>
      <w:r w:rsidR="001E6229">
        <w:t xml:space="preserve"> in Figure 1, below)</w:t>
      </w:r>
      <w:r>
        <w:t xml:space="preserve"> includes 20</w:t>
      </w:r>
      <w:r w:rsidR="00EC4E2A">
        <w:t>,</w:t>
      </w:r>
      <w:r>
        <w:t>014 participants, 10</w:t>
      </w:r>
      <w:r w:rsidR="00EC4E2A">
        <w:t>,014 who had received AZD</w:t>
      </w:r>
      <w:r>
        <w:t>1222 and 10</w:t>
      </w:r>
      <w:r w:rsidR="00EC4E2A">
        <w:t>,</w:t>
      </w:r>
      <w:r>
        <w:t>000 who received control. Approximately half of the participants were included in the primary efficacy analysis population, the most common reason for exclusion was not havi</w:t>
      </w:r>
      <w:r w:rsidR="003D5889">
        <w:t>ng received 2 doses of vaccine.</w:t>
      </w:r>
    </w:p>
    <w:p w14:paraId="53DCC714" w14:textId="0AA8237E" w:rsidR="00F70378" w:rsidRDefault="00F70378" w:rsidP="00F70378">
      <w:pPr>
        <w:pStyle w:val="FigureTitle"/>
      </w:pPr>
      <w:r>
        <w:lastRenderedPageBreak/>
        <w:t xml:space="preserve">Figure </w:t>
      </w:r>
      <w:r w:rsidR="002D3B9B">
        <w:fldChar w:fldCharType="begin"/>
      </w:r>
      <w:r w:rsidR="002D3B9B">
        <w:instrText xml:space="preserve"> SEQ Figure \* ARABIC </w:instrText>
      </w:r>
      <w:r w:rsidR="002D3B9B">
        <w:fldChar w:fldCharType="separate"/>
      </w:r>
      <w:r w:rsidR="001D05A6">
        <w:rPr>
          <w:noProof/>
        </w:rPr>
        <w:t>1</w:t>
      </w:r>
      <w:r w:rsidR="002D3B9B">
        <w:rPr>
          <w:noProof/>
        </w:rPr>
        <w:fldChar w:fldCharType="end"/>
      </w:r>
      <w:r>
        <w:t xml:space="preserve">: </w:t>
      </w:r>
      <w:r w:rsidR="00EC4E2A" w:rsidRPr="00F70378">
        <w:t>AZD1222 pooled analysis</w:t>
      </w:r>
      <w:r w:rsidR="00EC4E2A">
        <w:t xml:space="preserve">, </w:t>
      </w:r>
      <w:r w:rsidR="00EC4E2A" w:rsidRPr="00F70378">
        <w:t>disposition of participants for the efficacy analys</w:t>
      </w:r>
      <w:r w:rsidR="00EC4E2A">
        <w:t>is sets</w:t>
      </w:r>
    </w:p>
    <w:p w14:paraId="4C346AA6" w14:textId="356578D2" w:rsidR="00D84D93" w:rsidRDefault="00F70378" w:rsidP="00D84D93">
      <w:pPr>
        <w:autoSpaceDE w:val="0"/>
        <w:autoSpaceDN w:val="0"/>
        <w:adjustRightInd w:val="0"/>
        <w:spacing w:before="0" w:after="0" w:line="240" w:lineRule="auto"/>
        <w:rPr>
          <w:rFonts w:asciiTheme="minorHAnsi" w:eastAsia="TimesNewRoman" w:hAnsiTheme="minorHAnsi" w:cs="TimesNewRoman"/>
        </w:rPr>
      </w:pPr>
      <w:r>
        <w:rPr>
          <w:noProof/>
          <w:lang w:eastAsia="en-AU"/>
        </w:rPr>
        <w:drawing>
          <wp:inline distT="0" distB="0" distL="0" distR="0" wp14:anchorId="6CDC82DD" wp14:editId="38423C0E">
            <wp:extent cx="5281684" cy="3232112"/>
            <wp:effectExtent l="0" t="0" r="0" b="6985"/>
            <wp:docPr id="4" name="Picture 4" descr="As of the data cut off point 4 November 2020, 23,745 participants had been randomised to one of the four studies, received at least one dose of study intervention and met the inclusion criteria for inclusion in the pooled analysis. The full efficacy population includes 20,014 participants, 10,014 who had received AZD1222 and 10,000 who received control. Approximately half of the participants were included in the primary efficacy analysis population, the most common reason for exclusion was not having received 2 doses of vaccine. 8895 participants were in the SDSD group (4440 AZD1222 and 4455 control) and 2741 participants were in the LDSD group (1367 AZD1222 and 1374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9484" cy="3249124"/>
                    </a:xfrm>
                    <a:prstGeom prst="rect">
                      <a:avLst/>
                    </a:prstGeom>
                  </pic:spPr>
                </pic:pic>
              </a:graphicData>
            </a:graphic>
          </wp:inline>
        </w:drawing>
      </w:r>
    </w:p>
    <w:p w14:paraId="10D8E6E9" w14:textId="44E7B664" w:rsidR="00F70378" w:rsidRDefault="00F70378" w:rsidP="00F70378">
      <w:pPr>
        <w:pStyle w:val="TableDescription"/>
      </w:pPr>
      <w:r w:rsidRPr="00F70378">
        <w:t>COVID-19 = coronavirus disease 2019; LD = low dose; SD = standard dose</w:t>
      </w:r>
      <w:r w:rsidR="00221A34">
        <w:t>.</w:t>
      </w:r>
    </w:p>
    <w:p w14:paraId="11EC4570" w14:textId="175C95D5" w:rsidR="00D84D93" w:rsidRPr="000950A8" w:rsidRDefault="003D5889" w:rsidP="003D5889">
      <w:pPr>
        <w:pStyle w:val="Heading5"/>
        <w:rPr>
          <w:rFonts w:eastAsia="TimesNewRoman"/>
        </w:rPr>
      </w:pPr>
      <w:r>
        <w:rPr>
          <w:rFonts w:eastAsia="TimesNewRoman"/>
        </w:rPr>
        <w:t>Demographics</w:t>
      </w:r>
    </w:p>
    <w:p w14:paraId="30309914" w14:textId="60C5D70B" w:rsidR="00D84D93" w:rsidRDefault="00D84D93" w:rsidP="003D5889">
      <w:r>
        <w:t>In the primary efficacy population, the mean age of participants was 41.52 years</w:t>
      </w:r>
      <w:r w:rsidR="000C3693">
        <w:t xml:space="preserve"> of age</w:t>
      </w:r>
      <w:r>
        <w:t xml:space="preserve">. There were in total 660 participants (5.7%) over 65 years </w:t>
      </w:r>
      <w:r w:rsidR="000C3693">
        <w:t>of age and 444 (3.8% ) over 70 </w:t>
      </w:r>
      <w:r>
        <w:t>years</w:t>
      </w:r>
      <w:r w:rsidR="000C3693">
        <w:t xml:space="preserve"> of age (see </w:t>
      </w:r>
      <w:r w:rsidR="000C3693">
        <w:fldChar w:fldCharType="begin"/>
      </w:r>
      <w:r w:rsidR="000C3693">
        <w:instrText xml:space="preserve"> REF _Ref63166581 \h </w:instrText>
      </w:r>
      <w:r w:rsidR="000C3693">
        <w:fldChar w:fldCharType="separate"/>
      </w:r>
      <w:r w:rsidR="001D05A6">
        <w:t xml:space="preserve">Table </w:t>
      </w:r>
      <w:r w:rsidR="001D05A6">
        <w:rPr>
          <w:noProof/>
        </w:rPr>
        <w:t>5</w:t>
      </w:r>
      <w:r w:rsidR="000C3693">
        <w:fldChar w:fldCharType="end"/>
      </w:r>
      <w:r w:rsidR="004152B3">
        <w:t>, below</w:t>
      </w:r>
      <w:r w:rsidR="000C3693">
        <w:t>)</w:t>
      </w:r>
      <w:r>
        <w:t>. Approximately 6</w:t>
      </w:r>
      <w:r w:rsidR="004807EF">
        <w:t>1</w:t>
      </w:r>
      <w:r>
        <w:t xml:space="preserve">% of participants were female. In relation to race, 83.4% were </w:t>
      </w:r>
      <w:r w:rsidR="004152B3">
        <w:t>W</w:t>
      </w:r>
      <w:r>
        <w:t xml:space="preserve">hite, 4.4% were Asian, 4.1% were Black. There were 20.2% with a </w:t>
      </w:r>
      <w:r w:rsidR="000C3693">
        <w:t>body mass index (</w:t>
      </w:r>
      <w:r>
        <w:t>BMI</w:t>
      </w:r>
      <w:r w:rsidR="000C3693">
        <w:t>)</w:t>
      </w:r>
      <w:r>
        <w:t xml:space="preserve"> of &gt; 30</w:t>
      </w:r>
      <w:r w:rsidR="000C3693">
        <w:t xml:space="preserve"> </w:t>
      </w:r>
      <w:r>
        <w:t>kg/m</w:t>
      </w:r>
      <w:r w:rsidRPr="000950A8">
        <w:rPr>
          <w:vertAlign w:val="superscript"/>
        </w:rPr>
        <w:t>2</w:t>
      </w:r>
      <w:r>
        <w:t>. All participants were seronegative</w:t>
      </w:r>
      <w:r w:rsidR="003D5889">
        <w:t xml:space="preserve"> (to nucleic acid) a</w:t>
      </w:r>
      <w:r w:rsidR="000C3693">
        <w:t>t B</w:t>
      </w:r>
      <w:r w:rsidR="003D5889">
        <w:t>aseline.</w:t>
      </w:r>
    </w:p>
    <w:p w14:paraId="656DECB9" w14:textId="79722AE0" w:rsidR="00F70378" w:rsidRDefault="00F70378" w:rsidP="00F70378">
      <w:pPr>
        <w:pStyle w:val="TableTitle"/>
      </w:pPr>
      <w:bookmarkStart w:id="48" w:name="_Ref63166581"/>
      <w:r>
        <w:t xml:space="preserve">Table </w:t>
      </w:r>
      <w:r w:rsidR="002D3B9B">
        <w:fldChar w:fldCharType="begin"/>
      </w:r>
      <w:r w:rsidR="002D3B9B">
        <w:instrText xml:space="preserve"> SEQ Table \* ARABIC </w:instrText>
      </w:r>
      <w:r w:rsidR="002D3B9B">
        <w:fldChar w:fldCharType="separate"/>
      </w:r>
      <w:r w:rsidR="001D05A6">
        <w:rPr>
          <w:noProof/>
        </w:rPr>
        <w:t>5</w:t>
      </w:r>
      <w:r w:rsidR="002D3B9B">
        <w:rPr>
          <w:noProof/>
        </w:rPr>
        <w:fldChar w:fldCharType="end"/>
      </w:r>
      <w:bookmarkEnd w:id="48"/>
      <w:r>
        <w:t xml:space="preserve">: </w:t>
      </w:r>
      <w:r w:rsidR="004152B3">
        <w:t>AZD1222 e</w:t>
      </w:r>
      <w:r w:rsidR="000C3693">
        <w:t>fficacy analysis set, b</w:t>
      </w:r>
      <w:r w:rsidR="00EC4E2A">
        <w:t>aseline c</w:t>
      </w:r>
      <w:r w:rsidRPr="00F70378">
        <w:t>haracteristics</w:t>
      </w:r>
      <w:r w:rsidR="000C3693">
        <w:t xml:space="preserve"> (age)</w:t>
      </w:r>
    </w:p>
    <w:p w14:paraId="136C9DAA" w14:textId="6465A49A" w:rsidR="00D84D93" w:rsidRDefault="00F70378" w:rsidP="00D84D93">
      <w:pPr>
        <w:autoSpaceDE w:val="0"/>
        <w:autoSpaceDN w:val="0"/>
        <w:adjustRightInd w:val="0"/>
        <w:spacing w:before="0" w:after="0" w:line="240" w:lineRule="auto"/>
        <w:rPr>
          <w:rFonts w:asciiTheme="minorHAnsi" w:eastAsia="TimesNewRoman" w:hAnsiTheme="minorHAnsi" w:cs="TimesNewRoman"/>
        </w:rPr>
      </w:pPr>
      <w:r>
        <w:rPr>
          <w:noProof/>
          <w:lang w:eastAsia="en-AU"/>
        </w:rPr>
        <w:drawing>
          <wp:inline distT="0" distB="0" distL="0" distR="0" wp14:anchorId="25937580" wp14:editId="24489308">
            <wp:extent cx="5400040" cy="3035300"/>
            <wp:effectExtent l="0" t="0" r="0" b="0"/>
            <wp:docPr id="9" name="Picture 9" descr="The table shows age baseline characteristics (age (years) at screening and age group) for the SDSD + LDSD seronegative for efficacy analysis set divided into AZD1222, control and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035300"/>
                    </a:xfrm>
                    <a:prstGeom prst="rect">
                      <a:avLst/>
                    </a:prstGeom>
                  </pic:spPr>
                </pic:pic>
              </a:graphicData>
            </a:graphic>
          </wp:inline>
        </w:drawing>
      </w:r>
    </w:p>
    <w:p w14:paraId="2A68987D" w14:textId="0EC58B64" w:rsidR="000C3693" w:rsidRPr="003D5889" w:rsidRDefault="000C3693" w:rsidP="000C3693">
      <w:pPr>
        <w:pStyle w:val="TableDescription"/>
      </w:pPr>
      <w:r>
        <w:t>SD = standard deviation (in this table ‘Statistics’ column only, otherwise SD = standard dose).</w:t>
      </w:r>
    </w:p>
    <w:p w14:paraId="48E937A8" w14:textId="4C3C30A9" w:rsidR="00D84D93" w:rsidRPr="000950A8" w:rsidRDefault="00D84D93" w:rsidP="003D5889">
      <w:pPr>
        <w:pStyle w:val="Heading5"/>
      </w:pPr>
      <w:r w:rsidRPr="000950A8">
        <w:lastRenderedPageBreak/>
        <w:t>Efficacy</w:t>
      </w:r>
      <w:r w:rsidR="003D5889">
        <w:t xml:space="preserve"> results</w:t>
      </w:r>
    </w:p>
    <w:p w14:paraId="13F849E9" w14:textId="1A1D5BDC" w:rsidR="00D84D93" w:rsidRDefault="00D84D93" w:rsidP="003D5889">
      <w:r>
        <w:t xml:space="preserve">The median duration of follow up since the first dose was 132 days (4 months). The median duration of follow up </w:t>
      </w:r>
      <w:r w:rsidR="00E96F97">
        <w:rPr>
          <w:rFonts w:asciiTheme="minorHAnsi" w:eastAsia="TimesNewRoman" w:hAnsiTheme="minorHAnsi" w:cs="TimesNewRoman"/>
        </w:rPr>
        <w:sym w:font="Symbol" w:char="F0B3"/>
      </w:r>
      <w:r w:rsidR="009A4926">
        <w:t xml:space="preserve"> </w:t>
      </w:r>
      <w:r>
        <w:t xml:space="preserve">15 days after the second dose was 48 days. The duration of follow up </w:t>
      </w:r>
      <w:r w:rsidR="00E96F97">
        <w:rPr>
          <w:rFonts w:asciiTheme="minorHAnsi" w:eastAsia="TimesNewRoman" w:hAnsiTheme="minorHAnsi" w:cs="TimesNewRoman"/>
        </w:rPr>
        <w:sym w:font="Symbol" w:char="F0B3"/>
      </w:r>
      <w:r w:rsidR="009A4926">
        <w:t xml:space="preserve"> </w:t>
      </w:r>
      <w:r>
        <w:t>15 days after the second dose was longer after the LDSD group (59 days)</w:t>
      </w:r>
      <w:r w:rsidR="003D5889">
        <w:t xml:space="preserve"> than the SDSD group (39 days).</w:t>
      </w:r>
    </w:p>
    <w:p w14:paraId="37381EA0" w14:textId="68E4D6F2" w:rsidR="00D84D93" w:rsidRDefault="003D5889" w:rsidP="003D5889">
      <w:pPr>
        <w:pStyle w:val="Heading6"/>
      </w:pPr>
      <w:r>
        <w:t>Primary efficacy endpoint</w:t>
      </w:r>
    </w:p>
    <w:p w14:paraId="6660571D" w14:textId="003217D4" w:rsidR="00D84D93" w:rsidRDefault="00D84D93" w:rsidP="003D5889">
      <w:r>
        <w:t xml:space="preserve">The interim analysis was planned </w:t>
      </w:r>
      <w:proofErr w:type="gramStart"/>
      <w:r>
        <w:t>using</w:t>
      </w:r>
      <w:proofErr w:type="gramEnd"/>
      <w:r>
        <w:t xml:space="preserve"> the number of cases in the SDSD seronegative group. The sponsor proposed that the combined LDSD and SDSD seronegative population should be used for the primary efficacy population due to the greater power of the </w:t>
      </w:r>
      <w:proofErr w:type="gramStart"/>
      <w:r>
        <w:t>numbers, and</w:t>
      </w:r>
      <w:proofErr w:type="gramEnd"/>
      <w:r>
        <w:t xml:space="preserve"> presumed similar efficacy in the LDSD population based on immunology. Depending on which population is u</w:t>
      </w:r>
      <w:r w:rsidR="00A70B0B">
        <w:t xml:space="preserve">sed, the vaccine efficacy is 60 to </w:t>
      </w:r>
      <w:r>
        <w:t xml:space="preserve">70% with a lower 95% confidence interval of over 40%. This meets the </w:t>
      </w:r>
      <w:r w:rsidR="00A70B0B">
        <w:t>European Medicines Agency (</w:t>
      </w:r>
      <w:r>
        <w:t>EMA</w:t>
      </w:r>
      <w:r w:rsidR="00A70B0B">
        <w:t>)</w:t>
      </w:r>
      <w:r>
        <w:t xml:space="preserve"> and </w:t>
      </w:r>
      <w:r w:rsidR="00A70B0B">
        <w:t xml:space="preserve">United States </w:t>
      </w:r>
      <w:r w:rsidR="00D06C97">
        <w:t xml:space="preserve">(US) </w:t>
      </w:r>
      <w:r w:rsidR="00A70B0B">
        <w:t>Food and Drug Administration (</w:t>
      </w:r>
      <w:r>
        <w:t>FDA</w:t>
      </w:r>
      <w:r w:rsidR="00A70B0B">
        <w:t>)</w:t>
      </w:r>
      <w:r>
        <w:t xml:space="preserve"> criteria for efficacy of a COVID vaccine that states the point estimate should be over 50% with lower 95% </w:t>
      </w:r>
      <w:r w:rsidR="00A70B0B">
        <w:t>CI</w:t>
      </w:r>
      <w:r>
        <w:t xml:space="preserve"> over 30%.</w:t>
      </w:r>
      <w:bookmarkStart w:id="49" w:name="_Ref63171448"/>
      <w:r w:rsidR="00A70B0B">
        <w:rPr>
          <w:rStyle w:val="FootnoteReference"/>
        </w:rPr>
        <w:footnoteReference w:id="18"/>
      </w:r>
      <w:bookmarkEnd w:id="49"/>
      <w:r w:rsidR="004152B3">
        <w:rPr>
          <w:vertAlign w:val="superscript"/>
        </w:rPr>
        <w:t>,</w:t>
      </w:r>
      <w:bookmarkStart w:id="50" w:name="_Ref63171455"/>
      <w:r w:rsidR="00A70B0B">
        <w:rPr>
          <w:rStyle w:val="FootnoteReference"/>
        </w:rPr>
        <w:footnoteReference w:id="19"/>
      </w:r>
      <w:bookmarkEnd w:id="50"/>
      <w:r w:rsidR="004152B3">
        <w:t xml:space="preserve"> Results for the primary endpoint are shown in Table 6, below.</w:t>
      </w:r>
    </w:p>
    <w:p w14:paraId="6BC46607" w14:textId="4F3174D3" w:rsidR="00D55C87" w:rsidRDefault="00D55C87" w:rsidP="0072466A">
      <w:pPr>
        <w:pStyle w:val="TableTitle"/>
      </w:pPr>
      <w:bookmarkStart w:id="51" w:name="_Ref64195765"/>
      <w:r>
        <w:t xml:space="preserve">Table </w:t>
      </w:r>
      <w:r w:rsidR="002D3B9B">
        <w:fldChar w:fldCharType="begin"/>
      </w:r>
      <w:r w:rsidR="002D3B9B">
        <w:instrText xml:space="preserve"> SEQ Table \* ARABIC </w:instrText>
      </w:r>
      <w:r w:rsidR="002D3B9B">
        <w:fldChar w:fldCharType="separate"/>
      </w:r>
      <w:r w:rsidR="001D05A6">
        <w:rPr>
          <w:noProof/>
        </w:rPr>
        <w:t>6</w:t>
      </w:r>
      <w:r w:rsidR="002D3B9B">
        <w:rPr>
          <w:noProof/>
        </w:rPr>
        <w:fldChar w:fldCharType="end"/>
      </w:r>
      <w:bookmarkEnd w:id="51"/>
      <w:r w:rsidR="00A70B0B">
        <w:t xml:space="preserve">: </w:t>
      </w:r>
      <w:r w:rsidR="004152B3">
        <w:t>AZD1222 pooled analysis, p</w:t>
      </w:r>
      <w:r w:rsidR="00A70B0B">
        <w:t xml:space="preserve">rimary endpoint, vaccine efficacy for incidence of first </w:t>
      </w:r>
      <w:r>
        <w:t xml:space="preserve">SARS-CoV-2 </w:t>
      </w:r>
      <w:r w:rsidR="00A70B0B">
        <w:t>virologically confirmed symptomatic</w:t>
      </w:r>
      <w:r>
        <w:t xml:space="preserve"> COVID-19 </w:t>
      </w:r>
      <w:r w:rsidR="00A70B0B">
        <w:t xml:space="preserve">occurring </w:t>
      </w:r>
      <w:r w:rsidR="00E96F97" w:rsidRPr="00E96F97">
        <w:rPr>
          <w:rFonts w:asciiTheme="minorHAnsi" w:eastAsia="TimesNewRoman" w:hAnsiTheme="minorHAnsi" w:cs="TimesNewRoman"/>
        </w:rPr>
        <w:sym w:font="Symbol" w:char="F0B3"/>
      </w:r>
      <w:r w:rsidR="00A70B0B">
        <w:t xml:space="preserve"> 15 days post second dose</w:t>
      </w:r>
    </w:p>
    <w:p w14:paraId="18FAD9BD" w14:textId="2E8ECAA6" w:rsidR="00D84D93" w:rsidRDefault="00D55C87" w:rsidP="006005D8">
      <w:r>
        <w:rPr>
          <w:noProof/>
          <w:lang w:eastAsia="en-AU"/>
        </w:rPr>
        <w:drawing>
          <wp:inline distT="0" distB="0" distL="0" distR="0" wp14:anchorId="54686C51" wp14:editId="6D65F4B8">
            <wp:extent cx="5400040" cy="1242060"/>
            <wp:effectExtent l="0" t="0" r="0" b="0"/>
            <wp:docPr id="11" name="Picture 11" descr="The table shows the primary endpoint, (vaccine efficacy for incidence of first SARS-CoV-2 virologically confirmed symptomatic COVID-19 occurring ≥ 15 days post second dose) for the AZD1222 and control groups, broken down by 4 analysis populations; SDSD + LDSD seronegative, SDSD + LDSD intent to treat seronegative, SDSD seronegative and LDSD sero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242060"/>
                    </a:xfrm>
                    <a:prstGeom prst="rect">
                      <a:avLst/>
                    </a:prstGeom>
                  </pic:spPr>
                </pic:pic>
              </a:graphicData>
            </a:graphic>
          </wp:inline>
        </w:drawing>
      </w:r>
    </w:p>
    <w:p w14:paraId="37011DF1" w14:textId="06FBF15D" w:rsidR="00A70B0B" w:rsidRPr="006005D8" w:rsidRDefault="00A70B0B" w:rsidP="006005D8">
      <w:pPr>
        <w:pStyle w:val="TableDescription"/>
      </w:pPr>
      <w:r w:rsidRPr="006005D8">
        <w:t>ITT = intent to treat.</w:t>
      </w:r>
    </w:p>
    <w:p w14:paraId="7865FF09" w14:textId="04BAC4FF" w:rsidR="00D55C87" w:rsidRPr="006005D8" w:rsidRDefault="00D55C87" w:rsidP="006005D8">
      <w:pPr>
        <w:pStyle w:val="TableDescription"/>
      </w:pPr>
      <w:r w:rsidRPr="006005D8">
        <w:t>VE of AZD1222 versus control, the 95.84% CI and</w:t>
      </w:r>
      <w:r w:rsidR="0072466A" w:rsidRPr="006005D8">
        <w:t xml:space="preserve"> p </w:t>
      </w:r>
      <w:r w:rsidRPr="006005D8">
        <w:t>value were estimated based on Poisson regression with robust variance including the terms of study code, treatm</w:t>
      </w:r>
      <w:r w:rsidR="0072466A" w:rsidRPr="006005D8">
        <w:t>ent, age group at screening (18 to 55, 56 to </w:t>
      </w:r>
      <w:r w:rsidRPr="006005D8">
        <w:t xml:space="preserve">69, and </w:t>
      </w:r>
      <w:r w:rsidR="00E96F97" w:rsidRPr="006005D8">
        <w:sym w:font="Symbol" w:char="F0B3"/>
      </w:r>
      <w:r w:rsidR="0072466A" w:rsidRPr="006005D8">
        <w:t xml:space="preserve"> </w:t>
      </w:r>
      <w:r w:rsidRPr="006005D8">
        <w:t>70 years</w:t>
      </w:r>
      <w:r w:rsidR="0072466A" w:rsidRPr="006005D8">
        <w:t xml:space="preserve"> of age</w:t>
      </w:r>
      <w:r w:rsidRPr="006005D8">
        <w:t>) as covariates, as well as the log of the follow-up time as an offset.</w:t>
      </w:r>
    </w:p>
    <w:p w14:paraId="20689E27" w14:textId="5645EA44" w:rsidR="00D55C87" w:rsidRPr="006005D8" w:rsidRDefault="00D55C87" w:rsidP="006005D8">
      <w:pPr>
        <w:pStyle w:val="TableDescription"/>
      </w:pPr>
      <w:r w:rsidRPr="006005D8">
        <w:t>VE was defined as 1</w:t>
      </w:r>
      <w:r w:rsidR="0072466A" w:rsidRPr="006005D8">
        <w:t xml:space="preserve"> </w:t>
      </w:r>
      <w:r w:rsidRPr="006005D8">
        <w:t>-</w:t>
      </w:r>
      <w:r w:rsidR="0072466A" w:rsidRPr="006005D8">
        <w:t xml:space="preserve"> </w:t>
      </w:r>
      <w:r w:rsidRPr="006005D8">
        <w:t>(incidence from the AZD1222 arm / incidence from the control arm) expressed as a percentage, where the risk ratio was derived from the Poisson regression model with robust variance. The 95.84% CI for the VE was obtained by taking 1 minus the 95.84% CI of the risk ratio derived from the model.</w:t>
      </w:r>
    </w:p>
    <w:p w14:paraId="688805A6" w14:textId="04F59806" w:rsidR="00D55C87" w:rsidRPr="006005D8" w:rsidRDefault="00D55C87" w:rsidP="006005D8">
      <w:pPr>
        <w:pStyle w:val="TableDescription"/>
      </w:pPr>
      <w:r w:rsidRPr="006005D8">
        <w:t>For the primary endpoint efficacy objective to be met, the lower bound</w:t>
      </w:r>
      <w:r w:rsidR="0072466A" w:rsidRPr="006005D8">
        <w:t xml:space="preserve"> of the CI for the VE must be </w:t>
      </w:r>
      <w:r w:rsidR="00E96F97" w:rsidRPr="006005D8">
        <w:t>&gt;</w:t>
      </w:r>
      <w:r w:rsidR="0072466A" w:rsidRPr="006005D8">
        <w:t> </w:t>
      </w:r>
      <w:r w:rsidRPr="006005D8">
        <w:t>20%.</w:t>
      </w:r>
    </w:p>
    <w:p w14:paraId="454D9615" w14:textId="77777777" w:rsidR="00D55C87" w:rsidRPr="006005D8" w:rsidRDefault="00D55C87" w:rsidP="006005D8">
      <w:pPr>
        <w:pStyle w:val="TableDescription"/>
      </w:pPr>
      <w:r w:rsidRPr="006005D8">
        <w:t>The observation period for the endpoint was 15 days post second dose up to 1 year in study.</w:t>
      </w:r>
    </w:p>
    <w:p w14:paraId="0CCF4C68" w14:textId="4C83893B" w:rsidR="00D55C87" w:rsidRPr="006005D8" w:rsidRDefault="00D55C87" w:rsidP="006005D8">
      <w:pPr>
        <w:pStyle w:val="TableDescription"/>
      </w:pPr>
      <w:r w:rsidRPr="006005D8">
        <w:t>COVID-19 endpoints were based on adjudicated events.</w:t>
      </w:r>
    </w:p>
    <w:p w14:paraId="6A7FF835" w14:textId="4AB080B7" w:rsidR="00D84D93" w:rsidRDefault="009674B3" w:rsidP="003D5889">
      <w:r>
        <w:fldChar w:fldCharType="begin"/>
      </w:r>
      <w:r>
        <w:instrText xml:space="preserve"> REF _Ref64016306 \h </w:instrText>
      </w:r>
      <w:r>
        <w:fldChar w:fldCharType="separate"/>
      </w:r>
      <w:r w:rsidR="001D05A6">
        <w:t xml:space="preserve">Figure </w:t>
      </w:r>
      <w:r w:rsidR="001D05A6">
        <w:rPr>
          <w:noProof/>
        </w:rPr>
        <w:t>2</w:t>
      </w:r>
      <w:r>
        <w:fldChar w:fldCharType="end"/>
      </w:r>
      <w:r>
        <w:t xml:space="preserve"> </w:t>
      </w:r>
      <w:r w:rsidR="004152B3">
        <w:t>, shown</w:t>
      </w:r>
      <w:r w:rsidR="00D55C87">
        <w:t xml:space="preserve"> below</w:t>
      </w:r>
      <w:r w:rsidR="004152B3">
        <w:t>,</w:t>
      </w:r>
      <w:r w:rsidR="00D55C87">
        <w:t xml:space="preserve"> is the Kapla</w:t>
      </w:r>
      <w:r w:rsidR="00D84D93">
        <w:t>n Mei</w:t>
      </w:r>
      <w:r w:rsidR="0072466A">
        <w:t>e</w:t>
      </w:r>
      <w:r w:rsidR="00D84D93">
        <w:t>r curve (</w:t>
      </w:r>
      <w:proofErr w:type="gramStart"/>
      <w:r w:rsidR="00D84D93">
        <w:t>actually a</w:t>
      </w:r>
      <w:proofErr w:type="gramEnd"/>
      <w:r w:rsidR="00D84D93">
        <w:t xml:space="preserve"> survival curve) for primary efficacy in the combined LDSD and SDSD seronegative population. It is important to note the rapidly decreasing denominator over time. There is survivor bias in this analysis, in that patients who contract COVID</w:t>
      </w:r>
      <w:r w:rsidR="004152B3">
        <w:t>-19</w:t>
      </w:r>
      <w:r w:rsidR="00D84D93">
        <w:t xml:space="preserve"> are excluded. There is also the bias introduced by duration of follow up, in that the longer the duration of follow up the greater the exposure and the more likely an event is likely to occur.</w:t>
      </w:r>
    </w:p>
    <w:p w14:paraId="4E49ED39" w14:textId="0E9F0AC3" w:rsidR="00D55C87" w:rsidRDefault="00D55C87" w:rsidP="00D55C87">
      <w:pPr>
        <w:pStyle w:val="FigureTitle"/>
      </w:pPr>
      <w:bookmarkStart w:id="52" w:name="_Ref64016306"/>
      <w:r>
        <w:lastRenderedPageBreak/>
        <w:t xml:space="preserve">Figure </w:t>
      </w:r>
      <w:r w:rsidR="002D3B9B">
        <w:fldChar w:fldCharType="begin"/>
      </w:r>
      <w:r w:rsidR="002D3B9B">
        <w:instrText xml:space="preserve"> SEQ Figure \* ARABIC </w:instrText>
      </w:r>
      <w:r w:rsidR="002D3B9B">
        <w:fldChar w:fldCharType="separate"/>
      </w:r>
      <w:r w:rsidR="001D05A6">
        <w:rPr>
          <w:noProof/>
        </w:rPr>
        <w:t>2</w:t>
      </w:r>
      <w:r w:rsidR="002D3B9B">
        <w:rPr>
          <w:noProof/>
        </w:rPr>
        <w:fldChar w:fldCharType="end"/>
      </w:r>
      <w:bookmarkEnd w:id="52"/>
      <w:r>
        <w:t>:</w:t>
      </w:r>
      <w:r w:rsidR="0072466A">
        <w:t xml:space="preserve"> </w:t>
      </w:r>
      <w:r w:rsidR="004152B3">
        <w:t>AZD1222 pooled analysis, c</w:t>
      </w:r>
      <w:r w:rsidR="0072466A">
        <w:t xml:space="preserve">umulative incidence plot for time to first </w:t>
      </w:r>
      <w:r>
        <w:t xml:space="preserve">SARS-CoV-2 </w:t>
      </w:r>
      <w:r w:rsidR="0072466A">
        <w:t xml:space="preserve">virologically confirmed symptomatic COVID-19 </w:t>
      </w:r>
      <w:r w:rsidR="00781C98">
        <w:t>case</w:t>
      </w:r>
      <w:r w:rsidR="004152B3">
        <w:t xml:space="preserve"> </w:t>
      </w:r>
      <w:r w:rsidR="0072466A">
        <w:t xml:space="preserve">occurring </w:t>
      </w:r>
      <w:r w:rsidR="00E96F97">
        <w:rPr>
          <w:rFonts w:asciiTheme="minorHAnsi" w:eastAsia="TimesNewRoman" w:hAnsiTheme="minorHAnsi" w:cs="TimesNewRoman"/>
        </w:rPr>
        <w:sym w:font="Symbol" w:char="F0B3"/>
      </w:r>
      <w:r w:rsidR="00781C98">
        <w:t> </w:t>
      </w:r>
      <w:r w:rsidR="0072466A">
        <w:t>15</w:t>
      </w:r>
      <w:r w:rsidR="00781C98">
        <w:t> </w:t>
      </w:r>
      <w:r w:rsidR="0072466A">
        <w:t>days post second dose</w:t>
      </w:r>
      <w:r w:rsidR="00781C98">
        <w:t xml:space="preserve"> (</w:t>
      </w:r>
      <w:r w:rsidR="0072466A">
        <w:t>SDSD + LDSD seronegative</w:t>
      </w:r>
      <w:r w:rsidR="00781C98">
        <w:t xml:space="preserve">, </w:t>
      </w:r>
      <w:r w:rsidR="0072466A">
        <w:t>efficacy analysis set</w:t>
      </w:r>
      <w:r w:rsidR="00781C98">
        <w:t>)</w:t>
      </w:r>
    </w:p>
    <w:p w14:paraId="4A61ED35" w14:textId="781E0C25" w:rsidR="00D84D93" w:rsidRDefault="00D55C87" w:rsidP="00D84D93">
      <w:pPr>
        <w:autoSpaceDE w:val="0"/>
        <w:autoSpaceDN w:val="0"/>
        <w:adjustRightInd w:val="0"/>
        <w:spacing w:before="0" w:after="0" w:line="240" w:lineRule="auto"/>
      </w:pPr>
      <w:r>
        <w:rPr>
          <w:noProof/>
          <w:lang w:eastAsia="en-AU"/>
        </w:rPr>
        <w:drawing>
          <wp:inline distT="0" distB="0" distL="0" distR="0" wp14:anchorId="33C4E7F2" wp14:editId="30982580">
            <wp:extent cx="5400040" cy="2820035"/>
            <wp:effectExtent l="0" t="0" r="0" b="0"/>
            <wp:docPr id="13" name="Picture 13" descr="This figure shows the cumulative incidence  for time to first SARS-CoV-2 virologically confirmed symptomatic COVID-19 occurring ≥ 15 days post second dose, SDSD + LDSD seronegative for efficacy analysis set, for the control and AZD1222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820035"/>
                    </a:xfrm>
                    <a:prstGeom prst="rect">
                      <a:avLst/>
                    </a:prstGeom>
                  </pic:spPr>
                </pic:pic>
              </a:graphicData>
            </a:graphic>
          </wp:inline>
        </w:drawing>
      </w:r>
    </w:p>
    <w:p w14:paraId="29D5EFEF" w14:textId="686DF8B9" w:rsidR="00D84D93" w:rsidRDefault="00D84D93" w:rsidP="003D5889">
      <w:r>
        <w:t xml:space="preserve">In the </w:t>
      </w:r>
      <w:r w:rsidRPr="00D47DCA">
        <w:t>full efficacy population (</w:t>
      </w:r>
      <w:r w:rsidR="0072466A">
        <w:t xml:space="preserve">any dose for efficacy </w:t>
      </w:r>
      <w:r w:rsidR="0072466A" w:rsidRPr="00D47DCA">
        <w:t xml:space="preserve">analysis </w:t>
      </w:r>
      <w:r w:rsidRPr="00D47DCA">
        <w:t>set), who received at least one dos</w:t>
      </w:r>
      <w:r>
        <w:t xml:space="preserve">e with </w:t>
      </w:r>
      <w:r w:rsidR="00951CFA">
        <w:t xml:space="preserve">any duration </w:t>
      </w:r>
      <w:r>
        <w:t xml:space="preserve">follow up from the first </w:t>
      </w:r>
      <w:r w:rsidR="0072466A">
        <w:t>dose, e</w:t>
      </w:r>
      <w:r w:rsidRPr="00D47DCA">
        <w:t>fficacy of the AZD1222 vaccine was 52.69% (</w:t>
      </w:r>
      <w:r>
        <w:t>95%</w:t>
      </w:r>
      <w:r w:rsidR="0072466A">
        <w:t> </w:t>
      </w:r>
      <w:r>
        <w:t xml:space="preserve">CI: 40.52%, 62.37%) against </w:t>
      </w:r>
      <w:r w:rsidRPr="00D47DCA">
        <w:t>COVID-19 in this group of participants</w:t>
      </w:r>
      <w:r>
        <w:t>.</w:t>
      </w:r>
      <w:r w:rsidR="004152B3">
        <w:t xml:space="preserve"> A similar Kaplan Meier (survival) curve is shown </w:t>
      </w:r>
      <w:r w:rsidR="00781C98">
        <w:t>for this group in Figure 3.</w:t>
      </w:r>
      <w:r>
        <w:t xml:space="preserve"> The vaccine appears to be effective from around</w:t>
      </w:r>
      <w:r w:rsidR="003D5889">
        <w:t xml:space="preserve"> 21 days after the first dose.</w:t>
      </w:r>
    </w:p>
    <w:p w14:paraId="241D4B8F" w14:textId="5399BEA1" w:rsidR="00D55C87" w:rsidRDefault="00D55C87" w:rsidP="00D55C87">
      <w:pPr>
        <w:pStyle w:val="FigureTitle"/>
      </w:pPr>
      <w:r>
        <w:t xml:space="preserve">Figure </w:t>
      </w:r>
      <w:r w:rsidR="002D3B9B">
        <w:fldChar w:fldCharType="begin"/>
      </w:r>
      <w:r w:rsidR="002D3B9B">
        <w:instrText xml:space="preserve"> SEQ Figure \* ARABIC </w:instrText>
      </w:r>
      <w:r w:rsidR="002D3B9B">
        <w:fldChar w:fldCharType="separate"/>
      </w:r>
      <w:r w:rsidR="001D05A6">
        <w:rPr>
          <w:noProof/>
        </w:rPr>
        <w:t>3</w:t>
      </w:r>
      <w:r w:rsidR="002D3B9B">
        <w:rPr>
          <w:noProof/>
        </w:rPr>
        <w:fldChar w:fldCharType="end"/>
      </w:r>
      <w:r>
        <w:t xml:space="preserve">: </w:t>
      </w:r>
      <w:r w:rsidR="00781C98">
        <w:t>AZD1222 pooled analysis, c</w:t>
      </w:r>
      <w:r>
        <w:t xml:space="preserve">umulative </w:t>
      </w:r>
      <w:r w:rsidR="0072466A">
        <w:t xml:space="preserve">incidence plot for time to first </w:t>
      </w:r>
      <w:r>
        <w:t xml:space="preserve">SARS-CoV-2 </w:t>
      </w:r>
      <w:r w:rsidR="0072466A">
        <w:t xml:space="preserve">virologically confirmed symptomatic </w:t>
      </w:r>
      <w:r>
        <w:t>COVID-19</w:t>
      </w:r>
      <w:r w:rsidR="00781C98">
        <w:t xml:space="preserve"> case</w:t>
      </w:r>
      <w:r>
        <w:t xml:space="preserve"> </w:t>
      </w:r>
      <w:r w:rsidR="0072466A">
        <w:t>occurring post first dose (any dose for efficacy analysis set, any serostatus)</w:t>
      </w:r>
    </w:p>
    <w:p w14:paraId="4D87B671" w14:textId="2C4636E5" w:rsidR="00D84D93" w:rsidRPr="003D5889" w:rsidRDefault="00D55C87" w:rsidP="003D5889">
      <w:pPr>
        <w:autoSpaceDE w:val="0"/>
        <w:autoSpaceDN w:val="0"/>
        <w:adjustRightInd w:val="0"/>
        <w:spacing w:before="0" w:after="0" w:line="240" w:lineRule="auto"/>
        <w:rPr>
          <w:rFonts w:asciiTheme="minorHAnsi" w:hAnsiTheme="minorHAnsi"/>
        </w:rPr>
      </w:pPr>
      <w:r>
        <w:rPr>
          <w:noProof/>
          <w:lang w:eastAsia="en-AU"/>
        </w:rPr>
        <w:drawing>
          <wp:inline distT="0" distB="0" distL="0" distR="0" wp14:anchorId="1CB4B69A" wp14:editId="32A2D097">
            <wp:extent cx="5400040" cy="2761615"/>
            <wp:effectExtent l="0" t="0" r="0" b="635"/>
            <wp:docPr id="14" name="Picture 14" descr="This figure shows the cumulative incidence for time to first SARS-CoV-2 virologically confirmed symptomatic COVID-19 occurring post first dose (any dose for efficacy analysis set, any serostatus), for the control and AZD1222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761615"/>
                    </a:xfrm>
                    <a:prstGeom prst="rect">
                      <a:avLst/>
                    </a:prstGeom>
                  </pic:spPr>
                </pic:pic>
              </a:graphicData>
            </a:graphic>
          </wp:inline>
        </w:drawing>
      </w:r>
    </w:p>
    <w:p w14:paraId="3CFE1A98" w14:textId="0AA4DF48" w:rsidR="00D84D93" w:rsidRDefault="00D84D93" w:rsidP="003D5889">
      <w:r>
        <w:t>There were very few patients with severe disease and hospitalisation in the interim analysis. In th</w:t>
      </w:r>
      <w:r w:rsidR="0072466A">
        <w:t>e SDSD population, there were 0 out of 4440</w:t>
      </w:r>
      <w:r>
        <w:t xml:space="preserve"> participants who received AZD1222 </w:t>
      </w:r>
      <w:r w:rsidR="0072466A">
        <w:t xml:space="preserve">who were hospitalised, and 4 out of </w:t>
      </w:r>
      <w:r>
        <w:t xml:space="preserve">4455 in the control group. One patient required </w:t>
      </w:r>
      <w:r w:rsidR="009674B3">
        <w:t>ICU</w:t>
      </w:r>
      <w:r w:rsidR="00781C98">
        <w:t xml:space="preserve"> </w:t>
      </w:r>
      <w:r w:rsidR="0072466A">
        <w:t xml:space="preserve">admission </w:t>
      </w:r>
      <w:r w:rsidR="003D5889">
        <w:t>and died in the control group.</w:t>
      </w:r>
    </w:p>
    <w:p w14:paraId="21CC1071" w14:textId="366FA48D" w:rsidR="00D84D93" w:rsidRDefault="00D84D93" w:rsidP="003D5889">
      <w:pPr>
        <w:rPr>
          <w:rFonts w:eastAsia="TimesNewRoman" w:cs="TimesNewRoman"/>
        </w:rPr>
      </w:pPr>
      <w:r w:rsidRPr="00617A42">
        <w:rPr>
          <w:rFonts w:eastAsia="TimesNewRoman" w:cs="TimesNewRoman"/>
        </w:rPr>
        <w:t xml:space="preserve">Asymptomatic COVID-19 </w:t>
      </w:r>
      <w:r w:rsidR="00781C98">
        <w:rPr>
          <w:rFonts w:eastAsia="TimesNewRoman" w:cs="TimesNewRoman"/>
        </w:rPr>
        <w:t xml:space="preserve">cases </w:t>
      </w:r>
      <w:r w:rsidRPr="00617A42">
        <w:rPr>
          <w:rFonts w:eastAsia="TimesNewRoman" w:cs="TimesNewRoman"/>
        </w:rPr>
        <w:t>w</w:t>
      </w:r>
      <w:r w:rsidR="00781C98">
        <w:rPr>
          <w:rFonts w:eastAsia="TimesNewRoman" w:cs="TimesNewRoman"/>
        </w:rPr>
        <w:t>ere</w:t>
      </w:r>
      <w:r w:rsidRPr="00617A42">
        <w:rPr>
          <w:rFonts w:eastAsia="TimesNewRoman" w:cs="TimesNewRoman"/>
        </w:rPr>
        <w:t xml:space="preserve"> assessed in Study COV</w:t>
      </w:r>
      <w:r w:rsidR="003D5889">
        <w:rPr>
          <w:rFonts w:eastAsia="TimesNewRoman" w:cs="TimesNewRoman"/>
        </w:rPr>
        <w:t xml:space="preserve">002. Code-bar tagged swabs were </w:t>
      </w:r>
      <w:r w:rsidRPr="00617A42">
        <w:rPr>
          <w:rFonts w:eastAsia="TimesNewRoman" w:cs="TimesNewRoman"/>
        </w:rPr>
        <w:t>distributed to participants to support weekly traceable results of</w:t>
      </w:r>
      <w:r w:rsidR="003D5889">
        <w:rPr>
          <w:rFonts w:eastAsia="TimesNewRoman" w:cs="TimesNewRoman"/>
        </w:rPr>
        <w:t xml:space="preserve"> self-swabbing for </w:t>
      </w:r>
      <w:r w:rsidR="003D5889">
        <w:rPr>
          <w:rFonts w:eastAsia="TimesNewRoman" w:cs="TimesNewRoman"/>
        </w:rPr>
        <w:lastRenderedPageBreak/>
        <w:t xml:space="preserve">detection of </w:t>
      </w:r>
      <w:r w:rsidRPr="00617A42">
        <w:rPr>
          <w:rFonts w:eastAsia="TimesNewRoman" w:cs="TimesNewRoman"/>
        </w:rPr>
        <w:t>SARS-CoV-2 infection. Swabs were sent for RT-PCR tes</w:t>
      </w:r>
      <w:r w:rsidR="0072466A">
        <w:rPr>
          <w:rFonts w:eastAsia="TimesNewRoman" w:cs="TimesNewRoman"/>
        </w:rPr>
        <w:t>ting at National Health Service (UK)</w:t>
      </w:r>
      <w:r w:rsidRPr="00617A42">
        <w:rPr>
          <w:rFonts w:eastAsia="TimesNewRoman" w:cs="TimesNewRoman"/>
        </w:rPr>
        <w:t xml:space="preserve"> laboratories. Participants were also asked to self-</w:t>
      </w:r>
      <w:r w:rsidR="003D5889">
        <w:rPr>
          <w:rFonts w:eastAsia="TimesNewRoman" w:cs="TimesNewRoman"/>
        </w:rPr>
        <w:t xml:space="preserve">record whether they experienced </w:t>
      </w:r>
      <w:r w:rsidRPr="00617A42">
        <w:rPr>
          <w:rFonts w:eastAsia="TimesNewRoman" w:cs="TimesNewRoman"/>
        </w:rPr>
        <w:t>symptoms or not. Participants who had a virologically con</w:t>
      </w:r>
      <w:r w:rsidR="003D5889">
        <w:rPr>
          <w:rFonts w:eastAsia="TimesNewRoman" w:cs="TimesNewRoman"/>
        </w:rPr>
        <w:t xml:space="preserve">firmed SARS-CoV-2 infection and </w:t>
      </w:r>
      <w:r w:rsidRPr="00617A42">
        <w:rPr>
          <w:rFonts w:eastAsia="TimesNewRoman" w:cs="TimesNewRoman"/>
        </w:rPr>
        <w:t>reported that they had no symptoms are referred to here as ‘asymptomatic’; those</w:t>
      </w:r>
      <w:r w:rsidR="003D5889">
        <w:rPr>
          <w:rFonts w:eastAsia="TimesNewRoman" w:cs="TimesNewRoman"/>
        </w:rPr>
        <w:t xml:space="preserve"> participants </w:t>
      </w:r>
      <w:r w:rsidRPr="00617A42">
        <w:rPr>
          <w:rFonts w:eastAsia="TimesNewRoman" w:cs="TimesNewRoman"/>
        </w:rPr>
        <w:t>who did not report whether they had symptoms or not are referred to here as ‘unknown’.</w:t>
      </w:r>
      <w:r w:rsidR="00951CFA">
        <w:rPr>
          <w:rFonts w:eastAsia="TimesNewRoman" w:cs="TimesNewRoman"/>
        </w:rPr>
        <w:t xml:space="preserve"> It is important to note that not all participants returned their swabs.</w:t>
      </w:r>
    </w:p>
    <w:p w14:paraId="7DA5C371" w14:textId="73D5127C" w:rsidR="00D84D93" w:rsidRDefault="00D84D93" w:rsidP="003D5889">
      <w:pPr>
        <w:rPr>
          <w:rFonts w:eastAsia="TimesNewRoman" w:cs="TimesNewRoman"/>
        </w:rPr>
      </w:pPr>
      <w:r>
        <w:rPr>
          <w:rFonts w:eastAsia="TimesNewRoman" w:cs="TimesNewRoman"/>
        </w:rPr>
        <w:t>There were similar, or numerically lower, number of asymptomatic or unknown cases in the LDLD</w:t>
      </w:r>
      <w:r w:rsidR="00221A34">
        <w:rPr>
          <w:rFonts w:eastAsia="TimesNewRoman" w:cs="TimesNewRoman"/>
        </w:rPr>
        <w:t xml:space="preserve"> </w:t>
      </w:r>
      <w:r>
        <w:rPr>
          <w:rFonts w:eastAsia="TimesNewRoman" w:cs="TimesNewRoman"/>
        </w:rPr>
        <w:t>+ SDSD groups, importantly</w:t>
      </w:r>
      <w:r w:rsidR="0072466A">
        <w:rPr>
          <w:rFonts w:eastAsia="TimesNewRoman" w:cs="TimesNewRoman"/>
        </w:rPr>
        <w:t>, there was</w:t>
      </w:r>
      <w:r>
        <w:rPr>
          <w:rFonts w:eastAsia="TimesNewRoman" w:cs="TimesNewRoman"/>
        </w:rPr>
        <w:t xml:space="preserve"> not an increase</w:t>
      </w:r>
      <w:r w:rsidR="0072466A">
        <w:rPr>
          <w:rFonts w:eastAsia="TimesNewRoman" w:cs="TimesNewRoman"/>
        </w:rPr>
        <w:t>d</w:t>
      </w:r>
      <w:r>
        <w:rPr>
          <w:rFonts w:eastAsia="TimesNewRoman" w:cs="TimesNewRoman"/>
        </w:rPr>
        <w:t xml:space="preserve"> number of cases like </w:t>
      </w:r>
      <w:r w:rsidR="0072466A">
        <w:rPr>
          <w:rFonts w:eastAsia="TimesNewRoman" w:cs="TimesNewRoman"/>
        </w:rPr>
        <w:t>may be expected</w:t>
      </w:r>
      <w:r>
        <w:rPr>
          <w:rFonts w:eastAsia="TimesNewRoman" w:cs="TimesNewRoman"/>
        </w:rPr>
        <w:t xml:space="preserve"> if ther</w:t>
      </w:r>
      <w:r w:rsidR="003D5889">
        <w:rPr>
          <w:rFonts w:eastAsia="TimesNewRoman" w:cs="TimesNewRoman"/>
        </w:rPr>
        <w:t>e were less symptomatic cases.</w:t>
      </w:r>
    </w:p>
    <w:p w14:paraId="19C3552D" w14:textId="34867C8B" w:rsidR="000C402A" w:rsidRDefault="000C402A" w:rsidP="0072466A">
      <w:pPr>
        <w:pStyle w:val="TableTitle"/>
      </w:pPr>
      <w:r>
        <w:t xml:space="preserve">Table </w:t>
      </w:r>
      <w:r w:rsidR="002D3B9B">
        <w:fldChar w:fldCharType="begin"/>
      </w:r>
      <w:r w:rsidR="002D3B9B">
        <w:instrText xml:space="preserve"> </w:instrText>
      </w:r>
      <w:r w:rsidR="002D3B9B">
        <w:instrText xml:space="preserve">SEQ Table \* ARABIC </w:instrText>
      </w:r>
      <w:r w:rsidR="002D3B9B">
        <w:fldChar w:fldCharType="separate"/>
      </w:r>
      <w:r w:rsidR="001D05A6">
        <w:rPr>
          <w:noProof/>
        </w:rPr>
        <w:t>7</w:t>
      </w:r>
      <w:r w:rsidR="002D3B9B">
        <w:rPr>
          <w:noProof/>
        </w:rPr>
        <w:fldChar w:fldCharType="end"/>
      </w:r>
      <w:r>
        <w:t xml:space="preserve">: </w:t>
      </w:r>
      <w:r w:rsidR="0072466A">
        <w:t xml:space="preserve">Study COV002 </w:t>
      </w:r>
      <w:r w:rsidR="00781C98">
        <w:t>(</w:t>
      </w:r>
      <w:r w:rsidR="0072466A">
        <w:t>only</w:t>
      </w:r>
      <w:r w:rsidR="00781C98">
        <w:t>)</w:t>
      </w:r>
      <w:r w:rsidR="0072466A">
        <w:t xml:space="preserve">, </w:t>
      </w:r>
      <w:r w:rsidR="0072466A" w:rsidRPr="000C402A">
        <w:t xml:space="preserve">vaccine efficacy for incidence of asymptomatic </w:t>
      </w:r>
      <w:r w:rsidRPr="000C402A">
        <w:t>SARS</w:t>
      </w:r>
      <w:r w:rsidR="00781C98">
        <w:noBreakHyphen/>
      </w:r>
      <w:r w:rsidRPr="000C402A">
        <w:t xml:space="preserve">CoV-2 </w:t>
      </w:r>
      <w:r w:rsidR="0072466A" w:rsidRPr="000C402A">
        <w:t xml:space="preserve">infection </w:t>
      </w:r>
      <w:r w:rsidR="0072466A">
        <w:t xml:space="preserve">occurring </w:t>
      </w:r>
      <w:r w:rsidR="00E96F97">
        <w:rPr>
          <w:rFonts w:asciiTheme="minorHAnsi" w:eastAsia="TimesNewRoman" w:hAnsiTheme="minorHAnsi" w:cs="TimesNewRoman"/>
        </w:rPr>
        <w:sym w:font="Symbol" w:char="F0B3"/>
      </w:r>
      <w:r w:rsidR="0072466A">
        <w:t xml:space="preserve"> 15 days post second dose</w:t>
      </w:r>
    </w:p>
    <w:p w14:paraId="5B47C594" w14:textId="66F8C966" w:rsidR="00D84D93" w:rsidRPr="00617A42" w:rsidRDefault="000C402A" w:rsidP="006005D8">
      <w:pPr>
        <w:rPr>
          <w:rFonts w:asciiTheme="minorHAnsi" w:hAnsiTheme="minorHAnsi"/>
        </w:rPr>
      </w:pPr>
      <w:r>
        <w:rPr>
          <w:noProof/>
          <w:lang w:eastAsia="en-AU"/>
        </w:rPr>
        <w:drawing>
          <wp:inline distT="0" distB="0" distL="0" distR="0" wp14:anchorId="71534A0F" wp14:editId="02C17863">
            <wp:extent cx="5400040" cy="1910080"/>
            <wp:effectExtent l="0" t="0" r="0" b="0"/>
            <wp:docPr id="3" name="Picture 3" descr="This table shows the vaccine efficacy for incidence of asymptomatic SARS-CoV-2 infection occurring ≥ 15 days post second dose (Study COV002 only). Three analysis populations are shown; SDSD + LDSD seronegative, SDSD seronegative and LDSD sero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1910080"/>
                    </a:xfrm>
                    <a:prstGeom prst="rect">
                      <a:avLst/>
                    </a:prstGeom>
                  </pic:spPr>
                </pic:pic>
              </a:graphicData>
            </a:graphic>
          </wp:inline>
        </w:drawing>
      </w:r>
    </w:p>
    <w:p w14:paraId="38601D41" w14:textId="607EF7ED" w:rsidR="000C402A" w:rsidRPr="006005D8" w:rsidRDefault="000C402A" w:rsidP="006005D8">
      <w:pPr>
        <w:pStyle w:val="TableDescription"/>
      </w:pPr>
      <w:r w:rsidRPr="006005D8">
        <w:t>VE of AZD1222 versus control, the 95% CI and p-value were estimated based on Poisson regression with robust variance including the term of treatment, as well as the log of the follow-up time as an offset.</w:t>
      </w:r>
    </w:p>
    <w:p w14:paraId="289CD3D0" w14:textId="61618FC4" w:rsidR="000C402A" w:rsidRPr="006005D8" w:rsidRDefault="000C402A" w:rsidP="006005D8">
      <w:pPr>
        <w:pStyle w:val="TableDescription"/>
      </w:pPr>
      <w:r w:rsidRPr="006005D8">
        <w:t>VE was defined as 1-(incidence from the AZD1222 arm / incidence from the control arm) expressed as a percentage, where the risk ratio was derived from the Poisson regression model with robust variance. The 95% CI for the VE was obtained by taking 1 minus the 95% CI of the risk ratio derived from the model.</w:t>
      </w:r>
    </w:p>
    <w:p w14:paraId="2376ABF4" w14:textId="77777777" w:rsidR="000C402A" w:rsidRPr="006005D8" w:rsidRDefault="000C402A" w:rsidP="006005D8">
      <w:pPr>
        <w:pStyle w:val="TableDescription"/>
      </w:pPr>
      <w:r w:rsidRPr="006005D8">
        <w:t>The observation period for the endpoint was 15 days post second dose up to 1 year in study.</w:t>
      </w:r>
    </w:p>
    <w:p w14:paraId="6B739E99" w14:textId="1AAF7DDE" w:rsidR="00D84D93" w:rsidRPr="006005D8" w:rsidRDefault="000C402A" w:rsidP="006005D8">
      <w:pPr>
        <w:pStyle w:val="TableDescription"/>
      </w:pPr>
      <w:r w:rsidRPr="006005D8">
        <w:t>COVID-19 endpoints were based on adjudicated events.</w:t>
      </w:r>
    </w:p>
    <w:p w14:paraId="4D9839A2" w14:textId="74864AA5" w:rsidR="00D84D93" w:rsidRPr="001922E7" w:rsidRDefault="009A4926" w:rsidP="003D5889">
      <w:pPr>
        <w:pStyle w:val="Heading6"/>
      </w:pPr>
      <w:r>
        <w:t>Efficacy in subpopulations</w:t>
      </w:r>
    </w:p>
    <w:p w14:paraId="33CA638B" w14:textId="45063263" w:rsidR="00D84D93" w:rsidRDefault="00D84D93" w:rsidP="003D5889">
      <w:r>
        <w:t>Co-morbidity:</w:t>
      </w:r>
      <w:r w:rsidR="000C402A">
        <w:t xml:space="preserve"> </w:t>
      </w:r>
      <w:r w:rsidR="0072466A">
        <w:t>a</w:t>
      </w:r>
      <w:r>
        <w:t>lthough 36% of the patient population had co-morbidities, most of these were mild. The mean age of those with comorbidities was greater</w:t>
      </w:r>
      <w:r w:rsidR="00CD586D">
        <w:t xml:space="preserve"> than those without comorbidities (44 versus</w:t>
      </w:r>
      <w:r w:rsidR="00CD586D" w:rsidRPr="00CD586D">
        <w:t xml:space="preserve"> 40 years, respectively</w:t>
      </w:r>
      <w:r w:rsidR="00CD586D">
        <w:t>)</w:t>
      </w:r>
      <w:r w:rsidR="0072466A">
        <w:t>,</w:t>
      </w:r>
      <w:r>
        <w:t xml:space="preserve"> and a </w:t>
      </w:r>
      <w:r w:rsidR="00CD586D">
        <w:t>greater proportion were over 65 years of age (8.4% versus 4.1%</w:t>
      </w:r>
      <w:r>
        <w:t>). Also, the duration of follow up was shorter in the AZD1222 group (38 days) than the control group (47 days). In the combined LSSD and S</w:t>
      </w:r>
      <w:r w:rsidR="003700DD">
        <w:t xml:space="preserve">DSD seronegative population, 11 out of </w:t>
      </w:r>
      <w:r>
        <w:t xml:space="preserve">2070 </w:t>
      </w:r>
      <w:r w:rsidR="003700DD">
        <w:t xml:space="preserve">participants in the AZD1222 group and 43 out of </w:t>
      </w:r>
      <w:r>
        <w:t xml:space="preserve">2133 </w:t>
      </w:r>
      <w:r w:rsidR="003700DD">
        <w:t xml:space="preserve">participants </w:t>
      </w:r>
      <w:r>
        <w:t xml:space="preserve">in the control group met </w:t>
      </w:r>
      <w:r w:rsidR="000C402A">
        <w:t>the primary efficacy endpoint.</w:t>
      </w:r>
    </w:p>
    <w:p w14:paraId="7CB616DA" w14:textId="7892DAFD" w:rsidR="00D84D93" w:rsidRDefault="00D84D93" w:rsidP="003D5889">
      <w:r>
        <w:t>Age</w:t>
      </w:r>
      <w:r w:rsidR="000C402A">
        <w:t xml:space="preserve">: </w:t>
      </w:r>
      <w:r w:rsidR="003700DD">
        <w:t>a</w:t>
      </w:r>
      <w:r>
        <w:t>s previously menti</w:t>
      </w:r>
      <w:r w:rsidR="000C402A">
        <w:t>oned</w:t>
      </w:r>
      <w:r>
        <w:t xml:space="preserve">, only 660 adults </w:t>
      </w:r>
      <w:r w:rsidR="004807EF">
        <w:t xml:space="preserve">over 65 years of age </w:t>
      </w:r>
      <w:r>
        <w:t>were included in the primary efficacy population. There were insuffi</w:t>
      </w:r>
      <w:r w:rsidR="000C402A">
        <w:t>cient data to assess efficacy</w:t>
      </w:r>
      <w:r w:rsidR="00EB1E98">
        <w:t xml:space="preserve"> with age</w:t>
      </w:r>
      <w:r w:rsidR="000C402A">
        <w:t>.</w:t>
      </w:r>
    </w:p>
    <w:p w14:paraId="072A8A48" w14:textId="110498EA" w:rsidR="00D84D93" w:rsidRDefault="003700DD" w:rsidP="003D5889">
      <w:r>
        <w:t>Country: e</w:t>
      </w:r>
      <w:r w:rsidR="00D84D93">
        <w:t>fficacy was similar in the UK</w:t>
      </w:r>
      <w:r w:rsidR="000C402A">
        <w:t xml:space="preserve"> and Brazil.</w:t>
      </w:r>
    </w:p>
    <w:p w14:paraId="0607AF85" w14:textId="5714B34E" w:rsidR="00D84D93" w:rsidRPr="001922E7" w:rsidRDefault="00D84D93" w:rsidP="003D5889">
      <w:pPr>
        <w:pStyle w:val="Heading6"/>
      </w:pPr>
      <w:r>
        <w:t xml:space="preserve">Dose </w:t>
      </w:r>
      <w:r w:rsidR="003D5889">
        <w:t>and dose interval</w:t>
      </w:r>
    </w:p>
    <w:p w14:paraId="48D92DE4" w14:textId="625FB459" w:rsidR="00D84D93" w:rsidRDefault="00D84D93" w:rsidP="003D5889">
      <w:r>
        <w:t xml:space="preserve">The greater efficacy in the LDSD data set </w:t>
      </w:r>
      <w:r w:rsidR="00951CFA">
        <w:t>was</w:t>
      </w:r>
      <w:r>
        <w:t xml:space="preserve"> </w:t>
      </w:r>
      <w:proofErr w:type="gramStart"/>
      <w:r>
        <w:t>noted</w:t>
      </w:r>
      <w:r w:rsidR="00951CFA">
        <w:t>, and</w:t>
      </w:r>
      <w:proofErr w:type="gramEnd"/>
      <w:r w:rsidR="00951CFA">
        <w:t xml:space="preserve"> is described in </w:t>
      </w:r>
      <w:r w:rsidR="00951CFA">
        <w:fldChar w:fldCharType="begin"/>
      </w:r>
      <w:r w:rsidR="00951CFA">
        <w:instrText xml:space="preserve"> REF _Ref64195765 \h </w:instrText>
      </w:r>
      <w:r w:rsidR="00951CFA">
        <w:fldChar w:fldCharType="separate"/>
      </w:r>
      <w:r w:rsidR="001D05A6">
        <w:t xml:space="preserve">Table </w:t>
      </w:r>
      <w:r w:rsidR="001D05A6">
        <w:rPr>
          <w:noProof/>
        </w:rPr>
        <w:t>6</w:t>
      </w:r>
      <w:r w:rsidR="00951CFA">
        <w:fldChar w:fldCharType="end"/>
      </w:r>
      <w:r>
        <w:t>. Although this is interesting, this will not be pursued from a regulatory viewpoint due to the multitude of confounding factors (longer duration of follow up, longer dose interval, only UK d</w:t>
      </w:r>
      <w:r w:rsidR="003D5889">
        <w:t>ata set, younger participants)</w:t>
      </w:r>
      <w:r w:rsidR="00951CFA">
        <w:t xml:space="preserve"> that have the potential to cause misleading results</w:t>
      </w:r>
      <w:r w:rsidR="003D5889">
        <w:t>.</w:t>
      </w:r>
    </w:p>
    <w:p w14:paraId="103D0A0E" w14:textId="168711DE" w:rsidR="00D84D93" w:rsidRDefault="00D84D93" w:rsidP="003D5889">
      <w:r>
        <w:t xml:space="preserve">Efficacy after a single dose is in the order of 60%. A subsequent analysis of the efficacy of a single dose was performed using those who received either SD or LD as the first </w:t>
      </w:r>
      <w:proofErr w:type="gramStart"/>
      <w:r>
        <w:t>dose, and</w:t>
      </w:r>
      <w:proofErr w:type="gramEnd"/>
      <w:r>
        <w:t xml:space="preserve"> </w:t>
      </w:r>
      <w:r>
        <w:lastRenderedPageBreak/>
        <w:t>were follow from 22 days after the first dose to 12 week</w:t>
      </w:r>
      <w:r w:rsidR="00EB1E98">
        <w:t>s</w:t>
      </w:r>
      <w:r>
        <w:t xml:space="preserve"> after the first dose. I</w:t>
      </w:r>
      <w:r w:rsidR="00EB1E98">
        <w:t xml:space="preserve">n this population there were 12 out of </w:t>
      </w:r>
      <w:r>
        <w:t>7998 symptomatic ca</w:t>
      </w:r>
      <w:r w:rsidR="00EB1E98">
        <w:t>ses in the AZD1222 group and 44 out</w:t>
      </w:r>
      <w:r w:rsidR="004807EF">
        <w:t xml:space="preserve"> of 7982 in the control group, </w:t>
      </w:r>
      <w:r w:rsidR="00EB1E98">
        <w:t xml:space="preserve">VE 73% </w:t>
      </w:r>
      <w:r w:rsidR="004807EF">
        <w:t>(</w:t>
      </w:r>
      <w:r>
        <w:t>95% CI 48.8 to 85</w:t>
      </w:r>
      <w:r w:rsidR="003D5889">
        <w:t>.8).</w:t>
      </w:r>
    </w:p>
    <w:p w14:paraId="6BEAB003" w14:textId="5E7CBB97" w:rsidR="00D84D93" w:rsidRDefault="00D84D93" w:rsidP="003D5889">
      <w:r>
        <w:t xml:space="preserve">The sponsor performed analysis of efficacy by dose interval and identified a trend for greater efficacy with increasing dose interval. </w:t>
      </w:r>
      <w:r w:rsidR="00781C98">
        <w:t>Analysis of efficacy by dose interval data is shown in Table 8, below.</w:t>
      </w:r>
    </w:p>
    <w:p w14:paraId="3696C906" w14:textId="1FCC6EC9" w:rsidR="000C402A" w:rsidRDefault="000C402A" w:rsidP="000C402A">
      <w:pPr>
        <w:pStyle w:val="TableTitle"/>
      </w:pPr>
      <w:r>
        <w:t xml:space="preserve">Table </w:t>
      </w:r>
      <w:r w:rsidR="002D3B9B">
        <w:fldChar w:fldCharType="begin"/>
      </w:r>
      <w:r w:rsidR="002D3B9B">
        <w:instrText xml:space="preserve"> SEQ Table \* A</w:instrText>
      </w:r>
      <w:r w:rsidR="002D3B9B">
        <w:instrText xml:space="preserve">RABIC </w:instrText>
      </w:r>
      <w:r w:rsidR="002D3B9B">
        <w:fldChar w:fldCharType="separate"/>
      </w:r>
      <w:r w:rsidR="001D05A6">
        <w:rPr>
          <w:noProof/>
        </w:rPr>
        <w:t>8</w:t>
      </w:r>
      <w:r w:rsidR="002D3B9B">
        <w:rPr>
          <w:noProof/>
        </w:rPr>
        <w:fldChar w:fldCharType="end"/>
      </w:r>
      <w:r>
        <w:t xml:space="preserve">: Vaccine </w:t>
      </w:r>
      <w:r w:rsidR="00EB1E98">
        <w:t xml:space="preserve">efficacy for incidence of first </w:t>
      </w:r>
      <w:r>
        <w:t xml:space="preserve">SARS-CoV-2 </w:t>
      </w:r>
      <w:r w:rsidR="00EB1E98">
        <w:t xml:space="preserve">virologically confirmed symptomatic </w:t>
      </w:r>
      <w:r>
        <w:t xml:space="preserve">COVID-19 </w:t>
      </w:r>
      <w:r w:rsidR="00781C98">
        <w:t xml:space="preserve">cases </w:t>
      </w:r>
      <w:r w:rsidR="00EB1E98">
        <w:t xml:space="preserve">occurring </w:t>
      </w:r>
      <w:r w:rsidR="00E96F97">
        <w:rPr>
          <w:rFonts w:asciiTheme="minorHAnsi" w:eastAsia="TimesNewRoman" w:hAnsiTheme="minorHAnsi" w:cs="TimesNewRoman"/>
        </w:rPr>
        <w:sym w:font="Symbol" w:char="F0B3"/>
      </w:r>
      <w:r w:rsidR="00EB1E98">
        <w:t xml:space="preserve"> 15 days post second dose by dose interval </w:t>
      </w:r>
      <w:r>
        <w:t xml:space="preserve">(SDSD </w:t>
      </w:r>
      <w:r w:rsidR="00EB1E98">
        <w:t>seronegative</w:t>
      </w:r>
      <w:r w:rsidR="00781C98">
        <w:t xml:space="preserve">, </w:t>
      </w:r>
      <w:r w:rsidR="00EB1E98">
        <w:t>efficacy analysis set</w:t>
      </w:r>
      <w:r>
        <w:t>)</w:t>
      </w:r>
    </w:p>
    <w:p w14:paraId="256F4EC4" w14:textId="6579CAA5" w:rsidR="00D84D93" w:rsidRDefault="000C402A" w:rsidP="00D84D93">
      <w:pPr>
        <w:autoSpaceDE w:val="0"/>
        <w:autoSpaceDN w:val="0"/>
        <w:adjustRightInd w:val="0"/>
        <w:spacing w:before="0" w:after="0" w:line="240" w:lineRule="auto"/>
      </w:pPr>
      <w:r>
        <w:rPr>
          <w:noProof/>
          <w:lang w:eastAsia="en-AU"/>
        </w:rPr>
        <w:drawing>
          <wp:inline distT="0" distB="0" distL="0" distR="0" wp14:anchorId="0C6006DE" wp14:editId="4E894CFE">
            <wp:extent cx="5400040" cy="1454150"/>
            <wp:effectExtent l="0" t="0" r="0" b="0"/>
            <wp:docPr id="5" name="Picture 5" descr="This table shows the vaccine efficacy for incidence of first SARS-CoV-2 virologically confirmed symptomatic COVID-19 occurring ≥ 15 days post second dose by dose interval (SDSD seronegative for efficacy analysis set). The dose intervals shows are &lt; 6 weeks, 6 to 8 weeks, 9 to 11 weeks and ≥ 12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454150"/>
                    </a:xfrm>
                    <a:prstGeom prst="rect">
                      <a:avLst/>
                    </a:prstGeom>
                  </pic:spPr>
                </pic:pic>
              </a:graphicData>
            </a:graphic>
          </wp:inline>
        </w:drawing>
      </w:r>
    </w:p>
    <w:p w14:paraId="058AB7E1" w14:textId="12CC1BD7" w:rsidR="000C402A" w:rsidRDefault="000C402A" w:rsidP="000C402A">
      <w:pPr>
        <w:pStyle w:val="TableDescription"/>
      </w:pPr>
      <w:r>
        <w:t>VE of AZD1222 versus control, the 95% CI and p value were estimated based on Poisson regression with robust variance including the term of treatment as well as the log of the follow-up time as an offset.</w:t>
      </w:r>
    </w:p>
    <w:p w14:paraId="2799B828" w14:textId="5846A3A4" w:rsidR="000C402A" w:rsidRDefault="000C402A" w:rsidP="000C402A">
      <w:pPr>
        <w:pStyle w:val="TableDescription"/>
      </w:pPr>
      <w:r>
        <w:t>VE is defined as 1</w:t>
      </w:r>
      <w:r w:rsidR="00EB1E98">
        <w:t xml:space="preserve"> </w:t>
      </w:r>
      <w:r>
        <w:t>-</w:t>
      </w:r>
      <w:r w:rsidR="00EB1E98">
        <w:t xml:space="preserve"> </w:t>
      </w:r>
      <w:r>
        <w:t>(incidence from the AZD1222 arm / incidence from the control arm) expressed as a percentage, where the risk ratio is derived from Poisson regression with robust variance. The 95% CI for the VE is obtained by taking 1 minus the 95% CI of the risk ratio derived from the model.</w:t>
      </w:r>
    </w:p>
    <w:p w14:paraId="4F3AAA9A" w14:textId="77777777" w:rsidR="000C402A" w:rsidRDefault="000C402A" w:rsidP="000C402A">
      <w:pPr>
        <w:pStyle w:val="TableDescription"/>
      </w:pPr>
      <w:r>
        <w:t>The observation period for the endpoint was 15 days post second dose up to 1 year in study.</w:t>
      </w:r>
    </w:p>
    <w:p w14:paraId="31D9FFF9" w14:textId="18AFA825" w:rsidR="000C402A" w:rsidRDefault="000C402A" w:rsidP="000C402A">
      <w:pPr>
        <w:pStyle w:val="TableDescription"/>
      </w:pPr>
      <w:r>
        <w:t>COVID-19 endpoints were based on adjudicated events.</w:t>
      </w:r>
    </w:p>
    <w:p w14:paraId="7B326B96" w14:textId="58FA3C21" w:rsidR="00D84D93" w:rsidRDefault="00D84D93" w:rsidP="003D5889">
      <w:r>
        <w:t>The increasing efficacy with increasing dose interval is supported by the immunology data which demonstrated increased antibody respons</w:t>
      </w:r>
      <w:r w:rsidR="00287688">
        <w:t>es with greater dose intervals</w:t>
      </w:r>
      <w:r w:rsidR="00781C98">
        <w:t>; data is presented in Table 9, below.</w:t>
      </w:r>
    </w:p>
    <w:p w14:paraId="577312BD" w14:textId="687F6DFE" w:rsidR="00287688" w:rsidRDefault="00287688" w:rsidP="00287688">
      <w:pPr>
        <w:pStyle w:val="TableTitle"/>
      </w:pPr>
      <w:r>
        <w:lastRenderedPageBreak/>
        <w:t xml:space="preserve">Table </w:t>
      </w:r>
      <w:r w:rsidR="002D3B9B">
        <w:fldChar w:fldCharType="begin"/>
      </w:r>
      <w:r w:rsidR="002D3B9B">
        <w:instrText xml:space="preserve"> SEQ Table \* ARABIC </w:instrText>
      </w:r>
      <w:r w:rsidR="002D3B9B">
        <w:fldChar w:fldCharType="separate"/>
      </w:r>
      <w:r w:rsidR="001D05A6">
        <w:rPr>
          <w:noProof/>
        </w:rPr>
        <w:t>9</w:t>
      </w:r>
      <w:r w:rsidR="002D3B9B">
        <w:rPr>
          <w:noProof/>
        </w:rPr>
        <w:fldChar w:fldCharType="end"/>
      </w:r>
      <w:r w:rsidR="00EB1E98">
        <w:t xml:space="preserve">: Quantification of neutralising antibodies (by </w:t>
      </w:r>
      <w:proofErr w:type="spellStart"/>
      <w:r w:rsidR="00EB1E98">
        <w:t>pseudoneutralisation</w:t>
      </w:r>
      <w:proofErr w:type="spellEnd"/>
      <w:r w:rsidR="00EB1E98">
        <w:t xml:space="preserve"> assay) levels for different regimens, dose level and interval (seronegative at </w:t>
      </w:r>
      <w:r w:rsidR="00781C98">
        <w:t>B</w:t>
      </w:r>
      <w:r w:rsidR="00EB1E98">
        <w:t>aseline)</w:t>
      </w:r>
    </w:p>
    <w:p w14:paraId="033D591B" w14:textId="6CB9CBB2" w:rsidR="00D84D93" w:rsidRDefault="00287688" w:rsidP="003D5889">
      <w:r>
        <w:rPr>
          <w:noProof/>
          <w:lang w:eastAsia="en-AU"/>
        </w:rPr>
        <w:drawing>
          <wp:inline distT="0" distB="0" distL="0" distR="0" wp14:anchorId="4439B89B" wp14:editId="28F29A93">
            <wp:extent cx="5400040" cy="4861560"/>
            <wp:effectExtent l="0" t="0" r="0" b="0"/>
            <wp:docPr id="6" name="Picture 6" descr="This table shows the quantification of neutralising antibodies (by pseudoneutralisation assay) levels for different regimens, dose level and interval (seronegative at baseline). The visit windows shown are Baseline, Day 28 post the first dose and Day 28 post the second dose. The dose intervals shows are &lt; 6 weeks, 6 to 8 weeks, 9 to 11 weeks and ≥ 12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4861560"/>
                    </a:xfrm>
                    <a:prstGeom prst="rect">
                      <a:avLst/>
                    </a:prstGeom>
                  </pic:spPr>
                </pic:pic>
              </a:graphicData>
            </a:graphic>
          </wp:inline>
        </w:drawing>
      </w:r>
    </w:p>
    <w:p w14:paraId="2EC84BF3" w14:textId="08A9B4C5" w:rsidR="00EB1E98" w:rsidRDefault="007218B4" w:rsidP="007218B4">
      <w:pPr>
        <w:pStyle w:val="TableDescription"/>
      </w:pPr>
      <w:r>
        <w:t>GMT = g</w:t>
      </w:r>
      <w:r w:rsidRPr="007218B4">
        <w:t>eometric mean titre</w:t>
      </w:r>
      <w:r>
        <w:t xml:space="preserve">; </w:t>
      </w:r>
      <w:r w:rsidR="00EB1E98">
        <w:t>NA = not a</w:t>
      </w:r>
      <w:r>
        <w:t>pplicable;</w:t>
      </w:r>
      <w:r w:rsidR="00EB1E98">
        <w:t xml:space="preserve"> NE = not estimable.</w:t>
      </w:r>
    </w:p>
    <w:p w14:paraId="63901050" w14:textId="77777777" w:rsidR="00D84D93" w:rsidRDefault="00D84D93" w:rsidP="00766F89">
      <w:pPr>
        <w:pStyle w:val="Heading4"/>
      </w:pPr>
      <w:r w:rsidRPr="00CD5D42">
        <w:t>Safety</w:t>
      </w:r>
    </w:p>
    <w:p w14:paraId="7CA4D37E" w14:textId="63AC4202" w:rsidR="008834DD" w:rsidRDefault="00D84D93" w:rsidP="008834DD">
      <w:pPr>
        <w:pStyle w:val="Heading5"/>
      </w:pPr>
      <w:r w:rsidRPr="00863D9C">
        <w:t>Experie</w:t>
      </w:r>
      <w:r w:rsidR="008834DD">
        <w:t>nce with other ChAdOx1 vaccines</w:t>
      </w:r>
    </w:p>
    <w:p w14:paraId="45E2A32C" w14:textId="62BCD582" w:rsidR="00D84D93" w:rsidRPr="00863D9C" w:rsidRDefault="00D84D93" w:rsidP="008834DD">
      <w:pPr>
        <w:rPr>
          <w:rFonts w:asciiTheme="minorHAnsi" w:eastAsia="TimesNewRoman" w:hAnsiTheme="minorHAnsi" w:cs="TimesNewRoman"/>
        </w:rPr>
      </w:pPr>
      <w:r w:rsidRPr="00863D9C">
        <w:rPr>
          <w:rFonts w:asciiTheme="minorHAnsi" w:eastAsia="TimesNewRoman" w:hAnsiTheme="minorHAnsi" w:cs="TimesNewRoman"/>
        </w:rPr>
        <w:t>Over 240 healthy adult volunteers have received ChAdOx</w:t>
      </w:r>
      <w:r w:rsidR="008834DD">
        <w:rPr>
          <w:rFonts w:asciiTheme="minorHAnsi" w:eastAsia="TimesNewRoman" w:hAnsiTheme="minorHAnsi" w:cs="TimesNewRoman"/>
        </w:rPr>
        <w:t xml:space="preserve">1-vectored vaccines in previous </w:t>
      </w:r>
      <w:r w:rsidRPr="00863D9C">
        <w:rPr>
          <w:rFonts w:asciiTheme="minorHAnsi" w:eastAsia="TimesNewRoman" w:hAnsiTheme="minorHAnsi" w:cs="TimesNewRoman"/>
        </w:rPr>
        <w:t>clinical studies sponsored by the University of Oxfor</w:t>
      </w:r>
      <w:r w:rsidR="008834DD">
        <w:rPr>
          <w:rFonts w:asciiTheme="minorHAnsi" w:eastAsia="TimesNewRoman" w:hAnsiTheme="minorHAnsi" w:cs="TimesNewRoman"/>
        </w:rPr>
        <w:t xml:space="preserve">d with immunogens from multiple </w:t>
      </w:r>
      <w:r w:rsidRPr="00863D9C">
        <w:rPr>
          <w:rFonts w:asciiTheme="minorHAnsi" w:eastAsia="TimesNewRoman" w:hAnsiTheme="minorHAnsi" w:cs="TimesNewRoman"/>
        </w:rPr>
        <w:t>pathogens such as influenza, chikungunya, tuberculosis, and MERS</w:t>
      </w:r>
      <w:r w:rsidR="007218B4">
        <w:rPr>
          <w:rFonts w:asciiTheme="minorHAnsi" w:eastAsia="TimesNewRoman" w:hAnsiTheme="minorHAnsi" w:cs="TimesNewRoman"/>
        </w:rPr>
        <w:t>,</w:t>
      </w:r>
      <w:r w:rsidRPr="00863D9C">
        <w:rPr>
          <w:rFonts w:asciiTheme="minorHAnsi" w:eastAsia="TimesNewRoman" w:hAnsiTheme="minorHAnsi" w:cs="TimesNewRoman"/>
        </w:rPr>
        <w:t xml:space="preserve"> as well as prostate cancer.</w:t>
      </w:r>
    </w:p>
    <w:p w14:paraId="4A1B0E63" w14:textId="1D32829C" w:rsidR="00D84D93" w:rsidRDefault="00D84D93" w:rsidP="008834DD">
      <w:pPr>
        <w:rPr>
          <w:rFonts w:asciiTheme="minorHAnsi" w:eastAsia="TimesNewRoman" w:hAnsiTheme="minorHAnsi" w:cs="TimesNewRoman"/>
        </w:rPr>
      </w:pPr>
      <w:r w:rsidRPr="00863D9C">
        <w:rPr>
          <w:rFonts w:asciiTheme="minorHAnsi" w:eastAsia="TimesNewRoman" w:hAnsiTheme="minorHAnsi" w:cs="TimesNewRoman"/>
        </w:rPr>
        <w:t>In addition, the ChAdOx1 platform has been develope</w:t>
      </w:r>
      <w:r w:rsidR="008834DD">
        <w:rPr>
          <w:rFonts w:asciiTheme="minorHAnsi" w:eastAsia="TimesNewRoman" w:hAnsiTheme="minorHAnsi" w:cs="TimesNewRoman"/>
        </w:rPr>
        <w:t xml:space="preserve">d with immunogens from malaria, </w:t>
      </w:r>
      <w:r w:rsidRPr="00863D9C">
        <w:rPr>
          <w:rFonts w:asciiTheme="minorHAnsi" w:eastAsia="TimesNewRoman" w:hAnsiTheme="minorHAnsi" w:cs="TimesNewRoman"/>
        </w:rPr>
        <w:t>meningitis B, Zika, and hepatitis B, with clinical studies ong</w:t>
      </w:r>
      <w:r w:rsidR="008834DD">
        <w:rPr>
          <w:rFonts w:asciiTheme="minorHAnsi" w:eastAsia="TimesNewRoman" w:hAnsiTheme="minorHAnsi" w:cs="TimesNewRoman"/>
        </w:rPr>
        <w:t xml:space="preserve">oing in healthy volunteers, and </w:t>
      </w:r>
      <w:r w:rsidRPr="00863D9C">
        <w:rPr>
          <w:rFonts w:asciiTheme="minorHAnsi" w:eastAsia="TimesNewRoman" w:hAnsiTheme="minorHAnsi" w:cs="TimesNewRoman"/>
        </w:rPr>
        <w:t>with an immunogen from HIV to act as a therapeutic vaccine,</w:t>
      </w:r>
      <w:r w:rsidR="008834DD">
        <w:rPr>
          <w:rFonts w:asciiTheme="minorHAnsi" w:eastAsia="TimesNewRoman" w:hAnsiTheme="minorHAnsi" w:cs="TimesNewRoman"/>
        </w:rPr>
        <w:t xml:space="preserve"> with 2 studies in HIV patients </w:t>
      </w:r>
      <w:r w:rsidRPr="00863D9C">
        <w:rPr>
          <w:rFonts w:asciiTheme="minorHAnsi" w:eastAsia="TimesNewRoman" w:hAnsiTheme="minorHAnsi" w:cs="TimesNewRoman"/>
        </w:rPr>
        <w:t>currently being performed. The vaccines are not associated with safety co</w:t>
      </w:r>
      <w:r w:rsidR="008834DD">
        <w:rPr>
          <w:rFonts w:asciiTheme="minorHAnsi" w:eastAsia="TimesNewRoman" w:hAnsiTheme="minorHAnsi" w:cs="TimesNewRoman"/>
        </w:rPr>
        <w:t xml:space="preserve">ncerns other than </w:t>
      </w:r>
      <w:r w:rsidRPr="00863D9C">
        <w:rPr>
          <w:rFonts w:asciiTheme="minorHAnsi" w:eastAsia="TimesNewRoman" w:hAnsiTheme="minorHAnsi" w:cs="TimesNewRoman"/>
        </w:rPr>
        <w:t>ant</w:t>
      </w:r>
      <w:r w:rsidR="008834DD">
        <w:rPr>
          <w:rFonts w:asciiTheme="minorHAnsi" w:eastAsia="TimesNewRoman" w:hAnsiTheme="minorHAnsi" w:cs="TimesNewRoman"/>
        </w:rPr>
        <w:t>icipated reactogenicity events.</w:t>
      </w:r>
    </w:p>
    <w:p w14:paraId="0B03BD0A" w14:textId="77777777" w:rsidR="00D84D93" w:rsidRPr="00140FEE" w:rsidRDefault="00D84D93" w:rsidP="008834DD">
      <w:pPr>
        <w:pStyle w:val="Heading5"/>
        <w:rPr>
          <w:rFonts w:eastAsia="TimesNewRoman"/>
        </w:rPr>
      </w:pPr>
      <w:r w:rsidRPr="00140FEE">
        <w:rPr>
          <w:rFonts w:eastAsia="TimesNewRoman"/>
        </w:rPr>
        <w:t>Meta-analysis</w:t>
      </w:r>
    </w:p>
    <w:p w14:paraId="7E67A887" w14:textId="6B4F2D8C" w:rsidR="00D84D93" w:rsidRDefault="00D84D93" w:rsidP="008834DD">
      <w:r w:rsidRPr="00863D9C">
        <w:t xml:space="preserve">Safety was assessed in all studies by evaluation of solicited </w:t>
      </w:r>
      <w:r w:rsidR="007218B4">
        <w:t>adverse events (</w:t>
      </w:r>
      <w:r w:rsidRPr="00863D9C">
        <w:t>AEs</w:t>
      </w:r>
      <w:r w:rsidR="007218B4">
        <w:t>)</w:t>
      </w:r>
      <w:r w:rsidRPr="00863D9C">
        <w:t xml:space="preserve"> commonly associated with</w:t>
      </w:r>
      <w:r w:rsidR="008834DD">
        <w:t xml:space="preserve"> </w:t>
      </w:r>
      <w:r w:rsidRPr="00863D9C">
        <w:t xml:space="preserve">vaccinations, unsolicited AEs, </w:t>
      </w:r>
      <w:r w:rsidR="007218B4">
        <w:t>serious adverse events (</w:t>
      </w:r>
      <w:r w:rsidRPr="00863D9C">
        <w:t>SAEs</w:t>
      </w:r>
      <w:r w:rsidR="007218B4">
        <w:t>)</w:t>
      </w:r>
      <w:r w:rsidRPr="00863D9C">
        <w:t xml:space="preserve"> (including deat</w:t>
      </w:r>
      <w:r w:rsidR="008834DD">
        <w:t xml:space="preserve">hs) and </w:t>
      </w:r>
      <w:r w:rsidR="007218B4">
        <w:t>adverse events of special interest (</w:t>
      </w:r>
      <w:r w:rsidR="008834DD">
        <w:t>AESIs</w:t>
      </w:r>
      <w:r w:rsidR="007218B4">
        <w:t>)</w:t>
      </w:r>
      <w:r w:rsidR="008834DD">
        <w:t xml:space="preserve">. Biochemistry and </w:t>
      </w:r>
      <w:r w:rsidRPr="00863D9C">
        <w:t>haematology clinical laboratory tests were also evaluated for a su</w:t>
      </w:r>
      <w:r w:rsidR="007218B4">
        <w:t>bset of participants in S</w:t>
      </w:r>
      <w:r w:rsidR="008834DD">
        <w:t xml:space="preserve">tudies </w:t>
      </w:r>
      <w:r w:rsidRPr="00863D9C">
        <w:t>COV001, COV002, and COV005.</w:t>
      </w:r>
    </w:p>
    <w:p w14:paraId="69B9512E" w14:textId="3B27B143" w:rsidR="00D84D93" w:rsidRDefault="00D84D93" w:rsidP="008834DD">
      <w:r>
        <w:lastRenderedPageBreak/>
        <w:t>There were 237</w:t>
      </w:r>
      <w:r w:rsidR="005449E3">
        <w:t>4</w:t>
      </w:r>
      <w:r>
        <w:t>5 participants in the any dose for safety analysis set. The median number of days follow up after the first dose was 105 in the AZD1222 group and 104 in the</w:t>
      </w:r>
      <w:r w:rsidR="007218B4">
        <w:t xml:space="preserve"> control group. Approximately 2 out of 3 </w:t>
      </w:r>
      <w:r>
        <w:t>parti</w:t>
      </w:r>
      <w:r w:rsidR="007218B4">
        <w:t>cipants received two doses, and 1 out of 3 participants received one dose.</w:t>
      </w:r>
    </w:p>
    <w:p w14:paraId="251CABE0" w14:textId="207C89AD" w:rsidR="00D84D93" w:rsidRDefault="00D84D93" w:rsidP="008834DD">
      <w:r>
        <w:t xml:space="preserve">In the safety data set, 8.7% were over 65 years </w:t>
      </w:r>
      <w:r w:rsidR="007218B4">
        <w:t xml:space="preserve">of age </w:t>
      </w:r>
      <w:r>
        <w:t>(11</w:t>
      </w:r>
      <w:r w:rsidR="007218B4">
        <w:t>69 exposed to AZD1222) and 6.8 </w:t>
      </w:r>
      <w:r>
        <w:t>% were over 70 years (821 exposed to AZD1222). The safety population included around 20% of the population with a BMI &gt; 30</w:t>
      </w:r>
      <w:r w:rsidR="007218B4">
        <w:t xml:space="preserve"> </w:t>
      </w:r>
      <w:r>
        <w:t>kg/m</w:t>
      </w:r>
      <w:r w:rsidRPr="00140FEE">
        <w:rPr>
          <w:vertAlign w:val="superscript"/>
        </w:rPr>
        <w:t>2</w:t>
      </w:r>
      <w:r>
        <w:t>, 2.5% with di</w:t>
      </w:r>
      <w:r w:rsidR="008834DD">
        <w:t>abetes,</w:t>
      </w:r>
      <w:r w:rsidR="007218B4">
        <w:t xml:space="preserve"> and</w:t>
      </w:r>
      <w:r w:rsidR="008834DD">
        <w:t xml:space="preserve"> 6.1% had hypertension.</w:t>
      </w:r>
    </w:p>
    <w:p w14:paraId="57FA736F" w14:textId="0A0A0BF3" w:rsidR="00D84D93" w:rsidRDefault="008834DD" w:rsidP="008834DD">
      <w:pPr>
        <w:pStyle w:val="Heading6"/>
        <w:rPr>
          <w:rFonts w:eastAsia="TimesNewRoman"/>
        </w:rPr>
      </w:pPr>
      <w:r>
        <w:rPr>
          <w:rFonts w:eastAsia="TimesNewRoman"/>
        </w:rPr>
        <w:t>Solicited adverse events</w:t>
      </w:r>
    </w:p>
    <w:p w14:paraId="3E2B58F8" w14:textId="63DA3F23" w:rsidR="00D84D93" w:rsidRDefault="00D84D93" w:rsidP="00287688">
      <w:r>
        <w:t xml:space="preserve">Solicited local and systemic </w:t>
      </w:r>
      <w:r w:rsidR="007218B4">
        <w:t>AEs</w:t>
      </w:r>
      <w:r>
        <w:t xml:space="preserve"> occurred in most </w:t>
      </w:r>
      <w:proofErr w:type="gramStart"/>
      <w:r>
        <w:t>participants, but</w:t>
      </w:r>
      <w:proofErr w:type="gramEnd"/>
      <w:r>
        <w:t xml:space="preserve"> were generally mild and sh</w:t>
      </w:r>
      <w:r w:rsidR="008834DD">
        <w:t>ort lived.</w:t>
      </w:r>
    </w:p>
    <w:p w14:paraId="5C478354" w14:textId="61195587" w:rsidR="00287688" w:rsidRDefault="00287688" w:rsidP="00287688">
      <w:pPr>
        <w:pStyle w:val="TableTitle"/>
      </w:pPr>
      <w:r>
        <w:t xml:space="preserve">Table </w:t>
      </w:r>
      <w:r w:rsidR="002D3B9B">
        <w:fldChar w:fldCharType="begin"/>
      </w:r>
      <w:r w:rsidR="002D3B9B">
        <w:instrText xml:space="preserve"> SEQ Table \* ARABIC </w:instrText>
      </w:r>
      <w:r w:rsidR="002D3B9B">
        <w:fldChar w:fldCharType="separate"/>
      </w:r>
      <w:r w:rsidR="001D05A6">
        <w:rPr>
          <w:noProof/>
        </w:rPr>
        <w:t>10</w:t>
      </w:r>
      <w:r w:rsidR="002D3B9B">
        <w:rPr>
          <w:noProof/>
        </w:rPr>
        <w:fldChar w:fldCharType="end"/>
      </w:r>
      <w:r>
        <w:t xml:space="preserve">: </w:t>
      </w:r>
      <w:r w:rsidRPr="00287688">
        <w:t xml:space="preserve">Overall </w:t>
      </w:r>
      <w:r w:rsidR="007218B4" w:rsidRPr="00287688">
        <w:t>summary of solicited adverse events collected within 7 days aft</w:t>
      </w:r>
      <w:r w:rsidR="007218B4">
        <w:t>er vaccination: pooled analysis (D</w:t>
      </w:r>
      <w:r w:rsidR="007218B4" w:rsidRPr="00287688">
        <w:t>ose 1</w:t>
      </w:r>
      <w:r w:rsidRPr="00287688">
        <w:t xml:space="preserve"> SD</w:t>
      </w:r>
      <w:r w:rsidR="000B0881">
        <w:t xml:space="preserve">, </w:t>
      </w:r>
      <w:r w:rsidR="007218B4" w:rsidRPr="00287688">
        <w:t>safety analysis set</w:t>
      </w:r>
      <w:r w:rsidRPr="00287688">
        <w:t>)</w:t>
      </w:r>
    </w:p>
    <w:p w14:paraId="2000EE4C" w14:textId="0EA326C3" w:rsidR="00D84D93" w:rsidRPr="00DF15F2" w:rsidRDefault="00287688" w:rsidP="00D84D93">
      <w:pPr>
        <w:autoSpaceDE w:val="0"/>
        <w:autoSpaceDN w:val="0"/>
        <w:adjustRightInd w:val="0"/>
        <w:spacing w:before="0" w:after="0" w:line="240" w:lineRule="auto"/>
      </w:pPr>
      <w:r>
        <w:rPr>
          <w:noProof/>
          <w:lang w:eastAsia="en-AU"/>
        </w:rPr>
        <w:drawing>
          <wp:inline distT="0" distB="0" distL="0" distR="0" wp14:anchorId="2412BD17" wp14:editId="2282C7FF">
            <wp:extent cx="5400040" cy="1612265"/>
            <wp:effectExtent l="0" t="0" r="0" b="6985"/>
            <wp:docPr id="7" name="Picture 7" descr="This tables shows the overall summary of solicited adverse events collected within 7 days after vaccination: pooled analysis (Dose 1 SD for safety analysis set). Three time periods are shown; Days 0 to 7 after any vaccination, Days 0 to 7 after first vaccination, Days 0 to 7 after second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1612265"/>
                    </a:xfrm>
                    <a:prstGeom prst="rect">
                      <a:avLst/>
                    </a:prstGeom>
                  </pic:spPr>
                </pic:pic>
              </a:graphicData>
            </a:graphic>
          </wp:inline>
        </w:drawing>
      </w:r>
    </w:p>
    <w:p w14:paraId="743D67A9" w14:textId="63FAEFEE" w:rsidR="00D84D93" w:rsidRDefault="00D84D93" w:rsidP="008834DD">
      <w:r w:rsidRPr="006B58FA">
        <w:t xml:space="preserve">In the Dose 1 SD </w:t>
      </w:r>
      <w:r w:rsidR="007218B4" w:rsidRPr="006B58FA">
        <w:t xml:space="preserve">for safety analysis set, the </w:t>
      </w:r>
      <w:r w:rsidRPr="006B58FA">
        <w:t>most frequently reported solicited local injection</w:t>
      </w:r>
      <w:r w:rsidR="008834DD">
        <w:t xml:space="preserve"> </w:t>
      </w:r>
      <w:r w:rsidRPr="006B58FA">
        <w:t>site AEs within 7 days after either vaccination with AZ</w:t>
      </w:r>
      <w:r w:rsidR="007218B4">
        <w:t>D1222 were tenderness (63.7% versus</w:t>
      </w:r>
      <w:r w:rsidR="008834DD">
        <w:t xml:space="preserve"> </w:t>
      </w:r>
      <w:r w:rsidRPr="006B58FA">
        <w:t>39.5</w:t>
      </w:r>
      <w:r w:rsidR="007218B4">
        <w:t>% in control) and pain (54.2% versus</w:t>
      </w:r>
      <w:r w:rsidRPr="006B58FA">
        <w:t xml:space="preserve"> 36.7% in control). Other</w:t>
      </w:r>
      <w:r w:rsidR="008834DD">
        <w:t xml:space="preserve"> solicited local injection site </w:t>
      </w:r>
      <w:r w:rsidRPr="006B58FA">
        <w:t xml:space="preserve">AEs reported in </w:t>
      </w:r>
      <w:r w:rsidR="00E96F97">
        <w:rPr>
          <w:rFonts w:asciiTheme="minorHAnsi" w:eastAsia="TimesNewRoman" w:hAnsiTheme="minorHAnsi" w:cs="TimesNewRoman"/>
        </w:rPr>
        <w:sym w:font="Symbol" w:char="F0B3"/>
      </w:r>
      <w:r w:rsidRPr="006B58FA">
        <w:t xml:space="preserve"> 10% of AZD1222 participants were warm</w:t>
      </w:r>
      <w:r w:rsidR="007218B4">
        <w:t>th (17.7% versus</w:t>
      </w:r>
      <w:r w:rsidR="008834DD">
        <w:t xml:space="preserve"> 14.5% in control), </w:t>
      </w:r>
      <w:r w:rsidR="007218B4">
        <w:t>redness (14.0% versus</w:t>
      </w:r>
      <w:r w:rsidRPr="006B58FA">
        <w:t xml:space="preserve"> </w:t>
      </w:r>
      <w:r w:rsidR="007218B4">
        <w:t>8.8% in control), itch (12.7% versus</w:t>
      </w:r>
      <w:r w:rsidRPr="006B58FA">
        <w:t xml:space="preserve"> 7.5% in c</w:t>
      </w:r>
      <w:r w:rsidR="007218B4">
        <w:t>ontrol), and swelling (10.0% versus</w:t>
      </w:r>
      <w:r w:rsidR="008834DD">
        <w:t xml:space="preserve"> </w:t>
      </w:r>
      <w:r w:rsidRPr="006B58FA">
        <w:t>5.8% in contr</w:t>
      </w:r>
      <w:r w:rsidR="007218B4">
        <w:t xml:space="preserve">ol). Solicited local AEs with </w:t>
      </w:r>
      <w:r w:rsidR="00E96F97">
        <w:rPr>
          <w:rFonts w:asciiTheme="minorHAnsi" w:eastAsia="TimesNewRoman" w:hAnsiTheme="minorHAnsi" w:cs="TimesNewRoman"/>
        </w:rPr>
        <w:sym w:font="Symbol" w:char="F0B3"/>
      </w:r>
      <w:r w:rsidR="007218B4">
        <w:t> </w:t>
      </w:r>
      <w:r w:rsidRPr="006B58FA">
        <w:t>Grade 3 severity a</w:t>
      </w:r>
      <w:r w:rsidR="008834DD">
        <w:t xml:space="preserve">fter any vaccination of AZD1222 </w:t>
      </w:r>
      <w:r w:rsidRPr="006B58FA">
        <w:t xml:space="preserve">reported in </w:t>
      </w:r>
      <w:r w:rsidR="00E96F97">
        <w:rPr>
          <w:rFonts w:asciiTheme="minorHAnsi" w:eastAsia="TimesNewRoman" w:hAnsiTheme="minorHAnsi" w:cs="TimesNewRoman"/>
        </w:rPr>
        <w:sym w:font="Symbol" w:char="F0B3"/>
      </w:r>
      <w:r w:rsidRPr="006B58FA">
        <w:t xml:space="preserve"> 2% of participants included swelling (5.3%),</w:t>
      </w:r>
      <w:r w:rsidR="008834DD">
        <w:t xml:space="preserve"> redness (4.8%), and induration </w:t>
      </w:r>
      <w:r w:rsidRPr="006B58FA">
        <w:t>(4.1%). No Grade 4 events were reported.</w:t>
      </w:r>
    </w:p>
    <w:p w14:paraId="30F0E00F" w14:textId="104A869C" w:rsidR="00D84D93" w:rsidRPr="008834DD" w:rsidRDefault="00D84D93" w:rsidP="008834DD">
      <w:r w:rsidRPr="006B58FA">
        <w:t xml:space="preserve">In the Dose 1 SD for </w:t>
      </w:r>
      <w:r w:rsidR="007218B4" w:rsidRPr="006B58FA">
        <w:t>safety analysis set</w:t>
      </w:r>
      <w:r w:rsidRPr="006B58FA">
        <w:t>, the most frequently reported</w:t>
      </w:r>
      <w:r w:rsidR="008834DD">
        <w:t xml:space="preserve"> solicited systemic AEs </w:t>
      </w:r>
      <w:r w:rsidRPr="006B58FA">
        <w:t xml:space="preserve">within 7 days after either vaccination with AZD1222 </w:t>
      </w:r>
      <w:r w:rsidR="007218B4">
        <w:t>were fatigue (53.1% versus</w:t>
      </w:r>
      <w:r w:rsidR="008834DD">
        <w:t xml:space="preserve"> 38.2% in </w:t>
      </w:r>
      <w:r w:rsidR="007218B4">
        <w:t>control) and headache (52.6% versus</w:t>
      </w:r>
      <w:r w:rsidRPr="006B58FA">
        <w:t xml:space="preserve"> 39.0% in control); oth</w:t>
      </w:r>
      <w:r w:rsidR="008834DD">
        <w:t xml:space="preserve">er frequently reported systemic </w:t>
      </w:r>
      <w:r w:rsidRPr="006B58FA">
        <w:t xml:space="preserve">solicited AEs were muscle pain (44.0% </w:t>
      </w:r>
      <w:r w:rsidR="007218B4">
        <w:t>versus</w:t>
      </w:r>
      <w:r w:rsidRPr="006B58FA">
        <w:t xml:space="preserve"> 21.6% in control), ma</w:t>
      </w:r>
      <w:r w:rsidR="008834DD">
        <w:t xml:space="preserve">laise (44.2% </w:t>
      </w:r>
      <w:r w:rsidR="007218B4">
        <w:t>versus</w:t>
      </w:r>
      <w:r w:rsidR="008834DD">
        <w:t xml:space="preserve"> 20.2% in </w:t>
      </w:r>
      <w:r w:rsidRPr="006B58FA">
        <w:t xml:space="preserve">control), feverishness, (33.6% </w:t>
      </w:r>
      <w:r w:rsidR="007218B4">
        <w:t>versus</w:t>
      </w:r>
      <w:r w:rsidRPr="006B58FA">
        <w:t xml:space="preserve"> 10.7% in control), chills (3</w:t>
      </w:r>
      <w:r w:rsidR="008834DD">
        <w:t xml:space="preserve">1.9% </w:t>
      </w:r>
      <w:r w:rsidR="007218B4">
        <w:t>versus</w:t>
      </w:r>
      <w:r w:rsidR="008834DD">
        <w:t xml:space="preserve"> 8.3% in control), joint </w:t>
      </w:r>
      <w:r w:rsidRPr="006B58FA">
        <w:t xml:space="preserve">pain (26.4% </w:t>
      </w:r>
      <w:r w:rsidR="007218B4">
        <w:t>versus</w:t>
      </w:r>
      <w:r w:rsidRPr="006B58FA">
        <w:t xml:space="preserve"> 12.4% in control) nausea (21.9% </w:t>
      </w:r>
      <w:r w:rsidR="007218B4">
        <w:t>versus</w:t>
      </w:r>
      <w:r w:rsidRPr="006B58FA">
        <w:t xml:space="preserve"> 13.1% </w:t>
      </w:r>
      <w:r w:rsidR="008834DD">
        <w:t xml:space="preserve">in control), and fever (7.9% </w:t>
      </w:r>
      <w:r w:rsidR="007218B4">
        <w:t>versus</w:t>
      </w:r>
      <w:r w:rsidR="008834DD">
        <w:t xml:space="preserve"> </w:t>
      </w:r>
      <w:r w:rsidRPr="006B58FA">
        <w:t>1.2% in control)</w:t>
      </w:r>
      <w:r>
        <w:t xml:space="preserve">. </w:t>
      </w:r>
      <w:r w:rsidRPr="006B58FA">
        <w:t xml:space="preserve">Solicited systemic AEs with </w:t>
      </w:r>
      <w:r w:rsidR="00E96F97">
        <w:rPr>
          <w:rFonts w:asciiTheme="minorHAnsi" w:eastAsia="TimesNewRoman" w:hAnsiTheme="minorHAnsi" w:cs="TimesNewRoman"/>
        </w:rPr>
        <w:sym w:font="Symbol" w:char="F0B3"/>
      </w:r>
      <w:r w:rsidRPr="006B58FA">
        <w:t xml:space="preserve"> Grade 3 seve</w:t>
      </w:r>
      <w:r w:rsidR="008834DD">
        <w:t xml:space="preserve">rity after any vaccination with </w:t>
      </w:r>
      <w:r w:rsidR="007218B4">
        <w:t xml:space="preserve">AZD1222 reported in </w:t>
      </w:r>
      <w:r w:rsidR="00E96F97">
        <w:rPr>
          <w:rFonts w:asciiTheme="minorHAnsi" w:eastAsia="TimesNewRoman" w:hAnsiTheme="minorHAnsi" w:cs="TimesNewRoman"/>
        </w:rPr>
        <w:sym w:font="Symbol" w:char="F0B3"/>
      </w:r>
      <w:r w:rsidR="007218B4">
        <w:t> </w:t>
      </w:r>
      <w:r w:rsidRPr="006B58FA">
        <w:t>2% of participants included malai</w:t>
      </w:r>
      <w:r w:rsidR="008834DD">
        <w:t xml:space="preserve">se (3.8%), feverishness (3.5%), </w:t>
      </w:r>
      <w:r w:rsidRPr="006B58FA">
        <w:t>chills (3.5%), fatigue (3.2%), and headache (2.7%). A singl</w:t>
      </w:r>
      <w:r w:rsidR="008834DD">
        <w:t xml:space="preserve">e Grade 4 event was reported in </w:t>
      </w:r>
      <w:r w:rsidRPr="006B58FA">
        <w:t xml:space="preserve">the </w:t>
      </w:r>
      <w:r w:rsidR="008834DD">
        <w:t>AZD1222 group for fever.</w:t>
      </w:r>
    </w:p>
    <w:p w14:paraId="0FC6FDB0" w14:textId="4D879876" w:rsidR="00D84D93" w:rsidRDefault="00D84D93" w:rsidP="008834DD">
      <w:r w:rsidRPr="006B58FA">
        <w:t xml:space="preserve">Solicited AEs were less common after the second dose, </w:t>
      </w:r>
      <w:r w:rsidR="008834DD">
        <w:t>and less common in the elderly.</w:t>
      </w:r>
    </w:p>
    <w:p w14:paraId="5FFF0015" w14:textId="133E5B44" w:rsidR="00D84D93" w:rsidRPr="008834DD" w:rsidRDefault="008834DD" w:rsidP="008834DD">
      <w:pPr>
        <w:pStyle w:val="Heading6"/>
        <w:rPr>
          <w:rFonts w:eastAsia="TimesNewRoman"/>
        </w:rPr>
      </w:pPr>
      <w:r w:rsidRPr="008834DD">
        <w:rPr>
          <w:rFonts w:eastAsia="TimesNewRoman"/>
        </w:rPr>
        <w:t>Unsolicited</w:t>
      </w:r>
      <w:r>
        <w:rPr>
          <w:rFonts w:eastAsia="TimesNewRoman"/>
        </w:rPr>
        <w:t xml:space="preserve"> adverse events</w:t>
      </w:r>
    </w:p>
    <w:p w14:paraId="0E184065" w14:textId="4E1FA8B6" w:rsidR="00D84D93" w:rsidRDefault="00D84D93" w:rsidP="008834DD">
      <w:r w:rsidRPr="006B58FA">
        <w:t xml:space="preserve">In the </w:t>
      </w:r>
      <w:r w:rsidR="007218B4" w:rsidRPr="006B58FA">
        <w:t>any dose for safety analysis set</w:t>
      </w:r>
      <w:r w:rsidRPr="006B58FA">
        <w:t>, 37.8% of participants in the AZD1222 group and</w:t>
      </w:r>
      <w:r w:rsidR="008834DD">
        <w:t xml:space="preserve"> </w:t>
      </w:r>
      <w:r w:rsidRPr="006B58FA">
        <w:t>27.9% of participants in the control group reported a</w:t>
      </w:r>
      <w:r w:rsidR="008834DD">
        <w:t xml:space="preserve">n unsolicited AE within 28 days </w:t>
      </w:r>
      <w:r w:rsidRPr="006B58FA">
        <w:t>following any vaccination</w:t>
      </w:r>
      <w:r>
        <w:t>. Unsolicited AEs were less co</w:t>
      </w:r>
      <w:r w:rsidR="008834DD">
        <w:t>mmon after the second vaccine.</w:t>
      </w:r>
    </w:p>
    <w:p w14:paraId="39A3C68D" w14:textId="39CF71E1" w:rsidR="00D84D93" w:rsidRDefault="00D84D93" w:rsidP="008834DD">
      <w:r w:rsidRPr="006B58FA">
        <w:lastRenderedPageBreak/>
        <w:t>Serious AEs were reported in 0.7% of participants i</w:t>
      </w:r>
      <w:r w:rsidR="008834DD">
        <w:t xml:space="preserve">n the AZD1222 group and 0.8% of </w:t>
      </w:r>
      <w:r w:rsidRPr="006B58FA">
        <w:t xml:space="preserve">participants in the control group. </w:t>
      </w:r>
      <w:r>
        <w:t xml:space="preserve">Very few, </w:t>
      </w:r>
      <w:r w:rsidR="00E96F97">
        <w:sym w:font="Symbol" w:char="F03C"/>
      </w:r>
      <w:r w:rsidR="008834DD">
        <w:t xml:space="preserve"> 0.1% in each treatment </w:t>
      </w:r>
      <w:r w:rsidRPr="006B58FA">
        <w:t>group</w:t>
      </w:r>
      <w:r>
        <w:t>, were considered related to the investigated product</w:t>
      </w:r>
      <w:r w:rsidRPr="006B58FA">
        <w:t xml:space="preserve">. A total of 6 </w:t>
      </w:r>
      <w:r w:rsidR="007218B4">
        <w:t>SAEs with a fatal outcome (2</w:t>
      </w:r>
      <w:r w:rsidR="000B0881">
        <w:t> </w:t>
      </w:r>
      <w:r w:rsidR="007218B4">
        <w:t>in </w:t>
      </w:r>
      <w:r w:rsidRPr="006B58FA">
        <w:t>the AZD</w:t>
      </w:r>
      <w:r>
        <w:t xml:space="preserve">1222 group and 4 in the control </w:t>
      </w:r>
      <w:r w:rsidRPr="006B58FA">
        <w:t xml:space="preserve">group) occurred as of the cut-off date. </w:t>
      </w:r>
      <w:r>
        <w:t xml:space="preserve">None of these were thought to be due to the vaccine. </w:t>
      </w:r>
      <w:r w:rsidRPr="006B58FA">
        <w:t>AESIs occurred in 0.8% of participants in t</w:t>
      </w:r>
      <w:r>
        <w:t xml:space="preserve">he </w:t>
      </w:r>
      <w:r w:rsidRPr="006B58FA">
        <w:t>AZD1222 group and 1.1% of participants in the control group.</w:t>
      </w:r>
    </w:p>
    <w:p w14:paraId="19BD7409" w14:textId="6B0CB64E" w:rsidR="00D84D93" w:rsidRDefault="00D84D93" w:rsidP="008834DD">
      <w:proofErr w:type="gramStart"/>
      <w:r>
        <w:t>All of</w:t>
      </w:r>
      <w:proofErr w:type="gramEnd"/>
      <w:r>
        <w:t xml:space="preserve"> the unsolicited AEs were typical </w:t>
      </w:r>
      <w:r w:rsidR="008834DD">
        <w:t>of those reported for vaccines.</w:t>
      </w:r>
    </w:p>
    <w:p w14:paraId="61BAC83E" w14:textId="2656BE91" w:rsidR="00287688" w:rsidRDefault="00287688" w:rsidP="00287688">
      <w:pPr>
        <w:pStyle w:val="TableTitle"/>
      </w:pPr>
      <w:r>
        <w:t xml:space="preserve">Table </w:t>
      </w:r>
      <w:r w:rsidR="002D3B9B">
        <w:fldChar w:fldCharType="begin"/>
      </w:r>
      <w:r w:rsidR="002D3B9B">
        <w:instrText xml:space="preserve"> SEQ Table \* ARAB</w:instrText>
      </w:r>
      <w:r w:rsidR="002D3B9B">
        <w:instrText xml:space="preserve">IC </w:instrText>
      </w:r>
      <w:r w:rsidR="002D3B9B">
        <w:fldChar w:fldCharType="separate"/>
      </w:r>
      <w:r w:rsidR="001D05A6">
        <w:rPr>
          <w:noProof/>
        </w:rPr>
        <w:t>11</w:t>
      </w:r>
      <w:r w:rsidR="002D3B9B">
        <w:rPr>
          <w:noProof/>
        </w:rPr>
        <w:fldChar w:fldCharType="end"/>
      </w:r>
      <w:r>
        <w:t xml:space="preserve">: Unsolicited </w:t>
      </w:r>
      <w:r w:rsidR="006D6C6C">
        <w:t>adverse events within 28 days following vaccination (</w:t>
      </w:r>
      <w:r w:rsidR="00E96F97">
        <w:rPr>
          <w:rFonts w:asciiTheme="minorHAnsi" w:eastAsia="TimesNewRoman" w:hAnsiTheme="minorHAnsi" w:cs="TimesNewRoman"/>
        </w:rPr>
        <w:sym w:font="Symbol" w:char="F0B3"/>
      </w:r>
      <w:r w:rsidR="006D6C6C">
        <w:t xml:space="preserve"> 2% in either treatment group) by Preferred Term: pooled analysis (Dose 1</w:t>
      </w:r>
      <w:r w:rsidR="000B0881">
        <w:t xml:space="preserve"> SD,</w:t>
      </w:r>
      <w:r w:rsidR="006D6C6C">
        <w:t xml:space="preserve"> safety analysis set</w:t>
      </w:r>
      <w:r>
        <w:t>)</w:t>
      </w:r>
    </w:p>
    <w:tbl>
      <w:tblPr>
        <w:tblStyle w:val="TableTGAblue"/>
        <w:tblW w:w="8472" w:type="dxa"/>
        <w:tblLayout w:type="fixed"/>
        <w:tblLook w:val="01E0" w:firstRow="1" w:lastRow="1" w:firstColumn="1" w:lastColumn="1" w:noHBand="0" w:noVBand="0"/>
      </w:tblPr>
      <w:tblGrid>
        <w:gridCol w:w="3085"/>
        <w:gridCol w:w="2835"/>
        <w:gridCol w:w="2552"/>
      </w:tblGrid>
      <w:tr w:rsidR="006D6C6C" w:rsidRPr="006D6C6C" w14:paraId="06BFB82B" w14:textId="77777777" w:rsidTr="006D6C6C">
        <w:trPr>
          <w:cnfStyle w:val="100000000000" w:firstRow="1" w:lastRow="0" w:firstColumn="0" w:lastColumn="0" w:oddVBand="0" w:evenVBand="0" w:oddHBand="0" w:evenHBand="0" w:firstRowFirstColumn="0" w:firstRowLastColumn="0" w:lastRowFirstColumn="0" w:lastRowLastColumn="0"/>
          <w:trHeight w:val="460"/>
        </w:trPr>
        <w:tc>
          <w:tcPr>
            <w:tcW w:w="3085" w:type="dxa"/>
          </w:tcPr>
          <w:p w14:paraId="69BE043D" w14:textId="77777777" w:rsidR="006D6C6C" w:rsidRPr="006D6C6C" w:rsidRDefault="006D6C6C" w:rsidP="006D6C6C">
            <w:pPr>
              <w:rPr>
                <w:sz w:val="20"/>
                <w:szCs w:val="20"/>
              </w:rPr>
            </w:pPr>
          </w:p>
        </w:tc>
        <w:tc>
          <w:tcPr>
            <w:tcW w:w="5387" w:type="dxa"/>
            <w:gridSpan w:val="2"/>
          </w:tcPr>
          <w:p w14:paraId="39B5991D" w14:textId="42DD2DF1" w:rsidR="006D6C6C" w:rsidRPr="006D6C6C" w:rsidRDefault="006D6C6C" w:rsidP="006D6C6C">
            <w:pPr>
              <w:rPr>
                <w:sz w:val="20"/>
                <w:szCs w:val="20"/>
              </w:rPr>
            </w:pPr>
            <w:r w:rsidRPr="006D6C6C">
              <w:rPr>
                <w:sz w:val="20"/>
                <w:szCs w:val="20"/>
              </w:rPr>
              <w:t xml:space="preserve">Number (%) of </w:t>
            </w:r>
            <w:proofErr w:type="spellStart"/>
            <w:r w:rsidRPr="006D6C6C">
              <w:rPr>
                <w:sz w:val="20"/>
                <w:szCs w:val="20"/>
              </w:rPr>
              <w:t>Participants</w:t>
            </w:r>
            <w:r w:rsidRPr="006D6C6C">
              <w:rPr>
                <w:sz w:val="20"/>
                <w:szCs w:val="20"/>
                <w:vertAlign w:val="superscript"/>
              </w:rPr>
              <w:t>a</w:t>
            </w:r>
            <w:proofErr w:type="spellEnd"/>
          </w:p>
        </w:tc>
      </w:tr>
      <w:tr w:rsidR="006D6C6C" w:rsidRPr="006D6C6C" w14:paraId="6D7AFADF" w14:textId="77777777" w:rsidTr="006D6C6C">
        <w:trPr>
          <w:trHeight w:val="604"/>
        </w:trPr>
        <w:tc>
          <w:tcPr>
            <w:tcW w:w="3085" w:type="dxa"/>
          </w:tcPr>
          <w:p w14:paraId="6763FF71" w14:textId="5E226E1A" w:rsidR="006D6C6C" w:rsidRPr="006D6C6C" w:rsidRDefault="006D6C6C" w:rsidP="006D6C6C">
            <w:pPr>
              <w:rPr>
                <w:b/>
                <w:sz w:val="20"/>
                <w:szCs w:val="20"/>
              </w:rPr>
            </w:pPr>
            <w:r w:rsidRPr="006D6C6C">
              <w:rPr>
                <w:b/>
                <w:sz w:val="20"/>
                <w:szCs w:val="20"/>
              </w:rPr>
              <w:t>Preferred Term (MedDRA version 23.1)</w:t>
            </w:r>
          </w:p>
        </w:tc>
        <w:tc>
          <w:tcPr>
            <w:tcW w:w="2835" w:type="dxa"/>
          </w:tcPr>
          <w:p w14:paraId="024B8751" w14:textId="77777777" w:rsidR="006D6C6C" w:rsidRPr="006D6C6C" w:rsidRDefault="006D6C6C" w:rsidP="006D6C6C">
            <w:pPr>
              <w:rPr>
                <w:b/>
                <w:sz w:val="20"/>
                <w:szCs w:val="20"/>
              </w:rPr>
            </w:pPr>
            <w:r w:rsidRPr="006D6C6C">
              <w:rPr>
                <w:b/>
                <w:sz w:val="20"/>
                <w:szCs w:val="20"/>
              </w:rPr>
              <w:t>AZD1222 (N = 10069)</w:t>
            </w:r>
          </w:p>
        </w:tc>
        <w:tc>
          <w:tcPr>
            <w:tcW w:w="2552" w:type="dxa"/>
          </w:tcPr>
          <w:p w14:paraId="2692EC2B" w14:textId="77777777" w:rsidR="006D6C6C" w:rsidRPr="006D6C6C" w:rsidRDefault="006D6C6C" w:rsidP="006D6C6C">
            <w:pPr>
              <w:rPr>
                <w:b/>
                <w:sz w:val="20"/>
                <w:szCs w:val="20"/>
              </w:rPr>
            </w:pPr>
            <w:r w:rsidRPr="006D6C6C">
              <w:rPr>
                <w:b/>
                <w:sz w:val="20"/>
                <w:szCs w:val="20"/>
              </w:rPr>
              <w:t>Control (N = 9902)</w:t>
            </w:r>
          </w:p>
        </w:tc>
      </w:tr>
      <w:tr w:rsidR="006D6C6C" w:rsidRPr="006D6C6C" w14:paraId="44C3222F" w14:textId="77777777" w:rsidTr="006D6C6C">
        <w:trPr>
          <w:trHeight w:val="345"/>
        </w:trPr>
        <w:tc>
          <w:tcPr>
            <w:tcW w:w="3085" w:type="dxa"/>
          </w:tcPr>
          <w:p w14:paraId="21F73845" w14:textId="77777777" w:rsidR="006D6C6C" w:rsidRPr="006D6C6C" w:rsidRDefault="006D6C6C" w:rsidP="006D6C6C">
            <w:pPr>
              <w:rPr>
                <w:sz w:val="20"/>
                <w:szCs w:val="20"/>
              </w:rPr>
            </w:pPr>
            <w:r w:rsidRPr="006D6C6C">
              <w:rPr>
                <w:sz w:val="20"/>
                <w:szCs w:val="20"/>
              </w:rPr>
              <w:t>Vaccination site pain</w:t>
            </w:r>
          </w:p>
        </w:tc>
        <w:tc>
          <w:tcPr>
            <w:tcW w:w="2835" w:type="dxa"/>
          </w:tcPr>
          <w:p w14:paraId="24368144" w14:textId="77777777" w:rsidR="006D6C6C" w:rsidRPr="006D6C6C" w:rsidRDefault="006D6C6C" w:rsidP="006D6C6C">
            <w:pPr>
              <w:rPr>
                <w:sz w:val="20"/>
                <w:szCs w:val="20"/>
              </w:rPr>
            </w:pPr>
            <w:r w:rsidRPr="006D6C6C">
              <w:rPr>
                <w:sz w:val="20"/>
                <w:szCs w:val="20"/>
              </w:rPr>
              <w:t>1197 (11.9)</w:t>
            </w:r>
          </w:p>
        </w:tc>
        <w:tc>
          <w:tcPr>
            <w:tcW w:w="2552" w:type="dxa"/>
          </w:tcPr>
          <w:p w14:paraId="5A09CB25" w14:textId="77777777" w:rsidR="006D6C6C" w:rsidRPr="006D6C6C" w:rsidRDefault="006D6C6C" w:rsidP="006D6C6C">
            <w:pPr>
              <w:rPr>
                <w:sz w:val="20"/>
                <w:szCs w:val="20"/>
              </w:rPr>
            </w:pPr>
            <w:r w:rsidRPr="006D6C6C">
              <w:rPr>
                <w:sz w:val="20"/>
                <w:szCs w:val="20"/>
              </w:rPr>
              <w:t>733 (7.4)</w:t>
            </w:r>
          </w:p>
        </w:tc>
      </w:tr>
      <w:tr w:rsidR="006D6C6C" w:rsidRPr="006D6C6C" w14:paraId="7AA65725" w14:textId="77777777" w:rsidTr="006D6C6C">
        <w:trPr>
          <w:trHeight w:val="340"/>
        </w:trPr>
        <w:tc>
          <w:tcPr>
            <w:tcW w:w="3085" w:type="dxa"/>
          </w:tcPr>
          <w:p w14:paraId="0D033374" w14:textId="77777777" w:rsidR="006D6C6C" w:rsidRPr="006D6C6C" w:rsidRDefault="006D6C6C" w:rsidP="006D6C6C">
            <w:pPr>
              <w:rPr>
                <w:sz w:val="20"/>
                <w:szCs w:val="20"/>
              </w:rPr>
            </w:pPr>
            <w:r w:rsidRPr="006D6C6C">
              <w:rPr>
                <w:sz w:val="20"/>
                <w:szCs w:val="20"/>
              </w:rPr>
              <w:t>Headache</w:t>
            </w:r>
          </w:p>
        </w:tc>
        <w:tc>
          <w:tcPr>
            <w:tcW w:w="2835" w:type="dxa"/>
          </w:tcPr>
          <w:p w14:paraId="4ED99C77" w14:textId="77777777" w:rsidR="006D6C6C" w:rsidRPr="006D6C6C" w:rsidRDefault="006D6C6C" w:rsidP="006D6C6C">
            <w:pPr>
              <w:rPr>
                <w:sz w:val="20"/>
                <w:szCs w:val="20"/>
              </w:rPr>
            </w:pPr>
            <w:r w:rsidRPr="006D6C6C">
              <w:rPr>
                <w:sz w:val="20"/>
                <w:szCs w:val="20"/>
              </w:rPr>
              <w:t>1051 (10.4)</w:t>
            </w:r>
          </w:p>
        </w:tc>
        <w:tc>
          <w:tcPr>
            <w:tcW w:w="2552" w:type="dxa"/>
          </w:tcPr>
          <w:p w14:paraId="0D546B55" w14:textId="77777777" w:rsidR="006D6C6C" w:rsidRPr="006D6C6C" w:rsidRDefault="006D6C6C" w:rsidP="006D6C6C">
            <w:pPr>
              <w:rPr>
                <w:sz w:val="20"/>
                <w:szCs w:val="20"/>
              </w:rPr>
            </w:pPr>
            <w:r w:rsidRPr="006D6C6C">
              <w:rPr>
                <w:sz w:val="20"/>
                <w:szCs w:val="20"/>
              </w:rPr>
              <w:t>685 (6.9)</w:t>
            </w:r>
          </w:p>
        </w:tc>
      </w:tr>
      <w:tr w:rsidR="006D6C6C" w:rsidRPr="006D6C6C" w14:paraId="5ACD0725" w14:textId="77777777" w:rsidTr="006D6C6C">
        <w:trPr>
          <w:trHeight w:val="345"/>
        </w:trPr>
        <w:tc>
          <w:tcPr>
            <w:tcW w:w="3085" w:type="dxa"/>
          </w:tcPr>
          <w:p w14:paraId="5A6A1A47" w14:textId="77777777" w:rsidR="006D6C6C" w:rsidRPr="006D6C6C" w:rsidRDefault="006D6C6C" w:rsidP="006D6C6C">
            <w:pPr>
              <w:rPr>
                <w:sz w:val="20"/>
                <w:szCs w:val="20"/>
              </w:rPr>
            </w:pPr>
            <w:r w:rsidRPr="006D6C6C">
              <w:rPr>
                <w:sz w:val="20"/>
                <w:szCs w:val="20"/>
              </w:rPr>
              <w:t>Pyrexia</w:t>
            </w:r>
          </w:p>
        </w:tc>
        <w:tc>
          <w:tcPr>
            <w:tcW w:w="2835" w:type="dxa"/>
          </w:tcPr>
          <w:p w14:paraId="337F0F1A" w14:textId="77777777" w:rsidR="006D6C6C" w:rsidRPr="006D6C6C" w:rsidRDefault="006D6C6C" w:rsidP="006D6C6C">
            <w:pPr>
              <w:rPr>
                <w:sz w:val="20"/>
                <w:szCs w:val="20"/>
              </w:rPr>
            </w:pPr>
            <w:r w:rsidRPr="006D6C6C">
              <w:rPr>
                <w:sz w:val="20"/>
                <w:szCs w:val="20"/>
              </w:rPr>
              <w:t>852 (8.5)</w:t>
            </w:r>
          </w:p>
        </w:tc>
        <w:tc>
          <w:tcPr>
            <w:tcW w:w="2552" w:type="dxa"/>
          </w:tcPr>
          <w:p w14:paraId="2C733535" w14:textId="77777777" w:rsidR="006D6C6C" w:rsidRPr="006D6C6C" w:rsidRDefault="006D6C6C" w:rsidP="006D6C6C">
            <w:pPr>
              <w:rPr>
                <w:sz w:val="20"/>
                <w:szCs w:val="20"/>
              </w:rPr>
            </w:pPr>
            <w:r w:rsidRPr="006D6C6C">
              <w:rPr>
                <w:sz w:val="20"/>
                <w:szCs w:val="20"/>
              </w:rPr>
              <w:t>210 (2.1)</w:t>
            </w:r>
          </w:p>
        </w:tc>
      </w:tr>
      <w:tr w:rsidR="006D6C6C" w:rsidRPr="006D6C6C" w14:paraId="5B214FF0" w14:textId="77777777" w:rsidTr="006D6C6C">
        <w:trPr>
          <w:trHeight w:val="345"/>
        </w:trPr>
        <w:tc>
          <w:tcPr>
            <w:tcW w:w="3085" w:type="dxa"/>
          </w:tcPr>
          <w:p w14:paraId="06980EEE" w14:textId="77777777" w:rsidR="006D6C6C" w:rsidRPr="006D6C6C" w:rsidRDefault="006D6C6C" w:rsidP="006D6C6C">
            <w:pPr>
              <w:rPr>
                <w:sz w:val="20"/>
                <w:szCs w:val="20"/>
              </w:rPr>
            </w:pPr>
            <w:r w:rsidRPr="006D6C6C">
              <w:rPr>
                <w:sz w:val="20"/>
                <w:szCs w:val="20"/>
              </w:rPr>
              <w:t>Myalgia</w:t>
            </w:r>
          </w:p>
        </w:tc>
        <w:tc>
          <w:tcPr>
            <w:tcW w:w="2835" w:type="dxa"/>
          </w:tcPr>
          <w:p w14:paraId="128176F0" w14:textId="77777777" w:rsidR="006D6C6C" w:rsidRPr="006D6C6C" w:rsidRDefault="006D6C6C" w:rsidP="006D6C6C">
            <w:pPr>
              <w:rPr>
                <w:sz w:val="20"/>
                <w:szCs w:val="20"/>
              </w:rPr>
            </w:pPr>
            <w:r w:rsidRPr="006D6C6C">
              <w:rPr>
                <w:sz w:val="20"/>
                <w:szCs w:val="20"/>
              </w:rPr>
              <w:t>852 (8.5)</w:t>
            </w:r>
          </w:p>
        </w:tc>
        <w:tc>
          <w:tcPr>
            <w:tcW w:w="2552" w:type="dxa"/>
          </w:tcPr>
          <w:p w14:paraId="0BBC8AB1" w14:textId="77777777" w:rsidR="006D6C6C" w:rsidRPr="006D6C6C" w:rsidRDefault="006D6C6C" w:rsidP="006D6C6C">
            <w:pPr>
              <w:rPr>
                <w:sz w:val="20"/>
                <w:szCs w:val="20"/>
              </w:rPr>
            </w:pPr>
            <w:r w:rsidRPr="006D6C6C">
              <w:rPr>
                <w:sz w:val="20"/>
                <w:szCs w:val="20"/>
              </w:rPr>
              <w:t>345 (3.5)</w:t>
            </w:r>
          </w:p>
        </w:tc>
      </w:tr>
      <w:tr w:rsidR="006D6C6C" w:rsidRPr="006D6C6C" w14:paraId="5F9860DC" w14:textId="77777777" w:rsidTr="006D6C6C">
        <w:trPr>
          <w:trHeight w:val="345"/>
        </w:trPr>
        <w:tc>
          <w:tcPr>
            <w:tcW w:w="3085" w:type="dxa"/>
          </w:tcPr>
          <w:p w14:paraId="28048766" w14:textId="77777777" w:rsidR="006D6C6C" w:rsidRPr="006D6C6C" w:rsidRDefault="006D6C6C" w:rsidP="006D6C6C">
            <w:pPr>
              <w:rPr>
                <w:sz w:val="20"/>
                <w:szCs w:val="20"/>
              </w:rPr>
            </w:pPr>
            <w:r w:rsidRPr="006D6C6C">
              <w:rPr>
                <w:sz w:val="20"/>
                <w:szCs w:val="20"/>
              </w:rPr>
              <w:t>Fatigue</w:t>
            </w:r>
          </w:p>
        </w:tc>
        <w:tc>
          <w:tcPr>
            <w:tcW w:w="2835" w:type="dxa"/>
          </w:tcPr>
          <w:p w14:paraId="50CB2C65" w14:textId="77777777" w:rsidR="006D6C6C" w:rsidRPr="006D6C6C" w:rsidRDefault="006D6C6C" w:rsidP="006D6C6C">
            <w:pPr>
              <w:rPr>
                <w:sz w:val="20"/>
                <w:szCs w:val="20"/>
              </w:rPr>
            </w:pPr>
            <w:r w:rsidRPr="006D6C6C">
              <w:rPr>
                <w:sz w:val="20"/>
                <w:szCs w:val="20"/>
              </w:rPr>
              <w:t>487 (4.8)</w:t>
            </w:r>
          </w:p>
        </w:tc>
        <w:tc>
          <w:tcPr>
            <w:tcW w:w="2552" w:type="dxa"/>
          </w:tcPr>
          <w:p w14:paraId="1D72FE74" w14:textId="77777777" w:rsidR="006D6C6C" w:rsidRPr="006D6C6C" w:rsidRDefault="006D6C6C" w:rsidP="006D6C6C">
            <w:pPr>
              <w:rPr>
                <w:sz w:val="20"/>
                <w:szCs w:val="20"/>
              </w:rPr>
            </w:pPr>
            <w:r w:rsidRPr="006D6C6C">
              <w:rPr>
                <w:sz w:val="20"/>
                <w:szCs w:val="20"/>
              </w:rPr>
              <w:t>290 (2.9)</w:t>
            </w:r>
          </w:p>
        </w:tc>
      </w:tr>
      <w:tr w:rsidR="006D6C6C" w:rsidRPr="006D6C6C" w14:paraId="5B517077" w14:textId="77777777" w:rsidTr="006D6C6C">
        <w:trPr>
          <w:trHeight w:val="345"/>
        </w:trPr>
        <w:tc>
          <w:tcPr>
            <w:tcW w:w="3085" w:type="dxa"/>
          </w:tcPr>
          <w:p w14:paraId="73C8C504" w14:textId="77777777" w:rsidR="006D6C6C" w:rsidRPr="006D6C6C" w:rsidRDefault="006D6C6C" w:rsidP="006D6C6C">
            <w:pPr>
              <w:rPr>
                <w:sz w:val="20"/>
                <w:szCs w:val="20"/>
              </w:rPr>
            </w:pPr>
            <w:r w:rsidRPr="006D6C6C">
              <w:rPr>
                <w:sz w:val="20"/>
                <w:szCs w:val="20"/>
              </w:rPr>
              <w:t>Chills</w:t>
            </w:r>
          </w:p>
        </w:tc>
        <w:tc>
          <w:tcPr>
            <w:tcW w:w="2835" w:type="dxa"/>
          </w:tcPr>
          <w:p w14:paraId="783B1646" w14:textId="77777777" w:rsidR="006D6C6C" w:rsidRPr="006D6C6C" w:rsidRDefault="006D6C6C" w:rsidP="006D6C6C">
            <w:pPr>
              <w:rPr>
                <w:sz w:val="20"/>
                <w:szCs w:val="20"/>
              </w:rPr>
            </w:pPr>
            <w:r w:rsidRPr="006D6C6C">
              <w:rPr>
                <w:sz w:val="20"/>
                <w:szCs w:val="20"/>
              </w:rPr>
              <w:t>392 (3.9)</w:t>
            </w:r>
          </w:p>
        </w:tc>
        <w:tc>
          <w:tcPr>
            <w:tcW w:w="2552" w:type="dxa"/>
          </w:tcPr>
          <w:p w14:paraId="0DD263F5" w14:textId="77777777" w:rsidR="006D6C6C" w:rsidRPr="006D6C6C" w:rsidRDefault="006D6C6C" w:rsidP="006D6C6C">
            <w:pPr>
              <w:rPr>
                <w:sz w:val="20"/>
                <w:szCs w:val="20"/>
              </w:rPr>
            </w:pPr>
            <w:r w:rsidRPr="006D6C6C">
              <w:rPr>
                <w:sz w:val="20"/>
                <w:szCs w:val="20"/>
              </w:rPr>
              <w:t>100 (1.0)</w:t>
            </w:r>
          </w:p>
        </w:tc>
      </w:tr>
      <w:tr w:rsidR="006D6C6C" w:rsidRPr="006D6C6C" w14:paraId="0E85A2EB" w14:textId="77777777" w:rsidTr="006D6C6C">
        <w:trPr>
          <w:trHeight w:val="340"/>
        </w:trPr>
        <w:tc>
          <w:tcPr>
            <w:tcW w:w="3085" w:type="dxa"/>
          </w:tcPr>
          <w:p w14:paraId="5E54637D" w14:textId="77777777" w:rsidR="006D6C6C" w:rsidRPr="006D6C6C" w:rsidRDefault="006D6C6C" w:rsidP="006D6C6C">
            <w:pPr>
              <w:rPr>
                <w:sz w:val="20"/>
                <w:szCs w:val="20"/>
              </w:rPr>
            </w:pPr>
            <w:r w:rsidRPr="006D6C6C">
              <w:rPr>
                <w:sz w:val="20"/>
                <w:szCs w:val="20"/>
              </w:rPr>
              <w:t>Asthenia</w:t>
            </w:r>
          </w:p>
        </w:tc>
        <w:tc>
          <w:tcPr>
            <w:tcW w:w="2835" w:type="dxa"/>
          </w:tcPr>
          <w:p w14:paraId="66799F94" w14:textId="77777777" w:rsidR="006D6C6C" w:rsidRPr="006D6C6C" w:rsidRDefault="006D6C6C" w:rsidP="006D6C6C">
            <w:pPr>
              <w:rPr>
                <w:sz w:val="20"/>
                <w:szCs w:val="20"/>
              </w:rPr>
            </w:pPr>
            <w:r w:rsidRPr="006D6C6C">
              <w:rPr>
                <w:sz w:val="20"/>
                <w:szCs w:val="20"/>
              </w:rPr>
              <w:t>262 (2.6)</w:t>
            </w:r>
          </w:p>
        </w:tc>
        <w:tc>
          <w:tcPr>
            <w:tcW w:w="2552" w:type="dxa"/>
          </w:tcPr>
          <w:p w14:paraId="62EBE38E" w14:textId="77777777" w:rsidR="006D6C6C" w:rsidRPr="006D6C6C" w:rsidRDefault="006D6C6C" w:rsidP="006D6C6C">
            <w:pPr>
              <w:rPr>
                <w:sz w:val="20"/>
                <w:szCs w:val="20"/>
              </w:rPr>
            </w:pPr>
            <w:r w:rsidRPr="006D6C6C">
              <w:rPr>
                <w:sz w:val="20"/>
                <w:szCs w:val="20"/>
              </w:rPr>
              <w:t>123 (1.2)</w:t>
            </w:r>
          </w:p>
        </w:tc>
      </w:tr>
      <w:tr w:rsidR="006D6C6C" w:rsidRPr="006D6C6C" w14:paraId="57CF6258" w14:textId="77777777" w:rsidTr="006D6C6C">
        <w:trPr>
          <w:trHeight w:val="345"/>
        </w:trPr>
        <w:tc>
          <w:tcPr>
            <w:tcW w:w="3085" w:type="dxa"/>
          </w:tcPr>
          <w:p w14:paraId="37C7CD2A" w14:textId="77777777" w:rsidR="006D6C6C" w:rsidRPr="006D6C6C" w:rsidRDefault="006D6C6C" w:rsidP="006D6C6C">
            <w:pPr>
              <w:rPr>
                <w:sz w:val="20"/>
                <w:szCs w:val="20"/>
              </w:rPr>
            </w:pPr>
            <w:r w:rsidRPr="006D6C6C">
              <w:rPr>
                <w:sz w:val="20"/>
                <w:szCs w:val="20"/>
              </w:rPr>
              <w:t>Malaise</w:t>
            </w:r>
          </w:p>
        </w:tc>
        <w:tc>
          <w:tcPr>
            <w:tcW w:w="2835" w:type="dxa"/>
          </w:tcPr>
          <w:p w14:paraId="07169C27" w14:textId="77777777" w:rsidR="006D6C6C" w:rsidRPr="006D6C6C" w:rsidRDefault="006D6C6C" w:rsidP="006D6C6C">
            <w:pPr>
              <w:rPr>
                <w:sz w:val="20"/>
                <w:szCs w:val="20"/>
              </w:rPr>
            </w:pPr>
            <w:r w:rsidRPr="006D6C6C">
              <w:rPr>
                <w:sz w:val="20"/>
                <w:szCs w:val="20"/>
              </w:rPr>
              <w:t>243 (2.4)</w:t>
            </w:r>
          </w:p>
        </w:tc>
        <w:tc>
          <w:tcPr>
            <w:tcW w:w="2552" w:type="dxa"/>
          </w:tcPr>
          <w:p w14:paraId="09713A1F" w14:textId="77777777" w:rsidR="006D6C6C" w:rsidRPr="006D6C6C" w:rsidRDefault="006D6C6C" w:rsidP="006D6C6C">
            <w:pPr>
              <w:rPr>
                <w:sz w:val="20"/>
                <w:szCs w:val="20"/>
              </w:rPr>
            </w:pPr>
            <w:r w:rsidRPr="006D6C6C">
              <w:rPr>
                <w:sz w:val="20"/>
                <w:szCs w:val="20"/>
              </w:rPr>
              <w:t>138 (1.4)</w:t>
            </w:r>
          </w:p>
        </w:tc>
      </w:tr>
      <w:tr w:rsidR="006D6C6C" w:rsidRPr="006D6C6C" w14:paraId="4C5E44AC" w14:textId="77777777" w:rsidTr="006D6C6C">
        <w:trPr>
          <w:trHeight w:val="345"/>
        </w:trPr>
        <w:tc>
          <w:tcPr>
            <w:tcW w:w="3085" w:type="dxa"/>
          </w:tcPr>
          <w:p w14:paraId="49FCB4D1" w14:textId="77777777" w:rsidR="006D6C6C" w:rsidRPr="006D6C6C" w:rsidRDefault="006D6C6C" w:rsidP="006D6C6C">
            <w:pPr>
              <w:rPr>
                <w:sz w:val="20"/>
                <w:szCs w:val="20"/>
              </w:rPr>
            </w:pPr>
            <w:r w:rsidRPr="006D6C6C">
              <w:rPr>
                <w:sz w:val="20"/>
                <w:szCs w:val="20"/>
              </w:rPr>
              <w:t>Nausea</w:t>
            </w:r>
          </w:p>
        </w:tc>
        <w:tc>
          <w:tcPr>
            <w:tcW w:w="2835" w:type="dxa"/>
          </w:tcPr>
          <w:p w14:paraId="7EB19083" w14:textId="77777777" w:rsidR="006D6C6C" w:rsidRPr="006D6C6C" w:rsidRDefault="006D6C6C" w:rsidP="006D6C6C">
            <w:pPr>
              <w:rPr>
                <w:sz w:val="20"/>
                <w:szCs w:val="20"/>
              </w:rPr>
            </w:pPr>
            <w:r w:rsidRPr="006D6C6C">
              <w:rPr>
                <w:sz w:val="20"/>
                <w:szCs w:val="20"/>
              </w:rPr>
              <w:t>211 (2.1)</w:t>
            </w:r>
          </w:p>
        </w:tc>
        <w:tc>
          <w:tcPr>
            <w:tcW w:w="2552" w:type="dxa"/>
          </w:tcPr>
          <w:p w14:paraId="7D01E294" w14:textId="77777777" w:rsidR="006D6C6C" w:rsidRPr="006D6C6C" w:rsidRDefault="006D6C6C" w:rsidP="006D6C6C">
            <w:pPr>
              <w:rPr>
                <w:sz w:val="20"/>
                <w:szCs w:val="20"/>
              </w:rPr>
            </w:pPr>
            <w:r w:rsidRPr="006D6C6C">
              <w:rPr>
                <w:sz w:val="20"/>
                <w:szCs w:val="20"/>
              </w:rPr>
              <w:t>117 (1.2)</w:t>
            </w:r>
          </w:p>
        </w:tc>
      </w:tr>
    </w:tbl>
    <w:p w14:paraId="1436C46A" w14:textId="77777777" w:rsidR="00A56F05" w:rsidRPr="00287688" w:rsidRDefault="00A56F05" w:rsidP="00A56F05">
      <w:pPr>
        <w:pStyle w:val="TableDescription"/>
      </w:pPr>
      <w:r w:rsidRPr="00287688">
        <w:t>a</w:t>
      </w:r>
      <w:r>
        <w:t>:</w:t>
      </w:r>
      <w:r w:rsidRPr="00287688">
        <w:t xml:space="preserve"> Number (%) of participants with AEs, sorted in decreasing fre</w:t>
      </w:r>
      <w:r>
        <w:t xml:space="preserve">quency for PT of AZD1222 group. </w:t>
      </w:r>
      <w:r w:rsidRPr="00287688">
        <w:t>Participants with multiple events in the same PT were counted</w:t>
      </w:r>
      <w:r>
        <w:t xml:space="preserve"> only once in each of those PT. </w:t>
      </w:r>
      <w:r w:rsidRPr="00287688">
        <w:t>Participants with events in more than 1 PT are counted once in each of those PT.</w:t>
      </w:r>
    </w:p>
    <w:p w14:paraId="07759D41" w14:textId="55AB9192" w:rsidR="00A56F05" w:rsidRDefault="00A56F05" w:rsidP="00D87314">
      <w:pPr>
        <w:pStyle w:val="TableDescription"/>
      </w:pPr>
      <w:r w:rsidRPr="00287688">
        <w:t>Unsolicited AEs collected from the start of each dose through 28 days, SAE and AES</w:t>
      </w:r>
      <w:r>
        <w:t xml:space="preserve">I collected from first </w:t>
      </w:r>
      <w:r w:rsidRPr="00287688">
        <w:t>dose to 364 days after th</w:t>
      </w:r>
      <w:r>
        <w:t>e last vaccination were summarised.</w:t>
      </w:r>
    </w:p>
    <w:p w14:paraId="5EDA6177" w14:textId="6E7E89B3" w:rsidR="006D6C6C" w:rsidRDefault="006D6C6C" w:rsidP="00D87314">
      <w:pPr>
        <w:pStyle w:val="TableDescription"/>
      </w:pPr>
      <w:r w:rsidRPr="00287688">
        <w:t>AE = adverse event; AESI = adverse e</w:t>
      </w:r>
      <w:r>
        <w:t xml:space="preserve">vent of special interest; MedDRA = </w:t>
      </w:r>
      <w:r w:rsidRPr="006D6C6C">
        <w:t>Medical Dictionary for Regulatory Activities</w:t>
      </w:r>
      <w:r>
        <w:t>; PT = P</w:t>
      </w:r>
      <w:r w:rsidRPr="00287688">
        <w:t>refer</w:t>
      </w:r>
      <w:r>
        <w:t>red Term; SAE = serious adverse event</w:t>
      </w:r>
      <w:r w:rsidRPr="00287688">
        <w:t>.</w:t>
      </w:r>
    </w:p>
    <w:p w14:paraId="6DB938C2" w14:textId="3F461595" w:rsidR="00D84D93" w:rsidRDefault="008834DD" w:rsidP="008834DD">
      <w:pPr>
        <w:pStyle w:val="Heading6"/>
        <w:rPr>
          <w:rFonts w:eastAsia="TimesNewRoman"/>
        </w:rPr>
      </w:pPr>
      <w:r>
        <w:rPr>
          <w:rFonts w:eastAsia="TimesNewRoman"/>
        </w:rPr>
        <w:t>Serious adverse events</w:t>
      </w:r>
    </w:p>
    <w:p w14:paraId="75C34E34" w14:textId="43DE4F4F" w:rsidR="00D84D93" w:rsidRDefault="00D84D93" w:rsidP="008834DD">
      <w:r>
        <w:t xml:space="preserve">In the AZD1222 group, there was one case of </w:t>
      </w:r>
      <w:r w:rsidR="000B0881">
        <w:t>m</w:t>
      </w:r>
      <w:r w:rsidR="006D6C6C">
        <w:t xml:space="preserve">ultiple </w:t>
      </w:r>
      <w:r w:rsidR="000B0881">
        <w:t>s</w:t>
      </w:r>
      <w:r w:rsidR="006D6C6C">
        <w:t>clerosis</w:t>
      </w:r>
      <w:r>
        <w:t xml:space="preserve"> and one case of transverse myelitis, both unlikely to be related to investigational agent.</w:t>
      </w:r>
    </w:p>
    <w:p w14:paraId="6CC27DB5" w14:textId="1BB2A742" w:rsidR="00D84D93" w:rsidRDefault="00D84D93" w:rsidP="008834DD">
      <w:r>
        <w:t xml:space="preserve">In the control group there was one case of myelitis and </w:t>
      </w:r>
      <w:r w:rsidR="008834DD">
        <w:t>one case or haemolytic anaemia.</w:t>
      </w:r>
    </w:p>
    <w:p w14:paraId="7C5D72A0" w14:textId="30AFCA60" w:rsidR="00D84D93" w:rsidRDefault="008834DD" w:rsidP="006D6C6C">
      <w:pPr>
        <w:pStyle w:val="Heading6"/>
      </w:pPr>
      <w:r>
        <w:t>Use in pregnancy</w:t>
      </w:r>
    </w:p>
    <w:p w14:paraId="233892C4" w14:textId="1EF34F1C" w:rsidR="00D84D93" w:rsidRDefault="00D84D93" w:rsidP="008834DD">
      <w:r>
        <w:t>Women who were pregnant, lactating, or intended to become p</w:t>
      </w:r>
      <w:r w:rsidR="006D6C6C">
        <w:t>regnant were excluded from the U</w:t>
      </w:r>
      <w:r>
        <w:t>niversity of Oxford studies, and women of childbearing capacity were required to</w:t>
      </w:r>
      <w:r w:rsidR="008834DD">
        <w:t xml:space="preserve"> use continuous birth control.</w:t>
      </w:r>
    </w:p>
    <w:p w14:paraId="3A595B52" w14:textId="2D7B9CD5" w:rsidR="00D84D93" w:rsidRPr="00D84D93" w:rsidRDefault="00D84D93" w:rsidP="008834DD">
      <w:r>
        <w:t xml:space="preserve">As of the data cut </w:t>
      </w:r>
      <w:proofErr w:type="gramStart"/>
      <w:r>
        <w:t>off of</w:t>
      </w:r>
      <w:proofErr w:type="gramEnd"/>
      <w:r>
        <w:t xml:space="preserve"> 4 November 2020, there were 17 </w:t>
      </w:r>
      <w:r w:rsidR="006D6C6C">
        <w:t>pregnancies reported in the AZD</w:t>
      </w:r>
      <w:r>
        <w:t>1222 pooled analysis s</w:t>
      </w:r>
      <w:r w:rsidR="006D6C6C">
        <w:t>et, ten</w:t>
      </w:r>
      <w:r>
        <w:t xml:space="preserve"> particip</w:t>
      </w:r>
      <w:r w:rsidR="006D6C6C">
        <w:t>ants in the AZD1222 group and seven</w:t>
      </w:r>
      <w:r>
        <w:t xml:space="preserve"> in the </w:t>
      </w:r>
      <w:r>
        <w:lastRenderedPageBreak/>
        <w:t xml:space="preserve">control </w:t>
      </w:r>
      <w:r w:rsidR="006D6C6C">
        <w:t>group. In the AZD1222 group, there was one termination of pregnancy and one</w:t>
      </w:r>
      <w:r>
        <w:t xml:space="preserve"> spontaneous miscarriage. In</w:t>
      </w:r>
      <w:r w:rsidR="006D6C6C">
        <w:t xml:space="preserve"> the control group, there were two</w:t>
      </w:r>
      <w:r>
        <w:t xml:space="preserve"> reports o</w:t>
      </w:r>
      <w:r w:rsidR="006D6C6C">
        <w:t>f termination of pregnancy and two</w:t>
      </w:r>
      <w:r>
        <w:t xml:space="preserve"> spontaneous miscarriage</w:t>
      </w:r>
      <w:r w:rsidR="006D6C6C">
        <w:t>s</w:t>
      </w:r>
      <w:r>
        <w:t xml:space="preserve">. In addition to the above cases, there were four cases of pregnancy in the </w:t>
      </w:r>
      <w:r w:rsidR="006D6C6C">
        <w:t xml:space="preserve">Study </w:t>
      </w:r>
      <w:r>
        <w:t>COV005 glo</w:t>
      </w:r>
      <w:r w:rsidR="006D6C6C">
        <w:t>bal safety database. There was one </w:t>
      </w:r>
      <w:r>
        <w:t>spontaneous miscar</w:t>
      </w:r>
      <w:r w:rsidR="006D6C6C">
        <w:t>riage in the AZD1222 group and one</w:t>
      </w:r>
      <w:r>
        <w:t xml:space="preserve"> in the control group. No data on the outco</w:t>
      </w:r>
      <w:r w:rsidR="008834DD">
        <w:t>me of the pregnancies is noted.</w:t>
      </w:r>
    </w:p>
    <w:p w14:paraId="11111C27" w14:textId="77777777" w:rsidR="007B6132" w:rsidRDefault="007B6132" w:rsidP="00555280">
      <w:pPr>
        <w:pStyle w:val="Heading4"/>
      </w:pPr>
      <w:r w:rsidRPr="007B6132">
        <w:t>Clinical evaluator’s recommendation</w:t>
      </w:r>
    </w:p>
    <w:p w14:paraId="53CD7DCC" w14:textId="62F696A8" w:rsidR="006D6C6C" w:rsidRDefault="006D6C6C" w:rsidP="006D6C6C">
      <w:pPr>
        <w:rPr>
          <w:lang w:eastAsia="ja-JP"/>
        </w:rPr>
      </w:pPr>
      <w:r>
        <w:rPr>
          <w:lang w:eastAsia="ja-JP"/>
        </w:rPr>
        <w:t>For provisional registration, the role of the TGA is to assess whether the ‘quality, safety and efficacy’ have been adequately established for the purpose for which the goods are to be used. For a vaccination to be rolled out with the aim of protecting the Australian population, the context of this use needs to be considered.</w:t>
      </w:r>
    </w:p>
    <w:p w14:paraId="0D5FEEE1" w14:textId="7100EB74" w:rsidR="006D6C6C" w:rsidRDefault="006D6C6C" w:rsidP="006D6C6C">
      <w:pPr>
        <w:rPr>
          <w:lang w:eastAsia="ja-JP"/>
        </w:rPr>
      </w:pPr>
      <w:r>
        <w:rPr>
          <w:lang w:eastAsia="ja-JP"/>
        </w:rPr>
        <w:t>The primary efficacy endpoints for the prevention of symptomatic COVID-19 meets the EMA and FDA requirements for COVID vaccines.</w:t>
      </w:r>
      <w:r>
        <w:rPr>
          <w:lang w:eastAsia="ja-JP"/>
        </w:rPr>
        <w:fldChar w:fldCharType="begin"/>
      </w:r>
      <w:r>
        <w:rPr>
          <w:lang w:eastAsia="ja-JP"/>
        </w:rPr>
        <w:instrText xml:space="preserve"> NOTEREF _Ref63171448 \f \h </w:instrText>
      </w:r>
      <w:r>
        <w:rPr>
          <w:lang w:eastAsia="ja-JP"/>
        </w:rPr>
      </w:r>
      <w:r>
        <w:rPr>
          <w:lang w:eastAsia="ja-JP"/>
        </w:rPr>
        <w:fldChar w:fldCharType="separate"/>
      </w:r>
      <w:r w:rsidR="001D05A6" w:rsidRPr="001D05A6">
        <w:rPr>
          <w:rStyle w:val="FootnoteReference"/>
        </w:rPr>
        <w:t>18</w:t>
      </w:r>
      <w:r>
        <w:rPr>
          <w:lang w:eastAsia="ja-JP"/>
        </w:rPr>
        <w:fldChar w:fldCharType="end"/>
      </w:r>
      <w:r w:rsidR="000B0881">
        <w:rPr>
          <w:vertAlign w:val="superscript"/>
          <w:lang w:eastAsia="ja-JP"/>
        </w:rPr>
        <w:t>,</w:t>
      </w:r>
      <w:r>
        <w:rPr>
          <w:lang w:eastAsia="ja-JP"/>
        </w:rPr>
        <w:fldChar w:fldCharType="begin"/>
      </w:r>
      <w:r>
        <w:rPr>
          <w:lang w:eastAsia="ja-JP"/>
        </w:rPr>
        <w:instrText xml:space="preserve"> NOTEREF _Ref63171455 \f \h </w:instrText>
      </w:r>
      <w:r>
        <w:rPr>
          <w:lang w:eastAsia="ja-JP"/>
        </w:rPr>
      </w:r>
      <w:r>
        <w:rPr>
          <w:lang w:eastAsia="ja-JP"/>
        </w:rPr>
        <w:fldChar w:fldCharType="separate"/>
      </w:r>
      <w:r w:rsidR="001D05A6" w:rsidRPr="001D05A6">
        <w:rPr>
          <w:rStyle w:val="FootnoteReference"/>
        </w:rPr>
        <w:t>19</w:t>
      </w:r>
      <w:r>
        <w:rPr>
          <w:lang w:eastAsia="ja-JP"/>
        </w:rPr>
        <w:fldChar w:fldCharType="end"/>
      </w:r>
      <w:r>
        <w:rPr>
          <w:lang w:eastAsia="ja-JP"/>
        </w:rPr>
        <w:t xml:space="preserve"> There needs to be consideration as to whether the efficacy demonstrated is sufficient for use in the Australian context where COVID-19 is less prevalent. This will require expert advice. Apart from local and systemic signs of reactogenicity typical of vaccines, there were no significant safety concerns.</w:t>
      </w:r>
    </w:p>
    <w:p w14:paraId="421304C7" w14:textId="77777777" w:rsidR="006D6C6C" w:rsidRDefault="006D6C6C" w:rsidP="006D6C6C">
      <w:pPr>
        <w:rPr>
          <w:lang w:eastAsia="ja-JP"/>
        </w:rPr>
      </w:pPr>
      <w:r>
        <w:rPr>
          <w:lang w:eastAsia="ja-JP"/>
        </w:rPr>
        <w:t>Although it is understandable that the clinical development plan needed to evolve in the context of the pandemic and as more knowledge about the vaccine and COVID-19 became available, there are significant concerns about the robustness of the data:</w:t>
      </w:r>
    </w:p>
    <w:p w14:paraId="01A47873" w14:textId="17DB4277" w:rsidR="006D6C6C" w:rsidRDefault="006D6C6C" w:rsidP="006D6C6C">
      <w:pPr>
        <w:pStyle w:val="ListBullet"/>
        <w:rPr>
          <w:lang w:eastAsia="ja-JP"/>
        </w:rPr>
      </w:pPr>
      <w:r>
        <w:rPr>
          <w:lang w:eastAsia="ja-JP"/>
        </w:rPr>
        <w:t xml:space="preserve">the study design was not entirely fit for purpose to evaluate efficacy in high risk </w:t>
      </w:r>
      <w:proofErr w:type="gramStart"/>
      <w:r>
        <w:rPr>
          <w:lang w:eastAsia="ja-JP"/>
        </w:rPr>
        <w:t>groups</w:t>
      </w:r>
      <w:r w:rsidR="000B0881">
        <w:rPr>
          <w:lang w:eastAsia="ja-JP"/>
        </w:rPr>
        <w:t>;</w:t>
      </w:r>
      <w:proofErr w:type="gramEnd"/>
    </w:p>
    <w:p w14:paraId="1AA20BAE" w14:textId="06F104E1" w:rsidR="006D6C6C" w:rsidRDefault="006D6C6C" w:rsidP="006D6C6C">
      <w:pPr>
        <w:pStyle w:val="ListBullet"/>
        <w:rPr>
          <w:lang w:eastAsia="ja-JP"/>
        </w:rPr>
      </w:pPr>
      <w:r>
        <w:rPr>
          <w:lang w:eastAsia="ja-JP"/>
        </w:rPr>
        <w:t>there is insufficient data about dosing</w:t>
      </w:r>
      <w:r w:rsidR="000B0881">
        <w:rPr>
          <w:lang w:eastAsia="ja-JP"/>
        </w:rPr>
        <w:t>;</w:t>
      </w:r>
      <w:r>
        <w:rPr>
          <w:lang w:eastAsia="ja-JP"/>
        </w:rPr>
        <w:t xml:space="preserve"> </w:t>
      </w:r>
      <w:r w:rsidR="00E51FE8">
        <w:rPr>
          <w:lang w:eastAsia="ja-JP"/>
        </w:rPr>
        <w:t>and</w:t>
      </w:r>
    </w:p>
    <w:p w14:paraId="345BD334" w14:textId="00D230AD" w:rsidR="006D6C6C" w:rsidRDefault="006D6C6C" w:rsidP="006D6C6C">
      <w:pPr>
        <w:pStyle w:val="ListBullet"/>
        <w:rPr>
          <w:lang w:eastAsia="ja-JP"/>
        </w:rPr>
      </w:pPr>
      <w:r>
        <w:rPr>
          <w:lang w:eastAsia="ja-JP"/>
        </w:rPr>
        <w:t xml:space="preserve">there were </w:t>
      </w:r>
      <w:proofErr w:type="gramStart"/>
      <w:r>
        <w:rPr>
          <w:lang w:eastAsia="ja-JP"/>
        </w:rPr>
        <w:t>a number of</w:t>
      </w:r>
      <w:proofErr w:type="gramEnd"/>
      <w:r>
        <w:rPr>
          <w:lang w:eastAsia="ja-JP"/>
        </w:rPr>
        <w:t xml:space="preserve"> patients lost to efficacy analysis.</w:t>
      </w:r>
    </w:p>
    <w:p w14:paraId="41C244D6" w14:textId="6DC4A57D" w:rsidR="006D6C6C" w:rsidRDefault="006D6C6C" w:rsidP="006D6C6C">
      <w:pPr>
        <w:rPr>
          <w:lang w:eastAsia="ja-JP"/>
        </w:rPr>
      </w:pPr>
      <w:r>
        <w:rPr>
          <w:lang w:eastAsia="ja-JP"/>
        </w:rPr>
        <w:t>The clinical evaluator has the following recommendations to the wording of the indication and PI if the vaccine is to be approved:</w:t>
      </w:r>
    </w:p>
    <w:p w14:paraId="54D7A281" w14:textId="7E6F42FC" w:rsidR="006D6C6C" w:rsidRDefault="00E51FE8" w:rsidP="006D6C6C">
      <w:pPr>
        <w:pStyle w:val="ListBullet"/>
      </w:pPr>
      <w:r>
        <w:t>The clinical evaluator</w:t>
      </w:r>
      <w:r w:rsidR="006D6C6C">
        <w:t xml:space="preserve"> recommend</w:t>
      </w:r>
      <w:r>
        <w:t>s</w:t>
      </w:r>
      <w:r w:rsidR="006D6C6C">
        <w:t xml:space="preserve"> a change in the wording of the indications to reflect other va</w:t>
      </w:r>
      <w:r>
        <w:t>ccines registered for COVID-19.</w:t>
      </w:r>
    </w:p>
    <w:p w14:paraId="69D6FB99" w14:textId="6B28BB69" w:rsidR="006D6C6C" w:rsidRDefault="006D6C6C" w:rsidP="006D6C6C">
      <w:pPr>
        <w:pStyle w:val="ListBullet"/>
      </w:pPr>
      <w:r>
        <w:t xml:space="preserve">The limitations of the data in the elderly, immunosuppressed and pregnant women will be made clear in the </w:t>
      </w:r>
      <w:proofErr w:type="gramStart"/>
      <w:r>
        <w:t>precautions</w:t>
      </w:r>
      <w:proofErr w:type="gramEnd"/>
      <w:r>
        <w:t xml:space="preserve"> sections. It is recommended that</w:t>
      </w:r>
      <w:r w:rsidR="00E51FE8">
        <w:t xml:space="preserve"> these patient</w:t>
      </w:r>
      <w:r w:rsidR="008F676A">
        <w:t>s</w:t>
      </w:r>
      <w:r w:rsidR="00E51FE8">
        <w:t xml:space="preserve"> speak to their general practitioner </w:t>
      </w:r>
      <w:r>
        <w:t>or a specialist physician about the risks and benefits of the vaccine for them.</w:t>
      </w:r>
    </w:p>
    <w:p w14:paraId="5D3359BB" w14:textId="5F8959C4" w:rsidR="006D6C6C" w:rsidRDefault="006D6C6C" w:rsidP="006D6C6C">
      <w:pPr>
        <w:pStyle w:val="ListBullet"/>
      </w:pPr>
      <w:r>
        <w:t xml:space="preserve">The dosing interval proposed for </w:t>
      </w:r>
      <w:r w:rsidR="00E51FE8">
        <w:t xml:space="preserve">4 to </w:t>
      </w:r>
      <w:r>
        <w:t>12 weeks is acceptable.</w:t>
      </w:r>
    </w:p>
    <w:p w14:paraId="5871C2F5" w14:textId="715177FE" w:rsidR="00456765" w:rsidRPr="00456765" w:rsidRDefault="006D6C6C" w:rsidP="006D6C6C">
      <w:pPr>
        <w:pStyle w:val="ListBullet"/>
      </w:pPr>
      <w:r>
        <w:t>The clinical trial section</w:t>
      </w:r>
      <w:r w:rsidR="00E51FE8">
        <w:t>s in the PI</w:t>
      </w:r>
      <w:r>
        <w:t xml:space="preserve"> should be limited to the primary efficacy analysis.</w:t>
      </w:r>
    </w:p>
    <w:p w14:paraId="1F511316" w14:textId="77777777" w:rsidR="008E7846" w:rsidRDefault="00386150" w:rsidP="007B6132">
      <w:pPr>
        <w:pStyle w:val="Heading3"/>
        <w:rPr>
          <w:lang w:eastAsia="en-AU"/>
        </w:rPr>
      </w:pPr>
      <w:bookmarkStart w:id="53" w:name="_Toc64365648"/>
      <w:r>
        <w:rPr>
          <w:lang w:eastAsia="en-AU"/>
        </w:rPr>
        <w:t>Risk m</w:t>
      </w:r>
      <w:r w:rsidR="008E7846">
        <w:rPr>
          <w:lang w:eastAsia="en-AU"/>
        </w:rPr>
        <w:t xml:space="preserve">anagement </w:t>
      </w:r>
      <w:r>
        <w:rPr>
          <w:lang w:eastAsia="en-AU"/>
        </w:rPr>
        <w:t>p</w:t>
      </w:r>
      <w:r w:rsidR="008E7846">
        <w:rPr>
          <w:lang w:eastAsia="en-AU"/>
        </w:rPr>
        <w:t>lan</w:t>
      </w:r>
      <w:bookmarkEnd w:id="47"/>
      <w:bookmarkEnd w:id="53"/>
    </w:p>
    <w:p w14:paraId="43CB718A" w14:textId="79569EE2" w:rsidR="001A64CF" w:rsidRDefault="001A64CF" w:rsidP="007D53B6">
      <w:r>
        <w:t>The sponsor has submitted EU-</w:t>
      </w:r>
      <w:r w:rsidR="00E51FE8">
        <w:t>risk management plan (</w:t>
      </w:r>
      <w:r>
        <w:t>RMP</w:t>
      </w:r>
      <w:r w:rsidR="00E51FE8">
        <w:t>)</w:t>
      </w:r>
      <w:r>
        <w:t xml:space="preserve"> Version 1.0 Succession 1.0 (date 21 December 2020; </w:t>
      </w:r>
      <w:r w:rsidR="00E51FE8">
        <w:t>data lock point (</w:t>
      </w:r>
      <w:r>
        <w:t>DLP</w:t>
      </w:r>
      <w:r w:rsidR="00E51FE8">
        <w:t>)</w:t>
      </w:r>
      <w:r>
        <w:t xml:space="preserve"> 4 November 2020) and </w:t>
      </w:r>
      <w:r w:rsidR="00E51FE8">
        <w:t>Australian specific annex (</w:t>
      </w:r>
      <w:r>
        <w:t>ASA</w:t>
      </w:r>
      <w:r w:rsidR="00E51FE8">
        <w:t>)</w:t>
      </w:r>
      <w:r>
        <w:t xml:space="preserve"> Version 1.0 Succession 1.0 (date 22 December 2020) in support of this application. With the responses to rolling questions sent on 30 December 2020, the sponsor provided an updated ASA </w:t>
      </w:r>
      <w:r w:rsidR="000B0881">
        <w:t>V</w:t>
      </w:r>
      <w:r>
        <w:t>ersion 1.0 Succession 2 (date 13 January 2021).</w:t>
      </w:r>
    </w:p>
    <w:p w14:paraId="1681B4A7" w14:textId="20F22687" w:rsidR="009568AB" w:rsidRDefault="008912FE" w:rsidP="007D53B6">
      <w:r w:rsidRPr="008912FE">
        <w:t>On 30 January 2021, the sponsor provided an updated EU RMP Version 1.0 Succession 4 (date 26 January 2021; DLP 4 November 2020) and an updated ASA Version 1.0 Succession 3 (date 30 January 2021).</w:t>
      </w:r>
      <w:r w:rsidR="00544B4B">
        <w:t xml:space="preserve"> </w:t>
      </w:r>
      <w:r w:rsidR="009568AB">
        <w:t xml:space="preserve">At the completion of the RMP evaluation, the </w:t>
      </w:r>
      <w:r w:rsidR="00544B4B">
        <w:t>s</w:t>
      </w:r>
      <w:r w:rsidR="009568AB">
        <w:t xml:space="preserve">ponsor has submitted </w:t>
      </w:r>
      <w:r w:rsidR="009568AB" w:rsidRPr="009568AB">
        <w:t>EU RMP Version 1.0 Succession 5 (date 2 February 2021; DLP 4 November 2020) and ASA Version 1.0 Succession 4 (date 4 February 2021)</w:t>
      </w:r>
      <w:r w:rsidR="009568AB">
        <w:t>.</w:t>
      </w:r>
    </w:p>
    <w:p w14:paraId="673860C8" w14:textId="2DD94D46" w:rsidR="008912FE" w:rsidRDefault="007D53B6" w:rsidP="007D53B6">
      <w:r>
        <w:lastRenderedPageBreak/>
        <w:t>The summary of safety concerns and their associated risk monitoring and mitigation strategies are summarised in</w:t>
      </w:r>
      <w:r w:rsidR="00CB05FC">
        <w:t xml:space="preserve"> </w:t>
      </w:r>
      <w:r w:rsidR="00CB05FC">
        <w:fldChar w:fldCharType="begin"/>
      </w:r>
      <w:r w:rsidR="00CB05FC">
        <w:instrText xml:space="preserve"> REF _Ref63102354 \h </w:instrText>
      </w:r>
      <w:r w:rsidR="00CB05FC">
        <w:fldChar w:fldCharType="separate"/>
      </w:r>
      <w:r w:rsidR="001D05A6">
        <w:t xml:space="preserve">Table </w:t>
      </w:r>
      <w:r w:rsidR="001D05A6">
        <w:rPr>
          <w:noProof/>
        </w:rPr>
        <w:t>12</w:t>
      </w:r>
      <w:r w:rsidR="00CB05FC">
        <w:fldChar w:fldCharType="end"/>
      </w:r>
      <w:r>
        <w:t>.</w:t>
      </w:r>
      <w:r>
        <w:rPr>
          <w:rStyle w:val="FootnoteReference"/>
        </w:rPr>
        <w:footnoteReference w:id="20"/>
      </w:r>
    </w:p>
    <w:p w14:paraId="08B060FF" w14:textId="1C3D7370" w:rsidR="00657C54" w:rsidRDefault="00657C54" w:rsidP="00CB05FC">
      <w:pPr>
        <w:pStyle w:val="TableTitle"/>
      </w:pPr>
      <w:bookmarkStart w:id="54" w:name="_Ref63102354"/>
      <w:r>
        <w:t xml:space="preserve">Table </w:t>
      </w:r>
      <w:r w:rsidR="002D3B9B">
        <w:fldChar w:fldCharType="begin"/>
      </w:r>
      <w:r w:rsidR="002D3B9B">
        <w:instrText xml:space="preserve"> SEQ Table \* ARABIC </w:instrText>
      </w:r>
      <w:r w:rsidR="002D3B9B">
        <w:fldChar w:fldCharType="separate"/>
      </w:r>
      <w:r w:rsidR="001D05A6">
        <w:rPr>
          <w:noProof/>
        </w:rPr>
        <w:t>12</w:t>
      </w:r>
      <w:r w:rsidR="002D3B9B">
        <w:rPr>
          <w:noProof/>
        </w:rPr>
        <w:fldChar w:fldCharType="end"/>
      </w:r>
      <w:bookmarkEnd w:id="54"/>
      <w:r>
        <w:t>: Summary of safety concerns</w:t>
      </w:r>
    </w:p>
    <w:tbl>
      <w:tblPr>
        <w:tblStyle w:val="TableTGAblue"/>
        <w:tblW w:w="5000" w:type="pct"/>
        <w:tblLook w:val="04A0" w:firstRow="1" w:lastRow="0" w:firstColumn="1" w:lastColumn="0" w:noHBand="0" w:noVBand="1"/>
      </w:tblPr>
      <w:tblGrid>
        <w:gridCol w:w="1327"/>
        <w:gridCol w:w="3127"/>
        <w:gridCol w:w="945"/>
        <w:gridCol w:w="1188"/>
        <w:gridCol w:w="945"/>
        <w:gridCol w:w="1188"/>
      </w:tblGrid>
      <w:tr w:rsidR="008912FE" w:rsidRPr="008912FE" w14:paraId="6EC9111F" w14:textId="77777777" w:rsidTr="00A8128F">
        <w:trPr>
          <w:cnfStyle w:val="100000000000" w:firstRow="1" w:lastRow="0" w:firstColumn="0" w:lastColumn="0" w:oddVBand="0" w:evenVBand="0" w:oddHBand="0" w:evenHBand="0" w:firstRowFirstColumn="0" w:firstRowLastColumn="0" w:lastRowFirstColumn="0" w:lastRowLastColumn="0"/>
          <w:trHeight w:val="131"/>
        </w:trPr>
        <w:tc>
          <w:tcPr>
            <w:tcW w:w="2554" w:type="pct"/>
            <w:gridSpan w:val="2"/>
            <w:vMerge w:val="restart"/>
          </w:tcPr>
          <w:p w14:paraId="3A392F29" w14:textId="77777777" w:rsidR="008912FE" w:rsidRPr="008912FE" w:rsidRDefault="008912FE" w:rsidP="008912FE">
            <w:pPr>
              <w:pStyle w:val="Tabletext"/>
              <w:ind w:left="0" w:right="0"/>
              <w:rPr>
                <w:b w:val="0"/>
                <w:sz w:val="20"/>
                <w:szCs w:val="20"/>
              </w:rPr>
            </w:pPr>
            <w:r w:rsidRPr="008912FE">
              <w:rPr>
                <w:sz w:val="20"/>
                <w:szCs w:val="20"/>
              </w:rPr>
              <w:t>Summary of safety concerns</w:t>
            </w:r>
          </w:p>
        </w:tc>
        <w:tc>
          <w:tcPr>
            <w:tcW w:w="1223" w:type="pct"/>
            <w:gridSpan w:val="2"/>
          </w:tcPr>
          <w:p w14:paraId="3ED3109C" w14:textId="77777777" w:rsidR="008912FE" w:rsidRPr="008912FE" w:rsidRDefault="008912FE" w:rsidP="008912FE">
            <w:pPr>
              <w:pStyle w:val="Tabletext"/>
              <w:ind w:left="0" w:right="0"/>
              <w:rPr>
                <w:b w:val="0"/>
                <w:sz w:val="20"/>
                <w:szCs w:val="20"/>
              </w:rPr>
            </w:pPr>
            <w:r w:rsidRPr="008912FE">
              <w:rPr>
                <w:sz w:val="20"/>
                <w:szCs w:val="20"/>
              </w:rPr>
              <w:t>Pharmacovigilance</w:t>
            </w:r>
          </w:p>
        </w:tc>
        <w:tc>
          <w:tcPr>
            <w:tcW w:w="1223" w:type="pct"/>
            <w:gridSpan w:val="2"/>
          </w:tcPr>
          <w:p w14:paraId="42310CE9" w14:textId="13E775A3" w:rsidR="008912FE" w:rsidRPr="008912FE" w:rsidRDefault="008912FE" w:rsidP="008912FE">
            <w:pPr>
              <w:pStyle w:val="Tabletext"/>
              <w:ind w:left="0" w:right="0"/>
              <w:rPr>
                <w:b w:val="0"/>
                <w:sz w:val="20"/>
                <w:szCs w:val="20"/>
              </w:rPr>
            </w:pPr>
            <w:r>
              <w:rPr>
                <w:sz w:val="20"/>
                <w:szCs w:val="20"/>
              </w:rPr>
              <w:t>Risk m</w:t>
            </w:r>
            <w:r w:rsidRPr="008912FE">
              <w:rPr>
                <w:sz w:val="20"/>
                <w:szCs w:val="20"/>
              </w:rPr>
              <w:t>inimisation</w:t>
            </w:r>
          </w:p>
        </w:tc>
      </w:tr>
      <w:tr w:rsidR="008912FE" w:rsidRPr="008912FE" w14:paraId="0F4AEC10" w14:textId="77777777" w:rsidTr="00A8128F">
        <w:trPr>
          <w:trHeight w:val="150"/>
        </w:trPr>
        <w:tc>
          <w:tcPr>
            <w:tcW w:w="2554" w:type="pct"/>
            <w:gridSpan w:val="2"/>
            <w:vMerge/>
          </w:tcPr>
          <w:p w14:paraId="32A2C13B" w14:textId="77777777" w:rsidR="008912FE" w:rsidRPr="008912FE" w:rsidRDefault="008912FE" w:rsidP="008912FE">
            <w:pPr>
              <w:pStyle w:val="Tabletext"/>
              <w:ind w:left="0" w:right="0"/>
              <w:rPr>
                <w:b/>
                <w:color w:val="FFFFFF" w:themeColor="background1"/>
                <w:sz w:val="20"/>
                <w:szCs w:val="20"/>
              </w:rPr>
            </w:pPr>
          </w:p>
        </w:tc>
        <w:tc>
          <w:tcPr>
            <w:tcW w:w="542" w:type="pct"/>
            <w:shd w:val="clear" w:color="auto" w:fill="006DA7"/>
          </w:tcPr>
          <w:p w14:paraId="28DBCEB9" w14:textId="77777777" w:rsidR="008912FE" w:rsidRPr="008912FE" w:rsidRDefault="008912FE" w:rsidP="008912FE">
            <w:pPr>
              <w:pStyle w:val="Tabletext"/>
              <w:ind w:left="0" w:right="0"/>
              <w:rPr>
                <w:b/>
                <w:color w:val="FFFFFF" w:themeColor="background1"/>
                <w:sz w:val="20"/>
                <w:szCs w:val="20"/>
              </w:rPr>
            </w:pPr>
            <w:r w:rsidRPr="008912FE">
              <w:rPr>
                <w:b/>
                <w:color w:val="FFFFFF" w:themeColor="background1"/>
                <w:sz w:val="20"/>
                <w:szCs w:val="20"/>
              </w:rPr>
              <w:t>Routine</w:t>
            </w:r>
          </w:p>
        </w:tc>
        <w:tc>
          <w:tcPr>
            <w:tcW w:w="681" w:type="pct"/>
            <w:shd w:val="clear" w:color="auto" w:fill="006DA7"/>
          </w:tcPr>
          <w:p w14:paraId="13966454" w14:textId="77777777" w:rsidR="008912FE" w:rsidRPr="008912FE" w:rsidRDefault="008912FE" w:rsidP="008912FE">
            <w:pPr>
              <w:pStyle w:val="Tabletext"/>
              <w:ind w:left="0" w:right="0"/>
              <w:rPr>
                <w:b/>
                <w:color w:val="FFFFFF" w:themeColor="background1"/>
                <w:sz w:val="20"/>
                <w:szCs w:val="20"/>
              </w:rPr>
            </w:pPr>
            <w:r w:rsidRPr="008912FE">
              <w:rPr>
                <w:b/>
                <w:color w:val="FFFFFF" w:themeColor="background1"/>
                <w:sz w:val="20"/>
                <w:szCs w:val="20"/>
              </w:rPr>
              <w:t>Additional</w:t>
            </w:r>
          </w:p>
        </w:tc>
        <w:tc>
          <w:tcPr>
            <w:tcW w:w="542" w:type="pct"/>
            <w:shd w:val="clear" w:color="auto" w:fill="006DA7"/>
          </w:tcPr>
          <w:p w14:paraId="0B93AB2F" w14:textId="77777777" w:rsidR="008912FE" w:rsidRPr="008912FE" w:rsidRDefault="008912FE" w:rsidP="008912FE">
            <w:pPr>
              <w:pStyle w:val="Tabletext"/>
              <w:ind w:left="0" w:right="0"/>
              <w:rPr>
                <w:b/>
                <w:color w:val="FFFFFF" w:themeColor="background1"/>
                <w:sz w:val="20"/>
                <w:szCs w:val="20"/>
              </w:rPr>
            </w:pPr>
            <w:r w:rsidRPr="008912FE">
              <w:rPr>
                <w:b/>
                <w:color w:val="FFFFFF" w:themeColor="background1"/>
                <w:sz w:val="20"/>
                <w:szCs w:val="20"/>
              </w:rPr>
              <w:t>Routine</w:t>
            </w:r>
          </w:p>
        </w:tc>
        <w:tc>
          <w:tcPr>
            <w:tcW w:w="681" w:type="pct"/>
            <w:shd w:val="clear" w:color="auto" w:fill="006DA7"/>
          </w:tcPr>
          <w:p w14:paraId="3B1AD42F" w14:textId="77777777" w:rsidR="008912FE" w:rsidRPr="008912FE" w:rsidRDefault="008912FE" w:rsidP="008912FE">
            <w:pPr>
              <w:pStyle w:val="Tabletext"/>
              <w:ind w:left="0" w:right="0"/>
              <w:rPr>
                <w:b/>
                <w:color w:val="FFFFFF" w:themeColor="background1"/>
                <w:sz w:val="20"/>
                <w:szCs w:val="20"/>
              </w:rPr>
            </w:pPr>
            <w:r w:rsidRPr="008912FE">
              <w:rPr>
                <w:b/>
                <w:color w:val="FFFFFF" w:themeColor="background1"/>
                <w:sz w:val="20"/>
                <w:szCs w:val="20"/>
              </w:rPr>
              <w:t>Additional</w:t>
            </w:r>
          </w:p>
        </w:tc>
      </w:tr>
      <w:tr w:rsidR="008912FE" w:rsidRPr="008912FE" w14:paraId="7887DD5E" w14:textId="77777777" w:rsidTr="00A8128F">
        <w:trPr>
          <w:trHeight w:val="137"/>
        </w:trPr>
        <w:tc>
          <w:tcPr>
            <w:tcW w:w="761" w:type="pct"/>
          </w:tcPr>
          <w:p w14:paraId="484EE53F" w14:textId="77777777" w:rsidR="008912FE" w:rsidRPr="008912FE" w:rsidRDefault="008912FE" w:rsidP="008912FE">
            <w:pPr>
              <w:pStyle w:val="Tabletext"/>
              <w:ind w:left="0" w:right="0"/>
              <w:rPr>
                <w:b/>
                <w:color w:val="auto"/>
                <w:sz w:val="20"/>
                <w:szCs w:val="20"/>
              </w:rPr>
            </w:pPr>
            <w:r w:rsidRPr="008912FE">
              <w:rPr>
                <w:b/>
                <w:color w:val="auto"/>
                <w:sz w:val="20"/>
                <w:szCs w:val="20"/>
              </w:rPr>
              <w:t>Important identified risks</w:t>
            </w:r>
          </w:p>
        </w:tc>
        <w:tc>
          <w:tcPr>
            <w:tcW w:w="1793" w:type="pct"/>
          </w:tcPr>
          <w:p w14:paraId="15BD8E03" w14:textId="77777777" w:rsidR="008912FE" w:rsidRPr="008912FE" w:rsidRDefault="008912FE" w:rsidP="008912FE">
            <w:pPr>
              <w:pStyle w:val="Tabletext"/>
              <w:ind w:left="0" w:right="0"/>
              <w:rPr>
                <w:color w:val="auto"/>
                <w:sz w:val="20"/>
                <w:szCs w:val="20"/>
              </w:rPr>
            </w:pPr>
            <w:r w:rsidRPr="008912FE">
              <w:rPr>
                <w:color w:val="auto"/>
                <w:sz w:val="20"/>
                <w:szCs w:val="20"/>
              </w:rPr>
              <w:t>None</w:t>
            </w:r>
          </w:p>
        </w:tc>
        <w:tc>
          <w:tcPr>
            <w:tcW w:w="542" w:type="pct"/>
          </w:tcPr>
          <w:p w14:paraId="23FDC0B0" w14:textId="232F421A" w:rsidR="008912FE" w:rsidRPr="008912FE" w:rsidRDefault="00A57744" w:rsidP="008912FE">
            <w:pPr>
              <w:pStyle w:val="Tabletext"/>
              <w:ind w:left="0" w:right="0"/>
              <w:jc w:val="center"/>
              <w:rPr>
                <w:color w:val="auto"/>
                <w:sz w:val="20"/>
                <w:szCs w:val="20"/>
              </w:rPr>
            </w:pPr>
            <w:r>
              <w:rPr>
                <w:color w:val="auto"/>
                <w:sz w:val="20"/>
                <w:szCs w:val="20"/>
              </w:rPr>
              <w:t>-</w:t>
            </w:r>
          </w:p>
        </w:tc>
        <w:tc>
          <w:tcPr>
            <w:tcW w:w="681" w:type="pct"/>
          </w:tcPr>
          <w:p w14:paraId="58D5F13C" w14:textId="1C9F17A8" w:rsidR="008912FE" w:rsidRPr="008912FE" w:rsidRDefault="00A57744" w:rsidP="008912FE">
            <w:pPr>
              <w:pStyle w:val="Tabletext"/>
              <w:ind w:left="0" w:right="0"/>
              <w:jc w:val="center"/>
              <w:rPr>
                <w:color w:val="auto"/>
                <w:sz w:val="20"/>
                <w:szCs w:val="20"/>
              </w:rPr>
            </w:pPr>
            <w:r>
              <w:rPr>
                <w:color w:val="auto"/>
                <w:sz w:val="20"/>
                <w:szCs w:val="20"/>
              </w:rPr>
              <w:t>-</w:t>
            </w:r>
          </w:p>
        </w:tc>
        <w:tc>
          <w:tcPr>
            <w:tcW w:w="542" w:type="pct"/>
          </w:tcPr>
          <w:p w14:paraId="229467B6" w14:textId="38C34640" w:rsidR="008912FE" w:rsidRPr="008912FE" w:rsidRDefault="00A57744" w:rsidP="008912FE">
            <w:pPr>
              <w:pStyle w:val="Tabletext"/>
              <w:ind w:left="0" w:right="0"/>
              <w:jc w:val="center"/>
              <w:rPr>
                <w:color w:val="auto"/>
                <w:sz w:val="20"/>
                <w:szCs w:val="20"/>
              </w:rPr>
            </w:pPr>
            <w:r>
              <w:rPr>
                <w:color w:val="auto"/>
                <w:sz w:val="20"/>
                <w:szCs w:val="20"/>
              </w:rPr>
              <w:t>-</w:t>
            </w:r>
          </w:p>
        </w:tc>
        <w:tc>
          <w:tcPr>
            <w:tcW w:w="681" w:type="pct"/>
          </w:tcPr>
          <w:p w14:paraId="325B6D96"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r w:rsidR="008912FE" w:rsidRPr="008912FE" w14:paraId="4B35027B" w14:textId="77777777" w:rsidTr="00A8128F">
        <w:trPr>
          <w:trHeight w:val="159"/>
        </w:trPr>
        <w:tc>
          <w:tcPr>
            <w:tcW w:w="761" w:type="pct"/>
            <w:vMerge w:val="restart"/>
          </w:tcPr>
          <w:p w14:paraId="0F44631A" w14:textId="77777777" w:rsidR="008912FE" w:rsidRPr="008912FE" w:rsidRDefault="008912FE" w:rsidP="008912FE">
            <w:pPr>
              <w:pStyle w:val="Tabletext"/>
              <w:ind w:left="0" w:right="0"/>
              <w:rPr>
                <w:b/>
                <w:color w:val="auto"/>
                <w:sz w:val="20"/>
                <w:szCs w:val="20"/>
              </w:rPr>
            </w:pPr>
            <w:r w:rsidRPr="008912FE">
              <w:rPr>
                <w:b/>
                <w:color w:val="auto"/>
                <w:sz w:val="20"/>
                <w:szCs w:val="20"/>
              </w:rPr>
              <w:t>Important potential risks</w:t>
            </w:r>
          </w:p>
        </w:tc>
        <w:tc>
          <w:tcPr>
            <w:tcW w:w="1793" w:type="pct"/>
          </w:tcPr>
          <w:p w14:paraId="4D9A8AFA" w14:textId="77777777" w:rsidR="008912FE" w:rsidRPr="008912FE" w:rsidRDefault="008912FE" w:rsidP="008912FE">
            <w:pPr>
              <w:pStyle w:val="Summaryofsafetyconcerns"/>
              <w:keepNext/>
              <w:keepLines/>
              <w:ind w:left="0" w:right="0"/>
              <w:rPr>
                <w:b w:val="0"/>
                <w:color w:val="auto"/>
                <w:kern w:val="0"/>
                <w:szCs w:val="20"/>
              </w:rPr>
            </w:pPr>
            <w:r w:rsidRPr="008912FE">
              <w:rPr>
                <w:b w:val="0"/>
                <w:color w:val="auto"/>
                <w:kern w:val="0"/>
                <w:szCs w:val="20"/>
              </w:rPr>
              <w:t>Nervous system disorders, including immune-mediated neurological conditions</w:t>
            </w:r>
          </w:p>
        </w:tc>
        <w:tc>
          <w:tcPr>
            <w:tcW w:w="542" w:type="pct"/>
          </w:tcPr>
          <w:p w14:paraId="3CD26AF1"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6F5D7C62" w14:textId="47B9708C"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r w:rsidRPr="008912FE">
              <w:rPr>
                <w:color w:val="auto"/>
                <w:sz w:val="20"/>
                <w:szCs w:val="20"/>
              </w:rPr>
              <w:t>*‡</w:t>
            </w:r>
            <w:r w:rsidR="0029586A">
              <w:rPr>
                <w:color w:val="auto"/>
                <w:sz w:val="20"/>
                <w:szCs w:val="20"/>
              </w:rPr>
              <w:t>+</w:t>
            </w:r>
          </w:p>
        </w:tc>
        <w:tc>
          <w:tcPr>
            <w:tcW w:w="542" w:type="pct"/>
          </w:tcPr>
          <w:p w14:paraId="7079BDD3"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c>
          <w:tcPr>
            <w:tcW w:w="681" w:type="pct"/>
          </w:tcPr>
          <w:p w14:paraId="09743C2B"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r w:rsidR="008912FE" w:rsidRPr="008912FE" w14:paraId="6F63619D" w14:textId="77777777" w:rsidTr="00A8128F">
        <w:trPr>
          <w:trHeight w:val="122"/>
        </w:trPr>
        <w:tc>
          <w:tcPr>
            <w:tcW w:w="761" w:type="pct"/>
            <w:vMerge/>
          </w:tcPr>
          <w:p w14:paraId="4BACFFC0" w14:textId="77777777" w:rsidR="008912FE" w:rsidRPr="008912FE" w:rsidRDefault="008912FE" w:rsidP="008912FE">
            <w:pPr>
              <w:pStyle w:val="Tabletext"/>
              <w:ind w:left="0" w:right="0"/>
              <w:rPr>
                <w:b/>
                <w:color w:val="auto"/>
                <w:sz w:val="20"/>
                <w:szCs w:val="20"/>
              </w:rPr>
            </w:pPr>
          </w:p>
        </w:tc>
        <w:tc>
          <w:tcPr>
            <w:tcW w:w="1793" w:type="pct"/>
          </w:tcPr>
          <w:p w14:paraId="46DC4523" w14:textId="77777777" w:rsidR="008912FE" w:rsidRPr="008912FE" w:rsidRDefault="008912FE" w:rsidP="008912FE">
            <w:pPr>
              <w:pStyle w:val="Summaryofsafetyconcerns"/>
              <w:keepNext/>
              <w:keepLines/>
              <w:ind w:left="0" w:right="0"/>
              <w:rPr>
                <w:b w:val="0"/>
                <w:color w:val="auto"/>
                <w:kern w:val="0"/>
                <w:szCs w:val="20"/>
              </w:rPr>
            </w:pPr>
            <w:r w:rsidRPr="008912FE">
              <w:rPr>
                <w:b w:val="0"/>
                <w:color w:val="auto"/>
                <w:kern w:val="0"/>
                <w:szCs w:val="20"/>
              </w:rPr>
              <w:t xml:space="preserve">Vaccine-associated enhanced </w:t>
            </w:r>
            <w:proofErr w:type="gramStart"/>
            <w:r w:rsidRPr="008912FE">
              <w:rPr>
                <w:b w:val="0"/>
                <w:color w:val="auto"/>
                <w:kern w:val="0"/>
                <w:szCs w:val="20"/>
              </w:rPr>
              <w:t>disease(</w:t>
            </w:r>
            <w:proofErr w:type="gramEnd"/>
            <w:r w:rsidRPr="008912FE">
              <w:rPr>
                <w:b w:val="0"/>
                <w:color w:val="auto"/>
                <w:kern w:val="0"/>
                <w:szCs w:val="20"/>
              </w:rPr>
              <w:t>VAED), including vaccine associated enhanced respiratory disease (VAERD)</w:t>
            </w:r>
          </w:p>
        </w:tc>
        <w:tc>
          <w:tcPr>
            <w:tcW w:w="542" w:type="pct"/>
          </w:tcPr>
          <w:p w14:paraId="0B552822"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5CF160B7" w14:textId="301F7C28"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r w:rsidRPr="008912FE">
              <w:rPr>
                <w:color w:val="auto"/>
                <w:sz w:val="20"/>
                <w:szCs w:val="20"/>
              </w:rPr>
              <w:t>*‡</w:t>
            </w:r>
            <w:r w:rsidR="0029586A">
              <w:rPr>
                <w:color w:val="auto"/>
                <w:sz w:val="20"/>
                <w:szCs w:val="20"/>
              </w:rPr>
              <w:t>+</w:t>
            </w:r>
          </w:p>
        </w:tc>
        <w:tc>
          <w:tcPr>
            <w:tcW w:w="542" w:type="pct"/>
          </w:tcPr>
          <w:p w14:paraId="33182772"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c>
          <w:tcPr>
            <w:tcW w:w="681" w:type="pct"/>
          </w:tcPr>
          <w:p w14:paraId="40AE0785"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r w:rsidR="008912FE" w:rsidRPr="008912FE" w14:paraId="0269710E" w14:textId="77777777" w:rsidTr="00A8128F">
        <w:trPr>
          <w:trHeight w:val="122"/>
        </w:trPr>
        <w:tc>
          <w:tcPr>
            <w:tcW w:w="761" w:type="pct"/>
            <w:vMerge/>
          </w:tcPr>
          <w:p w14:paraId="52A4BE3E" w14:textId="77777777" w:rsidR="008912FE" w:rsidRPr="008912FE" w:rsidRDefault="008912FE" w:rsidP="008912FE">
            <w:pPr>
              <w:pStyle w:val="Tabletext"/>
              <w:ind w:left="0" w:right="0"/>
              <w:rPr>
                <w:b/>
                <w:color w:val="auto"/>
                <w:sz w:val="20"/>
                <w:szCs w:val="20"/>
              </w:rPr>
            </w:pPr>
          </w:p>
        </w:tc>
        <w:tc>
          <w:tcPr>
            <w:tcW w:w="1793" w:type="pct"/>
          </w:tcPr>
          <w:p w14:paraId="15233442" w14:textId="77777777" w:rsidR="008912FE" w:rsidRPr="008912FE" w:rsidRDefault="008912FE" w:rsidP="008912FE">
            <w:pPr>
              <w:pStyle w:val="Summaryofsafetyconcerns"/>
              <w:keepNext/>
              <w:keepLines/>
              <w:ind w:left="0" w:right="0"/>
              <w:rPr>
                <w:b w:val="0"/>
                <w:color w:val="auto"/>
                <w:kern w:val="0"/>
                <w:szCs w:val="20"/>
              </w:rPr>
            </w:pPr>
            <w:r w:rsidRPr="008912FE">
              <w:rPr>
                <w:b w:val="0"/>
                <w:color w:val="auto"/>
                <w:kern w:val="0"/>
                <w:szCs w:val="20"/>
              </w:rPr>
              <w:t xml:space="preserve">Anaphylaxis </w:t>
            </w:r>
          </w:p>
        </w:tc>
        <w:tc>
          <w:tcPr>
            <w:tcW w:w="542" w:type="pct"/>
          </w:tcPr>
          <w:p w14:paraId="02987264"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2D691276" w14:textId="5CB3C1C5"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r w:rsidRPr="008912FE">
              <w:rPr>
                <w:color w:val="auto"/>
                <w:sz w:val="20"/>
                <w:szCs w:val="20"/>
              </w:rPr>
              <w:t>*</w:t>
            </w:r>
            <w:r w:rsidR="0029586A" w:rsidRPr="008912FE">
              <w:rPr>
                <w:color w:val="auto"/>
                <w:sz w:val="20"/>
                <w:szCs w:val="20"/>
              </w:rPr>
              <w:t>‡</w:t>
            </w:r>
            <w:r w:rsidR="0029586A">
              <w:rPr>
                <w:color w:val="auto"/>
                <w:sz w:val="20"/>
                <w:szCs w:val="20"/>
              </w:rPr>
              <w:t>+</w:t>
            </w:r>
          </w:p>
        </w:tc>
        <w:tc>
          <w:tcPr>
            <w:tcW w:w="542" w:type="pct"/>
          </w:tcPr>
          <w:p w14:paraId="32F6122F"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25247356"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r w:rsidR="008912FE" w:rsidRPr="008912FE" w14:paraId="7D2F3D71" w14:textId="77777777" w:rsidTr="00A8128F">
        <w:trPr>
          <w:trHeight w:val="178"/>
        </w:trPr>
        <w:tc>
          <w:tcPr>
            <w:tcW w:w="761" w:type="pct"/>
            <w:vMerge w:val="restart"/>
          </w:tcPr>
          <w:p w14:paraId="2222CC27" w14:textId="77777777" w:rsidR="008912FE" w:rsidRPr="008912FE" w:rsidRDefault="008912FE" w:rsidP="008912FE">
            <w:pPr>
              <w:pStyle w:val="Tabletext"/>
              <w:ind w:left="0" w:right="0"/>
              <w:rPr>
                <w:b/>
                <w:color w:val="auto"/>
                <w:sz w:val="20"/>
                <w:szCs w:val="20"/>
              </w:rPr>
            </w:pPr>
            <w:r w:rsidRPr="008912FE">
              <w:rPr>
                <w:b/>
                <w:color w:val="auto"/>
                <w:sz w:val="20"/>
                <w:szCs w:val="20"/>
              </w:rPr>
              <w:t>Missing information</w:t>
            </w:r>
          </w:p>
        </w:tc>
        <w:tc>
          <w:tcPr>
            <w:tcW w:w="1793" w:type="pct"/>
          </w:tcPr>
          <w:p w14:paraId="2BFEB223" w14:textId="77777777" w:rsidR="008912FE" w:rsidRPr="008912FE" w:rsidRDefault="008912FE" w:rsidP="008912FE">
            <w:pPr>
              <w:pStyle w:val="Summaryofsafetyconcerns"/>
              <w:keepNext/>
              <w:keepLines/>
              <w:ind w:left="0" w:right="0"/>
              <w:rPr>
                <w:b w:val="0"/>
                <w:color w:val="auto"/>
                <w:kern w:val="0"/>
                <w:szCs w:val="20"/>
              </w:rPr>
            </w:pPr>
            <w:r w:rsidRPr="008912FE">
              <w:rPr>
                <w:b w:val="0"/>
                <w:color w:val="auto"/>
                <w:kern w:val="0"/>
                <w:szCs w:val="20"/>
              </w:rPr>
              <w:t>Use during pregnancy and while breastfeeding</w:t>
            </w:r>
          </w:p>
        </w:tc>
        <w:tc>
          <w:tcPr>
            <w:tcW w:w="542" w:type="pct"/>
          </w:tcPr>
          <w:p w14:paraId="6504BB82"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019A5F6B" w14:textId="62A3B864"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r w:rsidRPr="008912FE">
              <w:rPr>
                <w:color w:val="auto"/>
                <w:sz w:val="20"/>
                <w:szCs w:val="20"/>
                <w:vertAlign w:val="superscript"/>
              </w:rPr>
              <w:t>¶</w:t>
            </w:r>
            <w:r w:rsidRPr="008912FE">
              <w:rPr>
                <w:color w:val="auto"/>
                <w:sz w:val="20"/>
                <w:szCs w:val="20"/>
              </w:rPr>
              <w:t>‡</w:t>
            </w:r>
            <w:r w:rsidR="0029586A">
              <w:rPr>
                <w:color w:val="auto"/>
                <w:sz w:val="20"/>
                <w:szCs w:val="20"/>
              </w:rPr>
              <w:t>+</w:t>
            </w:r>
          </w:p>
        </w:tc>
        <w:tc>
          <w:tcPr>
            <w:tcW w:w="542" w:type="pct"/>
          </w:tcPr>
          <w:p w14:paraId="1A4B42A5"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54488550"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r w:rsidR="008912FE" w:rsidRPr="008912FE" w14:paraId="6BB64845" w14:textId="77777777" w:rsidTr="00A8128F">
        <w:trPr>
          <w:trHeight w:val="103"/>
        </w:trPr>
        <w:tc>
          <w:tcPr>
            <w:tcW w:w="761" w:type="pct"/>
            <w:vMerge/>
          </w:tcPr>
          <w:p w14:paraId="18550573" w14:textId="77777777" w:rsidR="008912FE" w:rsidRPr="008912FE" w:rsidRDefault="008912FE" w:rsidP="008912FE">
            <w:pPr>
              <w:pStyle w:val="Tabletext"/>
              <w:ind w:left="0" w:right="0"/>
              <w:rPr>
                <w:color w:val="auto"/>
                <w:sz w:val="20"/>
                <w:szCs w:val="20"/>
              </w:rPr>
            </w:pPr>
          </w:p>
        </w:tc>
        <w:tc>
          <w:tcPr>
            <w:tcW w:w="1793" w:type="pct"/>
          </w:tcPr>
          <w:p w14:paraId="10BEC7C0" w14:textId="77777777" w:rsidR="008912FE" w:rsidRPr="008912FE" w:rsidRDefault="008912FE" w:rsidP="008912FE">
            <w:pPr>
              <w:pStyle w:val="Summaryofsafetyconcerns"/>
              <w:keepNext/>
              <w:keepLines/>
              <w:ind w:left="0" w:right="0"/>
              <w:rPr>
                <w:b w:val="0"/>
                <w:color w:val="auto"/>
                <w:kern w:val="0"/>
                <w:szCs w:val="20"/>
              </w:rPr>
            </w:pPr>
            <w:r w:rsidRPr="008912FE">
              <w:rPr>
                <w:b w:val="0"/>
                <w:color w:val="auto"/>
                <w:kern w:val="0"/>
                <w:szCs w:val="20"/>
              </w:rPr>
              <w:t>Use in immunocompromised patients</w:t>
            </w:r>
          </w:p>
        </w:tc>
        <w:tc>
          <w:tcPr>
            <w:tcW w:w="542" w:type="pct"/>
          </w:tcPr>
          <w:p w14:paraId="0201C25B"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1889D9FA" w14:textId="72C6D69F"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r w:rsidRPr="008912FE">
              <w:rPr>
                <w:color w:val="auto"/>
                <w:sz w:val="20"/>
                <w:szCs w:val="20"/>
              </w:rPr>
              <w:t>*‡</w:t>
            </w:r>
            <w:r w:rsidR="006C723A">
              <w:rPr>
                <w:color w:val="auto"/>
                <w:sz w:val="20"/>
                <w:szCs w:val="20"/>
              </w:rPr>
              <w:t>+^</w:t>
            </w:r>
            <w:r w:rsidR="006C723A">
              <w:sym w:font="Symbol" w:char="F066"/>
            </w:r>
          </w:p>
        </w:tc>
        <w:tc>
          <w:tcPr>
            <w:tcW w:w="542" w:type="pct"/>
          </w:tcPr>
          <w:p w14:paraId="7B7C1925"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62DDA2AA"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r w:rsidR="008912FE" w:rsidRPr="008912FE" w14:paraId="280D2065" w14:textId="77777777" w:rsidTr="00A8128F">
        <w:trPr>
          <w:trHeight w:val="103"/>
        </w:trPr>
        <w:tc>
          <w:tcPr>
            <w:tcW w:w="761" w:type="pct"/>
            <w:vMerge/>
          </w:tcPr>
          <w:p w14:paraId="4AFF6A37" w14:textId="77777777" w:rsidR="008912FE" w:rsidRPr="008912FE" w:rsidRDefault="008912FE" w:rsidP="008912FE">
            <w:pPr>
              <w:pStyle w:val="Tabletext"/>
              <w:ind w:left="0" w:right="0"/>
              <w:rPr>
                <w:color w:val="auto"/>
                <w:sz w:val="20"/>
                <w:szCs w:val="20"/>
              </w:rPr>
            </w:pPr>
          </w:p>
        </w:tc>
        <w:tc>
          <w:tcPr>
            <w:tcW w:w="1793" w:type="pct"/>
          </w:tcPr>
          <w:p w14:paraId="439A903B" w14:textId="49337EDD" w:rsidR="008912FE" w:rsidRPr="008912FE" w:rsidRDefault="008912FE" w:rsidP="008912FE">
            <w:pPr>
              <w:pStyle w:val="Summaryofsafetyconcerns"/>
              <w:keepNext/>
              <w:keepLines/>
              <w:ind w:left="0" w:right="0"/>
              <w:rPr>
                <w:b w:val="0"/>
                <w:color w:val="auto"/>
                <w:kern w:val="0"/>
                <w:szCs w:val="20"/>
              </w:rPr>
            </w:pPr>
            <w:r w:rsidRPr="008912FE">
              <w:rPr>
                <w:b w:val="0"/>
                <w:color w:val="auto"/>
                <w:kern w:val="0"/>
                <w:szCs w:val="20"/>
              </w:rPr>
              <w:t xml:space="preserve">Use in frail </w:t>
            </w:r>
            <w:r>
              <w:rPr>
                <w:b w:val="0"/>
                <w:color w:val="auto"/>
                <w:kern w:val="0"/>
                <w:szCs w:val="20"/>
              </w:rPr>
              <w:t>patients with co-morbidities (for example</w:t>
            </w:r>
            <w:r w:rsidRPr="008912FE">
              <w:rPr>
                <w:b w:val="0"/>
                <w:color w:val="auto"/>
                <w:kern w:val="0"/>
                <w:szCs w:val="20"/>
              </w:rPr>
              <w:t>, chronic obstructive pulmonary disease, diabetes, chronic neurological disease, cardiovascular disorders)</w:t>
            </w:r>
          </w:p>
        </w:tc>
        <w:tc>
          <w:tcPr>
            <w:tcW w:w="542" w:type="pct"/>
          </w:tcPr>
          <w:p w14:paraId="1B9BEF84"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48406AC0" w14:textId="512478B6"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r w:rsidRPr="008912FE">
              <w:rPr>
                <w:color w:val="auto"/>
                <w:sz w:val="20"/>
                <w:szCs w:val="20"/>
              </w:rPr>
              <w:t>‡</w:t>
            </w:r>
            <w:r w:rsidR="006C723A">
              <w:rPr>
                <w:color w:val="auto"/>
                <w:sz w:val="20"/>
                <w:szCs w:val="20"/>
              </w:rPr>
              <w:t>+</w:t>
            </w:r>
          </w:p>
        </w:tc>
        <w:tc>
          <w:tcPr>
            <w:tcW w:w="542" w:type="pct"/>
          </w:tcPr>
          <w:p w14:paraId="6A4C32BF"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c>
          <w:tcPr>
            <w:tcW w:w="681" w:type="pct"/>
          </w:tcPr>
          <w:p w14:paraId="0843B1EA"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r w:rsidR="008912FE" w:rsidRPr="008912FE" w14:paraId="1E974C47" w14:textId="77777777" w:rsidTr="00A8128F">
        <w:trPr>
          <w:trHeight w:val="140"/>
        </w:trPr>
        <w:tc>
          <w:tcPr>
            <w:tcW w:w="761" w:type="pct"/>
            <w:vMerge/>
          </w:tcPr>
          <w:p w14:paraId="1AA099FC" w14:textId="77777777" w:rsidR="008912FE" w:rsidRPr="008912FE" w:rsidRDefault="008912FE" w:rsidP="008912FE">
            <w:pPr>
              <w:pStyle w:val="Tabletext"/>
              <w:ind w:left="0" w:right="0"/>
              <w:rPr>
                <w:color w:val="auto"/>
                <w:sz w:val="20"/>
                <w:szCs w:val="20"/>
              </w:rPr>
            </w:pPr>
          </w:p>
        </w:tc>
        <w:tc>
          <w:tcPr>
            <w:tcW w:w="1793" w:type="pct"/>
          </w:tcPr>
          <w:p w14:paraId="1E40237A" w14:textId="77777777" w:rsidR="008912FE" w:rsidRPr="008912FE" w:rsidRDefault="008912FE" w:rsidP="008912FE">
            <w:pPr>
              <w:pStyle w:val="Summaryofsafetyconcerns"/>
              <w:keepNext/>
              <w:keepLines/>
              <w:ind w:left="0" w:right="0"/>
              <w:rPr>
                <w:b w:val="0"/>
                <w:color w:val="auto"/>
                <w:kern w:val="0"/>
                <w:szCs w:val="20"/>
              </w:rPr>
            </w:pPr>
            <w:r w:rsidRPr="008912FE">
              <w:rPr>
                <w:b w:val="0"/>
                <w:color w:val="auto"/>
                <w:kern w:val="0"/>
                <w:szCs w:val="20"/>
              </w:rPr>
              <w:t>Use in patients with autoimmune or inflammatory disorders</w:t>
            </w:r>
          </w:p>
        </w:tc>
        <w:tc>
          <w:tcPr>
            <w:tcW w:w="542" w:type="pct"/>
          </w:tcPr>
          <w:p w14:paraId="1D9DCB60"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498FE35D" w14:textId="7F37CE22"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r w:rsidRPr="008912FE">
              <w:rPr>
                <w:color w:val="auto"/>
                <w:sz w:val="20"/>
                <w:szCs w:val="20"/>
              </w:rPr>
              <w:t>‡</w:t>
            </w:r>
            <w:r w:rsidR="006C723A">
              <w:rPr>
                <w:color w:val="auto"/>
                <w:sz w:val="20"/>
                <w:szCs w:val="20"/>
              </w:rPr>
              <w:t>+</w:t>
            </w:r>
          </w:p>
        </w:tc>
        <w:tc>
          <w:tcPr>
            <w:tcW w:w="542" w:type="pct"/>
          </w:tcPr>
          <w:p w14:paraId="3012372F"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c>
          <w:tcPr>
            <w:tcW w:w="681" w:type="pct"/>
          </w:tcPr>
          <w:p w14:paraId="45DBDC18"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r w:rsidR="008912FE" w:rsidRPr="008912FE" w14:paraId="36183EFA" w14:textId="77777777" w:rsidTr="00A8128F">
        <w:trPr>
          <w:trHeight w:val="140"/>
        </w:trPr>
        <w:tc>
          <w:tcPr>
            <w:tcW w:w="761" w:type="pct"/>
            <w:vMerge/>
          </w:tcPr>
          <w:p w14:paraId="2D56052E" w14:textId="77777777" w:rsidR="008912FE" w:rsidRPr="008912FE" w:rsidRDefault="008912FE" w:rsidP="008912FE">
            <w:pPr>
              <w:pStyle w:val="Tabletext"/>
              <w:ind w:left="0" w:right="0"/>
              <w:rPr>
                <w:color w:val="auto"/>
                <w:sz w:val="20"/>
                <w:szCs w:val="20"/>
              </w:rPr>
            </w:pPr>
          </w:p>
        </w:tc>
        <w:tc>
          <w:tcPr>
            <w:tcW w:w="1793" w:type="pct"/>
          </w:tcPr>
          <w:p w14:paraId="581170D4" w14:textId="77777777" w:rsidR="008912FE" w:rsidRPr="008912FE" w:rsidRDefault="008912FE" w:rsidP="008912FE">
            <w:pPr>
              <w:pStyle w:val="Summaryofsafetyconcerns"/>
              <w:keepNext/>
              <w:keepLines/>
              <w:ind w:left="0" w:right="0"/>
              <w:rPr>
                <w:b w:val="0"/>
                <w:color w:val="auto"/>
                <w:kern w:val="0"/>
                <w:szCs w:val="20"/>
              </w:rPr>
            </w:pPr>
            <w:r w:rsidRPr="008912FE">
              <w:rPr>
                <w:b w:val="0"/>
                <w:color w:val="auto"/>
                <w:kern w:val="0"/>
                <w:szCs w:val="20"/>
              </w:rPr>
              <w:t>Interactions with other vaccines</w:t>
            </w:r>
          </w:p>
        </w:tc>
        <w:tc>
          <w:tcPr>
            <w:tcW w:w="542" w:type="pct"/>
          </w:tcPr>
          <w:p w14:paraId="30225AEB"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3106C469" w14:textId="1AEBDD66"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r w:rsidRPr="008912FE">
              <w:rPr>
                <w:color w:val="auto"/>
                <w:sz w:val="20"/>
                <w:szCs w:val="20"/>
              </w:rPr>
              <w:t>‡</w:t>
            </w:r>
            <w:r w:rsidR="006C723A">
              <w:rPr>
                <w:color w:val="auto"/>
                <w:sz w:val="20"/>
                <w:szCs w:val="20"/>
              </w:rPr>
              <w:t>+</w:t>
            </w:r>
          </w:p>
        </w:tc>
        <w:tc>
          <w:tcPr>
            <w:tcW w:w="542" w:type="pct"/>
          </w:tcPr>
          <w:p w14:paraId="6BA9BE38"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69F34E85"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r w:rsidR="008912FE" w:rsidRPr="008912FE" w14:paraId="240ADB02" w14:textId="77777777" w:rsidTr="00A8128F">
        <w:trPr>
          <w:trHeight w:val="140"/>
        </w:trPr>
        <w:tc>
          <w:tcPr>
            <w:tcW w:w="761" w:type="pct"/>
            <w:vMerge/>
          </w:tcPr>
          <w:p w14:paraId="5B34BD8F" w14:textId="77777777" w:rsidR="008912FE" w:rsidRPr="008912FE" w:rsidRDefault="008912FE" w:rsidP="008912FE">
            <w:pPr>
              <w:pStyle w:val="Tabletext"/>
              <w:ind w:left="0" w:right="0"/>
              <w:rPr>
                <w:color w:val="auto"/>
                <w:sz w:val="20"/>
                <w:szCs w:val="20"/>
              </w:rPr>
            </w:pPr>
          </w:p>
        </w:tc>
        <w:tc>
          <w:tcPr>
            <w:tcW w:w="1793" w:type="pct"/>
          </w:tcPr>
          <w:p w14:paraId="1158EE65" w14:textId="77777777" w:rsidR="008912FE" w:rsidRPr="008912FE" w:rsidRDefault="008912FE" w:rsidP="008912FE">
            <w:pPr>
              <w:pStyle w:val="Summaryofsafetyconcerns"/>
              <w:keepNext/>
              <w:keepLines/>
              <w:ind w:left="0" w:right="0"/>
              <w:rPr>
                <w:b w:val="0"/>
                <w:color w:val="auto"/>
                <w:kern w:val="0"/>
                <w:szCs w:val="20"/>
              </w:rPr>
            </w:pPr>
            <w:r w:rsidRPr="008912FE">
              <w:rPr>
                <w:b w:val="0"/>
                <w:color w:val="auto"/>
                <w:kern w:val="0"/>
                <w:szCs w:val="20"/>
              </w:rPr>
              <w:t>Long-term safety</w:t>
            </w:r>
          </w:p>
        </w:tc>
        <w:tc>
          <w:tcPr>
            <w:tcW w:w="542" w:type="pct"/>
          </w:tcPr>
          <w:p w14:paraId="1BBE4B32"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6E5780F9" w14:textId="65994D05"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r w:rsidRPr="008912FE">
              <w:rPr>
                <w:color w:val="auto"/>
                <w:sz w:val="20"/>
                <w:szCs w:val="20"/>
              </w:rPr>
              <w:t>*‡</w:t>
            </w:r>
            <w:r w:rsidR="006C723A">
              <w:rPr>
                <w:color w:val="auto"/>
                <w:sz w:val="20"/>
                <w:szCs w:val="20"/>
              </w:rPr>
              <w:t>+</w:t>
            </w:r>
          </w:p>
        </w:tc>
        <w:tc>
          <w:tcPr>
            <w:tcW w:w="542" w:type="pct"/>
          </w:tcPr>
          <w:p w14:paraId="2DFBB90F"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c>
          <w:tcPr>
            <w:tcW w:w="681" w:type="pct"/>
          </w:tcPr>
          <w:p w14:paraId="2CF73DCE"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r w:rsidR="008912FE" w:rsidRPr="008912FE" w14:paraId="20F86DBD" w14:textId="77777777" w:rsidTr="00A8128F">
        <w:trPr>
          <w:trHeight w:val="140"/>
        </w:trPr>
        <w:tc>
          <w:tcPr>
            <w:tcW w:w="761" w:type="pct"/>
            <w:vMerge/>
          </w:tcPr>
          <w:p w14:paraId="4F80A707" w14:textId="77777777" w:rsidR="008912FE" w:rsidRPr="008912FE" w:rsidRDefault="008912FE" w:rsidP="008912FE">
            <w:pPr>
              <w:pStyle w:val="Tabletext"/>
              <w:ind w:left="0" w:right="0"/>
              <w:rPr>
                <w:color w:val="auto"/>
                <w:sz w:val="20"/>
                <w:szCs w:val="20"/>
              </w:rPr>
            </w:pPr>
          </w:p>
        </w:tc>
        <w:tc>
          <w:tcPr>
            <w:tcW w:w="1793" w:type="pct"/>
          </w:tcPr>
          <w:p w14:paraId="1594A671" w14:textId="0D4B7AA4" w:rsidR="008912FE" w:rsidRPr="008912FE" w:rsidRDefault="008912FE" w:rsidP="008912FE">
            <w:pPr>
              <w:pStyle w:val="Summaryofsafetyconcerns"/>
              <w:keepNext/>
              <w:keepLines/>
              <w:ind w:left="0" w:right="0"/>
              <w:rPr>
                <w:b w:val="0"/>
                <w:color w:val="auto"/>
                <w:kern w:val="0"/>
                <w:szCs w:val="20"/>
              </w:rPr>
            </w:pPr>
            <w:r w:rsidRPr="008912FE">
              <w:rPr>
                <w:b w:val="0"/>
                <w:color w:val="auto"/>
                <w:kern w:val="0"/>
                <w:szCs w:val="20"/>
              </w:rPr>
              <w:t>Use in elderly (&gt;</w:t>
            </w:r>
            <w:r w:rsidR="00435394">
              <w:rPr>
                <w:b w:val="0"/>
                <w:color w:val="auto"/>
                <w:kern w:val="0"/>
                <w:szCs w:val="20"/>
              </w:rPr>
              <w:t xml:space="preserve"> </w:t>
            </w:r>
            <w:r w:rsidRPr="008912FE">
              <w:rPr>
                <w:b w:val="0"/>
                <w:color w:val="auto"/>
                <w:kern w:val="0"/>
                <w:szCs w:val="20"/>
              </w:rPr>
              <w:t>65 years of age)</w:t>
            </w:r>
            <w:r w:rsidRPr="008912FE">
              <w:rPr>
                <w:color w:val="auto"/>
                <w:szCs w:val="20"/>
              </w:rPr>
              <w:t xml:space="preserve"> </w:t>
            </w:r>
            <w:r w:rsidRPr="008912FE">
              <w:rPr>
                <w:b w:val="0"/>
                <w:color w:val="auto"/>
                <w:kern w:val="0"/>
                <w:szCs w:val="20"/>
                <w:vertAlign w:val="superscript"/>
              </w:rPr>
              <w:t>§</w:t>
            </w:r>
          </w:p>
        </w:tc>
        <w:tc>
          <w:tcPr>
            <w:tcW w:w="542" w:type="pct"/>
          </w:tcPr>
          <w:p w14:paraId="02C1E9F0" w14:textId="77777777"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64384818" w14:textId="452CB725" w:rsidR="008912FE" w:rsidRPr="008912FE" w:rsidRDefault="008912FE" w:rsidP="008912FE">
            <w:pPr>
              <w:pStyle w:val="Tabletext"/>
              <w:ind w:left="0" w:right="0"/>
              <w:jc w:val="center"/>
              <w:rPr>
                <w:color w:val="auto"/>
                <w:sz w:val="20"/>
                <w:szCs w:val="20"/>
              </w:rPr>
            </w:pPr>
            <w:r w:rsidRPr="008912FE">
              <w:rPr>
                <w:color w:val="auto"/>
                <w:sz w:val="20"/>
                <w:szCs w:val="20"/>
              </w:rPr>
              <w:sym w:font="Wingdings" w:char="F0FC"/>
            </w:r>
            <w:r w:rsidRPr="008912FE">
              <w:rPr>
                <w:color w:val="auto"/>
                <w:sz w:val="20"/>
                <w:szCs w:val="20"/>
              </w:rPr>
              <w:t>*‡</w:t>
            </w:r>
            <w:r w:rsidR="006C723A">
              <w:rPr>
                <w:color w:val="auto"/>
                <w:sz w:val="20"/>
                <w:szCs w:val="20"/>
              </w:rPr>
              <w:t>+</w:t>
            </w:r>
          </w:p>
        </w:tc>
        <w:tc>
          <w:tcPr>
            <w:tcW w:w="542" w:type="pct"/>
          </w:tcPr>
          <w:p w14:paraId="5E32AB7E" w14:textId="580F2FA5" w:rsidR="008912FE" w:rsidRPr="008912FE" w:rsidRDefault="00A3228C" w:rsidP="008912FE">
            <w:pPr>
              <w:pStyle w:val="Tabletext"/>
              <w:ind w:left="0" w:right="0"/>
              <w:jc w:val="center"/>
              <w:rPr>
                <w:color w:val="auto"/>
                <w:sz w:val="20"/>
                <w:szCs w:val="20"/>
              </w:rPr>
            </w:pPr>
            <w:r w:rsidRPr="008912FE">
              <w:rPr>
                <w:color w:val="auto"/>
                <w:sz w:val="20"/>
                <w:szCs w:val="20"/>
              </w:rPr>
              <w:sym w:font="Wingdings" w:char="F0FC"/>
            </w:r>
          </w:p>
        </w:tc>
        <w:tc>
          <w:tcPr>
            <w:tcW w:w="681" w:type="pct"/>
          </w:tcPr>
          <w:p w14:paraId="58E9EB65" w14:textId="77777777" w:rsidR="008912FE" w:rsidRPr="008912FE" w:rsidRDefault="008912FE" w:rsidP="008912FE">
            <w:pPr>
              <w:pStyle w:val="Tabletext"/>
              <w:ind w:left="0" w:right="0"/>
              <w:jc w:val="center"/>
              <w:rPr>
                <w:color w:val="auto"/>
                <w:sz w:val="20"/>
                <w:szCs w:val="20"/>
              </w:rPr>
            </w:pPr>
            <w:r w:rsidRPr="008912FE">
              <w:rPr>
                <w:color w:val="auto"/>
                <w:sz w:val="20"/>
                <w:szCs w:val="20"/>
              </w:rPr>
              <w:t>–</w:t>
            </w:r>
          </w:p>
        </w:tc>
      </w:tr>
    </w:tbl>
    <w:p w14:paraId="59714535" w14:textId="70F46B4B" w:rsidR="008912FE" w:rsidRDefault="008912FE" w:rsidP="008912FE">
      <w:pPr>
        <w:pStyle w:val="TableDescription"/>
      </w:pPr>
      <w:r w:rsidRPr="008912FE">
        <w:t>*Clinical studies, Pregnancy registry, § Australia-specific safety concern, ‡Post-marketing observational study</w:t>
      </w:r>
      <w:r w:rsidR="00A3228C">
        <w:t xml:space="preserve">, + Enhanced active surveillance study, ^ Interventional study, </w:t>
      </w:r>
      <w:r w:rsidR="00A3228C">
        <w:sym w:font="Symbol" w:char="F020"/>
      </w:r>
      <w:r w:rsidR="00A3228C">
        <w:sym w:font="Symbol" w:char="F066"/>
      </w:r>
      <w:r w:rsidR="00A3228C">
        <w:t xml:space="preserve"> </w:t>
      </w:r>
      <w:r w:rsidR="0029586A">
        <w:t>post marketing safety study</w:t>
      </w:r>
    </w:p>
    <w:p w14:paraId="7898C2A4" w14:textId="3C1CBFE3" w:rsidR="00BA4F3A" w:rsidRDefault="00BA4F3A" w:rsidP="00544B4B">
      <w:r>
        <w:t>The sponsor revised the summary of safety concerns during the evaluation phase to include the recommendations made by the EMA and the TGA’s RMP evaluator. At this stage, this safety summary is acceptable from an RMP perspective.</w:t>
      </w:r>
    </w:p>
    <w:p w14:paraId="1770022B" w14:textId="304F6344" w:rsidR="00BA4F3A" w:rsidRDefault="00BA4F3A" w:rsidP="00544B4B">
      <w:r>
        <w:lastRenderedPageBreak/>
        <w:t>Routine and additional pharmacovigilance activities have been proposed</w:t>
      </w:r>
      <w:r w:rsidR="00544B4B">
        <w:t>,</w:t>
      </w:r>
      <w:r>
        <w:t xml:space="preserve"> as indicated in the table above. Routine pharmacovigilance measures include targeted follow-up questionnaires to monitor important potential risks, provision of monthly summary safety reports</w:t>
      </w:r>
      <w:r w:rsidR="00990178">
        <w:t xml:space="preserve"> and</w:t>
      </w:r>
      <w:r>
        <w:t xml:space="preserve"> ensuring traceability of batch/lot numbers</w:t>
      </w:r>
      <w:r w:rsidR="00990178">
        <w:t>. Additional pharmacovigilance measures include</w:t>
      </w:r>
      <w:r>
        <w:t xml:space="preserve"> enhanced post-market surveillance activities.</w:t>
      </w:r>
    </w:p>
    <w:p w14:paraId="3F0FF760" w14:textId="23DBCE54" w:rsidR="00BA4F3A" w:rsidRDefault="00BA4F3A" w:rsidP="00544B4B">
      <w:r>
        <w:t>Australian participants are not involved in the clinical trials. However, the outcomes of these trials are expected to be applicable to the Australian context. The sponsor has committed to include Australian participants in a pregnancy registry.</w:t>
      </w:r>
    </w:p>
    <w:p w14:paraId="04E65941" w14:textId="7F780E43" w:rsidR="00BA4F3A" w:rsidRDefault="00BA4F3A" w:rsidP="00544B4B">
      <w:r>
        <w:t xml:space="preserve">Only routine risk minimisation measures are proposed. The PI and the </w:t>
      </w:r>
      <w:r w:rsidR="00623ECD">
        <w:t>Consumer Medicines Information (</w:t>
      </w:r>
      <w:r>
        <w:t>CMI</w:t>
      </w:r>
      <w:r w:rsidR="00623ECD">
        <w:t>)</w:t>
      </w:r>
      <w:r>
        <w:t xml:space="preserve"> together with the information/training expected to be provided by the Department of Health are anticipated to adequately mitigate the risks associated with this vaccine. If the current understanding of the safety profile of this vaccine changes, the risk minimisation plan will require re-assessment.</w:t>
      </w:r>
    </w:p>
    <w:p w14:paraId="21473880" w14:textId="14BCA312" w:rsidR="00E51FE8" w:rsidRDefault="00D87314" w:rsidP="00F66893">
      <w:pPr>
        <w:pStyle w:val="TableTitle"/>
      </w:pPr>
      <w:bookmarkStart w:id="55" w:name="_Ref63173639"/>
      <w:r>
        <w:t xml:space="preserve">Table </w:t>
      </w:r>
      <w:r w:rsidR="002D3B9B">
        <w:fldChar w:fldCharType="begin"/>
      </w:r>
      <w:r w:rsidR="002D3B9B">
        <w:instrText xml:space="preserve"> SEQ Table \* ARABIC </w:instrText>
      </w:r>
      <w:r w:rsidR="002D3B9B">
        <w:fldChar w:fldCharType="separate"/>
      </w:r>
      <w:r w:rsidR="001D05A6">
        <w:rPr>
          <w:noProof/>
        </w:rPr>
        <w:t>13</w:t>
      </w:r>
      <w:r w:rsidR="002D3B9B">
        <w:rPr>
          <w:noProof/>
        </w:rPr>
        <w:fldChar w:fldCharType="end"/>
      </w:r>
      <w:bookmarkEnd w:id="55"/>
      <w:r>
        <w:t xml:space="preserve">: </w:t>
      </w:r>
      <w:r w:rsidR="00C86D41">
        <w:t>Ongoing and p</w:t>
      </w:r>
      <w:r>
        <w:t>lanned additional pharmacovigilance studies</w:t>
      </w:r>
    </w:p>
    <w:tbl>
      <w:tblPr>
        <w:tblStyle w:val="TableTGAblue"/>
        <w:tblW w:w="5020" w:type="pct"/>
        <w:tblLayout w:type="fixed"/>
        <w:tblLook w:val="04A0" w:firstRow="1" w:lastRow="0" w:firstColumn="1" w:lastColumn="0" w:noHBand="0" w:noVBand="1"/>
      </w:tblPr>
      <w:tblGrid>
        <w:gridCol w:w="1951"/>
        <w:gridCol w:w="3260"/>
        <w:gridCol w:w="2126"/>
        <w:gridCol w:w="1418"/>
      </w:tblGrid>
      <w:tr w:rsidR="00A76236" w:rsidRPr="00D90C10" w14:paraId="6A8969AE" w14:textId="77777777" w:rsidTr="0042498E">
        <w:trPr>
          <w:cnfStyle w:val="100000000000" w:firstRow="1" w:lastRow="0" w:firstColumn="0" w:lastColumn="0" w:oddVBand="0" w:evenVBand="0" w:oddHBand="0" w:evenHBand="0" w:firstRowFirstColumn="0" w:firstRowLastColumn="0" w:lastRowFirstColumn="0" w:lastRowLastColumn="0"/>
        </w:trPr>
        <w:tc>
          <w:tcPr>
            <w:tcW w:w="1114" w:type="pct"/>
          </w:tcPr>
          <w:p w14:paraId="09DB8F69" w14:textId="5758DC8D" w:rsidR="00A76236" w:rsidRPr="009674B3" w:rsidRDefault="00D90C10" w:rsidP="00DB3646">
            <w:pPr>
              <w:pStyle w:val="TableTitle"/>
              <w:ind w:left="0" w:right="0"/>
              <w:rPr>
                <w:b/>
                <w:sz w:val="19"/>
                <w:szCs w:val="19"/>
              </w:rPr>
            </w:pPr>
            <w:r w:rsidRPr="009674B3">
              <w:rPr>
                <w:b/>
                <w:sz w:val="19"/>
                <w:szCs w:val="19"/>
              </w:rPr>
              <w:t>Study</w:t>
            </w:r>
          </w:p>
        </w:tc>
        <w:tc>
          <w:tcPr>
            <w:tcW w:w="1862" w:type="pct"/>
          </w:tcPr>
          <w:p w14:paraId="471977AD" w14:textId="2A8A39F4" w:rsidR="00A76236" w:rsidRPr="009674B3" w:rsidRDefault="00D90C10" w:rsidP="00DB3646">
            <w:pPr>
              <w:pStyle w:val="TableTitle"/>
              <w:ind w:left="0" w:right="0"/>
              <w:rPr>
                <w:b/>
                <w:sz w:val="19"/>
                <w:szCs w:val="19"/>
              </w:rPr>
            </w:pPr>
            <w:r w:rsidRPr="009674B3">
              <w:rPr>
                <w:b/>
                <w:sz w:val="19"/>
                <w:szCs w:val="19"/>
              </w:rPr>
              <w:t>Objectives</w:t>
            </w:r>
          </w:p>
        </w:tc>
        <w:tc>
          <w:tcPr>
            <w:tcW w:w="1214" w:type="pct"/>
          </w:tcPr>
          <w:p w14:paraId="3710FB18" w14:textId="62B03FC6" w:rsidR="00A76236" w:rsidRPr="009674B3" w:rsidRDefault="00D90C10" w:rsidP="00DB3646">
            <w:pPr>
              <w:pStyle w:val="TableTitle"/>
              <w:ind w:left="0" w:right="0"/>
              <w:rPr>
                <w:b/>
                <w:sz w:val="19"/>
                <w:szCs w:val="19"/>
              </w:rPr>
            </w:pPr>
            <w:r w:rsidRPr="009674B3">
              <w:rPr>
                <w:b/>
                <w:sz w:val="19"/>
                <w:szCs w:val="19"/>
              </w:rPr>
              <w:t>Safety concerns addressed</w:t>
            </w:r>
          </w:p>
        </w:tc>
        <w:tc>
          <w:tcPr>
            <w:tcW w:w="810" w:type="pct"/>
          </w:tcPr>
          <w:p w14:paraId="217D99FE" w14:textId="3B738BFC" w:rsidR="00A76236" w:rsidRPr="009674B3" w:rsidRDefault="00D90C10" w:rsidP="00DB3646">
            <w:pPr>
              <w:pStyle w:val="TableTitle"/>
              <w:ind w:left="0" w:right="0"/>
              <w:rPr>
                <w:b/>
                <w:sz w:val="19"/>
                <w:szCs w:val="19"/>
              </w:rPr>
            </w:pPr>
            <w:r w:rsidRPr="009674B3">
              <w:rPr>
                <w:b/>
                <w:sz w:val="19"/>
                <w:szCs w:val="19"/>
              </w:rPr>
              <w:t>Milestones</w:t>
            </w:r>
          </w:p>
        </w:tc>
      </w:tr>
      <w:tr w:rsidR="00C86D41" w:rsidRPr="00D90C10" w14:paraId="2434D96C" w14:textId="77777777" w:rsidTr="0042498E">
        <w:tc>
          <w:tcPr>
            <w:tcW w:w="5000" w:type="pct"/>
            <w:gridSpan w:val="4"/>
          </w:tcPr>
          <w:p w14:paraId="25BB799A" w14:textId="49F7E411" w:rsidR="00C86D41" w:rsidRPr="009674B3" w:rsidRDefault="00C86D41" w:rsidP="00DB3646">
            <w:pPr>
              <w:ind w:left="0" w:right="0"/>
              <w:rPr>
                <w:sz w:val="19"/>
                <w:szCs w:val="19"/>
              </w:rPr>
            </w:pPr>
            <w:r w:rsidRPr="008974B6">
              <w:rPr>
                <w:b/>
                <w:sz w:val="19"/>
                <w:szCs w:val="19"/>
              </w:rPr>
              <w:t>Ongoing</w:t>
            </w:r>
          </w:p>
        </w:tc>
      </w:tr>
      <w:tr w:rsidR="00C86D41" w:rsidRPr="00D90C10" w14:paraId="25B3055A" w14:textId="77777777" w:rsidTr="0042498E">
        <w:tc>
          <w:tcPr>
            <w:tcW w:w="1114" w:type="pct"/>
          </w:tcPr>
          <w:p w14:paraId="0D3FE454" w14:textId="77777777" w:rsidR="00C86D41" w:rsidRPr="00680725" w:rsidRDefault="00C86D41" w:rsidP="00DB3646">
            <w:pPr>
              <w:ind w:left="0" w:right="0"/>
              <w:rPr>
                <w:sz w:val="19"/>
                <w:szCs w:val="19"/>
              </w:rPr>
            </w:pPr>
            <w:r w:rsidRPr="00680725">
              <w:rPr>
                <w:sz w:val="19"/>
                <w:szCs w:val="19"/>
              </w:rPr>
              <w:t>Study COV001</w:t>
            </w:r>
          </w:p>
          <w:p w14:paraId="4D839BC9" w14:textId="67271EBD" w:rsidR="00C86D41" w:rsidRPr="009674B3" w:rsidRDefault="00C86D41" w:rsidP="00DB3646">
            <w:pPr>
              <w:ind w:left="0" w:right="0"/>
              <w:rPr>
                <w:sz w:val="19"/>
                <w:szCs w:val="19"/>
              </w:rPr>
            </w:pPr>
            <w:r>
              <w:rPr>
                <w:sz w:val="19"/>
                <w:szCs w:val="19"/>
              </w:rPr>
              <w:t xml:space="preserve">A Phase I/II Study to Determine </w:t>
            </w:r>
            <w:r w:rsidRPr="00680725">
              <w:rPr>
                <w:sz w:val="19"/>
                <w:szCs w:val="19"/>
              </w:rPr>
              <w:t>Efficacy, Safety, and</w:t>
            </w:r>
            <w:r>
              <w:rPr>
                <w:sz w:val="19"/>
                <w:szCs w:val="19"/>
              </w:rPr>
              <w:t xml:space="preserve"> </w:t>
            </w:r>
            <w:r w:rsidRPr="00680725">
              <w:rPr>
                <w:sz w:val="19"/>
                <w:szCs w:val="19"/>
              </w:rPr>
              <w:t>Immunoge</w:t>
            </w:r>
            <w:r>
              <w:rPr>
                <w:sz w:val="19"/>
                <w:szCs w:val="19"/>
              </w:rPr>
              <w:t xml:space="preserve">nicity of the Candidate Coronavirus Disease (COVID-19) Vaccine ChAdOx1 nCoV-19 in UK </w:t>
            </w:r>
            <w:r w:rsidRPr="00680725">
              <w:rPr>
                <w:sz w:val="19"/>
                <w:szCs w:val="19"/>
              </w:rPr>
              <w:t>Healthy Adult Volunteers</w:t>
            </w:r>
          </w:p>
        </w:tc>
        <w:tc>
          <w:tcPr>
            <w:tcW w:w="1862" w:type="pct"/>
          </w:tcPr>
          <w:p w14:paraId="62D329A6" w14:textId="53ACB87A" w:rsidR="00C86D41" w:rsidRPr="00680725" w:rsidRDefault="00B7158C" w:rsidP="00DB3646">
            <w:pPr>
              <w:ind w:left="0" w:right="0"/>
              <w:rPr>
                <w:sz w:val="19"/>
                <w:szCs w:val="19"/>
              </w:rPr>
            </w:pPr>
            <w:r>
              <w:rPr>
                <w:sz w:val="19"/>
                <w:szCs w:val="19"/>
              </w:rPr>
              <w:t>Primary o</w:t>
            </w:r>
            <w:r w:rsidR="00C86D41" w:rsidRPr="00680725">
              <w:rPr>
                <w:sz w:val="19"/>
                <w:szCs w:val="19"/>
              </w:rPr>
              <w:t>bjectives:</w:t>
            </w:r>
          </w:p>
          <w:p w14:paraId="59F1C235" w14:textId="4087069B" w:rsidR="00C86D41" w:rsidRDefault="00C86D41" w:rsidP="00DB3646">
            <w:pPr>
              <w:ind w:left="0" w:right="0"/>
              <w:rPr>
                <w:sz w:val="19"/>
                <w:szCs w:val="19"/>
              </w:rPr>
            </w:pPr>
            <w:r w:rsidRPr="00680725">
              <w:rPr>
                <w:sz w:val="19"/>
                <w:szCs w:val="19"/>
              </w:rPr>
              <w:t>To assess effic</w:t>
            </w:r>
            <w:r>
              <w:rPr>
                <w:sz w:val="19"/>
                <w:szCs w:val="19"/>
              </w:rPr>
              <w:t>acy of AZD1222 against COVID-19</w:t>
            </w:r>
          </w:p>
          <w:p w14:paraId="2AB46397" w14:textId="77777777" w:rsidR="00C86D41" w:rsidRPr="00680725" w:rsidRDefault="00C86D41" w:rsidP="00DB3646">
            <w:pPr>
              <w:ind w:left="0" w:right="0"/>
              <w:rPr>
                <w:sz w:val="19"/>
                <w:szCs w:val="19"/>
              </w:rPr>
            </w:pPr>
            <w:r w:rsidRPr="00680725">
              <w:rPr>
                <w:sz w:val="19"/>
                <w:szCs w:val="19"/>
              </w:rPr>
              <w:t>To assess the safety of AZD1222</w:t>
            </w:r>
          </w:p>
          <w:p w14:paraId="655D66C1" w14:textId="77777777" w:rsidR="00C86D41" w:rsidRPr="00680725" w:rsidRDefault="00C86D41" w:rsidP="00DB3646">
            <w:pPr>
              <w:ind w:left="0" w:right="0"/>
              <w:rPr>
                <w:sz w:val="19"/>
                <w:szCs w:val="19"/>
              </w:rPr>
            </w:pPr>
            <w:r w:rsidRPr="00680725">
              <w:rPr>
                <w:sz w:val="19"/>
                <w:szCs w:val="19"/>
              </w:rPr>
              <w:t>Key secondary Objectives:</w:t>
            </w:r>
          </w:p>
          <w:p w14:paraId="4B3BDE38" w14:textId="77777777" w:rsidR="00C86D41" w:rsidRPr="00680725" w:rsidRDefault="00C86D41" w:rsidP="00DB3646">
            <w:pPr>
              <w:ind w:left="0" w:right="0"/>
              <w:rPr>
                <w:sz w:val="19"/>
                <w:szCs w:val="19"/>
              </w:rPr>
            </w:pPr>
            <w:r w:rsidRPr="00680725">
              <w:rPr>
                <w:sz w:val="19"/>
                <w:szCs w:val="19"/>
              </w:rPr>
              <w:t>To assess the reactogenicity profile of AZD1222</w:t>
            </w:r>
          </w:p>
          <w:p w14:paraId="4CFC4EAD" w14:textId="52C8D798" w:rsidR="00C86D41" w:rsidRPr="009674B3" w:rsidRDefault="00C86D41" w:rsidP="00DB3646">
            <w:pPr>
              <w:ind w:left="0" w:right="0"/>
              <w:rPr>
                <w:sz w:val="19"/>
                <w:szCs w:val="19"/>
              </w:rPr>
            </w:pPr>
            <w:r w:rsidRPr="00680725">
              <w:rPr>
                <w:sz w:val="19"/>
                <w:szCs w:val="19"/>
              </w:rPr>
              <w:t>To assess cellular and humoral immunogenicity of AZD1222</w:t>
            </w:r>
          </w:p>
        </w:tc>
        <w:tc>
          <w:tcPr>
            <w:tcW w:w="1214" w:type="pct"/>
          </w:tcPr>
          <w:p w14:paraId="066328D4" w14:textId="481F3C5D" w:rsidR="00C86D41" w:rsidRDefault="00C86D41" w:rsidP="00DB3646">
            <w:pPr>
              <w:ind w:left="0" w:right="0"/>
              <w:rPr>
                <w:sz w:val="19"/>
                <w:szCs w:val="19"/>
              </w:rPr>
            </w:pPr>
            <w:r>
              <w:rPr>
                <w:sz w:val="19"/>
                <w:szCs w:val="19"/>
              </w:rPr>
              <w:t xml:space="preserve">Nervous system disorders, including immune-mediated </w:t>
            </w:r>
            <w:r w:rsidRPr="00680725">
              <w:rPr>
                <w:sz w:val="19"/>
                <w:szCs w:val="19"/>
              </w:rPr>
              <w:t>neurological</w:t>
            </w:r>
            <w:r>
              <w:rPr>
                <w:sz w:val="19"/>
                <w:szCs w:val="19"/>
              </w:rPr>
              <w:t xml:space="preserve"> conditions, </w:t>
            </w:r>
            <w:r w:rsidR="00B7158C">
              <w:rPr>
                <w:sz w:val="19"/>
                <w:szCs w:val="19"/>
              </w:rPr>
              <w:t>v</w:t>
            </w:r>
            <w:r>
              <w:rPr>
                <w:sz w:val="19"/>
                <w:szCs w:val="19"/>
              </w:rPr>
              <w:t xml:space="preserve">accine-associated </w:t>
            </w:r>
            <w:r w:rsidRPr="00680725">
              <w:rPr>
                <w:sz w:val="19"/>
                <w:szCs w:val="19"/>
              </w:rPr>
              <w:t>enhanced di</w:t>
            </w:r>
            <w:r>
              <w:rPr>
                <w:sz w:val="19"/>
                <w:szCs w:val="19"/>
              </w:rPr>
              <w:t xml:space="preserve">sease (VAED), including vaccine associated enhanced respiratory </w:t>
            </w:r>
            <w:r w:rsidRPr="00680725">
              <w:rPr>
                <w:sz w:val="19"/>
                <w:szCs w:val="19"/>
              </w:rPr>
              <w:t xml:space="preserve">disease </w:t>
            </w:r>
            <w:r w:rsidR="00B7158C">
              <w:rPr>
                <w:sz w:val="19"/>
                <w:szCs w:val="19"/>
              </w:rPr>
              <w:t>(VAERD), anaphylaxis, l</w:t>
            </w:r>
            <w:r>
              <w:rPr>
                <w:sz w:val="19"/>
                <w:szCs w:val="19"/>
              </w:rPr>
              <w:t xml:space="preserve">ong-term </w:t>
            </w:r>
            <w:r w:rsidRPr="00680725">
              <w:rPr>
                <w:sz w:val="19"/>
                <w:szCs w:val="19"/>
              </w:rPr>
              <w:t>safety</w:t>
            </w:r>
          </w:p>
        </w:tc>
        <w:tc>
          <w:tcPr>
            <w:tcW w:w="810" w:type="pct"/>
          </w:tcPr>
          <w:p w14:paraId="252208A9" w14:textId="2D9BDBC9" w:rsidR="00C86D41" w:rsidRPr="009674B3" w:rsidRDefault="00B7158C" w:rsidP="00DB3646">
            <w:pPr>
              <w:ind w:left="0" w:right="0"/>
              <w:rPr>
                <w:sz w:val="19"/>
                <w:szCs w:val="19"/>
              </w:rPr>
            </w:pPr>
            <w:r>
              <w:rPr>
                <w:sz w:val="19"/>
                <w:szCs w:val="19"/>
              </w:rPr>
              <w:t>Final study report due first quarter</w:t>
            </w:r>
            <w:r w:rsidR="00C86D41" w:rsidRPr="00680725">
              <w:rPr>
                <w:sz w:val="19"/>
                <w:szCs w:val="19"/>
              </w:rPr>
              <w:t xml:space="preserve"> 2022</w:t>
            </w:r>
          </w:p>
        </w:tc>
      </w:tr>
      <w:tr w:rsidR="00C86D41" w:rsidRPr="00D90C10" w14:paraId="3D3E010F" w14:textId="77777777" w:rsidTr="0042498E">
        <w:tc>
          <w:tcPr>
            <w:tcW w:w="1114" w:type="pct"/>
          </w:tcPr>
          <w:p w14:paraId="7211650E" w14:textId="77777777" w:rsidR="00C86D41" w:rsidRPr="00680725" w:rsidRDefault="00C86D41" w:rsidP="00DB3646">
            <w:pPr>
              <w:ind w:left="0" w:right="0"/>
              <w:rPr>
                <w:sz w:val="19"/>
                <w:szCs w:val="19"/>
              </w:rPr>
            </w:pPr>
            <w:r w:rsidRPr="00680725">
              <w:rPr>
                <w:sz w:val="19"/>
                <w:szCs w:val="19"/>
              </w:rPr>
              <w:t>Study COV002</w:t>
            </w:r>
          </w:p>
          <w:p w14:paraId="4FF28E10" w14:textId="205EB4B6" w:rsidR="00C86D41" w:rsidRPr="009674B3" w:rsidRDefault="00C86D41" w:rsidP="00DB3646">
            <w:pPr>
              <w:ind w:left="0" w:right="0"/>
              <w:rPr>
                <w:sz w:val="19"/>
                <w:szCs w:val="19"/>
              </w:rPr>
            </w:pPr>
            <w:r>
              <w:rPr>
                <w:sz w:val="19"/>
                <w:szCs w:val="19"/>
              </w:rPr>
              <w:t xml:space="preserve">A Phase II/III Study to </w:t>
            </w:r>
            <w:r w:rsidRPr="00680725">
              <w:rPr>
                <w:sz w:val="19"/>
                <w:szCs w:val="19"/>
              </w:rPr>
              <w:t>Determine the Efficacy</w:t>
            </w:r>
            <w:r>
              <w:rPr>
                <w:sz w:val="19"/>
                <w:szCs w:val="19"/>
              </w:rPr>
              <w:t xml:space="preserve">, Safety, and Immunogenicity of the Candidate Coronavirus </w:t>
            </w:r>
            <w:r w:rsidRPr="00680725">
              <w:rPr>
                <w:sz w:val="19"/>
                <w:szCs w:val="19"/>
              </w:rPr>
              <w:t>Disease (COVID-</w:t>
            </w:r>
            <w:r>
              <w:rPr>
                <w:sz w:val="19"/>
                <w:szCs w:val="19"/>
              </w:rPr>
              <w:t xml:space="preserve">19) Vaccine </w:t>
            </w:r>
            <w:r w:rsidRPr="00680725">
              <w:rPr>
                <w:sz w:val="19"/>
                <w:szCs w:val="19"/>
              </w:rPr>
              <w:t>ChAdOx1 nCoV-19</w:t>
            </w:r>
          </w:p>
        </w:tc>
        <w:tc>
          <w:tcPr>
            <w:tcW w:w="1862" w:type="pct"/>
          </w:tcPr>
          <w:p w14:paraId="6C476FE0" w14:textId="291188EF" w:rsidR="00C86D41" w:rsidRPr="00680725" w:rsidRDefault="00B7158C" w:rsidP="00DB3646">
            <w:pPr>
              <w:ind w:left="0" w:right="0"/>
              <w:rPr>
                <w:sz w:val="19"/>
                <w:szCs w:val="19"/>
              </w:rPr>
            </w:pPr>
            <w:r>
              <w:rPr>
                <w:sz w:val="19"/>
                <w:szCs w:val="19"/>
              </w:rPr>
              <w:t>Primary o</w:t>
            </w:r>
            <w:r w:rsidR="00C86D41" w:rsidRPr="00680725">
              <w:rPr>
                <w:sz w:val="19"/>
                <w:szCs w:val="19"/>
              </w:rPr>
              <w:t>bjectives:</w:t>
            </w:r>
          </w:p>
          <w:p w14:paraId="0B9BC257" w14:textId="77777777" w:rsidR="00C86D41" w:rsidRPr="00680725" w:rsidRDefault="00C86D41" w:rsidP="00DB3646">
            <w:pPr>
              <w:ind w:left="0" w:right="0"/>
              <w:rPr>
                <w:sz w:val="19"/>
                <w:szCs w:val="19"/>
              </w:rPr>
            </w:pPr>
            <w:r w:rsidRPr="00680725">
              <w:rPr>
                <w:sz w:val="19"/>
                <w:szCs w:val="19"/>
              </w:rPr>
              <w:t>To assess efficacy and s</w:t>
            </w:r>
            <w:r>
              <w:rPr>
                <w:sz w:val="19"/>
                <w:szCs w:val="19"/>
              </w:rPr>
              <w:t>afety of AZD1222 against COVID-</w:t>
            </w:r>
            <w:r w:rsidRPr="00680725">
              <w:rPr>
                <w:sz w:val="19"/>
                <w:szCs w:val="19"/>
              </w:rPr>
              <w:t>19 in adults aged 18 years and older in the UK</w:t>
            </w:r>
          </w:p>
          <w:p w14:paraId="717B2EB0" w14:textId="265D995E" w:rsidR="00C86D41" w:rsidRPr="00680725" w:rsidRDefault="00B7158C" w:rsidP="00DB3646">
            <w:pPr>
              <w:ind w:left="0" w:right="0"/>
              <w:rPr>
                <w:sz w:val="19"/>
                <w:szCs w:val="19"/>
              </w:rPr>
            </w:pPr>
            <w:r>
              <w:rPr>
                <w:sz w:val="19"/>
                <w:szCs w:val="19"/>
              </w:rPr>
              <w:t>Secondary o</w:t>
            </w:r>
            <w:r w:rsidR="00C86D41" w:rsidRPr="00680725">
              <w:rPr>
                <w:sz w:val="19"/>
                <w:szCs w:val="19"/>
              </w:rPr>
              <w:t>bjectives:</w:t>
            </w:r>
          </w:p>
          <w:p w14:paraId="1DBB00CA" w14:textId="77777777" w:rsidR="00C86D41" w:rsidRPr="00680725" w:rsidRDefault="00C86D41" w:rsidP="00DB3646">
            <w:pPr>
              <w:ind w:left="0" w:right="0"/>
              <w:rPr>
                <w:sz w:val="19"/>
                <w:szCs w:val="19"/>
              </w:rPr>
            </w:pPr>
            <w:r w:rsidRPr="00680725">
              <w:rPr>
                <w:sz w:val="19"/>
                <w:szCs w:val="19"/>
              </w:rPr>
              <w:t>To assess the reactogenicity profile of AZD1222</w:t>
            </w:r>
          </w:p>
          <w:p w14:paraId="418F600B" w14:textId="74568CB0" w:rsidR="00C86D41" w:rsidRPr="00680725" w:rsidRDefault="00C86D41" w:rsidP="00DB3646">
            <w:pPr>
              <w:ind w:left="0" w:right="0"/>
              <w:rPr>
                <w:sz w:val="19"/>
                <w:szCs w:val="19"/>
              </w:rPr>
            </w:pPr>
            <w:r w:rsidRPr="00680725">
              <w:rPr>
                <w:sz w:val="19"/>
                <w:szCs w:val="19"/>
              </w:rPr>
              <w:t>To assess efficacy of AZD12</w:t>
            </w:r>
            <w:r w:rsidR="00B7158C">
              <w:rPr>
                <w:sz w:val="19"/>
                <w:szCs w:val="19"/>
              </w:rPr>
              <w:t xml:space="preserve">22 against severe and non-severe </w:t>
            </w:r>
            <w:r w:rsidRPr="00680725">
              <w:rPr>
                <w:sz w:val="19"/>
                <w:szCs w:val="19"/>
              </w:rPr>
              <w:t>COVID-19</w:t>
            </w:r>
          </w:p>
          <w:p w14:paraId="3464544C" w14:textId="77777777" w:rsidR="00C86D41" w:rsidRPr="00680725" w:rsidRDefault="00C86D41" w:rsidP="00DB3646">
            <w:pPr>
              <w:ind w:left="0" w:right="0"/>
              <w:rPr>
                <w:sz w:val="19"/>
                <w:szCs w:val="19"/>
              </w:rPr>
            </w:pPr>
            <w:r w:rsidRPr="00680725">
              <w:rPr>
                <w:sz w:val="19"/>
                <w:szCs w:val="19"/>
              </w:rPr>
              <w:t>To assess humoral immunogenicity of AZD1222</w:t>
            </w:r>
          </w:p>
          <w:p w14:paraId="0802BA55" w14:textId="77777777" w:rsidR="00C86D41" w:rsidRPr="00680725" w:rsidRDefault="00C86D41" w:rsidP="00DB3646">
            <w:pPr>
              <w:ind w:left="0" w:right="0"/>
              <w:rPr>
                <w:sz w:val="19"/>
                <w:szCs w:val="19"/>
              </w:rPr>
            </w:pPr>
            <w:r w:rsidRPr="00680725">
              <w:rPr>
                <w:sz w:val="19"/>
                <w:szCs w:val="19"/>
              </w:rPr>
              <w:t xml:space="preserve">To assess </w:t>
            </w:r>
            <w:r>
              <w:rPr>
                <w:sz w:val="19"/>
                <w:szCs w:val="19"/>
              </w:rPr>
              <w:t xml:space="preserve">cellular immunity of AZD1222 in </w:t>
            </w:r>
            <w:r w:rsidRPr="00680725">
              <w:rPr>
                <w:sz w:val="19"/>
                <w:szCs w:val="19"/>
              </w:rPr>
              <w:t>older adults</w:t>
            </w:r>
          </w:p>
          <w:p w14:paraId="2740D02F" w14:textId="6BB316BC" w:rsidR="00C86D41" w:rsidRPr="009674B3" w:rsidRDefault="00C86D41" w:rsidP="00DB3646">
            <w:pPr>
              <w:ind w:left="0" w:right="0"/>
              <w:rPr>
                <w:sz w:val="19"/>
                <w:szCs w:val="19"/>
              </w:rPr>
            </w:pPr>
            <w:r w:rsidRPr="00680725">
              <w:rPr>
                <w:sz w:val="19"/>
                <w:szCs w:val="19"/>
              </w:rPr>
              <w:t>To assess the safety and immu</w:t>
            </w:r>
            <w:r>
              <w:rPr>
                <w:sz w:val="19"/>
                <w:szCs w:val="19"/>
              </w:rPr>
              <w:t xml:space="preserve">nogenicity of a booster dose of </w:t>
            </w:r>
            <w:r w:rsidRPr="00680725">
              <w:rPr>
                <w:sz w:val="19"/>
                <w:szCs w:val="19"/>
              </w:rPr>
              <w:t>AZD1222 in older adults a</w:t>
            </w:r>
            <w:r>
              <w:rPr>
                <w:sz w:val="19"/>
                <w:szCs w:val="19"/>
              </w:rPr>
              <w:t xml:space="preserve">ged 56 years or older (two-dose </w:t>
            </w:r>
            <w:r w:rsidRPr="00680725">
              <w:rPr>
                <w:sz w:val="19"/>
                <w:szCs w:val="19"/>
              </w:rPr>
              <w:t>schedule).</w:t>
            </w:r>
          </w:p>
        </w:tc>
        <w:tc>
          <w:tcPr>
            <w:tcW w:w="1214" w:type="pct"/>
          </w:tcPr>
          <w:p w14:paraId="7C7F62C7" w14:textId="26B2CC25" w:rsidR="00C86D41" w:rsidRDefault="00C86D41" w:rsidP="00DB3646">
            <w:pPr>
              <w:ind w:left="0" w:right="0"/>
              <w:rPr>
                <w:sz w:val="19"/>
                <w:szCs w:val="19"/>
              </w:rPr>
            </w:pPr>
            <w:r>
              <w:rPr>
                <w:sz w:val="19"/>
                <w:szCs w:val="19"/>
              </w:rPr>
              <w:t xml:space="preserve">Nervous system disorders, including immune-mediated </w:t>
            </w:r>
            <w:r w:rsidRPr="00D510F1">
              <w:rPr>
                <w:sz w:val="19"/>
                <w:szCs w:val="19"/>
              </w:rPr>
              <w:t>neurological</w:t>
            </w:r>
            <w:r w:rsidR="00B7158C">
              <w:rPr>
                <w:sz w:val="19"/>
                <w:szCs w:val="19"/>
              </w:rPr>
              <w:t xml:space="preserve"> conditions, v</w:t>
            </w:r>
            <w:r>
              <w:rPr>
                <w:sz w:val="19"/>
                <w:szCs w:val="19"/>
              </w:rPr>
              <w:t xml:space="preserve">accine-associated </w:t>
            </w:r>
            <w:r w:rsidRPr="00D510F1">
              <w:rPr>
                <w:sz w:val="19"/>
                <w:szCs w:val="19"/>
              </w:rPr>
              <w:t>enhanced di</w:t>
            </w:r>
            <w:r>
              <w:rPr>
                <w:sz w:val="19"/>
                <w:szCs w:val="19"/>
              </w:rPr>
              <w:t xml:space="preserve">sease (VAED), including vaccine associated enhanced respiratory </w:t>
            </w:r>
            <w:r w:rsidRPr="00D510F1">
              <w:rPr>
                <w:sz w:val="19"/>
                <w:szCs w:val="19"/>
              </w:rPr>
              <w:t xml:space="preserve">disease </w:t>
            </w:r>
            <w:r w:rsidR="00B7158C">
              <w:rPr>
                <w:sz w:val="19"/>
                <w:szCs w:val="19"/>
              </w:rPr>
              <w:t>(VAERD), anaphylaxis, l</w:t>
            </w:r>
            <w:r>
              <w:rPr>
                <w:sz w:val="19"/>
                <w:szCs w:val="19"/>
              </w:rPr>
              <w:t xml:space="preserve">ong-term </w:t>
            </w:r>
            <w:r w:rsidRPr="00D510F1">
              <w:rPr>
                <w:sz w:val="19"/>
                <w:szCs w:val="19"/>
              </w:rPr>
              <w:t>safety, Use in elderly (&gt;</w:t>
            </w:r>
            <w:r w:rsidR="00B7158C">
              <w:rPr>
                <w:sz w:val="19"/>
                <w:szCs w:val="19"/>
              </w:rPr>
              <w:t> </w:t>
            </w:r>
            <w:r w:rsidRPr="00D510F1">
              <w:rPr>
                <w:sz w:val="19"/>
                <w:szCs w:val="19"/>
              </w:rPr>
              <w:t>65 years of age)</w:t>
            </w:r>
          </w:p>
        </w:tc>
        <w:tc>
          <w:tcPr>
            <w:tcW w:w="810" w:type="pct"/>
          </w:tcPr>
          <w:p w14:paraId="3DFD65FA" w14:textId="7783799B" w:rsidR="00C86D41" w:rsidRPr="009674B3" w:rsidRDefault="00B7158C" w:rsidP="00DB3646">
            <w:pPr>
              <w:ind w:left="0" w:right="0"/>
              <w:rPr>
                <w:sz w:val="19"/>
                <w:szCs w:val="19"/>
              </w:rPr>
            </w:pPr>
            <w:r>
              <w:rPr>
                <w:sz w:val="19"/>
                <w:szCs w:val="19"/>
              </w:rPr>
              <w:t>Final study report due second quarter</w:t>
            </w:r>
            <w:r w:rsidR="00C86D41" w:rsidRPr="00D510F1">
              <w:rPr>
                <w:sz w:val="19"/>
                <w:szCs w:val="19"/>
              </w:rPr>
              <w:t xml:space="preserve"> 2022</w:t>
            </w:r>
          </w:p>
        </w:tc>
      </w:tr>
      <w:tr w:rsidR="00C86D41" w:rsidRPr="00D90C10" w14:paraId="0190C801" w14:textId="77777777" w:rsidTr="0042498E">
        <w:tc>
          <w:tcPr>
            <w:tcW w:w="1114" w:type="pct"/>
          </w:tcPr>
          <w:p w14:paraId="51DCB731" w14:textId="77777777" w:rsidR="00C86D41" w:rsidRPr="00D510F1" w:rsidRDefault="00C86D41" w:rsidP="00DB3646">
            <w:pPr>
              <w:ind w:left="0" w:right="0"/>
              <w:rPr>
                <w:sz w:val="19"/>
                <w:szCs w:val="19"/>
              </w:rPr>
            </w:pPr>
            <w:r w:rsidRPr="00D510F1">
              <w:rPr>
                <w:sz w:val="19"/>
                <w:szCs w:val="19"/>
              </w:rPr>
              <w:lastRenderedPageBreak/>
              <w:t>Study COV003</w:t>
            </w:r>
          </w:p>
          <w:p w14:paraId="37E8E37B" w14:textId="1B6CBC01" w:rsidR="00C86D41" w:rsidRPr="009674B3" w:rsidRDefault="00C86D41" w:rsidP="00DB3646">
            <w:pPr>
              <w:ind w:left="0" w:right="0"/>
              <w:rPr>
                <w:sz w:val="19"/>
                <w:szCs w:val="19"/>
              </w:rPr>
            </w:pPr>
            <w:r>
              <w:rPr>
                <w:sz w:val="19"/>
                <w:szCs w:val="19"/>
              </w:rPr>
              <w:t xml:space="preserve">A Randomised, Controlled, Phase III Study to Determine the Safety, Efficacy, and Immunogenicity of the Non- Replicating ChAdOx1 nCoV-19 </w:t>
            </w:r>
            <w:r w:rsidRPr="00D510F1">
              <w:rPr>
                <w:sz w:val="19"/>
                <w:szCs w:val="19"/>
              </w:rPr>
              <w:t>Vaccine</w:t>
            </w:r>
          </w:p>
        </w:tc>
        <w:tc>
          <w:tcPr>
            <w:tcW w:w="1862" w:type="pct"/>
          </w:tcPr>
          <w:p w14:paraId="357526BD" w14:textId="3540E820" w:rsidR="00C86D41" w:rsidRPr="00D510F1" w:rsidRDefault="00B7158C" w:rsidP="00DB3646">
            <w:pPr>
              <w:ind w:left="0" w:right="0"/>
              <w:rPr>
                <w:sz w:val="19"/>
                <w:szCs w:val="19"/>
              </w:rPr>
            </w:pPr>
            <w:r>
              <w:rPr>
                <w:sz w:val="19"/>
                <w:szCs w:val="19"/>
              </w:rPr>
              <w:t>Primary o</w:t>
            </w:r>
            <w:r w:rsidR="00C86D41" w:rsidRPr="00D510F1">
              <w:rPr>
                <w:sz w:val="19"/>
                <w:szCs w:val="19"/>
              </w:rPr>
              <w:t>bjective:</w:t>
            </w:r>
          </w:p>
          <w:p w14:paraId="6A5BF939" w14:textId="77777777" w:rsidR="00C86D41" w:rsidRPr="00D510F1" w:rsidRDefault="00C86D41" w:rsidP="00DB3646">
            <w:pPr>
              <w:ind w:left="0" w:right="0"/>
              <w:rPr>
                <w:sz w:val="19"/>
                <w:szCs w:val="19"/>
              </w:rPr>
            </w:pPr>
            <w:r w:rsidRPr="00D510F1">
              <w:rPr>
                <w:sz w:val="19"/>
                <w:szCs w:val="19"/>
              </w:rPr>
              <w:t>To evaluate the effi</w:t>
            </w:r>
            <w:r>
              <w:rPr>
                <w:sz w:val="19"/>
                <w:szCs w:val="19"/>
              </w:rPr>
              <w:t xml:space="preserve">cacy of AZD1222 vaccine against </w:t>
            </w:r>
            <w:r w:rsidRPr="00D510F1">
              <w:rPr>
                <w:sz w:val="19"/>
                <w:szCs w:val="19"/>
              </w:rPr>
              <w:t>COVID-19 disease confirmed with PCR</w:t>
            </w:r>
          </w:p>
          <w:p w14:paraId="6574F45E" w14:textId="18F3387D" w:rsidR="00C86D41" w:rsidRPr="00D510F1" w:rsidRDefault="00B7158C" w:rsidP="00DB3646">
            <w:pPr>
              <w:ind w:left="0" w:right="0"/>
              <w:rPr>
                <w:sz w:val="19"/>
                <w:szCs w:val="19"/>
              </w:rPr>
            </w:pPr>
            <w:r>
              <w:rPr>
                <w:sz w:val="19"/>
                <w:szCs w:val="19"/>
              </w:rPr>
              <w:t>Secondary o</w:t>
            </w:r>
            <w:r w:rsidR="00C86D41" w:rsidRPr="00D510F1">
              <w:rPr>
                <w:sz w:val="19"/>
                <w:szCs w:val="19"/>
              </w:rPr>
              <w:t>bjectives:</w:t>
            </w:r>
          </w:p>
          <w:p w14:paraId="52CFB33B" w14:textId="77777777" w:rsidR="00C86D41" w:rsidRPr="00D510F1" w:rsidRDefault="00C86D41" w:rsidP="00DB3646">
            <w:pPr>
              <w:ind w:left="0" w:right="0"/>
              <w:rPr>
                <w:sz w:val="19"/>
                <w:szCs w:val="19"/>
              </w:rPr>
            </w:pPr>
            <w:r w:rsidRPr="00D510F1">
              <w:rPr>
                <w:sz w:val="19"/>
                <w:szCs w:val="19"/>
              </w:rPr>
              <w:t>To evaluate the safety, tolerabi</w:t>
            </w:r>
            <w:r>
              <w:rPr>
                <w:sz w:val="19"/>
                <w:szCs w:val="19"/>
              </w:rPr>
              <w:t xml:space="preserve">lity and reactogenicity profile </w:t>
            </w:r>
            <w:r w:rsidRPr="00D510F1">
              <w:rPr>
                <w:sz w:val="19"/>
                <w:szCs w:val="19"/>
              </w:rPr>
              <w:t>of AZD1222</w:t>
            </w:r>
          </w:p>
          <w:p w14:paraId="051BCCA8" w14:textId="42E1FF88" w:rsidR="00C86D41" w:rsidRPr="00D510F1" w:rsidRDefault="00C86D41" w:rsidP="00DB3646">
            <w:pPr>
              <w:ind w:left="0" w:right="0"/>
              <w:rPr>
                <w:sz w:val="19"/>
                <w:szCs w:val="19"/>
              </w:rPr>
            </w:pPr>
            <w:r w:rsidRPr="00D510F1">
              <w:rPr>
                <w:sz w:val="19"/>
                <w:szCs w:val="19"/>
              </w:rPr>
              <w:t>To evaluate the efficacy of AZD12</w:t>
            </w:r>
            <w:r>
              <w:rPr>
                <w:sz w:val="19"/>
                <w:szCs w:val="19"/>
              </w:rPr>
              <w:t>22 against severe and non</w:t>
            </w:r>
            <w:r w:rsidR="00B7158C">
              <w:rPr>
                <w:sz w:val="19"/>
                <w:szCs w:val="19"/>
              </w:rPr>
              <w:t>-</w:t>
            </w:r>
            <w:r>
              <w:rPr>
                <w:sz w:val="19"/>
                <w:szCs w:val="19"/>
              </w:rPr>
              <w:t xml:space="preserve">severe </w:t>
            </w:r>
            <w:r w:rsidRPr="00D510F1">
              <w:rPr>
                <w:sz w:val="19"/>
                <w:szCs w:val="19"/>
              </w:rPr>
              <w:t>COVID-19 disease</w:t>
            </w:r>
          </w:p>
          <w:p w14:paraId="168703EE" w14:textId="77777777" w:rsidR="00C86D41" w:rsidRPr="00D510F1" w:rsidRDefault="00C86D41" w:rsidP="00DB3646">
            <w:pPr>
              <w:ind w:left="0" w:right="0"/>
              <w:rPr>
                <w:sz w:val="19"/>
                <w:szCs w:val="19"/>
              </w:rPr>
            </w:pPr>
            <w:r w:rsidRPr="00D510F1">
              <w:rPr>
                <w:sz w:val="19"/>
                <w:szCs w:val="19"/>
              </w:rPr>
              <w:t>To evaluate the humoral immunogenicity of AZD1222</w:t>
            </w:r>
          </w:p>
          <w:p w14:paraId="7C6BBF12" w14:textId="54AE6C18" w:rsidR="00C86D41" w:rsidRPr="009674B3" w:rsidRDefault="00C86D41" w:rsidP="00DB3646">
            <w:pPr>
              <w:ind w:left="0" w:right="0"/>
              <w:rPr>
                <w:sz w:val="19"/>
                <w:szCs w:val="19"/>
              </w:rPr>
            </w:pPr>
            <w:r w:rsidRPr="00D510F1">
              <w:rPr>
                <w:sz w:val="19"/>
                <w:szCs w:val="19"/>
              </w:rPr>
              <w:t>To assess the cellular immunogenicity of AZD1222.</w:t>
            </w:r>
          </w:p>
        </w:tc>
        <w:tc>
          <w:tcPr>
            <w:tcW w:w="1214" w:type="pct"/>
          </w:tcPr>
          <w:p w14:paraId="4C8E0A21" w14:textId="0DB745BA" w:rsidR="00C86D41" w:rsidRDefault="00C86D41" w:rsidP="00DB3646">
            <w:pPr>
              <w:ind w:left="0" w:right="0"/>
              <w:rPr>
                <w:sz w:val="19"/>
                <w:szCs w:val="19"/>
              </w:rPr>
            </w:pPr>
            <w:r w:rsidRPr="00D510F1">
              <w:rPr>
                <w:sz w:val="19"/>
                <w:szCs w:val="19"/>
              </w:rPr>
              <w:t>Nerv</w:t>
            </w:r>
            <w:r>
              <w:rPr>
                <w:sz w:val="19"/>
                <w:szCs w:val="19"/>
              </w:rPr>
              <w:t xml:space="preserve">ous system disorders, including immune-mediated </w:t>
            </w:r>
            <w:r w:rsidRPr="00D510F1">
              <w:rPr>
                <w:sz w:val="19"/>
                <w:szCs w:val="19"/>
              </w:rPr>
              <w:t>neurological</w:t>
            </w:r>
            <w:r w:rsidR="00B7158C">
              <w:rPr>
                <w:sz w:val="19"/>
                <w:szCs w:val="19"/>
              </w:rPr>
              <w:t xml:space="preserve"> conditions, v</w:t>
            </w:r>
            <w:r>
              <w:rPr>
                <w:sz w:val="19"/>
                <w:szCs w:val="19"/>
              </w:rPr>
              <w:t xml:space="preserve">accine-associated </w:t>
            </w:r>
            <w:r w:rsidRPr="00D510F1">
              <w:rPr>
                <w:sz w:val="19"/>
                <w:szCs w:val="19"/>
              </w:rPr>
              <w:t>enhanced di</w:t>
            </w:r>
            <w:r>
              <w:rPr>
                <w:sz w:val="19"/>
                <w:szCs w:val="19"/>
              </w:rPr>
              <w:t xml:space="preserve">sease (VAED), including vaccine associated enhanced respiratory </w:t>
            </w:r>
            <w:r w:rsidRPr="00D510F1">
              <w:rPr>
                <w:sz w:val="19"/>
                <w:szCs w:val="19"/>
              </w:rPr>
              <w:t xml:space="preserve">disease </w:t>
            </w:r>
            <w:r w:rsidR="00B7158C">
              <w:rPr>
                <w:sz w:val="19"/>
                <w:szCs w:val="19"/>
              </w:rPr>
              <w:t>(VAERD), anaphylaxis, l</w:t>
            </w:r>
            <w:r>
              <w:rPr>
                <w:sz w:val="19"/>
                <w:szCs w:val="19"/>
              </w:rPr>
              <w:t xml:space="preserve">ong-term </w:t>
            </w:r>
            <w:r w:rsidRPr="00D510F1">
              <w:rPr>
                <w:sz w:val="19"/>
                <w:szCs w:val="19"/>
              </w:rPr>
              <w:t>safety, Use in elderly (&gt;</w:t>
            </w:r>
            <w:r w:rsidR="00B7158C">
              <w:rPr>
                <w:sz w:val="19"/>
                <w:szCs w:val="19"/>
              </w:rPr>
              <w:t> </w:t>
            </w:r>
            <w:r w:rsidRPr="00D510F1">
              <w:rPr>
                <w:sz w:val="19"/>
                <w:szCs w:val="19"/>
              </w:rPr>
              <w:t>65 years of age)</w:t>
            </w:r>
          </w:p>
        </w:tc>
        <w:tc>
          <w:tcPr>
            <w:tcW w:w="810" w:type="pct"/>
          </w:tcPr>
          <w:p w14:paraId="00275FBF" w14:textId="794E8B41" w:rsidR="00C86D41" w:rsidRPr="009674B3" w:rsidRDefault="00B7158C" w:rsidP="00DB3646">
            <w:pPr>
              <w:ind w:left="0" w:right="0"/>
              <w:rPr>
                <w:sz w:val="19"/>
                <w:szCs w:val="19"/>
              </w:rPr>
            </w:pPr>
            <w:r>
              <w:rPr>
                <w:sz w:val="19"/>
                <w:szCs w:val="19"/>
              </w:rPr>
              <w:t>Final study report due second quarter</w:t>
            </w:r>
            <w:r w:rsidR="00C86D41" w:rsidRPr="00D510F1">
              <w:rPr>
                <w:sz w:val="19"/>
                <w:szCs w:val="19"/>
              </w:rPr>
              <w:t xml:space="preserve"> 2022</w:t>
            </w:r>
          </w:p>
        </w:tc>
      </w:tr>
      <w:tr w:rsidR="00C86D41" w:rsidRPr="00D90C10" w14:paraId="0C68BC78" w14:textId="77777777" w:rsidTr="0042498E">
        <w:tc>
          <w:tcPr>
            <w:tcW w:w="1114" w:type="pct"/>
          </w:tcPr>
          <w:p w14:paraId="359E4D0D" w14:textId="77777777" w:rsidR="00C86D41" w:rsidRPr="00D510F1" w:rsidRDefault="00C86D41" w:rsidP="00DB3646">
            <w:pPr>
              <w:ind w:left="0" w:right="0"/>
              <w:rPr>
                <w:sz w:val="19"/>
                <w:szCs w:val="19"/>
              </w:rPr>
            </w:pPr>
            <w:r w:rsidRPr="00D510F1">
              <w:rPr>
                <w:sz w:val="19"/>
                <w:szCs w:val="19"/>
              </w:rPr>
              <w:t>Study COV004</w:t>
            </w:r>
          </w:p>
          <w:p w14:paraId="72A94FC5" w14:textId="14FEC99C" w:rsidR="00C86D41" w:rsidRPr="009674B3" w:rsidRDefault="00C86D41" w:rsidP="00DB3646">
            <w:pPr>
              <w:ind w:left="0" w:right="0"/>
              <w:rPr>
                <w:sz w:val="19"/>
                <w:szCs w:val="19"/>
              </w:rPr>
            </w:pPr>
            <w:r>
              <w:rPr>
                <w:sz w:val="19"/>
                <w:szCs w:val="19"/>
              </w:rPr>
              <w:t xml:space="preserve">A Phase IB/II Single- Blinded, Randomised, Controlled Study to Determine Safety, Immunogenicity and Efficacy of the Candidate Coronavirus Disease (COVID-19) Vaccine ChAdOx1 nCoV-19 in Adults </w:t>
            </w:r>
            <w:r w:rsidRPr="00D510F1">
              <w:rPr>
                <w:sz w:val="19"/>
                <w:szCs w:val="19"/>
              </w:rPr>
              <w:t>in Kenya</w:t>
            </w:r>
          </w:p>
        </w:tc>
        <w:tc>
          <w:tcPr>
            <w:tcW w:w="1862" w:type="pct"/>
          </w:tcPr>
          <w:p w14:paraId="0D893001" w14:textId="25A9D43B" w:rsidR="00C86D41" w:rsidRPr="00D510F1" w:rsidRDefault="00B7158C" w:rsidP="00DB3646">
            <w:pPr>
              <w:ind w:left="0" w:right="0"/>
              <w:rPr>
                <w:sz w:val="19"/>
                <w:szCs w:val="19"/>
              </w:rPr>
            </w:pPr>
            <w:r>
              <w:rPr>
                <w:sz w:val="19"/>
                <w:szCs w:val="19"/>
              </w:rPr>
              <w:t>Primary o</w:t>
            </w:r>
            <w:r w:rsidR="00C86D41" w:rsidRPr="00D510F1">
              <w:rPr>
                <w:sz w:val="19"/>
                <w:szCs w:val="19"/>
              </w:rPr>
              <w:t>bjectives:</w:t>
            </w:r>
          </w:p>
          <w:p w14:paraId="63035108" w14:textId="77777777" w:rsidR="00C86D41" w:rsidRPr="00D510F1" w:rsidRDefault="00C86D41" w:rsidP="00DB3646">
            <w:pPr>
              <w:ind w:left="0" w:right="0"/>
              <w:rPr>
                <w:sz w:val="19"/>
                <w:szCs w:val="19"/>
              </w:rPr>
            </w:pPr>
            <w:r w:rsidRPr="00D510F1">
              <w:rPr>
                <w:sz w:val="19"/>
                <w:szCs w:val="19"/>
              </w:rPr>
              <w:t>To assess the safety, tolerabilit</w:t>
            </w:r>
            <w:r>
              <w:rPr>
                <w:sz w:val="19"/>
                <w:szCs w:val="19"/>
              </w:rPr>
              <w:t xml:space="preserve">y and reactogenicity profile of </w:t>
            </w:r>
            <w:r w:rsidRPr="00D510F1">
              <w:rPr>
                <w:sz w:val="19"/>
                <w:szCs w:val="19"/>
              </w:rPr>
              <w:t>the candidate vaccine ChAdOx1 nCoV-19</w:t>
            </w:r>
          </w:p>
          <w:p w14:paraId="1148825D" w14:textId="77777777" w:rsidR="00C86D41" w:rsidRPr="00D510F1" w:rsidRDefault="00C86D41" w:rsidP="00DB3646">
            <w:pPr>
              <w:ind w:left="0" w:right="0"/>
              <w:rPr>
                <w:sz w:val="19"/>
                <w:szCs w:val="19"/>
              </w:rPr>
            </w:pPr>
            <w:r w:rsidRPr="00D510F1">
              <w:rPr>
                <w:sz w:val="19"/>
                <w:szCs w:val="19"/>
              </w:rPr>
              <w:t>To assess immunogenicity of ChAdOx1 nCoV-19</w:t>
            </w:r>
          </w:p>
          <w:p w14:paraId="25BDF730" w14:textId="1E17DA8D" w:rsidR="00C86D41" w:rsidRPr="00D510F1" w:rsidRDefault="00B7158C" w:rsidP="00DB3646">
            <w:pPr>
              <w:ind w:left="0" w:right="0"/>
              <w:rPr>
                <w:sz w:val="19"/>
                <w:szCs w:val="19"/>
              </w:rPr>
            </w:pPr>
            <w:r>
              <w:rPr>
                <w:sz w:val="19"/>
                <w:szCs w:val="19"/>
              </w:rPr>
              <w:t>Secondary o</w:t>
            </w:r>
            <w:r w:rsidR="00C86D41" w:rsidRPr="00D510F1">
              <w:rPr>
                <w:sz w:val="19"/>
                <w:szCs w:val="19"/>
              </w:rPr>
              <w:t>bjectives:</w:t>
            </w:r>
          </w:p>
          <w:p w14:paraId="03C0B845" w14:textId="77777777" w:rsidR="00C86D41" w:rsidRPr="00D510F1" w:rsidRDefault="00C86D41" w:rsidP="00DB3646">
            <w:pPr>
              <w:ind w:left="0" w:right="0"/>
              <w:rPr>
                <w:sz w:val="19"/>
                <w:szCs w:val="19"/>
              </w:rPr>
            </w:pPr>
            <w:r w:rsidRPr="00D510F1">
              <w:rPr>
                <w:sz w:val="19"/>
                <w:szCs w:val="19"/>
              </w:rPr>
              <w:t>To assess humoral immunogenicity o</w:t>
            </w:r>
            <w:r>
              <w:rPr>
                <w:sz w:val="19"/>
                <w:szCs w:val="19"/>
              </w:rPr>
              <w:t xml:space="preserve">f ChAdOx1 nCoV-19 at </w:t>
            </w:r>
            <w:r w:rsidRPr="00D510F1">
              <w:rPr>
                <w:sz w:val="19"/>
                <w:szCs w:val="19"/>
              </w:rPr>
              <w:t>early and late timepoints</w:t>
            </w:r>
          </w:p>
          <w:p w14:paraId="1369DBA7" w14:textId="77777777" w:rsidR="00C86D41" w:rsidRPr="00D510F1" w:rsidRDefault="00C86D41" w:rsidP="00DB3646">
            <w:pPr>
              <w:ind w:left="0" w:right="0"/>
              <w:rPr>
                <w:sz w:val="19"/>
                <w:szCs w:val="19"/>
              </w:rPr>
            </w:pPr>
            <w:r w:rsidRPr="00D510F1">
              <w:rPr>
                <w:sz w:val="19"/>
                <w:szCs w:val="19"/>
              </w:rPr>
              <w:t>To assess cellular immunogenicity of ChAdOx1 nCoV-19</w:t>
            </w:r>
          </w:p>
          <w:p w14:paraId="64661E9E" w14:textId="5F1C4C10" w:rsidR="00C86D41" w:rsidRPr="009674B3" w:rsidRDefault="00C86D41" w:rsidP="00DB3646">
            <w:pPr>
              <w:ind w:left="0" w:right="0"/>
              <w:rPr>
                <w:sz w:val="19"/>
                <w:szCs w:val="19"/>
              </w:rPr>
            </w:pPr>
            <w:r w:rsidRPr="00D510F1">
              <w:rPr>
                <w:sz w:val="19"/>
                <w:szCs w:val="19"/>
              </w:rPr>
              <w:t>To assess efficacy of ChAdOx1 nCoV-19</w:t>
            </w:r>
            <w:r>
              <w:rPr>
                <w:sz w:val="19"/>
                <w:szCs w:val="19"/>
              </w:rPr>
              <w:t xml:space="preserve"> </w:t>
            </w:r>
            <w:r w:rsidRPr="00D510F1">
              <w:rPr>
                <w:sz w:val="19"/>
                <w:szCs w:val="19"/>
              </w:rPr>
              <w:t>against COVID-19</w:t>
            </w:r>
          </w:p>
        </w:tc>
        <w:tc>
          <w:tcPr>
            <w:tcW w:w="1214" w:type="pct"/>
          </w:tcPr>
          <w:p w14:paraId="3CB17C86" w14:textId="359C3F63" w:rsidR="00C86D41" w:rsidRDefault="00C86D41" w:rsidP="00DB3646">
            <w:pPr>
              <w:ind w:left="0" w:right="0"/>
              <w:rPr>
                <w:sz w:val="19"/>
                <w:szCs w:val="19"/>
              </w:rPr>
            </w:pPr>
            <w:r>
              <w:rPr>
                <w:sz w:val="19"/>
                <w:szCs w:val="19"/>
              </w:rPr>
              <w:t xml:space="preserve">Nervous system disorders, including immune-mediated </w:t>
            </w:r>
            <w:r w:rsidRPr="00D510F1">
              <w:rPr>
                <w:sz w:val="19"/>
                <w:szCs w:val="19"/>
              </w:rPr>
              <w:t>neurological</w:t>
            </w:r>
            <w:r w:rsidR="00B7158C">
              <w:rPr>
                <w:sz w:val="19"/>
                <w:szCs w:val="19"/>
              </w:rPr>
              <w:t xml:space="preserve"> conditions, v</w:t>
            </w:r>
            <w:r>
              <w:rPr>
                <w:sz w:val="19"/>
                <w:szCs w:val="19"/>
              </w:rPr>
              <w:t xml:space="preserve">accine-associated </w:t>
            </w:r>
            <w:r w:rsidRPr="00D510F1">
              <w:rPr>
                <w:sz w:val="19"/>
                <w:szCs w:val="19"/>
              </w:rPr>
              <w:t>enhanced di</w:t>
            </w:r>
            <w:r>
              <w:rPr>
                <w:sz w:val="19"/>
                <w:szCs w:val="19"/>
              </w:rPr>
              <w:t xml:space="preserve">sease (VAED), including vaccine associated enhanced respiratory </w:t>
            </w:r>
            <w:r w:rsidRPr="00D510F1">
              <w:rPr>
                <w:sz w:val="19"/>
                <w:szCs w:val="19"/>
              </w:rPr>
              <w:t xml:space="preserve">disease </w:t>
            </w:r>
            <w:r w:rsidR="00B7158C">
              <w:rPr>
                <w:sz w:val="19"/>
                <w:szCs w:val="19"/>
              </w:rPr>
              <w:t>(VAERD), anaphylaxis, l</w:t>
            </w:r>
            <w:r>
              <w:rPr>
                <w:sz w:val="19"/>
                <w:szCs w:val="19"/>
              </w:rPr>
              <w:t xml:space="preserve">ong-term </w:t>
            </w:r>
            <w:r w:rsidRPr="00D510F1">
              <w:rPr>
                <w:sz w:val="19"/>
                <w:szCs w:val="19"/>
              </w:rPr>
              <w:t>safety</w:t>
            </w:r>
          </w:p>
        </w:tc>
        <w:tc>
          <w:tcPr>
            <w:tcW w:w="810" w:type="pct"/>
          </w:tcPr>
          <w:p w14:paraId="0002F474" w14:textId="7D5F6DA8" w:rsidR="00C86D41" w:rsidRPr="009674B3" w:rsidRDefault="00C86D41" w:rsidP="00DB3646">
            <w:pPr>
              <w:ind w:left="0" w:right="0"/>
              <w:rPr>
                <w:sz w:val="19"/>
                <w:szCs w:val="19"/>
              </w:rPr>
            </w:pPr>
            <w:r w:rsidRPr="00D510F1">
              <w:rPr>
                <w:sz w:val="19"/>
                <w:szCs w:val="19"/>
              </w:rPr>
              <w:t>Final study report due 2022</w:t>
            </w:r>
          </w:p>
        </w:tc>
      </w:tr>
      <w:tr w:rsidR="00C86D41" w:rsidRPr="00D90C10" w14:paraId="7129AAAD" w14:textId="77777777" w:rsidTr="0042498E">
        <w:tc>
          <w:tcPr>
            <w:tcW w:w="1114" w:type="pct"/>
          </w:tcPr>
          <w:p w14:paraId="67020C48" w14:textId="77777777" w:rsidR="00C86D41" w:rsidRPr="00D510F1" w:rsidRDefault="00C86D41" w:rsidP="00DB3646">
            <w:pPr>
              <w:ind w:left="0" w:right="0"/>
              <w:rPr>
                <w:sz w:val="19"/>
                <w:szCs w:val="19"/>
              </w:rPr>
            </w:pPr>
            <w:r w:rsidRPr="00D510F1">
              <w:rPr>
                <w:sz w:val="19"/>
                <w:szCs w:val="19"/>
              </w:rPr>
              <w:t>Study COV005</w:t>
            </w:r>
          </w:p>
          <w:p w14:paraId="594A5BB5" w14:textId="549E180C" w:rsidR="00C86D41" w:rsidRPr="009674B3" w:rsidRDefault="00C86D41" w:rsidP="00DB3646">
            <w:pPr>
              <w:ind w:left="0" w:right="0"/>
              <w:rPr>
                <w:sz w:val="19"/>
                <w:szCs w:val="19"/>
              </w:rPr>
            </w:pPr>
            <w:r>
              <w:rPr>
                <w:sz w:val="19"/>
                <w:szCs w:val="19"/>
              </w:rPr>
              <w:t xml:space="preserve">An Adaptive Phase I/II Randomised Placebo-controlled Trial to Determine Safety, </w:t>
            </w:r>
            <w:r w:rsidRPr="00D510F1">
              <w:rPr>
                <w:sz w:val="19"/>
                <w:szCs w:val="19"/>
              </w:rPr>
              <w:t xml:space="preserve">Immunogenicity and </w:t>
            </w:r>
            <w:r>
              <w:rPr>
                <w:sz w:val="19"/>
                <w:szCs w:val="19"/>
              </w:rPr>
              <w:t xml:space="preserve">Efficacy </w:t>
            </w:r>
            <w:r w:rsidRPr="00D510F1">
              <w:rPr>
                <w:sz w:val="19"/>
                <w:szCs w:val="19"/>
              </w:rPr>
              <w:t>of Non- Replicating</w:t>
            </w:r>
            <w:r>
              <w:rPr>
                <w:sz w:val="19"/>
                <w:szCs w:val="19"/>
              </w:rPr>
              <w:t xml:space="preserve"> ChAdOx1 SARS-CoV-2 Vaccine in South African Adults Living Without HIV, and Safety and Immunogenicity </w:t>
            </w:r>
            <w:r w:rsidRPr="00D510F1">
              <w:rPr>
                <w:sz w:val="19"/>
                <w:szCs w:val="19"/>
              </w:rPr>
              <w:t xml:space="preserve">in Adults living with </w:t>
            </w:r>
            <w:r w:rsidRPr="00D510F1">
              <w:rPr>
                <w:sz w:val="19"/>
                <w:szCs w:val="19"/>
              </w:rPr>
              <w:lastRenderedPageBreak/>
              <w:t>HIV.</w:t>
            </w:r>
          </w:p>
        </w:tc>
        <w:tc>
          <w:tcPr>
            <w:tcW w:w="1862" w:type="pct"/>
          </w:tcPr>
          <w:p w14:paraId="500D61CB" w14:textId="361601EF" w:rsidR="00C86D41" w:rsidRPr="00D510F1" w:rsidRDefault="00B7158C" w:rsidP="00DB3646">
            <w:pPr>
              <w:ind w:left="0" w:right="0"/>
              <w:rPr>
                <w:sz w:val="19"/>
                <w:szCs w:val="19"/>
              </w:rPr>
            </w:pPr>
            <w:r>
              <w:rPr>
                <w:sz w:val="19"/>
                <w:szCs w:val="19"/>
              </w:rPr>
              <w:lastRenderedPageBreak/>
              <w:t>Primary o</w:t>
            </w:r>
            <w:r w:rsidR="00C86D41" w:rsidRPr="00D510F1">
              <w:rPr>
                <w:sz w:val="19"/>
                <w:szCs w:val="19"/>
              </w:rPr>
              <w:t>bjective:</w:t>
            </w:r>
          </w:p>
          <w:p w14:paraId="2C6D95FE" w14:textId="77777777" w:rsidR="00C86D41" w:rsidRPr="00D510F1" w:rsidRDefault="00C86D41" w:rsidP="00DB3646">
            <w:pPr>
              <w:ind w:left="0" w:right="0"/>
              <w:rPr>
                <w:sz w:val="19"/>
                <w:szCs w:val="19"/>
              </w:rPr>
            </w:pPr>
            <w:r w:rsidRPr="00D510F1">
              <w:rPr>
                <w:sz w:val="19"/>
                <w:szCs w:val="19"/>
              </w:rPr>
              <w:t>To assess the safety of AZ</w:t>
            </w:r>
            <w:r>
              <w:rPr>
                <w:sz w:val="19"/>
                <w:szCs w:val="19"/>
              </w:rPr>
              <w:t xml:space="preserve">D1222 in healthy HIV-uninfected </w:t>
            </w:r>
            <w:r w:rsidRPr="00D510F1">
              <w:rPr>
                <w:sz w:val="19"/>
                <w:szCs w:val="19"/>
              </w:rPr>
              <w:t>adults</w:t>
            </w:r>
          </w:p>
          <w:p w14:paraId="032004AC" w14:textId="77777777" w:rsidR="00C86D41" w:rsidRPr="00D510F1" w:rsidRDefault="00C86D41" w:rsidP="00DB3646">
            <w:pPr>
              <w:ind w:left="0" w:right="0"/>
              <w:rPr>
                <w:sz w:val="19"/>
                <w:szCs w:val="19"/>
              </w:rPr>
            </w:pPr>
            <w:r w:rsidRPr="00D510F1">
              <w:rPr>
                <w:sz w:val="19"/>
                <w:szCs w:val="19"/>
              </w:rPr>
              <w:t>To assess efficacy of AZD1222 against COVID-19</w:t>
            </w:r>
          </w:p>
          <w:p w14:paraId="7E5FF453" w14:textId="77777777" w:rsidR="00C86D41" w:rsidRPr="00D510F1" w:rsidRDefault="00C86D41" w:rsidP="00DB3646">
            <w:pPr>
              <w:ind w:left="0" w:right="0"/>
              <w:rPr>
                <w:sz w:val="19"/>
                <w:szCs w:val="19"/>
              </w:rPr>
            </w:pPr>
            <w:r w:rsidRPr="00D510F1">
              <w:rPr>
                <w:sz w:val="19"/>
                <w:szCs w:val="19"/>
              </w:rPr>
              <w:t>To assess the safety of the candidate vaccine AZD122</w:t>
            </w:r>
            <w:r>
              <w:rPr>
                <w:sz w:val="19"/>
                <w:szCs w:val="19"/>
              </w:rPr>
              <w:t xml:space="preserve">2 in </w:t>
            </w:r>
            <w:r w:rsidRPr="00D510F1">
              <w:rPr>
                <w:sz w:val="19"/>
                <w:szCs w:val="19"/>
              </w:rPr>
              <w:t>adults living with HIV</w:t>
            </w:r>
          </w:p>
          <w:p w14:paraId="422D1D0D" w14:textId="77777777" w:rsidR="00C86D41" w:rsidRPr="00D510F1" w:rsidRDefault="00C86D41" w:rsidP="00DB3646">
            <w:pPr>
              <w:ind w:left="0" w:right="0"/>
              <w:rPr>
                <w:sz w:val="19"/>
                <w:szCs w:val="19"/>
              </w:rPr>
            </w:pPr>
            <w:r w:rsidRPr="00D510F1">
              <w:rPr>
                <w:sz w:val="19"/>
                <w:szCs w:val="19"/>
              </w:rPr>
              <w:t>To evaluate the immunogeni</w:t>
            </w:r>
            <w:r>
              <w:rPr>
                <w:sz w:val="19"/>
                <w:szCs w:val="19"/>
              </w:rPr>
              <w:t xml:space="preserve">city of AZD1222 after first and </w:t>
            </w:r>
            <w:r w:rsidRPr="00D510F1">
              <w:rPr>
                <w:sz w:val="19"/>
                <w:szCs w:val="19"/>
              </w:rPr>
              <w:t>second doses of vaccine in adults living with HIV</w:t>
            </w:r>
          </w:p>
          <w:p w14:paraId="57C040BB" w14:textId="0B4B1486" w:rsidR="00C86D41" w:rsidRPr="00D510F1" w:rsidRDefault="00B7158C" w:rsidP="00DB3646">
            <w:pPr>
              <w:ind w:left="0" w:right="0"/>
              <w:rPr>
                <w:sz w:val="19"/>
                <w:szCs w:val="19"/>
              </w:rPr>
            </w:pPr>
            <w:r>
              <w:rPr>
                <w:sz w:val="19"/>
                <w:szCs w:val="19"/>
              </w:rPr>
              <w:t>Secondary o</w:t>
            </w:r>
            <w:r w:rsidR="00C86D41" w:rsidRPr="00D510F1">
              <w:rPr>
                <w:sz w:val="19"/>
                <w:szCs w:val="19"/>
              </w:rPr>
              <w:t>bjectives:</w:t>
            </w:r>
          </w:p>
          <w:p w14:paraId="14AD1BDA" w14:textId="05802AF1" w:rsidR="00C86D41" w:rsidRPr="009674B3" w:rsidRDefault="00C86D41" w:rsidP="00DB3646">
            <w:pPr>
              <w:ind w:left="0" w:right="0"/>
              <w:rPr>
                <w:sz w:val="19"/>
                <w:szCs w:val="19"/>
              </w:rPr>
            </w:pPr>
            <w:r w:rsidRPr="00D510F1">
              <w:rPr>
                <w:sz w:val="19"/>
                <w:szCs w:val="19"/>
              </w:rPr>
              <w:t>To assess the immunogenicity of A</w:t>
            </w:r>
            <w:r>
              <w:rPr>
                <w:sz w:val="19"/>
                <w:szCs w:val="19"/>
              </w:rPr>
              <w:t xml:space="preserve">ZD1222 in healthy HIV uninfected </w:t>
            </w:r>
            <w:r w:rsidRPr="00D510F1">
              <w:rPr>
                <w:sz w:val="19"/>
                <w:szCs w:val="19"/>
              </w:rPr>
              <w:lastRenderedPageBreak/>
              <w:t>adults.</w:t>
            </w:r>
          </w:p>
        </w:tc>
        <w:tc>
          <w:tcPr>
            <w:tcW w:w="1214" w:type="pct"/>
          </w:tcPr>
          <w:p w14:paraId="50123FA7" w14:textId="46CF6D45" w:rsidR="00C86D41" w:rsidRDefault="00C86D41" w:rsidP="00DB3646">
            <w:pPr>
              <w:ind w:left="0" w:right="0"/>
              <w:rPr>
                <w:sz w:val="19"/>
                <w:szCs w:val="19"/>
              </w:rPr>
            </w:pPr>
            <w:r>
              <w:rPr>
                <w:sz w:val="19"/>
                <w:szCs w:val="19"/>
              </w:rPr>
              <w:lastRenderedPageBreak/>
              <w:t xml:space="preserve">Nervous system disorders, </w:t>
            </w:r>
            <w:r w:rsidRPr="00D510F1">
              <w:rPr>
                <w:sz w:val="19"/>
                <w:szCs w:val="19"/>
              </w:rPr>
              <w:t>inclu</w:t>
            </w:r>
            <w:r>
              <w:rPr>
                <w:sz w:val="19"/>
                <w:szCs w:val="19"/>
              </w:rPr>
              <w:t>ding immune-med</w:t>
            </w:r>
            <w:r w:rsidR="00B7158C">
              <w:rPr>
                <w:sz w:val="19"/>
                <w:szCs w:val="19"/>
              </w:rPr>
              <w:t>iated neurological conditions, u</w:t>
            </w:r>
            <w:r>
              <w:rPr>
                <w:sz w:val="19"/>
                <w:szCs w:val="19"/>
              </w:rPr>
              <w:t xml:space="preserve">se in immunocompromised patients, </w:t>
            </w:r>
            <w:r w:rsidR="00B7158C">
              <w:rPr>
                <w:sz w:val="19"/>
                <w:szCs w:val="19"/>
              </w:rPr>
              <w:t>v</w:t>
            </w:r>
            <w:r w:rsidRPr="00D510F1">
              <w:rPr>
                <w:sz w:val="19"/>
                <w:szCs w:val="19"/>
              </w:rPr>
              <w:t>accine</w:t>
            </w:r>
            <w:r>
              <w:rPr>
                <w:sz w:val="19"/>
                <w:szCs w:val="19"/>
              </w:rPr>
              <w:t xml:space="preserve"> associated enhanced disease (VAED), </w:t>
            </w:r>
            <w:r w:rsidRPr="00D510F1">
              <w:rPr>
                <w:sz w:val="19"/>
                <w:szCs w:val="19"/>
              </w:rPr>
              <w:t>includ</w:t>
            </w:r>
            <w:r>
              <w:rPr>
                <w:sz w:val="19"/>
                <w:szCs w:val="19"/>
              </w:rPr>
              <w:t xml:space="preserve">ing vaccine associated enhanced </w:t>
            </w:r>
            <w:r w:rsidRPr="00D510F1">
              <w:rPr>
                <w:sz w:val="19"/>
                <w:szCs w:val="19"/>
              </w:rPr>
              <w:t>respirator</w:t>
            </w:r>
            <w:r w:rsidR="003B7A50">
              <w:rPr>
                <w:sz w:val="19"/>
                <w:szCs w:val="19"/>
              </w:rPr>
              <w:t>y disease (VAERD), anaphylaxis, l</w:t>
            </w:r>
            <w:r w:rsidRPr="00D510F1">
              <w:rPr>
                <w:sz w:val="19"/>
                <w:szCs w:val="19"/>
              </w:rPr>
              <w:t>ong-term safety</w:t>
            </w:r>
          </w:p>
        </w:tc>
        <w:tc>
          <w:tcPr>
            <w:tcW w:w="810" w:type="pct"/>
          </w:tcPr>
          <w:p w14:paraId="6720D21E" w14:textId="6BBA4F38" w:rsidR="00C86D41" w:rsidRPr="009674B3" w:rsidRDefault="00B7158C" w:rsidP="00DB3646">
            <w:pPr>
              <w:ind w:left="0" w:right="0"/>
              <w:rPr>
                <w:sz w:val="19"/>
                <w:szCs w:val="19"/>
              </w:rPr>
            </w:pPr>
            <w:r>
              <w:rPr>
                <w:sz w:val="19"/>
                <w:szCs w:val="19"/>
              </w:rPr>
              <w:t>Final study report due: second quarter</w:t>
            </w:r>
            <w:r w:rsidR="00C86D41" w:rsidRPr="00D510F1">
              <w:rPr>
                <w:sz w:val="19"/>
                <w:szCs w:val="19"/>
              </w:rPr>
              <w:t xml:space="preserve"> 2022</w:t>
            </w:r>
          </w:p>
        </w:tc>
      </w:tr>
      <w:tr w:rsidR="00C86D41" w:rsidRPr="00D90C10" w14:paraId="05231A80" w14:textId="77777777" w:rsidTr="0042498E">
        <w:tc>
          <w:tcPr>
            <w:tcW w:w="1114" w:type="pct"/>
          </w:tcPr>
          <w:p w14:paraId="76EFF4D0" w14:textId="77777777" w:rsidR="00C86D41" w:rsidRPr="00D510F1" w:rsidRDefault="00C86D41" w:rsidP="00DB3646">
            <w:pPr>
              <w:ind w:left="0" w:right="0"/>
              <w:rPr>
                <w:sz w:val="19"/>
                <w:szCs w:val="19"/>
              </w:rPr>
            </w:pPr>
            <w:r w:rsidRPr="00D510F1">
              <w:rPr>
                <w:sz w:val="19"/>
                <w:szCs w:val="19"/>
              </w:rPr>
              <w:t>D8110C00001</w:t>
            </w:r>
          </w:p>
          <w:p w14:paraId="177B3945" w14:textId="6E8FC858" w:rsidR="00C86D41" w:rsidRPr="009674B3" w:rsidRDefault="00C86D41" w:rsidP="00DB3646">
            <w:pPr>
              <w:ind w:left="0" w:right="0"/>
              <w:rPr>
                <w:sz w:val="19"/>
                <w:szCs w:val="19"/>
              </w:rPr>
            </w:pPr>
            <w:r>
              <w:rPr>
                <w:sz w:val="19"/>
                <w:szCs w:val="19"/>
              </w:rPr>
              <w:t xml:space="preserve">A Phase III Randomized, </w:t>
            </w:r>
            <w:r w:rsidRPr="00D510F1">
              <w:rPr>
                <w:sz w:val="19"/>
                <w:szCs w:val="19"/>
              </w:rPr>
              <w:t>Double</w:t>
            </w:r>
            <w:r>
              <w:rPr>
                <w:sz w:val="19"/>
                <w:szCs w:val="19"/>
              </w:rPr>
              <w:t xml:space="preserve"> </w:t>
            </w:r>
            <w:r w:rsidRPr="00D510F1">
              <w:rPr>
                <w:sz w:val="19"/>
                <w:szCs w:val="19"/>
              </w:rPr>
              <w:t>blind, Placebo</w:t>
            </w:r>
            <w:r>
              <w:rPr>
                <w:sz w:val="19"/>
                <w:szCs w:val="19"/>
              </w:rPr>
              <w:t xml:space="preserve"> controlled Multicentre Study in Adults to Determine the Safety, Efficacy, and Immunogenicity of AZD1222, a Nonreplicating ChAdOx1 Vector Vaccine, for </w:t>
            </w:r>
            <w:r w:rsidRPr="00D510F1">
              <w:rPr>
                <w:sz w:val="19"/>
                <w:szCs w:val="19"/>
              </w:rPr>
              <w:t>the Prevention of COVID-19</w:t>
            </w:r>
          </w:p>
        </w:tc>
        <w:tc>
          <w:tcPr>
            <w:tcW w:w="1862" w:type="pct"/>
          </w:tcPr>
          <w:p w14:paraId="1D05D0AE" w14:textId="26BF7C79" w:rsidR="00C86D41" w:rsidRPr="00D510F1" w:rsidRDefault="003B7A50" w:rsidP="00DB3646">
            <w:pPr>
              <w:ind w:left="0" w:right="0"/>
              <w:rPr>
                <w:sz w:val="19"/>
                <w:szCs w:val="19"/>
              </w:rPr>
            </w:pPr>
            <w:r>
              <w:rPr>
                <w:sz w:val="19"/>
                <w:szCs w:val="19"/>
              </w:rPr>
              <w:t>Primary o</w:t>
            </w:r>
            <w:r w:rsidR="00C86D41" w:rsidRPr="00D510F1">
              <w:rPr>
                <w:sz w:val="19"/>
                <w:szCs w:val="19"/>
              </w:rPr>
              <w:t>bjectives:</w:t>
            </w:r>
          </w:p>
          <w:p w14:paraId="03236EAB" w14:textId="12C0C350" w:rsidR="00C86D41" w:rsidRPr="00D510F1" w:rsidRDefault="00C86D41" w:rsidP="00DB3646">
            <w:pPr>
              <w:ind w:left="0" w:right="0"/>
              <w:rPr>
                <w:sz w:val="19"/>
                <w:szCs w:val="19"/>
              </w:rPr>
            </w:pPr>
            <w:r w:rsidRPr="00D510F1">
              <w:rPr>
                <w:sz w:val="19"/>
                <w:szCs w:val="19"/>
              </w:rPr>
              <w:t>To estimate the ef</w:t>
            </w:r>
            <w:r>
              <w:rPr>
                <w:sz w:val="19"/>
                <w:szCs w:val="19"/>
              </w:rPr>
              <w:t xml:space="preserve">ficacy of 2 IM doses of AZD1222 </w:t>
            </w:r>
            <w:r w:rsidRPr="00D510F1">
              <w:rPr>
                <w:sz w:val="19"/>
                <w:szCs w:val="19"/>
              </w:rPr>
              <w:t>compared to placebo fo</w:t>
            </w:r>
            <w:r>
              <w:rPr>
                <w:sz w:val="19"/>
                <w:szCs w:val="19"/>
              </w:rPr>
              <w:t xml:space="preserve">r the prevention of COVID-19 in </w:t>
            </w:r>
            <w:r w:rsidRPr="00D510F1">
              <w:rPr>
                <w:sz w:val="19"/>
                <w:szCs w:val="19"/>
              </w:rPr>
              <w:t xml:space="preserve">adults </w:t>
            </w:r>
            <w:r w:rsidR="00E96F97" w:rsidRPr="00E96F97">
              <w:rPr>
                <w:rFonts w:asciiTheme="minorHAnsi" w:eastAsia="TimesNewRoman" w:hAnsiTheme="minorHAnsi" w:cs="TimesNewRoman"/>
                <w:sz w:val="19"/>
                <w:szCs w:val="19"/>
              </w:rPr>
              <w:sym w:font="Symbol" w:char="F0B3"/>
            </w:r>
            <w:r w:rsidRPr="00D510F1">
              <w:rPr>
                <w:sz w:val="19"/>
                <w:szCs w:val="19"/>
              </w:rPr>
              <w:t xml:space="preserve"> 18 years of age</w:t>
            </w:r>
          </w:p>
          <w:p w14:paraId="0159463B" w14:textId="79B60682" w:rsidR="00C86D41" w:rsidRPr="00D510F1" w:rsidRDefault="00C86D41" w:rsidP="00DB3646">
            <w:pPr>
              <w:ind w:left="0" w:right="0"/>
              <w:rPr>
                <w:sz w:val="19"/>
                <w:szCs w:val="19"/>
              </w:rPr>
            </w:pPr>
            <w:r w:rsidRPr="00D510F1">
              <w:rPr>
                <w:sz w:val="19"/>
                <w:szCs w:val="19"/>
              </w:rPr>
              <w:t>To assess the safety an</w:t>
            </w:r>
            <w:r>
              <w:rPr>
                <w:sz w:val="19"/>
                <w:szCs w:val="19"/>
              </w:rPr>
              <w:t xml:space="preserve">d tolerability of 2 IM doses of </w:t>
            </w:r>
            <w:r w:rsidRPr="00D510F1">
              <w:rPr>
                <w:sz w:val="19"/>
                <w:szCs w:val="19"/>
              </w:rPr>
              <w:t xml:space="preserve">AZD1222 compared to placebo in adults </w:t>
            </w:r>
            <w:r w:rsidR="00E96F97" w:rsidRPr="00E96F97">
              <w:rPr>
                <w:rFonts w:asciiTheme="minorHAnsi" w:eastAsia="TimesNewRoman" w:hAnsiTheme="minorHAnsi" w:cs="TimesNewRoman"/>
                <w:sz w:val="19"/>
                <w:szCs w:val="19"/>
              </w:rPr>
              <w:sym w:font="Symbol" w:char="F0B3"/>
            </w:r>
            <w:r w:rsidRPr="00D510F1">
              <w:rPr>
                <w:sz w:val="19"/>
                <w:szCs w:val="19"/>
              </w:rPr>
              <w:t xml:space="preserve"> 18 years of age</w:t>
            </w:r>
          </w:p>
          <w:p w14:paraId="58E7EA13" w14:textId="31F816DA" w:rsidR="00C86D41" w:rsidRPr="00D510F1" w:rsidRDefault="00C86D41" w:rsidP="00DB3646">
            <w:pPr>
              <w:ind w:left="0" w:right="0"/>
              <w:rPr>
                <w:sz w:val="19"/>
                <w:szCs w:val="19"/>
              </w:rPr>
            </w:pPr>
            <w:r w:rsidRPr="00D510F1">
              <w:rPr>
                <w:sz w:val="19"/>
                <w:szCs w:val="19"/>
              </w:rPr>
              <w:t>To assess the reactoge</w:t>
            </w:r>
            <w:r>
              <w:rPr>
                <w:sz w:val="19"/>
                <w:szCs w:val="19"/>
              </w:rPr>
              <w:t xml:space="preserve">nicity of 2 IM doses of AZD1222 </w:t>
            </w:r>
            <w:r w:rsidRPr="00D510F1">
              <w:rPr>
                <w:sz w:val="19"/>
                <w:szCs w:val="19"/>
              </w:rPr>
              <w:t>compared to placebo in adu</w:t>
            </w:r>
            <w:r w:rsidR="003B7A50">
              <w:rPr>
                <w:sz w:val="19"/>
                <w:szCs w:val="19"/>
              </w:rPr>
              <w:t xml:space="preserve">lts </w:t>
            </w:r>
            <w:r w:rsidR="00E96F97" w:rsidRPr="00E96F97">
              <w:rPr>
                <w:rFonts w:asciiTheme="minorHAnsi" w:eastAsia="TimesNewRoman" w:hAnsiTheme="minorHAnsi" w:cs="TimesNewRoman"/>
                <w:sz w:val="19"/>
                <w:szCs w:val="19"/>
              </w:rPr>
              <w:sym w:font="Symbol" w:char="F0B3"/>
            </w:r>
            <w:r w:rsidR="003B7A50">
              <w:rPr>
                <w:sz w:val="19"/>
                <w:szCs w:val="19"/>
              </w:rPr>
              <w:t xml:space="preserve"> 18 years of age (</w:t>
            </w:r>
            <w:proofErr w:type="spellStart"/>
            <w:r w:rsidR="003B7A50">
              <w:rPr>
                <w:sz w:val="19"/>
                <w:szCs w:val="19"/>
              </w:rPr>
              <w:t>s</w:t>
            </w:r>
            <w:r>
              <w:rPr>
                <w:sz w:val="19"/>
                <w:szCs w:val="19"/>
              </w:rPr>
              <w:t>ubstudy</w:t>
            </w:r>
            <w:proofErr w:type="spellEnd"/>
            <w:r>
              <w:rPr>
                <w:sz w:val="19"/>
                <w:szCs w:val="19"/>
              </w:rPr>
              <w:t xml:space="preserve"> </w:t>
            </w:r>
            <w:r w:rsidRPr="00D510F1">
              <w:rPr>
                <w:sz w:val="19"/>
                <w:szCs w:val="19"/>
              </w:rPr>
              <w:t>only)</w:t>
            </w:r>
          </w:p>
          <w:p w14:paraId="540BC4EB" w14:textId="23DB774A" w:rsidR="00C86D41" w:rsidRPr="00D510F1" w:rsidRDefault="00C86D41" w:rsidP="00DB3646">
            <w:pPr>
              <w:ind w:left="0" w:right="0"/>
              <w:rPr>
                <w:sz w:val="19"/>
                <w:szCs w:val="19"/>
              </w:rPr>
            </w:pPr>
            <w:r w:rsidRPr="00D510F1">
              <w:rPr>
                <w:sz w:val="19"/>
                <w:szCs w:val="19"/>
              </w:rPr>
              <w:t>Ke</w:t>
            </w:r>
            <w:r w:rsidR="003B7A50">
              <w:rPr>
                <w:sz w:val="19"/>
                <w:szCs w:val="19"/>
              </w:rPr>
              <w:t>y secondary o</w:t>
            </w:r>
            <w:r w:rsidRPr="00D510F1">
              <w:rPr>
                <w:sz w:val="19"/>
                <w:szCs w:val="19"/>
              </w:rPr>
              <w:t>bjectives:</w:t>
            </w:r>
          </w:p>
          <w:p w14:paraId="628E594A" w14:textId="77777777" w:rsidR="00C86D41" w:rsidRPr="00D510F1" w:rsidRDefault="00C86D41" w:rsidP="00DB3646">
            <w:pPr>
              <w:ind w:left="0" w:right="0"/>
              <w:rPr>
                <w:sz w:val="19"/>
                <w:szCs w:val="19"/>
              </w:rPr>
            </w:pPr>
            <w:r w:rsidRPr="00D510F1">
              <w:rPr>
                <w:sz w:val="19"/>
                <w:szCs w:val="19"/>
              </w:rPr>
              <w:t>To estimate the ef</w:t>
            </w:r>
            <w:r>
              <w:rPr>
                <w:sz w:val="19"/>
                <w:szCs w:val="19"/>
              </w:rPr>
              <w:t xml:space="preserve">ficacy of 2 IM doses of AZD1222 </w:t>
            </w:r>
            <w:r w:rsidRPr="00D510F1">
              <w:rPr>
                <w:sz w:val="19"/>
                <w:szCs w:val="19"/>
              </w:rPr>
              <w:t>compared to placebo f</w:t>
            </w:r>
            <w:r>
              <w:rPr>
                <w:sz w:val="19"/>
                <w:szCs w:val="19"/>
              </w:rPr>
              <w:t xml:space="preserve">or the prevention of SARS-CoV-2 </w:t>
            </w:r>
            <w:r w:rsidRPr="00D510F1">
              <w:rPr>
                <w:sz w:val="19"/>
                <w:szCs w:val="19"/>
              </w:rPr>
              <w:t>infection</w:t>
            </w:r>
          </w:p>
          <w:p w14:paraId="0A0457A2" w14:textId="77777777" w:rsidR="00C86D41" w:rsidRDefault="00C86D41" w:rsidP="00DB3646">
            <w:pPr>
              <w:ind w:left="0" w:right="0"/>
              <w:rPr>
                <w:sz w:val="19"/>
                <w:szCs w:val="19"/>
              </w:rPr>
            </w:pPr>
            <w:r w:rsidRPr="00D510F1">
              <w:rPr>
                <w:sz w:val="19"/>
                <w:szCs w:val="19"/>
              </w:rPr>
              <w:t>To estimate the ef</w:t>
            </w:r>
            <w:r>
              <w:rPr>
                <w:sz w:val="19"/>
                <w:szCs w:val="19"/>
              </w:rPr>
              <w:t xml:space="preserve">ficacy of 2 IM doses of AZD1222 </w:t>
            </w:r>
            <w:r w:rsidRPr="00D510F1">
              <w:rPr>
                <w:sz w:val="19"/>
                <w:szCs w:val="19"/>
              </w:rPr>
              <w:t>compared to placebo fo</w:t>
            </w:r>
            <w:r>
              <w:rPr>
                <w:sz w:val="19"/>
                <w:szCs w:val="19"/>
              </w:rPr>
              <w:t xml:space="preserve">r the prevention of symptomatic </w:t>
            </w:r>
            <w:r w:rsidRPr="00D510F1">
              <w:rPr>
                <w:sz w:val="19"/>
                <w:szCs w:val="19"/>
              </w:rPr>
              <w:t>COVID-19 using CDC criteria</w:t>
            </w:r>
          </w:p>
          <w:p w14:paraId="63A29CF8" w14:textId="77777777" w:rsidR="00C86D41" w:rsidRPr="00D510F1" w:rsidRDefault="00C86D41" w:rsidP="00DB3646">
            <w:pPr>
              <w:ind w:left="0" w:right="0"/>
              <w:rPr>
                <w:sz w:val="19"/>
                <w:szCs w:val="19"/>
              </w:rPr>
            </w:pPr>
            <w:r w:rsidRPr="00D510F1">
              <w:rPr>
                <w:sz w:val="19"/>
                <w:szCs w:val="19"/>
              </w:rPr>
              <w:t xml:space="preserve">To estimate the efficacy of 2 </w:t>
            </w:r>
            <w:r>
              <w:rPr>
                <w:sz w:val="19"/>
                <w:szCs w:val="19"/>
              </w:rPr>
              <w:t xml:space="preserve">IM doses of AZD1222 </w:t>
            </w:r>
            <w:r w:rsidRPr="00D510F1">
              <w:rPr>
                <w:sz w:val="19"/>
                <w:szCs w:val="19"/>
              </w:rPr>
              <w:t xml:space="preserve">compared to placebo for </w:t>
            </w:r>
            <w:r>
              <w:rPr>
                <w:sz w:val="19"/>
                <w:szCs w:val="19"/>
              </w:rPr>
              <w:t xml:space="preserve">the prevention of University of </w:t>
            </w:r>
            <w:r w:rsidRPr="00D510F1">
              <w:rPr>
                <w:sz w:val="19"/>
                <w:szCs w:val="19"/>
              </w:rPr>
              <w:t>Oxford-defined symptomatic COVID-19</w:t>
            </w:r>
          </w:p>
          <w:p w14:paraId="706CBBFE" w14:textId="77777777" w:rsidR="00C86D41" w:rsidRPr="00D510F1" w:rsidRDefault="00C86D41" w:rsidP="00DB3646">
            <w:pPr>
              <w:ind w:left="0" w:right="0"/>
              <w:rPr>
                <w:sz w:val="19"/>
                <w:szCs w:val="19"/>
              </w:rPr>
            </w:pPr>
            <w:r w:rsidRPr="00D510F1">
              <w:rPr>
                <w:sz w:val="19"/>
                <w:szCs w:val="19"/>
              </w:rPr>
              <w:t>To estimate the ef</w:t>
            </w:r>
            <w:r>
              <w:rPr>
                <w:sz w:val="19"/>
                <w:szCs w:val="19"/>
              </w:rPr>
              <w:t xml:space="preserve">ficacy of 2 IM doses of AZD1222 </w:t>
            </w:r>
            <w:r w:rsidRPr="00D510F1">
              <w:rPr>
                <w:sz w:val="19"/>
                <w:szCs w:val="19"/>
              </w:rPr>
              <w:t xml:space="preserve">compared to placebo in the prevention of COVID-19 in </w:t>
            </w:r>
            <w:r>
              <w:rPr>
                <w:sz w:val="19"/>
                <w:szCs w:val="19"/>
              </w:rPr>
              <w:t xml:space="preserve">all </w:t>
            </w:r>
            <w:r w:rsidRPr="00D510F1">
              <w:rPr>
                <w:sz w:val="19"/>
                <w:szCs w:val="19"/>
              </w:rPr>
              <w:t xml:space="preserve">study participants, </w:t>
            </w:r>
            <w:r>
              <w:rPr>
                <w:sz w:val="19"/>
                <w:szCs w:val="19"/>
              </w:rPr>
              <w:t xml:space="preserve">regardless of evidence of prior </w:t>
            </w:r>
            <w:r w:rsidRPr="00D510F1">
              <w:rPr>
                <w:sz w:val="19"/>
                <w:szCs w:val="19"/>
              </w:rPr>
              <w:t>SARS-CoV-2 infection</w:t>
            </w:r>
          </w:p>
          <w:p w14:paraId="167500AD" w14:textId="77777777" w:rsidR="00C86D41" w:rsidRPr="00D510F1" w:rsidRDefault="00C86D41" w:rsidP="00DB3646">
            <w:pPr>
              <w:ind w:left="0" w:right="0"/>
              <w:rPr>
                <w:sz w:val="19"/>
                <w:szCs w:val="19"/>
              </w:rPr>
            </w:pPr>
            <w:r w:rsidRPr="00D510F1">
              <w:rPr>
                <w:sz w:val="19"/>
                <w:szCs w:val="19"/>
              </w:rPr>
              <w:t>To estimate the ef</w:t>
            </w:r>
            <w:r>
              <w:rPr>
                <w:sz w:val="19"/>
                <w:szCs w:val="19"/>
              </w:rPr>
              <w:t xml:space="preserve">ficacy of 2 IM doses of AZD1222 </w:t>
            </w:r>
            <w:r w:rsidRPr="00D510F1">
              <w:rPr>
                <w:sz w:val="19"/>
                <w:szCs w:val="19"/>
              </w:rPr>
              <w:t>compared to placebo for the p</w:t>
            </w:r>
            <w:r>
              <w:rPr>
                <w:sz w:val="19"/>
                <w:szCs w:val="19"/>
              </w:rPr>
              <w:t xml:space="preserve">revention of severe or critical </w:t>
            </w:r>
            <w:r w:rsidRPr="00D510F1">
              <w:rPr>
                <w:sz w:val="19"/>
                <w:szCs w:val="19"/>
              </w:rPr>
              <w:t>symptomatic COVID-19</w:t>
            </w:r>
          </w:p>
          <w:p w14:paraId="6D50BD11" w14:textId="21A7BB00" w:rsidR="00C86D41" w:rsidRPr="009674B3" w:rsidRDefault="00C86D41" w:rsidP="00DB3646">
            <w:pPr>
              <w:ind w:left="0" w:right="0"/>
              <w:rPr>
                <w:sz w:val="19"/>
                <w:szCs w:val="19"/>
              </w:rPr>
            </w:pPr>
            <w:r w:rsidRPr="00D510F1">
              <w:rPr>
                <w:sz w:val="19"/>
                <w:szCs w:val="19"/>
              </w:rPr>
              <w:t>To estimat</w:t>
            </w:r>
            <w:r>
              <w:rPr>
                <w:sz w:val="19"/>
                <w:szCs w:val="19"/>
              </w:rPr>
              <w:t xml:space="preserve">e the efficacy of 2 IM doses of </w:t>
            </w:r>
            <w:r w:rsidRPr="00D510F1">
              <w:rPr>
                <w:sz w:val="19"/>
                <w:szCs w:val="19"/>
              </w:rPr>
              <w:t>AZD1</w:t>
            </w:r>
            <w:r>
              <w:rPr>
                <w:sz w:val="19"/>
                <w:szCs w:val="19"/>
              </w:rPr>
              <w:t xml:space="preserve">222 compared to placebo for the prevention of COVID-19-related </w:t>
            </w:r>
            <w:r w:rsidRPr="00D510F1">
              <w:rPr>
                <w:sz w:val="19"/>
                <w:szCs w:val="19"/>
              </w:rPr>
              <w:t>Emergency Department visits</w:t>
            </w:r>
          </w:p>
        </w:tc>
        <w:tc>
          <w:tcPr>
            <w:tcW w:w="1214" w:type="pct"/>
          </w:tcPr>
          <w:p w14:paraId="4D722D6F" w14:textId="6F125B8F" w:rsidR="00C86D41" w:rsidRDefault="00C86D41" w:rsidP="00DB3646">
            <w:pPr>
              <w:ind w:left="0" w:right="0"/>
              <w:rPr>
                <w:sz w:val="19"/>
                <w:szCs w:val="19"/>
              </w:rPr>
            </w:pPr>
            <w:r>
              <w:rPr>
                <w:sz w:val="19"/>
                <w:szCs w:val="19"/>
              </w:rPr>
              <w:t xml:space="preserve">Nervous system disorders, including immune-mediated </w:t>
            </w:r>
            <w:r w:rsidRPr="005A40AC">
              <w:rPr>
                <w:sz w:val="19"/>
                <w:szCs w:val="19"/>
              </w:rPr>
              <w:t>neurological</w:t>
            </w:r>
            <w:r w:rsidR="003B7A50">
              <w:rPr>
                <w:sz w:val="19"/>
                <w:szCs w:val="19"/>
              </w:rPr>
              <w:t xml:space="preserve"> conditions, v</w:t>
            </w:r>
            <w:r>
              <w:rPr>
                <w:sz w:val="19"/>
                <w:szCs w:val="19"/>
              </w:rPr>
              <w:t xml:space="preserve">accine-associated </w:t>
            </w:r>
            <w:r w:rsidRPr="005A40AC">
              <w:rPr>
                <w:sz w:val="19"/>
                <w:szCs w:val="19"/>
              </w:rPr>
              <w:t>enhanced di</w:t>
            </w:r>
            <w:r>
              <w:rPr>
                <w:sz w:val="19"/>
                <w:szCs w:val="19"/>
              </w:rPr>
              <w:t xml:space="preserve">sease (VAED), including vaccine </w:t>
            </w:r>
            <w:r w:rsidRPr="005A40AC">
              <w:rPr>
                <w:sz w:val="19"/>
                <w:szCs w:val="19"/>
              </w:rPr>
              <w:t>asso</w:t>
            </w:r>
            <w:r>
              <w:rPr>
                <w:sz w:val="19"/>
                <w:szCs w:val="19"/>
              </w:rPr>
              <w:t xml:space="preserve">ciated enhanced respiratory </w:t>
            </w:r>
            <w:r w:rsidRPr="005A40AC">
              <w:rPr>
                <w:sz w:val="19"/>
                <w:szCs w:val="19"/>
              </w:rPr>
              <w:t xml:space="preserve">disease </w:t>
            </w:r>
            <w:r w:rsidR="003B7A50">
              <w:rPr>
                <w:sz w:val="19"/>
                <w:szCs w:val="19"/>
              </w:rPr>
              <w:t>(VAERD), anaphylaxis, l</w:t>
            </w:r>
            <w:r>
              <w:rPr>
                <w:sz w:val="19"/>
                <w:szCs w:val="19"/>
              </w:rPr>
              <w:t xml:space="preserve">ong-term </w:t>
            </w:r>
            <w:r w:rsidR="003B7A50">
              <w:rPr>
                <w:sz w:val="19"/>
                <w:szCs w:val="19"/>
              </w:rPr>
              <w:t>safety, u</w:t>
            </w:r>
            <w:r w:rsidRPr="005A40AC">
              <w:rPr>
                <w:sz w:val="19"/>
                <w:szCs w:val="19"/>
              </w:rPr>
              <w:t>se in elderly (&gt;</w:t>
            </w:r>
            <w:r w:rsidR="003B7A50">
              <w:rPr>
                <w:sz w:val="19"/>
                <w:szCs w:val="19"/>
              </w:rPr>
              <w:t> </w:t>
            </w:r>
            <w:r w:rsidRPr="005A40AC">
              <w:rPr>
                <w:sz w:val="19"/>
                <w:szCs w:val="19"/>
              </w:rPr>
              <w:t>65 years of age)</w:t>
            </w:r>
          </w:p>
        </w:tc>
        <w:tc>
          <w:tcPr>
            <w:tcW w:w="810" w:type="pct"/>
          </w:tcPr>
          <w:p w14:paraId="3045E9B2" w14:textId="6C0349CB" w:rsidR="00C86D41" w:rsidRPr="009674B3" w:rsidRDefault="003B7A50" w:rsidP="00DB3646">
            <w:pPr>
              <w:ind w:left="0" w:right="0"/>
              <w:rPr>
                <w:sz w:val="19"/>
                <w:szCs w:val="19"/>
              </w:rPr>
            </w:pPr>
            <w:r>
              <w:rPr>
                <w:sz w:val="19"/>
                <w:szCs w:val="19"/>
              </w:rPr>
              <w:t>Interim analysis due: first quarter</w:t>
            </w:r>
            <w:r w:rsidR="00C86D41" w:rsidRPr="005A40AC">
              <w:rPr>
                <w:sz w:val="19"/>
                <w:szCs w:val="19"/>
              </w:rPr>
              <w:t xml:space="preserve"> 2021</w:t>
            </w:r>
          </w:p>
        </w:tc>
      </w:tr>
      <w:tr w:rsidR="00C86D41" w:rsidRPr="00D90C10" w14:paraId="33DCF4F6" w14:textId="77777777" w:rsidTr="0042498E">
        <w:tc>
          <w:tcPr>
            <w:tcW w:w="1114" w:type="pct"/>
          </w:tcPr>
          <w:p w14:paraId="61DDD94A" w14:textId="77777777" w:rsidR="00C86D41" w:rsidRPr="005A40AC" w:rsidRDefault="00C86D41" w:rsidP="00DB3646">
            <w:pPr>
              <w:ind w:left="0" w:right="0"/>
              <w:rPr>
                <w:sz w:val="19"/>
                <w:szCs w:val="19"/>
              </w:rPr>
            </w:pPr>
            <w:r w:rsidRPr="005A40AC">
              <w:rPr>
                <w:sz w:val="19"/>
                <w:szCs w:val="19"/>
              </w:rPr>
              <w:t>D8111C00002</w:t>
            </w:r>
          </w:p>
          <w:p w14:paraId="79FECFCE" w14:textId="16E5E592" w:rsidR="00C86D41" w:rsidRPr="009674B3" w:rsidRDefault="00C86D41" w:rsidP="00DB3646">
            <w:pPr>
              <w:ind w:left="0" w:right="0"/>
              <w:rPr>
                <w:sz w:val="19"/>
                <w:szCs w:val="19"/>
              </w:rPr>
            </w:pPr>
            <w:r>
              <w:rPr>
                <w:sz w:val="19"/>
                <w:szCs w:val="19"/>
              </w:rPr>
              <w:t xml:space="preserve">A Phase I/II Randomized, </w:t>
            </w:r>
            <w:proofErr w:type="spellStart"/>
            <w:r>
              <w:rPr>
                <w:sz w:val="19"/>
                <w:szCs w:val="19"/>
              </w:rPr>
              <w:t>Doubleblind</w:t>
            </w:r>
            <w:proofErr w:type="spellEnd"/>
            <w:r>
              <w:rPr>
                <w:sz w:val="19"/>
                <w:szCs w:val="19"/>
              </w:rPr>
              <w:t xml:space="preserve">, </w:t>
            </w:r>
            <w:proofErr w:type="spellStart"/>
            <w:r>
              <w:rPr>
                <w:sz w:val="19"/>
                <w:szCs w:val="19"/>
              </w:rPr>
              <w:t>Placebocontrolled</w:t>
            </w:r>
            <w:proofErr w:type="spellEnd"/>
            <w:r>
              <w:rPr>
                <w:sz w:val="19"/>
                <w:szCs w:val="19"/>
              </w:rPr>
              <w:t xml:space="preserve"> Multicentre Study in </w:t>
            </w:r>
            <w:r>
              <w:rPr>
                <w:sz w:val="19"/>
                <w:szCs w:val="19"/>
              </w:rPr>
              <w:lastRenderedPageBreak/>
              <w:t xml:space="preserve">Participants Aged 18 Years or Older to Determine the Safety and Immunogenicity of AZD1222, a Nonreplicating ChAdOx1 Vector Vaccine, for </w:t>
            </w:r>
            <w:r w:rsidRPr="005A40AC">
              <w:rPr>
                <w:sz w:val="19"/>
                <w:szCs w:val="19"/>
              </w:rPr>
              <w:t>the Prevention of COVID-19</w:t>
            </w:r>
          </w:p>
        </w:tc>
        <w:tc>
          <w:tcPr>
            <w:tcW w:w="1862" w:type="pct"/>
          </w:tcPr>
          <w:p w14:paraId="0CA4C4EB" w14:textId="01C9A9F9" w:rsidR="00C86D41" w:rsidRPr="005A40AC" w:rsidRDefault="003B7A50" w:rsidP="00DB3646">
            <w:pPr>
              <w:ind w:left="0" w:right="0"/>
              <w:rPr>
                <w:sz w:val="19"/>
                <w:szCs w:val="19"/>
              </w:rPr>
            </w:pPr>
            <w:r>
              <w:rPr>
                <w:sz w:val="19"/>
                <w:szCs w:val="19"/>
              </w:rPr>
              <w:lastRenderedPageBreak/>
              <w:t>Primary o</w:t>
            </w:r>
            <w:r w:rsidR="00C86D41" w:rsidRPr="005A40AC">
              <w:rPr>
                <w:sz w:val="19"/>
                <w:szCs w:val="19"/>
              </w:rPr>
              <w:t>bjectives:</w:t>
            </w:r>
          </w:p>
          <w:p w14:paraId="28232BA9" w14:textId="77777777" w:rsidR="00C86D41" w:rsidRPr="005A40AC" w:rsidRDefault="00C86D41" w:rsidP="00DB3646">
            <w:pPr>
              <w:ind w:left="0" w:right="0"/>
              <w:rPr>
                <w:sz w:val="19"/>
                <w:szCs w:val="19"/>
              </w:rPr>
            </w:pPr>
            <w:r w:rsidRPr="005A40AC">
              <w:rPr>
                <w:sz w:val="19"/>
                <w:szCs w:val="19"/>
              </w:rPr>
              <w:t>To asses</w:t>
            </w:r>
            <w:r>
              <w:rPr>
                <w:sz w:val="19"/>
                <w:szCs w:val="19"/>
              </w:rPr>
              <w:t xml:space="preserve">s antibody responses to AZD1222 </w:t>
            </w:r>
            <w:r w:rsidRPr="005A40AC">
              <w:rPr>
                <w:sz w:val="19"/>
                <w:szCs w:val="19"/>
              </w:rPr>
              <w:t>Spike antigen following 2 IM doses of AZD1222 or placebo.</w:t>
            </w:r>
          </w:p>
          <w:p w14:paraId="684EC663" w14:textId="77777777" w:rsidR="00C86D41" w:rsidRPr="005A40AC" w:rsidRDefault="00C86D41" w:rsidP="00DB3646">
            <w:pPr>
              <w:ind w:left="0" w:right="0"/>
              <w:rPr>
                <w:sz w:val="19"/>
                <w:szCs w:val="19"/>
              </w:rPr>
            </w:pPr>
            <w:r w:rsidRPr="005A40AC">
              <w:rPr>
                <w:sz w:val="19"/>
                <w:szCs w:val="19"/>
              </w:rPr>
              <w:t>To assess the safety, tolerability, and react</w:t>
            </w:r>
            <w:r>
              <w:rPr>
                <w:sz w:val="19"/>
                <w:szCs w:val="19"/>
              </w:rPr>
              <w:t xml:space="preserve">ogenicity profile of </w:t>
            </w:r>
            <w:r w:rsidRPr="005A40AC">
              <w:rPr>
                <w:sz w:val="19"/>
                <w:szCs w:val="19"/>
              </w:rPr>
              <w:t xml:space="preserve">the </w:t>
            </w:r>
            <w:r w:rsidRPr="005A40AC">
              <w:rPr>
                <w:sz w:val="19"/>
                <w:szCs w:val="19"/>
              </w:rPr>
              <w:lastRenderedPageBreak/>
              <w:t>candidate vaccine AZD1222.</w:t>
            </w:r>
          </w:p>
          <w:p w14:paraId="311DB58F" w14:textId="3AB8792B" w:rsidR="00C86D41" w:rsidRPr="005A40AC" w:rsidRDefault="003B7A50" w:rsidP="00DB3646">
            <w:pPr>
              <w:ind w:left="0" w:right="0"/>
              <w:rPr>
                <w:sz w:val="19"/>
                <w:szCs w:val="19"/>
              </w:rPr>
            </w:pPr>
            <w:r>
              <w:rPr>
                <w:sz w:val="19"/>
                <w:szCs w:val="19"/>
              </w:rPr>
              <w:t>Secondary o</w:t>
            </w:r>
            <w:r w:rsidR="00C86D41" w:rsidRPr="005A40AC">
              <w:rPr>
                <w:sz w:val="19"/>
                <w:szCs w:val="19"/>
              </w:rPr>
              <w:t>bjectives:</w:t>
            </w:r>
          </w:p>
          <w:p w14:paraId="5BCAF083" w14:textId="77777777" w:rsidR="00C86D41" w:rsidRPr="005A40AC" w:rsidRDefault="00C86D41" w:rsidP="00DB3646">
            <w:pPr>
              <w:ind w:left="0" w:right="0"/>
              <w:rPr>
                <w:sz w:val="19"/>
                <w:szCs w:val="19"/>
              </w:rPr>
            </w:pPr>
            <w:r w:rsidRPr="005A40AC">
              <w:rPr>
                <w:sz w:val="19"/>
                <w:szCs w:val="19"/>
              </w:rPr>
              <w:t>To assess antibody r</w:t>
            </w:r>
            <w:r>
              <w:rPr>
                <w:sz w:val="19"/>
                <w:szCs w:val="19"/>
              </w:rPr>
              <w:t xml:space="preserve">esponses to AZD1222 RBD antigen </w:t>
            </w:r>
            <w:r w:rsidRPr="005A40AC">
              <w:rPr>
                <w:sz w:val="19"/>
                <w:szCs w:val="19"/>
              </w:rPr>
              <w:t>following 2 IM doses of AZD1222 or placebo.</w:t>
            </w:r>
          </w:p>
          <w:p w14:paraId="1379A8F6" w14:textId="77777777" w:rsidR="00C86D41" w:rsidRPr="005A40AC" w:rsidRDefault="00C86D41" w:rsidP="00DB3646">
            <w:pPr>
              <w:ind w:left="0" w:right="0"/>
              <w:rPr>
                <w:sz w:val="19"/>
                <w:szCs w:val="19"/>
              </w:rPr>
            </w:pPr>
            <w:r w:rsidRPr="005A40AC">
              <w:rPr>
                <w:sz w:val="19"/>
                <w:szCs w:val="19"/>
              </w:rPr>
              <w:t>To assess time course o</w:t>
            </w:r>
            <w:r>
              <w:rPr>
                <w:sz w:val="19"/>
                <w:szCs w:val="19"/>
              </w:rPr>
              <w:t xml:space="preserve">f antibody to AZD1222 Spike and </w:t>
            </w:r>
            <w:r w:rsidRPr="005A40AC">
              <w:rPr>
                <w:sz w:val="19"/>
                <w:szCs w:val="19"/>
              </w:rPr>
              <w:t>RBD antigens of AZD1222 (MSD serology assay)</w:t>
            </w:r>
          </w:p>
          <w:p w14:paraId="3D5390E7" w14:textId="77777777" w:rsidR="00C86D41" w:rsidRPr="005A40AC" w:rsidRDefault="00C86D41" w:rsidP="00DB3646">
            <w:pPr>
              <w:ind w:left="0" w:right="0"/>
              <w:rPr>
                <w:sz w:val="19"/>
                <w:szCs w:val="19"/>
              </w:rPr>
            </w:pPr>
            <w:r w:rsidRPr="005A40AC">
              <w:rPr>
                <w:sz w:val="19"/>
                <w:szCs w:val="19"/>
              </w:rPr>
              <w:t xml:space="preserve">To assess the function </w:t>
            </w:r>
            <w:r>
              <w:rPr>
                <w:sz w:val="19"/>
                <w:szCs w:val="19"/>
              </w:rPr>
              <w:t xml:space="preserve">of </w:t>
            </w:r>
            <w:proofErr w:type="spellStart"/>
            <w:r>
              <w:rPr>
                <w:sz w:val="19"/>
                <w:szCs w:val="19"/>
              </w:rPr>
              <w:t>nAb</w:t>
            </w:r>
            <w:proofErr w:type="spellEnd"/>
            <w:r>
              <w:rPr>
                <w:sz w:val="19"/>
                <w:szCs w:val="19"/>
              </w:rPr>
              <w:t xml:space="preserve"> against SARS-CoV-2 spike </w:t>
            </w:r>
            <w:r w:rsidRPr="005A40AC">
              <w:rPr>
                <w:sz w:val="19"/>
                <w:szCs w:val="19"/>
              </w:rPr>
              <w:t>protein</w:t>
            </w:r>
          </w:p>
          <w:p w14:paraId="49EAB5D9" w14:textId="77777777" w:rsidR="00C86D41" w:rsidRPr="005A40AC" w:rsidRDefault="00C86D41" w:rsidP="00DB3646">
            <w:pPr>
              <w:ind w:left="0" w:right="0"/>
              <w:rPr>
                <w:sz w:val="19"/>
                <w:szCs w:val="19"/>
              </w:rPr>
            </w:pPr>
            <w:r w:rsidRPr="005A40AC">
              <w:rPr>
                <w:sz w:val="19"/>
                <w:szCs w:val="19"/>
              </w:rPr>
              <w:t>To assess the safety of the candidate vaccine AZD1222.</w:t>
            </w:r>
          </w:p>
          <w:p w14:paraId="14A6C254" w14:textId="472D5364" w:rsidR="00C86D41" w:rsidRPr="005A40AC" w:rsidRDefault="00C86D41" w:rsidP="00DB3646">
            <w:pPr>
              <w:ind w:left="0" w:right="0"/>
              <w:rPr>
                <w:sz w:val="19"/>
                <w:szCs w:val="19"/>
              </w:rPr>
            </w:pPr>
            <w:r w:rsidRPr="005A40AC">
              <w:rPr>
                <w:sz w:val="19"/>
                <w:szCs w:val="19"/>
              </w:rPr>
              <w:t>To describe occurr</w:t>
            </w:r>
            <w:r w:rsidR="003B7A50">
              <w:rPr>
                <w:sz w:val="19"/>
                <w:szCs w:val="19"/>
              </w:rPr>
              <w:t xml:space="preserve">ence of symptomatic COVID-19 in </w:t>
            </w:r>
            <w:r w:rsidRPr="005A40AC">
              <w:rPr>
                <w:sz w:val="19"/>
                <w:szCs w:val="19"/>
              </w:rPr>
              <w:t>recipients of AZD1222 and placebo.</w:t>
            </w:r>
          </w:p>
          <w:p w14:paraId="3F7713FD" w14:textId="5C79D1ED" w:rsidR="00C86D41" w:rsidRPr="009674B3" w:rsidRDefault="00C86D41" w:rsidP="00DB3646">
            <w:pPr>
              <w:ind w:left="0" w:right="0"/>
              <w:rPr>
                <w:sz w:val="19"/>
                <w:szCs w:val="19"/>
              </w:rPr>
            </w:pPr>
            <w:r w:rsidRPr="005A40AC">
              <w:rPr>
                <w:sz w:val="19"/>
                <w:szCs w:val="19"/>
              </w:rPr>
              <w:t>To describe occ</w:t>
            </w:r>
            <w:r>
              <w:rPr>
                <w:sz w:val="19"/>
                <w:szCs w:val="19"/>
              </w:rPr>
              <w:t xml:space="preserve">urrence of severe COVID- 19 and </w:t>
            </w:r>
            <w:proofErr w:type="spellStart"/>
            <w:r w:rsidRPr="005A40AC">
              <w:rPr>
                <w:sz w:val="19"/>
                <w:szCs w:val="19"/>
              </w:rPr>
              <w:t>ser</w:t>
            </w:r>
            <w:r>
              <w:rPr>
                <w:sz w:val="19"/>
                <w:szCs w:val="19"/>
              </w:rPr>
              <w:t>oresponse</w:t>
            </w:r>
            <w:proofErr w:type="spellEnd"/>
            <w:r>
              <w:rPr>
                <w:sz w:val="19"/>
                <w:szCs w:val="19"/>
              </w:rPr>
              <w:t xml:space="preserve"> to non-Spike SARSCoV-</w:t>
            </w:r>
            <w:r w:rsidRPr="005A40AC">
              <w:rPr>
                <w:sz w:val="19"/>
                <w:szCs w:val="19"/>
              </w:rPr>
              <w:t>2 antigens.</w:t>
            </w:r>
          </w:p>
        </w:tc>
        <w:tc>
          <w:tcPr>
            <w:tcW w:w="1214" w:type="pct"/>
          </w:tcPr>
          <w:p w14:paraId="56469804" w14:textId="4E72B063" w:rsidR="00C86D41" w:rsidRDefault="00C86D41" w:rsidP="00DB3646">
            <w:pPr>
              <w:ind w:left="0" w:right="0"/>
              <w:rPr>
                <w:sz w:val="19"/>
                <w:szCs w:val="19"/>
              </w:rPr>
            </w:pPr>
            <w:r>
              <w:rPr>
                <w:sz w:val="19"/>
                <w:szCs w:val="19"/>
              </w:rPr>
              <w:lastRenderedPageBreak/>
              <w:t xml:space="preserve">Nervous system disorders, </w:t>
            </w:r>
            <w:r w:rsidR="003B7A50">
              <w:rPr>
                <w:sz w:val="19"/>
                <w:szCs w:val="19"/>
              </w:rPr>
              <w:t xml:space="preserve">including immune-mediated </w:t>
            </w:r>
            <w:r w:rsidRPr="005A40AC">
              <w:rPr>
                <w:sz w:val="19"/>
                <w:szCs w:val="19"/>
              </w:rPr>
              <w:t>neurological</w:t>
            </w:r>
            <w:r w:rsidR="003B7A50">
              <w:rPr>
                <w:sz w:val="19"/>
                <w:szCs w:val="19"/>
              </w:rPr>
              <w:t xml:space="preserve"> conditions, vaccine-associated </w:t>
            </w:r>
            <w:r w:rsidRPr="005A40AC">
              <w:rPr>
                <w:sz w:val="19"/>
                <w:szCs w:val="19"/>
              </w:rPr>
              <w:t>enhanced di</w:t>
            </w:r>
            <w:r w:rsidR="003B7A50">
              <w:rPr>
                <w:sz w:val="19"/>
                <w:szCs w:val="19"/>
              </w:rPr>
              <w:t xml:space="preserve">sease (VAED), </w:t>
            </w:r>
            <w:r w:rsidR="003B7A50">
              <w:rPr>
                <w:sz w:val="19"/>
                <w:szCs w:val="19"/>
              </w:rPr>
              <w:lastRenderedPageBreak/>
              <w:t xml:space="preserve">including vaccine associated enhanced respiratory </w:t>
            </w:r>
            <w:r w:rsidRPr="005A40AC">
              <w:rPr>
                <w:sz w:val="19"/>
                <w:szCs w:val="19"/>
              </w:rPr>
              <w:t xml:space="preserve">disease </w:t>
            </w:r>
            <w:r w:rsidR="003B7A50">
              <w:rPr>
                <w:sz w:val="19"/>
                <w:szCs w:val="19"/>
              </w:rPr>
              <w:t>(VAERD), anaphylaxis, long-term safety, u</w:t>
            </w:r>
            <w:r w:rsidRPr="005A40AC">
              <w:rPr>
                <w:sz w:val="19"/>
                <w:szCs w:val="19"/>
              </w:rPr>
              <w:t>se in elderly (&gt;</w:t>
            </w:r>
            <w:r w:rsidR="003B7A50">
              <w:rPr>
                <w:sz w:val="19"/>
                <w:szCs w:val="19"/>
              </w:rPr>
              <w:t xml:space="preserve"> </w:t>
            </w:r>
            <w:r w:rsidRPr="005A40AC">
              <w:rPr>
                <w:sz w:val="19"/>
                <w:szCs w:val="19"/>
              </w:rPr>
              <w:t>65 years of age)</w:t>
            </w:r>
          </w:p>
        </w:tc>
        <w:tc>
          <w:tcPr>
            <w:tcW w:w="810" w:type="pct"/>
          </w:tcPr>
          <w:p w14:paraId="39CC46F1" w14:textId="0EAF5710" w:rsidR="00C86D41" w:rsidRPr="005A40AC" w:rsidRDefault="00C86D41" w:rsidP="00DB3646">
            <w:pPr>
              <w:ind w:left="0" w:right="0"/>
              <w:rPr>
                <w:sz w:val="19"/>
                <w:szCs w:val="19"/>
              </w:rPr>
            </w:pPr>
            <w:r>
              <w:rPr>
                <w:sz w:val="19"/>
                <w:szCs w:val="19"/>
              </w:rPr>
              <w:lastRenderedPageBreak/>
              <w:t xml:space="preserve">Interim analysis due </w:t>
            </w:r>
            <w:r w:rsidR="003B7A50">
              <w:rPr>
                <w:sz w:val="19"/>
                <w:szCs w:val="19"/>
              </w:rPr>
              <w:t xml:space="preserve">first quarter </w:t>
            </w:r>
            <w:r w:rsidRPr="005A40AC">
              <w:rPr>
                <w:sz w:val="19"/>
                <w:szCs w:val="19"/>
              </w:rPr>
              <w:t>2021</w:t>
            </w:r>
          </w:p>
          <w:p w14:paraId="6D42B9C0" w14:textId="794192C4" w:rsidR="00C86D41" w:rsidRPr="009674B3" w:rsidRDefault="003B7A50" w:rsidP="00DB3646">
            <w:pPr>
              <w:ind w:left="0" w:right="0"/>
              <w:rPr>
                <w:sz w:val="19"/>
                <w:szCs w:val="19"/>
              </w:rPr>
            </w:pPr>
            <w:r>
              <w:rPr>
                <w:sz w:val="19"/>
                <w:szCs w:val="19"/>
              </w:rPr>
              <w:t xml:space="preserve">Primary analysis due </w:t>
            </w:r>
            <w:r>
              <w:rPr>
                <w:sz w:val="19"/>
                <w:szCs w:val="19"/>
              </w:rPr>
              <w:lastRenderedPageBreak/>
              <w:t xml:space="preserve">second quarter </w:t>
            </w:r>
            <w:r w:rsidR="00C86D41" w:rsidRPr="005A40AC">
              <w:rPr>
                <w:sz w:val="19"/>
                <w:szCs w:val="19"/>
              </w:rPr>
              <w:t>2021</w:t>
            </w:r>
          </w:p>
        </w:tc>
      </w:tr>
      <w:tr w:rsidR="00C86D41" w:rsidRPr="00D90C10" w14:paraId="755C2A33" w14:textId="77777777" w:rsidTr="0042498E">
        <w:tc>
          <w:tcPr>
            <w:tcW w:w="5000" w:type="pct"/>
            <w:gridSpan w:val="4"/>
          </w:tcPr>
          <w:p w14:paraId="35E38B1A" w14:textId="06722EC9" w:rsidR="00C86D41" w:rsidRPr="009674B3" w:rsidRDefault="00C86D41" w:rsidP="00DB3646">
            <w:pPr>
              <w:ind w:left="0" w:right="0"/>
              <w:rPr>
                <w:sz w:val="19"/>
                <w:szCs w:val="19"/>
              </w:rPr>
            </w:pPr>
            <w:r w:rsidRPr="008974B6">
              <w:rPr>
                <w:b/>
                <w:sz w:val="19"/>
                <w:szCs w:val="19"/>
              </w:rPr>
              <w:lastRenderedPageBreak/>
              <w:t>Planned</w:t>
            </w:r>
          </w:p>
        </w:tc>
      </w:tr>
      <w:tr w:rsidR="00C86D41" w:rsidRPr="00D90C10" w14:paraId="08EB6D26" w14:textId="77777777" w:rsidTr="0042498E">
        <w:tc>
          <w:tcPr>
            <w:tcW w:w="1114" w:type="pct"/>
          </w:tcPr>
          <w:p w14:paraId="7B0873E1" w14:textId="77777777" w:rsidR="00C86D41" w:rsidRPr="005A40AC" w:rsidRDefault="00C86D41" w:rsidP="00DB3646">
            <w:pPr>
              <w:ind w:left="0" w:right="0"/>
              <w:rPr>
                <w:sz w:val="19"/>
                <w:szCs w:val="19"/>
              </w:rPr>
            </w:pPr>
            <w:r>
              <w:rPr>
                <w:sz w:val="19"/>
                <w:szCs w:val="19"/>
              </w:rPr>
              <w:t xml:space="preserve">Enhanced Active Surveillance </w:t>
            </w:r>
            <w:r w:rsidRPr="005A40AC">
              <w:rPr>
                <w:sz w:val="19"/>
                <w:szCs w:val="19"/>
              </w:rPr>
              <w:t>Study</w:t>
            </w:r>
          </w:p>
          <w:p w14:paraId="0E526F5C" w14:textId="77777777" w:rsidR="00C86D41" w:rsidRPr="005A40AC" w:rsidRDefault="00C86D41" w:rsidP="00DB3646">
            <w:pPr>
              <w:ind w:left="0" w:right="0"/>
              <w:rPr>
                <w:sz w:val="19"/>
                <w:szCs w:val="19"/>
              </w:rPr>
            </w:pPr>
            <w:r>
              <w:rPr>
                <w:sz w:val="19"/>
                <w:szCs w:val="19"/>
              </w:rPr>
              <w:t xml:space="preserve">A Phase IV Enhanced Active Surveillance </w:t>
            </w:r>
            <w:r w:rsidRPr="005A40AC">
              <w:rPr>
                <w:sz w:val="19"/>
                <w:szCs w:val="19"/>
              </w:rPr>
              <w:t>Study of People</w:t>
            </w:r>
            <w:r>
              <w:rPr>
                <w:sz w:val="19"/>
                <w:szCs w:val="19"/>
              </w:rPr>
              <w:t xml:space="preserve"> Vaccinated with </w:t>
            </w:r>
            <w:r w:rsidRPr="005A40AC">
              <w:rPr>
                <w:sz w:val="19"/>
                <w:szCs w:val="19"/>
              </w:rPr>
              <w:t>AZD1222</w:t>
            </w:r>
          </w:p>
          <w:p w14:paraId="0B86D033" w14:textId="77777777" w:rsidR="00C86D41" w:rsidRPr="005A40AC" w:rsidRDefault="00C86D41" w:rsidP="00DB3646">
            <w:pPr>
              <w:ind w:left="0" w:right="0"/>
              <w:rPr>
                <w:sz w:val="19"/>
                <w:szCs w:val="19"/>
              </w:rPr>
            </w:pPr>
            <w:r w:rsidRPr="005A40AC">
              <w:rPr>
                <w:sz w:val="19"/>
                <w:szCs w:val="19"/>
              </w:rPr>
              <w:t>D8111R00003 (EU)</w:t>
            </w:r>
          </w:p>
          <w:p w14:paraId="4DEDFBB5" w14:textId="77777777" w:rsidR="00C86D41" w:rsidRPr="005A40AC" w:rsidRDefault="00C86D41" w:rsidP="00DB3646">
            <w:pPr>
              <w:ind w:left="0" w:right="0"/>
              <w:rPr>
                <w:sz w:val="19"/>
                <w:szCs w:val="19"/>
              </w:rPr>
            </w:pPr>
            <w:r w:rsidRPr="005A40AC">
              <w:rPr>
                <w:sz w:val="19"/>
                <w:szCs w:val="19"/>
              </w:rPr>
              <w:t>D8110R00001 (US)</w:t>
            </w:r>
          </w:p>
          <w:p w14:paraId="123A2015" w14:textId="3DDE3E06" w:rsidR="00C86D41" w:rsidRPr="009674B3" w:rsidRDefault="00C86D41" w:rsidP="00DB3646">
            <w:pPr>
              <w:ind w:left="0" w:right="0"/>
              <w:rPr>
                <w:sz w:val="19"/>
                <w:szCs w:val="19"/>
              </w:rPr>
            </w:pPr>
            <w:r>
              <w:rPr>
                <w:sz w:val="19"/>
                <w:szCs w:val="19"/>
              </w:rPr>
              <w:t xml:space="preserve">ESR 21-21121 (UK, DSRU </w:t>
            </w:r>
            <w:r w:rsidRPr="005A40AC">
              <w:rPr>
                <w:sz w:val="19"/>
                <w:szCs w:val="19"/>
              </w:rPr>
              <w:t>sponsored)</w:t>
            </w:r>
          </w:p>
        </w:tc>
        <w:tc>
          <w:tcPr>
            <w:tcW w:w="1862" w:type="pct"/>
          </w:tcPr>
          <w:p w14:paraId="11FE3BE8" w14:textId="46052054" w:rsidR="00C86D41" w:rsidRPr="005A40AC" w:rsidRDefault="003B7A50" w:rsidP="00DB3646">
            <w:pPr>
              <w:ind w:left="0" w:right="0"/>
              <w:rPr>
                <w:sz w:val="19"/>
                <w:szCs w:val="19"/>
              </w:rPr>
            </w:pPr>
            <w:r>
              <w:rPr>
                <w:sz w:val="19"/>
                <w:szCs w:val="19"/>
              </w:rPr>
              <w:t>Primary o</w:t>
            </w:r>
            <w:r w:rsidR="00C86D41" w:rsidRPr="005A40AC">
              <w:rPr>
                <w:sz w:val="19"/>
                <w:szCs w:val="19"/>
              </w:rPr>
              <w:t>bjectives:</w:t>
            </w:r>
          </w:p>
          <w:p w14:paraId="614CF0F2" w14:textId="592AAFFA" w:rsidR="00C86D41" w:rsidRPr="005A40AC" w:rsidRDefault="00C86D41" w:rsidP="00DB3646">
            <w:pPr>
              <w:ind w:left="0" w:right="0"/>
              <w:rPr>
                <w:sz w:val="19"/>
                <w:szCs w:val="19"/>
              </w:rPr>
            </w:pPr>
            <w:r w:rsidRPr="005A40AC">
              <w:rPr>
                <w:sz w:val="19"/>
                <w:szCs w:val="19"/>
              </w:rPr>
              <w:t>To assess the safety and tolera</w:t>
            </w:r>
            <w:r>
              <w:rPr>
                <w:sz w:val="19"/>
                <w:szCs w:val="19"/>
              </w:rPr>
              <w:t xml:space="preserve">bility of at least 1 IM dose of </w:t>
            </w:r>
            <w:r w:rsidRPr="005A40AC">
              <w:rPr>
                <w:sz w:val="19"/>
                <w:szCs w:val="19"/>
              </w:rPr>
              <w:t xml:space="preserve">AZD1222 in adults </w:t>
            </w:r>
            <w:r w:rsidR="00E96F97" w:rsidRPr="00E96F97">
              <w:rPr>
                <w:rFonts w:asciiTheme="minorHAnsi" w:eastAsia="TimesNewRoman" w:hAnsiTheme="minorHAnsi" w:cs="TimesNewRoman"/>
                <w:sz w:val="19"/>
                <w:szCs w:val="19"/>
              </w:rPr>
              <w:sym w:font="Symbol" w:char="F0B3"/>
            </w:r>
            <w:r w:rsidRPr="005A40AC">
              <w:rPr>
                <w:sz w:val="19"/>
                <w:szCs w:val="19"/>
              </w:rPr>
              <w:t xml:space="preserve"> 18 years of age for 3 months after</w:t>
            </w:r>
            <w:r>
              <w:rPr>
                <w:sz w:val="19"/>
                <w:szCs w:val="19"/>
              </w:rPr>
              <w:t xml:space="preserve"> </w:t>
            </w:r>
            <w:r w:rsidRPr="005A40AC">
              <w:rPr>
                <w:sz w:val="19"/>
                <w:szCs w:val="19"/>
              </w:rPr>
              <w:t>vaccination with the first dose of AZD1222.</w:t>
            </w:r>
          </w:p>
          <w:p w14:paraId="5FC4608F" w14:textId="07408138" w:rsidR="00C86D41" w:rsidRDefault="00C86D41" w:rsidP="00DB3646">
            <w:pPr>
              <w:ind w:left="0" w:right="0"/>
              <w:rPr>
                <w:sz w:val="19"/>
                <w:szCs w:val="19"/>
              </w:rPr>
            </w:pPr>
            <w:r w:rsidRPr="005A40AC">
              <w:rPr>
                <w:sz w:val="19"/>
                <w:szCs w:val="19"/>
              </w:rPr>
              <w:t>Secondar</w:t>
            </w:r>
            <w:r w:rsidR="003B7A50">
              <w:rPr>
                <w:sz w:val="19"/>
                <w:szCs w:val="19"/>
              </w:rPr>
              <w:t>y o</w:t>
            </w:r>
            <w:r w:rsidRPr="005A40AC">
              <w:rPr>
                <w:sz w:val="19"/>
                <w:szCs w:val="19"/>
              </w:rPr>
              <w:t>bjectives:</w:t>
            </w:r>
          </w:p>
          <w:p w14:paraId="0BB93654" w14:textId="77777777" w:rsidR="00C86D41" w:rsidRPr="005A40AC" w:rsidRDefault="00C86D41" w:rsidP="00DB3646">
            <w:pPr>
              <w:ind w:left="0" w:right="0"/>
              <w:rPr>
                <w:sz w:val="19"/>
                <w:szCs w:val="19"/>
              </w:rPr>
            </w:pPr>
            <w:r w:rsidRPr="005A40AC">
              <w:rPr>
                <w:sz w:val="19"/>
                <w:szCs w:val="19"/>
              </w:rPr>
              <w:t>To assess the longer-term safety</w:t>
            </w:r>
            <w:r>
              <w:rPr>
                <w:sz w:val="19"/>
                <w:szCs w:val="19"/>
              </w:rPr>
              <w:t xml:space="preserve"> and tolerability of at least 1 </w:t>
            </w:r>
            <w:r w:rsidRPr="005A40AC">
              <w:rPr>
                <w:sz w:val="19"/>
                <w:szCs w:val="19"/>
              </w:rPr>
              <w:t>IM dose of AZD1222 for 18 months after vaccination.</w:t>
            </w:r>
          </w:p>
          <w:p w14:paraId="5B65E8F7" w14:textId="34C12980" w:rsidR="00C86D41" w:rsidRPr="005A40AC" w:rsidRDefault="00C86D41" w:rsidP="00DB3646">
            <w:pPr>
              <w:ind w:left="0" w:right="0"/>
              <w:rPr>
                <w:sz w:val="19"/>
                <w:szCs w:val="19"/>
              </w:rPr>
            </w:pPr>
            <w:r w:rsidRPr="005A40AC">
              <w:rPr>
                <w:sz w:val="19"/>
                <w:szCs w:val="19"/>
              </w:rPr>
              <w:t>To assess the safety</w:t>
            </w:r>
            <w:r>
              <w:rPr>
                <w:sz w:val="19"/>
                <w:szCs w:val="19"/>
              </w:rPr>
              <w:t xml:space="preserve"> and tolerability of AZD1222 in </w:t>
            </w:r>
            <w:r w:rsidRPr="005A40AC">
              <w:rPr>
                <w:sz w:val="19"/>
                <w:szCs w:val="19"/>
              </w:rPr>
              <w:t xml:space="preserve">participants </w:t>
            </w:r>
            <w:r w:rsidR="00E96F97" w:rsidRPr="00E96F97">
              <w:rPr>
                <w:rFonts w:asciiTheme="minorHAnsi" w:eastAsia="TimesNewRoman" w:hAnsiTheme="minorHAnsi" w:cs="TimesNewRoman"/>
                <w:sz w:val="19"/>
                <w:szCs w:val="19"/>
              </w:rPr>
              <w:sym w:font="Symbol" w:char="F0B3"/>
            </w:r>
            <w:r w:rsidRPr="005A40AC">
              <w:rPr>
                <w:sz w:val="19"/>
                <w:szCs w:val="19"/>
              </w:rPr>
              <w:t xml:space="preserve"> 65 year of age and in other key subgroups.</w:t>
            </w:r>
          </w:p>
          <w:p w14:paraId="6FA72B43" w14:textId="77777777" w:rsidR="00C86D41" w:rsidRPr="005A40AC" w:rsidRDefault="00C86D41" w:rsidP="00DB3646">
            <w:pPr>
              <w:ind w:left="0" w:right="0"/>
              <w:rPr>
                <w:sz w:val="19"/>
                <w:szCs w:val="19"/>
              </w:rPr>
            </w:pPr>
            <w:r w:rsidRPr="005A40AC">
              <w:rPr>
                <w:sz w:val="19"/>
                <w:szCs w:val="19"/>
              </w:rPr>
              <w:t xml:space="preserve">To estimate the frequency </w:t>
            </w:r>
            <w:r>
              <w:rPr>
                <w:sz w:val="19"/>
                <w:szCs w:val="19"/>
              </w:rPr>
              <w:t xml:space="preserve">of select pregnancy outcomes in </w:t>
            </w:r>
            <w:r w:rsidRPr="005A40AC">
              <w:rPr>
                <w:sz w:val="19"/>
                <w:szCs w:val="19"/>
              </w:rPr>
              <w:t>women vaccinated w</w:t>
            </w:r>
            <w:r>
              <w:rPr>
                <w:sz w:val="19"/>
                <w:szCs w:val="19"/>
              </w:rPr>
              <w:t xml:space="preserve">ith AZD1222 during pregnancy or </w:t>
            </w:r>
            <w:r w:rsidRPr="005A40AC">
              <w:rPr>
                <w:sz w:val="19"/>
                <w:szCs w:val="19"/>
              </w:rPr>
              <w:t>within 45 days of the estimated conception date.</w:t>
            </w:r>
          </w:p>
          <w:p w14:paraId="5AED8F48" w14:textId="7B3399E1" w:rsidR="00C86D41" w:rsidRPr="009674B3" w:rsidRDefault="00C86D41" w:rsidP="00DB3646">
            <w:pPr>
              <w:ind w:left="0" w:right="0"/>
              <w:rPr>
                <w:sz w:val="19"/>
                <w:szCs w:val="19"/>
              </w:rPr>
            </w:pPr>
            <w:r w:rsidRPr="005A40AC">
              <w:rPr>
                <w:sz w:val="19"/>
                <w:szCs w:val="19"/>
              </w:rPr>
              <w:t xml:space="preserve">To estimate the </w:t>
            </w:r>
            <w:r>
              <w:rPr>
                <w:sz w:val="19"/>
                <w:szCs w:val="19"/>
              </w:rPr>
              <w:t xml:space="preserve">frequency of select outcomes in </w:t>
            </w:r>
            <w:r w:rsidRPr="005A40AC">
              <w:rPr>
                <w:sz w:val="19"/>
                <w:szCs w:val="19"/>
              </w:rPr>
              <w:t>neonates/infants born to mothers vaccinated with AZ</w:t>
            </w:r>
            <w:r>
              <w:rPr>
                <w:sz w:val="19"/>
                <w:szCs w:val="19"/>
              </w:rPr>
              <w:t xml:space="preserve">D1222 </w:t>
            </w:r>
            <w:r w:rsidRPr="005A40AC">
              <w:rPr>
                <w:sz w:val="19"/>
                <w:szCs w:val="19"/>
              </w:rPr>
              <w:t xml:space="preserve">during pregnancy or </w:t>
            </w:r>
            <w:r>
              <w:rPr>
                <w:sz w:val="19"/>
                <w:szCs w:val="19"/>
              </w:rPr>
              <w:t xml:space="preserve">within 45 days of the estimated </w:t>
            </w:r>
            <w:r w:rsidRPr="005A40AC">
              <w:rPr>
                <w:sz w:val="19"/>
                <w:szCs w:val="19"/>
              </w:rPr>
              <w:t>date of conception.</w:t>
            </w:r>
          </w:p>
        </w:tc>
        <w:tc>
          <w:tcPr>
            <w:tcW w:w="1214" w:type="pct"/>
          </w:tcPr>
          <w:p w14:paraId="669EAC33" w14:textId="0BEA91FE" w:rsidR="00C86D41" w:rsidRDefault="00C86D41" w:rsidP="00DB3646">
            <w:pPr>
              <w:ind w:left="0" w:right="0"/>
              <w:rPr>
                <w:sz w:val="19"/>
                <w:szCs w:val="19"/>
              </w:rPr>
            </w:pPr>
            <w:r>
              <w:rPr>
                <w:sz w:val="19"/>
                <w:szCs w:val="19"/>
              </w:rPr>
              <w:t xml:space="preserve">Nervous system disorders, </w:t>
            </w:r>
            <w:r w:rsidRPr="005A40AC">
              <w:rPr>
                <w:sz w:val="19"/>
                <w:szCs w:val="19"/>
              </w:rPr>
              <w:t>includi</w:t>
            </w:r>
            <w:r>
              <w:rPr>
                <w:sz w:val="19"/>
                <w:szCs w:val="19"/>
              </w:rPr>
              <w:t xml:space="preserve">ng immune-mediated neurological </w:t>
            </w:r>
            <w:r w:rsidR="003B7A50">
              <w:rPr>
                <w:sz w:val="19"/>
                <w:szCs w:val="19"/>
              </w:rPr>
              <w:t>conditions, v</w:t>
            </w:r>
            <w:r w:rsidRPr="005A40AC">
              <w:rPr>
                <w:sz w:val="19"/>
                <w:szCs w:val="19"/>
              </w:rPr>
              <w:t>accine-associated enhanced</w:t>
            </w:r>
            <w:r>
              <w:rPr>
                <w:sz w:val="19"/>
                <w:szCs w:val="19"/>
              </w:rPr>
              <w:t xml:space="preserve"> </w:t>
            </w:r>
            <w:r w:rsidRPr="005A40AC">
              <w:rPr>
                <w:sz w:val="19"/>
                <w:szCs w:val="19"/>
              </w:rPr>
              <w:t>di</w:t>
            </w:r>
            <w:r>
              <w:rPr>
                <w:sz w:val="19"/>
                <w:szCs w:val="19"/>
              </w:rPr>
              <w:t xml:space="preserve">sease (VAED), including vaccine </w:t>
            </w:r>
            <w:r w:rsidRPr="005A40AC">
              <w:rPr>
                <w:sz w:val="19"/>
                <w:szCs w:val="19"/>
              </w:rPr>
              <w:t>associat</w:t>
            </w:r>
            <w:r>
              <w:rPr>
                <w:sz w:val="19"/>
                <w:szCs w:val="19"/>
              </w:rPr>
              <w:t xml:space="preserve">ed enhanced respiratory disease </w:t>
            </w:r>
            <w:r w:rsidRPr="005A40AC">
              <w:rPr>
                <w:sz w:val="19"/>
                <w:szCs w:val="19"/>
              </w:rPr>
              <w:t>(</w:t>
            </w:r>
            <w:r w:rsidR="003B7A50">
              <w:rPr>
                <w:sz w:val="19"/>
                <w:szCs w:val="19"/>
              </w:rPr>
              <w:t>VAERD), a</w:t>
            </w:r>
            <w:r>
              <w:rPr>
                <w:sz w:val="19"/>
                <w:szCs w:val="19"/>
              </w:rPr>
              <w:t>naphy</w:t>
            </w:r>
            <w:r w:rsidR="003B7A50">
              <w:rPr>
                <w:sz w:val="19"/>
                <w:szCs w:val="19"/>
              </w:rPr>
              <w:t>laxis, u</w:t>
            </w:r>
            <w:r>
              <w:rPr>
                <w:sz w:val="19"/>
                <w:szCs w:val="19"/>
              </w:rPr>
              <w:t xml:space="preserve">se during </w:t>
            </w:r>
            <w:r w:rsidRPr="005A40AC">
              <w:rPr>
                <w:sz w:val="19"/>
                <w:szCs w:val="19"/>
              </w:rPr>
              <w:t xml:space="preserve">pregnancy </w:t>
            </w:r>
            <w:r w:rsidR="003B7A50">
              <w:rPr>
                <w:sz w:val="19"/>
                <w:szCs w:val="19"/>
              </w:rPr>
              <w:t>and while breastfeeding, u</w:t>
            </w:r>
            <w:r>
              <w:rPr>
                <w:sz w:val="19"/>
                <w:szCs w:val="19"/>
              </w:rPr>
              <w:t xml:space="preserve">se in </w:t>
            </w:r>
            <w:r w:rsidRPr="005A40AC">
              <w:rPr>
                <w:sz w:val="19"/>
                <w:szCs w:val="19"/>
              </w:rPr>
              <w:t>immunocom</w:t>
            </w:r>
            <w:r w:rsidR="003B7A50">
              <w:rPr>
                <w:sz w:val="19"/>
                <w:szCs w:val="19"/>
              </w:rPr>
              <w:t>promised patients, u</w:t>
            </w:r>
            <w:r>
              <w:rPr>
                <w:sz w:val="19"/>
                <w:szCs w:val="19"/>
              </w:rPr>
              <w:t xml:space="preserve">se in frail </w:t>
            </w:r>
            <w:r w:rsidR="003B7A50">
              <w:rPr>
                <w:sz w:val="19"/>
                <w:szCs w:val="19"/>
              </w:rPr>
              <w:t>patients with co-morbidities (for example</w:t>
            </w:r>
            <w:r w:rsidRPr="005A40AC">
              <w:rPr>
                <w:sz w:val="19"/>
                <w:szCs w:val="19"/>
              </w:rPr>
              <w:t>, chro</w:t>
            </w:r>
            <w:r>
              <w:rPr>
                <w:sz w:val="19"/>
                <w:szCs w:val="19"/>
              </w:rPr>
              <w:t xml:space="preserve">nic </w:t>
            </w:r>
            <w:r w:rsidRPr="005A40AC">
              <w:rPr>
                <w:sz w:val="19"/>
                <w:szCs w:val="19"/>
              </w:rPr>
              <w:t>obstructi</w:t>
            </w:r>
            <w:r>
              <w:rPr>
                <w:sz w:val="19"/>
                <w:szCs w:val="19"/>
              </w:rPr>
              <w:t xml:space="preserve">ve pulmonary disease, diabetes, </w:t>
            </w:r>
            <w:r w:rsidRPr="005A40AC">
              <w:rPr>
                <w:sz w:val="19"/>
                <w:szCs w:val="19"/>
              </w:rPr>
              <w:t>chronic neuro</w:t>
            </w:r>
            <w:r>
              <w:rPr>
                <w:sz w:val="19"/>
                <w:szCs w:val="19"/>
              </w:rPr>
              <w:t xml:space="preserve">logical disease, cardiovascular </w:t>
            </w:r>
            <w:r w:rsidRPr="005A40AC">
              <w:rPr>
                <w:sz w:val="19"/>
                <w:szCs w:val="19"/>
              </w:rPr>
              <w:t xml:space="preserve">disorders), </w:t>
            </w:r>
            <w:r w:rsidR="003B7A50">
              <w:rPr>
                <w:sz w:val="19"/>
                <w:szCs w:val="19"/>
              </w:rPr>
              <w:t>u</w:t>
            </w:r>
            <w:r>
              <w:rPr>
                <w:sz w:val="19"/>
                <w:szCs w:val="19"/>
              </w:rPr>
              <w:t xml:space="preserve">se in patients with autoimmune </w:t>
            </w:r>
            <w:r w:rsidRPr="005A40AC">
              <w:rPr>
                <w:sz w:val="19"/>
                <w:szCs w:val="19"/>
              </w:rPr>
              <w:t>or inflammato</w:t>
            </w:r>
            <w:r w:rsidR="003B7A50">
              <w:rPr>
                <w:sz w:val="19"/>
                <w:szCs w:val="19"/>
              </w:rPr>
              <w:t>ry disorders, i</w:t>
            </w:r>
            <w:r>
              <w:rPr>
                <w:sz w:val="19"/>
                <w:szCs w:val="19"/>
              </w:rPr>
              <w:t xml:space="preserve">nteractions with </w:t>
            </w:r>
            <w:r w:rsidRPr="005A40AC">
              <w:rPr>
                <w:sz w:val="19"/>
                <w:szCs w:val="19"/>
              </w:rPr>
              <w:t>other vac</w:t>
            </w:r>
            <w:r w:rsidR="003B7A50">
              <w:rPr>
                <w:sz w:val="19"/>
                <w:szCs w:val="19"/>
              </w:rPr>
              <w:t>cines, long-term safety, u</w:t>
            </w:r>
            <w:r>
              <w:rPr>
                <w:sz w:val="19"/>
                <w:szCs w:val="19"/>
              </w:rPr>
              <w:t xml:space="preserve">se in </w:t>
            </w:r>
            <w:r w:rsidRPr="005A40AC">
              <w:rPr>
                <w:sz w:val="19"/>
                <w:szCs w:val="19"/>
              </w:rPr>
              <w:lastRenderedPageBreak/>
              <w:t>elderly (&gt;</w:t>
            </w:r>
            <w:r w:rsidR="003B7A50">
              <w:rPr>
                <w:sz w:val="19"/>
                <w:szCs w:val="19"/>
              </w:rPr>
              <w:t xml:space="preserve"> </w:t>
            </w:r>
            <w:r w:rsidRPr="005A40AC">
              <w:rPr>
                <w:sz w:val="19"/>
                <w:szCs w:val="19"/>
              </w:rPr>
              <w:t>65 years of age)</w:t>
            </w:r>
          </w:p>
        </w:tc>
        <w:tc>
          <w:tcPr>
            <w:tcW w:w="810" w:type="pct"/>
          </w:tcPr>
          <w:p w14:paraId="63CE96AD" w14:textId="77777777" w:rsidR="00C86D41" w:rsidRPr="001155E1" w:rsidRDefault="00C86D41" w:rsidP="00DB3646">
            <w:pPr>
              <w:ind w:left="0" w:right="0"/>
              <w:rPr>
                <w:sz w:val="19"/>
                <w:szCs w:val="19"/>
              </w:rPr>
            </w:pPr>
            <w:r>
              <w:rPr>
                <w:sz w:val="19"/>
                <w:szCs w:val="19"/>
              </w:rPr>
              <w:lastRenderedPageBreak/>
              <w:t xml:space="preserve">Final study protocol available: </w:t>
            </w:r>
            <w:r w:rsidRPr="001155E1">
              <w:rPr>
                <w:sz w:val="19"/>
                <w:szCs w:val="19"/>
              </w:rPr>
              <w:t>23 February 2021</w:t>
            </w:r>
          </w:p>
          <w:p w14:paraId="07775C98" w14:textId="77777777" w:rsidR="00C86D41" w:rsidRPr="001155E1" w:rsidRDefault="00C86D41" w:rsidP="00DB3646">
            <w:pPr>
              <w:ind w:left="0" w:right="0"/>
              <w:rPr>
                <w:sz w:val="19"/>
                <w:szCs w:val="19"/>
              </w:rPr>
            </w:pPr>
            <w:r>
              <w:rPr>
                <w:sz w:val="19"/>
                <w:szCs w:val="19"/>
              </w:rPr>
              <w:t xml:space="preserve">Start of study: 18 May </w:t>
            </w:r>
            <w:r w:rsidRPr="001155E1">
              <w:rPr>
                <w:sz w:val="19"/>
                <w:szCs w:val="19"/>
              </w:rPr>
              <w:t>2021</w:t>
            </w:r>
          </w:p>
          <w:p w14:paraId="704101B5" w14:textId="06E2C289" w:rsidR="00C86D41" w:rsidRPr="009674B3" w:rsidRDefault="00C86D41" w:rsidP="00DB3646">
            <w:pPr>
              <w:ind w:left="0" w:right="0"/>
              <w:rPr>
                <w:sz w:val="19"/>
                <w:szCs w:val="19"/>
              </w:rPr>
            </w:pPr>
            <w:r>
              <w:rPr>
                <w:sz w:val="19"/>
                <w:szCs w:val="19"/>
              </w:rPr>
              <w:t xml:space="preserve">First interim report available: </w:t>
            </w:r>
            <w:r w:rsidR="003B7A50">
              <w:rPr>
                <w:sz w:val="19"/>
                <w:szCs w:val="19"/>
              </w:rPr>
              <w:t>third quarter</w:t>
            </w:r>
            <w:r w:rsidRPr="001155E1">
              <w:rPr>
                <w:sz w:val="19"/>
                <w:szCs w:val="19"/>
              </w:rPr>
              <w:t xml:space="preserve"> 2021</w:t>
            </w:r>
          </w:p>
        </w:tc>
      </w:tr>
      <w:tr w:rsidR="00C86D41" w:rsidRPr="00D90C10" w14:paraId="2CA1585D" w14:textId="77777777" w:rsidTr="0042498E">
        <w:tc>
          <w:tcPr>
            <w:tcW w:w="1114" w:type="pct"/>
          </w:tcPr>
          <w:p w14:paraId="0E05B4C8" w14:textId="77777777" w:rsidR="00C86D41" w:rsidRPr="001155E1" w:rsidRDefault="00C86D41" w:rsidP="00DB3646">
            <w:pPr>
              <w:ind w:left="0" w:right="0"/>
              <w:rPr>
                <w:sz w:val="19"/>
                <w:szCs w:val="19"/>
              </w:rPr>
            </w:pPr>
            <w:r w:rsidRPr="001155E1">
              <w:rPr>
                <w:sz w:val="19"/>
                <w:szCs w:val="19"/>
              </w:rPr>
              <w:t>AZD1222 Pregnancy Registry:</w:t>
            </w:r>
          </w:p>
          <w:p w14:paraId="0BF517C7" w14:textId="77777777" w:rsidR="00C86D41" w:rsidRPr="001155E1" w:rsidRDefault="00C86D41" w:rsidP="00DB3646">
            <w:pPr>
              <w:ind w:left="0" w:right="0"/>
              <w:rPr>
                <w:sz w:val="19"/>
                <w:szCs w:val="19"/>
              </w:rPr>
            </w:pPr>
            <w:r>
              <w:rPr>
                <w:sz w:val="19"/>
                <w:szCs w:val="19"/>
              </w:rPr>
              <w:t xml:space="preserve">Pregnancy Registry of Women </w:t>
            </w:r>
            <w:r w:rsidRPr="001155E1">
              <w:rPr>
                <w:sz w:val="19"/>
                <w:szCs w:val="19"/>
              </w:rPr>
              <w:t>Exposed to AZD1222</w:t>
            </w:r>
          </w:p>
          <w:p w14:paraId="5C601F28" w14:textId="1D2ED4E0" w:rsidR="00C86D41" w:rsidRPr="009674B3" w:rsidRDefault="00C86D41" w:rsidP="00DB3646">
            <w:pPr>
              <w:ind w:left="0" w:right="0"/>
              <w:rPr>
                <w:sz w:val="19"/>
                <w:szCs w:val="19"/>
              </w:rPr>
            </w:pPr>
            <w:r w:rsidRPr="001155E1">
              <w:rPr>
                <w:sz w:val="19"/>
                <w:szCs w:val="19"/>
              </w:rPr>
              <w:t>Imm</w:t>
            </w:r>
            <w:r>
              <w:rPr>
                <w:sz w:val="19"/>
                <w:szCs w:val="19"/>
              </w:rPr>
              <w:t xml:space="preserve">ediately Before or During Pregnancy as Part of the C-VIPER Registry Consortium ESR-21-21138 </w:t>
            </w:r>
            <w:r w:rsidR="003B7A50">
              <w:rPr>
                <w:sz w:val="19"/>
                <w:szCs w:val="19"/>
              </w:rPr>
              <w:t>(</w:t>
            </w:r>
            <w:proofErr w:type="spellStart"/>
            <w:r w:rsidR="003B7A50">
              <w:rPr>
                <w:sz w:val="19"/>
                <w:szCs w:val="19"/>
              </w:rPr>
              <w:t>Pr</w:t>
            </w:r>
            <w:r w:rsidRPr="001155E1">
              <w:rPr>
                <w:sz w:val="19"/>
                <w:szCs w:val="19"/>
              </w:rPr>
              <w:t>egistry</w:t>
            </w:r>
            <w:proofErr w:type="spellEnd"/>
            <w:r w:rsidRPr="001155E1">
              <w:rPr>
                <w:sz w:val="19"/>
                <w:szCs w:val="19"/>
              </w:rPr>
              <w:t>-externally sponsored)</w:t>
            </w:r>
          </w:p>
        </w:tc>
        <w:tc>
          <w:tcPr>
            <w:tcW w:w="1862" w:type="pct"/>
          </w:tcPr>
          <w:p w14:paraId="4993826B" w14:textId="083765B8" w:rsidR="00C86D41" w:rsidRPr="001155E1" w:rsidRDefault="003B7A50" w:rsidP="00DB3646">
            <w:pPr>
              <w:ind w:left="0" w:right="0"/>
              <w:rPr>
                <w:sz w:val="19"/>
                <w:szCs w:val="19"/>
              </w:rPr>
            </w:pPr>
            <w:r>
              <w:rPr>
                <w:sz w:val="19"/>
                <w:szCs w:val="19"/>
              </w:rPr>
              <w:t>Primary o</w:t>
            </w:r>
            <w:r w:rsidR="00C86D41" w:rsidRPr="001155E1">
              <w:rPr>
                <w:sz w:val="19"/>
                <w:szCs w:val="19"/>
              </w:rPr>
              <w:t>bjectives:</w:t>
            </w:r>
          </w:p>
          <w:p w14:paraId="3AFF10F2" w14:textId="50B0849D" w:rsidR="00C86D41" w:rsidRPr="001155E1" w:rsidRDefault="00C86D41" w:rsidP="00DB3646">
            <w:pPr>
              <w:ind w:left="0" w:right="0"/>
              <w:rPr>
                <w:sz w:val="19"/>
                <w:szCs w:val="19"/>
              </w:rPr>
            </w:pPr>
            <w:r w:rsidRPr="001155E1">
              <w:rPr>
                <w:sz w:val="19"/>
                <w:szCs w:val="19"/>
              </w:rPr>
              <w:t>To estimate th</w:t>
            </w:r>
            <w:r>
              <w:rPr>
                <w:sz w:val="19"/>
                <w:szCs w:val="19"/>
              </w:rPr>
              <w:t xml:space="preserve">e frequency of selected adverse </w:t>
            </w:r>
            <w:r w:rsidRPr="001155E1">
              <w:rPr>
                <w:sz w:val="19"/>
                <w:szCs w:val="19"/>
              </w:rPr>
              <w:t>pregnancy outco</w:t>
            </w:r>
            <w:r w:rsidR="003B7A50">
              <w:rPr>
                <w:sz w:val="19"/>
                <w:szCs w:val="19"/>
              </w:rPr>
              <w:t>mes (that is</w:t>
            </w:r>
            <w:r>
              <w:rPr>
                <w:sz w:val="19"/>
                <w:szCs w:val="19"/>
              </w:rPr>
              <w:t xml:space="preserve">, spontaneous abortions, </w:t>
            </w:r>
            <w:r w:rsidRPr="001155E1">
              <w:rPr>
                <w:sz w:val="19"/>
                <w:szCs w:val="19"/>
              </w:rPr>
              <w:t>stillbirths, and preterm births</w:t>
            </w:r>
            <w:r>
              <w:rPr>
                <w:sz w:val="19"/>
                <w:szCs w:val="19"/>
              </w:rPr>
              <w:t xml:space="preserve">) in women receiving at least 1 </w:t>
            </w:r>
            <w:r w:rsidRPr="001155E1">
              <w:rPr>
                <w:sz w:val="19"/>
                <w:szCs w:val="19"/>
              </w:rPr>
              <w:t>dose of the AZD1222 vacc</w:t>
            </w:r>
            <w:r>
              <w:rPr>
                <w:sz w:val="19"/>
                <w:szCs w:val="19"/>
              </w:rPr>
              <w:t xml:space="preserve">ine during pregnancy or up to a </w:t>
            </w:r>
            <w:r w:rsidRPr="001155E1">
              <w:rPr>
                <w:sz w:val="19"/>
                <w:szCs w:val="19"/>
              </w:rPr>
              <w:t>predefined period (</w:t>
            </w:r>
            <w:proofErr w:type="spellStart"/>
            <w:r w:rsidRPr="001155E1">
              <w:rPr>
                <w:sz w:val="19"/>
                <w:szCs w:val="19"/>
              </w:rPr>
              <w:t>eg</w:t>
            </w:r>
            <w:proofErr w:type="spellEnd"/>
            <w:r w:rsidRPr="001155E1">
              <w:rPr>
                <w:sz w:val="19"/>
                <w:szCs w:val="19"/>
              </w:rPr>
              <w:t xml:space="preserve"> 30</w:t>
            </w:r>
            <w:r>
              <w:rPr>
                <w:sz w:val="19"/>
                <w:szCs w:val="19"/>
              </w:rPr>
              <w:t xml:space="preserve"> days) before estimated date of </w:t>
            </w:r>
            <w:r w:rsidRPr="001155E1">
              <w:rPr>
                <w:sz w:val="19"/>
                <w:szCs w:val="19"/>
              </w:rPr>
              <w:t>last menstrual period (LMP).</w:t>
            </w:r>
          </w:p>
          <w:p w14:paraId="6E983777" w14:textId="48C6656F" w:rsidR="00C86D41" w:rsidRPr="009674B3" w:rsidRDefault="00C86D41" w:rsidP="00DB3646">
            <w:pPr>
              <w:ind w:left="0" w:right="0"/>
              <w:rPr>
                <w:sz w:val="19"/>
                <w:szCs w:val="19"/>
              </w:rPr>
            </w:pPr>
            <w:r w:rsidRPr="001155E1">
              <w:rPr>
                <w:sz w:val="19"/>
                <w:szCs w:val="19"/>
              </w:rPr>
              <w:t>To estimate the risk of s</w:t>
            </w:r>
            <w:r>
              <w:rPr>
                <w:sz w:val="19"/>
                <w:szCs w:val="19"/>
              </w:rPr>
              <w:t xml:space="preserve">elected adverse foetal/neonatal </w:t>
            </w:r>
            <w:r w:rsidR="003B7A50">
              <w:rPr>
                <w:sz w:val="19"/>
                <w:szCs w:val="19"/>
              </w:rPr>
              <w:t>outcomes (that is</w:t>
            </w:r>
            <w:r w:rsidRPr="001155E1">
              <w:rPr>
                <w:sz w:val="19"/>
                <w:szCs w:val="19"/>
              </w:rPr>
              <w:t>, major congenital malformations and small for</w:t>
            </w:r>
            <w:r>
              <w:rPr>
                <w:sz w:val="19"/>
                <w:szCs w:val="19"/>
              </w:rPr>
              <w:t xml:space="preserve"> </w:t>
            </w:r>
            <w:r w:rsidRPr="001155E1">
              <w:rPr>
                <w:sz w:val="19"/>
                <w:szCs w:val="19"/>
              </w:rPr>
              <w:t xml:space="preserve">gestational age) at birth and </w:t>
            </w:r>
            <w:r>
              <w:rPr>
                <w:sz w:val="19"/>
                <w:szCs w:val="19"/>
              </w:rPr>
              <w:t xml:space="preserve">up to at least the 12 months of </w:t>
            </w:r>
            <w:r w:rsidRPr="001155E1">
              <w:rPr>
                <w:sz w:val="19"/>
                <w:szCs w:val="19"/>
              </w:rPr>
              <w:t>life (to account fo</w:t>
            </w:r>
            <w:r>
              <w:rPr>
                <w:sz w:val="19"/>
                <w:szCs w:val="19"/>
              </w:rPr>
              <w:t xml:space="preserve">r diagnosis of major congenital </w:t>
            </w:r>
            <w:r w:rsidRPr="001155E1">
              <w:rPr>
                <w:sz w:val="19"/>
                <w:szCs w:val="19"/>
              </w:rPr>
              <w:t>malformations that mi</w:t>
            </w:r>
            <w:r>
              <w:rPr>
                <w:sz w:val="19"/>
                <w:szCs w:val="19"/>
              </w:rPr>
              <w:t xml:space="preserve">ght be delayed) in infants from </w:t>
            </w:r>
            <w:r w:rsidRPr="001155E1">
              <w:rPr>
                <w:sz w:val="19"/>
                <w:szCs w:val="19"/>
              </w:rPr>
              <w:t>pregnancies in which the mothers received th</w:t>
            </w:r>
            <w:r>
              <w:rPr>
                <w:sz w:val="19"/>
                <w:szCs w:val="19"/>
              </w:rPr>
              <w:t xml:space="preserve">e AZD1222 </w:t>
            </w:r>
            <w:r w:rsidRPr="001155E1">
              <w:rPr>
                <w:sz w:val="19"/>
                <w:szCs w:val="19"/>
              </w:rPr>
              <w:t xml:space="preserve">vaccine during pregnancy </w:t>
            </w:r>
            <w:r w:rsidR="003B7A50">
              <w:rPr>
                <w:sz w:val="19"/>
                <w:szCs w:val="19"/>
              </w:rPr>
              <w:t>or up to a predefined period (for example</w:t>
            </w:r>
            <w:r w:rsidRPr="001155E1">
              <w:rPr>
                <w:sz w:val="19"/>
                <w:szCs w:val="19"/>
              </w:rPr>
              <w:t>, 30</w:t>
            </w:r>
            <w:r>
              <w:rPr>
                <w:sz w:val="19"/>
                <w:szCs w:val="19"/>
              </w:rPr>
              <w:t xml:space="preserve"> </w:t>
            </w:r>
            <w:r w:rsidRPr="001155E1">
              <w:rPr>
                <w:sz w:val="19"/>
                <w:szCs w:val="19"/>
              </w:rPr>
              <w:t>days) before estimated date of LMP.</w:t>
            </w:r>
          </w:p>
        </w:tc>
        <w:tc>
          <w:tcPr>
            <w:tcW w:w="1214" w:type="pct"/>
          </w:tcPr>
          <w:p w14:paraId="6094CCAF" w14:textId="58EF84F0" w:rsidR="00C86D41" w:rsidRDefault="00C86D41" w:rsidP="00DB3646">
            <w:pPr>
              <w:ind w:left="0" w:right="0"/>
              <w:rPr>
                <w:sz w:val="19"/>
                <w:szCs w:val="19"/>
              </w:rPr>
            </w:pPr>
            <w:r>
              <w:rPr>
                <w:sz w:val="19"/>
                <w:szCs w:val="19"/>
              </w:rPr>
              <w:t xml:space="preserve">Use during pregnancy and while </w:t>
            </w:r>
            <w:r w:rsidRPr="001155E1">
              <w:rPr>
                <w:sz w:val="19"/>
                <w:szCs w:val="19"/>
              </w:rPr>
              <w:t>breastfeeding</w:t>
            </w:r>
          </w:p>
        </w:tc>
        <w:tc>
          <w:tcPr>
            <w:tcW w:w="810" w:type="pct"/>
          </w:tcPr>
          <w:p w14:paraId="477D4A8A" w14:textId="77CBCB51" w:rsidR="00C86D41" w:rsidRPr="009674B3" w:rsidRDefault="00C86D41" w:rsidP="00DB3646">
            <w:pPr>
              <w:ind w:left="0" w:right="0"/>
              <w:rPr>
                <w:sz w:val="19"/>
                <w:szCs w:val="19"/>
              </w:rPr>
            </w:pPr>
            <w:r>
              <w:rPr>
                <w:sz w:val="19"/>
                <w:szCs w:val="19"/>
              </w:rPr>
              <w:t xml:space="preserve">Study protocol submitted to EMA </w:t>
            </w:r>
            <w:r w:rsidRPr="001155E1">
              <w:rPr>
                <w:sz w:val="19"/>
                <w:szCs w:val="19"/>
              </w:rPr>
              <w:t>on 27 January 2021</w:t>
            </w:r>
          </w:p>
        </w:tc>
      </w:tr>
      <w:tr w:rsidR="00C86D41" w:rsidRPr="00D90C10" w14:paraId="220305DB" w14:textId="77777777" w:rsidTr="0042498E">
        <w:tc>
          <w:tcPr>
            <w:tcW w:w="1114" w:type="pct"/>
          </w:tcPr>
          <w:p w14:paraId="6EFDD698" w14:textId="77777777" w:rsidR="00C86D41" w:rsidRPr="001155E1" w:rsidRDefault="00C86D41" w:rsidP="00DB3646">
            <w:pPr>
              <w:ind w:left="0" w:right="0"/>
              <w:rPr>
                <w:sz w:val="19"/>
                <w:szCs w:val="19"/>
              </w:rPr>
            </w:pPr>
            <w:r>
              <w:rPr>
                <w:sz w:val="19"/>
                <w:szCs w:val="19"/>
              </w:rPr>
              <w:t xml:space="preserve">Post-marketing observational study using existing </w:t>
            </w:r>
            <w:r w:rsidRPr="001155E1">
              <w:rPr>
                <w:sz w:val="19"/>
                <w:szCs w:val="19"/>
              </w:rPr>
              <w:t>secondary health data sources</w:t>
            </w:r>
          </w:p>
          <w:p w14:paraId="1B1E7E75" w14:textId="64D2C88F" w:rsidR="00C86D41" w:rsidRDefault="003B7A50" w:rsidP="00DB3646">
            <w:pPr>
              <w:ind w:left="0" w:right="0"/>
              <w:rPr>
                <w:sz w:val="19"/>
                <w:szCs w:val="19"/>
              </w:rPr>
            </w:pPr>
            <w:r>
              <w:rPr>
                <w:sz w:val="19"/>
                <w:szCs w:val="19"/>
              </w:rPr>
              <w:t>A post-authorisation/ p</w:t>
            </w:r>
            <w:r w:rsidR="00C86D41">
              <w:rPr>
                <w:sz w:val="19"/>
                <w:szCs w:val="19"/>
              </w:rPr>
              <w:t xml:space="preserve">ost-marketing observational study using existing </w:t>
            </w:r>
            <w:r w:rsidR="00C86D41" w:rsidRPr="001155E1">
              <w:rPr>
                <w:sz w:val="19"/>
                <w:szCs w:val="19"/>
              </w:rPr>
              <w:t>second</w:t>
            </w:r>
            <w:r w:rsidR="00C86D41">
              <w:rPr>
                <w:sz w:val="19"/>
                <w:szCs w:val="19"/>
              </w:rPr>
              <w:t xml:space="preserve">ary health data sources to evaluate the association between exposure to AZD1222 </w:t>
            </w:r>
            <w:r w:rsidR="00C86D41" w:rsidRPr="001155E1">
              <w:rPr>
                <w:sz w:val="19"/>
                <w:szCs w:val="19"/>
              </w:rPr>
              <w:t>and safety concerns.</w:t>
            </w:r>
          </w:p>
          <w:p w14:paraId="3CB9428E" w14:textId="7BE5FE14" w:rsidR="00C86D41" w:rsidRPr="009674B3" w:rsidRDefault="00C86D41" w:rsidP="00DB3646">
            <w:pPr>
              <w:ind w:left="0" w:right="0"/>
              <w:rPr>
                <w:sz w:val="19"/>
                <w:szCs w:val="19"/>
              </w:rPr>
            </w:pPr>
            <w:r>
              <w:rPr>
                <w:sz w:val="19"/>
                <w:szCs w:val="19"/>
              </w:rPr>
              <w:t xml:space="preserve">D8111R00006 (EU/UK) </w:t>
            </w:r>
            <w:r w:rsidRPr="001155E1">
              <w:rPr>
                <w:sz w:val="19"/>
                <w:szCs w:val="19"/>
              </w:rPr>
              <w:t>Study code to be confirmed</w:t>
            </w:r>
            <w:r>
              <w:rPr>
                <w:sz w:val="19"/>
                <w:szCs w:val="19"/>
              </w:rPr>
              <w:t xml:space="preserve"> </w:t>
            </w:r>
            <w:r w:rsidRPr="001155E1">
              <w:rPr>
                <w:sz w:val="19"/>
                <w:szCs w:val="19"/>
              </w:rPr>
              <w:t>(US)</w:t>
            </w:r>
          </w:p>
        </w:tc>
        <w:tc>
          <w:tcPr>
            <w:tcW w:w="1862" w:type="pct"/>
          </w:tcPr>
          <w:p w14:paraId="41515295" w14:textId="4708BC8C" w:rsidR="00C86D41" w:rsidRPr="001155E1" w:rsidRDefault="003B7A50" w:rsidP="00DB3646">
            <w:pPr>
              <w:ind w:left="0" w:right="0"/>
              <w:rPr>
                <w:sz w:val="19"/>
                <w:szCs w:val="19"/>
              </w:rPr>
            </w:pPr>
            <w:r>
              <w:rPr>
                <w:sz w:val="19"/>
                <w:szCs w:val="19"/>
              </w:rPr>
              <w:t>Primary o</w:t>
            </w:r>
            <w:r w:rsidR="00C86D41" w:rsidRPr="001155E1">
              <w:rPr>
                <w:sz w:val="19"/>
                <w:szCs w:val="19"/>
              </w:rPr>
              <w:t>bjectives:</w:t>
            </w:r>
          </w:p>
          <w:p w14:paraId="67D9E7C8" w14:textId="77777777" w:rsidR="00C86D41" w:rsidRPr="001155E1" w:rsidRDefault="00C86D41" w:rsidP="00DB3646">
            <w:pPr>
              <w:ind w:left="0" w:right="0"/>
              <w:rPr>
                <w:sz w:val="19"/>
                <w:szCs w:val="19"/>
              </w:rPr>
            </w:pPr>
            <w:r w:rsidRPr="001155E1">
              <w:rPr>
                <w:sz w:val="19"/>
                <w:szCs w:val="19"/>
              </w:rPr>
              <w:t xml:space="preserve">To estimate the incidence </w:t>
            </w:r>
            <w:r>
              <w:rPr>
                <w:sz w:val="19"/>
                <w:szCs w:val="19"/>
              </w:rPr>
              <w:t xml:space="preserve">of safety concerns and AESIs in </w:t>
            </w:r>
            <w:r w:rsidRPr="001155E1">
              <w:rPr>
                <w:sz w:val="19"/>
                <w:szCs w:val="19"/>
              </w:rPr>
              <w:t>recipients and non-r</w:t>
            </w:r>
            <w:r>
              <w:rPr>
                <w:sz w:val="19"/>
                <w:szCs w:val="19"/>
              </w:rPr>
              <w:t xml:space="preserve">ecipients of AZD1222, among all </w:t>
            </w:r>
            <w:r w:rsidRPr="001155E1">
              <w:rPr>
                <w:sz w:val="19"/>
                <w:szCs w:val="19"/>
              </w:rPr>
              <w:t xml:space="preserve">populations targeted for </w:t>
            </w:r>
            <w:r>
              <w:rPr>
                <w:sz w:val="19"/>
                <w:szCs w:val="19"/>
              </w:rPr>
              <w:t xml:space="preserve">vaccination and in the specific </w:t>
            </w:r>
            <w:r w:rsidRPr="001155E1">
              <w:rPr>
                <w:sz w:val="19"/>
                <w:szCs w:val="19"/>
              </w:rPr>
              <w:t>populations considered as missing information</w:t>
            </w:r>
          </w:p>
          <w:p w14:paraId="2D9DD2B4" w14:textId="77777777" w:rsidR="00C86D41" w:rsidRDefault="00C86D41" w:rsidP="00DB3646">
            <w:pPr>
              <w:ind w:left="0" w:right="0"/>
              <w:rPr>
                <w:sz w:val="19"/>
                <w:szCs w:val="19"/>
              </w:rPr>
            </w:pPr>
            <w:r w:rsidRPr="001155E1">
              <w:rPr>
                <w:sz w:val="19"/>
                <w:szCs w:val="19"/>
              </w:rPr>
              <w:t>To estimate the relat</w:t>
            </w:r>
            <w:r>
              <w:rPr>
                <w:sz w:val="19"/>
                <w:szCs w:val="19"/>
              </w:rPr>
              <w:t xml:space="preserve">ive risk (comparing exposed and </w:t>
            </w:r>
            <w:r w:rsidRPr="001155E1">
              <w:rPr>
                <w:sz w:val="19"/>
                <w:szCs w:val="19"/>
              </w:rPr>
              <w:t>unexposed person time) of sa</w:t>
            </w:r>
            <w:r>
              <w:rPr>
                <w:sz w:val="19"/>
                <w:szCs w:val="19"/>
              </w:rPr>
              <w:t xml:space="preserve">fety concerns including adverse </w:t>
            </w:r>
            <w:r w:rsidRPr="001155E1">
              <w:rPr>
                <w:sz w:val="19"/>
                <w:szCs w:val="19"/>
              </w:rPr>
              <w:t>events of interest amo</w:t>
            </w:r>
            <w:r>
              <w:rPr>
                <w:sz w:val="19"/>
                <w:szCs w:val="19"/>
              </w:rPr>
              <w:t xml:space="preserve">ng all populations targeted for </w:t>
            </w:r>
            <w:r w:rsidRPr="001155E1">
              <w:rPr>
                <w:sz w:val="19"/>
                <w:szCs w:val="19"/>
              </w:rPr>
              <w:t>vaccination and in the spe</w:t>
            </w:r>
            <w:r>
              <w:rPr>
                <w:sz w:val="19"/>
                <w:szCs w:val="19"/>
              </w:rPr>
              <w:t xml:space="preserve">cific populations considered as </w:t>
            </w:r>
            <w:r w:rsidRPr="001155E1">
              <w:rPr>
                <w:sz w:val="19"/>
                <w:szCs w:val="19"/>
              </w:rPr>
              <w:t>missing information</w:t>
            </w:r>
          </w:p>
          <w:p w14:paraId="2A3B1ECC" w14:textId="1AA8FE36" w:rsidR="00C86D41" w:rsidRPr="009674B3" w:rsidRDefault="00C86D41" w:rsidP="00DB3646">
            <w:pPr>
              <w:ind w:left="0" w:right="0"/>
              <w:rPr>
                <w:sz w:val="19"/>
                <w:szCs w:val="19"/>
              </w:rPr>
            </w:pPr>
            <w:r w:rsidRPr="004975EB">
              <w:rPr>
                <w:sz w:val="19"/>
                <w:szCs w:val="19"/>
              </w:rPr>
              <w:t>To characterise the use o</w:t>
            </w:r>
            <w:r>
              <w:rPr>
                <w:sz w:val="19"/>
                <w:szCs w:val="19"/>
              </w:rPr>
              <w:t xml:space="preserve">f AZD1222 among all populations </w:t>
            </w:r>
            <w:r w:rsidRPr="004975EB">
              <w:rPr>
                <w:sz w:val="19"/>
                <w:szCs w:val="19"/>
              </w:rPr>
              <w:t xml:space="preserve">targeted for vaccination </w:t>
            </w:r>
            <w:r>
              <w:rPr>
                <w:sz w:val="19"/>
                <w:szCs w:val="19"/>
              </w:rPr>
              <w:t xml:space="preserve">and in the specific populations </w:t>
            </w:r>
            <w:r w:rsidRPr="004975EB">
              <w:rPr>
                <w:sz w:val="19"/>
                <w:szCs w:val="19"/>
              </w:rPr>
              <w:t>considered as missing information.</w:t>
            </w:r>
          </w:p>
        </w:tc>
        <w:tc>
          <w:tcPr>
            <w:tcW w:w="1214" w:type="pct"/>
          </w:tcPr>
          <w:p w14:paraId="39195073" w14:textId="6D780144" w:rsidR="00C86D41" w:rsidRDefault="00C86D41" w:rsidP="00DB3646">
            <w:pPr>
              <w:ind w:left="0" w:right="0"/>
              <w:rPr>
                <w:sz w:val="19"/>
                <w:szCs w:val="19"/>
              </w:rPr>
            </w:pPr>
            <w:r>
              <w:rPr>
                <w:sz w:val="19"/>
                <w:szCs w:val="19"/>
              </w:rPr>
              <w:t xml:space="preserve">Nervous system disorders, </w:t>
            </w:r>
            <w:r w:rsidRPr="004975EB">
              <w:rPr>
                <w:sz w:val="19"/>
                <w:szCs w:val="19"/>
              </w:rPr>
              <w:t>includi</w:t>
            </w:r>
            <w:r>
              <w:rPr>
                <w:sz w:val="19"/>
                <w:szCs w:val="19"/>
              </w:rPr>
              <w:t xml:space="preserve">ng immune-mediated neurological </w:t>
            </w:r>
            <w:r w:rsidRPr="004975EB">
              <w:rPr>
                <w:sz w:val="19"/>
                <w:szCs w:val="19"/>
              </w:rPr>
              <w:t>conditio</w:t>
            </w:r>
            <w:r w:rsidR="00362F1B">
              <w:rPr>
                <w:sz w:val="19"/>
                <w:szCs w:val="19"/>
              </w:rPr>
              <w:t>ns, v</w:t>
            </w:r>
            <w:r>
              <w:rPr>
                <w:sz w:val="19"/>
                <w:szCs w:val="19"/>
              </w:rPr>
              <w:t xml:space="preserve">accine-associated enhanced </w:t>
            </w:r>
            <w:r w:rsidRPr="004975EB">
              <w:rPr>
                <w:sz w:val="19"/>
                <w:szCs w:val="19"/>
              </w:rPr>
              <w:t>di</w:t>
            </w:r>
            <w:r>
              <w:rPr>
                <w:sz w:val="19"/>
                <w:szCs w:val="19"/>
              </w:rPr>
              <w:t xml:space="preserve">sease (VAED), including vaccine associated </w:t>
            </w:r>
            <w:r w:rsidRPr="004975EB">
              <w:rPr>
                <w:sz w:val="19"/>
                <w:szCs w:val="19"/>
              </w:rPr>
              <w:t>enhanc</w:t>
            </w:r>
            <w:r>
              <w:rPr>
                <w:sz w:val="19"/>
                <w:szCs w:val="19"/>
              </w:rPr>
              <w:t>e</w:t>
            </w:r>
            <w:r w:rsidR="00362F1B">
              <w:rPr>
                <w:sz w:val="19"/>
                <w:szCs w:val="19"/>
              </w:rPr>
              <w:t>d respiratory disease (VAERD), anaphylaxis, u</w:t>
            </w:r>
            <w:r>
              <w:rPr>
                <w:sz w:val="19"/>
                <w:szCs w:val="19"/>
              </w:rPr>
              <w:t xml:space="preserve">se during </w:t>
            </w:r>
            <w:r w:rsidRPr="004975EB">
              <w:rPr>
                <w:sz w:val="19"/>
                <w:szCs w:val="19"/>
              </w:rPr>
              <w:t xml:space="preserve">pregnancy </w:t>
            </w:r>
            <w:r w:rsidR="00362F1B">
              <w:rPr>
                <w:sz w:val="19"/>
                <w:szCs w:val="19"/>
              </w:rPr>
              <w:t>and while breastfeeding, u</w:t>
            </w:r>
            <w:r>
              <w:rPr>
                <w:sz w:val="19"/>
                <w:szCs w:val="19"/>
              </w:rPr>
              <w:t xml:space="preserve">se in </w:t>
            </w:r>
            <w:r w:rsidRPr="004975EB">
              <w:rPr>
                <w:sz w:val="19"/>
                <w:szCs w:val="19"/>
              </w:rPr>
              <w:t>immunocom</w:t>
            </w:r>
            <w:r w:rsidR="00362F1B">
              <w:rPr>
                <w:sz w:val="19"/>
                <w:szCs w:val="19"/>
              </w:rPr>
              <w:t>promised patients, u</w:t>
            </w:r>
            <w:r>
              <w:rPr>
                <w:sz w:val="19"/>
                <w:szCs w:val="19"/>
              </w:rPr>
              <w:t xml:space="preserve">se in frail </w:t>
            </w:r>
            <w:r w:rsidRPr="004975EB">
              <w:rPr>
                <w:sz w:val="19"/>
                <w:szCs w:val="19"/>
              </w:rPr>
              <w:t>patients with co-morbidities</w:t>
            </w:r>
            <w:r w:rsidR="00362F1B">
              <w:rPr>
                <w:sz w:val="19"/>
                <w:szCs w:val="19"/>
              </w:rPr>
              <w:t xml:space="preserve"> (for example</w:t>
            </w:r>
            <w:r w:rsidRPr="004975EB">
              <w:rPr>
                <w:sz w:val="19"/>
                <w:szCs w:val="19"/>
              </w:rPr>
              <w:t>, chronic</w:t>
            </w:r>
            <w:r>
              <w:rPr>
                <w:sz w:val="19"/>
                <w:szCs w:val="19"/>
              </w:rPr>
              <w:t xml:space="preserve"> </w:t>
            </w:r>
            <w:r w:rsidRPr="004975EB">
              <w:rPr>
                <w:sz w:val="19"/>
                <w:szCs w:val="19"/>
              </w:rPr>
              <w:t>obstructi</w:t>
            </w:r>
            <w:r>
              <w:rPr>
                <w:sz w:val="19"/>
                <w:szCs w:val="19"/>
              </w:rPr>
              <w:t xml:space="preserve">ve pulmonary disease, diabetes, </w:t>
            </w:r>
            <w:r w:rsidRPr="004975EB">
              <w:rPr>
                <w:sz w:val="19"/>
                <w:szCs w:val="19"/>
              </w:rPr>
              <w:t>chronic neuro</w:t>
            </w:r>
            <w:r>
              <w:rPr>
                <w:sz w:val="19"/>
                <w:szCs w:val="19"/>
              </w:rPr>
              <w:t xml:space="preserve">logical disease, cardiovascular </w:t>
            </w:r>
            <w:r w:rsidRPr="004975EB">
              <w:rPr>
                <w:sz w:val="19"/>
                <w:szCs w:val="19"/>
              </w:rPr>
              <w:t xml:space="preserve">disorders), </w:t>
            </w:r>
            <w:r w:rsidR="00362F1B">
              <w:rPr>
                <w:sz w:val="19"/>
                <w:szCs w:val="19"/>
              </w:rPr>
              <w:t>u</w:t>
            </w:r>
            <w:r>
              <w:rPr>
                <w:sz w:val="19"/>
                <w:szCs w:val="19"/>
              </w:rPr>
              <w:t xml:space="preserve">se in patients with autoimmune or </w:t>
            </w:r>
            <w:r>
              <w:rPr>
                <w:sz w:val="19"/>
                <w:szCs w:val="19"/>
              </w:rPr>
              <w:lastRenderedPageBreak/>
              <w:t xml:space="preserve">inflammatory disorders, Interactions with </w:t>
            </w:r>
            <w:r w:rsidRPr="004975EB">
              <w:rPr>
                <w:sz w:val="19"/>
                <w:szCs w:val="19"/>
              </w:rPr>
              <w:t>other vac</w:t>
            </w:r>
            <w:r w:rsidR="00362F1B">
              <w:rPr>
                <w:sz w:val="19"/>
                <w:szCs w:val="19"/>
              </w:rPr>
              <w:t>cines, long-term safety, u</w:t>
            </w:r>
            <w:r>
              <w:rPr>
                <w:sz w:val="19"/>
                <w:szCs w:val="19"/>
              </w:rPr>
              <w:t xml:space="preserve">se in </w:t>
            </w:r>
            <w:r w:rsidRPr="004975EB">
              <w:rPr>
                <w:sz w:val="19"/>
                <w:szCs w:val="19"/>
              </w:rPr>
              <w:t>elderly (&gt;</w:t>
            </w:r>
            <w:r w:rsidR="00362F1B">
              <w:rPr>
                <w:sz w:val="19"/>
                <w:szCs w:val="19"/>
              </w:rPr>
              <w:t xml:space="preserve"> </w:t>
            </w:r>
            <w:r w:rsidRPr="004975EB">
              <w:rPr>
                <w:sz w:val="19"/>
                <w:szCs w:val="19"/>
              </w:rPr>
              <w:t>65 years of age)</w:t>
            </w:r>
          </w:p>
        </w:tc>
        <w:tc>
          <w:tcPr>
            <w:tcW w:w="810" w:type="pct"/>
          </w:tcPr>
          <w:p w14:paraId="1B302B8A" w14:textId="32EC1D9E" w:rsidR="00C86D41" w:rsidRPr="009674B3" w:rsidRDefault="00362F1B" w:rsidP="00DB3646">
            <w:pPr>
              <w:ind w:left="0" w:right="0"/>
              <w:rPr>
                <w:sz w:val="19"/>
                <w:szCs w:val="19"/>
              </w:rPr>
            </w:pPr>
            <w:r>
              <w:rPr>
                <w:sz w:val="19"/>
                <w:szCs w:val="19"/>
              </w:rPr>
              <w:lastRenderedPageBreak/>
              <w:t xml:space="preserve">Study protocol available by </w:t>
            </w:r>
            <w:r w:rsidR="00C86D41">
              <w:rPr>
                <w:sz w:val="19"/>
                <w:szCs w:val="19"/>
              </w:rPr>
              <w:t xml:space="preserve">1 </w:t>
            </w:r>
            <w:r w:rsidR="00C86D41" w:rsidRPr="004975EB">
              <w:rPr>
                <w:sz w:val="19"/>
                <w:szCs w:val="19"/>
              </w:rPr>
              <w:t>April 2021</w:t>
            </w:r>
          </w:p>
        </w:tc>
      </w:tr>
      <w:tr w:rsidR="00C86D41" w:rsidRPr="00D90C10" w14:paraId="2433ED0B" w14:textId="77777777" w:rsidTr="0042498E">
        <w:tc>
          <w:tcPr>
            <w:tcW w:w="1114" w:type="pct"/>
          </w:tcPr>
          <w:p w14:paraId="47C1B531" w14:textId="096DD4C5" w:rsidR="00C86D41" w:rsidRPr="009674B3" w:rsidRDefault="00C86D41" w:rsidP="00DB3646">
            <w:pPr>
              <w:ind w:left="0" w:right="0"/>
              <w:rPr>
                <w:sz w:val="19"/>
                <w:szCs w:val="19"/>
              </w:rPr>
            </w:pPr>
            <w:r>
              <w:rPr>
                <w:sz w:val="19"/>
                <w:szCs w:val="19"/>
              </w:rPr>
              <w:t xml:space="preserve">Post-marketing safety study in </w:t>
            </w:r>
            <w:r w:rsidRPr="004975EB">
              <w:rPr>
                <w:sz w:val="19"/>
                <w:szCs w:val="19"/>
              </w:rPr>
              <w:t>patients receiving</w:t>
            </w:r>
            <w:r>
              <w:rPr>
                <w:sz w:val="19"/>
                <w:szCs w:val="19"/>
              </w:rPr>
              <w:t xml:space="preserve"> </w:t>
            </w:r>
            <w:r w:rsidRPr="004975EB">
              <w:rPr>
                <w:sz w:val="19"/>
                <w:szCs w:val="19"/>
              </w:rPr>
              <w:t>immunosuppressant medicati</w:t>
            </w:r>
            <w:r>
              <w:rPr>
                <w:sz w:val="19"/>
                <w:szCs w:val="19"/>
              </w:rPr>
              <w:t xml:space="preserve">on or with primary </w:t>
            </w:r>
            <w:r w:rsidRPr="004975EB">
              <w:rPr>
                <w:sz w:val="19"/>
                <w:szCs w:val="19"/>
              </w:rPr>
              <w:t>immunodeficiency</w:t>
            </w:r>
          </w:p>
        </w:tc>
        <w:tc>
          <w:tcPr>
            <w:tcW w:w="1862" w:type="pct"/>
          </w:tcPr>
          <w:p w14:paraId="6D50EE4B" w14:textId="55883DF1" w:rsidR="00C86D41" w:rsidRPr="009674B3" w:rsidRDefault="00C86D41" w:rsidP="00DB3646">
            <w:pPr>
              <w:ind w:left="0" w:right="0"/>
              <w:rPr>
                <w:sz w:val="19"/>
                <w:szCs w:val="19"/>
              </w:rPr>
            </w:pPr>
            <w:r w:rsidRPr="004975EB">
              <w:rPr>
                <w:sz w:val="19"/>
                <w:szCs w:val="19"/>
              </w:rPr>
              <w:t>To evaluate the safety</w:t>
            </w:r>
            <w:r>
              <w:rPr>
                <w:sz w:val="19"/>
                <w:szCs w:val="19"/>
              </w:rPr>
              <w:t xml:space="preserve"> profile of AZD1222 in patients </w:t>
            </w:r>
            <w:r w:rsidRPr="004975EB">
              <w:rPr>
                <w:sz w:val="19"/>
                <w:szCs w:val="19"/>
              </w:rPr>
              <w:t>receiving immunosuppressan</w:t>
            </w:r>
            <w:r>
              <w:rPr>
                <w:sz w:val="19"/>
                <w:szCs w:val="19"/>
              </w:rPr>
              <w:t xml:space="preserve">t medication(s) or with primary </w:t>
            </w:r>
            <w:r w:rsidRPr="004975EB">
              <w:rPr>
                <w:sz w:val="19"/>
                <w:szCs w:val="19"/>
              </w:rPr>
              <w:t>immunodeficiency</w:t>
            </w:r>
          </w:p>
        </w:tc>
        <w:tc>
          <w:tcPr>
            <w:tcW w:w="1214" w:type="pct"/>
          </w:tcPr>
          <w:p w14:paraId="54D296C0" w14:textId="66BD1F1D" w:rsidR="00C86D41" w:rsidRDefault="00C86D41" w:rsidP="00DB3646">
            <w:pPr>
              <w:ind w:left="0" w:right="0"/>
              <w:rPr>
                <w:sz w:val="19"/>
                <w:szCs w:val="19"/>
              </w:rPr>
            </w:pPr>
            <w:r w:rsidRPr="004975EB">
              <w:rPr>
                <w:sz w:val="19"/>
                <w:szCs w:val="19"/>
              </w:rPr>
              <w:t>Use in immunocompromised patients</w:t>
            </w:r>
          </w:p>
        </w:tc>
        <w:tc>
          <w:tcPr>
            <w:tcW w:w="810" w:type="pct"/>
          </w:tcPr>
          <w:p w14:paraId="2DEE25FB" w14:textId="297AAFD8" w:rsidR="00C86D41" w:rsidRPr="009674B3" w:rsidRDefault="00362F1B" w:rsidP="00DB3646">
            <w:pPr>
              <w:ind w:left="0" w:right="0"/>
              <w:rPr>
                <w:sz w:val="19"/>
                <w:szCs w:val="19"/>
              </w:rPr>
            </w:pPr>
            <w:r>
              <w:rPr>
                <w:sz w:val="19"/>
                <w:szCs w:val="19"/>
              </w:rPr>
              <w:t xml:space="preserve">Study protocol expected </w:t>
            </w:r>
            <w:r w:rsidR="00C86D41">
              <w:rPr>
                <w:sz w:val="19"/>
                <w:szCs w:val="19"/>
              </w:rPr>
              <w:t xml:space="preserve">1 </w:t>
            </w:r>
            <w:r w:rsidR="00C86D41" w:rsidRPr="004975EB">
              <w:rPr>
                <w:sz w:val="19"/>
                <w:szCs w:val="19"/>
              </w:rPr>
              <w:t>November 2021</w:t>
            </w:r>
          </w:p>
        </w:tc>
      </w:tr>
      <w:tr w:rsidR="00C86D41" w:rsidRPr="00D90C10" w14:paraId="22A852B0" w14:textId="77777777" w:rsidTr="0042498E">
        <w:tc>
          <w:tcPr>
            <w:tcW w:w="1114" w:type="pct"/>
          </w:tcPr>
          <w:p w14:paraId="2147B935" w14:textId="1321B903" w:rsidR="00C86D41" w:rsidRPr="009674B3" w:rsidRDefault="00C86D41" w:rsidP="00DB3646">
            <w:pPr>
              <w:ind w:left="0" w:right="0"/>
              <w:rPr>
                <w:sz w:val="19"/>
                <w:szCs w:val="19"/>
              </w:rPr>
            </w:pPr>
            <w:r>
              <w:rPr>
                <w:sz w:val="19"/>
                <w:szCs w:val="19"/>
              </w:rPr>
              <w:t xml:space="preserve">Interventional study in immunocompromised </w:t>
            </w:r>
            <w:r w:rsidRPr="004975EB">
              <w:rPr>
                <w:sz w:val="19"/>
                <w:szCs w:val="19"/>
              </w:rPr>
              <w:t>subjects</w:t>
            </w:r>
          </w:p>
        </w:tc>
        <w:tc>
          <w:tcPr>
            <w:tcW w:w="1862" w:type="pct"/>
          </w:tcPr>
          <w:p w14:paraId="0FC351D4" w14:textId="77777777" w:rsidR="00C86D41" w:rsidRPr="004975EB" w:rsidRDefault="00C86D41" w:rsidP="00DB3646">
            <w:pPr>
              <w:ind w:left="0" w:right="0"/>
              <w:rPr>
                <w:sz w:val="19"/>
                <w:szCs w:val="19"/>
              </w:rPr>
            </w:pPr>
            <w:r w:rsidRPr="004975EB">
              <w:rPr>
                <w:sz w:val="19"/>
                <w:szCs w:val="19"/>
              </w:rPr>
              <w:t>Primary objective:</w:t>
            </w:r>
          </w:p>
          <w:p w14:paraId="5798EAE3" w14:textId="5326EC29" w:rsidR="00C86D41" w:rsidRPr="009674B3" w:rsidRDefault="00C86D41" w:rsidP="00DB3646">
            <w:pPr>
              <w:ind w:left="0" w:right="0"/>
              <w:rPr>
                <w:sz w:val="19"/>
                <w:szCs w:val="19"/>
              </w:rPr>
            </w:pPr>
            <w:r w:rsidRPr="004975EB">
              <w:rPr>
                <w:sz w:val="19"/>
                <w:szCs w:val="19"/>
              </w:rPr>
              <w:t>To evaluate the safety</w:t>
            </w:r>
            <w:r>
              <w:rPr>
                <w:sz w:val="19"/>
                <w:szCs w:val="19"/>
              </w:rPr>
              <w:t xml:space="preserve"> profile of AZD1222 in patients </w:t>
            </w:r>
            <w:r w:rsidRPr="004975EB">
              <w:rPr>
                <w:sz w:val="19"/>
                <w:szCs w:val="19"/>
              </w:rPr>
              <w:t>receiving immunosuppressan</w:t>
            </w:r>
            <w:r>
              <w:rPr>
                <w:sz w:val="19"/>
                <w:szCs w:val="19"/>
              </w:rPr>
              <w:t xml:space="preserve">t medication(s) or with primary </w:t>
            </w:r>
            <w:r w:rsidRPr="004975EB">
              <w:rPr>
                <w:sz w:val="19"/>
                <w:szCs w:val="19"/>
              </w:rPr>
              <w:t>immunodeficiency</w:t>
            </w:r>
          </w:p>
        </w:tc>
        <w:tc>
          <w:tcPr>
            <w:tcW w:w="1214" w:type="pct"/>
          </w:tcPr>
          <w:p w14:paraId="2077EEFE" w14:textId="173EB8F0" w:rsidR="00C86D41" w:rsidRDefault="00C86D41" w:rsidP="00DB3646">
            <w:pPr>
              <w:ind w:left="0" w:right="0"/>
              <w:rPr>
                <w:sz w:val="19"/>
                <w:szCs w:val="19"/>
              </w:rPr>
            </w:pPr>
            <w:r w:rsidRPr="004975EB">
              <w:rPr>
                <w:sz w:val="19"/>
                <w:szCs w:val="19"/>
              </w:rPr>
              <w:t>Use in immunocompromised patients</w:t>
            </w:r>
          </w:p>
        </w:tc>
        <w:tc>
          <w:tcPr>
            <w:tcW w:w="810" w:type="pct"/>
          </w:tcPr>
          <w:p w14:paraId="341848A9" w14:textId="5C499312" w:rsidR="00C86D41" w:rsidRPr="009674B3" w:rsidRDefault="00C86D41" w:rsidP="00DB3646">
            <w:pPr>
              <w:ind w:left="0" w:right="0"/>
              <w:rPr>
                <w:sz w:val="19"/>
                <w:szCs w:val="19"/>
              </w:rPr>
            </w:pPr>
            <w:r>
              <w:rPr>
                <w:sz w:val="19"/>
                <w:szCs w:val="19"/>
              </w:rPr>
              <w:t xml:space="preserve">Study protocol due 28 February </w:t>
            </w:r>
            <w:r w:rsidRPr="004975EB">
              <w:rPr>
                <w:sz w:val="19"/>
                <w:szCs w:val="19"/>
              </w:rPr>
              <w:t>2021</w:t>
            </w:r>
          </w:p>
        </w:tc>
      </w:tr>
      <w:tr w:rsidR="00C86D41" w:rsidRPr="00D90C10" w14:paraId="5FE3DD79" w14:textId="77777777" w:rsidTr="0042498E">
        <w:tc>
          <w:tcPr>
            <w:tcW w:w="1114" w:type="pct"/>
          </w:tcPr>
          <w:p w14:paraId="7C4E0229" w14:textId="77777777" w:rsidR="00C86D41" w:rsidRPr="005D0D5A" w:rsidRDefault="00C86D41" w:rsidP="00DB3646">
            <w:pPr>
              <w:ind w:left="0" w:right="0"/>
              <w:rPr>
                <w:sz w:val="19"/>
                <w:szCs w:val="19"/>
              </w:rPr>
            </w:pPr>
            <w:r>
              <w:rPr>
                <w:sz w:val="19"/>
                <w:szCs w:val="19"/>
              </w:rPr>
              <w:t xml:space="preserve">Post-marketing effectiveness </w:t>
            </w:r>
            <w:r w:rsidRPr="005D0D5A">
              <w:rPr>
                <w:sz w:val="19"/>
                <w:szCs w:val="19"/>
              </w:rPr>
              <w:t>study:</w:t>
            </w:r>
          </w:p>
          <w:p w14:paraId="57B5DF9F" w14:textId="77777777" w:rsidR="00C86D41" w:rsidRPr="005D0D5A" w:rsidRDefault="00C86D41" w:rsidP="00DB3646">
            <w:pPr>
              <w:ind w:left="0" w:right="0"/>
              <w:rPr>
                <w:sz w:val="19"/>
                <w:szCs w:val="19"/>
              </w:rPr>
            </w:pPr>
            <w:r>
              <w:rPr>
                <w:sz w:val="19"/>
                <w:szCs w:val="19"/>
              </w:rPr>
              <w:t xml:space="preserve">Post-authorisation/ Post-marketing retrospective cohort study to evaluate the </w:t>
            </w:r>
            <w:r w:rsidRPr="005D0D5A">
              <w:rPr>
                <w:sz w:val="19"/>
                <w:szCs w:val="19"/>
              </w:rPr>
              <w:t>effectiveness of the A</w:t>
            </w:r>
            <w:r>
              <w:rPr>
                <w:sz w:val="19"/>
                <w:szCs w:val="19"/>
              </w:rPr>
              <w:t xml:space="preserve">ZD1222 vaccine to prevent serious COVID-19 infection in </w:t>
            </w:r>
            <w:r w:rsidRPr="005D0D5A">
              <w:rPr>
                <w:sz w:val="19"/>
                <w:szCs w:val="19"/>
              </w:rPr>
              <w:t>c</w:t>
            </w:r>
            <w:r>
              <w:rPr>
                <w:sz w:val="19"/>
                <w:szCs w:val="19"/>
              </w:rPr>
              <w:t xml:space="preserve">onditions of usual care through public private partnership with COVIDRIVE utilising primary data collected prospectively through the </w:t>
            </w:r>
            <w:r w:rsidRPr="005D0D5A">
              <w:rPr>
                <w:sz w:val="19"/>
                <w:szCs w:val="19"/>
              </w:rPr>
              <w:t>COVIDRIVE platform.</w:t>
            </w:r>
          </w:p>
          <w:p w14:paraId="7750B2FF" w14:textId="77777777" w:rsidR="00C86D41" w:rsidRPr="005D0D5A" w:rsidRDefault="00C86D41" w:rsidP="00DB3646">
            <w:pPr>
              <w:ind w:left="0" w:right="0"/>
              <w:rPr>
                <w:sz w:val="19"/>
                <w:szCs w:val="19"/>
              </w:rPr>
            </w:pPr>
            <w:r w:rsidRPr="005D0D5A">
              <w:rPr>
                <w:sz w:val="19"/>
                <w:szCs w:val="19"/>
              </w:rPr>
              <w:t>D8111R00005 (EU/UK)</w:t>
            </w:r>
          </w:p>
          <w:p w14:paraId="6788D0EE" w14:textId="6DEFD17A" w:rsidR="00C86D41" w:rsidRDefault="00C86D41" w:rsidP="00DB3646">
            <w:pPr>
              <w:ind w:left="0" w:right="0"/>
              <w:rPr>
                <w:sz w:val="19"/>
                <w:szCs w:val="19"/>
              </w:rPr>
            </w:pPr>
            <w:r w:rsidRPr="005D0D5A">
              <w:rPr>
                <w:sz w:val="19"/>
                <w:szCs w:val="19"/>
              </w:rPr>
              <w:t>Study code to be confirmed</w:t>
            </w:r>
            <w:r>
              <w:rPr>
                <w:sz w:val="19"/>
                <w:szCs w:val="19"/>
              </w:rPr>
              <w:t xml:space="preserve"> </w:t>
            </w:r>
            <w:r w:rsidRPr="005D0D5A">
              <w:rPr>
                <w:sz w:val="19"/>
                <w:szCs w:val="19"/>
              </w:rPr>
              <w:t>(US)</w:t>
            </w:r>
          </w:p>
        </w:tc>
        <w:tc>
          <w:tcPr>
            <w:tcW w:w="1862" w:type="pct"/>
          </w:tcPr>
          <w:p w14:paraId="06C43965" w14:textId="0FF01FEA" w:rsidR="00C86D41" w:rsidRPr="004975EB" w:rsidRDefault="00C86D41" w:rsidP="00DB3646">
            <w:pPr>
              <w:ind w:left="0" w:right="0"/>
              <w:rPr>
                <w:sz w:val="19"/>
                <w:szCs w:val="19"/>
              </w:rPr>
            </w:pPr>
            <w:r w:rsidRPr="005D0D5A">
              <w:rPr>
                <w:sz w:val="19"/>
                <w:szCs w:val="19"/>
              </w:rPr>
              <w:t xml:space="preserve">To estimate brand specific vaccine </w:t>
            </w:r>
            <w:r>
              <w:rPr>
                <w:sz w:val="19"/>
                <w:szCs w:val="19"/>
              </w:rPr>
              <w:t xml:space="preserve">effectiveness against </w:t>
            </w:r>
            <w:r w:rsidRPr="005D0D5A">
              <w:rPr>
                <w:sz w:val="19"/>
                <w:szCs w:val="19"/>
              </w:rPr>
              <w:t>laboratory-confirmed SARS-</w:t>
            </w:r>
            <w:r w:rsidR="00362F1B">
              <w:rPr>
                <w:sz w:val="19"/>
                <w:szCs w:val="19"/>
              </w:rPr>
              <w:t>CoV-2 in hospitalis</w:t>
            </w:r>
            <w:r>
              <w:rPr>
                <w:sz w:val="19"/>
                <w:szCs w:val="19"/>
              </w:rPr>
              <w:t xml:space="preserve">ed patients, </w:t>
            </w:r>
            <w:r w:rsidRPr="005D0D5A">
              <w:rPr>
                <w:sz w:val="19"/>
                <w:szCs w:val="19"/>
              </w:rPr>
              <w:t>overall and by age group (&lt;</w:t>
            </w:r>
            <w:r w:rsidR="00362F1B">
              <w:rPr>
                <w:sz w:val="19"/>
                <w:szCs w:val="19"/>
              </w:rPr>
              <w:t xml:space="preserve"> 18, 18 to </w:t>
            </w:r>
            <w:r>
              <w:rPr>
                <w:sz w:val="19"/>
                <w:szCs w:val="19"/>
              </w:rPr>
              <w:t xml:space="preserve">64 and </w:t>
            </w:r>
            <w:r w:rsidR="00E96F97" w:rsidRPr="00E96F97">
              <w:rPr>
                <w:rFonts w:asciiTheme="minorHAnsi" w:eastAsia="TimesNewRoman" w:hAnsiTheme="minorHAnsi" w:cs="TimesNewRoman"/>
                <w:sz w:val="19"/>
                <w:szCs w:val="19"/>
              </w:rPr>
              <w:sym w:font="Symbol" w:char="F0B3"/>
            </w:r>
            <w:r>
              <w:rPr>
                <w:sz w:val="19"/>
                <w:szCs w:val="19"/>
              </w:rPr>
              <w:t xml:space="preserve"> 65 years old), </w:t>
            </w:r>
            <w:r w:rsidRPr="005D0D5A">
              <w:rPr>
                <w:sz w:val="19"/>
                <w:szCs w:val="19"/>
              </w:rPr>
              <w:t>after adjusting for potential confounders.</w:t>
            </w:r>
          </w:p>
        </w:tc>
        <w:tc>
          <w:tcPr>
            <w:tcW w:w="1214" w:type="pct"/>
          </w:tcPr>
          <w:p w14:paraId="30DA7FA1" w14:textId="0634F798" w:rsidR="00C86D41" w:rsidRPr="004975EB" w:rsidRDefault="00DB3646" w:rsidP="00DB3646">
            <w:pPr>
              <w:ind w:left="0" w:right="0"/>
              <w:rPr>
                <w:sz w:val="19"/>
                <w:szCs w:val="19"/>
              </w:rPr>
            </w:pPr>
            <w:r>
              <w:rPr>
                <w:sz w:val="19"/>
                <w:szCs w:val="19"/>
              </w:rPr>
              <w:t>Not applicable</w:t>
            </w:r>
          </w:p>
        </w:tc>
        <w:tc>
          <w:tcPr>
            <w:tcW w:w="810" w:type="pct"/>
          </w:tcPr>
          <w:p w14:paraId="495F1635" w14:textId="5054E6ED" w:rsidR="00C86D41" w:rsidRDefault="00C86D41" w:rsidP="00DB3646">
            <w:pPr>
              <w:ind w:left="0" w:right="0"/>
              <w:rPr>
                <w:sz w:val="19"/>
                <w:szCs w:val="19"/>
              </w:rPr>
            </w:pPr>
            <w:r>
              <w:rPr>
                <w:sz w:val="19"/>
                <w:szCs w:val="19"/>
              </w:rPr>
              <w:t>Study protocol expected March</w:t>
            </w:r>
            <w:r w:rsidR="00362F1B">
              <w:rPr>
                <w:sz w:val="19"/>
                <w:szCs w:val="19"/>
              </w:rPr>
              <w:t xml:space="preserve"> </w:t>
            </w:r>
            <w:r>
              <w:rPr>
                <w:sz w:val="19"/>
                <w:szCs w:val="19"/>
              </w:rPr>
              <w:t xml:space="preserve">2021 (COVIDRIVE </w:t>
            </w:r>
            <w:r w:rsidRPr="005D0D5A">
              <w:rPr>
                <w:sz w:val="19"/>
                <w:szCs w:val="19"/>
              </w:rPr>
              <w:t>consortium)</w:t>
            </w:r>
          </w:p>
        </w:tc>
      </w:tr>
    </w:tbl>
    <w:p w14:paraId="41A74241" w14:textId="4B1AC0DE" w:rsidR="00D84D93" w:rsidRDefault="009568AB" w:rsidP="00070AD0">
      <w:pPr>
        <w:pageBreakBefore/>
      </w:pPr>
      <w:r>
        <w:lastRenderedPageBreak/>
        <w:t>The TGA is implementing the COVID-19 vaccine safety monitoring plan.</w:t>
      </w:r>
      <w:r w:rsidR="00C86D41">
        <w:rPr>
          <w:rStyle w:val="FootnoteReference"/>
        </w:rPr>
        <w:footnoteReference w:id="21"/>
      </w:r>
      <w:r>
        <w:t xml:space="preserve"> In addition, e</w:t>
      </w:r>
      <w:r w:rsidR="00D84D93">
        <w:t xml:space="preserve">nhanced active surveillance will be conducted by </w:t>
      </w:r>
      <w:proofErr w:type="spellStart"/>
      <w:r w:rsidR="00D84D93">
        <w:t>AusVaxSafety</w:t>
      </w:r>
      <w:proofErr w:type="spellEnd"/>
      <w:r w:rsidR="00D84D93">
        <w:t xml:space="preserve"> and will enable rapid identification of adverse events and also early identification of po</w:t>
      </w:r>
      <w:r w:rsidR="00F66893">
        <w:t>tential quality issues.</w:t>
      </w:r>
      <w:r w:rsidR="00BC087F">
        <w:rPr>
          <w:rStyle w:val="FootnoteReference"/>
        </w:rPr>
        <w:footnoteReference w:id="22"/>
      </w:r>
      <w:r w:rsidR="00F66893">
        <w:t xml:space="preserve"> Sponsor</w:t>
      </w:r>
      <w:r w:rsidR="00D84D93">
        <w:t>s of COVID-19 vaccines are expected to conduct batch specific pharmacovigilance measures to ensure timely detection and handling of both batch specific safety signals and batch specific reports or reduced effectiveness or vaccine failure. The Department of Health will implement traceabili</w:t>
      </w:r>
      <w:r w:rsidR="00F66893">
        <w:t>ty process</w:t>
      </w:r>
      <w:r w:rsidR="00BA4F3A">
        <w:t>es</w:t>
      </w:r>
      <w:r w:rsidR="00F66893">
        <w:t xml:space="preserve"> at a national level.</w:t>
      </w:r>
    </w:p>
    <w:p w14:paraId="197F6202" w14:textId="45BD61A4" w:rsidR="00D84D93" w:rsidRPr="001A64CF" w:rsidRDefault="00CB05FC" w:rsidP="001A64CF">
      <w:pPr>
        <w:pStyle w:val="Heading4"/>
      </w:pPr>
      <w:r>
        <w:t>Proposed risk management plan conditions of registration</w:t>
      </w:r>
    </w:p>
    <w:p w14:paraId="1ADB05A6" w14:textId="792245B8" w:rsidR="008912FE" w:rsidRDefault="008912FE" w:rsidP="008912FE">
      <w:r>
        <w:t xml:space="preserve">Any changes to which the sponsor has agreed should be included in a revised RMP and ASA. However, irrespective of </w:t>
      </w:r>
      <w:proofErr w:type="gramStart"/>
      <w:r>
        <w:t>whether or not</w:t>
      </w:r>
      <w:proofErr w:type="gramEnd"/>
      <w:r>
        <w:t xml:space="preserve"> they are included in the currently available version of the RMP document, the agreed changes become part of the risk management system.</w:t>
      </w:r>
    </w:p>
    <w:p w14:paraId="0FCEB927" w14:textId="730B3607" w:rsidR="00D84D93" w:rsidRDefault="008912FE" w:rsidP="008912FE">
      <w:r>
        <w:t>The suggested wording is:</w:t>
      </w:r>
    </w:p>
    <w:p w14:paraId="3D32A719" w14:textId="098AC523" w:rsidR="008912FE" w:rsidRPr="00184ADC" w:rsidRDefault="008912FE" w:rsidP="00DB417B">
      <w:pPr>
        <w:pStyle w:val="ListBullet"/>
      </w:pPr>
      <w:r w:rsidRPr="00BF52F4">
        <w:t>The</w:t>
      </w:r>
      <w:r>
        <w:t xml:space="preserve"> </w:t>
      </w:r>
      <w:r w:rsidRPr="00DB417B">
        <w:t>COVID-19 Vaccine AstraZeneca (ChAdOx1-S)</w:t>
      </w:r>
      <w:r w:rsidRPr="00184ADC">
        <w:t xml:space="preserve"> </w:t>
      </w:r>
      <w:r w:rsidRPr="00BF52F4">
        <w:t>EU-</w:t>
      </w:r>
      <w:r w:rsidR="00817D33">
        <w:t>RMP</w:t>
      </w:r>
      <w:r w:rsidRPr="00BF52F4">
        <w:t xml:space="preserve"> (</w:t>
      </w:r>
      <w:r w:rsidR="00DB417B" w:rsidRPr="00DB417B">
        <w:t>version 1.0 Succession 5, dated 2 February 2021, data lock point 4 November 2020</w:t>
      </w:r>
      <w:r w:rsidRPr="00BF52F4">
        <w:t>), with Australian Specific Annex (</w:t>
      </w:r>
      <w:r w:rsidR="00DB417B" w:rsidRPr="00DB417B">
        <w:t>version 1.0 Succession 4, dated 4 February 2021</w:t>
      </w:r>
      <w:r w:rsidRPr="00BF52F4">
        <w:t xml:space="preserve">), included with submission </w:t>
      </w:r>
      <w:r>
        <w:t>PM-2020-06115-1-2</w:t>
      </w:r>
      <w:r w:rsidRPr="00BF52F4">
        <w:t xml:space="preserve"> and any subsequent revisions, as agreed with the TGA wi</w:t>
      </w:r>
      <w:r>
        <w:t>ll be implemented in Australia.</w:t>
      </w:r>
    </w:p>
    <w:p w14:paraId="5B4135E8" w14:textId="7C06B56A" w:rsidR="008912FE" w:rsidRPr="00184ADC" w:rsidRDefault="008912FE" w:rsidP="008912FE">
      <w:pPr>
        <w:pStyle w:val="ListBullet"/>
        <w:numPr>
          <w:ilvl w:val="0"/>
          <w:numId w:val="0"/>
        </w:numPr>
        <w:ind w:left="360"/>
      </w:pPr>
      <w:r w:rsidRPr="00BF52F4">
        <w:t>An obligatory component of risk management plans is routine pharmacovigilance. Routine pharmacovigilance includes the submission of periodic safety update report</w:t>
      </w:r>
      <w:r>
        <w:t xml:space="preserve">s </w:t>
      </w:r>
      <w:r w:rsidRPr="00184ADC">
        <w:t>(PSURs).</w:t>
      </w:r>
    </w:p>
    <w:p w14:paraId="6FBDFE96" w14:textId="3D85B5A7" w:rsidR="008912FE" w:rsidRPr="00184ADC" w:rsidRDefault="008912FE" w:rsidP="008912FE">
      <w:pPr>
        <w:pStyle w:val="ListBullet"/>
        <w:numPr>
          <w:ilvl w:val="0"/>
          <w:numId w:val="0"/>
        </w:numPr>
        <w:ind w:left="360"/>
      </w:pPr>
      <w:r w:rsidRPr="00184ADC">
        <w:t>Unles</w:t>
      </w:r>
      <w:r w:rsidR="008C6F0A">
        <w:t>s agreed separately between the s</w:t>
      </w:r>
      <w:r w:rsidR="00836EF3">
        <w:t>ponsor</w:t>
      </w:r>
      <w:r w:rsidRPr="00184ADC">
        <w:t xml:space="preserve"> and the TGA, the first report must be submitted to TGA no later than six calendar months after the date of th</w:t>
      </w:r>
      <w:r w:rsidR="00DB417B">
        <w:t>e</w:t>
      </w:r>
      <w:r w:rsidRPr="00184ADC">
        <w:t xml:space="preserve"> approval letter. The subsequent reports must be submitted no less frequently than six </w:t>
      </w:r>
      <w:proofErr w:type="gramStart"/>
      <w:r w:rsidRPr="00184ADC">
        <w:t>monthly</w:t>
      </w:r>
      <w:proofErr w:type="gramEnd"/>
      <w:r w:rsidRPr="00184ADC">
        <w:t xml:space="preserve"> until the period covered by such reports is not less than three years from the date of the approval letter, or the entire period of provisional registration, whichever is longer.</w:t>
      </w:r>
    </w:p>
    <w:p w14:paraId="66DCC39D" w14:textId="77777777" w:rsidR="008912FE" w:rsidRPr="00184ADC" w:rsidRDefault="008912FE" w:rsidP="008912FE">
      <w:pPr>
        <w:pStyle w:val="ListBullet"/>
        <w:numPr>
          <w:ilvl w:val="0"/>
          <w:numId w:val="0"/>
        </w:numPr>
        <w:ind w:left="360"/>
      </w:pPr>
      <w:r w:rsidRPr="00184ADC">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3E495971" w14:textId="27498AA6" w:rsidR="008912FE" w:rsidRPr="00184ADC" w:rsidRDefault="008912FE" w:rsidP="00DB417B">
      <w:pPr>
        <w:pStyle w:val="ListBullet"/>
      </w:pPr>
      <w:r w:rsidRPr="00184ADC">
        <w:rPr>
          <w:lang w:eastAsia="en-AU"/>
        </w:rPr>
        <w:t>Additional to the routine submission of the routine PSURs, expedited monthly safety summary reports (</w:t>
      </w:r>
      <w:r w:rsidR="00DB3646">
        <w:rPr>
          <w:lang w:eastAsia="en-AU"/>
        </w:rPr>
        <w:t xml:space="preserve">including </w:t>
      </w:r>
      <w:r w:rsidRPr="00184ADC">
        <w:rPr>
          <w:lang w:eastAsia="en-AU"/>
        </w:rPr>
        <w:t>safety data for patients in Australia) are to be provided</w:t>
      </w:r>
      <w:r w:rsidR="00DB3646">
        <w:rPr>
          <w:lang w:eastAsia="en-AU"/>
        </w:rPr>
        <w:t xml:space="preserve"> for the first 6 months post registration, and thereafter at intervals specified by the TGA.</w:t>
      </w:r>
    </w:p>
    <w:p w14:paraId="10249C10" w14:textId="455AB785" w:rsidR="008912FE" w:rsidRDefault="008912FE" w:rsidP="00DB417B">
      <w:pPr>
        <w:pStyle w:val="ListBullet"/>
      </w:pPr>
      <w:r w:rsidRPr="00DB417B">
        <w:t>COVID-19 Vaccine AstraZeneca (ChAdOx1-S) is</w:t>
      </w:r>
      <w:r w:rsidRPr="00BF52F4">
        <w:t xml:space="preserve"> to be included in the Black Triangle Scheme. The PI and CMI for </w:t>
      </w:r>
      <w:r w:rsidR="00DB417B" w:rsidRPr="00DB417B">
        <w:t xml:space="preserve">COVID-19 Vaccine AstraZeneca </w:t>
      </w:r>
      <w:r w:rsidRPr="00BF52F4">
        <w:t>must include the black triangle symbol and mandatory accompanying text for the products entire period of provisional registration.</w:t>
      </w:r>
    </w:p>
    <w:p w14:paraId="08A1D88D" w14:textId="77777777" w:rsidR="008E7846" w:rsidRDefault="00AA0ED0" w:rsidP="008E7846">
      <w:pPr>
        <w:pStyle w:val="Heading3"/>
      </w:pPr>
      <w:bookmarkStart w:id="56" w:name="_Toc247691531"/>
      <w:bookmarkStart w:id="57" w:name="_Toc314842515"/>
      <w:bookmarkStart w:id="58" w:name="_Toc64365649"/>
      <w:bookmarkStart w:id="59" w:name="_Toc196046505"/>
      <w:bookmarkStart w:id="60" w:name="_Toc196046949"/>
      <w:r>
        <w:lastRenderedPageBreak/>
        <w:t>Risk-benefit a</w:t>
      </w:r>
      <w:r w:rsidR="008E7846">
        <w:t>nalysis</w:t>
      </w:r>
      <w:bookmarkEnd w:id="56"/>
      <w:bookmarkEnd w:id="57"/>
      <w:bookmarkEnd w:id="58"/>
    </w:p>
    <w:p w14:paraId="43FD425C" w14:textId="77777777" w:rsidR="00D23139" w:rsidRDefault="007D53B6" w:rsidP="00D23139">
      <w:pPr>
        <w:pStyle w:val="Heading4"/>
      </w:pPr>
      <w:r>
        <w:t>Delegate’s considerations</w:t>
      </w:r>
    </w:p>
    <w:p w14:paraId="65E7928B" w14:textId="0A639198" w:rsidR="00D84D93" w:rsidRDefault="00D84D93" w:rsidP="00D84D93">
      <w:r>
        <w:t xml:space="preserve">The clinical development program for the AZD1222 occurred </w:t>
      </w:r>
      <w:proofErr w:type="gramStart"/>
      <w:r>
        <w:t>in the midst of</w:t>
      </w:r>
      <w:proofErr w:type="gramEnd"/>
      <w:r>
        <w:t xml:space="preserve"> a pandemic. There have been </w:t>
      </w:r>
      <w:proofErr w:type="gramStart"/>
      <w:r>
        <w:t>a number of</w:t>
      </w:r>
      <w:proofErr w:type="gramEnd"/>
      <w:r>
        <w:t xml:space="preserve"> changes to the protocols which make interpreta</w:t>
      </w:r>
      <w:r w:rsidR="00657C54">
        <w:t>tion of the trials challenging.</w:t>
      </w:r>
    </w:p>
    <w:p w14:paraId="7FEDD780" w14:textId="4F728363" w:rsidR="00D84D93" w:rsidRDefault="00D84D93" w:rsidP="00D84D93">
      <w:r>
        <w:t>The sponsor has reported the primary efficacy endpoint using a range of different populations. In all of these populations, the point</w:t>
      </w:r>
      <w:r w:rsidR="0034785E">
        <w:t xml:space="preserve"> estimate for vaccine efficacy </w:t>
      </w:r>
      <w:r>
        <w:t xml:space="preserve">was over 50% and lower </w:t>
      </w:r>
      <w:r w:rsidR="00E453AE">
        <w:t xml:space="preserve">bound of the </w:t>
      </w:r>
      <w:r>
        <w:t xml:space="preserve">95% confidence </w:t>
      </w:r>
      <w:r w:rsidR="00E453AE">
        <w:t>interval around the point estimate was above</w:t>
      </w:r>
      <w:r>
        <w:t xml:space="preserve"> 30%, thus meeting the requirement for EMA and FDA in terms of an effective COVID vaccine.</w:t>
      </w:r>
      <w:r w:rsidR="00F66893">
        <w:fldChar w:fldCharType="begin"/>
      </w:r>
      <w:r w:rsidR="00F66893">
        <w:instrText xml:space="preserve"> NOTEREF _Ref63171448 \f \h </w:instrText>
      </w:r>
      <w:r w:rsidR="00F66893">
        <w:fldChar w:fldCharType="separate"/>
      </w:r>
      <w:r w:rsidR="001D05A6" w:rsidRPr="001D05A6">
        <w:rPr>
          <w:rStyle w:val="FootnoteReference"/>
        </w:rPr>
        <w:t>18</w:t>
      </w:r>
      <w:r w:rsidR="00F66893">
        <w:fldChar w:fldCharType="end"/>
      </w:r>
      <w:r w:rsidR="00E453AE">
        <w:rPr>
          <w:vertAlign w:val="superscript"/>
        </w:rPr>
        <w:t>,</w:t>
      </w:r>
      <w:r w:rsidR="00F66893">
        <w:fldChar w:fldCharType="begin"/>
      </w:r>
      <w:r w:rsidR="00F66893">
        <w:instrText xml:space="preserve"> NOTEREF _Ref63171455 \f \h </w:instrText>
      </w:r>
      <w:r w:rsidR="00F66893">
        <w:fldChar w:fldCharType="separate"/>
      </w:r>
      <w:r w:rsidR="001D05A6" w:rsidRPr="001D05A6">
        <w:rPr>
          <w:rStyle w:val="FootnoteReference"/>
        </w:rPr>
        <w:t>19</w:t>
      </w:r>
      <w:r w:rsidR="00F66893">
        <w:fldChar w:fldCharType="end"/>
      </w:r>
      <w:r>
        <w:t xml:space="preserve"> The vaccine efficacy was highest in the SDSD</w:t>
      </w:r>
      <w:r w:rsidR="00F66893">
        <w:t> </w:t>
      </w:r>
      <w:r>
        <w:t>+</w:t>
      </w:r>
      <w:r w:rsidR="00F66893">
        <w:t> </w:t>
      </w:r>
      <w:r>
        <w:t>LDSD seronegative analysis set,</w:t>
      </w:r>
      <w:r w:rsidR="007C5D2E">
        <w:t xml:space="preserve"> but</w:t>
      </w:r>
      <w:r>
        <w:t xml:space="preserve"> possibly bias</w:t>
      </w:r>
      <w:r w:rsidR="00F66893">
        <w:t>ed</w:t>
      </w:r>
      <w:r>
        <w:t xml:space="preserve"> due to younger patient population, longer duration of follow up and longer dose interval. It was lowest in the any dose efficacy data set</w:t>
      </w:r>
      <w:r w:rsidR="007C5D2E">
        <w:t xml:space="preserve"> (also referred to as the full efficacy set)</w:t>
      </w:r>
      <w:r>
        <w:t>, as this i</w:t>
      </w:r>
      <w:r w:rsidR="00F66893">
        <w:t xml:space="preserve">ncluded both one and two doses, </w:t>
      </w:r>
      <w:r>
        <w:t xml:space="preserve">and </w:t>
      </w:r>
      <w:r w:rsidR="00F66893">
        <w:t>variable periods of follow up. The Delegate</w:t>
      </w:r>
      <w:r>
        <w:t xml:space="preserve"> consider</w:t>
      </w:r>
      <w:r w:rsidR="00F66893">
        <w:t>s</w:t>
      </w:r>
      <w:r>
        <w:t xml:space="preserve"> the SDSD population as most relevant for the regulatory decision.</w:t>
      </w:r>
    </w:p>
    <w:p w14:paraId="6271571D" w14:textId="01C8BF21" w:rsidR="00D84D93" w:rsidRDefault="00D84D93" w:rsidP="00D84D93">
      <w:r>
        <w:t xml:space="preserve">The study was not </w:t>
      </w:r>
      <w:r w:rsidR="00F66893">
        <w:t>powered for secondary analysis,</w:t>
      </w:r>
      <w:r>
        <w:t xml:space="preserve"> thus firm conclusions cannot be drawn from this. However</w:t>
      </w:r>
      <w:r w:rsidR="00F66893">
        <w:t>,</w:t>
      </w:r>
      <w:r>
        <w:t xml:space="preserve"> there appeared to be lower number of patients</w:t>
      </w:r>
      <w:r w:rsidR="00F66893">
        <w:t xml:space="preserve"> requiring hospitalisation. Study COV002</w:t>
      </w:r>
      <w:r>
        <w:t xml:space="preserve"> included active screening for asymptomatic COVID-19. Participants were required to perform and return their own swab. The results are uninterpretable due to low numbers and incomplete compliance. Animal studies have shown reduced viral load in the lower respiratory tract</w:t>
      </w:r>
      <w:r w:rsidR="00F66893">
        <w:t>,</w:t>
      </w:r>
      <w:r>
        <w:t xml:space="preserve"> but persistent spreading in the upper respiratory tract. At this stage, efficacy in preventing asymptomatic disea</w:t>
      </w:r>
      <w:r w:rsidR="00F66893">
        <w:t>se and transmission is unknown.</w:t>
      </w:r>
    </w:p>
    <w:p w14:paraId="3127D910" w14:textId="61F615C9" w:rsidR="00D84D93" w:rsidRDefault="00D84D93" w:rsidP="00D84D93">
      <w:r>
        <w:t xml:space="preserve">Although the AZD1222 vaccine passes the statistical requirement for efficacy, the </w:t>
      </w:r>
      <w:r w:rsidR="00F66893">
        <w:t>Advisory Committee on Vaccines (</w:t>
      </w:r>
      <w:r>
        <w:t>ACV</w:t>
      </w:r>
      <w:r w:rsidR="00E71B0A">
        <w:t>; see ‘</w:t>
      </w:r>
      <w:r w:rsidR="00E71B0A" w:rsidRPr="00E71B0A">
        <w:rPr>
          <w:i/>
        </w:rPr>
        <w:t>Advisory Committee considerations</w:t>
      </w:r>
      <w:r w:rsidR="00E71B0A">
        <w:t>’, below</w:t>
      </w:r>
      <w:r w:rsidR="00F66893">
        <w:t>)</w:t>
      </w:r>
      <w:r>
        <w:t xml:space="preserve"> are asked to comment upon whether the efficacy demonstrated is adequate to meet the objectives of the Australian Vaccination Strategy. It is important that the population understand the facts about the efficacy of the vaccine, and limitations of the data, and the need to continue other public health measures to prevent the spread of disease until more information about vaccine efficacy is available.</w:t>
      </w:r>
    </w:p>
    <w:p w14:paraId="60BF195F" w14:textId="3873CB40" w:rsidR="00D84D93" w:rsidRDefault="00D84D93" w:rsidP="00D84D93">
      <w:r>
        <w:t xml:space="preserve">One of the major limitations in the study is the short and variable duration of follow up. The duration of follow up, and reasons for missing data in follow up, are important in determining efficacy. Lower duration of follow up may be from </w:t>
      </w:r>
      <w:proofErr w:type="gramStart"/>
      <w:r>
        <w:t>drop o</w:t>
      </w:r>
      <w:r w:rsidR="00657C54">
        <w:t>uts</w:t>
      </w:r>
      <w:proofErr w:type="gramEnd"/>
      <w:r w:rsidR="00657C54">
        <w:t>, but may also arise due to c</w:t>
      </w:r>
      <w:r>
        <w:t>ensoring of cases. Longer duration of follow up increases the time of exposure and increases the opportunity for true effectiveness (or non-effe</w:t>
      </w:r>
      <w:r w:rsidR="0034785E">
        <w:t>ctiveness) to be demonstrated.</w:t>
      </w:r>
    </w:p>
    <w:p w14:paraId="1E3D3432" w14:textId="5FB893F0" w:rsidR="00D84D93" w:rsidRDefault="00D84D93" w:rsidP="00D84D93">
      <w:r>
        <w:t>Variable doses and variable dose intervals arose due to procedural issues in the study. Although the AZD1222 and control groups were equally affected, different subgroups within the meta-analysis were unequally affected. For regulatory purposes, the sponsor is pr</w:t>
      </w:r>
      <w:r w:rsidR="00E71B0A">
        <w:t>oposing the standard dose</w:t>
      </w:r>
      <w:r w:rsidR="007679E2">
        <w:t xml:space="preserve"> (SD)</w:t>
      </w:r>
      <w:r w:rsidR="00E71B0A">
        <w:t xml:space="preserve"> of 5 x</w:t>
      </w:r>
      <w:r>
        <w:t xml:space="preserve"> 10</w:t>
      </w:r>
      <w:r w:rsidRPr="006717AC">
        <w:rPr>
          <w:vertAlign w:val="superscript"/>
        </w:rPr>
        <w:t>10</w:t>
      </w:r>
      <w:r w:rsidR="00E71B0A">
        <w:t xml:space="preserve"> </w:t>
      </w:r>
      <w:proofErr w:type="spellStart"/>
      <w:r w:rsidR="00E71B0A">
        <w:t>vp</w:t>
      </w:r>
      <w:proofErr w:type="spellEnd"/>
      <w:r w:rsidR="00E71B0A">
        <w:t xml:space="preserve"> and a </w:t>
      </w:r>
      <w:proofErr w:type="gramStart"/>
      <w:r w:rsidR="00E71B0A">
        <w:t>two dose</w:t>
      </w:r>
      <w:proofErr w:type="gramEnd"/>
      <w:r w:rsidR="00E71B0A">
        <w:t xml:space="preserve"> regime, 4 to </w:t>
      </w:r>
      <w:r>
        <w:t>12 weeks apart. This is supported</w:t>
      </w:r>
      <w:r w:rsidR="00E71B0A">
        <w:t xml:space="preserve"> by primary efficacy analysis a</w:t>
      </w:r>
      <w:r>
        <w:t>nd will be confirmed by ongoing studies. The post hoc exploratory subgroup analysis suggested greater efficacy (and immunogenicity) with longer dose intervals, such that the best dose regimen may be 12</w:t>
      </w:r>
      <w:r w:rsidR="00E71B0A">
        <w:t> </w:t>
      </w:r>
      <w:r>
        <w:t>weeks between doses. This is supported by adequate protection of a single dose for up to 12 weeks,</w:t>
      </w:r>
      <w:r w:rsidR="00E71B0A">
        <w:t xml:space="preserve"> and adequate protection after two</w:t>
      </w:r>
      <w:r>
        <w:t xml:space="preserve"> doses for after 12 weeks. The opt</w:t>
      </w:r>
      <w:r w:rsidR="00E71B0A">
        <w:t xml:space="preserve">imal dose interval within the 4 to </w:t>
      </w:r>
      <w:proofErr w:type="gramStart"/>
      <w:r>
        <w:t>12 week</w:t>
      </w:r>
      <w:proofErr w:type="gramEnd"/>
      <w:r>
        <w:t xml:space="preserve"> interval for the vaccine roll out is best left to the </w:t>
      </w:r>
      <w:r w:rsidR="00E71B0A">
        <w:t xml:space="preserve">Immunisation Task Force </w:t>
      </w:r>
      <w:r>
        <w:t>for consideration.</w:t>
      </w:r>
    </w:p>
    <w:p w14:paraId="2D081E1C" w14:textId="7BD9DF1E" w:rsidR="00D84D93" w:rsidRDefault="00D84D93" w:rsidP="00070AD0">
      <w:pPr>
        <w:pageBreakBefore/>
      </w:pPr>
      <w:r>
        <w:lastRenderedPageBreak/>
        <w:t>Another limitation to the clinical development program was t</w:t>
      </w:r>
      <w:r w:rsidR="00E71B0A">
        <w:t>hat those at high risk of COVID</w:t>
      </w:r>
      <w:r>
        <w:t>-19, including the elderly and those with significant co-morbidities, were excluded or under-represented. From a regulatory perspective, under</w:t>
      </w:r>
      <w:r w:rsidR="00E71B0A">
        <w:t xml:space="preserve"> the Therapeutic Goods Act</w:t>
      </w:r>
      <w:r w:rsidR="007679E2">
        <w:t>,</w:t>
      </w:r>
      <w:r w:rsidR="00E71B0A">
        <w:t xml:space="preserve"> the D</w:t>
      </w:r>
      <w:r>
        <w:t>elegate must be satisfied that ‘quality safety and efficacy have been adequately established for the purpose for which they are to be used’. This is a different assessment to a risk/benefit analysis as the potential risks of vaccination are small, and the potential benefits in this popu</w:t>
      </w:r>
      <w:r w:rsidR="00E71B0A">
        <w:t>lation</w:t>
      </w:r>
      <w:r w:rsidR="007679E2">
        <w:t xml:space="preserve"> are</w:t>
      </w:r>
      <w:r w:rsidR="00E71B0A">
        <w:t xml:space="preserve"> large. In the D</w:t>
      </w:r>
      <w:r>
        <w:t>elegate</w:t>
      </w:r>
      <w:r w:rsidR="00E71B0A">
        <w:t>’s opinion</w:t>
      </w:r>
      <w:r>
        <w:t>, these populations should not be excluded from the indication as it is reasonable to extrapolate efficacy, and the risks of COVID-19 outweigh pot</w:t>
      </w:r>
      <w:r w:rsidR="00E71B0A">
        <w:t>ential risks of the vaccine. However,</w:t>
      </w:r>
      <w:r>
        <w:t xml:space="preserve"> there needs to be adequate warning about the limitations of the data in the PI, and a recommendation to prescribers that the potential risks and benefits to an individual be considered prior to proceeding to vaccinat</w:t>
      </w:r>
      <w:r w:rsidR="00E71B0A">
        <w:t>e.</w:t>
      </w:r>
    </w:p>
    <w:p w14:paraId="2B77D7A3" w14:textId="3AD99E3C" w:rsidR="00D84D93" w:rsidRDefault="00D84D93" w:rsidP="00D84D93">
      <w:r>
        <w:t xml:space="preserve">Similar limitations apply to the data available for use in pregnancy. However, not only </w:t>
      </w:r>
      <w:proofErr w:type="gramStart"/>
      <w:r>
        <w:t>was</w:t>
      </w:r>
      <w:proofErr w:type="gramEnd"/>
      <w:r>
        <w:t xml:space="preserve"> there insufficient patients in th</w:t>
      </w:r>
      <w:r w:rsidR="00E71B0A">
        <w:t>e study but also incomplete non</w:t>
      </w:r>
      <w:r>
        <w:t xml:space="preserve">clinical studies. The proposed </w:t>
      </w:r>
      <w:r w:rsidR="00E71B0A">
        <w:t xml:space="preserve">Pregnancy Category </w:t>
      </w:r>
      <w:r>
        <w:t>is B2.</w:t>
      </w:r>
      <w:r w:rsidR="00E71B0A">
        <w:fldChar w:fldCharType="begin"/>
      </w:r>
      <w:r w:rsidR="00E71B0A">
        <w:instrText xml:space="preserve"> NOTEREF _Ref63172921 \f \h </w:instrText>
      </w:r>
      <w:r w:rsidR="00E71B0A">
        <w:fldChar w:fldCharType="separate"/>
      </w:r>
      <w:r w:rsidR="001D05A6" w:rsidRPr="001D05A6">
        <w:rPr>
          <w:rStyle w:val="FootnoteReference"/>
        </w:rPr>
        <w:t>16</w:t>
      </w:r>
      <w:r w:rsidR="00E71B0A">
        <w:fldChar w:fldCharType="end"/>
      </w:r>
      <w:r>
        <w:t xml:space="preserve"> The ACV will be requested to advi</w:t>
      </w:r>
      <w:r w:rsidR="008F676A">
        <w:t>s</w:t>
      </w:r>
      <w:r>
        <w:t>e on the adequacy of th</w:t>
      </w:r>
      <w:r w:rsidR="00B76EF2">
        <w:t>e warning for use in pregnancy.</w:t>
      </w:r>
    </w:p>
    <w:p w14:paraId="16605D85" w14:textId="58C8449C" w:rsidR="00B76EF2" w:rsidRDefault="00B76EF2" w:rsidP="00B76EF2">
      <w:pPr>
        <w:pStyle w:val="Heading5"/>
      </w:pPr>
      <w:r>
        <w:t>Clinical study plan for provisional registration</w:t>
      </w:r>
    </w:p>
    <w:p w14:paraId="09F0676D" w14:textId="0CCFF1A0" w:rsidR="00B76EF2" w:rsidRDefault="00B76EF2" w:rsidP="00B76EF2">
      <w:r>
        <w:t>As part of the provisiona</w:t>
      </w:r>
      <w:r w:rsidR="00E71B0A">
        <w:t>l registration process, sponsor</w:t>
      </w:r>
      <w:r>
        <w:t>s are required to submit a clinical study plan whereby they demonstrate how any limitations present at the time of interim analysis will be addressed.</w:t>
      </w:r>
    </w:p>
    <w:p w14:paraId="66BC653C" w14:textId="73C1F3EA" w:rsidR="00B76EF2" w:rsidRDefault="00B76EF2" w:rsidP="00B76EF2">
      <w:r>
        <w:t xml:space="preserve">The sponsor’s provisional approval clinical study </w:t>
      </w:r>
      <w:proofErr w:type="gramStart"/>
      <w:r>
        <w:t>plan</w:t>
      </w:r>
      <w:proofErr w:type="gramEnd"/>
      <w:r>
        <w:t xml:space="preserve"> included </w:t>
      </w:r>
      <w:r w:rsidR="003C5CBC">
        <w:t xml:space="preserve">availability of </w:t>
      </w:r>
      <w:r>
        <w:t xml:space="preserve">the full study reports of </w:t>
      </w:r>
      <w:r w:rsidR="00E71B0A">
        <w:t xml:space="preserve">Studies </w:t>
      </w:r>
      <w:r>
        <w:t xml:space="preserve">COV001, COV002, COV003 and COV004 </w:t>
      </w:r>
      <w:r w:rsidR="003C5CBC">
        <w:t>for submission</w:t>
      </w:r>
      <w:r w:rsidR="008C6F0A">
        <w:t>,</w:t>
      </w:r>
      <w:r w:rsidR="003C5CBC">
        <w:t xml:space="preserve"> </w:t>
      </w:r>
      <w:r w:rsidR="009D5AD5">
        <w:t xml:space="preserve">expected </w:t>
      </w:r>
      <w:r w:rsidR="008C6F0A">
        <w:t>in March to</w:t>
      </w:r>
      <w:r w:rsidR="0044054F">
        <w:t xml:space="preserve"> May</w:t>
      </w:r>
      <w:r>
        <w:t xml:space="preserve"> 2022</w:t>
      </w:r>
      <w:r w:rsidR="0044054F">
        <w:t xml:space="preserve"> depending on the study</w:t>
      </w:r>
      <w:r>
        <w:t xml:space="preserve">. In addition, the </w:t>
      </w:r>
      <w:r w:rsidR="009D5AD5">
        <w:t xml:space="preserve">clinical study report from the </w:t>
      </w:r>
      <w:r>
        <w:t>interim</w:t>
      </w:r>
      <w:r w:rsidR="00E71B0A">
        <w:t xml:space="preserve"> analysis </w:t>
      </w:r>
      <w:r w:rsidR="009D5AD5">
        <w:t xml:space="preserve">of </w:t>
      </w:r>
      <w:r w:rsidR="00E71B0A">
        <w:t xml:space="preserve">the ongoing </w:t>
      </w:r>
      <w:r w:rsidR="00D06C97">
        <w:t>US</w:t>
      </w:r>
      <w:r>
        <w:t>/Chile/Peru study</w:t>
      </w:r>
      <w:r w:rsidR="00E71B0A">
        <w:t>, Study</w:t>
      </w:r>
      <w:r>
        <w:t xml:space="preserve"> D8110C00001</w:t>
      </w:r>
      <w:r w:rsidR="00E71B0A">
        <w:t>,</w:t>
      </w:r>
      <w:r>
        <w:t xml:space="preserve"> </w:t>
      </w:r>
      <w:r w:rsidR="009D5AD5">
        <w:t>is expected to</w:t>
      </w:r>
      <w:r w:rsidR="003C5CBC">
        <w:t xml:space="preserve"> be available for submission in </w:t>
      </w:r>
      <w:r>
        <w:t>March 2021.</w:t>
      </w:r>
    </w:p>
    <w:p w14:paraId="5034D071" w14:textId="1F47E442" w:rsidR="00B76EF2" w:rsidRPr="00CB05FC" w:rsidRDefault="00CB05FC" w:rsidP="00CB05FC">
      <w:r w:rsidRPr="00CB05FC">
        <w:t>The Delegate was of the view that t</w:t>
      </w:r>
      <w:r w:rsidR="00B76EF2" w:rsidRPr="00CB05FC">
        <w:t>his clinical study plan will assist in providing further information in relation to long term efficacy, long term safety, and use in the elderly. It should also include further information about use in immunosuppressed individuals</w:t>
      </w:r>
      <w:r>
        <w:t xml:space="preserve"> (including patients with HIV).</w:t>
      </w:r>
    </w:p>
    <w:p w14:paraId="152D4FD4" w14:textId="77777777" w:rsidR="00B76EF2" w:rsidRDefault="00B76EF2" w:rsidP="00B76EF2">
      <w:r>
        <w:t>Although not officially part of the clinical study plan, the ongoing post market surveillance, pregnancy register, and post authorisation safety studies will help inform use in pregnancy and in patients with other co-morbidities. It is recommended that the ongoing studies also form part of the clinical study plan.</w:t>
      </w:r>
    </w:p>
    <w:p w14:paraId="065C2427" w14:textId="2655BD37" w:rsidR="00B76EF2" w:rsidRDefault="00B76EF2" w:rsidP="00B76EF2">
      <w:r>
        <w:t>The sponsor should also provide the TGA with the studies evaluating co-administration of infl</w:t>
      </w:r>
      <w:r w:rsidR="00CB05FC">
        <w:t>uenza (and any other vaccines).</w:t>
      </w:r>
    </w:p>
    <w:p w14:paraId="17E39F1F" w14:textId="0733AC15" w:rsidR="00B76EF2" w:rsidRDefault="00B76EF2" w:rsidP="00B76EF2">
      <w:r>
        <w:t>The main gap in the proposed ongoing studies is in relation to the optimal dose and dosing interval for vaccine efficacy. The sponsor is requested to provid</w:t>
      </w:r>
      <w:r w:rsidR="00CB05FC">
        <w:t xml:space="preserve">e further information about any </w:t>
      </w:r>
      <w:r>
        <w:t>pro</w:t>
      </w:r>
      <w:r w:rsidR="00CB05FC">
        <w:t>posed future studies.</w:t>
      </w:r>
    </w:p>
    <w:p w14:paraId="125C2F86" w14:textId="50D16B6F" w:rsidR="00B76EF2" w:rsidRDefault="00D87314" w:rsidP="00A56F05">
      <w:pPr>
        <w:pStyle w:val="TableTitle"/>
      </w:pPr>
      <w:r>
        <w:lastRenderedPageBreak/>
        <w:t xml:space="preserve">Table </w:t>
      </w:r>
      <w:r w:rsidR="002D3B9B">
        <w:fldChar w:fldCharType="begin"/>
      </w:r>
      <w:r w:rsidR="002D3B9B">
        <w:instrText xml:space="preserve"> SEQ Table \* ARABIC </w:instrText>
      </w:r>
      <w:r w:rsidR="002D3B9B">
        <w:fldChar w:fldCharType="separate"/>
      </w:r>
      <w:r w:rsidR="001D05A6">
        <w:rPr>
          <w:noProof/>
        </w:rPr>
        <w:t>14</w:t>
      </w:r>
      <w:r w:rsidR="002D3B9B">
        <w:rPr>
          <w:noProof/>
        </w:rPr>
        <w:fldChar w:fldCharType="end"/>
      </w:r>
      <w:r>
        <w:t xml:space="preserve">: </w:t>
      </w:r>
      <w:r w:rsidR="00B76EF2">
        <w:t>Additional studies in the clinical program</w:t>
      </w:r>
    </w:p>
    <w:tbl>
      <w:tblPr>
        <w:tblStyle w:val="TableTGAblue"/>
        <w:tblW w:w="8676" w:type="dxa"/>
        <w:tblLayout w:type="fixed"/>
        <w:tblLook w:val="04A0" w:firstRow="1" w:lastRow="0" w:firstColumn="1" w:lastColumn="0" w:noHBand="0" w:noVBand="1"/>
      </w:tblPr>
      <w:tblGrid>
        <w:gridCol w:w="1446"/>
        <w:gridCol w:w="1446"/>
        <w:gridCol w:w="1446"/>
        <w:gridCol w:w="1446"/>
        <w:gridCol w:w="1446"/>
        <w:gridCol w:w="1446"/>
      </w:tblGrid>
      <w:tr w:rsidR="00E95ABD" w:rsidRPr="00D178CE" w14:paraId="0626A3AA" w14:textId="77777777" w:rsidTr="00D178CE">
        <w:trPr>
          <w:cnfStyle w:val="100000000000" w:firstRow="1" w:lastRow="0" w:firstColumn="0" w:lastColumn="0" w:oddVBand="0" w:evenVBand="0" w:oddHBand="0" w:evenHBand="0" w:firstRowFirstColumn="0" w:firstRowLastColumn="0" w:lastRowFirstColumn="0" w:lastRowLastColumn="0"/>
        </w:trPr>
        <w:tc>
          <w:tcPr>
            <w:tcW w:w="1446" w:type="dxa"/>
          </w:tcPr>
          <w:p w14:paraId="01136550" w14:textId="6A991AD6" w:rsidR="00E95ABD" w:rsidRPr="00D178CE" w:rsidRDefault="00E95ABD" w:rsidP="00D178CE">
            <w:pPr>
              <w:ind w:left="0" w:right="0"/>
              <w:rPr>
                <w:sz w:val="20"/>
                <w:szCs w:val="20"/>
              </w:rPr>
            </w:pPr>
            <w:r w:rsidRPr="00D178CE">
              <w:rPr>
                <w:sz w:val="20"/>
                <w:szCs w:val="20"/>
              </w:rPr>
              <w:t>Stud</w:t>
            </w:r>
            <w:r w:rsidR="002E4D8D" w:rsidRPr="00D178CE">
              <w:rPr>
                <w:sz w:val="20"/>
                <w:szCs w:val="20"/>
              </w:rPr>
              <w:t>y</w:t>
            </w:r>
          </w:p>
        </w:tc>
        <w:tc>
          <w:tcPr>
            <w:tcW w:w="1446" w:type="dxa"/>
          </w:tcPr>
          <w:p w14:paraId="60225014" w14:textId="42DCD053" w:rsidR="00E95ABD" w:rsidRPr="00D178CE" w:rsidRDefault="00E95ABD" w:rsidP="00D178CE">
            <w:pPr>
              <w:ind w:left="0" w:right="0"/>
              <w:rPr>
                <w:sz w:val="20"/>
                <w:szCs w:val="20"/>
              </w:rPr>
            </w:pPr>
            <w:r w:rsidRPr="00D178CE">
              <w:rPr>
                <w:sz w:val="20"/>
                <w:szCs w:val="20"/>
              </w:rPr>
              <w:t>COV004</w:t>
            </w:r>
          </w:p>
        </w:tc>
        <w:tc>
          <w:tcPr>
            <w:tcW w:w="1446" w:type="dxa"/>
          </w:tcPr>
          <w:p w14:paraId="1F66FAF1" w14:textId="39ACBAD7" w:rsidR="00E95ABD" w:rsidRPr="00D178CE" w:rsidRDefault="00E95ABD" w:rsidP="00D178CE">
            <w:pPr>
              <w:ind w:left="0" w:right="0"/>
              <w:rPr>
                <w:sz w:val="20"/>
                <w:szCs w:val="20"/>
              </w:rPr>
            </w:pPr>
            <w:r w:rsidRPr="00D178CE">
              <w:rPr>
                <w:sz w:val="20"/>
                <w:szCs w:val="20"/>
              </w:rPr>
              <w:t>D8110C00001</w:t>
            </w:r>
          </w:p>
        </w:tc>
        <w:tc>
          <w:tcPr>
            <w:tcW w:w="1446" w:type="dxa"/>
          </w:tcPr>
          <w:p w14:paraId="4CB5AF2A" w14:textId="21407AD6" w:rsidR="00E95ABD" w:rsidRPr="00D178CE" w:rsidRDefault="00E95ABD" w:rsidP="00D178CE">
            <w:pPr>
              <w:ind w:left="0" w:right="0"/>
              <w:rPr>
                <w:sz w:val="20"/>
                <w:szCs w:val="20"/>
              </w:rPr>
            </w:pPr>
            <w:r w:rsidRPr="00D178CE">
              <w:rPr>
                <w:sz w:val="20"/>
                <w:szCs w:val="20"/>
              </w:rPr>
              <w:t>D8111C00001</w:t>
            </w:r>
          </w:p>
        </w:tc>
        <w:tc>
          <w:tcPr>
            <w:tcW w:w="1446" w:type="dxa"/>
          </w:tcPr>
          <w:p w14:paraId="710DC043" w14:textId="72F62C81" w:rsidR="00E95ABD" w:rsidRPr="00D178CE" w:rsidRDefault="00E95ABD" w:rsidP="00D178CE">
            <w:pPr>
              <w:ind w:left="0" w:right="0"/>
              <w:rPr>
                <w:sz w:val="20"/>
                <w:szCs w:val="20"/>
              </w:rPr>
            </w:pPr>
            <w:r w:rsidRPr="00D178CE">
              <w:rPr>
                <w:sz w:val="20"/>
                <w:szCs w:val="20"/>
              </w:rPr>
              <w:t>D8111C00002</w:t>
            </w:r>
          </w:p>
        </w:tc>
        <w:tc>
          <w:tcPr>
            <w:tcW w:w="1446" w:type="dxa"/>
          </w:tcPr>
          <w:p w14:paraId="3795BAA8" w14:textId="736A65C0" w:rsidR="00E95ABD" w:rsidRPr="00D178CE" w:rsidRDefault="00E95ABD" w:rsidP="00D178CE">
            <w:pPr>
              <w:ind w:left="0" w:right="0"/>
              <w:rPr>
                <w:sz w:val="20"/>
                <w:szCs w:val="20"/>
              </w:rPr>
            </w:pPr>
            <w:r w:rsidRPr="00D178CE">
              <w:rPr>
                <w:sz w:val="20"/>
                <w:szCs w:val="20"/>
              </w:rPr>
              <w:t>ICMR/SII- COVISHIELD</w:t>
            </w:r>
          </w:p>
        </w:tc>
      </w:tr>
      <w:tr w:rsidR="00E95ABD" w:rsidRPr="00D178CE" w14:paraId="3482AFF7" w14:textId="77777777" w:rsidTr="00D178CE">
        <w:tc>
          <w:tcPr>
            <w:tcW w:w="1446" w:type="dxa"/>
          </w:tcPr>
          <w:p w14:paraId="084A1741" w14:textId="5D656FB8" w:rsidR="00E95ABD" w:rsidRPr="00D178CE" w:rsidRDefault="00E95ABD" w:rsidP="00D178CE">
            <w:pPr>
              <w:keepNext/>
              <w:ind w:left="0"/>
              <w:rPr>
                <w:sz w:val="20"/>
                <w:szCs w:val="20"/>
              </w:rPr>
            </w:pPr>
            <w:r w:rsidRPr="00D178CE">
              <w:rPr>
                <w:sz w:val="20"/>
                <w:szCs w:val="20"/>
              </w:rPr>
              <w:t>Identifier</w:t>
            </w:r>
          </w:p>
        </w:tc>
        <w:tc>
          <w:tcPr>
            <w:tcW w:w="1446" w:type="dxa"/>
          </w:tcPr>
          <w:p w14:paraId="1D6AD05D" w14:textId="190B9B5F" w:rsidR="00E95ABD" w:rsidRPr="00D178CE" w:rsidRDefault="00E95ABD" w:rsidP="00D178CE">
            <w:pPr>
              <w:keepNext/>
              <w:ind w:left="0"/>
              <w:rPr>
                <w:sz w:val="20"/>
                <w:szCs w:val="20"/>
              </w:rPr>
            </w:pPr>
            <w:r w:rsidRPr="00D178CE">
              <w:rPr>
                <w:sz w:val="20"/>
                <w:szCs w:val="20"/>
              </w:rPr>
              <w:t>PACTR20200568189 5696</w:t>
            </w:r>
          </w:p>
        </w:tc>
        <w:tc>
          <w:tcPr>
            <w:tcW w:w="1446" w:type="dxa"/>
          </w:tcPr>
          <w:p w14:paraId="25C838A8" w14:textId="49059471" w:rsidR="00E95ABD" w:rsidRPr="00D178CE" w:rsidRDefault="00E95ABD" w:rsidP="00D178CE">
            <w:pPr>
              <w:keepNext/>
              <w:ind w:left="0"/>
              <w:rPr>
                <w:sz w:val="20"/>
                <w:szCs w:val="20"/>
              </w:rPr>
            </w:pPr>
            <w:r w:rsidRPr="00D178CE">
              <w:rPr>
                <w:sz w:val="20"/>
                <w:szCs w:val="20"/>
              </w:rPr>
              <w:t>NCT04516746 EudraCT number 2020-001228-32</w:t>
            </w:r>
          </w:p>
        </w:tc>
        <w:tc>
          <w:tcPr>
            <w:tcW w:w="1446" w:type="dxa"/>
          </w:tcPr>
          <w:p w14:paraId="0D3259B4" w14:textId="77777777" w:rsidR="00E95ABD" w:rsidRPr="00D178CE" w:rsidRDefault="00E95ABD" w:rsidP="00D178CE">
            <w:pPr>
              <w:keepNext/>
              <w:rPr>
                <w:sz w:val="20"/>
                <w:szCs w:val="20"/>
              </w:rPr>
            </w:pPr>
          </w:p>
        </w:tc>
        <w:tc>
          <w:tcPr>
            <w:tcW w:w="1446" w:type="dxa"/>
          </w:tcPr>
          <w:p w14:paraId="5FA80B9B" w14:textId="4F679117" w:rsidR="00E95ABD" w:rsidRPr="00D178CE" w:rsidRDefault="002E4D8D" w:rsidP="00D178CE">
            <w:pPr>
              <w:keepNext/>
              <w:ind w:left="0"/>
              <w:rPr>
                <w:sz w:val="20"/>
                <w:szCs w:val="20"/>
              </w:rPr>
            </w:pPr>
            <w:r w:rsidRPr="00D178CE">
              <w:rPr>
                <w:sz w:val="20"/>
                <w:szCs w:val="20"/>
              </w:rPr>
              <w:t>NCT04568031</w:t>
            </w:r>
          </w:p>
        </w:tc>
        <w:tc>
          <w:tcPr>
            <w:tcW w:w="1446" w:type="dxa"/>
          </w:tcPr>
          <w:p w14:paraId="4CD22282" w14:textId="77777777" w:rsidR="00E95ABD" w:rsidRPr="00D178CE" w:rsidRDefault="00E95ABD" w:rsidP="00D178CE">
            <w:pPr>
              <w:keepNext/>
              <w:rPr>
                <w:sz w:val="20"/>
                <w:szCs w:val="20"/>
              </w:rPr>
            </w:pPr>
          </w:p>
        </w:tc>
      </w:tr>
      <w:tr w:rsidR="00E95ABD" w:rsidRPr="00D178CE" w14:paraId="266BAED9" w14:textId="77777777" w:rsidTr="00D178CE">
        <w:tc>
          <w:tcPr>
            <w:tcW w:w="1446" w:type="dxa"/>
          </w:tcPr>
          <w:p w14:paraId="10C50F03" w14:textId="27CB5449" w:rsidR="00E95ABD" w:rsidRPr="00D178CE" w:rsidRDefault="00E95ABD" w:rsidP="00D178CE">
            <w:pPr>
              <w:keepNext/>
              <w:ind w:left="0"/>
              <w:rPr>
                <w:sz w:val="20"/>
                <w:szCs w:val="20"/>
              </w:rPr>
            </w:pPr>
            <w:r w:rsidRPr="00D178CE">
              <w:rPr>
                <w:sz w:val="20"/>
                <w:szCs w:val="20"/>
              </w:rPr>
              <w:t>Region</w:t>
            </w:r>
          </w:p>
        </w:tc>
        <w:tc>
          <w:tcPr>
            <w:tcW w:w="1446" w:type="dxa"/>
          </w:tcPr>
          <w:p w14:paraId="72DDAA1F" w14:textId="6949E8FB" w:rsidR="00E95ABD" w:rsidRPr="00D178CE" w:rsidRDefault="00E95ABD" w:rsidP="00D178CE">
            <w:pPr>
              <w:keepNext/>
              <w:ind w:left="0"/>
              <w:rPr>
                <w:sz w:val="20"/>
                <w:szCs w:val="20"/>
              </w:rPr>
            </w:pPr>
            <w:r w:rsidRPr="00D178CE">
              <w:rPr>
                <w:sz w:val="20"/>
                <w:szCs w:val="20"/>
              </w:rPr>
              <w:t>Kenya</w:t>
            </w:r>
          </w:p>
        </w:tc>
        <w:tc>
          <w:tcPr>
            <w:tcW w:w="1446" w:type="dxa"/>
          </w:tcPr>
          <w:p w14:paraId="3CD464C4" w14:textId="6723E14F" w:rsidR="00E95ABD" w:rsidRPr="00D178CE" w:rsidRDefault="00E95ABD" w:rsidP="00D178CE">
            <w:pPr>
              <w:keepNext/>
              <w:ind w:left="0"/>
              <w:rPr>
                <w:sz w:val="20"/>
                <w:szCs w:val="20"/>
              </w:rPr>
            </w:pPr>
            <w:r w:rsidRPr="00D178CE">
              <w:rPr>
                <w:sz w:val="20"/>
                <w:szCs w:val="20"/>
              </w:rPr>
              <w:t>US, Chile, Peru</w:t>
            </w:r>
          </w:p>
        </w:tc>
        <w:tc>
          <w:tcPr>
            <w:tcW w:w="1446" w:type="dxa"/>
          </w:tcPr>
          <w:p w14:paraId="3B2A96A2" w14:textId="0B903B24" w:rsidR="00E95ABD" w:rsidRPr="00D178CE" w:rsidRDefault="002E4D8D" w:rsidP="00D178CE">
            <w:pPr>
              <w:keepNext/>
              <w:ind w:left="0"/>
              <w:rPr>
                <w:sz w:val="20"/>
                <w:szCs w:val="20"/>
              </w:rPr>
            </w:pPr>
            <w:r w:rsidRPr="00D178CE">
              <w:rPr>
                <w:sz w:val="20"/>
                <w:szCs w:val="20"/>
              </w:rPr>
              <w:t>Russia</w:t>
            </w:r>
          </w:p>
        </w:tc>
        <w:tc>
          <w:tcPr>
            <w:tcW w:w="1446" w:type="dxa"/>
          </w:tcPr>
          <w:p w14:paraId="6BE1A01D" w14:textId="1974C3EF" w:rsidR="00E95ABD" w:rsidRPr="00D178CE" w:rsidRDefault="002E4D8D" w:rsidP="00D178CE">
            <w:pPr>
              <w:keepNext/>
              <w:ind w:left="0"/>
              <w:rPr>
                <w:sz w:val="20"/>
                <w:szCs w:val="20"/>
              </w:rPr>
            </w:pPr>
            <w:r w:rsidRPr="00D178CE">
              <w:rPr>
                <w:sz w:val="20"/>
                <w:szCs w:val="20"/>
              </w:rPr>
              <w:t>Japan</w:t>
            </w:r>
          </w:p>
        </w:tc>
        <w:tc>
          <w:tcPr>
            <w:tcW w:w="1446" w:type="dxa"/>
          </w:tcPr>
          <w:p w14:paraId="49C85B84" w14:textId="07EA26FC" w:rsidR="00E95ABD" w:rsidRPr="00D178CE" w:rsidRDefault="002E4D8D" w:rsidP="00D178CE">
            <w:pPr>
              <w:keepNext/>
              <w:ind w:left="0"/>
              <w:rPr>
                <w:sz w:val="20"/>
                <w:szCs w:val="20"/>
              </w:rPr>
            </w:pPr>
            <w:r w:rsidRPr="00D178CE">
              <w:rPr>
                <w:sz w:val="20"/>
                <w:szCs w:val="20"/>
              </w:rPr>
              <w:t>India</w:t>
            </w:r>
          </w:p>
        </w:tc>
      </w:tr>
      <w:tr w:rsidR="00E95ABD" w:rsidRPr="00D178CE" w14:paraId="12C1BC07" w14:textId="77777777" w:rsidTr="00D178CE">
        <w:tc>
          <w:tcPr>
            <w:tcW w:w="1446" w:type="dxa"/>
          </w:tcPr>
          <w:p w14:paraId="307B90F6" w14:textId="1013A39A" w:rsidR="00E95ABD" w:rsidRPr="00D178CE" w:rsidRDefault="00E95ABD" w:rsidP="00D178CE">
            <w:pPr>
              <w:keepNext/>
              <w:ind w:left="0" w:right="0"/>
              <w:rPr>
                <w:sz w:val="20"/>
                <w:szCs w:val="20"/>
              </w:rPr>
            </w:pPr>
            <w:r w:rsidRPr="00D178CE">
              <w:rPr>
                <w:sz w:val="20"/>
                <w:szCs w:val="20"/>
              </w:rPr>
              <w:t>Sponsor</w:t>
            </w:r>
          </w:p>
        </w:tc>
        <w:tc>
          <w:tcPr>
            <w:tcW w:w="1446" w:type="dxa"/>
          </w:tcPr>
          <w:p w14:paraId="0F74F407" w14:textId="5C781798" w:rsidR="00E95ABD" w:rsidRPr="00D178CE" w:rsidRDefault="00E95ABD" w:rsidP="00D178CE">
            <w:pPr>
              <w:keepNext/>
              <w:ind w:left="0" w:right="0"/>
              <w:rPr>
                <w:sz w:val="20"/>
                <w:szCs w:val="20"/>
              </w:rPr>
            </w:pPr>
            <w:r w:rsidRPr="00D178CE">
              <w:rPr>
                <w:sz w:val="20"/>
                <w:szCs w:val="20"/>
              </w:rPr>
              <w:t>University of Oxford</w:t>
            </w:r>
          </w:p>
        </w:tc>
        <w:tc>
          <w:tcPr>
            <w:tcW w:w="1446" w:type="dxa"/>
          </w:tcPr>
          <w:p w14:paraId="14C26F09" w14:textId="062E1B75" w:rsidR="00E95ABD" w:rsidRPr="00D178CE" w:rsidRDefault="00E95ABD" w:rsidP="00D178CE">
            <w:pPr>
              <w:keepNext/>
              <w:ind w:left="0" w:right="0"/>
              <w:rPr>
                <w:sz w:val="20"/>
                <w:szCs w:val="20"/>
              </w:rPr>
            </w:pPr>
            <w:r w:rsidRPr="00D178CE">
              <w:rPr>
                <w:sz w:val="20"/>
                <w:szCs w:val="20"/>
              </w:rPr>
              <w:t>AstraZeneca</w:t>
            </w:r>
          </w:p>
        </w:tc>
        <w:tc>
          <w:tcPr>
            <w:tcW w:w="1446" w:type="dxa"/>
          </w:tcPr>
          <w:p w14:paraId="022A727B" w14:textId="31E006EF" w:rsidR="00E95ABD" w:rsidRPr="00D178CE" w:rsidRDefault="00E95ABD" w:rsidP="00D178CE">
            <w:pPr>
              <w:keepNext/>
              <w:ind w:left="0" w:right="0"/>
              <w:rPr>
                <w:sz w:val="20"/>
                <w:szCs w:val="20"/>
              </w:rPr>
            </w:pPr>
            <w:r w:rsidRPr="00D178CE">
              <w:rPr>
                <w:sz w:val="20"/>
                <w:szCs w:val="20"/>
              </w:rPr>
              <w:t>AstraZeneca</w:t>
            </w:r>
          </w:p>
        </w:tc>
        <w:tc>
          <w:tcPr>
            <w:tcW w:w="1446" w:type="dxa"/>
          </w:tcPr>
          <w:p w14:paraId="317693BA" w14:textId="7A76D7D6" w:rsidR="00E95ABD" w:rsidRPr="00D178CE" w:rsidRDefault="00E95ABD" w:rsidP="00D178CE">
            <w:pPr>
              <w:keepNext/>
              <w:ind w:left="0" w:right="0"/>
              <w:rPr>
                <w:sz w:val="20"/>
                <w:szCs w:val="20"/>
              </w:rPr>
            </w:pPr>
            <w:r w:rsidRPr="00D178CE">
              <w:rPr>
                <w:sz w:val="20"/>
                <w:szCs w:val="20"/>
              </w:rPr>
              <w:t>AstraZeneca</w:t>
            </w:r>
          </w:p>
        </w:tc>
        <w:tc>
          <w:tcPr>
            <w:tcW w:w="1446" w:type="dxa"/>
          </w:tcPr>
          <w:p w14:paraId="2D0E2582" w14:textId="3C4324DA" w:rsidR="00E95ABD" w:rsidRPr="00D178CE" w:rsidRDefault="00E95ABD" w:rsidP="00D178CE">
            <w:pPr>
              <w:keepNext/>
              <w:ind w:left="0" w:right="0"/>
              <w:rPr>
                <w:sz w:val="20"/>
                <w:szCs w:val="20"/>
              </w:rPr>
            </w:pPr>
            <w:r w:rsidRPr="00D178CE">
              <w:rPr>
                <w:sz w:val="20"/>
                <w:szCs w:val="20"/>
              </w:rPr>
              <w:t>ICMR/SIIPL</w:t>
            </w:r>
          </w:p>
        </w:tc>
      </w:tr>
      <w:tr w:rsidR="00E95ABD" w:rsidRPr="00D178CE" w14:paraId="720D8274" w14:textId="77777777" w:rsidTr="00D178CE">
        <w:tc>
          <w:tcPr>
            <w:tcW w:w="1446" w:type="dxa"/>
          </w:tcPr>
          <w:p w14:paraId="40E207D9" w14:textId="76E99FA0" w:rsidR="00E95ABD" w:rsidRPr="00D178CE" w:rsidRDefault="00E95ABD" w:rsidP="00D178CE">
            <w:pPr>
              <w:ind w:left="0" w:right="0"/>
              <w:rPr>
                <w:sz w:val="20"/>
                <w:szCs w:val="20"/>
              </w:rPr>
            </w:pPr>
            <w:r w:rsidRPr="00D178CE">
              <w:rPr>
                <w:sz w:val="20"/>
                <w:szCs w:val="20"/>
              </w:rPr>
              <w:t>Start Date/Status</w:t>
            </w:r>
          </w:p>
        </w:tc>
        <w:tc>
          <w:tcPr>
            <w:tcW w:w="1446" w:type="dxa"/>
          </w:tcPr>
          <w:p w14:paraId="3A53DBE3" w14:textId="7B9DB48F" w:rsidR="00E95ABD" w:rsidRPr="00D178CE" w:rsidRDefault="00E95ABD" w:rsidP="00D178CE">
            <w:pPr>
              <w:ind w:left="0" w:right="0"/>
              <w:rPr>
                <w:sz w:val="20"/>
                <w:szCs w:val="20"/>
              </w:rPr>
            </w:pPr>
            <w:r w:rsidRPr="00D178CE">
              <w:rPr>
                <w:sz w:val="20"/>
                <w:szCs w:val="20"/>
              </w:rPr>
              <w:t>October 2020 / Ongoing</w:t>
            </w:r>
          </w:p>
        </w:tc>
        <w:tc>
          <w:tcPr>
            <w:tcW w:w="1446" w:type="dxa"/>
          </w:tcPr>
          <w:p w14:paraId="3E2754F4" w14:textId="6C24C077" w:rsidR="00E95ABD" w:rsidRPr="00D178CE" w:rsidRDefault="00E95ABD" w:rsidP="00D178CE">
            <w:pPr>
              <w:ind w:left="0" w:right="0"/>
              <w:rPr>
                <w:sz w:val="20"/>
                <w:szCs w:val="20"/>
              </w:rPr>
            </w:pPr>
            <w:r w:rsidRPr="00D178CE">
              <w:rPr>
                <w:sz w:val="20"/>
                <w:szCs w:val="20"/>
              </w:rPr>
              <w:t>August 2020 / Ongoing</w:t>
            </w:r>
          </w:p>
        </w:tc>
        <w:tc>
          <w:tcPr>
            <w:tcW w:w="1446" w:type="dxa"/>
          </w:tcPr>
          <w:p w14:paraId="05F2E50B" w14:textId="58F8926F" w:rsidR="00E95ABD" w:rsidRPr="00D178CE" w:rsidRDefault="00E95ABD" w:rsidP="00D178CE">
            <w:pPr>
              <w:ind w:left="0" w:right="0"/>
              <w:rPr>
                <w:sz w:val="20"/>
                <w:szCs w:val="20"/>
              </w:rPr>
            </w:pPr>
            <w:r w:rsidRPr="00D178CE">
              <w:rPr>
                <w:sz w:val="20"/>
                <w:szCs w:val="20"/>
              </w:rPr>
              <w:t>On Hold</w:t>
            </w:r>
          </w:p>
        </w:tc>
        <w:tc>
          <w:tcPr>
            <w:tcW w:w="1446" w:type="dxa"/>
          </w:tcPr>
          <w:p w14:paraId="524986A6" w14:textId="53169A3E" w:rsidR="00E95ABD" w:rsidRPr="00D178CE" w:rsidRDefault="00E95ABD" w:rsidP="00D178CE">
            <w:pPr>
              <w:ind w:left="0" w:right="0"/>
              <w:rPr>
                <w:sz w:val="20"/>
                <w:szCs w:val="20"/>
              </w:rPr>
            </w:pPr>
            <w:r w:rsidRPr="00D178CE">
              <w:rPr>
                <w:sz w:val="20"/>
                <w:szCs w:val="20"/>
              </w:rPr>
              <w:t>August 2020 / Ongoing</w:t>
            </w:r>
          </w:p>
        </w:tc>
        <w:tc>
          <w:tcPr>
            <w:tcW w:w="1446" w:type="dxa"/>
          </w:tcPr>
          <w:p w14:paraId="69BF7C39" w14:textId="25282846" w:rsidR="00E95ABD" w:rsidRPr="00D178CE" w:rsidRDefault="00E95ABD" w:rsidP="00D178CE">
            <w:pPr>
              <w:ind w:left="0" w:right="0"/>
              <w:rPr>
                <w:sz w:val="20"/>
                <w:szCs w:val="20"/>
              </w:rPr>
            </w:pPr>
            <w:r w:rsidRPr="00D178CE">
              <w:rPr>
                <w:sz w:val="20"/>
                <w:szCs w:val="20"/>
              </w:rPr>
              <w:t>August 2020 / Ongoing</w:t>
            </w:r>
          </w:p>
        </w:tc>
      </w:tr>
      <w:tr w:rsidR="00E95ABD" w:rsidRPr="00D178CE" w14:paraId="38F92AB9" w14:textId="77777777" w:rsidTr="00D178CE">
        <w:tc>
          <w:tcPr>
            <w:tcW w:w="1446" w:type="dxa"/>
          </w:tcPr>
          <w:p w14:paraId="4FFD1987" w14:textId="109DC08D" w:rsidR="00E95ABD" w:rsidRPr="00D178CE" w:rsidRDefault="00E95ABD" w:rsidP="00D178CE">
            <w:pPr>
              <w:ind w:left="0" w:right="0"/>
              <w:rPr>
                <w:sz w:val="20"/>
                <w:szCs w:val="20"/>
              </w:rPr>
            </w:pPr>
            <w:r w:rsidRPr="00D178CE">
              <w:rPr>
                <w:sz w:val="20"/>
                <w:szCs w:val="20"/>
              </w:rPr>
              <w:t>Phase</w:t>
            </w:r>
          </w:p>
        </w:tc>
        <w:tc>
          <w:tcPr>
            <w:tcW w:w="1446" w:type="dxa"/>
          </w:tcPr>
          <w:p w14:paraId="3BC92802" w14:textId="0EF0A0C4" w:rsidR="00E95ABD" w:rsidRPr="00D178CE" w:rsidRDefault="00E95ABD" w:rsidP="00D178CE">
            <w:pPr>
              <w:ind w:left="0" w:right="0"/>
              <w:rPr>
                <w:sz w:val="20"/>
                <w:szCs w:val="20"/>
              </w:rPr>
            </w:pPr>
            <w:proofErr w:type="spellStart"/>
            <w:r w:rsidRPr="00D178CE">
              <w:rPr>
                <w:sz w:val="20"/>
                <w:szCs w:val="20"/>
              </w:rPr>
              <w:t>Ib</w:t>
            </w:r>
            <w:proofErr w:type="spellEnd"/>
            <w:r w:rsidRPr="00D178CE">
              <w:rPr>
                <w:sz w:val="20"/>
                <w:szCs w:val="20"/>
              </w:rPr>
              <w:t>/II</w:t>
            </w:r>
          </w:p>
        </w:tc>
        <w:tc>
          <w:tcPr>
            <w:tcW w:w="1446" w:type="dxa"/>
          </w:tcPr>
          <w:p w14:paraId="2F10B802" w14:textId="405433E1" w:rsidR="00E95ABD" w:rsidRPr="00D178CE" w:rsidRDefault="00E95ABD" w:rsidP="00D178CE">
            <w:pPr>
              <w:ind w:left="0" w:right="0"/>
              <w:rPr>
                <w:sz w:val="20"/>
                <w:szCs w:val="20"/>
              </w:rPr>
            </w:pPr>
            <w:r w:rsidRPr="00D178CE">
              <w:rPr>
                <w:sz w:val="20"/>
                <w:szCs w:val="20"/>
              </w:rPr>
              <w:t>III</w:t>
            </w:r>
          </w:p>
        </w:tc>
        <w:tc>
          <w:tcPr>
            <w:tcW w:w="1446" w:type="dxa"/>
          </w:tcPr>
          <w:p w14:paraId="2F6FF20E" w14:textId="79570CCF" w:rsidR="00E95ABD" w:rsidRPr="00D178CE" w:rsidRDefault="00E95ABD" w:rsidP="00D178CE">
            <w:pPr>
              <w:ind w:left="0" w:right="0"/>
              <w:rPr>
                <w:sz w:val="20"/>
                <w:szCs w:val="20"/>
              </w:rPr>
            </w:pPr>
            <w:r w:rsidRPr="00D178CE">
              <w:rPr>
                <w:sz w:val="20"/>
                <w:szCs w:val="20"/>
              </w:rPr>
              <w:t>III</w:t>
            </w:r>
          </w:p>
        </w:tc>
        <w:tc>
          <w:tcPr>
            <w:tcW w:w="1446" w:type="dxa"/>
          </w:tcPr>
          <w:p w14:paraId="74A5C7F1" w14:textId="1B936BBF" w:rsidR="00E95ABD" w:rsidRPr="00D178CE" w:rsidRDefault="00E95ABD" w:rsidP="00D178CE">
            <w:pPr>
              <w:ind w:left="0" w:right="0"/>
              <w:rPr>
                <w:sz w:val="20"/>
                <w:szCs w:val="20"/>
              </w:rPr>
            </w:pPr>
            <w:r w:rsidRPr="00D178CE">
              <w:rPr>
                <w:sz w:val="20"/>
                <w:szCs w:val="20"/>
              </w:rPr>
              <w:t>I/II</w:t>
            </w:r>
          </w:p>
        </w:tc>
        <w:tc>
          <w:tcPr>
            <w:tcW w:w="1446" w:type="dxa"/>
          </w:tcPr>
          <w:p w14:paraId="16F465FC" w14:textId="01992C52" w:rsidR="00E95ABD" w:rsidRPr="00D178CE" w:rsidRDefault="00E95ABD" w:rsidP="00D178CE">
            <w:pPr>
              <w:ind w:left="0" w:right="0"/>
              <w:rPr>
                <w:sz w:val="20"/>
                <w:szCs w:val="20"/>
              </w:rPr>
            </w:pPr>
            <w:r w:rsidRPr="00D178CE">
              <w:rPr>
                <w:sz w:val="20"/>
                <w:szCs w:val="20"/>
              </w:rPr>
              <w:t>II/III</w:t>
            </w:r>
          </w:p>
        </w:tc>
      </w:tr>
      <w:tr w:rsidR="00E95ABD" w:rsidRPr="00D178CE" w14:paraId="47782D4A" w14:textId="77777777" w:rsidTr="00D178CE">
        <w:tc>
          <w:tcPr>
            <w:tcW w:w="1446" w:type="dxa"/>
          </w:tcPr>
          <w:p w14:paraId="15415B69" w14:textId="6C460686" w:rsidR="00E95ABD" w:rsidRPr="00D178CE" w:rsidRDefault="00E95ABD" w:rsidP="00D178CE">
            <w:pPr>
              <w:ind w:left="0" w:right="0"/>
              <w:rPr>
                <w:sz w:val="20"/>
                <w:szCs w:val="20"/>
              </w:rPr>
            </w:pPr>
            <w:r w:rsidRPr="00D178CE">
              <w:rPr>
                <w:sz w:val="20"/>
                <w:szCs w:val="20"/>
              </w:rPr>
              <w:t>Design</w:t>
            </w:r>
          </w:p>
        </w:tc>
        <w:tc>
          <w:tcPr>
            <w:tcW w:w="1446" w:type="dxa"/>
          </w:tcPr>
          <w:p w14:paraId="075C81FF" w14:textId="2BA1EF88" w:rsidR="00E95ABD" w:rsidRPr="00D178CE" w:rsidRDefault="000D163C" w:rsidP="00D178CE">
            <w:pPr>
              <w:ind w:left="0" w:right="0"/>
              <w:rPr>
                <w:sz w:val="20"/>
                <w:szCs w:val="20"/>
              </w:rPr>
            </w:pPr>
            <w:r w:rsidRPr="00D178CE">
              <w:rPr>
                <w:sz w:val="20"/>
                <w:szCs w:val="20"/>
              </w:rPr>
              <w:t>P</w:t>
            </w:r>
            <w:r w:rsidR="00E95ABD" w:rsidRPr="00D178CE">
              <w:rPr>
                <w:sz w:val="20"/>
                <w:szCs w:val="20"/>
              </w:rPr>
              <w:t>articipant-blind, randomised, controlled</w:t>
            </w:r>
          </w:p>
        </w:tc>
        <w:tc>
          <w:tcPr>
            <w:tcW w:w="1446" w:type="dxa"/>
          </w:tcPr>
          <w:p w14:paraId="02F3C59E" w14:textId="2F9D3D4B" w:rsidR="00E95ABD" w:rsidRPr="00D178CE" w:rsidRDefault="000D163C" w:rsidP="00D178CE">
            <w:pPr>
              <w:ind w:left="0" w:right="0"/>
              <w:rPr>
                <w:sz w:val="20"/>
                <w:szCs w:val="20"/>
              </w:rPr>
            </w:pPr>
            <w:r w:rsidRPr="00D178CE">
              <w:rPr>
                <w:sz w:val="20"/>
                <w:szCs w:val="20"/>
              </w:rPr>
              <w:t>D</w:t>
            </w:r>
            <w:r w:rsidR="00E95ABD" w:rsidRPr="00D178CE">
              <w:rPr>
                <w:sz w:val="20"/>
                <w:szCs w:val="20"/>
              </w:rPr>
              <w:t>ouble-blind, randomised, controlled</w:t>
            </w:r>
          </w:p>
        </w:tc>
        <w:tc>
          <w:tcPr>
            <w:tcW w:w="1446" w:type="dxa"/>
          </w:tcPr>
          <w:p w14:paraId="5CF0F7CB" w14:textId="0AD539C7" w:rsidR="00E95ABD" w:rsidRPr="00D178CE" w:rsidRDefault="00E95ABD" w:rsidP="00D178CE">
            <w:pPr>
              <w:ind w:left="0" w:right="0"/>
              <w:rPr>
                <w:sz w:val="20"/>
                <w:szCs w:val="20"/>
              </w:rPr>
            </w:pPr>
            <w:r w:rsidRPr="00D178CE">
              <w:rPr>
                <w:sz w:val="20"/>
                <w:szCs w:val="20"/>
              </w:rPr>
              <w:t>Open label</w:t>
            </w:r>
          </w:p>
        </w:tc>
        <w:tc>
          <w:tcPr>
            <w:tcW w:w="1446" w:type="dxa"/>
          </w:tcPr>
          <w:p w14:paraId="235F05D6" w14:textId="44F87833" w:rsidR="00E95ABD" w:rsidRPr="00D178CE" w:rsidRDefault="000D163C" w:rsidP="00D178CE">
            <w:pPr>
              <w:ind w:left="0" w:right="0"/>
              <w:rPr>
                <w:sz w:val="20"/>
                <w:szCs w:val="20"/>
              </w:rPr>
            </w:pPr>
            <w:r w:rsidRPr="00D178CE">
              <w:rPr>
                <w:sz w:val="20"/>
                <w:szCs w:val="20"/>
              </w:rPr>
              <w:t>D</w:t>
            </w:r>
            <w:r w:rsidR="00E95ABD" w:rsidRPr="00D178CE">
              <w:rPr>
                <w:sz w:val="20"/>
                <w:szCs w:val="20"/>
              </w:rPr>
              <w:t>ouble-blind, randomised, controlled</w:t>
            </w:r>
          </w:p>
        </w:tc>
        <w:tc>
          <w:tcPr>
            <w:tcW w:w="1446" w:type="dxa"/>
          </w:tcPr>
          <w:p w14:paraId="0F6F9A1E" w14:textId="503DD17C" w:rsidR="00E95ABD" w:rsidRPr="00D178CE" w:rsidRDefault="000D163C" w:rsidP="00D178CE">
            <w:pPr>
              <w:ind w:left="0" w:right="0"/>
              <w:rPr>
                <w:sz w:val="20"/>
                <w:szCs w:val="20"/>
              </w:rPr>
            </w:pPr>
            <w:r w:rsidRPr="00D178CE">
              <w:rPr>
                <w:sz w:val="20"/>
                <w:szCs w:val="20"/>
              </w:rPr>
              <w:t>O</w:t>
            </w:r>
            <w:r w:rsidR="00E95ABD" w:rsidRPr="00D178CE">
              <w:rPr>
                <w:sz w:val="20"/>
                <w:szCs w:val="20"/>
              </w:rPr>
              <w:t>bserver-blind, randomised, controlled</w:t>
            </w:r>
          </w:p>
        </w:tc>
      </w:tr>
      <w:tr w:rsidR="00E95ABD" w:rsidRPr="00D178CE" w14:paraId="38D738B4" w14:textId="77777777" w:rsidTr="00D178CE">
        <w:tc>
          <w:tcPr>
            <w:tcW w:w="1446" w:type="dxa"/>
          </w:tcPr>
          <w:p w14:paraId="5EBF2B17" w14:textId="663EE16B" w:rsidR="00E95ABD" w:rsidRPr="00D178CE" w:rsidRDefault="00E95ABD" w:rsidP="00D178CE">
            <w:pPr>
              <w:ind w:left="0" w:right="0"/>
              <w:rPr>
                <w:sz w:val="20"/>
                <w:szCs w:val="20"/>
              </w:rPr>
            </w:pPr>
            <w:r w:rsidRPr="00D178CE">
              <w:rPr>
                <w:sz w:val="20"/>
                <w:szCs w:val="20"/>
              </w:rPr>
              <w:t>Planned number of participants</w:t>
            </w:r>
          </w:p>
        </w:tc>
        <w:tc>
          <w:tcPr>
            <w:tcW w:w="1446" w:type="dxa"/>
          </w:tcPr>
          <w:p w14:paraId="66E50C50" w14:textId="61ECADEB" w:rsidR="00E95ABD" w:rsidRPr="00D178CE" w:rsidRDefault="00D178CE" w:rsidP="00D178CE">
            <w:pPr>
              <w:ind w:left="0" w:right="0"/>
              <w:rPr>
                <w:sz w:val="20"/>
                <w:szCs w:val="20"/>
              </w:rPr>
            </w:pPr>
            <w:r w:rsidRPr="00D178CE">
              <w:rPr>
                <w:sz w:val="20"/>
                <w:szCs w:val="20"/>
              </w:rPr>
              <w:t>Approx.</w:t>
            </w:r>
            <w:r w:rsidR="00CC2D41" w:rsidRPr="00D178CE">
              <w:rPr>
                <w:sz w:val="20"/>
                <w:szCs w:val="20"/>
              </w:rPr>
              <w:t xml:space="preserve"> </w:t>
            </w:r>
            <w:r w:rsidR="00E95ABD" w:rsidRPr="00D178CE">
              <w:rPr>
                <w:sz w:val="20"/>
                <w:szCs w:val="20"/>
              </w:rPr>
              <w:t>400</w:t>
            </w:r>
          </w:p>
        </w:tc>
        <w:tc>
          <w:tcPr>
            <w:tcW w:w="1446" w:type="dxa"/>
          </w:tcPr>
          <w:p w14:paraId="7C1635AC" w14:textId="4D796446" w:rsidR="00E95ABD" w:rsidRPr="00D178CE" w:rsidRDefault="00D178CE" w:rsidP="00D178CE">
            <w:pPr>
              <w:ind w:left="0" w:right="0"/>
              <w:rPr>
                <w:sz w:val="20"/>
                <w:szCs w:val="20"/>
              </w:rPr>
            </w:pPr>
            <w:r w:rsidRPr="00D178CE">
              <w:rPr>
                <w:sz w:val="20"/>
                <w:szCs w:val="20"/>
              </w:rPr>
              <w:t>Approx.</w:t>
            </w:r>
            <w:r w:rsidR="002E4D8D" w:rsidRPr="00D178CE">
              <w:rPr>
                <w:sz w:val="20"/>
                <w:szCs w:val="20"/>
              </w:rPr>
              <w:t xml:space="preserve"> </w:t>
            </w:r>
            <w:r w:rsidR="00E95ABD" w:rsidRPr="00D178CE">
              <w:rPr>
                <w:sz w:val="20"/>
                <w:szCs w:val="20"/>
              </w:rPr>
              <w:t>30000</w:t>
            </w:r>
          </w:p>
        </w:tc>
        <w:tc>
          <w:tcPr>
            <w:tcW w:w="1446" w:type="dxa"/>
          </w:tcPr>
          <w:p w14:paraId="7B15F4CD" w14:textId="733A53AC" w:rsidR="00E95ABD" w:rsidRPr="00D178CE" w:rsidRDefault="00D178CE" w:rsidP="00D178CE">
            <w:pPr>
              <w:ind w:left="0" w:right="0"/>
              <w:rPr>
                <w:sz w:val="20"/>
                <w:szCs w:val="20"/>
              </w:rPr>
            </w:pPr>
            <w:r w:rsidRPr="00D178CE">
              <w:rPr>
                <w:sz w:val="20"/>
                <w:szCs w:val="20"/>
              </w:rPr>
              <w:t>Approx.</w:t>
            </w:r>
            <w:r w:rsidR="002E4D8D" w:rsidRPr="00D178CE">
              <w:rPr>
                <w:sz w:val="20"/>
                <w:szCs w:val="20"/>
              </w:rPr>
              <w:t xml:space="preserve"> </w:t>
            </w:r>
            <w:r w:rsidR="00E95ABD" w:rsidRPr="00D178CE">
              <w:rPr>
                <w:sz w:val="20"/>
                <w:szCs w:val="20"/>
              </w:rPr>
              <w:t>100</w:t>
            </w:r>
          </w:p>
        </w:tc>
        <w:tc>
          <w:tcPr>
            <w:tcW w:w="1446" w:type="dxa"/>
          </w:tcPr>
          <w:p w14:paraId="145D5D47" w14:textId="7033E8F3" w:rsidR="00E95ABD" w:rsidRPr="00D178CE" w:rsidRDefault="00D178CE" w:rsidP="00D178CE">
            <w:pPr>
              <w:ind w:left="0" w:right="0"/>
              <w:rPr>
                <w:sz w:val="20"/>
                <w:szCs w:val="20"/>
              </w:rPr>
            </w:pPr>
            <w:r w:rsidRPr="00D178CE">
              <w:rPr>
                <w:sz w:val="20"/>
                <w:szCs w:val="20"/>
              </w:rPr>
              <w:t>Approx.</w:t>
            </w:r>
            <w:r w:rsidR="002E4D8D" w:rsidRPr="00D178CE">
              <w:rPr>
                <w:sz w:val="20"/>
                <w:szCs w:val="20"/>
              </w:rPr>
              <w:t xml:space="preserve"> </w:t>
            </w:r>
            <w:r w:rsidR="00E95ABD" w:rsidRPr="00D178CE">
              <w:rPr>
                <w:sz w:val="20"/>
                <w:szCs w:val="20"/>
              </w:rPr>
              <w:t>256</w:t>
            </w:r>
          </w:p>
        </w:tc>
        <w:tc>
          <w:tcPr>
            <w:tcW w:w="1446" w:type="dxa"/>
          </w:tcPr>
          <w:p w14:paraId="5CD0298F" w14:textId="7A2294FE" w:rsidR="00E95ABD" w:rsidRPr="00D178CE" w:rsidRDefault="00D178CE" w:rsidP="00D178CE">
            <w:pPr>
              <w:ind w:left="0" w:right="0"/>
              <w:rPr>
                <w:sz w:val="20"/>
                <w:szCs w:val="20"/>
              </w:rPr>
            </w:pPr>
            <w:r w:rsidRPr="00D178CE">
              <w:rPr>
                <w:sz w:val="20"/>
                <w:szCs w:val="20"/>
              </w:rPr>
              <w:t>Approx.</w:t>
            </w:r>
            <w:r w:rsidR="00CC2D41" w:rsidRPr="00D178CE">
              <w:rPr>
                <w:sz w:val="20"/>
                <w:szCs w:val="20"/>
              </w:rPr>
              <w:t xml:space="preserve"> </w:t>
            </w:r>
            <w:r w:rsidR="00E95ABD" w:rsidRPr="00D178CE">
              <w:rPr>
                <w:sz w:val="20"/>
                <w:szCs w:val="20"/>
              </w:rPr>
              <w:t>1600</w:t>
            </w:r>
          </w:p>
        </w:tc>
      </w:tr>
      <w:tr w:rsidR="00E95ABD" w:rsidRPr="00D178CE" w14:paraId="11DF3785" w14:textId="77777777" w:rsidTr="00D178CE">
        <w:trPr>
          <w:cantSplit/>
        </w:trPr>
        <w:tc>
          <w:tcPr>
            <w:tcW w:w="1446" w:type="dxa"/>
          </w:tcPr>
          <w:p w14:paraId="13616210" w14:textId="66BEDDD0" w:rsidR="00E95ABD" w:rsidRPr="00D178CE" w:rsidRDefault="00E95ABD" w:rsidP="00D178CE">
            <w:pPr>
              <w:ind w:left="0" w:right="0"/>
              <w:rPr>
                <w:sz w:val="20"/>
                <w:szCs w:val="20"/>
              </w:rPr>
            </w:pPr>
            <w:r w:rsidRPr="00D178CE">
              <w:rPr>
                <w:sz w:val="20"/>
                <w:szCs w:val="20"/>
              </w:rPr>
              <w:t>Participant characteristics</w:t>
            </w:r>
          </w:p>
        </w:tc>
        <w:tc>
          <w:tcPr>
            <w:tcW w:w="1446" w:type="dxa"/>
          </w:tcPr>
          <w:p w14:paraId="19FBC739" w14:textId="5411FA60" w:rsidR="00E95ABD" w:rsidRPr="00D178CE" w:rsidRDefault="00E96F97" w:rsidP="00D178CE">
            <w:pPr>
              <w:ind w:left="0" w:right="0"/>
              <w:rPr>
                <w:sz w:val="20"/>
                <w:szCs w:val="20"/>
              </w:rPr>
            </w:pPr>
            <w:r w:rsidRPr="00E96F97">
              <w:rPr>
                <w:rFonts w:asciiTheme="minorHAnsi" w:eastAsia="TimesNewRoman" w:hAnsiTheme="minorHAnsi" w:cs="TimesNewRoman"/>
                <w:sz w:val="19"/>
                <w:szCs w:val="19"/>
              </w:rPr>
              <w:sym w:font="Symbol" w:char="F0B3"/>
            </w:r>
            <w:r w:rsidR="000D163C" w:rsidRPr="00D178CE">
              <w:rPr>
                <w:sz w:val="20"/>
                <w:szCs w:val="20"/>
              </w:rPr>
              <w:t xml:space="preserve"> </w:t>
            </w:r>
            <w:r w:rsidR="00E95ABD" w:rsidRPr="00D178CE">
              <w:rPr>
                <w:sz w:val="20"/>
                <w:szCs w:val="20"/>
              </w:rPr>
              <w:t xml:space="preserve">18 </w:t>
            </w:r>
            <w:proofErr w:type="spellStart"/>
            <w:r w:rsidR="00E95ABD" w:rsidRPr="00D178CE">
              <w:rPr>
                <w:sz w:val="20"/>
                <w:szCs w:val="20"/>
              </w:rPr>
              <w:t>yr</w:t>
            </w:r>
            <w:proofErr w:type="spellEnd"/>
            <w:r w:rsidR="00E95ABD" w:rsidRPr="00D178CE">
              <w:rPr>
                <w:sz w:val="20"/>
                <w:szCs w:val="20"/>
              </w:rPr>
              <w:t>, healthy</w:t>
            </w:r>
          </w:p>
        </w:tc>
        <w:tc>
          <w:tcPr>
            <w:tcW w:w="1446" w:type="dxa"/>
          </w:tcPr>
          <w:p w14:paraId="6B168D27" w14:textId="4FCE0DF0" w:rsidR="00E95ABD" w:rsidRPr="00D178CE" w:rsidRDefault="00E96F97" w:rsidP="00D178CE">
            <w:pPr>
              <w:ind w:left="0" w:right="0"/>
              <w:rPr>
                <w:sz w:val="20"/>
                <w:szCs w:val="20"/>
              </w:rPr>
            </w:pPr>
            <w:r w:rsidRPr="00E96F97">
              <w:rPr>
                <w:rFonts w:asciiTheme="minorHAnsi" w:eastAsia="TimesNewRoman" w:hAnsiTheme="minorHAnsi" w:cs="TimesNewRoman"/>
                <w:sz w:val="19"/>
                <w:szCs w:val="19"/>
              </w:rPr>
              <w:sym w:font="Symbol" w:char="F0B3"/>
            </w:r>
            <w:r w:rsidR="000D163C" w:rsidRPr="00D178CE">
              <w:rPr>
                <w:sz w:val="20"/>
                <w:szCs w:val="20"/>
              </w:rPr>
              <w:t xml:space="preserve"> </w:t>
            </w:r>
            <w:r w:rsidR="00E95ABD" w:rsidRPr="00D178CE">
              <w:rPr>
                <w:sz w:val="20"/>
                <w:szCs w:val="20"/>
              </w:rPr>
              <w:t xml:space="preserve">18 </w:t>
            </w:r>
            <w:proofErr w:type="spellStart"/>
            <w:r w:rsidR="00E95ABD" w:rsidRPr="00D178CE">
              <w:rPr>
                <w:sz w:val="20"/>
                <w:szCs w:val="20"/>
              </w:rPr>
              <w:t>yr</w:t>
            </w:r>
            <w:proofErr w:type="spellEnd"/>
            <w:r w:rsidR="00E95ABD" w:rsidRPr="00D178CE">
              <w:rPr>
                <w:sz w:val="20"/>
                <w:szCs w:val="20"/>
              </w:rPr>
              <w:t>, healthy or with medically- stable chronic disease</w:t>
            </w:r>
          </w:p>
        </w:tc>
        <w:tc>
          <w:tcPr>
            <w:tcW w:w="1446" w:type="dxa"/>
          </w:tcPr>
          <w:p w14:paraId="5B31FAE4" w14:textId="0028B2B7" w:rsidR="00E95ABD" w:rsidRPr="00D178CE" w:rsidRDefault="00E96F97" w:rsidP="00D178CE">
            <w:pPr>
              <w:ind w:left="0" w:right="0"/>
              <w:rPr>
                <w:sz w:val="20"/>
                <w:szCs w:val="20"/>
              </w:rPr>
            </w:pPr>
            <w:r w:rsidRPr="00E96F97">
              <w:rPr>
                <w:rFonts w:asciiTheme="minorHAnsi" w:eastAsia="TimesNewRoman" w:hAnsiTheme="minorHAnsi" w:cs="TimesNewRoman"/>
                <w:sz w:val="19"/>
                <w:szCs w:val="19"/>
              </w:rPr>
              <w:sym w:font="Symbol" w:char="F0B3"/>
            </w:r>
            <w:r w:rsidR="000D163C" w:rsidRPr="00D178CE">
              <w:rPr>
                <w:sz w:val="20"/>
                <w:szCs w:val="20"/>
              </w:rPr>
              <w:t xml:space="preserve"> </w:t>
            </w:r>
            <w:r w:rsidR="00E95ABD" w:rsidRPr="00D178CE">
              <w:rPr>
                <w:sz w:val="20"/>
                <w:szCs w:val="20"/>
              </w:rPr>
              <w:t xml:space="preserve">18 </w:t>
            </w:r>
            <w:proofErr w:type="spellStart"/>
            <w:r w:rsidR="00E95ABD" w:rsidRPr="00D178CE">
              <w:rPr>
                <w:sz w:val="20"/>
                <w:szCs w:val="20"/>
              </w:rPr>
              <w:t>yr</w:t>
            </w:r>
            <w:proofErr w:type="spellEnd"/>
            <w:r w:rsidR="00E95ABD" w:rsidRPr="00D178CE">
              <w:rPr>
                <w:sz w:val="20"/>
                <w:szCs w:val="20"/>
              </w:rPr>
              <w:t>, healthy</w:t>
            </w:r>
          </w:p>
        </w:tc>
        <w:tc>
          <w:tcPr>
            <w:tcW w:w="1446" w:type="dxa"/>
          </w:tcPr>
          <w:p w14:paraId="2772E20F" w14:textId="34E8E5D1" w:rsidR="00E95ABD" w:rsidRPr="00D178CE" w:rsidRDefault="00E96F97" w:rsidP="00D178CE">
            <w:pPr>
              <w:ind w:left="0" w:right="0"/>
              <w:rPr>
                <w:sz w:val="20"/>
                <w:szCs w:val="20"/>
              </w:rPr>
            </w:pPr>
            <w:r w:rsidRPr="00E96F97">
              <w:rPr>
                <w:rFonts w:asciiTheme="minorHAnsi" w:eastAsia="TimesNewRoman" w:hAnsiTheme="minorHAnsi" w:cs="TimesNewRoman"/>
                <w:sz w:val="19"/>
                <w:szCs w:val="19"/>
              </w:rPr>
              <w:sym w:font="Symbol" w:char="F0B3"/>
            </w:r>
            <w:r w:rsidR="00E95ABD" w:rsidRPr="00D178CE">
              <w:rPr>
                <w:sz w:val="20"/>
                <w:szCs w:val="20"/>
              </w:rPr>
              <w:t xml:space="preserve">18 </w:t>
            </w:r>
            <w:proofErr w:type="spellStart"/>
            <w:r w:rsidR="00E95ABD" w:rsidRPr="00D178CE">
              <w:rPr>
                <w:sz w:val="20"/>
                <w:szCs w:val="20"/>
              </w:rPr>
              <w:t>yr</w:t>
            </w:r>
            <w:proofErr w:type="spellEnd"/>
            <w:r w:rsidR="00E95ABD" w:rsidRPr="00D178CE">
              <w:rPr>
                <w:sz w:val="20"/>
                <w:szCs w:val="20"/>
              </w:rPr>
              <w:t>, healthy</w:t>
            </w:r>
          </w:p>
        </w:tc>
        <w:tc>
          <w:tcPr>
            <w:tcW w:w="1446" w:type="dxa"/>
          </w:tcPr>
          <w:p w14:paraId="7D571C22" w14:textId="2F7E4815" w:rsidR="00E95ABD" w:rsidRPr="00D178CE" w:rsidRDefault="00E96F97" w:rsidP="00D178CE">
            <w:pPr>
              <w:ind w:left="0" w:right="0"/>
              <w:rPr>
                <w:sz w:val="20"/>
                <w:szCs w:val="20"/>
              </w:rPr>
            </w:pPr>
            <w:r w:rsidRPr="00E96F97">
              <w:rPr>
                <w:rFonts w:asciiTheme="minorHAnsi" w:eastAsia="TimesNewRoman" w:hAnsiTheme="minorHAnsi" w:cs="TimesNewRoman"/>
                <w:sz w:val="19"/>
                <w:szCs w:val="19"/>
              </w:rPr>
              <w:sym w:font="Symbol" w:char="F0B3"/>
            </w:r>
            <w:r w:rsidR="000D163C" w:rsidRPr="00D178CE">
              <w:rPr>
                <w:sz w:val="20"/>
                <w:szCs w:val="20"/>
              </w:rPr>
              <w:t xml:space="preserve"> </w:t>
            </w:r>
            <w:r w:rsidR="00E95ABD" w:rsidRPr="00D178CE">
              <w:rPr>
                <w:sz w:val="20"/>
                <w:szCs w:val="20"/>
              </w:rPr>
              <w:t xml:space="preserve">18 </w:t>
            </w:r>
            <w:proofErr w:type="spellStart"/>
            <w:r w:rsidR="00E95ABD" w:rsidRPr="00D178CE">
              <w:rPr>
                <w:sz w:val="20"/>
                <w:szCs w:val="20"/>
              </w:rPr>
              <w:t>yr</w:t>
            </w:r>
            <w:proofErr w:type="spellEnd"/>
            <w:r w:rsidR="00E95ABD" w:rsidRPr="00D178CE">
              <w:rPr>
                <w:sz w:val="20"/>
                <w:szCs w:val="20"/>
              </w:rPr>
              <w:t>, healthy</w:t>
            </w:r>
          </w:p>
        </w:tc>
      </w:tr>
      <w:tr w:rsidR="00E95ABD" w:rsidRPr="00D178CE" w14:paraId="0F62AA60" w14:textId="77777777" w:rsidTr="00070AD0">
        <w:trPr>
          <w:trHeight w:val="1004"/>
        </w:trPr>
        <w:tc>
          <w:tcPr>
            <w:tcW w:w="1446" w:type="dxa"/>
          </w:tcPr>
          <w:p w14:paraId="3B61A3D6" w14:textId="4593539E" w:rsidR="00E95ABD" w:rsidRPr="00D178CE" w:rsidRDefault="00E95ABD" w:rsidP="00D178CE">
            <w:pPr>
              <w:ind w:left="0" w:right="0"/>
              <w:rPr>
                <w:sz w:val="20"/>
                <w:szCs w:val="20"/>
              </w:rPr>
            </w:pPr>
            <w:r w:rsidRPr="00D178CE">
              <w:rPr>
                <w:sz w:val="20"/>
                <w:szCs w:val="20"/>
              </w:rPr>
              <w:t>Number of doses (IM route)</w:t>
            </w:r>
          </w:p>
        </w:tc>
        <w:tc>
          <w:tcPr>
            <w:tcW w:w="1446" w:type="dxa"/>
          </w:tcPr>
          <w:p w14:paraId="2BD71D43" w14:textId="3FFBC0E5" w:rsidR="00E95ABD" w:rsidRPr="00D178CE" w:rsidRDefault="00E95ABD" w:rsidP="00D178CE">
            <w:pPr>
              <w:ind w:left="0" w:right="0"/>
              <w:rPr>
                <w:sz w:val="20"/>
                <w:szCs w:val="20"/>
              </w:rPr>
            </w:pPr>
            <w:r w:rsidRPr="00D178CE">
              <w:rPr>
                <w:sz w:val="20"/>
                <w:szCs w:val="20"/>
              </w:rPr>
              <w:t>1</w:t>
            </w:r>
          </w:p>
        </w:tc>
        <w:tc>
          <w:tcPr>
            <w:tcW w:w="1446" w:type="dxa"/>
          </w:tcPr>
          <w:p w14:paraId="768A68FB" w14:textId="3823EBA1" w:rsidR="00E95ABD" w:rsidRPr="00D178CE" w:rsidRDefault="00E95ABD" w:rsidP="00D178CE">
            <w:pPr>
              <w:ind w:left="0" w:right="0"/>
              <w:rPr>
                <w:sz w:val="20"/>
                <w:szCs w:val="20"/>
              </w:rPr>
            </w:pPr>
            <w:r w:rsidRPr="00D178CE">
              <w:rPr>
                <w:sz w:val="20"/>
                <w:szCs w:val="20"/>
              </w:rPr>
              <w:t>2</w:t>
            </w:r>
          </w:p>
        </w:tc>
        <w:tc>
          <w:tcPr>
            <w:tcW w:w="1446" w:type="dxa"/>
          </w:tcPr>
          <w:p w14:paraId="36EA56A0" w14:textId="5513628B" w:rsidR="00E95ABD" w:rsidRPr="00D178CE" w:rsidRDefault="00E95ABD" w:rsidP="00D178CE">
            <w:pPr>
              <w:ind w:left="0" w:right="0"/>
              <w:rPr>
                <w:sz w:val="20"/>
                <w:szCs w:val="20"/>
              </w:rPr>
            </w:pPr>
            <w:r w:rsidRPr="00D178CE">
              <w:rPr>
                <w:sz w:val="20"/>
                <w:szCs w:val="20"/>
              </w:rPr>
              <w:t>1</w:t>
            </w:r>
          </w:p>
        </w:tc>
        <w:tc>
          <w:tcPr>
            <w:tcW w:w="1446" w:type="dxa"/>
          </w:tcPr>
          <w:p w14:paraId="570A1243" w14:textId="63B84D47" w:rsidR="00E95ABD" w:rsidRPr="00D178CE" w:rsidRDefault="00E95ABD" w:rsidP="00D178CE">
            <w:pPr>
              <w:ind w:left="0" w:right="0"/>
              <w:rPr>
                <w:sz w:val="20"/>
                <w:szCs w:val="20"/>
              </w:rPr>
            </w:pPr>
            <w:r w:rsidRPr="00D178CE">
              <w:rPr>
                <w:sz w:val="20"/>
                <w:szCs w:val="20"/>
              </w:rPr>
              <w:t>2</w:t>
            </w:r>
          </w:p>
        </w:tc>
        <w:tc>
          <w:tcPr>
            <w:tcW w:w="1446" w:type="dxa"/>
          </w:tcPr>
          <w:p w14:paraId="386B81E3" w14:textId="30799461" w:rsidR="00E95ABD" w:rsidRPr="00D178CE" w:rsidRDefault="00E95ABD" w:rsidP="00D178CE">
            <w:pPr>
              <w:ind w:left="0" w:right="0"/>
              <w:rPr>
                <w:sz w:val="20"/>
                <w:szCs w:val="20"/>
              </w:rPr>
            </w:pPr>
            <w:r w:rsidRPr="00D178CE">
              <w:rPr>
                <w:sz w:val="20"/>
                <w:szCs w:val="20"/>
              </w:rPr>
              <w:t>2</w:t>
            </w:r>
          </w:p>
        </w:tc>
      </w:tr>
      <w:tr w:rsidR="00E95ABD" w:rsidRPr="00D178CE" w14:paraId="75FFF42E" w14:textId="77777777" w:rsidTr="00070AD0">
        <w:trPr>
          <w:trHeight w:val="1246"/>
        </w:trPr>
        <w:tc>
          <w:tcPr>
            <w:tcW w:w="1446" w:type="dxa"/>
          </w:tcPr>
          <w:p w14:paraId="572ECE3C" w14:textId="433E232E" w:rsidR="00E95ABD" w:rsidRPr="00D178CE" w:rsidRDefault="00E95ABD" w:rsidP="00D178CE">
            <w:pPr>
              <w:ind w:left="0" w:right="0"/>
              <w:rPr>
                <w:sz w:val="20"/>
                <w:szCs w:val="20"/>
              </w:rPr>
            </w:pPr>
            <w:r w:rsidRPr="00D178CE">
              <w:rPr>
                <w:sz w:val="20"/>
                <w:szCs w:val="20"/>
              </w:rPr>
              <w:t>AZD1222 dose levels c</w:t>
            </w:r>
          </w:p>
        </w:tc>
        <w:tc>
          <w:tcPr>
            <w:tcW w:w="1446" w:type="dxa"/>
          </w:tcPr>
          <w:p w14:paraId="39AAB7D4" w14:textId="79CDCE66" w:rsidR="00E95ABD" w:rsidRPr="00D178CE" w:rsidRDefault="00E95ABD" w:rsidP="00D178CE">
            <w:pPr>
              <w:ind w:left="0" w:right="0"/>
              <w:rPr>
                <w:sz w:val="20"/>
                <w:szCs w:val="20"/>
              </w:rPr>
            </w:pPr>
            <w:r w:rsidRPr="00D178CE">
              <w:rPr>
                <w:sz w:val="20"/>
                <w:szCs w:val="20"/>
              </w:rPr>
              <w:t xml:space="preserve">SD: 5 </w:t>
            </w:r>
            <w:r w:rsidR="002E4D8D" w:rsidRPr="00D178CE">
              <w:rPr>
                <w:sz w:val="20"/>
                <w:szCs w:val="20"/>
              </w:rPr>
              <w:t>x</w:t>
            </w:r>
            <w:r w:rsidRPr="00D178CE">
              <w:rPr>
                <w:sz w:val="20"/>
                <w:szCs w:val="20"/>
              </w:rPr>
              <w:t xml:space="preserve"> 10</w:t>
            </w:r>
            <w:r w:rsidRPr="00D178CE">
              <w:rPr>
                <w:sz w:val="20"/>
                <w:szCs w:val="20"/>
                <w:vertAlign w:val="superscript"/>
              </w:rPr>
              <w:t>10</w:t>
            </w:r>
            <w:r w:rsidRPr="00D178CE">
              <w:rPr>
                <w:sz w:val="20"/>
                <w:szCs w:val="20"/>
              </w:rPr>
              <w:t xml:space="preserve"> </w:t>
            </w:r>
            <w:proofErr w:type="spellStart"/>
            <w:r w:rsidRPr="00D178CE">
              <w:rPr>
                <w:sz w:val="20"/>
                <w:szCs w:val="20"/>
              </w:rPr>
              <w:t>vp</w:t>
            </w:r>
            <w:proofErr w:type="spellEnd"/>
          </w:p>
        </w:tc>
        <w:tc>
          <w:tcPr>
            <w:tcW w:w="1446" w:type="dxa"/>
          </w:tcPr>
          <w:p w14:paraId="655B064C" w14:textId="121AA1AD" w:rsidR="00E95ABD" w:rsidRPr="00D178CE" w:rsidRDefault="00E95ABD" w:rsidP="00D178CE">
            <w:pPr>
              <w:ind w:left="0" w:right="0"/>
              <w:rPr>
                <w:sz w:val="20"/>
                <w:szCs w:val="20"/>
              </w:rPr>
            </w:pPr>
            <w:r w:rsidRPr="00D178CE">
              <w:rPr>
                <w:sz w:val="20"/>
                <w:szCs w:val="20"/>
              </w:rPr>
              <w:t xml:space="preserve">SD: 5 </w:t>
            </w:r>
            <w:r w:rsidR="002E4D8D" w:rsidRPr="00D178CE">
              <w:rPr>
                <w:sz w:val="20"/>
                <w:szCs w:val="20"/>
              </w:rPr>
              <w:t>x</w:t>
            </w:r>
            <w:r w:rsidRPr="00D178CE">
              <w:rPr>
                <w:sz w:val="20"/>
                <w:szCs w:val="20"/>
              </w:rPr>
              <w:t xml:space="preserve"> 10</w:t>
            </w:r>
            <w:r w:rsidRPr="00D178CE">
              <w:rPr>
                <w:sz w:val="20"/>
                <w:szCs w:val="20"/>
                <w:vertAlign w:val="superscript"/>
              </w:rPr>
              <w:t>10</w:t>
            </w:r>
            <w:r w:rsidRPr="00D178CE">
              <w:rPr>
                <w:sz w:val="20"/>
                <w:szCs w:val="20"/>
              </w:rPr>
              <w:t xml:space="preserve"> </w:t>
            </w:r>
            <w:proofErr w:type="spellStart"/>
            <w:r w:rsidRPr="00D178CE">
              <w:rPr>
                <w:sz w:val="20"/>
                <w:szCs w:val="20"/>
              </w:rPr>
              <w:t>vp</w:t>
            </w:r>
            <w:proofErr w:type="spellEnd"/>
          </w:p>
        </w:tc>
        <w:tc>
          <w:tcPr>
            <w:tcW w:w="1446" w:type="dxa"/>
          </w:tcPr>
          <w:p w14:paraId="700D79FB" w14:textId="0CF5F213" w:rsidR="00E95ABD" w:rsidRPr="00D178CE" w:rsidRDefault="00E95ABD" w:rsidP="00D178CE">
            <w:pPr>
              <w:ind w:left="0" w:right="0"/>
              <w:rPr>
                <w:sz w:val="20"/>
                <w:szCs w:val="20"/>
              </w:rPr>
            </w:pPr>
            <w:r w:rsidRPr="00D178CE">
              <w:rPr>
                <w:sz w:val="20"/>
                <w:szCs w:val="20"/>
              </w:rPr>
              <w:t xml:space="preserve">SD: 5 </w:t>
            </w:r>
            <w:r w:rsidR="002E4D8D" w:rsidRPr="00D178CE">
              <w:rPr>
                <w:sz w:val="20"/>
                <w:szCs w:val="20"/>
              </w:rPr>
              <w:t>x</w:t>
            </w:r>
            <w:r w:rsidRPr="00D178CE">
              <w:rPr>
                <w:sz w:val="20"/>
                <w:szCs w:val="20"/>
              </w:rPr>
              <w:t xml:space="preserve"> 10</w:t>
            </w:r>
            <w:r w:rsidRPr="00D178CE">
              <w:rPr>
                <w:sz w:val="20"/>
                <w:szCs w:val="20"/>
                <w:vertAlign w:val="superscript"/>
              </w:rPr>
              <w:t>10</w:t>
            </w:r>
            <w:r w:rsidRPr="00D178CE">
              <w:rPr>
                <w:sz w:val="20"/>
                <w:szCs w:val="20"/>
              </w:rPr>
              <w:t xml:space="preserve"> </w:t>
            </w:r>
            <w:proofErr w:type="spellStart"/>
            <w:r w:rsidRPr="00D178CE">
              <w:rPr>
                <w:sz w:val="20"/>
                <w:szCs w:val="20"/>
              </w:rPr>
              <w:t>vp</w:t>
            </w:r>
            <w:proofErr w:type="spellEnd"/>
          </w:p>
        </w:tc>
        <w:tc>
          <w:tcPr>
            <w:tcW w:w="1446" w:type="dxa"/>
          </w:tcPr>
          <w:p w14:paraId="500D935C" w14:textId="50EC7B65" w:rsidR="00E95ABD" w:rsidRPr="00D178CE" w:rsidRDefault="00E95ABD" w:rsidP="00D178CE">
            <w:pPr>
              <w:ind w:left="0" w:right="0"/>
              <w:rPr>
                <w:sz w:val="20"/>
                <w:szCs w:val="20"/>
              </w:rPr>
            </w:pPr>
            <w:r w:rsidRPr="00D178CE">
              <w:rPr>
                <w:sz w:val="20"/>
                <w:szCs w:val="20"/>
              </w:rPr>
              <w:t xml:space="preserve">SD: 5 </w:t>
            </w:r>
            <w:r w:rsidR="002E4D8D" w:rsidRPr="00D178CE">
              <w:rPr>
                <w:sz w:val="20"/>
                <w:szCs w:val="20"/>
              </w:rPr>
              <w:t>x</w:t>
            </w:r>
            <w:r w:rsidRPr="00D178CE">
              <w:rPr>
                <w:sz w:val="20"/>
                <w:szCs w:val="20"/>
              </w:rPr>
              <w:t xml:space="preserve"> 1010 </w:t>
            </w:r>
            <w:proofErr w:type="spellStart"/>
            <w:r w:rsidRPr="00D178CE">
              <w:rPr>
                <w:sz w:val="20"/>
                <w:szCs w:val="20"/>
              </w:rPr>
              <w:t>vp</w:t>
            </w:r>
            <w:proofErr w:type="spellEnd"/>
          </w:p>
        </w:tc>
        <w:tc>
          <w:tcPr>
            <w:tcW w:w="1446" w:type="dxa"/>
          </w:tcPr>
          <w:p w14:paraId="33DB0FF5" w14:textId="3D9352B0" w:rsidR="00E95ABD" w:rsidRPr="00D178CE" w:rsidRDefault="00E95ABD" w:rsidP="00D178CE">
            <w:pPr>
              <w:ind w:left="0" w:right="0"/>
              <w:rPr>
                <w:sz w:val="20"/>
                <w:szCs w:val="20"/>
              </w:rPr>
            </w:pPr>
            <w:r w:rsidRPr="00D178CE">
              <w:rPr>
                <w:sz w:val="20"/>
                <w:szCs w:val="20"/>
              </w:rPr>
              <w:t xml:space="preserve">SD: 5 </w:t>
            </w:r>
            <w:r w:rsidR="002E4D8D" w:rsidRPr="00D178CE">
              <w:rPr>
                <w:sz w:val="20"/>
                <w:szCs w:val="20"/>
              </w:rPr>
              <w:t>x</w:t>
            </w:r>
            <w:r w:rsidRPr="00D178CE">
              <w:rPr>
                <w:sz w:val="20"/>
                <w:szCs w:val="20"/>
              </w:rPr>
              <w:t xml:space="preserve"> 10</w:t>
            </w:r>
            <w:r w:rsidRPr="00D178CE">
              <w:rPr>
                <w:sz w:val="20"/>
                <w:szCs w:val="20"/>
                <w:vertAlign w:val="superscript"/>
              </w:rPr>
              <w:t>10</w:t>
            </w:r>
            <w:r w:rsidRPr="00D178CE">
              <w:rPr>
                <w:sz w:val="20"/>
                <w:szCs w:val="20"/>
              </w:rPr>
              <w:t xml:space="preserve"> </w:t>
            </w:r>
            <w:proofErr w:type="spellStart"/>
            <w:r w:rsidRPr="00D178CE">
              <w:rPr>
                <w:sz w:val="20"/>
                <w:szCs w:val="20"/>
              </w:rPr>
              <w:t>vp</w:t>
            </w:r>
            <w:proofErr w:type="spellEnd"/>
            <w:r w:rsidRPr="00D178CE">
              <w:rPr>
                <w:sz w:val="20"/>
                <w:szCs w:val="20"/>
              </w:rPr>
              <w:t xml:space="preserve"> OR COVISHIELD: 5 </w:t>
            </w:r>
            <w:r w:rsidR="002E4D8D" w:rsidRPr="00D178CE">
              <w:rPr>
                <w:sz w:val="20"/>
                <w:szCs w:val="20"/>
              </w:rPr>
              <w:t>x</w:t>
            </w:r>
            <w:r w:rsidRPr="00D178CE">
              <w:rPr>
                <w:sz w:val="20"/>
                <w:szCs w:val="20"/>
              </w:rPr>
              <w:t xml:space="preserve"> 10</w:t>
            </w:r>
            <w:r w:rsidRPr="00D178CE">
              <w:rPr>
                <w:sz w:val="20"/>
                <w:szCs w:val="20"/>
                <w:vertAlign w:val="superscript"/>
              </w:rPr>
              <w:t>10</w:t>
            </w:r>
            <w:r w:rsidRPr="00D178CE">
              <w:rPr>
                <w:sz w:val="20"/>
                <w:szCs w:val="20"/>
              </w:rPr>
              <w:t xml:space="preserve"> </w:t>
            </w:r>
            <w:proofErr w:type="spellStart"/>
            <w:r w:rsidRPr="00D178CE">
              <w:rPr>
                <w:sz w:val="20"/>
                <w:szCs w:val="20"/>
              </w:rPr>
              <w:t>vp</w:t>
            </w:r>
            <w:proofErr w:type="spellEnd"/>
          </w:p>
        </w:tc>
      </w:tr>
      <w:tr w:rsidR="00E95ABD" w:rsidRPr="00D178CE" w14:paraId="145B1379" w14:textId="77777777" w:rsidTr="00070AD0">
        <w:trPr>
          <w:trHeight w:val="1109"/>
        </w:trPr>
        <w:tc>
          <w:tcPr>
            <w:tcW w:w="1446" w:type="dxa"/>
          </w:tcPr>
          <w:p w14:paraId="7747822B" w14:textId="79D21150" w:rsidR="00E95ABD" w:rsidRPr="00D178CE" w:rsidRDefault="00E95ABD" w:rsidP="00D178CE">
            <w:pPr>
              <w:ind w:left="0" w:right="0"/>
              <w:rPr>
                <w:sz w:val="20"/>
                <w:szCs w:val="20"/>
              </w:rPr>
            </w:pPr>
            <w:r w:rsidRPr="00D178CE">
              <w:rPr>
                <w:sz w:val="20"/>
                <w:szCs w:val="20"/>
              </w:rPr>
              <w:t>Control</w:t>
            </w:r>
          </w:p>
        </w:tc>
        <w:tc>
          <w:tcPr>
            <w:tcW w:w="1446" w:type="dxa"/>
          </w:tcPr>
          <w:p w14:paraId="0D599666" w14:textId="0AEF2DCA" w:rsidR="00E95ABD" w:rsidRPr="00D178CE" w:rsidRDefault="00E95ABD" w:rsidP="00D178CE">
            <w:pPr>
              <w:ind w:left="0" w:right="0"/>
              <w:rPr>
                <w:sz w:val="20"/>
                <w:szCs w:val="20"/>
              </w:rPr>
            </w:pPr>
            <w:r w:rsidRPr="00D178CE">
              <w:rPr>
                <w:sz w:val="20"/>
                <w:szCs w:val="20"/>
              </w:rPr>
              <w:t>Rabies vaccine</w:t>
            </w:r>
          </w:p>
        </w:tc>
        <w:tc>
          <w:tcPr>
            <w:tcW w:w="1446" w:type="dxa"/>
          </w:tcPr>
          <w:p w14:paraId="40EB7463" w14:textId="09A5D71D" w:rsidR="00E95ABD" w:rsidRPr="00D178CE" w:rsidRDefault="00E95ABD" w:rsidP="00D178CE">
            <w:pPr>
              <w:ind w:left="0" w:right="0"/>
              <w:rPr>
                <w:sz w:val="20"/>
                <w:szCs w:val="20"/>
              </w:rPr>
            </w:pPr>
            <w:r w:rsidRPr="00D178CE">
              <w:rPr>
                <w:sz w:val="20"/>
                <w:szCs w:val="20"/>
              </w:rPr>
              <w:t xml:space="preserve">Saline </w:t>
            </w:r>
            <w:r w:rsidR="000D163C" w:rsidRPr="00D178CE">
              <w:rPr>
                <w:sz w:val="20"/>
                <w:szCs w:val="20"/>
              </w:rPr>
              <w:t>p</w:t>
            </w:r>
            <w:r w:rsidRPr="00D178CE">
              <w:rPr>
                <w:sz w:val="20"/>
                <w:szCs w:val="20"/>
              </w:rPr>
              <w:t>lacebo</w:t>
            </w:r>
          </w:p>
        </w:tc>
        <w:tc>
          <w:tcPr>
            <w:tcW w:w="1446" w:type="dxa"/>
          </w:tcPr>
          <w:p w14:paraId="23DCCFAF" w14:textId="198020DF" w:rsidR="00E95ABD" w:rsidRPr="00D178CE" w:rsidRDefault="00E95ABD" w:rsidP="00D178CE">
            <w:pPr>
              <w:ind w:left="0" w:right="0"/>
              <w:rPr>
                <w:sz w:val="20"/>
                <w:szCs w:val="20"/>
              </w:rPr>
            </w:pPr>
            <w:r w:rsidRPr="00D178CE">
              <w:rPr>
                <w:sz w:val="20"/>
                <w:szCs w:val="20"/>
              </w:rPr>
              <w:t>None</w:t>
            </w:r>
          </w:p>
        </w:tc>
        <w:tc>
          <w:tcPr>
            <w:tcW w:w="1446" w:type="dxa"/>
          </w:tcPr>
          <w:p w14:paraId="69183E9E" w14:textId="58264A49" w:rsidR="00E95ABD" w:rsidRPr="00D178CE" w:rsidRDefault="00E95ABD" w:rsidP="00D178CE">
            <w:pPr>
              <w:ind w:left="0" w:right="0"/>
              <w:rPr>
                <w:sz w:val="20"/>
                <w:szCs w:val="20"/>
              </w:rPr>
            </w:pPr>
            <w:r w:rsidRPr="00D178CE">
              <w:rPr>
                <w:sz w:val="20"/>
                <w:szCs w:val="20"/>
              </w:rPr>
              <w:t xml:space="preserve">Saline </w:t>
            </w:r>
            <w:r w:rsidR="000D163C" w:rsidRPr="00D178CE">
              <w:rPr>
                <w:sz w:val="20"/>
                <w:szCs w:val="20"/>
              </w:rPr>
              <w:t>p</w:t>
            </w:r>
            <w:r w:rsidRPr="00D178CE">
              <w:rPr>
                <w:sz w:val="20"/>
                <w:szCs w:val="20"/>
              </w:rPr>
              <w:t>lacebo</w:t>
            </w:r>
          </w:p>
        </w:tc>
        <w:tc>
          <w:tcPr>
            <w:tcW w:w="1446" w:type="dxa"/>
          </w:tcPr>
          <w:p w14:paraId="62272FA1" w14:textId="65867B9B" w:rsidR="00E95ABD" w:rsidRPr="00D178CE" w:rsidRDefault="00E95ABD" w:rsidP="00D178CE">
            <w:pPr>
              <w:ind w:left="0" w:right="0"/>
              <w:rPr>
                <w:sz w:val="20"/>
                <w:szCs w:val="20"/>
              </w:rPr>
            </w:pPr>
            <w:r w:rsidRPr="00D178CE">
              <w:rPr>
                <w:sz w:val="20"/>
                <w:szCs w:val="20"/>
              </w:rPr>
              <w:t>Placebo (</w:t>
            </w:r>
            <w:r w:rsidR="000D163C" w:rsidRPr="00D178CE">
              <w:rPr>
                <w:sz w:val="20"/>
                <w:szCs w:val="20"/>
              </w:rPr>
              <w:t>v</w:t>
            </w:r>
            <w:r w:rsidRPr="00D178CE">
              <w:rPr>
                <w:sz w:val="20"/>
                <w:szCs w:val="20"/>
              </w:rPr>
              <w:t>accine vehicle)</w:t>
            </w:r>
          </w:p>
        </w:tc>
      </w:tr>
      <w:tr w:rsidR="00E95ABD" w:rsidRPr="00D178CE" w14:paraId="4E233565" w14:textId="77777777" w:rsidTr="00070AD0">
        <w:trPr>
          <w:trHeight w:val="1220"/>
        </w:trPr>
        <w:tc>
          <w:tcPr>
            <w:tcW w:w="1446" w:type="dxa"/>
          </w:tcPr>
          <w:p w14:paraId="0506D696" w14:textId="760FFD4C" w:rsidR="00E95ABD" w:rsidRPr="00D178CE" w:rsidRDefault="00E95ABD" w:rsidP="00D178CE">
            <w:pPr>
              <w:ind w:left="0" w:right="0"/>
              <w:rPr>
                <w:sz w:val="20"/>
                <w:szCs w:val="20"/>
              </w:rPr>
            </w:pPr>
            <w:r w:rsidRPr="00D178CE">
              <w:rPr>
                <w:sz w:val="20"/>
                <w:szCs w:val="20"/>
              </w:rPr>
              <w:t>Planned dose interval</w:t>
            </w:r>
          </w:p>
        </w:tc>
        <w:tc>
          <w:tcPr>
            <w:tcW w:w="1446" w:type="dxa"/>
          </w:tcPr>
          <w:p w14:paraId="7262F2DC" w14:textId="5E7535F5" w:rsidR="00E95ABD" w:rsidRPr="00D178CE" w:rsidRDefault="00E95ABD" w:rsidP="00D178CE">
            <w:pPr>
              <w:ind w:left="0" w:right="0"/>
              <w:rPr>
                <w:sz w:val="20"/>
                <w:szCs w:val="20"/>
              </w:rPr>
            </w:pPr>
            <w:r w:rsidRPr="00D178CE">
              <w:rPr>
                <w:sz w:val="20"/>
                <w:szCs w:val="20"/>
              </w:rPr>
              <w:t>-</w:t>
            </w:r>
          </w:p>
        </w:tc>
        <w:tc>
          <w:tcPr>
            <w:tcW w:w="1446" w:type="dxa"/>
          </w:tcPr>
          <w:p w14:paraId="590BCEDE" w14:textId="51A3E0D4" w:rsidR="00E95ABD" w:rsidRPr="00D178CE" w:rsidRDefault="00E95ABD" w:rsidP="00D178CE">
            <w:pPr>
              <w:ind w:left="0" w:right="0"/>
              <w:rPr>
                <w:sz w:val="20"/>
                <w:szCs w:val="20"/>
              </w:rPr>
            </w:pPr>
            <w:r w:rsidRPr="00D178CE">
              <w:rPr>
                <w:sz w:val="20"/>
                <w:szCs w:val="20"/>
              </w:rPr>
              <w:t xml:space="preserve">4 </w:t>
            </w:r>
            <w:proofErr w:type="spellStart"/>
            <w:r w:rsidRPr="00D178CE">
              <w:rPr>
                <w:sz w:val="20"/>
                <w:szCs w:val="20"/>
              </w:rPr>
              <w:t>wk</w:t>
            </w:r>
            <w:proofErr w:type="spellEnd"/>
          </w:p>
        </w:tc>
        <w:tc>
          <w:tcPr>
            <w:tcW w:w="1446" w:type="dxa"/>
          </w:tcPr>
          <w:p w14:paraId="350BF8AF" w14:textId="16F50347" w:rsidR="00E95ABD" w:rsidRPr="00D178CE" w:rsidRDefault="00E95ABD" w:rsidP="00D178CE">
            <w:pPr>
              <w:ind w:left="0" w:right="0"/>
              <w:rPr>
                <w:sz w:val="20"/>
                <w:szCs w:val="20"/>
              </w:rPr>
            </w:pPr>
            <w:r w:rsidRPr="00D178CE">
              <w:rPr>
                <w:sz w:val="20"/>
                <w:szCs w:val="20"/>
              </w:rPr>
              <w:t>-</w:t>
            </w:r>
          </w:p>
        </w:tc>
        <w:tc>
          <w:tcPr>
            <w:tcW w:w="1446" w:type="dxa"/>
          </w:tcPr>
          <w:p w14:paraId="275029D7" w14:textId="508B8199" w:rsidR="00E95ABD" w:rsidRPr="00D178CE" w:rsidRDefault="00E95ABD" w:rsidP="00D178CE">
            <w:pPr>
              <w:ind w:left="0" w:right="0"/>
              <w:rPr>
                <w:sz w:val="20"/>
                <w:szCs w:val="20"/>
              </w:rPr>
            </w:pPr>
            <w:r w:rsidRPr="00D178CE">
              <w:rPr>
                <w:sz w:val="20"/>
                <w:szCs w:val="20"/>
              </w:rPr>
              <w:t xml:space="preserve">4 </w:t>
            </w:r>
            <w:proofErr w:type="spellStart"/>
            <w:r w:rsidRPr="00D178CE">
              <w:rPr>
                <w:sz w:val="20"/>
                <w:szCs w:val="20"/>
              </w:rPr>
              <w:t>wk</w:t>
            </w:r>
            <w:proofErr w:type="spellEnd"/>
          </w:p>
        </w:tc>
        <w:tc>
          <w:tcPr>
            <w:tcW w:w="1446" w:type="dxa"/>
          </w:tcPr>
          <w:p w14:paraId="4961F5E5" w14:textId="12F7BD60" w:rsidR="00E95ABD" w:rsidRPr="00D178CE" w:rsidRDefault="00E95ABD" w:rsidP="00D178CE">
            <w:pPr>
              <w:ind w:left="0" w:right="0"/>
              <w:rPr>
                <w:sz w:val="20"/>
                <w:szCs w:val="20"/>
              </w:rPr>
            </w:pPr>
            <w:r w:rsidRPr="00D178CE">
              <w:rPr>
                <w:sz w:val="20"/>
                <w:szCs w:val="20"/>
              </w:rPr>
              <w:t xml:space="preserve">4 </w:t>
            </w:r>
            <w:proofErr w:type="spellStart"/>
            <w:r w:rsidRPr="00D178CE">
              <w:rPr>
                <w:sz w:val="20"/>
                <w:szCs w:val="20"/>
              </w:rPr>
              <w:t>wk</w:t>
            </w:r>
            <w:proofErr w:type="spellEnd"/>
          </w:p>
        </w:tc>
      </w:tr>
      <w:tr w:rsidR="00E95ABD" w:rsidRPr="00D178CE" w14:paraId="2F492FA1" w14:textId="77777777" w:rsidTr="00D178CE">
        <w:tc>
          <w:tcPr>
            <w:tcW w:w="1446" w:type="dxa"/>
          </w:tcPr>
          <w:p w14:paraId="37C4506A" w14:textId="4528C9D7" w:rsidR="00E95ABD" w:rsidRPr="00D178CE" w:rsidRDefault="00E95ABD" w:rsidP="00D178CE">
            <w:pPr>
              <w:ind w:left="0" w:right="0"/>
              <w:rPr>
                <w:sz w:val="20"/>
                <w:szCs w:val="20"/>
              </w:rPr>
            </w:pPr>
            <w:r w:rsidRPr="00D178CE">
              <w:rPr>
                <w:sz w:val="20"/>
                <w:szCs w:val="20"/>
              </w:rPr>
              <w:lastRenderedPageBreak/>
              <w:t>Case detection</w:t>
            </w:r>
          </w:p>
        </w:tc>
        <w:tc>
          <w:tcPr>
            <w:tcW w:w="1446" w:type="dxa"/>
          </w:tcPr>
          <w:p w14:paraId="014DBB7E" w14:textId="48D41F43" w:rsidR="00E95ABD" w:rsidRPr="00D178CE" w:rsidRDefault="00E95ABD" w:rsidP="00D178CE">
            <w:pPr>
              <w:ind w:left="0" w:right="0"/>
              <w:rPr>
                <w:sz w:val="20"/>
                <w:szCs w:val="20"/>
              </w:rPr>
            </w:pPr>
            <w:r w:rsidRPr="00D178CE">
              <w:rPr>
                <w:sz w:val="20"/>
                <w:szCs w:val="20"/>
              </w:rPr>
              <w:t>Passive</w:t>
            </w:r>
          </w:p>
        </w:tc>
        <w:tc>
          <w:tcPr>
            <w:tcW w:w="1446" w:type="dxa"/>
          </w:tcPr>
          <w:p w14:paraId="1E1E811B" w14:textId="0CC0253C" w:rsidR="00E95ABD" w:rsidRPr="00D178CE" w:rsidRDefault="00E95ABD" w:rsidP="00D178CE">
            <w:pPr>
              <w:ind w:left="0" w:right="0"/>
              <w:rPr>
                <w:sz w:val="20"/>
                <w:szCs w:val="20"/>
              </w:rPr>
            </w:pPr>
            <w:r w:rsidRPr="00D178CE">
              <w:rPr>
                <w:sz w:val="20"/>
                <w:szCs w:val="20"/>
              </w:rPr>
              <w:t>Passive and active (weekly contacts)</w:t>
            </w:r>
          </w:p>
        </w:tc>
        <w:tc>
          <w:tcPr>
            <w:tcW w:w="1446" w:type="dxa"/>
          </w:tcPr>
          <w:p w14:paraId="134BA25C" w14:textId="426124BF" w:rsidR="00E95ABD" w:rsidRPr="00D178CE" w:rsidRDefault="00E95ABD" w:rsidP="00D178CE">
            <w:pPr>
              <w:ind w:left="0" w:right="0"/>
              <w:rPr>
                <w:sz w:val="20"/>
                <w:szCs w:val="20"/>
              </w:rPr>
            </w:pPr>
            <w:r w:rsidRPr="00D178CE">
              <w:rPr>
                <w:sz w:val="20"/>
                <w:szCs w:val="20"/>
              </w:rPr>
              <w:t>Not applicable</w:t>
            </w:r>
          </w:p>
        </w:tc>
        <w:tc>
          <w:tcPr>
            <w:tcW w:w="1446" w:type="dxa"/>
          </w:tcPr>
          <w:p w14:paraId="57A04F37" w14:textId="23CB84D6" w:rsidR="00E95ABD" w:rsidRPr="00D178CE" w:rsidRDefault="00E95ABD" w:rsidP="00D178CE">
            <w:pPr>
              <w:ind w:left="0" w:right="0"/>
              <w:rPr>
                <w:sz w:val="20"/>
                <w:szCs w:val="20"/>
              </w:rPr>
            </w:pPr>
            <w:r w:rsidRPr="00D178CE">
              <w:rPr>
                <w:sz w:val="20"/>
                <w:szCs w:val="20"/>
              </w:rPr>
              <w:t>Passive</w:t>
            </w:r>
          </w:p>
        </w:tc>
        <w:tc>
          <w:tcPr>
            <w:tcW w:w="1446" w:type="dxa"/>
          </w:tcPr>
          <w:p w14:paraId="3C0BE47C" w14:textId="51B3CA3A" w:rsidR="00E95ABD" w:rsidRPr="00D178CE" w:rsidRDefault="00E95ABD" w:rsidP="00D178CE">
            <w:pPr>
              <w:ind w:left="0" w:right="0"/>
              <w:rPr>
                <w:sz w:val="20"/>
                <w:szCs w:val="20"/>
              </w:rPr>
            </w:pPr>
            <w:r w:rsidRPr="00D178CE">
              <w:rPr>
                <w:sz w:val="20"/>
                <w:szCs w:val="20"/>
              </w:rPr>
              <w:t>Passive</w:t>
            </w:r>
          </w:p>
        </w:tc>
      </w:tr>
      <w:tr w:rsidR="00E95ABD" w:rsidRPr="00D178CE" w14:paraId="24E6F193" w14:textId="77777777" w:rsidTr="00D178CE">
        <w:tc>
          <w:tcPr>
            <w:tcW w:w="1446" w:type="dxa"/>
          </w:tcPr>
          <w:p w14:paraId="25B51160" w14:textId="7961EDA8" w:rsidR="00E95ABD" w:rsidRPr="00D178CE" w:rsidRDefault="00E95ABD" w:rsidP="00D178CE">
            <w:pPr>
              <w:ind w:left="0" w:right="0"/>
              <w:rPr>
                <w:sz w:val="20"/>
                <w:szCs w:val="20"/>
              </w:rPr>
            </w:pPr>
            <w:r w:rsidRPr="00D178CE">
              <w:rPr>
                <w:sz w:val="20"/>
                <w:szCs w:val="20"/>
              </w:rPr>
              <w:t>Planned duration of Follow-up</w:t>
            </w:r>
          </w:p>
        </w:tc>
        <w:tc>
          <w:tcPr>
            <w:tcW w:w="1446" w:type="dxa"/>
          </w:tcPr>
          <w:p w14:paraId="2E685A35" w14:textId="6D25AB94" w:rsidR="00E95ABD" w:rsidRPr="00D178CE" w:rsidRDefault="00221A34" w:rsidP="00D178CE">
            <w:pPr>
              <w:ind w:left="0" w:right="0"/>
              <w:rPr>
                <w:sz w:val="20"/>
                <w:szCs w:val="20"/>
              </w:rPr>
            </w:pPr>
            <w:r w:rsidRPr="00D178CE">
              <w:rPr>
                <w:sz w:val="20"/>
                <w:szCs w:val="20"/>
              </w:rPr>
              <w:t>Approx.</w:t>
            </w:r>
            <w:r w:rsidR="00CC2D41" w:rsidRPr="00D178CE">
              <w:rPr>
                <w:sz w:val="20"/>
                <w:szCs w:val="20"/>
              </w:rPr>
              <w:t xml:space="preserve"> </w:t>
            </w:r>
            <w:r w:rsidR="00E95ABD" w:rsidRPr="00D178CE">
              <w:rPr>
                <w:sz w:val="20"/>
                <w:szCs w:val="20"/>
              </w:rPr>
              <w:t>365 days after the dose</w:t>
            </w:r>
          </w:p>
        </w:tc>
        <w:tc>
          <w:tcPr>
            <w:tcW w:w="1446" w:type="dxa"/>
          </w:tcPr>
          <w:p w14:paraId="74595DEB" w14:textId="55307866" w:rsidR="00E95ABD" w:rsidRPr="00D178CE" w:rsidRDefault="00221A34" w:rsidP="00D178CE">
            <w:pPr>
              <w:ind w:left="0" w:right="0"/>
              <w:rPr>
                <w:sz w:val="20"/>
                <w:szCs w:val="20"/>
              </w:rPr>
            </w:pPr>
            <w:r w:rsidRPr="00D178CE">
              <w:rPr>
                <w:sz w:val="20"/>
                <w:szCs w:val="20"/>
              </w:rPr>
              <w:t>Approx.</w:t>
            </w:r>
            <w:r w:rsidR="002E4D8D" w:rsidRPr="00D178CE">
              <w:rPr>
                <w:sz w:val="20"/>
                <w:szCs w:val="20"/>
              </w:rPr>
              <w:t xml:space="preserve"> </w:t>
            </w:r>
            <w:r w:rsidR="00E95ABD" w:rsidRPr="00D178CE">
              <w:rPr>
                <w:sz w:val="20"/>
                <w:szCs w:val="20"/>
              </w:rPr>
              <w:t>730 days after the first dose</w:t>
            </w:r>
          </w:p>
        </w:tc>
        <w:tc>
          <w:tcPr>
            <w:tcW w:w="1446" w:type="dxa"/>
          </w:tcPr>
          <w:p w14:paraId="23750931" w14:textId="7334C729" w:rsidR="00E95ABD" w:rsidRPr="00D178CE" w:rsidRDefault="00221A34" w:rsidP="00D178CE">
            <w:pPr>
              <w:ind w:left="0" w:right="0"/>
              <w:rPr>
                <w:sz w:val="20"/>
                <w:szCs w:val="20"/>
              </w:rPr>
            </w:pPr>
            <w:r w:rsidRPr="00D178CE">
              <w:rPr>
                <w:sz w:val="20"/>
                <w:szCs w:val="20"/>
              </w:rPr>
              <w:t>Approx.</w:t>
            </w:r>
            <w:r w:rsidR="002E4D8D" w:rsidRPr="00D178CE">
              <w:rPr>
                <w:sz w:val="20"/>
                <w:szCs w:val="20"/>
              </w:rPr>
              <w:t xml:space="preserve"> </w:t>
            </w:r>
            <w:r w:rsidR="00E95ABD" w:rsidRPr="00D178CE">
              <w:rPr>
                <w:sz w:val="20"/>
                <w:szCs w:val="20"/>
              </w:rPr>
              <w:t>180 days after the dose</w:t>
            </w:r>
          </w:p>
        </w:tc>
        <w:tc>
          <w:tcPr>
            <w:tcW w:w="1446" w:type="dxa"/>
          </w:tcPr>
          <w:p w14:paraId="5BEE6A5A" w14:textId="31B12BF1" w:rsidR="00E95ABD" w:rsidRPr="00D178CE" w:rsidRDefault="00D178CE" w:rsidP="00D178CE">
            <w:pPr>
              <w:ind w:left="0" w:right="0"/>
              <w:rPr>
                <w:sz w:val="20"/>
                <w:szCs w:val="20"/>
              </w:rPr>
            </w:pPr>
            <w:r w:rsidRPr="00D178CE">
              <w:rPr>
                <w:sz w:val="20"/>
                <w:szCs w:val="20"/>
              </w:rPr>
              <w:t>Approx.</w:t>
            </w:r>
            <w:r w:rsidR="002E4D8D" w:rsidRPr="00D178CE">
              <w:rPr>
                <w:sz w:val="20"/>
                <w:szCs w:val="20"/>
              </w:rPr>
              <w:t xml:space="preserve"> </w:t>
            </w:r>
            <w:r w:rsidR="00E95ABD" w:rsidRPr="00D178CE">
              <w:rPr>
                <w:sz w:val="20"/>
                <w:szCs w:val="20"/>
              </w:rPr>
              <w:t>365 days after the first dose</w:t>
            </w:r>
          </w:p>
        </w:tc>
        <w:tc>
          <w:tcPr>
            <w:tcW w:w="1446" w:type="dxa"/>
          </w:tcPr>
          <w:p w14:paraId="6472D875" w14:textId="479430A4" w:rsidR="00E95ABD" w:rsidRPr="00D178CE" w:rsidRDefault="00D178CE" w:rsidP="00D178CE">
            <w:pPr>
              <w:ind w:left="0" w:right="0"/>
              <w:rPr>
                <w:sz w:val="20"/>
                <w:szCs w:val="20"/>
              </w:rPr>
            </w:pPr>
            <w:r w:rsidRPr="00D178CE">
              <w:rPr>
                <w:sz w:val="20"/>
                <w:szCs w:val="20"/>
              </w:rPr>
              <w:t>Approx.</w:t>
            </w:r>
            <w:r w:rsidR="00E95ABD" w:rsidRPr="00D178CE">
              <w:rPr>
                <w:sz w:val="20"/>
                <w:szCs w:val="20"/>
              </w:rPr>
              <w:t xml:space="preserve"> 180 days after the last dose</w:t>
            </w:r>
          </w:p>
        </w:tc>
      </w:tr>
    </w:tbl>
    <w:p w14:paraId="6D6E20CD" w14:textId="214A3B4F" w:rsidR="00B76EF2" w:rsidRPr="002E4D8D" w:rsidRDefault="007C6335" w:rsidP="002E4D8D">
      <w:pPr>
        <w:pStyle w:val="TableDescription"/>
      </w:pPr>
      <w:r w:rsidRPr="002E4D8D">
        <w:t>a</w:t>
      </w:r>
      <w:r w:rsidR="00B76EF2" w:rsidRPr="002E4D8D">
        <w:t xml:space="preserve"> None of these studies contribute data to this application; therefore they a</w:t>
      </w:r>
      <w:r w:rsidRPr="002E4D8D">
        <w:t xml:space="preserve">re not listed in </w:t>
      </w:r>
      <w:r w:rsidR="008834DD" w:rsidRPr="002E4D8D">
        <w:t>the clinical study report section of the submitted dossier</w:t>
      </w:r>
      <w:r w:rsidRPr="002E4D8D">
        <w:t>, b</w:t>
      </w:r>
      <w:r w:rsidR="00B76EF2" w:rsidRPr="002E4D8D">
        <w:t xml:space="preserve"> Vaccinations not started; safety data in review by Russian Ministry of Health</w:t>
      </w:r>
      <w:r w:rsidRPr="002E4D8D">
        <w:t>, c</w:t>
      </w:r>
      <w:r w:rsidR="00B76EF2" w:rsidRPr="002E4D8D">
        <w:t xml:space="preserve"> AstraZeneca assay of reference</w:t>
      </w:r>
    </w:p>
    <w:p w14:paraId="3B6B6BE0" w14:textId="35183B6D" w:rsidR="00B76EF2" w:rsidRPr="002E4D8D" w:rsidRDefault="00D178CE" w:rsidP="002E4D8D">
      <w:pPr>
        <w:pStyle w:val="TableDescription"/>
      </w:pPr>
      <w:r>
        <w:t xml:space="preserve">Approx. = approximately; </w:t>
      </w:r>
      <w:r w:rsidR="00B76EF2" w:rsidRPr="002E4D8D">
        <w:t xml:space="preserve">ICMR = Indian Council on Medical Research; IM = intramuscular; </w:t>
      </w:r>
      <w:proofErr w:type="spellStart"/>
      <w:r w:rsidR="00AD308C" w:rsidRPr="002E4D8D">
        <w:t>MenACWY</w:t>
      </w:r>
      <w:proofErr w:type="spellEnd"/>
      <w:r w:rsidR="00AD308C" w:rsidRPr="002E4D8D">
        <w:t xml:space="preserve"> meningococcal group </w:t>
      </w:r>
      <w:r w:rsidR="002E4D8D">
        <w:t>A</w:t>
      </w:r>
      <w:r w:rsidR="00AD308C" w:rsidRPr="002E4D8D">
        <w:t xml:space="preserve">, </w:t>
      </w:r>
      <w:r w:rsidR="002E4D8D">
        <w:t>C</w:t>
      </w:r>
      <w:r w:rsidR="00AD308C" w:rsidRPr="002E4D8D">
        <w:t xml:space="preserve">, </w:t>
      </w:r>
      <w:r w:rsidR="002E4D8D">
        <w:t>W</w:t>
      </w:r>
      <w:r w:rsidR="00AD308C" w:rsidRPr="002E4D8D">
        <w:t xml:space="preserve">-135, and </w:t>
      </w:r>
      <w:r w:rsidR="002E4D8D">
        <w:t>Y</w:t>
      </w:r>
      <w:r w:rsidR="00AD308C" w:rsidRPr="002E4D8D">
        <w:t xml:space="preserve"> conjugate vaccine; SII = Serum Institute of India; </w:t>
      </w:r>
      <w:proofErr w:type="spellStart"/>
      <w:r w:rsidR="00B76EF2" w:rsidRPr="002E4D8D">
        <w:t>vp</w:t>
      </w:r>
      <w:proofErr w:type="spellEnd"/>
      <w:r w:rsidR="00B76EF2" w:rsidRPr="002E4D8D">
        <w:t xml:space="preserve"> = viral pa</w:t>
      </w:r>
      <w:r w:rsidR="00AD308C" w:rsidRPr="002E4D8D">
        <w:t xml:space="preserve">rticles; </w:t>
      </w:r>
      <w:proofErr w:type="spellStart"/>
      <w:r w:rsidR="00AD308C" w:rsidRPr="002E4D8D">
        <w:t>wk</w:t>
      </w:r>
      <w:proofErr w:type="spellEnd"/>
      <w:r w:rsidR="002E4D8D">
        <w:t> </w:t>
      </w:r>
      <w:r w:rsidR="00AD308C" w:rsidRPr="002E4D8D">
        <w:t>=</w:t>
      </w:r>
      <w:r w:rsidR="002E4D8D">
        <w:t> </w:t>
      </w:r>
      <w:r w:rsidR="00AD308C" w:rsidRPr="002E4D8D">
        <w:t xml:space="preserve">weeks; </w:t>
      </w:r>
      <w:proofErr w:type="spellStart"/>
      <w:r w:rsidR="00AD308C" w:rsidRPr="002E4D8D">
        <w:t>yr</w:t>
      </w:r>
      <w:proofErr w:type="spellEnd"/>
      <w:r w:rsidR="00AD308C" w:rsidRPr="002E4D8D">
        <w:t xml:space="preserve"> = years</w:t>
      </w:r>
      <w:r w:rsidR="00E71B0A" w:rsidRPr="002E4D8D">
        <w:t>.</w:t>
      </w:r>
    </w:p>
    <w:p w14:paraId="2F985C49" w14:textId="254544D3" w:rsidR="00D23139" w:rsidRDefault="00D23139" w:rsidP="00D23139">
      <w:pPr>
        <w:pStyle w:val="Heading4"/>
      </w:pPr>
      <w:r w:rsidRPr="00D23139">
        <w:t>Proposed action</w:t>
      </w:r>
    </w:p>
    <w:p w14:paraId="03192EB8" w14:textId="77777777" w:rsidR="007243A2" w:rsidRDefault="007243A2" w:rsidP="007243A2">
      <w:r>
        <w:t>While a decision is yet to be made, at this stage the Delegate is inclined to approve the registration of the product.</w:t>
      </w:r>
    </w:p>
    <w:p w14:paraId="78220648" w14:textId="77777777" w:rsidR="00D84D93" w:rsidRDefault="00D84D93" w:rsidP="00D84D93">
      <w:pPr>
        <w:pStyle w:val="Instructions"/>
        <w:rPr>
          <w:i w:val="0"/>
          <w:color w:val="auto"/>
        </w:rPr>
      </w:pPr>
      <w:r>
        <w:rPr>
          <w:i w:val="0"/>
          <w:color w:val="auto"/>
        </w:rPr>
        <w:t xml:space="preserve">The ACV is requested to assist in the responses to </w:t>
      </w:r>
      <w:proofErr w:type="gramStart"/>
      <w:r>
        <w:rPr>
          <w:i w:val="0"/>
          <w:color w:val="auto"/>
        </w:rPr>
        <w:t>a number of</w:t>
      </w:r>
      <w:proofErr w:type="gramEnd"/>
      <w:r>
        <w:rPr>
          <w:i w:val="0"/>
          <w:color w:val="auto"/>
        </w:rPr>
        <w:t xml:space="preserve"> questions and in drafting the wording of some sections of the PI.</w:t>
      </w:r>
    </w:p>
    <w:p w14:paraId="4C57F643" w14:textId="77777777" w:rsidR="00D84D93" w:rsidRDefault="00D84D93" w:rsidP="00D84D93">
      <w:r>
        <w:t xml:space="preserve">There are </w:t>
      </w:r>
      <w:proofErr w:type="gramStart"/>
      <w:r>
        <w:t>a number of</w:t>
      </w:r>
      <w:proofErr w:type="gramEnd"/>
      <w:r>
        <w:t xml:space="preserve"> outstanding studies that will be required to be submitted before full approval to address limitations in the data. It is important that the PI is kept up to date with this information.</w:t>
      </w:r>
    </w:p>
    <w:p w14:paraId="658F4DB7" w14:textId="70149EDF" w:rsidR="00D84D93" w:rsidRDefault="00660A66" w:rsidP="007243A2">
      <w:r>
        <w:t>There is a Section</w:t>
      </w:r>
      <w:r w:rsidR="00385BF1">
        <w:t xml:space="preserve"> </w:t>
      </w:r>
      <w:r w:rsidR="00D84D93">
        <w:t>14 exemption for the labelling to accommodate the supply of vaccines from Europe.</w:t>
      </w:r>
      <w:bookmarkStart w:id="61" w:name="_Ref64296237"/>
      <w:r w:rsidR="007C6335">
        <w:rPr>
          <w:rStyle w:val="FootnoteReference"/>
        </w:rPr>
        <w:footnoteReference w:id="23"/>
      </w:r>
      <w:bookmarkEnd w:id="61"/>
    </w:p>
    <w:p w14:paraId="45A55C77" w14:textId="48A1F4C4" w:rsidR="00456765" w:rsidRDefault="007243A2" w:rsidP="007243A2">
      <w:r>
        <w:t>If registration was approved, the Delegate would propose the following additional conditions of registration</w:t>
      </w:r>
      <w:r w:rsidR="00EE6AEE">
        <w:t>.</w:t>
      </w:r>
    </w:p>
    <w:p w14:paraId="3BA3DD02" w14:textId="77777777" w:rsidR="002011E3" w:rsidRDefault="002011E3" w:rsidP="002011E3">
      <w:r>
        <w:t>Quality:</w:t>
      </w:r>
    </w:p>
    <w:p w14:paraId="18625B43" w14:textId="7F390BAD" w:rsidR="002011E3" w:rsidRDefault="00EE6AEE" w:rsidP="00EE6AEE">
      <w:pPr>
        <w:pStyle w:val="ListBullet"/>
      </w:pPr>
      <w:r>
        <w:t>As outlined in ‘</w:t>
      </w:r>
      <w:r w:rsidRPr="00EE6AEE">
        <w:rPr>
          <w:i/>
        </w:rPr>
        <w:t>Proposed quality conditions of registration</w:t>
      </w:r>
      <w:r>
        <w:t>’, above.</w:t>
      </w:r>
    </w:p>
    <w:p w14:paraId="1053E266" w14:textId="3B9740AE" w:rsidR="002011E3" w:rsidRDefault="002011E3" w:rsidP="00EE6AEE">
      <w:pPr>
        <w:pStyle w:val="ListBullet"/>
      </w:pPr>
      <w:r>
        <w:t xml:space="preserve">Section 14 exemption </w:t>
      </w:r>
      <w:r w:rsidR="00EE6AEE">
        <w:t>is required regarding labelling.</w:t>
      </w:r>
      <w:r w:rsidR="00D178CE">
        <w:fldChar w:fldCharType="begin"/>
      </w:r>
      <w:r w:rsidR="00D178CE">
        <w:instrText xml:space="preserve"> NOTEREF _Ref64296237 \f \h </w:instrText>
      </w:r>
      <w:r w:rsidR="00D178CE">
        <w:fldChar w:fldCharType="separate"/>
      </w:r>
      <w:r w:rsidR="001D05A6" w:rsidRPr="001D05A6">
        <w:rPr>
          <w:rStyle w:val="FootnoteReference"/>
        </w:rPr>
        <w:t>23</w:t>
      </w:r>
      <w:r w:rsidR="00D178CE">
        <w:fldChar w:fldCharType="end"/>
      </w:r>
    </w:p>
    <w:p w14:paraId="7D211A59" w14:textId="77777777" w:rsidR="002011E3" w:rsidRDefault="002011E3" w:rsidP="002011E3">
      <w:r>
        <w:t>Nonclinical:</w:t>
      </w:r>
    </w:p>
    <w:p w14:paraId="3BBBC68B" w14:textId="37F5D902" w:rsidR="002011E3" w:rsidRPr="00D1539C" w:rsidRDefault="00EE6AEE" w:rsidP="002011E3">
      <w:pPr>
        <w:pStyle w:val="ListBullet"/>
        <w:rPr>
          <w:kern w:val="2"/>
        </w:rPr>
      </w:pPr>
      <w:r>
        <w:t>As outlined in ‘</w:t>
      </w:r>
      <w:r w:rsidRPr="00EE6AEE">
        <w:rPr>
          <w:i/>
        </w:rPr>
        <w:t>Proposed nonclinical conditions of registration’</w:t>
      </w:r>
      <w:r>
        <w:t>, above.</w:t>
      </w:r>
    </w:p>
    <w:p w14:paraId="69D79BBE" w14:textId="77777777" w:rsidR="002011E3" w:rsidRDefault="002011E3" w:rsidP="002011E3">
      <w:r>
        <w:t>Clinical:</w:t>
      </w:r>
    </w:p>
    <w:p w14:paraId="0F7EB246" w14:textId="2C93E73D" w:rsidR="002011E3" w:rsidRDefault="002011E3" w:rsidP="002011E3">
      <w:pPr>
        <w:pStyle w:val="ListBullet"/>
        <w:rPr>
          <w:lang w:eastAsia="en-AU"/>
        </w:rPr>
      </w:pPr>
      <w:r>
        <w:rPr>
          <w:lang w:eastAsia="en-AU"/>
        </w:rPr>
        <w:t xml:space="preserve">Changes to the </w:t>
      </w:r>
      <w:r w:rsidR="00AD308C">
        <w:rPr>
          <w:lang w:eastAsia="en-AU"/>
        </w:rPr>
        <w:t>PI.</w:t>
      </w:r>
      <w:r w:rsidR="003368CB">
        <w:rPr>
          <w:rStyle w:val="FootnoteReference"/>
          <w:lang w:eastAsia="en-AU"/>
        </w:rPr>
        <w:footnoteReference w:id="24"/>
      </w:r>
    </w:p>
    <w:p w14:paraId="0A89F0A3" w14:textId="64B5DF4D" w:rsidR="002011E3" w:rsidRDefault="002011E3" w:rsidP="002011E3">
      <w:pPr>
        <w:pStyle w:val="ListBullet"/>
        <w:rPr>
          <w:lang w:eastAsia="en-AU"/>
        </w:rPr>
      </w:pPr>
      <w:r>
        <w:rPr>
          <w:lang w:eastAsia="en-AU"/>
        </w:rPr>
        <w:t>That the sponsor provide</w:t>
      </w:r>
      <w:r w:rsidR="007679E2">
        <w:rPr>
          <w:lang w:eastAsia="en-AU"/>
        </w:rPr>
        <w:t>s</w:t>
      </w:r>
      <w:r>
        <w:rPr>
          <w:lang w:eastAsia="en-AU"/>
        </w:rPr>
        <w:t xml:space="preserve"> the full study reports of </w:t>
      </w:r>
      <w:r w:rsidR="00AD308C">
        <w:rPr>
          <w:lang w:eastAsia="en-AU"/>
        </w:rPr>
        <w:t xml:space="preserve">Studies </w:t>
      </w:r>
      <w:r>
        <w:rPr>
          <w:lang w:eastAsia="en-AU"/>
        </w:rPr>
        <w:t>COV001, COV002, COV003 and COV005 when available in 2022.</w:t>
      </w:r>
    </w:p>
    <w:p w14:paraId="68E16272" w14:textId="70539DC0" w:rsidR="002011E3" w:rsidRDefault="002011E3" w:rsidP="002011E3">
      <w:pPr>
        <w:pStyle w:val="ListBullet"/>
        <w:rPr>
          <w:lang w:eastAsia="en-AU"/>
        </w:rPr>
      </w:pPr>
      <w:r>
        <w:rPr>
          <w:lang w:eastAsia="en-AU"/>
        </w:rPr>
        <w:lastRenderedPageBreak/>
        <w:t>That the sponsor provide</w:t>
      </w:r>
      <w:r w:rsidR="007679E2">
        <w:rPr>
          <w:lang w:eastAsia="en-AU"/>
        </w:rPr>
        <w:t>s</w:t>
      </w:r>
      <w:r>
        <w:rPr>
          <w:lang w:eastAsia="en-AU"/>
        </w:rPr>
        <w:t xml:space="preserve"> the interim and full study report for </w:t>
      </w:r>
      <w:r w:rsidR="00AD308C">
        <w:rPr>
          <w:lang w:eastAsia="en-AU"/>
        </w:rPr>
        <w:t>Study</w:t>
      </w:r>
      <w:r w:rsidR="00A8128F">
        <w:rPr>
          <w:lang w:eastAsia="en-AU"/>
        </w:rPr>
        <w:t> </w:t>
      </w:r>
      <w:r>
        <w:rPr>
          <w:lang w:eastAsia="en-AU"/>
        </w:rPr>
        <w:t>D811000001</w:t>
      </w:r>
      <w:r w:rsidR="00AD308C">
        <w:rPr>
          <w:lang w:eastAsia="en-AU"/>
        </w:rPr>
        <w:t>.</w:t>
      </w:r>
    </w:p>
    <w:p w14:paraId="298AA953" w14:textId="5939598D" w:rsidR="002011E3" w:rsidRDefault="00AD308C" w:rsidP="002011E3">
      <w:pPr>
        <w:pStyle w:val="ListBullet"/>
        <w:rPr>
          <w:lang w:eastAsia="en-AU"/>
        </w:rPr>
      </w:pPr>
      <w:r>
        <w:rPr>
          <w:lang w:eastAsia="en-AU"/>
        </w:rPr>
        <w:t>That the studies in the pharmacovigilance</w:t>
      </w:r>
      <w:r w:rsidR="002011E3">
        <w:rPr>
          <w:lang w:eastAsia="en-AU"/>
        </w:rPr>
        <w:t xml:space="preserve"> plan be included in the clinical study plan and be submitted prior to full registration</w:t>
      </w:r>
      <w:r>
        <w:rPr>
          <w:lang w:eastAsia="en-AU"/>
        </w:rPr>
        <w:t>.</w:t>
      </w:r>
    </w:p>
    <w:p w14:paraId="478E9CEF" w14:textId="77777777" w:rsidR="002011E3" w:rsidRDefault="002011E3" w:rsidP="00A8128F">
      <w:pPr>
        <w:keepNext/>
      </w:pPr>
      <w:r>
        <w:t>RMP:</w:t>
      </w:r>
    </w:p>
    <w:p w14:paraId="73D92C26" w14:textId="6941C706" w:rsidR="007243A2" w:rsidRPr="00456765" w:rsidRDefault="00EE6AEE" w:rsidP="00A8128F">
      <w:pPr>
        <w:pStyle w:val="ListBullet"/>
        <w:keepNext/>
      </w:pPr>
      <w:r>
        <w:rPr>
          <w:lang w:eastAsia="en-AU"/>
        </w:rPr>
        <w:t>As outline</w:t>
      </w:r>
      <w:r w:rsidR="00235870">
        <w:rPr>
          <w:lang w:eastAsia="en-AU"/>
        </w:rPr>
        <w:t>d</w:t>
      </w:r>
      <w:r>
        <w:rPr>
          <w:lang w:eastAsia="en-AU"/>
        </w:rPr>
        <w:t xml:space="preserve"> in ‘</w:t>
      </w:r>
      <w:r w:rsidRPr="00EE6AEE">
        <w:rPr>
          <w:i/>
          <w:lang w:eastAsia="en-AU"/>
        </w:rPr>
        <w:t>Proposed risk management plan conditions of registration</w:t>
      </w:r>
      <w:r>
        <w:rPr>
          <w:lang w:eastAsia="en-AU"/>
        </w:rPr>
        <w:t>’, above</w:t>
      </w:r>
      <w:r w:rsidR="00AD308C">
        <w:rPr>
          <w:lang w:eastAsia="en-AU"/>
        </w:rPr>
        <w:t>.</w:t>
      </w:r>
    </w:p>
    <w:p w14:paraId="6D7FB5B9" w14:textId="77777777" w:rsidR="007D53B6" w:rsidRDefault="007D53B6" w:rsidP="007D53B6">
      <w:pPr>
        <w:pStyle w:val="Heading4"/>
      </w:pPr>
      <w:r>
        <w:t xml:space="preserve">Questions for </w:t>
      </w:r>
      <w:r w:rsidR="00744121">
        <w:t xml:space="preserve">the </w:t>
      </w:r>
      <w:r>
        <w:t>sponsor</w:t>
      </w:r>
    </w:p>
    <w:p w14:paraId="576B673A" w14:textId="77777777" w:rsidR="00744121" w:rsidRPr="00955A16" w:rsidRDefault="00744121" w:rsidP="00744121">
      <w:r>
        <w:t>The sponsor provided the following response to questions from the Delegate.</w:t>
      </w:r>
    </w:p>
    <w:p w14:paraId="0EEC1AEC" w14:textId="2F9D3B47" w:rsidR="00810BB0" w:rsidRPr="00810BB0" w:rsidRDefault="00810BB0" w:rsidP="00810BB0">
      <w:pPr>
        <w:pStyle w:val="Numberbullet0"/>
        <w:rPr>
          <w:b/>
          <w:i/>
        </w:rPr>
      </w:pPr>
      <w:r w:rsidRPr="00810BB0">
        <w:rPr>
          <w:b/>
          <w:i/>
        </w:rPr>
        <w:t>When the studies included in the pharmacovigilance are plan due to be completed? Are they expected to be submitted to the TGA prior to full re</w:t>
      </w:r>
      <w:r>
        <w:rPr>
          <w:b/>
          <w:i/>
        </w:rPr>
        <w:t>gistration (that is,</w:t>
      </w:r>
      <w:r w:rsidRPr="00810BB0">
        <w:rPr>
          <w:b/>
          <w:i/>
        </w:rPr>
        <w:t xml:space="preserve"> within 6 years)?</w:t>
      </w:r>
    </w:p>
    <w:p w14:paraId="03A340E1" w14:textId="78908589" w:rsidR="00810BB0" w:rsidRDefault="00D06C97" w:rsidP="00810BB0">
      <w:r>
        <w:t>In their o</w:t>
      </w:r>
      <w:r w:rsidR="00810BB0">
        <w:t>verview</w:t>
      </w:r>
      <w:r>
        <w:t>,</w:t>
      </w:r>
      <w:r w:rsidR="00810BB0">
        <w:t xml:space="preserve"> the Delegate has provided a preliminary view that, in addition to the agreed confirmatory efficacy and safety studies (</w:t>
      </w:r>
      <w:r>
        <w:t xml:space="preserve">Studies </w:t>
      </w:r>
      <w:r w:rsidR="00810BB0">
        <w:t>COV001, COV002, COV003 and COV005; with support from Study D8110C00001), the studies in the EU-RMP (V</w:t>
      </w:r>
      <w:r>
        <w:t>ersion 1, Succession 1) pharmacovigilance</w:t>
      </w:r>
      <w:r w:rsidR="00810BB0">
        <w:t xml:space="preserve"> plan are also required to be submitted prior to full registration.</w:t>
      </w:r>
    </w:p>
    <w:p w14:paraId="7B520753" w14:textId="42C75F1F" w:rsidR="00810BB0" w:rsidRDefault="00D06C97" w:rsidP="00810BB0">
      <w:r>
        <w:t>It is the sponsor’s</w:t>
      </w:r>
      <w:r w:rsidR="00810BB0">
        <w:t xml:space="preserve"> understanding that confirmatory safety and efficacy data are required to transition to full registration, and that the confirmatory data requirements would be in line with those expected for a standalone new vaccine registration. The studies described in the pharmacovi</w:t>
      </w:r>
      <w:r w:rsidR="00235870">
        <w:t>gilance plan</w:t>
      </w:r>
      <w:r w:rsidR="00810BB0">
        <w:t xml:space="preserve"> are best described as post-authorisation safety studies (Category 3 studies in the RMP), typical for any new product, irrespective of whether approved via full or provisional registration. They are not confirmatory safety and efficacy studies and consequently </w:t>
      </w:r>
      <w:r>
        <w:t>the sponsor</w:t>
      </w:r>
      <w:r w:rsidR="00810BB0">
        <w:t xml:space="preserve"> considers that these should not form part of the data obligations for conversion to a full registration.</w:t>
      </w:r>
    </w:p>
    <w:p w14:paraId="59445356" w14:textId="202DD119" w:rsidR="00810BB0" w:rsidRDefault="00810BB0" w:rsidP="00810BB0">
      <w:r>
        <w:t xml:space="preserve">As per the </w:t>
      </w:r>
      <w:r w:rsidR="00D06C97">
        <w:t xml:space="preserve">clinical study plan provided in the provisional determination request </w:t>
      </w:r>
      <w:r>
        <w:t xml:space="preserve">as well as the ASA, the proposed confirmatory safety and efficacy data for full transition consists of the final clinical study reports for </w:t>
      </w:r>
      <w:r w:rsidR="00D06C97">
        <w:t xml:space="preserve">Studies </w:t>
      </w:r>
      <w:r>
        <w:t>COV001, COV002, COV003, and COV005 with support from the interim analysis from Study D8110C00001. The final reports for the Oxf</w:t>
      </w:r>
      <w:r w:rsidR="00D06C97">
        <w:t>ord studies are expected late first quarter</w:t>
      </w:r>
      <w:r>
        <w:t>/e</w:t>
      </w:r>
      <w:r w:rsidR="00D06C97">
        <w:t>arly second quarter</w:t>
      </w:r>
      <w:r>
        <w:t xml:space="preserve"> 2022. </w:t>
      </w:r>
      <w:r w:rsidR="00604F0C">
        <w:t xml:space="preserve">Data from the primary analysis of Study D8110C00001 </w:t>
      </w:r>
      <w:r w:rsidR="006964D1">
        <w:t xml:space="preserve">is expected to </w:t>
      </w:r>
      <w:r w:rsidR="00836EF3">
        <w:t xml:space="preserve">be </w:t>
      </w:r>
      <w:r w:rsidR="00604F0C">
        <w:t xml:space="preserve">available end of </w:t>
      </w:r>
      <w:r w:rsidR="00E016E8">
        <w:t>first quarter</w:t>
      </w:r>
      <w:r w:rsidR="00604F0C">
        <w:t xml:space="preserve"> 2021. </w:t>
      </w:r>
      <w:r w:rsidR="00D06C97">
        <w:t>The sponsor</w:t>
      </w:r>
      <w:r>
        <w:t xml:space="preserve"> is therefore intending to submit a conversion to full registration in 2022 once all the final COV study reports are available. The primary efficacy analysis for Study D8110C00001 will also be included, together with further safety analyses to ensure we evaluate the risk benefit with longer duration of follow up.</w:t>
      </w:r>
    </w:p>
    <w:p w14:paraId="558A1144" w14:textId="138935F2" w:rsidR="00810BB0" w:rsidRDefault="00D06C97" w:rsidP="00810BB0">
      <w:r>
        <w:t>The pharmacovigilance</w:t>
      </w:r>
      <w:r w:rsidR="00810BB0">
        <w:t xml:space="preserve"> plan studies referred to </w:t>
      </w:r>
      <w:r>
        <w:t xml:space="preserve">in </w:t>
      </w:r>
      <w:r>
        <w:fldChar w:fldCharType="begin"/>
      </w:r>
      <w:r>
        <w:instrText xml:space="preserve"> REF _Ref63173639 \h </w:instrText>
      </w:r>
      <w:r>
        <w:fldChar w:fldCharType="separate"/>
      </w:r>
      <w:r w:rsidR="001D05A6">
        <w:t xml:space="preserve">Table </w:t>
      </w:r>
      <w:r w:rsidR="001D05A6">
        <w:rPr>
          <w:noProof/>
        </w:rPr>
        <w:t>13</w:t>
      </w:r>
      <w:r>
        <w:fldChar w:fldCharType="end"/>
      </w:r>
      <w:r w:rsidR="00810BB0">
        <w:t xml:space="preserve"> have not yet been initiated, therefore timelines for completion are subject to change. At this time, it is estimated that final reports and results from these studies can be expected around 2024 to 2026, well after the final reports for the confirmatory safety and efficacy studies have been completed. Therefore</w:t>
      </w:r>
      <w:r>
        <w:t>, the sponsor</w:t>
      </w:r>
      <w:r w:rsidR="00810BB0">
        <w:t xml:space="preserve"> proposes to maintain</w:t>
      </w:r>
      <w:r>
        <w:t xml:space="preserve"> these studies as part of the pharmacovigilance</w:t>
      </w:r>
      <w:r w:rsidR="00810BB0">
        <w:t xml:space="preserve"> plan, under which the study outcomes will be provided to TGA on completion of these studies, but they will not form part of the data obligations for conversion to full registration.</w:t>
      </w:r>
    </w:p>
    <w:p w14:paraId="12D19AF7" w14:textId="42B4A843" w:rsidR="00810BB0" w:rsidRPr="00810BB0" w:rsidRDefault="00810BB0" w:rsidP="00810BB0">
      <w:pPr>
        <w:pStyle w:val="Numberbullet0"/>
        <w:rPr>
          <w:b/>
          <w:i/>
        </w:rPr>
      </w:pPr>
      <w:r w:rsidRPr="00810BB0">
        <w:rPr>
          <w:b/>
          <w:i/>
        </w:rPr>
        <w:t>Please clarify if there will be ongoing studies in relation to the dosing interval.</w:t>
      </w:r>
    </w:p>
    <w:p w14:paraId="4E640100" w14:textId="04582E8B" w:rsidR="007D53B6" w:rsidRDefault="00810BB0" w:rsidP="00810BB0">
      <w:r>
        <w:t>With respect to further data on d</w:t>
      </w:r>
      <w:r w:rsidR="00D06C97">
        <w:t>osing interval, currently the US Phase III study, Study </w:t>
      </w:r>
      <w:r>
        <w:t>D8110C00001</w:t>
      </w:r>
      <w:r w:rsidR="00D06C97">
        <w:t xml:space="preserve">, has a 4 </w:t>
      </w:r>
      <w:r>
        <w:t>week dosing schedule, with the second dose due to be administered 29 days after the first (within a visit window of -</w:t>
      </w:r>
      <w:r w:rsidR="00D06C97">
        <w:t xml:space="preserve"> </w:t>
      </w:r>
      <w:r>
        <w:t>3 to +</w:t>
      </w:r>
      <w:r w:rsidR="00D06C97">
        <w:t xml:space="preserve"> </w:t>
      </w:r>
      <w:r>
        <w:t xml:space="preserve">7 days). There will also be additional data from the ongoing </w:t>
      </w:r>
      <w:r w:rsidR="00D06C97">
        <w:t xml:space="preserve">studies, Studies </w:t>
      </w:r>
      <w:r>
        <w:t>CO</w:t>
      </w:r>
      <w:r w:rsidR="00D06C97">
        <w:t>V002, COV003, and COV005</w:t>
      </w:r>
      <w:r>
        <w:t>.</w:t>
      </w:r>
    </w:p>
    <w:p w14:paraId="43C9CA9A" w14:textId="77777777" w:rsidR="008E7846" w:rsidRDefault="008E7846" w:rsidP="007D53B6">
      <w:pPr>
        <w:pStyle w:val="Heading4"/>
      </w:pPr>
      <w:r>
        <w:lastRenderedPageBreak/>
        <w:t xml:space="preserve">Advisory Committee </w:t>
      </w:r>
      <w:r w:rsidR="007D53B6">
        <w:t>c</w:t>
      </w:r>
      <w:r>
        <w:t>onsiderations</w:t>
      </w:r>
      <w:r w:rsidR="00456765">
        <w:rPr>
          <w:rStyle w:val="FootnoteReference"/>
        </w:rPr>
        <w:footnoteReference w:id="25"/>
      </w:r>
    </w:p>
    <w:p w14:paraId="2F6E4885" w14:textId="04BCE169" w:rsidR="00744121" w:rsidRDefault="00744121" w:rsidP="00744121">
      <w:pPr>
        <w:rPr>
          <w:bCs/>
        </w:rPr>
      </w:pPr>
      <w:bookmarkStart w:id="62" w:name="_Toc247691532"/>
      <w:bookmarkStart w:id="63" w:name="_Toc314842516"/>
      <w:bookmarkEnd w:id="34"/>
      <w:bookmarkEnd w:id="59"/>
      <w:bookmarkEnd w:id="60"/>
      <w:r w:rsidRPr="00456765">
        <w:rPr>
          <w:bCs/>
        </w:rPr>
        <w:t xml:space="preserve">The Advisory Committee on </w:t>
      </w:r>
      <w:r w:rsidR="00810BB0">
        <w:rPr>
          <w:bCs/>
        </w:rPr>
        <w:t>Vaccines (ACV</w:t>
      </w:r>
      <w:r w:rsidRPr="00456765">
        <w:rPr>
          <w:bCs/>
        </w:rPr>
        <w:t>), having considered the evaluations and the Delegate’s overview, as well as the sponsor’s response to these documents, advised the following</w:t>
      </w:r>
      <w:r>
        <w:rPr>
          <w:bCs/>
        </w:rPr>
        <w:t>.</w:t>
      </w:r>
    </w:p>
    <w:p w14:paraId="34E0D03D" w14:textId="43249974" w:rsidR="00744121" w:rsidRDefault="00D515FF" w:rsidP="00744121">
      <w:pPr>
        <w:pStyle w:val="Heading5"/>
      </w:pPr>
      <w:r>
        <w:t xml:space="preserve">Specific advice to the </w:t>
      </w:r>
      <w:r w:rsidR="00CA039C">
        <w:t>D</w:t>
      </w:r>
      <w:r>
        <w:t>elegate</w:t>
      </w:r>
    </w:p>
    <w:p w14:paraId="55BAA39D" w14:textId="45315021" w:rsidR="00D515FF" w:rsidRDefault="00D515FF" w:rsidP="00D515FF">
      <w:r>
        <w:t>The ACV advised the following in response to the Delegate’s specific request for advice.</w:t>
      </w:r>
    </w:p>
    <w:p w14:paraId="7423A3DC" w14:textId="7591D3F3" w:rsidR="00D515FF" w:rsidRPr="00D515FF" w:rsidRDefault="00D515FF" w:rsidP="00D515FF">
      <w:pPr>
        <w:pStyle w:val="Numberbullet0"/>
        <w:numPr>
          <w:ilvl w:val="0"/>
          <w:numId w:val="40"/>
        </w:numPr>
        <w:rPr>
          <w:b/>
          <w:i/>
        </w:rPr>
      </w:pPr>
      <w:r w:rsidRPr="00D515FF">
        <w:rPr>
          <w:b/>
          <w:i/>
        </w:rPr>
        <w:t xml:space="preserve">Depending upon which efficacy population </w:t>
      </w:r>
      <w:r>
        <w:rPr>
          <w:b/>
          <w:i/>
        </w:rPr>
        <w:t xml:space="preserve">is used, vaccine efficacy in 50 to </w:t>
      </w:r>
      <w:r w:rsidRPr="00D515FF">
        <w:rPr>
          <w:b/>
          <w:i/>
        </w:rPr>
        <w:t>70%, with the lower 95% confidence interval over 40%, to prevent symptomatic COVID</w:t>
      </w:r>
      <w:r>
        <w:rPr>
          <w:b/>
          <w:i/>
        </w:rPr>
        <w:noBreakHyphen/>
      </w:r>
      <w:r w:rsidRPr="00D515FF">
        <w:rPr>
          <w:b/>
          <w:i/>
        </w:rPr>
        <w:t xml:space="preserve">19 infection. This complied with the EMA guidelines. The initial aims of the Australian immunisation program are to protect the </w:t>
      </w:r>
      <w:proofErr w:type="gramStart"/>
      <w:r w:rsidRPr="00D515FF">
        <w:rPr>
          <w:b/>
          <w:i/>
        </w:rPr>
        <w:t>high risk</w:t>
      </w:r>
      <w:proofErr w:type="gramEnd"/>
      <w:r w:rsidRPr="00D515FF">
        <w:rPr>
          <w:b/>
          <w:i/>
        </w:rPr>
        <w:t xml:space="preserve"> groups of the population. Do you consider this level of efficacy acceptable for the aims of the Australian imm</w:t>
      </w:r>
      <w:r w:rsidR="00446BCE">
        <w:rPr>
          <w:b/>
          <w:i/>
        </w:rPr>
        <w:t>unisation program?</w:t>
      </w:r>
    </w:p>
    <w:p w14:paraId="34F5221D" w14:textId="344D9C6D" w:rsidR="00D515FF" w:rsidRDefault="00D515FF" w:rsidP="00D515FF">
      <w:r>
        <w:t>The ACV advised that, based on data currently available, the vaccine has acceptable efficacy for the proposed provisional approval.</w:t>
      </w:r>
    </w:p>
    <w:p w14:paraId="3B2A8F86" w14:textId="29B35F67" w:rsidR="00D515FF" w:rsidRDefault="00D515FF" w:rsidP="00D515FF">
      <w:r>
        <w:t>The ACV advised that, if approved, the COVID-19 Vaccine AstraZeneca can be available to be used within the Australian Government COVID-19 Vaccine and Treatment Strategy,</w:t>
      </w:r>
      <w:r>
        <w:rPr>
          <w:rStyle w:val="FootnoteReference"/>
        </w:rPr>
        <w:footnoteReference w:id="26"/>
      </w:r>
      <w:r>
        <w:t xml:space="preserve"> subject to relevant clin</w:t>
      </w:r>
      <w:r w:rsidR="00446BCE">
        <w:t>ical and programmatic guidance.</w:t>
      </w:r>
    </w:p>
    <w:p w14:paraId="6AD0CB1D" w14:textId="1767C11B" w:rsidR="00D515FF" w:rsidRDefault="00D515FF" w:rsidP="00D515FF">
      <w:r>
        <w:t xml:space="preserve">The ACV noted that program implementation (‘official recommendations’ in the proposed indication) will consider all available vaccines, including preferential use of different vaccines in different groups of Australians such as frail </w:t>
      </w:r>
      <w:r w:rsidR="00446BCE">
        <w:t>older people, supply issues, et cetera</w:t>
      </w:r>
      <w:r>
        <w:t>.</w:t>
      </w:r>
    </w:p>
    <w:p w14:paraId="31F9C511" w14:textId="368D5780" w:rsidR="00D515FF" w:rsidRDefault="00D515FF" w:rsidP="00D515FF">
      <w:r>
        <w:t>The ACV noted the lack of data on the balance of benefits and potential harms in pregnant women, those with autoimmune/inflammatory diseases, immunocompromised, older people (particularly those with frailty) and those with severe or unstable comorbid medical conditions. There was also insufficient data to assess efficacy in individuals over 55 years of age, noting that the vaccine was immunogenic in this age group (discussed further in Question 2).</w:t>
      </w:r>
    </w:p>
    <w:p w14:paraId="5609EC99" w14:textId="1EC51FB6" w:rsidR="00D515FF" w:rsidRPr="00D515FF" w:rsidRDefault="00D515FF" w:rsidP="00D515FF">
      <w:pPr>
        <w:pStyle w:val="Numberbullet0"/>
        <w:rPr>
          <w:b/>
          <w:i/>
        </w:rPr>
      </w:pPr>
      <w:r w:rsidRPr="00D515FF">
        <w:rPr>
          <w:b/>
          <w:i/>
        </w:rPr>
        <w:t xml:space="preserve">Please comment on use in the elderly in view of the limited numbers available in the efficacy and safety analysis, and limited duration of follow up. Please review the wording of the </w:t>
      </w:r>
      <w:r w:rsidR="00446BCE">
        <w:rPr>
          <w:b/>
          <w:i/>
        </w:rPr>
        <w:t>PI</w:t>
      </w:r>
      <w:r w:rsidRPr="00D515FF">
        <w:rPr>
          <w:b/>
          <w:i/>
        </w:rPr>
        <w:t xml:space="preserve"> in relation to use in the elderly and advise if there is a need for stronger wording.</w:t>
      </w:r>
    </w:p>
    <w:p w14:paraId="6928AE01" w14:textId="62525B9E" w:rsidR="00D515FF" w:rsidRDefault="00D515FF" w:rsidP="00D515FF">
      <w:r>
        <w:t>There was much discussion around use in older people. The ACV agreed with the proposed indication of use in adults 18 years and above with no upper age limit.</w:t>
      </w:r>
    </w:p>
    <w:p w14:paraId="58A84BA1" w14:textId="0ADCFCEA" w:rsidR="00D515FF" w:rsidRDefault="00D515FF" w:rsidP="00D515FF">
      <w:r>
        <w:t>Available safety data indicate that local and systemic adverse events are milder and reported less frequently in older adults (&gt; 65 years) compared to younger adults.</w:t>
      </w:r>
    </w:p>
    <w:p w14:paraId="4B6A5593" w14:textId="48CEDC2F" w:rsidR="00D515FF" w:rsidRDefault="00D515FF" w:rsidP="00D515FF">
      <w:r>
        <w:lastRenderedPageBreak/>
        <w:t>It was noted that in frail older people, adverse events may be atypical</w:t>
      </w:r>
      <w:r w:rsidR="00446BCE">
        <w:t xml:space="preserve"> (for example,</w:t>
      </w:r>
      <w:r>
        <w:t xml:space="preserve"> falls) and mild disturbances in physiological homeostasis may be clinically significant.</w:t>
      </w:r>
    </w:p>
    <w:p w14:paraId="4961CC6E" w14:textId="7E2AFF7E" w:rsidR="00D515FF" w:rsidRDefault="00D515FF" w:rsidP="00D515FF">
      <w:r>
        <w:t>The ACV advised that the limitations of the data in older persons should be clearly expressed in the PI. The ACV generally agreed with the proposed wording in the PI, which describes the limitation of data demonstrating efficacy in the population over 55 years of age, and limited data on safety in this age group, particularly in those over 65 years of age.</w:t>
      </w:r>
    </w:p>
    <w:p w14:paraId="47EC849B" w14:textId="021EB6C7" w:rsidR="00D515FF" w:rsidRDefault="00D515FF" w:rsidP="00D515FF">
      <w:r>
        <w:t>Immunogenicity studies demonstrate older participants produce similar or in some cases moderately lower immune responses compared with younger participants. However, there is no immunologic correlate of protection and it is not possible to predict what level of efficacy will be provided for older adults in the absence of further data in this population.</w:t>
      </w:r>
    </w:p>
    <w:p w14:paraId="57A816AF" w14:textId="1FDDBF89" w:rsidR="00D515FF" w:rsidRDefault="00D515FF" w:rsidP="00D515FF">
      <w:r>
        <w:t>Administration of the vaccine will not negate the need for older people and those around them to follow current precautions and public health guidance to reduce the risk of acquiring COVID-19.</w:t>
      </w:r>
    </w:p>
    <w:p w14:paraId="667B1263" w14:textId="716CAAE1" w:rsidR="00D515FF" w:rsidRDefault="00D515FF" w:rsidP="00D515FF">
      <w:r>
        <w:t>The ACV noted that further interim analysis data from a Phase III study containing higher numbers of older participants, who will also have co-morbidities, is expected</w:t>
      </w:r>
      <w:r w:rsidR="00446BCE">
        <w:t xml:space="preserve"> to be provided to the TGA in second quarter</w:t>
      </w:r>
      <w:r>
        <w:t xml:space="preserve"> </w:t>
      </w:r>
      <w:r w:rsidR="00B66C0C">
        <w:t xml:space="preserve">of </w:t>
      </w:r>
      <w:r>
        <w:t>2021.</w:t>
      </w:r>
    </w:p>
    <w:p w14:paraId="1B6A5BB2" w14:textId="76E989AD" w:rsidR="00D515FF" w:rsidRDefault="00D515FF" w:rsidP="00D515FF">
      <w:r>
        <w:t>The ACV noted that the Australian Technical Advisory Group on Immunisation (ATAGI) and the Department of Health will be providing clinical guidance on the use of this vaccine under the Australian Government COVID-19 Vaccine Program which will include information on the available data, risks and benefits of vaccination in subgroups, including in older people.</w:t>
      </w:r>
    </w:p>
    <w:p w14:paraId="51B3F137" w14:textId="1FC0CF2A" w:rsidR="00D515FF" w:rsidRDefault="00D515FF" w:rsidP="00D515FF">
      <w:r>
        <w:t>The ACV discussed the importance of collecting specific post-market data about risks to frail older people, from routine and other sources The ACV advised that post-market data shoul</w:t>
      </w:r>
      <w:r w:rsidR="00446BCE">
        <w:t>d be stratified by frailty (for example,</w:t>
      </w:r>
      <w:r>
        <w:t xml:space="preserve"> commun</w:t>
      </w:r>
      <w:r w:rsidR="00446BCE">
        <w:t>ity-dwelling versus</w:t>
      </w:r>
      <w:r>
        <w:t xml:space="preserve"> nursing home residents) and should include adverse eve</w:t>
      </w:r>
      <w:r w:rsidR="00446BCE">
        <w:t>nts specific to this group (for example,</w:t>
      </w:r>
      <w:r>
        <w:t xml:space="preserve"> falls, delirium).</w:t>
      </w:r>
    </w:p>
    <w:p w14:paraId="7F39B1A1" w14:textId="7E1E2F6E" w:rsidR="00D515FF" w:rsidRPr="00D515FF" w:rsidRDefault="00D515FF" w:rsidP="00D515FF">
      <w:pPr>
        <w:pStyle w:val="Numberbullet0"/>
        <w:rPr>
          <w:b/>
          <w:i/>
        </w:rPr>
      </w:pPr>
      <w:r w:rsidRPr="00D515FF">
        <w:rPr>
          <w:b/>
          <w:i/>
        </w:rPr>
        <w:t>In post hoc secondary subgroup analysis, greater immunogenicity and efficacy was observed with longer dose intervals. Is there a scientific rationale for this?</w:t>
      </w:r>
    </w:p>
    <w:p w14:paraId="37E2FBE6" w14:textId="78FA6C8B" w:rsidR="00D515FF" w:rsidRDefault="00D515FF" w:rsidP="00D515FF">
      <w:r>
        <w:t>The ACV advised a longer dose interval between the first and second doses allows for affinity maturation of the T cell responses which will improve long term B cell responses. A longer interval</w:t>
      </w:r>
      <w:r w:rsidR="002E4D8D">
        <w:t>,</w:t>
      </w:r>
      <w:r>
        <w:t xml:space="preserve"> that is, closer to 12 weeks, rather than 4 weeks</w:t>
      </w:r>
      <w:r w:rsidR="002E4D8D">
        <w:t>,</w:t>
      </w:r>
      <w:r>
        <w:t xml:space="preserve"> will allow the second dose to act as a true booster to increase immunogenicity and was associated in </w:t>
      </w:r>
      <w:r w:rsidRPr="00446BCE">
        <w:rPr>
          <w:i/>
        </w:rPr>
        <w:t>post-hoc</w:t>
      </w:r>
      <w:r>
        <w:t xml:space="preserve"> analysis with a trend toward higher vaccine efficacy following the second dose (see also Question 4).</w:t>
      </w:r>
    </w:p>
    <w:p w14:paraId="19E66A98" w14:textId="4EC93E81" w:rsidR="00D515FF" w:rsidRPr="00D515FF" w:rsidRDefault="00D515FF" w:rsidP="00D515FF">
      <w:pPr>
        <w:pStyle w:val="Numberbullet0"/>
        <w:rPr>
          <w:b/>
          <w:i/>
        </w:rPr>
      </w:pPr>
      <w:r w:rsidRPr="00D515FF">
        <w:rPr>
          <w:b/>
          <w:i/>
        </w:rPr>
        <w:t>The dosing interval proposed</w:t>
      </w:r>
      <w:r w:rsidR="00446BCE">
        <w:rPr>
          <w:b/>
          <w:i/>
        </w:rPr>
        <w:t xml:space="preserve"> by the sponsor is 4 to </w:t>
      </w:r>
      <w:r w:rsidRPr="00D515FF">
        <w:rPr>
          <w:b/>
          <w:i/>
        </w:rPr>
        <w:t>12 weeks. From a regulatory perspective, this is satisfactory. Should information about efficacy of a single dose or efficacy by stratified dosing interval be included in the PI?</w:t>
      </w:r>
    </w:p>
    <w:p w14:paraId="3793F9FF" w14:textId="3E711C98" w:rsidR="00D515FF" w:rsidRDefault="00D515FF" w:rsidP="00D515FF">
      <w:r>
        <w:t>The ACV supported the provision of relevant information in a brief statement, noting that there are challenges in interpreting data and varying statistical robustness within the interim dataset.</w:t>
      </w:r>
    </w:p>
    <w:p w14:paraId="42EA8EFE" w14:textId="0BA692DE" w:rsidR="00D515FF" w:rsidRDefault="00D515FF" w:rsidP="00D515FF">
      <w:r>
        <w:t>Information on variation in dose interval should not detract from the key message of the importance of the second dose.</w:t>
      </w:r>
    </w:p>
    <w:p w14:paraId="09804D14" w14:textId="74785C86" w:rsidR="00D515FF" w:rsidRDefault="00D515FF" w:rsidP="00D515FF">
      <w:r>
        <w:t xml:space="preserve">The ACV acknowledged that a longer interval (around 12 weeks) between doses was associated with a trend towards higher levels of antibody post dose 2 and a possible modest increase in efficacy. However, this was based on </w:t>
      </w:r>
      <w:r w:rsidRPr="00446BCE">
        <w:rPr>
          <w:i/>
        </w:rPr>
        <w:t>post hoc</w:t>
      </w:r>
      <w:r>
        <w:t xml:space="preserve"> secondary subgroup analysis, and confirmatory data may not become available. The ACV also noted that, while again a </w:t>
      </w:r>
      <w:r w:rsidRPr="00446BCE">
        <w:rPr>
          <w:i/>
        </w:rPr>
        <w:t>post-hoc</w:t>
      </w:r>
      <w:r>
        <w:t xml:space="preserve"> analysis, the </w:t>
      </w:r>
      <w:proofErr w:type="gramStart"/>
      <w:r>
        <w:t>short term</w:t>
      </w:r>
      <w:proofErr w:type="gramEnd"/>
      <w:r>
        <w:t xml:space="preserve"> efficacy following one standard dose (prior to receipt of a second dose) was approximately 60%.</w:t>
      </w:r>
    </w:p>
    <w:p w14:paraId="1A19AF6A" w14:textId="6FF4F448" w:rsidR="00D515FF" w:rsidRPr="00D515FF" w:rsidRDefault="00446BCE" w:rsidP="00D515FF">
      <w:pPr>
        <w:pStyle w:val="Numberbullet0"/>
        <w:rPr>
          <w:b/>
          <w:i/>
        </w:rPr>
      </w:pPr>
      <w:r>
        <w:rPr>
          <w:b/>
          <w:i/>
        </w:rPr>
        <w:lastRenderedPageBreak/>
        <w:t>The Pregnancy C</w:t>
      </w:r>
      <w:r w:rsidR="00D515FF" w:rsidRPr="00D515FF">
        <w:rPr>
          <w:b/>
          <w:i/>
        </w:rPr>
        <w:t>ategory is B2.</w:t>
      </w:r>
      <w:r>
        <w:rPr>
          <w:b/>
          <w:i/>
        </w:rPr>
        <w:fldChar w:fldCharType="begin"/>
      </w:r>
      <w:r>
        <w:rPr>
          <w:b/>
          <w:i/>
        </w:rPr>
        <w:instrText xml:space="preserve"> NOTEREF _Ref63172921 \f \h </w:instrText>
      </w:r>
      <w:r>
        <w:rPr>
          <w:b/>
          <w:i/>
        </w:rPr>
      </w:r>
      <w:r>
        <w:rPr>
          <w:b/>
          <w:i/>
        </w:rPr>
        <w:fldChar w:fldCharType="separate"/>
      </w:r>
      <w:r w:rsidR="001D05A6" w:rsidRPr="001D05A6">
        <w:rPr>
          <w:rStyle w:val="FootnoteReference"/>
        </w:rPr>
        <w:t>16</w:t>
      </w:r>
      <w:r>
        <w:rPr>
          <w:b/>
          <w:i/>
        </w:rPr>
        <w:fldChar w:fldCharType="end"/>
      </w:r>
      <w:r w:rsidR="00D515FF" w:rsidRPr="00D515FF">
        <w:rPr>
          <w:b/>
          <w:i/>
        </w:rPr>
        <w:t xml:space="preserve"> Only one study has been performed in mice. Another study is ongoing. No abnormal findings were identified in the completed study. There were a small number of pregnant women exposed in the clinical study, but outcomes of pregnancies are not yet known. Currently the use in pregnancy section states ‘use in pregnancy is not recommended’. Is this adequate? </w:t>
      </w:r>
    </w:p>
    <w:p w14:paraId="666B435B" w14:textId="33988BFA" w:rsidR="00D515FF" w:rsidRDefault="00D515FF" w:rsidP="00D515FF">
      <w:r>
        <w:t xml:space="preserve">The ACV advised that the PI section on Use </w:t>
      </w:r>
      <w:r w:rsidR="00446BCE">
        <w:t>in Pregnancy should also state:</w:t>
      </w:r>
    </w:p>
    <w:p w14:paraId="3C03EFB2" w14:textId="0E4690B0" w:rsidR="00D515FF" w:rsidRDefault="00D515FF" w:rsidP="00D515FF">
      <w:pPr>
        <w:pStyle w:val="ListBullet"/>
      </w:pPr>
      <w:r>
        <w:t>use in pregnancy is not routinely recommended, due to the lack of data and as a precautionary measure</w:t>
      </w:r>
    </w:p>
    <w:p w14:paraId="7E0F603E" w14:textId="6C6745CB" w:rsidR="00D515FF" w:rsidRDefault="00D515FF" w:rsidP="00D515FF">
      <w:pPr>
        <w:pStyle w:val="ListBullet"/>
      </w:pPr>
      <w:r>
        <w:t>use of the vaccine is not contraindicated</w:t>
      </w:r>
    </w:p>
    <w:p w14:paraId="35F64A52" w14:textId="3431AFE6" w:rsidR="00D515FF" w:rsidRDefault="00D515FF" w:rsidP="00D515FF">
      <w:pPr>
        <w:pStyle w:val="ListBullet"/>
      </w:pPr>
      <w:r>
        <w:t>as a replication deficient viral vaccine, pregnant women may choose to receive this vaccine in consultation with their antenatal clinician if they are at increased risk of the disease.</w:t>
      </w:r>
    </w:p>
    <w:p w14:paraId="7147225A" w14:textId="15DDF0B8" w:rsidR="00D515FF" w:rsidRDefault="00D515FF" w:rsidP="00D515FF">
      <w:r>
        <w:t xml:space="preserve">The ACV recommended the sponsor </w:t>
      </w:r>
      <w:proofErr w:type="gramStart"/>
      <w:r>
        <w:t>give consideration to</w:t>
      </w:r>
      <w:proofErr w:type="gramEnd"/>
      <w:r>
        <w:t xml:space="preserve"> the inclusion of Australian women in the pregnancy registry.</w:t>
      </w:r>
    </w:p>
    <w:p w14:paraId="50FDD061" w14:textId="3E95AC63" w:rsidR="00D515FF" w:rsidRPr="00D515FF" w:rsidRDefault="00D515FF" w:rsidP="00D515FF">
      <w:pPr>
        <w:pStyle w:val="Numberbullet0"/>
        <w:rPr>
          <w:b/>
          <w:i/>
        </w:rPr>
      </w:pPr>
      <w:r w:rsidRPr="00D515FF">
        <w:rPr>
          <w:b/>
          <w:i/>
        </w:rPr>
        <w:t xml:space="preserve">The committee is also requested to provide advice on any other issues that it thinks may be relevant to a decision on </w:t>
      </w:r>
      <w:proofErr w:type="gramStart"/>
      <w:r w:rsidRPr="00D515FF">
        <w:rPr>
          <w:b/>
          <w:i/>
        </w:rPr>
        <w:t>whether or not</w:t>
      </w:r>
      <w:proofErr w:type="gramEnd"/>
      <w:r w:rsidRPr="00D515FF">
        <w:rPr>
          <w:b/>
          <w:i/>
        </w:rPr>
        <w:t xml:space="preserve"> to approve this application.</w:t>
      </w:r>
    </w:p>
    <w:p w14:paraId="342FF27B" w14:textId="6A9195A7" w:rsidR="00D515FF" w:rsidRDefault="00D515FF" w:rsidP="00D515FF">
      <w:r>
        <w:t>The ACV advised that sufficient and appropriate information should be provided to clinicians and patients to allow decision making on benefit and risks, given current uncertainties.</w:t>
      </w:r>
    </w:p>
    <w:p w14:paraId="3CE66108" w14:textId="563836AF" w:rsidR="00D515FF" w:rsidRDefault="00D515FF" w:rsidP="00D515FF">
      <w:r>
        <w:t xml:space="preserve">The risks of vaccination to a </w:t>
      </w:r>
      <w:proofErr w:type="gramStart"/>
      <w:r>
        <w:t>breastfeeding women</w:t>
      </w:r>
      <w:proofErr w:type="gramEnd"/>
      <w:r>
        <w:t xml:space="preserve"> appeared minimal. Breastfeeding women can be offered vaccination if</w:t>
      </w:r>
      <w:r w:rsidR="00446BCE">
        <w:t xml:space="preserve"> they are at increased risk for example,</w:t>
      </w:r>
      <w:r>
        <w:t xml:space="preserve"> healthcare workers.</w:t>
      </w:r>
    </w:p>
    <w:p w14:paraId="4EBE2B7F" w14:textId="7616603A" w:rsidR="00D515FF" w:rsidRDefault="00D515FF" w:rsidP="00D515FF">
      <w:r>
        <w:t xml:space="preserve">The ACV recommended the sponsor </w:t>
      </w:r>
      <w:proofErr w:type="gramStart"/>
      <w:r>
        <w:t>give consideration to</w:t>
      </w:r>
      <w:proofErr w:type="gramEnd"/>
      <w:r>
        <w:t xml:space="preserve"> a co-administration study with 2021 Southern Hemisphere influenza vaccines.</w:t>
      </w:r>
    </w:p>
    <w:p w14:paraId="70977A9B" w14:textId="20FF121B" w:rsidR="00D515FF" w:rsidRDefault="00D515FF" w:rsidP="00D515FF">
      <w:r>
        <w:t>The ACV advised vaccination errors should be monitored in post-market surveillance.</w:t>
      </w:r>
    </w:p>
    <w:p w14:paraId="687958B4" w14:textId="7E47737B" w:rsidR="00D515FF" w:rsidRPr="00D515FF" w:rsidRDefault="00D515FF" w:rsidP="00D515FF">
      <w:r>
        <w:t>The PI will be an important source of information. ATAGI and other bodies will also be developing information.</w:t>
      </w:r>
    </w:p>
    <w:p w14:paraId="606A6EDB" w14:textId="77777777" w:rsidR="00744121" w:rsidRDefault="00744121" w:rsidP="00744121">
      <w:pPr>
        <w:pStyle w:val="Heading5"/>
      </w:pPr>
      <w:r>
        <w:t>Conclusion</w:t>
      </w:r>
    </w:p>
    <w:p w14:paraId="08846BC1" w14:textId="3F6B845B" w:rsidR="00D515FF" w:rsidRDefault="00D515FF" w:rsidP="00D515FF">
      <w:r>
        <w:t>The ACV considered COVID-19 vaccine AstraZeneca to have an overall positive benefit-risk profile, and therefore support provisional approval for the following:</w:t>
      </w:r>
    </w:p>
    <w:p w14:paraId="5B268D33" w14:textId="0148B11F" w:rsidR="00D515FF" w:rsidRPr="00D515FF" w:rsidRDefault="00D515FF" w:rsidP="00D515FF">
      <w:pPr>
        <w:ind w:left="720"/>
        <w:rPr>
          <w:i/>
        </w:rPr>
      </w:pPr>
      <w:r w:rsidRPr="00D515FF">
        <w:rPr>
          <w:i/>
        </w:rPr>
        <w:t xml:space="preserve">COVID-19 Vaccine AstraZeneca has </w:t>
      </w:r>
      <w:r w:rsidRPr="00D515FF">
        <w:rPr>
          <w:b/>
          <w:bCs/>
          <w:i/>
        </w:rPr>
        <w:t xml:space="preserve">provisional approval </w:t>
      </w:r>
      <w:r>
        <w:rPr>
          <w:i/>
        </w:rPr>
        <w:t>for the indication:</w:t>
      </w:r>
    </w:p>
    <w:p w14:paraId="7103BF4E" w14:textId="6A567C23" w:rsidR="00D515FF" w:rsidRPr="00D515FF" w:rsidRDefault="00D515FF" w:rsidP="00D515FF">
      <w:pPr>
        <w:ind w:left="1440"/>
        <w:rPr>
          <w:i/>
        </w:rPr>
      </w:pPr>
      <w:r w:rsidRPr="00D515FF">
        <w:rPr>
          <w:i/>
        </w:rPr>
        <w:t xml:space="preserve">Active immunisation of individuals </w:t>
      </w:r>
      <w:r w:rsidR="00E96F97" w:rsidRPr="00E96F97">
        <w:rPr>
          <w:rFonts w:asciiTheme="minorHAnsi" w:eastAsia="TimesNewRoman" w:hAnsiTheme="minorHAnsi" w:cs="TimesNewRoman"/>
          <w:sz w:val="19"/>
          <w:szCs w:val="19"/>
        </w:rPr>
        <w:sym w:font="Symbol" w:char="F0B3"/>
      </w:r>
      <w:r>
        <w:rPr>
          <w:i/>
        </w:rPr>
        <w:t xml:space="preserve"> </w:t>
      </w:r>
      <w:r w:rsidRPr="00D515FF">
        <w:rPr>
          <w:i/>
        </w:rPr>
        <w:t>18 years old for the prevention of coronavirus disease 2019 (</w:t>
      </w:r>
      <w:r>
        <w:rPr>
          <w:i/>
        </w:rPr>
        <w:t>COVID-19) caused by SARS-CoV-2.</w:t>
      </w:r>
    </w:p>
    <w:p w14:paraId="37CF151D" w14:textId="72B0DC56" w:rsidR="00D515FF" w:rsidRPr="00D515FF" w:rsidRDefault="00D515FF" w:rsidP="00D515FF">
      <w:pPr>
        <w:ind w:left="1440"/>
        <w:rPr>
          <w:i/>
        </w:rPr>
      </w:pPr>
      <w:r w:rsidRPr="00D515FF">
        <w:rPr>
          <w:i/>
        </w:rPr>
        <w:t>The use of this vaccine should be in accordance with official recommendatio</w:t>
      </w:r>
      <w:r>
        <w:rPr>
          <w:i/>
        </w:rPr>
        <w:t>ns.</w:t>
      </w:r>
    </w:p>
    <w:p w14:paraId="6E2BB600" w14:textId="1E69C417" w:rsidR="00744121" w:rsidRPr="00D515FF" w:rsidRDefault="00D515FF" w:rsidP="00D515FF">
      <w:pPr>
        <w:ind w:left="720"/>
        <w:rPr>
          <w:i/>
        </w:rPr>
      </w:pPr>
      <w:r w:rsidRPr="00D515FF">
        <w:rPr>
          <w:i/>
        </w:rPr>
        <w:t xml:space="preserve">The decision has been made on the basis of </w:t>
      </w:r>
      <w:proofErr w:type="gramStart"/>
      <w:r w:rsidRPr="00D515FF">
        <w:rPr>
          <w:i/>
        </w:rPr>
        <w:t>short term</w:t>
      </w:r>
      <w:proofErr w:type="gramEnd"/>
      <w:r w:rsidRPr="00D515FF">
        <w:rPr>
          <w:i/>
        </w:rPr>
        <w:t xml:space="preserve"> efficacy and safety data. Continued approval is dependent upon the evidence of longer-term efficacy and safety from ongoing clinical trials and post-market assessment.</w:t>
      </w:r>
    </w:p>
    <w:p w14:paraId="1DF2142A" w14:textId="77777777" w:rsidR="008E7846" w:rsidRPr="00817D33" w:rsidRDefault="008E7846" w:rsidP="001D05A6">
      <w:pPr>
        <w:pStyle w:val="Heading3"/>
      </w:pPr>
      <w:bookmarkStart w:id="64" w:name="_Toc64365650"/>
      <w:r w:rsidRPr="00817D33">
        <w:lastRenderedPageBreak/>
        <w:t>Outcome</w:t>
      </w:r>
      <w:bookmarkEnd w:id="62"/>
      <w:bookmarkEnd w:id="63"/>
      <w:bookmarkEnd w:id="64"/>
    </w:p>
    <w:p w14:paraId="1CB0E157" w14:textId="247E46D3" w:rsidR="00744121" w:rsidRDefault="008C6F0A" w:rsidP="001D05A6">
      <w:pPr>
        <w:keepNext/>
      </w:pPr>
      <w:bookmarkStart w:id="65" w:name="_Toc247691533"/>
      <w:bookmarkStart w:id="66" w:name="_Toc314842517"/>
      <w:r>
        <w:t xml:space="preserve">Based on a review of quality, </w:t>
      </w:r>
      <w:proofErr w:type="gramStart"/>
      <w:r>
        <w:t>safety</w:t>
      </w:r>
      <w:proofErr w:type="gramEnd"/>
      <w:r>
        <w:t xml:space="preserve"> and efficacy, the TGA approved the registration of </w:t>
      </w:r>
      <w:r w:rsidRPr="00D84D93">
        <w:t>COVID-19 Vaccine AstraZeneca</w:t>
      </w:r>
      <w:r w:rsidRPr="00250271">
        <w:t xml:space="preserve"> (</w:t>
      </w:r>
      <w:r w:rsidRPr="00DE7972">
        <w:t>ChAdOx1-S</w:t>
      </w:r>
      <w:r w:rsidRPr="00250271">
        <w:t xml:space="preserve">) </w:t>
      </w:r>
      <w:r>
        <w:t>1 x</w:t>
      </w:r>
      <w:r w:rsidRPr="00D84D93">
        <w:t xml:space="preserve"> 10</w:t>
      </w:r>
      <w:r w:rsidRPr="00D84D93">
        <w:rPr>
          <w:vertAlign w:val="superscript"/>
        </w:rPr>
        <w:t>11</w:t>
      </w:r>
      <w:r>
        <w:t xml:space="preserve"> viral particles (</w:t>
      </w:r>
      <w:proofErr w:type="spellStart"/>
      <w:r>
        <w:t>vp</w:t>
      </w:r>
      <w:proofErr w:type="spellEnd"/>
      <w:r>
        <w:t>)/mL</w:t>
      </w:r>
      <w:r w:rsidRPr="00250271">
        <w:t xml:space="preserve"> </w:t>
      </w:r>
      <w:r>
        <w:t>solution for injection multi dose vial, indicated for:</w:t>
      </w:r>
    </w:p>
    <w:p w14:paraId="3AFEB3C6" w14:textId="77777777" w:rsidR="00A97894" w:rsidRPr="00D178CE" w:rsidRDefault="00A97894" w:rsidP="001D05A6">
      <w:pPr>
        <w:keepNext/>
        <w:ind w:left="720"/>
        <w:rPr>
          <w:i/>
        </w:rPr>
      </w:pPr>
      <w:r w:rsidRPr="00D178CE">
        <w:rPr>
          <w:i/>
        </w:rPr>
        <w:t xml:space="preserve">COVID-19 Vaccine AstraZeneca has </w:t>
      </w:r>
      <w:r w:rsidRPr="00A97894">
        <w:rPr>
          <w:i/>
        </w:rPr>
        <w:t>provisional approval</w:t>
      </w:r>
      <w:r w:rsidRPr="00D178CE">
        <w:rPr>
          <w:i/>
        </w:rPr>
        <w:t xml:space="preserve"> for the indication:</w:t>
      </w:r>
    </w:p>
    <w:p w14:paraId="584397DB" w14:textId="4F54DEB9" w:rsidR="00A97894" w:rsidRPr="00D178CE" w:rsidRDefault="00A97894" w:rsidP="001D05A6">
      <w:pPr>
        <w:keepNext/>
        <w:ind w:left="1440"/>
        <w:rPr>
          <w:i/>
        </w:rPr>
      </w:pPr>
      <w:r w:rsidRPr="00D178CE">
        <w:rPr>
          <w:i/>
        </w:rPr>
        <w:t xml:space="preserve">Active immunisation of individuals </w:t>
      </w:r>
      <w:r w:rsidR="00E96F97" w:rsidRPr="00E96F97">
        <w:rPr>
          <w:rFonts w:asciiTheme="minorHAnsi" w:eastAsia="TimesNewRoman" w:hAnsiTheme="minorHAnsi" w:cs="TimesNewRoman"/>
          <w:sz w:val="19"/>
          <w:szCs w:val="19"/>
        </w:rPr>
        <w:sym w:font="Symbol" w:char="F0B3"/>
      </w:r>
      <w:r>
        <w:rPr>
          <w:i/>
        </w:rPr>
        <w:t xml:space="preserve"> </w:t>
      </w:r>
      <w:r w:rsidRPr="00D178CE">
        <w:rPr>
          <w:i/>
        </w:rPr>
        <w:t>18 years old for the prevention of coronavirus disease 2019 (COVID-19) caused by SARS-CoV-2.</w:t>
      </w:r>
    </w:p>
    <w:p w14:paraId="3425A019" w14:textId="77777777" w:rsidR="00A97894" w:rsidRPr="00D178CE" w:rsidRDefault="00A97894" w:rsidP="001D05A6">
      <w:pPr>
        <w:keepNext/>
        <w:ind w:left="1440"/>
        <w:rPr>
          <w:i/>
        </w:rPr>
      </w:pPr>
      <w:r w:rsidRPr="00D178CE">
        <w:rPr>
          <w:i/>
        </w:rPr>
        <w:t>The use of this vaccine should be in accordance with official recommendations.</w:t>
      </w:r>
    </w:p>
    <w:p w14:paraId="1B6FD6C2" w14:textId="227BBC5F" w:rsidR="008C6F0A" w:rsidRPr="008C6F0A" w:rsidRDefault="00A97894" w:rsidP="001D05A6">
      <w:pPr>
        <w:keepNext/>
        <w:ind w:left="720"/>
        <w:rPr>
          <w:highlight w:val="yellow"/>
        </w:rPr>
      </w:pPr>
      <w:r w:rsidRPr="00D178CE">
        <w:rPr>
          <w:i/>
        </w:rPr>
        <w:t xml:space="preserve">The decision has been made on the basis of </w:t>
      </w:r>
      <w:proofErr w:type="gramStart"/>
      <w:r w:rsidRPr="00D178CE">
        <w:rPr>
          <w:i/>
        </w:rPr>
        <w:t>short term</w:t>
      </w:r>
      <w:proofErr w:type="gramEnd"/>
      <w:r w:rsidRPr="00D178CE">
        <w:rPr>
          <w:i/>
        </w:rPr>
        <w:t xml:space="preserve"> efficacy and safety data. Continued approval is dependent upon the evidence of longer-term efficacy and safety from ongoing clinical trials and post-market assessment.</w:t>
      </w:r>
    </w:p>
    <w:p w14:paraId="284B4056" w14:textId="77777777" w:rsidR="00D23139" w:rsidRPr="00D23139" w:rsidRDefault="00D23139" w:rsidP="00D23139">
      <w:pPr>
        <w:pStyle w:val="Heading4"/>
      </w:pPr>
      <w:r w:rsidRPr="00A97894">
        <w:t>Specific conditions of registration applying to these goods</w:t>
      </w:r>
    </w:p>
    <w:p w14:paraId="0801E276" w14:textId="2086CCDF" w:rsidR="00A97894" w:rsidRDefault="00A97894" w:rsidP="00A97894">
      <w:pPr>
        <w:pStyle w:val="ListBullet"/>
      </w:pPr>
      <w:r>
        <w:t>COVID-19 Vaccine AstraZeneca is to be included in the Black Triangle Scheme. The PI and CMI for COVID-19 Vaccine AstraZeneca must include the black triangle symbol and mandatory accompanying text for the products entire period of provisional registration.</w:t>
      </w:r>
    </w:p>
    <w:p w14:paraId="2DCBF142" w14:textId="1738EE3C" w:rsidR="00A97894" w:rsidRDefault="00A97894" w:rsidP="00A97894">
      <w:pPr>
        <w:pStyle w:val="ListBullet"/>
      </w:pPr>
      <w:r>
        <w:t>The COVID-19 Vaccine AstraZeneca EU-</w:t>
      </w:r>
      <w:r w:rsidR="00817D33">
        <w:t>RMP</w:t>
      </w:r>
      <w:r>
        <w:t xml:space="preserve"> (Version 1.0 </w:t>
      </w:r>
      <w:r w:rsidR="00817D33">
        <w:t>Succession 5, dated 2 </w:t>
      </w:r>
      <w:r>
        <w:t xml:space="preserve">February 2021, data lock point 4 November 2020), with Australian Specific Annex (Version 1.0 Succession 4, dated 4 February 2021), included </w:t>
      </w:r>
      <w:r w:rsidR="00817D33">
        <w:t>with submission PM</w:t>
      </w:r>
      <w:r w:rsidR="00817D33">
        <w:noBreakHyphen/>
      </w:r>
      <w:r>
        <w:t>2020-06115-1-2 and any subsequent revisions, as agreed with the TGA will be implemented in Australia.</w:t>
      </w:r>
    </w:p>
    <w:p w14:paraId="5B723764" w14:textId="302DEA83" w:rsidR="00A97894" w:rsidRDefault="00A97894" w:rsidP="00A97894">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52B0078D" w14:textId="2539ECB6" w:rsidR="00A97894" w:rsidRDefault="00A97894" w:rsidP="00A97894">
      <w:pPr>
        <w:pStyle w:val="ListBullet"/>
        <w:numPr>
          <w:ilvl w:val="0"/>
          <w:numId w:val="0"/>
        </w:numPr>
        <w:ind w:left="360"/>
      </w:pPr>
      <w:r>
        <w:t xml:space="preserve">Unless agreed separately between </w:t>
      </w:r>
      <w:r w:rsidR="00817D33">
        <w:t>the s</w:t>
      </w:r>
      <w:r>
        <w:t xml:space="preserve">ponsor and the TGA, the first report must be submitted to TGA no later than six calendar months </w:t>
      </w:r>
      <w:r w:rsidR="00817D33">
        <w:t>after the date of the</w:t>
      </w:r>
      <w:r>
        <w:t xml:space="preserve"> approval letter. The subsequent reports must be submitted no less frequently than six </w:t>
      </w:r>
      <w:proofErr w:type="gramStart"/>
      <w:r>
        <w:t>monthly</w:t>
      </w:r>
      <w:proofErr w:type="gramEnd"/>
      <w:r>
        <w:t xml:space="preserve"> until the period covered by such reports is not less than three years from the date of the approval letter, or the entire period of provisional registration, whichever is longer.</w:t>
      </w:r>
    </w:p>
    <w:p w14:paraId="50996C6A" w14:textId="35FE86E3" w:rsidR="00A97894" w:rsidRDefault="00A97894" w:rsidP="00A97894">
      <w:pPr>
        <w:pStyle w:val="ListBullet"/>
        <w:numPr>
          <w:ilvl w:val="0"/>
          <w:numId w:val="0"/>
        </w:numPr>
        <w:ind w:left="360"/>
      </w:pPr>
      <w:r>
        <w:t xml:space="preserve">The reports are to at least meet the requirements for PSURs as described in the European Medicines Agency’s Guideline on </w:t>
      </w:r>
      <w:r w:rsidR="00817D33">
        <w:t xml:space="preserve">Good Pharmacovigilance Practices </w:t>
      </w:r>
      <w:r>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32381511" w14:textId="2E213AFF" w:rsidR="00456765" w:rsidRDefault="00A97894" w:rsidP="00A97894">
      <w:pPr>
        <w:pStyle w:val="ListBullet"/>
      </w:pPr>
      <w:r>
        <w:t>Additional to the routine submission of the routine PSURs, expedited monthly, safety summary reports (including safety data for patients in Australia) are to be provided for the first 6 months post registration, and thereafter at intervals specified by the TGA.</w:t>
      </w:r>
    </w:p>
    <w:p w14:paraId="1ECD901D" w14:textId="5CD907A8" w:rsidR="00817D33" w:rsidRDefault="00817D33" w:rsidP="00A97894">
      <w:pPr>
        <w:pStyle w:val="ListBullet"/>
      </w:pPr>
      <w:r>
        <w:t>Clinical</w:t>
      </w:r>
    </w:p>
    <w:p w14:paraId="4900423B" w14:textId="23E4E262" w:rsidR="00A97894" w:rsidRDefault="00A97894" w:rsidP="00817D33">
      <w:pPr>
        <w:pStyle w:val="ListBullet2"/>
      </w:pPr>
      <w:r>
        <w:t xml:space="preserve">The sponsor </w:t>
      </w:r>
      <w:proofErr w:type="gramStart"/>
      <w:r>
        <w:t>pro</w:t>
      </w:r>
      <w:r w:rsidR="00817D33">
        <w:t>vide</w:t>
      </w:r>
      <w:proofErr w:type="gramEnd"/>
      <w:r w:rsidR="00817D33">
        <w:t xml:space="preserve"> the full study reports of S</w:t>
      </w:r>
      <w:r>
        <w:t xml:space="preserve">tudies COV001, COV002, COV003 and COV005 when available in 2022 as a Category 1 Type J or Type </w:t>
      </w:r>
      <w:proofErr w:type="spellStart"/>
      <w:r>
        <w:t>F</w:t>
      </w:r>
      <w:proofErr w:type="spellEnd"/>
      <w:r>
        <w:t xml:space="preserve"> application.</w:t>
      </w:r>
    </w:p>
    <w:p w14:paraId="5966BF1A" w14:textId="31B46CC2" w:rsidR="00A97894" w:rsidRDefault="00A97894" w:rsidP="00817D33">
      <w:pPr>
        <w:pStyle w:val="ListBullet2"/>
      </w:pPr>
      <w:r>
        <w:t xml:space="preserve">The sponsor should provide the interim data from </w:t>
      </w:r>
      <w:r w:rsidR="00817D33">
        <w:t xml:space="preserve">Study </w:t>
      </w:r>
      <w:r>
        <w:t xml:space="preserve">D811C00001 when available to provide further evidence in support of efficacy, safety, use in the </w:t>
      </w:r>
      <w:r>
        <w:lastRenderedPageBreak/>
        <w:t xml:space="preserve">elderly, and use with co-morbidities. This would be a Category 1 Type J or Type </w:t>
      </w:r>
      <w:proofErr w:type="spellStart"/>
      <w:r>
        <w:t>F</w:t>
      </w:r>
      <w:proofErr w:type="spellEnd"/>
      <w:r>
        <w:t xml:space="preserve"> application, depending upon the PI changes proposed.</w:t>
      </w:r>
    </w:p>
    <w:p w14:paraId="59C99E60" w14:textId="65A16841" w:rsidR="00A97894" w:rsidRDefault="00A97894" w:rsidP="00817D33">
      <w:pPr>
        <w:pStyle w:val="ListBullet2"/>
      </w:pPr>
      <w:r>
        <w:t xml:space="preserve">The sponsor </w:t>
      </w:r>
      <w:proofErr w:type="gramStart"/>
      <w:r>
        <w:t>provide</w:t>
      </w:r>
      <w:proofErr w:type="gramEnd"/>
      <w:r>
        <w:t xml:space="preserve"> updates to the TGA in relation to additional information relevant to efficacy of COVID</w:t>
      </w:r>
      <w:r w:rsidR="00817D33">
        <w:t>-19 Vaccine Astra</w:t>
      </w:r>
      <w:r>
        <w:t>Zeneca against new and emerging variants of COVID-19.</w:t>
      </w:r>
    </w:p>
    <w:p w14:paraId="3935E02C" w14:textId="03696AC0" w:rsidR="00A97894" w:rsidRDefault="00A97894" w:rsidP="00817D33">
      <w:pPr>
        <w:pStyle w:val="ListBullet2"/>
      </w:pPr>
      <w:r>
        <w:t xml:space="preserve">The sponsor </w:t>
      </w:r>
      <w:proofErr w:type="gramStart"/>
      <w:r>
        <w:t>provide</w:t>
      </w:r>
      <w:proofErr w:type="gramEnd"/>
      <w:r>
        <w:t xml:space="preserve"> further information to the TGA in relation to use of the COVID-19 vaccine with influenza vaccines when available.</w:t>
      </w:r>
    </w:p>
    <w:p w14:paraId="4BE11AD4" w14:textId="0FCD4442" w:rsidR="00A97894" w:rsidRDefault="00A97894" w:rsidP="00817D33">
      <w:pPr>
        <w:pStyle w:val="ListBullet2"/>
      </w:pPr>
      <w:r>
        <w:t>The sponsor to provide the TGA with updates of the studies in the pharmacovigilance plan in relation to the safety of the vaccine in pregnancy, the elderly, the immunosuppressed and those with co-morbidities with the PSUR every 6 months.</w:t>
      </w:r>
    </w:p>
    <w:p w14:paraId="484C4503" w14:textId="7277B7CD" w:rsidR="00A97894" w:rsidRDefault="00A97894" w:rsidP="00A97894">
      <w:pPr>
        <w:pStyle w:val="ListBullet"/>
      </w:pPr>
      <w:r>
        <w:t>Nonclinical</w:t>
      </w:r>
    </w:p>
    <w:p w14:paraId="522270E4" w14:textId="2D33B0FE" w:rsidR="00A97894" w:rsidRDefault="00A97894" w:rsidP="00A97894">
      <w:pPr>
        <w:pStyle w:val="ListBullet"/>
        <w:numPr>
          <w:ilvl w:val="0"/>
          <w:numId w:val="0"/>
        </w:numPr>
        <w:ind w:left="360"/>
      </w:pPr>
      <w:r>
        <w:t>The sponsor should submit the following studies for review by the TGA when they are available. The submission type would be a Category</w:t>
      </w:r>
      <w:r w:rsidR="00817D33">
        <w:t xml:space="preserve"> 1 T</w:t>
      </w:r>
      <w:r>
        <w:t xml:space="preserve">ype H were no update to the PI is </w:t>
      </w:r>
      <w:r w:rsidR="00817D33">
        <w:t>required, or Category 1 T</w:t>
      </w:r>
      <w:r>
        <w:t>ype J where an update to the PI is required.</w:t>
      </w:r>
    </w:p>
    <w:p w14:paraId="0E51BC8A" w14:textId="7265B883" w:rsidR="00A97894" w:rsidRDefault="00A97894" w:rsidP="00A97894">
      <w:pPr>
        <w:pStyle w:val="ListBullet2"/>
      </w:pPr>
      <w:r>
        <w:t>Biodistribution study</w:t>
      </w:r>
    </w:p>
    <w:p w14:paraId="50C03F03" w14:textId="5BC5829B" w:rsidR="00A97894" w:rsidRDefault="00A97894" w:rsidP="00A97894">
      <w:pPr>
        <w:pStyle w:val="ListBullet2"/>
      </w:pPr>
      <w:r>
        <w:t>Developmental and reproductive toxicity final report</w:t>
      </w:r>
    </w:p>
    <w:p w14:paraId="60F650D1" w14:textId="7B75A801" w:rsidR="00A97894" w:rsidRDefault="00A97894" w:rsidP="00A97894">
      <w:pPr>
        <w:pStyle w:val="ListBullet"/>
      </w:pPr>
      <w:r>
        <w:t>Medicine labels</w:t>
      </w:r>
    </w:p>
    <w:p w14:paraId="127FD3FF" w14:textId="7CE7BACD" w:rsidR="00A97894" w:rsidRDefault="00A97894" w:rsidP="00A97894">
      <w:pPr>
        <w:pStyle w:val="ListBullet"/>
        <w:numPr>
          <w:ilvl w:val="0"/>
          <w:numId w:val="0"/>
        </w:numPr>
        <w:ind w:left="360"/>
      </w:pPr>
      <w:r>
        <w:t>Unless otherwise agreed to by the Secretary following an application under section 9D of the Act, the product must only be supplied with the following labels:</w:t>
      </w:r>
    </w:p>
    <w:p w14:paraId="604FB619" w14:textId="0D8DB01C" w:rsidR="00A97894" w:rsidRDefault="00A97894" w:rsidP="00A97894">
      <w:pPr>
        <w:pStyle w:val="ListBullet2"/>
      </w:pPr>
      <w:r>
        <w:t>the international label, referred to here as the ‘EU labels’ for 10 doses per vial as follows:</w:t>
      </w:r>
    </w:p>
    <w:p w14:paraId="6D09C9A7" w14:textId="40F6B942" w:rsidR="00A97894" w:rsidRDefault="00A97894" w:rsidP="00A97894">
      <w:pPr>
        <w:pStyle w:val="ListBullet3"/>
      </w:pPr>
      <w:r>
        <w:t xml:space="preserve">EU </w:t>
      </w:r>
      <w:proofErr w:type="spellStart"/>
      <w:r>
        <w:t>Anangi</w:t>
      </w:r>
      <w:proofErr w:type="spellEnd"/>
      <w:r>
        <w:t xml:space="preserve"> carton label</w:t>
      </w:r>
    </w:p>
    <w:p w14:paraId="2B89ED14" w14:textId="3EE5ADFE" w:rsidR="00A97894" w:rsidRDefault="00A97894" w:rsidP="00A97894">
      <w:pPr>
        <w:pStyle w:val="ListBullet3"/>
      </w:pPr>
      <w:r>
        <w:t xml:space="preserve">EU </w:t>
      </w:r>
      <w:proofErr w:type="spellStart"/>
      <w:r>
        <w:t>Anangi</w:t>
      </w:r>
      <w:proofErr w:type="spellEnd"/>
      <w:r>
        <w:t xml:space="preserve"> vial label</w:t>
      </w:r>
    </w:p>
    <w:p w14:paraId="6558D0D6" w14:textId="272431B0" w:rsidR="00A97894" w:rsidRDefault="00A97894" w:rsidP="00A97894">
      <w:pPr>
        <w:pStyle w:val="ListBullet3"/>
      </w:pPr>
      <w:r>
        <w:t>EU Catalent Stickers</w:t>
      </w:r>
    </w:p>
    <w:p w14:paraId="43305471" w14:textId="3AC6349D" w:rsidR="00A97894" w:rsidRDefault="00A97894" w:rsidP="00A97894">
      <w:pPr>
        <w:pStyle w:val="ListBullet"/>
        <w:numPr>
          <w:ilvl w:val="0"/>
          <w:numId w:val="0"/>
        </w:numPr>
        <w:ind w:left="360"/>
      </w:pPr>
      <w:r>
        <w:t>The sponsor will develop Australian-specific labels for the product, that conform with all relevant Australian labelling requirements, and will take all reasonable steps to implement such labelling before the end of the provisional registration period referred to in subsection 29(3) of the Act (being the period of 2 years starting on the day specified in the ARTG certificate of registration) (noting that, consistent with paragraph 28(5)(</w:t>
      </w:r>
      <w:proofErr w:type="spellStart"/>
      <w:r>
        <w:t>aaa</w:t>
      </w:r>
      <w:proofErr w:type="spellEnd"/>
      <w:r>
        <w:t>) of the Act, changes to such matters as labels that have been agreed to as part of an evaluation under section 25 of the Act may only occur following submission under section 9D of a 'variation' application and approval by the TGA).</w:t>
      </w:r>
    </w:p>
    <w:p w14:paraId="7298EC7E" w14:textId="77777777" w:rsidR="00A97894" w:rsidRPr="004E6A3A" w:rsidRDefault="00A97894" w:rsidP="00A97894">
      <w:pPr>
        <w:pStyle w:val="ListBullet"/>
        <w:numPr>
          <w:ilvl w:val="0"/>
          <w:numId w:val="3"/>
        </w:numPr>
      </w:pPr>
      <w:r w:rsidRPr="004E6A3A">
        <w:t>Batch release testing and compliance</w:t>
      </w:r>
    </w:p>
    <w:p w14:paraId="6FB5A382" w14:textId="77777777" w:rsidR="00A97894" w:rsidRPr="004E6A3A" w:rsidRDefault="00A97894" w:rsidP="00A97894">
      <w:pPr>
        <w:pStyle w:val="ListBullet"/>
        <w:numPr>
          <w:ilvl w:val="0"/>
          <w:numId w:val="0"/>
        </w:numPr>
        <w:ind w:left="360"/>
      </w:pPr>
      <w:r w:rsidRPr="004E6A3A">
        <w:t xml:space="preserve">It is a condition of registration that all independent batches of </w:t>
      </w:r>
      <w:r w:rsidRPr="004E6A3A">
        <w:rPr>
          <w:bCs/>
        </w:rPr>
        <w:t xml:space="preserve">COVID-19 Vaccine AstraZeneca (ChAdOx1-S) </w:t>
      </w:r>
      <w:r w:rsidRPr="004E6A3A">
        <w:rPr>
          <w:rFonts w:eastAsiaTheme="minorHAnsi" w:cs="Helv"/>
        </w:rPr>
        <w:t>vaccine</w:t>
      </w:r>
      <w:r w:rsidRPr="004E6A3A">
        <w:rPr>
          <w:bCs/>
        </w:rPr>
        <w:t xml:space="preserve"> </w:t>
      </w:r>
      <w:r w:rsidRPr="004E6A3A">
        <w:t>imported into Australia are not supplied for distr</w:t>
      </w:r>
      <w:r>
        <w:t>ibution by or on behalf of the s</w:t>
      </w:r>
      <w:r w:rsidRPr="004E6A3A">
        <w:t xml:space="preserve">ponsor until samples and the manufacturer’s release data have been assessed and </w:t>
      </w:r>
      <w:r>
        <w:t xml:space="preserve">the sponsor </w:t>
      </w:r>
      <w:r w:rsidRPr="004E6A3A">
        <w:t>ha</w:t>
      </w:r>
      <w:r>
        <w:t>s</w:t>
      </w:r>
      <w:r w:rsidRPr="004E6A3A">
        <w:t xml:space="preserve"> received notification acknowledging release from the Laboratories Branch, TGA.</w:t>
      </w:r>
    </w:p>
    <w:p w14:paraId="264EABFD" w14:textId="77777777" w:rsidR="00A97894" w:rsidRPr="004E6A3A" w:rsidRDefault="00A97894" w:rsidP="00A97894">
      <w:pPr>
        <w:pStyle w:val="ListBullet"/>
        <w:numPr>
          <w:ilvl w:val="0"/>
          <w:numId w:val="0"/>
        </w:numPr>
        <w:ind w:left="360"/>
      </w:pPr>
      <w:r w:rsidRPr="004E6A3A">
        <w:t>For each independent batch of the produc</w:t>
      </w:r>
      <w:r>
        <w:t>t imported into Australia, the s</w:t>
      </w:r>
      <w:r w:rsidRPr="004E6A3A">
        <w:t>ponsor must supply the following:</w:t>
      </w:r>
    </w:p>
    <w:p w14:paraId="3328C2D5" w14:textId="234C526A" w:rsidR="00A97894" w:rsidRPr="004E6A3A" w:rsidRDefault="00A97894" w:rsidP="00A97894">
      <w:pPr>
        <w:pStyle w:val="ListBullet2"/>
        <w:numPr>
          <w:ilvl w:val="1"/>
          <w:numId w:val="3"/>
        </w:numPr>
      </w:pPr>
      <w:r w:rsidRPr="004E6A3A">
        <w:t xml:space="preserve">A completed Request for Release Form, available from </w:t>
      </w:r>
      <w:hyperlink r:id="rId30" w:history="1">
        <w:r w:rsidRPr="005229E6">
          <w:rPr>
            <w:rStyle w:val="Hyperlink"/>
          </w:rPr>
          <w:t>vaccines@health.gov.au</w:t>
        </w:r>
      </w:hyperlink>
      <w:r w:rsidRPr="005229E6">
        <w:t>.</w:t>
      </w:r>
    </w:p>
    <w:p w14:paraId="3DC72884" w14:textId="77777777" w:rsidR="00A97894" w:rsidRPr="004E6A3A" w:rsidRDefault="00A97894" w:rsidP="00A97894">
      <w:pPr>
        <w:pStyle w:val="ListBullet2"/>
        <w:numPr>
          <w:ilvl w:val="1"/>
          <w:numId w:val="3"/>
        </w:numPr>
      </w:pPr>
      <w:r w:rsidRPr="004E6A3A">
        <w:t xml:space="preserve">Complete summary protocols for manufacture and </w:t>
      </w:r>
      <w:r>
        <w:t>quality control (</w:t>
      </w:r>
      <w:r w:rsidRPr="004E6A3A">
        <w:t>QC</w:t>
      </w:r>
      <w:r>
        <w:t>)</w:t>
      </w:r>
      <w:r w:rsidRPr="004E6A3A">
        <w:t>, including all steps in production in the agreed format.</w:t>
      </w:r>
    </w:p>
    <w:p w14:paraId="1C6A2034" w14:textId="77777777" w:rsidR="00A97894" w:rsidRPr="004E6A3A" w:rsidRDefault="00A97894" w:rsidP="00A97894">
      <w:pPr>
        <w:pStyle w:val="ListBullet2"/>
        <w:numPr>
          <w:ilvl w:val="1"/>
          <w:numId w:val="3"/>
        </w:numPr>
      </w:pPr>
      <w:r>
        <w:lastRenderedPageBreak/>
        <w:t>At least 10 (ten) vials (s</w:t>
      </w:r>
      <w:r w:rsidRPr="004E6A3A">
        <w:t xml:space="preserve">amples) of each manufacturing batch of </w:t>
      </w:r>
      <w:r w:rsidRPr="004E6A3A">
        <w:rPr>
          <w:bCs/>
        </w:rPr>
        <w:t xml:space="preserve">COVID-19 Vaccine AstraZeneca (ChAdOx1-S) </w:t>
      </w:r>
      <w:r w:rsidRPr="004E6A3A">
        <w:t>with the Australian approved labels, PI and packaging (unless an exemption to supply these has been granted) representative of all batches of product seeking distribution in Australia.</w:t>
      </w:r>
    </w:p>
    <w:p w14:paraId="2E6232F9" w14:textId="77777777" w:rsidR="00A97894" w:rsidRPr="004E6A3A" w:rsidRDefault="00A97894" w:rsidP="00A97894">
      <w:pPr>
        <w:pStyle w:val="ListBullet2"/>
        <w:numPr>
          <w:ilvl w:val="1"/>
          <w:numId w:val="3"/>
        </w:numPr>
      </w:pPr>
      <w:r>
        <w:t>At least 5 (five) vials (s</w:t>
      </w:r>
      <w:r w:rsidRPr="004E6A3A">
        <w:t xml:space="preserve">amples) of any further consignments of a manufacturing batch </w:t>
      </w:r>
      <w:r w:rsidRPr="004E6A3A">
        <w:rPr>
          <w:bCs/>
        </w:rPr>
        <w:t>COVID</w:t>
      </w:r>
      <w:r w:rsidRPr="004E6A3A">
        <w:rPr>
          <w:bCs/>
        </w:rPr>
        <w:noBreakHyphen/>
        <w:t xml:space="preserve">19 Vaccine AstraZeneca (ChAdOx1-S) </w:t>
      </w:r>
      <w:r w:rsidRPr="004E6A3A">
        <w:t xml:space="preserve">with the Australian approved labels, </w:t>
      </w:r>
      <w:proofErr w:type="gramStart"/>
      <w:r w:rsidRPr="004E6A3A">
        <w:t>PI</w:t>
      </w:r>
      <w:proofErr w:type="gramEnd"/>
      <w:r w:rsidRPr="004E6A3A">
        <w:t xml:space="preserve"> and packaging (unless an exemption to supply these has been granted). Further consignments cover batches previously supplied to TGA for the purposes of batch release testing but are seeking to be supplied again.</w:t>
      </w:r>
    </w:p>
    <w:p w14:paraId="084A4A42" w14:textId="77777777" w:rsidR="00A97894" w:rsidRPr="004E6A3A" w:rsidRDefault="00A97894" w:rsidP="00A97894">
      <w:pPr>
        <w:pStyle w:val="ListBullet2"/>
        <w:numPr>
          <w:ilvl w:val="1"/>
          <w:numId w:val="3"/>
        </w:numPr>
      </w:pPr>
      <w:r w:rsidRPr="004E6A3A">
        <w:t>If the manufacturing batch has been released in Europe or United Kingdom a copy of the EU Official Control Authority Batch Release (OCABR) certificate (or equivalent</w:t>
      </w:r>
      <w:r>
        <w:t xml:space="preserve"> from the UK) must be provided.</w:t>
      </w:r>
    </w:p>
    <w:p w14:paraId="250F8A9D" w14:textId="77777777" w:rsidR="00A97894" w:rsidRPr="004E6A3A" w:rsidRDefault="00A97894" w:rsidP="00A97894">
      <w:pPr>
        <w:pStyle w:val="ListBullet2"/>
        <w:numPr>
          <w:ilvl w:val="1"/>
          <w:numId w:val="3"/>
        </w:numPr>
      </w:pPr>
      <w:r w:rsidRPr="004E6A3A">
        <w:t>Any reagents, reference material and standards required to undertake testing, as requested by Laboratories Branch, TGA.</w:t>
      </w:r>
    </w:p>
    <w:p w14:paraId="60456B32" w14:textId="77777777" w:rsidR="00A97894" w:rsidRPr="004E6A3A" w:rsidRDefault="00A97894" w:rsidP="00A97894">
      <w:pPr>
        <w:pStyle w:val="ListBullet"/>
        <w:numPr>
          <w:ilvl w:val="0"/>
          <w:numId w:val="0"/>
        </w:numPr>
        <w:ind w:left="360"/>
      </w:pPr>
      <w:r w:rsidRPr="004E6A3A">
        <w:t xml:space="preserve">Sponsors must provide all requested </w:t>
      </w:r>
      <w:r>
        <w:t>s</w:t>
      </w:r>
      <w:r w:rsidRPr="004E6A3A">
        <w:t>amples and data in sufficient time (at least 5</w:t>
      </w:r>
      <w:r>
        <w:t> </w:t>
      </w:r>
      <w:r w:rsidRPr="004E6A3A">
        <w:t>business days) prior to any distribution date to allow the TGA to perform testing and review. Distribution of each batch of vaccine is conditional upon fulfilment of these conditions and receipt of a letter from the Laboratories Branch acknowledging release.</w:t>
      </w:r>
    </w:p>
    <w:p w14:paraId="622E45E9" w14:textId="77777777" w:rsidR="00A97894" w:rsidRPr="00352CD3" w:rsidRDefault="00A97894" w:rsidP="00A97894">
      <w:pPr>
        <w:pStyle w:val="ListBullet"/>
        <w:numPr>
          <w:ilvl w:val="0"/>
          <w:numId w:val="3"/>
        </w:numPr>
      </w:pPr>
      <w:r w:rsidRPr="00352CD3">
        <w:t>Certified Product Details</w:t>
      </w:r>
    </w:p>
    <w:p w14:paraId="243CF94D" w14:textId="11133B8D" w:rsidR="00A97894" w:rsidRDefault="00A97894" w:rsidP="00A97894">
      <w:pPr>
        <w:pStyle w:val="ListBullet"/>
        <w:numPr>
          <w:ilvl w:val="0"/>
          <w:numId w:val="0"/>
        </w:numPr>
        <w:ind w:left="360"/>
      </w:pPr>
      <w:r w:rsidRPr="00916FDF">
        <w:t xml:space="preserve">An electronic copy of the Certified Product Details (CPD) as described in Guidance 7: Certified Product Details of the Australian Regulatory Guidelines for Prescription Medicines (ARGPM) </w:t>
      </w:r>
      <w:hyperlink r:id="rId31" w:history="1">
        <w:r w:rsidRPr="00700EF1">
          <w:rPr>
            <w:rStyle w:val="Hyperlink"/>
          </w:rPr>
          <w:t>https://www.tga.gov.au/guidance-7-certified-product-details</w:t>
        </w:r>
      </w:hyperlink>
      <w:r w:rsidRPr="00916FDF">
        <w:t xml:space="preserve">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w:t>
      </w:r>
      <w:hyperlink r:id="rId32" w:history="1">
        <w:r w:rsidRPr="00EA2282">
          <w:rPr>
            <w:rStyle w:val="Hyperlink"/>
          </w:rPr>
          <w:t>https://www.tga.gov.au/form/certified-product-details-cpd-biological-prescription-medicines</w:t>
        </w:r>
      </w:hyperlink>
      <w:r w:rsidRPr="00EA2282">
        <w:t xml:space="preserve">. </w:t>
      </w:r>
      <w:r w:rsidRPr="00916FDF">
        <w:t xml:space="preserve">The CPD should be sent as a </w:t>
      </w:r>
      <w:r w:rsidRPr="00120794">
        <w:rPr>
          <w:rFonts w:cs="Cambria-Bold"/>
          <w:bCs/>
        </w:rPr>
        <w:t>single bookmarked</w:t>
      </w:r>
      <w:r w:rsidRPr="00120794">
        <w:t xml:space="preserve"> </w:t>
      </w:r>
      <w:r w:rsidRPr="00120794">
        <w:rPr>
          <w:rFonts w:cs="Cambria-Bold"/>
          <w:bCs/>
        </w:rPr>
        <w:t>PDF</w:t>
      </w:r>
      <w:r w:rsidRPr="00916FDF">
        <w:rPr>
          <w:rFonts w:cs="Cambria-Bold"/>
          <w:b/>
          <w:bCs/>
        </w:rPr>
        <w:t xml:space="preserve"> </w:t>
      </w:r>
      <w:r w:rsidRPr="00916FDF">
        <w:t xml:space="preserve">document to </w:t>
      </w:r>
      <w:hyperlink r:id="rId33" w:history="1">
        <w:r w:rsidRPr="007430C3">
          <w:rPr>
            <w:rStyle w:val="Hyperlink"/>
          </w:rPr>
          <w:t>Vaccines@health.gov.au</w:t>
        </w:r>
      </w:hyperlink>
      <w:r w:rsidRPr="00916FDF">
        <w:t xml:space="preserve"> as soon as possible after registration/approval of the product or any subsequent changes as indicated above.</w:t>
      </w:r>
    </w:p>
    <w:p w14:paraId="61BC2692" w14:textId="3D1AA771" w:rsidR="00817D33" w:rsidRDefault="00817D33" w:rsidP="00A97894">
      <w:pPr>
        <w:pStyle w:val="ListBullet"/>
        <w:numPr>
          <w:ilvl w:val="0"/>
          <w:numId w:val="3"/>
        </w:numPr>
      </w:pPr>
      <w:r>
        <w:t>Post approval quality commitments</w:t>
      </w:r>
    </w:p>
    <w:p w14:paraId="5234C9E6" w14:textId="5EE3BC50" w:rsidR="00A97894" w:rsidRPr="000748F6" w:rsidRDefault="00817D33" w:rsidP="00817D33">
      <w:pPr>
        <w:pStyle w:val="ListBullet"/>
        <w:numPr>
          <w:ilvl w:val="0"/>
          <w:numId w:val="0"/>
        </w:numPr>
        <w:ind w:left="360"/>
      </w:pPr>
      <w:r>
        <w:t>As a provisionally registered medicine</w:t>
      </w:r>
      <w:r w:rsidR="00A97894" w:rsidRPr="000748F6">
        <w:t>, extensive post</w:t>
      </w:r>
      <w:r w:rsidR="00A97894" w:rsidRPr="000748F6">
        <w:noBreakHyphen/>
        <w:t>approval commitments will be required of the sponsor. The additional requested quality data and notifications to the TGA should be provided as post</w:t>
      </w:r>
      <w:r w:rsidR="00A97894" w:rsidRPr="000748F6">
        <w:noBreakHyphen/>
        <w:t>approval commitments. This includes the following commitments:</w:t>
      </w:r>
    </w:p>
    <w:p w14:paraId="4E326EF8" w14:textId="77777777" w:rsidR="00A97894" w:rsidRPr="00761971" w:rsidRDefault="00A97894" w:rsidP="00A97894">
      <w:pPr>
        <w:pStyle w:val="ListBullet2"/>
        <w:numPr>
          <w:ilvl w:val="1"/>
          <w:numId w:val="3"/>
        </w:numPr>
      </w:pPr>
      <w:r w:rsidRPr="00761971">
        <w:t>Additional data should be provided in relation to drug substance and drug product stability.</w:t>
      </w:r>
    </w:p>
    <w:p w14:paraId="7FD807F1" w14:textId="77777777" w:rsidR="00A97894" w:rsidRDefault="00A97894" w:rsidP="00A97894">
      <w:pPr>
        <w:pStyle w:val="ListBullet2"/>
        <w:numPr>
          <w:ilvl w:val="1"/>
          <w:numId w:val="3"/>
        </w:numPr>
      </w:pPr>
      <w:r>
        <w:t xml:space="preserve">Additional information should be provided in relation to the test for </w:t>
      </w:r>
      <w:r w:rsidRPr="006C4945">
        <w:t xml:space="preserve">transgene expression of </w:t>
      </w:r>
      <w:r>
        <w:t xml:space="preserve">the </w:t>
      </w:r>
      <w:r w:rsidRPr="006C4945">
        <w:t>spike protein</w:t>
      </w:r>
      <w:r>
        <w:t>.</w:t>
      </w:r>
    </w:p>
    <w:p w14:paraId="1DB59F51" w14:textId="1AF6C2AF" w:rsidR="00A97894" w:rsidRPr="00761971" w:rsidRDefault="00A97894" w:rsidP="00A97894">
      <w:pPr>
        <w:pStyle w:val="ListBullet2"/>
        <w:numPr>
          <w:ilvl w:val="1"/>
          <w:numId w:val="3"/>
        </w:numPr>
      </w:pPr>
      <w:r w:rsidRPr="00761971">
        <w:t xml:space="preserve">The requested </w:t>
      </w:r>
      <w:proofErr w:type="spellStart"/>
      <w:r w:rsidRPr="00761971">
        <w:t>leachables</w:t>
      </w:r>
      <w:proofErr w:type="spellEnd"/>
      <w:r w:rsidRPr="00761971">
        <w:t xml:space="preserve"> study data should be provided.</w:t>
      </w:r>
      <w:r w:rsidR="00817D33">
        <w:fldChar w:fldCharType="begin"/>
      </w:r>
      <w:r w:rsidR="00817D33">
        <w:instrText xml:space="preserve"> NOTEREF _Ref62227856 \f \h </w:instrText>
      </w:r>
      <w:r w:rsidR="00817D33">
        <w:fldChar w:fldCharType="separate"/>
      </w:r>
      <w:r w:rsidR="001D05A6" w:rsidRPr="001D05A6">
        <w:rPr>
          <w:rStyle w:val="FootnoteReference"/>
        </w:rPr>
        <w:t>15</w:t>
      </w:r>
      <w:r w:rsidR="00817D33">
        <w:fldChar w:fldCharType="end"/>
      </w:r>
    </w:p>
    <w:p w14:paraId="60DD5030" w14:textId="7F921CFD" w:rsidR="00A97894" w:rsidRDefault="00A97894" w:rsidP="00A97894">
      <w:pPr>
        <w:pStyle w:val="ListBullet2"/>
        <w:numPr>
          <w:ilvl w:val="1"/>
          <w:numId w:val="3"/>
        </w:numPr>
      </w:pPr>
      <w:r w:rsidRPr="00761971">
        <w:t>The additional data related to validation of analytical procedures for endotoxin testing should be provided.</w:t>
      </w:r>
    </w:p>
    <w:p w14:paraId="2374D192" w14:textId="77777777" w:rsidR="008E7846" w:rsidRDefault="00A80B5B" w:rsidP="001D05A6">
      <w:pPr>
        <w:pStyle w:val="Heading2"/>
      </w:pPr>
      <w:bookmarkStart w:id="67" w:name="_Toc64365651"/>
      <w:r>
        <w:lastRenderedPageBreak/>
        <w:t xml:space="preserve">Attachment 1. </w:t>
      </w:r>
      <w:r w:rsidR="008E7846">
        <w:t xml:space="preserve">Product </w:t>
      </w:r>
      <w:r w:rsidR="00AA0ED0">
        <w:t>I</w:t>
      </w:r>
      <w:r w:rsidR="008E7846">
        <w:t>nformation</w:t>
      </w:r>
      <w:bookmarkEnd w:id="65"/>
      <w:bookmarkEnd w:id="66"/>
      <w:bookmarkEnd w:id="67"/>
    </w:p>
    <w:p w14:paraId="39341C81" w14:textId="67FD9FD0" w:rsidR="00291957" w:rsidRPr="00810BB0" w:rsidRDefault="006136D7" w:rsidP="001D05A6">
      <w:pPr>
        <w:keepNext/>
        <w:rPr>
          <w:color w:val="000000"/>
          <w:lang w:eastAsia="en-AU"/>
        </w:rPr>
      </w:pPr>
      <w:r w:rsidRPr="002B3624">
        <w:t xml:space="preserve">The </w:t>
      </w:r>
      <w:r>
        <w:t>PI</w:t>
      </w:r>
      <w:r w:rsidRPr="002B3624">
        <w:t xml:space="preserve"> for </w:t>
      </w:r>
      <w:r w:rsidR="00674361" w:rsidRPr="00674361">
        <w:t>COVID-19 Vaccine AstraZeneca</w:t>
      </w:r>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34" w:history="1">
        <w:r w:rsidR="007C6B9B" w:rsidRPr="007C6B9B">
          <w:rPr>
            <w:rStyle w:val="Hyperlink"/>
          </w:rPr>
          <w:t>https://www.tga.gov.au/product-information-pi</w:t>
        </w:r>
      </w:hyperlink>
      <w:r w:rsidR="00674361">
        <w:t>&gt;.</w:t>
      </w:r>
    </w:p>
    <w:p w14:paraId="1F364354" w14:textId="77777777" w:rsidR="00744121" w:rsidRDefault="00744121" w:rsidP="00744121">
      <w:pPr>
        <w:rPr>
          <w:lang w:eastAsia="ja-JP"/>
        </w:rPr>
      </w:pPr>
    </w:p>
    <w:p w14:paraId="7FC1A569" w14:textId="77777777" w:rsidR="00C80137" w:rsidRPr="001D043B" w:rsidRDefault="00C80137" w:rsidP="003A7F6C">
      <w:pPr>
        <w:pStyle w:val="TableTitle"/>
        <w:sectPr w:rsidR="00C80137" w:rsidRPr="001D043B" w:rsidSect="00B452CE">
          <w:headerReference w:type="even" r:id="rId35"/>
          <w:headerReference w:type="default" r:id="rId36"/>
          <w:headerReference w:type="first" r:id="rId37"/>
          <w:footerReference w:type="first" r:id="rId3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673E1EE" w14:textId="77777777" w:rsidTr="00A05FA4">
        <w:trPr>
          <w:trHeight w:hRule="exact" w:val="704"/>
        </w:trPr>
        <w:tc>
          <w:tcPr>
            <w:tcW w:w="9175" w:type="dxa"/>
          </w:tcPr>
          <w:p w14:paraId="42F39A51" w14:textId="77777777" w:rsidR="001C32CD" w:rsidRPr="00487162" w:rsidRDefault="001C32CD" w:rsidP="00A05FA4">
            <w:pPr>
              <w:pStyle w:val="TGASignoff"/>
            </w:pPr>
            <w:r w:rsidRPr="00487162">
              <w:lastRenderedPageBreak/>
              <w:t>Therapeutic Goods Administration</w:t>
            </w:r>
          </w:p>
        </w:tc>
      </w:tr>
      <w:tr w:rsidR="001C32CD" w:rsidRPr="004C239D" w14:paraId="68EC2167" w14:textId="77777777" w:rsidTr="00A05FA4">
        <w:trPr>
          <w:trHeight w:val="1221"/>
        </w:trPr>
        <w:tc>
          <w:tcPr>
            <w:tcW w:w="9175" w:type="dxa"/>
            <w:tcMar>
              <w:top w:w="28" w:type="dxa"/>
            </w:tcMar>
          </w:tcPr>
          <w:p w14:paraId="76AF2C64" w14:textId="77777777" w:rsidR="001C32CD" w:rsidRPr="00487162" w:rsidRDefault="001C32CD" w:rsidP="00A05FA4">
            <w:pPr>
              <w:pStyle w:val="Address"/>
            </w:pPr>
            <w:r w:rsidRPr="00487162">
              <w:t>PO Box 100 Woden ACT 2606 Australia</w:t>
            </w:r>
          </w:p>
          <w:p w14:paraId="3946FCBA" w14:textId="07E8DE82" w:rsidR="001C32CD" w:rsidRPr="00487162" w:rsidRDefault="001C32CD" w:rsidP="00A05FA4">
            <w:pPr>
              <w:pStyle w:val="Address"/>
            </w:pPr>
            <w:r w:rsidRPr="00487162">
              <w:t xml:space="preserve">Email: </w:t>
            </w:r>
            <w:hyperlink r:id="rId39"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735A43E8" w14:textId="0BACE2F1" w:rsidR="001C32CD" w:rsidRPr="004C239D" w:rsidRDefault="002D3B9B" w:rsidP="00A05FA4">
            <w:pPr>
              <w:pStyle w:val="Address"/>
              <w:spacing w:line="260" w:lineRule="atLeast"/>
              <w:rPr>
                <w:b/>
                <w:color w:val="0000FF"/>
                <w:u w:val="single"/>
              </w:rPr>
            </w:pPr>
            <w:hyperlink r:id="rId40" w:history="1">
              <w:r w:rsidR="007C6B9B" w:rsidRPr="007C6B9B">
                <w:rPr>
                  <w:rStyle w:val="Hyperlink"/>
                  <w:b/>
                </w:rPr>
                <w:t>https://www.tga.gov.au</w:t>
              </w:r>
            </w:hyperlink>
          </w:p>
        </w:tc>
      </w:tr>
    </w:tbl>
    <w:p w14:paraId="45CA4BA7" w14:textId="77777777" w:rsidR="00774E1D" w:rsidRPr="008A5E0B" w:rsidRDefault="00774E1D" w:rsidP="004C239D"/>
    <w:sectPr w:rsidR="00774E1D" w:rsidRPr="008A5E0B" w:rsidSect="001C32CD">
      <w:headerReference w:type="even" r:id="rId41"/>
      <w:headerReference w:type="default" r:id="rId42"/>
      <w:footerReference w:type="default" r:id="rId43"/>
      <w:headerReference w:type="first" r:id="rId44"/>
      <w:footerReference w:type="first" r:id="rId4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65D40" w14:textId="77777777" w:rsidR="00371630" w:rsidRDefault="00371630" w:rsidP="00C40A36">
      <w:pPr>
        <w:spacing w:after="0"/>
      </w:pPr>
      <w:r>
        <w:separator/>
      </w:r>
    </w:p>
  </w:endnote>
  <w:endnote w:type="continuationSeparator" w:id="0">
    <w:p w14:paraId="71D81AF0" w14:textId="77777777" w:rsidR="00371630" w:rsidRDefault="0037163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00"/>
    <w:family w:val="auto"/>
    <w:notTrueType/>
    <w:pitch w:val="default"/>
    <w:sig w:usb0="00000003" w:usb1="08070000" w:usb2="00000010" w:usb3="00000000" w:csb0="00020001" w:csb1="00000000"/>
  </w:font>
  <w:font w:name="Cambria-Bold">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789E2" w14:textId="77777777" w:rsidR="00371630" w:rsidRDefault="003716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371630" w:rsidRPr="00487162" w14:paraId="1A56EF20" w14:textId="77777777" w:rsidTr="0052353D">
      <w:trPr>
        <w:trHeight w:val="269"/>
      </w:trPr>
      <w:tc>
        <w:tcPr>
          <w:tcW w:w="7655" w:type="dxa"/>
          <w:tcMar>
            <w:top w:w="142" w:type="dxa"/>
            <w:bottom w:w="0" w:type="dxa"/>
          </w:tcMar>
        </w:tcPr>
        <w:p w14:paraId="6E7C90A0" w14:textId="74B61354" w:rsidR="00371630" w:rsidRPr="00487162" w:rsidRDefault="00371630" w:rsidP="002D21D4">
          <w:pPr>
            <w:pStyle w:val="Footer"/>
          </w:pPr>
          <w:proofErr w:type="spellStart"/>
          <w:r w:rsidRPr="00487162">
            <w:t>AusPA</w:t>
          </w:r>
          <w:r>
            <w:t>R</w:t>
          </w:r>
          <w:proofErr w:type="spellEnd"/>
          <w:r>
            <w:t xml:space="preserve"> - </w:t>
          </w:r>
          <w:r w:rsidRPr="007243A2">
            <w:t xml:space="preserve">COVID-19 </w:t>
          </w:r>
          <w:r>
            <w:t>VACCINE ASTRA</w:t>
          </w:r>
          <w:r w:rsidRPr="007243A2">
            <w:t>ZENECA</w:t>
          </w:r>
          <w:r>
            <w:t xml:space="preserve"> </w:t>
          </w:r>
          <w:r w:rsidRPr="00460036">
            <w:t xml:space="preserve">– </w:t>
          </w:r>
          <w:r w:rsidRPr="007243A2">
            <w:t>ChAdOx1-S</w:t>
          </w:r>
          <w:r w:rsidRPr="00460036">
            <w:t xml:space="preserve"> </w:t>
          </w:r>
          <w:r>
            <w:t xml:space="preserve">- </w:t>
          </w:r>
          <w:r w:rsidRPr="007243A2">
            <w:t>AstraZeneca Pty Ltd</w:t>
          </w:r>
          <w:r>
            <w:t xml:space="preserve"> – PM</w:t>
          </w:r>
          <w:r>
            <w:noBreakHyphen/>
            <w:t>2020</w:t>
          </w:r>
          <w:r>
            <w:noBreakHyphen/>
            <w:t>06115</w:t>
          </w:r>
          <w:r>
            <w:noBreakHyphen/>
            <w:t>1-2</w:t>
          </w:r>
          <w:r>
            <w:br/>
            <w:t>FINAL 15 February 2021</w:t>
          </w:r>
        </w:p>
      </w:tc>
      <w:tc>
        <w:tcPr>
          <w:tcW w:w="1206" w:type="dxa"/>
          <w:tcMar>
            <w:top w:w="142" w:type="dxa"/>
            <w:bottom w:w="0" w:type="dxa"/>
          </w:tcMar>
        </w:tcPr>
        <w:p w14:paraId="3BC5478E" w14:textId="4BE5C8F0" w:rsidR="00371630" w:rsidRPr="00487162" w:rsidRDefault="00371630" w:rsidP="00DB750B">
          <w:pPr>
            <w:pStyle w:val="Footer"/>
            <w:jc w:val="right"/>
          </w:pPr>
          <w:r w:rsidRPr="00487162">
            <w:t xml:space="preserve">Page </w:t>
          </w:r>
          <w:r>
            <w:fldChar w:fldCharType="begin"/>
          </w:r>
          <w:r>
            <w:instrText xml:space="preserve"> PAGE  \* Arabic </w:instrText>
          </w:r>
          <w:r>
            <w:fldChar w:fldCharType="separate"/>
          </w:r>
          <w:r w:rsidR="006A3E91">
            <w:rPr>
              <w:noProof/>
            </w:rPr>
            <w:t>12</w:t>
          </w:r>
          <w:r>
            <w:fldChar w:fldCharType="end"/>
          </w:r>
          <w:r w:rsidRPr="00487162">
            <w:t xml:space="preserve"> of </w:t>
          </w:r>
          <w:r w:rsidR="002D3B9B">
            <w:fldChar w:fldCharType="begin"/>
          </w:r>
          <w:r w:rsidR="002D3B9B">
            <w:instrText xml:space="preserve"> NUMPAGES  \* Arabic </w:instrText>
          </w:r>
          <w:r w:rsidR="002D3B9B">
            <w:fldChar w:fldCharType="separate"/>
          </w:r>
          <w:r w:rsidR="006A3E91">
            <w:rPr>
              <w:noProof/>
            </w:rPr>
            <w:t>49</w:t>
          </w:r>
          <w:r w:rsidR="002D3B9B">
            <w:rPr>
              <w:noProof/>
            </w:rPr>
            <w:fldChar w:fldCharType="end"/>
          </w:r>
        </w:p>
      </w:tc>
    </w:tr>
  </w:tbl>
  <w:p w14:paraId="14205E9E" w14:textId="77777777" w:rsidR="00371630" w:rsidRDefault="00371630"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196A4" w14:textId="77777777" w:rsidR="00371630" w:rsidRDefault="003716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71630" w:rsidRPr="00487162" w14:paraId="6C320363" w14:textId="77777777" w:rsidTr="00E45619">
      <w:trPr>
        <w:trHeight w:val="269"/>
      </w:trPr>
      <w:tc>
        <w:tcPr>
          <w:tcW w:w="4519" w:type="dxa"/>
          <w:tcBorders>
            <w:top w:val="single" w:sz="4" w:space="0" w:color="auto"/>
          </w:tcBorders>
          <w:tcMar>
            <w:top w:w="142" w:type="dxa"/>
            <w:bottom w:w="0" w:type="dxa"/>
          </w:tcMar>
        </w:tcPr>
        <w:p w14:paraId="4FBDAB0A" w14:textId="77777777" w:rsidR="00371630" w:rsidRPr="00487162" w:rsidRDefault="00371630" w:rsidP="00FE1DEE">
          <w:pPr>
            <w:pStyle w:val="Footer"/>
          </w:pPr>
          <w:r w:rsidRPr="00487162">
            <w:t>Document title, Part #, Section # - Section title</w:t>
          </w:r>
        </w:p>
        <w:p w14:paraId="3A576D29" w14:textId="77777777" w:rsidR="00371630" w:rsidRPr="00487162" w:rsidRDefault="00371630" w:rsidP="00FE1DEE">
          <w:pPr>
            <w:pStyle w:val="Footer"/>
          </w:pPr>
          <w:r w:rsidRPr="00487162">
            <w:t>V1.0 October 2010</w:t>
          </w:r>
        </w:p>
      </w:tc>
      <w:tc>
        <w:tcPr>
          <w:tcW w:w="4342" w:type="dxa"/>
          <w:tcBorders>
            <w:top w:val="single" w:sz="4" w:space="0" w:color="auto"/>
          </w:tcBorders>
          <w:tcMar>
            <w:top w:w="142" w:type="dxa"/>
            <w:bottom w:w="0" w:type="dxa"/>
          </w:tcMar>
        </w:tcPr>
        <w:p w14:paraId="47037F28" w14:textId="6CD35740" w:rsidR="00371630" w:rsidRPr="00487162" w:rsidRDefault="0037163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D3B9B">
            <w:fldChar w:fldCharType="begin"/>
          </w:r>
          <w:r w:rsidR="002D3B9B">
            <w:instrText xml:space="preserve"> NUMPAGES  </w:instrText>
          </w:r>
          <w:r w:rsidR="002D3B9B">
            <w:fldChar w:fldCharType="separate"/>
          </w:r>
          <w:r>
            <w:rPr>
              <w:noProof/>
            </w:rPr>
            <w:t>40</w:t>
          </w:r>
          <w:r w:rsidR="002D3B9B">
            <w:rPr>
              <w:noProof/>
            </w:rPr>
            <w:fldChar w:fldCharType="end"/>
          </w:r>
        </w:p>
      </w:tc>
    </w:tr>
  </w:tbl>
  <w:p w14:paraId="55B8CF58" w14:textId="77777777" w:rsidR="00371630" w:rsidRDefault="003716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FA6F4" w14:textId="77777777" w:rsidR="00371630" w:rsidRPr="001C32CD" w:rsidRDefault="00371630"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71630" w14:paraId="10B0BCE1" w14:textId="77777777" w:rsidTr="0010601F">
      <w:trPr>
        <w:trHeight w:val="108"/>
      </w:trPr>
      <w:tc>
        <w:tcPr>
          <w:tcW w:w="8875" w:type="dxa"/>
          <w:gridSpan w:val="2"/>
          <w:tcBorders>
            <w:bottom w:val="single" w:sz="4" w:space="0" w:color="auto"/>
          </w:tcBorders>
          <w:tcMar>
            <w:right w:w="284" w:type="dxa"/>
          </w:tcMar>
        </w:tcPr>
        <w:p w14:paraId="27044B35" w14:textId="77777777" w:rsidR="00371630" w:rsidRDefault="00371630" w:rsidP="006E08B3">
          <w:pPr>
            <w:pStyle w:val="Heading3"/>
          </w:pPr>
          <w:r>
            <w:t>Copyright</w:t>
          </w:r>
        </w:p>
        <w:p w14:paraId="6AC5F902" w14:textId="77777777" w:rsidR="00371630" w:rsidRDefault="00371630" w:rsidP="006E08B3">
          <w:r>
            <w:rPr>
              <w:rFonts w:cs="Arial"/>
            </w:rPr>
            <w:t>©</w:t>
          </w:r>
          <w:r>
            <w:t xml:space="preserve"> Commonwealth of Australia [add year]</w:t>
          </w:r>
        </w:p>
        <w:p w14:paraId="47EEA9E0" w14:textId="77777777" w:rsidR="00371630" w:rsidRDefault="00371630" w:rsidP="006E08B3"/>
        <w:p w14:paraId="29F7E2CC" w14:textId="77777777" w:rsidR="00371630" w:rsidRDefault="0037163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5C47F95" w14:textId="77777777" w:rsidR="00371630" w:rsidRDefault="00371630" w:rsidP="006E08B3"/>
        <w:p w14:paraId="7E5F37F0" w14:textId="77777777" w:rsidR="00371630" w:rsidRDefault="00371630" w:rsidP="006E08B3">
          <w:pPr>
            <w:pStyle w:val="Heading3"/>
          </w:pPr>
          <w:r>
            <w:t>Confidentiality</w:t>
          </w:r>
        </w:p>
        <w:p w14:paraId="25F1F6F6" w14:textId="77777777" w:rsidR="00371630" w:rsidRDefault="0037163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E9C101C" w14:textId="77777777" w:rsidR="00371630" w:rsidRDefault="00371630" w:rsidP="006E08B3"/>
        <w:p w14:paraId="5422ECB8" w14:textId="77777777" w:rsidR="00371630" w:rsidRDefault="00371630" w:rsidP="006E08B3">
          <w:r>
            <w:t>For submission made by individuals, all personal details, other than your name, will be removed from your submission before it is published on the TGA’s Internet site.</w:t>
          </w:r>
        </w:p>
        <w:p w14:paraId="5AE033EC" w14:textId="77777777" w:rsidR="00371630" w:rsidRDefault="00371630" w:rsidP="006E08B3"/>
        <w:p w14:paraId="6634BFD8" w14:textId="77777777" w:rsidR="00371630" w:rsidRDefault="0037163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71630" w14:paraId="61D8C881" w14:textId="77777777" w:rsidTr="0010601F">
      <w:trPr>
        <w:trHeight w:val="417"/>
      </w:trPr>
      <w:tc>
        <w:tcPr>
          <w:tcW w:w="4519" w:type="dxa"/>
          <w:tcBorders>
            <w:top w:val="single" w:sz="4" w:space="0" w:color="auto"/>
          </w:tcBorders>
          <w:tcMar>
            <w:top w:w="142" w:type="dxa"/>
            <w:bottom w:w="0" w:type="dxa"/>
          </w:tcMar>
        </w:tcPr>
        <w:p w14:paraId="674ABD6E" w14:textId="77777777" w:rsidR="00371630" w:rsidRDefault="00371630" w:rsidP="006E08B3">
          <w:r>
            <w:t>Document title, Part #, Section # - Section title</w:t>
          </w:r>
        </w:p>
        <w:p w14:paraId="39521FEB" w14:textId="77777777" w:rsidR="00371630" w:rsidRDefault="00371630" w:rsidP="006E08B3">
          <w:r>
            <w:t>V1.0 October 2010</w:t>
          </w:r>
        </w:p>
      </w:tc>
      <w:tc>
        <w:tcPr>
          <w:tcW w:w="4356" w:type="dxa"/>
          <w:tcBorders>
            <w:top w:val="single" w:sz="4" w:space="0" w:color="auto"/>
          </w:tcBorders>
          <w:tcMar>
            <w:top w:w="142" w:type="dxa"/>
            <w:bottom w:w="0" w:type="dxa"/>
          </w:tcMar>
        </w:tcPr>
        <w:p w14:paraId="1E9F56FC" w14:textId="258ABB9A" w:rsidR="00371630" w:rsidRDefault="0037163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D3B9B">
            <w:fldChar w:fldCharType="begin"/>
          </w:r>
          <w:r w:rsidR="002D3B9B">
            <w:instrText xml:space="preserve"> NUMPAGES  \* Arabic </w:instrText>
          </w:r>
          <w:r w:rsidR="002D3B9B">
            <w:fldChar w:fldCharType="separate"/>
          </w:r>
          <w:r>
            <w:rPr>
              <w:noProof/>
            </w:rPr>
            <w:t>40</w:t>
          </w:r>
          <w:r w:rsidR="002D3B9B">
            <w:rPr>
              <w:noProof/>
            </w:rPr>
            <w:fldChar w:fldCharType="end"/>
          </w:r>
          <w:r>
            <w:t xml:space="preserve">  </w:t>
          </w:r>
        </w:p>
      </w:tc>
    </w:tr>
  </w:tbl>
  <w:p w14:paraId="5490D73A" w14:textId="77777777" w:rsidR="00371630" w:rsidRDefault="003716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D4C56" w14:textId="77777777" w:rsidR="00371630" w:rsidRDefault="00371630" w:rsidP="00C40A36">
      <w:pPr>
        <w:spacing w:after="0"/>
      </w:pPr>
      <w:r>
        <w:separator/>
      </w:r>
    </w:p>
  </w:footnote>
  <w:footnote w:type="continuationSeparator" w:id="0">
    <w:p w14:paraId="1B83A46A" w14:textId="77777777" w:rsidR="00371630" w:rsidRDefault="00371630" w:rsidP="00C40A36">
      <w:pPr>
        <w:spacing w:after="0"/>
      </w:pPr>
      <w:r>
        <w:continuationSeparator/>
      </w:r>
    </w:p>
  </w:footnote>
  <w:footnote w:id="1">
    <w:p w14:paraId="23BAC0A5" w14:textId="07BAA388" w:rsidR="00371630" w:rsidRDefault="00371630">
      <w:pPr>
        <w:pStyle w:val="FootnoteText"/>
      </w:pPr>
      <w:r>
        <w:rPr>
          <w:rStyle w:val="FootnoteReference"/>
        </w:rPr>
        <w:footnoteRef/>
      </w:r>
      <w:r>
        <w:t xml:space="preserve"> Provisional Australian Biological Name (ABN).</w:t>
      </w:r>
    </w:p>
  </w:footnote>
  <w:footnote w:id="2">
    <w:p w14:paraId="378110A2" w14:textId="77777777" w:rsidR="00371630" w:rsidRDefault="00371630">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718DC8C6" w14:textId="79B69C95" w:rsidR="00371630" w:rsidRDefault="00371630">
      <w:pPr>
        <w:pStyle w:val="FootnoteText"/>
      </w:pPr>
      <w:r>
        <w:rPr>
          <w:rStyle w:val="FootnoteReference"/>
        </w:rPr>
        <w:footnoteRef/>
      </w:r>
      <w:r>
        <w:t xml:space="preserve"> Zhu, N. </w:t>
      </w:r>
      <w:r w:rsidRPr="00153388">
        <w:t xml:space="preserve">et al. A Novel Coronavirus from Patients with Pneumonia in China, 2019. </w:t>
      </w:r>
      <w:r w:rsidRPr="00153388">
        <w:rPr>
          <w:i/>
          <w:iCs/>
        </w:rPr>
        <w:t xml:space="preserve">The New England journal of medicine. </w:t>
      </w:r>
      <w:r w:rsidRPr="00153388">
        <w:t>2020;</w:t>
      </w:r>
      <w:r>
        <w:t xml:space="preserve"> </w:t>
      </w:r>
      <w:r w:rsidRPr="00153388">
        <w:t>382(8):</w:t>
      </w:r>
      <w:r>
        <w:t xml:space="preserve"> 727-733.</w:t>
      </w:r>
    </w:p>
  </w:footnote>
  <w:footnote w:id="4">
    <w:p w14:paraId="0A5836E4" w14:textId="0BA0BAEE" w:rsidR="00371630" w:rsidRDefault="00371630">
      <w:pPr>
        <w:pStyle w:val="FootnoteText"/>
      </w:pPr>
      <w:r>
        <w:rPr>
          <w:rStyle w:val="FootnoteReference"/>
        </w:rPr>
        <w:footnoteRef/>
      </w:r>
      <w:r>
        <w:t xml:space="preserve"> World Health Organization (</w:t>
      </w:r>
      <w:r w:rsidRPr="00255565">
        <w:t xml:space="preserve">2020) </w:t>
      </w:r>
      <w:hyperlink r:id="rId1" w:history="1">
        <w:r w:rsidRPr="0087281D">
          <w:t>WHO Director-General speeches</w:t>
        </w:r>
      </w:hyperlink>
      <w:r w:rsidRPr="0087281D">
        <w:t xml:space="preserve">: </w:t>
      </w:r>
      <w:r w:rsidRPr="009317B9">
        <w:t>WHO Director-General's opening remarks at the media briefing on COVID-19 - 11 March 2020</w:t>
      </w:r>
      <w:r w:rsidRPr="0087281D">
        <w:t>.</w:t>
      </w:r>
      <w:r>
        <w:t xml:space="preserve"> Available from the WHO website.</w:t>
      </w:r>
    </w:p>
  </w:footnote>
  <w:footnote w:id="5">
    <w:p w14:paraId="08FDEB32" w14:textId="7A00FD1A" w:rsidR="00371630" w:rsidRDefault="00371630">
      <w:pPr>
        <w:pStyle w:val="FootnoteText"/>
      </w:pPr>
      <w:r>
        <w:rPr>
          <w:rStyle w:val="FootnoteReference"/>
        </w:rPr>
        <w:footnoteRef/>
      </w:r>
      <w:r>
        <w:t xml:space="preserve"> World Health Organization, Coronavirus disease (COVID-19) dashboard. Accessed 12 February 2021. Available from the WHO website at </w:t>
      </w:r>
      <w:hyperlink r:id="rId2" w:history="1">
        <w:r w:rsidRPr="008C1B3B">
          <w:rPr>
            <w:rStyle w:val="Hyperlink"/>
          </w:rPr>
          <w:t>https://covid19.who.int/</w:t>
        </w:r>
      </w:hyperlink>
      <w:r>
        <w:rPr>
          <w:rStyle w:val="Hyperlink"/>
        </w:rPr>
        <w:t>.</w:t>
      </w:r>
    </w:p>
  </w:footnote>
  <w:footnote w:id="6">
    <w:p w14:paraId="52E104B8" w14:textId="24DD9CE5" w:rsidR="00371630" w:rsidRDefault="00371630">
      <w:pPr>
        <w:pStyle w:val="FootnoteText"/>
      </w:pPr>
      <w:r>
        <w:rPr>
          <w:rStyle w:val="FootnoteReference"/>
        </w:rPr>
        <w:footnoteRef/>
      </w:r>
      <w:r>
        <w:t xml:space="preserve"> McIntosh, K. </w:t>
      </w:r>
      <w:r w:rsidRPr="009F69D4">
        <w:t>Coronavirus disease 2019 (COVID-19): Clinical features</w:t>
      </w:r>
      <w:r>
        <w:t xml:space="preserve">, </w:t>
      </w:r>
      <w:proofErr w:type="gramStart"/>
      <w:r>
        <w:t>In</w:t>
      </w:r>
      <w:proofErr w:type="gramEnd"/>
      <w:r>
        <w:t xml:space="preserve">: </w:t>
      </w:r>
      <w:r w:rsidRPr="00DB21AA">
        <w:rPr>
          <w:i/>
        </w:rPr>
        <w:t>UpToDate</w:t>
      </w:r>
      <w:r>
        <w:t xml:space="preserve">, Waltham, MA </w:t>
      </w:r>
      <w:r w:rsidRPr="00916677">
        <w:t xml:space="preserve">(Accessed </w:t>
      </w:r>
      <w:r>
        <w:t>on 1 February 2021</w:t>
      </w:r>
      <w:r w:rsidRPr="00916677">
        <w:t>)</w:t>
      </w:r>
      <w:r>
        <w:t xml:space="preserve">. Available from the </w:t>
      </w:r>
      <w:r w:rsidRPr="00F52D1E">
        <w:rPr>
          <w:i/>
        </w:rPr>
        <w:t>UpToDate</w:t>
      </w:r>
      <w:r>
        <w:t xml:space="preserve"> website.</w:t>
      </w:r>
    </w:p>
  </w:footnote>
  <w:footnote w:id="7">
    <w:p w14:paraId="7506039E" w14:textId="7F5187EB" w:rsidR="00371630" w:rsidRDefault="00371630">
      <w:pPr>
        <w:pStyle w:val="FootnoteText"/>
      </w:pPr>
      <w:r>
        <w:rPr>
          <w:rStyle w:val="FootnoteReference"/>
        </w:rPr>
        <w:footnoteRef/>
      </w:r>
      <w:r>
        <w:t xml:space="preserve"> </w:t>
      </w:r>
      <w:proofErr w:type="spellStart"/>
      <w:r>
        <w:t>AusPAR</w:t>
      </w:r>
      <w:proofErr w:type="spellEnd"/>
      <w:r>
        <w:t xml:space="preserve"> for </w:t>
      </w:r>
      <w:proofErr w:type="spellStart"/>
      <w:r>
        <w:t>Veklury</w:t>
      </w:r>
      <w:proofErr w:type="spellEnd"/>
      <w:r>
        <w:t xml:space="preserve"> (</w:t>
      </w:r>
      <w:proofErr w:type="spellStart"/>
      <w:r>
        <w:t>remdesivir</w:t>
      </w:r>
      <w:proofErr w:type="spellEnd"/>
      <w:r>
        <w:t xml:space="preserve">) 100 mg concentrate for injection and 100 mg powder for injection AUST R 338419 and 338420. Published 21 July 2020 at </w:t>
      </w:r>
      <w:hyperlink r:id="rId3" w:history="1">
        <w:r w:rsidRPr="008C7193">
          <w:rPr>
            <w:rStyle w:val="Hyperlink"/>
          </w:rPr>
          <w:t>https://www.tga.gov.au/auspar/auspar-remdesivir</w:t>
        </w:r>
      </w:hyperlink>
      <w:r>
        <w:t>.</w:t>
      </w:r>
    </w:p>
  </w:footnote>
  <w:footnote w:id="8">
    <w:p w14:paraId="422C2C26" w14:textId="73A6966D" w:rsidR="00371630" w:rsidRDefault="00371630">
      <w:pPr>
        <w:pStyle w:val="FootnoteText"/>
      </w:pPr>
      <w:r>
        <w:rPr>
          <w:rStyle w:val="FootnoteReference"/>
        </w:rPr>
        <w:footnoteRef/>
      </w:r>
      <w:r>
        <w:t xml:space="preserve"> </w:t>
      </w:r>
      <w:proofErr w:type="spellStart"/>
      <w:r>
        <w:t>AusPAR</w:t>
      </w:r>
      <w:proofErr w:type="spellEnd"/>
      <w:r>
        <w:t xml:space="preserve"> for </w:t>
      </w:r>
      <w:proofErr w:type="spellStart"/>
      <w:r w:rsidRPr="000748F6">
        <w:t>Comirnaty</w:t>
      </w:r>
      <w:proofErr w:type="spellEnd"/>
      <w:r w:rsidRPr="000748F6">
        <w:t xml:space="preserve"> (</w:t>
      </w:r>
      <w:r>
        <w:t xml:space="preserve">BNT162b2 mRNA) </w:t>
      </w:r>
      <w:r w:rsidRPr="000748F6">
        <w:t>30 µg/0.3 mL concentrated suspension for injection</w:t>
      </w:r>
      <w:r>
        <w:t xml:space="preserve"> AUST R </w:t>
      </w:r>
      <w:r w:rsidRPr="009C48CC">
        <w:t>346290</w:t>
      </w:r>
      <w:r>
        <w:t xml:space="preserve">. Published 25 January 2021 at </w:t>
      </w:r>
      <w:hyperlink r:id="rId4" w:history="1">
        <w:r w:rsidRPr="008C7193">
          <w:rPr>
            <w:rStyle w:val="Hyperlink"/>
          </w:rPr>
          <w:t>https://www.tga.gov.au/auspar/auspar-bnt162b2-mrna-comirnaty</w:t>
        </w:r>
      </w:hyperlink>
      <w:r>
        <w:t>.</w:t>
      </w:r>
    </w:p>
  </w:footnote>
  <w:footnote w:id="9">
    <w:p w14:paraId="0EFDDCA5" w14:textId="4A1CB3EC" w:rsidR="00371630" w:rsidRDefault="00371630" w:rsidP="00553BC3">
      <w:pPr>
        <w:pStyle w:val="FootnoteText"/>
      </w:pPr>
      <w:r>
        <w:rPr>
          <w:rStyle w:val="FootnoteReference"/>
        </w:rPr>
        <w:footnoteRef/>
      </w:r>
      <w:r>
        <w:t xml:space="preserve"> </w:t>
      </w:r>
      <w:r w:rsidRPr="00896007">
        <w:rPr>
          <w:b/>
        </w:rPr>
        <w:t>ChAdOx1</w:t>
      </w:r>
      <w:r>
        <w:t xml:space="preserve"> (</w:t>
      </w:r>
      <w:r w:rsidRPr="00896007">
        <w:rPr>
          <w:b/>
        </w:rPr>
        <w:t>chimpanzee adenovirus Ox1</w:t>
      </w:r>
      <w:r>
        <w:t xml:space="preserve">) </w:t>
      </w:r>
      <w:r w:rsidRPr="00BE39FD">
        <w:t xml:space="preserve">is </w:t>
      </w:r>
      <w:proofErr w:type="gramStart"/>
      <w:r w:rsidRPr="00BE39FD">
        <w:t>a</w:t>
      </w:r>
      <w:proofErr w:type="gramEnd"/>
      <w:r w:rsidRPr="00BE39FD">
        <w:t xml:space="preserve"> adenoviral vaccine vector developed by the Jenner Institute, University of Oxford. The vector is a chimpanzee adenovirus mo</w:t>
      </w:r>
      <w:r>
        <w:t>dified to avoid its replication</w:t>
      </w:r>
      <w:r w:rsidRPr="00FB2EE0">
        <w:t xml:space="preserve">. </w:t>
      </w:r>
      <w:r w:rsidRPr="00FB2EE0">
        <w:rPr>
          <w:lang w:eastAsia="ja-JP"/>
        </w:rPr>
        <w:t>Previous clinical trials for a ChAdOx1 vectored vaccine have included those for influenza (fusion protein NP + M1), tuberculosis, prostate cancer, malaria, chikungunya, Zika, Middle East respiratory syndrome coronavirus (MERS-</w:t>
      </w:r>
      <w:proofErr w:type="spellStart"/>
      <w:r w:rsidRPr="00FB2EE0">
        <w:rPr>
          <w:lang w:eastAsia="ja-JP"/>
        </w:rPr>
        <w:t>CoV</w:t>
      </w:r>
      <w:proofErr w:type="spellEnd"/>
      <w:r w:rsidRPr="00FB2EE0">
        <w:rPr>
          <w:lang w:eastAsia="ja-JP"/>
        </w:rPr>
        <w:t>) and meningitis. None of these vaccinations are currently registered for clinical use.</w:t>
      </w:r>
    </w:p>
  </w:footnote>
  <w:footnote w:id="10">
    <w:p w14:paraId="34A628DC" w14:textId="2AAA10F7" w:rsidR="00371630" w:rsidRDefault="00371630" w:rsidP="00892CD0">
      <w:pPr>
        <w:pStyle w:val="FootnoteText"/>
      </w:pPr>
      <w:r>
        <w:rPr>
          <w:rStyle w:val="FootnoteReference"/>
        </w:rPr>
        <w:footnoteRef/>
      </w:r>
      <w:r>
        <w:t xml:space="preserve"> </w:t>
      </w:r>
      <w:r w:rsidRPr="001B3F2E">
        <w:t xml:space="preserve">Under normal circumstances, </w:t>
      </w:r>
      <w:r>
        <w:t xml:space="preserve">the </w:t>
      </w:r>
      <w:r w:rsidRPr="001B3F2E">
        <w:t xml:space="preserve">TGA's assessment (for both provisional and general registration) begins once all information to support registration is available. </w:t>
      </w:r>
      <w:r>
        <w:t>A</w:t>
      </w:r>
      <w:r w:rsidRPr="00EE68DD">
        <w:t>s part of the Department of Health's response to the pandemic</w:t>
      </w:r>
      <w:r w:rsidRPr="001B3F2E">
        <w:t xml:space="preserve">, the TGA has agreed to accept </w:t>
      </w:r>
      <w:r w:rsidRPr="00BF4AFD">
        <w:rPr>
          <w:b/>
        </w:rPr>
        <w:t>rolling data</w:t>
      </w:r>
      <w:r w:rsidRPr="001B3F2E">
        <w:t xml:space="preserve"> </w:t>
      </w:r>
      <w:r>
        <w:t xml:space="preserve">for COVID-19 vaccines, </w:t>
      </w:r>
      <w:r w:rsidRPr="001B3F2E">
        <w:t>to enable early evaluation of data as it comes to hand.</w:t>
      </w:r>
    </w:p>
  </w:footnote>
  <w:footnote w:id="11">
    <w:p w14:paraId="657A60F4" w14:textId="77777777" w:rsidR="00371630" w:rsidRDefault="00371630" w:rsidP="00892CD0">
      <w:pPr>
        <w:spacing w:before="0" w:after="0" w:line="240" w:lineRule="auto"/>
        <w:rPr>
          <w:rFonts w:eastAsia="Times New Roman" w:cs="Calibri"/>
          <w:color w:val="000000"/>
          <w:sz w:val="18"/>
          <w:szCs w:val="18"/>
          <w:lang w:eastAsia="en-AU"/>
        </w:rPr>
      </w:pPr>
      <w:r>
        <w:rPr>
          <w:rStyle w:val="FootnoteReference"/>
        </w:rPr>
        <w:footnoteRef/>
      </w:r>
      <w:r>
        <w:t xml:space="preserve"> </w:t>
      </w:r>
      <w:r w:rsidRPr="00DD3F57">
        <w:rPr>
          <w:rFonts w:eastAsia="Times New Roman" w:cs="Calibri"/>
          <w:color w:val="000000"/>
          <w:sz w:val="18"/>
          <w:szCs w:val="18"/>
          <w:lang w:eastAsia="en-AU"/>
        </w:rPr>
        <w:t xml:space="preserve">As part of the </w:t>
      </w:r>
      <w:r w:rsidRPr="00DD3F57">
        <w:rPr>
          <w:rFonts w:eastAsia="Times New Roman" w:cs="Calibri"/>
          <w:b/>
          <w:bCs/>
          <w:color w:val="000000"/>
          <w:sz w:val="18"/>
          <w:szCs w:val="18"/>
          <w:lang w:eastAsia="en-AU"/>
        </w:rPr>
        <w:t>provisional approval pathway</w:t>
      </w:r>
      <w:r w:rsidRPr="00DD3F57">
        <w:rPr>
          <w:rFonts w:eastAsia="Times New Roman" w:cs="Calibri"/>
          <w:color w:val="000000"/>
          <w:sz w:val="18"/>
          <w:szCs w:val="18"/>
          <w:lang w:eastAsia="en-AU"/>
        </w:rPr>
        <w:t xml:space="preserve">, the provisional registration process will allow certain medicines to be provisionally registered in the Australian Register of Therapeutic Goods (ARTG) for a limited duration. These medicines are registered </w:t>
      </w:r>
      <w:proofErr w:type="gramStart"/>
      <w:r w:rsidRPr="00DD3F57">
        <w:rPr>
          <w:rFonts w:eastAsia="Times New Roman" w:cs="Calibri"/>
          <w:color w:val="000000"/>
          <w:sz w:val="18"/>
          <w:szCs w:val="18"/>
          <w:lang w:eastAsia="en-AU"/>
        </w:rPr>
        <w:t>on the basis of</w:t>
      </w:r>
      <w:proofErr w:type="gramEnd"/>
      <w:r w:rsidRPr="00DD3F57">
        <w:rPr>
          <w:rFonts w:eastAsia="Times New Roman" w:cs="Calibri"/>
          <w:color w:val="000000"/>
          <w:sz w:val="18"/>
          <w:szCs w:val="18"/>
          <w:lang w:eastAsia="en-AU"/>
        </w:rPr>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w:t>
      </w:r>
      <w:r>
        <w:rPr>
          <w:rFonts w:eastAsia="Times New Roman" w:cs="Calibri"/>
          <w:color w:val="000000"/>
          <w:sz w:val="18"/>
          <w:szCs w:val="18"/>
          <w:lang w:eastAsia="en-AU"/>
        </w:rPr>
        <w:t>by direct clinical outcomes.</w:t>
      </w:r>
    </w:p>
    <w:p w14:paraId="22E65319" w14:textId="77777777" w:rsidR="00371630" w:rsidRPr="00DD3F57" w:rsidRDefault="00371630" w:rsidP="00892CD0">
      <w:pPr>
        <w:spacing w:before="0" w:after="0" w:line="240" w:lineRule="auto"/>
        <w:rPr>
          <w:rFonts w:eastAsia="Times New Roman" w:cs="Calibri"/>
          <w:color w:val="000000"/>
          <w:sz w:val="18"/>
          <w:szCs w:val="18"/>
          <w:lang w:eastAsia="en-AU"/>
        </w:rPr>
      </w:pPr>
      <w:r w:rsidRPr="00DD3F57">
        <w:rPr>
          <w:rFonts w:eastAsia="Times New Roman" w:cs="Calibri"/>
          <w:color w:val="000000"/>
          <w:sz w:val="18"/>
          <w:szCs w:val="18"/>
          <w:lang w:eastAsia="en-AU"/>
        </w:rP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2">
    <w:p w14:paraId="277F6A43" w14:textId="2486CF2D" w:rsidR="00371630" w:rsidRDefault="00371630">
      <w:pPr>
        <w:pStyle w:val="FootnoteText"/>
      </w:pPr>
      <w:r>
        <w:rPr>
          <w:rStyle w:val="FootnoteReference"/>
        </w:rPr>
        <w:footnoteRef/>
      </w:r>
      <w:r>
        <w:t xml:space="preserve"> Documents related to the licence decision for </w:t>
      </w:r>
      <w:r w:rsidRPr="00FB2EE0">
        <w:t>DIR 180</w:t>
      </w:r>
      <w:r>
        <w:t xml:space="preserve"> are available on the OGTR website at: </w:t>
      </w:r>
      <w:hyperlink r:id="rId5" w:history="1">
        <w:r w:rsidRPr="006410A0">
          <w:rPr>
            <w:rStyle w:val="Hyperlink"/>
          </w:rPr>
          <w:t>http://www.ogtr.gov.au/internet/ogtr/publishing.nsf/Content/dir180</w:t>
        </w:r>
      </w:hyperlink>
      <w:r>
        <w:t>.</w:t>
      </w:r>
    </w:p>
  </w:footnote>
  <w:footnote w:id="13">
    <w:p w14:paraId="2C1A324A" w14:textId="34CDE5A9" w:rsidR="00371630" w:rsidRDefault="00371630">
      <w:pPr>
        <w:pStyle w:val="FootnoteText"/>
      </w:pPr>
      <w:r>
        <w:rPr>
          <w:rStyle w:val="FootnoteReference"/>
        </w:rPr>
        <w:footnoteRef/>
      </w:r>
      <w:r>
        <w:t xml:space="preserve"> </w:t>
      </w:r>
      <w:r w:rsidRPr="00657C54">
        <w:t xml:space="preserve">A </w:t>
      </w:r>
      <w:r w:rsidRPr="00657C54">
        <w:rPr>
          <w:b/>
        </w:rPr>
        <w:t>Category 3 application</w:t>
      </w:r>
      <w:r w:rsidRPr="00657C54">
        <w:t xml:space="preserve"> relates to updates to the quality data of medicines already included on the Australian Register of Therapeutic Goods (ARTG) which, in the opinion of the TGA, do not need to be supported by clinical, non-clinical or bioequivalence data.</w:t>
      </w:r>
    </w:p>
  </w:footnote>
  <w:footnote w:id="14">
    <w:p w14:paraId="32E367F3" w14:textId="61882A39" w:rsidR="00371630" w:rsidRPr="00896007" w:rsidRDefault="00371630">
      <w:pPr>
        <w:pStyle w:val="FootnoteText"/>
        <w:rPr>
          <w:lang w:val="en-US"/>
        </w:rPr>
      </w:pPr>
      <w:r>
        <w:rPr>
          <w:rStyle w:val="FootnoteReference"/>
        </w:rPr>
        <w:footnoteRef/>
      </w:r>
      <w:r>
        <w:t xml:space="preserve"> </w:t>
      </w:r>
      <w:r w:rsidRPr="00896007">
        <w:rPr>
          <w:b/>
        </w:rPr>
        <w:t xml:space="preserve">Good Manufacturing Practice </w:t>
      </w:r>
      <w:r w:rsidRPr="00497873">
        <w:t>(</w:t>
      </w:r>
      <w:r w:rsidRPr="00896007">
        <w:rPr>
          <w:b/>
        </w:rPr>
        <w:t>GMP</w:t>
      </w:r>
      <w:r w:rsidRPr="00497873">
        <w:t>) is the minimum standard that a medicines manufacturer must meet in their production processes. Products must be of consistent high quality; be appropriate to their intended use; and meet the requirements of the marketing authorisation or product specification.</w:t>
      </w:r>
    </w:p>
  </w:footnote>
  <w:footnote w:id="15">
    <w:p w14:paraId="356A2C7D" w14:textId="77777777" w:rsidR="00371630" w:rsidRDefault="00371630" w:rsidP="00982F38">
      <w:pPr>
        <w:pStyle w:val="FootnoteText"/>
      </w:pPr>
      <w:r>
        <w:rPr>
          <w:rStyle w:val="FootnoteReference"/>
        </w:rPr>
        <w:footnoteRef/>
      </w:r>
      <w:r>
        <w:t xml:space="preserve"> A </w:t>
      </w:r>
      <w:proofErr w:type="spellStart"/>
      <w:r w:rsidRPr="007D5C27">
        <w:rPr>
          <w:b/>
        </w:rPr>
        <w:t>leachables</w:t>
      </w:r>
      <w:proofErr w:type="spellEnd"/>
      <w:r w:rsidRPr="007D5C27">
        <w:rPr>
          <w:b/>
        </w:rPr>
        <w:t xml:space="preserve"> study</w:t>
      </w:r>
      <w:r>
        <w:t xml:space="preserve"> examines the migration of mobile chemicals from components using in the manufacture and storage of a pharmaceutical product.</w:t>
      </w:r>
    </w:p>
  </w:footnote>
  <w:footnote w:id="16">
    <w:p w14:paraId="57430E6F" w14:textId="2DF0AF85" w:rsidR="00371630" w:rsidRDefault="00371630" w:rsidP="00CE0E8A">
      <w:pPr>
        <w:pStyle w:val="FootnoteText"/>
      </w:pPr>
      <w:r>
        <w:rPr>
          <w:rStyle w:val="FootnoteReference"/>
        </w:rPr>
        <w:footnoteRef/>
      </w:r>
      <w:r>
        <w:t xml:space="preserve"> </w:t>
      </w:r>
      <w:r w:rsidRPr="00896007">
        <w:rPr>
          <w:b/>
        </w:rPr>
        <w:t>Australian Pregnancy Category B2</w:t>
      </w:r>
      <w:r>
        <w:t xml:space="preserve">: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2139ECEE" w14:textId="428DAE09" w:rsidR="00371630" w:rsidRDefault="00371630" w:rsidP="00CE0E8A">
      <w:pPr>
        <w:pStyle w:val="FootnoteText"/>
      </w:pPr>
      <w:r>
        <w:t xml:space="preserve">Studies in animals are inadequate or may be lacking, but available data show no evidence of an increased occurrence of </w:t>
      </w:r>
      <w:proofErr w:type="spellStart"/>
      <w:r>
        <w:t>fetal</w:t>
      </w:r>
      <w:proofErr w:type="spellEnd"/>
      <w:r>
        <w:t xml:space="preserve"> damage.</w:t>
      </w:r>
    </w:p>
  </w:footnote>
  <w:footnote w:id="17">
    <w:p w14:paraId="183FB3C5" w14:textId="07954E16" w:rsidR="00371630" w:rsidRDefault="00371630">
      <w:pPr>
        <w:pStyle w:val="FootnoteText"/>
      </w:pPr>
      <w:r>
        <w:rPr>
          <w:rStyle w:val="FootnoteReference"/>
        </w:rPr>
        <w:footnoteRef/>
      </w:r>
      <w:r>
        <w:t xml:space="preserve"> </w:t>
      </w:r>
      <w:r w:rsidRPr="00804163">
        <w:t>WHO Working Group on the Clinical Characterisation and Management of COVID-19 infection. A minimal common outcome measure set for COVID-19 clinical resear</w:t>
      </w:r>
      <w:r>
        <w:t xml:space="preserve">ch. </w:t>
      </w:r>
      <w:r w:rsidRPr="00804163">
        <w:rPr>
          <w:i/>
        </w:rPr>
        <w:t>Lancet Infect Dis</w:t>
      </w:r>
      <w:r>
        <w:t xml:space="preserve">. 2020; </w:t>
      </w:r>
      <w:r w:rsidRPr="00804163">
        <w:t>20(8):</w:t>
      </w:r>
      <w:r>
        <w:t xml:space="preserve"> </w:t>
      </w:r>
      <w:r w:rsidRPr="00804163">
        <w:t>e192-e197</w:t>
      </w:r>
      <w:r>
        <w:t>.</w:t>
      </w:r>
    </w:p>
  </w:footnote>
  <w:footnote w:id="18">
    <w:p w14:paraId="09E4E3E4" w14:textId="3BF56EF6" w:rsidR="00371630" w:rsidRDefault="00371630">
      <w:pPr>
        <w:pStyle w:val="FootnoteText"/>
      </w:pPr>
      <w:r>
        <w:rPr>
          <w:rStyle w:val="FootnoteReference"/>
        </w:rPr>
        <w:footnoteRef/>
      </w:r>
      <w:r>
        <w:t xml:space="preserve"> EMA,</w:t>
      </w:r>
      <w:r w:rsidRPr="00A70B0B">
        <w:t xml:space="preserve"> </w:t>
      </w:r>
      <w:r w:rsidRPr="007E1B0D">
        <w:t>Committee for Medicinal Products for Human Use</w:t>
      </w:r>
      <w:r>
        <w:t xml:space="preserve"> (CHMP), EMA considerations on COVID-19 vaccine approval. 16 November 2020, EMA/592928/2020. Published on the EMA website.</w:t>
      </w:r>
    </w:p>
  </w:footnote>
  <w:footnote w:id="19">
    <w:p w14:paraId="19D81998" w14:textId="0E1A22C4" w:rsidR="00371630" w:rsidRDefault="00371630" w:rsidP="00A70B0B">
      <w:pPr>
        <w:pStyle w:val="FootnoteText"/>
      </w:pPr>
      <w:r>
        <w:rPr>
          <w:rStyle w:val="FootnoteReference"/>
        </w:rPr>
        <w:footnoteRef/>
      </w:r>
      <w:r>
        <w:t xml:space="preserve"> FDA, </w:t>
      </w:r>
      <w:proofErr w:type="spellStart"/>
      <w:r w:rsidRPr="00A70B0B">
        <w:t>Center</w:t>
      </w:r>
      <w:r>
        <w:t>s</w:t>
      </w:r>
      <w:proofErr w:type="spellEnd"/>
      <w:r w:rsidRPr="00A70B0B">
        <w:t xml:space="preserve"> for Biologics Evaluation and Research</w:t>
      </w:r>
      <w:r>
        <w:t xml:space="preserve">: Development and Licensure of vaccines to prevent COVID-19. Guidance for Industry. 30 June 2020, </w:t>
      </w:r>
      <w:r w:rsidRPr="00A70B0B">
        <w:t>FDA-2020-D-1137</w:t>
      </w:r>
      <w:r>
        <w:t>. Published on the FDA website.</w:t>
      </w:r>
    </w:p>
  </w:footnote>
  <w:footnote w:id="20">
    <w:p w14:paraId="6D67F449" w14:textId="7AC645AF" w:rsidR="00371630" w:rsidRDefault="00371630" w:rsidP="007D53B6">
      <w:pPr>
        <w:pStyle w:val="FootnoteText"/>
      </w:pPr>
      <w:r>
        <w:rPr>
          <w:rStyle w:val="FootnoteReference"/>
        </w:rPr>
        <w:footnoteRef/>
      </w:r>
      <w:r>
        <w:t xml:space="preserve"> </w:t>
      </w:r>
      <w:r w:rsidRPr="007D53B6">
        <w:rPr>
          <w:i/>
        </w:rPr>
        <w:t xml:space="preserve">Routine risk minimisation </w:t>
      </w:r>
      <w:r>
        <w:t xml:space="preserve">activities include ensuring that suitable warnings are included in the product information and consumer medicines </w:t>
      </w:r>
      <w:proofErr w:type="gramStart"/>
      <w:r>
        <w:t>information, and</w:t>
      </w:r>
      <w:proofErr w:type="gramEnd"/>
      <w:r>
        <w:t xml:space="preserve"> labelling and packaging.</w:t>
      </w:r>
    </w:p>
    <w:p w14:paraId="481381C4" w14:textId="0F1A2ECB" w:rsidR="00371630" w:rsidRDefault="00371630" w:rsidP="007D53B6">
      <w:pPr>
        <w:pStyle w:val="FootnoteText"/>
      </w:pPr>
      <w:r w:rsidRPr="007D53B6">
        <w:rPr>
          <w:i/>
        </w:rPr>
        <w:t>Routine pharmacovigilance</w:t>
      </w:r>
      <w:r>
        <w:t xml:space="preserve"> practices involve the following activities:</w:t>
      </w:r>
    </w:p>
    <w:p w14:paraId="2F660FC0" w14:textId="77777777" w:rsidR="00371630" w:rsidRDefault="00371630"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79770087" w14:textId="77777777" w:rsidR="00371630" w:rsidRDefault="00371630" w:rsidP="007D53B6">
      <w:pPr>
        <w:pStyle w:val="FootnoteText"/>
        <w:numPr>
          <w:ilvl w:val="0"/>
          <w:numId w:val="32"/>
        </w:numPr>
        <w:ind w:left="284" w:hanging="284"/>
      </w:pPr>
      <w:r>
        <w:t xml:space="preserve">Reporting to regulatory </w:t>
      </w:r>
      <w:proofErr w:type="gramStart"/>
      <w:r>
        <w:t>authorities;</w:t>
      </w:r>
      <w:proofErr w:type="gramEnd"/>
    </w:p>
    <w:p w14:paraId="655C3BB1" w14:textId="77777777" w:rsidR="00371630" w:rsidRDefault="00371630"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1E6AF0DC" w14:textId="2F77F55E" w:rsidR="00371630" w:rsidRDefault="00371630" w:rsidP="007D53B6">
      <w:pPr>
        <w:pStyle w:val="FootnoteText"/>
        <w:numPr>
          <w:ilvl w:val="0"/>
          <w:numId w:val="32"/>
        </w:numPr>
        <w:ind w:left="284" w:hanging="284"/>
      </w:pPr>
      <w:r>
        <w:t xml:space="preserve">Submission of PSURs and monthly safety </w:t>
      </w:r>
      <w:proofErr w:type="gramStart"/>
      <w:r>
        <w:t>summaries;</w:t>
      </w:r>
      <w:proofErr w:type="gramEnd"/>
    </w:p>
    <w:p w14:paraId="07A6EF8F" w14:textId="77777777" w:rsidR="00371630" w:rsidRDefault="00371630" w:rsidP="007D53B6">
      <w:pPr>
        <w:pStyle w:val="FootnoteText"/>
        <w:numPr>
          <w:ilvl w:val="0"/>
          <w:numId w:val="32"/>
        </w:numPr>
        <w:ind w:left="284" w:hanging="284"/>
      </w:pPr>
      <w:r>
        <w:t>Meeting other local regulatory agency requirements.</w:t>
      </w:r>
    </w:p>
  </w:footnote>
  <w:footnote w:id="21">
    <w:p w14:paraId="316C0EE3" w14:textId="1065E750" w:rsidR="00371630" w:rsidRDefault="00371630" w:rsidP="00C86D41">
      <w:pPr>
        <w:pStyle w:val="FootnoteText"/>
      </w:pPr>
      <w:r>
        <w:rPr>
          <w:rStyle w:val="FootnoteReference"/>
        </w:rPr>
        <w:footnoteRef/>
      </w:r>
      <w:r>
        <w:t xml:space="preserve"> </w:t>
      </w:r>
      <w:hyperlink r:id="rId6" w:history="1">
        <w:r w:rsidRPr="00680725">
          <w:rPr>
            <w:rStyle w:val="Hyperlink"/>
          </w:rPr>
          <w:t>https://www.tga.gov.au/resource/covid-19-vaccine-safety-monitoring-plan</w:t>
        </w:r>
      </w:hyperlink>
      <w:r>
        <w:t>.</w:t>
      </w:r>
    </w:p>
  </w:footnote>
  <w:footnote w:id="22">
    <w:p w14:paraId="59C93DAC" w14:textId="3A17E6C4" w:rsidR="00371630" w:rsidRPr="00896007" w:rsidRDefault="00371630" w:rsidP="00544B4B">
      <w:pPr>
        <w:pStyle w:val="FootnoteText"/>
        <w:rPr>
          <w:lang w:val="en-US"/>
        </w:rPr>
      </w:pPr>
      <w:r>
        <w:rPr>
          <w:rStyle w:val="FootnoteReference"/>
        </w:rPr>
        <w:footnoteRef/>
      </w:r>
      <w:proofErr w:type="spellStart"/>
      <w:r w:rsidRPr="00896007">
        <w:rPr>
          <w:b/>
          <w:lang w:val="en-US"/>
        </w:rPr>
        <w:t>AusVaxSafety</w:t>
      </w:r>
      <w:proofErr w:type="spellEnd"/>
      <w:r>
        <w:rPr>
          <w:lang w:val="en-US"/>
        </w:rPr>
        <w:t>, l</w:t>
      </w:r>
      <w:r w:rsidRPr="00BC087F">
        <w:rPr>
          <w:lang w:val="en-US"/>
        </w:rPr>
        <w:t xml:space="preserve">ed by the National Centre for </w:t>
      </w:r>
      <w:proofErr w:type="spellStart"/>
      <w:r w:rsidRPr="00BC087F">
        <w:rPr>
          <w:lang w:val="en-US"/>
        </w:rPr>
        <w:t>Immunisation</w:t>
      </w:r>
      <w:proofErr w:type="spellEnd"/>
      <w:r w:rsidRPr="00BC087F">
        <w:rPr>
          <w:lang w:val="en-US"/>
        </w:rPr>
        <w:t xml:space="preserve"> Research and Surveillance (NCIRS) and funded by the Australian G</w:t>
      </w:r>
      <w:r>
        <w:rPr>
          <w:lang w:val="en-US"/>
        </w:rPr>
        <w:t xml:space="preserve">overnment Department of Health </w:t>
      </w:r>
      <w:r w:rsidRPr="00BC087F">
        <w:rPr>
          <w:lang w:val="en-US"/>
        </w:rPr>
        <w:t xml:space="preserve">is a national vaccine safety system, established in 2014 to monitor adverse events following </w:t>
      </w:r>
      <w:proofErr w:type="spellStart"/>
      <w:r w:rsidRPr="00BC087F">
        <w:rPr>
          <w:lang w:val="en-US"/>
        </w:rPr>
        <w:t>immunisation</w:t>
      </w:r>
      <w:proofErr w:type="spellEnd"/>
      <w:r w:rsidRPr="00BC087F">
        <w:rPr>
          <w:lang w:val="en-US"/>
        </w:rPr>
        <w:t>.</w:t>
      </w:r>
    </w:p>
  </w:footnote>
  <w:footnote w:id="23">
    <w:p w14:paraId="3AB8AE0B" w14:textId="77777777" w:rsidR="00371630" w:rsidRDefault="00371630" w:rsidP="007C6335">
      <w:pPr>
        <w:spacing w:before="0" w:after="0" w:line="240" w:lineRule="auto"/>
        <w:rPr>
          <w:rFonts w:eastAsia="Times New Roman" w:cs="Calibri"/>
          <w:color w:val="000000"/>
          <w:sz w:val="18"/>
          <w:szCs w:val="18"/>
          <w:lang w:eastAsia="en-AU"/>
        </w:rPr>
      </w:pPr>
      <w:r>
        <w:rPr>
          <w:rStyle w:val="FootnoteReference"/>
        </w:rPr>
        <w:footnoteRef/>
      </w:r>
      <w:r>
        <w:t xml:space="preserve"> </w:t>
      </w:r>
      <w:r w:rsidRPr="007C6335">
        <w:rPr>
          <w:rFonts w:eastAsia="Times New Roman" w:cs="Calibri"/>
          <w:color w:val="000000"/>
          <w:sz w:val="18"/>
          <w:szCs w:val="18"/>
          <w:lang w:eastAsia="en-AU"/>
        </w:rPr>
        <w:t xml:space="preserve">Medicines and other therapeutic goods must comply with applicable standards to be supplied in Australia. Under the Therapeutic Goods Act 1989 prior consent must be given under </w:t>
      </w:r>
      <w:r w:rsidRPr="007C6335">
        <w:rPr>
          <w:rFonts w:eastAsia="Times New Roman" w:cs="Calibri"/>
          <w:b/>
          <w:bCs/>
          <w:color w:val="000000"/>
          <w:sz w:val="18"/>
          <w:szCs w:val="18"/>
          <w:lang w:eastAsia="en-AU"/>
        </w:rPr>
        <w:t>Sections 14 and 14A</w:t>
      </w:r>
      <w:r w:rsidRPr="007C6335">
        <w:rPr>
          <w:rFonts w:eastAsia="Times New Roman" w:cs="Calibri"/>
          <w:color w:val="000000"/>
          <w:sz w:val="18"/>
          <w:szCs w:val="18"/>
          <w:lang w:eastAsia="en-AU"/>
        </w:rPr>
        <w:t xml:space="preserve"> of the Act to the import, export or supply of therapeutic goods that do not comply with an applicable standard. The Secretary can impose conditions on the consent under Section 15 of the Act.</w:t>
      </w:r>
    </w:p>
    <w:p w14:paraId="59469CE2" w14:textId="3920A518" w:rsidR="00371630" w:rsidRPr="007C6335" w:rsidRDefault="00371630" w:rsidP="007C6335">
      <w:pPr>
        <w:spacing w:before="0" w:after="0" w:line="240" w:lineRule="auto"/>
        <w:rPr>
          <w:rFonts w:eastAsia="Times New Roman" w:cs="Calibri"/>
          <w:color w:val="000000"/>
          <w:sz w:val="18"/>
          <w:szCs w:val="18"/>
          <w:lang w:eastAsia="en-AU"/>
        </w:rPr>
      </w:pPr>
      <w:r w:rsidRPr="007C6335">
        <w:rPr>
          <w:rFonts w:eastAsia="Times New Roman" w:cs="Calibri"/>
          <w:color w:val="000000"/>
          <w:sz w:val="18"/>
          <w:szCs w:val="18"/>
          <w:lang w:eastAsia="en-AU"/>
        </w:rPr>
        <w:t xml:space="preserve">Section 14 consent decisions are listed on the TGA website at </w:t>
      </w:r>
      <w:hyperlink r:id="rId7" w:history="1">
        <w:r w:rsidRPr="008C7193">
          <w:rPr>
            <w:rStyle w:val="Hyperlink"/>
            <w:rFonts w:eastAsia="Times New Roman" w:cs="Calibri"/>
            <w:sz w:val="18"/>
            <w:szCs w:val="18"/>
            <w:lang w:eastAsia="en-AU"/>
          </w:rPr>
          <w:t>https://www.tga.gov.au/ws-s14-index</w:t>
        </w:r>
      </w:hyperlink>
      <w:r>
        <w:rPr>
          <w:rFonts w:eastAsia="Times New Roman" w:cs="Calibri"/>
          <w:color w:val="000000"/>
          <w:sz w:val="18"/>
          <w:szCs w:val="18"/>
          <w:lang w:eastAsia="en-AU"/>
        </w:rPr>
        <w:t>.</w:t>
      </w:r>
    </w:p>
  </w:footnote>
  <w:footnote w:id="24">
    <w:p w14:paraId="411ADC30" w14:textId="228B7CDB" w:rsidR="00371630" w:rsidRDefault="00371630">
      <w:pPr>
        <w:pStyle w:val="FootnoteText"/>
      </w:pPr>
      <w:r>
        <w:rPr>
          <w:rStyle w:val="FootnoteReference"/>
        </w:rPr>
        <w:footnoteRef/>
      </w:r>
      <w:r>
        <w:t xml:space="preserve"> </w:t>
      </w:r>
      <w:r w:rsidRPr="008C6F0A">
        <w:t xml:space="preserve">Prior to approval, further information about the efficacy of the vaccine </w:t>
      </w:r>
      <w:proofErr w:type="gramStart"/>
      <w:r w:rsidRPr="008C6F0A">
        <w:t>in regards to</w:t>
      </w:r>
      <w:proofErr w:type="gramEnd"/>
      <w:r w:rsidRPr="008C6F0A">
        <w:t xml:space="preserve"> emerging variants became available. The sponsor was requested to include further information about variants in the PI.</w:t>
      </w:r>
    </w:p>
  </w:footnote>
  <w:footnote w:id="25">
    <w:p w14:paraId="30A64712" w14:textId="77777777" w:rsidR="00371630" w:rsidRDefault="00371630" w:rsidP="00810BB0">
      <w:pPr>
        <w:spacing w:before="0" w:after="0" w:line="240" w:lineRule="auto"/>
        <w:rPr>
          <w:rFonts w:eastAsia="Times New Roman" w:cs="Calibri"/>
          <w:color w:val="000000"/>
          <w:sz w:val="18"/>
          <w:szCs w:val="18"/>
          <w:lang w:eastAsia="en-AU"/>
        </w:rPr>
      </w:pPr>
      <w:r>
        <w:rPr>
          <w:rStyle w:val="FootnoteReference"/>
        </w:rPr>
        <w:footnoteRef/>
      </w:r>
      <w:r w:rsidRPr="00810BB0">
        <w:rPr>
          <w:rFonts w:eastAsia="Times New Roman" w:cs="Calibri"/>
          <w:color w:val="000000"/>
          <w:sz w:val="18"/>
          <w:szCs w:val="18"/>
          <w:lang w:eastAsia="en-AU"/>
        </w:rPr>
        <w:t xml:space="preserve">The </w:t>
      </w:r>
      <w:r w:rsidRPr="00810BB0">
        <w:rPr>
          <w:rFonts w:eastAsia="Times New Roman" w:cs="Calibri"/>
          <w:b/>
          <w:bCs/>
          <w:color w:val="000000"/>
          <w:sz w:val="18"/>
          <w:szCs w:val="18"/>
          <w:lang w:eastAsia="en-AU"/>
        </w:rPr>
        <w:t>Advisory Committee on Vaccines (ACV)</w:t>
      </w:r>
      <w:r w:rsidRPr="00810BB0">
        <w:rPr>
          <w:rFonts w:eastAsia="Times New Roman" w:cs="Calibri"/>
          <w:color w:val="000000"/>
          <w:sz w:val="18"/>
          <w:szCs w:val="18"/>
          <w:lang w:eastAsia="en-AU"/>
        </w:rPr>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w:t>
      </w:r>
      <w:r>
        <w:rPr>
          <w:rFonts w:eastAsia="Times New Roman" w:cs="Calibri"/>
          <w:color w:val="000000"/>
          <w:sz w:val="18"/>
          <w:szCs w:val="18"/>
          <w:lang w:eastAsia="en-AU"/>
        </w:rPr>
        <w:t>s.</w:t>
      </w:r>
    </w:p>
    <w:p w14:paraId="3C585FDA" w14:textId="77777777" w:rsidR="00371630" w:rsidRDefault="00371630" w:rsidP="00810BB0">
      <w:pPr>
        <w:spacing w:before="0" w:after="0" w:line="240" w:lineRule="auto"/>
        <w:rPr>
          <w:rFonts w:eastAsia="Times New Roman" w:cs="Calibri"/>
          <w:color w:val="000000"/>
          <w:sz w:val="18"/>
          <w:szCs w:val="18"/>
          <w:lang w:eastAsia="en-AU"/>
        </w:rPr>
      </w:pPr>
      <w:r w:rsidRPr="00810BB0">
        <w:rPr>
          <w:rFonts w:eastAsia="Times New Roman" w:cs="Calibri"/>
          <w:color w:val="000000"/>
          <w:sz w:val="18"/>
          <w:szCs w:val="18"/>
          <w:lang w:eastAsia="en-AU"/>
        </w:rPr>
        <w:t>The Committee is established under Regulation 39F of the Therapeutic Goods Regulations 1990 and the members are appoint</w:t>
      </w:r>
      <w:r>
        <w:rPr>
          <w:rFonts w:eastAsia="Times New Roman" w:cs="Calibri"/>
          <w:color w:val="000000"/>
          <w:sz w:val="18"/>
          <w:szCs w:val="18"/>
          <w:lang w:eastAsia="en-AU"/>
        </w:rPr>
        <w:t>ed by the Minister for Health.</w:t>
      </w:r>
    </w:p>
    <w:p w14:paraId="2B30B09E" w14:textId="77777777" w:rsidR="00371630" w:rsidRDefault="00371630" w:rsidP="00810BB0">
      <w:pPr>
        <w:spacing w:before="0" w:after="0" w:line="240" w:lineRule="auto"/>
        <w:rPr>
          <w:rFonts w:eastAsia="Times New Roman" w:cs="Calibri"/>
          <w:color w:val="000000"/>
          <w:sz w:val="18"/>
          <w:szCs w:val="18"/>
          <w:lang w:eastAsia="en-AU"/>
        </w:rPr>
      </w:pPr>
      <w:r w:rsidRPr="00810BB0">
        <w:rPr>
          <w:rFonts w:eastAsia="Times New Roman" w:cs="Calibri"/>
          <w:color w:val="000000"/>
          <w:sz w:val="18"/>
          <w:szCs w:val="18"/>
          <w:lang w:eastAsia="en-AU"/>
        </w:rPr>
        <w:t xml:space="preserve">The ACV was established in January 2017, following consolidation of previous functions of the Advisory Committee on the Safety of Vaccines (ACSOV) and the pre-market functions for vaccines of the Advisory Committee on </w:t>
      </w:r>
      <w:r>
        <w:rPr>
          <w:rFonts w:eastAsia="Times New Roman" w:cs="Calibri"/>
          <w:color w:val="000000"/>
          <w:sz w:val="18"/>
          <w:szCs w:val="18"/>
          <w:lang w:eastAsia="en-AU"/>
        </w:rPr>
        <w:t>Prescription Medicines (ACPM).</w:t>
      </w:r>
    </w:p>
    <w:p w14:paraId="16E8628D" w14:textId="2FF3254A" w:rsidR="00371630" w:rsidRPr="00810BB0" w:rsidRDefault="00371630" w:rsidP="00810BB0">
      <w:pPr>
        <w:spacing w:before="0" w:after="0" w:line="240" w:lineRule="auto"/>
        <w:rPr>
          <w:rFonts w:eastAsia="Times New Roman" w:cs="Calibri"/>
          <w:color w:val="000000"/>
          <w:sz w:val="18"/>
          <w:szCs w:val="18"/>
          <w:lang w:eastAsia="en-AU"/>
        </w:rPr>
      </w:pPr>
      <w:r w:rsidRPr="00810BB0">
        <w:rPr>
          <w:rFonts w:eastAsia="Times New Roman" w:cs="Calibri"/>
          <w:color w:val="000000"/>
          <w:sz w:val="18"/>
          <w:szCs w:val="18"/>
          <w:lang w:eastAsia="en-AU"/>
        </w:rPr>
        <w:t xml:space="preserve">Membership comprises professionals with expertise in specific scientific, </w:t>
      </w:r>
      <w:proofErr w:type="gramStart"/>
      <w:r w:rsidRPr="00810BB0">
        <w:rPr>
          <w:rFonts w:eastAsia="Times New Roman" w:cs="Calibri"/>
          <w:color w:val="000000"/>
          <w:sz w:val="18"/>
          <w:szCs w:val="18"/>
          <w:lang w:eastAsia="en-AU"/>
        </w:rPr>
        <w:t>medical</w:t>
      </w:r>
      <w:proofErr w:type="gramEnd"/>
      <w:r w:rsidRPr="00810BB0">
        <w:rPr>
          <w:rFonts w:eastAsia="Times New Roman" w:cs="Calibri"/>
          <w:color w:val="000000"/>
          <w:sz w:val="18"/>
          <w:szCs w:val="18"/>
          <w:lang w:eastAsia="en-AU"/>
        </w:rPr>
        <w:t xml:space="preserve"> or clinical fields, or consumer health issues.</w:t>
      </w:r>
    </w:p>
  </w:footnote>
  <w:footnote w:id="26">
    <w:p w14:paraId="36E0D65C" w14:textId="04BB4145" w:rsidR="00371630" w:rsidRDefault="00371630">
      <w:pPr>
        <w:pStyle w:val="FootnoteText"/>
      </w:pPr>
      <w:r>
        <w:rPr>
          <w:rStyle w:val="FootnoteReference"/>
        </w:rPr>
        <w:footnoteRef/>
      </w:r>
      <w:r>
        <w:t xml:space="preserve"> Australian Government Department of Health COVID-19 Vaccine and Treatment Strategy, available at </w:t>
      </w:r>
      <w:hyperlink r:id="rId8" w:history="1">
        <w:r w:rsidRPr="00352217">
          <w:rPr>
            <w:rStyle w:val="Hyperlink"/>
          </w:rPr>
          <w:t>https://www.health.gov.au/initiatives-and-programs/covid-19-vaccines/about-covid-19-vaccines/covid-19-vaccine-and-treatment-strategy</w:t>
        </w:r>
      </w:hyperlink>
      <w:r>
        <w:t>, page last updated 27 January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0EE9E" w14:textId="77777777" w:rsidR="00371630" w:rsidRDefault="003716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904DA" w14:textId="77777777" w:rsidR="00371630" w:rsidRDefault="00371630"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74908" w14:textId="77777777" w:rsidR="00371630" w:rsidRDefault="00371630">
    <w:pPr>
      <w:rPr>
        <w:noProof/>
        <w:lang w:eastAsia="en-AU"/>
      </w:rPr>
    </w:pPr>
    <w:r w:rsidRPr="00347824">
      <w:rPr>
        <w:noProof/>
        <w:lang w:eastAsia="en-AU"/>
      </w:rPr>
      <w:drawing>
        <wp:anchor distT="0" distB="0" distL="114300" distR="114300" simplePos="0" relativeHeight="251659264" behindDoc="1" locked="0" layoutInCell="1" allowOverlap="1" wp14:anchorId="22303E8A" wp14:editId="2FDBE73C">
          <wp:simplePos x="0" y="0"/>
          <wp:positionH relativeFrom="column">
            <wp:posOffset>-1089660</wp:posOffset>
          </wp:positionH>
          <wp:positionV relativeFrom="paragraph">
            <wp:posOffset>-585470</wp:posOffset>
          </wp:positionV>
          <wp:extent cx="7572375" cy="10706100"/>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52977F9" w14:textId="77777777" w:rsidR="00371630" w:rsidRDefault="00371630" w:rsidP="00593AD1">
    <w:pPr>
      <w:pStyle w:val="HeaderNoLine"/>
    </w:pPr>
    <w:r>
      <w:rPr>
        <w:noProof/>
        <w:lang w:eastAsia="en-AU"/>
      </w:rPr>
      <w:drawing>
        <wp:inline distT="0" distB="0" distL="0" distR="0" wp14:anchorId="2242BDFE" wp14:editId="757F80E7">
          <wp:extent cx="5400675" cy="7639050"/>
          <wp:effectExtent l="0" t="0" r="9525" b="0"/>
          <wp:docPr id="15" name="Picture 1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4B473" w14:textId="77777777" w:rsidR="00371630" w:rsidRDefault="003716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6BDB3" w14:textId="77777777" w:rsidR="00371630" w:rsidRDefault="0037163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63EC3" w14:textId="77777777" w:rsidR="00371630" w:rsidRDefault="00371630">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EC207" w14:textId="77777777" w:rsidR="00371630" w:rsidRDefault="003716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7B724" w14:textId="77777777" w:rsidR="00371630" w:rsidRDefault="00371630"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07BE" w14:textId="77777777" w:rsidR="00371630" w:rsidRDefault="00371630" w:rsidP="006E08B3">
    <w:r>
      <w:t>Therapeutic Goods Administration</w:t>
    </w:r>
  </w:p>
  <w:p w14:paraId="5645FB75" w14:textId="77777777" w:rsidR="00371630" w:rsidRDefault="00371630"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DE5AC8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7181E68"/>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793C774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29F47E0"/>
    <w:multiLevelType w:val="multilevel"/>
    <w:tmpl w:val="2DBE3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6A5270B"/>
    <w:multiLevelType w:val="hybridMultilevel"/>
    <w:tmpl w:val="CD6ADA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3B628726"/>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7B7B9A"/>
    <w:multiLevelType w:val="hybridMultilevel"/>
    <w:tmpl w:val="323210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1B594B"/>
    <w:multiLevelType w:val="hybridMultilevel"/>
    <w:tmpl w:val="D29E6EF8"/>
    <w:lvl w:ilvl="0" w:tplc="D57CA7E6">
      <w:start w:val="27"/>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71E49DD"/>
    <w:multiLevelType w:val="hybridMultilevel"/>
    <w:tmpl w:val="D77EBFFE"/>
    <w:lvl w:ilvl="0" w:tplc="2334F6D4">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8"/>
  </w:num>
  <w:num w:numId="29">
    <w:abstractNumId w:val="8"/>
  </w:num>
  <w:num w:numId="30">
    <w:abstractNumId w:val="12"/>
  </w:num>
  <w:num w:numId="31">
    <w:abstractNumId w:val="6"/>
  </w:num>
  <w:num w:numId="32">
    <w:abstractNumId w:val="16"/>
  </w:num>
  <w:num w:numId="33">
    <w:abstractNumId w:val="13"/>
  </w:num>
  <w:num w:numId="34">
    <w:abstractNumId w:val="10"/>
  </w:num>
  <w:num w:numId="35">
    <w:abstractNumId w:val="4"/>
  </w:num>
  <w:num w:numId="36">
    <w:abstractNumId w:val="11"/>
  </w:num>
  <w:num w:numId="37">
    <w:abstractNumId w:val="17"/>
  </w:num>
  <w:num w:numId="38">
    <w:abstractNumId w:val="14"/>
  </w:num>
  <w:num w:numId="39">
    <w:abstractNumId w:val="5"/>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53FE"/>
    <w:rsid w:val="00002031"/>
    <w:rsid w:val="00004734"/>
    <w:rsid w:val="00006B22"/>
    <w:rsid w:val="00006FAB"/>
    <w:rsid w:val="0001276A"/>
    <w:rsid w:val="000246AE"/>
    <w:rsid w:val="00025C67"/>
    <w:rsid w:val="00043E02"/>
    <w:rsid w:val="00044772"/>
    <w:rsid w:val="0004541C"/>
    <w:rsid w:val="00054485"/>
    <w:rsid w:val="0005559E"/>
    <w:rsid w:val="000604D6"/>
    <w:rsid w:val="00070AD0"/>
    <w:rsid w:val="000734D8"/>
    <w:rsid w:val="00077775"/>
    <w:rsid w:val="000830E9"/>
    <w:rsid w:val="00083FB2"/>
    <w:rsid w:val="00090471"/>
    <w:rsid w:val="00096AA7"/>
    <w:rsid w:val="000A3AED"/>
    <w:rsid w:val="000B0881"/>
    <w:rsid w:val="000B3532"/>
    <w:rsid w:val="000B3A75"/>
    <w:rsid w:val="000B5A08"/>
    <w:rsid w:val="000C00C2"/>
    <w:rsid w:val="000C3693"/>
    <w:rsid w:val="000C402A"/>
    <w:rsid w:val="000C690F"/>
    <w:rsid w:val="000D1295"/>
    <w:rsid w:val="000D163C"/>
    <w:rsid w:val="000D391B"/>
    <w:rsid w:val="000D3D6D"/>
    <w:rsid w:val="000D4FC7"/>
    <w:rsid w:val="000E6196"/>
    <w:rsid w:val="000F4869"/>
    <w:rsid w:val="000F5B42"/>
    <w:rsid w:val="000F6E6F"/>
    <w:rsid w:val="0010601F"/>
    <w:rsid w:val="0010788A"/>
    <w:rsid w:val="00107A31"/>
    <w:rsid w:val="00110EA5"/>
    <w:rsid w:val="00112F56"/>
    <w:rsid w:val="00120794"/>
    <w:rsid w:val="00122C2E"/>
    <w:rsid w:val="00124ACD"/>
    <w:rsid w:val="00125318"/>
    <w:rsid w:val="001305A2"/>
    <w:rsid w:val="00133238"/>
    <w:rsid w:val="00133A1B"/>
    <w:rsid w:val="0014197B"/>
    <w:rsid w:val="001447CD"/>
    <w:rsid w:val="001510DA"/>
    <w:rsid w:val="001516B1"/>
    <w:rsid w:val="00152CAE"/>
    <w:rsid w:val="00154DAF"/>
    <w:rsid w:val="00154EBB"/>
    <w:rsid w:val="00156316"/>
    <w:rsid w:val="00161181"/>
    <w:rsid w:val="00162D14"/>
    <w:rsid w:val="00163780"/>
    <w:rsid w:val="00165389"/>
    <w:rsid w:val="001751AE"/>
    <w:rsid w:val="0017693F"/>
    <w:rsid w:val="0018110E"/>
    <w:rsid w:val="00181684"/>
    <w:rsid w:val="001843C6"/>
    <w:rsid w:val="001850E0"/>
    <w:rsid w:val="001A03AF"/>
    <w:rsid w:val="001A2158"/>
    <w:rsid w:val="001A525F"/>
    <w:rsid w:val="001A64CF"/>
    <w:rsid w:val="001B09F9"/>
    <w:rsid w:val="001B5C90"/>
    <w:rsid w:val="001B6448"/>
    <w:rsid w:val="001C32CD"/>
    <w:rsid w:val="001D05A6"/>
    <w:rsid w:val="001D2984"/>
    <w:rsid w:val="001E07CF"/>
    <w:rsid w:val="001E59F1"/>
    <w:rsid w:val="001E5C4D"/>
    <w:rsid w:val="001E6229"/>
    <w:rsid w:val="001F2671"/>
    <w:rsid w:val="001F2CEE"/>
    <w:rsid w:val="001F49EB"/>
    <w:rsid w:val="001F6B70"/>
    <w:rsid w:val="001F6CBA"/>
    <w:rsid w:val="001F7EA2"/>
    <w:rsid w:val="002011E3"/>
    <w:rsid w:val="00201D4E"/>
    <w:rsid w:val="00203124"/>
    <w:rsid w:val="00205AA8"/>
    <w:rsid w:val="002076C9"/>
    <w:rsid w:val="00220B8A"/>
    <w:rsid w:val="00221A34"/>
    <w:rsid w:val="002257F3"/>
    <w:rsid w:val="0023139B"/>
    <w:rsid w:val="00233456"/>
    <w:rsid w:val="002339A5"/>
    <w:rsid w:val="00235870"/>
    <w:rsid w:val="002479B8"/>
    <w:rsid w:val="00250271"/>
    <w:rsid w:val="0025115E"/>
    <w:rsid w:val="002543E8"/>
    <w:rsid w:val="00255451"/>
    <w:rsid w:val="00255F77"/>
    <w:rsid w:val="00257848"/>
    <w:rsid w:val="002578E8"/>
    <w:rsid w:val="0027084A"/>
    <w:rsid w:val="00270D31"/>
    <w:rsid w:val="00280265"/>
    <w:rsid w:val="002847AB"/>
    <w:rsid w:val="00284D08"/>
    <w:rsid w:val="00286434"/>
    <w:rsid w:val="00286C59"/>
    <w:rsid w:val="00287688"/>
    <w:rsid w:val="00291957"/>
    <w:rsid w:val="002942D1"/>
    <w:rsid w:val="0029501A"/>
    <w:rsid w:val="0029586A"/>
    <w:rsid w:val="002A3721"/>
    <w:rsid w:val="002B1638"/>
    <w:rsid w:val="002B3624"/>
    <w:rsid w:val="002B5DB1"/>
    <w:rsid w:val="002D0952"/>
    <w:rsid w:val="002D21D4"/>
    <w:rsid w:val="002D3B9B"/>
    <w:rsid w:val="002E40B3"/>
    <w:rsid w:val="002E4C9A"/>
    <w:rsid w:val="002E4D8D"/>
    <w:rsid w:val="002F087E"/>
    <w:rsid w:val="002F11F8"/>
    <w:rsid w:val="002F3F56"/>
    <w:rsid w:val="002F44B5"/>
    <w:rsid w:val="002F5122"/>
    <w:rsid w:val="00311AC0"/>
    <w:rsid w:val="003176FC"/>
    <w:rsid w:val="00324E45"/>
    <w:rsid w:val="0032583B"/>
    <w:rsid w:val="00327883"/>
    <w:rsid w:val="00331D66"/>
    <w:rsid w:val="00332072"/>
    <w:rsid w:val="00335504"/>
    <w:rsid w:val="003357D0"/>
    <w:rsid w:val="003368CB"/>
    <w:rsid w:val="00340C18"/>
    <w:rsid w:val="003442FD"/>
    <w:rsid w:val="00347824"/>
    <w:rsid w:val="0034785E"/>
    <w:rsid w:val="00350567"/>
    <w:rsid w:val="003521E8"/>
    <w:rsid w:val="00362F1B"/>
    <w:rsid w:val="003700DD"/>
    <w:rsid w:val="00370CE3"/>
    <w:rsid w:val="00371630"/>
    <w:rsid w:val="003728F3"/>
    <w:rsid w:val="003735BC"/>
    <w:rsid w:val="0037496E"/>
    <w:rsid w:val="00383221"/>
    <w:rsid w:val="00385046"/>
    <w:rsid w:val="00385BF1"/>
    <w:rsid w:val="00386150"/>
    <w:rsid w:val="003874CE"/>
    <w:rsid w:val="00390900"/>
    <w:rsid w:val="003A586F"/>
    <w:rsid w:val="003A6B9D"/>
    <w:rsid w:val="003A7F6C"/>
    <w:rsid w:val="003B4D60"/>
    <w:rsid w:val="003B7A50"/>
    <w:rsid w:val="003B7E39"/>
    <w:rsid w:val="003C58DC"/>
    <w:rsid w:val="003C5CBC"/>
    <w:rsid w:val="003D1E62"/>
    <w:rsid w:val="003D5889"/>
    <w:rsid w:val="003E0B99"/>
    <w:rsid w:val="003E2486"/>
    <w:rsid w:val="003E3208"/>
    <w:rsid w:val="003F0B04"/>
    <w:rsid w:val="003F12DD"/>
    <w:rsid w:val="0040134E"/>
    <w:rsid w:val="004152B3"/>
    <w:rsid w:val="0042250B"/>
    <w:rsid w:val="0042498E"/>
    <w:rsid w:val="004334C7"/>
    <w:rsid w:val="00435394"/>
    <w:rsid w:val="0044054F"/>
    <w:rsid w:val="00440A2D"/>
    <w:rsid w:val="00441C3F"/>
    <w:rsid w:val="00444D1A"/>
    <w:rsid w:val="00446BCE"/>
    <w:rsid w:val="0045186A"/>
    <w:rsid w:val="004564A7"/>
    <w:rsid w:val="00456765"/>
    <w:rsid w:val="00460036"/>
    <w:rsid w:val="004617BF"/>
    <w:rsid w:val="00463658"/>
    <w:rsid w:val="004637A0"/>
    <w:rsid w:val="004722CC"/>
    <w:rsid w:val="004807EF"/>
    <w:rsid w:val="00490483"/>
    <w:rsid w:val="004936E4"/>
    <w:rsid w:val="00494E60"/>
    <w:rsid w:val="00497487"/>
    <w:rsid w:val="00497873"/>
    <w:rsid w:val="004A2771"/>
    <w:rsid w:val="004A6189"/>
    <w:rsid w:val="004A7390"/>
    <w:rsid w:val="004B5DB7"/>
    <w:rsid w:val="004B7B76"/>
    <w:rsid w:val="004C239D"/>
    <w:rsid w:val="004C2DCA"/>
    <w:rsid w:val="004C4FBE"/>
    <w:rsid w:val="004C61D2"/>
    <w:rsid w:val="004D530C"/>
    <w:rsid w:val="004E5A83"/>
    <w:rsid w:val="004E6A3A"/>
    <w:rsid w:val="004F0C4A"/>
    <w:rsid w:val="004F0F38"/>
    <w:rsid w:val="004F47D6"/>
    <w:rsid w:val="00500337"/>
    <w:rsid w:val="00501921"/>
    <w:rsid w:val="005068E9"/>
    <w:rsid w:val="005229E6"/>
    <w:rsid w:val="0052353D"/>
    <w:rsid w:val="00524CFF"/>
    <w:rsid w:val="00530354"/>
    <w:rsid w:val="00535A2C"/>
    <w:rsid w:val="0053625B"/>
    <w:rsid w:val="005434C6"/>
    <w:rsid w:val="00543B39"/>
    <w:rsid w:val="005449E3"/>
    <w:rsid w:val="00544B4B"/>
    <w:rsid w:val="00546154"/>
    <w:rsid w:val="00550096"/>
    <w:rsid w:val="00553BC3"/>
    <w:rsid w:val="00555280"/>
    <w:rsid w:val="00557FF9"/>
    <w:rsid w:val="00562327"/>
    <w:rsid w:val="00567778"/>
    <w:rsid w:val="005711D5"/>
    <w:rsid w:val="00576378"/>
    <w:rsid w:val="00577130"/>
    <w:rsid w:val="00577945"/>
    <w:rsid w:val="00577E38"/>
    <w:rsid w:val="005839A7"/>
    <w:rsid w:val="00585322"/>
    <w:rsid w:val="005857C6"/>
    <w:rsid w:val="00592F6E"/>
    <w:rsid w:val="00593AD1"/>
    <w:rsid w:val="005A68B6"/>
    <w:rsid w:val="005C2845"/>
    <w:rsid w:val="005C5570"/>
    <w:rsid w:val="005C5B66"/>
    <w:rsid w:val="005C79A4"/>
    <w:rsid w:val="005D5442"/>
    <w:rsid w:val="005E112B"/>
    <w:rsid w:val="005E552C"/>
    <w:rsid w:val="006005D8"/>
    <w:rsid w:val="00603F32"/>
    <w:rsid w:val="006047F3"/>
    <w:rsid w:val="00604F0C"/>
    <w:rsid w:val="00605AD4"/>
    <w:rsid w:val="006136D7"/>
    <w:rsid w:val="006162E6"/>
    <w:rsid w:val="00623ECD"/>
    <w:rsid w:val="00625A6E"/>
    <w:rsid w:val="00632398"/>
    <w:rsid w:val="00640FC3"/>
    <w:rsid w:val="00642020"/>
    <w:rsid w:val="006430EE"/>
    <w:rsid w:val="0065337B"/>
    <w:rsid w:val="0065419D"/>
    <w:rsid w:val="00657C54"/>
    <w:rsid w:val="006603BC"/>
    <w:rsid w:val="006604D8"/>
    <w:rsid w:val="00660A66"/>
    <w:rsid w:val="00664A5B"/>
    <w:rsid w:val="0066735C"/>
    <w:rsid w:val="00674361"/>
    <w:rsid w:val="006763D2"/>
    <w:rsid w:val="00680C08"/>
    <w:rsid w:val="006916A0"/>
    <w:rsid w:val="006931B1"/>
    <w:rsid w:val="006964D1"/>
    <w:rsid w:val="00697673"/>
    <w:rsid w:val="006A15C0"/>
    <w:rsid w:val="006A3366"/>
    <w:rsid w:val="006A3E91"/>
    <w:rsid w:val="006A58A8"/>
    <w:rsid w:val="006C3E2A"/>
    <w:rsid w:val="006C4945"/>
    <w:rsid w:val="006C642F"/>
    <w:rsid w:val="006C723A"/>
    <w:rsid w:val="006D03E5"/>
    <w:rsid w:val="006D5D3E"/>
    <w:rsid w:val="006D6C6C"/>
    <w:rsid w:val="006E08B3"/>
    <w:rsid w:val="006F17AC"/>
    <w:rsid w:val="006F25B8"/>
    <w:rsid w:val="006F572E"/>
    <w:rsid w:val="0070290C"/>
    <w:rsid w:val="007046D6"/>
    <w:rsid w:val="00705DB0"/>
    <w:rsid w:val="007133F9"/>
    <w:rsid w:val="007218B4"/>
    <w:rsid w:val="00722B57"/>
    <w:rsid w:val="007243A2"/>
    <w:rsid w:val="0072466A"/>
    <w:rsid w:val="00730F8A"/>
    <w:rsid w:val="00735A8C"/>
    <w:rsid w:val="00740CC0"/>
    <w:rsid w:val="0074253D"/>
    <w:rsid w:val="007432AB"/>
    <w:rsid w:val="00744121"/>
    <w:rsid w:val="0074429B"/>
    <w:rsid w:val="00751382"/>
    <w:rsid w:val="007615BC"/>
    <w:rsid w:val="00761971"/>
    <w:rsid w:val="00762F05"/>
    <w:rsid w:val="007652FF"/>
    <w:rsid w:val="00766F89"/>
    <w:rsid w:val="007679E2"/>
    <w:rsid w:val="00770630"/>
    <w:rsid w:val="00770CAC"/>
    <w:rsid w:val="00770EF1"/>
    <w:rsid w:val="00773EF7"/>
    <w:rsid w:val="00774E1D"/>
    <w:rsid w:val="007765D8"/>
    <w:rsid w:val="0077675A"/>
    <w:rsid w:val="00780355"/>
    <w:rsid w:val="007819FD"/>
    <w:rsid w:val="00781C98"/>
    <w:rsid w:val="007847B1"/>
    <w:rsid w:val="00785717"/>
    <w:rsid w:val="00785721"/>
    <w:rsid w:val="0079145C"/>
    <w:rsid w:val="00793A59"/>
    <w:rsid w:val="00795BC4"/>
    <w:rsid w:val="00795D61"/>
    <w:rsid w:val="007A46F5"/>
    <w:rsid w:val="007A6505"/>
    <w:rsid w:val="007B6132"/>
    <w:rsid w:val="007B6E9F"/>
    <w:rsid w:val="007C1216"/>
    <w:rsid w:val="007C1AF7"/>
    <w:rsid w:val="007C5D2E"/>
    <w:rsid w:val="007C6335"/>
    <w:rsid w:val="007C6B9B"/>
    <w:rsid w:val="007D53B6"/>
    <w:rsid w:val="007E1B0D"/>
    <w:rsid w:val="007E7392"/>
    <w:rsid w:val="00800E2F"/>
    <w:rsid w:val="00804163"/>
    <w:rsid w:val="00805D27"/>
    <w:rsid w:val="00806DCB"/>
    <w:rsid w:val="00810BB0"/>
    <w:rsid w:val="00817D33"/>
    <w:rsid w:val="00821776"/>
    <w:rsid w:val="008321F5"/>
    <w:rsid w:val="00832369"/>
    <w:rsid w:val="0083376F"/>
    <w:rsid w:val="00834660"/>
    <w:rsid w:val="00836BC2"/>
    <w:rsid w:val="00836EF3"/>
    <w:rsid w:val="0085156D"/>
    <w:rsid w:val="00852B28"/>
    <w:rsid w:val="0085641B"/>
    <w:rsid w:val="00857136"/>
    <w:rsid w:val="00865465"/>
    <w:rsid w:val="008705AB"/>
    <w:rsid w:val="008753FE"/>
    <w:rsid w:val="00875A6B"/>
    <w:rsid w:val="008834DD"/>
    <w:rsid w:val="00885B11"/>
    <w:rsid w:val="00886D15"/>
    <w:rsid w:val="00887DD8"/>
    <w:rsid w:val="00890D30"/>
    <w:rsid w:val="008912FE"/>
    <w:rsid w:val="00891BA9"/>
    <w:rsid w:val="00892CD0"/>
    <w:rsid w:val="00896007"/>
    <w:rsid w:val="00896018"/>
    <w:rsid w:val="008960DD"/>
    <w:rsid w:val="0089635C"/>
    <w:rsid w:val="008A0E4A"/>
    <w:rsid w:val="008A2B9D"/>
    <w:rsid w:val="008A3D9F"/>
    <w:rsid w:val="008A5E0B"/>
    <w:rsid w:val="008A6D59"/>
    <w:rsid w:val="008B4B03"/>
    <w:rsid w:val="008B596F"/>
    <w:rsid w:val="008C159F"/>
    <w:rsid w:val="008C1623"/>
    <w:rsid w:val="008C1850"/>
    <w:rsid w:val="008C3402"/>
    <w:rsid w:val="008C51A9"/>
    <w:rsid w:val="008C6F0A"/>
    <w:rsid w:val="008E40EE"/>
    <w:rsid w:val="008E7846"/>
    <w:rsid w:val="008F02E5"/>
    <w:rsid w:val="008F1CCC"/>
    <w:rsid w:val="008F24B8"/>
    <w:rsid w:val="008F2967"/>
    <w:rsid w:val="008F676A"/>
    <w:rsid w:val="008F6943"/>
    <w:rsid w:val="00902A21"/>
    <w:rsid w:val="0091523F"/>
    <w:rsid w:val="00920330"/>
    <w:rsid w:val="00921502"/>
    <w:rsid w:val="009219D7"/>
    <w:rsid w:val="00922581"/>
    <w:rsid w:val="00922D53"/>
    <w:rsid w:val="00923B70"/>
    <w:rsid w:val="00924482"/>
    <w:rsid w:val="00930237"/>
    <w:rsid w:val="00937C17"/>
    <w:rsid w:val="00940A89"/>
    <w:rsid w:val="00940F87"/>
    <w:rsid w:val="00941F77"/>
    <w:rsid w:val="00946D08"/>
    <w:rsid w:val="00946EA5"/>
    <w:rsid w:val="00951CFA"/>
    <w:rsid w:val="009568AB"/>
    <w:rsid w:val="00960520"/>
    <w:rsid w:val="00963C08"/>
    <w:rsid w:val="009674B3"/>
    <w:rsid w:val="009731FC"/>
    <w:rsid w:val="009752A5"/>
    <w:rsid w:val="00980204"/>
    <w:rsid w:val="00982F38"/>
    <w:rsid w:val="0098585A"/>
    <w:rsid w:val="00986953"/>
    <w:rsid w:val="0099014E"/>
    <w:rsid w:val="00990178"/>
    <w:rsid w:val="009A15A8"/>
    <w:rsid w:val="009A4926"/>
    <w:rsid w:val="009A4CED"/>
    <w:rsid w:val="009A690D"/>
    <w:rsid w:val="009B1D12"/>
    <w:rsid w:val="009B416B"/>
    <w:rsid w:val="009C4BD5"/>
    <w:rsid w:val="009D5AD5"/>
    <w:rsid w:val="009D5DC4"/>
    <w:rsid w:val="009D7B77"/>
    <w:rsid w:val="009E0BB0"/>
    <w:rsid w:val="009E3FBB"/>
    <w:rsid w:val="009F7353"/>
    <w:rsid w:val="00A04F85"/>
    <w:rsid w:val="00A05FA4"/>
    <w:rsid w:val="00A102E4"/>
    <w:rsid w:val="00A1219C"/>
    <w:rsid w:val="00A12C42"/>
    <w:rsid w:val="00A14DF7"/>
    <w:rsid w:val="00A22D57"/>
    <w:rsid w:val="00A3228C"/>
    <w:rsid w:val="00A3246D"/>
    <w:rsid w:val="00A36FA7"/>
    <w:rsid w:val="00A44DDB"/>
    <w:rsid w:val="00A475B7"/>
    <w:rsid w:val="00A47AF7"/>
    <w:rsid w:val="00A47C3E"/>
    <w:rsid w:val="00A50226"/>
    <w:rsid w:val="00A5065A"/>
    <w:rsid w:val="00A55223"/>
    <w:rsid w:val="00A56F05"/>
    <w:rsid w:val="00A57744"/>
    <w:rsid w:val="00A60BAD"/>
    <w:rsid w:val="00A70B0B"/>
    <w:rsid w:val="00A76236"/>
    <w:rsid w:val="00A77F87"/>
    <w:rsid w:val="00A80B5B"/>
    <w:rsid w:val="00A8128F"/>
    <w:rsid w:val="00A84E36"/>
    <w:rsid w:val="00A964D1"/>
    <w:rsid w:val="00A97894"/>
    <w:rsid w:val="00AA095B"/>
    <w:rsid w:val="00AA0ED0"/>
    <w:rsid w:val="00AA133C"/>
    <w:rsid w:val="00AC2B40"/>
    <w:rsid w:val="00AC2BB2"/>
    <w:rsid w:val="00AC2C3C"/>
    <w:rsid w:val="00AC512D"/>
    <w:rsid w:val="00AD0083"/>
    <w:rsid w:val="00AD1F69"/>
    <w:rsid w:val="00AD308C"/>
    <w:rsid w:val="00AD3935"/>
    <w:rsid w:val="00AE65EB"/>
    <w:rsid w:val="00AE67A7"/>
    <w:rsid w:val="00AF1D94"/>
    <w:rsid w:val="00AF60C5"/>
    <w:rsid w:val="00B009C6"/>
    <w:rsid w:val="00B01548"/>
    <w:rsid w:val="00B03FB7"/>
    <w:rsid w:val="00B130C5"/>
    <w:rsid w:val="00B13EBD"/>
    <w:rsid w:val="00B21D29"/>
    <w:rsid w:val="00B23D2A"/>
    <w:rsid w:val="00B24867"/>
    <w:rsid w:val="00B25034"/>
    <w:rsid w:val="00B33588"/>
    <w:rsid w:val="00B33863"/>
    <w:rsid w:val="00B37D17"/>
    <w:rsid w:val="00B4175E"/>
    <w:rsid w:val="00B41C85"/>
    <w:rsid w:val="00B452CE"/>
    <w:rsid w:val="00B46039"/>
    <w:rsid w:val="00B54C25"/>
    <w:rsid w:val="00B56139"/>
    <w:rsid w:val="00B66C0C"/>
    <w:rsid w:val="00B7158C"/>
    <w:rsid w:val="00B76B91"/>
    <w:rsid w:val="00B76EF2"/>
    <w:rsid w:val="00B77EB1"/>
    <w:rsid w:val="00B803EA"/>
    <w:rsid w:val="00B811C6"/>
    <w:rsid w:val="00B833F8"/>
    <w:rsid w:val="00B855B0"/>
    <w:rsid w:val="00B902E4"/>
    <w:rsid w:val="00B92E08"/>
    <w:rsid w:val="00B95078"/>
    <w:rsid w:val="00BA4F3A"/>
    <w:rsid w:val="00BB1150"/>
    <w:rsid w:val="00BC040A"/>
    <w:rsid w:val="00BC087F"/>
    <w:rsid w:val="00BC622A"/>
    <w:rsid w:val="00BE0A78"/>
    <w:rsid w:val="00BE39FD"/>
    <w:rsid w:val="00BE79F0"/>
    <w:rsid w:val="00BF046D"/>
    <w:rsid w:val="00BF1190"/>
    <w:rsid w:val="00BF3774"/>
    <w:rsid w:val="00BF5D04"/>
    <w:rsid w:val="00C009AA"/>
    <w:rsid w:val="00C1164D"/>
    <w:rsid w:val="00C16861"/>
    <w:rsid w:val="00C244A6"/>
    <w:rsid w:val="00C346AB"/>
    <w:rsid w:val="00C404A6"/>
    <w:rsid w:val="00C40A36"/>
    <w:rsid w:val="00C43E2D"/>
    <w:rsid w:val="00C44419"/>
    <w:rsid w:val="00C45E7B"/>
    <w:rsid w:val="00C471B1"/>
    <w:rsid w:val="00C525A2"/>
    <w:rsid w:val="00C52E24"/>
    <w:rsid w:val="00C5339A"/>
    <w:rsid w:val="00C6316B"/>
    <w:rsid w:val="00C634A9"/>
    <w:rsid w:val="00C64586"/>
    <w:rsid w:val="00C70A36"/>
    <w:rsid w:val="00C70D53"/>
    <w:rsid w:val="00C73D0B"/>
    <w:rsid w:val="00C74A5F"/>
    <w:rsid w:val="00C74B6C"/>
    <w:rsid w:val="00C74F5C"/>
    <w:rsid w:val="00C772FF"/>
    <w:rsid w:val="00C80137"/>
    <w:rsid w:val="00C801AF"/>
    <w:rsid w:val="00C80256"/>
    <w:rsid w:val="00C8531E"/>
    <w:rsid w:val="00C86D41"/>
    <w:rsid w:val="00C930BB"/>
    <w:rsid w:val="00C93E43"/>
    <w:rsid w:val="00C94CD4"/>
    <w:rsid w:val="00C9747E"/>
    <w:rsid w:val="00CA039C"/>
    <w:rsid w:val="00CB05FC"/>
    <w:rsid w:val="00CB1C21"/>
    <w:rsid w:val="00CB6BC0"/>
    <w:rsid w:val="00CC1B7C"/>
    <w:rsid w:val="00CC2D41"/>
    <w:rsid w:val="00CC2F77"/>
    <w:rsid w:val="00CC727F"/>
    <w:rsid w:val="00CD586D"/>
    <w:rsid w:val="00CE0E8A"/>
    <w:rsid w:val="00CE5B4B"/>
    <w:rsid w:val="00CF15C3"/>
    <w:rsid w:val="00CF2B6F"/>
    <w:rsid w:val="00CF2F3E"/>
    <w:rsid w:val="00CF58B6"/>
    <w:rsid w:val="00CF5DAD"/>
    <w:rsid w:val="00D0062D"/>
    <w:rsid w:val="00D017ED"/>
    <w:rsid w:val="00D040D3"/>
    <w:rsid w:val="00D04C65"/>
    <w:rsid w:val="00D06C97"/>
    <w:rsid w:val="00D153D8"/>
    <w:rsid w:val="00D178CE"/>
    <w:rsid w:val="00D201D2"/>
    <w:rsid w:val="00D224FE"/>
    <w:rsid w:val="00D23139"/>
    <w:rsid w:val="00D2619F"/>
    <w:rsid w:val="00D353B0"/>
    <w:rsid w:val="00D425BB"/>
    <w:rsid w:val="00D453FA"/>
    <w:rsid w:val="00D476B3"/>
    <w:rsid w:val="00D515FF"/>
    <w:rsid w:val="00D51FA9"/>
    <w:rsid w:val="00D55C87"/>
    <w:rsid w:val="00D60C23"/>
    <w:rsid w:val="00D6493E"/>
    <w:rsid w:val="00D7195D"/>
    <w:rsid w:val="00D7301E"/>
    <w:rsid w:val="00D83AE1"/>
    <w:rsid w:val="00D84D93"/>
    <w:rsid w:val="00D855D4"/>
    <w:rsid w:val="00D87314"/>
    <w:rsid w:val="00D902C9"/>
    <w:rsid w:val="00D90C10"/>
    <w:rsid w:val="00D93466"/>
    <w:rsid w:val="00DA1124"/>
    <w:rsid w:val="00DA64CB"/>
    <w:rsid w:val="00DB06B8"/>
    <w:rsid w:val="00DB3646"/>
    <w:rsid w:val="00DB417B"/>
    <w:rsid w:val="00DB6124"/>
    <w:rsid w:val="00DB750B"/>
    <w:rsid w:val="00DB75B7"/>
    <w:rsid w:val="00DC0A2F"/>
    <w:rsid w:val="00DC1948"/>
    <w:rsid w:val="00DC6E02"/>
    <w:rsid w:val="00DC7F14"/>
    <w:rsid w:val="00DD28CD"/>
    <w:rsid w:val="00DD4D81"/>
    <w:rsid w:val="00DD63A5"/>
    <w:rsid w:val="00DD7C8F"/>
    <w:rsid w:val="00DE02AE"/>
    <w:rsid w:val="00DE39D1"/>
    <w:rsid w:val="00DE7972"/>
    <w:rsid w:val="00DF15F2"/>
    <w:rsid w:val="00DF1C58"/>
    <w:rsid w:val="00DF1D7F"/>
    <w:rsid w:val="00DF4BE4"/>
    <w:rsid w:val="00E016E8"/>
    <w:rsid w:val="00E02382"/>
    <w:rsid w:val="00E02FB4"/>
    <w:rsid w:val="00E13FC7"/>
    <w:rsid w:val="00E20571"/>
    <w:rsid w:val="00E235F7"/>
    <w:rsid w:val="00E23659"/>
    <w:rsid w:val="00E239D4"/>
    <w:rsid w:val="00E26130"/>
    <w:rsid w:val="00E33D42"/>
    <w:rsid w:val="00E36F11"/>
    <w:rsid w:val="00E40B22"/>
    <w:rsid w:val="00E44ED1"/>
    <w:rsid w:val="00E453AE"/>
    <w:rsid w:val="00E45619"/>
    <w:rsid w:val="00E4588F"/>
    <w:rsid w:val="00E46DA3"/>
    <w:rsid w:val="00E51BB1"/>
    <w:rsid w:val="00E51FE8"/>
    <w:rsid w:val="00E55CB0"/>
    <w:rsid w:val="00E60A2A"/>
    <w:rsid w:val="00E624A5"/>
    <w:rsid w:val="00E63E15"/>
    <w:rsid w:val="00E64BA4"/>
    <w:rsid w:val="00E71B0A"/>
    <w:rsid w:val="00E72C6F"/>
    <w:rsid w:val="00E7344E"/>
    <w:rsid w:val="00E81740"/>
    <w:rsid w:val="00E82665"/>
    <w:rsid w:val="00E95ABD"/>
    <w:rsid w:val="00E96F97"/>
    <w:rsid w:val="00EA127E"/>
    <w:rsid w:val="00EB0798"/>
    <w:rsid w:val="00EB1E98"/>
    <w:rsid w:val="00EB40AD"/>
    <w:rsid w:val="00EB586E"/>
    <w:rsid w:val="00EB5FC8"/>
    <w:rsid w:val="00EC463D"/>
    <w:rsid w:val="00EC4E2A"/>
    <w:rsid w:val="00EC7A85"/>
    <w:rsid w:val="00ED2922"/>
    <w:rsid w:val="00ED3091"/>
    <w:rsid w:val="00ED3CAD"/>
    <w:rsid w:val="00ED3CD2"/>
    <w:rsid w:val="00ED5A41"/>
    <w:rsid w:val="00EE1DE8"/>
    <w:rsid w:val="00EE27C2"/>
    <w:rsid w:val="00EE6AEE"/>
    <w:rsid w:val="00EF4BAD"/>
    <w:rsid w:val="00EF59DC"/>
    <w:rsid w:val="00F033EC"/>
    <w:rsid w:val="00F04F68"/>
    <w:rsid w:val="00F12670"/>
    <w:rsid w:val="00F12FA9"/>
    <w:rsid w:val="00F14B27"/>
    <w:rsid w:val="00F3148D"/>
    <w:rsid w:val="00F325C5"/>
    <w:rsid w:val="00F32FE0"/>
    <w:rsid w:val="00F35298"/>
    <w:rsid w:val="00F47333"/>
    <w:rsid w:val="00F47E37"/>
    <w:rsid w:val="00F53C07"/>
    <w:rsid w:val="00F54B65"/>
    <w:rsid w:val="00F63DBF"/>
    <w:rsid w:val="00F640B6"/>
    <w:rsid w:val="00F64D48"/>
    <w:rsid w:val="00F66893"/>
    <w:rsid w:val="00F66DF2"/>
    <w:rsid w:val="00F70378"/>
    <w:rsid w:val="00F80E40"/>
    <w:rsid w:val="00F848D9"/>
    <w:rsid w:val="00F87618"/>
    <w:rsid w:val="00FA5069"/>
    <w:rsid w:val="00FA51AA"/>
    <w:rsid w:val="00FA5B82"/>
    <w:rsid w:val="00FA639E"/>
    <w:rsid w:val="00FB2EE0"/>
    <w:rsid w:val="00FC0AC9"/>
    <w:rsid w:val="00FC1FCA"/>
    <w:rsid w:val="00FC25E4"/>
    <w:rsid w:val="00FC4EF7"/>
    <w:rsid w:val="00FD0824"/>
    <w:rsid w:val="00FD119B"/>
    <w:rsid w:val="00FD19BA"/>
    <w:rsid w:val="00FD1EDC"/>
    <w:rsid w:val="00FE1DEE"/>
    <w:rsid w:val="00FF2126"/>
    <w:rsid w:val="00FF4D4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3CB109"/>
  <w15:docId w15:val="{1E61FE09-F633-4094-821B-1F7CB8444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9789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385046"/>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D84D93"/>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6A3366"/>
    <w:pPr>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rsid w:val="006A3366"/>
    <w:rPr>
      <w:rFonts w:ascii="Cambria" w:eastAsia="Times New Roman" w:hAnsi="Cambria" w:cs="Times New Roman"/>
      <w:snapToGrid w:val="0"/>
      <w:kern w:val="16"/>
      <w:szCs w:val="24"/>
    </w:rPr>
  </w:style>
  <w:style w:type="character" w:customStyle="1" w:styleId="TabletextChar">
    <w:name w:val="Table text Char"/>
    <w:basedOn w:val="DefaultParagraphFont"/>
    <w:link w:val="Tabletext"/>
    <w:rsid w:val="001A64CF"/>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1A64CF"/>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1A64CF"/>
    <w:rPr>
      <w:rFonts w:ascii="Cambria" w:eastAsia="Times New Roman" w:hAnsi="Cambria" w:cs="Times New Roman"/>
      <w:b/>
      <w:snapToGrid w:val="0"/>
      <w:kern w:val="16"/>
      <w:sz w:val="20"/>
      <w:szCs w:val="24"/>
    </w:rPr>
  </w:style>
  <w:style w:type="paragraph" w:customStyle="1" w:styleId="Bulletpoint">
    <w:name w:val="Bullet point"/>
    <w:basedOn w:val="Normal"/>
    <w:rsid w:val="00CE0E8A"/>
    <w:pPr>
      <w:numPr>
        <w:numId w:val="3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TableParagraph">
    <w:name w:val="Table Paragraph"/>
    <w:basedOn w:val="Normal"/>
    <w:uiPriority w:val="1"/>
    <w:qFormat/>
    <w:rsid w:val="006D6C6C"/>
    <w:pPr>
      <w:widowControl w:val="0"/>
      <w:autoSpaceDE w:val="0"/>
      <w:autoSpaceDN w:val="0"/>
      <w:spacing w:before="38" w:after="0" w:line="240" w:lineRule="auto"/>
      <w:jc w:val="center"/>
    </w:pPr>
    <w:rPr>
      <w:rFonts w:ascii="Times New Roman" w:eastAsia="Times New Roman" w:hAnsi="Times New Roman"/>
      <w:lang w:val="en-US"/>
    </w:rPr>
  </w:style>
  <w:style w:type="paragraph" w:customStyle="1" w:styleId="Default">
    <w:name w:val="Default"/>
    <w:rsid w:val="00D515FF"/>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51199">
      <w:bodyDiv w:val="1"/>
      <w:marLeft w:val="0"/>
      <w:marRight w:val="0"/>
      <w:marTop w:val="0"/>
      <w:marBottom w:val="0"/>
      <w:divBdr>
        <w:top w:val="none" w:sz="0" w:space="0" w:color="auto"/>
        <w:left w:val="none" w:sz="0" w:space="0" w:color="auto"/>
        <w:bottom w:val="none" w:sz="0" w:space="0" w:color="auto"/>
        <w:right w:val="none" w:sz="0" w:space="0" w:color="auto"/>
      </w:divBdr>
    </w:div>
    <w:div w:id="268005360">
      <w:bodyDiv w:val="1"/>
      <w:marLeft w:val="0"/>
      <w:marRight w:val="0"/>
      <w:marTop w:val="0"/>
      <w:marBottom w:val="0"/>
      <w:divBdr>
        <w:top w:val="none" w:sz="0" w:space="0" w:color="auto"/>
        <w:left w:val="none" w:sz="0" w:space="0" w:color="auto"/>
        <w:bottom w:val="none" w:sz="0" w:space="0" w:color="auto"/>
        <w:right w:val="none" w:sz="0" w:space="0" w:color="auto"/>
      </w:divBdr>
    </w:div>
    <w:div w:id="542863813">
      <w:bodyDiv w:val="1"/>
      <w:marLeft w:val="0"/>
      <w:marRight w:val="0"/>
      <w:marTop w:val="0"/>
      <w:marBottom w:val="0"/>
      <w:divBdr>
        <w:top w:val="none" w:sz="0" w:space="0" w:color="auto"/>
        <w:left w:val="none" w:sz="0" w:space="0" w:color="auto"/>
        <w:bottom w:val="none" w:sz="0" w:space="0" w:color="auto"/>
        <w:right w:val="none" w:sz="0" w:space="0" w:color="auto"/>
      </w:divBdr>
    </w:div>
    <w:div w:id="660624207">
      <w:bodyDiv w:val="1"/>
      <w:marLeft w:val="0"/>
      <w:marRight w:val="0"/>
      <w:marTop w:val="0"/>
      <w:marBottom w:val="0"/>
      <w:divBdr>
        <w:top w:val="none" w:sz="0" w:space="0" w:color="auto"/>
        <w:left w:val="none" w:sz="0" w:space="0" w:color="auto"/>
        <w:bottom w:val="none" w:sz="0" w:space="0" w:color="auto"/>
        <w:right w:val="none" w:sz="0" w:space="0" w:color="auto"/>
      </w:divBdr>
    </w:div>
    <w:div w:id="766581001">
      <w:bodyDiv w:val="1"/>
      <w:marLeft w:val="0"/>
      <w:marRight w:val="0"/>
      <w:marTop w:val="0"/>
      <w:marBottom w:val="0"/>
      <w:divBdr>
        <w:top w:val="none" w:sz="0" w:space="0" w:color="auto"/>
        <w:left w:val="none" w:sz="0" w:space="0" w:color="auto"/>
        <w:bottom w:val="none" w:sz="0" w:space="0" w:color="auto"/>
        <w:right w:val="none" w:sz="0" w:space="0" w:color="auto"/>
      </w:divBdr>
    </w:div>
    <w:div w:id="957834158">
      <w:bodyDiv w:val="1"/>
      <w:marLeft w:val="0"/>
      <w:marRight w:val="0"/>
      <w:marTop w:val="0"/>
      <w:marBottom w:val="0"/>
      <w:divBdr>
        <w:top w:val="none" w:sz="0" w:space="0" w:color="auto"/>
        <w:left w:val="none" w:sz="0" w:space="0" w:color="auto"/>
        <w:bottom w:val="none" w:sz="0" w:space="0" w:color="auto"/>
        <w:right w:val="none" w:sz="0" w:space="0" w:color="auto"/>
      </w:divBdr>
    </w:div>
    <w:div w:id="1027414933">
      <w:bodyDiv w:val="1"/>
      <w:marLeft w:val="0"/>
      <w:marRight w:val="0"/>
      <w:marTop w:val="0"/>
      <w:marBottom w:val="0"/>
      <w:divBdr>
        <w:top w:val="none" w:sz="0" w:space="0" w:color="auto"/>
        <w:left w:val="none" w:sz="0" w:space="0" w:color="auto"/>
        <w:bottom w:val="none" w:sz="0" w:space="0" w:color="auto"/>
        <w:right w:val="none" w:sz="0" w:space="0" w:color="auto"/>
      </w:divBdr>
    </w:div>
    <w:div w:id="1190726664">
      <w:bodyDiv w:val="1"/>
      <w:marLeft w:val="0"/>
      <w:marRight w:val="0"/>
      <w:marTop w:val="0"/>
      <w:marBottom w:val="0"/>
      <w:divBdr>
        <w:top w:val="none" w:sz="0" w:space="0" w:color="auto"/>
        <w:left w:val="none" w:sz="0" w:space="0" w:color="auto"/>
        <w:bottom w:val="none" w:sz="0" w:space="0" w:color="auto"/>
        <w:right w:val="none" w:sz="0" w:space="0" w:color="auto"/>
      </w:divBdr>
    </w:div>
    <w:div w:id="1367635542">
      <w:bodyDiv w:val="1"/>
      <w:marLeft w:val="0"/>
      <w:marRight w:val="0"/>
      <w:marTop w:val="0"/>
      <w:marBottom w:val="0"/>
      <w:divBdr>
        <w:top w:val="none" w:sz="0" w:space="0" w:color="auto"/>
        <w:left w:val="none" w:sz="0" w:space="0" w:color="auto"/>
        <w:bottom w:val="none" w:sz="0" w:space="0" w:color="auto"/>
        <w:right w:val="none" w:sz="0" w:space="0" w:color="auto"/>
      </w:divBdr>
    </w:div>
    <w:div w:id="1547185359">
      <w:bodyDiv w:val="1"/>
      <w:marLeft w:val="0"/>
      <w:marRight w:val="0"/>
      <w:marTop w:val="0"/>
      <w:marBottom w:val="0"/>
      <w:divBdr>
        <w:top w:val="none" w:sz="0" w:space="0" w:color="auto"/>
        <w:left w:val="none" w:sz="0" w:space="0" w:color="auto"/>
        <w:bottom w:val="none" w:sz="0" w:space="0" w:color="auto"/>
        <w:right w:val="none" w:sz="0" w:space="0" w:color="auto"/>
      </w:divBdr>
    </w:div>
    <w:div w:id="1721244234">
      <w:bodyDiv w:val="1"/>
      <w:marLeft w:val="0"/>
      <w:marRight w:val="0"/>
      <w:marTop w:val="0"/>
      <w:marBottom w:val="0"/>
      <w:divBdr>
        <w:top w:val="none" w:sz="0" w:space="0" w:color="auto"/>
        <w:left w:val="none" w:sz="0" w:space="0" w:color="auto"/>
        <w:bottom w:val="none" w:sz="0" w:space="0" w:color="auto"/>
        <w:right w:val="none" w:sz="0" w:space="0" w:color="auto"/>
      </w:divBdr>
    </w:div>
    <w:div w:id="1763988312">
      <w:bodyDiv w:val="1"/>
      <w:marLeft w:val="0"/>
      <w:marRight w:val="0"/>
      <w:marTop w:val="0"/>
      <w:marBottom w:val="0"/>
      <w:divBdr>
        <w:top w:val="none" w:sz="0" w:space="0" w:color="auto"/>
        <w:left w:val="none" w:sz="0" w:space="0" w:color="auto"/>
        <w:bottom w:val="none" w:sz="0" w:space="0" w:color="auto"/>
        <w:right w:val="none" w:sz="0" w:space="0" w:color="auto"/>
      </w:divBdr>
    </w:div>
    <w:div w:id="182466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hyperlink" Target="https://www.tga.gov.au/guidance-7-certified-product-details" TargetMode="External"/><Relationship Id="rId26" Type="http://schemas.openxmlformats.org/officeDocument/2006/relationships/image" Target="media/image8.png"/><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www.tga.gov.au/product-information-pi" TargetMode="Externa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vaccines@health.gov.au" TargetMode="External"/><Relationship Id="rId25" Type="http://schemas.openxmlformats.org/officeDocument/2006/relationships/image" Target="media/image7.png"/><Relationship Id="rId33" Type="http://schemas.openxmlformats.org/officeDocument/2006/relationships/hyperlink" Target="mailto:Vaccines@health.gov.au" TargetMode="External"/><Relationship Id="rId38" Type="http://schemas.openxmlformats.org/officeDocument/2006/relationships/footer" Target="footer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hyperlink" Target="mailto:Vaccines@health.gov.au" TargetMode="External"/><Relationship Id="rId29" Type="http://schemas.openxmlformats.org/officeDocument/2006/relationships/image" Target="media/image11.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s://www.tga.gov.au/form/certified-product-details-cpd-biological-prescription-medicines" TargetMode="External"/><Relationship Id="rId37" Type="http://schemas.openxmlformats.org/officeDocument/2006/relationships/header" Target="header6.xml"/><Relationship Id="rId40" Type="http://schemas.openxmlformats.org/officeDocument/2006/relationships/hyperlink" Target="https://www.tga.gov.au"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www.tga.gov.au/form/certified-product-details-cpd-biological-prescription-medicines" TargetMode="External"/><Relationship Id="rId31" Type="http://schemas.openxmlformats.org/officeDocument/2006/relationships/hyperlink" Target="https://www.tga.gov.au/guidance-7-certified-product-details" TargetMode="Externa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mailto:vaccines@health.gov.au" TargetMode="External"/><Relationship Id="rId35" Type="http://schemas.openxmlformats.org/officeDocument/2006/relationships/header" Target="header4.xm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initiatives-and-programs/covid-19-vaccines/about-covid-19-vaccines/covid-19-vaccine-and-treatment-strategy" TargetMode="External"/><Relationship Id="rId3" Type="http://schemas.openxmlformats.org/officeDocument/2006/relationships/hyperlink" Target="https://www.tga.gov.au/auspar/auspar-remdesivir" TargetMode="External"/><Relationship Id="rId7" Type="http://schemas.openxmlformats.org/officeDocument/2006/relationships/hyperlink" Target="https://www.tga.gov.au/ws-s14-index" TargetMode="External"/><Relationship Id="rId2" Type="http://schemas.openxmlformats.org/officeDocument/2006/relationships/hyperlink" Target="https://covid19.who.int/" TargetMode="External"/><Relationship Id="rId1" Type="http://schemas.openxmlformats.org/officeDocument/2006/relationships/hyperlink" Target="https://www.who.int/feeds/entity/dg/speeches/en/rss.xml" TargetMode="External"/><Relationship Id="rId6" Type="http://schemas.openxmlformats.org/officeDocument/2006/relationships/hyperlink" Target="https://www.tga.gov.au/resource/covid-19-vaccine-safety-monitoring-plan" TargetMode="External"/><Relationship Id="rId5" Type="http://schemas.openxmlformats.org/officeDocument/2006/relationships/hyperlink" Target="http://www.ogtr.gov.au/internet/ogtr/publishing.nsf/Content/dir180" TargetMode="External"/><Relationship Id="rId4" Type="http://schemas.openxmlformats.org/officeDocument/2006/relationships/hyperlink" Target="https://www.tga.gov.au/auspar/auspar-bnt162b2-mrna-comirnaty"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DE196-4EA0-4E2A-B6C1-CAEFF8AD3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49</Pages>
  <Words>15968</Words>
  <Characters>91022</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Australian public assessment report for ChAdOx1-S - COVID-19 Vaccine AstraZeneca</vt:lpstr>
    </vt:vector>
  </TitlesOfParts>
  <Company>Department of Health Therapeutic Goods Administration</Company>
  <LinksUpToDate>false</LinksUpToDate>
  <CharactersWithSpaces>106777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ChAdOx1-S - COVID-19 Vaccine AstraZeneca</dc:title>
  <dc:subject>prescription medicines</dc:subject>
  <dc:creator>Therapeutic Goods Administration</dc:creator>
  <cp:keywords/>
  <cp:lastPrinted>2021-02-08T01:55:00Z</cp:lastPrinted>
  <dcterms:created xsi:type="dcterms:W3CDTF">2021-02-17T01:21:00Z</dcterms:created>
  <dcterms:modified xsi:type="dcterms:W3CDTF">2021-10-18T23:43:00Z</dcterms:modified>
  <cp:category/>
</cp:coreProperties>
</file>