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9C1B2" w14:textId="09688B87" w:rsidR="00375DF3" w:rsidRPr="00377337" w:rsidRDefault="009D6010" w:rsidP="003B7CFF">
      <w:pPr>
        <w:pStyle w:val="Paragraph"/>
      </w:pPr>
      <w:r w:rsidRPr="00377337">
        <w:rPr>
          <w:noProof/>
          <w:lang w:val="en-AU" w:eastAsia="en-AU"/>
        </w:rPr>
        <mc:AlternateContent>
          <mc:Choice Requires="wps">
            <w:drawing>
              <wp:inline distT="0" distB="0" distL="0" distR="0" wp14:anchorId="1FAD7A3D" wp14:editId="5D372BF5">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6ADB5" w14:textId="77777777" w:rsidR="00AE493C" w:rsidRPr="00BE2A26" w:rsidRDefault="00AE493C"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wps:wsp>
                  </a:graphicData>
                </a:graphic>
              </wp:inline>
            </w:drawing>
          </mc:Choice>
          <mc:Fallback>
            <w:pict>
              <v:shapetype w14:anchorId="1FAD7A3D"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" stroked="f">
                <v:textbox inset="0,0,0,0">
                  <w:txbxContent>
                    <w:p w14:paraId="68C6ADB5" w14:textId="77777777" w:rsidR="00AE493C" w:rsidRPr="00BE2A26" w:rsidRDefault="00AE493C"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BD55E8">
        <w:t xml:space="preserve">This </w:t>
      </w:r>
      <w:r w:rsidR="00246FC8" w:rsidRPr="00BD55E8">
        <w:t>vaccine</w:t>
      </w:r>
      <w:r w:rsidR="001A3992" w:rsidRPr="00BD55E8">
        <w:t xml:space="preserve"> is subject</w:t>
      </w:r>
      <w:r w:rsidR="001A3992" w:rsidRPr="00377337">
        <w:t xml:space="preserve"> to additional monitoring in Australia. This will allow quick identification of new safety information. Healthcare professionals </w:t>
      </w:r>
      <w:proofErr w:type="gramStart"/>
      <w:r w:rsidR="001A3992" w:rsidRPr="00377337">
        <w:t>are asked</w:t>
      </w:r>
      <w:proofErr w:type="gramEnd"/>
      <w:r w:rsidR="001A3992" w:rsidRPr="00377337">
        <w:t xml:space="preserve"> to report any suspected adverse events at</w:t>
      </w:r>
      <w:r w:rsidR="008958C0">
        <w:t xml:space="preserve"> www.tga.gov.au/reporting-problems.</w:t>
      </w:r>
    </w:p>
    <w:p w14:paraId="1EF9C1B3" w14:textId="77777777" w:rsidR="00ED27EC" w:rsidRDefault="009D6010" w:rsidP="22E45948">
      <w:pPr>
        <w:pStyle w:val="Heading1Unnumbered"/>
        <w:rPr>
          <w:rFonts w:eastAsia="SimSun"/>
        </w:rPr>
      </w:pPr>
      <w:r w:rsidRPr="59FB4B11">
        <w:rPr>
          <w:rFonts w:eastAsia="SimSun"/>
        </w:rPr>
        <w:t>Australian P</w:t>
      </w:r>
      <w:r w:rsidR="00A32E10" w:rsidRPr="59FB4B11">
        <w:rPr>
          <w:rFonts w:eastAsia="SimSun"/>
        </w:rPr>
        <w:t xml:space="preserve">RODUCT </w:t>
      </w:r>
      <w:r w:rsidRPr="59FB4B11">
        <w:rPr>
          <w:rFonts w:eastAsia="SimSun"/>
        </w:rPr>
        <w:t>I</w:t>
      </w:r>
      <w:r w:rsidR="00A32E10" w:rsidRPr="59FB4B11">
        <w:rPr>
          <w:rFonts w:eastAsia="SimSun"/>
        </w:rPr>
        <w:t>NFORMATION</w:t>
      </w:r>
    </w:p>
    <w:p w14:paraId="1EF9C1B4" w14:textId="0E6FABF5" w:rsidR="006018AE" w:rsidRPr="00377337" w:rsidRDefault="009D6010" w:rsidP="00ED27EC">
      <w:pPr>
        <w:pStyle w:val="Heading1Unnumbered"/>
        <w:rPr>
          <w:rFonts w:eastAsia="SimSun"/>
        </w:rPr>
      </w:pPr>
      <w:r w:rsidRPr="00B179C4">
        <w:rPr>
          <w:rFonts w:eastAsia="SimSun"/>
          <w:caps w:val="0"/>
        </w:rPr>
        <w:t xml:space="preserve">COVID-19 </w:t>
      </w:r>
      <w:r w:rsidR="006C5479">
        <w:rPr>
          <w:rFonts w:eastAsia="SimSun"/>
          <w:caps w:val="0"/>
        </w:rPr>
        <w:t xml:space="preserve">Vaccine AstraZeneca </w:t>
      </w:r>
      <w:r w:rsidR="00C85970">
        <w:rPr>
          <w:rFonts w:eastAsia="SimSun"/>
        </w:rPr>
        <w:br/>
      </w:r>
      <w:r w:rsidR="00A32E10" w:rsidRPr="00C354E8">
        <w:rPr>
          <w:rFonts w:eastAsia="SimSun"/>
        </w:rPr>
        <w:t>(</w:t>
      </w:r>
      <w:r w:rsidRPr="00C354E8">
        <w:rPr>
          <w:rFonts w:eastAsia="SimSun"/>
          <w:caps w:val="0"/>
        </w:rPr>
        <w:t>ChAdOx1-S</w:t>
      </w:r>
      <w:r w:rsidR="009F1C41" w:rsidRPr="00C354E8">
        <w:rPr>
          <w:rFonts w:eastAsia="SimSun"/>
          <w:caps w:val="0"/>
        </w:rPr>
        <w:t>)</w:t>
      </w:r>
      <w:r w:rsidRPr="00C354E8">
        <w:rPr>
          <w:rFonts w:eastAsia="SimSun"/>
          <w:caps w:val="0"/>
        </w:rPr>
        <w:t xml:space="preserve"> solution</w:t>
      </w:r>
      <w:r>
        <w:rPr>
          <w:rFonts w:eastAsia="SimSun"/>
          <w:caps w:val="0"/>
        </w:rPr>
        <w:t xml:space="preserve"> for injection</w:t>
      </w:r>
    </w:p>
    <w:p w14:paraId="1EF9C1B5" w14:textId="77777777" w:rsidR="001A3992" w:rsidRDefault="009D6010" w:rsidP="00EE3AC8">
      <w:pPr>
        <w:pStyle w:val="Heading1"/>
      </w:pPr>
      <w:r w:rsidRPr="00377337">
        <w:t>Name of the medicine</w:t>
      </w:r>
    </w:p>
    <w:p w14:paraId="1EF9C1B6" w14:textId="139363C3" w:rsidR="0080644B" w:rsidRPr="0080644B" w:rsidRDefault="00992C96" w:rsidP="0080644B">
      <w:pPr>
        <w:pStyle w:val="Paragraph"/>
      </w:pPr>
      <w:r w:rsidRPr="00B12677">
        <w:t>ChAdOx1-S</w:t>
      </w:r>
      <w:r w:rsidR="009D6010" w:rsidRPr="00B12677">
        <w:t xml:space="preserve"> (provisional ABN)</w:t>
      </w:r>
    </w:p>
    <w:p w14:paraId="1EF9C1B7" w14:textId="0ABD6B6D" w:rsidR="001A3992" w:rsidRDefault="009D6010" w:rsidP="00EE3AC8">
      <w:pPr>
        <w:pStyle w:val="Heading1"/>
      </w:pPr>
      <w:bookmarkStart w:id="0" w:name="_Ref505770391"/>
      <w:r w:rsidRPr="00377337">
        <w:t>Qualitative and quantitative composition</w:t>
      </w:r>
      <w:bookmarkEnd w:id="0"/>
    </w:p>
    <w:p w14:paraId="1EF9C1B8" w14:textId="1FCEDC9D" w:rsidR="005F3843" w:rsidRPr="00C354E8" w:rsidRDefault="009D6010" w:rsidP="005F3843">
      <w:pPr>
        <w:pStyle w:val="Paragraph"/>
      </w:pPr>
      <w:r>
        <w:t xml:space="preserve">Each </w:t>
      </w:r>
      <w:r w:rsidR="000B24AA">
        <w:t xml:space="preserve">multi-dose vial contains </w:t>
      </w:r>
      <w:r w:rsidR="000B24AA" w:rsidRPr="000B24AA">
        <w:t>5x10</w:t>
      </w:r>
      <w:r w:rsidR="000B24AA" w:rsidRPr="000B24AA">
        <w:rPr>
          <w:vertAlign w:val="superscript"/>
        </w:rPr>
        <w:t>11</w:t>
      </w:r>
      <w:r w:rsidR="000B24AA" w:rsidRPr="000B24AA">
        <w:t xml:space="preserve"> v</w:t>
      </w:r>
      <w:r w:rsidR="000B24AA">
        <w:t xml:space="preserve">iral </w:t>
      </w:r>
      <w:r w:rsidR="000B24AA" w:rsidRPr="000B24AA">
        <w:t>p</w:t>
      </w:r>
      <w:r w:rsidR="000B24AA">
        <w:t>articles (</w:t>
      </w:r>
      <w:proofErr w:type="spellStart"/>
      <w:proofErr w:type="gramStart"/>
      <w:r w:rsidR="000B24AA">
        <w:t>vp</w:t>
      </w:r>
      <w:proofErr w:type="spellEnd"/>
      <w:proofErr w:type="gramEnd"/>
      <w:r w:rsidR="000B24AA">
        <w:t xml:space="preserve">) </w:t>
      </w:r>
      <w:r w:rsidR="000B24AA" w:rsidRPr="00C354E8">
        <w:t>of (ChAdOx1-S</w:t>
      </w:r>
      <w:r w:rsidR="009F1C41" w:rsidRPr="00C354E8">
        <w:t xml:space="preserve"> </w:t>
      </w:r>
      <w:r w:rsidR="009F1C41" w:rsidRPr="00C354E8">
        <w:rPr>
          <w:vertAlign w:val="superscript"/>
        </w:rPr>
        <w:t>a, b</w:t>
      </w:r>
      <w:r w:rsidR="000B24AA" w:rsidRPr="00C354E8">
        <w:t>) in 5 </w:t>
      </w:r>
      <w:proofErr w:type="spellStart"/>
      <w:r w:rsidR="000B24AA" w:rsidRPr="00C354E8">
        <w:t>mL.</w:t>
      </w:r>
      <w:proofErr w:type="spellEnd"/>
    </w:p>
    <w:p w14:paraId="1EF9C1B9" w14:textId="77777777" w:rsidR="000B24AA" w:rsidRDefault="009D6010" w:rsidP="005F3843">
      <w:pPr>
        <w:pStyle w:val="Paragraph"/>
      </w:pPr>
      <w:r w:rsidRPr="00C354E8">
        <w:t>One dose (0.5 mL)</w:t>
      </w:r>
      <w:r w:rsidR="00372AE0" w:rsidRPr="00C354E8">
        <w:t xml:space="preserve"> contains </w:t>
      </w:r>
      <w:r w:rsidRPr="00C354E8">
        <w:t>5x10</w:t>
      </w:r>
      <w:r w:rsidRPr="00C354E8">
        <w:rPr>
          <w:vertAlign w:val="superscript"/>
        </w:rPr>
        <w:t>10</w:t>
      </w:r>
      <w:r w:rsidRPr="00C354E8">
        <w:t xml:space="preserve"> </w:t>
      </w:r>
      <w:proofErr w:type="spellStart"/>
      <w:proofErr w:type="gramStart"/>
      <w:r w:rsidR="00372AE0" w:rsidRPr="00C354E8">
        <w:t>vp</w:t>
      </w:r>
      <w:proofErr w:type="spellEnd"/>
      <w:proofErr w:type="gramEnd"/>
      <w:r w:rsidR="00372AE0" w:rsidRPr="00C354E8">
        <w:t xml:space="preserve"> of (ChAdOx1-S</w:t>
      </w:r>
      <w:r w:rsidRPr="00C354E8">
        <w:rPr>
          <w:vertAlign w:val="superscript"/>
        </w:rPr>
        <w:t xml:space="preserve"> a, b</w:t>
      </w:r>
      <w:r w:rsidR="00372AE0" w:rsidRPr="00C354E8">
        <w:t>).</w:t>
      </w:r>
    </w:p>
    <w:p w14:paraId="1EF9C1BA" w14:textId="43155B5C" w:rsidR="009F1C41" w:rsidRPr="00E86F92" w:rsidRDefault="009D6010" w:rsidP="009F1C41">
      <w:pPr>
        <w:pStyle w:val="TableFootnoteLetter"/>
      </w:pPr>
      <w:r w:rsidRPr="00E86F92">
        <w:t xml:space="preserve">Recombinant, replication-deficient chimpanzee adenovirus vector </w:t>
      </w:r>
      <w:r w:rsidR="002043AA" w:rsidRPr="00E86F92">
        <w:t xml:space="preserve">encoding </w:t>
      </w:r>
      <w:r w:rsidRPr="00E86F92">
        <w:t>the SARS-CoV-2 Spike (S) glycoprotein (GP)</w:t>
      </w:r>
    </w:p>
    <w:p w14:paraId="1EF9C1BB" w14:textId="26F6B559" w:rsidR="009F1C41" w:rsidRPr="00BC7898" w:rsidRDefault="009D6010" w:rsidP="009F1C41">
      <w:pPr>
        <w:pStyle w:val="TableFootnoteLetter"/>
      </w:pPr>
      <w:bookmarkStart w:id="1" w:name="_Hlk63775549"/>
      <w:r w:rsidRPr="00E86F92">
        <w:t xml:space="preserve">The vaccine </w:t>
      </w:r>
      <w:r w:rsidR="0051294E" w:rsidRPr="00E86F92">
        <w:t>is</w:t>
      </w:r>
      <w:r w:rsidRPr="00E86F92">
        <w:t xml:space="preserve"> manufactured using material </w:t>
      </w:r>
      <w:r w:rsidR="0051294E" w:rsidRPr="00E86F92">
        <w:t xml:space="preserve">originally </w:t>
      </w:r>
      <w:r w:rsidRPr="00E86F92">
        <w:t>sourced from a human embryo (Human Embryonic Kidney cells: HEK293)</w:t>
      </w:r>
      <w:bookmarkEnd w:id="1"/>
      <w:r w:rsidR="00992C96" w:rsidRPr="00BC7898">
        <w:t xml:space="preserve"> </w:t>
      </w:r>
    </w:p>
    <w:p w14:paraId="1EF9C1BC" w14:textId="77777777" w:rsidR="009F1C41" w:rsidRPr="005F3843" w:rsidRDefault="009F1C41" w:rsidP="00992C96">
      <w:pPr>
        <w:pStyle w:val="Paragraph"/>
      </w:pPr>
    </w:p>
    <w:p w14:paraId="1EF9C1BD" w14:textId="79F6FC90" w:rsidR="00992C96" w:rsidRDefault="009D6010" w:rsidP="00ED27EC">
      <w:pPr>
        <w:pStyle w:val="Paragraph"/>
        <w:rPr>
          <w:rFonts w:eastAsia="SimSun"/>
        </w:rPr>
      </w:pPr>
      <w:bookmarkStart w:id="2" w:name="_Hlk505357644"/>
      <w:r w:rsidRPr="00992C96">
        <w:rPr>
          <w:rFonts w:eastAsia="SimSun"/>
        </w:rPr>
        <w:t>This product contains genetically modified organisms (GMOs).</w:t>
      </w:r>
    </w:p>
    <w:p w14:paraId="1EF9C1BE" w14:textId="77777777" w:rsidR="00ED27EC" w:rsidRDefault="009D6010" w:rsidP="00ED27EC">
      <w:pPr>
        <w:pStyle w:val="Paragraph"/>
        <w:rPr>
          <w:rFonts w:eastAsia="SimSun"/>
        </w:rPr>
      </w:pPr>
      <w:r w:rsidRPr="007228AC">
        <w:rPr>
          <w:rFonts w:eastAsia="SimSun"/>
        </w:rPr>
        <w:t xml:space="preserve">For the full list of excipients, see Section </w:t>
      </w:r>
      <w:r w:rsidRPr="007228AC">
        <w:rPr>
          <w:rFonts w:eastAsia="SimSun"/>
        </w:rPr>
        <w:fldChar w:fldCharType="begin"/>
      </w:r>
      <w:r w:rsidRPr="007228AC">
        <w:rPr>
          <w:rFonts w:eastAsia="SimSun"/>
        </w:rPr>
        <w:instrText xml:space="preserve"> REF _Ref505768678 \r \h </w:instrText>
      </w:r>
      <w:r w:rsidR="00986EEB" w:rsidRPr="007228AC">
        <w:rPr>
          <w:rFonts w:eastAsia="SimSun"/>
        </w:rPr>
        <w:instrText xml:space="preserve"> \* MERGEFORMAT </w:instrText>
      </w:r>
      <w:r w:rsidRPr="007228AC">
        <w:rPr>
          <w:rFonts w:eastAsia="SimSun"/>
        </w:rPr>
      </w:r>
      <w:r w:rsidRPr="007228AC">
        <w:rPr>
          <w:rFonts w:eastAsia="SimSun"/>
        </w:rPr>
        <w:fldChar w:fldCharType="separate"/>
      </w:r>
      <w:r w:rsidR="001B509F">
        <w:rPr>
          <w:rFonts w:eastAsia="SimSun"/>
        </w:rPr>
        <w:t>6.1</w:t>
      </w:r>
      <w:r w:rsidRPr="007228AC">
        <w:rPr>
          <w:rFonts w:eastAsia="SimSun"/>
        </w:rPr>
        <w:fldChar w:fldCharType="end"/>
      </w:r>
      <w:r w:rsidR="007228AC" w:rsidRPr="007228AC">
        <w:rPr>
          <w:rFonts w:eastAsia="SimSun"/>
        </w:rPr>
        <w:t xml:space="preserve"> </w:t>
      </w:r>
      <w:r w:rsidR="007228AC" w:rsidRPr="007228AC">
        <w:rPr>
          <w:rFonts w:eastAsia="SimSun"/>
        </w:rPr>
        <w:fldChar w:fldCharType="begin"/>
      </w:r>
      <w:r w:rsidR="007228AC" w:rsidRPr="007228AC">
        <w:rPr>
          <w:rFonts w:eastAsia="SimSun"/>
        </w:rPr>
        <w:instrText xml:space="preserve"> REF _Ref505768678 \h </w:instrText>
      </w:r>
      <w:r w:rsidR="007228AC">
        <w:rPr>
          <w:rFonts w:eastAsia="SimSun"/>
        </w:rPr>
        <w:instrText xml:space="preserve"> \* MERGEFORMAT </w:instrText>
      </w:r>
      <w:r w:rsidR="007228AC" w:rsidRPr="007228AC">
        <w:rPr>
          <w:rFonts w:eastAsia="SimSun"/>
        </w:rPr>
      </w:r>
      <w:r w:rsidR="007228AC" w:rsidRPr="007228AC">
        <w:rPr>
          <w:rFonts w:eastAsia="SimSun"/>
        </w:rPr>
        <w:fldChar w:fldCharType="separate"/>
      </w:r>
      <w:r w:rsidR="001B509F" w:rsidRPr="00377337">
        <w:t>List of excipients</w:t>
      </w:r>
      <w:r w:rsidR="007228AC" w:rsidRPr="007228AC">
        <w:rPr>
          <w:rFonts w:eastAsia="SimSun"/>
        </w:rPr>
        <w:fldChar w:fldCharType="end"/>
      </w:r>
      <w:r w:rsidR="007228AC" w:rsidRPr="007228AC">
        <w:rPr>
          <w:rFonts w:eastAsia="SimSun"/>
        </w:rPr>
        <w:t>.</w:t>
      </w:r>
    </w:p>
    <w:bookmarkEnd w:id="2"/>
    <w:p w14:paraId="1EF9C1BF" w14:textId="77777777" w:rsidR="001A3992" w:rsidRDefault="009D6010" w:rsidP="00EE3AC8">
      <w:pPr>
        <w:pStyle w:val="Heading1"/>
      </w:pPr>
      <w:r w:rsidRPr="00377337">
        <w:t>Pharmaceutical form</w:t>
      </w:r>
    </w:p>
    <w:p w14:paraId="1EF9C1C0" w14:textId="77777777" w:rsidR="00C85BE9" w:rsidRPr="00B00C47" w:rsidRDefault="009D6010" w:rsidP="00C85BE9">
      <w:pPr>
        <w:pStyle w:val="Paragraph"/>
      </w:pPr>
      <w:r w:rsidRPr="00B00C47">
        <w:t>Solution for injection.</w:t>
      </w:r>
    </w:p>
    <w:p w14:paraId="1EF9C1C1" w14:textId="0A142675" w:rsidR="005A2AE3" w:rsidRPr="00BC7898" w:rsidRDefault="009D6010" w:rsidP="005A2AE3">
      <w:pPr>
        <w:pStyle w:val="Paragraph"/>
      </w:pPr>
      <w:r w:rsidRPr="00BC7898">
        <w:rPr>
          <w:rStyle w:val="normaltextrun"/>
          <w:color w:val="000000"/>
          <w:szCs w:val="22"/>
          <w:shd w:val="clear" w:color="auto" w:fill="FFFFFF"/>
        </w:rPr>
        <w:t xml:space="preserve">Clear to slightly opaque, colourless to slightly </w:t>
      </w:r>
      <w:r w:rsidR="009177C2" w:rsidRPr="00BC7898">
        <w:rPr>
          <w:rStyle w:val="normaltextrun"/>
          <w:color w:val="000000"/>
          <w:szCs w:val="22"/>
          <w:shd w:val="clear" w:color="auto" w:fill="FFFFFF"/>
        </w:rPr>
        <w:t>brown</w:t>
      </w:r>
      <w:r w:rsidRPr="00BC7898">
        <w:rPr>
          <w:rStyle w:val="normaltextrun"/>
          <w:color w:val="000000"/>
          <w:szCs w:val="22"/>
          <w:shd w:val="clear" w:color="auto" w:fill="FFFFFF"/>
        </w:rPr>
        <w:t>, particle free</w:t>
      </w:r>
      <w:r w:rsidR="00B00C47" w:rsidRPr="00BC7898">
        <w:rPr>
          <w:rStyle w:val="normaltextrun"/>
          <w:color w:val="000000"/>
          <w:szCs w:val="22"/>
          <w:shd w:val="clear" w:color="auto" w:fill="FFFFFF"/>
        </w:rPr>
        <w:t xml:space="preserve"> with a</w:t>
      </w:r>
      <w:r w:rsidRPr="00BC7898">
        <w:rPr>
          <w:rStyle w:val="normaltextrun"/>
          <w:color w:val="000000"/>
          <w:szCs w:val="22"/>
          <w:shd w:val="clear" w:color="auto" w:fill="FFFFFF"/>
        </w:rPr>
        <w:t xml:space="preserve"> pH </w:t>
      </w:r>
      <w:r w:rsidR="00B00C47" w:rsidRPr="00BC7898">
        <w:rPr>
          <w:rStyle w:val="normaltextrun"/>
          <w:color w:val="000000"/>
          <w:szCs w:val="22"/>
          <w:shd w:val="clear" w:color="auto" w:fill="FFFFFF"/>
        </w:rPr>
        <w:t xml:space="preserve">of </w:t>
      </w:r>
      <w:r w:rsidR="003E4AE5" w:rsidRPr="00BC7898">
        <w:rPr>
          <w:rStyle w:val="normaltextrun"/>
          <w:color w:val="000000"/>
          <w:szCs w:val="22"/>
          <w:shd w:val="clear" w:color="auto" w:fill="FFFFFF"/>
        </w:rPr>
        <w:t>6.1 – 7.1</w:t>
      </w:r>
      <w:r w:rsidRPr="00BC7898">
        <w:rPr>
          <w:rStyle w:val="normaltextrun"/>
          <w:color w:val="000000"/>
          <w:szCs w:val="22"/>
          <w:shd w:val="clear" w:color="auto" w:fill="FFFFFF"/>
        </w:rPr>
        <w:t>.</w:t>
      </w:r>
    </w:p>
    <w:p w14:paraId="1EF9C1C2" w14:textId="77777777" w:rsidR="001A3992" w:rsidRPr="00BC7898" w:rsidRDefault="009D6010" w:rsidP="00EE3AC8">
      <w:pPr>
        <w:pStyle w:val="Heading1"/>
      </w:pPr>
      <w:r w:rsidRPr="00BC7898">
        <w:t>Clinical particulars</w:t>
      </w:r>
    </w:p>
    <w:p w14:paraId="1EF9C1C3" w14:textId="13442563" w:rsidR="001A3992" w:rsidRPr="008D35A9" w:rsidRDefault="009D6010" w:rsidP="00EE3AC8">
      <w:pPr>
        <w:pStyle w:val="Heading2"/>
      </w:pPr>
      <w:r w:rsidRPr="008D35A9">
        <w:t>Therapeutic indi</w:t>
      </w:r>
      <w:r w:rsidR="003B7CFF" w:rsidRPr="008D35A9">
        <w:t>cations</w:t>
      </w:r>
    </w:p>
    <w:p w14:paraId="1EF9C1C4" w14:textId="77777777" w:rsidR="00246FC8" w:rsidRPr="008D35A9" w:rsidRDefault="009D6010" w:rsidP="00607A21">
      <w:pPr>
        <w:pStyle w:val="Paragraph"/>
      </w:pPr>
      <w:r w:rsidRPr="008D35A9">
        <w:t xml:space="preserve">COVID-19 </w:t>
      </w:r>
      <w:r w:rsidR="006C5479" w:rsidRPr="008D35A9">
        <w:t>Vaccine AstraZeneca</w:t>
      </w:r>
      <w:r w:rsidRPr="008D35A9">
        <w:t xml:space="preserve"> has </w:t>
      </w:r>
      <w:r w:rsidRPr="008D35A9">
        <w:rPr>
          <w:b/>
          <w:bCs/>
        </w:rPr>
        <w:t>provisional approval</w:t>
      </w:r>
      <w:r w:rsidRPr="008D35A9">
        <w:t xml:space="preserve"> for the indication:</w:t>
      </w:r>
    </w:p>
    <w:p w14:paraId="1EF9C1C5" w14:textId="0E01F965" w:rsidR="7EDB722E" w:rsidRPr="008D35A9" w:rsidRDefault="00246FC8" w:rsidP="00607A21">
      <w:pPr>
        <w:pStyle w:val="Paragraph"/>
      </w:pPr>
      <w:r w:rsidRPr="008D35A9">
        <w:t>A</w:t>
      </w:r>
      <w:r w:rsidR="009D6010" w:rsidRPr="008D35A9">
        <w:t>ctive immuni</w:t>
      </w:r>
      <w:r w:rsidR="006C5479" w:rsidRPr="008D35A9">
        <w:t>s</w:t>
      </w:r>
      <w:r w:rsidR="009D6010" w:rsidRPr="008D35A9">
        <w:t>ation of individuals ≥18 years</w:t>
      </w:r>
      <w:r w:rsidR="009177C2" w:rsidRPr="008D35A9">
        <w:t xml:space="preserve"> old</w:t>
      </w:r>
      <w:r w:rsidR="009D6010" w:rsidRPr="008D35A9">
        <w:t xml:space="preserve"> for the prevention of coronavirus disease 2019 (COVID-19)</w:t>
      </w:r>
      <w:r w:rsidR="00CC1DD0" w:rsidRPr="008D35A9">
        <w:t xml:space="preserve"> caused by SARS-CoV-2</w:t>
      </w:r>
      <w:r w:rsidR="009D6010" w:rsidRPr="008D35A9">
        <w:t>.</w:t>
      </w:r>
    </w:p>
    <w:p w14:paraId="1EF9C1C6" w14:textId="77777777" w:rsidR="00CC1DD0" w:rsidRPr="008D35A9" w:rsidRDefault="009D6010" w:rsidP="00607A21">
      <w:pPr>
        <w:pStyle w:val="Paragraph"/>
      </w:pPr>
      <w:r w:rsidRPr="008D35A9">
        <w:t>The use of this vaccine should be in accordance with official recommendations.</w:t>
      </w:r>
    </w:p>
    <w:p w14:paraId="1EF9C1C7" w14:textId="343CC9E5" w:rsidR="000B24AA" w:rsidRPr="008D35A9" w:rsidRDefault="00CC1DD0">
      <w:pPr>
        <w:pStyle w:val="Paragraph"/>
      </w:pPr>
      <w:r w:rsidRPr="008D35A9">
        <w:t xml:space="preserve"> The decision has been made </w:t>
      </w:r>
      <w:proofErr w:type="gramStart"/>
      <w:r w:rsidRPr="008D35A9">
        <w:t>on the basis of</w:t>
      </w:r>
      <w:proofErr w:type="gramEnd"/>
      <w:r w:rsidRPr="008D35A9">
        <w:t xml:space="preserve"> short term efficacy and safety data. Continued approval is dependent upon the evidence of longer-term efficacy and safety from ongoing clinical trials and post-market assessment.</w:t>
      </w:r>
    </w:p>
    <w:p w14:paraId="1EF9C1C8" w14:textId="77777777" w:rsidR="003B7CFF" w:rsidRPr="008D35A9" w:rsidRDefault="009D6010" w:rsidP="003B7CFF">
      <w:pPr>
        <w:pStyle w:val="Heading2"/>
      </w:pPr>
      <w:r w:rsidRPr="008D35A9">
        <w:t>Dose and method of administration</w:t>
      </w:r>
    </w:p>
    <w:p w14:paraId="1EF9C1C9" w14:textId="1B1A34C1" w:rsidR="009177C2" w:rsidRPr="00E86F92" w:rsidRDefault="009D6010" w:rsidP="009177C2">
      <w:pPr>
        <w:pStyle w:val="Paragraph"/>
      </w:pPr>
      <w:r w:rsidRPr="00E86F92">
        <w:t xml:space="preserve">The COVID-19 Vaccine AstraZeneca vaccination course consists of two separate doses of 0.5 mL each. The second dose should be administered between </w:t>
      </w:r>
      <w:proofErr w:type="gramStart"/>
      <w:r w:rsidRPr="00E86F92">
        <w:t>4</w:t>
      </w:r>
      <w:proofErr w:type="gramEnd"/>
      <w:r w:rsidRPr="00E86F92">
        <w:t xml:space="preserve"> and 12 weeks after the first dose (see Section </w:t>
      </w:r>
      <w:r w:rsidRPr="00E86F92">
        <w:fldChar w:fldCharType="begin"/>
      </w:r>
      <w:r w:rsidRPr="00E86F92">
        <w:instrText xml:space="preserve"> REF _Ref59522372 \r \h </w:instrText>
      </w:r>
      <w:r w:rsidR="008D35A9" w:rsidRPr="00E86F92">
        <w:instrText xml:space="preserve"> \* MERGEFORMAT </w:instrText>
      </w:r>
      <w:r w:rsidRPr="00E86F92">
        <w:fldChar w:fldCharType="separate"/>
      </w:r>
      <w:r w:rsidR="001B509F" w:rsidRPr="00E86F92">
        <w:t>5.1</w:t>
      </w:r>
      <w:r w:rsidRPr="00E86F92">
        <w:fldChar w:fldCharType="end"/>
      </w:r>
      <w:r w:rsidRPr="00E86F92">
        <w:t xml:space="preserve"> </w:t>
      </w:r>
      <w:r w:rsidRPr="00E86F92">
        <w:fldChar w:fldCharType="begin"/>
      </w:r>
      <w:r w:rsidRPr="00E86F92">
        <w:instrText xml:space="preserve"> REF _Ref59522372 \h </w:instrText>
      </w:r>
      <w:r w:rsidR="008D35A9" w:rsidRPr="00E86F92">
        <w:instrText xml:space="preserve"> \* MERGEFORMAT </w:instrText>
      </w:r>
      <w:r w:rsidRPr="00E86F92">
        <w:fldChar w:fldCharType="separate"/>
      </w:r>
      <w:proofErr w:type="spellStart"/>
      <w:r w:rsidR="001B509F" w:rsidRPr="00E86F92">
        <w:t>Pharmacodynamic</w:t>
      </w:r>
      <w:proofErr w:type="spellEnd"/>
      <w:r w:rsidR="001B509F" w:rsidRPr="00E86F92">
        <w:t xml:space="preserve"> properties</w:t>
      </w:r>
      <w:r w:rsidRPr="00E86F92">
        <w:fldChar w:fldCharType="end"/>
      </w:r>
      <w:r w:rsidRPr="00E86F92">
        <w:t>).</w:t>
      </w:r>
    </w:p>
    <w:p w14:paraId="1EF9C1CA" w14:textId="77777777" w:rsidR="009177C2" w:rsidRPr="00E86F92" w:rsidRDefault="009D6010" w:rsidP="009177C2">
      <w:pPr>
        <w:pStyle w:val="Paragraph"/>
      </w:pPr>
      <w:r w:rsidRPr="00E86F92">
        <w:lastRenderedPageBreak/>
        <w:t>It is recommended that individuals who receive a first dose of COVID</w:t>
      </w:r>
      <w:r w:rsidR="002D18DD" w:rsidRPr="00E86F92">
        <w:t>-</w:t>
      </w:r>
      <w:r w:rsidRPr="00E86F92">
        <w:t>19 Vaccine AstraZeneca complete the vaccination course with COVID</w:t>
      </w:r>
      <w:r w:rsidR="002D18DD" w:rsidRPr="00E86F92">
        <w:t>-</w:t>
      </w:r>
      <w:r w:rsidRPr="00E86F92">
        <w:t xml:space="preserve">19 Vaccine AstraZeneca (see Section </w:t>
      </w:r>
      <w:r w:rsidRPr="00E86F92">
        <w:fldChar w:fldCharType="begin"/>
      </w:r>
      <w:r w:rsidRPr="00E86F92">
        <w:instrText xml:space="preserve"> REF _Ref59522420 \r \h </w:instrText>
      </w:r>
      <w:r w:rsidR="008D35A9" w:rsidRPr="00E86F92">
        <w:instrText xml:space="preserve"> \* MERGEFORMAT </w:instrText>
      </w:r>
      <w:r w:rsidRPr="00E86F92">
        <w:fldChar w:fldCharType="separate"/>
      </w:r>
      <w:r w:rsidR="001B509F" w:rsidRPr="00E86F92">
        <w:t>4.4</w:t>
      </w:r>
      <w:r w:rsidRPr="00E86F92">
        <w:fldChar w:fldCharType="end"/>
      </w:r>
      <w:r w:rsidRPr="00E86F92">
        <w:t xml:space="preserve"> </w:t>
      </w:r>
      <w:r w:rsidRPr="00E86F92">
        <w:fldChar w:fldCharType="begin"/>
      </w:r>
      <w:r w:rsidRPr="00E86F92">
        <w:instrText xml:space="preserve"> REF _Ref59522420 \h </w:instrText>
      </w:r>
      <w:r w:rsidR="008D35A9" w:rsidRPr="00E86F92">
        <w:instrText xml:space="preserve"> \* MERGEFORMAT </w:instrText>
      </w:r>
      <w:r w:rsidRPr="00E86F92">
        <w:fldChar w:fldCharType="separate"/>
      </w:r>
      <w:r w:rsidR="001B509F" w:rsidRPr="00E86F92">
        <w:t>Special warnings and precautions for use</w:t>
      </w:r>
      <w:r w:rsidRPr="00E86F92">
        <w:fldChar w:fldCharType="end"/>
      </w:r>
      <w:r w:rsidRPr="00E86F92">
        <w:t xml:space="preserve">). </w:t>
      </w:r>
    </w:p>
    <w:p w14:paraId="1EF9C1CC" w14:textId="77777777" w:rsidR="00ED27EC" w:rsidRPr="00E86F92" w:rsidRDefault="009D6010" w:rsidP="00ED27EC">
      <w:pPr>
        <w:pStyle w:val="Heading3Unnumbered"/>
      </w:pPr>
      <w:r w:rsidRPr="00E86F92">
        <w:t>Special patient populations</w:t>
      </w:r>
    </w:p>
    <w:p w14:paraId="1EF9C1D1" w14:textId="77777777" w:rsidR="00ED27EC" w:rsidRPr="00E86F92" w:rsidRDefault="009D6010" w:rsidP="00ED27EC">
      <w:pPr>
        <w:pStyle w:val="Heading4Unnumbered"/>
      </w:pPr>
      <w:r w:rsidRPr="00E86F92">
        <w:t>Use in the elderly</w:t>
      </w:r>
    </w:p>
    <w:p w14:paraId="1EF9C1D3" w14:textId="309DBD7A" w:rsidR="009177C2" w:rsidRPr="00E86F92" w:rsidRDefault="009D6010" w:rsidP="009177C2">
      <w:pPr>
        <w:pStyle w:val="Paragraph"/>
      </w:pPr>
      <w:r w:rsidRPr="00E86F92">
        <w:t xml:space="preserve">No dosage adjustment is required in elderly </w:t>
      </w:r>
      <w:proofErr w:type="gramStart"/>
      <w:r w:rsidRPr="00E86F92">
        <w:t>individuals</w:t>
      </w:r>
      <w:proofErr w:type="gramEnd"/>
      <w:r w:rsidRPr="00E86F92">
        <w:t xml:space="preserve"> ≥65 years of age</w:t>
      </w:r>
      <w:r w:rsidR="002A3BAF" w:rsidRPr="00E86F92">
        <w:t xml:space="preserve"> (see Section </w:t>
      </w:r>
      <w:r w:rsidR="002A3BAF" w:rsidRPr="00E86F92">
        <w:fldChar w:fldCharType="begin"/>
      </w:r>
      <w:r w:rsidR="002A3BAF" w:rsidRPr="00E86F92">
        <w:instrText xml:space="preserve"> REF _Ref59522420 \r \h  \* MERGEFORMAT </w:instrText>
      </w:r>
      <w:r w:rsidR="002A3BAF" w:rsidRPr="00E86F92">
        <w:fldChar w:fldCharType="separate"/>
      </w:r>
      <w:r w:rsidR="001B509F" w:rsidRPr="00E86F92">
        <w:t>4.4</w:t>
      </w:r>
      <w:r w:rsidR="002A3BAF" w:rsidRPr="00E86F92">
        <w:fldChar w:fldCharType="end"/>
      </w:r>
      <w:r w:rsidR="002A3BAF" w:rsidRPr="00E86F92">
        <w:t xml:space="preserve"> </w:t>
      </w:r>
      <w:r w:rsidR="002A3BAF" w:rsidRPr="00E86F92">
        <w:fldChar w:fldCharType="begin"/>
      </w:r>
      <w:r w:rsidR="002A3BAF" w:rsidRPr="00E86F92">
        <w:instrText xml:space="preserve"> REF _Ref59522420 \h  \* MERGEFORMAT </w:instrText>
      </w:r>
      <w:r w:rsidR="002A3BAF" w:rsidRPr="00E86F92">
        <w:fldChar w:fldCharType="separate"/>
      </w:r>
      <w:r w:rsidR="001B509F" w:rsidRPr="00E86F92">
        <w:t>Special warnings and precautions for use</w:t>
      </w:r>
      <w:r w:rsidR="002A3BAF" w:rsidRPr="00E86F92">
        <w:fldChar w:fldCharType="end"/>
      </w:r>
      <w:r w:rsidR="002A3BAF" w:rsidRPr="00E86F92">
        <w:t>)</w:t>
      </w:r>
      <w:r w:rsidRPr="00E86F92">
        <w:t>.</w:t>
      </w:r>
    </w:p>
    <w:p w14:paraId="1EF9C1D4" w14:textId="77777777" w:rsidR="00ED27EC" w:rsidRPr="00E86F92" w:rsidRDefault="009D6010" w:rsidP="00ED27EC">
      <w:pPr>
        <w:pStyle w:val="Heading4Unnumbered"/>
      </w:pPr>
      <w:r w:rsidRPr="00E86F92">
        <w:t>Paediatric use</w:t>
      </w:r>
    </w:p>
    <w:p w14:paraId="1EF9C1D6" w14:textId="2355A897" w:rsidR="009177C2" w:rsidRPr="00E86F92" w:rsidRDefault="009D6010" w:rsidP="009177C2">
      <w:pPr>
        <w:pStyle w:val="Paragraph"/>
      </w:pPr>
      <w:r w:rsidRPr="00E86F92">
        <w:t>The safety and efficacy of COVID-19 Vaccine AstraZeneca in children and adolescents (aged</w:t>
      </w:r>
      <w:r w:rsidR="00E86F92">
        <w:t> </w:t>
      </w:r>
      <w:r w:rsidRPr="00E86F92">
        <w:t>&lt;18 years old) have not yet been established. No data are available.</w:t>
      </w:r>
    </w:p>
    <w:p w14:paraId="1EF9C1D7" w14:textId="77777777" w:rsidR="00ED27EC" w:rsidRPr="00E86F92" w:rsidRDefault="009D6010" w:rsidP="00ED27EC">
      <w:pPr>
        <w:pStyle w:val="Heading3Unnumbered"/>
      </w:pPr>
      <w:r w:rsidRPr="00E86F92">
        <w:t>Method of administration</w:t>
      </w:r>
    </w:p>
    <w:p w14:paraId="1EF9C1D8" w14:textId="77777777" w:rsidR="00593AC2" w:rsidRPr="00E86F92" w:rsidRDefault="009D6010" w:rsidP="00463FD3">
      <w:pPr>
        <w:pStyle w:val="Paragraph"/>
      </w:pPr>
      <w:r w:rsidRPr="00E86F92">
        <w:t>COVID-19 Vaccine AstraZeneca is for intramuscular (IM) injection only, preferably in the deltoid muscle.</w:t>
      </w:r>
    </w:p>
    <w:p w14:paraId="1EF9C1D9" w14:textId="77777777" w:rsidR="00D07D44" w:rsidRPr="00E86F92" w:rsidRDefault="009D6010" w:rsidP="00D07D44">
      <w:pPr>
        <w:pStyle w:val="Paragraph"/>
      </w:pPr>
      <w:r w:rsidRPr="00E86F92">
        <w:t xml:space="preserve">To facilitate the traceability of the vaccine, the name and the batch number of the administered product </w:t>
      </w:r>
      <w:proofErr w:type="gramStart"/>
      <w:r w:rsidRPr="00E86F92">
        <w:t>should be clearly recorded</w:t>
      </w:r>
      <w:proofErr w:type="gramEnd"/>
      <w:r w:rsidRPr="00E86F92">
        <w:t xml:space="preserve"> for each recipient.</w:t>
      </w:r>
    </w:p>
    <w:p w14:paraId="1EF9C1DA" w14:textId="37A9F47C" w:rsidR="00DB3DEF" w:rsidRPr="00E86F92" w:rsidRDefault="002C7810" w:rsidP="00463FD3">
      <w:pPr>
        <w:pStyle w:val="Paragraph"/>
      </w:pPr>
      <w:r w:rsidRPr="00E86F92">
        <w:t xml:space="preserve">COVID-19 Vaccine AstraZeneca is a colourless to slightly </w:t>
      </w:r>
      <w:r w:rsidR="00593AC2" w:rsidRPr="00E86F92">
        <w:t>brown</w:t>
      </w:r>
      <w:r w:rsidRPr="00E86F92">
        <w:t xml:space="preserve">, clear to slightly opaque solution. The vaccine </w:t>
      </w:r>
      <w:proofErr w:type="gramStart"/>
      <w:r w:rsidRPr="00E86F92">
        <w:t>should be inspected</w:t>
      </w:r>
      <w:proofErr w:type="gramEnd"/>
      <w:r w:rsidRPr="00E86F92">
        <w:t xml:space="preserve"> visually for particulate matter and discolouration prior to administration. Discard the vial if the solution is discoloured or visible particles </w:t>
      </w:r>
      <w:proofErr w:type="gramStart"/>
      <w:r w:rsidRPr="00E86F92">
        <w:t>are observed</w:t>
      </w:r>
      <w:proofErr w:type="gramEnd"/>
      <w:r w:rsidRPr="00E86F92">
        <w:t>.</w:t>
      </w:r>
      <w:r w:rsidR="00313239" w:rsidRPr="00E86F92">
        <w:t xml:space="preserve"> Do not shake.</w:t>
      </w:r>
    </w:p>
    <w:p w14:paraId="1EF9C1DB" w14:textId="77777777" w:rsidR="00F14D77" w:rsidRPr="00E86F92" w:rsidRDefault="009D6010" w:rsidP="002C7810">
      <w:pPr>
        <w:pStyle w:val="Paragraph"/>
      </w:pPr>
      <w:r w:rsidRPr="00E86F92">
        <w:t>Each vaccine dose of 0.5</w:t>
      </w:r>
      <w:r w:rsidR="00DB3DEF" w:rsidRPr="00E86F92">
        <w:t> mL</w:t>
      </w:r>
      <w:r w:rsidRPr="00E86F92">
        <w:t xml:space="preserve"> </w:t>
      </w:r>
      <w:proofErr w:type="gramStart"/>
      <w:r w:rsidRPr="00E86F92">
        <w:t>is withdrawn</w:t>
      </w:r>
      <w:proofErr w:type="gramEnd"/>
      <w:r w:rsidRPr="00E86F92">
        <w:t xml:space="preserve"> into a syringe for injection to be administered intramuscularly. Use a separate sterile needle and syringe for each individual. </w:t>
      </w:r>
    </w:p>
    <w:p w14:paraId="1EF9C1DC" w14:textId="1D7F7BA5" w:rsidR="002C7810" w:rsidRPr="00E86F92" w:rsidRDefault="00F14D77" w:rsidP="002C7810">
      <w:pPr>
        <w:pStyle w:val="Paragraph"/>
      </w:pPr>
      <w:r w:rsidRPr="00E86F92">
        <w:t xml:space="preserve">Each vial contains at least the number of doses stated. </w:t>
      </w:r>
      <w:r w:rsidR="009D6010" w:rsidRPr="00E86F92">
        <w:t>It is normal for liquid to remain in the vial after withdrawing the final dose.</w:t>
      </w:r>
      <w:r w:rsidRPr="00E86F92">
        <w:t xml:space="preserve"> When low dead volume syringes and/or needles are used, the amount remaining in the vial may be sufficient for an additional dose.  Care </w:t>
      </w:r>
      <w:proofErr w:type="gramStart"/>
      <w:r w:rsidRPr="00E86F92">
        <w:t>should be taken</w:t>
      </w:r>
      <w:proofErr w:type="gramEnd"/>
      <w:r w:rsidRPr="00E86F92">
        <w:t xml:space="preserve"> to ensure a full 0.5</w:t>
      </w:r>
      <w:r w:rsidR="006864E0" w:rsidRPr="00E86F92">
        <w:t> </w:t>
      </w:r>
      <w:r w:rsidRPr="00E86F92">
        <w:t>m</w:t>
      </w:r>
      <w:r w:rsidR="006864E0" w:rsidRPr="00E86F92">
        <w:t>L</w:t>
      </w:r>
      <w:r w:rsidRPr="00E86F92">
        <w:t xml:space="preserve"> dose is administered. Where a full 0.5 mL dose </w:t>
      </w:r>
      <w:proofErr w:type="gramStart"/>
      <w:r w:rsidRPr="00E86F92">
        <w:t>cannot be extracted</w:t>
      </w:r>
      <w:proofErr w:type="gramEnd"/>
      <w:r w:rsidRPr="00E86F92">
        <w:t xml:space="preserve">, the remaining volume should be discarded. </w:t>
      </w:r>
      <w:r w:rsidR="00755528" w:rsidRPr="00E86F92">
        <w:t xml:space="preserve"> Do not pool </w:t>
      </w:r>
      <w:r w:rsidRPr="00E86F92">
        <w:t xml:space="preserve">excess </w:t>
      </w:r>
      <w:r w:rsidR="00755528" w:rsidRPr="00E86F92">
        <w:t>vaccine</w:t>
      </w:r>
      <w:r w:rsidRPr="00E86F92">
        <w:t xml:space="preserve"> from multiple vials</w:t>
      </w:r>
      <w:r w:rsidR="00755528" w:rsidRPr="00E86F92">
        <w:t>.</w:t>
      </w:r>
    </w:p>
    <w:p w14:paraId="1EF9C1DD" w14:textId="27DBDAAF" w:rsidR="002C7810" w:rsidRPr="00E86F92" w:rsidRDefault="009D6010" w:rsidP="002C7810">
      <w:pPr>
        <w:pStyle w:val="Paragraph"/>
      </w:pPr>
      <w:r w:rsidRPr="00E86F92">
        <w:t xml:space="preserve">The vaccine does not contain any preservative. After first opening, use the vial within: </w:t>
      </w:r>
    </w:p>
    <w:p w14:paraId="1EF9C1DE" w14:textId="77777777" w:rsidR="002C7810" w:rsidRPr="00E86F92" w:rsidRDefault="009D6010" w:rsidP="00DB3DEF">
      <w:pPr>
        <w:pStyle w:val="ListBullet"/>
      </w:pPr>
      <w:r w:rsidRPr="00E86F92">
        <w:t>6 hours when stored at room temperature (up to 30ºC), or</w:t>
      </w:r>
    </w:p>
    <w:p w14:paraId="1EF9C1DF" w14:textId="3EB73A17" w:rsidR="002C7810" w:rsidRPr="00E86F92" w:rsidRDefault="009D6010" w:rsidP="00DB3DEF">
      <w:pPr>
        <w:pStyle w:val="ListBullet"/>
      </w:pPr>
      <w:r w:rsidRPr="00E86F92">
        <w:t>48 hours when stored in a refrigerator (2</w:t>
      </w:r>
      <w:r w:rsidR="00DB3DEF" w:rsidRPr="00E86F92">
        <w:t>ºC</w:t>
      </w:r>
      <w:r w:rsidRPr="00E86F92">
        <w:t xml:space="preserve"> to 8ºC).</w:t>
      </w:r>
    </w:p>
    <w:p w14:paraId="1EF9C1E0" w14:textId="77777777" w:rsidR="00DB3DEF" w:rsidRDefault="00DB3DEF" w:rsidP="002C7810">
      <w:pPr>
        <w:pStyle w:val="Paragraph"/>
      </w:pPr>
    </w:p>
    <w:p w14:paraId="1EF9C1E1" w14:textId="77777777" w:rsidR="002C7810" w:rsidRPr="008D35A9" w:rsidRDefault="009D6010" w:rsidP="002C7810">
      <w:pPr>
        <w:pStyle w:val="Paragraph"/>
      </w:pPr>
      <w:r w:rsidRPr="002C7810">
        <w:t xml:space="preserve">The vial can be re-refrigerated, but </w:t>
      </w:r>
      <w:r w:rsidR="003B32B2" w:rsidRPr="003B32B2">
        <w:t xml:space="preserve">after first </w:t>
      </w:r>
      <w:proofErr w:type="gramStart"/>
      <w:r w:rsidR="003B32B2" w:rsidRPr="003B32B2">
        <w:t>opening</w:t>
      </w:r>
      <w:proofErr w:type="gramEnd"/>
      <w:r w:rsidR="003B32B2" w:rsidRPr="003B32B2">
        <w:t xml:space="preserve"> </w:t>
      </w:r>
      <w:r w:rsidRPr="002C7810">
        <w:t xml:space="preserve">the cumulative storage time at room temperature must not exceed 6 hours, and the total cumulative storage time must not exceed </w:t>
      </w:r>
      <w:r w:rsidRPr="008D35A9">
        <w:t>48</w:t>
      </w:r>
      <w:r w:rsidR="003B32B2" w:rsidRPr="008D35A9">
        <w:t> </w:t>
      </w:r>
      <w:r w:rsidRPr="008D35A9">
        <w:t xml:space="preserve">hours. After this time, the vial </w:t>
      </w:r>
      <w:proofErr w:type="gramStart"/>
      <w:r w:rsidRPr="008D35A9">
        <w:t>must be discarded</w:t>
      </w:r>
      <w:proofErr w:type="gramEnd"/>
      <w:r w:rsidRPr="008D35A9">
        <w:t>.</w:t>
      </w:r>
    </w:p>
    <w:p w14:paraId="1EF9C1E2" w14:textId="283171FD" w:rsidR="003B1BF7" w:rsidRPr="008D35A9" w:rsidRDefault="009D6010" w:rsidP="002C7810">
      <w:pPr>
        <w:pStyle w:val="Paragraph"/>
      </w:pPr>
      <w:r w:rsidRPr="008D35A9">
        <w:t>The vials, needles, syringes should be disposed o</w:t>
      </w:r>
      <w:r w:rsidR="00C74AA4" w:rsidRPr="008D35A9">
        <w:t>f</w:t>
      </w:r>
      <w:r w:rsidRPr="008D35A9">
        <w:t xml:space="preserve"> in the clinical waste bin (see Section </w:t>
      </w:r>
      <w:r w:rsidRPr="008D35A9">
        <w:fldChar w:fldCharType="begin"/>
      </w:r>
      <w:r w:rsidRPr="008D35A9">
        <w:instrText xml:space="preserve"> REF _Ref63010781 \r \h  \* MERGEFORMAT </w:instrText>
      </w:r>
      <w:r w:rsidRPr="008D35A9">
        <w:fldChar w:fldCharType="separate"/>
      </w:r>
      <w:r w:rsidR="001B509F">
        <w:t>6.6</w:t>
      </w:r>
      <w:r w:rsidRPr="008D35A9">
        <w:fldChar w:fldCharType="end"/>
      </w:r>
      <w:r w:rsidRPr="008D35A9">
        <w:t xml:space="preserve"> </w:t>
      </w:r>
      <w:r w:rsidRPr="008D35A9">
        <w:fldChar w:fldCharType="begin"/>
      </w:r>
      <w:r w:rsidRPr="008D35A9">
        <w:instrText xml:space="preserve"> REF _Ref63010781 \h  \* MERGEFORMAT </w:instrText>
      </w:r>
      <w:r w:rsidRPr="008D35A9">
        <w:fldChar w:fldCharType="separate"/>
      </w:r>
      <w:r w:rsidR="001B509F" w:rsidRPr="00377337">
        <w:t>Special precautions for disposal</w:t>
      </w:r>
      <w:r w:rsidRPr="008D35A9">
        <w:fldChar w:fldCharType="end"/>
      </w:r>
      <w:r w:rsidRPr="008D35A9">
        <w:t>).</w:t>
      </w:r>
    </w:p>
    <w:p w14:paraId="1EF9C1E3" w14:textId="77777777" w:rsidR="001A3992" w:rsidRPr="008D35A9" w:rsidRDefault="009D6010" w:rsidP="00EE3AC8">
      <w:pPr>
        <w:pStyle w:val="Heading2"/>
      </w:pPr>
      <w:r w:rsidRPr="008D35A9">
        <w:t>Contraindications</w:t>
      </w:r>
    </w:p>
    <w:p w14:paraId="1EF9C1E4" w14:textId="0BEEB52E" w:rsidR="00A64097" w:rsidRPr="008D35A9" w:rsidRDefault="009D6010" w:rsidP="00A64097">
      <w:pPr>
        <w:pStyle w:val="Paragraph"/>
      </w:pPr>
      <w:r w:rsidRPr="008D35A9">
        <w:t xml:space="preserve">Hypersensitivity to the active substance or to any of the excipients listed in Section </w:t>
      </w:r>
      <w:r w:rsidRPr="008D35A9">
        <w:fldChar w:fldCharType="begin"/>
      </w:r>
      <w:r w:rsidRPr="008D35A9">
        <w:instrText xml:space="preserve"> REF _Ref505768678 \r \h </w:instrText>
      </w:r>
      <w:r w:rsidR="008D35A9">
        <w:instrText xml:space="preserve"> \* MERGEFORMAT </w:instrText>
      </w:r>
      <w:r w:rsidRPr="008D35A9">
        <w:fldChar w:fldCharType="separate"/>
      </w:r>
      <w:r w:rsidR="001B509F">
        <w:t>6.1</w:t>
      </w:r>
      <w:r w:rsidRPr="008D35A9">
        <w:fldChar w:fldCharType="end"/>
      </w:r>
      <w:r w:rsidRPr="008D35A9">
        <w:t xml:space="preserve"> </w:t>
      </w:r>
      <w:r w:rsidRPr="008D35A9">
        <w:fldChar w:fldCharType="begin"/>
      </w:r>
      <w:r w:rsidRPr="008D35A9">
        <w:instrText xml:space="preserve"> REF _Ref505768678 \h </w:instrText>
      </w:r>
      <w:r w:rsidR="008D35A9">
        <w:instrText xml:space="preserve"> \* MERGEFORMAT </w:instrText>
      </w:r>
      <w:r w:rsidRPr="008D35A9">
        <w:fldChar w:fldCharType="separate"/>
      </w:r>
      <w:r w:rsidR="001B509F" w:rsidRPr="00377337">
        <w:t>List of excipients</w:t>
      </w:r>
      <w:r w:rsidRPr="008D35A9">
        <w:fldChar w:fldCharType="end"/>
      </w:r>
      <w:r w:rsidRPr="008D35A9">
        <w:t>.</w:t>
      </w:r>
    </w:p>
    <w:p w14:paraId="1EF9C1E5" w14:textId="77777777" w:rsidR="001A3992" w:rsidRPr="008D35A9" w:rsidRDefault="009D6010" w:rsidP="003B7CFF">
      <w:pPr>
        <w:pStyle w:val="Heading2"/>
      </w:pPr>
      <w:bookmarkStart w:id="3" w:name="_Ref59522420"/>
      <w:r w:rsidRPr="008D35A9">
        <w:lastRenderedPageBreak/>
        <w:t>Special warnings and precautions for use</w:t>
      </w:r>
      <w:bookmarkEnd w:id="3"/>
    </w:p>
    <w:p w14:paraId="1EF9C1E6" w14:textId="651463A8" w:rsidR="009363AD" w:rsidRPr="00E86F92" w:rsidRDefault="009D6010" w:rsidP="009363AD">
      <w:pPr>
        <w:pStyle w:val="Paragraph"/>
      </w:pPr>
      <w:r w:rsidRPr="00E86F92">
        <w:t>As with any vaccine, vaccination with COVID-19 Vaccine AstraZeneca may not protect all vaccine recipients.</w:t>
      </w:r>
      <w:r w:rsidR="002A3BAF" w:rsidRPr="00E86F92">
        <w:t xml:space="preserve">  </w:t>
      </w:r>
      <w:bookmarkStart w:id="4" w:name="_Hlk63766610"/>
      <w:r w:rsidR="002A3BAF" w:rsidRPr="00E86F92">
        <w:t>Vaccination does not mitigate the need to follow other official recommendations to prevent the spread of COVID-19</w:t>
      </w:r>
      <w:bookmarkEnd w:id="4"/>
    </w:p>
    <w:p w14:paraId="1EF9C1E7" w14:textId="27851A81" w:rsidR="00A64097" w:rsidRPr="00E86F92" w:rsidRDefault="009D6010" w:rsidP="00A64097">
      <w:pPr>
        <w:pStyle w:val="Heading3Unnumbered"/>
      </w:pPr>
      <w:r w:rsidRPr="00E86F92">
        <w:t>Hypersensitivity</w:t>
      </w:r>
    </w:p>
    <w:p w14:paraId="1EF9C1E8" w14:textId="77777777" w:rsidR="00A64097" w:rsidRPr="00E86F92" w:rsidRDefault="009D6010" w:rsidP="00A64097">
      <w:pPr>
        <w:pStyle w:val="Paragraph"/>
      </w:pPr>
      <w:r w:rsidRPr="00E86F92">
        <w:t>As with all injectable vaccines, appropriate medical treatment and supervision should always be readily available in case of an anaphylactic event following the administration of the vaccine.</w:t>
      </w:r>
    </w:p>
    <w:p w14:paraId="1EF9C1E9" w14:textId="77777777" w:rsidR="00A64097" w:rsidRPr="00E86F92" w:rsidRDefault="009D6010" w:rsidP="00A64097">
      <w:pPr>
        <w:pStyle w:val="Heading3Unnumbered"/>
      </w:pPr>
      <w:r w:rsidRPr="00E86F92">
        <w:t>Concurrent illness</w:t>
      </w:r>
    </w:p>
    <w:p w14:paraId="1EF9C1EA" w14:textId="77777777" w:rsidR="00A64097" w:rsidRPr="00E86F92" w:rsidRDefault="009D6010" w:rsidP="00A64097">
      <w:pPr>
        <w:pStyle w:val="Paragraph"/>
      </w:pPr>
      <w:r w:rsidRPr="00E86F92">
        <w:t xml:space="preserve">As with other vaccines, administration of COVID-19 Vaccine AstraZeneca </w:t>
      </w:r>
      <w:proofErr w:type="gramStart"/>
      <w:r w:rsidRPr="00E86F92">
        <w:t>should be postponed</w:t>
      </w:r>
      <w:proofErr w:type="gramEnd"/>
      <w:r w:rsidRPr="00E86F92">
        <w:t xml:space="preserve"> in individuals suffering from an acute severe febrile illness. However, the presence of a minor infection, such as cold, and/or low-grade fever should not delay vaccination.</w:t>
      </w:r>
    </w:p>
    <w:p w14:paraId="1EF9C1EB" w14:textId="77777777" w:rsidR="00A64097" w:rsidRPr="00E86F92" w:rsidRDefault="009D6010" w:rsidP="00A64097">
      <w:pPr>
        <w:pStyle w:val="Heading3Unnumbered"/>
      </w:pPr>
      <w:r w:rsidRPr="00E86F92">
        <w:t>Thrombocytopenia and coagulation disorders</w:t>
      </w:r>
    </w:p>
    <w:p w14:paraId="1EF9C1EC" w14:textId="77777777" w:rsidR="00A64097" w:rsidRPr="00E86F92" w:rsidRDefault="009D6010" w:rsidP="00A64097">
      <w:pPr>
        <w:pStyle w:val="Paragraph"/>
      </w:pPr>
      <w:r w:rsidRPr="00E86F92">
        <w:t xml:space="preserve">As with other intramuscular injections, COVID-19 Vaccine AstraZeneca </w:t>
      </w:r>
      <w:proofErr w:type="gramStart"/>
      <w:r w:rsidRPr="00E86F92">
        <w:t>should be given</w:t>
      </w:r>
      <w:proofErr w:type="gramEnd"/>
      <w:r w:rsidRPr="00E86F92">
        <w:t xml:space="preserve"> with caution to individuals with thrombocytopenia, any coagulation disorder or to persons on anticoagulation therapy, because bleeding or bruising may occur following an intramuscular administration in these individuals.</w:t>
      </w:r>
    </w:p>
    <w:p w14:paraId="1EF9C1ED" w14:textId="77777777" w:rsidR="00A64097" w:rsidRPr="00E86F92" w:rsidRDefault="009D6010" w:rsidP="00A64097">
      <w:pPr>
        <w:pStyle w:val="Heading3Unnumbered"/>
      </w:pPr>
      <w:r w:rsidRPr="00E86F92">
        <w:t>Neurological events</w:t>
      </w:r>
    </w:p>
    <w:p w14:paraId="1EF9C1EE" w14:textId="77777777" w:rsidR="00A64097" w:rsidRPr="00E86F92" w:rsidRDefault="009D6010" w:rsidP="00A64097">
      <w:pPr>
        <w:pStyle w:val="Paragraph"/>
      </w:pPr>
      <w:r w:rsidRPr="00E86F92">
        <w:t xml:space="preserve">Very rare events of demyelinating disorders </w:t>
      </w:r>
      <w:proofErr w:type="gramStart"/>
      <w:r w:rsidRPr="00E86F92">
        <w:t>have been reported</w:t>
      </w:r>
      <w:proofErr w:type="gramEnd"/>
      <w:r w:rsidRPr="00E86F92">
        <w:t xml:space="preserve"> following vaccination with COVID-19 Vaccine AstraZeneca. A causal relationship </w:t>
      </w:r>
      <w:proofErr w:type="gramStart"/>
      <w:r w:rsidRPr="00E86F92">
        <w:t>has not been established</w:t>
      </w:r>
      <w:proofErr w:type="gramEnd"/>
      <w:r w:rsidRPr="00E86F92">
        <w:t>.</w:t>
      </w:r>
    </w:p>
    <w:p w14:paraId="1EF9C1EF" w14:textId="77777777" w:rsidR="00A64097" w:rsidRPr="00E86F92" w:rsidRDefault="009D6010" w:rsidP="00A64097">
      <w:pPr>
        <w:pStyle w:val="Paragraph"/>
      </w:pPr>
      <w:r w:rsidRPr="00E86F92">
        <w:t xml:space="preserve">As with other vaccines, the benefits and potential risks of vaccinating individuals with COVID-19 Vaccine AstraZeneca </w:t>
      </w:r>
      <w:proofErr w:type="gramStart"/>
      <w:r w:rsidRPr="00E86F92">
        <w:t>should be considered</w:t>
      </w:r>
      <w:proofErr w:type="gramEnd"/>
      <w:r w:rsidRPr="00E86F92">
        <w:t xml:space="preserve">. </w:t>
      </w:r>
    </w:p>
    <w:p w14:paraId="1EF9C1F0" w14:textId="7E7BFBDB" w:rsidR="00A64097" w:rsidRPr="00E86F92" w:rsidRDefault="009D6010" w:rsidP="00A64097">
      <w:pPr>
        <w:pStyle w:val="Heading3Unnumbered"/>
      </w:pPr>
      <w:r w:rsidRPr="00E86F92">
        <w:t>Immunocompromised individuals</w:t>
      </w:r>
    </w:p>
    <w:p w14:paraId="1EF9C1F1" w14:textId="7F701AD2" w:rsidR="00A64097" w:rsidRPr="00E86F92" w:rsidRDefault="002A3BAF" w:rsidP="00A64097">
      <w:pPr>
        <w:pStyle w:val="Paragraph"/>
      </w:pPr>
      <w:r w:rsidRPr="00E86F92">
        <w:t xml:space="preserve"> </w:t>
      </w:r>
      <w:bookmarkStart w:id="5" w:name="_Hlk63766788"/>
      <w:r w:rsidRPr="00E86F92">
        <w:t xml:space="preserve">The immunogenicity, efficacy and safety of COVID-19 Vaccine AstraZeneca </w:t>
      </w:r>
      <w:proofErr w:type="gramStart"/>
      <w:r w:rsidRPr="00E86F92">
        <w:t>has not been assessed</w:t>
      </w:r>
      <w:proofErr w:type="gramEnd"/>
      <w:r w:rsidRPr="00E86F92">
        <w:t xml:space="preserve"> in immunocompromised individuals, including those receiving immunosuppressive therapy. The immunogenicity of vaccines may be lower in immunosuppressed patients</w:t>
      </w:r>
      <w:bookmarkEnd w:id="5"/>
      <w:r w:rsidRPr="00E86F92">
        <w:t>.</w:t>
      </w:r>
    </w:p>
    <w:p w14:paraId="1EF9C1F2" w14:textId="0AC1F13D" w:rsidR="00A64097" w:rsidRPr="00E86F92" w:rsidRDefault="009D6010" w:rsidP="00A64097">
      <w:pPr>
        <w:pStyle w:val="Heading3Unnumbered"/>
      </w:pPr>
      <w:bookmarkStart w:id="6" w:name="_Hlk60321248"/>
      <w:r w:rsidRPr="00E86F92">
        <w:t>Duration of protection</w:t>
      </w:r>
      <w:bookmarkEnd w:id="6"/>
    </w:p>
    <w:p w14:paraId="1EF9C1F3" w14:textId="2EB06359" w:rsidR="00A64097" w:rsidRPr="00E86F92" w:rsidRDefault="009D6010" w:rsidP="00A64097">
      <w:pPr>
        <w:pStyle w:val="Paragraph"/>
      </w:pPr>
      <w:r w:rsidRPr="00E86F92">
        <w:t xml:space="preserve">The duration of protection </w:t>
      </w:r>
      <w:proofErr w:type="gramStart"/>
      <w:r w:rsidRPr="00E86F92">
        <w:t>has not yet been established</w:t>
      </w:r>
      <w:proofErr w:type="gramEnd"/>
      <w:r w:rsidRPr="00E86F92">
        <w:t>.</w:t>
      </w:r>
      <w:r w:rsidR="002A3BAF" w:rsidRPr="00E86F92">
        <w:t xml:space="preserve">  Studies are ongoing.</w:t>
      </w:r>
      <w:r w:rsidRPr="00E86F92">
        <w:t xml:space="preserve"> </w:t>
      </w:r>
    </w:p>
    <w:p w14:paraId="1EF9C1F5" w14:textId="77777777" w:rsidR="00A64097" w:rsidRPr="00E86F92" w:rsidRDefault="009D6010" w:rsidP="00A64097">
      <w:pPr>
        <w:pStyle w:val="Heading3Unnumbered"/>
      </w:pPr>
      <w:r w:rsidRPr="00E86F92">
        <w:t>Interchangeability</w:t>
      </w:r>
    </w:p>
    <w:p w14:paraId="1EF9C1F6" w14:textId="77777777" w:rsidR="00A64097" w:rsidRPr="008D35A9" w:rsidRDefault="009D6010" w:rsidP="00A64097">
      <w:pPr>
        <w:pStyle w:val="Paragraph"/>
      </w:pPr>
      <w:r w:rsidRPr="00E86F92">
        <w:t>There are no safety, immunogenicity or efficacy data to support interchangeability of COVID</w:t>
      </w:r>
      <w:r w:rsidR="001B3DF8" w:rsidRPr="00E86F92">
        <w:t>-</w:t>
      </w:r>
      <w:r w:rsidRPr="00E86F92">
        <w:t>19 Vaccine AstraZeneca with other COVID</w:t>
      </w:r>
      <w:r w:rsidR="001B3DF8" w:rsidRPr="00E86F92">
        <w:t>-</w:t>
      </w:r>
      <w:r w:rsidRPr="00E86F92">
        <w:t>19 vaccines.</w:t>
      </w:r>
    </w:p>
    <w:p w14:paraId="1EF9C1FB" w14:textId="6ABE3C6A" w:rsidR="001A3992" w:rsidRPr="008D35A9" w:rsidRDefault="009D6010" w:rsidP="00D347D7">
      <w:pPr>
        <w:pStyle w:val="Heading3Unnumbered"/>
      </w:pPr>
      <w:r w:rsidRPr="008D35A9">
        <w:t>Use in the elderly</w:t>
      </w:r>
    </w:p>
    <w:p w14:paraId="1EF9C1FC" w14:textId="5F9ED0D4" w:rsidR="008C3B1D" w:rsidRPr="008D35A9" w:rsidRDefault="009D6010" w:rsidP="008C3B1D">
      <w:pPr>
        <w:pStyle w:val="Paragraph"/>
        <w:rPr>
          <w:i/>
          <w:iCs/>
        </w:rPr>
      </w:pPr>
      <w:bookmarkStart w:id="7" w:name="_Hlk63767363"/>
      <w:r w:rsidRPr="00E86F92">
        <w:t xml:space="preserve">There </w:t>
      </w:r>
      <w:r w:rsidR="000F2343" w:rsidRPr="00E86F92">
        <w:t>are</w:t>
      </w:r>
      <w:r w:rsidRPr="00E86F92">
        <w:t xml:space="preserve"> currently limited data available for the efficacy and safety in individuals over 65 years of age. </w:t>
      </w:r>
      <w:r w:rsidR="00251E7E" w:rsidRPr="00E86F92">
        <w:t xml:space="preserve">Further information </w:t>
      </w:r>
      <w:proofErr w:type="gramStart"/>
      <w:r w:rsidR="00251E7E" w:rsidRPr="00E86F92">
        <w:t>will be collected</w:t>
      </w:r>
      <w:proofErr w:type="gramEnd"/>
      <w:r w:rsidR="00251E7E" w:rsidRPr="00E86F92">
        <w:t xml:space="preserve"> from ongoing clinical studies and post</w:t>
      </w:r>
      <w:r w:rsidR="00443C28" w:rsidRPr="00E86F92">
        <w:t>-</w:t>
      </w:r>
      <w:r w:rsidR="00251E7E" w:rsidRPr="00E86F92">
        <w:t xml:space="preserve">market monitoring. </w:t>
      </w:r>
      <w:r w:rsidRPr="00E86F92">
        <w:t xml:space="preserve">The decision to immunise an </w:t>
      </w:r>
      <w:r w:rsidR="00251E7E" w:rsidRPr="00E86F92">
        <w:t xml:space="preserve">elderly patient </w:t>
      </w:r>
      <w:proofErr w:type="gramStart"/>
      <w:r w:rsidR="00251E7E" w:rsidRPr="00E86F92">
        <w:t>should be decided</w:t>
      </w:r>
      <w:proofErr w:type="gramEnd"/>
      <w:r w:rsidR="00251E7E" w:rsidRPr="00E86F92">
        <w:t xml:space="preserve"> on a case</w:t>
      </w:r>
      <w:r w:rsidR="00443C28" w:rsidRPr="00E86F92">
        <w:t>-</w:t>
      </w:r>
      <w:r w:rsidR="00251E7E" w:rsidRPr="00E86F92">
        <w:t>by</w:t>
      </w:r>
      <w:r w:rsidR="00443C28" w:rsidRPr="00E86F92">
        <w:t>-</w:t>
      </w:r>
      <w:r w:rsidR="00251E7E" w:rsidRPr="00E86F92">
        <w:t>case basis with consideration of age, co-morbidities, their environment</w:t>
      </w:r>
      <w:r w:rsidR="00A103B8" w:rsidRPr="00E86F92">
        <w:t xml:space="preserve">, </w:t>
      </w:r>
      <w:r w:rsidRPr="00E86F92">
        <w:t xml:space="preserve">potential benefits </w:t>
      </w:r>
      <w:r w:rsidR="00251E7E" w:rsidRPr="00E86F92">
        <w:t>and potential</w:t>
      </w:r>
      <w:r w:rsidRPr="00E86F92">
        <w:t xml:space="preserve"> risks</w:t>
      </w:r>
      <w:bookmarkEnd w:id="7"/>
      <w:r w:rsidRPr="00E86F92">
        <w:t>.</w:t>
      </w:r>
    </w:p>
    <w:p w14:paraId="1EF9C1FD" w14:textId="1F20A1D3" w:rsidR="008A3257" w:rsidRPr="00E86F92" w:rsidRDefault="009D6010" w:rsidP="008A3257">
      <w:pPr>
        <w:pStyle w:val="Heading3Unnumbered"/>
      </w:pPr>
      <w:r w:rsidRPr="00E86F92">
        <w:t>Use in individuals with significant co-morbidities</w:t>
      </w:r>
    </w:p>
    <w:p w14:paraId="1EF9C1FE" w14:textId="41ECE409" w:rsidR="008A3257" w:rsidRPr="008D35A9" w:rsidRDefault="009D6010" w:rsidP="008A3257">
      <w:pPr>
        <w:pStyle w:val="Paragraph"/>
        <w:rPr>
          <w:i/>
          <w:iCs/>
        </w:rPr>
      </w:pPr>
      <w:r w:rsidRPr="00E86F92">
        <w:t xml:space="preserve">There </w:t>
      </w:r>
      <w:r w:rsidR="000F2343" w:rsidRPr="00E86F92">
        <w:t>are</w:t>
      </w:r>
      <w:r w:rsidRPr="00E86F92">
        <w:t xml:space="preserve"> currently limited data available for the efficacy and safety in individuals with significant co-morbidities. The decision to immunise an individual should be made </w:t>
      </w:r>
      <w:proofErr w:type="gramStart"/>
      <w:r w:rsidRPr="00E86F92">
        <w:t>on the basis of</w:t>
      </w:r>
      <w:proofErr w:type="gramEnd"/>
      <w:r w:rsidRPr="00E86F92">
        <w:t xml:space="preserve"> potential benefits over risks to that individual</w:t>
      </w:r>
      <w:r w:rsidR="00B56948" w:rsidRPr="00E86F92">
        <w:t>.</w:t>
      </w:r>
    </w:p>
    <w:p w14:paraId="1EF9C1FF" w14:textId="77777777" w:rsidR="001A3992" w:rsidRPr="008D35A9" w:rsidRDefault="009D6010" w:rsidP="00D347D7">
      <w:pPr>
        <w:pStyle w:val="Heading3Unnumbered"/>
      </w:pPr>
      <w:r w:rsidRPr="008D35A9">
        <w:lastRenderedPageBreak/>
        <w:t>Paediatric use</w:t>
      </w:r>
    </w:p>
    <w:p w14:paraId="1EF9C200" w14:textId="246D6420" w:rsidR="008C3B1D" w:rsidRPr="008D35A9" w:rsidRDefault="009D6010" w:rsidP="008C3B1D">
      <w:pPr>
        <w:pStyle w:val="Paragraph"/>
        <w:rPr>
          <w:i/>
          <w:iCs/>
        </w:rPr>
      </w:pPr>
      <w:r w:rsidRPr="008D35A9">
        <w:t>The safety and efficacy of COVID-19 Vaccine AstraZeneca in children and adolescents (aged</w:t>
      </w:r>
      <w:r w:rsidR="00E86F92">
        <w:t> </w:t>
      </w:r>
      <w:r w:rsidRPr="008D35A9">
        <w:t>&lt;18 years old) have not yet been established. No data are available.</w:t>
      </w:r>
    </w:p>
    <w:p w14:paraId="1EF9C201" w14:textId="77777777" w:rsidR="001A3992" w:rsidRPr="008D35A9" w:rsidRDefault="009D6010" w:rsidP="00042AAB">
      <w:pPr>
        <w:pStyle w:val="Heading3Unnumbered"/>
      </w:pPr>
      <w:r w:rsidRPr="008D35A9">
        <w:t>Effects on laboratory tests</w:t>
      </w:r>
    </w:p>
    <w:p w14:paraId="1EF9C202" w14:textId="5DA750BB" w:rsidR="00042AAB" w:rsidRPr="00F34A17" w:rsidRDefault="00903CAD" w:rsidP="00042AAB">
      <w:pPr>
        <w:pStyle w:val="Paragraph"/>
      </w:pPr>
      <w:bookmarkStart w:id="8" w:name="_Ref505770425"/>
      <w:r w:rsidRPr="008D35A9">
        <w:t xml:space="preserve">Vaccination with COVID-19 Vaccine AstraZeneca leads to the development of antibodies to the SARS-CoV-2 S protein. This does not interfere with results from SARS-CoV-2 </w:t>
      </w:r>
      <w:r w:rsidR="0036583B" w:rsidRPr="008D35A9">
        <w:t>PCR</w:t>
      </w:r>
      <w:r w:rsidRPr="008D35A9">
        <w:t xml:space="preserve"> testing</w:t>
      </w:r>
      <w:r w:rsidR="009D6010" w:rsidRPr="008D35A9">
        <w:t>.</w:t>
      </w:r>
    </w:p>
    <w:p w14:paraId="1EF9C203" w14:textId="77777777" w:rsidR="001A3992" w:rsidRDefault="009D6010" w:rsidP="00EE3AC8">
      <w:pPr>
        <w:pStyle w:val="Heading2"/>
      </w:pPr>
      <w:r w:rsidRPr="00377337">
        <w:t>Interactions with other medicines and other forms of interactions</w:t>
      </w:r>
      <w:bookmarkEnd w:id="8"/>
    </w:p>
    <w:p w14:paraId="1EF9C204" w14:textId="3A80BF78" w:rsidR="00C629AD" w:rsidRDefault="001B3DF8" w:rsidP="00042AAB">
      <w:pPr>
        <w:pStyle w:val="Paragraph"/>
      </w:pPr>
      <w:r w:rsidRPr="001B3DF8">
        <w:t>The safety, immunogenicity and efficacy of co-administration of COVID</w:t>
      </w:r>
      <w:r>
        <w:t>-</w:t>
      </w:r>
      <w:r w:rsidRPr="001B3DF8">
        <w:t xml:space="preserve">19 Vaccine AstraZeneca with other vaccines </w:t>
      </w:r>
      <w:proofErr w:type="gramStart"/>
      <w:r w:rsidRPr="001B3DF8">
        <w:t>have not been evaluated</w:t>
      </w:r>
      <w:proofErr w:type="gramEnd"/>
      <w:r>
        <w:t>.</w:t>
      </w:r>
    </w:p>
    <w:p w14:paraId="1EF9C205" w14:textId="77777777" w:rsidR="001A3992" w:rsidRDefault="009D6010" w:rsidP="00EE3AC8">
      <w:pPr>
        <w:pStyle w:val="Heading2"/>
      </w:pPr>
      <w:r w:rsidRPr="00377337">
        <w:t>Fer</w:t>
      </w:r>
      <w:r w:rsidR="00EC60F8">
        <w:t>tility, pregnancy and lactation</w:t>
      </w:r>
    </w:p>
    <w:p w14:paraId="1EF9C206" w14:textId="77777777" w:rsidR="001A3992" w:rsidRDefault="009D6010" w:rsidP="0026491B">
      <w:pPr>
        <w:pStyle w:val="Heading3Unnumbered"/>
      </w:pPr>
      <w:r w:rsidRPr="00377337">
        <w:t>Effects on fertility</w:t>
      </w:r>
    </w:p>
    <w:p w14:paraId="1EF9C207" w14:textId="783E2433" w:rsidR="001B3DF8" w:rsidRPr="001B3DF8" w:rsidRDefault="009D6010" w:rsidP="001B3DF8">
      <w:pPr>
        <w:pStyle w:val="Paragraph"/>
      </w:pPr>
      <w:r w:rsidRPr="001B3DF8">
        <w:t>It is unknown whether COVID</w:t>
      </w:r>
      <w:r>
        <w:t>-</w:t>
      </w:r>
      <w:r w:rsidRPr="001B3DF8">
        <w:t xml:space="preserve">19 Vaccine AstraZeneca may </w:t>
      </w:r>
      <w:proofErr w:type="gramStart"/>
      <w:r w:rsidRPr="001B3DF8">
        <w:t>impact</w:t>
      </w:r>
      <w:proofErr w:type="gramEnd"/>
      <w:r w:rsidRPr="001B3DF8">
        <w:t xml:space="preserve"> fertility. No data are available.</w:t>
      </w:r>
    </w:p>
    <w:p w14:paraId="1EF9C208" w14:textId="02FFAEEB" w:rsidR="001A3992" w:rsidRDefault="009D6010" w:rsidP="0026491B">
      <w:pPr>
        <w:pStyle w:val="Heading3Unnumbered"/>
      </w:pPr>
      <w:r>
        <w:t xml:space="preserve">Use in pregnancy </w:t>
      </w:r>
      <w:r w:rsidR="00E45826">
        <w:t xml:space="preserve">– </w:t>
      </w:r>
      <w:r w:rsidR="00E45826" w:rsidRPr="00F34A17">
        <w:t xml:space="preserve">Category </w:t>
      </w:r>
      <w:r w:rsidR="00F34A17" w:rsidRPr="00F34A17">
        <w:t>B2</w:t>
      </w:r>
    </w:p>
    <w:p w14:paraId="1EF9C209" w14:textId="087B7707" w:rsidR="001B3DF8" w:rsidRDefault="009D6010" w:rsidP="001B3DF8">
      <w:pPr>
        <w:pStyle w:val="Paragraph"/>
      </w:pPr>
      <w:proofErr w:type="gramStart"/>
      <w:r>
        <w:t>There</w:t>
      </w:r>
      <w:r w:rsidR="009D410F">
        <w:t xml:space="preserve"> are</w:t>
      </w:r>
      <w:r>
        <w:t xml:space="preserve"> a limited amount of data from the use of COVID-19 Vaccine AstraZeneca in pregnant women, or women who became pregnant after receiving the vaccine.</w:t>
      </w:r>
      <w:proofErr w:type="gramEnd"/>
      <w:r>
        <w:t xml:space="preserve"> The data are insufficient to inform on </w:t>
      </w:r>
      <w:proofErr w:type="gramStart"/>
      <w:r>
        <w:t>vaccine associated</w:t>
      </w:r>
      <w:proofErr w:type="gramEnd"/>
      <w:r>
        <w:t xml:space="preserve"> risk. </w:t>
      </w:r>
    </w:p>
    <w:p w14:paraId="1EF9C20A" w14:textId="7DFD77D0" w:rsidR="001B3DF8" w:rsidRDefault="009D6010" w:rsidP="001B3DF8">
      <w:pPr>
        <w:pStyle w:val="Paragraph"/>
      </w:pPr>
      <w:r>
        <w:t xml:space="preserve">Animal reproductive toxicity studies </w:t>
      </w:r>
      <w:proofErr w:type="gramStart"/>
      <w:r>
        <w:t>have not been completed</w:t>
      </w:r>
      <w:proofErr w:type="gramEnd"/>
      <w:r>
        <w:t>.</w:t>
      </w:r>
    </w:p>
    <w:p w14:paraId="1EF9C20B" w14:textId="77777777" w:rsidR="001B3DF8" w:rsidRPr="001B3DF8" w:rsidRDefault="009D6010" w:rsidP="001B3DF8">
      <w:pPr>
        <w:pStyle w:val="Paragraph"/>
      </w:pPr>
      <w:r>
        <w:t xml:space="preserve">As a precautionary measure, vaccination with COVID-19 Vaccine AstraZeneca </w:t>
      </w:r>
      <w:proofErr w:type="gramStart"/>
      <w:r>
        <w:t>is not recommended</w:t>
      </w:r>
      <w:proofErr w:type="gramEnd"/>
      <w:r>
        <w:t xml:space="preserve"> during pregnancy. Use of COVID-19 Vaccine AstraZeneca in pregnant women </w:t>
      </w:r>
      <w:proofErr w:type="gramStart"/>
      <w:r>
        <w:t>should be based</w:t>
      </w:r>
      <w:proofErr w:type="gramEnd"/>
      <w:r>
        <w:t xml:space="preserve"> on an assessment of whether the benefits of vaccination outweigh the potential risks.</w:t>
      </w:r>
    </w:p>
    <w:p w14:paraId="1EF9C20C" w14:textId="77777777" w:rsidR="001A3992" w:rsidRDefault="009D6010" w:rsidP="0026491B">
      <w:pPr>
        <w:pStyle w:val="Heading3Unnumbered"/>
      </w:pPr>
      <w:r>
        <w:t>Use in lactation</w:t>
      </w:r>
    </w:p>
    <w:p w14:paraId="1EF9C20D" w14:textId="0391FBB2" w:rsidR="001B3DF8" w:rsidRDefault="009D6010" w:rsidP="001B3DF8">
      <w:pPr>
        <w:pStyle w:val="Paragraph"/>
      </w:pPr>
      <w:r>
        <w:t xml:space="preserve">There are no or limited data from the use of COVID-19 Vaccine AstraZeneca in lactating women. A risk to breastfed </w:t>
      </w:r>
      <w:proofErr w:type="spellStart"/>
      <w:r>
        <w:t>newborns</w:t>
      </w:r>
      <w:proofErr w:type="spellEnd"/>
      <w:r>
        <w:t xml:space="preserve">/infants </w:t>
      </w:r>
      <w:proofErr w:type="gramStart"/>
      <w:r>
        <w:t>cannot be excluded</w:t>
      </w:r>
      <w:proofErr w:type="gramEnd"/>
      <w:r>
        <w:t>.</w:t>
      </w:r>
    </w:p>
    <w:p w14:paraId="1EF9C20F" w14:textId="77777777" w:rsidR="001A3992" w:rsidRDefault="009D6010" w:rsidP="003B7CFF">
      <w:pPr>
        <w:pStyle w:val="Heading2"/>
      </w:pPr>
      <w:r>
        <w:t>Effects on ability to drive and use machines</w:t>
      </w:r>
    </w:p>
    <w:p w14:paraId="1EF9C210" w14:textId="5D48D319" w:rsidR="009E10B4" w:rsidRPr="009E10B4" w:rsidRDefault="009D6010" w:rsidP="009E10B4">
      <w:pPr>
        <w:pStyle w:val="Paragraph"/>
      </w:pPr>
      <w:r w:rsidRPr="009E10B4">
        <w:t xml:space="preserve">COVID-19 Vaccine AstraZeneca has no or negligible influence on the ability to drive and use machines. However, some of the adverse reactions mentioned under </w:t>
      </w:r>
      <w:r>
        <w:t xml:space="preserve">Section </w:t>
      </w:r>
      <w:r>
        <w:fldChar w:fldCharType="begin"/>
      </w:r>
      <w:r>
        <w:instrText xml:space="preserve"> REF _Ref59523614 \r \h </w:instrText>
      </w:r>
      <w:r>
        <w:fldChar w:fldCharType="separate"/>
      </w:r>
      <w:r w:rsidR="001B509F">
        <w:t>4.8</w:t>
      </w:r>
      <w:r>
        <w:fldChar w:fldCharType="end"/>
      </w:r>
      <w:r>
        <w:t xml:space="preserve"> </w:t>
      </w:r>
      <w:r>
        <w:fldChar w:fldCharType="begin"/>
      </w:r>
      <w:r>
        <w:instrText xml:space="preserve"> REF _Ref59523614 \h </w:instrText>
      </w:r>
      <w:r>
        <w:fldChar w:fldCharType="separate"/>
      </w:r>
      <w:r w:rsidR="001B509F" w:rsidRPr="00377337">
        <w:t>Adverse effects (Undesirable effects)</w:t>
      </w:r>
      <w:r>
        <w:fldChar w:fldCharType="end"/>
      </w:r>
      <w:r w:rsidRPr="009E10B4">
        <w:t xml:space="preserve"> may temporarily affect the ability to drive or use machines</w:t>
      </w:r>
      <w:r>
        <w:t>.</w:t>
      </w:r>
    </w:p>
    <w:p w14:paraId="1EF9C211" w14:textId="77777777" w:rsidR="001A3992" w:rsidRDefault="009D6010" w:rsidP="00EE3AC8">
      <w:pPr>
        <w:pStyle w:val="Heading2"/>
      </w:pPr>
      <w:bookmarkStart w:id="9" w:name="_Ref59523614"/>
      <w:r w:rsidRPr="00377337">
        <w:t>Adverse effects (Undesirable effects)</w:t>
      </w:r>
      <w:bookmarkEnd w:id="9"/>
    </w:p>
    <w:p w14:paraId="1EF9C213" w14:textId="77777777" w:rsidR="00446EDD" w:rsidRDefault="009D6010" w:rsidP="001D3AF3">
      <w:pPr>
        <w:pStyle w:val="Heading3Unnumbered"/>
      </w:pPr>
      <w:r>
        <w:t>Clinical trials</w:t>
      </w:r>
    </w:p>
    <w:p w14:paraId="1EF9C214" w14:textId="3E85C2A6" w:rsidR="009E10B4" w:rsidRPr="00763304" w:rsidRDefault="009D6010" w:rsidP="009E10B4">
      <w:pPr>
        <w:pStyle w:val="Heading4Unnumbered"/>
      </w:pPr>
      <w:r w:rsidRPr="00763304">
        <w:t>Overall summary of the safety profile</w:t>
      </w:r>
    </w:p>
    <w:p w14:paraId="1EF9C215" w14:textId="76D10AE5" w:rsidR="009E10B4" w:rsidRPr="00763304" w:rsidRDefault="009D6010" w:rsidP="009E10B4">
      <w:pPr>
        <w:pStyle w:val="Paragraph"/>
      </w:pPr>
      <w:r w:rsidRPr="00763304">
        <w:t xml:space="preserve">The overall safety of COVID-19 Vaccine AstraZeneca </w:t>
      </w:r>
      <w:proofErr w:type="gramStart"/>
      <w:r w:rsidRPr="00763304">
        <w:t>is based</w:t>
      </w:r>
      <w:proofErr w:type="gramEnd"/>
      <w:r w:rsidRPr="00763304">
        <w:t xml:space="preserve"> on an interim analysis of pooled data from four clinical trials conducted in the United Kingdom, Brazil, and South Africa. At the time of analysis, 23,745 </w:t>
      </w:r>
      <w:proofErr w:type="gramStart"/>
      <w:r w:rsidRPr="00763304">
        <w:t>participants</w:t>
      </w:r>
      <w:proofErr w:type="gramEnd"/>
      <w:r w:rsidRPr="00763304">
        <w:t xml:space="preserve"> ≥18 years old had been randomised and received either COVID-19 Vaccine AstraZeneca or control. Out of these, 12,021 received at least one dose of COVID-19 Vaccine AstraZeneca. </w:t>
      </w:r>
    </w:p>
    <w:p w14:paraId="79ACE16D" w14:textId="77777777" w:rsidR="00763304" w:rsidRDefault="00763304">
      <w:pPr>
        <w:spacing w:after="200"/>
      </w:pPr>
      <w:r>
        <w:br w:type="page"/>
      </w:r>
    </w:p>
    <w:p w14:paraId="1EF9C216" w14:textId="35E051BF" w:rsidR="009E10B4" w:rsidRPr="00763304" w:rsidRDefault="009D6010" w:rsidP="009E10B4">
      <w:pPr>
        <w:pStyle w:val="Paragraph"/>
      </w:pPr>
      <w:r w:rsidRPr="00763304">
        <w:lastRenderedPageBreak/>
        <w:t>Demographic characteristics were generally similar among participants who received COVID-19 Vaccine AstraZeneca and those who received control. Overall, among the participants who received COVID-19 Vaccine AstraZeneca, 90.3% were aged 18 to 64</w:t>
      </w:r>
      <w:r w:rsidR="00AD1080" w:rsidRPr="00763304">
        <w:t> </w:t>
      </w:r>
      <w:r w:rsidRPr="00763304">
        <w:t>years and 9.7% were 65</w:t>
      </w:r>
      <w:r w:rsidR="00AD1080" w:rsidRPr="00763304">
        <w:t> </w:t>
      </w:r>
      <w:r w:rsidRPr="00763304">
        <w:t xml:space="preserve">years of age or older. The majority of recipients were White (75.5%), 10.1% were Black and 3.5% were Asian; 55.8% were female and 44.2% male. </w:t>
      </w:r>
    </w:p>
    <w:p w14:paraId="1EF9C217" w14:textId="1331B9C2" w:rsidR="009E10B4" w:rsidRPr="00763304" w:rsidRDefault="009D6010" w:rsidP="009E10B4">
      <w:pPr>
        <w:pStyle w:val="Paragraph"/>
      </w:pPr>
      <w:r w:rsidRPr="00763304">
        <w:t>The most frequently reported adverse reactions were injection site tenderness (&gt;60%); injection site pain, headache, fatigue (&gt;50%); myalgia, malaise (&gt;40%); pyrexia, chills (&gt;30%); and arthralgia, nausea (&gt;20%). The majority of adverse reactions were mild to moderate in severity and usually resolved within a few days of vaccination. When compared with the first dose, adverse reactions reported after the second dose were milder and reported less frequently.</w:t>
      </w:r>
    </w:p>
    <w:p w14:paraId="1EF9C218" w14:textId="75B003DE" w:rsidR="009E10B4" w:rsidRPr="00763304" w:rsidRDefault="009D6010" w:rsidP="009E10B4">
      <w:pPr>
        <w:pStyle w:val="Paragraph"/>
      </w:pPr>
      <w:r w:rsidRPr="00763304">
        <w:t>Adverse reactions were generally milder and reported less frequently in older adults (≥65</w:t>
      </w:r>
      <w:r w:rsidR="00AD1080" w:rsidRPr="00763304">
        <w:t> </w:t>
      </w:r>
      <w:r w:rsidRPr="00763304">
        <w:t xml:space="preserve">years old). </w:t>
      </w:r>
    </w:p>
    <w:p w14:paraId="1EF9C219" w14:textId="7C9144EB" w:rsidR="009E10B4" w:rsidRPr="00763304" w:rsidRDefault="009D6010" w:rsidP="009E10B4">
      <w:pPr>
        <w:pStyle w:val="Paragraph"/>
      </w:pPr>
      <w:r w:rsidRPr="00763304">
        <w:t xml:space="preserve">Analgesic and/or anti-pyretic medicinal products (e.g. paracetamol-containing products) </w:t>
      </w:r>
      <w:proofErr w:type="gramStart"/>
      <w:r w:rsidRPr="00763304">
        <w:t>may be used</w:t>
      </w:r>
      <w:proofErr w:type="gramEnd"/>
      <w:r w:rsidRPr="00763304">
        <w:t xml:space="preserve"> to provide symptomatic relief from post-vaccination adverse reactions. </w:t>
      </w:r>
    </w:p>
    <w:p w14:paraId="1EF9C21A" w14:textId="6C0DF383" w:rsidR="00EF7D40" w:rsidRPr="00763304" w:rsidRDefault="009D6010" w:rsidP="009E10B4">
      <w:pPr>
        <w:pStyle w:val="Paragraph"/>
      </w:pPr>
      <w:bookmarkStart w:id="10" w:name="_Hlk63768657"/>
      <w:r w:rsidRPr="00763304">
        <w:t>Safety in subgroups including the frail elderly, immunosuppressed, and pregnancy is unknown due to the low number of representative participants from these groups. Further information will become available from ongoing clinical studies and pharmacovigilance programmes</w:t>
      </w:r>
      <w:bookmarkEnd w:id="10"/>
      <w:r w:rsidRPr="00763304">
        <w:t>.</w:t>
      </w:r>
    </w:p>
    <w:p w14:paraId="1EF9C21B" w14:textId="6E43EA70" w:rsidR="009E10B4" w:rsidRPr="00763304" w:rsidRDefault="009D6010" w:rsidP="6BC6D586">
      <w:pPr>
        <w:pStyle w:val="Heading4Unnumbered"/>
      </w:pPr>
      <w:r w:rsidRPr="00763304">
        <w:t>Adverse drug reactions</w:t>
      </w:r>
    </w:p>
    <w:p w14:paraId="1EF9C21C" w14:textId="77777777" w:rsidR="009E10B4" w:rsidRPr="00763304" w:rsidRDefault="009D6010" w:rsidP="00B85A9E">
      <w:pPr>
        <w:pStyle w:val="Paragraph"/>
        <w:rPr>
          <w:i/>
          <w:iCs/>
        </w:rPr>
      </w:pPr>
      <w:r w:rsidRPr="00763304">
        <w:rPr>
          <w:i/>
          <w:iCs/>
        </w:rPr>
        <w:t xml:space="preserve">Adverse drug reactions (ADRs) are organised by </w:t>
      </w:r>
      <w:proofErr w:type="spellStart"/>
      <w:r w:rsidRPr="00763304">
        <w:rPr>
          <w:i/>
          <w:iCs/>
        </w:rPr>
        <w:t>MedDRA</w:t>
      </w:r>
      <w:proofErr w:type="spellEnd"/>
      <w:r w:rsidRPr="00763304">
        <w:rPr>
          <w:i/>
          <w:iCs/>
        </w:rPr>
        <w:t xml:space="preserve"> System Organ Class (SOC). Within each SOC, preferred terms are arranged by decreasing frequency and then by decreasing seriousness. Frequencies of occurrence of adverse reactions are defined </w:t>
      </w:r>
      <w:proofErr w:type="gramStart"/>
      <w:r w:rsidRPr="00763304">
        <w:rPr>
          <w:i/>
          <w:iCs/>
        </w:rPr>
        <w:t>as:</w:t>
      </w:r>
      <w:proofErr w:type="gramEnd"/>
      <w:r w:rsidRPr="00763304">
        <w:rPr>
          <w:i/>
          <w:iCs/>
        </w:rPr>
        <w:t xml:space="preserve"> very common (≥1/10); common (≥1/100 to &lt;1/10); uncommon (≥1/1,000 to &lt;1/100); rare (≥1/10,000 to &lt;1/1000); very rare (&lt;1/10,000) and not known (cannot be estimated from available data).</w:t>
      </w:r>
    </w:p>
    <w:p w14:paraId="1EF9C21D" w14:textId="77777777" w:rsidR="00B85A9E" w:rsidRPr="00763304" w:rsidRDefault="009D6010" w:rsidP="00B85A9E">
      <w:pPr>
        <w:pStyle w:val="TableTitle"/>
      </w:pPr>
      <w:r w:rsidRPr="00763304">
        <w:t>Table </w:t>
      </w:r>
      <w:r w:rsidRPr="00763304">
        <w:fldChar w:fldCharType="begin"/>
      </w:r>
      <w:r w:rsidRPr="00763304">
        <w:instrText xml:space="preserve"> SEQ Table \* ARABIC </w:instrText>
      </w:r>
      <w:r w:rsidRPr="00763304">
        <w:fldChar w:fldCharType="separate"/>
      </w:r>
      <w:r w:rsidR="001B509F" w:rsidRPr="00763304">
        <w:rPr>
          <w:noProof/>
        </w:rPr>
        <w:t>1</w:t>
      </w:r>
      <w:r w:rsidRPr="00763304">
        <w:fldChar w:fldCharType="end"/>
      </w:r>
      <w:r w:rsidRPr="00763304">
        <w:tab/>
      </w:r>
      <w:r w:rsidR="009F0775" w:rsidRPr="00763304">
        <w:t>Adverse Drug Reactions (ADR) – pooled data set (safety analysis set</w:t>
      </w:r>
      <w:r w:rsidR="00634AB8" w:rsidRPr="00763304">
        <w:rPr>
          <w:vertAlign w:val="superscript"/>
        </w:rPr>
        <w:t>a</w:t>
      </w:r>
      <w:r w:rsidR="009F0775" w:rsidRPr="00763304">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2405"/>
        <w:gridCol w:w="2835"/>
        <w:gridCol w:w="2268"/>
        <w:gridCol w:w="2126"/>
      </w:tblGrid>
      <w:tr w:rsidR="00444376" w:rsidRPr="00763304" w14:paraId="1EF9C223" w14:textId="77777777" w:rsidTr="00634AB8">
        <w:trPr>
          <w:cantSplit/>
          <w:tblHeader/>
        </w:trPr>
        <w:tc>
          <w:tcPr>
            <w:tcW w:w="2405" w:type="dxa"/>
            <w:shd w:val="clear" w:color="auto" w:fill="auto"/>
          </w:tcPr>
          <w:p w14:paraId="1EF9C21E" w14:textId="77777777" w:rsidR="009F0775" w:rsidRPr="00763304" w:rsidRDefault="009D6010" w:rsidP="009F0775">
            <w:pPr>
              <w:pStyle w:val="TableHead"/>
              <w:jc w:val="left"/>
            </w:pPr>
            <w:proofErr w:type="spellStart"/>
            <w:r w:rsidRPr="00763304">
              <w:t>MedDRA</w:t>
            </w:r>
            <w:proofErr w:type="spellEnd"/>
            <w:r w:rsidRPr="00763304">
              <w:t xml:space="preserve"> SOC</w:t>
            </w:r>
          </w:p>
        </w:tc>
        <w:tc>
          <w:tcPr>
            <w:tcW w:w="2835" w:type="dxa"/>
            <w:shd w:val="clear" w:color="auto" w:fill="auto"/>
          </w:tcPr>
          <w:p w14:paraId="1EF9C21F" w14:textId="77777777" w:rsidR="009F0775" w:rsidRPr="00763304" w:rsidRDefault="009D6010" w:rsidP="009F0775">
            <w:pPr>
              <w:pStyle w:val="TableHead"/>
              <w:jc w:val="left"/>
            </w:pPr>
            <w:r w:rsidRPr="00763304">
              <w:t xml:space="preserve">Adverse </w:t>
            </w:r>
            <w:proofErr w:type="spellStart"/>
            <w:r w:rsidRPr="00763304">
              <w:t>reaction</w:t>
            </w:r>
            <w:r w:rsidRPr="00763304">
              <w:rPr>
                <w:vertAlign w:val="superscript"/>
              </w:rPr>
              <w:t>b</w:t>
            </w:r>
            <w:proofErr w:type="spellEnd"/>
          </w:p>
        </w:tc>
        <w:tc>
          <w:tcPr>
            <w:tcW w:w="2268" w:type="dxa"/>
            <w:vAlign w:val="center"/>
          </w:tcPr>
          <w:p w14:paraId="1EF9C220" w14:textId="77777777" w:rsidR="009F0775" w:rsidRPr="00763304" w:rsidRDefault="009D6010" w:rsidP="00634AB8">
            <w:pPr>
              <w:pStyle w:val="TableHead"/>
            </w:pPr>
            <w:r w:rsidRPr="00763304">
              <w:t>COVID-19 Vaccine AstraZeneca</w:t>
            </w:r>
            <w:r w:rsidR="00634AB8" w:rsidRPr="00763304">
              <w:br/>
            </w:r>
            <w:r w:rsidRPr="00763304">
              <w:t>(N= 10</w:t>
            </w:r>
            <w:r w:rsidR="00634AB8" w:rsidRPr="00763304">
              <w:t xml:space="preserve">, </w:t>
            </w:r>
            <w:r w:rsidRPr="00763304">
              <w:t>069</w:t>
            </w:r>
            <w:r w:rsidR="00634AB8" w:rsidRPr="00763304">
              <w:t>)</w:t>
            </w:r>
          </w:p>
        </w:tc>
        <w:tc>
          <w:tcPr>
            <w:tcW w:w="2126" w:type="dxa"/>
            <w:shd w:val="clear" w:color="auto" w:fill="auto"/>
            <w:vAlign w:val="center"/>
          </w:tcPr>
          <w:p w14:paraId="1EF9C221" w14:textId="77777777" w:rsidR="009F0775" w:rsidRPr="00763304" w:rsidRDefault="009D6010" w:rsidP="00634AB8">
            <w:pPr>
              <w:pStyle w:val="TableHead"/>
            </w:pPr>
            <w:proofErr w:type="spellStart"/>
            <w:r w:rsidRPr="00763304">
              <w:t>Control</w:t>
            </w:r>
            <w:r w:rsidRPr="00763304">
              <w:rPr>
                <w:vertAlign w:val="superscript"/>
              </w:rPr>
              <w:t>c</w:t>
            </w:r>
            <w:proofErr w:type="spellEnd"/>
          </w:p>
          <w:p w14:paraId="1EF9C222" w14:textId="77777777" w:rsidR="009F0775" w:rsidRPr="00763304" w:rsidRDefault="009D6010" w:rsidP="00634AB8">
            <w:pPr>
              <w:pStyle w:val="TableHead"/>
            </w:pPr>
            <w:r w:rsidRPr="00763304">
              <w:br/>
              <w:t>(N= 9, 902)</w:t>
            </w:r>
          </w:p>
        </w:tc>
      </w:tr>
      <w:tr w:rsidR="00444376" w:rsidRPr="00763304" w14:paraId="1EF9C228" w14:textId="77777777" w:rsidTr="00634AB8">
        <w:trPr>
          <w:cantSplit/>
        </w:trPr>
        <w:tc>
          <w:tcPr>
            <w:tcW w:w="2405" w:type="dxa"/>
            <w:shd w:val="clear" w:color="auto" w:fill="auto"/>
          </w:tcPr>
          <w:p w14:paraId="1EF9C224" w14:textId="77777777" w:rsidR="009F0775" w:rsidRPr="00763304" w:rsidRDefault="009D6010" w:rsidP="009F0775">
            <w:pPr>
              <w:pStyle w:val="TableLeft"/>
            </w:pPr>
            <w:r w:rsidRPr="00763304">
              <w:t>Nervous system disorders</w:t>
            </w:r>
          </w:p>
        </w:tc>
        <w:tc>
          <w:tcPr>
            <w:tcW w:w="2835" w:type="dxa"/>
            <w:shd w:val="clear" w:color="auto" w:fill="auto"/>
          </w:tcPr>
          <w:p w14:paraId="1EF9C225" w14:textId="77777777" w:rsidR="009F0775" w:rsidRPr="00763304" w:rsidRDefault="009D6010" w:rsidP="009F0775">
            <w:pPr>
              <w:pStyle w:val="TableLeft"/>
            </w:pPr>
            <w:r w:rsidRPr="00763304">
              <w:t>Headache</w:t>
            </w:r>
          </w:p>
        </w:tc>
        <w:tc>
          <w:tcPr>
            <w:tcW w:w="2268" w:type="dxa"/>
          </w:tcPr>
          <w:p w14:paraId="1EF9C226" w14:textId="77777777" w:rsidR="009F0775" w:rsidRPr="00763304" w:rsidRDefault="009D6010" w:rsidP="00634AB8">
            <w:pPr>
              <w:pStyle w:val="TableLeft"/>
              <w:jc w:val="center"/>
            </w:pPr>
            <w:r w:rsidRPr="00763304">
              <w:t>Very common (52.6%)</w:t>
            </w:r>
          </w:p>
        </w:tc>
        <w:tc>
          <w:tcPr>
            <w:tcW w:w="2126" w:type="dxa"/>
            <w:shd w:val="clear" w:color="auto" w:fill="auto"/>
          </w:tcPr>
          <w:p w14:paraId="1EF9C227" w14:textId="77777777" w:rsidR="009F0775" w:rsidRPr="00763304" w:rsidRDefault="009D6010" w:rsidP="00634AB8">
            <w:pPr>
              <w:pStyle w:val="TableLeft"/>
              <w:jc w:val="center"/>
            </w:pPr>
            <w:r w:rsidRPr="00763304">
              <w:t>Very common (39.0%)</w:t>
            </w:r>
          </w:p>
        </w:tc>
      </w:tr>
      <w:tr w:rsidR="00444376" w:rsidRPr="00763304" w14:paraId="1EF9C22D" w14:textId="77777777" w:rsidTr="00634AB8">
        <w:trPr>
          <w:cantSplit/>
        </w:trPr>
        <w:tc>
          <w:tcPr>
            <w:tcW w:w="2405" w:type="dxa"/>
            <w:shd w:val="clear" w:color="auto" w:fill="auto"/>
          </w:tcPr>
          <w:p w14:paraId="1EF9C229" w14:textId="77777777" w:rsidR="009F0775" w:rsidRPr="00763304" w:rsidRDefault="009D6010" w:rsidP="009F0775">
            <w:pPr>
              <w:pStyle w:val="TableLeft"/>
            </w:pPr>
            <w:r w:rsidRPr="00763304">
              <w:t>Gastrointestinal disorders</w:t>
            </w:r>
          </w:p>
        </w:tc>
        <w:tc>
          <w:tcPr>
            <w:tcW w:w="2835" w:type="dxa"/>
            <w:shd w:val="clear" w:color="auto" w:fill="auto"/>
          </w:tcPr>
          <w:p w14:paraId="1EF9C22A" w14:textId="77777777" w:rsidR="009F0775" w:rsidRPr="00763304" w:rsidRDefault="009D6010" w:rsidP="009F0775">
            <w:pPr>
              <w:pStyle w:val="TableLeft"/>
            </w:pPr>
            <w:r w:rsidRPr="00763304">
              <w:t>Nausea</w:t>
            </w:r>
          </w:p>
        </w:tc>
        <w:tc>
          <w:tcPr>
            <w:tcW w:w="2268" w:type="dxa"/>
          </w:tcPr>
          <w:p w14:paraId="1EF9C22B" w14:textId="77777777" w:rsidR="009F0775" w:rsidRPr="00763304" w:rsidRDefault="009D6010" w:rsidP="00634AB8">
            <w:pPr>
              <w:pStyle w:val="TableLeft"/>
              <w:jc w:val="center"/>
            </w:pPr>
            <w:r w:rsidRPr="00763304">
              <w:t>Very common (21.9%)</w:t>
            </w:r>
          </w:p>
        </w:tc>
        <w:tc>
          <w:tcPr>
            <w:tcW w:w="2126" w:type="dxa"/>
            <w:shd w:val="clear" w:color="auto" w:fill="auto"/>
          </w:tcPr>
          <w:p w14:paraId="1EF9C22C" w14:textId="77777777" w:rsidR="009F0775" w:rsidRPr="00763304" w:rsidRDefault="009D6010" w:rsidP="00634AB8">
            <w:pPr>
              <w:pStyle w:val="TableLeft"/>
              <w:jc w:val="center"/>
            </w:pPr>
            <w:r w:rsidRPr="00763304">
              <w:t>Very common (13.1%)</w:t>
            </w:r>
          </w:p>
        </w:tc>
      </w:tr>
      <w:tr w:rsidR="00444376" w:rsidRPr="00763304" w14:paraId="1EF9C232" w14:textId="77777777" w:rsidTr="00634AB8">
        <w:trPr>
          <w:cantSplit/>
        </w:trPr>
        <w:tc>
          <w:tcPr>
            <w:tcW w:w="2405" w:type="dxa"/>
            <w:vMerge w:val="restart"/>
            <w:shd w:val="clear" w:color="auto" w:fill="auto"/>
          </w:tcPr>
          <w:p w14:paraId="1EF9C22E" w14:textId="77777777" w:rsidR="00634AB8" w:rsidRPr="00763304" w:rsidRDefault="009D6010" w:rsidP="009F0775">
            <w:pPr>
              <w:pStyle w:val="TableLeft"/>
            </w:pPr>
            <w:r w:rsidRPr="00763304">
              <w:t>Musculoskeletal and connective tissue disorders</w:t>
            </w:r>
          </w:p>
        </w:tc>
        <w:tc>
          <w:tcPr>
            <w:tcW w:w="2835" w:type="dxa"/>
            <w:shd w:val="clear" w:color="auto" w:fill="auto"/>
          </w:tcPr>
          <w:p w14:paraId="1EF9C22F" w14:textId="77777777" w:rsidR="00634AB8" w:rsidRPr="00763304" w:rsidRDefault="009D6010" w:rsidP="009F0775">
            <w:pPr>
              <w:pStyle w:val="TableLeft"/>
            </w:pPr>
            <w:r w:rsidRPr="00763304">
              <w:t>Muscle pain (Myalgia)</w:t>
            </w:r>
          </w:p>
        </w:tc>
        <w:tc>
          <w:tcPr>
            <w:tcW w:w="2268" w:type="dxa"/>
          </w:tcPr>
          <w:p w14:paraId="1EF9C230" w14:textId="77777777" w:rsidR="00634AB8" w:rsidRPr="00763304" w:rsidRDefault="009D6010" w:rsidP="00634AB8">
            <w:pPr>
              <w:pStyle w:val="TableLeft"/>
              <w:jc w:val="center"/>
            </w:pPr>
            <w:r w:rsidRPr="00763304">
              <w:t>Very common (44.0%)</w:t>
            </w:r>
          </w:p>
        </w:tc>
        <w:tc>
          <w:tcPr>
            <w:tcW w:w="2126" w:type="dxa"/>
            <w:shd w:val="clear" w:color="auto" w:fill="auto"/>
          </w:tcPr>
          <w:p w14:paraId="1EF9C231" w14:textId="77777777" w:rsidR="00634AB8" w:rsidRPr="00763304" w:rsidRDefault="009D6010" w:rsidP="00634AB8">
            <w:pPr>
              <w:pStyle w:val="TableLeft"/>
              <w:jc w:val="center"/>
            </w:pPr>
            <w:r w:rsidRPr="00763304">
              <w:t>Very common (21.6%)</w:t>
            </w:r>
          </w:p>
        </w:tc>
      </w:tr>
      <w:tr w:rsidR="00444376" w:rsidRPr="00763304" w14:paraId="1EF9C237" w14:textId="77777777" w:rsidTr="00634AB8">
        <w:trPr>
          <w:cantSplit/>
        </w:trPr>
        <w:tc>
          <w:tcPr>
            <w:tcW w:w="2405" w:type="dxa"/>
            <w:vMerge/>
            <w:shd w:val="clear" w:color="auto" w:fill="auto"/>
          </w:tcPr>
          <w:p w14:paraId="1EF9C233" w14:textId="77777777" w:rsidR="00634AB8" w:rsidRPr="00763304" w:rsidRDefault="00634AB8" w:rsidP="009F0775">
            <w:pPr>
              <w:pStyle w:val="TableLeft"/>
            </w:pPr>
          </w:p>
        </w:tc>
        <w:tc>
          <w:tcPr>
            <w:tcW w:w="2835" w:type="dxa"/>
            <w:shd w:val="clear" w:color="auto" w:fill="auto"/>
          </w:tcPr>
          <w:p w14:paraId="1EF9C234" w14:textId="77777777" w:rsidR="00634AB8" w:rsidRPr="00763304" w:rsidRDefault="009D6010" w:rsidP="009F0775">
            <w:pPr>
              <w:pStyle w:val="TableLeft"/>
            </w:pPr>
            <w:r w:rsidRPr="00763304">
              <w:t>Joint pain (Arthralgia)</w:t>
            </w:r>
          </w:p>
        </w:tc>
        <w:tc>
          <w:tcPr>
            <w:tcW w:w="2268" w:type="dxa"/>
          </w:tcPr>
          <w:p w14:paraId="1EF9C235" w14:textId="77777777" w:rsidR="00634AB8" w:rsidRPr="00763304" w:rsidRDefault="009D6010" w:rsidP="00634AB8">
            <w:pPr>
              <w:pStyle w:val="TableLeft"/>
              <w:jc w:val="center"/>
            </w:pPr>
            <w:r w:rsidRPr="00763304">
              <w:t>Very common (26.4%)</w:t>
            </w:r>
          </w:p>
        </w:tc>
        <w:tc>
          <w:tcPr>
            <w:tcW w:w="2126" w:type="dxa"/>
            <w:shd w:val="clear" w:color="auto" w:fill="auto"/>
          </w:tcPr>
          <w:p w14:paraId="1EF9C236" w14:textId="77777777" w:rsidR="00634AB8" w:rsidRPr="00763304" w:rsidRDefault="009D6010" w:rsidP="00634AB8">
            <w:pPr>
              <w:pStyle w:val="TableLeft"/>
              <w:jc w:val="center"/>
            </w:pPr>
            <w:r w:rsidRPr="00763304">
              <w:t>Very common (12.4%)</w:t>
            </w:r>
          </w:p>
        </w:tc>
      </w:tr>
      <w:tr w:rsidR="00444376" w:rsidRPr="00763304" w14:paraId="1EF9C23A" w14:textId="77777777" w:rsidTr="00DB43E7">
        <w:trPr>
          <w:cantSplit/>
        </w:trPr>
        <w:tc>
          <w:tcPr>
            <w:tcW w:w="2405" w:type="dxa"/>
            <w:vMerge w:val="restart"/>
            <w:shd w:val="clear" w:color="auto" w:fill="auto"/>
          </w:tcPr>
          <w:p w14:paraId="1EF9C238" w14:textId="77777777" w:rsidR="00634AB8" w:rsidRPr="00763304" w:rsidRDefault="009D6010" w:rsidP="009F0775">
            <w:pPr>
              <w:pStyle w:val="TableLeft"/>
            </w:pPr>
            <w:r w:rsidRPr="00763304">
              <w:t>General disorders and administration site conditions</w:t>
            </w:r>
          </w:p>
        </w:tc>
        <w:tc>
          <w:tcPr>
            <w:tcW w:w="7229" w:type="dxa"/>
            <w:gridSpan w:val="3"/>
            <w:shd w:val="clear" w:color="auto" w:fill="auto"/>
            <w:vAlign w:val="center"/>
          </w:tcPr>
          <w:p w14:paraId="1EF9C239" w14:textId="77777777" w:rsidR="00634AB8" w:rsidRPr="00763304" w:rsidRDefault="009D6010" w:rsidP="00634AB8">
            <w:pPr>
              <w:pStyle w:val="TableLeft"/>
            </w:pPr>
            <w:r w:rsidRPr="00763304">
              <w:rPr>
                <w:b/>
              </w:rPr>
              <w:t>Local</w:t>
            </w:r>
          </w:p>
        </w:tc>
      </w:tr>
      <w:tr w:rsidR="00444376" w:rsidRPr="00763304" w14:paraId="1EF9C23F" w14:textId="77777777" w:rsidTr="00634AB8">
        <w:trPr>
          <w:cantSplit/>
        </w:trPr>
        <w:tc>
          <w:tcPr>
            <w:tcW w:w="2405" w:type="dxa"/>
            <w:vMerge/>
            <w:shd w:val="clear" w:color="auto" w:fill="auto"/>
          </w:tcPr>
          <w:p w14:paraId="1EF9C23B" w14:textId="77777777" w:rsidR="00634AB8" w:rsidRPr="00763304" w:rsidRDefault="00634AB8" w:rsidP="009F0775">
            <w:pPr>
              <w:pStyle w:val="TableLeft"/>
            </w:pPr>
          </w:p>
        </w:tc>
        <w:tc>
          <w:tcPr>
            <w:tcW w:w="2835" w:type="dxa"/>
            <w:shd w:val="clear" w:color="auto" w:fill="auto"/>
          </w:tcPr>
          <w:p w14:paraId="1EF9C23C" w14:textId="77777777" w:rsidR="00634AB8" w:rsidRPr="00763304" w:rsidRDefault="009D6010" w:rsidP="009F0775">
            <w:pPr>
              <w:pStyle w:val="TableLeft"/>
            </w:pPr>
            <w:r w:rsidRPr="00763304">
              <w:t>Injection site tenderness</w:t>
            </w:r>
          </w:p>
        </w:tc>
        <w:tc>
          <w:tcPr>
            <w:tcW w:w="2268" w:type="dxa"/>
          </w:tcPr>
          <w:p w14:paraId="1EF9C23D" w14:textId="77777777" w:rsidR="00634AB8" w:rsidRPr="00763304" w:rsidRDefault="009D6010" w:rsidP="00634AB8">
            <w:pPr>
              <w:pStyle w:val="TableLeft"/>
              <w:jc w:val="center"/>
            </w:pPr>
            <w:r w:rsidRPr="00763304">
              <w:t>Very common (63.7%)</w:t>
            </w:r>
          </w:p>
        </w:tc>
        <w:tc>
          <w:tcPr>
            <w:tcW w:w="2126" w:type="dxa"/>
            <w:shd w:val="clear" w:color="auto" w:fill="auto"/>
          </w:tcPr>
          <w:p w14:paraId="1EF9C23E" w14:textId="77777777" w:rsidR="00634AB8" w:rsidRPr="00763304" w:rsidRDefault="009D6010" w:rsidP="00634AB8">
            <w:pPr>
              <w:pStyle w:val="TableLeft"/>
              <w:jc w:val="center"/>
            </w:pPr>
            <w:r w:rsidRPr="00763304">
              <w:t>Very common (39.5%)</w:t>
            </w:r>
          </w:p>
        </w:tc>
      </w:tr>
      <w:tr w:rsidR="00444376" w:rsidRPr="00763304" w14:paraId="1EF9C244" w14:textId="77777777" w:rsidTr="00634AB8">
        <w:trPr>
          <w:cantSplit/>
        </w:trPr>
        <w:tc>
          <w:tcPr>
            <w:tcW w:w="2405" w:type="dxa"/>
            <w:vMerge/>
            <w:shd w:val="clear" w:color="auto" w:fill="auto"/>
          </w:tcPr>
          <w:p w14:paraId="1EF9C240" w14:textId="77777777" w:rsidR="00634AB8" w:rsidRPr="00763304" w:rsidRDefault="00634AB8" w:rsidP="009F0775">
            <w:pPr>
              <w:pStyle w:val="TableLeft"/>
            </w:pPr>
          </w:p>
        </w:tc>
        <w:tc>
          <w:tcPr>
            <w:tcW w:w="2835" w:type="dxa"/>
            <w:shd w:val="clear" w:color="auto" w:fill="auto"/>
          </w:tcPr>
          <w:p w14:paraId="1EF9C241" w14:textId="77777777" w:rsidR="00634AB8" w:rsidRPr="00763304" w:rsidRDefault="009D6010" w:rsidP="009F0775">
            <w:pPr>
              <w:pStyle w:val="TableLeft"/>
            </w:pPr>
            <w:r w:rsidRPr="00763304">
              <w:t>Injection site pain</w:t>
            </w:r>
          </w:p>
        </w:tc>
        <w:tc>
          <w:tcPr>
            <w:tcW w:w="2268" w:type="dxa"/>
          </w:tcPr>
          <w:p w14:paraId="1EF9C242" w14:textId="77777777" w:rsidR="00634AB8" w:rsidRPr="00763304" w:rsidRDefault="009D6010" w:rsidP="00634AB8">
            <w:pPr>
              <w:pStyle w:val="TableLeft"/>
              <w:jc w:val="center"/>
            </w:pPr>
            <w:r w:rsidRPr="00763304">
              <w:t>Very common (54.2%)</w:t>
            </w:r>
          </w:p>
        </w:tc>
        <w:tc>
          <w:tcPr>
            <w:tcW w:w="2126" w:type="dxa"/>
            <w:shd w:val="clear" w:color="auto" w:fill="auto"/>
          </w:tcPr>
          <w:p w14:paraId="1EF9C243" w14:textId="77777777" w:rsidR="00634AB8" w:rsidRPr="00763304" w:rsidRDefault="009D6010" w:rsidP="00634AB8">
            <w:pPr>
              <w:pStyle w:val="TableLeft"/>
              <w:jc w:val="center"/>
            </w:pPr>
            <w:r w:rsidRPr="00763304">
              <w:t>Very common (36.7%)</w:t>
            </w:r>
          </w:p>
        </w:tc>
      </w:tr>
      <w:tr w:rsidR="00444376" w:rsidRPr="00763304" w14:paraId="1EF9C249" w14:textId="77777777" w:rsidTr="00634AB8">
        <w:trPr>
          <w:cantSplit/>
        </w:trPr>
        <w:tc>
          <w:tcPr>
            <w:tcW w:w="2405" w:type="dxa"/>
            <w:vMerge/>
            <w:shd w:val="clear" w:color="auto" w:fill="auto"/>
          </w:tcPr>
          <w:p w14:paraId="1EF9C245" w14:textId="77777777" w:rsidR="00634AB8" w:rsidRPr="00763304" w:rsidRDefault="00634AB8" w:rsidP="009F0775">
            <w:pPr>
              <w:pStyle w:val="TableLeft"/>
            </w:pPr>
          </w:p>
        </w:tc>
        <w:tc>
          <w:tcPr>
            <w:tcW w:w="2835" w:type="dxa"/>
            <w:shd w:val="clear" w:color="auto" w:fill="auto"/>
          </w:tcPr>
          <w:p w14:paraId="1EF9C246" w14:textId="77777777" w:rsidR="00634AB8" w:rsidRPr="00763304" w:rsidRDefault="009D6010" w:rsidP="009F0775">
            <w:pPr>
              <w:pStyle w:val="TableLeft"/>
            </w:pPr>
            <w:r w:rsidRPr="00763304">
              <w:t>Injection site warmth</w:t>
            </w:r>
          </w:p>
        </w:tc>
        <w:tc>
          <w:tcPr>
            <w:tcW w:w="2268" w:type="dxa"/>
          </w:tcPr>
          <w:p w14:paraId="1EF9C247" w14:textId="77777777" w:rsidR="00634AB8" w:rsidRPr="00763304" w:rsidRDefault="009D6010" w:rsidP="00634AB8">
            <w:pPr>
              <w:pStyle w:val="TableLeft"/>
              <w:jc w:val="center"/>
            </w:pPr>
            <w:r w:rsidRPr="00763304">
              <w:t>Very common (17.7%)</w:t>
            </w:r>
          </w:p>
        </w:tc>
        <w:tc>
          <w:tcPr>
            <w:tcW w:w="2126" w:type="dxa"/>
            <w:shd w:val="clear" w:color="auto" w:fill="auto"/>
          </w:tcPr>
          <w:p w14:paraId="1EF9C248" w14:textId="77777777" w:rsidR="00634AB8" w:rsidRPr="00763304" w:rsidRDefault="009D6010" w:rsidP="00634AB8">
            <w:pPr>
              <w:pStyle w:val="TableLeft"/>
              <w:jc w:val="center"/>
            </w:pPr>
            <w:r w:rsidRPr="00763304">
              <w:t>Very common (14.5%)</w:t>
            </w:r>
          </w:p>
        </w:tc>
      </w:tr>
      <w:tr w:rsidR="00444376" w:rsidRPr="00763304" w14:paraId="1EF9C253" w14:textId="77777777" w:rsidTr="00634AB8">
        <w:trPr>
          <w:cantSplit/>
        </w:trPr>
        <w:tc>
          <w:tcPr>
            <w:tcW w:w="2405" w:type="dxa"/>
            <w:vMerge/>
            <w:shd w:val="clear" w:color="auto" w:fill="auto"/>
          </w:tcPr>
          <w:p w14:paraId="1EF9C24F" w14:textId="77777777" w:rsidR="00634AB8" w:rsidRPr="00763304" w:rsidRDefault="00634AB8" w:rsidP="009F0775">
            <w:pPr>
              <w:pStyle w:val="TableLeft"/>
            </w:pPr>
          </w:p>
        </w:tc>
        <w:tc>
          <w:tcPr>
            <w:tcW w:w="2835" w:type="dxa"/>
            <w:shd w:val="clear" w:color="auto" w:fill="auto"/>
          </w:tcPr>
          <w:p w14:paraId="1EF9C250" w14:textId="77777777" w:rsidR="00634AB8" w:rsidRPr="00763304" w:rsidRDefault="009D6010" w:rsidP="009F0775">
            <w:pPr>
              <w:pStyle w:val="TableLeft"/>
            </w:pPr>
            <w:r w:rsidRPr="00763304">
              <w:t>Injection site itch (Injection site pruritus)</w:t>
            </w:r>
          </w:p>
        </w:tc>
        <w:tc>
          <w:tcPr>
            <w:tcW w:w="2268" w:type="dxa"/>
          </w:tcPr>
          <w:p w14:paraId="1EF9C251" w14:textId="77777777" w:rsidR="00634AB8" w:rsidRPr="00763304" w:rsidRDefault="009D6010" w:rsidP="00634AB8">
            <w:pPr>
              <w:pStyle w:val="TableLeft"/>
              <w:jc w:val="center"/>
            </w:pPr>
            <w:r w:rsidRPr="00763304">
              <w:t>Very common (12.7%)</w:t>
            </w:r>
          </w:p>
        </w:tc>
        <w:tc>
          <w:tcPr>
            <w:tcW w:w="2126" w:type="dxa"/>
            <w:shd w:val="clear" w:color="auto" w:fill="auto"/>
          </w:tcPr>
          <w:p w14:paraId="1EF9C252" w14:textId="77777777" w:rsidR="00634AB8" w:rsidRPr="00763304" w:rsidRDefault="009D6010" w:rsidP="00634AB8">
            <w:pPr>
              <w:pStyle w:val="TableLeft"/>
              <w:jc w:val="center"/>
            </w:pPr>
            <w:r w:rsidRPr="00763304">
              <w:t>Common (7.5%)</w:t>
            </w:r>
          </w:p>
        </w:tc>
      </w:tr>
      <w:tr w:rsidR="00444376" w:rsidRPr="00763304" w14:paraId="1EF9C258" w14:textId="77777777" w:rsidTr="00634AB8">
        <w:trPr>
          <w:cantSplit/>
        </w:trPr>
        <w:tc>
          <w:tcPr>
            <w:tcW w:w="2405" w:type="dxa"/>
            <w:vMerge/>
            <w:shd w:val="clear" w:color="auto" w:fill="auto"/>
          </w:tcPr>
          <w:p w14:paraId="1EF9C254" w14:textId="77777777" w:rsidR="00634AB8" w:rsidRPr="00763304" w:rsidRDefault="00634AB8" w:rsidP="009F0775">
            <w:pPr>
              <w:pStyle w:val="TableLeft"/>
            </w:pPr>
          </w:p>
        </w:tc>
        <w:tc>
          <w:tcPr>
            <w:tcW w:w="2835" w:type="dxa"/>
            <w:shd w:val="clear" w:color="auto" w:fill="auto"/>
          </w:tcPr>
          <w:p w14:paraId="1EF9C255" w14:textId="5A39A98F" w:rsidR="00634AB8" w:rsidRPr="00763304" w:rsidRDefault="009D6010" w:rsidP="009F0775">
            <w:pPr>
              <w:pStyle w:val="TableLeft"/>
            </w:pPr>
            <w:r w:rsidRPr="00763304">
              <w:t xml:space="preserve">Injection site swelling </w:t>
            </w:r>
          </w:p>
        </w:tc>
        <w:tc>
          <w:tcPr>
            <w:tcW w:w="2268" w:type="dxa"/>
          </w:tcPr>
          <w:p w14:paraId="1EF9C256" w14:textId="2AA28F15" w:rsidR="00634AB8" w:rsidRPr="00763304" w:rsidRDefault="009B2301" w:rsidP="00634AB8">
            <w:pPr>
              <w:pStyle w:val="TableLeft"/>
              <w:jc w:val="center"/>
            </w:pPr>
            <w:r w:rsidRPr="00763304">
              <w:t>C</w:t>
            </w:r>
            <w:r w:rsidR="009D6010" w:rsidRPr="00763304">
              <w:t>ommon (</w:t>
            </w:r>
            <w:r w:rsidRPr="00763304">
              <w:t>3.4</w:t>
            </w:r>
            <w:r w:rsidR="009D6010" w:rsidRPr="00763304">
              <w:t>%)</w:t>
            </w:r>
          </w:p>
        </w:tc>
        <w:tc>
          <w:tcPr>
            <w:tcW w:w="2126" w:type="dxa"/>
            <w:shd w:val="clear" w:color="auto" w:fill="auto"/>
          </w:tcPr>
          <w:p w14:paraId="1EF9C257" w14:textId="3957F025" w:rsidR="00634AB8" w:rsidRPr="00763304" w:rsidRDefault="009D6010" w:rsidP="00634AB8">
            <w:pPr>
              <w:pStyle w:val="TableLeft"/>
              <w:jc w:val="center"/>
            </w:pPr>
            <w:r w:rsidRPr="00763304">
              <w:t>Common (</w:t>
            </w:r>
            <w:r w:rsidR="009B2301" w:rsidRPr="00763304">
              <w:t>1.6</w:t>
            </w:r>
            <w:r w:rsidRPr="00763304">
              <w:t>%)</w:t>
            </w:r>
          </w:p>
        </w:tc>
      </w:tr>
      <w:tr w:rsidR="00444376" w:rsidRPr="00763304" w14:paraId="1EF9C25D" w14:textId="77777777" w:rsidTr="00634AB8">
        <w:trPr>
          <w:cantSplit/>
        </w:trPr>
        <w:tc>
          <w:tcPr>
            <w:tcW w:w="2405" w:type="dxa"/>
            <w:vMerge/>
            <w:shd w:val="clear" w:color="auto" w:fill="auto"/>
          </w:tcPr>
          <w:p w14:paraId="1EF9C259" w14:textId="77777777" w:rsidR="009B2301" w:rsidRPr="00763304" w:rsidRDefault="009B2301" w:rsidP="009F0775">
            <w:pPr>
              <w:pStyle w:val="TableLeft"/>
            </w:pPr>
          </w:p>
        </w:tc>
        <w:tc>
          <w:tcPr>
            <w:tcW w:w="2835" w:type="dxa"/>
            <w:shd w:val="clear" w:color="auto" w:fill="auto"/>
          </w:tcPr>
          <w:p w14:paraId="1EF9C25A" w14:textId="77777777" w:rsidR="009B2301" w:rsidRPr="00763304" w:rsidRDefault="009D6010" w:rsidP="009F0775">
            <w:pPr>
              <w:pStyle w:val="TableLeft"/>
            </w:pPr>
            <w:r w:rsidRPr="00763304">
              <w:t>Injection site redness (Injection site erythema)</w:t>
            </w:r>
          </w:p>
        </w:tc>
        <w:tc>
          <w:tcPr>
            <w:tcW w:w="2268" w:type="dxa"/>
          </w:tcPr>
          <w:p w14:paraId="1EF9C25B" w14:textId="77777777" w:rsidR="009B2301" w:rsidRPr="00763304" w:rsidRDefault="009D6010" w:rsidP="00634AB8">
            <w:pPr>
              <w:pStyle w:val="TableLeft"/>
              <w:jc w:val="center"/>
            </w:pPr>
            <w:r w:rsidRPr="00763304">
              <w:t>Common (3.1%)</w:t>
            </w:r>
          </w:p>
        </w:tc>
        <w:tc>
          <w:tcPr>
            <w:tcW w:w="2126" w:type="dxa"/>
            <w:shd w:val="clear" w:color="auto" w:fill="auto"/>
          </w:tcPr>
          <w:p w14:paraId="1EF9C25C" w14:textId="77777777" w:rsidR="009B2301" w:rsidRPr="00763304" w:rsidRDefault="009D6010" w:rsidP="00634AB8">
            <w:pPr>
              <w:pStyle w:val="TableLeft"/>
              <w:jc w:val="center"/>
            </w:pPr>
            <w:r w:rsidRPr="00763304">
              <w:t>Common (1.4%)</w:t>
            </w:r>
          </w:p>
        </w:tc>
      </w:tr>
      <w:tr w:rsidR="00444376" w:rsidRPr="00763304" w14:paraId="1EF9C260" w14:textId="77777777" w:rsidTr="00DB43E7">
        <w:trPr>
          <w:cantSplit/>
        </w:trPr>
        <w:tc>
          <w:tcPr>
            <w:tcW w:w="2405" w:type="dxa"/>
            <w:vMerge/>
            <w:shd w:val="clear" w:color="auto" w:fill="auto"/>
          </w:tcPr>
          <w:p w14:paraId="1EF9C25E" w14:textId="77777777" w:rsidR="00634AB8" w:rsidRPr="00763304" w:rsidRDefault="00634AB8" w:rsidP="009F0775">
            <w:pPr>
              <w:pStyle w:val="TableLeft"/>
            </w:pPr>
          </w:p>
        </w:tc>
        <w:tc>
          <w:tcPr>
            <w:tcW w:w="7229" w:type="dxa"/>
            <w:gridSpan w:val="3"/>
            <w:shd w:val="clear" w:color="auto" w:fill="auto"/>
            <w:vAlign w:val="center"/>
          </w:tcPr>
          <w:p w14:paraId="1EF9C25F" w14:textId="77777777" w:rsidR="00634AB8" w:rsidRPr="00763304" w:rsidRDefault="009D6010" w:rsidP="00634AB8">
            <w:pPr>
              <w:pStyle w:val="TableLeft"/>
            </w:pPr>
            <w:r w:rsidRPr="00763304">
              <w:rPr>
                <w:b/>
              </w:rPr>
              <w:t>Systemic</w:t>
            </w:r>
          </w:p>
        </w:tc>
      </w:tr>
      <w:tr w:rsidR="00444376" w:rsidRPr="00763304" w14:paraId="1EF9C265" w14:textId="77777777" w:rsidTr="00634AB8">
        <w:trPr>
          <w:cantSplit/>
        </w:trPr>
        <w:tc>
          <w:tcPr>
            <w:tcW w:w="2405" w:type="dxa"/>
            <w:vMerge/>
            <w:shd w:val="clear" w:color="auto" w:fill="auto"/>
          </w:tcPr>
          <w:p w14:paraId="1EF9C261" w14:textId="77777777" w:rsidR="00634AB8" w:rsidRPr="00763304" w:rsidRDefault="00634AB8" w:rsidP="009F0775">
            <w:pPr>
              <w:pStyle w:val="TableLeft"/>
            </w:pPr>
          </w:p>
        </w:tc>
        <w:tc>
          <w:tcPr>
            <w:tcW w:w="2835" w:type="dxa"/>
            <w:shd w:val="clear" w:color="auto" w:fill="auto"/>
          </w:tcPr>
          <w:p w14:paraId="1EF9C262" w14:textId="77777777" w:rsidR="00634AB8" w:rsidRPr="00763304" w:rsidRDefault="009D6010" w:rsidP="009F0775">
            <w:pPr>
              <w:pStyle w:val="TableLeft"/>
            </w:pPr>
            <w:r w:rsidRPr="00763304">
              <w:t>Fatigue</w:t>
            </w:r>
          </w:p>
        </w:tc>
        <w:tc>
          <w:tcPr>
            <w:tcW w:w="2268" w:type="dxa"/>
          </w:tcPr>
          <w:p w14:paraId="1EF9C263" w14:textId="77777777" w:rsidR="00634AB8" w:rsidRPr="00763304" w:rsidRDefault="009D6010" w:rsidP="00634AB8">
            <w:pPr>
              <w:pStyle w:val="TableLeft"/>
              <w:jc w:val="center"/>
            </w:pPr>
            <w:r w:rsidRPr="00763304">
              <w:t>Very common (53.1%)</w:t>
            </w:r>
          </w:p>
        </w:tc>
        <w:tc>
          <w:tcPr>
            <w:tcW w:w="2126" w:type="dxa"/>
            <w:shd w:val="clear" w:color="auto" w:fill="auto"/>
          </w:tcPr>
          <w:p w14:paraId="1EF9C264" w14:textId="77777777" w:rsidR="00634AB8" w:rsidRPr="00763304" w:rsidRDefault="009D6010" w:rsidP="00634AB8">
            <w:pPr>
              <w:pStyle w:val="TableLeft"/>
              <w:jc w:val="center"/>
            </w:pPr>
            <w:r w:rsidRPr="00763304">
              <w:t>Very common (38.2%)</w:t>
            </w:r>
          </w:p>
        </w:tc>
      </w:tr>
      <w:tr w:rsidR="00444376" w:rsidRPr="00763304" w14:paraId="1EF9C26A" w14:textId="77777777" w:rsidTr="00634AB8">
        <w:trPr>
          <w:cantSplit/>
        </w:trPr>
        <w:tc>
          <w:tcPr>
            <w:tcW w:w="2405" w:type="dxa"/>
            <w:vMerge/>
            <w:shd w:val="clear" w:color="auto" w:fill="auto"/>
          </w:tcPr>
          <w:p w14:paraId="1EF9C266" w14:textId="77777777" w:rsidR="00634AB8" w:rsidRPr="00763304" w:rsidRDefault="00634AB8" w:rsidP="009F0775">
            <w:pPr>
              <w:pStyle w:val="TableLeft"/>
            </w:pPr>
          </w:p>
        </w:tc>
        <w:tc>
          <w:tcPr>
            <w:tcW w:w="2835" w:type="dxa"/>
            <w:shd w:val="clear" w:color="auto" w:fill="auto"/>
          </w:tcPr>
          <w:p w14:paraId="1EF9C267" w14:textId="77777777" w:rsidR="00634AB8" w:rsidRPr="00763304" w:rsidRDefault="009D6010" w:rsidP="009F0775">
            <w:pPr>
              <w:pStyle w:val="TableLeft"/>
            </w:pPr>
            <w:r w:rsidRPr="00763304">
              <w:t>Malaise</w:t>
            </w:r>
          </w:p>
        </w:tc>
        <w:tc>
          <w:tcPr>
            <w:tcW w:w="2268" w:type="dxa"/>
          </w:tcPr>
          <w:p w14:paraId="1EF9C268" w14:textId="77777777" w:rsidR="00634AB8" w:rsidRPr="00763304" w:rsidRDefault="009D6010" w:rsidP="00634AB8">
            <w:pPr>
              <w:pStyle w:val="TableLeft"/>
              <w:jc w:val="center"/>
            </w:pPr>
            <w:r w:rsidRPr="00763304">
              <w:t>Very common (44.2%)</w:t>
            </w:r>
          </w:p>
        </w:tc>
        <w:tc>
          <w:tcPr>
            <w:tcW w:w="2126" w:type="dxa"/>
            <w:shd w:val="clear" w:color="auto" w:fill="auto"/>
          </w:tcPr>
          <w:p w14:paraId="1EF9C269" w14:textId="77777777" w:rsidR="00634AB8" w:rsidRPr="00763304" w:rsidRDefault="009D6010" w:rsidP="00634AB8">
            <w:pPr>
              <w:pStyle w:val="TableLeft"/>
              <w:jc w:val="center"/>
            </w:pPr>
            <w:r w:rsidRPr="00763304">
              <w:t>Very common (20.2%)</w:t>
            </w:r>
          </w:p>
        </w:tc>
      </w:tr>
      <w:tr w:rsidR="00444376" w:rsidRPr="00763304" w14:paraId="1EF9C26F" w14:textId="77777777" w:rsidTr="00634AB8">
        <w:trPr>
          <w:cantSplit/>
        </w:trPr>
        <w:tc>
          <w:tcPr>
            <w:tcW w:w="2405" w:type="dxa"/>
            <w:vMerge/>
            <w:shd w:val="clear" w:color="auto" w:fill="auto"/>
          </w:tcPr>
          <w:p w14:paraId="1EF9C26B" w14:textId="77777777" w:rsidR="00634AB8" w:rsidRPr="00763304" w:rsidRDefault="00634AB8" w:rsidP="009F0775">
            <w:pPr>
              <w:pStyle w:val="TableLeft"/>
            </w:pPr>
          </w:p>
        </w:tc>
        <w:tc>
          <w:tcPr>
            <w:tcW w:w="2835" w:type="dxa"/>
            <w:shd w:val="clear" w:color="auto" w:fill="auto"/>
          </w:tcPr>
          <w:p w14:paraId="1EF9C26C" w14:textId="77777777" w:rsidR="00634AB8" w:rsidRPr="00763304" w:rsidRDefault="009D6010" w:rsidP="009F0775">
            <w:pPr>
              <w:pStyle w:val="TableLeft"/>
            </w:pPr>
            <w:proofErr w:type="spellStart"/>
            <w:r w:rsidRPr="00763304">
              <w:t>Feverishness</w:t>
            </w:r>
            <w:r w:rsidRPr="00763304">
              <w:rPr>
                <w:vertAlign w:val="superscript"/>
              </w:rPr>
              <w:t>d</w:t>
            </w:r>
            <w:proofErr w:type="spellEnd"/>
            <w:r w:rsidRPr="00763304">
              <w:rPr>
                <w:vertAlign w:val="superscript"/>
              </w:rPr>
              <w:t xml:space="preserve"> </w:t>
            </w:r>
            <w:r w:rsidRPr="00763304">
              <w:t>(Pyrexia)</w:t>
            </w:r>
          </w:p>
        </w:tc>
        <w:tc>
          <w:tcPr>
            <w:tcW w:w="2268" w:type="dxa"/>
          </w:tcPr>
          <w:p w14:paraId="1EF9C26D" w14:textId="77777777" w:rsidR="00634AB8" w:rsidRPr="00763304" w:rsidRDefault="009D6010" w:rsidP="00634AB8">
            <w:pPr>
              <w:pStyle w:val="TableLeft"/>
              <w:jc w:val="center"/>
            </w:pPr>
            <w:r w:rsidRPr="00763304">
              <w:t>Very common (33.6%)</w:t>
            </w:r>
          </w:p>
        </w:tc>
        <w:tc>
          <w:tcPr>
            <w:tcW w:w="2126" w:type="dxa"/>
            <w:shd w:val="clear" w:color="auto" w:fill="auto"/>
          </w:tcPr>
          <w:p w14:paraId="1EF9C26E" w14:textId="77777777" w:rsidR="00634AB8" w:rsidRPr="00763304" w:rsidRDefault="009D6010" w:rsidP="00634AB8">
            <w:pPr>
              <w:pStyle w:val="TableLeft"/>
              <w:jc w:val="center"/>
            </w:pPr>
            <w:r w:rsidRPr="00763304">
              <w:t>Very common (10.7%)</w:t>
            </w:r>
          </w:p>
        </w:tc>
      </w:tr>
      <w:tr w:rsidR="00444376" w:rsidRPr="00763304" w14:paraId="1EF9C274" w14:textId="77777777" w:rsidTr="00634AB8">
        <w:trPr>
          <w:cantSplit/>
        </w:trPr>
        <w:tc>
          <w:tcPr>
            <w:tcW w:w="2405" w:type="dxa"/>
            <w:vMerge/>
            <w:shd w:val="clear" w:color="auto" w:fill="auto"/>
          </w:tcPr>
          <w:p w14:paraId="1EF9C270" w14:textId="77777777" w:rsidR="00634AB8" w:rsidRPr="00763304" w:rsidRDefault="00634AB8" w:rsidP="009F0775">
            <w:pPr>
              <w:pStyle w:val="TableLeft"/>
            </w:pPr>
          </w:p>
        </w:tc>
        <w:tc>
          <w:tcPr>
            <w:tcW w:w="2835" w:type="dxa"/>
            <w:shd w:val="clear" w:color="auto" w:fill="auto"/>
          </w:tcPr>
          <w:p w14:paraId="1EF9C271" w14:textId="77777777" w:rsidR="00634AB8" w:rsidRPr="00763304" w:rsidRDefault="009D6010" w:rsidP="009F0775">
            <w:pPr>
              <w:pStyle w:val="TableLeft"/>
            </w:pPr>
            <w:r w:rsidRPr="00763304">
              <w:t xml:space="preserve">Chills </w:t>
            </w:r>
          </w:p>
        </w:tc>
        <w:tc>
          <w:tcPr>
            <w:tcW w:w="2268" w:type="dxa"/>
          </w:tcPr>
          <w:p w14:paraId="1EF9C272" w14:textId="77777777" w:rsidR="00634AB8" w:rsidRPr="00763304" w:rsidRDefault="009D6010" w:rsidP="00634AB8">
            <w:pPr>
              <w:pStyle w:val="TableLeft"/>
              <w:jc w:val="center"/>
            </w:pPr>
            <w:r w:rsidRPr="00763304">
              <w:t>Very common (31.9%)</w:t>
            </w:r>
          </w:p>
        </w:tc>
        <w:tc>
          <w:tcPr>
            <w:tcW w:w="2126" w:type="dxa"/>
            <w:shd w:val="clear" w:color="auto" w:fill="auto"/>
          </w:tcPr>
          <w:p w14:paraId="1EF9C273" w14:textId="77777777" w:rsidR="00634AB8" w:rsidRPr="00763304" w:rsidRDefault="009D6010" w:rsidP="00634AB8">
            <w:pPr>
              <w:pStyle w:val="TableLeft"/>
              <w:jc w:val="center"/>
            </w:pPr>
            <w:r w:rsidRPr="00763304">
              <w:t>Common (8.3%)</w:t>
            </w:r>
          </w:p>
        </w:tc>
      </w:tr>
      <w:tr w:rsidR="00444376" w:rsidRPr="00763304" w14:paraId="1EF9C279" w14:textId="77777777" w:rsidTr="00634AB8">
        <w:trPr>
          <w:cantSplit/>
        </w:trPr>
        <w:tc>
          <w:tcPr>
            <w:tcW w:w="2405" w:type="dxa"/>
            <w:vMerge/>
            <w:shd w:val="clear" w:color="auto" w:fill="auto"/>
          </w:tcPr>
          <w:p w14:paraId="1EF9C275" w14:textId="77777777" w:rsidR="00634AB8" w:rsidRPr="00763304" w:rsidRDefault="00634AB8" w:rsidP="009F0775">
            <w:pPr>
              <w:pStyle w:val="TableLeft"/>
            </w:pPr>
          </w:p>
        </w:tc>
        <w:tc>
          <w:tcPr>
            <w:tcW w:w="2835" w:type="dxa"/>
            <w:shd w:val="clear" w:color="auto" w:fill="auto"/>
          </w:tcPr>
          <w:p w14:paraId="1EF9C276" w14:textId="77777777" w:rsidR="00634AB8" w:rsidRPr="00763304" w:rsidRDefault="009D6010" w:rsidP="009F0775">
            <w:pPr>
              <w:pStyle w:val="TableLeft"/>
            </w:pPr>
            <w:proofErr w:type="spellStart"/>
            <w:r w:rsidRPr="00763304">
              <w:t>Fever</w:t>
            </w:r>
            <w:r w:rsidRPr="00763304">
              <w:rPr>
                <w:vertAlign w:val="superscript"/>
              </w:rPr>
              <w:t>d</w:t>
            </w:r>
            <w:proofErr w:type="spellEnd"/>
            <w:r w:rsidRPr="00763304">
              <w:t xml:space="preserve"> (Pyrexia)</w:t>
            </w:r>
          </w:p>
        </w:tc>
        <w:tc>
          <w:tcPr>
            <w:tcW w:w="2268" w:type="dxa"/>
          </w:tcPr>
          <w:p w14:paraId="1EF9C277" w14:textId="77777777" w:rsidR="00634AB8" w:rsidRPr="00763304" w:rsidRDefault="009D6010" w:rsidP="00634AB8">
            <w:pPr>
              <w:pStyle w:val="TableLeft"/>
              <w:jc w:val="center"/>
            </w:pPr>
            <w:r w:rsidRPr="00763304">
              <w:t>Common (7.9%)</w:t>
            </w:r>
          </w:p>
        </w:tc>
        <w:tc>
          <w:tcPr>
            <w:tcW w:w="2126" w:type="dxa"/>
            <w:shd w:val="clear" w:color="auto" w:fill="auto"/>
          </w:tcPr>
          <w:p w14:paraId="1EF9C278" w14:textId="77777777" w:rsidR="00634AB8" w:rsidRPr="00763304" w:rsidRDefault="009D6010" w:rsidP="00634AB8">
            <w:pPr>
              <w:pStyle w:val="TableLeft"/>
              <w:jc w:val="center"/>
            </w:pPr>
            <w:r w:rsidRPr="00763304">
              <w:t>Common (1.2%)</w:t>
            </w:r>
          </w:p>
        </w:tc>
      </w:tr>
    </w:tbl>
    <w:p w14:paraId="1EF9C27A" w14:textId="77777777" w:rsidR="009F0775" w:rsidRPr="00763304" w:rsidRDefault="009D6010" w:rsidP="009F0775">
      <w:pPr>
        <w:pStyle w:val="TableFootnoteLetter"/>
        <w:numPr>
          <w:ilvl w:val="0"/>
          <w:numId w:val="46"/>
        </w:numPr>
      </w:pPr>
      <w:r w:rsidRPr="00763304">
        <w:t>Frequencies of ADRs are reported from the safety analysis set where participants received the recommended dose (5×10</w:t>
      </w:r>
      <w:r w:rsidRPr="00763304">
        <w:rPr>
          <w:vertAlign w:val="superscript"/>
        </w:rPr>
        <w:t>10</w:t>
      </w:r>
      <w:r w:rsidRPr="00763304">
        <w:t xml:space="preserve"> </w:t>
      </w:r>
      <w:proofErr w:type="spellStart"/>
      <w:proofErr w:type="gramStart"/>
      <w:r w:rsidRPr="00763304">
        <w:t>vp</w:t>
      </w:r>
      <w:proofErr w:type="spellEnd"/>
      <w:proofErr w:type="gramEnd"/>
      <w:r w:rsidRPr="00763304">
        <w:t>) as their first dose.</w:t>
      </w:r>
    </w:p>
    <w:p w14:paraId="1EF9C27B" w14:textId="77777777" w:rsidR="009F0775" w:rsidRPr="00763304" w:rsidRDefault="009D6010" w:rsidP="009F0775">
      <w:pPr>
        <w:pStyle w:val="TableFootnoteLetter"/>
        <w:numPr>
          <w:ilvl w:val="0"/>
          <w:numId w:val="46"/>
        </w:numPr>
      </w:pPr>
      <w:r w:rsidRPr="00763304">
        <w:t xml:space="preserve">Solicited event reporting terms, where applicable </w:t>
      </w:r>
      <w:proofErr w:type="spellStart"/>
      <w:r w:rsidRPr="00763304">
        <w:t>MedDRA</w:t>
      </w:r>
      <w:proofErr w:type="spellEnd"/>
      <w:r w:rsidRPr="00763304">
        <w:t xml:space="preserve"> preferred terms are given in parentheses</w:t>
      </w:r>
    </w:p>
    <w:p w14:paraId="1EF9C27C" w14:textId="77777777" w:rsidR="009F0775" w:rsidRPr="00763304" w:rsidRDefault="009D6010" w:rsidP="009F0775">
      <w:pPr>
        <w:pStyle w:val="TableFootnoteLetter"/>
        <w:numPr>
          <w:ilvl w:val="0"/>
          <w:numId w:val="46"/>
        </w:numPr>
      </w:pPr>
      <w:r w:rsidRPr="00763304">
        <w:t>Control was either meningococcal vaccine or saline solution</w:t>
      </w:r>
    </w:p>
    <w:p w14:paraId="1EF9C27D" w14:textId="77777777" w:rsidR="00B85A9E" w:rsidRPr="00763304" w:rsidRDefault="009D6010" w:rsidP="00B85A9E">
      <w:pPr>
        <w:pStyle w:val="TableFootnoteLetter"/>
        <w:numPr>
          <w:ilvl w:val="0"/>
          <w:numId w:val="46"/>
        </w:numPr>
      </w:pPr>
      <w:r w:rsidRPr="00763304">
        <w:t>Defined as: Feverishness, (subjective) a self-reported feeling of having a fever; Fever, (objective) ≥38°C</w:t>
      </w:r>
    </w:p>
    <w:p w14:paraId="1EF9C27E" w14:textId="77777777" w:rsidR="009E10B4" w:rsidRPr="00763304" w:rsidRDefault="009E10B4" w:rsidP="009E10B4">
      <w:pPr>
        <w:pStyle w:val="Paragraph"/>
      </w:pPr>
    </w:p>
    <w:p w14:paraId="1EF9C27F" w14:textId="77777777" w:rsidR="00DF3302" w:rsidRPr="00763304" w:rsidRDefault="009D6010" w:rsidP="00DF3302">
      <w:pPr>
        <w:pStyle w:val="Heading3Unnumbered"/>
      </w:pPr>
      <w:r w:rsidRPr="00763304">
        <w:t xml:space="preserve">Reporting suspected adverse </w:t>
      </w:r>
      <w:r w:rsidR="002803FC" w:rsidRPr="00763304">
        <w:t>effects</w:t>
      </w:r>
    </w:p>
    <w:p w14:paraId="1EF9C280" w14:textId="77777777" w:rsidR="001D3AF3" w:rsidRPr="00763304" w:rsidRDefault="009D6010" w:rsidP="00446EDD">
      <w:pPr>
        <w:pStyle w:val="Paragraph"/>
      </w:pPr>
      <w:r w:rsidRPr="00763304">
        <w:t xml:space="preserve">Reporting suspected adverse reactions after registration of the medicinal product is important. It allows continued monitoring of the benefit-risk balance of the medicinal product. Healthcare professionals </w:t>
      </w:r>
      <w:proofErr w:type="gramStart"/>
      <w:r w:rsidRPr="00763304">
        <w:t>are asked</w:t>
      </w:r>
      <w:proofErr w:type="gramEnd"/>
      <w:r w:rsidRPr="00763304">
        <w:t xml:space="preserve"> to report any suspected adverse reactions at </w:t>
      </w:r>
      <w:r w:rsidR="00F06F31" w:rsidRPr="00763304">
        <w:t>www.tga.gov.au/reporting-problems</w:t>
      </w:r>
      <w:r w:rsidRPr="00763304">
        <w:t>.</w:t>
      </w:r>
    </w:p>
    <w:p w14:paraId="1EF9C281" w14:textId="77777777" w:rsidR="001A3992" w:rsidRPr="00763304" w:rsidRDefault="009D6010" w:rsidP="00EE3AC8">
      <w:pPr>
        <w:pStyle w:val="Heading2"/>
      </w:pPr>
      <w:r w:rsidRPr="00763304">
        <w:t>Overdose</w:t>
      </w:r>
    </w:p>
    <w:p w14:paraId="1EF9C282" w14:textId="3EC41891" w:rsidR="00AD1080" w:rsidRPr="00763304" w:rsidRDefault="009D6010" w:rsidP="00AD1080">
      <w:pPr>
        <w:pStyle w:val="Paragraph"/>
      </w:pPr>
      <w:r w:rsidRPr="00763304">
        <w:t>Experience of overdose is limited.</w:t>
      </w:r>
    </w:p>
    <w:p w14:paraId="1EF9C283" w14:textId="77777777" w:rsidR="00AD1080" w:rsidRPr="00763304" w:rsidRDefault="009D6010" w:rsidP="00AB6CD0">
      <w:pPr>
        <w:pStyle w:val="Paragraph"/>
        <w:spacing w:after="120"/>
      </w:pPr>
      <w:r w:rsidRPr="00763304">
        <w:t>There is no specific treatment for an overdose with COVID</w:t>
      </w:r>
      <w:r w:rsidR="003C49C9" w:rsidRPr="00763304">
        <w:t>-</w:t>
      </w:r>
      <w:r w:rsidRPr="00763304">
        <w:t xml:space="preserve">19 Vaccine AstraZeneca. In the event of an overdose, the individual </w:t>
      </w:r>
      <w:proofErr w:type="gramStart"/>
      <w:r w:rsidRPr="00763304">
        <w:t>should be monitored and provided with symptomatic treatment as appropriate</w:t>
      </w:r>
      <w:proofErr w:type="gramEnd"/>
      <w:r w:rsidRPr="00763304">
        <w:t>.</w:t>
      </w:r>
    </w:p>
    <w:p w14:paraId="1EF9C284" w14:textId="77777777" w:rsidR="00D87298" w:rsidRPr="00763304" w:rsidRDefault="009D6010" w:rsidP="00AB6CD0">
      <w:pPr>
        <w:pStyle w:val="Paragraph"/>
        <w:spacing w:after="120"/>
      </w:pPr>
      <w:r w:rsidRPr="00763304">
        <w:t>For information on the management of overdose, contact the Poison Information Centre on 131126 (Australia).</w:t>
      </w:r>
    </w:p>
    <w:p w14:paraId="1EF9C285" w14:textId="77777777" w:rsidR="001A3992" w:rsidRPr="00763304" w:rsidRDefault="009D6010" w:rsidP="00881EA6">
      <w:pPr>
        <w:pStyle w:val="Heading1"/>
        <w:keepNext w:val="0"/>
      </w:pPr>
      <w:r w:rsidRPr="00763304">
        <w:t>Pharmacological properties</w:t>
      </w:r>
    </w:p>
    <w:p w14:paraId="1EF9C286" w14:textId="77777777" w:rsidR="001A3992" w:rsidRPr="00763304" w:rsidRDefault="009D6010" w:rsidP="00EE3AC8">
      <w:pPr>
        <w:pStyle w:val="Heading2"/>
      </w:pPr>
      <w:bookmarkStart w:id="11" w:name="_Ref59522372"/>
      <w:r w:rsidRPr="00763304">
        <w:t>Pharmacodynamic properties</w:t>
      </w:r>
      <w:bookmarkEnd w:id="11"/>
    </w:p>
    <w:p w14:paraId="1EF9C287" w14:textId="712ABD92" w:rsidR="0082597C" w:rsidRPr="00763304" w:rsidRDefault="009D6010" w:rsidP="0082597C">
      <w:pPr>
        <w:pStyle w:val="Heading3Unnumbered"/>
      </w:pPr>
      <w:r w:rsidRPr="00763304">
        <w:t>Mechanism of action</w:t>
      </w:r>
    </w:p>
    <w:p w14:paraId="1EF9C288" w14:textId="21C45EE0" w:rsidR="003C49C9" w:rsidRPr="003C49C9" w:rsidRDefault="009D6010" w:rsidP="00AB6CD0">
      <w:pPr>
        <w:pStyle w:val="Paragraph"/>
        <w:spacing w:after="120"/>
      </w:pPr>
      <w:r w:rsidRPr="00763304">
        <w:t xml:space="preserve">COVID-19 Vaccine AstraZeneca is a monovalent vaccine composed of a single recombinant, replication-deficient chimpanzee adenovirus (ChAdOx1) vector encoding the S glycoprotein of </w:t>
      </w:r>
      <w:r w:rsidR="00F86971" w:rsidRPr="00763304">
        <w:t>SARS-C</w:t>
      </w:r>
      <w:r w:rsidR="006B17FE" w:rsidRPr="00763304">
        <w:t>o</w:t>
      </w:r>
      <w:r w:rsidR="00F86971" w:rsidRPr="00763304">
        <w:t>V-2</w:t>
      </w:r>
      <w:r w:rsidRPr="00763304">
        <w:t xml:space="preserve">. Following administration, the S glycoprotein of </w:t>
      </w:r>
      <w:r w:rsidR="00F86971" w:rsidRPr="00763304">
        <w:t>SARS-C</w:t>
      </w:r>
      <w:r w:rsidR="006B17FE" w:rsidRPr="00763304">
        <w:t>o</w:t>
      </w:r>
      <w:r w:rsidR="00F86971" w:rsidRPr="00763304">
        <w:t>V-2</w:t>
      </w:r>
      <w:r w:rsidRPr="00763304">
        <w:t xml:space="preserve"> </w:t>
      </w:r>
      <w:proofErr w:type="gramStart"/>
      <w:r w:rsidRPr="00763304">
        <w:t>is expressed</w:t>
      </w:r>
      <w:proofErr w:type="gramEnd"/>
      <w:r w:rsidRPr="00763304">
        <w:t xml:space="preserve"> locally stimulating neutralizing antibody and cellular immune responses.</w:t>
      </w:r>
    </w:p>
    <w:p w14:paraId="1EF9C28D" w14:textId="77777777" w:rsidR="001A3992" w:rsidRDefault="009D6010" w:rsidP="0026491B">
      <w:pPr>
        <w:pStyle w:val="Heading3Unnumbered"/>
      </w:pPr>
      <w:r w:rsidRPr="00377337">
        <w:t>Clinical trials</w:t>
      </w:r>
    </w:p>
    <w:p w14:paraId="1EF9C28E" w14:textId="1886FE71" w:rsidR="00C02ED7" w:rsidRPr="00763304" w:rsidRDefault="00EA69BE" w:rsidP="0082597C">
      <w:pPr>
        <w:pStyle w:val="Paragraph"/>
      </w:pPr>
      <w:r w:rsidRPr="00763304">
        <w:t xml:space="preserve">This section </w:t>
      </w:r>
      <w:proofErr w:type="gramStart"/>
      <w:r w:rsidRPr="00763304">
        <w:t>will be updated</w:t>
      </w:r>
      <w:proofErr w:type="gramEnd"/>
      <w:r w:rsidRPr="00763304">
        <w:t xml:space="preserve"> as evidence emerges from ongoing clinical studies.</w:t>
      </w:r>
    </w:p>
    <w:p w14:paraId="1EF9C28F" w14:textId="77777777" w:rsidR="00C02ED7" w:rsidRPr="00763304" w:rsidRDefault="009D6010" w:rsidP="00C02ED7">
      <w:pPr>
        <w:pStyle w:val="Heading4Unnumbered"/>
      </w:pPr>
      <w:r w:rsidRPr="00763304">
        <w:t>Interim analysis of pooled data from COV001, COV002, COV003, and COV005</w:t>
      </w:r>
    </w:p>
    <w:p w14:paraId="1EF9C290" w14:textId="00D93FE1" w:rsidR="00C02ED7" w:rsidRPr="008D35A9" w:rsidRDefault="006525A7" w:rsidP="00A82104">
      <w:pPr>
        <w:pStyle w:val="Paragraph"/>
      </w:pPr>
      <w:proofErr w:type="gramStart"/>
      <w:r w:rsidRPr="00763304">
        <w:t xml:space="preserve">The efficacy and safety of </w:t>
      </w:r>
      <w:r w:rsidR="009D6010" w:rsidRPr="00763304">
        <w:t xml:space="preserve">COVID-19 Vaccine AstraZeneca has been evaluated based on an interim analysis </w:t>
      </w:r>
      <w:r w:rsidR="0008235A" w:rsidRPr="00763304">
        <w:t>(data lock</w:t>
      </w:r>
      <w:r w:rsidR="006B3168" w:rsidRPr="00763304">
        <w:t>:</w:t>
      </w:r>
      <w:r w:rsidR="0008235A" w:rsidRPr="00763304">
        <w:t xml:space="preserve"> 4</w:t>
      </w:r>
      <w:r w:rsidR="006B3168" w:rsidRPr="00763304">
        <w:t> </w:t>
      </w:r>
      <w:r w:rsidR="0008235A" w:rsidRPr="00763304">
        <w:t xml:space="preserve">November 2020) </w:t>
      </w:r>
      <w:r w:rsidR="009D6010" w:rsidRPr="00763304">
        <w:t>of pooled data from four on-going randomised, blinded, controlled trials: a Phase I/II Study, COV001 (NCT04324606), in healthy adults 18 to 55 years of age in the UK; a Phase II/III Study, COV002 (NCT04400838), in adults ≥18 years of age (including the elderly) in the UK; a Phase III Study, COV003 (ISRCTN89951424), in adults ≥18 years of age (including the elderly) in Brazil; and a Phase I/II study, COV005 (NCT04444674), in adults aged 18 to 65 years of age in South Africa.</w:t>
      </w:r>
      <w:proofErr w:type="gramEnd"/>
      <w:r w:rsidR="009D6010" w:rsidRPr="00763304">
        <w:t xml:space="preserve"> The studies excluded participants with severe and/or uncontrolled cardiovascular, gastrointestinal, liver, renal, endocrine/metabolic disease, and neurological illnesses; as well as those with severe immunosuppression. </w:t>
      </w:r>
      <w:bookmarkStart w:id="12" w:name="_Hlk62941851"/>
      <w:r w:rsidR="00A82104" w:rsidRPr="00763304">
        <w:t xml:space="preserve">In studies COV001 and COV002, licensed seasonal influenza and pneumococcal vaccinations </w:t>
      </w:r>
      <w:proofErr w:type="gramStart"/>
      <w:r w:rsidR="00A82104" w:rsidRPr="00763304">
        <w:t>were permitted</w:t>
      </w:r>
      <w:proofErr w:type="gramEnd"/>
      <w:r w:rsidR="00A82104" w:rsidRPr="00763304">
        <w:t xml:space="preserve"> (at least </w:t>
      </w:r>
      <w:r w:rsidR="00A82104" w:rsidRPr="00763304">
        <w:lastRenderedPageBreak/>
        <w:t>7</w:t>
      </w:r>
      <w:r w:rsidR="00763304">
        <w:t> </w:t>
      </w:r>
      <w:r w:rsidR="00A82104" w:rsidRPr="00763304">
        <w:t>days before or after their study vaccine).</w:t>
      </w:r>
      <w:bookmarkEnd w:id="12"/>
      <w:r w:rsidR="00A82104" w:rsidRPr="00763304">
        <w:t xml:space="preserve"> </w:t>
      </w:r>
      <w:r w:rsidR="009D6010" w:rsidRPr="00763304">
        <w:t xml:space="preserve">All participants </w:t>
      </w:r>
      <w:proofErr w:type="gramStart"/>
      <w:r w:rsidR="009D6010" w:rsidRPr="00763304">
        <w:t>are planned to be followed</w:t>
      </w:r>
      <w:proofErr w:type="gramEnd"/>
      <w:r w:rsidR="009D6010" w:rsidRPr="00763304">
        <w:t xml:space="preserve"> for up to 12 months, for assessments of safety and efficacy against COVID-19 disease.</w:t>
      </w:r>
      <w:r w:rsidR="00763304">
        <w:t xml:space="preserve"> </w:t>
      </w:r>
      <w:r w:rsidRPr="00763304">
        <w:t>These studies are ongoing.</w:t>
      </w:r>
    </w:p>
    <w:p w14:paraId="1EF9C291" w14:textId="6FFF7135" w:rsidR="00C02ED7" w:rsidRPr="00763304" w:rsidRDefault="006525A7" w:rsidP="00C02ED7">
      <w:pPr>
        <w:pStyle w:val="Paragraph"/>
      </w:pPr>
      <w:r w:rsidRPr="00763304">
        <w:t>The</w:t>
      </w:r>
      <w:r w:rsidR="009D6010" w:rsidRPr="00763304">
        <w:t xml:space="preserve"> interim efficacy analysis</w:t>
      </w:r>
      <w:r w:rsidRPr="00763304">
        <w:t xml:space="preserve"> was based upon the results of</w:t>
      </w:r>
      <w:r w:rsidR="009D6010" w:rsidRPr="00763304">
        <w:t xml:space="preserve"> COV002 and COV003</w:t>
      </w:r>
      <w:r w:rsidRPr="00763304">
        <w:t xml:space="preserve">, as at that time studies COV001 and COV005 had &lt;5 </w:t>
      </w:r>
      <w:proofErr w:type="spellStart"/>
      <w:r w:rsidR="009D6010" w:rsidRPr="00763304">
        <w:t>virologically</w:t>
      </w:r>
      <w:proofErr w:type="spellEnd"/>
      <w:r w:rsidR="009D6010" w:rsidRPr="00763304">
        <w:t xml:space="preserve"> confirmed COVID-19 cases per study and therefore </w:t>
      </w:r>
      <w:r w:rsidRPr="00763304">
        <w:t>did not meet the predefined statistical threshold to be included in the</w:t>
      </w:r>
      <w:r w:rsidR="009D6010" w:rsidRPr="00763304">
        <w:t xml:space="preserve"> efficacy analysis.</w:t>
      </w:r>
      <w:r w:rsidR="00517D99" w:rsidRPr="00763304">
        <w:t xml:space="preserve"> </w:t>
      </w:r>
    </w:p>
    <w:p w14:paraId="1EF9C292" w14:textId="4DD81C5D" w:rsidR="00C02ED7" w:rsidRPr="00763304" w:rsidRDefault="009D6010" w:rsidP="00C02ED7">
      <w:pPr>
        <w:pStyle w:val="Paragraph"/>
      </w:pPr>
      <w:r w:rsidRPr="00763304">
        <w:t>In the pooled analysis for efficacy (COV002 and COV003), participants ≥18 years of age received two doses of COVID-19 Vaccine AstraZeneca (N=5,807) or control (meningococcal vaccine or saline) (N=5,829). Participants randomised to COVID-19 Vaccine AstraZeneca received either two standard doses [SD] (</w:t>
      </w:r>
      <w:proofErr w:type="gramStart"/>
      <w:r w:rsidRPr="00763304">
        <w:t>5×</w:t>
      </w:r>
      <w:proofErr w:type="gramEnd"/>
      <w:r w:rsidRPr="00763304">
        <w:t>10</w:t>
      </w:r>
      <w:r w:rsidRPr="00763304">
        <w:rPr>
          <w:vertAlign w:val="superscript"/>
        </w:rPr>
        <w:t>10</w:t>
      </w:r>
      <w:r w:rsidRPr="00763304">
        <w:t> </w:t>
      </w:r>
      <w:proofErr w:type="spellStart"/>
      <w:r w:rsidRPr="00763304">
        <w:t>vp</w:t>
      </w:r>
      <w:proofErr w:type="spellEnd"/>
      <w:r w:rsidRPr="00763304">
        <w:t xml:space="preserve"> per dose) or one low dose [LD] (2.2×10</w:t>
      </w:r>
      <w:r w:rsidRPr="00763304">
        <w:rPr>
          <w:vertAlign w:val="superscript"/>
        </w:rPr>
        <w:t>10</w:t>
      </w:r>
      <w:r w:rsidRPr="00763304">
        <w:t> </w:t>
      </w:r>
      <w:proofErr w:type="spellStart"/>
      <w:r w:rsidRPr="00763304">
        <w:t>vp</w:t>
      </w:r>
      <w:proofErr w:type="spellEnd"/>
      <w:r w:rsidRPr="00763304">
        <w:t>) followed by one SD (5×10</w:t>
      </w:r>
      <w:r w:rsidRPr="00763304">
        <w:rPr>
          <w:vertAlign w:val="superscript"/>
        </w:rPr>
        <w:t>10</w:t>
      </w:r>
      <w:r w:rsidRPr="00763304">
        <w:t>vp), administered via IM injection.</w:t>
      </w:r>
      <w:r w:rsidR="00517D99" w:rsidRPr="00763304">
        <w:t xml:space="preserve"> </w:t>
      </w:r>
    </w:p>
    <w:p w14:paraId="1EF9C293" w14:textId="36CAA5C8" w:rsidR="00C02ED7" w:rsidRPr="00763304" w:rsidRDefault="009D6010" w:rsidP="00C02ED7">
      <w:pPr>
        <w:pStyle w:val="Paragraph"/>
      </w:pPr>
      <w:r w:rsidRPr="00763304">
        <w:t xml:space="preserve">Because of logistical constraints, the interval between dose 1 and dose 2 ranged from </w:t>
      </w:r>
      <w:proofErr w:type="gramStart"/>
      <w:r w:rsidRPr="00763304">
        <w:t>4</w:t>
      </w:r>
      <w:proofErr w:type="gramEnd"/>
      <w:r w:rsidRPr="00763304">
        <w:t xml:space="preserve"> to 26 weeks.</w:t>
      </w:r>
    </w:p>
    <w:p w14:paraId="1EF9C294" w14:textId="3360B2A7" w:rsidR="00C02ED7" w:rsidRPr="00763304" w:rsidRDefault="009D6010" w:rsidP="00C02ED7">
      <w:pPr>
        <w:pStyle w:val="Paragraph"/>
      </w:pPr>
      <w:r w:rsidRPr="00763304">
        <w:t xml:space="preserve">Baseline demographics </w:t>
      </w:r>
      <w:proofErr w:type="gramStart"/>
      <w:r w:rsidRPr="00763304">
        <w:t>were well balanced</w:t>
      </w:r>
      <w:proofErr w:type="gramEnd"/>
      <w:r w:rsidRPr="00763304">
        <w:t xml:space="preserve"> across COVID</w:t>
      </w:r>
      <w:r w:rsidR="00D14729" w:rsidRPr="00763304">
        <w:t>-</w:t>
      </w:r>
      <w:r w:rsidRPr="00763304">
        <w:t xml:space="preserve">19 Vaccine AstraZeneca and control treatment groups. In the pooled analysis, </w:t>
      </w:r>
      <w:r w:rsidR="00F14D77" w:rsidRPr="00763304">
        <w:t xml:space="preserve">among the participants who received COVID-19 Vaccine AstraZeneca, </w:t>
      </w:r>
      <w:r w:rsidRPr="00763304">
        <w:t>94.1% of participants were 18 to 6</w:t>
      </w:r>
      <w:r w:rsidR="00F14D77" w:rsidRPr="00763304">
        <w:t>4</w:t>
      </w:r>
      <w:r w:rsidR="00D14729" w:rsidRPr="00763304">
        <w:t> </w:t>
      </w:r>
      <w:r w:rsidRPr="00763304">
        <w:t xml:space="preserve"> years old (with 5.9% aged 65 or older); 60.7% of subjects were female; 82.8% were White, 4.6% were Asian, and 4.4% were Black.  </w:t>
      </w:r>
      <w:proofErr w:type="gramStart"/>
      <w:r w:rsidRPr="00763304">
        <w:t>A total of 2,070</w:t>
      </w:r>
      <w:proofErr w:type="gramEnd"/>
      <w:r w:rsidRPr="00763304">
        <w:t xml:space="preserve"> (35.6%) participants had at least one pre-existing </w:t>
      </w:r>
      <w:r w:rsidR="0008235A" w:rsidRPr="00763304">
        <w:t xml:space="preserve">mild </w:t>
      </w:r>
      <w:r w:rsidRPr="00763304">
        <w:t>comorbidity (defined as a BMI ≥30</w:t>
      </w:r>
      <w:r w:rsidR="00D14729" w:rsidRPr="00763304">
        <w:t> Kg</w:t>
      </w:r>
      <w:r w:rsidRPr="00763304">
        <w:t>/m</w:t>
      </w:r>
      <w:r w:rsidRPr="00763304">
        <w:rPr>
          <w:vertAlign w:val="superscript"/>
        </w:rPr>
        <w:t>2</w:t>
      </w:r>
      <w:r w:rsidRPr="00763304">
        <w:t xml:space="preserve">, cardiovascular disorder, respiratory disease or diabetes).  At the time of interim </w:t>
      </w:r>
      <w:proofErr w:type="gramStart"/>
      <w:r w:rsidRPr="00763304">
        <w:t>analysis</w:t>
      </w:r>
      <w:proofErr w:type="gramEnd"/>
      <w:r w:rsidRPr="00763304">
        <w:t xml:space="preserve"> the median follow up time post-dose 1 was 4.7</w:t>
      </w:r>
      <w:r w:rsidR="00D14729" w:rsidRPr="00763304">
        <w:t> </w:t>
      </w:r>
      <w:r w:rsidRPr="00763304">
        <w:t xml:space="preserve">months and </w:t>
      </w:r>
      <w:r w:rsidR="0008235A" w:rsidRPr="00763304">
        <w:t xml:space="preserve">post-dose 2 was </w:t>
      </w:r>
      <w:r w:rsidRPr="00763304">
        <w:t>2.2</w:t>
      </w:r>
      <w:r w:rsidR="00D14729" w:rsidRPr="00763304">
        <w:t> </w:t>
      </w:r>
      <w:r w:rsidRPr="00763304">
        <w:t>months.</w:t>
      </w:r>
    </w:p>
    <w:p w14:paraId="1EF9C296" w14:textId="23066F27" w:rsidR="00D1487C" w:rsidRDefault="009D6010" w:rsidP="00D1487C">
      <w:pPr>
        <w:pStyle w:val="Paragraph"/>
      </w:pPr>
      <w:r w:rsidRPr="00763304">
        <w:t xml:space="preserve">The primary efficacy endpoint was symptomatic COVID-19 infection, defined as objective fever (≥37.8°C), cough, </w:t>
      </w:r>
      <w:proofErr w:type="gramStart"/>
      <w:r w:rsidRPr="00763304">
        <w:t>shortness</w:t>
      </w:r>
      <w:proofErr w:type="gramEnd"/>
      <w:r w:rsidRPr="00763304">
        <w:t xml:space="preserve"> of breath, anosmia, or </w:t>
      </w:r>
      <w:proofErr w:type="spellStart"/>
      <w:r w:rsidRPr="00763304">
        <w:t>ageusia</w:t>
      </w:r>
      <w:proofErr w:type="spellEnd"/>
      <w:r w:rsidRPr="00763304">
        <w:t xml:space="preserve"> with </w:t>
      </w:r>
      <w:proofErr w:type="spellStart"/>
      <w:r w:rsidRPr="00763304">
        <w:t>virologically</w:t>
      </w:r>
      <w:proofErr w:type="spellEnd"/>
      <w:r w:rsidRPr="00763304">
        <w:t xml:space="preserve"> confirmed COVID-19 occurring ≥15 days post second dose, in participants without serological evidence of previous SARS</w:t>
      </w:r>
      <w:r w:rsidR="006B17FE" w:rsidRPr="00763304">
        <w:t>-</w:t>
      </w:r>
      <w:r w:rsidRPr="00763304">
        <w:t>C</w:t>
      </w:r>
      <w:r w:rsidR="006B17FE" w:rsidRPr="00763304">
        <w:t>o</w:t>
      </w:r>
      <w:r w:rsidRPr="00763304">
        <w:t>V</w:t>
      </w:r>
      <w:r w:rsidR="006B17FE" w:rsidRPr="00763304">
        <w:t>-</w:t>
      </w:r>
      <w:r w:rsidRPr="00763304">
        <w:t>2 infection.</w:t>
      </w:r>
      <w:r w:rsidR="00394816" w:rsidRPr="00763304">
        <w:t xml:space="preserve">  </w:t>
      </w:r>
      <w:proofErr w:type="gramStart"/>
      <w:r w:rsidRPr="00763304">
        <w:t>Final determination of COVID-19 cases were made by an adjudication committee, who also assigned disease severity according to the WHO clinical progression scale</w:t>
      </w:r>
      <w:proofErr w:type="gramEnd"/>
      <w:r w:rsidRPr="00763304">
        <w:t xml:space="preserve">. </w:t>
      </w:r>
      <w:proofErr w:type="gramStart"/>
      <w:r w:rsidRPr="00763304">
        <w:t>A total of 131</w:t>
      </w:r>
      <w:proofErr w:type="gramEnd"/>
      <w:r w:rsidR="00D14729" w:rsidRPr="00763304">
        <w:t> </w:t>
      </w:r>
      <w:r w:rsidRPr="00763304">
        <w:t>participants</w:t>
      </w:r>
      <w:r w:rsidR="00394816" w:rsidRPr="00763304">
        <w:t xml:space="preserve"> met the primary efficacy endpoint criteria</w:t>
      </w:r>
      <w:r w:rsidRPr="00763304">
        <w:t>.  COVID</w:t>
      </w:r>
      <w:r w:rsidR="00D14729" w:rsidRPr="00763304">
        <w:t>-</w:t>
      </w:r>
      <w:r w:rsidRPr="00763304">
        <w:t>19 Vaccine AstraZeneca significantly decreased the incidence of COVID</w:t>
      </w:r>
      <w:r w:rsidR="00D14729" w:rsidRPr="00763304">
        <w:t>-</w:t>
      </w:r>
      <w:r w:rsidRPr="00763304">
        <w:t xml:space="preserve">19 compared to control (see </w:t>
      </w:r>
      <w:r w:rsidRPr="00763304">
        <w:fldChar w:fldCharType="begin"/>
      </w:r>
      <w:r w:rsidRPr="00763304">
        <w:instrText xml:space="preserve"> REF _Ref59531993 \h  \* MERGEFORMAT </w:instrText>
      </w:r>
      <w:r w:rsidRPr="00763304">
        <w:fldChar w:fldCharType="separate"/>
      </w:r>
      <w:r w:rsidR="001B509F" w:rsidRPr="00763304">
        <w:t>Table 2</w:t>
      </w:r>
      <w:r w:rsidRPr="00763304">
        <w:fldChar w:fldCharType="end"/>
      </w:r>
      <w:r w:rsidRPr="00763304">
        <w:t>).</w:t>
      </w:r>
    </w:p>
    <w:p w14:paraId="1EF9C297" w14:textId="59B40ABD" w:rsidR="00D1487C" w:rsidRPr="00763304" w:rsidRDefault="009D6010" w:rsidP="00D1487C">
      <w:pPr>
        <w:pStyle w:val="TableTitle"/>
      </w:pPr>
      <w:bookmarkStart w:id="13" w:name="_Ref59531993"/>
      <w:r w:rsidRPr="00763304">
        <w:t>Table </w:t>
      </w:r>
      <w:r w:rsidRPr="00763304">
        <w:fldChar w:fldCharType="begin"/>
      </w:r>
      <w:r w:rsidRPr="00763304">
        <w:instrText xml:space="preserve"> SEQ Table \* ARABIC </w:instrText>
      </w:r>
      <w:r w:rsidRPr="00763304">
        <w:fldChar w:fldCharType="separate"/>
      </w:r>
      <w:r w:rsidR="001B509F" w:rsidRPr="00763304">
        <w:rPr>
          <w:noProof/>
        </w:rPr>
        <w:t>2</w:t>
      </w:r>
      <w:r w:rsidRPr="00763304">
        <w:fldChar w:fldCharType="end"/>
      </w:r>
      <w:bookmarkEnd w:id="13"/>
      <w:r w:rsidRPr="00763304">
        <w:tab/>
        <w:t xml:space="preserve">COVID-19 Vaccine AstraZeneca efficacy against </w:t>
      </w:r>
      <w:r w:rsidR="002D18DD" w:rsidRPr="00763304">
        <w:t>COVID-19</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114"/>
        <w:gridCol w:w="992"/>
        <w:gridCol w:w="1418"/>
        <w:gridCol w:w="850"/>
        <w:gridCol w:w="1276"/>
        <w:gridCol w:w="1988"/>
      </w:tblGrid>
      <w:tr w:rsidR="00444376" w:rsidRPr="00763304" w14:paraId="1EF9C29C" w14:textId="77777777" w:rsidTr="004E0E95">
        <w:trPr>
          <w:cantSplit/>
          <w:tblHeader/>
        </w:trPr>
        <w:tc>
          <w:tcPr>
            <w:tcW w:w="3114" w:type="dxa"/>
            <w:vMerge w:val="restart"/>
            <w:shd w:val="clear" w:color="auto" w:fill="auto"/>
            <w:vAlign w:val="center"/>
          </w:tcPr>
          <w:p w14:paraId="1EF9C298" w14:textId="77777777" w:rsidR="009C4788" w:rsidRPr="00763304" w:rsidRDefault="009D6010" w:rsidP="009C4788">
            <w:pPr>
              <w:pStyle w:val="TableHead"/>
              <w:jc w:val="left"/>
            </w:pPr>
            <w:r w:rsidRPr="00763304">
              <w:t>Population</w:t>
            </w:r>
          </w:p>
        </w:tc>
        <w:tc>
          <w:tcPr>
            <w:tcW w:w="2410" w:type="dxa"/>
            <w:gridSpan w:val="2"/>
            <w:shd w:val="clear" w:color="auto" w:fill="auto"/>
            <w:vAlign w:val="center"/>
          </w:tcPr>
          <w:p w14:paraId="1EF9C299" w14:textId="77777777" w:rsidR="009C4788" w:rsidRPr="00763304" w:rsidRDefault="009D6010" w:rsidP="009C4788">
            <w:pPr>
              <w:pStyle w:val="TableHead"/>
            </w:pPr>
            <w:r w:rsidRPr="00763304">
              <w:t>COVID-19 Vaccine AstraZeneca</w:t>
            </w:r>
          </w:p>
        </w:tc>
        <w:tc>
          <w:tcPr>
            <w:tcW w:w="2126" w:type="dxa"/>
            <w:gridSpan w:val="2"/>
            <w:shd w:val="clear" w:color="auto" w:fill="auto"/>
            <w:vAlign w:val="center"/>
          </w:tcPr>
          <w:p w14:paraId="1EF9C29A" w14:textId="77777777" w:rsidR="009C4788" w:rsidRPr="00763304" w:rsidRDefault="009D6010" w:rsidP="009C4788">
            <w:pPr>
              <w:pStyle w:val="TableHead"/>
            </w:pPr>
            <w:r w:rsidRPr="00763304">
              <w:t>Control</w:t>
            </w:r>
          </w:p>
        </w:tc>
        <w:tc>
          <w:tcPr>
            <w:tcW w:w="1988" w:type="dxa"/>
            <w:vMerge w:val="restart"/>
            <w:shd w:val="clear" w:color="auto" w:fill="auto"/>
            <w:vAlign w:val="center"/>
          </w:tcPr>
          <w:p w14:paraId="1EF9C29B" w14:textId="77777777" w:rsidR="009C4788" w:rsidRPr="00763304" w:rsidRDefault="009D6010" w:rsidP="009C4788">
            <w:pPr>
              <w:pStyle w:val="TableHead"/>
            </w:pPr>
            <w:r w:rsidRPr="00763304">
              <w:t>Vaccine efficacy % (95.84% CI)</w:t>
            </w:r>
          </w:p>
        </w:tc>
      </w:tr>
      <w:tr w:rsidR="00444376" w:rsidRPr="00763304" w14:paraId="1EF9C2A3" w14:textId="77777777" w:rsidTr="004E0E95">
        <w:trPr>
          <w:cantSplit/>
          <w:tblHeader/>
        </w:trPr>
        <w:tc>
          <w:tcPr>
            <w:tcW w:w="3114" w:type="dxa"/>
            <w:vMerge/>
            <w:shd w:val="clear" w:color="auto" w:fill="auto"/>
          </w:tcPr>
          <w:p w14:paraId="1EF9C29D" w14:textId="77777777" w:rsidR="009C4788" w:rsidRPr="00763304" w:rsidRDefault="009C4788" w:rsidP="009C4788">
            <w:pPr>
              <w:pStyle w:val="TableHead"/>
              <w:jc w:val="left"/>
            </w:pPr>
          </w:p>
        </w:tc>
        <w:tc>
          <w:tcPr>
            <w:tcW w:w="992" w:type="dxa"/>
            <w:shd w:val="clear" w:color="auto" w:fill="auto"/>
            <w:vAlign w:val="center"/>
          </w:tcPr>
          <w:p w14:paraId="1EF9C29E" w14:textId="77777777" w:rsidR="009C4788" w:rsidRPr="00763304" w:rsidRDefault="009D6010" w:rsidP="009C4788">
            <w:pPr>
              <w:pStyle w:val="TableHead"/>
            </w:pPr>
            <w:r w:rsidRPr="00763304">
              <w:t>N</w:t>
            </w:r>
          </w:p>
        </w:tc>
        <w:tc>
          <w:tcPr>
            <w:tcW w:w="1418" w:type="dxa"/>
            <w:shd w:val="clear" w:color="auto" w:fill="auto"/>
            <w:vAlign w:val="center"/>
          </w:tcPr>
          <w:p w14:paraId="1EF9C29F" w14:textId="490C75D5" w:rsidR="009C4788" w:rsidRPr="00763304" w:rsidRDefault="009D6010" w:rsidP="009C4788">
            <w:pPr>
              <w:pStyle w:val="TableHead"/>
            </w:pPr>
            <w:r w:rsidRPr="00763304">
              <w:t>Number of COVID-19 cases, n (%)</w:t>
            </w:r>
          </w:p>
        </w:tc>
        <w:tc>
          <w:tcPr>
            <w:tcW w:w="850" w:type="dxa"/>
            <w:shd w:val="clear" w:color="auto" w:fill="auto"/>
            <w:vAlign w:val="center"/>
          </w:tcPr>
          <w:p w14:paraId="1EF9C2A0" w14:textId="77777777" w:rsidR="009C4788" w:rsidRPr="00763304" w:rsidRDefault="009D6010" w:rsidP="009C4788">
            <w:pPr>
              <w:pStyle w:val="TableHead"/>
            </w:pPr>
            <w:r w:rsidRPr="00763304">
              <w:t>N</w:t>
            </w:r>
          </w:p>
        </w:tc>
        <w:tc>
          <w:tcPr>
            <w:tcW w:w="1276" w:type="dxa"/>
            <w:shd w:val="clear" w:color="auto" w:fill="auto"/>
            <w:vAlign w:val="center"/>
          </w:tcPr>
          <w:p w14:paraId="1EF9C2A1" w14:textId="7E114DB5" w:rsidR="009C4788" w:rsidRPr="00763304" w:rsidRDefault="009D6010" w:rsidP="009C4788">
            <w:pPr>
              <w:pStyle w:val="TableHead"/>
            </w:pPr>
            <w:r w:rsidRPr="00763304">
              <w:t>Number of COVID-19 cases, n (%)</w:t>
            </w:r>
          </w:p>
        </w:tc>
        <w:tc>
          <w:tcPr>
            <w:tcW w:w="1988" w:type="dxa"/>
            <w:vMerge/>
            <w:shd w:val="clear" w:color="auto" w:fill="auto"/>
          </w:tcPr>
          <w:p w14:paraId="1EF9C2A2" w14:textId="77777777" w:rsidR="009C4788" w:rsidRPr="00763304" w:rsidRDefault="009C4788" w:rsidP="009C4788">
            <w:pPr>
              <w:pStyle w:val="TableHead"/>
            </w:pPr>
          </w:p>
        </w:tc>
      </w:tr>
      <w:tr w:rsidR="00444376" w:rsidRPr="00763304" w14:paraId="1EF9C2A5" w14:textId="77777777" w:rsidTr="00DB43E7">
        <w:trPr>
          <w:cantSplit/>
        </w:trPr>
        <w:tc>
          <w:tcPr>
            <w:tcW w:w="9638" w:type="dxa"/>
            <w:gridSpan w:val="6"/>
            <w:shd w:val="clear" w:color="auto" w:fill="auto"/>
          </w:tcPr>
          <w:p w14:paraId="1EF9C2A4" w14:textId="77777777" w:rsidR="009C4788" w:rsidRPr="00763304" w:rsidRDefault="009D6010" w:rsidP="009C4788">
            <w:pPr>
              <w:pStyle w:val="TableCenter"/>
              <w:jc w:val="left"/>
              <w:rPr>
                <w:b/>
                <w:bCs/>
                <w:i/>
                <w:iCs/>
                <w:szCs w:val="20"/>
              </w:rPr>
            </w:pPr>
            <w:r w:rsidRPr="00763304">
              <w:rPr>
                <w:b/>
                <w:bCs/>
                <w:i/>
                <w:iCs/>
                <w:szCs w:val="20"/>
              </w:rPr>
              <w:t>Primary analysis population</w:t>
            </w:r>
          </w:p>
        </w:tc>
      </w:tr>
      <w:tr w:rsidR="00444376" w:rsidRPr="00763304" w14:paraId="1EF9C2AC" w14:textId="77777777" w:rsidTr="004E0E95">
        <w:trPr>
          <w:cantSplit/>
        </w:trPr>
        <w:tc>
          <w:tcPr>
            <w:tcW w:w="3114" w:type="dxa"/>
            <w:shd w:val="clear" w:color="auto" w:fill="auto"/>
            <w:vAlign w:val="center"/>
          </w:tcPr>
          <w:p w14:paraId="1EF9C2A6" w14:textId="0393217F" w:rsidR="009C4788" w:rsidRPr="00763304" w:rsidRDefault="009D6010" w:rsidP="009C4788">
            <w:pPr>
              <w:pStyle w:val="TableCenter"/>
              <w:jc w:val="left"/>
              <w:rPr>
                <w:szCs w:val="20"/>
              </w:rPr>
            </w:pPr>
            <w:r w:rsidRPr="00763304">
              <w:rPr>
                <w:szCs w:val="20"/>
              </w:rPr>
              <w:t xml:space="preserve">Participants who had 2 doses of COVID-19 AstraZeneca </w:t>
            </w:r>
            <w:r w:rsidR="0051238A" w:rsidRPr="00763304">
              <w:rPr>
                <w:szCs w:val="20"/>
              </w:rPr>
              <w:t>&amp;</w:t>
            </w:r>
            <w:r w:rsidRPr="00763304">
              <w:rPr>
                <w:szCs w:val="20"/>
              </w:rPr>
              <w:t xml:space="preserve"> were seronegative at baseline </w:t>
            </w:r>
            <w:r w:rsidR="0051238A" w:rsidRPr="00763304">
              <w:rPr>
                <w:szCs w:val="20"/>
              </w:rPr>
              <w:t>&amp;</w:t>
            </w:r>
            <w:r w:rsidRPr="00763304">
              <w:rPr>
                <w:szCs w:val="20"/>
              </w:rPr>
              <w:t xml:space="preserve"> followed </w:t>
            </w:r>
            <w:r w:rsidR="007D3E36" w:rsidRPr="00763304">
              <w:rPr>
                <w:szCs w:val="20"/>
              </w:rPr>
              <w:t>≥</w:t>
            </w:r>
            <w:r w:rsidRPr="00763304">
              <w:rPr>
                <w:szCs w:val="20"/>
              </w:rPr>
              <w:t xml:space="preserve">15 days after the </w:t>
            </w:r>
            <w:r w:rsidR="0051238A" w:rsidRPr="00763304">
              <w:rPr>
                <w:szCs w:val="20"/>
              </w:rPr>
              <w:t>2</w:t>
            </w:r>
            <w:r w:rsidR="0051238A" w:rsidRPr="00763304">
              <w:rPr>
                <w:szCs w:val="20"/>
                <w:vertAlign w:val="superscript"/>
              </w:rPr>
              <w:t>nd</w:t>
            </w:r>
            <w:r w:rsidR="0051238A" w:rsidRPr="00763304">
              <w:rPr>
                <w:szCs w:val="20"/>
              </w:rPr>
              <w:t xml:space="preserve"> </w:t>
            </w:r>
            <w:r w:rsidRPr="00763304">
              <w:rPr>
                <w:szCs w:val="20"/>
              </w:rPr>
              <w:t xml:space="preserve">dose </w:t>
            </w:r>
            <w:r w:rsidRPr="00763304">
              <w:rPr>
                <w:szCs w:val="20"/>
                <w:vertAlign w:val="superscript"/>
              </w:rPr>
              <w:t>a</w:t>
            </w:r>
          </w:p>
        </w:tc>
        <w:tc>
          <w:tcPr>
            <w:tcW w:w="992" w:type="dxa"/>
            <w:shd w:val="clear" w:color="auto" w:fill="auto"/>
            <w:vAlign w:val="center"/>
          </w:tcPr>
          <w:p w14:paraId="1EF9C2A7" w14:textId="77777777" w:rsidR="009C4788" w:rsidRPr="00763304" w:rsidRDefault="009D6010" w:rsidP="009C4788">
            <w:pPr>
              <w:pStyle w:val="TableCenter"/>
              <w:rPr>
                <w:szCs w:val="20"/>
              </w:rPr>
            </w:pPr>
            <w:r w:rsidRPr="00763304">
              <w:rPr>
                <w:szCs w:val="20"/>
              </w:rPr>
              <w:t>5807</w:t>
            </w:r>
          </w:p>
        </w:tc>
        <w:tc>
          <w:tcPr>
            <w:tcW w:w="1418" w:type="dxa"/>
            <w:shd w:val="clear" w:color="auto" w:fill="auto"/>
            <w:vAlign w:val="center"/>
          </w:tcPr>
          <w:p w14:paraId="1EF9C2A8" w14:textId="77777777" w:rsidR="009C4788" w:rsidRPr="00763304" w:rsidRDefault="009D6010" w:rsidP="009C4788">
            <w:pPr>
              <w:pStyle w:val="TableCenter"/>
              <w:rPr>
                <w:szCs w:val="20"/>
              </w:rPr>
            </w:pPr>
            <w:r w:rsidRPr="00763304">
              <w:rPr>
                <w:szCs w:val="20"/>
              </w:rPr>
              <w:t>30 (0.52)</w:t>
            </w:r>
          </w:p>
        </w:tc>
        <w:tc>
          <w:tcPr>
            <w:tcW w:w="850" w:type="dxa"/>
            <w:shd w:val="clear" w:color="auto" w:fill="auto"/>
            <w:vAlign w:val="center"/>
          </w:tcPr>
          <w:p w14:paraId="1EF9C2A9" w14:textId="77777777" w:rsidR="009C4788" w:rsidRPr="00763304" w:rsidRDefault="009D6010" w:rsidP="009C4788">
            <w:pPr>
              <w:pStyle w:val="TableCenter"/>
              <w:rPr>
                <w:szCs w:val="20"/>
              </w:rPr>
            </w:pPr>
            <w:r w:rsidRPr="00763304">
              <w:rPr>
                <w:szCs w:val="20"/>
              </w:rPr>
              <w:t>5829</w:t>
            </w:r>
          </w:p>
        </w:tc>
        <w:tc>
          <w:tcPr>
            <w:tcW w:w="1276" w:type="dxa"/>
            <w:shd w:val="clear" w:color="auto" w:fill="auto"/>
            <w:vAlign w:val="center"/>
          </w:tcPr>
          <w:p w14:paraId="1EF9C2AA" w14:textId="77777777" w:rsidR="009C4788" w:rsidRPr="00763304" w:rsidRDefault="009D6010" w:rsidP="009C4788">
            <w:pPr>
              <w:pStyle w:val="TableCenter"/>
              <w:rPr>
                <w:szCs w:val="20"/>
              </w:rPr>
            </w:pPr>
            <w:r w:rsidRPr="00763304">
              <w:rPr>
                <w:szCs w:val="20"/>
              </w:rPr>
              <w:t>101 (1.73)</w:t>
            </w:r>
          </w:p>
        </w:tc>
        <w:tc>
          <w:tcPr>
            <w:tcW w:w="1988" w:type="dxa"/>
            <w:shd w:val="clear" w:color="auto" w:fill="auto"/>
            <w:vAlign w:val="center"/>
          </w:tcPr>
          <w:p w14:paraId="1EF9C2AB" w14:textId="3E78B4A4" w:rsidR="009C4788" w:rsidRPr="00763304" w:rsidRDefault="009D6010" w:rsidP="009C4788">
            <w:pPr>
              <w:pStyle w:val="TableCenter"/>
              <w:rPr>
                <w:szCs w:val="20"/>
              </w:rPr>
            </w:pPr>
            <w:r w:rsidRPr="00763304">
              <w:rPr>
                <w:szCs w:val="20"/>
              </w:rPr>
              <w:t>70.42</w:t>
            </w:r>
            <w:r w:rsidRPr="00763304">
              <w:rPr>
                <w:szCs w:val="20"/>
              </w:rPr>
              <w:br/>
              <w:t>(</w:t>
            </w:r>
            <w:r w:rsidR="006864E0" w:rsidRPr="00763304">
              <w:rPr>
                <w:szCs w:val="20"/>
              </w:rPr>
              <w:t>54</w:t>
            </w:r>
            <w:r w:rsidRPr="00763304">
              <w:rPr>
                <w:szCs w:val="20"/>
              </w:rPr>
              <w:t>.84, 80.63)</w:t>
            </w:r>
          </w:p>
        </w:tc>
      </w:tr>
      <w:tr w:rsidR="00444376" w:rsidRPr="00763304" w14:paraId="1EF9C2AE" w14:textId="77777777" w:rsidTr="00DB43E7">
        <w:trPr>
          <w:cantSplit/>
        </w:trPr>
        <w:tc>
          <w:tcPr>
            <w:tcW w:w="9638" w:type="dxa"/>
            <w:gridSpan w:val="6"/>
            <w:shd w:val="clear" w:color="auto" w:fill="auto"/>
          </w:tcPr>
          <w:p w14:paraId="1EF9C2AD" w14:textId="77777777" w:rsidR="009C4788" w:rsidRPr="00763304" w:rsidRDefault="009D6010" w:rsidP="009C4788">
            <w:pPr>
              <w:pStyle w:val="TableCenter"/>
              <w:jc w:val="left"/>
              <w:rPr>
                <w:b/>
                <w:bCs/>
                <w:i/>
                <w:iCs/>
                <w:szCs w:val="20"/>
              </w:rPr>
            </w:pPr>
            <w:r w:rsidRPr="00763304">
              <w:rPr>
                <w:b/>
                <w:bCs/>
                <w:i/>
                <w:iCs/>
                <w:szCs w:val="20"/>
              </w:rPr>
              <w:t>Licensing regimen</w:t>
            </w:r>
          </w:p>
        </w:tc>
      </w:tr>
      <w:tr w:rsidR="00444376" w:rsidRPr="00763304" w14:paraId="1EF9C2B5" w14:textId="77777777" w:rsidTr="004E0E95">
        <w:trPr>
          <w:cantSplit/>
        </w:trPr>
        <w:tc>
          <w:tcPr>
            <w:tcW w:w="3114" w:type="dxa"/>
            <w:shd w:val="clear" w:color="auto" w:fill="auto"/>
            <w:vAlign w:val="center"/>
          </w:tcPr>
          <w:p w14:paraId="1EF9C2AF" w14:textId="2763084E" w:rsidR="009C4788" w:rsidRPr="00763304" w:rsidRDefault="009D6010" w:rsidP="009C4788">
            <w:pPr>
              <w:pStyle w:val="TableCenter"/>
              <w:jc w:val="left"/>
              <w:rPr>
                <w:szCs w:val="20"/>
              </w:rPr>
            </w:pPr>
            <w:r w:rsidRPr="00763304">
              <w:rPr>
                <w:szCs w:val="20"/>
              </w:rPr>
              <w:t xml:space="preserve">Participants who had </w:t>
            </w:r>
            <w:r w:rsidR="0051238A" w:rsidRPr="00763304">
              <w:rPr>
                <w:szCs w:val="20"/>
              </w:rPr>
              <w:t>2</w:t>
            </w:r>
            <w:r w:rsidRPr="00763304">
              <w:rPr>
                <w:szCs w:val="20"/>
              </w:rPr>
              <w:t xml:space="preserve"> doses of the standard dose </w:t>
            </w:r>
            <w:r w:rsidR="0051238A" w:rsidRPr="00763304">
              <w:rPr>
                <w:szCs w:val="20"/>
              </w:rPr>
              <w:t>&amp;</w:t>
            </w:r>
            <w:r w:rsidRPr="00763304">
              <w:rPr>
                <w:szCs w:val="20"/>
              </w:rPr>
              <w:t xml:space="preserve"> </w:t>
            </w:r>
            <w:proofErr w:type="gramStart"/>
            <w:r w:rsidRPr="00763304">
              <w:rPr>
                <w:szCs w:val="20"/>
              </w:rPr>
              <w:t>were followed</w:t>
            </w:r>
            <w:proofErr w:type="gramEnd"/>
            <w:r w:rsidRPr="00763304">
              <w:rPr>
                <w:szCs w:val="20"/>
              </w:rPr>
              <w:t xml:space="preserve"> for </w:t>
            </w:r>
            <w:r w:rsidR="007D3E36" w:rsidRPr="00763304">
              <w:rPr>
                <w:szCs w:val="20"/>
              </w:rPr>
              <w:t>≥</w:t>
            </w:r>
            <w:r w:rsidRPr="00763304">
              <w:rPr>
                <w:szCs w:val="20"/>
              </w:rPr>
              <w:t xml:space="preserve">15 days after the </w:t>
            </w:r>
            <w:r w:rsidR="0051238A" w:rsidRPr="00763304">
              <w:rPr>
                <w:szCs w:val="20"/>
              </w:rPr>
              <w:t>2</w:t>
            </w:r>
            <w:r w:rsidR="0051238A" w:rsidRPr="00763304">
              <w:rPr>
                <w:szCs w:val="20"/>
                <w:vertAlign w:val="superscript"/>
              </w:rPr>
              <w:t>nd</w:t>
            </w:r>
            <w:r w:rsidR="0051238A" w:rsidRPr="00763304">
              <w:rPr>
                <w:szCs w:val="20"/>
              </w:rPr>
              <w:t xml:space="preserve"> </w:t>
            </w:r>
            <w:r w:rsidRPr="00763304">
              <w:rPr>
                <w:szCs w:val="20"/>
              </w:rPr>
              <w:t>dose.</w:t>
            </w:r>
          </w:p>
        </w:tc>
        <w:tc>
          <w:tcPr>
            <w:tcW w:w="992" w:type="dxa"/>
            <w:shd w:val="clear" w:color="auto" w:fill="auto"/>
            <w:vAlign w:val="center"/>
          </w:tcPr>
          <w:p w14:paraId="1EF9C2B0" w14:textId="77777777" w:rsidR="009C4788" w:rsidRPr="00763304" w:rsidRDefault="009D6010" w:rsidP="009C4788">
            <w:pPr>
              <w:pStyle w:val="TableCenter"/>
              <w:rPr>
                <w:szCs w:val="20"/>
              </w:rPr>
            </w:pPr>
            <w:r w:rsidRPr="00763304">
              <w:rPr>
                <w:szCs w:val="20"/>
              </w:rPr>
              <w:t>4440</w:t>
            </w:r>
          </w:p>
        </w:tc>
        <w:tc>
          <w:tcPr>
            <w:tcW w:w="1418" w:type="dxa"/>
            <w:shd w:val="clear" w:color="auto" w:fill="auto"/>
            <w:vAlign w:val="center"/>
          </w:tcPr>
          <w:p w14:paraId="1EF9C2B1" w14:textId="77777777" w:rsidR="009C4788" w:rsidRPr="00763304" w:rsidRDefault="009D6010" w:rsidP="009C4788">
            <w:pPr>
              <w:pStyle w:val="TableCenter"/>
              <w:rPr>
                <w:szCs w:val="20"/>
              </w:rPr>
            </w:pPr>
            <w:r w:rsidRPr="00763304">
              <w:rPr>
                <w:szCs w:val="20"/>
              </w:rPr>
              <w:t>27 (0.61)</w:t>
            </w:r>
          </w:p>
        </w:tc>
        <w:tc>
          <w:tcPr>
            <w:tcW w:w="850" w:type="dxa"/>
            <w:shd w:val="clear" w:color="auto" w:fill="auto"/>
            <w:vAlign w:val="center"/>
          </w:tcPr>
          <w:p w14:paraId="1EF9C2B2" w14:textId="77777777" w:rsidR="009C4788" w:rsidRPr="00763304" w:rsidRDefault="009D6010" w:rsidP="009C4788">
            <w:pPr>
              <w:pStyle w:val="TableCenter"/>
              <w:rPr>
                <w:szCs w:val="20"/>
              </w:rPr>
            </w:pPr>
            <w:r w:rsidRPr="00763304">
              <w:rPr>
                <w:szCs w:val="20"/>
              </w:rPr>
              <w:t>4455</w:t>
            </w:r>
          </w:p>
        </w:tc>
        <w:tc>
          <w:tcPr>
            <w:tcW w:w="1276" w:type="dxa"/>
            <w:shd w:val="clear" w:color="auto" w:fill="auto"/>
            <w:vAlign w:val="center"/>
          </w:tcPr>
          <w:p w14:paraId="1EF9C2B3" w14:textId="77777777" w:rsidR="009C4788" w:rsidRPr="00763304" w:rsidRDefault="009D6010" w:rsidP="009C4788">
            <w:pPr>
              <w:pStyle w:val="TableCenter"/>
              <w:rPr>
                <w:szCs w:val="20"/>
              </w:rPr>
            </w:pPr>
            <w:r w:rsidRPr="00763304">
              <w:rPr>
                <w:szCs w:val="20"/>
              </w:rPr>
              <w:t>71 (1.59)</w:t>
            </w:r>
          </w:p>
        </w:tc>
        <w:tc>
          <w:tcPr>
            <w:tcW w:w="1988" w:type="dxa"/>
            <w:shd w:val="clear" w:color="auto" w:fill="auto"/>
            <w:vAlign w:val="center"/>
          </w:tcPr>
          <w:p w14:paraId="1EF9C2B4" w14:textId="77777777" w:rsidR="009C4788" w:rsidRPr="00763304" w:rsidRDefault="009D6010" w:rsidP="009C4788">
            <w:pPr>
              <w:pStyle w:val="TableCenter"/>
              <w:rPr>
                <w:szCs w:val="20"/>
              </w:rPr>
            </w:pPr>
            <w:r w:rsidRPr="00763304">
              <w:rPr>
                <w:szCs w:val="20"/>
              </w:rPr>
              <w:t>62.10</w:t>
            </w:r>
            <w:r w:rsidRPr="00763304">
              <w:rPr>
                <w:szCs w:val="20"/>
              </w:rPr>
              <w:br/>
              <w:t>(39.96, 76.08)</w:t>
            </w:r>
          </w:p>
        </w:tc>
      </w:tr>
    </w:tbl>
    <w:p w14:paraId="1EF9C2BF" w14:textId="567EEE73" w:rsidR="009C4788" w:rsidRPr="00763304" w:rsidRDefault="009D6010" w:rsidP="00414470">
      <w:pPr>
        <w:pStyle w:val="TableFootnoteInfo"/>
      </w:pPr>
      <w:r w:rsidRPr="00763304">
        <w:t>N = Number of subjects included in each group; n = Number of subjects having a confirmed event; CI = Confidence Interval</w:t>
      </w:r>
    </w:p>
    <w:p w14:paraId="1EF9C2C1" w14:textId="584B9246" w:rsidR="00394816" w:rsidRPr="00763304" w:rsidRDefault="007620BE" w:rsidP="009C4788">
      <w:pPr>
        <w:pStyle w:val="TableFootnoteLetter"/>
        <w:numPr>
          <w:ilvl w:val="0"/>
          <w:numId w:val="47"/>
        </w:numPr>
      </w:pPr>
      <w:r w:rsidRPr="00763304">
        <w:t xml:space="preserve"> </w:t>
      </w:r>
      <w:proofErr w:type="gramStart"/>
      <w:r w:rsidRPr="00763304">
        <w:t>some</w:t>
      </w:r>
      <w:proofErr w:type="gramEnd"/>
      <w:r w:rsidRPr="00763304">
        <w:t xml:space="preserve"> of the participants in this group received an initial LD. These were included in the primary analysis as the immune response in this group was similar to that in the SD and efficacy </w:t>
      </w:r>
      <w:proofErr w:type="gramStart"/>
      <w:r w:rsidRPr="00763304">
        <w:t>would therefore be expected</w:t>
      </w:r>
      <w:proofErr w:type="gramEnd"/>
      <w:r w:rsidRPr="00763304">
        <w:t xml:space="preserve"> to be the same. However, when this subgroup was analysed, the efficacy was greater. </w:t>
      </w:r>
      <w:proofErr w:type="gramStart"/>
      <w:r w:rsidRPr="00763304">
        <w:t>There are many factors other than having a LD that may have influenced the results (including lower age, longer duration between doses)</w:t>
      </w:r>
      <w:proofErr w:type="gramEnd"/>
      <w:r w:rsidRPr="00763304">
        <w:t>, thus the use of a LD will not be considered further for regulatory purposes.  Two doses of vaccine are required.</w:t>
      </w:r>
    </w:p>
    <w:p w14:paraId="1EF9C2C4" w14:textId="4486368D" w:rsidR="00C02ED7" w:rsidRPr="004E0E95" w:rsidRDefault="009D6010" w:rsidP="00972146">
      <w:pPr>
        <w:pStyle w:val="Paragraph"/>
      </w:pPr>
      <w:bookmarkStart w:id="14" w:name="_GoBack"/>
      <w:bookmarkEnd w:id="14"/>
      <w:r w:rsidRPr="004E0E95">
        <w:lastRenderedPageBreak/>
        <w:t xml:space="preserve">The level of protection gained from </w:t>
      </w:r>
      <w:r w:rsidR="007A3D94" w:rsidRPr="004E0E95">
        <w:t>a single dose</w:t>
      </w:r>
      <w:r w:rsidRPr="004E0E95">
        <w:t xml:space="preserve"> of COVID-19 Vaccine AstraZeneca was assessed in an exploratory analysis that included participants who had received one dose. </w:t>
      </w:r>
      <w:r w:rsidR="007A3D94" w:rsidRPr="004E0E95">
        <w:t xml:space="preserve"> Participants </w:t>
      </w:r>
      <w:proofErr w:type="gramStart"/>
      <w:r w:rsidR="007A3D94" w:rsidRPr="004E0E95">
        <w:t>were censored</w:t>
      </w:r>
      <w:proofErr w:type="gramEnd"/>
      <w:r w:rsidR="007A3D94" w:rsidRPr="004E0E95">
        <w:t xml:space="preserve"> from the analysis at the earliest time point of when they received a second dose or at 12 weeks post-dose 1.</w:t>
      </w:r>
      <w:r w:rsidRPr="004E0E95">
        <w:t xml:space="preserve"> In this population, vaccine efficacy from 22</w:t>
      </w:r>
      <w:r w:rsidR="00D14729" w:rsidRPr="004E0E95">
        <w:t> </w:t>
      </w:r>
      <w:r w:rsidRPr="004E0E95">
        <w:t>days post</w:t>
      </w:r>
      <w:r w:rsidRPr="004E0E95">
        <w:noBreakHyphen/>
        <w:t xml:space="preserve">dose 1 was 73.00% (95% CI: 48.79; 85.76 [COVID-19 Vaccine AstraZeneca 12/7,998 vs control 44/7,982]).  </w:t>
      </w:r>
    </w:p>
    <w:p w14:paraId="1EF9C2C5" w14:textId="3F45E3EC" w:rsidR="001B509F" w:rsidRPr="004E0E95" w:rsidRDefault="009D6010" w:rsidP="001B509F">
      <w:pPr>
        <w:pStyle w:val="Paragraph"/>
      </w:pPr>
      <w:proofErr w:type="gramStart"/>
      <w:r w:rsidRPr="004E0E95">
        <w:t xml:space="preserve">An </w:t>
      </w:r>
      <w:r w:rsidR="00284A1B" w:rsidRPr="004E0E95">
        <w:t xml:space="preserve">exploratory </w:t>
      </w:r>
      <w:r w:rsidRPr="004E0E95">
        <w:t>analyses</w:t>
      </w:r>
      <w:proofErr w:type="gramEnd"/>
      <w:r w:rsidRPr="004E0E95">
        <w:t xml:space="preserve"> </w:t>
      </w:r>
      <w:r w:rsidR="00284A1B" w:rsidRPr="004E0E95">
        <w:t>of the impact of duration between doses and efficacy demonstrated greater efficacy with increasing duration between vaccine doses (</w:t>
      </w:r>
      <w:r w:rsidRPr="004E0E95">
        <w:fldChar w:fldCharType="begin"/>
      </w:r>
      <w:r w:rsidRPr="004E0E95">
        <w:instrText xml:space="preserve"> REF _Ref63714488 \h </w:instrText>
      </w:r>
      <w:r w:rsidR="004E0E95">
        <w:instrText xml:space="preserve"> \* MERGEFORMAT </w:instrText>
      </w:r>
      <w:r w:rsidRPr="004E0E95">
        <w:fldChar w:fldCharType="separate"/>
      </w:r>
      <w:r w:rsidRPr="004E0E95">
        <w:t>Table </w:t>
      </w:r>
      <w:r w:rsidRPr="004E0E95">
        <w:rPr>
          <w:noProof/>
        </w:rPr>
        <w:t>3</w:t>
      </w:r>
      <w:r w:rsidRPr="004E0E95">
        <w:fldChar w:fldCharType="end"/>
      </w:r>
      <w:r w:rsidR="00284A1B" w:rsidRPr="004E0E95">
        <w:t xml:space="preserve">). This </w:t>
      </w:r>
      <w:proofErr w:type="gramStart"/>
      <w:r w:rsidR="00284A1B" w:rsidRPr="004E0E95">
        <w:t>was supported</w:t>
      </w:r>
      <w:proofErr w:type="gramEnd"/>
      <w:r w:rsidR="00284A1B" w:rsidRPr="004E0E95">
        <w:t xml:space="preserve"> by the </w:t>
      </w:r>
      <w:r w:rsidRPr="004E0E95">
        <w:t xml:space="preserve">immunogenicity </w:t>
      </w:r>
      <w:r w:rsidR="00284A1B" w:rsidRPr="004E0E95">
        <w:t>data</w:t>
      </w:r>
      <w:r w:rsidRPr="004E0E95">
        <w:t xml:space="preserve"> (see Immunogenicity </w:t>
      </w:r>
      <w:r w:rsidRPr="004E0E95">
        <w:fldChar w:fldCharType="begin"/>
      </w:r>
      <w:r w:rsidRPr="004E0E95">
        <w:instrText xml:space="preserve"> REF _Ref59532598 \h  \* MERGEFORMAT </w:instrText>
      </w:r>
      <w:r w:rsidRPr="004E0E95">
        <w:fldChar w:fldCharType="separate"/>
      </w:r>
      <w:r w:rsidRPr="004E0E95">
        <w:t>Table 4</w:t>
      </w:r>
      <w:r w:rsidRPr="004E0E95">
        <w:fldChar w:fldCharType="end"/>
      </w:r>
      <w:r w:rsidRPr="004E0E95">
        <w:t>).</w:t>
      </w:r>
    </w:p>
    <w:p w14:paraId="1EF9C2C6" w14:textId="2771131A" w:rsidR="001B509F" w:rsidRPr="004E0E95" w:rsidRDefault="009D6010" w:rsidP="001B509F">
      <w:pPr>
        <w:pStyle w:val="TableTitle"/>
        <w:rPr>
          <w:color w:val="auto"/>
        </w:rPr>
      </w:pPr>
      <w:bookmarkStart w:id="15" w:name="_Ref63714488"/>
      <w:bookmarkStart w:id="16" w:name="_Ref63714483"/>
      <w:r w:rsidRPr="004E0E95">
        <w:t>Table </w:t>
      </w:r>
      <w:r w:rsidRPr="004E0E95">
        <w:fldChar w:fldCharType="begin"/>
      </w:r>
      <w:r w:rsidRPr="004E0E95">
        <w:instrText xml:space="preserve"> SEQ Table \* ARABIC </w:instrText>
      </w:r>
      <w:r w:rsidRPr="004E0E95">
        <w:fldChar w:fldCharType="separate"/>
      </w:r>
      <w:r w:rsidRPr="004E0E95">
        <w:rPr>
          <w:noProof/>
        </w:rPr>
        <w:t>3</w:t>
      </w:r>
      <w:r w:rsidRPr="004E0E95">
        <w:fldChar w:fldCharType="end"/>
      </w:r>
      <w:bookmarkEnd w:id="15"/>
      <w:r w:rsidRPr="004E0E95">
        <w:tab/>
        <w:t>Vaccine efficacy for incidence of first SARS</w:t>
      </w:r>
      <w:r w:rsidRPr="004E0E95">
        <w:noBreakHyphen/>
        <w:t>C</w:t>
      </w:r>
      <w:r w:rsidR="006B17FE" w:rsidRPr="004E0E95">
        <w:t>o</w:t>
      </w:r>
      <w:r w:rsidRPr="004E0E95">
        <w:t>V</w:t>
      </w:r>
      <w:r w:rsidRPr="004E0E95">
        <w:noBreakHyphen/>
        <w:t xml:space="preserve">2 </w:t>
      </w:r>
      <w:proofErr w:type="spellStart"/>
      <w:r w:rsidRPr="004E0E95">
        <w:t>virologically</w:t>
      </w:r>
      <w:proofErr w:type="spellEnd"/>
      <w:r w:rsidRPr="004E0E95">
        <w:t xml:space="preserve"> confirmed symptomatic COVID</w:t>
      </w:r>
      <w:r w:rsidRPr="004E0E95">
        <w:noBreakHyphen/>
        <w:t xml:space="preserve">19 occurring ≥15 days post second </w:t>
      </w:r>
      <w:proofErr w:type="gramStart"/>
      <w:r w:rsidRPr="004E0E95">
        <w:t>dose by dose</w:t>
      </w:r>
      <w:proofErr w:type="gramEnd"/>
      <w:r w:rsidRPr="004E0E95">
        <w:t xml:space="preserve"> interval (SDSD seronegative for efficacy analysis set</w:t>
      </w:r>
      <w:bookmarkEnd w:id="16"/>
      <w:r w:rsidR="00E765DE" w:rsidRPr="004E0E95">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1275"/>
        <w:gridCol w:w="1134"/>
        <w:gridCol w:w="1843"/>
        <w:gridCol w:w="1134"/>
        <w:gridCol w:w="1277"/>
        <w:gridCol w:w="1417"/>
        <w:gridCol w:w="1548"/>
      </w:tblGrid>
      <w:tr w:rsidR="00444376" w:rsidRPr="004E0E95" w14:paraId="1EF9C2CB" w14:textId="77777777" w:rsidTr="00A67F90">
        <w:trPr>
          <w:cantSplit/>
          <w:trHeight w:val="82"/>
          <w:tblHeader/>
        </w:trPr>
        <w:tc>
          <w:tcPr>
            <w:tcW w:w="662" w:type="pct"/>
            <w:vMerge w:val="restart"/>
            <w:shd w:val="clear" w:color="auto" w:fill="auto"/>
            <w:tcMar>
              <w:top w:w="72" w:type="dxa"/>
              <w:left w:w="144" w:type="dxa"/>
              <w:bottom w:w="72" w:type="dxa"/>
              <w:right w:w="144" w:type="dxa"/>
            </w:tcMar>
          </w:tcPr>
          <w:p w14:paraId="1EF9C2C7" w14:textId="77777777" w:rsidR="000F2343" w:rsidRPr="004E0E95" w:rsidRDefault="009D6010" w:rsidP="00427B23">
            <w:pPr>
              <w:pStyle w:val="TableHead"/>
              <w:jc w:val="left"/>
            </w:pPr>
            <w:r w:rsidRPr="004E0E95">
              <w:t>Dose interval</w:t>
            </w:r>
          </w:p>
        </w:tc>
        <w:tc>
          <w:tcPr>
            <w:tcW w:w="2798" w:type="pct"/>
            <w:gridSpan w:val="4"/>
            <w:shd w:val="clear" w:color="auto" w:fill="auto"/>
            <w:tcMar>
              <w:top w:w="72" w:type="dxa"/>
              <w:left w:w="144" w:type="dxa"/>
              <w:bottom w:w="72" w:type="dxa"/>
              <w:right w:w="144" w:type="dxa"/>
            </w:tcMar>
          </w:tcPr>
          <w:p w14:paraId="1EF9C2C8" w14:textId="77777777" w:rsidR="000F2343" w:rsidRPr="004E0E95" w:rsidRDefault="009D6010" w:rsidP="00427B23">
            <w:pPr>
              <w:pStyle w:val="TableHead"/>
            </w:pPr>
            <w:r w:rsidRPr="004E0E95">
              <w:t>Participants with events, n (%)</w:t>
            </w:r>
          </w:p>
        </w:tc>
        <w:tc>
          <w:tcPr>
            <w:tcW w:w="736" w:type="pct"/>
            <w:vMerge w:val="restart"/>
            <w:shd w:val="clear" w:color="auto" w:fill="auto"/>
            <w:tcMar>
              <w:top w:w="72" w:type="dxa"/>
              <w:left w:w="144" w:type="dxa"/>
              <w:bottom w:w="72" w:type="dxa"/>
              <w:right w:w="144" w:type="dxa"/>
            </w:tcMar>
          </w:tcPr>
          <w:p w14:paraId="1EF9C2C9" w14:textId="77777777" w:rsidR="000F2343" w:rsidRPr="004E0E95" w:rsidRDefault="009D6010" w:rsidP="00427B23">
            <w:pPr>
              <w:pStyle w:val="TableHead"/>
            </w:pPr>
            <w:r w:rsidRPr="004E0E95">
              <w:t>Vaccine efficacy (%)</w:t>
            </w:r>
          </w:p>
        </w:tc>
        <w:tc>
          <w:tcPr>
            <w:tcW w:w="804" w:type="pct"/>
            <w:vMerge w:val="restart"/>
            <w:shd w:val="clear" w:color="auto" w:fill="auto"/>
            <w:tcMar>
              <w:top w:w="72" w:type="dxa"/>
              <w:left w:w="144" w:type="dxa"/>
              <w:bottom w:w="72" w:type="dxa"/>
              <w:right w:w="144" w:type="dxa"/>
            </w:tcMar>
          </w:tcPr>
          <w:p w14:paraId="1EF9C2CA" w14:textId="77777777" w:rsidR="000F2343" w:rsidRPr="004E0E95" w:rsidRDefault="009D6010" w:rsidP="00427B23">
            <w:pPr>
              <w:pStyle w:val="TableHead"/>
            </w:pPr>
            <w:r w:rsidRPr="004E0E95">
              <w:t>95% CI (%)</w:t>
            </w:r>
          </w:p>
        </w:tc>
      </w:tr>
      <w:tr w:rsidR="00444376" w:rsidRPr="004E0E95" w14:paraId="1EF9C2D3" w14:textId="77777777" w:rsidTr="00A67F90">
        <w:trPr>
          <w:cantSplit/>
          <w:trHeight w:val="26"/>
          <w:tblHeader/>
        </w:trPr>
        <w:tc>
          <w:tcPr>
            <w:tcW w:w="662" w:type="pct"/>
            <w:vMerge/>
            <w:shd w:val="clear" w:color="auto" w:fill="auto"/>
            <w:tcMar>
              <w:top w:w="72" w:type="dxa"/>
              <w:left w:w="144" w:type="dxa"/>
              <w:bottom w:w="72" w:type="dxa"/>
              <w:right w:w="144" w:type="dxa"/>
            </w:tcMar>
            <w:vAlign w:val="bottom"/>
          </w:tcPr>
          <w:p w14:paraId="1EF9C2CC" w14:textId="77777777" w:rsidR="000F2343" w:rsidRPr="004E0E95" w:rsidRDefault="000F2343" w:rsidP="003368C9">
            <w:pPr>
              <w:pStyle w:val="TableHead"/>
              <w:keepNext/>
              <w:spacing w:before="0" w:after="0"/>
              <w:ind w:left="-59"/>
              <w:jc w:val="left"/>
              <w:rPr>
                <w:lang w:val="en-US"/>
              </w:rPr>
            </w:pPr>
          </w:p>
        </w:tc>
        <w:tc>
          <w:tcPr>
            <w:tcW w:w="589" w:type="pct"/>
            <w:shd w:val="clear" w:color="auto" w:fill="auto"/>
            <w:tcMar>
              <w:top w:w="72" w:type="dxa"/>
              <w:left w:w="144" w:type="dxa"/>
              <w:bottom w:w="72" w:type="dxa"/>
              <w:right w:w="144" w:type="dxa"/>
            </w:tcMar>
            <w:vAlign w:val="bottom"/>
            <w:hideMark/>
          </w:tcPr>
          <w:p w14:paraId="1EF9C2CD" w14:textId="77777777" w:rsidR="000F2343" w:rsidRPr="004E0E95" w:rsidRDefault="009D6010" w:rsidP="00427B23">
            <w:pPr>
              <w:pStyle w:val="TableHead"/>
            </w:pPr>
            <w:r w:rsidRPr="004E0E95">
              <w:t>N</w:t>
            </w:r>
          </w:p>
        </w:tc>
        <w:tc>
          <w:tcPr>
            <w:tcW w:w="957" w:type="pct"/>
            <w:shd w:val="clear" w:color="auto" w:fill="auto"/>
            <w:vAlign w:val="center"/>
          </w:tcPr>
          <w:p w14:paraId="1EF9C2CE" w14:textId="77777777" w:rsidR="000F2343" w:rsidRPr="004E0E95" w:rsidRDefault="009D6010" w:rsidP="00427B23">
            <w:pPr>
              <w:pStyle w:val="TableHead"/>
            </w:pPr>
            <w:r w:rsidRPr="004E0E95">
              <w:t>COVID-19 Vaccine AstraZeneca</w:t>
            </w:r>
            <w:r w:rsidRPr="004E0E95">
              <w:br/>
              <w:t>n (%)</w:t>
            </w:r>
          </w:p>
        </w:tc>
        <w:tc>
          <w:tcPr>
            <w:tcW w:w="589" w:type="pct"/>
            <w:shd w:val="clear" w:color="auto" w:fill="auto"/>
            <w:vAlign w:val="bottom"/>
          </w:tcPr>
          <w:p w14:paraId="1EF9C2CF" w14:textId="77777777" w:rsidR="000F2343" w:rsidRPr="004E0E95" w:rsidRDefault="009D6010" w:rsidP="00427B23">
            <w:pPr>
              <w:pStyle w:val="TableHead"/>
            </w:pPr>
            <w:r w:rsidRPr="004E0E95">
              <w:t>N</w:t>
            </w:r>
          </w:p>
        </w:tc>
        <w:tc>
          <w:tcPr>
            <w:tcW w:w="663" w:type="pct"/>
            <w:shd w:val="clear" w:color="auto" w:fill="auto"/>
            <w:vAlign w:val="center"/>
          </w:tcPr>
          <w:p w14:paraId="1EF9C2D0" w14:textId="77777777" w:rsidR="000F2343" w:rsidRPr="004E0E95" w:rsidRDefault="009D6010" w:rsidP="00427B23">
            <w:pPr>
              <w:pStyle w:val="TableHead"/>
            </w:pPr>
            <w:r w:rsidRPr="004E0E95">
              <w:t>Control</w:t>
            </w:r>
            <w:r w:rsidR="00A67F90" w:rsidRPr="004E0E95">
              <w:br/>
            </w:r>
            <w:r w:rsidRPr="004E0E95">
              <w:t>n (%)</w:t>
            </w:r>
          </w:p>
        </w:tc>
        <w:tc>
          <w:tcPr>
            <w:tcW w:w="736" w:type="pct"/>
            <w:vMerge/>
            <w:shd w:val="clear" w:color="auto" w:fill="auto"/>
            <w:tcMar>
              <w:top w:w="72" w:type="dxa"/>
              <w:left w:w="144" w:type="dxa"/>
              <w:bottom w:w="72" w:type="dxa"/>
              <w:right w:w="144" w:type="dxa"/>
            </w:tcMar>
            <w:vAlign w:val="center"/>
            <w:hideMark/>
          </w:tcPr>
          <w:p w14:paraId="1EF9C2D1" w14:textId="77777777" w:rsidR="000F2343" w:rsidRPr="004E0E95" w:rsidRDefault="000F2343" w:rsidP="00427B23">
            <w:pPr>
              <w:pStyle w:val="TableHead"/>
            </w:pPr>
          </w:p>
        </w:tc>
        <w:tc>
          <w:tcPr>
            <w:tcW w:w="804" w:type="pct"/>
            <w:vMerge/>
            <w:shd w:val="clear" w:color="auto" w:fill="auto"/>
            <w:tcMar>
              <w:top w:w="72" w:type="dxa"/>
              <w:left w:w="144" w:type="dxa"/>
              <w:bottom w:w="72" w:type="dxa"/>
              <w:right w:w="144" w:type="dxa"/>
            </w:tcMar>
            <w:vAlign w:val="bottom"/>
            <w:hideMark/>
          </w:tcPr>
          <w:p w14:paraId="1EF9C2D2" w14:textId="77777777" w:rsidR="000F2343" w:rsidRPr="004E0E95" w:rsidRDefault="000F2343" w:rsidP="00427B23">
            <w:pPr>
              <w:pStyle w:val="TableHead"/>
            </w:pPr>
          </w:p>
        </w:tc>
      </w:tr>
      <w:tr w:rsidR="00444376" w:rsidRPr="004E0E95" w14:paraId="1EF9C2DB" w14:textId="77777777" w:rsidTr="00A67F90">
        <w:trPr>
          <w:cantSplit/>
          <w:trHeight w:val="179"/>
        </w:trPr>
        <w:tc>
          <w:tcPr>
            <w:tcW w:w="662" w:type="pct"/>
            <w:shd w:val="clear" w:color="auto" w:fill="auto"/>
            <w:tcMar>
              <w:top w:w="72" w:type="dxa"/>
              <w:left w:w="144" w:type="dxa"/>
              <w:bottom w:w="72" w:type="dxa"/>
              <w:right w:w="144" w:type="dxa"/>
            </w:tcMar>
            <w:vAlign w:val="center"/>
            <w:hideMark/>
          </w:tcPr>
          <w:p w14:paraId="1EF9C2D4" w14:textId="77777777" w:rsidR="000F2343" w:rsidRPr="004E0E95" w:rsidRDefault="009D6010" w:rsidP="00934FCA">
            <w:pPr>
              <w:pStyle w:val="TableLeft"/>
              <w:rPr>
                <w:lang w:val="en-US"/>
              </w:rPr>
            </w:pPr>
            <w:r w:rsidRPr="004E0E95">
              <w:rPr>
                <w:lang w:val="en-US"/>
              </w:rPr>
              <w:t xml:space="preserve">&lt; 6 weeks </w:t>
            </w:r>
          </w:p>
        </w:tc>
        <w:tc>
          <w:tcPr>
            <w:tcW w:w="589" w:type="pct"/>
            <w:shd w:val="clear" w:color="auto" w:fill="auto"/>
            <w:tcMar>
              <w:top w:w="15" w:type="dxa"/>
              <w:left w:w="10" w:type="dxa"/>
              <w:bottom w:w="0" w:type="dxa"/>
              <w:right w:w="10" w:type="dxa"/>
            </w:tcMar>
            <w:vAlign w:val="center"/>
            <w:hideMark/>
          </w:tcPr>
          <w:p w14:paraId="1EF9C2D5" w14:textId="77777777" w:rsidR="000F2343" w:rsidRPr="004E0E95" w:rsidRDefault="009D6010" w:rsidP="00427B23">
            <w:pPr>
              <w:pStyle w:val="TableCenter"/>
            </w:pPr>
            <w:r w:rsidRPr="004E0E95">
              <w:t>1702</w:t>
            </w:r>
          </w:p>
        </w:tc>
        <w:tc>
          <w:tcPr>
            <w:tcW w:w="957" w:type="pct"/>
            <w:shd w:val="clear" w:color="auto" w:fill="auto"/>
            <w:vAlign w:val="center"/>
          </w:tcPr>
          <w:p w14:paraId="1EF9C2D6" w14:textId="77777777" w:rsidR="000F2343" w:rsidRPr="004E0E95" w:rsidRDefault="009D6010" w:rsidP="00427B23">
            <w:pPr>
              <w:pStyle w:val="TableCenter"/>
            </w:pPr>
            <w:r w:rsidRPr="004E0E95">
              <w:t>9 (0.53)</w:t>
            </w:r>
          </w:p>
        </w:tc>
        <w:tc>
          <w:tcPr>
            <w:tcW w:w="589" w:type="pct"/>
            <w:shd w:val="clear" w:color="auto" w:fill="auto"/>
            <w:tcMar>
              <w:top w:w="15" w:type="dxa"/>
              <w:left w:w="10" w:type="dxa"/>
              <w:bottom w:w="0" w:type="dxa"/>
              <w:right w:w="10" w:type="dxa"/>
            </w:tcMar>
            <w:vAlign w:val="center"/>
            <w:hideMark/>
          </w:tcPr>
          <w:p w14:paraId="1EF9C2D7" w14:textId="77777777" w:rsidR="000F2343" w:rsidRPr="004E0E95" w:rsidRDefault="009D6010" w:rsidP="00427B23">
            <w:pPr>
              <w:pStyle w:val="TableCenter"/>
            </w:pPr>
            <w:r w:rsidRPr="004E0E95">
              <w:t>1698</w:t>
            </w:r>
          </w:p>
        </w:tc>
        <w:tc>
          <w:tcPr>
            <w:tcW w:w="663" w:type="pct"/>
            <w:shd w:val="clear" w:color="auto" w:fill="auto"/>
            <w:vAlign w:val="center"/>
          </w:tcPr>
          <w:p w14:paraId="1EF9C2D8" w14:textId="77777777" w:rsidR="000F2343" w:rsidRPr="004E0E95" w:rsidRDefault="009D6010" w:rsidP="00427B23">
            <w:pPr>
              <w:pStyle w:val="TableCenter"/>
            </w:pPr>
            <w:r w:rsidRPr="004E0E95">
              <w:t>19 (1.12)</w:t>
            </w:r>
          </w:p>
        </w:tc>
        <w:tc>
          <w:tcPr>
            <w:tcW w:w="736" w:type="pct"/>
            <w:shd w:val="clear" w:color="auto" w:fill="auto"/>
            <w:tcMar>
              <w:top w:w="15" w:type="dxa"/>
              <w:left w:w="10" w:type="dxa"/>
              <w:bottom w:w="0" w:type="dxa"/>
              <w:right w:w="10" w:type="dxa"/>
            </w:tcMar>
            <w:vAlign w:val="center"/>
            <w:hideMark/>
          </w:tcPr>
          <w:p w14:paraId="1EF9C2D9" w14:textId="77777777" w:rsidR="000F2343" w:rsidRPr="004E0E95" w:rsidRDefault="009D6010" w:rsidP="00427B23">
            <w:pPr>
              <w:pStyle w:val="TableCenter"/>
            </w:pPr>
            <w:r w:rsidRPr="004E0E95">
              <w:t>53.28</w:t>
            </w:r>
          </w:p>
        </w:tc>
        <w:tc>
          <w:tcPr>
            <w:tcW w:w="804" w:type="pct"/>
            <w:shd w:val="clear" w:color="auto" w:fill="auto"/>
            <w:tcMar>
              <w:top w:w="15" w:type="dxa"/>
              <w:left w:w="10" w:type="dxa"/>
              <w:bottom w:w="0" w:type="dxa"/>
              <w:right w:w="10" w:type="dxa"/>
            </w:tcMar>
            <w:vAlign w:val="center"/>
            <w:hideMark/>
          </w:tcPr>
          <w:p w14:paraId="1EF9C2DA" w14:textId="77777777" w:rsidR="000F2343" w:rsidRPr="004E0E95" w:rsidRDefault="009D6010" w:rsidP="00427B23">
            <w:pPr>
              <w:pStyle w:val="TableCenter"/>
            </w:pPr>
            <w:r w:rsidRPr="004E0E95">
              <w:t>(-3.21, 78.86)</w:t>
            </w:r>
          </w:p>
        </w:tc>
      </w:tr>
      <w:tr w:rsidR="00444376" w:rsidRPr="004E0E95" w14:paraId="1EF9C2E3" w14:textId="77777777" w:rsidTr="00A67F90">
        <w:trPr>
          <w:cantSplit/>
          <w:trHeight w:val="109"/>
        </w:trPr>
        <w:tc>
          <w:tcPr>
            <w:tcW w:w="662" w:type="pct"/>
            <w:shd w:val="clear" w:color="auto" w:fill="auto"/>
            <w:tcMar>
              <w:top w:w="72" w:type="dxa"/>
              <w:left w:w="144" w:type="dxa"/>
              <w:bottom w:w="72" w:type="dxa"/>
              <w:right w:w="144" w:type="dxa"/>
            </w:tcMar>
            <w:vAlign w:val="center"/>
            <w:hideMark/>
          </w:tcPr>
          <w:p w14:paraId="1EF9C2DC" w14:textId="77777777" w:rsidR="000F2343" w:rsidRPr="004E0E95" w:rsidRDefault="009D6010" w:rsidP="00934FCA">
            <w:pPr>
              <w:pStyle w:val="TableLeft"/>
              <w:rPr>
                <w:lang w:val="en-US"/>
              </w:rPr>
            </w:pPr>
            <w:r w:rsidRPr="004E0E95">
              <w:rPr>
                <w:lang w:val="en-US"/>
              </w:rPr>
              <w:t>6–8 weeks</w:t>
            </w:r>
          </w:p>
        </w:tc>
        <w:tc>
          <w:tcPr>
            <w:tcW w:w="589" w:type="pct"/>
            <w:shd w:val="clear" w:color="auto" w:fill="auto"/>
            <w:tcMar>
              <w:top w:w="15" w:type="dxa"/>
              <w:left w:w="10" w:type="dxa"/>
              <w:bottom w:w="0" w:type="dxa"/>
              <w:right w:w="10" w:type="dxa"/>
            </w:tcMar>
            <w:vAlign w:val="center"/>
            <w:hideMark/>
          </w:tcPr>
          <w:p w14:paraId="1EF9C2DD" w14:textId="77777777" w:rsidR="000F2343" w:rsidRPr="004E0E95" w:rsidRDefault="009D6010" w:rsidP="00934FCA">
            <w:pPr>
              <w:pStyle w:val="TableCenter"/>
            </w:pPr>
            <w:r w:rsidRPr="004E0E95">
              <w:t>562</w:t>
            </w:r>
          </w:p>
        </w:tc>
        <w:tc>
          <w:tcPr>
            <w:tcW w:w="957" w:type="pct"/>
            <w:shd w:val="clear" w:color="auto" w:fill="auto"/>
            <w:vAlign w:val="center"/>
          </w:tcPr>
          <w:p w14:paraId="1EF9C2DE" w14:textId="77777777" w:rsidR="000F2343" w:rsidRPr="004E0E95" w:rsidRDefault="009D6010" w:rsidP="00934FCA">
            <w:pPr>
              <w:pStyle w:val="TableCenter"/>
            </w:pPr>
            <w:r w:rsidRPr="004E0E95">
              <w:t>5 (0.88)</w:t>
            </w:r>
          </w:p>
        </w:tc>
        <w:tc>
          <w:tcPr>
            <w:tcW w:w="589" w:type="pct"/>
            <w:shd w:val="clear" w:color="auto" w:fill="auto"/>
            <w:tcMar>
              <w:top w:w="15" w:type="dxa"/>
              <w:left w:w="10" w:type="dxa"/>
              <w:bottom w:w="0" w:type="dxa"/>
              <w:right w:w="10" w:type="dxa"/>
            </w:tcMar>
            <w:vAlign w:val="center"/>
            <w:hideMark/>
          </w:tcPr>
          <w:p w14:paraId="1EF9C2DF" w14:textId="77777777" w:rsidR="000F2343" w:rsidRPr="004E0E95" w:rsidRDefault="009D6010" w:rsidP="00934FCA">
            <w:pPr>
              <w:pStyle w:val="TableCenter"/>
            </w:pPr>
            <w:r w:rsidRPr="004E0E95">
              <w:t>521</w:t>
            </w:r>
          </w:p>
        </w:tc>
        <w:tc>
          <w:tcPr>
            <w:tcW w:w="663" w:type="pct"/>
            <w:shd w:val="clear" w:color="auto" w:fill="auto"/>
            <w:vAlign w:val="center"/>
          </w:tcPr>
          <w:p w14:paraId="1EF9C2E0" w14:textId="77777777" w:rsidR="000F2343" w:rsidRPr="004E0E95" w:rsidRDefault="009D6010" w:rsidP="00934FCA">
            <w:pPr>
              <w:pStyle w:val="TableCenter"/>
            </w:pPr>
            <w:r w:rsidRPr="004E0E95">
              <w:t>9 (1.73)</w:t>
            </w:r>
          </w:p>
        </w:tc>
        <w:tc>
          <w:tcPr>
            <w:tcW w:w="736" w:type="pct"/>
            <w:shd w:val="clear" w:color="auto" w:fill="auto"/>
            <w:tcMar>
              <w:top w:w="15" w:type="dxa"/>
              <w:left w:w="10" w:type="dxa"/>
              <w:bottom w:w="0" w:type="dxa"/>
              <w:right w:w="10" w:type="dxa"/>
            </w:tcMar>
            <w:vAlign w:val="center"/>
            <w:hideMark/>
          </w:tcPr>
          <w:p w14:paraId="1EF9C2E1" w14:textId="77777777" w:rsidR="000F2343" w:rsidRPr="004E0E95" w:rsidRDefault="009D6010" w:rsidP="00934FCA">
            <w:pPr>
              <w:pStyle w:val="TableCenter"/>
            </w:pPr>
            <w:r w:rsidRPr="004E0E95">
              <w:t>51.08</w:t>
            </w:r>
          </w:p>
        </w:tc>
        <w:tc>
          <w:tcPr>
            <w:tcW w:w="804" w:type="pct"/>
            <w:shd w:val="clear" w:color="auto" w:fill="auto"/>
            <w:tcMar>
              <w:top w:w="15" w:type="dxa"/>
              <w:left w:w="10" w:type="dxa"/>
              <w:bottom w:w="0" w:type="dxa"/>
              <w:right w:w="10" w:type="dxa"/>
            </w:tcMar>
            <w:vAlign w:val="center"/>
            <w:hideMark/>
          </w:tcPr>
          <w:p w14:paraId="1EF9C2E2" w14:textId="77777777" w:rsidR="000F2343" w:rsidRPr="004E0E95" w:rsidRDefault="009D6010" w:rsidP="00934FCA">
            <w:pPr>
              <w:pStyle w:val="TableCenter"/>
            </w:pPr>
            <w:r w:rsidRPr="004E0E95">
              <w:t>(-45.57, 83.56)</w:t>
            </w:r>
          </w:p>
        </w:tc>
      </w:tr>
      <w:tr w:rsidR="00444376" w:rsidRPr="004E0E95" w14:paraId="1EF9C2EB" w14:textId="77777777" w:rsidTr="00A67F90">
        <w:trPr>
          <w:cantSplit/>
          <w:trHeight w:val="109"/>
        </w:trPr>
        <w:tc>
          <w:tcPr>
            <w:tcW w:w="662" w:type="pct"/>
            <w:shd w:val="clear" w:color="auto" w:fill="auto"/>
            <w:tcMar>
              <w:top w:w="72" w:type="dxa"/>
              <w:left w:w="144" w:type="dxa"/>
              <w:bottom w:w="72" w:type="dxa"/>
              <w:right w:w="144" w:type="dxa"/>
            </w:tcMar>
            <w:vAlign w:val="center"/>
            <w:hideMark/>
          </w:tcPr>
          <w:p w14:paraId="1EF9C2E4" w14:textId="77777777" w:rsidR="000F2343" w:rsidRPr="004E0E95" w:rsidRDefault="009D6010" w:rsidP="00934FCA">
            <w:pPr>
              <w:pStyle w:val="TableLeft"/>
              <w:rPr>
                <w:lang w:val="en-US"/>
              </w:rPr>
            </w:pPr>
            <w:r w:rsidRPr="004E0E95">
              <w:rPr>
                <w:lang w:val="en-US"/>
              </w:rPr>
              <w:t>9–11 weeks</w:t>
            </w:r>
          </w:p>
        </w:tc>
        <w:tc>
          <w:tcPr>
            <w:tcW w:w="589" w:type="pct"/>
            <w:shd w:val="clear" w:color="auto" w:fill="auto"/>
            <w:tcMar>
              <w:top w:w="72" w:type="dxa"/>
              <w:left w:w="144" w:type="dxa"/>
              <w:bottom w:w="72" w:type="dxa"/>
              <w:right w:w="144" w:type="dxa"/>
            </w:tcMar>
            <w:vAlign w:val="center"/>
            <w:hideMark/>
          </w:tcPr>
          <w:p w14:paraId="1EF9C2E5" w14:textId="77777777" w:rsidR="000F2343" w:rsidRPr="004E0E95" w:rsidRDefault="009D6010" w:rsidP="00934FCA">
            <w:pPr>
              <w:pStyle w:val="TableCenter"/>
            </w:pPr>
            <w:r w:rsidRPr="004E0E95">
              <w:t>1056</w:t>
            </w:r>
          </w:p>
        </w:tc>
        <w:tc>
          <w:tcPr>
            <w:tcW w:w="957" w:type="pct"/>
            <w:shd w:val="clear" w:color="auto" w:fill="auto"/>
            <w:vAlign w:val="center"/>
          </w:tcPr>
          <w:p w14:paraId="1EF9C2E6" w14:textId="77777777" w:rsidR="000F2343" w:rsidRPr="004E0E95" w:rsidRDefault="009D6010" w:rsidP="00934FCA">
            <w:pPr>
              <w:pStyle w:val="TableCenter"/>
            </w:pPr>
            <w:r w:rsidRPr="004E0E95">
              <w:t>9 (0.85)</w:t>
            </w:r>
          </w:p>
        </w:tc>
        <w:tc>
          <w:tcPr>
            <w:tcW w:w="589" w:type="pct"/>
            <w:shd w:val="clear" w:color="auto" w:fill="auto"/>
            <w:tcMar>
              <w:top w:w="72" w:type="dxa"/>
              <w:left w:w="144" w:type="dxa"/>
              <w:bottom w:w="72" w:type="dxa"/>
              <w:right w:w="144" w:type="dxa"/>
            </w:tcMar>
            <w:vAlign w:val="center"/>
            <w:hideMark/>
          </w:tcPr>
          <w:p w14:paraId="1EF9C2E7" w14:textId="77777777" w:rsidR="000F2343" w:rsidRPr="004E0E95" w:rsidRDefault="009D6010" w:rsidP="00934FCA">
            <w:pPr>
              <w:pStyle w:val="TableCenter"/>
            </w:pPr>
            <w:r w:rsidRPr="004E0E95">
              <w:t>1110</w:t>
            </w:r>
          </w:p>
        </w:tc>
        <w:tc>
          <w:tcPr>
            <w:tcW w:w="663" w:type="pct"/>
            <w:shd w:val="clear" w:color="auto" w:fill="auto"/>
            <w:vAlign w:val="center"/>
          </w:tcPr>
          <w:p w14:paraId="1EF9C2E8" w14:textId="77777777" w:rsidR="000F2343" w:rsidRPr="004E0E95" w:rsidRDefault="009D6010" w:rsidP="00934FCA">
            <w:pPr>
              <w:pStyle w:val="TableCenter"/>
            </w:pPr>
            <w:r w:rsidRPr="004E0E95">
              <w:t>24 (2.16)</w:t>
            </w:r>
          </w:p>
        </w:tc>
        <w:tc>
          <w:tcPr>
            <w:tcW w:w="736" w:type="pct"/>
            <w:shd w:val="clear" w:color="auto" w:fill="auto"/>
            <w:tcMar>
              <w:top w:w="72" w:type="dxa"/>
              <w:left w:w="144" w:type="dxa"/>
              <w:bottom w:w="72" w:type="dxa"/>
              <w:right w:w="144" w:type="dxa"/>
            </w:tcMar>
            <w:vAlign w:val="center"/>
            <w:hideMark/>
          </w:tcPr>
          <w:p w14:paraId="1EF9C2E9" w14:textId="77777777" w:rsidR="000F2343" w:rsidRPr="004E0E95" w:rsidRDefault="009D6010" w:rsidP="00934FCA">
            <w:pPr>
              <w:pStyle w:val="TableCenter"/>
            </w:pPr>
            <w:r w:rsidRPr="004E0E95">
              <w:t>60.55</w:t>
            </w:r>
          </w:p>
        </w:tc>
        <w:tc>
          <w:tcPr>
            <w:tcW w:w="804" w:type="pct"/>
            <w:shd w:val="clear" w:color="auto" w:fill="auto"/>
            <w:tcMar>
              <w:top w:w="72" w:type="dxa"/>
              <w:left w:w="144" w:type="dxa"/>
              <w:bottom w:w="72" w:type="dxa"/>
              <w:right w:w="144" w:type="dxa"/>
            </w:tcMar>
            <w:vAlign w:val="center"/>
            <w:hideMark/>
          </w:tcPr>
          <w:p w14:paraId="1EF9C2EA" w14:textId="77777777" w:rsidR="000F2343" w:rsidRPr="004E0E95" w:rsidRDefault="009D6010" w:rsidP="00934FCA">
            <w:pPr>
              <w:pStyle w:val="TableCenter"/>
            </w:pPr>
            <w:r w:rsidRPr="004E0E95">
              <w:t>(15.23, 81.64)</w:t>
            </w:r>
          </w:p>
        </w:tc>
      </w:tr>
      <w:tr w:rsidR="00444376" w:rsidRPr="004E0E95" w14:paraId="1EF9C2F3" w14:textId="77777777" w:rsidTr="00A67F90">
        <w:trPr>
          <w:cantSplit/>
          <w:trHeight w:val="4"/>
        </w:trPr>
        <w:tc>
          <w:tcPr>
            <w:tcW w:w="662" w:type="pct"/>
            <w:shd w:val="clear" w:color="auto" w:fill="auto"/>
            <w:tcMar>
              <w:top w:w="72" w:type="dxa"/>
              <w:left w:w="144" w:type="dxa"/>
              <w:bottom w:w="72" w:type="dxa"/>
              <w:right w:w="144" w:type="dxa"/>
            </w:tcMar>
            <w:vAlign w:val="center"/>
            <w:hideMark/>
          </w:tcPr>
          <w:p w14:paraId="1EF9C2EC" w14:textId="77777777" w:rsidR="000F2343" w:rsidRPr="004E0E95" w:rsidRDefault="009D6010" w:rsidP="00934FCA">
            <w:pPr>
              <w:pStyle w:val="TableLeft"/>
              <w:rPr>
                <w:lang w:val="en-US"/>
              </w:rPr>
            </w:pPr>
            <w:r w:rsidRPr="004E0E95">
              <w:rPr>
                <w:rFonts w:cs="Times New Roman"/>
                <w:lang w:val="en-US"/>
              </w:rPr>
              <w:t>≥</w:t>
            </w:r>
            <w:r w:rsidRPr="004E0E95">
              <w:rPr>
                <w:lang w:val="en-US"/>
              </w:rPr>
              <w:t>12 weeks</w:t>
            </w:r>
          </w:p>
        </w:tc>
        <w:tc>
          <w:tcPr>
            <w:tcW w:w="589" w:type="pct"/>
            <w:shd w:val="clear" w:color="auto" w:fill="auto"/>
            <w:tcMar>
              <w:top w:w="15" w:type="dxa"/>
              <w:left w:w="10" w:type="dxa"/>
              <w:bottom w:w="0" w:type="dxa"/>
              <w:right w:w="10" w:type="dxa"/>
            </w:tcMar>
            <w:vAlign w:val="center"/>
            <w:hideMark/>
          </w:tcPr>
          <w:p w14:paraId="1EF9C2ED" w14:textId="77777777" w:rsidR="000F2343" w:rsidRPr="004E0E95" w:rsidRDefault="009D6010" w:rsidP="00934FCA">
            <w:pPr>
              <w:pStyle w:val="TableCenter"/>
            </w:pPr>
            <w:r w:rsidRPr="004E0E95">
              <w:t>1120</w:t>
            </w:r>
          </w:p>
        </w:tc>
        <w:tc>
          <w:tcPr>
            <w:tcW w:w="957" w:type="pct"/>
            <w:shd w:val="clear" w:color="auto" w:fill="auto"/>
            <w:vAlign w:val="center"/>
          </w:tcPr>
          <w:p w14:paraId="1EF9C2EE" w14:textId="77777777" w:rsidR="000F2343" w:rsidRPr="004E0E95" w:rsidRDefault="009D6010" w:rsidP="00934FCA">
            <w:pPr>
              <w:pStyle w:val="TableCenter"/>
            </w:pPr>
            <w:r w:rsidRPr="004E0E95">
              <w:t>4 (0.36)</w:t>
            </w:r>
          </w:p>
        </w:tc>
        <w:tc>
          <w:tcPr>
            <w:tcW w:w="589" w:type="pct"/>
            <w:shd w:val="clear" w:color="auto" w:fill="auto"/>
            <w:tcMar>
              <w:top w:w="15" w:type="dxa"/>
              <w:left w:w="10" w:type="dxa"/>
              <w:bottom w:w="0" w:type="dxa"/>
              <w:right w:w="10" w:type="dxa"/>
            </w:tcMar>
            <w:vAlign w:val="center"/>
            <w:hideMark/>
          </w:tcPr>
          <w:p w14:paraId="1EF9C2EF" w14:textId="77777777" w:rsidR="000F2343" w:rsidRPr="004E0E95" w:rsidRDefault="009D6010" w:rsidP="00934FCA">
            <w:pPr>
              <w:pStyle w:val="TableCenter"/>
            </w:pPr>
            <w:r w:rsidRPr="004E0E95">
              <w:t>1126</w:t>
            </w:r>
          </w:p>
        </w:tc>
        <w:tc>
          <w:tcPr>
            <w:tcW w:w="663" w:type="pct"/>
            <w:shd w:val="clear" w:color="auto" w:fill="auto"/>
            <w:vAlign w:val="center"/>
          </w:tcPr>
          <w:p w14:paraId="1EF9C2F0" w14:textId="77777777" w:rsidR="000F2343" w:rsidRPr="004E0E95" w:rsidRDefault="009D6010" w:rsidP="00934FCA">
            <w:pPr>
              <w:pStyle w:val="TableCenter"/>
            </w:pPr>
            <w:r w:rsidRPr="004E0E95">
              <w:t>19 (1.69)</w:t>
            </w:r>
          </w:p>
        </w:tc>
        <w:tc>
          <w:tcPr>
            <w:tcW w:w="736" w:type="pct"/>
            <w:shd w:val="clear" w:color="auto" w:fill="auto"/>
            <w:tcMar>
              <w:top w:w="72" w:type="dxa"/>
              <w:left w:w="144" w:type="dxa"/>
              <w:bottom w:w="72" w:type="dxa"/>
              <w:right w:w="144" w:type="dxa"/>
            </w:tcMar>
            <w:vAlign w:val="center"/>
            <w:hideMark/>
          </w:tcPr>
          <w:p w14:paraId="1EF9C2F1" w14:textId="77777777" w:rsidR="000F2343" w:rsidRPr="004E0E95" w:rsidRDefault="009D6010" w:rsidP="00934FCA">
            <w:pPr>
              <w:pStyle w:val="TableCenter"/>
            </w:pPr>
            <w:r w:rsidRPr="004E0E95">
              <w:t>78.79</w:t>
            </w:r>
          </w:p>
        </w:tc>
        <w:tc>
          <w:tcPr>
            <w:tcW w:w="804" w:type="pct"/>
            <w:shd w:val="clear" w:color="auto" w:fill="auto"/>
            <w:tcMar>
              <w:top w:w="72" w:type="dxa"/>
              <w:left w:w="144" w:type="dxa"/>
              <w:bottom w:w="72" w:type="dxa"/>
              <w:right w:w="144" w:type="dxa"/>
            </w:tcMar>
            <w:vAlign w:val="center"/>
            <w:hideMark/>
          </w:tcPr>
          <w:p w14:paraId="1EF9C2F2" w14:textId="77777777" w:rsidR="000F2343" w:rsidRPr="004E0E95" w:rsidRDefault="009D6010" w:rsidP="00934FCA">
            <w:pPr>
              <w:pStyle w:val="TableCenter"/>
            </w:pPr>
            <w:r w:rsidRPr="004E0E95">
              <w:t>(37.63, 92.79)</w:t>
            </w:r>
          </w:p>
        </w:tc>
      </w:tr>
    </w:tbl>
    <w:p w14:paraId="1EF9C2F4" w14:textId="77777777" w:rsidR="00934FCA" w:rsidRPr="004E0E95" w:rsidRDefault="009D6010" w:rsidP="00427B23">
      <w:pPr>
        <w:pStyle w:val="TableFootnoteInfo"/>
      </w:pPr>
      <w:r w:rsidRPr="004E0E95">
        <w:t xml:space="preserve">Vaccine efficacy (VE) of COVID-19 Vaccine AstraZeneca versus control, the 95% CI and p value </w:t>
      </w:r>
      <w:proofErr w:type="gramStart"/>
      <w:r w:rsidRPr="004E0E95">
        <w:t>were estimated</w:t>
      </w:r>
      <w:proofErr w:type="gramEnd"/>
      <w:r w:rsidRPr="004E0E95">
        <w:t xml:space="preserve"> based on Poisson regression with robust variance including the term of treatment as well as the log of the follow-up time as an offset.</w:t>
      </w:r>
    </w:p>
    <w:p w14:paraId="1EF9C2F5" w14:textId="77777777" w:rsidR="00934FCA" w:rsidRPr="004E0E95" w:rsidRDefault="009D6010" w:rsidP="00427B23">
      <w:pPr>
        <w:pStyle w:val="TableFootnoteInfo"/>
      </w:pPr>
      <w:r w:rsidRPr="004E0E95">
        <w:t xml:space="preserve">VE is defined as 1-(incidence from the </w:t>
      </w:r>
      <w:r w:rsidR="003217BC" w:rsidRPr="004E0E95">
        <w:t xml:space="preserve">COVID-19 Vaccine AstraZeneca </w:t>
      </w:r>
      <w:r w:rsidRPr="004E0E95">
        <w:t xml:space="preserve">arm / incidence from the control arm) expressed as a percentage, where the risk ratio is derived from Poisson regression with robust variance. The 95% CI for the VE is obtained by taking </w:t>
      </w:r>
      <w:proofErr w:type="gramStart"/>
      <w:r w:rsidRPr="004E0E95">
        <w:t>1</w:t>
      </w:r>
      <w:proofErr w:type="gramEnd"/>
      <w:r w:rsidRPr="004E0E95">
        <w:t xml:space="preserve"> minus the 95% CI of the risk ratio derived from the model.</w:t>
      </w:r>
    </w:p>
    <w:p w14:paraId="1EF9C2F6" w14:textId="77777777" w:rsidR="00934FCA" w:rsidRPr="004E0E95" w:rsidRDefault="009D6010" w:rsidP="00427B23">
      <w:pPr>
        <w:pStyle w:val="TableFootnoteInfo"/>
      </w:pPr>
      <w:r w:rsidRPr="004E0E95">
        <w:t>The observation period for the endpoint was 15 days post second dose up to 1 year in study.</w:t>
      </w:r>
    </w:p>
    <w:p w14:paraId="1EF9C2F7" w14:textId="77777777" w:rsidR="00934FCA" w:rsidRPr="004E0E95" w:rsidRDefault="009D6010" w:rsidP="00427B23">
      <w:pPr>
        <w:pStyle w:val="TableFootnoteInfo"/>
      </w:pPr>
      <w:r w:rsidRPr="004E0E95">
        <w:t>COVID</w:t>
      </w:r>
      <w:r w:rsidRPr="004E0E95">
        <w:noBreakHyphen/>
        <w:t xml:space="preserve">19 endpoints </w:t>
      </w:r>
      <w:proofErr w:type="gramStart"/>
      <w:r w:rsidRPr="004E0E95">
        <w:t>were based</w:t>
      </w:r>
      <w:proofErr w:type="gramEnd"/>
      <w:r w:rsidRPr="004E0E95">
        <w:t xml:space="preserve"> on adjudicated events.</w:t>
      </w:r>
    </w:p>
    <w:p w14:paraId="1EF9C2F8" w14:textId="77777777" w:rsidR="00934FCA" w:rsidRPr="004E0E95" w:rsidRDefault="00934FCA" w:rsidP="00C02ED7">
      <w:pPr>
        <w:pStyle w:val="Paragraph"/>
      </w:pPr>
    </w:p>
    <w:p w14:paraId="1EF9C2F9" w14:textId="7D3D99E5" w:rsidR="00C02ED7" w:rsidRPr="004E0E95" w:rsidRDefault="009D6010" w:rsidP="00C02ED7">
      <w:pPr>
        <w:pStyle w:val="Paragraph"/>
      </w:pPr>
      <w:r w:rsidRPr="004E0E95">
        <w:t>COVID</w:t>
      </w:r>
      <w:r w:rsidR="00D14729" w:rsidRPr="004E0E95">
        <w:t>-</w:t>
      </w:r>
      <w:r w:rsidRPr="004E0E95">
        <w:t>19 Vaccine AstraZeneca reduced COVID</w:t>
      </w:r>
      <w:r w:rsidR="00D14729" w:rsidRPr="004E0E95">
        <w:t>-</w:t>
      </w:r>
      <w:r w:rsidRPr="004E0E95">
        <w:t>19 hospitalisation (WHO Severity grading ≥4). In all participants who received SD as a first dose, as from 22</w:t>
      </w:r>
      <w:r w:rsidR="00D14729" w:rsidRPr="004E0E95">
        <w:t> </w:t>
      </w:r>
      <w:r w:rsidRPr="004E0E95">
        <w:t>days post dose</w:t>
      </w:r>
      <w:r w:rsidR="00D14729" w:rsidRPr="004E0E95">
        <w:t> </w:t>
      </w:r>
      <w:r w:rsidRPr="004E0E95">
        <w:t>1, there were 0 (0.0%, N=6,307) cases of COVID</w:t>
      </w:r>
      <w:r w:rsidR="00D14729" w:rsidRPr="004E0E95">
        <w:t>-</w:t>
      </w:r>
      <w:r w:rsidRPr="004E0E95">
        <w:t>19 hospitalisation in participants who received COVID-19 Vaccine AstraZeneca (N=6,307), as compared to 9 (0.14%, N=6,297) reported for control.</w:t>
      </w:r>
    </w:p>
    <w:p w14:paraId="1EF9C2FA" w14:textId="1510C3C4" w:rsidR="00C02ED7" w:rsidRDefault="009D6010" w:rsidP="00C02ED7">
      <w:pPr>
        <w:pStyle w:val="Paragraph"/>
      </w:pPr>
      <w:r w:rsidRPr="004E0E95">
        <w:t xml:space="preserve">Participants who had one or more </w:t>
      </w:r>
      <w:r w:rsidR="00695D67" w:rsidRPr="004E0E95">
        <w:t xml:space="preserve">mild </w:t>
      </w:r>
      <w:r w:rsidRPr="004E0E95">
        <w:t>comorbidities had a vaccine efficacy of 73.43% [95% CI: 48.49; 86.29]; 11 (0.53%) vs 43 (2.02%) for COVID</w:t>
      </w:r>
      <w:r w:rsidR="00D14729" w:rsidRPr="004E0E95">
        <w:t>-</w:t>
      </w:r>
      <w:r w:rsidRPr="004E0E95">
        <w:t>19 Vaccine AstraZeneca (N=2,070) and control (N=2,113), respectively; which was similar to the vaccine efficacy observed in the overall population.</w:t>
      </w:r>
    </w:p>
    <w:p w14:paraId="0D09F93C" w14:textId="77777777" w:rsidR="004E0E95" w:rsidRPr="004E0E95" w:rsidRDefault="009D6010" w:rsidP="00C02ED7">
      <w:pPr>
        <w:pStyle w:val="Paragraph"/>
      </w:pPr>
      <w:r w:rsidRPr="004E0E95">
        <w:t>The number of COVID</w:t>
      </w:r>
      <w:r w:rsidR="00D14729" w:rsidRPr="004E0E95">
        <w:t>-</w:t>
      </w:r>
      <w:r w:rsidRPr="004E0E95">
        <w:t xml:space="preserve">19 cases in </w:t>
      </w:r>
      <w:r w:rsidR="0067290F" w:rsidRPr="004E0E95">
        <w:t xml:space="preserve">the subgroup of </w:t>
      </w:r>
      <w:proofErr w:type="gramStart"/>
      <w:r w:rsidRPr="004E0E95">
        <w:t>participants</w:t>
      </w:r>
      <w:proofErr w:type="gramEnd"/>
      <w:r w:rsidRPr="004E0E95">
        <w:t xml:space="preserve"> ≥65</w:t>
      </w:r>
      <w:r w:rsidR="00D14729" w:rsidRPr="004E0E95">
        <w:t> </w:t>
      </w:r>
      <w:r w:rsidRPr="004E0E95">
        <w:t>years old were too few to draw conclusions on efficacy. In this sub</w:t>
      </w:r>
      <w:r w:rsidR="00D14729" w:rsidRPr="004E0E95">
        <w:t>-</w:t>
      </w:r>
      <w:r w:rsidRPr="004E0E95">
        <w:t xml:space="preserve">population, efficacy </w:t>
      </w:r>
      <w:proofErr w:type="gramStart"/>
      <w:r w:rsidRPr="004E0E95">
        <w:t>has been inferred</w:t>
      </w:r>
      <w:proofErr w:type="gramEnd"/>
      <w:r w:rsidRPr="004E0E95">
        <w:t xml:space="preserve"> from immunogenicity data and efficacy demonstrated in the general population.</w:t>
      </w:r>
    </w:p>
    <w:p w14:paraId="1EF9C2FC" w14:textId="699F72A4" w:rsidR="004D0E7D" w:rsidRDefault="003F573A" w:rsidP="00C02ED7">
      <w:pPr>
        <w:pStyle w:val="Paragraph"/>
      </w:pPr>
      <w:r w:rsidRPr="004E0E95">
        <w:t xml:space="preserve">Limited data are available on the impact of emerging SARS-CoV-2 variants of concern on vaccine efficacy. Further information </w:t>
      </w:r>
      <w:proofErr w:type="gramStart"/>
      <w:r w:rsidRPr="004E0E95">
        <w:t>will be collected</w:t>
      </w:r>
      <w:proofErr w:type="gramEnd"/>
      <w:r w:rsidRPr="004E0E95">
        <w:t xml:space="preserve"> throughout the AZD1222 clinical development program by clinical and surveillance virology monitoring.</w:t>
      </w:r>
    </w:p>
    <w:p w14:paraId="1EF9C2FD" w14:textId="77777777" w:rsidR="003C49C9" w:rsidRPr="008D35A9" w:rsidRDefault="009D6010" w:rsidP="003C49C9">
      <w:pPr>
        <w:pStyle w:val="Heading3Unnumbered"/>
      </w:pPr>
      <w:r w:rsidRPr="008D35A9">
        <w:lastRenderedPageBreak/>
        <w:t>Immunogenicity</w:t>
      </w:r>
    </w:p>
    <w:p w14:paraId="1EF9C2FF" w14:textId="77777777" w:rsidR="00C02ED7" w:rsidRPr="008D35A9" w:rsidRDefault="009D6010" w:rsidP="00D14729">
      <w:pPr>
        <w:pStyle w:val="Heading4Unnumbered"/>
      </w:pPr>
      <w:r w:rsidRPr="008D35A9">
        <w:t>Interim analysis of pooled data from COV001, COV002, COV003, and COV005</w:t>
      </w:r>
    </w:p>
    <w:p w14:paraId="1EF9C300" w14:textId="002013AD" w:rsidR="004518E8" w:rsidRPr="008D35A9" w:rsidRDefault="009D6010" w:rsidP="00C02ED7">
      <w:pPr>
        <w:pStyle w:val="Paragraph"/>
      </w:pPr>
      <w:r w:rsidRPr="008D35A9">
        <w:t xml:space="preserve">An immunological correlate of protection has not been established; </w:t>
      </w:r>
      <w:proofErr w:type="gramStart"/>
      <w:r w:rsidRPr="008D35A9">
        <w:t>therefore</w:t>
      </w:r>
      <w:proofErr w:type="gramEnd"/>
      <w:r w:rsidRPr="008D35A9">
        <w:t xml:space="preserve"> the level of immune response that provides protection against COVID-19 is unknown.</w:t>
      </w:r>
    </w:p>
    <w:p w14:paraId="1EF9C301" w14:textId="6C8F8EA1" w:rsidR="00C02ED7" w:rsidRPr="004E0E95" w:rsidRDefault="009D6010" w:rsidP="00C02ED7">
      <w:pPr>
        <w:pStyle w:val="Paragraph"/>
      </w:pPr>
      <w:r w:rsidRPr="004E0E95">
        <w:t>Following vaccination with COVID-19 Vaccine AstraZeneca, in participants who were seronegative at baseline, seroconversion (as measured by a ≥4</w:t>
      </w:r>
      <w:r w:rsidR="00D14729" w:rsidRPr="004E0E95">
        <w:t> </w:t>
      </w:r>
      <w:r w:rsidRPr="004E0E95">
        <w:t>fold increase from baseline in S</w:t>
      </w:r>
      <w:r w:rsidR="00D14729" w:rsidRPr="004E0E95">
        <w:noBreakHyphen/>
      </w:r>
      <w:r w:rsidRPr="004E0E95">
        <w:t>binding antibodies) was demonstrated in ≥98% of participants at 28</w:t>
      </w:r>
      <w:r w:rsidR="00D14729" w:rsidRPr="004E0E95">
        <w:t> </w:t>
      </w:r>
      <w:r w:rsidRPr="004E0E95">
        <w:t>days after the first dose and &gt;99% at 28</w:t>
      </w:r>
      <w:r w:rsidR="00D14729" w:rsidRPr="004E0E95">
        <w:t> </w:t>
      </w:r>
      <w:r w:rsidRPr="004E0E95">
        <w:t xml:space="preserve">days after the second.  Higher S-binding antibodies </w:t>
      </w:r>
      <w:proofErr w:type="gramStart"/>
      <w:r w:rsidRPr="004E0E95">
        <w:t>were observed</w:t>
      </w:r>
      <w:proofErr w:type="gramEnd"/>
      <w:r w:rsidRPr="004E0E95">
        <w:t xml:space="preserve"> with increasing dose interval (</w:t>
      </w:r>
      <w:r w:rsidR="00414470" w:rsidRPr="004E0E95">
        <w:t xml:space="preserve">see </w:t>
      </w:r>
      <w:r w:rsidR="00414470" w:rsidRPr="004E0E95">
        <w:fldChar w:fldCharType="begin"/>
      </w:r>
      <w:r w:rsidR="00414470" w:rsidRPr="004E0E95">
        <w:instrText xml:space="preserve"> REF _Ref59532598 \h  \* MERGEFORMAT </w:instrText>
      </w:r>
      <w:r w:rsidR="00414470" w:rsidRPr="004E0E95">
        <w:fldChar w:fldCharType="separate"/>
      </w:r>
      <w:r w:rsidR="001B509F" w:rsidRPr="004E0E95">
        <w:t>Table 4</w:t>
      </w:r>
      <w:r w:rsidR="00414470" w:rsidRPr="004E0E95">
        <w:fldChar w:fldCharType="end"/>
      </w:r>
      <w:r w:rsidRPr="004E0E95">
        <w:t>).</w:t>
      </w:r>
    </w:p>
    <w:p w14:paraId="1EF9C302" w14:textId="331A40F8" w:rsidR="00414470" w:rsidRPr="004E0E95" w:rsidRDefault="009D6010" w:rsidP="00414470">
      <w:pPr>
        <w:pStyle w:val="Paragraph"/>
      </w:pPr>
      <w:proofErr w:type="gramStart"/>
      <w:r w:rsidRPr="004E0E95">
        <w:t>Generally</w:t>
      </w:r>
      <w:proofErr w:type="gramEnd"/>
      <w:r w:rsidRPr="004E0E95">
        <w:t xml:space="preserve"> similar trends were observed between analyses of neutralising antibodies and S</w:t>
      </w:r>
      <w:r w:rsidR="00D14729" w:rsidRPr="004E0E95">
        <w:noBreakHyphen/>
      </w:r>
      <w:r w:rsidRPr="004E0E95">
        <w:t>binding antibodies.</w:t>
      </w:r>
    </w:p>
    <w:p w14:paraId="1EF9C303" w14:textId="22FA8DB3" w:rsidR="00414470" w:rsidRPr="004E0E95" w:rsidRDefault="009D6010" w:rsidP="00414470">
      <w:pPr>
        <w:pStyle w:val="TableTitle"/>
      </w:pPr>
      <w:bookmarkStart w:id="17" w:name="_Ref59532598"/>
      <w:r w:rsidRPr="004E0E95">
        <w:t>Table </w:t>
      </w:r>
      <w:r w:rsidRPr="004E0E95">
        <w:fldChar w:fldCharType="begin"/>
      </w:r>
      <w:r w:rsidRPr="004E0E95">
        <w:instrText xml:space="preserve"> SEQ Table \* ARABIC </w:instrText>
      </w:r>
      <w:r w:rsidRPr="004E0E95">
        <w:fldChar w:fldCharType="separate"/>
      </w:r>
      <w:r w:rsidR="001B509F" w:rsidRPr="004E0E95">
        <w:rPr>
          <w:noProof/>
        </w:rPr>
        <w:t>4</w:t>
      </w:r>
      <w:r w:rsidRPr="004E0E95">
        <w:fldChar w:fldCharType="end"/>
      </w:r>
      <w:bookmarkEnd w:id="17"/>
      <w:r w:rsidRPr="004E0E95">
        <w:tab/>
      </w:r>
      <w:r w:rsidR="00F86971" w:rsidRPr="004E0E95">
        <w:t>SARS-C</w:t>
      </w:r>
      <w:r w:rsidR="006B17FE" w:rsidRPr="004E0E95">
        <w:t>o</w:t>
      </w:r>
      <w:r w:rsidR="00F86971" w:rsidRPr="004E0E95">
        <w:t>V</w:t>
      </w:r>
      <w:r w:rsidRPr="004E0E95">
        <w:t>-2 S-binding antibody response to COVID-19 Vaccine AstraZeneca (SDSD</w:t>
      </w:r>
      <w:proofErr w:type="gramStart"/>
      <w:r w:rsidRPr="004E0E95">
        <w:t>)</w:t>
      </w:r>
      <w:r w:rsidRPr="004E0E95">
        <w:rPr>
          <w:vertAlign w:val="superscript"/>
        </w:rPr>
        <w:t>a</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927"/>
        <w:gridCol w:w="2463"/>
        <w:gridCol w:w="2409"/>
        <w:gridCol w:w="2835"/>
      </w:tblGrid>
      <w:tr w:rsidR="00444376" w:rsidRPr="004E0E95" w14:paraId="1EF9C308" w14:textId="77777777" w:rsidTr="6BC6D586">
        <w:trPr>
          <w:cantSplit/>
          <w:tblHeader/>
        </w:trPr>
        <w:tc>
          <w:tcPr>
            <w:tcW w:w="1927" w:type="dxa"/>
            <w:vMerge w:val="restart"/>
            <w:shd w:val="clear" w:color="auto" w:fill="auto"/>
            <w:vAlign w:val="center"/>
          </w:tcPr>
          <w:p w14:paraId="1EF9C304" w14:textId="77777777" w:rsidR="00414470" w:rsidRPr="004E0E95" w:rsidRDefault="009D6010" w:rsidP="00414470">
            <w:pPr>
              <w:pStyle w:val="TableHead"/>
              <w:jc w:val="left"/>
            </w:pPr>
            <w:r w:rsidRPr="004E0E95">
              <w:t>Population</w:t>
            </w:r>
          </w:p>
        </w:tc>
        <w:tc>
          <w:tcPr>
            <w:tcW w:w="2463" w:type="dxa"/>
            <w:shd w:val="clear" w:color="auto" w:fill="auto"/>
            <w:vAlign w:val="center"/>
          </w:tcPr>
          <w:p w14:paraId="1EF9C305" w14:textId="77777777" w:rsidR="00414470" w:rsidRPr="004E0E95" w:rsidRDefault="009D6010" w:rsidP="00414470">
            <w:pPr>
              <w:pStyle w:val="TableHead"/>
            </w:pPr>
            <w:r w:rsidRPr="004E0E95">
              <w:t>Baseline</w:t>
            </w:r>
          </w:p>
        </w:tc>
        <w:tc>
          <w:tcPr>
            <w:tcW w:w="2409" w:type="dxa"/>
            <w:shd w:val="clear" w:color="auto" w:fill="auto"/>
            <w:vAlign w:val="center"/>
          </w:tcPr>
          <w:p w14:paraId="1EF9C306" w14:textId="77777777" w:rsidR="00414470" w:rsidRPr="004E0E95" w:rsidRDefault="009D6010" w:rsidP="00414470">
            <w:pPr>
              <w:pStyle w:val="TableHead"/>
            </w:pPr>
            <w:r w:rsidRPr="004E0E95">
              <w:t>28 days after dose 1</w:t>
            </w:r>
          </w:p>
        </w:tc>
        <w:tc>
          <w:tcPr>
            <w:tcW w:w="2835" w:type="dxa"/>
            <w:shd w:val="clear" w:color="auto" w:fill="auto"/>
            <w:vAlign w:val="center"/>
          </w:tcPr>
          <w:p w14:paraId="1EF9C307" w14:textId="77777777" w:rsidR="00414470" w:rsidRPr="004E0E95" w:rsidRDefault="009D6010" w:rsidP="00414470">
            <w:pPr>
              <w:pStyle w:val="TableHead"/>
            </w:pPr>
            <w:r w:rsidRPr="004E0E95">
              <w:t>28 days after dose 2</w:t>
            </w:r>
          </w:p>
        </w:tc>
      </w:tr>
      <w:tr w:rsidR="00444376" w:rsidRPr="004E0E95" w14:paraId="1EF9C30D" w14:textId="77777777" w:rsidTr="6BC6D586">
        <w:trPr>
          <w:cantSplit/>
          <w:tblHeader/>
        </w:trPr>
        <w:tc>
          <w:tcPr>
            <w:tcW w:w="1927" w:type="dxa"/>
            <w:vMerge/>
          </w:tcPr>
          <w:p w14:paraId="1EF9C309" w14:textId="77777777" w:rsidR="00414470" w:rsidRPr="004E0E95" w:rsidRDefault="00414470" w:rsidP="00414470">
            <w:pPr>
              <w:pStyle w:val="TableHead"/>
            </w:pPr>
          </w:p>
        </w:tc>
        <w:tc>
          <w:tcPr>
            <w:tcW w:w="2463" w:type="dxa"/>
            <w:shd w:val="clear" w:color="auto" w:fill="auto"/>
            <w:vAlign w:val="center"/>
          </w:tcPr>
          <w:p w14:paraId="1EF9C30A" w14:textId="77777777" w:rsidR="00414470" w:rsidRPr="004E0E95" w:rsidRDefault="009D6010" w:rsidP="00414470">
            <w:pPr>
              <w:pStyle w:val="TableHead"/>
            </w:pPr>
            <w:r w:rsidRPr="004E0E95">
              <w:t>GMT</w:t>
            </w:r>
            <w:r w:rsidRPr="004E0E95">
              <w:br/>
              <w:t>(95% CI)</w:t>
            </w:r>
          </w:p>
        </w:tc>
        <w:tc>
          <w:tcPr>
            <w:tcW w:w="2409" w:type="dxa"/>
            <w:shd w:val="clear" w:color="auto" w:fill="auto"/>
            <w:vAlign w:val="center"/>
          </w:tcPr>
          <w:p w14:paraId="1EF9C30B" w14:textId="77777777" w:rsidR="00414470" w:rsidRPr="004E0E95" w:rsidRDefault="009D6010" w:rsidP="00414470">
            <w:pPr>
              <w:pStyle w:val="TableHead"/>
            </w:pPr>
            <w:r w:rsidRPr="004E0E95">
              <w:t>GMT</w:t>
            </w:r>
            <w:r w:rsidRPr="004E0E95">
              <w:br/>
              <w:t>(95% CI)</w:t>
            </w:r>
          </w:p>
        </w:tc>
        <w:tc>
          <w:tcPr>
            <w:tcW w:w="2835" w:type="dxa"/>
            <w:shd w:val="clear" w:color="auto" w:fill="auto"/>
            <w:vAlign w:val="center"/>
          </w:tcPr>
          <w:p w14:paraId="1EF9C30C" w14:textId="77777777" w:rsidR="00414470" w:rsidRPr="004E0E95" w:rsidRDefault="009D6010" w:rsidP="00414470">
            <w:pPr>
              <w:pStyle w:val="TableHead"/>
            </w:pPr>
            <w:r w:rsidRPr="004E0E95">
              <w:t>GMT</w:t>
            </w:r>
            <w:r w:rsidRPr="004E0E95">
              <w:br/>
              <w:t>(95% CI)</w:t>
            </w:r>
          </w:p>
        </w:tc>
      </w:tr>
      <w:tr w:rsidR="00444376" w:rsidRPr="004E0E95" w14:paraId="1EF9C315" w14:textId="77777777" w:rsidTr="6BC6D586">
        <w:trPr>
          <w:cantSplit/>
        </w:trPr>
        <w:tc>
          <w:tcPr>
            <w:tcW w:w="1927" w:type="dxa"/>
            <w:shd w:val="clear" w:color="auto" w:fill="auto"/>
            <w:vAlign w:val="center"/>
          </w:tcPr>
          <w:p w14:paraId="1EF9C30E" w14:textId="52BC0BB8" w:rsidR="00414470" w:rsidRPr="004E0E95" w:rsidRDefault="009D6010" w:rsidP="00414470">
            <w:pPr>
              <w:pStyle w:val="TableLeft"/>
            </w:pPr>
            <w:r w:rsidRPr="004E0E95">
              <w:t>Overall</w:t>
            </w:r>
          </w:p>
        </w:tc>
        <w:tc>
          <w:tcPr>
            <w:tcW w:w="2463" w:type="dxa"/>
            <w:shd w:val="clear" w:color="auto" w:fill="auto"/>
            <w:vAlign w:val="center"/>
          </w:tcPr>
          <w:p w14:paraId="1EF9C30F" w14:textId="77777777" w:rsidR="00414470" w:rsidRPr="004E0E95" w:rsidRDefault="009D6010" w:rsidP="00414470">
            <w:pPr>
              <w:pStyle w:val="TableCenter"/>
            </w:pPr>
            <w:r w:rsidRPr="004E0E95">
              <w:t>(N=882)</w:t>
            </w:r>
          </w:p>
          <w:p w14:paraId="1EF9C310" w14:textId="77777777" w:rsidR="00414470" w:rsidRPr="004E0E95" w:rsidRDefault="009D6010" w:rsidP="002D18DD">
            <w:pPr>
              <w:pStyle w:val="TableCenter"/>
            </w:pPr>
            <w:r w:rsidRPr="004E0E95">
              <w:t>57.18</w:t>
            </w:r>
            <w:r w:rsidR="002D18DD" w:rsidRPr="004E0E95">
              <w:br/>
            </w:r>
            <w:r w:rsidRPr="004E0E95">
              <w:t>(52.8, 62.0)</w:t>
            </w:r>
          </w:p>
        </w:tc>
        <w:tc>
          <w:tcPr>
            <w:tcW w:w="2409" w:type="dxa"/>
            <w:shd w:val="clear" w:color="auto" w:fill="auto"/>
            <w:vAlign w:val="center"/>
          </w:tcPr>
          <w:p w14:paraId="1EF9C311" w14:textId="77777777" w:rsidR="00414470" w:rsidRPr="004E0E95" w:rsidRDefault="009D6010" w:rsidP="00414470">
            <w:pPr>
              <w:pStyle w:val="TableCenter"/>
            </w:pPr>
            <w:r w:rsidRPr="004E0E95">
              <w:t>(N=817)</w:t>
            </w:r>
          </w:p>
          <w:p w14:paraId="1EF9C312" w14:textId="77777777" w:rsidR="00414470" w:rsidRPr="004E0E95" w:rsidRDefault="009D6010" w:rsidP="002D18DD">
            <w:pPr>
              <w:pStyle w:val="TableCenter"/>
            </w:pPr>
            <w:r w:rsidRPr="004E0E95">
              <w:t>8386.46</w:t>
            </w:r>
            <w:r w:rsidR="002D18DD" w:rsidRPr="004E0E95">
              <w:br/>
            </w:r>
            <w:r w:rsidRPr="004E0E95">
              <w:t>(7758.6, 9065.1)</w:t>
            </w:r>
          </w:p>
        </w:tc>
        <w:tc>
          <w:tcPr>
            <w:tcW w:w="2835" w:type="dxa"/>
            <w:shd w:val="clear" w:color="auto" w:fill="auto"/>
            <w:vAlign w:val="center"/>
          </w:tcPr>
          <w:p w14:paraId="1EF9C313" w14:textId="77777777" w:rsidR="00414470" w:rsidRPr="004E0E95" w:rsidRDefault="009D6010" w:rsidP="00414470">
            <w:pPr>
              <w:pStyle w:val="TableCenter"/>
            </w:pPr>
            <w:r w:rsidRPr="004E0E95">
              <w:t>(N=819)</w:t>
            </w:r>
          </w:p>
          <w:p w14:paraId="1EF9C314" w14:textId="77777777" w:rsidR="00414470" w:rsidRPr="004E0E95" w:rsidRDefault="009D6010" w:rsidP="002D18DD">
            <w:pPr>
              <w:pStyle w:val="TableCenter"/>
            </w:pPr>
            <w:r w:rsidRPr="004E0E95">
              <w:t>29034.74</w:t>
            </w:r>
            <w:r w:rsidR="002D18DD" w:rsidRPr="004E0E95">
              <w:br/>
            </w:r>
            <w:r w:rsidRPr="004E0E95">
              <w:t>(27118.2, 31086.7)</w:t>
            </w:r>
          </w:p>
        </w:tc>
      </w:tr>
      <w:tr w:rsidR="00444376" w:rsidRPr="004E0E95" w14:paraId="1EF9C317" w14:textId="77777777" w:rsidTr="6BC6D586">
        <w:trPr>
          <w:cantSplit/>
        </w:trPr>
        <w:tc>
          <w:tcPr>
            <w:tcW w:w="9634" w:type="dxa"/>
            <w:gridSpan w:val="4"/>
            <w:shd w:val="clear" w:color="auto" w:fill="auto"/>
          </w:tcPr>
          <w:p w14:paraId="1EF9C316" w14:textId="131A6338" w:rsidR="00414470" w:rsidRPr="004E0E95" w:rsidRDefault="009D6010" w:rsidP="00414470">
            <w:pPr>
              <w:pStyle w:val="TableLeft"/>
              <w:rPr>
                <w:b/>
                <w:bCs w:val="0"/>
                <w:i/>
                <w:iCs/>
              </w:rPr>
            </w:pPr>
            <w:r w:rsidRPr="004E0E95">
              <w:rPr>
                <w:b/>
                <w:bCs w:val="0"/>
                <w:i/>
                <w:iCs/>
              </w:rPr>
              <w:t>Dose Interval</w:t>
            </w:r>
          </w:p>
        </w:tc>
      </w:tr>
      <w:tr w:rsidR="00444376" w:rsidRPr="004E0E95" w14:paraId="1EF9C31F" w14:textId="77777777" w:rsidTr="6BC6D586">
        <w:trPr>
          <w:cantSplit/>
        </w:trPr>
        <w:tc>
          <w:tcPr>
            <w:tcW w:w="1927" w:type="dxa"/>
            <w:shd w:val="clear" w:color="auto" w:fill="auto"/>
            <w:vAlign w:val="center"/>
          </w:tcPr>
          <w:p w14:paraId="1EF9C318" w14:textId="77777777" w:rsidR="00414470" w:rsidRPr="004E0E95" w:rsidRDefault="009D6010" w:rsidP="00414470">
            <w:pPr>
              <w:pStyle w:val="TableLeft"/>
            </w:pPr>
            <w:r w:rsidRPr="004E0E95">
              <w:t>&lt;6 weeks</w:t>
            </w:r>
          </w:p>
        </w:tc>
        <w:tc>
          <w:tcPr>
            <w:tcW w:w="2463" w:type="dxa"/>
            <w:shd w:val="clear" w:color="auto" w:fill="auto"/>
            <w:vAlign w:val="center"/>
          </w:tcPr>
          <w:p w14:paraId="1EF9C319" w14:textId="77777777" w:rsidR="00414470" w:rsidRPr="004E0E95" w:rsidRDefault="009D6010" w:rsidP="00414470">
            <w:pPr>
              <w:pStyle w:val="TableCenter"/>
            </w:pPr>
            <w:r w:rsidRPr="004E0E95">
              <w:t>(N=481)</w:t>
            </w:r>
          </w:p>
          <w:p w14:paraId="1EF9C31A" w14:textId="77777777" w:rsidR="00414470" w:rsidRPr="004E0E95" w:rsidRDefault="009D6010" w:rsidP="002D18DD">
            <w:pPr>
              <w:pStyle w:val="TableCenter"/>
            </w:pPr>
            <w:r w:rsidRPr="004E0E95">
              <w:t>60.51</w:t>
            </w:r>
            <w:r w:rsidR="002D18DD" w:rsidRPr="004E0E95">
              <w:br/>
            </w:r>
            <w:r w:rsidRPr="004E0E95">
              <w:t>(54.1, 67.7)</w:t>
            </w:r>
          </w:p>
        </w:tc>
        <w:tc>
          <w:tcPr>
            <w:tcW w:w="2409" w:type="dxa"/>
            <w:shd w:val="clear" w:color="auto" w:fill="auto"/>
            <w:vAlign w:val="center"/>
          </w:tcPr>
          <w:p w14:paraId="1EF9C31B" w14:textId="77777777" w:rsidR="00414470" w:rsidRPr="004E0E95" w:rsidRDefault="009D6010" w:rsidP="00414470">
            <w:pPr>
              <w:pStyle w:val="TableCenter"/>
            </w:pPr>
            <w:r w:rsidRPr="004E0E95">
              <w:t>(N=479)</w:t>
            </w:r>
          </w:p>
          <w:p w14:paraId="1EF9C31C" w14:textId="77777777" w:rsidR="00414470" w:rsidRPr="004E0E95" w:rsidRDefault="009D6010" w:rsidP="002D18DD">
            <w:pPr>
              <w:pStyle w:val="TableCenter"/>
            </w:pPr>
            <w:r w:rsidRPr="004E0E95">
              <w:t>8734.08</w:t>
            </w:r>
            <w:r w:rsidR="002D18DD" w:rsidRPr="004E0E95">
              <w:br/>
            </w:r>
            <w:r w:rsidRPr="004E0E95">
              <w:t>(7883.1, 9676.9)</w:t>
            </w:r>
          </w:p>
        </w:tc>
        <w:tc>
          <w:tcPr>
            <w:tcW w:w="2835" w:type="dxa"/>
            <w:shd w:val="clear" w:color="auto" w:fill="auto"/>
            <w:vAlign w:val="center"/>
          </w:tcPr>
          <w:p w14:paraId="1EF9C31D" w14:textId="77777777" w:rsidR="00414470" w:rsidRPr="004E0E95" w:rsidRDefault="009D6010" w:rsidP="00414470">
            <w:pPr>
              <w:pStyle w:val="TableCenter"/>
            </w:pPr>
            <w:r w:rsidRPr="004E0E95">
              <w:t>(N=443)</w:t>
            </w:r>
          </w:p>
          <w:p w14:paraId="1EF9C31E" w14:textId="77777777" w:rsidR="00414470" w:rsidRPr="004E0E95" w:rsidRDefault="009D6010" w:rsidP="002D18DD">
            <w:pPr>
              <w:pStyle w:val="TableCenter"/>
            </w:pPr>
            <w:r w:rsidRPr="004E0E95">
              <w:t>22222.73</w:t>
            </w:r>
            <w:r w:rsidR="002D18DD" w:rsidRPr="004E0E95">
              <w:br/>
            </w:r>
            <w:r w:rsidRPr="004E0E95">
              <w:t>(20360.50, 24255.3)</w:t>
            </w:r>
          </w:p>
        </w:tc>
      </w:tr>
      <w:tr w:rsidR="00444376" w:rsidRPr="004E0E95" w14:paraId="1EF9C327" w14:textId="77777777" w:rsidTr="6BC6D586">
        <w:trPr>
          <w:cantSplit/>
        </w:trPr>
        <w:tc>
          <w:tcPr>
            <w:tcW w:w="1927" w:type="dxa"/>
            <w:shd w:val="clear" w:color="auto" w:fill="auto"/>
            <w:vAlign w:val="center"/>
          </w:tcPr>
          <w:p w14:paraId="1EF9C320" w14:textId="77777777" w:rsidR="00414470" w:rsidRPr="004E0E95" w:rsidRDefault="009D6010" w:rsidP="00414470">
            <w:pPr>
              <w:pStyle w:val="TableLeft"/>
            </w:pPr>
            <w:r w:rsidRPr="004E0E95">
              <w:t>6-8 weeks</w:t>
            </w:r>
          </w:p>
        </w:tc>
        <w:tc>
          <w:tcPr>
            <w:tcW w:w="2463" w:type="dxa"/>
            <w:shd w:val="clear" w:color="auto" w:fill="auto"/>
            <w:vAlign w:val="center"/>
          </w:tcPr>
          <w:p w14:paraId="1EF9C321" w14:textId="77777777" w:rsidR="00414470" w:rsidRPr="004E0E95" w:rsidRDefault="009D6010" w:rsidP="00414470">
            <w:pPr>
              <w:pStyle w:val="TableCenter"/>
            </w:pPr>
            <w:r w:rsidRPr="004E0E95">
              <w:t>(N=137)</w:t>
            </w:r>
          </w:p>
          <w:p w14:paraId="1EF9C322" w14:textId="77777777" w:rsidR="00414470" w:rsidRPr="004E0E95" w:rsidRDefault="009D6010" w:rsidP="002D18DD">
            <w:pPr>
              <w:pStyle w:val="TableCenter"/>
            </w:pPr>
            <w:r w:rsidRPr="004E0E95">
              <w:t>58.02</w:t>
            </w:r>
            <w:r w:rsidR="002D18DD" w:rsidRPr="004E0E95">
              <w:br/>
            </w:r>
            <w:r w:rsidRPr="004E0E95">
              <w:t>(46.3, 72.6)</w:t>
            </w:r>
          </w:p>
        </w:tc>
        <w:tc>
          <w:tcPr>
            <w:tcW w:w="2409" w:type="dxa"/>
            <w:shd w:val="clear" w:color="auto" w:fill="auto"/>
            <w:vAlign w:val="center"/>
          </w:tcPr>
          <w:p w14:paraId="1EF9C323" w14:textId="77777777" w:rsidR="00414470" w:rsidRPr="004E0E95" w:rsidRDefault="009D6010" w:rsidP="00414470">
            <w:pPr>
              <w:pStyle w:val="TableCenter"/>
            </w:pPr>
            <w:r w:rsidRPr="004E0E95">
              <w:t>(N=99)</w:t>
            </w:r>
          </w:p>
          <w:p w14:paraId="1EF9C324" w14:textId="77777777" w:rsidR="00414470" w:rsidRPr="004E0E95" w:rsidRDefault="009D6010" w:rsidP="002D18DD">
            <w:pPr>
              <w:pStyle w:val="TableCenter"/>
            </w:pPr>
            <w:r w:rsidRPr="004E0E95">
              <w:t>7295.54</w:t>
            </w:r>
            <w:r w:rsidR="002D18DD" w:rsidRPr="004E0E95">
              <w:br/>
            </w:r>
            <w:r w:rsidRPr="004E0E95">
              <w:t>(5857.4, 9086.7)</w:t>
            </w:r>
          </w:p>
        </w:tc>
        <w:tc>
          <w:tcPr>
            <w:tcW w:w="2835" w:type="dxa"/>
            <w:shd w:val="clear" w:color="auto" w:fill="auto"/>
            <w:vAlign w:val="center"/>
          </w:tcPr>
          <w:p w14:paraId="1EF9C325" w14:textId="77777777" w:rsidR="00414470" w:rsidRPr="004E0E95" w:rsidRDefault="009D6010" w:rsidP="00414470">
            <w:pPr>
              <w:pStyle w:val="TableCenter"/>
            </w:pPr>
            <w:r w:rsidRPr="004E0E95">
              <w:t>(N=116)</w:t>
            </w:r>
          </w:p>
          <w:p w14:paraId="1EF9C326" w14:textId="77777777" w:rsidR="00414470" w:rsidRPr="004E0E95" w:rsidRDefault="009D6010" w:rsidP="002D18DD">
            <w:pPr>
              <w:pStyle w:val="TableCenter"/>
            </w:pPr>
            <w:r w:rsidRPr="004E0E95">
              <w:t>24363.10</w:t>
            </w:r>
            <w:r w:rsidR="002D18DD" w:rsidRPr="004E0E95">
              <w:br/>
            </w:r>
            <w:r w:rsidRPr="004E0E95">
              <w:t>(20088.5, 29547.3)</w:t>
            </w:r>
          </w:p>
        </w:tc>
      </w:tr>
      <w:tr w:rsidR="00444376" w:rsidRPr="004E0E95" w14:paraId="1EF9C32F" w14:textId="77777777" w:rsidTr="6BC6D586">
        <w:trPr>
          <w:cantSplit/>
        </w:trPr>
        <w:tc>
          <w:tcPr>
            <w:tcW w:w="1927" w:type="dxa"/>
            <w:shd w:val="clear" w:color="auto" w:fill="auto"/>
            <w:vAlign w:val="center"/>
          </w:tcPr>
          <w:p w14:paraId="1EF9C328" w14:textId="77777777" w:rsidR="00414470" w:rsidRPr="004E0E95" w:rsidRDefault="009D6010" w:rsidP="00414470">
            <w:pPr>
              <w:pStyle w:val="TableLeft"/>
            </w:pPr>
            <w:r w:rsidRPr="004E0E95">
              <w:t>9-11 weeks</w:t>
            </w:r>
          </w:p>
        </w:tc>
        <w:tc>
          <w:tcPr>
            <w:tcW w:w="2463" w:type="dxa"/>
            <w:shd w:val="clear" w:color="auto" w:fill="auto"/>
            <w:vAlign w:val="center"/>
          </w:tcPr>
          <w:p w14:paraId="1EF9C329" w14:textId="77777777" w:rsidR="00414470" w:rsidRPr="004E0E95" w:rsidRDefault="009D6010" w:rsidP="00414470">
            <w:pPr>
              <w:pStyle w:val="TableCenter"/>
            </w:pPr>
            <w:r w:rsidRPr="004E0E95">
              <w:t>(N=110)</w:t>
            </w:r>
          </w:p>
          <w:p w14:paraId="1EF9C32A" w14:textId="77777777" w:rsidR="00414470" w:rsidRPr="004E0E95" w:rsidRDefault="009D6010" w:rsidP="002D18DD">
            <w:pPr>
              <w:pStyle w:val="TableCenter"/>
            </w:pPr>
            <w:r w:rsidRPr="004E0E95">
              <w:t>48.79</w:t>
            </w:r>
            <w:r w:rsidR="002D18DD" w:rsidRPr="004E0E95">
              <w:br/>
            </w:r>
            <w:r w:rsidRPr="004E0E95">
              <w:t>(39.6, 60.1)</w:t>
            </w:r>
          </w:p>
        </w:tc>
        <w:tc>
          <w:tcPr>
            <w:tcW w:w="2409" w:type="dxa"/>
            <w:shd w:val="clear" w:color="auto" w:fill="auto"/>
            <w:vAlign w:val="center"/>
          </w:tcPr>
          <w:p w14:paraId="1EF9C32B" w14:textId="77777777" w:rsidR="00414470" w:rsidRPr="004E0E95" w:rsidRDefault="009D6010" w:rsidP="00414470">
            <w:pPr>
              <w:pStyle w:val="TableCenter"/>
            </w:pPr>
            <w:r w:rsidRPr="004E0E95">
              <w:t>(N=87)</w:t>
            </w:r>
          </w:p>
          <w:p w14:paraId="1EF9C32C" w14:textId="77777777" w:rsidR="00414470" w:rsidRPr="004E0E95" w:rsidRDefault="009D6010" w:rsidP="002D18DD">
            <w:pPr>
              <w:pStyle w:val="TableCenter"/>
            </w:pPr>
            <w:r w:rsidRPr="004E0E95">
              <w:t>7492.98</w:t>
            </w:r>
            <w:r w:rsidR="002D18DD" w:rsidRPr="004E0E95">
              <w:br/>
            </w:r>
            <w:r w:rsidRPr="004E0E95">
              <w:t>(5885.1, 9540.2)</w:t>
            </w:r>
          </w:p>
        </w:tc>
        <w:tc>
          <w:tcPr>
            <w:tcW w:w="2835" w:type="dxa"/>
            <w:shd w:val="clear" w:color="auto" w:fill="auto"/>
            <w:vAlign w:val="center"/>
          </w:tcPr>
          <w:p w14:paraId="1EF9C32D" w14:textId="77777777" w:rsidR="00414470" w:rsidRPr="004E0E95" w:rsidRDefault="009D6010" w:rsidP="00414470">
            <w:pPr>
              <w:pStyle w:val="TableCenter"/>
            </w:pPr>
            <w:r w:rsidRPr="004E0E95">
              <w:t>(N=106)</w:t>
            </w:r>
          </w:p>
          <w:p w14:paraId="1EF9C32E" w14:textId="77777777" w:rsidR="00414470" w:rsidRPr="004E0E95" w:rsidRDefault="009D6010" w:rsidP="002D18DD">
            <w:pPr>
              <w:pStyle w:val="TableCenter"/>
            </w:pPr>
            <w:r w:rsidRPr="004E0E95">
              <w:t>34754.10</w:t>
            </w:r>
            <w:r w:rsidR="002D18DD" w:rsidRPr="004E0E95">
              <w:br/>
            </w:r>
            <w:r w:rsidRPr="004E0E95">
              <w:t>(30287.2, 39879.8)</w:t>
            </w:r>
          </w:p>
        </w:tc>
      </w:tr>
      <w:tr w:rsidR="00444376" w:rsidRPr="004E0E95" w14:paraId="1EF9C337" w14:textId="77777777" w:rsidTr="6BC6D586">
        <w:trPr>
          <w:cantSplit/>
        </w:trPr>
        <w:tc>
          <w:tcPr>
            <w:tcW w:w="1927" w:type="dxa"/>
            <w:shd w:val="clear" w:color="auto" w:fill="auto"/>
            <w:vAlign w:val="center"/>
          </w:tcPr>
          <w:p w14:paraId="1EF9C330" w14:textId="77777777" w:rsidR="00414470" w:rsidRPr="004E0E95" w:rsidRDefault="009D6010" w:rsidP="00414470">
            <w:pPr>
              <w:pStyle w:val="TableLeft"/>
            </w:pPr>
            <w:r w:rsidRPr="004E0E95">
              <w:t>≥12 weeks</w:t>
            </w:r>
          </w:p>
        </w:tc>
        <w:tc>
          <w:tcPr>
            <w:tcW w:w="2463" w:type="dxa"/>
            <w:shd w:val="clear" w:color="auto" w:fill="auto"/>
            <w:vAlign w:val="center"/>
          </w:tcPr>
          <w:p w14:paraId="1EF9C331" w14:textId="77777777" w:rsidR="00414470" w:rsidRPr="004E0E95" w:rsidRDefault="009D6010" w:rsidP="00414470">
            <w:pPr>
              <w:pStyle w:val="TableCenter"/>
            </w:pPr>
            <w:r w:rsidRPr="004E0E95">
              <w:t>(N=154)</w:t>
            </w:r>
          </w:p>
          <w:p w14:paraId="1EF9C332" w14:textId="77777777" w:rsidR="00414470" w:rsidRPr="004E0E95" w:rsidRDefault="009D6010" w:rsidP="002D18DD">
            <w:pPr>
              <w:pStyle w:val="TableCenter"/>
            </w:pPr>
            <w:r w:rsidRPr="004E0E95">
              <w:t>52.98</w:t>
            </w:r>
            <w:r w:rsidR="002D18DD" w:rsidRPr="004E0E95">
              <w:br/>
            </w:r>
            <w:r w:rsidRPr="004E0E95">
              <w:t>(44.4, 63.2)</w:t>
            </w:r>
          </w:p>
        </w:tc>
        <w:tc>
          <w:tcPr>
            <w:tcW w:w="2409" w:type="dxa"/>
            <w:shd w:val="clear" w:color="auto" w:fill="auto"/>
            <w:vAlign w:val="center"/>
          </w:tcPr>
          <w:p w14:paraId="1EF9C333" w14:textId="77777777" w:rsidR="00414470" w:rsidRPr="004E0E95" w:rsidRDefault="009D6010" w:rsidP="00414470">
            <w:pPr>
              <w:pStyle w:val="TableCenter"/>
            </w:pPr>
            <w:r w:rsidRPr="004E0E95">
              <w:t>(N=152)</w:t>
            </w:r>
          </w:p>
          <w:p w14:paraId="1EF9C334" w14:textId="77777777" w:rsidR="00414470" w:rsidRPr="004E0E95" w:rsidRDefault="009D6010" w:rsidP="002D18DD">
            <w:pPr>
              <w:pStyle w:val="TableCenter"/>
            </w:pPr>
            <w:r w:rsidRPr="004E0E95">
              <w:t>8618.17</w:t>
            </w:r>
            <w:r w:rsidR="002D18DD" w:rsidRPr="004E0E95">
              <w:br/>
            </w:r>
            <w:r w:rsidRPr="004E0E95">
              <w:t>(7195.4, 10322.3)</w:t>
            </w:r>
          </w:p>
        </w:tc>
        <w:tc>
          <w:tcPr>
            <w:tcW w:w="2835" w:type="dxa"/>
            <w:shd w:val="clear" w:color="auto" w:fill="auto"/>
            <w:vAlign w:val="center"/>
          </w:tcPr>
          <w:p w14:paraId="1EF9C335" w14:textId="77777777" w:rsidR="00414470" w:rsidRPr="004E0E95" w:rsidRDefault="009D6010" w:rsidP="00414470">
            <w:pPr>
              <w:pStyle w:val="TableCenter"/>
            </w:pPr>
            <w:r w:rsidRPr="004E0E95">
              <w:t>(N=154)</w:t>
            </w:r>
          </w:p>
          <w:p w14:paraId="1EF9C336" w14:textId="77777777" w:rsidR="00414470" w:rsidRPr="004E0E95" w:rsidRDefault="009D6010" w:rsidP="002D18DD">
            <w:pPr>
              <w:pStyle w:val="TableCenter"/>
            </w:pPr>
            <w:r w:rsidRPr="004E0E95">
              <w:t>63181.59</w:t>
            </w:r>
            <w:r w:rsidR="002D18DD" w:rsidRPr="004E0E95">
              <w:br/>
            </w:r>
            <w:r w:rsidRPr="004E0E95">
              <w:t>(55180.1, 72343.4)</w:t>
            </w:r>
          </w:p>
        </w:tc>
      </w:tr>
    </w:tbl>
    <w:p w14:paraId="1EF9C338" w14:textId="77777777" w:rsidR="00414470" w:rsidRPr="004E0E95" w:rsidRDefault="009D6010" w:rsidP="002D18DD">
      <w:pPr>
        <w:pStyle w:val="TableFootnoteInfo"/>
      </w:pPr>
      <w:r w:rsidRPr="004E0E95">
        <w:t>N = Number of subjects included in each group; GMT = Geometric mean titre; CI = Confidence interval; S = Spike</w:t>
      </w:r>
    </w:p>
    <w:p w14:paraId="1EF9C339" w14:textId="77777777" w:rsidR="00414470" w:rsidRPr="004E0E95" w:rsidRDefault="009D6010" w:rsidP="00414470">
      <w:pPr>
        <w:pStyle w:val="TableFootnoteLetter"/>
        <w:numPr>
          <w:ilvl w:val="0"/>
          <w:numId w:val="48"/>
        </w:numPr>
      </w:pPr>
      <w:r w:rsidRPr="004E0E95">
        <w:t>Immune response evaluated using a multiplex immunoassay</w:t>
      </w:r>
    </w:p>
    <w:p w14:paraId="1EF9C33A" w14:textId="77777777" w:rsidR="00414470" w:rsidRPr="004E0E95" w:rsidRDefault="00414470" w:rsidP="00414470">
      <w:pPr>
        <w:pStyle w:val="Paragraph"/>
      </w:pPr>
    </w:p>
    <w:p w14:paraId="1EF9C33B" w14:textId="45D33599" w:rsidR="00C02ED7" w:rsidRPr="004E0E95" w:rsidRDefault="009D6010" w:rsidP="00C02ED7">
      <w:pPr>
        <w:pStyle w:val="Paragraph"/>
      </w:pPr>
      <w:r w:rsidRPr="004E0E95">
        <w:t xml:space="preserve">The immune response observed in participants with one or more comorbidities was consistent with the overall population. </w:t>
      </w:r>
    </w:p>
    <w:p w14:paraId="1EF9C33C" w14:textId="2742E0AD" w:rsidR="00C02ED7" w:rsidRDefault="009D6010" w:rsidP="00C02ED7">
      <w:pPr>
        <w:pStyle w:val="Paragraph"/>
      </w:pPr>
      <w:r w:rsidRPr="004E0E95">
        <w:t>High seroconversion rates were observed in older adults (≥65</w:t>
      </w:r>
      <w:r w:rsidR="00D14729" w:rsidRPr="004E0E95">
        <w:t> </w:t>
      </w:r>
      <w:r w:rsidRPr="004E0E95">
        <w:t>years) after the first SD (97.8% [N=136, 95% CI: 93.7; 99.5]) and the second SD (100.0% [N=111, 95% CI: 96.7; NE]).  The increase in S</w:t>
      </w:r>
      <w:r w:rsidR="00D14729" w:rsidRPr="004E0E95">
        <w:noBreakHyphen/>
      </w:r>
      <w:r w:rsidRPr="004E0E95">
        <w:t>binding antibodies was numerically lower for participants ≥65</w:t>
      </w:r>
      <w:r w:rsidR="00D14729" w:rsidRPr="004E0E95">
        <w:t> </w:t>
      </w:r>
      <w:r w:rsidRPr="004E0E95">
        <w:t>years old (28</w:t>
      </w:r>
      <w:r w:rsidR="00D14729" w:rsidRPr="004E0E95">
        <w:t> </w:t>
      </w:r>
      <w:r w:rsidRPr="004E0E95">
        <w:t xml:space="preserve">days after second SD: </w:t>
      </w:r>
      <w:r w:rsidR="002D18DD" w:rsidRPr="004E0E95">
        <w:t>Geometric mean titre (</w:t>
      </w:r>
      <w:r w:rsidRPr="004E0E95">
        <w:t>GMT</w:t>
      </w:r>
      <w:proofErr w:type="gramStart"/>
      <w:r w:rsidR="002D18DD" w:rsidRPr="004E0E95">
        <w:t>)</w:t>
      </w:r>
      <w:r w:rsidRPr="004E0E95">
        <w:t>=</w:t>
      </w:r>
      <w:proofErr w:type="gramEnd"/>
      <w:r w:rsidRPr="004E0E95">
        <w:t>20,727.02 [N=116, 95% CI: 17,646.6; 24,345.2]) when compared to participants aged 18</w:t>
      </w:r>
      <w:r w:rsidR="00D14729" w:rsidRPr="004E0E95">
        <w:noBreakHyphen/>
      </w:r>
      <w:r w:rsidRPr="004E0E95">
        <w:t>64</w:t>
      </w:r>
      <w:r w:rsidR="00D14729" w:rsidRPr="004E0E95">
        <w:t> </w:t>
      </w:r>
      <w:r w:rsidRPr="004E0E95">
        <w:t>years (28</w:t>
      </w:r>
      <w:r w:rsidR="00D14729" w:rsidRPr="004E0E95">
        <w:t> </w:t>
      </w:r>
      <w:r w:rsidRPr="004E0E95">
        <w:t>days after second SD: GMT=30,695.30 [N=703,</w:t>
      </w:r>
      <w:r>
        <w:t xml:space="preserve"> 95% CI: 28,496.2; 33,064.1]).  The majority of participants ≥65</w:t>
      </w:r>
      <w:r w:rsidR="00D14729">
        <w:t> </w:t>
      </w:r>
      <w:r>
        <w:t>years old had a dose interval of &lt;6</w:t>
      </w:r>
      <w:r w:rsidR="00D14729">
        <w:t> </w:t>
      </w:r>
      <w:r>
        <w:t>weeks, which may have contributed to the numerically lower titres observed.</w:t>
      </w:r>
    </w:p>
    <w:p w14:paraId="1EF9C33D" w14:textId="18740314" w:rsidR="00C02ED7" w:rsidRPr="004E0E95" w:rsidRDefault="009D6010" w:rsidP="00C02ED7">
      <w:pPr>
        <w:pStyle w:val="Paragraph"/>
      </w:pPr>
      <w:r w:rsidRPr="004E0E95">
        <w:lastRenderedPageBreak/>
        <w:t xml:space="preserve">In participants with serological evidence of prior </w:t>
      </w:r>
      <w:r w:rsidR="00F86971" w:rsidRPr="004E0E95">
        <w:t>SARS-C</w:t>
      </w:r>
      <w:r w:rsidR="006B17FE" w:rsidRPr="004E0E95">
        <w:t>o</w:t>
      </w:r>
      <w:r w:rsidR="00F86971" w:rsidRPr="004E0E95">
        <w:t>V-2</w:t>
      </w:r>
      <w:r w:rsidRPr="004E0E95">
        <w:t xml:space="preserve"> infection at baseline (GMT=13,137.97 [N=29; 95% CI: 7,441.8; 23,194.1]), S</w:t>
      </w:r>
      <w:r w:rsidR="00D14729" w:rsidRPr="004E0E95">
        <w:noBreakHyphen/>
      </w:r>
      <w:r w:rsidRPr="004E0E95">
        <w:t>antibody titres peaked 28</w:t>
      </w:r>
      <w:r w:rsidR="00D14729" w:rsidRPr="004E0E95">
        <w:t> </w:t>
      </w:r>
      <w:r w:rsidRPr="004E0E95">
        <w:t>days after dose</w:t>
      </w:r>
      <w:r w:rsidR="00D14729" w:rsidRPr="004E0E95">
        <w:t> </w:t>
      </w:r>
      <w:r w:rsidRPr="004E0E95">
        <w:t xml:space="preserve">1 (GMT=175,120.84 [N=28; 95% CI: 120,096.9; 255,354.8). </w:t>
      </w:r>
    </w:p>
    <w:p w14:paraId="1EF9C33E" w14:textId="1739FBF2" w:rsidR="00C02ED7" w:rsidRPr="004E0E95" w:rsidRDefault="009D6010" w:rsidP="003C49C9">
      <w:pPr>
        <w:pStyle w:val="Paragraph"/>
      </w:pPr>
      <w:r w:rsidRPr="004E0E95">
        <w:t>Spike-specific T</w:t>
      </w:r>
      <w:r w:rsidR="00D14729" w:rsidRPr="004E0E95">
        <w:noBreakHyphen/>
      </w:r>
      <w:r w:rsidRPr="004E0E95">
        <w:t xml:space="preserve">cell responses as measured by IFN-ɣ enzyme-linked </w:t>
      </w:r>
      <w:proofErr w:type="spellStart"/>
      <w:r w:rsidRPr="004E0E95">
        <w:t>immunospot</w:t>
      </w:r>
      <w:proofErr w:type="spellEnd"/>
      <w:r w:rsidRPr="004E0E95">
        <w:t xml:space="preserve"> (ELISpot) assay </w:t>
      </w:r>
      <w:proofErr w:type="gramStart"/>
      <w:r w:rsidRPr="004E0E95">
        <w:t>are induced</w:t>
      </w:r>
      <w:proofErr w:type="gramEnd"/>
      <w:r w:rsidRPr="004E0E95">
        <w:t xml:space="preserve"> </w:t>
      </w:r>
      <w:r w:rsidR="004518E8" w:rsidRPr="004E0E95">
        <w:t>1</w:t>
      </w:r>
      <w:r w:rsidR="00B02BE6" w:rsidRPr="004E0E95">
        <w:t>4</w:t>
      </w:r>
      <w:r w:rsidR="004518E8" w:rsidRPr="004E0E95">
        <w:t xml:space="preserve"> days </w:t>
      </w:r>
      <w:r w:rsidRPr="004E0E95">
        <w:t>after a first dose of COVID</w:t>
      </w:r>
      <w:r w:rsidR="00D14729" w:rsidRPr="004E0E95">
        <w:t>-</w:t>
      </w:r>
      <w:r w:rsidRPr="004E0E95">
        <w:t>19 Vaccine AstraZeneca. These do not rise further after a second dose.</w:t>
      </w:r>
    </w:p>
    <w:p w14:paraId="1EF9C33F" w14:textId="77777777" w:rsidR="001A3992" w:rsidRPr="004E0E95" w:rsidRDefault="009D6010" w:rsidP="003B7CFF">
      <w:pPr>
        <w:pStyle w:val="Heading2"/>
      </w:pPr>
      <w:r w:rsidRPr="004E0E95">
        <w:t>Pharmacokinetic properties</w:t>
      </w:r>
    </w:p>
    <w:p w14:paraId="1EF9C340" w14:textId="2683227F" w:rsidR="003C49C9" w:rsidRPr="004E0E95" w:rsidRDefault="009D6010" w:rsidP="003C49C9">
      <w:pPr>
        <w:pStyle w:val="Paragraph"/>
      </w:pPr>
      <w:r w:rsidRPr="004E0E95">
        <w:t>Not applicable.</w:t>
      </w:r>
    </w:p>
    <w:p w14:paraId="1EF9C349" w14:textId="0FCF22BA" w:rsidR="001A3992" w:rsidRPr="004E0E95" w:rsidRDefault="009D6010" w:rsidP="00EE3AC8">
      <w:pPr>
        <w:pStyle w:val="Heading2"/>
      </w:pPr>
      <w:r w:rsidRPr="004E0E95">
        <w:t>Preclinical safety data</w:t>
      </w:r>
    </w:p>
    <w:p w14:paraId="1EF9C34A" w14:textId="77777777" w:rsidR="00B5298B" w:rsidRPr="004E0E95" w:rsidRDefault="009D6010" w:rsidP="00B5298B">
      <w:pPr>
        <w:pStyle w:val="Heading3Unnumbered"/>
      </w:pPr>
      <w:r w:rsidRPr="004E0E95">
        <w:t>Toxicity and local tolerance studies</w:t>
      </w:r>
    </w:p>
    <w:p w14:paraId="1EF9C34B" w14:textId="77777777" w:rsidR="003C49C9" w:rsidRPr="004E0E95" w:rsidRDefault="009D6010" w:rsidP="00B5298B">
      <w:pPr>
        <w:pStyle w:val="Paragraph"/>
      </w:pPr>
      <w:r w:rsidRPr="004E0E95">
        <w:t xml:space="preserve">Non-clinical data obtained from toxicology and local tolerance studies with investigational vaccines utilising the same ChAdOx1 </w:t>
      </w:r>
      <w:proofErr w:type="gramStart"/>
      <w:r w:rsidRPr="004E0E95">
        <w:t>adenoviral vector vaccine technology</w:t>
      </w:r>
      <w:proofErr w:type="gramEnd"/>
      <w:r w:rsidRPr="004E0E95">
        <w:t xml:space="preserve"> as COVID-19 Vaccine AstraZeneca, concluded that the ChAdOx1 technology was well tolerated in mice and was not associated with any adverse effects.</w:t>
      </w:r>
    </w:p>
    <w:p w14:paraId="1EF9C34C" w14:textId="77777777" w:rsidR="001A3992" w:rsidRPr="004E0E95" w:rsidRDefault="009D6010" w:rsidP="0026491B">
      <w:pPr>
        <w:pStyle w:val="Heading3Unnumbered"/>
      </w:pPr>
      <w:proofErr w:type="spellStart"/>
      <w:r w:rsidRPr="004E0E95">
        <w:t>Genotoxicity</w:t>
      </w:r>
      <w:proofErr w:type="spellEnd"/>
    </w:p>
    <w:p w14:paraId="1EF9C34D" w14:textId="499670D7" w:rsidR="003C49C9" w:rsidRPr="004E0E95" w:rsidRDefault="009D6010" w:rsidP="003C49C9">
      <w:pPr>
        <w:pStyle w:val="Paragraph"/>
      </w:pPr>
      <w:r w:rsidRPr="004E0E95">
        <w:t xml:space="preserve">COVID-19 Vaccine AstraZeneca is a vaccine, as </w:t>
      </w:r>
      <w:proofErr w:type="gramStart"/>
      <w:r w:rsidRPr="004E0E95">
        <w:t>such,</w:t>
      </w:r>
      <w:proofErr w:type="gramEnd"/>
      <w:r w:rsidRPr="004E0E95">
        <w:t xml:space="preserve"> </w:t>
      </w:r>
      <w:proofErr w:type="spellStart"/>
      <w:r w:rsidRPr="004E0E95">
        <w:t>genotoxicity</w:t>
      </w:r>
      <w:proofErr w:type="spellEnd"/>
      <w:r w:rsidRPr="004E0E95">
        <w:t xml:space="preserve"> (mutagenicity) studies have not been conducted.</w:t>
      </w:r>
    </w:p>
    <w:p w14:paraId="1EF9C34E" w14:textId="77777777" w:rsidR="001A3992" w:rsidRPr="004E0E95" w:rsidRDefault="009D6010" w:rsidP="0026491B">
      <w:pPr>
        <w:pStyle w:val="Heading3Unnumbered"/>
      </w:pPr>
      <w:r w:rsidRPr="004E0E95">
        <w:t>Carcinogenicity</w:t>
      </w:r>
    </w:p>
    <w:p w14:paraId="1EF9C34F" w14:textId="2B73D49A" w:rsidR="003C49C9" w:rsidRPr="003C49C9" w:rsidRDefault="009D6010" w:rsidP="0082597C">
      <w:pPr>
        <w:pStyle w:val="Paragraph"/>
      </w:pPr>
      <w:r w:rsidRPr="004E0E95">
        <w:t xml:space="preserve">COVID-19 Vaccine AstraZeneca is a vaccine, as </w:t>
      </w:r>
      <w:proofErr w:type="gramStart"/>
      <w:r w:rsidRPr="004E0E95">
        <w:t>such,</w:t>
      </w:r>
      <w:proofErr w:type="gramEnd"/>
      <w:r w:rsidRPr="004E0E95">
        <w:t xml:space="preserve"> carcinogenicity studies have not been conducted.</w:t>
      </w:r>
    </w:p>
    <w:p w14:paraId="1EF9C350" w14:textId="77777777" w:rsidR="001A3992" w:rsidRPr="00377337" w:rsidRDefault="009D6010" w:rsidP="00EE3AC8">
      <w:pPr>
        <w:pStyle w:val="Heading1"/>
      </w:pPr>
      <w:r w:rsidRPr="00377337">
        <w:t>Pharmaceutical particulars</w:t>
      </w:r>
    </w:p>
    <w:p w14:paraId="1EF9C351" w14:textId="15AFF263" w:rsidR="001A3992" w:rsidRDefault="009D6010" w:rsidP="00A406F5">
      <w:pPr>
        <w:pStyle w:val="Heading2"/>
      </w:pPr>
      <w:bookmarkStart w:id="18" w:name="_Ref505768678"/>
      <w:r w:rsidRPr="00377337">
        <w:t>List of exci</w:t>
      </w:r>
      <w:r w:rsidR="00795D99" w:rsidRPr="00377337">
        <w:t>pients</w:t>
      </w:r>
      <w:bookmarkEnd w:id="18"/>
    </w:p>
    <w:p w14:paraId="1EF9C352" w14:textId="77777777" w:rsidR="00D417F4" w:rsidRPr="00BC7898" w:rsidRDefault="009D6010" w:rsidP="00D417F4">
      <w:pPr>
        <w:pStyle w:val="Paragraph"/>
      </w:pPr>
      <w:r>
        <w:t xml:space="preserve">COVID-19 Vaccine AstraZeneca contains the excipients histidine, histidine hydrochloride monohydrate, sodium chloride, magnesium chloride </w:t>
      </w:r>
      <w:proofErr w:type="spellStart"/>
      <w:r>
        <w:t>hexahydrate</w:t>
      </w:r>
      <w:proofErr w:type="spellEnd"/>
      <w:r>
        <w:t xml:space="preserve">, disodium </w:t>
      </w:r>
      <w:proofErr w:type="spellStart"/>
      <w:r>
        <w:t>edetate</w:t>
      </w:r>
      <w:proofErr w:type="spellEnd"/>
      <w:r w:rsidR="00BC4AF7">
        <w:t xml:space="preserve"> (EDTA)</w:t>
      </w:r>
      <w:r>
        <w:t xml:space="preserve">, </w:t>
      </w:r>
      <w:r w:rsidRPr="00BC7898">
        <w:t xml:space="preserve">sucrose, ethanol absolute, </w:t>
      </w:r>
      <w:proofErr w:type="spellStart"/>
      <w:r w:rsidRPr="00BC7898">
        <w:t>polysorbate</w:t>
      </w:r>
      <w:proofErr w:type="spellEnd"/>
      <w:r w:rsidRPr="00BC7898">
        <w:t xml:space="preserve"> 80 and water for injections.</w:t>
      </w:r>
    </w:p>
    <w:p w14:paraId="1EF9C353" w14:textId="499E7F57" w:rsidR="00A406F5" w:rsidRPr="00BC7898" w:rsidRDefault="009D6010" w:rsidP="00A406F5">
      <w:pPr>
        <w:pStyle w:val="Paragraph"/>
      </w:pPr>
      <w:r w:rsidRPr="00BC7898">
        <w:t xml:space="preserve">COVID-19 Vaccine AstraZeneca does not contain any preservatives </w:t>
      </w:r>
      <w:r w:rsidR="00970CA0" w:rsidRPr="00BC7898">
        <w:t xml:space="preserve">and the vial stopper </w:t>
      </w:r>
      <w:proofErr w:type="gramStart"/>
      <w:r w:rsidR="00970CA0" w:rsidRPr="00BC7898">
        <w:t>is not made</w:t>
      </w:r>
      <w:proofErr w:type="gramEnd"/>
      <w:r w:rsidR="00970CA0" w:rsidRPr="00BC7898">
        <w:t xml:space="preserve"> with natural rubber </w:t>
      </w:r>
      <w:r w:rsidRPr="00BC7898">
        <w:t>latex.</w:t>
      </w:r>
    </w:p>
    <w:p w14:paraId="1EF9C354" w14:textId="77777777" w:rsidR="001A3992" w:rsidRPr="00BC7898" w:rsidRDefault="009D6010" w:rsidP="00EE3AC8">
      <w:pPr>
        <w:pStyle w:val="Heading2"/>
      </w:pPr>
      <w:r w:rsidRPr="00BC7898">
        <w:t>Incompatib</w:t>
      </w:r>
      <w:r w:rsidR="00795D99" w:rsidRPr="00BC7898">
        <w:t>ilities</w:t>
      </w:r>
    </w:p>
    <w:p w14:paraId="1EF9C355" w14:textId="77777777" w:rsidR="001A54BA" w:rsidRPr="008A0717" w:rsidRDefault="009D6010" w:rsidP="001A54BA">
      <w:pPr>
        <w:pStyle w:val="Paragraph"/>
      </w:pPr>
      <w:r w:rsidRPr="00BC7898">
        <w:t xml:space="preserve">In the absence of compatibility studies, this vaccine </w:t>
      </w:r>
      <w:proofErr w:type="gramStart"/>
      <w:r w:rsidRPr="00BC7898">
        <w:t>must not be mixed</w:t>
      </w:r>
      <w:proofErr w:type="gramEnd"/>
      <w:r w:rsidRPr="00BC7898">
        <w:t xml:space="preserve"> with other medicinal products.</w:t>
      </w:r>
    </w:p>
    <w:p w14:paraId="1EF9C356" w14:textId="77777777" w:rsidR="001A3992" w:rsidRDefault="009D6010" w:rsidP="00EE3AC8">
      <w:pPr>
        <w:pStyle w:val="Heading2"/>
      </w:pPr>
      <w:r w:rsidRPr="00377337">
        <w:t>Shelf life</w:t>
      </w:r>
    </w:p>
    <w:p w14:paraId="1EF9C357" w14:textId="77777777" w:rsidR="007A2548" w:rsidRPr="001A54BA" w:rsidRDefault="009D6010" w:rsidP="007403BD">
      <w:pPr>
        <w:pStyle w:val="Paragraph"/>
      </w:pPr>
      <w:r>
        <w:t xml:space="preserve">In Australia, information on the shelf life </w:t>
      </w:r>
      <w:proofErr w:type="gramStart"/>
      <w:r>
        <w:t>can be found</w:t>
      </w:r>
      <w:proofErr w:type="gramEnd"/>
      <w:r>
        <w:t xml:space="preserve"> on the public summary of the Australian Register of Therapeutic Goods (ARTG). </w:t>
      </w:r>
      <w:r w:rsidRPr="001A54BA">
        <w:t xml:space="preserve">The expiry date </w:t>
      </w:r>
      <w:proofErr w:type="gramStart"/>
      <w:r w:rsidRPr="001A54BA">
        <w:t>can be found</w:t>
      </w:r>
      <w:proofErr w:type="gramEnd"/>
      <w:r w:rsidRPr="001A54BA">
        <w:t xml:space="preserve"> on the packaging.</w:t>
      </w:r>
    </w:p>
    <w:p w14:paraId="1EF9C358" w14:textId="77777777" w:rsidR="001A3992" w:rsidRDefault="009D6010" w:rsidP="00795D99">
      <w:pPr>
        <w:pStyle w:val="Heading2"/>
      </w:pPr>
      <w:r w:rsidRPr="00377337">
        <w:t>Special precautions for storage</w:t>
      </w:r>
    </w:p>
    <w:p w14:paraId="1EF9C359" w14:textId="6087F61C" w:rsidR="001A54BA" w:rsidRDefault="009D6010" w:rsidP="001A54BA">
      <w:pPr>
        <w:pStyle w:val="Heading3Unnumbered"/>
      </w:pPr>
      <w:r>
        <w:t xml:space="preserve">Unopened </w:t>
      </w:r>
      <w:proofErr w:type="spellStart"/>
      <w:r>
        <w:t>mu</w:t>
      </w:r>
      <w:r w:rsidR="004305D5">
        <w:t>l</w:t>
      </w:r>
      <w:r>
        <w:t>tidose</w:t>
      </w:r>
      <w:proofErr w:type="spellEnd"/>
      <w:r>
        <w:t xml:space="preserve"> vial</w:t>
      </w:r>
    </w:p>
    <w:p w14:paraId="1EF9C35A" w14:textId="77777777" w:rsidR="001A54BA" w:rsidRDefault="009D6010" w:rsidP="007403BD">
      <w:pPr>
        <w:pStyle w:val="Paragraph"/>
      </w:pPr>
      <w:r w:rsidRPr="006F1E95">
        <w:t>Store at 2°C to 8°C (Refrigerate. Do not freeze)</w:t>
      </w:r>
      <w:r>
        <w:t>.</w:t>
      </w:r>
    </w:p>
    <w:p w14:paraId="1EF9C35B" w14:textId="77777777" w:rsidR="001A54BA" w:rsidRDefault="009D6010" w:rsidP="001A54BA">
      <w:pPr>
        <w:pStyle w:val="Paragraph"/>
      </w:pPr>
      <w:r>
        <w:t>Store in outer carton in order to protect from light.</w:t>
      </w:r>
    </w:p>
    <w:p w14:paraId="1EF9C35C" w14:textId="5AF97147" w:rsidR="001A54BA" w:rsidRDefault="009D6010" w:rsidP="001A54BA">
      <w:pPr>
        <w:pStyle w:val="Heading3Unnumbered"/>
      </w:pPr>
      <w:r>
        <w:lastRenderedPageBreak/>
        <w:t xml:space="preserve">Opened </w:t>
      </w:r>
      <w:proofErr w:type="spellStart"/>
      <w:r>
        <w:t>multidose</w:t>
      </w:r>
      <w:proofErr w:type="spellEnd"/>
      <w:r>
        <w:t xml:space="preserve"> vial</w:t>
      </w:r>
    </w:p>
    <w:p w14:paraId="1EF9C35D" w14:textId="77777777" w:rsidR="001A54BA" w:rsidRDefault="009D6010" w:rsidP="001A54BA">
      <w:pPr>
        <w:pStyle w:val="Paragraph"/>
      </w:pPr>
      <w:r>
        <w:t xml:space="preserve">After first opening, chemical and physical in-use stability </w:t>
      </w:r>
      <w:proofErr w:type="gramStart"/>
      <w:r>
        <w:t>has been demonstrated</w:t>
      </w:r>
      <w:proofErr w:type="gramEnd"/>
      <w:r>
        <w:t xml:space="preserve"> from the time of vial puncture to administration for no more than:</w:t>
      </w:r>
    </w:p>
    <w:p w14:paraId="1EF9C35E" w14:textId="77777777" w:rsidR="001A54BA" w:rsidRDefault="009D6010" w:rsidP="001A54BA">
      <w:pPr>
        <w:pStyle w:val="ListBullet2"/>
      </w:pPr>
      <w:r>
        <w:t>6 hours at room temperature up to 30</w:t>
      </w:r>
      <w:r w:rsidR="0006590C">
        <w:t>°C</w:t>
      </w:r>
      <w:r w:rsidR="00B5298B">
        <w:t>, or</w:t>
      </w:r>
    </w:p>
    <w:p w14:paraId="1EF9C35F" w14:textId="77777777" w:rsidR="001A54BA" w:rsidRDefault="009D6010" w:rsidP="001A54BA">
      <w:pPr>
        <w:pStyle w:val="ListBullet2"/>
      </w:pPr>
      <w:r>
        <w:t>48 hours in a refrigerator (</w:t>
      </w:r>
      <w:r w:rsidRPr="006F1E95">
        <w:t>2°C to 8°C</w:t>
      </w:r>
      <w:r>
        <w:t>)</w:t>
      </w:r>
    </w:p>
    <w:p w14:paraId="1EF9C360" w14:textId="77777777" w:rsidR="001A54BA" w:rsidRDefault="001A54BA" w:rsidP="001A54BA">
      <w:pPr>
        <w:pStyle w:val="Paragraph"/>
      </w:pPr>
    </w:p>
    <w:p w14:paraId="1EF9C361" w14:textId="77777777" w:rsidR="001A54BA" w:rsidRPr="007403BD" w:rsidRDefault="009D6010" w:rsidP="001A54BA">
      <w:pPr>
        <w:pStyle w:val="Paragraph"/>
      </w:pPr>
      <w:r w:rsidRPr="00BC4AF7">
        <w:t>The vial can be re-refrigerated, but</w:t>
      </w:r>
      <w:r w:rsidR="008C57A3">
        <w:t xml:space="preserve"> after first </w:t>
      </w:r>
      <w:proofErr w:type="gramStart"/>
      <w:r w:rsidR="008C57A3">
        <w:t>opening</w:t>
      </w:r>
      <w:proofErr w:type="gramEnd"/>
      <w:r w:rsidRPr="00BC4AF7">
        <w:t xml:space="preserve"> the cumulative storage time at room temperature must not exceed 6 hours, and the total cumulative storage time must not exceed 48</w:t>
      </w:r>
      <w:r w:rsidR="008C57A3">
        <w:t> </w:t>
      </w:r>
      <w:r w:rsidRPr="00BC4AF7">
        <w:t>hours</w:t>
      </w:r>
      <w:r>
        <w:t>.</w:t>
      </w:r>
    </w:p>
    <w:p w14:paraId="1EF9C362" w14:textId="77777777" w:rsidR="001A3992" w:rsidRDefault="009D6010" w:rsidP="00EE3AC8">
      <w:pPr>
        <w:pStyle w:val="Heading2"/>
      </w:pPr>
      <w:r w:rsidRPr="00377337">
        <w:t>N</w:t>
      </w:r>
      <w:r w:rsidR="00795D99" w:rsidRPr="00377337">
        <w:t>ature and contents of container</w:t>
      </w:r>
    </w:p>
    <w:p w14:paraId="1EF9C363" w14:textId="77777777" w:rsidR="004305D5" w:rsidRPr="00890881" w:rsidRDefault="009D6010" w:rsidP="004305D5">
      <w:pPr>
        <w:pStyle w:val="Paragraph"/>
        <w:rPr>
          <w:u w:val="single"/>
        </w:rPr>
      </w:pPr>
      <w:r>
        <w:t xml:space="preserve">5 mL of </w:t>
      </w:r>
      <w:r w:rsidRPr="004305D5">
        <w:t>solution</w:t>
      </w:r>
      <w:r>
        <w:t xml:space="preserve"> in a 10-dose vial (clear type I glass) with stopper (elastomeric with aluminium </w:t>
      </w:r>
      <w:proofErr w:type="spellStart"/>
      <w:r>
        <w:t>overseal</w:t>
      </w:r>
      <w:proofErr w:type="spellEnd"/>
      <w:r>
        <w:t xml:space="preserve">). Packs of 10 </w:t>
      </w:r>
      <w:proofErr w:type="spellStart"/>
      <w:r>
        <w:t>multidose</w:t>
      </w:r>
      <w:proofErr w:type="spellEnd"/>
      <w:r>
        <w:t xml:space="preserve"> vials.</w:t>
      </w:r>
    </w:p>
    <w:p w14:paraId="1EF9C364" w14:textId="77777777" w:rsidR="001A3992" w:rsidRDefault="009D6010" w:rsidP="00EE3AC8">
      <w:pPr>
        <w:pStyle w:val="Heading2"/>
      </w:pPr>
      <w:bookmarkStart w:id="19" w:name="_Ref63010781"/>
      <w:r w:rsidRPr="00377337">
        <w:t>S</w:t>
      </w:r>
      <w:r w:rsidR="00795D99" w:rsidRPr="00377337">
        <w:t>pecial precautions for disposal</w:t>
      </w:r>
      <w:bookmarkEnd w:id="19"/>
    </w:p>
    <w:p w14:paraId="1EF9C365" w14:textId="3C420954" w:rsidR="007D58BD" w:rsidRPr="008D35A9" w:rsidRDefault="002C7810" w:rsidP="002C7810">
      <w:pPr>
        <w:pStyle w:val="Paragraph"/>
      </w:pPr>
      <w:r w:rsidRPr="008D35A9">
        <w:t>COVID-19 Vaccine AstraZeneca contains genetically modified organisms (GMOs). Any unused vaccine or waste material should be disposed of in accordance with local requirements</w:t>
      </w:r>
      <w:r w:rsidR="0061009E" w:rsidRPr="008D35A9">
        <w:t xml:space="preserve"> in a clinical waste bin</w:t>
      </w:r>
      <w:r w:rsidRPr="008D35A9">
        <w:t xml:space="preserve">. Spills </w:t>
      </w:r>
      <w:proofErr w:type="gramStart"/>
      <w:r w:rsidR="00BC778E" w:rsidRPr="008D35A9">
        <w:t>should be disinfected</w:t>
      </w:r>
      <w:proofErr w:type="gramEnd"/>
      <w:r w:rsidR="00BC778E" w:rsidRPr="008D35A9">
        <w:t xml:space="preserve"> with an appropriate antiviral disinfectant.</w:t>
      </w:r>
    </w:p>
    <w:p w14:paraId="1EF9C366" w14:textId="77777777" w:rsidR="001A3992" w:rsidRPr="008D35A9" w:rsidRDefault="009D6010" w:rsidP="00BC778E">
      <w:pPr>
        <w:pStyle w:val="Heading2"/>
      </w:pPr>
      <w:r w:rsidRPr="008D35A9">
        <w:t>Physicochemical properties</w:t>
      </w:r>
    </w:p>
    <w:p w14:paraId="1EF9C369" w14:textId="77777777" w:rsidR="00062AE5" w:rsidRPr="008D35A9" w:rsidRDefault="009D6010" w:rsidP="00062AE5">
      <w:pPr>
        <w:pStyle w:val="Heading3Unnumbered"/>
      </w:pPr>
      <w:r w:rsidRPr="008D35A9">
        <w:t>CAS number</w:t>
      </w:r>
    </w:p>
    <w:p w14:paraId="1EF9C36A" w14:textId="77777777" w:rsidR="007F0727" w:rsidRPr="008D35A9" w:rsidRDefault="009D6010" w:rsidP="006A727B">
      <w:pPr>
        <w:pStyle w:val="Paragraph"/>
      </w:pPr>
      <w:r w:rsidRPr="008D35A9">
        <w:t>2420395-83-9</w:t>
      </w:r>
    </w:p>
    <w:p w14:paraId="1EF9C36C" w14:textId="77777777" w:rsidR="001A3992" w:rsidRDefault="009D6010" w:rsidP="00EE3AC8">
      <w:pPr>
        <w:pStyle w:val="Heading1"/>
      </w:pPr>
      <w:r w:rsidRPr="00377337">
        <w:t>Medicine schedule (Poisons Standard)</w:t>
      </w:r>
    </w:p>
    <w:p w14:paraId="1EF9C36D" w14:textId="77777777" w:rsidR="0041004D" w:rsidRPr="002D3489" w:rsidRDefault="009D6010" w:rsidP="002D3489">
      <w:pPr>
        <w:pStyle w:val="Paragraph"/>
      </w:pPr>
      <w:r w:rsidRPr="0041004D">
        <w:t>Prescription only medicine (Schedule 4)</w:t>
      </w:r>
    </w:p>
    <w:p w14:paraId="1EF9C36E" w14:textId="77777777" w:rsidR="00285173" w:rsidRDefault="009D6010" w:rsidP="00EE3AC8">
      <w:pPr>
        <w:pStyle w:val="Heading1"/>
      </w:pPr>
      <w:r w:rsidRPr="00377337">
        <w:t>Sponsor</w:t>
      </w:r>
    </w:p>
    <w:p w14:paraId="1EF9C36F" w14:textId="77777777" w:rsidR="0041004D" w:rsidRDefault="009D6010" w:rsidP="0041004D">
      <w:pPr>
        <w:pStyle w:val="Paragraph"/>
      </w:pPr>
      <w:r>
        <w:t>AstraZeneca Pty Ltd</w:t>
      </w:r>
      <w:r>
        <w:br/>
        <w:t>ABN 54 009 682 311</w:t>
      </w:r>
      <w:r>
        <w:br/>
        <w:t>66 Talavera Road</w:t>
      </w:r>
      <w:r>
        <w:br/>
        <w:t>MACQUARIE PARK NSW 2113</w:t>
      </w:r>
    </w:p>
    <w:p w14:paraId="1EF9C370" w14:textId="1F6C5A92" w:rsidR="0041004D" w:rsidRPr="002D3489" w:rsidRDefault="009D6010" w:rsidP="0041004D">
      <w:pPr>
        <w:pStyle w:val="Paragraph"/>
      </w:pPr>
      <w:bookmarkStart w:id="20" w:name="_Hlk56437809"/>
      <w:r>
        <w:t xml:space="preserve">For COVID-19 </w:t>
      </w:r>
      <w:r w:rsidR="009D410F">
        <w:t>V</w:t>
      </w:r>
      <w:r>
        <w:t xml:space="preserve">accine </w:t>
      </w:r>
      <w:r w:rsidR="009D410F">
        <w:t xml:space="preserve">AstraZeneca </w:t>
      </w:r>
      <w:r>
        <w:t>enquiries contact 1800 343 949</w:t>
      </w:r>
      <w:r w:rsidR="009D410F">
        <w:t xml:space="preserve"> or visit azcovid-19.com</w:t>
      </w:r>
    </w:p>
    <w:bookmarkEnd w:id="20"/>
    <w:p w14:paraId="1EF9C371" w14:textId="77777777" w:rsidR="00285173" w:rsidRDefault="009D6010" w:rsidP="00EE3AC8">
      <w:pPr>
        <w:pStyle w:val="Heading1"/>
      </w:pPr>
      <w:r w:rsidRPr="00377337">
        <w:t xml:space="preserve">Date of first </w:t>
      </w:r>
      <w:r w:rsidR="00795D99" w:rsidRPr="00377337">
        <w:t>approval</w:t>
      </w:r>
    </w:p>
    <w:p w14:paraId="1EF9C372" w14:textId="00C4569B" w:rsidR="00E00336" w:rsidRPr="002D3489" w:rsidRDefault="002D1E14" w:rsidP="002D3489">
      <w:pPr>
        <w:pStyle w:val="Paragraph"/>
      </w:pPr>
      <w:r>
        <w:t>16</w:t>
      </w:r>
      <w:r w:rsidR="00436EEB">
        <w:t xml:space="preserve"> February 2021</w:t>
      </w:r>
    </w:p>
    <w:p w14:paraId="1EF9C373" w14:textId="77777777" w:rsidR="00285173" w:rsidRDefault="009D6010" w:rsidP="00EE3AC8">
      <w:pPr>
        <w:pStyle w:val="Heading1"/>
      </w:pPr>
      <w:r w:rsidRPr="00377337">
        <w:t>Date o</w:t>
      </w:r>
      <w:r w:rsidR="00795D99" w:rsidRPr="00377337">
        <w:t>f revision</w:t>
      </w:r>
    </w:p>
    <w:p w14:paraId="1EF9C374" w14:textId="77777777" w:rsidR="00513B1A" w:rsidRDefault="009D6010" w:rsidP="00513B1A">
      <w:pPr>
        <w:pStyle w:val="Paragraph"/>
      </w:pPr>
      <w:r>
        <w:t>Not applicable</w:t>
      </w:r>
    </w:p>
    <w:p w14:paraId="1EF9C375" w14:textId="77777777" w:rsidR="009D79AA" w:rsidRDefault="009D79AA" w:rsidP="00513B1A">
      <w:pPr>
        <w:pStyle w:val="Paragraph"/>
      </w:pPr>
    </w:p>
    <w:p w14:paraId="1EF9C376" w14:textId="77777777" w:rsidR="009D79AA" w:rsidRPr="00377337" w:rsidRDefault="009D6010" w:rsidP="009D79AA">
      <w:pPr>
        <w:pStyle w:val="Heading2Unnumbered"/>
      </w:pPr>
      <w:r w:rsidRPr="00377337">
        <w:lastRenderedPageBreak/>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696"/>
        <w:gridCol w:w="7942"/>
      </w:tblGrid>
      <w:tr w:rsidR="00444376" w14:paraId="1EF9C379" w14:textId="77777777" w:rsidTr="009D79AA">
        <w:trPr>
          <w:cantSplit/>
          <w:tblHeader/>
        </w:trPr>
        <w:tc>
          <w:tcPr>
            <w:tcW w:w="1696" w:type="dxa"/>
            <w:shd w:val="clear" w:color="auto" w:fill="auto"/>
          </w:tcPr>
          <w:p w14:paraId="1EF9C377" w14:textId="77777777" w:rsidR="009D79AA" w:rsidRDefault="009D6010" w:rsidP="009F0775">
            <w:pPr>
              <w:pStyle w:val="TableHead"/>
              <w:jc w:val="left"/>
            </w:pPr>
            <w:r>
              <w:t>Section changed</w:t>
            </w:r>
          </w:p>
        </w:tc>
        <w:tc>
          <w:tcPr>
            <w:tcW w:w="7942" w:type="dxa"/>
            <w:shd w:val="clear" w:color="auto" w:fill="auto"/>
          </w:tcPr>
          <w:p w14:paraId="1EF9C378" w14:textId="77777777" w:rsidR="009D79AA" w:rsidRDefault="009D6010" w:rsidP="009F0775">
            <w:pPr>
              <w:pStyle w:val="TableHead"/>
              <w:jc w:val="left"/>
            </w:pPr>
            <w:r>
              <w:t>Summary of new information</w:t>
            </w:r>
          </w:p>
        </w:tc>
      </w:tr>
      <w:tr w:rsidR="00444376" w14:paraId="1EF9C37C" w14:textId="77777777" w:rsidTr="009D79AA">
        <w:trPr>
          <w:cantSplit/>
        </w:trPr>
        <w:tc>
          <w:tcPr>
            <w:tcW w:w="1696" w:type="dxa"/>
            <w:shd w:val="clear" w:color="auto" w:fill="auto"/>
          </w:tcPr>
          <w:p w14:paraId="1EF9C37A" w14:textId="77777777" w:rsidR="009D79AA" w:rsidRDefault="009D6010" w:rsidP="009F0775">
            <w:pPr>
              <w:pStyle w:val="TableLeft"/>
            </w:pPr>
            <w:r>
              <w:t>N/A</w:t>
            </w:r>
          </w:p>
        </w:tc>
        <w:tc>
          <w:tcPr>
            <w:tcW w:w="7942" w:type="dxa"/>
            <w:shd w:val="clear" w:color="auto" w:fill="auto"/>
          </w:tcPr>
          <w:p w14:paraId="1EF9C37B" w14:textId="77777777" w:rsidR="009D79AA" w:rsidRDefault="009D6010" w:rsidP="009F0775">
            <w:pPr>
              <w:pStyle w:val="TableLeft"/>
            </w:pPr>
            <w:r>
              <w:t>New product</w:t>
            </w:r>
          </w:p>
        </w:tc>
      </w:tr>
    </w:tbl>
    <w:p w14:paraId="1EF9C37D" w14:textId="77777777" w:rsidR="009D79AA" w:rsidRDefault="009D79AA" w:rsidP="009D79AA">
      <w:pPr>
        <w:pStyle w:val="Paragraph"/>
      </w:pPr>
    </w:p>
    <w:p w14:paraId="1EF9C37E" w14:textId="77777777" w:rsidR="00513B1A" w:rsidRPr="001812B5" w:rsidRDefault="009D6010" w:rsidP="00513B1A">
      <w:pPr>
        <w:pStyle w:val="Paragraph"/>
        <w:rPr>
          <w:sz w:val="20"/>
          <w:szCs w:val="20"/>
        </w:rPr>
      </w:pPr>
      <w:r w:rsidRPr="001812B5">
        <w:rPr>
          <w:sz w:val="20"/>
          <w:szCs w:val="20"/>
          <w:vertAlign w:val="superscript"/>
        </w:rPr>
        <w:t>©</w:t>
      </w:r>
      <w:r w:rsidRPr="001812B5">
        <w:rPr>
          <w:sz w:val="20"/>
          <w:szCs w:val="20"/>
        </w:rPr>
        <w:t xml:space="preserve"> AstraZeneca, </w:t>
      </w:r>
      <w:r w:rsidR="007F0727">
        <w:rPr>
          <w:sz w:val="20"/>
          <w:szCs w:val="20"/>
        </w:rPr>
        <w:t>202</w:t>
      </w:r>
      <w:r w:rsidR="005D2363">
        <w:rPr>
          <w:sz w:val="20"/>
          <w:szCs w:val="20"/>
        </w:rPr>
        <w:t>1</w:t>
      </w:r>
    </w:p>
    <w:p w14:paraId="1EF9C37F" w14:textId="65F0730E" w:rsidR="008A35FB" w:rsidRPr="001812B5" w:rsidRDefault="002D1E14" w:rsidP="007F7555">
      <w:pPr>
        <w:pStyle w:val="Paragraph"/>
        <w:rPr>
          <w:sz w:val="20"/>
          <w:szCs w:val="20"/>
        </w:rPr>
      </w:pPr>
      <w:r w:rsidRPr="002D1E14">
        <w:rPr>
          <w:sz w:val="20"/>
          <w:szCs w:val="20"/>
        </w:rPr>
        <w:t>Doc ID-004490138 v1</w:t>
      </w:r>
    </w:p>
    <w:sectPr w:rsidR="008A35FB" w:rsidRPr="001812B5" w:rsidSect="0080644B">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F9BE9" w14:textId="77777777" w:rsidR="00CC16AE" w:rsidRDefault="00CC16AE">
      <w:pPr>
        <w:spacing w:after="0" w:line="240" w:lineRule="auto"/>
      </w:pPr>
      <w:r>
        <w:separator/>
      </w:r>
    </w:p>
  </w:endnote>
  <w:endnote w:type="continuationSeparator" w:id="0">
    <w:p w14:paraId="7E96D34B" w14:textId="77777777" w:rsidR="00CC16AE" w:rsidRDefault="00CC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C3C7" w14:textId="55092CEF" w:rsidR="00AE493C" w:rsidRDefault="00AE493C" w:rsidP="00C85696">
    <w:pPr>
      <w:pStyle w:val="Footer"/>
      <w:jc w:val="center"/>
    </w:pPr>
    <w:r w:rsidRPr="00136256">
      <w:fldChar w:fldCharType="begin"/>
    </w:r>
    <w:r w:rsidRPr="00136256">
      <w:instrText xml:space="preserve"> PAGE </w:instrText>
    </w:r>
    <w:r w:rsidRPr="00136256">
      <w:fldChar w:fldCharType="separate"/>
    </w:r>
    <w:r w:rsidR="00D8137C">
      <w:rPr>
        <w:noProof/>
      </w:rPr>
      <w:t>12</w:t>
    </w:r>
    <w:r w:rsidRPr="00136256">
      <w:fldChar w:fldCharType="end"/>
    </w:r>
    <w:r w:rsidRPr="00136256">
      <w:t xml:space="preserve"> </w:t>
    </w:r>
    <w:r>
      <w:t xml:space="preserve">of </w:t>
    </w:r>
    <w:r>
      <w:fldChar w:fldCharType="begin"/>
    </w:r>
    <w:r>
      <w:instrText xml:space="preserve"> NUMPAGES </w:instrText>
    </w:r>
    <w:r>
      <w:fldChar w:fldCharType="separate"/>
    </w:r>
    <w:r w:rsidR="00D8137C">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1E911" w14:textId="77777777" w:rsidR="00CC16AE" w:rsidRDefault="00CC16AE" w:rsidP="001A3992">
      <w:pPr>
        <w:spacing w:after="0" w:line="240" w:lineRule="auto"/>
      </w:pPr>
      <w:r>
        <w:separator/>
      </w:r>
    </w:p>
  </w:footnote>
  <w:footnote w:type="continuationSeparator" w:id="0">
    <w:p w14:paraId="731AF2EB" w14:textId="77777777" w:rsidR="00CC16AE" w:rsidRDefault="00CC16AE" w:rsidP="001A3992">
      <w:pPr>
        <w:spacing w:after="0" w:line="240" w:lineRule="auto"/>
      </w:pPr>
      <w:r>
        <w:continuationSeparator/>
      </w:r>
    </w:p>
  </w:footnote>
  <w:footnote w:type="continuationNotice" w:id="1">
    <w:p w14:paraId="729244F6" w14:textId="77777777" w:rsidR="00CC16AE" w:rsidRDefault="00CC1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91" w:type="dxa"/>
      <w:tblInd w:w="-431" w:type="dxa"/>
      <w:shd w:val="clear" w:color="auto" w:fill="E4F2E0"/>
      <w:tblLook w:val="04A0" w:firstRow="1" w:lastRow="0" w:firstColumn="1" w:lastColumn="0" w:noHBand="0" w:noVBand="1"/>
    </w:tblPr>
    <w:tblGrid>
      <w:gridCol w:w="10491"/>
    </w:tblGrid>
    <w:tr w:rsidR="00AB6CD0" w14:paraId="44B43CA8" w14:textId="77777777" w:rsidTr="00AB6CD0">
      <w:tc>
        <w:tcPr>
          <w:tcW w:w="10491" w:type="dxa"/>
          <w:shd w:val="clear" w:color="auto" w:fill="E4F2E0"/>
        </w:tcPr>
        <w:p w14:paraId="1D4394E8" w14:textId="28031F4F" w:rsidR="00AB6CD0" w:rsidRPr="00AB6CD0" w:rsidRDefault="00AB6CD0" w:rsidP="00AB6CD0">
          <w:pPr>
            <w:spacing w:after="0"/>
            <w:rPr>
              <w:sz w:val="16"/>
              <w:szCs w:val="18"/>
            </w:rPr>
          </w:pPr>
          <w:r w:rsidRPr="00AB6CD0">
            <w:rPr>
              <w:b/>
              <w:sz w:val="16"/>
              <w:szCs w:val="18"/>
            </w:rPr>
            <w:t xml:space="preserve">Attachment 1: Product information for </w:t>
          </w:r>
          <w:proofErr w:type="spellStart"/>
          <w:r w:rsidRPr="00AB6CD0">
            <w:rPr>
              <w:b/>
              <w:sz w:val="16"/>
              <w:szCs w:val="18"/>
            </w:rPr>
            <w:t>AusPAR</w:t>
          </w:r>
          <w:proofErr w:type="spellEnd"/>
          <w:r w:rsidRPr="00AB6CD0">
            <w:rPr>
              <w:b/>
              <w:sz w:val="16"/>
              <w:szCs w:val="18"/>
            </w:rPr>
            <w:t xml:space="preserve"> - COVID-19 VACCINE ASTRAZENECA – ChAdOx1-S - AstraZeneca Pty Ltd – PM-2020-06115-1-2</w:t>
          </w:r>
          <w:r w:rsidRPr="00AB6CD0">
            <w:rPr>
              <w:b/>
              <w:sz w:val="16"/>
              <w:szCs w:val="18"/>
            </w:rPr>
            <w:t xml:space="preserve"> </w:t>
          </w:r>
          <w:r w:rsidRPr="00AB6CD0">
            <w:rPr>
              <w:b/>
              <w:sz w:val="16"/>
              <w:szCs w:val="18"/>
            </w:rPr>
            <w:t xml:space="preserve">FINAL 15 February 2021. This is the Product Information that </w:t>
          </w:r>
          <w:proofErr w:type="gramStart"/>
          <w:r w:rsidRPr="00AB6CD0">
            <w:rPr>
              <w:b/>
              <w:sz w:val="16"/>
              <w:szCs w:val="18"/>
            </w:rPr>
            <w:t>was approved</w:t>
          </w:r>
          <w:proofErr w:type="gramEnd"/>
          <w:r w:rsidRPr="00AB6CD0">
            <w:rPr>
              <w:b/>
              <w:sz w:val="16"/>
              <w:szCs w:val="18"/>
            </w:rPr>
            <w:t xml:space="preserve"> with the submission described in this </w:t>
          </w:r>
          <w:proofErr w:type="spellStart"/>
          <w:r w:rsidRPr="00AB6CD0">
            <w:rPr>
              <w:b/>
              <w:sz w:val="16"/>
              <w:szCs w:val="18"/>
            </w:rPr>
            <w:t>AusPAR</w:t>
          </w:r>
          <w:proofErr w:type="spellEnd"/>
          <w:r w:rsidRPr="00AB6CD0">
            <w:rPr>
              <w:b/>
              <w:sz w:val="16"/>
              <w:szCs w:val="18"/>
            </w:rPr>
            <w:t xml:space="preserve">. It </w:t>
          </w:r>
          <w:proofErr w:type="gramStart"/>
          <w:r w:rsidRPr="00AB6CD0">
            <w:rPr>
              <w:b/>
              <w:sz w:val="16"/>
              <w:szCs w:val="18"/>
            </w:rPr>
            <w:t>may have been superseded</w:t>
          </w:r>
          <w:proofErr w:type="gramEnd"/>
          <w:r w:rsidRPr="00AB6CD0">
            <w:rPr>
              <w:b/>
              <w:sz w:val="16"/>
              <w:szCs w:val="18"/>
            </w:rPr>
            <w:t>. For the most recent PI, please refer to the TGA website at &lt;</w:t>
          </w:r>
          <w:hyperlink r:id="rId1" w:history="1">
            <w:r w:rsidRPr="00AB6CD0">
              <w:rPr>
                <w:rStyle w:val="Hyperlink"/>
                <w:sz w:val="16"/>
                <w:szCs w:val="18"/>
              </w:rPr>
              <w:t>https://www.tga.gov.au/product-information-pi</w:t>
            </w:r>
          </w:hyperlink>
          <w:r w:rsidRPr="00AB6CD0">
            <w:rPr>
              <w:rStyle w:val="Hyperlink"/>
              <w:sz w:val="16"/>
              <w:szCs w:val="18"/>
            </w:rPr>
            <w:t>&gt;</w:t>
          </w:r>
        </w:p>
      </w:tc>
    </w:tr>
  </w:tbl>
  <w:p w14:paraId="1EF9C3C6" w14:textId="77777777" w:rsidR="00AE493C" w:rsidRPr="00AB6CD0" w:rsidRDefault="00AE493C" w:rsidP="00B8340B">
    <w:pPr>
      <w:pStyle w:val="Header"/>
      <w:tabs>
        <w:tab w:val="left" w:pos="2310"/>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FDCFE16"/>
    <w:lvl w:ilvl="0">
      <w:start w:val="1"/>
      <w:numFmt w:val="bullet"/>
      <w:lvlText w:val=""/>
      <w:lvlJc w:val="left"/>
      <w:pPr>
        <w:tabs>
          <w:tab w:val="num" w:pos="360"/>
        </w:tabs>
        <w:ind w:left="360" w:hanging="360"/>
      </w:pPr>
      <w:rPr>
        <w:rFonts w:ascii="Symbol" w:hAnsi="Symbol" w:hint="default"/>
        <w:color w:val="auto"/>
        <w:sz w:val="20"/>
      </w:rPr>
    </w:lvl>
  </w:abstractNum>
  <w:abstractNum w:abstractNumId="1" w15:restartNumberingAfterBreak="0">
    <w:nsid w:val="01733F3E"/>
    <w:multiLevelType w:val="hybridMultilevel"/>
    <w:tmpl w:val="5AB64ADE"/>
    <w:lvl w:ilvl="0" w:tplc="2EACC6DA">
      <w:start w:val="1"/>
      <w:numFmt w:val="bullet"/>
      <w:lvlText w:val=""/>
      <w:lvlJc w:val="left"/>
      <w:pPr>
        <w:ind w:left="720" w:hanging="360"/>
      </w:pPr>
      <w:rPr>
        <w:rFonts w:ascii="Symbol" w:hAnsi="Symbol" w:hint="default"/>
      </w:rPr>
    </w:lvl>
    <w:lvl w:ilvl="1" w:tplc="3F3AEF9C">
      <w:start w:val="1"/>
      <w:numFmt w:val="bullet"/>
      <w:lvlText w:val="o"/>
      <w:lvlJc w:val="left"/>
      <w:pPr>
        <w:ind w:left="1440" w:hanging="360"/>
      </w:pPr>
      <w:rPr>
        <w:rFonts w:ascii="Courier New" w:hAnsi="Courier New" w:cs="Courier New" w:hint="default"/>
      </w:rPr>
    </w:lvl>
    <w:lvl w:ilvl="2" w:tplc="C4BCE0F6" w:tentative="1">
      <w:start w:val="1"/>
      <w:numFmt w:val="bullet"/>
      <w:lvlText w:val=""/>
      <w:lvlJc w:val="left"/>
      <w:pPr>
        <w:ind w:left="2160" w:hanging="360"/>
      </w:pPr>
      <w:rPr>
        <w:rFonts w:ascii="Wingdings" w:hAnsi="Wingdings" w:hint="default"/>
      </w:rPr>
    </w:lvl>
    <w:lvl w:ilvl="3" w:tplc="F3C0CF10" w:tentative="1">
      <w:start w:val="1"/>
      <w:numFmt w:val="bullet"/>
      <w:lvlText w:val=""/>
      <w:lvlJc w:val="left"/>
      <w:pPr>
        <w:ind w:left="2880" w:hanging="360"/>
      </w:pPr>
      <w:rPr>
        <w:rFonts w:ascii="Symbol" w:hAnsi="Symbol" w:hint="default"/>
      </w:rPr>
    </w:lvl>
    <w:lvl w:ilvl="4" w:tplc="2E222D5C" w:tentative="1">
      <w:start w:val="1"/>
      <w:numFmt w:val="bullet"/>
      <w:lvlText w:val="o"/>
      <w:lvlJc w:val="left"/>
      <w:pPr>
        <w:ind w:left="3600" w:hanging="360"/>
      </w:pPr>
      <w:rPr>
        <w:rFonts w:ascii="Courier New" w:hAnsi="Courier New" w:cs="Courier New" w:hint="default"/>
      </w:rPr>
    </w:lvl>
    <w:lvl w:ilvl="5" w:tplc="6C9AAA76" w:tentative="1">
      <w:start w:val="1"/>
      <w:numFmt w:val="bullet"/>
      <w:lvlText w:val=""/>
      <w:lvlJc w:val="left"/>
      <w:pPr>
        <w:ind w:left="4320" w:hanging="360"/>
      </w:pPr>
      <w:rPr>
        <w:rFonts w:ascii="Wingdings" w:hAnsi="Wingdings" w:hint="default"/>
      </w:rPr>
    </w:lvl>
    <w:lvl w:ilvl="6" w:tplc="DF661066" w:tentative="1">
      <w:start w:val="1"/>
      <w:numFmt w:val="bullet"/>
      <w:lvlText w:val=""/>
      <w:lvlJc w:val="left"/>
      <w:pPr>
        <w:ind w:left="5040" w:hanging="360"/>
      </w:pPr>
      <w:rPr>
        <w:rFonts w:ascii="Symbol" w:hAnsi="Symbol" w:hint="default"/>
      </w:rPr>
    </w:lvl>
    <w:lvl w:ilvl="7" w:tplc="9F9EDEA0" w:tentative="1">
      <w:start w:val="1"/>
      <w:numFmt w:val="bullet"/>
      <w:lvlText w:val="o"/>
      <w:lvlJc w:val="left"/>
      <w:pPr>
        <w:ind w:left="5760" w:hanging="360"/>
      </w:pPr>
      <w:rPr>
        <w:rFonts w:ascii="Courier New" w:hAnsi="Courier New" w:cs="Courier New" w:hint="default"/>
      </w:rPr>
    </w:lvl>
    <w:lvl w:ilvl="8" w:tplc="3BD6D5A8" w:tentative="1">
      <w:start w:val="1"/>
      <w:numFmt w:val="bullet"/>
      <w:lvlText w:val=""/>
      <w:lvlJc w:val="left"/>
      <w:pPr>
        <w:ind w:left="6480" w:hanging="360"/>
      </w:pPr>
      <w:rPr>
        <w:rFonts w:ascii="Wingdings" w:hAnsi="Wingdings" w:hint="default"/>
      </w:rPr>
    </w:lvl>
  </w:abstractNum>
  <w:abstractNum w:abstractNumId="2" w15:restartNumberingAfterBreak="0">
    <w:nsid w:val="040D107B"/>
    <w:multiLevelType w:val="hybridMultilevel"/>
    <w:tmpl w:val="241253C8"/>
    <w:name w:val="ListBullet"/>
    <w:lvl w:ilvl="0" w:tplc="34AAB7F6">
      <w:start w:val="1"/>
      <w:numFmt w:val="bullet"/>
      <w:pStyle w:val="ListBullet"/>
      <w:lvlText w:val=""/>
      <w:lvlJc w:val="left"/>
      <w:pPr>
        <w:ind w:left="425" w:hanging="425"/>
      </w:pPr>
      <w:rPr>
        <w:rFonts w:ascii="Symbol" w:hAnsi="Symbol" w:hint="default"/>
        <w:b w:val="0"/>
        <w:i w:val="0"/>
        <w:caps w:val="0"/>
        <w:sz w:val="24"/>
        <w:u w:val="none"/>
        <w:vertAlign w:val="baseline"/>
      </w:rPr>
    </w:lvl>
    <w:lvl w:ilvl="1" w:tplc="EB88522E">
      <w:start w:val="1"/>
      <w:numFmt w:val="bullet"/>
      <w:pStyle w:val="ListBullet2"/>
      <w:lvlText w:val=""/>
      <w:lvlJc w:val="left"/>
      <w:pPr>
        <w:ind w:left="850" w:hanging="425"/>
      </w:pPr>
      <w:rPr>
        <w:rFonts w:ascii="Symbol" w:hAnsi="Symbol" w:hint="default"/>
        <w:color w:val="auto"/>
      </w:rPr>
    </w:lvl>
    <w:lvl w:ilvl="2" w:tplc="14545AA8">
      <w:start w:val="1"/>
      <w:numFmt w:val="bullet"/>
      <w:pStyle w:val="ListBullet3"/>
      <w:lvlText w:val="o"/>
      <w:lvlJc w:val="left"/>
      <w:pPr>
        <w:ind w:left="1275" w:hanging="425"/>
      </w:pPr>
      <w:rPr>
        <w:rFonts w:ascii="Courier New" w:hAnsi="Courier New" w:hint="default"/>
      </w:rPr>
    </w:lvl>
    <w:lvl w:ilvl="3" w:tplc="70B65FA0">
      <w:start w:val="1"/>
      <w:numFmt w:val="bullet"/>
      <w:pStyle w:val="ListBullet4"/>
      <w:lvlText w:val=""/>
      <w:lvlJc w:val="left"/>
      <w:pPr>
        <w:ind w:left="1700" w:hanging="425"/>
      </w:pPr>
      <w:rPr>
        <w:rFonts w:ascii="Symbol" w:hAnsi="Symbol" w:hint="default"/>
      </w:rPr>
    </w:lvl>
    <w:lvl w:ilvl="4" w:tplc="F39C3CEC">
      <w:start w:val="1"/>
      <w:numFmt w:val="none"/>
      <w:lvlText w:val=""/>
      <w:lvlJc w:val="left"/>
      <w:pPr>
        <w:ind w:left="2125" w:hanging="425"/>
      </w:pPr>
      <w:rPr>
        <w:rFonts w:hint="default"/>
      </w:rPr>
    </w:lvl>
    <w:lvl w:ilvl="5" w:tplc="9CD2B7E6">
      <w:start w:val="1"/>
      <w:numFmt w:val="none"/>
      <w:lvlText w:val=""/>
      <w:lvlJc w:val="left"/>
      <w:pPr>
        <w:ind w:left="2550" w:hanging="425"/>
      </w:pPr>
      <w:rPr>
        <w:rFonts w:hint="default"/>
      </w:rPr>
    </w:lvl>
    <w:lvl w:ilvl="6" w:tplc="9346860A">
      <w:start w:val="1"/>
      <w:numFmt w:val="none"/>
      <w:lvlText w:val=""/>
      <w:lvlJc w:val="left"/>
      <w:pPr>
        <w:ind w:left="2975" w:hanging="425"/>
      </w:pPr>
      <w:rPr>
        <w:rFonts w:hint="default"/>
      </w:rPr>
    </w:lvl>
    <w:lvl w:ilvl="7" w:tplc="C6682130">
      <w:start w:val="1"/>
      <w:numFmt w:val="none"/>
      <w:lvlText w:val=""/>
      <w:lvlJc w:val="left"/>
      <w:pPr>
        <w:ind w:left="3400" w:hanging="425"/>
      </w:pPr>
      <w:rPr>
        <w:rFonts w:hint="default"/>
      </w:rPr>
    </w:lvl>
    <w:lvl w:ilvl="8" w:tplc="88720772">
      <w:start w:val="1"/>
      <w:numFmt w:val="none"/>
      <w:lvlText w:val=""/>
      <w:lvlJc w:val="left"/>
      <w:pPr>
        <w:ind w:left="3825" w:hanging="425"/>
      </w:pPr>
      <w:rPr>
        <w:rFonts w:hint="default"/>
      </w:rPr>
    </w:lvl>
  </w:abstractNum>
  <w:abstractNum w:abstractNumId="3"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0B7660B4"/>
    <w:multiLevelType w:val="hybridMultilevel"/>
    <w:tmpl w:val="87043182"/>
    <w:lvl w:ilvl="0" w:tplc="E62A61A8">
      <w:start w:val="1"/>
      <w:numFmt w:val="bullet"/>
      <w:lvlText w:val=""/>
      <w:lvlJc w:val="left"/>
      <w:pPr>
        <w:ind w:left="720" w:hanging="360"/>
      </w:pPr>
      <w:rPr>
        <w:rFonts w:ascii="Symbol" w:hAnsi="Symbol" w:hint="default"/>
      </w:rPr>
    </w:lvl>
    <w:lvl w:ilvl="1" w:tplc="E5AA3A2E" w:tentative="1">
      <w:start w:val="1"/>
      <w:numFmt w:val="bullet"/>
      <w:lvlText w:val="o"/>
      <w:lvlJc w:val="left"/>
      <w:pPr>
        <w:ind w:left="1440" w:hanging="360"/>
      </w:pPr>
      <w:rPr>
        <w:rFonts w:ascii="Courier New" w:hAnsi="Courier New" w:cs="Courier New" w:hint="default"/>
      </w:rPr>
    </w:lvl>
    <w:lvl w:ilvl="2" w:tplc="52CEF826" w:tentative="1">
      <w:start w:val="1"/>
      <w:numFmt w:val="bullet"/>
      <w:lvlText w:val=""/>
      <w:lvlJc w:val="left"/>
      <w:pPr>
        <w:ind w:left="2160" w:hanging="360"/>
      </w:pPr>
      <w:rPr>
        <w:rFonts w:ascii="Wingdings" w:hAnsi="Wingdings" w:hint="default"/>
      </w:rPr>
    </w:lvl>
    <w:lvl w:ilvl="3" w:tplc="7550F248" w:tentative="1">
      <w:start w:val="1"/>
      <w:numFmt w:val="bullet"/>
      <w:lvlText w:val=""/>
      <w:lvlJc w:val="left"/>
      <w:pPr>
        <w:ind w:left="2880" w:hanging="360"/>
      </w:pPr>
      <w:rPr>
        <w:rFonts w:ascii="Symbol" w:hAnsi="Symbol" w:hint="default"/>
      </w:rPr>
    </w:lvl>
    <w:lvl w:ilvl="4" w:tplc="6D4C5B16" w:tentative="1">
      <w:start w:val="1"/>
      <w:numFmt w:val="bullet"/>
      <w:lvlText w:val="o"/>
      <w:lvlJc w:val="left"/>
      <w:pPr>
        <w:ind w:left="3600" w:hanging="360"/>
      </w:pPr>
      <w:rPr>
        <w:rFonts w:ascii="Courier New" w:hAnsi="Courier New" w:cs="Courier New" w:hint="default"/>
      </w:rPr>
    </w:lvl>
    <w:lvl w:ilvl="5" w:tplc="B464D98C" w:tentative="1">
      <w:start w:val="1"/>
      <w:numFmt w:val="bullet"/>
      <w:lvlText w:val=""/>
      <w:lvlJc w:val="left"/>
      <w:pPr>
        <w:ind w:left="4320" w:hanging="360"/>
      </w:pPr>
      <w:rPr>
        <w:rFonts w:ascii="Wingdings" w:hAnsi="Wingdings" w:hint="default"/>
      </w:rPr>
    </w:lvl>
    <w:lvl w:ilvl="6" w:tplc="86ECAFFE" w:tentative="1">
      <w:start w:val="1"/>
      <w:numFmt w:val="bullet"/>
      <w:lvlText w:val=""/>
      <w:lvlJc w:val="left"/>
      <w:pPr>
        <w:ind w:left="5040" w:hanging="360"/>
      </w:pPr>
      <w:rPr>
        <w:rFonts w:ascii="Symbol" w:hAnsi="Symbol" w:hint="default"/>
      </w:rPr>
    </w:lvl>
    <w:lvl w:ilvl="7" w:tplc="4CD62F24" w:tentative="1">
      <w:start w:val="1"/>
      <w:numFmt w:val="bullet"/>
      <w:lvlText w:val="o"/>
      <w:lvlJc w:val="left"/>
      <w:pPr>
        <w:ind w:left="5760" w:hanging="360"/>
      </w:pPr>
      <w:rPr>
        <w:rFonts w:ascii="Courier New" w:hAnsi="Courier New" w:cs="Courier New" w:hint="default"/>
      </w:rPr>
    </w:lvl>
    <w:lvl w:ilvl="8" w:tplc="D9124448" w:tentative="1">
      <w:start w:val="1"/>
      <w:numFmt w:val="bullet"/>
      <w:lvlText w:val=""/>
      <w:lvlJc w:val="left"/>
      <w:pPr>
        <w:ind w:left="6480" w:hanging="360"/>
      </w:pPr>
      <w:rPr>
        <w:rFonts w:ascii="Wingdings" w:hAnsi="Wingdings" w:hint="default"/>
      </w:rPr>
    </w:lvl>
  </w:abstractNum>
  <w:abstractNum w:abstractNumId="5" w15:restartNumberingAfterBreak="0">
    <w:nsid w:val="126562D4"/>
    <w:multiLevelType w:val="hybridMultilevel"/>
    <w:tmpl w:val="786C40EC"/>
    <w:name w:val="TableFootnotes"/>
    <w:lvl w:ilvl="0" w:tplc="1098EC52">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tplc="C4686C9E">
      <w:start w:val="1"/>
      <w:numFmt w:val="none"/>
      <w:lvlText w:val=""/>
      <w:lvlJc w:val="left"/>
      <w:pPr>
        <w:tabs>
          <w:tab w:val="num" w:pos="1134"/>
        </w:tabs>
        <w:ind w:left="425" w:hanging="425"/>
      </w:pPr>
      <w:rPr>
        <w:rFonts w:hint="default"/>
      </w:rPr>
    </w:lvl>
    <w:lvl w:ilvl="2" w:tplc="629EC664">
      <w:start w:val="1"/>
      <w:numFmt w:val="none"/>
      <w:lvlText w:val=""/>
      <w:lvlJc w:val="left"/>
      <w:pPr>
        <w:tabs>
          <w:tab w:val="num" w:pos="1134"/>
        </w:tabs>
        <w:ind w:left="425" w:hanging="425"/>
      </w:pPr>
      <w:rPr>
        <w:rFonts w:hint="default"/>
      </w:rPr>
    </w:lvl>
    <w:lvl w:ilvl="3" w:tplc="5F84B37A">
      <w:start w:val="1"/>
      <w:numFmt w:val="none"/>
      <w:lvlText w:val=""/>
      <w:lvlJc w:val="left"/>
      <w:pPr>
        <w:tabs>
          <w:tab w:val="num" w:pos="1134"/>
        </w:tabs>
        <w:ind w:left="425" w:hanging="425"/>
      </w:pPr>
      <w:rPr>
        <w:rFonts w:hint="default"/>
      </w:rPr>
    </w:lvl>
    <w:lvl w:ilvl="4" w:tplc="072C9BD8">
      <w:start w:val="1"/>
      <w:numFmt w:val="none"/>
      <w:lvlText w:val=""/>
      <w:lvlJc w:val="left"/>
      <w:pPr>
        <w:tabs>
          <w:tab w:val="num" w:pos="1134"/>
        </w:tabs>
        <w:ind w:left="425" w:hanging="425"/>
      </w:pPr>
      <w:rPr>
        <w:rFonts w:hint="default"/>
      </w:rPr>
    </w:lvl>
    <w:lvl w:ilvl="5" w:tplc="3C3E7212">
      <w:start w:val="1"/>
      <w:numFmt w:val="none"/>
      <w:lvlText w:val=""/>
      <w:lvlJc w:val="left"/>
      <w:pPr>
        <w:tabs>
          <w:tab w:val="num" w:pos="1134"/>
        </w:tabs>
        <w:ind w:left="425" w:hanging="425"/>
      </w:pPr>
      <w:rPr>
        <w:rFonts w:hint="default"/>
      </w:rPr>
    </w:lvl>
    <w:lvl w:ilvl="6" w:tplc="93BE4C0A">
      <w:start w:val="1"/>
      <w:numFmt w:val="none"/>
      <w:lvlText w:val=""/>
      <w:lvlJc w:val="left"/>
      <w:pPr>
        <w:tabs>
          <w:tab w:val="num" w:pos="1134"/>
        </w:tabs>
        <w:ind w:left="425" w:hanging="425"/>
      </w:pPr>
      <w:rPr>
        <w:rFonts w:hint="default"/>
      </w:rPr>
    </w:lvl>
    <w:lvl w:ilvl="7" w:tplc="7C64695A">
      <w:start w:val="1"/>
      <w:numFmt w:val="none"/>
      <w:lvlText w:val=""/>
      <w:lvlJc w:val="left"/>
      <w:pPr>
        <w:tabs>
          <w:tab w:val="num" w:pos="1134"/>
        </w:tabs>
        <w:ind w:left="425" w:hanging="425"/>
      </w:pPr>
      <w:rPr>
        <w:rFonts w:hint="default"/>
      </w:rPr>
    </w:lvl>
    <w:lvl w:ilvl="8" w:tplc="3E6E597E">
      <w:start w:val="1"/>
      <w:numFmt w:val="none"/>
      <w:lvlRestart w:val="1"/>
      <w:lvlText w:val=""/>
      <w:lvlJc w:val="left"/>
      <w:pPr>
        <w:tabs>
          <w:tab w:val="num" w:pos="1134"/>
        </w:tabs>
        <w:ind w:left="425" w:hanging="425"/>
      </w:pPr>
      <w:rPr>
        <w:rFonts w:hint="default"/>
      </w:rPr>
    </w:lvl>
  </w:abstractNum>
  <w:abstractNum w:abstractNumId="6" w15:restartNumberingAfterBreak="0">
    <w:nsid w:val="12A441C1"/>
    <w:multiLevelType w:val="hybridMultilevel"/>
    <w:tmpl w:val="1FA422F0"/>
    <w:lvl w:ilvl="0" w:tplc="347AAABE">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lvl w:ilvl="1" w:tplc="B4F6EE3A">
      <w:numFmt w:val="decimal"/>
      <w:lvlText w:val=""/>
      <w:lvlJc w:val="left"/>
    </w:lvl>
    <w:lvl w:ilvl="2" w:tplc="E35602A4">
      <w:numFmt w:val="decimal"/>
      <w:lvlText w:val=""/>
      <w:lvlJc w:val="left"/>
    </w:lvl>
    <w:lvl w:ilvl="3" w:tplc="C8A61E50">
      <w:numFmt w:val="decimal"/>
      <w:lvlText w:val=""/>
      <w:lvlJc w:val="left"/>
    </w:lvl>
    <w:lvl w:ilvl="4" w:tplc="3574F260">
      <w:numFmt w:val="decimal"/>
      <w:lvlText w:val=""/>
      <w:lvlJc w:val="left"/>
    </w:lvl>
    <w:lvl w:ilvl="5" w:tplc="106434A8">
      <w:numFmt w:val="decimal"/>
      <w:lvlText w:val=""/>
      <w:lvlJc w:val="left"/>
    </w:lvl>
    <w:lvl w:ilvl="6" w:tplc="7672596E">
      <w:numFmt w:val="decimal"/>
      <w:lvlText w:val=""/>
      <w:lvlJc w:val="left"/>
    </w:lvl>
    <w:lvl w:ilvl="7" w:tplc="5642826C">
      <w:numFmt w:val="decimal"/>
      <w:lvlText w:val=""/>
      <w:lvlJc w:val="left"/>
    </w:lvl>
    <w:lvl w:ilvl="8" w:tplc="F54E7050">
      <w:numFmt w:val="decimal"/>
      <w:lvlText w:val=""/>
      <w:lvlJc w:val="left"/>
    </w:lvl>
  </w:abstractNum>
  <w:abstractNum w:abstractNumId="7" w15:restartNumberingAfterBreak="0">
    <w:nsid w:val="15AE6FEE"/>
    <w:multiLevelType w:val="hybridMultilevel"/>
    <w:tmpl w:val="01940AA0"/>
    <w:name w:val="ListBulletSmall1"/>
    <w:lvl w:ilvl="0" w:tplc="425E9348">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tplc="9D7870BE">
      <w:start w:val="1"/>
      <w:numFmt w:val="bullet"/>
      <w:pStyle w:val="ListBulletSmall2"/>
      <w:lvlText w:val=""/>
      <w:lvlJc w:val="left"/>
      <w:pPr>
        <w:ind w:left="850" w:hanging="425"/>
      </w:pPr>
      <w:rPr>
        <w:rFonts w:ascii="Symbol" w:hAnsi="Symbol" w:hint="default"/>
      </w:rPr>
    </w:lvl>
    <w:lvl w:ilvl="2" w:tplc="82D6BB4A">
      <w:start w:val="1"/>
      <w:numFmt w:val="none"/>
      <w:lvlText w:val=""/>
      <w:lvlJc w:val="left"/>
      <w:pPr>
        <w:ind w:left="1275" w:hanging="425"/>
      </w:pPr>
      <w:rPr>
        <w:rFonts w:hint="default"/>
      </w:rPr>
    </w:lvl>
    <w:lvl w:ilvl="3" w:tplc="9F66A2A6">
      <w:start w:val="1"/>
      <w:numFmt w:val="none"/>
      <w:lvlText w:val=""/>
      <w:lvlJc w:val="left"/>
      <w:pPr>
        <w:ind w:left="1700" w:hanging="425"/>
      </w:pPr>
      <w:rPr>
        <w:rFonts w:hint="default"/>
      </w:rPr>
    </w:lvl>
    <w:lvl w:ilvl="4" w:tplc="5BF0A012">
      <w:start w:val="1"/>
      <w:numFmt w:val="bullet"/>
      <w:lvlText w:val="o"/>
      <w:lvlJc w:val="left"/>
      <w:pPr>
        <w:tabs>
          <w:tab w:val="num" w:pos="2060"/>
        </w:tabs>
        <w:ind w:left="2125" w:hanging="425"/>
      </w:pPr>
      <w:rPr>
        <w:rFonts w:ascii="Courier New" w:hAnsi="Courier New" w:cs="Courier New" w:hint="default"/>
      </w:rPr>
    </w:lvl>
    <w:lvl w:ilvl="5" w:tplc="439C1410">
      <w:start w:val="1"/>
      <w:numFmt w:val="bullet"/>
      <w:lvlText w:val=""/>
      <w:lvlJc w:val="left"/>
      <w:pPr>
        <w:tabs>
          <w:tab w:val="num" w:pos="2485"/>
        </w:tabs>
        <w:ind w:left="2550" w:hanging="425"/>
      </w:pPr>
      <w:rPr>
        <w:rFonts w:ascii="Wingdings" w:hAnsi="Wingdings" w:hint="default"/>
      </w:rPr>
    </w:lvl>
    <w:lvl w:ilvl="6" w:tplc="14C2C1F8">
      <w:start w:val="1"/>
      <w:numFmt w:val="bullet"/>
      <w:lvlText w:val=""/>
      <w:lvlJc w:val="left"/>
      <w:pPr>
        <w:tabs>
          <w:tab w:val="num" w:pos="2910"/>
        </w:tabs>
        <w:ind w:left="2975" w:hanging="425"/>
      </w:pPr>
      <w:rPr>
        <w:rFonts w:ascii="Symbol" w:hAnsi="Symbol" w:hint="default"/>
      </w:rPr>
    </w:lvl>
    <w:lvl w:ilvl="7" w:tplc="DF58BBC2">
      <w:start w:val="1"/>
      <w:numFmt w:val="bullet"/>
      <w:lvlText w:val="o"/>
      <w:lvlJc w:val="left"/>
      <w:pPr>
        <w:tabs>
          <w:tab w:val="num" w:pos="3335"/>
        </w:tabs>
        <w:ind w:left="3400" w:hanging="425"/>
      </w:pPr>
      <w:rPr>
        <w:rFonts w:ascii="Courier New" w:hAnsi="Courier New" w:cs="Courier New" w:hint="default"/>
      </w:rPr>
    </w:lvl>
    <w:lvl w:ilvl="8" w:tplc="9D1CD2A6">
      <w:start w:val="1"/>
      <w:numFmt w:val="bullet"/>
      <w:lvlText w:val=""/>
      <w:lvlJc w:val="left"/>
      <w:pPr>
        <w:tabs>
          <w:tab w:val="num" w:pos="3760"/>
        </w:tabs>
        <w:ind w:left="3825" w:hanging="425"/>
      </w:pPr>
      <w:rPr>
        <w:rFonts w:ascii="Wingdings" w:hAnsi="Wingdings" w:hint="default"/>
      </w:rPr>
    </w:lvl>
  </w:abstractNum>
  <w:abstractNum w:abstractNumId="8" w15:restartNumberingAfterBreak="0">
    <w:nsid w:val="186D3C22"/>
    <w:multiLevelType w:val="hybridMultilevel"/>
    <w:tmpl w:val="54CA3C02"/>
    <w:lvl w:ilvl="0" w:tplc="1EF8633A">
      <w:start w:val="1"/>
      <w:numFmt w:val="bullet"/>
      <w:lvlText w:val=""/>
      <w:lvlJc w:val="left"/>
      <w:pPr>
        <w:ind w:left="720" w:hanging="360"/>
      </w:pPr>
      <w:rPr>
        <w:rFonts w:ascii="Symbol" w:hAnsi="Symbol" w:hint="default"/>
      </w:rPr>
    </w:lvl>
    <w:lvl w:ilvl="1" w:tplc="0E320C28" w:tentative="1">
      <w:start w:val="1"/>
      <w:numFmt w:val="bullet"/>
      <w:lvlText w:val="o"/>
      <w:lvlJc w:val="left"/>
      <w:pPr>
        <w:ind w:left="1440" w:hanging="360"/>
      </w:pPr>
      <w:rPr>
        <w:rFonts w:ascii="Courier New" w:hAnsi="Courier New" w:cs="Courier New" w:hint="default"/>
      </w:rPr>
    </w:lvl>
    <w:lvl w:ilvl="2" w:tplc="C55CF0F6" w:tentative="1">
      <w:start w:val="1"/>
      <w:numFmt w:val="bullet"/>
      <w:lvlText w:val=""/>
      <w:lvlJc w:val="left"/>
      <w:pPr>
        <w:ind w:left="2160" w:hanging="360"/>
      </w:pPr>
      <w:rPr>
        <w:rFonts w:ascii="Wingdings" w:hAnsi="Wingdings" w:hint="default"/>
      </w:rPr>
    </w:lvl>
    <w:lvl w:ilvl="3" w:tplc="C5F4D3BC" w:tentative="1">
      <w:start w:val="1"/>
      <w:numFmt w:val="bullet"/>
      <w:lvlText w:val=""/>
      <w:lvlJc w:val="left"/>
      <w:pPr>
        <w:ind w:left="2880" w:hanging="360"/>
      </w:pPr>
      <w:rPr>
        <w:rFonts w:ascii="Symbol" w:hAnsi="Symbol" w:hint="default"/>
      </w:rPr>
    </w:lvl>
    <w:lvl w:ilvl="4" w:tplc="561E3562" w:tentative="1">
      <w:start w:val="1"/>
      <w:numFmt w:val="bullet"/>
      <w:lvlText w:val="o"/>
      <w:lvlJc w:val="left"/>
      <w:pPr>
        <w:ind w:left="3600" w:hanging="360"/>
      </w:pPr>
      <w:rPr>
        <w:rFonts w:ascii="Courier New" w:hAnsi="Courier New" w:cs="Courier New" w:hint="default"/>
      </w:rPr>
    </w:lvl>
    <w:lvl w:ilvl="5" w:tplc="5DFAA2F8" w:tentative="1">
      <w:start w:val="1"/>
      <w:numFmt w:val="bullet"/>
      <w:lvlText w:val=""/>
      <w:lvlJc w:val="left"/>
      <w:pPr>
        <w:ind w:left="4320" w:hanging="360"/>
      </w:pPr>
      <w:rPr>
        <w:rFonts w:ascii="Wingdings" w:hAnsi="Wingdings" w:hint="default"/>
      </w:rPr>
    </w:lvl>
    <w:lvl w:ilvl="6" w:tplc="7826C36C" w:tentative="1">
      <w:start w:val="1"/>
      <w:numFmt w:val="bullet"/>
      <w:lvlText w:val=""/>
      <w:lvlJc w:val="left"/>
      <w:pPr>
        <w:ind w:left="5040" w:hanging="360"/>
      </w:pPr>
      <w:rPr>
        <w:rFonts w:ascii="Symbol" w:hAnsi="Symbol" w:hint="default"/>
      </w:rPr>
    </w:lvl>
    <w:lvl w:ilvl="7" w:tplc="A212FDEA" w:tentative="1">
      <w:start w:val="1"/>
      <w:numFmt w:val="bullet"/>
      <w:lvlText w:val="o"/>
      <w:lvlJc w:val="left"/>
      <w:pPr>
        <w:ind w:left="5760" w:hanging="360"/>
      </w:pPr>
      <w:rPr>
        <w:rFonts w:ascii="Courier New" w:hAnsi="Courier New" w:cs="Courier New" w:hint="default"/>
      </w:rPr>
    </w:lvl>
    <w:lvl w:ilvl="8" w:tplc="A2AC2F84" w:tentative="1">
      <w:start w:val="1"/>
      <w:numFmt w:val="bullet"/>
      <w:lvlText w:val=""/>
      <w:lvlJc w:val="left"/>
      <w:pPr>
        <w:ind w:left="6480" w:hanging="360"/>
      </w:pPr>
      <w:rPr>
        <w:rFonts w:ascii="Wingdings" w:hAnsi="Wingdings" w:hint="default"/>
      </w:rPr>
    </w:lvl>
  </w:abstractNum>
  <w:abstractNum w:abstractNumId="9" w15:restartNumberingAfterBreak="0">
    <w:nsid w:val="1A8761C5"/>
    <w:multiLevelType w:val="hybridMultilevel"/>
    <w:tmpl w:val="1D00D7C0"/>
    <w:lvl w:ilvl="0" w:tplc="9CF4A708">
      <w:start w:val="1"/>
      <w:numFmt w:val="bullet"/>
      <w:lvlText w:val=""/>
      <w:lvlJc w:val="left"/>
      <w:pPr>
        <w:ind w:left="780" w:hanging="360"/>
      </w:pPr>
      <w:rPr>
        <w:rFonts w:ascii="Symbol" w:hAnsi="Symbol" w:hint="default"/>
      </w:rPr>
    </w:lvl>
    <w:lvl w:ilvl="1" w:tplc="4AB8E7F6" w:tentative="1">
      <w:start w:val="1"/>
      <w:numFmt w:val="bullet"/>
      <w:lvlText w:val="o"/>
      <w:lvlJc w:val="left"/>
      <w:pPr>
        <w:ind w:left="1500" w:hanging="360"/>
      </w:pPr>
      <w:rPr>
        <w:rFonts w:ascii="Courier New" w:hAnsi="Courier New" w:cs="Courier New" w:hint="default"/>
      </w:rPr>
    </w:lvl>
    <w:lvl w:ilvl="2" w:tplc="5C104038" w:tentative="1">
      <w:start w:val="1"/>
      <w:numFmt w:val="bullet"/>
      <w:lvlText w:val=""/>
      <w:lvlJc w:val="left"/>
      <w:pPr>
        <w:ind w:left="2220" w:hanging="360"/>
      </w:pPr>
      <w:rPr>
        <w:rFonts w:ascii="Wingdings" w:hAnsi="Wingdings" w:hint="default"/>
      </w:rPr>
    </w:lvl>
    <w:lvl w:ilvl="3" w:tplc="179C3D9E" w:tentative="1">
      <w:start w:val="1"/>
      <w:numFmt w:val="bullet"/>
      <w:lvlText w:val=""/>
      <w:lvlJc w:val="left"/>
      <w:pPr>
        <w:ind w:left="2940" w:hanging="360"/>
      </w:pPr>
      <w:rPr>
        <w:rFonts w:ascii="Symbol" w:hAnsi="Symbol" w:hint="default"/>
      </w:rPr>
    </w:lvl>
    <w:lvl w:ilvl="4" w:tplc="434C4A48" w:tentative="1">
      <w:start w:val="1"/>
      <w:numFmt w:val="bullet"/>
      <w:lvlText w:val="o"/>
      <w:lvlJc w:val="left"/>
      <w:pPr>
        <w:ind w:left="3660" w:hanging="360"/>
      </w:pPr>
      <w:rPr>
        <w:rFonts w:ascii="Courier New" w:hAnsi="Courier New" w:cs="Courier New" w:hint="default"/>
      </w:rPr>
    </w:lvl>
    <w:lvl w:ilvl="5" w:tplc="22D4AB56" w:tentative="1">
      <w:start w:val="1"/>
      <w:numFmt w:val="bullet"/>
      <w:lvlText w:val=""/>
      <w:lvlJc w:val="left"/>
      <w:pPr>
        <w:ind w:left="4380" w:hanging="360"/>
      </w:pPr>
      <w:rPr>
        <w:rFonts w:ascii="Wingdings" w:hAnsi="Wingdings" w:hint="default"/>
      </w:rPr>
    </w:lvl>
    <w:lvl w:ilvl="6" w:tplc="A7587360" w:tentative="1">
      <w:start w:val="1"/>
      <w:numFmt w:val="bullet"/>
      <w:lvlText w:val=""/>
      <w:lvlJc w:val="left"/>
      <w:pPr>
        <w:ind w:left="5100" w:hanging="360"/>
      </w:pPr>
      <w:rPr>
        <w:rFonts w:ascii="Symbol" w:hAnsi="Symbol" w:hint="default"/>
      </w:rPr>
    </w:lvl>
    <w:lvl w:ilvl="7" w:tplc="C66228DC" w:tentative="1">
      <w:start w:val="1"/>
      <w:numFmt w:val="bullet"/>
      <w:lvlText w:val="o"/>
      <w:lvlJc w:val="left"/>
      <w:pPr>
        <w:ind w:left="5820" w:hanging="360"/>
      </w:pPr>
      <w:rPr>
        <w:rFonts w:ascii="Courier New" w:hAnsi="Courier New" w:cs="Courier New" w:hint="default"/>
      </w:rPr>
    </w:lvl>
    <w:lvl w:ilvl="8" w:tplc="00DE9414" w:tentative="1">
      <w:start w:val="1"/>
      <w:numFmt w:val="bullet"/>
      <w:lvlText w:val=""/>
      <w:lvlJc w:val="left"/>
      <w:pPr>
        <w:ind w:left="6540" w:hanging="360"/>
      </w:pPr>
      <w:rPr>
        <w:rFonts w:ascii="Wingdings" w:hAnsi="Wingdings" w:hint="default"/>
      </w:rPr>
    </w:lvl>
  </w:abstractNum>
  <w:abstractNum w:abstractNumId="10" w15:restartNumberingAfterBreak="0">
    <w:nsid w:val="24435439"/>
    <w:multiLevelType w:val="hybridMultilevel"/>
    <w:tmpl w:val="D23AB816"/>
    <w:lvl w:ilvl="0" w:tplc="7FD0F448">
      <w:start w:val="1"/>
      <w:numFmt w:val="bullet"/>
      <w:lvlText w:val=""/>
      <w:lvlJc w:val="left"/>
      <w:pPr>
        <w:ind w:left="720" w:hanging="360"/>
      </w:pPr>
      <w:rPr>
        <w:rFonts w:ascii="Symbol" w:hAnsi="Symbol" w:hint="default"/>
      </w:rPr>
    </w:lvl>
    <w:lvl w:ilvl="1" w:tplc="0BA2B4E4" w:tentative="1">
      <w:start w:val="1"/>
      <w:numFmt w:val="bullet"/>
      <w:lvlText w:val="o"/>
      <w:lvlJc w:val="left"/>
      <w:pPr>
        <w:ind w:left="1440" w:hanging="360"/>
      </w:pPr>
      <w:rPr>
        <w:rFonts w:ascii="Courier New" w:hAnsi="Courier New" w:cs="Courier New" w:hint="default"/>
      </w:rPr>
    </w:lvl>
    <w:lvl w:ilvl="2" w:tplc="2B7EF08A" w:tentative="1">
      <w:start w:val="1"/>
      <w:numFmt w:val="bullet"/>
      <w:lvlText w:val=""/>
      <w:lvlJc w:val="left"/>
      <w:pPr>
        <w:ind w:left="2160" w:hanging="360"/>
      </w:pPr>
      <w:rPr>
        <w:rFonts w:ascii="Wingdings" w:hAnsi="Wingdings" w:hint="default"/>
      </w:rPr>
    </w:lvl>
    <w:lvl w:ilvl="3" w:tplc="8CFE4E7A" w:tentative="1">
      <w:start w:val="1"/>
      <w:numFmt w:val="bullet"/>
      <w:lvlText w:val=""/>
      <w:lvlJc w:val="left"/>
      <w:pPr>
        <w:ind w:left="2880" w:hanging="360"/>
      </w:pPr>
      <w:rPr>
        <w:rFonts w:ascii="Symbol" w:hAnsi="Symbol" w:hint="default"/>
      </w:rPr>
    </w:lvl>
    <w:lvl w:ilvl="4" w:tplc="10BA335C" w:tentative="1">
      <w:start w:val="1"/>
      <w:numFmt w:val="bullet"/>
      <w:lvlText w:val="o"/>
      <w:lvlJc w:val="left"/>
      <w:pPr>
        <w:ind w:left="3600" w:hanging="360"/>
      </w:pPr>
      <w:rPr>
        <w:rFonts w:ascii="Courier New" w:hAnsi="Courier New" w:cs="Courier New" w:hint="default"/>
      </w:rPr>
    </w:lvl>
    <w:lvl w:ilvl="5" w:tplc="AF5CEA7E" w:tentative="1">
      <w:start w:val="1"/>
      <w:numFmt w:val="bullet"/>
      <w:lvlText w:val=""/>
      <w:lvlJc w:val="left"/>
      <w:pPr>
        <w:ind w:left="4320" w:hanging="360"/>
      </w:pPr>
      <w:rPr>
        <w:rFonts w:ascii="Wingdings" w:hAnsi="Wingdings" w:hint="default"/>
      </w:rPr>
    </w:lvl>
    <w:lvl w:ilvl="6" w:tplc="78561396" w:tentative="1">
      <w:start w:val="1"/>
      <w:numFmt w:val="bullet"/>
      <w:lvlText w:val=""/>
      <w:lvlJc w:val="left"/>
      <w:pPr>
        <w:ind w:left="5040" w:hanging="360"/>
      </w:pPr>
      <w:rPr>
        <w:rFonts w:ascii="Symbol" w:hAnsi="Symbol" w:hint="default"/>
      </w:rPr>
    </w:lvl>
    <w:lvl w:ilvl="7" w:tplc="BF68949C" w:tentative="1">
      <w:start w:val="1"/>
      <w:numFmt w:val="bullet"/>
      <w:lvlText w:val="o"/>
      <w:lvlJc w:val="left"/>
      <w:pPr>
        <w:ind w:left="5760" w:hanging="360"/>
      </w:pPr>
      <w:rPr>
        <w:rFonts w:ascii="Courier New" w:hAnsi="Courier New" w:cs="Courier New" w:hint="default"/>
      </w:rPr>
    </w:lvl>
    <w:lvl w:ilvl="8" w:tplc="BCC2DF44" w:tentative="1">
      <w:start w:val="1"/>
      <w:numFmt w:val="bullet"/>
      <w:lvlText w:val=""/>
      <w:lvlJc w:val="left"/>
      <w:pPr>
        <w:ind w:left="6480" w:hanging="360"/>
      </w:pPr>
      <w:rPr>
        <w:rFonts w:ascii="Wingdings" w:hAnsi="Wingdings" w:hint="default"/>
      </w:rPr>
    </w:lvl>
  </w:abstractNum>
  <w:abstractNum w:abstractNumId="11" w15:restartNumberingAfterBreak="0">
    <w:nsid w:val="29A72716"/>
    <w:multiLevelType w:val="multilevel"/>
    <w:tmpl w:val="8BBAE1C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F045B79"/>
    <w:multiLevelType w:val="hybridMultilevel"/>
    <w:tmpl w:val="443ADFB8"/>
    <w:lvl w:ilvl="0" w:tplc="006C8BAA">
      <w:start w:val="1"/>
      <w:numFmt w:val="lowerRoman"/>
      <w:lvlText w:val="%1."/>
      <w:lvlJc w:val="left"/>
      <w:pPr>
        <w:tabs>
          <w:tab w:val="num" w:pos="1080"/>
        </w:tabs>
        <w:ind w:left="1080" w:hanging="360"/>
      </w:pPr>
      <w:rPr>
        <w:rFonts w:ascii="Times New Roman" w:hAnsi="Times New Roman" w:cs="Times New Roman"/>
        <w:b w:val="0"/>
        <w:i w:val="0"/>
        <w:caps w:val="0"/>
        <w:sz w:val="24"/>
        <w:u w:val="none"/>
        <w:vertAlign w:val="baseline"/>
      </w:rPr>
    </w:lvl>
    <w:lvl w:ilvl="1" w:tplc="5BEE452C">
      <w:numFmt w:val="decimal"/>
      <w:lvlText w:val=""/>
      <w:lvlJc w:val="left"/>
    </w:lvl>
    <w:lvl w:ilvl="2" w:tplc="FA066532">
      <w:numFmt w:val="decimal"/>
      <w:lvlText w:val=""/>
      <w:lvlJc w:val="left"/>
    </w:lvl>
    <w:lvl w:ilvl="3" w:tplc="CB5C404E">
      <w:numFmt w:val="decimal"/>
      <w:lvlText w:val=""/>
      <w:lvlJc w:val="left"/>
    </w:lvl>
    <w:lvl w:ilvl="4" w:tplc="57445A6C">
      <w:numFmt w:val="decimal"/>
      <w:lvlText w:val=""/>
      <w:lvlJc w:val="left"/>
    </w:lvl>
    <w:lvl w:ilvl="5" w:tplc="6F72018C">
      <w:numFmt w:val="decimal"/>
      <w:lvlText w:val=""/>
      <w:lvlJc w:val="left"/>
    </w:lvl>
    <w:lvl w:ilvl="6" w:tplc="A990AE02">
      <w:numFmt w:val="decimal"/>
      <w:lvlText w:val=""/>
      <w:lvlJc w:val="left"/>
    </w:lvl>
    <w:lvl w:ilvl="7" w:tplc="1E5E5654">
      <w:numFmt w:val="decimal"/>
      <w:lvlText w:val=""/>
      <w:lvlJc w:val="left"/>
    </w:lvl>
    <w:lvl w:ilvl="8" w:tplc="63FE99E2">
      <w:numFmt w:val="decimal"/>
      <w:lvlText w:val=""/>
      <w:lvlJc w:val="left"/>
    </w:lvl>
  </w:abstractNum>
  <w:abstractNum w:abstractNumId="13" w15:restartNumberingAfterBreak="0">
    <w:nsid w:val="2FFA4E39"/>
    <w:multiLevelType w:val="hybridMultilevel"/>
    <w:tmpl w:val="810C1C72"/>
    <w:lvl w:ilvl="0" w:tplc="46D24490">
      <w:numFmt w:val="bullet"/>
      <w:lvlText w:val="–"/>
      <w:lvlJc w:val="left"/>
      <w:pPr>
        <w:ind w:left="420" w:hanging="360"/>
      </w:pPr>
      <w:rPr>
        <w:rFonts w:ascii="Times New Roman" w:eastAsia="Times New Roman" w:hAnsi="Times New Roman" w:cs="Times New Roman" w:hint="default"/>
        <w:sz w:val="22"/>
      </w:rPr>
    </w:lvl>
    <w:lvl w:ilvl="1" w:tplc="ADC28984" w:tentative="1">
      <w:start w:val="1"/>
      <w:numFmt w:val="bullet"/>
      <w:lvlText w:val="o"/>
      <w:lvlJc w:val="left"/>
      <w:pPr>
        <w:ind w:left="1140" w:hanging="360"/>
      </w:pPr>
      <w:rPr>
        <w:rFonts w:ascii="Courier New" w:hAnsi="Courier New" w:cs="Courier New" w:hint="default"/>
      </w:rPr>
    </w:lvl>
    <w:lvl w:ilvl="2" w:tplc="FC0E3FFA" w:tentative="1">
      <w:start w:val="1"/>
      <w:numFmt w:val="bullet"/>
      <w:lvlText w:val=""/>
      <w:lvlJc w:val="left"/>
      <w:pPr>
        <w:ind w:left="1860" w:hanging="360"/>
      </w:pPr>
      <w:rPr>
        <w:rFonts w:ascii="Wingdings" w:hAnsi="Wingdings" w:hint="default"/>
      </w:rPr>
    </w:lvl>
    <w:lvl w:ilvl="3" w:tplc="EE8E7D44" w:tentative="1">
      <w:start w:val="1"/>
      <w:numFmt w:val="bullet"/>
      <w:lvlText w:val=""/>
      <w:lvlJc w:val="left"/>
      <w:pPr>
        <w:ind w:left="2580" w:hanging="360"/>
      </w:pPr>
      <w:rPr>
        <w:rFonts w:ascii="Symbol" w:hAnsi="Symbol" w:hint="default"/>
      </w:rPr>
    </w:lvl>
    <w:lvl w:ilvl="4" w:tplc="1F566986" w:tentative="1">
      <w:start w:val="1"/>
      <w:numFmt w:val="bullet"/>
      <w:lvlText w:val="o"/>
      <w:lvlJc w:val="left"/>
      <w:pPr>
        <w:ind w:left="3300" w:hanging="360"/>
      </w:pPr>
      <w:rPr>
        <w:rFonts w:ascii="Courier New" w:hAnsi="Courier New" w:cs="Courier New" w:hint="default"/>
      </w:rPr>
    </w:lvl>
    <w:lvl w:ilvl="5" w:tplc="A440C556" w:tentative="1">
      <w:start w:val="1"/>
      <w:numFmt w:val="bullet"/>
      <w:lvlText w:val=""/>
      <w:lvlJc w:val="left"/>
      <w:pPr>
        <w:ind w:left="4020" w:hanging="360"/>
      </w:pPr>
      <w:rPr>
        <w:rFonts w:ascii="Wingdings" w:hAnsi="Wingdings" w:hint="default"/>
      </w:rPr>
    </w:lvl>
    <w:lvl w:ilvl="6" w:tplc="104ED596" w:tentative="1">
      <w:start w:val="1"/>
      <w:numFmt w:val="bullet"/>
      <w:lvlText w:val=""/>
      <w:lvlJc w:val="left"/>
      <w:pPr>
        <w:ind w:left="4740" w:hanging="360"/>
      </w:pPr>
      <w:rPr>
        <w:rFonts w:ascii="Symbol" w:hAnsi="Symbol" w:hint="default"/>
      </w:rPr>
    </w:lvl>
    <w:lvl w:ilvl="7" w:tplc="809E98F6" w:tentative="1">
      <w:start w:val="1"/>
      <w:numFmt w:val="bullet"/>
      <w:lvlText w:val="o"/>
      <w:lvlJc w:val="left"/>
      <w:pPr>
        <w:ind w:left="5460" w:hanging="360"/>
      </w:pPr>
      <w:rPr>
        <w:rFonts w:ascii="Courier New" w:hAnsi="Courier New" w:cs="Courier New" w:hint="default"/>
      </w:rPr>
    </w:lvl>
    <w:lvl w:ilvl="8" w:tplc="C1AEEA14" w:tentative="1">
      <w:start w:val="1"/>
      <w:numFmt w:val="bullet"/>
      <w:lvlText w:val=""/>
      <w:lvlJc w:val="left"/>
      <w:pPr>
        <w:ind w:left="6180" w:hanging="360"/>
      </w:pPr>
      <w:rPr>
        <w:rFonts w:ascii="Wingdings" w:hAnsi="Wingdings" w:hint="default"/>
      </w:rPr>
    </w:lvl>
  </w:abstractNum>
  <w:abstractNum w:abstractNumId="14" w15:restartNumberingAfterBreak="0">
    <w:nsid w:val="32913332"/>
    <w:multiLevelType w:val="multilevel"/>
    <w:tmpl w:val="4AFC1566"/>
    <w:name w:val="HousestyleHeadings"/>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844"/>
        </w:tabs>
        <w:ind w:left="184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decimal"/>
      <w:pStyle w:val="Heading5"/>
      <w:lvlText w:val="%1.%2.%3.%4.%5"/>
      <w:lvlJc w:val="left"/>
      <w:pPr>
        <w:tabs>
          <w:tab w:val="num" w:pos="1134"/>
        </w:tabs>
        <w:ind w:left="1134" w:hanging="1134"/>
      </w:pPr>
    </w:lvl>
    <w:lvl w:ilvl="5">
      <w:start w:val="1"/>
      <w:numFmt w:val="decimal"/>
      <w:pStyle w:val="Heading6"/>
      <w:lvlText w:val="%1.%2.%3.%4.%5.%6"/>
      <w:lvlJc w:val="left"/>
      <w:pPr>
        <w:tabs>
          <w:tab w:val="num" w:pos="1134"/>
        </w:tabs>
        <w:ind w:left="1134" w:hanging="1134"/>
      </w:p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3A36784A"/>
    <w:multiLevelType w:val="multilevel"/>
    <w:tmpl w:val="D9588840"/>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E7E4D"/>
    <w:multiLevelType w:val="multilevel"/>
    <w:tmpl w:val="9EC8EBF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7" w15:restartNumberingAfterBreak="0">
    <w:nsid w:val="3D20317B"/>
    <w:multiLevelType w:val="hybridMultilevel"/>
    <w:tmpl w:val="51DA7CBA"/>
    <w:lvl w:ilvl="0" w:tplc="0CB27BF8">
      <w:start w:val="1"/>
      <w:numFmt w:val="bullet"/>
      <w:lvlText w:val=""/>
      <w:lvlJc w:val="left"/>
      <w:pPr>
        <w:ind w:left="360" w:hanging="360"/>
      </w:pPr>
      <w:rPr>
        <w:rFonts w:ascii="Symbol" w:hAnsi="Symbol" w:hint="default"/>
      </w:rPr>
    </w:lvl>
    <w:lvl w:ilvl="1" w:tplc="539AD110" w:tentative="1">
      <w:start w:val="1"/>
      <w:numFmt w:val="bullet"/>
      <w:lvlText w:val="o"/>
      <w:lvlJc w:val="left"/>
      <w:pPr>
        <w:ind w:left="1080" w:hanging="360"/>
      </w:pPr>
      <w:rPr>
        <w:rFonts w:ascii="Courier New" w:hAnsi="Courier New" w:cs="Courier New" w:hint="default"/>
      </w:rPr>
    </w:lvl>
    <w:lvl w:ilvl="2" w:tplc="F36281E0" w:tentative="1">
      <w:start w:val="1"/>
      <w:numFmt w:val="bullet"/>
      <w:lvlText w:val=""/>
      <w:lvlJc w:val="left"/>
      <w:pPr>
        <w:ind w:left="1800" w:hanging="360"/>
      </w:pPr>
      <w:rPr>
        <w:rFonts w:ascii="Wingdings" w:hAnsi="Wingdings" w:hint="default"/>
      </w:rPr>
    </w:lvl>
    <w:lvl w:ilvl="3" w:tplc="0AB64F22" w:tentative="1">
      <w:start w:val="1"/>
      <w:numFmt w:val="bullet"/>
      <w:lvlText w:val=""/>
      <w:lvlJc w:val="left"/>
      <w:pPr>
        <w:ind w:left="2520" w:hanging="360"/>
      </w:pPr>
      <w:rPr>
        <w:rFonts w:ascii="Symbol" w:hAnsi="Symbol" w:hint="default"/>
      </w:rPr>
    </w:lvl>
    <w:lvl w:ilvl="4" w:tplc="58BC9920" w:tentative="1">
      <w:start w:val="1"/>
      <w:numFmt w:val="bullet"/>
      <w:lvlText w:val="o"/>
      <w:lvlJc w:val="left"/>
      <w:pPr>
        <w:ind w:left="3240" w:hanging="360"/>
      </w:pPr>
      <w:rPr>
        <w:rFonts w:ascii="Courier New" w:hAnsi="Courier New" w:cs="Courier New" w:hint="default"/>
      </w:rPr>
    </w:lvl>
    <w:lvl w:ilvl="5" w:tplc="ED927E38" w:tentative="1">
      <w:start w:val="1"/>
      <w:numFmt w:val="bullet"/>
      <w:lvlText w:val=""/>
      <w:lvlJc w:val="left"/>
      <w:pPr>
        <w:ind w:left="3960" w:hanging="360"/>
      </w:pPr>
      <w:rPr>
        <w:rFonts w:ascii="Wingdings" w:hAnsi="Wingdings" w:hint="default"/>
      </w:rPr>
    </w:lvl>
    <w:lvl w:ilvl="6" w:tplc="BBECD5F2" w:tentative="1">
      <w:start w:val="1"/>
      <w:numFmt w:val="bullet"/>
      <w:lvlText w:val=""/>
      <w:lvlJc w:val="left"/>
      <w:pPr>
        <w:ind w:left="4680" w:hanging="360"/>
      </w:pPr>
      <w:rPr>
        <w:rFonts w:ascii="Symbol" w:hAnsi="Symbol" w:hint="default"/>
      </w:rPr>
    </w:lvl>
    <w:lvl w:ilvl="7" w:tplc="2CA6269A" w:tentative="1">
      <w:start w:val="1"/>
      <w:numFmt w:val="bullet"/>
      <w:lvlText w:val="o"/>
      <w:lvlJc w:val="left"/>
      <w:pPr>
        <w:ind w:left="5400" w:hanging="360"/>
      </w:pPr>
      <w:rPr>
        <w:rFonts w:ascii="Courier New" w:hAnsi="Courier New" w:cs="Courier New" w:hint="default"/>
      </w:rPr>
    </w:lvl>
    <w:lvl w:ilvl="8" w:tplc="638418E6" w:tentative="1">
      <w:start w:val="1"/>
      <w:numFmt w:val="bullet"/>
      <w:lvlText w:val=""/>
      <w:lvlJc w:val="left"/>
      <w:pPr>
        <w:ind w:left="6120" w:hanging="360"/>
      </w:pPr>
      <w:rPr>
        <w:rFonts w:ascii="Wingdings" w:hAnsi="Wingdings" w:hint="default"/>
      </w:rPr>
    </w:lvl>
  </w:abstractNum>
  <w:abstractNum w:abstractNumId="18" w15:restartNumberingAfterBreak="0">
    <w:nsid w:val="3FC360AE"/>
    <w:multiLevelType w:val="multilevel"/>
    <w:tmpl w:val="A1E207FA"/>
    <w:lvl w:ilvl="0">
      <w:start w:val="1"/>
      <w:numFmt w:val="lowerLetter"/>
      <w:lvlText w:val="%1"/>
      <w:lvlJc w:val="left"/>
      <w:pPr>
        <w:tabs>
          <w:tab w:val="num" w:pos="360"/>
        </w:tabs>
        <w:ind w:left="360" w:hanging="360"/>
      </w:pPr>
      <w:rPr>
        <w:rFonts w:ascii="Times New Roman" w:hAnsi="Times New Roman" w:cs="Times New Roman"/>
        <w:b w:val="0"/>
        <w:i w:val="0"/>
        <w:caps w:val="0"/>
        <w:sz w:val="20"/>
        <w:u w:val="non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0" w15:restartNumberingAfterBreak="0">
    <w:nsid w:val="556F4F4D"/>
    <w:multiLevelType w:val="multilevel"/>
    <w:tmpl w:val="53CE82B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507084"/>
    <w:multiLevelType w:val="hybridMultilevel"/>
    <w:tmpl w:val="B916056E"/>
    <w:lvl w:ilvl="0" w:tplc="47748EDE">
      <w:start w:val="1"/>
      <w:numFmt w:val="bullet"/>
      <w:lvlText w:val=""/>
      <w:lvlJc w:val="left"/>
      <w:pPr>
        <w:ind w:left="720" w:hanging="360"/>
      </w:pPr>
      <w:rPr>
        <w:rFonts w:ascii="Symbol" w:hAnsi="Symbol" w:hint="default"/>
      </w:rPr>
    </w:lvl>
    <w:lvl w:ilvl="1" w:tplc="7966C4C4">
      <w:start w:val="1"/>
      <w:numFmt w:val="bullet"/>
      <w:lvlText w:val="o"/>
      <w:lvlJc w:val="left"/>
      <w:pPr>
        <w:ind w:left="1440" w:hanging="360"/>
      </w:pPr>
      <w:rPr>
        <w:rFonts w:ascii="Courier New" w:hAnsi="Courier New" w:cs="Courier New" w:hint="default"/>
      </w:rPr>
    </w:lvl>
    <w:lvl w:ilvl="2" w:tplc="39DC1D6A" w:tentative="1">
      <w:start w:val="1"/>
      <w:numFmt w:val="bullet"/>
      <w:lvlText w:val=""/>
      <w:lvlJc w:val="left"/>
      <w:pPr>
        <w:ind w:left="2160" w:hanging="360"/>
      </w:pPr>
      <w:rPr>
        <w:rFonts w:ascii="Wingdings" w:hAnsi="Wingdings" w:hint="default"/>
      </w:rPr>
    </w:lvl>
    <w:lvl w:ilvl="3" w:tplc="EF120AC2" w:tentative="1">
      <w:start w:val="1"/>
      <w:numFmt w:val="bullet"/>
      <w:lvlText w:val=""/>
      <w:lvlJc w:val="left"/>
      <w:pPr>
        <w:ind w:left="2880" w:hanging="360"/>
      </w:pPr>
      <w:rPr>
        <w:rFonts w:ascii="Symbol" w:hAnsi="Symbol" w:hint="default"/>
      </w:rPr>
    </w:lvl>
    <w:lvl w:ilvl="4" w:tplc="0E36961E" w:tentative="1">
      <w:start w:val="1"/>
      <w:numFmt w:val="bullet"/>
      <w:lvlText w:val="o"/>
      <w:lvlJc w:val="left"/>
      <w:pPr>
        <w:ind w:left="3600" w:hanging="360"/>
      </w:pPr>
      <w:rPr>
        <w:rFonts w:ascii="Courier New" w:hAnsi="Courier New" w:cs="Courier New" w:hint="default"/>
      </w:rPr>
    </w:lvl>
    <w:lvl w:ilvl="5" w:tplc="69CE8F06" w:tentative="1">
      <w:start w:val="1"/>
      <w:numFmt w:val="bullet"/>
      <w:lvlText w:val=""/>
      <w:lvlJc w:val="left"/>
      <w:pPr>
        <w:ind w:left="4320" w:hanging="360"/>
      </w:pPr>
      <w:rPr>
        <w:rFonts w:ascii="Wingdings" w:hAnsi="Wingdings" w:hint="default"/>
      </w:rPr>
    </w:lvl>
    <w:lvl w:ilvl="6" w:tplc="63064FCE" w:tentative="1">
      <w:start w:val="1"/>
      <w:numFmt w:val="bullet"/>
      <w:lvlText w:val=""/>
      <w:lvlJc w:val="left"/>
      <w:pPr>
        <w:ind w:left="5040" w:hanging="360"/>
      </w:pPr>
      <w:rPr>
        <w:rFonts w:ascii="Symbol" w:hAnsi="Symbol" w:hint="default"/>
      </w:rPr>
    </w:lvl>
    <w:lvl w:ilvl="7" w:tplc="2C3EB1FE" w:tentative="1">
      <w:start w:val="1"/>
      <w:numFmt w:val="bullet"/>
      <w:lvlText w:val="o"/>
      <w:lvlJc w:val="left"/>
      <w:pPr>
        <w:ind w:left="5760" w:hanging="360"/>
      </w:pPr>
      <w:rPr>
        <w:rFonts w:ascii="Courier New" w:hAnsi="Courier New" w:cs="Courier New" w:hint="default"/>
      </w:rPr>
    </w:lvl>
    <w:lvl w:ilvl="8" w:tplc="E8665154" w:tentative="1">
      <w:start w:val="1"/>
      <w:numFmt w:val="bullet"/>
      <w:lvlText w:val=""/>
      <w:lvlJc w:val="left"/>
      <w:pPr>
        <w:ind w:left="6480" w:hanging="360"/>
      </w:pPr>
      <w:rPr>
        <w:rFonts w:ascii="Wingdings" w:hAnsi="Wingdings" w:hint="default"/>
      </w:rPr>
    </w:lvl>
  </w:abstractNum>
  <w:abstractNum w:abstractNumId="22"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23" w15:restartNumberingAfterBreak="0">
    <w:nsid w:val="66D42C05"/>
    <w:multiLevelType w:val="hybridMultilevel"/>
    <w:tmpl w:val="88CA3A76"/>
    <w:lvl w:ilvl="0" w:tplc="63AE8574">
      <w:start w:val="1"/>
      <w:numFmt w:val="decimal"/>
      <w:lvlText w:val="Note %1:"/>
      <w:lvlJc w:val="left"/>
      <w:pPr>
        <w:ind w:left="1021" w:hanging="1021"/>
      </w:pPr>
      <w:rPr>
        <w:rFonts w:ascii="Cambria" w:hAnsi="Cambria" w:hint="default"/>
      </w:rPr>
    </w:lvl>
    <w:lvl w:ilvl="1" w:tplc="3880F7C4">
      <w:start w:val="1"/>
      <w:numFmt w:val="lowerLetter"/>
      <w:lvlText w:val="%2)"/>
      <w:lvlJc w:val="left"/>
      <w:pPr>
        <w:ind w:left="720" w:hanging="360"/>
      </w:pPr>
      <w:rPr>
        <w:rFonts w:hint="default"/>
      </w:rPr>
    </w:lvl>
    <w:lvl w:ilvl="2" w:tplc="D1845DA2">
      <w:start w:val="1"/>
      <w:numFmt w:val="lowerRoman"/>
      <w:lvlText w:val="%3)"/>
      <w:lvlJc w:val="left"/>
      <w:pPr>
        <w:ind w:left="1080" w:hanging="360"/>
      </w:pPr>
      <w:rPr>
        <w:rFonts w:hint="default"/>
      </w:rPr>
    </w:lvl>
    <w:lvl w:ilvl="3" w:tplc="A0008730">
      <w:start w:val="1"/>
      <w:numFmt w:val="decimal"/>
      <w:lvlText w:val="(%4)"/>
      <w:lvlJc w:val="left"/>
      <w:pPr>
        <w:ind w:left="1440" w:hanging="360"/>
      </w:pPr>
      <w:rPr>
        <w:rFonts w:hint="default"/>
      </w:rPr>
    </w:lvl>
    <w:lvl w:ilvl="4" w:tplc="B0CC0784">
      <w:start w:val="1"/>
      <w:numFmt w:val="lowerLetter"/>
      <w:lvlText w:val="(%5)"/>
      <w:lvlJc w:val="left"/>
      <w:pPr>
        <w:ind w:left="1800" w:hanging="360"/>
      </w:pPr>
      <w:rPr>
        <w:rFonts w:hint="default"/>
      </w:rPr>
    </w:lvl>
    <w:lvl w:ilvl="5" w:tplc="9C02AA2E">
      <w:start w:val="1"/>
      <w:numFmt w:val="lowerRoman"/>
      <w:lvlText w:val="(%6)"/>
      <w:lvlJc w:val="left"/>
      <w:pPr>
        <w:ind w:left="2160" w:hanging="360"/>
      </w:pPr>
      <w:rPr>
        <w:rFonts w:hint="default"/>
      </w:rPr>
    </w:lvl>
    <w:lvl w:ilvl="6" w:tplc="38BE31B0">
      <w:start w:val="1"/>
      <w:numFmt w:val="decimal"/>
      <w:lvlText w:val="%7."/>
      <w:lvlJc w:val="left"/>
      <w:pPr>
        <w:ind w:left="2520" w:hanging="360"/>
      </w:pPr>
      <w:rPr>
        <w:rFonts w:hint="default"/>
      </w:rPr>
    </w:lvl>
    <w:lvl w:ilvl="7" w:tplc="75B86E02">
      <w:start w:val="1"/>
      <w:numFmt w:val="lowerLetter"/>
      <w:lvlText w:val="%8."/>
      <w:lvlJc w:val="left"/>
      <w:pPr>
        <w:ind w:left="2880" w:hanging="360"/>
      </w:pPr>
      <w:rPr>
        <w:rFonts w:hint="default"/>
      </w:rPr>
    </w:lvl>
    <w:lvl w:ilvl="8" w:tplc="CB0C0048">
      <w:start w:val="1"/>
      <w:numFmt w:val="lowerRoman"/>
      <w:lvlText w:val="%9."/>
      <w:lvlJc w:val="left"/>
      <w:pPr>
        <w:ind w:left="3240" w:hanging="360"/>
      </w:pPr>
      <w:rPr>
        <w:rFonts w:hint="default"/>
      </w:rPr>
    </w:lvl>
  </w:abstractNum>
  <w:abstractNum w:abstractNumId="24" w15:restartNumberingAfterBreak="0">
    <w:nsid w:val="676F49FC"/>
    <w:multiLevelType w:val="hybridMultilevel"/>
    <w:tmpl w:val="76C6F65E"/>
    <w:lvl w:ilvl="0" w:tplc="9CC011CC">
      <w:start w:val="1"/>
      <w:numFmt w:val="bullet"/>
      <w:lvlText w:val=""/>
      <w:lvlJc w:val="left"/>
      <w:pPr>
        <w:ind w:left="720" w:hanging="360"/>
      </w:pPr>
      <w:rPr>
        <w:rFonts w:ascii="Symbol" w:hAnsi="Symbol" w:hint="default"/>
      </w:rPr>
    </w:lvl>
    <w:lvl w:ilvl="1" w:tplc="0E9245AE" w:tentative="1">
      <w:start w:val="1"/>
      <w:numFmt w:val="bullet"/>
      <w:lvlText w:val="o"/>
      <w:lvlJc w:val="left"/>
      <w:pPr>
        <w:ind w:left="1440" w:hanging="360"/>
      </w:pPr>
      <w:rPr>
        <w:rFonts w:ascii="Courier New" w:hAnsi="Courier New" w:cs="Courier New" w:hint="default"/>
      </w:rPr>
    </w:lvl>
    <w:lvl w:ilvl="2" w:tplc="88B8A186" w:tentative="1">
      <w:start w:val="1"/>
      <w:numFmt w:val="bullet"/>
      <w:lvlText w:val=""/>
      <w:lvlJc w:val="left"/>
      <w:pPr>
        <w:ind w:left="2160" w:hanging="360"/>
      </w:pPr>
      <w:rPr>
        <w:rFonts w:ascii="Wingdings" w:hAnsi="Wingdings" w:hint="default"/>
      </w:rPr>
    </w:lvl>
    <w:lvl w:ilvl="3" w:tplc="3E2A22C4" w:tentative="1">
      <w:start w:val="1"/>
      <w:numFmt w:val="bullet"/>
      <w:lvlText w:val=""/>
      <w:lvlJc w:val="left"/>
      <w:pPr>
        <w:ind w:left="2880" w:hanging="360"/>
      </w:pPr>
      <w:rPr>
        <w:rFonts w:ascii="Symbol" w:hAnsi="Symbol" w:hint="default"/>
      </w:rPr>
    </w:lvl>
    <w:lvl w:ilvl="4" w:tplc="1E6EBF46" w:tentative="1">
      <w:start w:val="1"/>
      <w:numFmt w:val="bullet"/>
      <w:lvlText w:val="o"/>
      <w:lvlJc w:val="left"/>
      <w:pPr>
        <w:ind w:left="3600" w:hanging="360"/>
      </w:pPr>
      <w:rPr>
        <w:rFonts w:ascii="Courier New" w:hAnsi="Courier New" w:cs="Courier New" w:hint="default"/>
      </w:rPr>
    </w:lvl>
    <w:lvl w:ilvl="5" w:tplc="5BBA60F2" w:tentative="1">
      <w:start w:val="1"/>
      <w:numFmt w:val="bullet"/>
      <w:lvlText w:val=""/>
      <w:lvlJc w:val="left"/>
      <w:pPr>
        <w:ind w:left="4320" w:hanging="360"/>
      </w:pPr>
      <w:rPr>
        <w:rFonts w:ascii="Wingdings" w:hAnsi="Wingdings" w:hint="default"/>
      </w:rPr>
    </w:lvl>
    <w:lvl w:ilvl="6" w:tplc="B93E357E" w:tentative="1">
      <w:start w:val="1"/>
      <w:numFmt w:val="bullet"/>
      <w:lvlText w:val=""/>
      <w:lvlJc w:val="left"/>
      <w:pPr>
        <w:ind w:left="5040" w:hanging="360"/>
      </w:pPr>
      <w:rPr>
        <w:rFonts w:ascii="Symbol" w:hAnsi="Symbol" w:hint="default"/>
      </w:rPr>
    </w:lvl>
    <w:lvl w:ilvl="7" w:tplc="7BBC81A6" w:tentative="1">
      <w:start w:val="1"/>
      <w:numFmt w:val="bullet"/>
      <w:lvlText w:val="o"/>
      <w:lvlJc w:val="left"/>
      <w:pPr>
        <w:ind w:left="5760" w:hanging="360"/>
      </w:pPr>
      <w:rPr>
        <w:rFonts w:ascii="Courier New" w:hAnsi="Courier New" w:cs="Courier New" w:hint="default"/>
      </w:rPr>
    </w:lvl>
    <w:lvl w:ilvl="8" w:tplc="58CABEC6" w:tentative="1">
      <w:start w:val="1"/>
      <w:numFmt w:val="bullet"/>
      <w:lvlText w:val=""/>
      <w:lvlJc w:val="left"/>
      <w:pPr>
        <w:ind w:left="6480" w:hanging="360"/>
      </w:pPr>
      <w:rPr>
        <w:rFonts w:ascii="Wingdings" w:hAnsi="Wingdings" w:hint="default"/>
      </w:rPr>
    </w:lvl>
  </w:abstractNum>
  <w:abstractNum w:abstractNumId="25" w15:restartNumberingAfterBreak="0">
    <w:nsid w:val="70332797"/>
    <w:multiLevelType w:val="multilevel"/>
    <w:tmpl w:val="F6501E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2613446"/>
    <w:multiLevelType w:val="hybridMultilevel"/>
    <w:tmpl w:val="D384F4F4"/>
    <w:lvl w:ilvl="0" w:tplc="18BEA83E">
      <w:start w:val="1"/>
      <w:numFmt w:val="bullet"/>
      <w:lvlText w:val=""/>
      <w:lvlJc w:val="left"/>
      <w:pPr>
        <w:ind w:left="720" w:hanging="360"/>
      </w:pPr>
      <w:rPr>
        <w:rFonts w:ascii="Symbol" w:hAnsi="Symbol" w:hint="default"/>
      </w:rPr>
    </w:lvl>
    <w:lvl w:ilvl="1" w:tplc="E2A43D32">
      <w:start w:val="1"/>
      <w:numFmt w:val="bullet"/>
      <w:lvlText w:val="o"/>
      <w:lvlJc w:val="left"/>
      <w:pPr>
        <w:ind w:left="1440" w:hanging="360"/>
      </w:pPr>
      <w:rPr>
        <w:rFonts w:ascii="Courier New" w:hAnsi="Courier New" w:cs="Courier New" w:hint="default"/>
      </w:rPr>
    </w:lvl>
    <w:lvl w:ilvl="2" w:tplc="2E48F668" w:tentative="1">
      <w:start w:val="1"/>
      <w:numFmt w:val="bullet"/>
      <w:lvlText w:val=""/>
      <w:lvlJc w:val="left"/>
      <w:pPr>
        <w:ind w:left="2160" w:hanging="360"/>
      </w:pPr>
      <w:rPr>
        <w:rFonts w:ascii="Wingdings" w:hAnsi="Wingdings" w:hint="default"/>
      </w:rPr>
    </w:lvl>
    <w:lvl w:ilvl="3" w:tplc="A47E1212" w:tentative="1">
      <w:start w:val="1"/>
      <w:numFmt w:val="bullet"/>
      <w:lvlText w:val=""/>
      <w:lvlJc w:val="left"/>
      <w:pPr>
        <w:ind w:left="2880" w:hanging="360"/>
      </w:pPr>
      <w:rPr>
        <w:rFonts w:ascii="Symbol" w:hAnsi="Symbol" w:hint="default"/>
      </w:rPr>
    </w:lvl>
    <w:lvl w:ilvl="4" w:tplc="892CC1F8" w:tentative="1">
      <w:start w:val="1"/>
      <w:numFmt w:val="bullet"/>
      <w:lvlText w:val="o"/>
      <w:lvlJc w:val="left"/>
      <w:pPr>
        <w:ind w:left="3600" w:hanging="360"/>
      </w:pPr>
      <w:rPr>
        <w:rFonts w:ascii="Courier New" w:hAnsi="Courier New" w:cs="Courier New" w:hint="default"/>
      </w:rPr>
    </w:lvl>
    <w:lvl w:ilvl="5" w:tplc="FCBE8B58" w:tentative="1">
      <w:start w:val="1"/>
      <w:numFmt w:val="bullet"/>
      <w:lvlText w:val=""/>
      <w:lvlJc w:val="left"/>
      <w:pPr>
        <w:ind w:left="4320" w:hanging="360"/>
      </w:pPr>
      <w:rPr>
        <w:rFonts w:ascii="Wingdings" w:hAnsi="Wingdings" w:hint="default"/>
      </w:rPr>
    </w:lvl>
    <w:lvl w:ilvl="6" w:tplc="2508F906" w:tentative="1">
      <w:start w:val="1"/>
      <w:numFmt w:val="bullet"/>
      <w:lvlText w:val=""/>
      <w:lvlJc w:val="left"/>
      <w:pPr>
        <w:ind w:left="5040" w:hanging="360"/>
      </w:pPr>
      <w:rPr>
        <w:rFonts w:ascii="Symbol" w:hAnsi="Symbol" w:hint="default"/>
      </w:rPr>
    </w:lvl>
    <w:lvl w:ilvl="7" w:tplc="FFDA0E50" w:tentative="1">
      <w:start w:val="1"/>
      <w:numFmt w:val="bullet"/>
      <w:lvlText w:val="o"/>
      <w:lvlJc w:val="left"/>
      <w:pPr>
        <w:ind w:left="5760" w:hanging="360"/>
      </w:pPr>
      <w:rPr>
        <w:rFonts w:ascii="Courier New" w:hAnsi="Courier New" w:cs="Courier New" w:hint="default"/>
      </w:rPr>
    </w:lvl>
    <w:lvl w:ilvl="8" w:tplc="6F44F8EA" w:tentative="1">
      <w:start w:val="1"/>
      <w:numFmt w:val="bullet"/>
      <w:lvlText w:val=""/>
      <w:lvlJc w:val="left"/>
      <w:pPr>
        <w:ind w:left="6480" w:hanging="360"/>
      </w:pPr>
      <w:rPr>
        <w:rFonts w:ascii="Wingdings" w:hAnsi="Wingdings" w:hint="default"/>
      </w:rPr>
    </w:lvl>
  </w:abstractNum>
  <w:abstractNum w:abstractNumId="27" w15:restartNumberingAfterBreak="0">
    <w:nsid w:val="7311220D"/>
    <w:multiLevelType w:val="hybridMultilevel"/>
    <w:tmpl w:val="E814E93A"/>
    <w:lvl w:ilvl="0" w:tplc="1A3E3CC4">
      <w:start w:val="1"/>
      <w:numFmt w:val="bullet"/>
      <w:lvlText w:val=""/>
      <w:lvlJc w:val="left"/>
      <w:pPr>
        <w:ind w:left="720" w:hanging="360"/>
      </w:pPr>
      <w:rPr>
        <w:rFonts w:ascii="Symbol" w:hAnsi="Symbol" w:hint="default"/>
      </w:rPr>
    </w:lvl>
    <w:lvl w:ilvl="1" w:tplc="95124364" w:tentative="1">
      <w:start w:val="1"/>
      <w:numFmt w:val="bullet"/>
      <w:lvlText w:val="o"/>
      <w:lvlJc w:val="left"/>
      <w:pPr>
        <w:ind w:left="1440" w:hanging="360"/>
      </w:pPr>
      <w:rPr>
        <w:rFonts w:ascii="Courier New" w:hAnsi="Courier New" w:cs="Courier New" w:hint="default"/>
      </w:rPr>
    </w:lvl>
    <w:lvl w:ilvl="2" w:tplc="AF4EC292" w:tentative="1">
      <w:start w:val="1"/>
      <w:numFmt w:val="bullet"/>
      <w:lvlText w:val=""/>
      <w:lvlJc w:val="left"/>
      <w:pPr>
        <w:ind w:left="2160" w:hanging="360"/>
      </w:pPr>
      <w:rPr>
        <w:rFonts w:ascii="Wingdings" w:hAnsi="Wingdings" w:hint="default"/>
      </w:rPr>
    </w:lvl>
    <w:lvl w:ilvl="3" w:tplc="14E4AD20" w:tentative="1">
      <w:start w:val="1"/>
      <w:numFmt w:val="bullet"/>
      <w:lvlText w:val=""/>
      <w:lvlJc w:val="left"/>
      <w:pPr>
        <w:ind w:left="2880" w:hanging="360"/>
      </w:pPr>
      <w:rPr>
        <w:rFonts w:ascii="Symbol" w:hAnsi="Symbol" w:hint="default"/>
      </w:rPr>
    </w:lvl>
    <w:lvl w:ilvl="4" w:tplc="43B4CE00" w:tentative="1">
      <w:start w:val="1"/>
      <w:numFmt w:val="bullet"/>
      <w:lvlText w:val="o"/>
      <w:lvlJc w:val="left"/>
      <w:pPr>
        <w:ind w:left="3600" w:hanging="360"/>
      </w:pPr>
      <w:rPr>
        <w:rFonts w:ascii="Courier New" w:hAnsi="Courier New" w:cs="Courier New" w:hint="default"/>
      </w:rPr>
    </w:lvl>
    <w:lvl w:ilvl="5" w:tplc="8CFE5668" w:tentative="1">
      <w:start w:val="1"/>
      <w:numFmt w:val="bullet"/>
      <w:lvlText w:val=""/>
      <w:lvlJc w:val="left"/>
      <w:pPr>
        <w:ind w:left="4320" w:hanging="360"/>
      </w:pPr>
      <w:rPr>
        <w:rFonts w:ascii="Wingdings" w:hAnsi="Wingdings" w:hint="default"/>
      </w:rPr>
    </w:lvl>
    <w:lvl w:ilvl="6" w:tplc="37A66DCE" w:tentative="1">
      <w:start w:val="1"/>
      <w:numFmt w:val="bullet"/>
      <w:lvlText w:val=""/>
      <w:lvlJc w:val="left"/>
      <w:pPr>
        <w:ind w:left="5040" w:hanging="360"/>
      </w:pPr>
      <w:rPr>
        <w:rFonts w:ascii="Symbol" w:hAnsi="Symbol" w:hint="default"/>
      </w:rPr>
    </w:lvl>
    <w:lvl w:ilvl="7" w:tplc="FCDAB952" w:tentative="1">
      <w:start w:val="1"/>
      <w:numFmt w:val="bullet"/>
      <w:lvlText w:val="o"/>
      <w:lvlJc w:val="left"/>
      <w:pPr>
        <w:ind w:left="5760" w:hanging="360"/>
      </w:pPr>
      <w:rPr>
        <w:rFonts w:ascii="Courier New" w:hAnsi="Courier New" w:cs="Courier New" w:hint="default"/>
      </w:rPr>
    </w:lvl>
    <w:lvl w:ilvl="8" w:tplc="EE5621E6" w:tentative="1">
      <w:start w:val="1"/>
      <w:numFmt w:val="bullet"/>
      <w:lvlText w:val=""/>
      <w:lvlJc w:val="left"/>
      <w:pPr>
        <w:ind w:left="6480" w:hanging="360"/>
      </w:pPr>
      <w:rPr>
        <w:rFonts w:ascii="Wingdings" w:hAnsi="Wingdings" w:hint="default"/>
      </w:rPr>
    </w:lvl>
  </w:abstractNum>
  <w:abstractNum w:abstractNumId="28" w15:restartNumberingAfterBreak="0">
    <w:nsid w:val="74C030A5"/>
    <w:multiLevelType w:val="hybridMultilevel"/>
    <w:tmpl w:val="99C4946C"/>
    <w:name w:val="ListNumberSmall"/>
    <w:lvl w:ilvl="0" w:tplc="D26892B0">
      <w:start w:val="1"/>
      <w:numFmt w:val="decimal"/>
      <w:pStyle w:val="ListNumberSmall"/>
      <w:lvlText w:val="%1"/>
      <w:lvlJc w:val="left"/>
      <w:pPr>
        <w:tabs>
          <w:tab w:val="num" w:pos="425"/>
        </w:tabs>
        <w:ind w:left="425" w:hanging="425"/>
      </w:pPr>
      <w:rPr>
        <w:rFonts w:ascii="Times New Roman" w:hAnsi="Times New Roman" w:hint="default"/>
        <w:sz w:val="20"/>
      </w:rPr>
    </w:lvl>
    <w:lvl w:ilvl="1" w:tplc="DF9CE8FC">
      <w:start w:val="1"/>
      <w:numFmt w:val="lowerLetter"/>
      <w:lvlText w:val="%2."/>
      <w:lvlJc w:val="left"/>
      <w:pPr>
        <w:tabs>
          <w:tab w:val="num" w:pos="851"/>
        </w:tabs>
        <w:ind w:left="851" w:hanging="426"/>
      </w:pPr>
      <w:rPr>
        <w:rFonts w:hint="default"/>
      </w:rPr>
    </w:lvl>
    <w:lvl w:ilvl="2" w:tplc="9A68142A">
      <w:start w:val="1"/>
      <w:numFmt w:val="lowerRoman"/>
      <w:lvlText w:val="%3."/>
      <w:lvlJc w:val="right"/>
      <w:pPr>
        <w:tabs>
          <w:tab w:val="num" w:pos="1276"/>
        </w:tabs>
        <w:ind w:left="1276" w:hanging="425"/>
      </w:pPr>
      <w:rPr>
        <w:rFonts w:hint="default"/>
      </w:rPr>
    </w:lvl>
    <w:lvl w:ilvl="3" w:tplc="D00C0402">
      <w:start w:val="1"/>
      <w:numFmt w:val="decimal"/>
      <w:lvlText w:val="%4."/>
      <w:lvlJc w:val="left"/>
      <w:pPr>
        <w:ind w:left="2880" w:hanging="360"/>
      </w:pPr>
      <w:rPr>
        <w:rFonts w:hint="default"/>
      </w:rPr>
    </w:lvl>
    <w:lvl w:ilvl="4" w:tplc="1EDEA1AA">
      <w:start w:val="1"/>
      <w:numFmt w:val="lowerLetter"/>
      <w:lvlText w:val="%5."/>
      <w:lvlJc w:val="left"/>
      <w:pPr>
        <w:ind w:left="3600" w:hanging="360"/>
      </w:pPr>
      <w:rPr>
        <w:rFonts w:hint="default"/>
      </w:rPr>
    </w:lvl>
    <w:lvl w:ilvl="5" w:tplc="6A5A5D04">
      <w:start w:val="1"/>
      <w:numFmt w:val="lowerRoman"/>
      <w:lvlText w:val="%6."/>
      <w:lvlJc w:val="right"/>
      <w:pPr>
        <w:ind w:left="4320" w:hanging="180"/>
      </w:pPr>
      <w:rPr>
        <w:rFonts w:hint="default"/>
      </w:rPr>
    </w:lvl>
    <w:lvl w:ilvl="6" w:tplc="F0B03F5A">
      <w:start w:val="1"/>
      <w:numFmt w:val="decimal"/>
      <w:lvlText w:val="%7."/>
      <w:lvlJc w:val="left"/>
      <w:pPr>
        <w:ind w:left="5040" w:hanging="360"/>
      </w:pPr>
      <w:rPr>
        <w:rFonts w:hint="default"/>
      </w:rPr>
    </w:lvl>
    <w:lvl w:ilvl="7" w:tplc="B6D69E9A">
      <w:start w:val="1"/>
      <w:numFmt w:val="lowerLetter"/>
      <w:lvlText w:val="%8."/>
      <w:lvlJc w:val="left"/>
      <w:pPr>
        <w:ind w:left="5760" w:hanging="360"/>
      </w:pPr>
      <w:rPr>
        <w:rFonts w:hint="default"/>
      </w:rPr>
    </w:lvl>
    <w:lvl w:ilvl="8" w:tplc="0492D65A">
      <w:start w:val="1"/>
      <w:numFmt w:val="lowerRoman"/>
      <w:lvlText w:val="%9."/>
      <w:lvlJc w:val="right"/>
      <w:pPr>
        <w:ind w:left="6480" w:hanging="180"/>
      </w:pPr>
      <w:rPr>
        <w:rFonts w:hint="default"/>
      </w:rPr>
    </w:lvl>
  </w:abstractNum>
  <w:abstractNum w:abstractNumId="29" w15:restartNumberingAfterBreak="0">
    <w:nsid w:val="76044EC3"/>
    <w:multiLevelType w:val="hybridMultilevel"/>
    <w:tmpl w:val="B3925806"/>
    <w:lvl w:ilvl="0" w:tplc="41B07C14">
      <w:start w:val="1"/>
      <w:numFmt w:val="bullet"/>
      <w:lvlText w:val=""/>
      <w:lvlJc w:val="left"/>
      <w:pPr>
        <w:ind w:left="720" w:hanging="360"/>
      </w:pPr>
      <w:rPr>
        <w:rFonts w:ascii="Symbol" w:hAnsi="Symbol" w:hint="default"/>
      </w:rPr>
    </w:lvl>
    <w:lvl w:ilvl="1" w:tplc="843C89F8" w:tentative="1">
      <w:start w:val="1"/>
      <w:numFmt w:val="bullet"/>
      <w:lvlText w:val="o"/>
      <w:lvlJc w:val="left"/>
      <w:pPr>
        <w:ind w:left="1440" w:hanging="360"/>
      </w:pPr>
      <w:rPr>
        <w:rFonts w:ascii="Courier New" w:hAnsi="Courier New" w:cs="Courier New" w:hint="default"/>
      </w:rPr>
    </w:lvl>
    <w:lvl w:ilvl="2" w:tplc="5DCA9E46" w:tentative="1">
      <w:start w:val="1"/>
      <w:numFmt w:val="bullet"/>
      <w:lvlText w:val=""/>
      <w:lvlJc w:val="left"/>
      <w:pPr>
        <w:ind w:left="2160" w:hanging="360"/>
      </w:pPr>
      <w:rPr>
        <w:rFonts w:ascii="Wingdings" w:hAnsi="Wingdings" w:hint="default"/>
      </w:rPr>
    </w:lvl>
    <w:lvl w:ilvl="3" w:tplc="81B22B94" w:tentative="1">
      <w:start w:val="1"/>
      <w:numFmt w:val="bullet"/>
      <w:lvlText w:val=""/>
      <w:lvlJc w:val="left"/>
      <w:pPr>
        <w:ind w:left="2880" w:hanging="360"/>
      </w:pPr>
      <w:rPr>
        <w:rFonts w:ascii="Symbol" w:hAnsi="Symbol" w:hint="default"/>
      </w:rPr>
    </w:lvl>
    <w:lvl w:ilvl="4" w:tplc="588EAB60" w:tentative="1">
      <w:start w:val="1"/>
      <w:numFmt w:val="bullet"/>
      <w:lvlText w:val="o"/>
      <w:lvlJc w:val="left"/>
      <w:pPr>
        <w:ind w:left="3600" w:hanging="360"/>
      </w:pPr>
      <w:rPr>
        <w:rFonts w:ascii="Courier New" w:hAnsi="Courier New" w:cs="Courier New" w:hint="default"/>
      </w:rPr>
    </w:lvl>
    <w:lvl w:ilvl="5" w:tplc="099021A6" w:tentative="1">
      <w:start w:val="1"/>
      <w:numFmt w:val="bullet"/>
      <w:lvlText w:val=""/>
      <w:lvlJc w:val="left"/>
      <w:pPr>
        <w:ind w:left="4320" w:hanging="360"/>
      </w:pPr>
      <w:rPr>
        <w:rFonts w:ascii="Wingdings" w:hAnsi="Wingdings" w:hint="default"/>
      </w:rPr>
    </w:lvl>
    <w:lvl w:ilvl="6" w:tplc="4D98493C" w:tentative="1">
      <w:start w:val="1"/>
      <w:numFmt w:val="bullet"/>
      <w:lvlText w:val=""/>
      <w:lvlJc w:val="left"/>
      <w:pPr>
        <w:ind w:left="5040" w:hanging="360"/>
      </w:pPr>
      <w:rPr>
        <w:rFonts w:ascii="Symbol" w:hAnsi="Symbol" w:hint="default"/>
      </w:rPr>
    </w:lvl>
    <w:lvl w:ilvl="7" w:tplc="D850F192" w:tentative="1">
      <w:start w:val="1"/>
      <w:numFmt w:val="bullet"/>
      <w:lvlText w:val="o"/>
      <w:lvlJc w:val="left"/>
      <w:pPr>
        <w:ind w:left="5760" w:hanging="360"/>
      </w:pPr>
      <w:rPr>
        <w:rFonts w:ascii="Courier New" w:hAnsi="Courier New" w:cs="Courier New" w:hint="default"/>
      </w:rPr>
    </w:lvl>
    <w:lvl w:ilvl="8" w:tplc="119A88C4" w:tentative="1">
      <w:start w:val="1"/>
      <w:numFmt w:val="bullet"/>
      <w:lvlText w:val=""/>
      <w:lvlJc w:val="left"/>
      <w:pPr>
        <w:ind w:left="6480" w:hanging="360"/>
      </w:pPr>
      <w:rPr>
        <w:rFonts w:ascii="Wingdings" w:hAnsi="Wingdings" w:hint="default"/>
      </w:rPr>
    </w:lvl>
  </w:abstractNum>
  <w:abstractNum w:abstractNumId="30"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FB401D6"/>
    <w:multiLevelType w:val="hybridMultilevel"/>
    <w:tmpl w:val="270C463E"/>
    <w:lvl w:ilvl="0" w:tplc="59E4DAF0">
      <w:start w:val="1"/>
      <w:numFmt w:val="bullet"/>
      <w:lvlText w:val=""/>
      <w:lvlJc w:val="left"/>
      <w:pPr>
        <w:ind w:left="720" w:hanging="360"/>
      </w:pPr>
      <w:rPr>
        <w:rFonts w:ascii="Symbol" w:hAnsi="Symbol" w:hint="default"/>
      </w:rPr>
    </w:lvl>
    <w:lvl w:ilvl="1" w:tplc="B9380CD2">
      <w:start w:val="1"/>
      <w:numFmt w:val="bullet"/>
      <w:lvlText w:val="o"/>
      <w:lvlJc w:val="left"/>
      <w:pPr>
        <w:ind w:left="1440" w:hanging="360"/>
      </w:pPr>
      <w:rPr>
        <w:rFonts w:ascii="Courier New" w:hAnsi="Courier New" w:cs="Courier New" w:hint="default"/>
      </w:rPr>
    </w:lvl>
    <w:lvl w:ilvl="2" w:tplc="17D24DC8">
      <w:start w:val="1"/>
      <w:numFmt w:val="bullet"/>
      <w:lvlText w:val=""/>
      <w:lvlJc w:val="left"/>
      <w:pPr>
        <w:ind w:left="2160" w:hanging="360"/>
      </w:pPr>
      <w:rPr>
        <w:rFonts w:ascii="Wingdings" w:hAnsi="Wingdings" w:hint="default"/>
      </w:rPr>
    </w:lvl>
    <w:lvl w:ilvl="3" w:tplc="5E7C2C1E" w:tentative="1">
      <w:start w:val="1"/>
      <w:numFmt w:val="bullet"/>
      <w:lvlText w:val=""/>
      <w:lvlJc w:val="left"/>
      <w:pPr>
        <w:ind w:left="2880" w:hanging="360"/>
      </w:pPr>
      <w:rPr>
        <w:rFonts w:ascii="Symbol" w:hAnsi="Symbol" w:hint="default"/>
      </w:rPr>
    </w:lvl>
    <w:lvl w:ilvl="4" w:tplc="02A25A88" w:tentative="1">
      <w:start w:val="1"/>
      <w:numFmt w:val="bullet"/>
      <w:lvlText w:val="o"/>
      <w:lvlJc w:val="left"/>
      <w:pPr>
        <w:ind w:left="3600" w:hanging="360"/>
      </w:pPr>
      <w:rPr>
        <w:rFonts w:ascii="Courier New" w:hAnsi="Courier New" w:cs="Courier New" w:hint="default"/>
      </w:rPr>
    </w:lvl>
    <w:lvl w:ilvl="5" w:tplc="972CF0A8" w:tentative="1">
      <w:start w:val="1"/>
      <w:numFmt w:val="bullet"/>
      <w:lvlText w:val=""/>
      <w:lvlJc w:val="left"/>
      <w:pPr>
        <w:ind w:left="4320" w:hanging="360"/>
      </w:pPr>
      <w:rPr>
        <w:rFonts w:ascii="Wingdings" w:hAnsi="Wingdings" w:hint="default"/>
      </w:rPr>
    </w:lvl>
    <w:lvl w:ilvl="6" w:tplc="1D780524" w:tentative="1">
      <w:start w:val="1"/>
      <w:numFmt w:val="bullet"/>
      <w:lvlText w:val=""/>
      <w:lvlJc w:val="left"/>
      <w:pPr>
        <w:ind w:left="5040" w:hanging="360"/>
      </w:pPr>
      <w:rPr>
        <w:rFonts w:ascii="Symbol" w:hAnsi="Symbol" w:hint="default"/>
      </w:rPr>
    </w:lvl>
    <w:lvl w:ilvl="7" w:tplc="AE823C96" w:tentative="1">
      <w:start w:val="1"/>
      <w:numFmt w:val="bullet"/>
      <w:lvlText w:val="o"/>
      <w:lvlJc w:val="left"/>
      <w:pPr>
        <w:ind w:left="5760" w:hanging="360"/>
      </w:pPr>
      <w:rPr>
        <w:rFonts w:ascii="Courier New" w:hAnsi="Courier New" w:cs="Courier New" w:hint="default"/>
      </w:rPr>
    </w:lvl>
    <w:lvl w:ilvl="8" w:tplc="AC20F832" w:tentative="1">
      <w:start w:val="1"/>
      <w:numFmt w:val="bullet"/>
      <w:lvlText w:val=""/>
      <w:lvlJc w:val="left"/>
      <w:pPr>
        <w:ind w:left="6480" w:hanging="360"/>
      </w:pPr>
      <w:rPr>
        <w:rFonts w:ascii="Wingdings" w:hAnsi="Wingdings" w:hint="default"/>
      </w:rPr>
    </w:lvl>
  </w:abstractNum>
  <w:abstractNum w:abstractNumId="32" w15:restartNumberingAfterBreak="0">
    <w:nsid w:val="7FD56BF3"/>
    <w:multiLevelType w:val="multilevel"/>
    <w:tmpl w:val="3C0E4404"/>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4"/>
  </w:num>
  <w:num w:numId="3">
    <w:abstractNumId w:val="1"/>
  </w:num>
  <w:num w:numId="4">
    <w:abstractNumId w:val="21"/>
  </w:num>
  <w:num w:numId="5">
    <w:abstractNumId w:val="31"/>
  </w:num>
  <w:num w:numId="6">
    <w:abstractNumId w:val="26"/>
  </w:num>
  <w:num w:numId="7">
    <w:abstractNumId w:val="24"/>
  </w:num>
  <w:num w:numId="8">
    <w:abstractNumId w:val="27"/>
  </w:num>
  <w:num w:numId="9">
    <w:abstractNumId w:val="10"/>
  </w:num>
  <w:num w:numId="10">
    <w:abstractNumId w:val="23"/>
  </w:num>
  <w:num w:numId="11">
    <w:abstractNumId w:val="22"/>
  </w:num>
  <w:num w:numId="12">
    <w:abstractNumId w:val="16"/>
  </w:num>
  <w:num w:numId="13">
    <w:abstractNumId w:val="14"/>
  </w:num>
  <w:num w:numId="14">
    <w:abstractNumId w:val="6"/>
  </w:num>
  <w:num w:numId="15">
    <w:abstractNumId w:val="3"/>
  </w:num>
  <w:num w:numId="16">
    <w:abstractNumId w:val="15"/>
  </w:num>
  <w:num w:numId="17">
    <w:abstractNumId w:val="32"/>
  </w:num>
  <w:num w:numId="18">
    <w:abstractNumId w:val="12"/>
  </w:num>
  <w:num w:numId="19">
    <w:abstractNumId w:val="19"/>
  </w:num>
  <w:num w:numId="20">
    <w:abstractNumId w:val="5"/>
  </w:num>
  <w:num w:numId="21">
    <w:abstractNumId w:val="2"/>
  </w:num>
  <w:num w:numId="22">
    <w:abstractNumId w:val="7"/>
  </w:num>
  <w:num w:numId="23">
    <w:abstractNumId w:val="20"/>
  </w:num>
  <w:num w:numId="24">
    <w:abstractNumId w:val="30"/>
  </w:num>
  <w:num w:numId="25">
    <w:abstractNumId w:val="1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
  </w:num>
  <w:num w:numId="35">
    <w:abstractNumId w:val="3"/>
  </w:num>
  <w:num w:numId="36">
    <w:abstractNumId w:val="3"/>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9"/>
  </w:num>
  <w:num w:numId="41">
    <w:abstractNumId w:val="9"/>
  </w:num>
  <w:num w:numId="42">
    <w:abstractNumId w:val="13"/>
  </w:num>
  <w:num w:numId="43">
    <w:abstractNumId w:val="0"/>
  </w:num>
  <w:num w:numId="44">
    <w:abstractNumId w:val="0"/>
    <w:lvlOverride w:ilvl="0">
      <w:startOverride w:val="1"/>
    </w:lvlOverride>
  </w:num>
  <w:num w:numId="45">
    <w:abstractNumId w:val="8"/>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9C"/>
    <w:rsid w:val="000036EC"/>
    <w:rsid w:val="000044B1"/>
    <w:rsid w:val="00021709"/>
    <w:rsid w:val="00035714"/>
    <w:rsid w:val="00042302"/>
    <w:rsid w:val="00042AAB"/>
    <w:rsid w:val="00042F96"/>
    <w:rsid w:val="00043104"/>
    <w:rsid w:val="000460B7"/>
    <w:rsid w:val="00062AE5"/>
    <w:rsid w:val="00063EE1"/>
    <w:rsid w:val="0006590C"/>
    <w:rsid w:val="000721F2"/>
    <w:rsid w:val="0008235A"/>
    <w:rsid w:val="000831C8"/>
    <w:rsid w:val="0009106C"/>
    <w:rsid w:val="000A50D9"/>
    <w:rsid w:val="000B24AA"/>
    <w:rsid w:val="000C61EA"/>
    <w:rsid w:val="000C6BB6"/>
    <w:rsid w:val="000C6FB8"/>
    <w:rsid w:val="000D4403"/>
    <w:rsid w:val="000D6604"/>
    <w:rsid w:val="000D7F05"/>
    <w:rsid w:val="000E1283"/>
    <w:rsid w:val="000F2343"/>
    <w:rsid w:val="000F2624"/>
    <w:rsid w:val="00102BE9"/>
    <w:rsid w:val="001172F2"/>
    <w:rsid w:val="00136256"/>
    <w:rsid w:val="00144426"/>
    <w:rsid w:val="00144DEF"/>
    <w:rsid w:val="0014508B"/>
    <w:rsid w:val="00154AF4"/>
    <w:rsid w:val="001552CB"/>
    <w:rsid w:val="0016472F"/>
    <w:rsid w:val="00167EF2"/>
    <w:rsid w:val="001812B5"/>
    <w:rsid w:val="00183F56"/>
    <w:rsid w:val="0019625B"/>
    <w:rsid w:val="001A3992"/>
    <w:rsid w:val="001A54BA"/>
    <w:rsid w:val="001A7D81"/>
    <w:rsid w:val="001B114A"/>
    <w:rsid w:val="001B2435"/>
    <w:rsid w:val="001B3DF8"/>
    <w:rsid w:val="001B509F"/>
    <w:rsid w:val="001C380F"/>
    <w:rsid w:val="001C394C"/>
    <w:rsid w:val="001C58BE"/>
    <w:rsid w:val="001C62B1"/>
    <w:rsid w:val="001C68AD"/>
    <w:rsid w:val="001C6FD4"/>
    <w:rsid w:val="001D2D48"/>
    <w:rsid w:val="001D3AF3"/>
    <w:rsid w:val="001D7C55"/>
    <w:rsid w:val="001E6F91"/>
    <w:rsid w:val="001F5390"/>
    <w:rsid w:val="002004BF"/>
    <w:rsid w:val="002043AA"/>
    <w:rsid w:val="002078A9"/>
    <w:rsid w:val="00207AD8"/>
    <w:rsid w:val="00214E8E"/>
    <w:rsid w:val="002335CD"/>
    <w:rsid w:val="00236734"/>
    <w:rsid w:val="00246FC8"/>
    <w:rsid w:val="00251E7E"/>
    <w:rsid w:val="002521FB"/>
    <w:rsid w:val="00257099"/>
    <w:rsid w:val="0026491B"/>
    <w:rsid w:val="00266C5A"/>
    <w:rsid w:val="00266F86"/>
    <w:rsid w:val="00270647"/>
    <w:rsid w:val="0027092E"/>
    <w:rsid w:val="00273341"/>
    <w:rsid w:val="002803FC"/>
    <w:rsid w:val="00284A1B"/>
    <w:rsid w:val="00285173"/>
    <w:rsid w:val="00286FD5"/>
    <w:rsid w:val="002956CF"/>
    <w:rsid w:val="002A3BAF"/>
    <w:rsid w:val="002A5539"/>
    <w:rsid w:val="002C7810"/>
    <w:rsid w:val="002D053C"/>
    <w:rsid w:val="002D1062"/>
    <w:rsid w:val="002D18DD"/>
    <w:rsid w:val="002D1E14"/>
    <w:rsid w:val="002D3489"/>
    <w:rsid w:val="002E277D"/>
    <w:rsid w:val="002E52F1"/>
    <w:rsid w:val="002E6423"/>
    <w:rsid w:val="002F091A"/>
    <w:rsid w:val="00313239"/>
    <w:rsid w:val="003217BC"/>
    <w:rsid w:val="00323697"/>
    <w:rsid w:val="003248E6"/>
    <w:rsid w:val="003368C9"/>
    <w:rsid w:val="00350663"/>
    <w:rsid w:val="00362F10"/>
    <w:rsid w:val="0036583B"/>
    <w:rsid w:val="003672CB"/>
    <w:rsid w:val="00372AE0"/>
    <w:rsid w:val="00375DF3"/>
    <w:rsid w:val="00376D26"/>
    <w:rsid w:val="00377337"/>
    <w:rsid w:val="00382726"/>
    <w:rsid w:val="00394816"/>
    <w:rsid w:val="003949BD"/>
    <w:rsid w:val="003B1BF7"/>
    <w:rsid w:val="003B32B2"/>
    <w:rsid w:val="003B7CFF"/>
    <w:rsid w:val="003C49C9"/>
    <w:rsid w:val="003C68E8"/>
    <w:rsid w:val="003E4AE5"/>
    <w:rsid w:val="003F573A"/>
    <w:rsid w:val="003F5CA9"/>
    <w:rsid w:val="0040048F"/>
    <w:rsid w:val="00407EFA"/>
    <w:rsid w:val="0041004D"/>
    <w:rsid w:val="00414470"/>
    <w:rsid w:val="00415A17"/>
    <w:rsid w:val="004163CE"/>
    <w:rsid w:val="004268AF"/>
    <w:rsid w:val="00427B23"/>
    <w:rsid w:val="00430254"/>
    <w:rsid w:val="004305D5"/>
    <w:rsid w:val="00431ACD"/>
    <w:rsid w:val="00436EEB"/>
    <w:rsid w:val="00443C28"/>
    <w:rsid w:val="00444376"/>
    <w:rsid w:val="00446EDD"/>
    <w:rsid w:val="00447ADE"/>
    <w:rsid w:val="004518E8"/>
    <w:rsid w:val="004618F2"/>
    <w:rsid w:val="00461B9F"/>
    <w:rsid w:val="00463FD3"/>
    <w:rsid w:val="00470DC2"/>
    <w:rsid w:val="00490B87"/>
    <w:rsid w:val="00491666"/>
    <w:rsid w:val="004A60D6"/>
    <w:rsid w:val="004B104B"/>
    <w:rsid w:val="004B543A"/>
    <w:rsid w:val="004B6B19"/>
    <w:rsid w:val="004C1E5B"/>
    <w:rsid w:val="004C2756"/>
    <w:rsid w:val="004C6967"/>
    <w:rsid w:val="004C7F1B"/>
    <w:rsid w:val="004D0E7D"/>
    <w:rsid w:val="004D6FC6"/>
    <w:rsid w:val="004D7744"/>
    <w:rsid w:val="004E0E95"/>
    <w:rsid w:val="004F6D0B"/>
    <w:rsid w:val="00500C97"/>
    <w:rsid w:val="0051238A"/>
    <w:rsid w:val="0051294E"/>
    <w:rsid w:val="00513B1A"/>
    <w:rsid w:val="005162A0"/>
    <w:rsid w:val="00517D99"/>
    <w:rsid w:val="00521273"/>
    <w:rsid w:val="0052360D"/>
    <w:rsid w:val="00525AD7"/>
    <w:rsid w:val="00530C2A"/>
    <w:rsid w:val="00567153"/>
    <w:rsid w:val="00591397"/>
    <w:rsid w:val="00593AC2"/>
    <w:rsid w:val="005A08E1"/>
    <w:rsid w:val="005A2AE3"/>
    <w:rsid w:val="005D2363"/>
    <w:rsid w:val="005E314B"/>
    <w:rsid w:val="005F1132"/>
    <w:rsid w:val="005F3843"/>
    <w:rsid w:val="006018AE"/>
    <w:rsid w:val="00607A21"/>
    <w:rsid w:val="0061009E"/>
    <w:rsid w:val="0061148B"/>
    <w:rsid w:val="00634AB8"/>
    <w:rsid w:val="00641142"/>
    <w:rsid w:val="006460DB"/>
    <w:rsid w:val="006525A7"/>
    <w:rsid w:val="00663CD5"/>
    <w:rsid w:val="0067290F"/>
    <w:rsid w:val="006828A8"/>
    <w:rsid w:val="006864E0"/>
    <w:rsid w:val="006926E4"/>
    <w:rsid w:val="00695D67"/>
    <w:rsid w:val="00696BCD"/>
    <w:rsid w:val="00697316"/>
    <w:rsid w:val="006A727B"/>
    <w:rsid w:val="006B17FE"/>
    <w:rsid w:val="006B3168"/>
    <w:rsid w:val="006B49BE"/>
    <w:rsid w:val="006C5479"/>
    <w:rsid w:val="006D3F63"/>
    <w:rsid w:val="006D5C6F"/>
    <w:rsid w:val="006E02A5"/>
    <w:rsid w:val="006E4C1E"/>
    <w:rsid w:val="006F0F99"/>
    <w:rsid w:val="006F1E95"/>
    <w:rsid w:val="006F578E"/>
    <w:rsid w:val="00705CDF"/>
    <w:rsid w:val="00715772"/>
    <w:rsid w:val="007228AC"/>
    <w:rsid w:val="007335F1"/>
    <w:rsid w:val="007403BD"/>
    <w:rsid w:val="00740B3A"/>
    <w:rsid w:val="00755528"/>
    <w:rsid w:val="007620BE"/>
    <w:rsid w:val="00763304"/>
    <w:rsid w:val="007677EF"/>
    <w:rsid w:val="007706C9"/>
    <w:rsid w:val="00771FB2"/>
    <w:rsid w:val="007801E0"/>
    <w:rsid w:val="007809AB"/>
    <w:rsid w:val="0078659E"/>
    <w:rsid w:val="0079396E"/>
    <w:rsid w:val="00795D99"/>
    <w:rsid w:val="007A2548"/>
    <w:rsid w:val="007A2CEC"/>
    <w:rsid w:val="007A3D94"/>
    <w:rsid w:val="007C2FDF"/>
    <w:rsid w:val="007C5FB4"/>
    <w:rsid w:val="007C66C8"/>
    <w:rsid w:val="007C6DBC"/>
    <w:rsid w:val="007D3BDC"/>
    <w:rsid w:val="007D3E36"/>
    <w:rsid w:val="007D58BD"/>
    <w:rsid w:val="007D693B"/>
    <w:rsid w:val="007E7E13"/>
    <w:rsid w:val="007F05AD"/>
    <w:rsid w:val="007F0727"/>
    <w:rsid w:val="007F4AED"/>
    <w:rsid w:val="007F7555"/>
    <w:rsid w:val="007F7F32"/>
    <w:rsid w:val="00805E90"/>
    <w:rsid w:val="0080644B"/>
    <w:rsid w:val="00806C54"/>
    <w:rsid w:val="00810885"/>
    <w:rsid w:val="008120B3"/>
    <w:rsid w:val="00824373"/>
    <w:rsid w:val="0082597C"/>
    <w:rsid w:val="008439B6"/>
    <w:rsid w:val="0084747D"/>
    <w:rsid w:val="00850A02"/>
    <w:rsid w:val="00856157"/>
    <w:rsid w:val="00866D40"/>
    <w:rsid w:val="00881EA6"/>
    <w:rsid w:val="0088316E"/>
    <w:rsid w:val="00885AA7"/>
    <w:rsid w:val="00885B1F"/>
    <w:rsid w:val="00886579"/>
    <w:rsid w:val="00890881"/>
    <w:rsid w:val="00892FD7"/>
    <w:rsid w:val="008958C0"/>
    <w:rsid w:val="00896938"/>
    <w:rsid w:val="008A0717"/>
    <w:rsid w:val="008A3257"/>
    <w:rsid w:val="008A35FB"/>
    <w:rsid w:val="008C3B1D"/>
    <w:rsid w:val="008C4A80"/>
    <w:rsid w:val="008C57A3"/>
    <w:rsid w:val="008D22F1"/>
    <w:rsid w:val="008D35A9"/>
    <w:rsid w:val="008F1926"/>
    <w:rsid w:val="008F28D1"/>
    <w:rsid w:val="008F7669"/>
    <w:rsid w:val="00903CAD"/>
    <w:rsid w:val="009041DC"/>
    <w:rsid w:val="009041F2"/>
    <w:rsid w:val="00905FE6"/>
    <w:rsid w:val="00906923"/>
    <w:rsid w:val="0091124D"/>
    <w:rsid w:val="00911C23"/>
    <w:rsid w:val="00915237"/>
    <w:rsid w:val="009177C2"/>
    <w:rsid w:val="009235BF"/>
    <w:rsid w:val="009249F4"/>
    <w:rsid w:val="00934FCA"/>
    <w:rsid w:val="009363AD"/>
    <w:rsid w:val="00945A9C"/>
    <w:rsid w:val="00954319"/>
    <w:rsid w:val="00960CD5"/>
    <w:rsid w:val="00970CA0"/>
    <w:rsid w:val="00972146"/>
    <w:rsid w:val="00973972"/>
    <w:rsid w:val="00984763"/>
    <w:rsid w:val="00986EEB"/>
    <w:rsid w:val="00992C96"/>
    <w:rsid w:val="00994D5F"/>
    <w:rsid w:val="009B2301"/>
    <w:rsid w:val="009C4788"/>
    <w:rsid w:val="009D0200"/>
    <w:rsid w:val="009D410F"/>
    <w:rsid w:val="009D6010"/>
    <w:rsid w:val="009D79AA"/>
    <w:rsid w:val="009E10B4"/>
    <w:rsid w:val="009E70FB"/>
    <w:rsid w:val="009F0775"/>
    <w:rsid w:val="009F1C41"/>
    <w:rsid w:val="00A00DE1"/>
    <w:rsid w:val="00A03575"/>
    <w:rsid w:val="00A103B8"/>
    <w:rsid w:val="00A32E10"/>
    <w:rsid w:val="00A406F5"/>
    <w:rsid w:val="00A46E45"/>
    <w:rsid w:val="00A520A3"/>
    <w:rsid w:val="00A546A2"/>
    <w:rsid w:val="00A64097"/>
    <w:rsid w:val="00A65932"/>
    <w:rsid w:val="00A65CEB"/>
    <w:rsid w:val="00A67F90"/>
    <w:rsid w:val="00A82104"/>
    <w:rsid w:val="00A854DA"/>
    <w:rsid w:val="00A93C7C"/>
    <w:rsid w:val="00A93D75"/>
    <w:rsid w:val="00AA0B20"/>
    <w:rsid w:val="00AA6DC5"/>
    <w:rsid w:val="00AB17DC"/>
    <w:rsid w:val="00AB6CD0"/>
    <w:rsid w:val="00AC3F71"/>
    <w:rsid w:val="00AD1080"/>
    <w:rsid w:val="00AE493C"/>
    <w:rsid w:val="00B00C47"/>
    <w:rsid w:val="00B02BE6"/>
    <w:rsid w:val="00B12677"/>
    <w:rsid w:val="00B14C54"/>
    <w:rsid w:val="00B152F8"/>
    <w:rsid w:val="00B179C4"/>
    <w:rsid w:val="00B20E1E"/>
    <w:rsid w:val="00B22B33"/>
    <w:rsid w:val="00B23738"/>
    <w:rsid w:val="00B241A8"/>
    <w:rsid w:val="00B5298B"/>
    <w:rsid w:val="00B52ABA"/>
    <w:rsid w:val="00B56948"/>
    <w:rsid w:val="00B724CD"/>
    <w:rsid w:val="00B828E9"/>
    <w:rsid w:val="00B8340B"/>
    <w:rsid w:val="00B85A9E"/>
    <w:rsid w:val="00BA1C3C"/>
    <w:rsid w:val="00BA20B5"/>
    <w:rsid w:val="00BA3475"/>
    <w:rsid w:val="00BA6F99"/>
    <w:rsid w:val="00BC4AF7"/>
    <w:rsid w:val="00BC778E"/>
    <w:rsid w:val="00BC7898"/>
    <w:rsid w:val="00BC7AB2"/>
    <w:rsid w:val="00BD55E8"/>
    <w:rsid w:val="00BE2A26"/>
    <w:rsid w:val="00BE70E4"/>
    <w:rsid w:val="00C02ED7"/>
    <w:rsid w:val="00C06DA0"/>
    <w:rsid w:val="00C1707F"/>
    <w:rsid w:val="00C3329A"/>
    <w:rsid w:val="00C354E8"/>
    <w:rsid w:val="00C456C0"/>
    <w:rsid w:val="00C629AD"/>
    <w:rsid w:val="00C670DE"/>
    <w:rsid w:val="00C74AA4"/>
    <w:rsid w:val="00C77EE8"/>
    <w:rsid w:val="00C814D4"/>
    <w:rsid w:val="00C85696"/>
    <w:rsid w:val="00C85970"/>
    <w:rsid w:val="00C85BE9"/>
    <w:rsid w:val="00CA4C3B"/>
    <w:rsid w:val="00CB26AA"/>
    <w:rsid w:val="00CC16AE"/>
    <w:rsid w:val="00CC1DD0"/>
    <w:rsid w:val="00CC3E48"/>
    <w:rsid w:val="00CC5B40"/>
    <w:rsid w:val="00CC6BAC"/>
    <w:rsid w:val="00CE6422"/>
    <w:rsid w:val="00CE6515"/>
    <w:rsid w:val="00CF40F6"/>
    <w:rsid w:val="00CF52EA"/>
    <w:rsid w:val="00CF54B5"/>
    <w:rsid w:val="00CF5520"/>
    <w:rsid w:val="00D0178A"/>
    <w:rsid w:val="00D01BD1"/>
    <w:rsid w:val="00D02597"/>
    <w:rsid w:val="00D07D44"/>
    <w:rsid w:val="00D14729"/>
    <w:rsid w:val="00D1487C"/>
    <w:rsid w:val="00D20378"/>
    <w:rsid w:val="00D22720"/>
    <w:rsid w:val="00D26282"/>
    <w:rsid w:val="00D30DAB"/>
    <w:rsid w:val="00D347D7"/>
    <w:rsid w:val="00D36790"/>
    <w:rsid w:val="00D417F4"/>
    <w:rsid w:val="00D43B08"/>
    <w:rsid w:val="00D506A1"/>
    <w:rsid w:val="00D51E89"/>
    <w:rsid w:val="00D57811"/>
    <w:rsid w:val="00D644D1"/>
    <w:rsid w:val="00D66ED7"/>
    <w:rsid w:val="00D8137C"/>
    <w:rsid w:val="00D87298"/>
    <w:rsid w:val="00DA4F25"/>
    <w:rsid w:val="00DB1402"/>
    <w:rsid w:val="00DB3DEF"/>
    <w:rsid w:val="00DB43E7"/>
    <w:rsid w:val="00DC24EB"/>
    <w:rsid w:val="00DC4D9E"/>
    <w:rsid w:val="00DC6139"/>
    <w:rsid w:val="00DC631D"/>
    <w:rsid w:val="00DC66DD"/>
    <w:rsid w:val="00DD0160"/>
    <w:rsid w:val="00DD34EF"/>
    <w:rsid w:val="00DE2EBA"/>
    <w:rsid w:val="00DE731F"/>
    <w:rsid w:val="00DF1B38"/>
    <w:rsid w:val="00DF3302"/>
    <w:rsid w:val="00DF6484"/>
    <w:rsid w:val="00E00336"/>
    <w:rsid w:val="00E11216"/>
    <w:rsid w:val="00E200A1"/>
    <w:rsid w:val="00E45826"/>
    <w:rsid w:val="00E50D88"/>
    <w:rsid w:val="00E74A56"/>
    <w:rsid w:val="00E75366"/>
    <w:rsid w:val="00E763C2"/>
    <w:rsid w:val="00E765DE"/>
    <w:rsid w:val="00E86F92"/>
    <w:rsid w:val="00EA4200"/>
    <w:rsid w:val="00EA69BE"/>
    <w:rsid w:val="00EC60F8"/>
    <w:rsid w:val="00ED27EC"/>
    <w:rsid w:val="00EE3AC8"/>
    <w:rsid w:val="00EF769C"/>
    <w:rsid w:val="00EF7D40"/>
    <w:rsid w:val="00F02869"/>
    <w:rsid w:val="00F02A45"/>
    <w:rsid w:val="00F02D3A"/>
    <w:rsid w:val="00F06F31"/>
    <w:rsid w:val="00F075DF"/>
    <w:rsid w:val="00F14D77"/>
    <w:rsid w:val="00F32A6A"/>
    <w:rsid w:val="00F34A17"/>
    <w:rsid w:val="00F40FEA"/>
    <w:rsid w:val="00F42B8F"/>
    <w:rsid w:val="00F6790C"/>
    <w:rsid w:val="00F74C83"/>
    <w:rsid w:val="00F766B5"/>
    <w:rsid w:val="00F80DBD"/>
    <w:rsid w:val="00F86971"/>
    <w:rsid w:val="00F913F9"/>
    <w:rsid w:val="00FA67C9"/>
    <w:rsid w:val="00FC3D6B"/>
    <w:rsid w:val="00FC6AE3"/>
    <w:rsid w:val="00FD41B7"/>
    <w:rsid w:val="00FD4726"/>
    <w:rsid w:val="00FE71AF"/>
    <w:rsid w:val="00FF05D5"/>
    <w:rsid w:val="00FF18C6"/>
    <w:rsid w:val="00FF4E1A"/>
    <w:rsid w:val="047C3184"/>
    <w:rsid w:val="072F2BFA"/>
    <w:rsid w:val="0D70CB32"/>
    <w:rsid w:val="0E3715D1"/>
    <w:rsid w:val="12366331"/>
    <w:rsid w:val="22E45948"/>
    <w:rsid w:val="25D260C8"/>
    <w:rsid w:val="26F5FF2F"/>
    <w:rsid w:val="32561D77"/>
    <w:rsid w:val="55B47EBD"/>
    <w:rsid w:val="59FB4B11"/>
    <w:rsid w:val="6B7FE659"/>
    <w:rsid w:val="6BC6D586"/>
    <w:rsid w:val="7310B1A0"/>
    <w:rsid w:val="73BBD45D"/>
    <w:rsid w:val="773EBEF7"/>
    <w:rsid w:val="776CDC15"/>
    <w:rsid w:val="7EDB7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87ABC"/>
  <w15:docId w15:val="{A8326C38-E2D3-4EC9-BB28-E0EA17D4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iPriority="29" w:unhideWhenUsed="1"/>
    <w:lsdException w:name="footer" w:semiHidden="1" w:uiPriority="29"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69"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qFormat/>
    <w:rsid w:val="003B7CFF"/>
    <w:pPr>
      <w:keepNext/>
      <w:keepLines/>
      <w:numPr>
        <w:numId w:val="1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qFormat/>
    <w:rsid w:val="00705CDF"/>
    <w:pPr>
      <w:keepNext/>
      <w:keepLines/>
      <w:numPr>
        <w:ilvl w:val="1"/>
        <w:numId w:val="13"/>
      </w:numPr>
      <w:tabs>
        <w:tab w:val="clear" w:pos="1844"/>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qFormat/>
    <w:rsid w:val="003B7CFF"/>
    <w:pPr>
      <w:keepNext/>
      <w:keepLines/>
      <w:numPr>
        <w:ilvl w:val="2"/>
        <w:numId w:val="1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qFormat/>
    <w:rsid w:val="003B7CFF"/>
    <w:pPr>
      <w:keepNext/>
      <w:keepLines/>
      <w:numPr>
        <w:ilvl w:val="3"/>
        <w:numId w:val="1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1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1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1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1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1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basedOn w:val="Normal"/>
    <w:link w:val="CommentTextChar"/>
    <w:uiPriority w:val="69"/>
    <w:semiHidden/>
    <w:rsid w:val="003B7CFF"/>
    <w:rPr>
      <w:sz w:val="20"/>
      <w:szCs w:val="20"/>
    </w:rPr>
  </w:style>
  <w:style w:type="character" w:customStyle="1" w:styleId="CommentTextChar">
    <w:name w:val="Comment Text Char"/>
    <w:basedOn w:val="DefaultParagraphFont"/>
    <w:link w:val="CommentText"/>
    <w:uiPriority w:val="9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9"/>
    <w:qFormat/>
    <w:rsid w:val="003B7CFF"/>
    <w:pPr>
      <w:numPr>
        <w:numId w:val="21"/>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uiPriority w:val="29"/>
    <w:rsid w:val="003B7CFF"/>
  </w:style>
  <w:style w:type="character" w:customStyle="1" w:styleId="FooterChar">
    <w:name w:val="Footer Char"/>
    <w:basedOn w:val="DefaultParagraphFont"/>
    <w:link w:val="Footer"/>
    <w:uiPriority w:val="29"/>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1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23"/>
      </w:numPr>
    </w:pPr>
  </w:style>
  <w:style w:type="numbering" w:styleId="1ai">
    <w:name w:val="Outline List 1"/>
    <w:basedOn w:val="NoList"/>
    <w:uiPriority w:val="99"/>
    <w:semiHidden/>
    <w:unhideWhenUsed/>
    <w:rsid w:val="003B7CFF"/>
    <w:pPr>
      <w:numPr>
        <w:numId w:val="24"/>
      </w:numPr>
    </w:pPr>
  </w:style>
  <w:style w:type="numbering" w:styleId="ArticleSection">
    <w:name w:val="Outline List 3"/>
    <w:basedOn w:val="NoList"/>
    <w:uiPriority w:val="99"/>
    <w:semiHidden/>
    <w:unhideWhenUsed/>
    <w:rsid w:val="003B7CFF"/>
    <w:pPr>
      <w:numPr>
        <w:numId w:val="25"/>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21"/>
      </w:numPr>
      <w:spacing w:before="60" w:after="60"/>
    </w:pPr>
  </w:style>
  <w:style w:type="paragraph" w:styleId="ListBullet3">
    <w:name w:val="List Bullet 3"/>
    <w:basedOn w:val="Normal"/>
    <w:uiPriority w:val="9"/>
    <w:qFormat/>
    <w:rsid w:val="003B7CFF"/>
    <w:pPr>
      <w:numPr>
        <w:ilvl w:val="2"/>
        <w:numId w:val="21"/>
      </w:numPr>
      <w:spacing w:before="60" w:after="60"/>
    </w:pPr>
  </w:style>
  <w:style w:type="paragraph" w:styleId="ListBullet4">
    <w:name w:val="List Bullet 4"/>
    <w:basedOn w:val="Normal"/>
    <w:uiPriority w:val="99"/>
    <w:semiHidden/>
    <w:rsid w:val="003B7CFF"/>
    <w:pPr>
      <w:numPr>
        <w:ilvl w:val="3"/>
        <w:numId w:val="21"/>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22"/>
      </w:numPr>
      <w:spacing w:before="40" w:after="40"/>
    </w:pPr>
    <w:rPr>
      <w:sz w:val="20"/>
      <w:szCs w:val="48"/>
    </w:rPr>
  </w:style>
  <w:style w:type="paragraph" w:customStyle="1" w:styleId="ListBulletSmall2">
    <w:name w:val="List Bullet Small 2"/>
    <w:basedOn w:val="ListBullet2"/>
    <w:uiPriority w:val="9"/>
    <w:qFormat/>
    <w:rsid w:val="003B7CFF"/>
    <w:pPr>
      <w:numPr>
        <w:numId w:val="22"/>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1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26"/>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19"/>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customStyle="1" w:styleId="UnresolvedMention1">
    <w:name w:val="Unresolved Mention1"/>
    <w:basedOn w:val="DefaultParagraphFont"/>
    <w:uiPriority w:val="99"/>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28"/>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3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659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5A2AE3"/>
  </w:style>
  <w:style w:type="character" w:customStyle="1" w:styleId="eop">
    <w:name w:val="eop"/>
    <w:basedOn w:val="DefaultParagraphFont"/>
    <w:rsid w:val="005A2AE3"/>
  </w:style>
  <w:style w:type="character" w:customStyle="1" w:styleId="SmartLink1">
    <w:name w:val="SmartLink1"/>
    <w:basedOn w:val="DefaultParagraphFont"/>
    <w:uiPriority w:val="99"/>
    <w:semiHidden/>
    <w:unhideWhenUsed/>
    <w:rsid w:val="00934FCA"/>
    <w:rPr>
      <w:color w:val="0000FF" w:themeColor="hyperlink"/>
      <w:u w:val="single"/>
      <w:shd w:val="clear" w:color="auto" w:fill="E1DFDD"/>
    </w:rPr>
  </w:style>
  <w:style w:type="character" w:customStyle="1" w:styleId="SmartLinkError1">
    <w:name w:val="SmartLinkError1"/>
    <w:basedOn w:val="DefaultParagraphFont"/>
    <w:uiPriority w:val="99"/>
    <w:semiHidden/>
    <w:unhideWhenUsed/>
    <w:rsid w:val="00934FC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rrob\Box%20Sync\AU-COMM-REGAFFAIRS-S\Administration\Forms%20and%20Templates\Mod%201%20&amp;%20labelling\pi-annotated-template-black-triangle%202702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FD469F0B12B43A67F5B3C08EF3807" ma:contentTypeVersion="0" ma:contentTypeDescription="Create a new document." ma:contentTypeScope="" ma:versionID="a234de2859dd16e3b1deb04251f5cd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0DCB-59E5-4CA7-8A4B-6CED043FD5BE}">
  <ds:schemaRefs>
    <ds:schemaRef ds:uri="http://schemas.microsoft.com/sharepoint/v3/contenttype/forms"/>
  </ds:schemaRefs>
</ds:datastoreItem>
</file>

<file path=customXml/itemProps2.xml><?xml version="1.0" encoding="utf-8"?>
<ds:datastoreItem xmlns:ds="http://schemas.openxmlformats.org/officeDocument/2006/customXml" ds:itemID="{CCFC74B0-F76D-47FB-94FE-2DC78DD52739}">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F5E8FF57-C414-4AA1-8D61-99520325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1CE23F-09DB-4B7D-A4C9-104DAC98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pi-annotated-template-black-triangle 27022019.dotx</Template>
  <TotalTime>11</TotalTime>
  <Pages>12</Pages>
  <Words>4253</Words>
  <Characters>24247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AstraZeneca</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Hurlston, Robyn</dc:creator>
  <cp:lastPrinted>2017-11-14T00:13:00Z</cp:lastPrinted>
  <dcterms:created xsi:type="dcterms:W3CDTF">2021-02-15T12:19:00Z</dcterms:created>
  <dcterms:modified xsi:type="dcterms:W3CDTF">2021-02-24T23:02:00Z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GEL_DocumentName">
    <vt:lpwstr>ANGEL_DocumentName</vt:lpwstr>
  </property>
  <property fmtid="{D5CDD505-2E9C-101B-9397-08002B2CF9AE}" pid="3" name="ANGEL_Document_ID">
    <vt:lpwstr>ANGEL_DocID</vt:lpwstr>
  </property>
  <property fmtid="{D5CDD505-2E9C-101B-9397-08002B2CF9AE}" pid="4" name="ANGEL_Document_Status">
    <vt:lpwstr>ANGEL_Status </vt:lpwstr>
  </property>
  <property fmtid="{D5CDD505-2E9C-101B-9397-08002B2CF9AE}" pid="5" name="ANGEL_DosageForm">
    <vt:lpwstr>DosageForm</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Version">
    <vt:lpwstr>ANGEL_Version</vt:lpwstr>
  </property>
  <property fmtid="{D5CDD505-2E9C-101B-9397-08002B2CF9AE}" pid="10" name="ContentTypeId">
    <vt:lpwstr>0x010100C12FD469F0B12B43A67F5B3C08EF3807</vt:lpwstr>
  </property>
  <property fmtid="{D5CDD505-2E9C-101B-9397-08002B2CF9AE}" pid="11" name="HeadingCaptions">
    <vt:lpwstr>No</vt:lpwstr>
  </property>
  <property fmtid="{D5CDD505-2E9C-101B-9397-08002B2CF9AE}" pid="12" name="Prefix">
    <vt:lpwstr/>
  </property>
</Properties>
</file>