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D4E39A8" w14:textId="77777777" w:rsidTr="00BF1190">
        <w:trPr>
          <w:trHeight w:val="1863"/>
        </w:trPr>
        <w:tc>
          <w:tcPr>
            <w:tcW w:w="3652" w:type="dxa"/>
            <w:tcBorders>
              <w:top w:val="nil"/>
              <w:left w:val="nil"/>
              <w:bottom w:val="nil"/>
              <w:right w:val="nil"/>
            </w:tcBorders>
          </w:tcPr>
          <w:p w14:paraId="7CE80D2C" w14:textId="26BC9113" w:rsidR="008E7846" w:rsidRPr="00096AA7" w:rsidRDefault="00E939CF" w:rsidP="00096AA7">
            <w:pPr>
              <w:rPr>
                <w:rFonts w:ascii="Arial" w:hAnsi="Arial" w:cs="Arial"/>
                <w:b/>
                <w:color w:val="002C47"/>
                <w:sz w:val="36"/>
                <w:szCs w:val="36"/>
              </w:rPr>
            </w:pPr>
            <w:r>
              <w:rPr>
                <w:rFonts w:ascii="Arial" w:hAnsi="Arial" w:cs="Arial"/>
                <w:b/>
                <w:color w:val="002C47"/>
                <w:sz w:val="36"/>
                <w:szCs w:val="36"/>
              </w:rPr>
              <w:t>February</w:t>
            </w:r>
            <w:r w:rsidR="00BC3087">
              <w:rPr>
                <w:rFonts w:ascii="Arial" w:hAnsi="Arial" w:cs="Arial"/>
                <w:b/>
                <w:color w:val="002C47"/>
                <w:sz w:val="36"/>
                <w:szCs w:val="36"/>
              </w:rPr>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AB7B9D7" w14:textId="77777777" w:rsidTr="0032583B">
        <w:trPr>
          <w:trHeight w:val="868"/>
        </w:trPr>
        <w:tc>
          <w:tcPr>
            <w:tcW w:w="9079" w:type="dxa"/>
          </w:tcPr>
          <w:p w14:paraId="6D06D8CA" w14:textId="4681AA5A"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BC3087">
              <w:rPr>
                <w:color w:val="FFFFFF" w:themeColor="background1"/>
              </w:rPr>
              <w:t>ChAdOx-1-S</w:t>
            </w:r>
          </w:p>
        </w:tc>
      </w:tr>
      <w:tr w:rsidR="0032583B" w:rsidRPr="00B64760" w14:paraId="6E3C56FB" w14:textId="77777777" w:rsidTr="0032583B">
        <w:tc>
          <w:tcPr>
            <w:tcW w:w="9079" w:type="dxa"/>
          </w:tcPr>
          <w:p w14:paraId="35613BB5" w14:textId="581B17C7"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BC3087">
              <w:rPr>
                <w:color w:val="FFFFFF" w:themeColor="background1"/>
              </w:rPr>
              <w:t>Vaxzevria</w:t>
            </w:r>
            <w:proofErr w:type="spellEnd"/>
          </w:p>
        </w:tc>
      </w:tr>
      <w:tr w:rsidR="0032583B" w:rsidRPr="00B64760" w14:paraId="433FAFFD" w14:textId="77777777" w:rsidTr="0032583B">
        <w:trPr>
          <w:trHeight w:val="486"/>
        </w:trPr>
        <w:tc>
          <w:tcPr>
            <w:tcW w:w="9079" w:type="dxa"/>
          </w:tcPr>
          <w:p w14:paraId="1BE1DF49" w14:textId="198E3ECD" w:rsidR="0032583B" w:rsidRPr="008E7846" w:rsidRDefault="00460036" w:rsidP="0032583B">
            <w:pPr>
              <w:pStyle w:val="Subtitle"/>
              <w:rPr>
                <w:color w:val="FFFFFF" w:themeColor="background1"/>
              </w:rPr>
            </w:pPr>
            <w:r>
              <w:rPr>
                <w:color w:val="FFFFFF" w:themeColor="background1"/>
              </w:rPr>
              <w:t xml:space="preserve">Sponsor: </w:t>
            </w:r>
            <w:r w:rsidR="00BC3087">
              <w:rPr>
                <w:color w:val="FFFFFF" w:themeColor="background1"/>
              </w:rPr>
              <w:t>AstraZeneca Pty Ltd</w:t>
            </w:r>
          </w:p>
        </w:tc>
      </w:tr>
    </w:tbl>
    <w:p w14:paraId="7D4F46C9" w14:textId="77777777" w:rsidR="008E7846" w:rsidRPr="0085156D" w:rsidRDefault="008E7846" w:rsidP="0085156D">
      <w:r w:rsidRPr="0085156D">
        <w:br w:type="page"/>
      </w:r>
    </w:p>
    <w:p w14:paraId="655B90F7" w14:textId="77777777" w:rsidR="008E7846" w:rsidRPr="001F6CBA" w:rsidRDefault="008E7846" w:rsidP="008E7846">
      <w:pPr>
        <w:pStyle w:val="NonTOCHeading2"/>
      </w:pPr>
      <w:r w:rsidRPr="001F6CBA">
        <w:lastRenderedPageBreak/>
        <w:t>About the Therapeutic Goods Administration (TGA)</w:t>
      </w:r>
    </w:p>
    <w:p w14:paraId="04D54EFE"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6441209"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C7499BD"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03AE9E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F2B779E" w14:textId="16A778EF"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198AD30" w14:textId="77777777" w:rsidR="008E7846" w:rsidRDefault="008E7846" w:rsidP="00875A6B">
      <w:pPr>
        <w:pStyle w:val="NonTOCHeading2"/>
      </w:pPr>
      <w:r>
        <w:t xml:space="preserve">About </w:t>
      </w:r>
      <w:proofErr w:type="spellStart"/>
      <w:r>
        <w:t>AusPARs</w:t>
      </w:r>
      <w:proofErr w:type="spellEnd"/>
    </w:p>
    <w:p w14:paraId="2938B42D"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7F64DC7D"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5B6BA5D0"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4BC506E3"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60A602A3"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5BC00EB0" w14:textId="77777777" w:rsidR="00924482" w:rsidRPr="00DF1D7F" w:rsidRDefault="00924482" w:rsidP="00F54B65">
      <w:pPr>
        <w:pStyle w:val="LegalSubheading"/>
        <w:spacing w:before="3120"/>
      </w:pPr>
      <w:r w:rsidRPr="00DF1D7F">
        <w:t>Copyright</w:t>
      </w:r>
    </w:p>
    <w:p w14:paraId="72007038" w14:textId="31D7279E"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D76F39">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15DDFEF8"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08B35DB" w14:textId="77777777" w:rsidR="0089635C" w:rsidRPr="0089635C" w:rsidRDefault="0089635C" w:rsidP="0010788A">
          <w:pPr>
            <w:pStyle w:val="Contents"/>
          </w:pPr>
          <w:r w:rsidRPr="0010788A">
            <w:t>Contents</w:t>
          </w:r>
        </w:p>
        <w:p w14:paraId="27BAA51B" w14:textId="1E9E1FFA" w:rsidR="00FB3066"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95891646" w:history="1">
            <w:r w:rsidR="00FB3066" w:rsidRPr="00EE1D11">
              <w:rPr>
                <w:rStyle w:val="Hyperlink"/>
                <w:noProof/>
              </w:rPr>
              <w:t>List of abbreviations</w:t>
            </w:r>
            <w:r w:rsidR="00FB3066">
              <w:rPr>
                <w:noProof/>
                <w:webHidden/>
              </w:rPr>
              <w:tab/>
            </w:r>
            <w:r w:rsidR="00FB3066">
              <w:rPr>
                <w:noProof/>
                <w:webHidden/>
              </w:rPr>
              <w:fldChar w:fldCharType="begin"/>
            </w:r>
            <w:r w:rsidR="00FB3066">
              <w:rPr>
                <w:noProof/>
                <w:webHidden/>
              </w:rPr>
              <w:instrText xml:space="preserve"> PAGEREF _Toc95891646 \h </w:instrText>
            </w:r>
            <w:r w:rsidR="00FB3066">
              <w:rPr>
                <w:noProof/>
                <w:webHidden/>
              </w:rPr>
            </w:r>
            <w:r w:rsidR="00FB3066">
              <w:rPr>
                <w:noProof/>
                <w:webHidden/>
              </w:rPr>
              <w:fldChar w:fldCharType="separate"/>
            </w:r>
            <w:r w:rsidR="002B3478">
              <w:rPr>
                <w:noProof/>
                <w:webHidden/>
              </w:rPr>
              <w:t>4</w:t>
            </w:r>
            <w:r w:rsidR="00FB3066">
              <w:rPr>
                <w:noProof/>
                <w:webHidden/>
              </w:rPr>
              <w:fldChar w:fldCharType="end"/>
            </w:r>
          </w:hyperlink>
        </w:p>
        <w:p w14:paraId="3E5CB647" w14:textId="0F233A69" w:rsidR="00FB3066" w:rsidRDefault="00000000">
          <w:pPr>
            <w:pStyle w:val="TOC1"/>
            <w:rPr>
              <w:rFonts w:asciiTheme="minorHAnsi" w:eastAsiaTheme="minorEastAsia" w:hAnsiTheme="minorHAnsi" w:cstheme="minorBidi"/>
              <w:b w:val="0"/>
              <w:noProof/>
              <w:sz w:val="22"/>
              <w:lang w:eastAsia="en-AU"/>
            </w:rPr>
          </w:pPr>
          <w:hyperlink w:anchor="_Toc95891647" w:history="1">
            <w:r w:rsidR="00FB3066" w:rsidRPr="00EE1D11">
              <w:rPr>
                <w:rStyle w:val="Hyperlink"/>
                <w:noProof/>
              </w:rPr>
              <w:t>I. Introduction to product submission</w:t>
            </w:r>
            <w:r w:rsidR="00FB3066">
              <w:rPr>
                <w:noProof/>
                <w:webHidden/>
              </w:rPr>
              <w:tab/>
            </w:r>
            <w:r w:rsidR="00FB3066">
              <w:rPr>
                <w:noProof/>
                <w:webHidden/>
              </w:rPr>
              <w:fldChar w:fldCharType="begin"/>
            </w:r>
            <w:r w:rsidR="00FB3066">
              <w:rPr>
                <w:noProof/>
                <w:webHidden/>
              </w:rPr>
              <w:instrText xml:space="preserve"> PAGEREF _Toc95891647 \h </w:instrText>
            </w:r>
            <w:r w:rsidR="00FB3066">
              <w:rPr>
                <w:noProof/>
                <w:webHidden/>
              </w:rPr>
            </w:r>
            <w:r w:rsidR="00FB3066">
              <w:rPr>
                <w:noProof/>
                <w:webHidden/>
              </w:rPr>
              <w:fldChar w:fldCharType="separate"/>
            </w:r>
            <w:r w:rsidR="002B3478">
              <w:rPr>
                <w:noProof/>
                <w:webHidden/>
              </w:rPr>
              <w:t>6</w:t>
            </w:r>
            <w:r w:rsidR="00FB3066">
              <w:rPr>
                <w:noProof/>
                <w:webHidden/>
              </w:rPr>
              <w:fldChar w:fldCharType="end"/>
            </w:r>
          </w:hyperlink>
        </w:p>
        <w:p w14:paraId="05C9A7D9" w14:textId="5AA67D51" w:rsidR="00FB3066" w:rsidRDefault="00000000">
          <w:pPr>
            <w:pStyle w:val="TOC2"/>
            <w:rPr>
              <w:rFonts w:asciiTheme="minorHAnsi" w:eastAsiaTheme="minorEastAsia" w:hAnsiTheme="minorHAnsi" w:cstheme="minorBidi"/>
              <w:b w:val="0"/>
              <w:noProof/>
              <w:sz w:val="22"/>
              <w:lang w:eastAsia="en-AU"/>
            </w:rPr>
          </w:pPr>
          <w:hyperlink w:anchor="_Toc95891648" w:history="1">
            <w:r w:rsidR="00FB3066" w:rsidRPr="00EE1D11">
              <w:rPr>
                <w:rStyle w:val="Hyperlink"/>
                <w:noProof/>
                <w:lang w:eastAsia="en-AU"/>
              </w:rPr>
              <w:t>Submission details</w:t>
            </w:r>
            <w:r w:rsidR="00FB3066">
              <w:rPr>
                <w:noProof/>
                <w:webHidden/>
              </w:rPr>
              <w:tab/>
            </w:r>
            <w:r w:rsidR="00FB3066">
              <w:rPr>
                <w:noProof/>
                <w:webHidden/>
              </w:rPr>
              <w:fldChar w:fldCharType="begin"/>
            </w:r>
            <w:r w:rsidR="00FB3066">
              <w:rPr>
                <w:noProof/>
                <w:webHidden/>
              </w:rPr>
              <w:instrText xml:space="preserve"> PAGEREF _Toc95891648 \h </w:instrText>
            </w:r>
            <w:r w:rsidR="00FB3066">
              <w:rPr>
                <w:noProof/>
                <w:webHidden/>
              </w:rPr>
            </w:r>
            <w:r w:rsidR="00FB3066">
              <w:rPr>
                <w:noProof/>
                <w:webHidden/>
              </w:rPr>
              <w:fldChar w:fldCharType="separate"/>
            </w:r>
            <w:r w:rsidR="002B3478">
              <w:rPr>
                <w:noProof/>
                <w:webHidden/>
              </w:rPr>
              <w:t>6</w:t>
            </w:r>
            <w:r w:rsidR="00FB3066">
              <w:rPr>
                <w:noProof/>
                <w:webHidden/>
              </w:rPr>
              <w:fldChar w:fldCharType="end"/>
            </w:r>
          </w:hyperlink>
        </w:p>
        <w:p w14:paraId="2438F272" w14:textId="03A2E5E7" w:rsidR="00FB3066" w:rsidRDefault="00000000">
          <w:pPr>
            <w:pStyle w:val="TOC2"/>
            <w:rPr>
              <w:rFonts w:asciiTheme="minorHAnsi" w:eastAsiaTheme="minorEastAsia" w:hAnsiTheme="minorHAnsi" w:cstheme="minorBidi"/>
              <w:b w:val="0"/>
              <w:noProof/>
              <w:sz w:val="22"/>
              <w:lang w:eastAsia="en-AU"/>
            </w:rPr>
          </w:pPr>
          <w:hyperlink w:anchor="_Toc95891649" w:history="1">
            <w:r w:rsidR="00FB3066" w:rsidRPr="00EE1D11">
              <w:rPr>
                <w:rStyle w:val="Hyperlink"/>
                <w:noProof/>
              </w:rPr>
              <w:t>Product background</w:t>
            </w:r>
            <w:r w:rsidR="00FB3066">
              <w:rPr>
                <w:noProof/>
                <w:webHidden/>
              </w:rPr>
              <w:tab/>
            </w:r>
            <w:r w:rsidR="00FB3066">
              <w:rPr>
                <w:noProof/>
                <w:webHidden/>
              </w:rPr>
              <w:fldChar w:fldCharType="begin"/>
            </w:r>
            <w:r w:rsidR="00FB3066">
              <w:rPr>
                <w:noProof/>
                <w:webHidden/>
              </w:rPr>
              <w:instrText xml:space="preserve"> PAGEREF _Toc95891649 \h </w:instrText>
            </w:r>
            <w:r w:rsidR="00FB3066">
              <w:rPr>
                <w:noProof/>
                <w:webHidden/>
              </w:rPr>
            </w:r>
            <w:r w:rsidR="00FB3066">
              <w:rPr>
                <w:noProof/>
                <w:webHidden/>
              </w:rPr>
              <w:fldChar w:fldCharType="separate"/>
            </w:r>
            <w:r w:rsidR="002B3478">
              <w:rPr>
                <w:noProof/>
                <w:webHidden/>
              </w:rPr>
              <w:t>7</w:t>
            </w:r>
            <w:r w:rsidR="00FB3066">
              <w:rPr>
                <w:noProof/>
                <w:webHidden/>
              </w:rPr>
              <w:fldChar w:fldCharType="end"/>
            </w:r>
          </w:hyperlink>
        </w:p>
        <w:p w14:paraId="37B9C540" w14:textId="7BEFBB59" w:rsidR="00FB3066" w:rsidRDefault="00000000">
          <w:pPr>
            <w:pStyle w:val="TOC2"/>
            <w:rPr>
              <w:rFonts w:asciiTheme="minorHAnsi" w:eastAsiaTheme="minorEastAsia" w:hAnsiTheme="minorHAnsi" w:cstheme="minorBidi"/>
              <w:b w:val="0"/>
              <w:noProof/>
              <w:sz w:val="22"/>
              <w:lang w:eastAsia="en-AU"/>
            </w:rPr>
          </w:pPr>
          <w:hyperlink w:anchor="_Toc95891650" w:history="1">
            <w:r w:rsidR="00FB3066" w:rsidRPr="00EE1D11">
              <w:rPr>
                <w:rStyle w:val="Hyperlink"/>
                <w:noProof/>
              </w:rPr>
              <w:t>Regulatory status</w:t>
            </w:r>
            <w:r w:rsidR="00FB3066">
              <w:rPr>
                <w:noProof/>
                <w:webHidden/>
              </w:rPr>
              <w:tab/>
            </w:r>
            <w:r w:rsidR="00FB3066">
              <w:rPr>
                <w:noProof/>
                <w:webHidden/>
              </w:rPr>
              <w:fldChar w:fldCharType="begin"/>
            </w:r>
            <w:r w:rsidR="00FB3066">
              <w:rPr>
                <w:noProof/>
                <w:webHidden/>
              </w:rPr>
              <w:instrText xml:space="preserve"> PAGEREF _Toc95891650 \h </w:instrText>
            </w:r>
            <w:r w:rsidR="00FB3066">
              <w:rPr>
                <w:noProof/>
                <w:webHidden/>
              </w:rPr>
            </w:r>
            <w:r w:rsidR="00FB3066">
              <w:rPr>
                <w:noProof/>
                <w:webHidden/>
              </w:rPr>
              <w:fldChar w:fldCharType="separate"/>
            </w:r>
            <w:r w:rsidR="002B3478">
              <w:rPr>
                <w:noProof/>
                <w:webHidden/>
              </w:rPr>
              <w:t>8</w:t>
            </w:r>
            <w:r w:rsidR="00FB3066">
              <w:rPr>
                <w:noProof/>
                <w:webHidden/>
              </w:rPr>
              <w:fldChar w:fldCharType="end"/>
            </w:r>
          </w:hyperlink>
        </w:p>
        <w:p w14:paraId="6CD0E6D0" w14:textId="2EE1BD61" w:rsidR="00FB3066" w:rsidRDefault="00000000">
          <w:pPr>
            <w:pStyle w:val="TOC2"/>
            <w:rPr>
              <w:rFonts w:asciiTheme="minorHAnsi" w:eastAsiaTheme="minorEastAsia" w:hAnsiTheme="minorHAnsi" w:cstheme="minorBidi"/>
              <w:b w:val="0"/>
              <w:noProof/>
              <w:sz w:val="22"/>
              <w:lang w:eastAsia="en-AU"/>
            </w:rPr>
          </w:pPr>
          <w:hyperlink w:anchor="_Toc95891651" w:history="1">
            <w:r w:rsidR="00FB3066" w:rsidRPr="00EE1D11">
              <w:rPr>
                <w:rStyle w:val="Hyperlink"/>
                <w:noProof/>
              </w:rPr>
              <w:t>Product Information</w:t>
            </w:r>
            <w:r w:rsidR="00FB3066">
              <w:rPr>
                <w:noProof/>
                <w:webHidden/>
              </w:rPr>
              <w:tab/>
            </w:r>
            <w:r w:rsidR="00FB3066">
              <w:rPr>
                <w:noProof/>
                <w:webHidden/>
              </w:rPr>
              <w:fldChar w:fldCharType="begin"/>
            </w:r>
            <w:r w:rsidR="00FB3066">
              <w:rPr>
                <w:noProof/>
                <w:webHidden/>
              </w:rPr>
              <w:instrText xml:space="preserve"> PAGEREF _Toc95891651 \h </w:instrText>
            </w:r>
            <w:r w:rsidR="00FB3066">
              <w:rPr>
                <w:noProof/>
                <w:webHidden/>
              </w:rPr>
            </w:r>
            <w:r w:rsidR="00FB3066">
              <w:rPr>
                <w:noProof/>
                <w:webHidden/>
              </w:rPr>
              <w:fldChar w:fldCharType="separate"/>
            </w:r>
            <w:r w:rsidR="002B3478">
              <w:rPr>
                <w:noProof/>
                <w:webHidden/>
              </w:rPr>
              <w:t>9</w:t>
            </w:r>
            <w:r w:rsidR="00FB3066">
              <w:rPr>
                <w:noProof/>
                <w:webHidden/>
              </w:rPr>
              <w:fldChar w:fldCharType="end"/>
            </w:r>
          </w:hyperlink>
        </w:p>
        <w:p w14:paraId="2533AD1B" w14:textId="004743C2" w:rsidR="00FB3066" w:rsidRDefault="00000000">
          <w:pPr>
            <w:pStyle w:val="TOC1"/>
            <w:rPr>
              <w:rFonts w:asciiTheme="minorHAnsi" w:eastAsiaTheme="minorEastAsia" w:hAnsiTheme="minorHAnsi" w:cstheme="minorBidi"/>
              <w:b w:val="0"/>
              <w:noProof/>
              <w:sz w:val="22"/>
              <w:lang w:eastAsia="en-AU"/>
            </w:rPr>
          </w:pPr>
          <w:hyperlink w:anchor="_Toc95891652" w:history="1">
            <w:r w:rsidR="00FB3066" w:rsidRPr="00EE1D11">
              <w:rPr>
                <w:rStyle w:val="Hyperlink"/>
                <w:noProof/>
              </w:rPr>
              <w:t>II. Registration timeline</w:t>
            </w:r>
            <w:r w:rsidR="00FB3066">
              <w:rPr>
                <w:noProof/>
                <w:webHidden/>
              </w:rPr>
              <w:tab/>
            </w:r>
            <w:r w:rsidR="00FB3066">
              <w:rPr>
                <w:noProof/>
                <w:webHidden/>
              </w:rPr>
              <w:fldChar w:fldCharType="begin"/>
            </w:r>
            <w:r w:rsidR="00FB3066">
              <w:rPr>
                <w:noProof/>
                <w:webHidden/>
              </w:rPr>
              <w:instrText xml:space="preserve"> PAGEREF _Toc95891652 \h </w:instrText>
            </w:r>
            <w:r w:rsidR="00FB3066">
              <w:rPr>
                <w:noProof/>
                <w:webHidden/>
              </w:rPr>
            </w:r>
            <w:r w:rsidR="00FB3066">
              <w:rPr>
                <w:noProof/>
                <w:webHidden/>
              </w:rPr>
              <w:fldChar w:fldCharType="separate"/>
            </w:r>
            <w:r w:rsidR="002B3478">
              <w:rPr>
                <w:noProof/>
                <w:webHidden/>
              </w:rPr>
              <w:t>9</w:t>
            </w:r>
            <w:r w:rsidR="00FB3066">
              <w:rPr>
                <w:noProof/>
                <w:webHidden/>
              </w:rPr>
              <w:fldChar w:fldCharType="end"/>
            </w:r>
          </w:hyperlink>
        </w:p>
        <w:p w14:paraId="4A849BE1" w14:textId="001A5665" w:rsidR="00FB3066" w:rsidRDefault="00000000">
          <w:pPr>
            <w:pStyle w:val="TOC1"/>
            <w:rPr>
              <w:rFonts w:asciiTheme="minorHAnsi" w:eastAsiaTheme="minorEastAsia" w:hAnsiTheme="minorHAnsi" w:cstheme="minorBidi"/>
              <w:b w:val="0"/>
              <w:noProof/>
              <w:sz w:val="22"/>
              <w:lang w:eastAsia="en-AU"/>
            </w:rPr>
          </w:pPr>
          <w:hyperlink w:anchor="_Toc95891653" w:history="1">
            <w:r w:rsidR="00FB3066" w:rsidRPr="00EE1D11">
              <w:rPr>
                <w:rStyle w:val="Hyperlink"/>
                <w:noProof/>
              </w:rPr>
              <w:t>III. Submission overview and risk/benefit assessment</w:t>
            </w:r>
            <w:r w:rsidR="00FB3066">
              <w:rPr>
                <w:noProof/>
                <w:webHidden/>
              </w:rPr>
              <w:tab/>
            </w:r>
            <w:r w:rsidR="00FB3066">
              <w:rPr>
                <w:noProof/>
                <w:webHidden/>
              </w:rPr>
              <w:fldChar w:fldCharType="begin"/>
            </w:r>
            <w:r w:rsidR="00FB3066">
              <w:rPr>
                <w:noProof/>
                <w:webHidden/>
              </w:rPr>
              <w:instrText xml:space="preserve"> PAGEREF _Toc95891653 \h </w:instrText>
            </w:r>
            <w:r w:rsidR="00FB3066">
              <w:rPr>
                <w:noProof/>
                <w:webHidden/>
              </w:rPr>
            </w:r>
            <w:r w:rsidR="00FB3066">
              <w:rPr>
                <w:noProof/>
                <w:webHidden/>
              </w:rPr>
              <w:fldChar w:fldCharType="separate"/>
            </w:r>
            <w:r w:rsidR="002B3478">
              <w:rPr>
                <w:noProof/>
                <w:webHidden/>
              </w:rPr>
              <w:t>10</w:t>
            </w:r>
            <w:r w:rsidR="00FB3066">
              <w:rPr>
                <w:noProof/>
                <w:webHidden/>
              </w:rPr>
              <w:fldChar w:fldCharType="end"/>
            </w:r>
          </w:hyperlink>
        </w:p>
        <w:p w14:paraId="5C5CF3FB" w14:textId="4331490C" w:rsidR="00FB3066" w:rsidRDefault="00000000">
          <w:pPr>
            <w:pStyle w:val="TOC2"/>
            <w:rPr>
              <w:rFonts w:asciiTheme="minorHAnsi" w:eastAsiaTheme="minorEastAsia" w:hAnsiTheme="minorHAnsi" w:cstheme="minorBidi"/>
              <w:b w:val="0"/>
              <w:noProof/>
              <w:sz w:val="22"/>
              <w:lang w:eastAsia="en-AU"/>
            </w:rPr>
          </w:pPr>
          <w:hyperlink w:anchor="_Toc95891654" w:history="1">
            <w:r w:rsidR="00FB3066" w:rsidRPr="00EE1D11">
              <w:rPr>
                <w:rStyle w:val="Hyperlink"/>
                <w:noProof/>
              </w:rPr>
              <w:t>Quality</w:t>
            </w:r>
            <w:r w:rsidR="00FB3066">
              <w:rPr>
                <w:noProof/>
                <w:webHidden/>
              </w:rPr>
              <w:tab/>
            </w:r>
            <w:r w:rsidR="00FB3066">
              <w:rPr>
                <w:noProof/>
                <w:webHidden/>
              </w:rPr>
              <w:fldChar w:fldCharType="begin"/>
            </w:r>
            <w:r w:rsidR="00FB3066">
              <w:rPr>
                <w:noProof/>
                <w:webHidden/>
              </w:rPr>
              <w:instrText xml:space="preserve"> PAGEREF _Toc95891654 \h </w:instrText>
            </w:r>
            <w:r w:rsidR="00FB3066">
              <w:rPr>
                <w:noProof/>
                <w:webHidden/>
              </w:rPr>
            </w:r>
            <w:r w:rsidR="00FB3066">
              <w:rPr>
                <w:noProof/>
                <w:webHidden/>
              </w:rPr>
              <w:fldChar w:fldCharType="separate"/>
            </w:r>
            <w:r w:rsidR="002B3478">
              <w:rPr>
                <w:noProof/>
                <w:webHidden/>
              </w:rPr>
              <w:t>10</w:t>
            </w:r>
            <w:r w:rsidR="00FB3066">
              <w:rPr>
                <w:noProof/>
                <w:webHidden/>
              </w:rPr>
              <w:fldChar w:fldCharType="end"/>
            </w:r>
          </w:hyperlink>
        </w:p>
        <w:p w14:paraId="7508DDF0" w14:textId="39EEA2BD" w:rsidR="00FB3066" w:rsidRDefault="00000000">
          <w:pPr>
            <w:pStyle w:val="TOC2"/>
            <w:rPr>
              <w:rFonts w:asciiTheme="minorHAnsi" w:eastAsiaTheme="minorEastAsia" w:hAnsiTheme="minorHAnsi" w:cstheme="minorBidi"/>
              <w:b w:val="0"/>
              <w:noProof/>
              <w:sz w:val="22"/>
              <w:lang w:eastAsia="en-AU"/>
            </w:rPr>
          </w:pPr>
          <w:hyperlink w:anchor="_Toc95891655" w:history="1">
            <w:r w:rsidR="00FB3066" w:rsidRPr="00EE1D11">
              <w:rPr>
                <w:rStyle w:val="Hyperlink"/>
                <w:noProof/>
              </w:rPr>
              <w:t>Nonclinical</w:t>
            </w:r>
            <w:r w:rsidR="00FB3066">
              <w:rPr>
                <w:noProof/>
                <w:webHidden/>
              </w:rPr>
              <w:tab/>
            </w:r>
            <w:r w:rsidR="00FB3066">
              <w:rPr>
                <w:noProof/>
                <w:webHidden/>
              </w:rPr>
              <w:fldChar w:fldCharType="begin"/>
            </w:r>
            <w:r w:rsidR="00FB3066">
              <w:rPr>
                <w:noProof/>
                <w:webHidden/>
              </w:rPr>
              <w:instrText xml:space="preserve"> PAGEREF _Toc95891655 \h </w:instrText>
            </w:r>
            <w:r w:rsidR="00FB3066">
              <w:rPr>
                <w:noProof/>
                <w:webHidden/>
              </w:rPr>
            </w:r>
            <w:r w:rsidR="00FB3066">
              <w:rPr>
                <w:noProof/>
                <w:webHidden/>
              </w:rPr>
              <w:fldChar w:fldCharType="separate"/>
            </w:r>
            <w:r w:rsidR="002B3478">
              <w:rPr>
                <w:noProof/>
                <w:webHidden/>
              </w:rPr>
              <w:t>11</w:t>
            </w:r>
            <w:r w:rsidR="00FB3066">
              <w:rPr>
                <w:noProof/>
                <w:webHidden/>
              </w:rPr>
              <w:fldChar w:fldCharType="end"/>
            </w:r>
          </w:hyperlink>
        </w:p>
        <w:p w14:paraId="703746C2" w14:textId="1DCDAB96" w:rsidR="00FB3066" w:rsidRDefault="00000000">
          <w:pPr>
            <w:pStyle w:val="TOC2"/>
            <w:rPr>
              <w:rFonts w:asciiTheme="minorHAnsi" w:eastAsiaTheme="minorEastAsia" w:hAnsiTheme="minorHAnsi" w:cstheme="minorBidi"/>
              <w:b w:val="0"/>
              <w:noProof/>
              <w:sz w:val="22"/>
              <w:lang w:eastAsia="en-AU"/>
            </w:rPr>
          </w:pPr>
          <w:hyperlink w:anchor="_Toc95891656" w:history="1">
            <w:r w:rsidR="00FB3066" w:rsidRPr="00EE1D11">
              <w:rPr>
                <w:rStyle w:val="Hyperlink"/>
                <w:noProof/>
              </w:rPr>
              <w:t>Clinical</w:t>
            </w:r>
            <w:r w:rsidR="00FB3066">
              <w:rPr>
                <w:noProof/>
                <w:webHidden/>
              </w:rPr>
              <w:tab/>
            </w:r>
            <w:r w:rsidR="00FB3066">
              <w:rPr>
                <w:noProof/>
                <w:webHidden/>
              </w:rPr>
              <w:fldChar w:fldCharType="begin"/>
            </w:r>
            <w:r w:rsidR="00FB3066">
              <w:rPr>
                <w:noProof/>
                <w:webHidden/>
              </w:rPr>
              <w:instrText xml:space="preserve"> PAGEREF _Toc95891656 \h </w:instrText>
            </w:r>
            <w:r w:rsidR="00FB3066">
              <w:rPr>
                <w:noProof/>
                <w:webHidden/>
              </w:rPr>
            </w:r>
            <w:r w:rsidR="00FB3066">
              <w:rPr>
                <w:noProof/>
                <w:webHidden/>
              </w:rPr>
              <w:fldChar w:fldCharType="separate"/>
            </w:r>
            <w:r w:rsidR="002B3478">
              <w:rPr>
                <w:noProof/>
                <w:webHidden/>
              </w:rPr>
              <w:t>11</w:t>
            </w:r>
            <w:r w:rsidR="00FB3066">
              <w:rPr>
                <w:noProof/>
                <w:webHidden/>
              </w:rPr>
              <w:fldChar w:fldCharType="end"/>
            </w:r>
          </w:hyperlink>
        </w:p>
        <w:p w14:paraId="13A26303" w14:textId="0735A029" w:rsidR="00FB3066" w:rsidRDefault="00000000">
          <w:pPr>
            <w:pStyle w:val="TOC2"/>
            <w:rPr>
              <w:rFonts w:asciiTheme="minorHAnsi" w:eastAsiaTheme="minorEastAsia" w:hAnsiTheme="minorHAnsi" w:cstheme="minorBidi"/>
              <w:b w:val="0"/>
              <w:noProof/>
              <w:sz w:val="22"/>
              <w:lang w:eastAsia="en-AU"/>
            </w:rPr>
          </w:pPr>
          <w:hyperlink w:anchor="_Toc95891657" w:history="1">
            <w:r w:rsidR="00FB3066" w:rsidRPr="00EE1D11">
              <w:rPr>
                <w:rStyle w:val="Hyperlink"/>
                <w:noProof/>
                <w:lang w:eastAsia="en-AU"/>
              </w:rPr>
              <w:t>Risk management plan</w:t>
            </w:r>
            <w:r w:rsidR="00FB3066">
              <w:rPr>
                <w:noProof/>
                <w:webHidden/>
              </w:rPr>
              <w:tab/>
            </w:r>
            <w:r w:rsidR="00FB3066">
              <w:rPr>
                <w:noProof/>
                <w:webHidden/>
              </w:rPr>
              <w:fldChar w:fldCharType="begin"/>
            </w:r>
            <w:r w:rsidR="00FB3066">
              <w:rPr>
                <w:noProof/>
                <w:webHidden/>
              </w:rPr>
              <w:instrText xml:space="preserve"> PAGEREF _Toc95891657 \h </w:instrText>
            </w:r>
            <w:r w:rsidR="00FB3066">
              <w:rPr>
                <w:noProof/>
                <w:webHidden/>
              </w:rPr>
            </w:r>
            <w:r w:rsidR="00FB3066">
              <w:rPr>
                <w:noProof/>
                <w:webHidden/>
              </w:rPr>
              <w:fldChar w:fldCharType="separate"/>
            </w:r>
            <w:r w:rsidR="002B3478">
              <w:rPr>
                <w:noProof/>
                <w:webHidden/>
              </w:rPr>
              <w:t>19</w:t>
            </w:r>
            <w:r w:rsidR="00FB3066">
              <w:rPr>
                <w:noProof/>
                <w:webHidden/>
              </w:rPr>
              <w:fldChar w:fldCharType="end"/>
            </w:r>
          </w:hyperlink>
        </w:p>
        <w:p w14:paraId="57BD182B" w14:textId="5C1333A2" w:rsidR="00FB3066" w:rsidRDefault="00000000">
          <w:pPr>
            <w:pStyle w:val="TOC2"/>
            <w:rPr>
              <w:rFonts w:asciiTheme="minorHAnsi" w:eastAsiaTheme="minorEastAsia" w:hAnsiTheme="minorHAnsi" w:cstheme="minorBidi"/>
              <w:b w:val="0"/>
              <w:noProof/>
              <w:sz w:val="22"/>
              <w:lang w:eastAsia="en-AU"/>
            </w:rPr>
          </w:pPr>
          <w:hyperlink w:anchor="_Toc95891658" w:history="1">
            <w:r w:rsidR="00FB3066" w:rsidRPr="00EE1D11">
              <w:rPr>
                <w:rStyle w:val="Hyperlink"/>
                <w:noProof/>
              </w:rPr>
              <w:t>Risk-benefit analysis</w:t>
            </w:r>
            <w:r w:rsidR="00FB3066">
              <w:rPr>
                <w:noProof/>
                <w:webHidden/>
              </w:rPr>
              <w:tab/>
            </w:r>
            <w:r w:rsidR="00FB3066">
              <w:rPr>
                <w:noProof/>
                <w:webHidden/>
              </w:rPr>
              <w:fldChar w:fldCharType="begin"/>
            </w:r>
            <w:r w:rsidR="00FB3066">
              <w:rPr>
                <w:noProof/>
                <w:webHidden/>
              </w:rPr>
              <w:instrText xml:space="preserve"> PAGEREF _Toc95891658 \h </w:instrText>
            </w:r>
            <w:r w:rsidR="00FB3066">
              <w:rPr>
                <w:noProof/>
                <w:webHidden/>
              </w:rPr>
            </w:r>
            <w:r w:rsidR="00FB3066">
              <w:rPr>
                <w:noProof/>
                <w:webHidden/>
              </w:rPr>
              <w:fldChar w:fldCharType="separate"/>
            </w:r>
            <w:r w:rsidR="002B3478">
              <w:rPr>
                <w:noProof/>
                <w:webHidden/>
              </w:rPr>
              <w:t>21</w:t>
            </w:r>
            <w:r w:rsidR="00FB3066">
              <w:rPr>
                <w:noProof/>
                <w:webHidden/>
              </w:rPr>
              <w:fldChar w:fldCharType="end"/>
            </w:r>
          </w:hyperlink>
        </w:p>
        <w:p w14:paraId="0C551EAA" w14:textId="0009B85F" w:rsidR="00FB3066" w:rsidRDefault="00000000">
          <w:pPr>
            <w:pStyle w:val="TOC2"/>
            <w:rPr>
              <w:rFonts w:asciiTheme="minorHAnsi" w:eastAsiaTheme="minorEastAsia" w:hAnsiTheme="minorHAnsi" w:cstheme="minorBidi"/>
              <w:b w:val="0"/>
              <w:noProof/>
              <w:sz w:val="22"/>
              <w:lang w:eastAsia="en-AU"/>
            </w:rPr>
          </w:pPr>
          <w:hyperlink w:anchor="_Toc95891659" w:history="1">
            <w:r w:rsidR="00FB3066" w:rsidRPr="00EE1D11">
              <w:rPr>
                <w:rStyle w:val="Hyperlink"/>
                <w:noProof/>
              </w:rPr>
              <w:t>Outcome</w:t>
            </w:r>
            <w:r w:rsidR="00FB3066">
              <w:rPr>
                <w:noProof/>
                <w:webHidden/>
              </w:rPr>
              <w:tab/>
            </w:r>
            <w:r w:rsidR="00FB3066">
              <w:rPr>
                <w:noProof/>
                <w:webHidden/>
              </w:rPr>
              <w:fldChar w:fldCharType="begin"/>
            </w:r>
            <w:r w:rsidR="00FB3066">
              <w:rPr>
                <w:noProof/>
                <w:webHidden/>
              </w:rPr>
              <w:instrText xml:space="preserve"> PAGEREF _Toc95891659 \h </w:instrText>
            </w:r>
            <w:r w:rsidR="00FB3066">
              <w:rPr>
                <w:noProof/>
                <w:webHidden/>
              </w:rPr>
            </w:r>
            <w:r w:rsidR="00FB3066">
              <w:rPr>
                <w:noProof/>
                <w:webHidden/>
              </w:rPr>
              <w:fldChar w:fldCharType="separate"/>
            </w:r>
            <w:r w:rsidR="002B3478">
              <w:rPr>
                <w:noProof/>
                <w:webHidden/>
              </w:rPr>
              <w:t>24</w:t>
            </w:r>
            <w:r w:rsidR="00FB3066">
              <w:rPr>
                <w:noProof/>
                <w:webHidden/>
              </w:rPr>
              <w:fldChar w:fldCharType="end"/>
            </w:r>
          </w:hyperlink>
        </w:p>
        <w:p w14:paraId="38860898" w14:textId="70F77AAF" w:rsidR="00FB3066" w:rsidRDefault="00000000">
          <w:pPr>
            <w:pStyle w:val="TOC1"/>
            <w:rPr>
              <w:rFonts w:asciiTheme="minorHAnsi" w:eastAsiaTheme="minorEastAsia" w:hAnsiTheme="minorHAnsi" w:cstheme="minorBidi"/>
              <w:b w:val="0"/>
              <w:noProof/>
              <w:sz w:val="22"/>
              <w:lang w:eastAsia="en-AU"/>
            </w:rPr>
          </w:pPr>
          <w:hyperlink w:anchor="_Toc95891660" w:history="1">
            <w:r w:rsidR="00FB3066" w:rsidRPr="00EE1D11">
              <w:rPr>
                <w:rStyle w:val="Hyperlink"/>
                <w:noProof/>
              </w:rPr>
              <w:t>Attachment 1. Product Information</w:t>
            </w:r>
            <w:r w:rsidR="00FB3066">
              <w:rPr>
                <w:noProof/>
                <w:webHidden/>
              </w:rPr>
              <w:tab/>
            </w:r>
            <w:r w:rsidR="00FB3066">
              <w:rPr>
                <w:noProof/>
                <w:webHidden/>
              </w:rPr>
              <w:fldChar w:fldCharType="begin"/>
            </w:r>
            <w:r w:rsidR="00FB3066">
              <w:rPr>
                <w:noProof/>
                <w:webHidden/>
              </w:rPr>
              <w:instrText xml:space="preserve"> PAGEREF _Toc95891660 \h </w:instrText>
            </w:r>
            <w:r w:rsidR="00FB3066">
              <w:rPr>
                <w:noProof/>
                <w:webHidden/>
              </w:rPr>
            </w:r>
            <w:r w:rsidR="00FB3066">
              <w:rPr>
                <w:noProof/>
                <w:webHidden/>
              </w:rPr>
              <w:fldChar w:fldCharType="separate"/>
            </w:r>
            <w:r w:rsidR="002B3478">
              <w:rPr>
                <w:noProof/>
                <w:webHidden/>
              </w:rPr>
              <w:t>26</w:t>
            </w:r>
            <w:r w:rsidR="00FB3066">
              <w:rPr>
                <w:noProof/>
                <w:webHidden/>
              </w:rPr>
              <w:fldChar w:fldCharType="end"/>
            </w:r>
          </w:hyperlink>
        </w:p>
        <w:p w14:paraId="68C71F24" w14:textId="090488D6" w:rsidR="003A7F6C" w:rsidRPr="00B811C6" w:rsidRDefault="00C525A2" w:rsidP="00B811C6">
          <w:pPr>
            <w:pStyle w:val="TOC2"/>
          </w:pPr>
          <w:r>
            <w:fldChar w:fldCharType="end"/>
          </w:r>
        </w:p>
      </w:sdtContent>
    </w:sdt>
    <w:bookmarkStart w:id="2" w:name="_Toc314842482" w:displacedByCustomXml="prev"/>
    <w:p w14:paraId="3A029806" w14:textId="77777777" w:rsidR="00FD119B" w:rsidRDefault="00FD119B">
      <w:pPr>
        <w:spacing w:before="0" w:after="200" w:line="0" w:lineRule="auto"/>
      </w:pPr>
      <w:r>
        <w:br w:type="page"/>
      </w:r>
    </w:p>
    <w:p w14:paraId="54301321" w14:textId="014322D9" w:rsidR="00C52E24" w:rsidRPr="00C52E24" w:rsidRDefault="00324E45" w:rsidP="002474EE">
      <w:pPr>
        <w:pStyle w:val="Heading2"/>
      </w:pPr>
      <w:bookmarkStart w:id="3" w:name="_Toc351716269"/>
      <w:bookmarkStart w:id="4" w:name="_Toc351718881"/>
      <w:bookmarkStart w:id="5" w:name="_Toc355338616"/>
      <w:bookmarkStart w:id="6" w:name="_Toc356306144"/>
      <w:bookmarkStart w:id="7" w:name="_Toc95891646"/>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4014AA" w:rsidRPr="00FD119B" w14:paraId="45993C31" w14:textId="77777777" w:rsidTr="006F6F93">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5F881566" w14:textId="77777777" w:rsidR="004014AA" w:rsidRPr="00F520F2" w:rsidRDefault="004014AA" w:rsidP="00F520F2">
            <w:r w:rsidRPr="00EA7F92">
              <w:t>Abbreviation</w:t>
            </w:r>
          </w:p>
        </w:tc>
        <w:tc>
          <w:tcPr>
            <w:tcW w:w="6911" w:type="dxa"/>
            <w:tcBorders>
              <w:top w:val="single" w:sz="4" w:space="0" w:color="auto"/>
              <w:left w:val="single" w:sz="4" w:space="0" w:color="auto"/>
              <w:bottom w:val="single" w:sz="4" w:space="0" w:color="auto"/>
              <w:right w:val="single" w:sz="4" w:space="0" w:color="auto"/>
            </w:tcBorders>
          </w:tcPr>
          <w:p w14:paraId="02A9C28D" w14:textId="77777777" w:rsidR="004014AA" w:rsidRPr="00F520F2" w:rsidRDefault="004014AA" w:rsidP="00F520F2">
            <w:r w:rsidRPr="00EA7F92">
              <w:t>Meaning</w:t>
            </w:r>
          </w:p>
        </w:tc>
      </w:tr>
      <w:tr w:rsidR="005F247E" w:rsidRPr="00FD119B" w14:paraId="4BECE8AC" w14:textId="77777777" w:rsidTr="006F6F93">
        <w:tc>
          <w:tcPr>
            <w:tcW w:w="1809" w:type="dxa"/>
          </w:tcPr>
          <w:p w14:paraId="59E8C771" w14:textId="24E9FEBE" w:rsidR="005F247E" w:rsidRDefault="005F247E" w:rsidP="006F6F93">
            <w:r w:rsidRPr="005F247E">
              <w:t>Act</w:t>
            </w:r>
          </w:p>
        </w:tc>
        <w:tc>
          <w:tcPr>
            <w:tcW w:w="6911" w:type="dxa"/>
          </w:tcPr>
          <w:p w14:paraId="523810E4" w14:textId="5C6060B9" w:rsidR="005F247E" w:rsidRPr="00460036" w:rsidRDefault="005F247E" w:rsidP="006F6F93">
            <w:r w:rsidRPr="005F247E">
              <w:t>Therapeutic Goods Act 1989</w:t>
            </w:r>
          </w:p>
        </w:tc>
      </w:tr>
      <w:tr w:rsidR="004014AA" w:rsidRPr="00FD119B" w14:paraId="0E01B350" w14:textId="77777777" w:rsidTr="006F6F93">
        <w:tc>
          <w:tcPr>
            <w:tcW w:w="1809" w:type="dxa"/>
          </w:tcPr>
          <w:p w14:paraId="22A6FAA6" w14:textId="77777777" w:rsidR="004014AA" w:rsidRPr="00FD119B" w:rsidRDefault="004014AA" w:rsidP="006F6F93">
            <w:r>
              <w:t>ACV</w:t>
            </w:r>
          </w:p>
        </w:tc>
        <w:tc>
          <w:tcPr>
            <w:tcW w:w="6911" w:type="dxa"/>
          </w:tcPr>
          <w:p w14:paraId="7AEA6A6C" w14:textId="77777777" w:rsidR="004014AA" w:rsidRPr="00FD119B" w:rsidRDefault="004014AA" w:rsidP="006F6F93">
            <w:r w:rsidRPr="00460036">
              <w:t>Advisory Committee on</w:t>
            </w:r>
            <w:r>
              <w:t xml:space="preserve"> Vaccine</w:t>
            </w:r>
          </w:p>
        </w:tc>
      </w:tr>
      <w:tr w:rsidR="00E90C00" w:rsidRPr="00FD119B" w14:paraId="1F5EAC95" w14:textId="77777777" w:rsidTr="006F6F93">
        <w:tc>
          <w:tcPr>
            <w:tcW w:w="1809" w:type="dxa"/>
          </w:tcPr>
          <w:p w14:paraId="08F4153F" w14:textId="0A8E1505" w:rsidR="00E90C00" w:rsidRDefault="00E90C00" w:rsidP="006F6F93">
            <w:r w:rsidRPr="00E90C00">
              <w:t>ARGPM</w:t>
            </w:r>
          </w:p>
        </w:tc>
        <w:tc>
          <w:tcPr>
            <w:tcW w:w="6911" w:type="dxa"/>
          </w:tcPr>
          <w:p w14:paraId="16DFB63B" w14:textId="251906FB" w:rsidR="00E90C00" w:rsidRPr="00460036" w:rsidRDefault="00E90C00" w:rsidP="006F6F93">
            <w:r w:rsidRPr="00E90C00">
              <w:t>Australian Regulatory Guidelines for Prescription Medicines</w:t>
            </w:r>
          </w:p>
        </w:tc>
      </w:tr>
      <w:tr w:rsidR="004014AA" w:rsidRPr="00FD119B" w14:paraId="40990802" w14:textId="77777777" w:rsidTr="006F6F93">
        <w:tc>
          <w:tcPr>
            <w:tcW w:w="1809" w:type="dxa"/>
          </w:tcPr>
          <w:p w14:paraId="7248C420" w14:textId="77777777" w:rsidR="004014AA" w:rsidRPr="00FD119B" w:rsidRDefault="004014AA" w:rsidP="006F6F93">
            <w:r>
              <w:t>ARTG</w:t>
            </w:r>
          </w:p>
        </w:tc>
        <w:tc>
          <w:tcPr>
            <w:tcW w:w="6911" w:type="dxa"/>
          </w:tcPr>
          <w:p w14:paraId="6C98E513" w14:textId="77777777" w:rsidR="004014AA" w:rsidRPr="00FD119B" w:rsidRDefault="004014AA" w:rsidP="006F6F93">
            <w:r w:rsidRPr="00460036">
              <w:t>Australian Register of Therapeutic Goods</w:t>
            </w:r>
          </w:p>
        </w:tc>
      </w:tr>
      <w:tr w:rsidR="00EA7F92" w:rsidRPr="00FD119B" w14:paraId="5CBDFF5D" w14:textId="77777777" w:rsidTr="006F6F93">
        <w:tc>
          <w:tcPr>
            <w:tcW w:w="1809" w:type="dxa"/>
          </w:tcPr>
          <w:p w14:paraId="4C779B44" w14:textId="2D5DE761" w:rsidR="00EA7F92" w:rsidRDefault="00EA7F92" w:rsidP="006F6F93">
            <w:r w:rsidRPr="00456E37">
              <w:t>ASA</w:t>
            </w:r>
          </w:p>
        </w:tc>
        <w:tc>
          <w:tcPr>
            <w:tcW w:w="6911" w:type="dxa"/>
          </w:tcPr>
          <w:p w14:paraId="238C69A7" w14:textId="5329FA94" w:rsidR="00EA7F92" w:rsidRPr="00460036" w:rsidRDefault="00EA7F92" w:rsidP="006F6F93">
            <w:r w:rsidRPr="00EA7F92">
              <w:t>Australia</w:t>
            </w:r>
            <w:r>
              <w:t xml:space="preserve"> </w:t>
            </w:r>
            <w:r w:rsidRPr="00EA7F92">
              <w:t>specific annex</w:t>
            </w:r>
          </w:p>
        </w:tc>
      </w:tr>
      <w:tr w:rsidR="004014AA" w:rsidRPr="00FD119B" w14:paraId="533E2A57" w14:textId="77777777" w:rsidTr="006F6F93">
        <w:tc>
          <w:tcPr>
            <w:tcW w:w="1809" w:type="dxa"/>
          </w:tcPr>
          <w:p w14:paraId="49D5032D" w14:textId="77777777" w:rsidR="004014AA" w:rsidRDefault="004014AA" w:rsidP="006F6F93">
            <w:r>
              <w:t>ATAGI</w:t>
            </w:r>
          </w:p>
        </w:tc>
        <w:tc>
          <w:tcPr>
            <w:tcW w:w="6911" w:type="dxa"/>
          </w:tcPr>
          <w:p w14:paraId="0BE7B602" w14:textId="77777777" w:rsidR="004014AA" w:rsidRDefault="004014AA" w:rsidP="006F6F93">
            <w:r w:rsidRPr="00FF3315">
              <w:t>Australian Technical Advisory Group on Immunisation</w:t>
            </w:r>
          </w:p>
        </w:tc>
      </w:tr>
      <w:tr w:rsidR="004014AA" w:rsidRPr="00FD119B" w14:paraId="69233376" w14:textId="77777777" w:rsidTr="006F6F93">
        <w:tc>
          <w:tcPr>
            <w:tcW w:w="1809" w:type="dxa"/>
          </w:tcPr>
          <w:p w14:paraId="12EB2D9D" w14:textId="77777777" w:rsidR="004014AA" w:rsidRPr="00FD119B" w:rsidRDefault="004014AA" w:rsidP="006F6F93">
            <w:proofErr w:type="spellStart"/>
            <w:r>
              <w:t>AusPAR</w:t>
            </w:r>
            <w:proofErr w:type="spellEnd"/>
          </w:p>
        </w:tc>
        <w:tc>
          <w:tcPr>
            <w:tcW w:w="6911" w:type="dxa"/>
          </w:tcPr>
          <w:p w14:paraId="6341A9FD" w14:textId="77777777" w:rsidR="004014AA" w:rsidRPr="00FD119B" w:rsidRDefault="004014AA" w:rsidP="006F6F93">
            <w:r>
              <w:t>Australian Public Assessment Report</w:t>
            </w:r>
          </w:p>
        </w:tc>
      </w:tr>
      <w:tr w:rsidR="005F247E" w:rsidRPr="00FD119B" w14:paraId="50DAFF0A" w14:textId="77777777" w:rsidTr="006F6F93">
        <w:tc>
          <w:tcPr>
            <w:tcW w:w="1809" w:type="dxa"/>
          </w:tcPr>
          <w:p w14:paraId="7EB8E095" w14:textId="3E484D8B" w:rsidR="005F247E" w:rsidRDefault="005F247E" w:rsidP="006F6F93">
            <w:r w:rsidRPr="005F247E">
              <w:t>Cat. 1</w:t>
            </w:r>
          </w:p>
        </w:tc>
        <w:tc>
          <w:tcPr>
            <w:tcW w:w="6911" w:type="dxa"/>
          </w:tcPr>
          <w:p w14:paraId="158CAD24" w14:textId="30D5FEF4" w:rsidR="005F247E" w:rsidRDefault="005F247E" w:rsidP="006F6F93">
            <w:r w:rsidRPr="005F247E">
              <w:t>TGA Category 1</w:t>
            </w:r>
          </w:p>
        </w:tc>
      </w:tr>
      <w:tr w:rsidR="005F247E" w:rsidRPr="00FD119B" w14:paraId="78E9107C" w14:textId="77777777" w:rsidTr="006F6F93">
        <w:tc>
          <w:tcPr>
            <w:tcW w:w="1809" w:type="dxa"/>
          </w:tcPr>
          <w:p w14:paraId="07BF3126" w14:textId="7A9AE504" w:rsidR="005F247E" w:rsidRDefault="005F247E" w:rsidP="006F6F93">
            <w:r w:rsidRPr="005F247E">
              <w:t>CMI</w:t>
            </w:r>
          </w:p>
        </w:tc>
        <w:tc>
          <w:tcPr>
            <w:tcW w:w="6911" w:type="dxa"/>
          </w:tcPr>
          <w:p w14:paraId="4CCD3EA5" w14:textId="191F6CA1" w:rsidR="005F247E" w:rsidRDefault="005F247E" w:rsidP="006F6F93">
            <w:r w:rsidRPr="005F247E">
              <w:t>Consumer Medicine Information</w:t>
            </w:r>
          </w:p>
        </w:tc>
      </w:tr>
      <w:tr w:rsidR="004014AA" w:rsidRPr="00FD119B" w14:paraId="4993D458" w14:textId="77777777" w:rsidTr="006F6F93">
        <w:tc>
          <w:tcPr>
            <w:tcW w:w="1809" w:type="dxa"/>
          </w:tcPr>
          <w:p w14:paraId="067A2CEF" w14:textId="77777777" w:rsidR="004014AA" w:rsidRPr="00FD119B" w:rsidRDefault="004014AA" w:rsidP="006F6F93">
            <w:r>
              <w:t>COVID-19</w:t>
            </w:r>
          </w:p>
        </w:tc>
        <w:tc>
          <w:tcPr>
            <w:tcW w:w="6911" w:type="dxa"/>
          </w:tcPr>
          <w:p w14:paraId="181A71FE" w14:textId="0033A892" w:rsidR="004014AA" w:rsidRPr="00FD119B" w:rsidRDefault="004014AA" w:rsidP="006F6F93">
            <w:r>
              <w:t>Coronavirus disease</w:t>
            </w:r>
            <w:r w:rsidR="00072CA5">
              <w:t xml:space="preserve"> 2019</w:t>
            </w:r>
          </w:p>
        </w:tc>
      </w:tr>
      <w:tr w:rsidR="005F247E" w:rsidRPr="00FD119B" w14:paraId="411EDEBB" w14:textId="77777777" w:rsidTr="006F6F93">
        <w:tc>
          <w:tcPr>
            <w:tcW w:w="1809" w:type="dxa"/>
          </w:tcPr>
          <w:p w14:paraId="11A947E4" w14:textId="38C5B86F" w:rsidR="005F247E" w:rsidRDefault="005F247E" w:rsidP="006F6F93">
            <w:r w:rsidRPr="005F247E">
              <w:t>CPD</w:t>
            </w:r>
          </w:p>
        </w:tc>
        <w:tc>
          <w:tcPr>
            <w:tcW w:w="6911" w:type="dxa"/>
          </w:tcPr>
          <w:p w14:paraId="2637AE1A" w14:textId="1D726E52" w:rsidR="005F247E" w:rsidRDefault="005F247E" w:rsidP="006F6F93">
            <w:r w:rsidRPr="005F247E">
              <w:t>Certified Product Details</w:t>
            </w:r>
          </w:p>
        </w:tc>
      </w:tr>
      <w:tr w:rsidR="00EA7F92" w:rsidRPr="00FD119B" w14:paraId="2081CB7E" w14:textId="77777777" w:rsidTr="006F6F93">
        <w:tc>
          <w:tcPr>
            <w:tcW w:w="1809" w:type="dxa"/>
          </w:tcPr>
          <w:p w14:paraId="53534207" w14:textId="72B2071E" w:rsidR="00EA7F92" w:rsidRDefault="00EA7F92" w:rsidP="006F6F93">
            <w:r w:rsidRPr="00456E37">
              <w:t>DLP</w:t>
            </w:r>
          </w:p>
        </w:tc>
        <w:tc>
          <w:tcPr>
            <w:tcW w:w="6911" w:type="dxa"/>
          </w:tcPr>
          <w:p w14:paraId="3C18DA77" w14:textId="2CCBF9D4" w:rsidR="00EA7F92" w:rsidRDefault="00EA7F92" w:rsidP="006F6F93">
            <w:r>
              <w:t>Data lock point</w:t>
            </w:r>
          </w:p>
        </w:tc>
      </w:tr>
      <w:tr w:rsidR="004014AA" w:rsidRPr="00FD119B" w14:paraId="6DB55915" w14:textId="77777777" w:rsidTr="006F6F93">
        <w:tc>
          <w:tcPr>
            <w:tcW w:w="1809" w:type="dxa"/>
          </w:tcPr>
          <w:p w14:paraId="47462137" w14:textId="77777777" w:rsidR="004014AA" w:rsidRPr="00FD119B" w:rsidRDefault="004014AA" w:rsidP="006F6F93">
            <w:r>
              <w:t>ELISA</w:t>
            </w:r>
          </w:p>
        </w:tc>
        <w:tc>
          <w:tcPr>
            <w:tcW w:w="6911" w:type="dxa"/>
          </w:tcPr>
          <w:p w14:paraId="68750E60" w14:textId="77777777" w:rsidR="004014AA" w:rsidRPr="00FD119B" w:rsidRDefault="004014AA" w:rsidP="006F6F93">
            <w:r>
              <w:t>E</w:t>
            </w:r>
            <w:r w:rsidRPr="008712FF">
              <w:t>nzyme-linked immunosorbent assay</w:t>
            </w:r>
          </w:p>
        </w:tc>
      </w:tr>
      <w:tr w:rsidR="004014AA" w:rsidRPr="00FD119B" w14:paraId="7C855247" w14:textId="77777777" w:rsidTr="006F6F93">
        <w:tc>
          <w:tcPr>
            <w:tcW w:w="1809" w:type="dxa"/>
          </w:tcPr>
          <w:p w14:paraId="61275D28" w14:textId="77777777" w:rsidR="004014AA" w:rsidRPr="00FD119B" w:rsidRDefault="004014AA" w:rsidP="006F6F93">
            <w:r>
              <w:t>EU</w:t>
            </w:r>
          </w:p>
        </w:tc>
        <w:tc>
          <w:tcPr>
            <w:tcW w:w="6911" w:type="dxa"/>
          </w:tcPr>
          <w:p w14:paraId="3E2DC257" w14:textId="77777777" w:rsidR="004014AA" w:rsidRPr="00FD119B" w:rsidRDefault="004014AA" w:rsidP="006F6F93">
            <w:r>
              <w:t>European Union</w:t>
            </w:r>
          </w:p>
        </w:tc>
      </w:tr>
      <w:tr w:rsidR="004014AA" w:rsidRPr="00FD119B" w14:paraId="6757507C" w14:textId="77777777" w:rsidTr="006F6F93">
        <w:tc>
          <w:tcPr>
            <w:tcW w:w="1809" w:type="dxa"/>
          </w:tcPr>
          <w:p w14:paraId="21B2635C" w14:textId="77777777" w:rsidR="004014AA" w:rsidRPr="00FD119B" w:rsidRDefault="004014AA" w:rsidP="006F6F93">
            <w:r>
              <w:t>IgG</w:t>
            </w:r>
          </w:p>
        </w:tc>
        <w:tc>
          <w:tcPr>
            <w:tcW w:w="6911" w:type="dxa"/>
          </w:tcPr>
          <w:p w14:paraId="539A73BF" w14:textId="77777777" w:rsidR="004014AA" w:rsidRPr="00FD119B" w:rsidRDefault="004014AA" w:rsidP="006F6F93">
            <w:r>
              <w:t>Immunoglobin G</w:t>
            </w:r>
          </w:p>
        </w:tc>
      </w:tr>
      <w:tr w:rsidR="00E939CF" w:rsidRPr="00FD119B" w14:paraId="62F51137" w14:textId="77777777" w:rsidTr="006F6F93">
        <w:tc>
          <w:tcPr>
            <w:tcW w:w="1809" w:type="dxa"/>
          </w:tcPr>
          <w:p w14:paraId="10ED167E" w14:textId="2FD4BDB2" w:rsidR="00E939CF" w:rsidRDefault="00E939CF" w:rsidP="006F6F93">
            <w:r w:rsidRPr="00E939CF">
              <w:t>mRNA</w:t>
            </w:r>
          </w:p>
        </w:tc>
        <w:tc>
          <w:tcPr>
            <w:tcW w:w="6911" w:type="dxa"/>
          </w:tcPr>
          <w:p w14:paraId="7284927F" w14:textId="3A064BD0" w:rsidR="00E939CF" w:rsidRDefault="00E939CF" w:rsidP="006F6F93">
            <w:r>
              <w:t>M</w:t>
            </w:r>
            <w:r w:rsidRPr="00E939CF">
              <w:t>essenger ribonucleic acid</w:t>
            </w:r>
          </w:p>
        </w:tc>
      </w:tr>
      <w:tr w:rsidR="00E90C00" w:rsidRPr="00FD119B" w14:paraId="7DF7BCDF" w14:textId="77777777" w:rsidTr="006F6F93">
        <w:tc>
          <w:tcPr>
            <w:tcW w:w="1809" w:type="dxa"/>
          </w:tcPr>
          <w:p w14:paraId="4861DFE7" w14:textId="544FF688" w:rsidR="00E90C00" w:rsidRPr="00E939CF" w:rsidRDefault="00E90C00" w:rsidP="006F6F93">
            <w:r w:rsidRPr="00E90C00">
              <w:t>OCABR</w:t>
            </w:r>
          </w:p>
        </w:tc>
        <w:tc>
          <w:tcPr>
            <w:tcW w:w="6911" w:type="dxa"/>
          </w:tcPr>
          <w:p w14:paraId="6DD776DC" w14:textId="1BB87048" w:rsidR="00E90C00" w:rsidRDefault="00E90C00" w:rsidP="006F6F93">
            <w:r w:rsidRPr="00E90C00">
              <w:t>Official Control Authority Batch Release</w:t>
            </w:r>
          </w:p>
        </w:tc>
      </w:tr>
      <w:tr w:rsidR="00E90C00" w:rsidRPr="00FD119B" w14:paraId="658DA4A4" w14:textId="77777777" w:rsidTr="006F6F93">
        <w:tc>
          <w:tcPr>
            <w:tcW w:w="1809" w:type="dxa"/>
          </w:tcPr>
          <w:p w14:paraId="1D12A2B7" w14:textId="42AF0671" w:rsidR="00E90C00" w:rsidRPr="00E90C00" w:rsidRDefault="00E90C00" w:rsidP="006F6F93">
            <w:r w:rsidRPr="00E90C00">
              <w:t>PDF</w:t>
            </w:r>
          </w:p>
        </w:tc>
        <w:tc>
          <w:tcPr>
            <w:tcW w:w="6911" w:type="dxa"/>
          </w:tcPr>
          <w:p w14:paraId="6EF91AFF" w14:textId="6F741922" w:rsidR="00E90C00" w:rsidRPr="00E90C00" w:rsidRDefault="00E90C00" w:rsidP="006F6F93">
            <w:r w:rsidRPr="00E90C00">
              <w:t xml:space="preserve">Portable </w:t>
            </w:r>
            <w:r w:rsidR="00542950">
              <w:t>d</w:t>
            </w:r>
            <w:r w:rsidRPr="00E90C00">
              <w:t xml:space="preserve">ocument </w:t>
            </w:r>
            <w:r w:rsidR="00542950">
              <w:t>f</w:t>
            </w:r>
            <w:r w:rsidRPr="00E90C00">
              <w:t>ormat</w:t>
            </w:r>
          </w:p>
        </w:tc>
      </w:tr>
      <w:tr w:rsidR="004014AA" w:rsidRPr="00FD119B" w14:paraId="788CC8BB" w14:textId="77777777" w:rsidTr="006F6F93">
        <w:tc>
          <w:tcPr>
            <w:tcW w:w="1809" w:type="dxa"/>
          </w:tcPr>
          <w:p w14:paraId="1BB786AE" w14:textId="77777777" w:rsidR="004014AA" w:rsidRPr="00FD119B" w:rsidRDefault="004014AA" w:rsidP="006F6F93">
            <w:r>
              <w:t>PI</w:t>
            </w:r>
          </w:p>
        </w:tc>
        <w:tc>
          <w:tcPr>
            <w:tcW w:w="6911" w:type="dxa"/>
          </w:tcPr>
          <w:p w14:paraId="6AB68EAF" w14:textId="77777777" w:rsidR="004014AA" w:rsidRPr="00FD119B" w:rsidRDefault="004014AA" w:rsidP="006F6F93">
            <w:r>
              <w:t>Product Information</w:t>
            </w:r>
          </w:p>
        </w:tc>
      </w:tr>
      <w:tr w:rsidR="005F247E" w:rsidRPr="00FD119B" w14:paraId="08E61C41" w14:textId="77777777" w:rsidTr="006F6F93">
        <w:tc>
          <w:tcPr>
            <w:tcW w:w="1809" w:type="dxa"/>
          </w:tcPr>
          <w:p w14:paraId="34FFFF7E" w14:textId="6B4935BD" w:rsidR="005F247E" w:rsidRDefault="005F247E" w:rsidP="006F6F93">
            <w:r w:rsidRPr="005F247E">
              <w:t>QC</w:t>
            </w:r>
          </w:p>
        </w:tc>
        <w:tc>
          <w:tcPr>
            <w:tcW w:w="6911" w:type="dxa"/>
          </w:tcPr>
          <w:p w14:paraId="5BF96009" w14:textId="78AF831B" w:rsidR="005F247E" w:rsidRDefault="005F247E" w:rsidP="006F6F93">
            <w:r>
              <w:t>Q</w:t>
            </w:r>
            <w:r w:rsidRPr="005F247E">
              <w:t>uality control</w:t>
            </w:r>
          </w:p>
        </w:tc>
      </w:tr>
      <w:tr w:rsidR="00EA7F92" w:rsidRPr="00FD119B" w14:paraId="76BD4F51" w14:textId="77777777" w:rsidTr="006F6F93">
        <w:tc>
          <w:tcPr>
            <w:tcW w:w="1809" w:type="dxa"/>
          </w:tcPr>
          <w:p w14:paraId="49587DDC" w14:textId="0B72657D" w:rsidR="00EA7F92" w:rsidRDefault="00EA7F92" w:rsidP="006F6F93">
            <w:r w:rsidRPr="00EA7F92">
              <w:t>RMP</w:t>
            </w:r>
          </w:p>
        </w:tc>
        <w:tc>
          <w:tcPr>
            <w:tcW w:w="6911" w:type="dxa"/>
          </w:tcPr>
          <w:p w14:paraId="62E14267" w14:textId="1F410D02" w:rsidR="00EA7F92" w:rsidRDefault="00EA7F92" w:rsidP="006F6F93">
            <w:r>
              <w:t>R</w:t>
            </w:r>
            <w:r w:rsidRPr="00EA7F92">
              <w:t>isk management pla</w:t>
            </w:r>
            <w:r>
              <w:t>n</w:t>
            </w:r>
          </w:p>
        </w:tc>
      </w:tr>
      <w:tr w:rsidR="004014AA" w:rsidRPr="00FD119B" w14:paraId="12404F6E" w14:textId="77777777" w:rsidTr="006F6F93">
        <w:tc>
          <w:tcPr>
            <w:tcW w:w="1809" w:type="dxa"/>
          </w:tcPr>
          <w:p w14:paraId="4BFDA31F" w14:textId="77777777" w:rsidR="004014AA" w:rsidRPr="00FD119B" w:rsidRDefault="004014AA" w:rsidP="006F6F93">
            <w:r>
              <w:t>SARS-CoV-2</w:t>
            </w:r>
          </w:p>
        </w:tc>
        <w:tc>
          <w:tcPr>
            <w:tcW w:w="6911" w:type="dxa"/>
          </w:tcPr>
          <w:p w14:paraId="5C67B965" w14:textId="77777777" w:rsidR="004014AA" w:rsidRPr="00FD119B" w:rsidRDefault="004014AA" w:rsidP="006F6F93">
            <w:r>
              <w:t>S</w:t>
            </w:r>
            <w:r w:rsidRPr="00FB0E41">
              <w:t>evere acute respiratory syndrome coronavirus</w:t>
            </w:r>
            <w:r>
              <w:t> </w:t>
            </w:r>
            <w:r w:rsidRPr="00FB0E41">
              <w:t>2</w:t>
            </w:r>
          </w:p>
        </w:tc>
      </w:tr>
      <w:tr w:rsidR="004014AA" w:rsidRPr="00FD119B" w14:paraId="2F297429" w14:textId="77777777" w:rsidTr="006F6F93">
        <w:tc>
          <w:tcPr>
            <w:tcW w:w="1809" w:type="dxa"/>
          </w:tcPr>
          <w:p w14:paraId="4833EC7A" w14:textId="77777777" w:rsidR="004014AA" w:rsidRPr="00FD119B" w:rsidRDefault="004014AA" w:rsidP="006F6F93">
            <w:r>
              <w:t>SFU</w:t>
            </w:r>
          </w:p>
        </w:tc>
        <w:tc>
          <w:tcPr>
            <w:tcW w:w="6911" w:type="dxa"/>
          </w:tcPr>
          <w:p w14:paraId="0B03E309" w14:textId="77777777" w:rsidR="004014AA" w:rsidRPr="00FD119B" w:rsidRDefault="004014AA" w:rsidP="006F6F93">
            <w:r>
              <w:t>Spot forming unit</w:t>
            </w:r>
          </w:p>
        </w:tc>
      </w:tr>
      <w:tr w:rsidR="004014AA" w:rsidRPr="00FD119B" w14:paraId="0D55DC29" w14:textId="77777777" w:rsidTr="006F6F93">
        <w:tc>
          <w:tcPr>
            <w:tcW w:w="1809" w:type="dxa"/>
          </w:tcPr>
          <w:p w14:paraId="645A22F5" w14:textId="77777777" w:rsidR="004014AA" w:rsidRPr="00FD119B" w:rsidRDefault="004014AA" w:rsidP="006F6F93">
            <w:r>
              <w:t>TGA</w:t>
            </w:r>
          </w:p>
        </w:tc>
        <w:tc>
          <w:tcPr>
            <w:tcW w:w="6911" w:type="dxa"/>
          </w:tcPr>
          <w:p w14:paraId="70FBF794" w14:textId="77777777" w:rsidR="004014AA" w:rsidRPr="00FD119B" w:rsidRDefault="004014AA" w:rsidP="006F6F93">
            <w:r>
              <w:t>Therapeutic Goods Administration</w:t>
            </w:r>
          </w:p>
        </w:tc>
      </w:tr>
      <w:tr w:rsidR="004014AA" w:rsidRPr="00FD119B" w14:paraId="274AF5C6" w14:textId="77777777" w:rsidTr="006F6F93">
        <w:tc>
          <w:tcPr>
            <w:tcW w:w="1809" w:type="dxa"/>
          </w:tcPr>
          <w:p w14:paraId="31EBB9E2" w14:textId="77777777" w:rsidR="004014AA" w:rsidRPr="00FD119B" w:rsidRDefault="004014AA" w:rsidP="006F6F93">
            <w:r>
              <w:t>TTS</w:t>
            </w:r>
          </w:p>
        </w:tc>
        <w:tc>
          <w:tcPr>
            <w:tcW w:w="6911" w:type="dxa"/>
          </w:tcPr>
          <w:p w14:paraId="3B46D44A" w14:textId="77777777" w:rsidR="004014AA" w:rsidRPr="00FD119B" w:rsidRDefault="004014AA" w:rsidP="006F6F93">
            <w:r>
              <w:t>T</w:t>
            </w:r>
            <w:r w:rsidRPr="004C50AF">
              <w:t>hrombocytopenic thrombotic syndrome</w:t>
            </w:r>
          </w:p>
        </w:tc>
      </w:tr>
      <w:tr w:rsidR="004014AA" w:rsidRPr="00FD119B" w14:paraId="387BEE0E" w14:textId="77777777" w:rsidTr="006F6F93">
        <w:tc>
          <w:tcPr>
            <w:tcW w:w="1809" w:type="dxa"/>
          </w:tcPr>
          <w:p w14:paraId="01C36D13" w14:textId="77777777" w:rsidR="004014AA" w:rsidRPr="00FD119B" w:rsidRDefault="004014AA" w:rsidP="006F6F93">
            <w:r>
              <w:lastRenderedPageBreak/>
              <w:t>UK</w:t>
            </w:r>
          </w:p>
        </w:tc>
        <w:tc>
          <w:tcPr>
            <w:tcW w:w="6911" w:type="dxa"/>
          </w:tcPr>
          <w:p w14:paraId="413C1199" w14:textId="77777777" w:rsidR="004014AA" w:rsidRPr="00FD119B" w:rsidRDefault="004014AA" w:rsidP="006F6F93">
            <w:r>
              <w:t>United Kingdom</w:t>
            </w:r>
          </w:p>
        </w:tc>
      </w:tr>
      <w:tr w:rsidR="00F91C52" w:rsidRPr="00FD119B" w14:paraId="64C26A98" w14:textId="77777777" w:rsidTr="006F6F93">
        <w:tc>
          <w:tcPr>
            <w:tcW w:w="1809" w:type="dxa"/>
          </w:tcPr>
          <w:p w14:paraId="4C9F4ECC" w14:textId="4DF8A662" w:rsidR="00F91C52" w:rsidRDefault="00F91C52" w:rsidP="006F6F93">
            <w:proofErr w:type="spellStart"/>
            <w:r>
              <w:t>vp</w:t>
            </w:r>
            <w:proofErr w:type="spellEnd"/>
          </w:p>
        </w:tc>
        <w:tc>
          <w:tcPr>
            <w:tcW w:w="6911" w:type="dxa"/>
          </w:tcPr>
          <w:p w14:paraId="169ECA45" w14:textId="3811CCAC" w:rsidR="00F91C52" w:rsidRDefault="00F91C52" w:rsidP="006F6F93">
            <w:r>
              <w:t>Vir</w:t>
            </w:r>
            <w:r w:rsidR="00415920">
              <w:t>al</w:t>
            </w:r>
            <w:r>
              <w:t xml:space="preserve"> particles</w:t>
            </w:r>
          </w:p>
        </w:tc>
      </w:tr>
    </w:tbl>
    <w:p w14:paraId="605056C5"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E82558D" w14:textId="77777777" w:rsidR="008E7846" w:rsidRDefault="00F53C07" w:rsidP="008E7846">
      <w:pPr>
        <w:pStyle w:val="Heading2"/>
      </w:pPr>
      <w:bookmarkStart w:id="8" w:name="_Toc95891647"/>
      <w:r>
        <w:lastRenderedPageBreak/>
        <w:t>I.</w:t>
      </w:r>
      <w:r w:rsidR="008E7846">
        <w:t xml:space="preserve"> Introduction to product submission</w:t>
      </w:r>
      <w:bookmarkEnd w:id="0"/>
      <w:bookmarkEnd w:id="2"/>
      <w:bookmarkEnd w:id="8"/>
    </w:p>
    <w:p w14:paraId="4918F4CA" w14:textId="77777777" w:rsidR="008E7846" w:rsidRDefault="008E7846" w:rsidP="008E7846">
      <w:pPr>
        <w:pStyle w:val="Heading3"/>
        <w:rPr>
          <w:lang w:eastAsia="en-AU"/>
        </w:rPr>
      </w:pPr>
      <w:bookmarkStart w:id="9" w:name="_Toc247691502"/>
      <w:bookmarkStart w:id="10" w:name="_Toc314842483"/>
      <w:bookmarkStart w:id="11" w:name="_Toc95891648"/>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11256AD4" w14:textId="77777777" w:rsidTr="003735BC">
        <w:tc>
          <w:tcPr>
            <w:tcW w:w="2907" w:type="dxa"/>
          </w:tcPr>
          <w:p w14:paraId="5D73B8CE"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B85A55B" w14:textId="47A5039E" w:rsidR="008E7846" w:rsidRPr="003D1E62" w:rsidRDefault="00E302CE" w:rsidP="001B5C90">
            <w:r w:rsidRPr="002B0917">
              <w:t>Major variation (change of dose regimen)</w:t>
            </w:r>
          </w:p>
        </w:tc>
      </w:tr>
      <w:tr w:rsidR="00460036" w:rsidRPr="003D1E62" w14:paraId="3F1D38C7" w14:textId="77777777" w:rsidTr="003735BC">
        <w:tc>
          <w:tcPr>
            <w:tcW w:w="2907" w:type="dxa"/>
          </w:tcPr>
          <w:p w14:paraId="63800787" w14:textId="252A0F82" w:rsidR="00460036" w:rsidRPr="003D1E62" w:rsidRDefault="00460036" w:rsidP="003D1E62">
            <w:pPr>
              <w:rPr>
                <w:i/>
              </w:rPr>
            </w:pPr>
            <w:r w:rsidRPr="00460036">
              <w:rPr>
                <w:i/>
              </w:rPr>
              <w:t>Product name:</w:t>
            </w:r>
          </w:p>
        </w:tc>
        <w:tc>
          <w:tcPr>
            <w:tcW w:w="6307" w:type="dxa"/>
          </w:tcPr>
          <w:p w14:paraId="41ADAEF1" w14:textId="21144B66" w:rsidR="00460036" w:rsidRPr="003D1E62" w:rsidRDefault="00E302CE" w:rsidP="001B5C90">
            <w:proofErr w:type="spellStart"/>
            <w:r>
              <w:t>Vaxzevria</w:t>
            </w:r>
            <w:proofErr w:type="spellEnd"/>
          </w:p>
        </w:tc>
      </w:tr>
      <w:tr w:rsidR="00460036" w:rsidRPr="003D1E62" w14:paraId="6BF0DD5F" w14:textId="77777777" w:rsidTr="003735BC">
        <w:tc>
          <w:tcPr>
            <w:tcW w:w="2907" w:type="dxa"/>
          </w:tcPr>
          <w:p w14:paraId="5F181357" w14:textId="6858EF50" w:rsidR="00460036" w:rsidRPr="003D1E62" w:rsidRDefault="00460036" w:rsidP="003D1E62">
            <w:pPr>
              <w:rPr>
                <w:i/>
              </w:rPr>
            </w:pPr>
            <w:r w:rsidRPr="00460036">
              <w:rPr>
                <w:i/>
              </w:rPr>
              <w:t>Active ingredient:</w:t>
            </w:r>
          </w:p>
        </w:tc>
        <w:tc>
          <w:tcPr>
            <w:tcW w:w="6307" w:type="dxa"/>
          </w:tcPr>
          <w:p w14:paraId="39AAE3C5" w14:textId="42926173" w:rsidR="00460036" w:rsidRPr="003D1E62" w:rsidRDefault="00E302CE" w:rsidP="001B5C90">
            <w:r w:rsidRPr="00E302CE">
              <w:t>ChAdOx-1-</w:t>
            </w:r>
            <w:r w:rsidR="00091664">
              <w:t>S</w:t>
            </w:r>
          </w:p>
        </w:tc>
      </w:tr>
      <w:tr w:rsidR="008E7846" w:rsidRPr="003D1E62" w14:paraId="63D6AE5C" w14:textId="77777777" w:rsidTr="003735BC">
        <w:tc>
          <w:tcPr>
            <w:tcW w:w="2907" w:type="dxa"/>
          </w:tcPr>
          <w:p w14:paraId="1269796E" w14:textId="77777777" w:rsidR="008E7846" w:rsidRPr="003D1E62" w:rsidRDefault="008E7846" w:rsidP="003D1E62">
            <w:r w:rsidRPr="003D1E62">
              <w:rPr>
                <w:i/>
              </w:rPr>
              <w:t>Decision</w:t>
            </w:r>
            <w:r w:rsidRPr="003D1E62">
              <w:t>:</w:t>
            </w:r>
          </w:p>
        </w:tc>
        <w:tc>
          <w:tcPr>
            <w:tcW w:w="6307" w:type="dxa"/>
          </w:tcPr>
          <w:p w14:paraId="7364246F" w14:textId="23F18F98" w:rsidR="008E7846" w:rsidRPr="003D1E62" w:rsidRDefault="00460036" w:rsidP="001B5C90">
            <w:r w:rsidRPr="00460036">
              <w:t>Approved for provisional registration</w:t>
            </w:r>
          </w:p>
        </w:tc>
      </w:tr>
      <w:tr w:rsidR="008E7846" w:rsidRPr="003D1E62" w14:paraId="424BF1EB" w14:textId="77777777" w:rsidTr="003735BC">
        <w:tc>
          <w:tcPr>
            <w:tcW w:w="2907" w:type="dxa"/>
          </w:tcPr>
          <w:p w14:paraId="3DEBD8F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BEF3188" w14:textId="14021218" w:rsidR="008E7846" w:rsidRPr="00E939CF" w:rsidRDefault="00626FEF">
            <w:r>
              <w:t xml:space="preserve">8 </w:t>
            </w:r>
            <w:r w:rsidR="00E939CF" w:rsidRPr="00E939CF">
              <w:t>February 2022</w:t>
            </w:r>
          </w:p>
        </w:tc>
      </w:tr>
      <w:tr w:rsidR="00ED2922" w:rsidRPr="003D1E62" w14:paraId="7132407A" w14:textId="77777777" w:rsidTr="003735BC">
        <w:tc>
          <w:tcPr>
            <w:tcW w:w="2907" w:type="dxa"/>
          </w:tcPr>
          <w:p w14:paraId="768C9118" w14:textId="77777777" w:rsidR="00ED2922" w:rsidRPr="00441C3F" w:rsidRDefault="00ED2922" w:rsidP="001B5C90">
            <w:pPr>
              <w:rPr>
                <w:i/>
              </w:rPr>
            </w:pPr>
            <w:r w:rsidRPr="00441C3F">
              <w:rPr>
                <w:i/>
              </w:rPr>
              <w:t>Date of entry onto ARTG</w:t>
            </w:r>
            <w:r w:rsidR="00500337">
              <w:rPr>
                <w:i/>
              </w:rPr>
              <w:t>:</w:t>
            </w:r>
          </w:p>
        </w:tc>
        <w:tc>
          <w:tcPr>
            <w:tcW w:w="6307" w:type="dxa"/>
          </w:tcPr>
          <w:p w14:paraId="09A745ED" w14:textId="570BEF54" w:rsidR="00ED2922" w:rsidRPr="00441C3F" w:rsidRDefault="00FB3066" w:rsidP="00D153D8">
            <w:pPr>
              <w:rPr>
                <w:i/>
              </w:rPr>
            </w:pPr>
            <w:r w:rsidRPr="00FB3066">
              <w:rPr>
                <w:color w:val="000000" w:themeColor="text1"/>
              </w:rPr>
              <w:t>11 February 2022</w:t>
            </w:r>
          </w:p>
        </w:tc>
      </w:tr>
      <w:tr w:rsidR="00500337" w:rsidRPr="003D1E62" w14:paraId="25D86851" w14:textId="77777777" w:rsidTr="003735BC">
        <w:tc>
          <w:tcPr>
            <w:tcW w:w="2907" w:type="dxa"/>
          </w:tcPr>
          <w:p w14:paraId="2FE08F0B" w14:textId="3F52667D" w:rsidR="00500337" w:rsidRPr="00441C3F" w:rsidRDefault="00500337" w:rsidP="001B5C90">
            <w:pPr>
              <w:rPr>
                <w:i/>
              </w:rPr>
            </w:pPr>
            <w:r>
              <w:rPr>
                <w:i/>
              </w:rPr>
              <w:t>ARTG number:</w:t>
            </w:r>
          </w:p>
        </w:tc>
        <w:tc>
          <w:tcPr>
            <w:tcW w:w="6307" w:type="dxa"/>
          </w:tcPr>
          <w:p w14:paraId="54DC6340" w14:textId="2E7CEEC6" w:rsidR="00500337" w:rsidRPr="00E939CF" w:rsidRDefault="00E939CF">
            <w:r w:rsidRPr="00E939CF">
              <w:t>349072</w:t>
            </w:r>
          </w:p>
        </w:tc>
      </w:tr>
      <w:tr w:rsidR="003735BC" w:rsidRPr="003D1E62" w14:paraId="0BB922F5" w14:textId="77777777" w:rsidTr="003735BC">
        <w:tc>
          <w:tcPr>
            <w:tcW w:w="2907" w:type="dxa"/>
          </w:tcPr>
          <w:p w14:paraId="7A26ABA3"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38937F9B" w14:textId="6AAADAEC" w:rsidR="003735BC" w:rsidRDefault="003735BC" w:rsidP="003735BC">
            <w:r>
              <w:t>Yes</w:t>
            </w:r>
          </w:p>
          <w:p w14:paraId="42F9FF04" w14:textId="4F500DFA" w:rsidR="003735BC" w:rsidRPr="00487162" w:rsidRDefault="003735BC" w:rsidP="003735BC">
            <w:r>
              <w:t>As a provisionally registered product, this medicine will remain in the Black Triangle Scheme for the duration of its provisional registration</w:t>
            </w:r>
          </w:p>
        </w:tc>
      </w:tr>
      <w:tr w:rsidR="008E7846" w:rsidRPr="00487162" w14:paraId="0175DC4B" w14:textId="77777777" w:rsidTr="00BF1190">
        <w:tc>
          <w:tcPr>
            <w:tcW w:w="2907" w:type="dxa"/>
          </w:tcPr>
          <w:p w14:paraId="150D544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D288BB7" w14:textId="40E7F944" w:rsidR="00D7002A" w:rsidRDefault="00091664" w:rsidP="00E45619">
            <w:r>
              <w:t>AstraZeneca Pty Ltd</w:t>
            </w:r>
          </w:p>
          <w:p w14:paraId="0E142155" w14:textId="1E527235" w:rsidR="00D7002A" w:rsidRDefault="00091664" w:rsidP="00E45619">
            <w:r>
              <w:t>66 Talavera Road</w:t>
            </w:r>
          </w:p>
          <w:p w14:paraId="3B673555" w14:textId="3FC89BF7" w:rsidR="008E7846" w:rsidRPr="00487162" w:rsidRDefault="00091664" w:rsidP="00E45619">
            <w:r>
              <w:t>Macquarie Park NSW 2113</w:t>
            </w:r>
          </w:p>
        </w:tc>
      </w:tr>
      <w:tr w:rsidR="008E7846" w:rsidRPr="00487162" w14:paraId="23D95A11" w14:textId="77777777" w:rsidTr="00BF1190">
        <w:tc>
          <w:tcPr>
            <w:tcW w:w="2907" w:type="dxa"/>
          </w:tcPr>
          <w:p w14:paraId="2190D7A1" w14:textId="749FAFEE" w:rsidR="008E7846" w:rsidRPr="00487162" w:rsidRDefault="001B5C90" w:rsidP="00E45619">
            <w:pPr>
              <w:rPr>
                <w:i/>
              </w:rPr>
            </w:pPr>
            <w:r>
              <w:rPr>
                <w:i/>
              </w:rPr>
              <w:t>Dose form:</w:t>
            </w:r>
          </w:p>
        </w:tc>
        <w:tc>
          <w:tcPr>
            <w:tcW w:w="6307" w:type="dxa"/>
          </w:tcPr>
          <w:p w14:paraId="4CACFFAC" w14:textId="07BFCD2A" w:rsidR="008E7846" w:rsidRPr="00487162" w:rsidRDefault="00091664" w:rsidP="00E45619">
            <w:r>
              <w:t>Solution for injection</w:t>
            </w:r>
          </w:p>
        </w:tc>
      </w:tr>
      <w:tr w:rsidR="008E7846" w:rsidRPr="00487162" w14:paraId="0789AEB6" w14:textId="77777777" w:rsidTr="00BF1190">
        <w:tc>
          <w:tcPr>
            <w:tcW w:w="2907" w:type="dxa"/>
          </w:tcPr>
          <w:p w14:paraId="6461019C" w14:textId="620C7C72" w:rsidR="008E7846" w:rsidRPr="00487162" w:rsidRDefault="00324E45" w:rsidP="00E45619">
            <w:pPr>
              <w:rPr>
                <w:i/>
              </w:rPr>
            </w:pPr>
            <w:r>
              <w:rPr>
                <w:i/>
              </w:rPr>
              <w:t>Strength:</w:t>
            </w:r>
          </w:p>
        </w:tc>
        <w:tc>
          <w:tcPr>
            <w:tcW w:w="6307" w:type="dxa"/>
          </w:tcPr>
          <w:p w14:paraId="7887A9CA" w14:textId="621EAA81" w:rsidR="008E7846" w:rsidRPr="00487162" w:rsidRDefault="00091664" w:rsidP="00E45619">
            <w:bookmarkStart w:id="12" w:name="_Hlk94172576"/>
            <w:r>
              <w:t>1 x</w:t>
            </w:r>
            <w:r w:rsidRPr="00D84D93">
              <w:t xml:space="preserve"> 10</w:t>
            </w:r>
            <w:r w:rsidRPr="00D84D93">
              <w:rPr>
                <w:vertAlign w:val="superscript"/>
              </w:rPr>
              <w:t>11</w:t>
            </w:r>
            <w:r>
              <w:t xml:space="preserve"> viral particles (</w:t>
            </w:r>
            <w:proofErr w:type="spellStart"/>
            <w:r>
              <w:t>vp</w:t>
            </w:r>
            <w:proofErr w:type="spellEnd"/>
            <w:r>
              <w:t>)/mL</w:t>
            </w:r>
            <w:bookmarkEnd w:id="12"/>
          </w:p>
        </w:tc>
      </w:tr>
      <w:tr w:rsidR="008E7846" w:rsidRPr="00487162" w14:paraId="3CB6CF77" w14:textId="77777777" w:rsidTr="00BF1190">
        <w:tc>
          <w:tcPr>
            <w:tcW w:w="2907" w:type="dxa"/>
          </w:tcPr>
          <w:p w14:paraId="48002733" w14:textId="5BF42030" w:rsidR="008E7846" w:rsidRPr="00487162" w:rsidRDefault="008E7846" w:rsidP="00E45619">
            <w:pPr>
              <w:rPr>
                <w:i/>
              </w:rPr>
            </w:pPr>
            <w:r w:rsidRPr="00487162">
              <w:rPr>
                <w:i/>
              </w:rPr>
              <w:t>Container:</w:t>
            </w:r>
          </w:p>
        </w:tc>
        <w:tc>
          <w:tcPr>
            <w:tcW w:w="6307" w:type="dxa"/>
          </w:tcPr>
          <w:p w14:paraId="48ECBA60" w14:textId="3F83AF79" w:rsidR="008E7846" w:rsidRPr="00487162" w:rsidRDefault="00091664" w:rsidP="00E45619">
            <w:r>
              <w:t>Multi</w:t>
            </w:r>
            <w:r w:rsidR="00D7002A">
              <w:t>-</w:t>
            </w:r>
            <w:r>
              <w:t>dose vial</w:t>
            </w:r>
          </w:p>
        </w:tc>
      </w:tr>
      <w:tr w:rsidR="008E7846" w:rsidRPr="00487162" w14:paraId="6D0E5F33" w14:textId="77777777" w:rsidTr="00BF1190">
        <w:tc>
          <w:tcPr>
            <w:tcW w:w="2907" w:type="dxa"/>
          </w:tcPr>
          <w:p w14:paraId="4C41D2DC" w14:textId="39EF8D39" w:rsidR="008E7846" w:rsidRPr="00487162" w:rsidRDefault="008E7846" w:rsidP="00E45619">
            <w:pPr>
              <w:rPr>
                <w:i/>
              </w:rPr>
            </w:pPr>
            <w:r w:rsidRPr="00487162">
              <w:rPr>
                <w:i/>
              </w:rPr>
              <w:t>Pack size:</w:t>
            </w:r>
          </w:p>
        </w:tc>
        <w:tc>
          <w:tcPr>
            <w:tcW w:w="6307" w:type="dxa"/>
          </w:tcPr>
          <w:p w14:paraId="14431878" w14:textId="2F4F6B3D" w:rsidR="008E7846" w:rsidRPr="00487162" w:rsidRDefault="00091664" w:rsidP="00E45619">
            <w:r>
              <w:t>10 vials</w:t>
            </w:r>
          </w:p>
        </w:tc>
      </w:tr>
      <w:tr w:rsidR="008E7846" w:rsidRPr="00487162" w14:paraId="29874989" w14:textId="77777777" w:rsidTr="00BF1190">
        <w:tc>
          <w:tcPr>
            <w:tcW w:w="2907" w:type="dxa"/>
          </w:tcPr>
          <w:p w14:paraId="5B671CCA"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66A618F" w14:textId="13815046" w:rsidR="008D5570" w:rsidRPr="00D178CE" w:rsidRDefault="00626FEF" w:rsidP="008D5570">
            <w:pPr>
              <w:rPr>
                <w:i/>
              </w:rPr>
            </w:pPr>
            <w:proofErr w:type="spellStart"/>
            <w:r>
              <w:rPr>
                <w:i/>
              </w:rPr>
              <w:t>V</w:t>
            </w:r>
            <w:r w:rsidR="001F5ABE">
              <w:rPr>
                <w:i/>
              </w:rPr>
              <w:t>axzevria</w:t>
            </w:r>
            <w:proofErr w:type="spellEnd"/>
            <w:r w:rsidRPr="00D178CE">
              <w:rPr>
                <w:i/>
              </w:rPr>
              <w:t xml:space="preserve"> </w:t>
            </w:r>
            <w:r w:rsidR="008D5570" w:rsidRPr="00D178CE">
              <w:rPr>
                <w:i/>
              </w:rPr>
              <w:t xml:space="preserve">has </w:t>
            </w:r>
            <w:r w:rsidR="008D5570" w:rsidRPr="00A97894">
              <w:rPr>
                <w:i/>
              </w:rPr>
              <w:t>provisional approval</w:t>
            </w:r>
            <w:r w:rsidR="008D5570" w:rsidRPr="00D178CE">
              <w:rPr>
                <w:i/>
              </w:rPr>
              <w:t xml:space="preserve"> for the indication:</w:t>
            </w:r>
          </w:p>
          <w:p w14:paraId="5A2D7BDF" w14:textId="5FD8F78E" w:rsidR="008D5570" w:rsidRPr="00D178CE" w:rsidRDefault="008D5570" w:rsidP="008D5570">
            <w:pPr>
              <w:ind w:left="720"/>
              <w:rPr>
                <w:i/>
              </w:rPr>
            </w:pPr>
            <w:r w:rsidRPr="00D178CE">
              <w:rPr>
                <w:i/>
              </w:rPr>
              <w:t xml:space="preserve">Active immunisation of individuals </w:t>
            </w:r>
            <w:r w:rsidR="003C2036">
              <w:rPr>
                <w:i/>
              </w:rPr>
              <w:t>≥</w:t>
            </w:r>
            <w:r>
              <w:rPr>
                <w:i/>
              </w:rPr>
              <w:t xml:space="preserve"> </w:t>
            </w:r>
            <w:r w:rsidRPr="00D178CE">
              <w:rPr>
                <w:i/>
              </w:rPr>
              <w:t>18 years old for the prevention of coronavirus disease 2019 (COVID-19) caused by SARS-CoV-2.</w:t>
            </w:r>
          </w:p>
          <w:p w14:paraId="1DF5FA72" w14:textId="77777777" w:rsidR="008D5570" w:rsidRPr="00D178CE" w:rsidRDefault="008D5570" w:rsidP="008D5570">
            <w:pPr>
              <w:ind w:left="720"/>
              <w:rPr>
                <w:i/>
              </w:rPr>
            </w:pPr>
            <w:r w:rsidRPr="00D178CE">
              <w:rPr>
                <w:i/>
              </w:rPr>
              <w:t>The use of this vaccine should be in accordance with official recommendations.</w:t>
            </w:r>
          </w:p>
          <w:p w14:paraId="1DC85590" w14:textId="0095B87E" w:rsidR="008E7846" w:rsidRPr="00487162" w:rsidRDefault="008D5570" w:rsidP="008D5570">
            <w:pPr>
              <w:rPr>
                <w:rFonts w:eastAsia="MS Mincho"/>
                <w:lang w:eastAsia="ja-JP"/>
              </w:rPr>
            </w:pPr>
            <w:r w:rsidRPr="00D178CE">
              <w:rPr>
                <w:i/>
              </w:rPr>
              <w:t xml:space="preserve">The decision has been made on the basis of </w:t>
            </w:r>
            <w:proofErr w:type="gramStart"/>
            <w:r w:rsidRPr="00D178CE">
              <w:rPr>
                <w:i/>
              </w:rPr>
              <w:t>short term</w:t>
            </w:r>
            <w:proofErr w:type="gramEnd"/>
            <w:r w:rsidRPr="00D178CE">
              <w:rPr>
                <w:i/>
              </w:rPr>
              <w:t xml:space="preserve"> efficacy and safety data. Continued approval is dependent upon the evidence of longer-term efficacy and safety from ongoing clinical trials and post-market assessment.</w:t>
            </w:r>
          </w:p>
        </w:tc>
      </w:tr>
      <w:tr w:rsidR="008E7846" w:rsidRPr="00487162" w14:paraId="7571C027" w14:textId="77777777" w:rsidTr="00BF1190">
        <w:tc>
          <w:tcPr>
            <w:tcW w:w="2907" w:type="dxa"/>
          </w:tcPr>
          <w:p w14:paraId="461CC68A" w14:textId="38794B95" w:rsidR="008E7846" w:rsidRPr="00487162" w:rsidRDefault="008E7846" w:rsidP="00E45619">
            <w:pPr>
              <w:rPr>
                <w:i/>
              </w:rPr>
            </w:pPr>
            <w:r w:rsidRPr="00487162">
              <w:rPr>
                <w:i/>
              </w:rPr>
              <w:lastRenderedPageBreak/>
              <w:t>Route of administration:</w:t>
            </w:r>
          </w:p>
        </w:tc>
        <w:tc>
          <w:tcPr>
            <w:tcW w:w="6307" w:type="dxa"/>
          </w:tcPr>
          <w:p w14:paraId="58F977B2" w14:textId="3D4C98A1" w:rsidR="008E7846" w:rsidRPr="00487162" w:rsidRDefault="00091664" w:rsidP="00E45619">
            <w:r>
              <w:t>Intramuscular</w:t>
            </w:r>
          </w:p>
        </w:tc>
      </w:tr>
      <w:tr w:rsidR="008E7846" w:rsidRPr="00487162" w14:paraId="585F0B5F" w14:textId="77777777" w:rsidTr="00BF1190">
        <w:tc>
          <w:tcPr>
            <w:tcW w:w="2907" w:type="dxa"/>
          </w:tcPr>
          <w:p w14:paraId="27E585DD" w14:textId="77777777" w:rsidR="008E7846" w:rsidRPr="00487162" w:rsidRDefault="008E7846" w:rsidP="00E45619">
            <w:pPr>
              <w:rPr>
                <w:i/>
              </w:rPr>
            </w:pPr>
            <w:r w:rsidRPr="00487162">
              <w:rPr>
                <w:i/>
              </w:rPr>
              <w:t>Dosage:</w:t>
            </w:r>
          </w:p>
        </w:tc>
        <w:tc>
          <w:tcPr>
            <w:tcW w:w="6307" w:type="dxa"/>
          </w:tcPr>
          <w:p w14:paraId="163C3034" w14:textId="3730E529" w:rsidR="00E939CF" w:rsidRPr="00E939CF" w:rsidRDefault="00E939CF">
            <w:r w:rsidRPr="00E939CF">
              <w:t xml:space="preserve">The </w:t>
            </w:r>
            <w:proofErr w:type="spellStart"/>
            <w:r w:rsidR="00265CE4" w:rsidRPr="00E939CF">
              <w:t>Vaxzevria</w:t>
            </w:r>
            <w:proofErr w:type="spellEnd"/>
            <w:r w:rsidR="00626FEF" w:rsidRPr="00E939CF">
              <w:t xml:space="preserve"> </w:t>
            </w:r>
            <w:r w:rsidRPr="00E939CF">
              <w:t>primary vaccination course consists of two separate doses of 0.5 mL each. The</w:t>
            </w:r>
            <w:r>
              <w:t xml:space="preserve"> </w:t>
            </w:r>
            <w:r w:rsidRPr="00E939CF">
              <w:t>second dose should be administered between 4 and 12 weeks after the first dose (see Section 5.1</w:t>
            </w:r>
            <w:r>
              <w:t xml:space="preserve"> </w:t>
            </w:r>
            <w:r w:rsidRPr="00E939CF">
              <w:t>Pharmacodynamic properties</w:t>
            </w:r>
            <w:r>
              <w:t xml:space="preserve"> of the Product Information</w:t>
            </w:r>
            <w:r w:rsidRPr="00E939CF">
              <w:t>).</w:t>
            </w:r>
          </w:p>
          <w:p w14:paraId="327677DD" w14:textId="1727863D" w:rsidR="00E939CF" w:rsidRPr="00E939CF" w:rsidRDefault="00E939CF">
            <w:r w:rsidRPr="00E939CF">
              <w:t xml:space="preserve">It is recommended that individuals who receive a first dose of </w:t>
            </w:r>
            <w:proofErr w:type="spellStart"/>
            <w:r w:rsidR="00265CE4" w:rsidRPr="00E939CF">
              <w:t>Vaxzevria</w:t>
            </w:r>
            <w:proofErr w:type="spellEnd"/>
            <w:r w:rsidR="003A2388" w:rsidRPr="00E939CF">
              <w:t xml:space="preserve"> </w:t>
            </w:r>
            <w:r w:rsidRPr="00E939CF">
              <w:t>receive a second dose</w:t>
            </w:r>
            <w:r>
              <w:t xml:space="preserve"> </w:t>
            </w:r>
            <w:r w:rsidRPr="00E939CF">
              <w:t xml:space="preserve">of </w:t>
            </w:r>
            <w:proofErr w:type="spellStart"/>
            <w:r w:rsidR="00265CE4" w:rsidRPr="00E939CF">
              <w:t>Vaxzevria</w:t>
            </w:r>
            <w:proofErr w:type="spellEnd"/>
            <w:r w:rsidR="003A2388" w:rsidRPr="00E939CF">
              <w:t xml:space="preserve"> </w:t>
            </w:r>
            <w:r w:rsidRPr="00E939CF">
              <w:t>(see Section 4.4 Special warnings and precautions for use</w:t>
            </w:r>
            <w:r>
              <w:t xml:space="preserve"> of the Product Information</w:t>
            </w:r>
            <w:r w:rsidRPr="00E939CF">
              <w:t>).</w:t>
            </w:r>
          </w:p>
          <w:p w14:paraId="2AB11D07" w14:textId="7ED76663" w:rsidR="00E939CF" w:rsidRPr="00E939CF" w:rsidRDefault="00E939CF">
            <w:r w:rsidRPr="00E939CF">
              <w:t>A third (booster) dose of 0.5 mL may be given if clinically indicated with reference to official</w:t>
            </w:r>
            <w:r>
              <w:t xml:space="preserve"> </w:t>
            </w:r>
            <w:r w:rsidRPr="00E939CF">
              <w:t>guidance regarding the use of a heterologous third dose (</w:t>
            </w:r>
            <w:r>
              <w:t>for example,</w:t>
            </w:r>
            <w:r w:rsidRPr="00E939CF">
              <w:t xml:space="preserve"> </w:t>
            </w:r>
            <w:r>
              <w:t>m</w:t>
            </w:r>
            <w:r w:rsidRPr="00E939CF">
              <w:t xml:space="preserve">essenger </w:t>
            </w:r>
            <w:r>
              <w:t>r</w:t>
            </w:r>
            <w:r w:rsidRPr="00E939CF">
              <w:t xml:space="preserve">ibonucleic acid </w:t>
            </w:r>
            <w:r>
              <w:t>(</w:t>
            </w:r>
            <w:r w:rsidRPr="00E939CF">
              <w:t>mRNA</w:t>
            </w:r>
            <w:r>
              <w:t>)</w:t>
            </w:r>
            <w:r w:rsidRPr="00E939CF">
              <w:t xml:space="preserve"> vaccine</w:t>
            </w:r>
            <w:r>
              <w:t>s</w:t>
            </w:r>
            <w:r w:rsidRPr="00E939CF">
              <w:t>).</w:t>
            </w:r>
          </w:p>
          <w:p w14:paraId="0DF1ED2E" w14:textId="49AFF64A" w:rsidR="00E939CF" w:rsidRPr="00E939CF" w:rsidRDefault="00E939CF">
            <w:r w:rsidRPr="00E939CF">
              <w:t xml:space="preserve">A third (booster) dose of </w:t>
            </w:r>
            <w:proofErr w:type="spellStart"/>
            <w:r w:rsidR="00265CE4" w:rsidRPr="00E939CF">
              <w:t>Vaxzevria</w:t>
            </w:r>
            <w:proofErr w:type="spellEnd"/>
            <w:r w:rsidR="003A2388" w:rsidRPr="00E939CF">
              <w:t xml:space="preserve"> </w:t>
            </w:r>
            <w:r w:rsidRPr="00E939CF">
              <w:t>should be administered at least 6 months after a second</w:t>
            </w:r>
            <w:r>
              <w:t xml:space="preserve"> </w:t>
            </w:r>
            <w:r w:rsidRPr="00E939CF">
              <w:t>dose</w:t>
            </w:r>
            <w:r>
              <w:t xml:space="preserve"> </w:t>
            </w:r>
            <w:r w:rsidRPr="00E939CF">
              <w:t xml:space="preserve">of </w:t>
            </w:r>
            <w:proofErr w:type="spellStart"/>
            <w:r w:rsidR="00265CE4" w:rsidRPr="00E939CF">
              <w:t>Vaxzevria</w:t>
            </w:r>
            <w:proofErr w:type="spellEnd"/>
            <w:r w:rsidRPr="00E939CF">
              <w:t>.</w:t>
            </w:r>
          </w:p>
          <w:p w14:paraId="4E882778" w14:textId="77777777" w:rsidR="00460036" w:rsidRPr="00487162" w:rsidRDefault="00460036" w:rsidP="00E45619">
            <w:r w:rsidRPr="00460036">
              <w:t>For further information regarding dosage, refer to the Product Information.</w:t>
            </w:r>
          </w:p>
        </w:tc>
      </w:tr>
      <w:tr w:rsidR="00460036" w:rsidRPr="00487162" w14:paraId="384E1649" w14:textId="77777777" w:rsidTr="00BF1190">
        <w:tc>
          <w:tcPr>
            <w:tcW w:w="2907" w:type="dxa"/>
          </w:tcPr>
          <w:p w14:paraId="5144211D" w14:textId="77777777" w:rsidR="00460036" w:rsidRPr="00487162" w:rsidRDefault="00460036" w:rsidP="00E45619">
            <w:pPr>
              <w:rPr>
                <w:i/>
              </w:rPr>
            </w:pPr>
            <w:r w:rsidRPr="00460036">
              <w:rPr>
                <w:i/>
              </w:rPr>
              <w:t>Pregnancy category</w:t>
            </w:r>
            <w:r>
              <w:rPr>
                <w:i/>
              </w:rPr>
              <w:t>:</w:t>
            </w:r>
          </w:p>
        </w:tc>
        <w:tc>
          <w:tcPr>
            <w:tcW w:w="6307" w:type="dxa"/>
          </w:tcPr>
          <w:p w14:paraId="68ED6965" w14:textId="77777777" w:rsidR="00184028" w:rsidRPr="002D21D4" w:rsidRDefault="00184028" w:rsidP="00184028">
            <w:r w:rsidRPr="002D21D4">
              <w:t>B2</w:t>
            </w:r>
          </w:p>
          <w:p w14:paraId="76F125E0" w14:textId="77777777" w:rsidR="00184028" w:rsidRPr="002D21D4" w:rsidRDefault="00184028" w:rsidP="00184028">
            <w:r w:rsidRPr="002D21D4">
              <w:t xml:space="preserve">Drugs which have been taken by only a limited number of pregnant women and women of childbearing age, without an increase in the frequency of malformation or other direct or indirect harmful effects on the human </w:t>
            </w:r>
            <w:proofErr w:type="spellStart"/>
            <w:r w:rsidRPr="002D21D4">
              <w:t>fetus</w:t>
            </w:r>
            <w:proofErr w:type="spellEnd"/>
            <w:r w:rsidRPr="002D21D4">
              <w:t xml:space="preserve"> having been observed.</w:t>
            </w:r>
          </w:p>
          <w:p w14:paraId="44186DE3" w14:textId="751F3221" w:rsidR="00184028" w:rsidRDefault="00184028" w:rsidP="00184028">
            <w:r w:rsidRPr="002D21D4">
              <w:t xml:space="preserve">Studies in animals are inadequate or may be lacking, but available data show no evidence of an increased occurrence of </w:t>
            </w:r>
            <w:proofErr w:type="spellStart"/>
            <w:r w:rsidRPr="002D21D4">
              <w:t>fetal</w:t>
            </w:r>
            <w:proofErr w:type="spellEnd"/>
            <w:r w:rsidRPr="002D21D4">
              <w:t xml:space="preserve"> damage.</w:t>
            </w:r>
          </w:p>
          <w:p w14:paraId="5CF4D9A2" w14:textId="2E426479"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6B9C0B8" w14:textId="77777777" w:rsidR="008E7846" w:rsidRDefault="008E7846" w:rsidP="008E7846">
      <w:pPr>
        <w:pStyle w:val="Heading3"/>
      </w:pPr>
      <w:bookmarkStart w:id="13" w:name="_Toc247691503"/>
      <w:bookmarkStart w:id="14" w:name="_Toc314842484"/>
      <w:bookmarkStart w:id="15" w:name="_Toc95891649"/>
      <w:r>
        <w:t>Product background</w:t>
      </w:r>
      <w:bookmarkEnd w:id="13"/>
      <w:bookmarkEnd w:id="14"/>
      <w:bookmarkEnd w:id="15"/>
    </w:p>
    <w:p w14:paraId="3F231049" w14:textId="0E77844B" w:rsidR="008E7846" w:rsidRDefault="00250271" w:rsidP="00940A89">
      <w:r w:rsidRPr="00250271">
        <w:t xml:space="preserve">This </w:t>
      </w:r>
      <w:proofErr w:type="spellStart"/>
      <w:r w:rsidRPr="00250271">
        <w:t>AusPAR</w:t>
      </w:r>
      <w:proofErr w:type="spellEnd"/>
      <w:r w:rsidRPr="00250271">
        <w:t xml:space="preserve"> describes the application by </w:t>
      </w:r>
      <w:r w:rsidR="00184028">
        <w:t>AstraZeneca Pty Ltd</w:t>
      </w:r>
      <w:r w:rsidRPr="00250271">
        <w:t xml:space="preserve"> (the sponsor) to register </w:t>
      </w:r>
      <w:proofErr w:type="spellStart"/>
      <w:r w:rsidR="00184028">
        <w:t>Vaxzevria</w:t>
      </w:r>
      <w:proofErr w:type="spellEnd"/>
      <w:r w:rsidRPr="00250271">
        <w:t xml:space="preserve"> </w:t>
      </w:r>
      <w:r w:rsidR="00184028" w:rsidRPr="00250271">
        <w:t>(</w:t>
      </w:r>
      <w:r w:rsidR="00184028" w:rsidRPr="00DE7972">
        <w:t>ChAdOx</w:t>
      </w:r>
      <w:r w:rsidR="00F91C52">
        <w:t>-</w:t>
      </w:r>
      <w:r w:rsidR="00184028" w:rsidRPr="00DE7972">
        <w:t>1-S</w:t>
      </w:r>
      <w:r w:rsidR="00184028" w:rsidRPr="00250271">
        <w:t xml:space="preserve">) </w:t>
      </w:r>
      <w:r w:rsidR="00184028">
        <w:t>1 x</w:t>
      </w:r>
      <w:r w:rsidR="00184028" w:rsidRPr="00D84D93">
        <w:t xml:space="preserve"> 10</w:t>
      </w:r>
      <w:r w:rsidR="00184028" w:rsidRPr="00D84D93">
        <w:rPr>
          <w:vertAlign w:val="superscript"/>
        </w:rPr>
        <w:t>11</w:t>
      </w:r>
      <w:r w:rsidR="00184028">
        <w:t xml:space="preserve"> viral particles (</w:t>
      </w:r>
      <w:proofErr w:type="spellStart"/>
      <w:r w:rsidR="00184028">
        <w:t>vp</w:t>
      </w:r>
      <w:proofErr w:type="spellEnd"/>
      <w:r w:rsidR="00184028">
        <w:t>)/mL</w:t>
      </w:r>
      <w:r w:rsidR="00184028" w:rsidRPr="00250271">
        <w:t xml:space="preserve"> </w:t>
      </w:r>
      <w:r w:rsidR="00184028">
        <w:t>solution for injection</w:t>
      </w:r>
      <w:r w:rsidRPr="00250271">
        <w:t xml:space="preserve"> for the following </w:t>
      </w:r>
      <w:r w:rsidR="00184028">
        <w:t>major variation</w:t>
      </w:r>
      <w:r w:rsidR="00CF5DAD">
        <w:t>:</w:t>
      </w:r>
    </w:p>
    <w:p w14:paraId="49E5ABF5" w14:textId="4892B09A" w:rsidR="00184028" w:rsidRPr="00DC2562" w:rsidRDefault="00184028" w:rsidP="00F520F2">
      <w:pPr>
        <w:pStyle w:val="ListParagraph"/>
        <w:numPr>
          <w:ilvl w:val="0"/>
          <w:numId w:val="35"/>
        </w:numPr>
      </w:pPr>
      <w:r w:rsidRPr="00DC2562">
        <w:t xml:space="preserve">The inclusion of a third dose booster of AZD1222 in individuals previously vaccinated with a 2-dose primary course </w:t>
      </w:r>
      <w:r w:rsidRPr="00241724">
        <w:t>of AZD1222</w:t>
      </w:r>
      <w:r w:rsidR="00FB0E41" w:rsidRPr="00DC2562">
        <w:t>.</w:t>
      </w:r>
      <w:bookmarkStart w:id="16" w:name="_Ref93765739"/>
      <w:r w:rsidR="00FB0E41" w:rsidRPr="0005074E">
        <w:rPr>
          <w:vertAlign w:val="superscript"/>
        </w:rPr>
        <w:footnoteReference w:id="2"/>
      </w:r>
      <w:bookmarkEnd w:id="16"/>
    </w:p>
    <w:p w14:paraId="7DB9AE30" w14:textId="2311DB34" w:rsidR="00FB0E41" w:rsidRDefault="00FB0E41" w:rsidP="00FB0E41">
      <w:r>
        <w:t>C</w:t>
      </w:r>
      <w:r w:rsidRPr="00FB0E41">
        <w:t xml:space="preserve">oronavirus disease </w:t>
      </w:r>
      <w:r w:rsidR="00F91C52">
        <w:t xml:space="preserve">2019 </w:t>
      </w:r>
      <w:r>
        <w:t xml:space="preserve">(COVID-19) is a variable clinical syndrome caused by infection with the </w:t>
      </w:r>
      <w:r w:rsidRPr="00FB0E41">
        <w:t>severe acute respiratory syndrome coronavirus</w:t>
      </w:r>
      <w:r>
        <w:t> </w:t>
      </w:r>
      <w:r w:rsidRPr="00FB0E41">
        <w:t>2</w:t>
      </w:r>
      <w:r>
        <w:t xml:space="preserve"> (SARS-CoV-2) virus that has </w:t>
      </w:r>
      <w:r>
        <w:lastRenderedPageBreak/>
        <w:t>been circulating as a global pandemic since early 2020.</w:t>
      </w:r>
      <w:r>
        <w:rPr>
          <w:rStyle w:val="FootnoteReference"/>
        </w:rPr>
        <w:footnoteReference w:id="3"/>
      </w:r>
      <w:r>
        <w:t xml:space="preserve"> Infection with the SARS-CoV-2 is frequently asymptomatic or mild, particularly individuals who have received an effective vaccine. Age, immunosuppression, and co-morbid chronic conditions (obesity, cardiovascular disease, hypertension) increase the risk of severe COVID-19 in which viral pneumonitis leads to hypoxia, respiratory failure and shock. The management of patients with critical disease is largely supportive and mortality rates are high in this group.</w:t>
      </w:r>
    </w:p>
    <w:p w14:paraId="575C5C66" w14:textId="476BC4B5" w:rsidR="00FB0E41" w:rsidRDefault="00FB0E41" w:rsidP="00FB0E41">
      <w:pPr>
        <w:pStyle w:val="Heading4"/>
      </w:pPr>
      <w:r>
        <w:t>Current vaccine and treatment options</w:t>
      </w:r>
    </w:p>
    <w:p w14:paraId="3E8DF17E" w14:textId="1DE5A64C" w:rsidR="00FB0E41" w:rsidRPr="00184028" w:rsidRDefault="00FB0E41" w:rsidP="00FB0E41">
      <w:r>
        <w:t xml:space="preserve">Vaccination has been the cornerstone of preventative efforts to reduce the number and severity of COVID-19 infections in the current pandemic. </w:t>
      </w:r>
      <w:proofErr w:type="spellStart"/>
      <w:r>
        <w:t>Vaxzevria</w:t>
      </w:r>
      <w:proofErr w:type="spellEnd"/>
      <w:r>
        <w:t xml:space="preserve"> was provisionally registered in Australia in February 2021 and was the basis of the primary vaccination program in older adults, peaking at approximately 3 million doses administered in August</w:t>
      </w:r>
      <w:r w:rsidR="00F91C52">
        <w:t> </w:t>
      </w:r>
      <w:r>
        <w:t>2021.</w:t>
      </w:r>
      <w:r>
        <w:rPr>
          <w:rStyle w:val="FootnoteReference"/>
        </w:rPr>
        <w:footnoteReference w:id="4"/>
      </w:r>
      <w:r>
        <w:t xml:space="preserve"> Epidemiology and immunology studies worldwide have demonstrated that protective immunity wanes following primary courses (usually two dose</w:t>
      </w:r>
      <w:r w:rsidR="00F91C52">
        <w:t>s</w:t>
      </w:r>
      <w:r>
        <w:t>) of all current COVID-19 vaccines, with protection against infection being more rapidly lost that mitigation of disease severity. This has led to third dose ‘boosters’ being recommended for many COVID-19 vaccines after the completion of their primary courses. The need for boosters has been increased by the emergence of vaccine escape variants of COVID-19, most lately B.1.1.529 (Omicron),</w:t>
      </w:r>
      <w:r>
        <w:rPr>
          <w:rStyle w:val="FootnoteReference"/>
        </w:rPr>
        <w:footnoteReference w:id="5"/>
      </w:r>
      <w:r>
        <w:t xml:space="preserve"> which require higher antibody levels to confer protective immunity.</w:t>
      </w:r>
    </w:p>
    <w:p w14:paraId="59A0C427" w14:textId="77777777" w:rsidR="008E7846" w:rsidRPr="003F31A2" w:rsidRDefault="00386150" w:rsidP="008E7846">
      <w:pPr>
        <w:pStyle w:val="Heading3"/>
      </w:pPr>
      <w:bookmarkStart w:id="17" w:name="_Toc314842485"/>
      <w:bookmarkStart w:id="18" w:name="_Toc247691504"/>
      <w:bookmarkStart w:id="19" w:name="_Toc95891650"/>
      <w:r>
        <w:t>Regulatory s</w:t>
      </w:r>
      <w:r w:rsidR="008E7846">
        <w:t>tatus</w:t>
      </w:r>
      <w:bookmarkEnd w:id="17"/>
      <w:bookmarkEnd w:id="18"/>
      <w:bookmarkEnd w:id="19"/>
    </w:p>
    <w:p w14:paraId="452F7D3B" w14:textId="77777777" w:rsidR="0004132D" w:rsidRDefault="0004132D" w:rsidP="00006FAB">
      <w:bookmarkStart w:id="20" w:name="_Toc247691505"/>
      <w:bookmarkStart w:id="21" w:name="_Toc314842486"/>
      <w:proofErr w:type="spellStart"/>
      <w:r w:rsidRPr="00AC5E9F">
        <w:t>V</w:t>
      </w:r>
      <w:r>
        <w:t>axzevria</w:t>
      </w:r>
      <w:proofErr w:type="spellEnd"/>
      <w:r>
        <w:t xml:space="preserve"> (</w:t>
      </w:r>
      <w:r w:rsidRPr="00AC5E9F">
        <w:t>ChAdOx1-S</w:t>
      </w:r>
      <w:r>
        <w:t>) was</w:t>
      </w:r>
      <w:r w:rsidRPr="005D10BD">
        <w:t xml:space="preserve"> provisionally approved 15 February 2021 for</w:t>
      </w:r>
      <w:r>
        <w:t>:</w:t>
      </w:r>
    </w:p>
    <w:p w14:paraId="35421DEE" w14:textId="40770B34" w:rsidR="0004132D" w:rsidRDefault="0004132D" w:rsidP="0004132D">
      <w:pPr>
        <w:ind w:left="720"/>
        <w:rPr>
          <w:i/>
          <w:iCs/>
        </w:rPr>
      </w:pPr>
      <w:r w:rsidRPr="0004132D">
        <w:rPr>
          <w:i/>
          <w:iCs/>
        </w:rPr>
        <w:t>Active immunisation of individuals ≥ 18 years old for the prevention of coronavirus disease 2019 (COVID-19) caused by SARS-CoV-2.</w:t>
      </w:r>
    </w:p>
    <w:p w14:paraId="382F67C1" w14:textId="77777777" w:rsidR="0004132D" w:rsidRPr="00D178CE" w:rsidRDefault="0004132D" w:rsidP="0004132D">
      <w:pPr>
        <w:ind w:left="720"/>
        <w:rPr>
          <w:i/>
        </w:rPr>
      </w:pPr>
      <w:r w:rsidRPr="00D178CE">
        <w:rPr>
          <w:i/>
        </w:rPr>
        <w:t>The use of this vaccine should be in accordance with official recommendations.</w:t>
      </w:r>
    </w:p>
    <w:p w14:paraId="31F5A7B4" w14:textId="3DD98852" w:rsidR="0004132D" w:rsidRPr="0004132D" w:rsidRDefault="0004132D" w:rsidP="0004132D">
      <w:pPr>
        <w:ind w:left="720"/>
        <w:rPr>
          <w:i/>
          <w:iCs/>
        </w:rPr>
      </w:pPr>
      <w:r w:rsidRPr="00D178CE">
        <w:rPr>
          <w:i/>
        </w:rPr>
        <w:t xml:space="preserve">The decision has been made on the basis of </w:t>
      </w:r>
      <w:proofErr w:type="gramStart"/>
      <w:r w:rsidRPr="00D178CE">
        <w:rPr>
          <w:i/>
        </w:rPr>
        <w:t>short term</w:t>
      </w:r>
      <w:proofErr w:type="gramEnd"/>
      <w:r w:rsidRPr="00D178CE">
        <w:rPr>
          <w:i/>
        </w:rPr>
        <w:t xml:space="preserve"> efficacy and safety data. Continued approval is dependent upon the evidence of longer-term efficacy and safety from ongoing clinical trials and post-market assessment.</w:t>
      </w:r>
    </w:p>
    <w:p w14:paraId="770F15EC" w14:textId="674E152F" w:rsidR="00006FAB" w:rsidRDefault="00006FAB" w:rsidP="00006FAB">
      <w:r>
        <w:t>At the time the TGA considered this application, similar application</w:t>
      </w:r>
      <w:r w:rsidR="00F91C52">
        <w:t>s</w:t>
      </w:r>
      <w:r>
        <w:t xml:space="preserve"> had been approved in </w:t>
      </w:r>
      <w:r w:rsidR="0031545C">
        <w:t>Philippines</w:t>
      </w:r>
      <w:r w:rsidR="00DB1139">
        <w:t xml:space="preserve"> </w:t>
      </w:r>
      <w:r>
        <w:t>(</w:t>
      </w:r>
      <w:r w:rsidR="0031545C">
        <w:t>15 November 2021</w:t>
      </w:r>
      <w:r>
        <w:t>)</w:t>
      </w:r>
      <w:r w:rsidR="0031545C">
        <w:t>, Malaysia (</w:t>
      </w:r>
      <w:r w:rsidR="00DB1139">
        <w:t>17 November 2021), Thailand (16 December 2021) and Vietnam (9 December 2021). Similar application</w:t>
      </w:r>
      <w:r w:rsidR="00F91C52">
        <w:t>s</w:t>
      </w:r>
      <w:r>
        <w:t xml:space="preserve"> w</w:t>
      </w:r>
      <w:r w:rsidR="00F91C52">
        <w:t>ere</w:t>
      </w:r>
      <w:r>
        <w:t xml:space="preserve"> under consideration in </w:t>
      </w:r>
      <w:r w:rsidR="00DB1139">
        <w:t>Canada, European Union (EU) and United Kingdom (UK).</w:t>
      </w:r>
    </w:p>
    <w:p w14:paraId="7341FF6A" w14:textId="6454A44B" w:rsidR="00324E45" w:rsidRPr="00F0146F" w:rsidRDefault="00324E45" w:rsidP="00324E45">
      <w:pPr>
        <w:pStyle w:val="TableTitle"/>
      </w:pPr>
      <w:r>
        <w:t xml:space="preserve">Table </w:t>
      </w:r>
      <w:r w:rsidR="00000000">
        <w:fldChar w:fldCharType="begin"/>
      </w:r>
      <w:r w:rsidR="00000000">
        <w:instrText xml:space="preserve"> SEQ Table \* ARABIC </w:instrText>
      </w:r>
      <w:r w:rsidR="00000000">
        <w:fldChar w:fldCharType="separate"/>
      </w:r>
      <w:r w:rsidR="002B3478">
        <w:rPr>
          <w:noProof/>
        </w:rPr>
        <w:t>1</w:t>
      </w:r>
      <w:r w:rsidR="00000000">
        <w:rPr>
          <w:noProof/>
        </w:rPr>
        <w:fldChar w:fldCharType="end"/>
      </w:r>
      <w:r>
        <w:t>: International regulatory status</w:t>
      </w:r>
      <w:r w:rsidR="0031545C">
        <w:t xml:space="preserve"> of selected countries</w:t>
      </w:r>
    </w:p>
    <w:tbl>
      <w:tblPr>
        <w:tblStyle w:val="TableTGAblue"/>
        <w:tblW w:w="0" w:type="auto"/>
        <w:tblLook w:val="04A0" w:firstRow="1" w:lastRow="0" w:firstColumn="1" w:lastColumn="0" w:noHBand="0" w:noVBand="1"/>
      </w:tblPr>
      <w:tblGrid>
        <w:gridCol w:w="1449"/>
        <w:gridCol w:w="2232"/>
        <w:gridCol w:w="2268"/>
        <w:gridCol w:w="2545"/>
      </w:tblGrid>
      <w:tr w:rsidR="00006FAB" w14:paraId="19FFE388" w14:textId="77777777" w:rsidTr="00F520F2">
        <w:trPr>
          <w:cnfStyle w:val="100000000000" w:firstRow="1" w:lastRow="0" w:firstColumn="0" w:lastColumn="0" w:oddVBand="0" w:evenVBand="0" w:oddHBand="0" w:evenHBand="0" w:firstRowFirstColumn="0" w:firstRowLastColumn="0" w:lastRowFirstColumn="0" w:lastRowLastColumn="0"/>
        </w:trPr>
        <w:tc>
          <w:tcPr>
            <w:tcW w:w="1449" w:type="dxa"/>
            <w:tcBorders>
              <w:top w:val="single" w:sz="4" w:space="0" w:color="auto"/>
              <w:left w:val="single" w:sz="4" w:space="0" w:color="auto"/>
              <w:bottom w:val="single" w:sz="4" w:space="0" w:color="auto"/>
              <w:right w:val="single" w:sz="4" w:space="0" w:color="auto"/>
            </w:tcBorders>
          </w:tcPr>
          <w:p w14:paraId="45F06A10" w14:textId="77777777" w:rsidR="00006FAB" w:rsidRDefault="00006FAB" w:rsidP="00006FAB">
            <w:pPr>
              <w:ind w:left="0" w:right="0"/>
            </w:pPr>
            <w:r>
              <w:t>Region</w:t>
            </w:r>
          </w:p>
        </w:tc>
        <w:tc>
          <w:tcPr>
            <w:tcW w:w="2232" w:type="dxa"/>
            <w:tcBorders>
              <w:top w:val="single" w:sz="4" w:space="0" w:color="auto"/>
              <w:left w:val="single" w:sz="4" w:space="0" w:color="auto"/>
              <w:bottom w:val="single" w:sz="4" w:space="0" w:color="auto"/>
              <w:right w:val="single" w:sz="4" w:space="0" w:color="auto"/>
            </w:tcBorders>
          </w:tcPr>
          <w:p w14:paraId="3321B8A9" w14:textId="77777777" w:rsidR="00006FAB" w:rsidRDefault="00006FAB" w:rsidP="00006FAB">
            <w:pPr>
              <w:ind w:left="0" w:right="0"/>
            </w:pPr>
            <w:r>
              <w:t>Submission date</w:t>
            </w:r>
          </w:p>
        </w:tc>
        <w:tc>
          <w:tcPr>
            <w:tcW w:w="2268" w:type="dxa"/>
            <w:tcBorders>
              <w:top w:val="single" w:sz="4" w:space="0" w:color="auto"/>
              <w:left w:val="single" w:sz="4" w:space="0" w:color="auto"/>
              <w:bottom w:val="single" w:sz="4" w:space="0" w:color="auto"/>
              <w:right w:val="single" w:sz="4" w:space="0" w:color="auto"/>
            </w:tcBorders>
          </w:tcPr>
          <w:p w14:paraId="2FB604DC" w14:textId="77777777" w:rsidR="00006FAB" w:rsidRDefault="00006FAB" w:rsidP="00006FAB">
            <w:pPr>
              <w:ind w:left="0" w:right="0"/>
            </w:pPr>
            <w:r>
              <w:t>Status</w:t>
            </w:r>
          </w:p>
        </w:tc>
        <w:tc>
          <w:tcPr>
            <w:tcW w:w="2545" w:type="dxa"/>
            <w:tcBorders>
              <w:top w:val="single" w:sz="4" w:space="0" w:color="auto"/>
              <w:left w:val="single" w:sz="4" w:space="0" w:color="auto"/>
              <w:bottom w:val="single" w:sz="4" w:space="0" w:color="auto"/>
              <w:right w:val="single" w:sz="4" w:space="0" w:color="auto"/>
            </w:tcBorders>
          </w:tcPr>
          <w:p w14:paraId="74E5411D" w14:textId="77777777" w:rsidR="00006FAB" w:rsidRDefault="00006FAB" w:rsidP="00006FAB">
            <w:pPr>
              <w:ind w:left="0" w:right="0"/>
            </w:pPr>
            <w:r>
              <w:t>Approved indications</w:t>
            </w:r>
          </w:p>
        </w:tc>
      </w:tr>
      <w:tr w:rsidR="00006FAB" w14:paraId="322DBEB7" w14:textId="77777777" w:rsidTr="00F520F2">
        <w:tc>
          <w:tcPr>
            <w:tcW w:w="1449" w:type="dxa"/>
            <w:tcBorders>
              <w:top w:val="single" w:sz="4" w:space="0" w:color="auto"/>
            </w:tcBorders>
          </w:tcPr>
          <w:p w14:paraId="08C8A4C3" w14:textId="096BCE17" w:rsidR="00006FAB" w:rsidRDefault="0031545C" w:rsidP="00006FAB">
            <w:pPr>
              <w:ind w:left="0" w:right="0"/>
            </w:pPr>
            <w:r>
              <w:t>Canada</w:t>
            </w:r>
          </w:p>
        </w:tc>
        <w:tc>
          <w:tcPr>
            <w:tcW w:w="2232" w:type="dxa"/>
            <w:tcBorders>
              <w:top w:val="single" w:sz="4" w:space="0" w:color="auto"/>
            </w:tcBorders>
          </w:tcPr>
          <w:p w14:paraId="146583D7" w14:textId="7A40EEC1" w:rsidR="00006FAB" w:rsidRDefault="0031545C" w:rsidP="00006FAB">
            <w:pPr>
              <w:ind w:left="0" w:right="0"/>
            </w:pPr>
            <w:r>
              <w:t>10 December 2021</w:t>
            </w:r>
          </w:p>
        </w:tc>
        <w:tc>
          <w:tcPr>
            <w:tcW w:w="2268" w:type="dxa"/>
            <w:tcBorders>
              <w:top w:val="single" w:sz="4" w:space="0" w:color="auto"/>
            </w:tcBorders>
          </w:tcPr>
          <w:p w14:paraId="157F8F06" w14:textId="12D8C23A" w:rsidR="00006FAB" w:rsidRDefault="0031545C" w:rsidP="00006FAB">
            <w:pPr>
              <w:ind w:left="0" w:right="0"/>
            </w:pPr>
            <w:r w:rsidRPr="00006FAB">
              <w:t>Under consideration</w:t>
            </w:r>
          </w:p>
        </w:tc>
        <w:tc>
          <w:tcPr>
            <w:tcW w:w="2545" w:type="dxa"/>
            <w:tcBorders>
              <w:top w:val="single" w:sz="4" w:space="0" w:color="auto"/>
            </w:tcBorders>
          </w:tcPr>
          <w:p w14:paraId="599E8A55" w14:textId="09D562E7" w:rsidR="00006FAB" w:rsidRDefault="0031545C" w:rsidP="00006FAB">
            <w:pPr>
              <w:ind w:left="0" w:right="0"/>
            </w:pPr>
            <w:r w:rsidRPr="00006FAB">
              <w:t>Under consideration</w:t>
            </w:r>
          </w:p>
        </w:tc>
      </w:tr>
      <w:tr w:rsidR="00006FAB" w14:paraId="4A5BFFF0" w14:textId="77777777" w:rsidTr="00F520F2">
        <w:tc>
          <w:tcPr>
            <w:tcW w:w="1449" w:type="dxa"/>
          </w:tcPr>
          <w:p w14:paraId="1FFA322C" w14:textId="1A463AF8" w:rsidR="00006FAB" w:rsidRDefault="0031545C" w:rsidP="00006FAB">
            <w:pPr>
              <w:ind w:left="0" w:right="0"/>
            </w:pPr>
            <w:r>
              <w:t>European Union</w:t>
            </w:r>
          </w:p>
        </w:tc>
        <w:tc>
          <w:tcPr>
            <w:tcW w:w="2232" w:type="dxa"/>
          </w:tcPr>
          <w:p w14:paraId="5C638498" w14:textId="19DE5108" w:rsidR="00006FAB" w:rsidRDefault="0031545C" w:rsidP="00006FAB">
            <w:pPr>
              <w:ind w:left="0" w:right="0"/>
            </w:pPr>
            <w:r>
              <w:t>5 December 2021</w:t>
            </w:r>
          </w:p>
        </w:tc>
        <w:tc>
          <w:tcPr>
            <w:tcW w:w="2268" w:type="dxa"/>
          </w:tcPr>
          <w:p w14:paraId="70E2A76A" w14:textId="77777777" w:rsidR="00006FAB" w:rsidRDefault="00006FAB" w:rsidP="00006FAB">
            <w:pPr>
              <w:ind w:left="0" w:right="0"/>
            </w:pPr>
            <w:r w:rsidRPr="00006FAB">
              <w:t>Under consideration</w:t>
            </w:r>
          </w:p>
        </w:tc>
        <w:tc>
          <w:tcPr>
            <w:tcW w:w="2545" w:type="dxa"/>
          </w:tcPr>
          <w:p w14:paraId="423D7270" w14:textId="77777777" w:rsidR="00006FAB" w:rsidRDefault="00006FAB" w:rsidP="00006FAB">
            <w:pPr>
              <w:ind w:left="0" w:right="0"/>
            </w:pPr>
            <w:r w:rsidRPr="00006FAB">
              <w:t>Under consideration</w:t>
            </w:r>
          </w:p>
        </w:tc>
      </w:tr>
      <w:tr w:rsidR="0031545C" w14:paraId="1B178866" w14:textId="77777777" w:rsidTr="00F520F2">
        <w:tc>
          <w:tcPr>
            <w:tcW w:w="1449" w:type="dxa"/>
          </w:tcPr>
          <w:p w14:paraId="179619DC" w14:textId="2F516B5A" w:rsidR="0031545C" w:rsidRDefault="0031545C" w:rsidP="0031545C">
            <w:pPr>
              <w:ind w:left="0"/>
            </w:pPr>
            <w:r>
              <w:lastRenderedPageBreak/>
              <w:t>United Kingdom</w:t>
            </w:r>
          </w:p>
        </w:tc>
        <w:tc>
          <w:tcPr>
            <w:tcW w:w="2232" w:type="dxa"/>
          </w:tcPr>
          <w:p w14:paraId="746AD620" w14:textId="7909C6B4" w:rsidR="0031545C" w:rsidRDefault="0031545C" w:rsidP="0031545C">
            <w:pPr>
              <w:ind w:left="0"/>
            </w:pPr>
            <w:r>
              <w:t>10 November 2021</w:t>
            </w:r>
          </w:p>
        </w:tc>
        <w:tc>
          <w:tcPr>
            <w:tcW w:w="2268" w:type="dxa"/>
          </w:tcPr>
          <w:p w14:paraId="41A57539" w14:textId="618FB399" w:rsidR="0031545C" w:rsidRPr="00006FAB" w:rsidRDefault="0031545C" w:rsidP="0031545C">
            <w:pPr>
              <w:ind w:left="0"/>
            </w:pPr>
            <w:r w:rsidRPr="00006FAB">
              <w:t>Under consideration</w:t>
            </w:r>
          </w:p>
        </w:tc>
        <w:tc>
          <w:tcPr>
            <w:tcW w:w="2545" w:type="dxa"/>
          </w:tcPr>
          <w:p w14:paraId="038EDF42" w14:textId="5A3FEB64" w:rsidR="0031545C" w:rsidRPr="00006FAB" w:rsidRDefault="0031545C" w:rsidP="0031545C">
            <w:pPr>
              <w:ind w:left="0"/>
            </w:pPr>
            <w:r w:rsidRPr="00006FAB">
              <w:t>Under consideration</w:t>
            </w:r>
          </w:p>
        </w:tc>
      </w:tr>
      <w:tr w:rsidR="0031545C" w14:paraId="1E566241" w14:textId="77777777" w:rsidTr="00F520F2">
        <w:tc>
          <w:tcPr>
            <w:tcW w:w="1449" w:type="dxa"/>
          </w:tcPr>
          <w:p w14:paraId="0A66069D" w14:textId="0E874052" w:rsidR="0031545C" w:rsidRDefault="0031545C" w:rsidP="0031545C">
            <w:pPr>
              <w:ind w:left="0"/>
            </w:pPr>
            <w:r>
              <w:t>Philippines</w:t>
            </w:r>
          </w:p>
        </w:tc>
        <w:tc>
          <w:tcPr>
            <w:tcW w:w="2232" w:type="dxa"/>
          </w:tcPr>
          <w:p w14:paraId="071875DA" w14:textId="77FE7BEF" w:rsidR="0031545C" w:rsidRDefault="0031545C" w:rsidP="0031545C">
            <w:pPr>
              <w:ind w:left="0"/>
            </w:pPr>
            <w:r>
              <w:t>3 November 2021</w:t>
            </w:r>
          </w:p>
        </w:tc>
        <w:tc>
          <w:tcPr>
            <w:tcW w:w="2268" w:type="dxa"/>
          </w:tcPr>
          <w:p w14:paraId="506DE43E" w14:textId="666BFA97" w:rsidR="0031545C" w:rsidRPr="00006FAB" w:rsidRDefault="0031545C" w:rsidP="0031545C">
            <w:pPr>
              <w:ind w:left="0"/>
            </w:pPr>
            <w:r>
              <w:t>15 November 2021</w:t>
            </w:r>
          </w:p>
        </w:tc>
        <w:tc>
          <w:tcPr>
            <w:tcW w:w="2545" w:type="dxa"/>
          </w:tcPr>
          <w:p w14:paraId="22D9F345" w14:textId="53FF5E04" w:rsidR="0031545C" w:rsidRPr="00006FAB" w:rsidRDefault="0031545C" w:rsidP="0031545C">
            <w:pPr>
              <w:ind w:left="0"/>
            </w:pPr>
            <w:r w:rsidRPr="00184028">
              <w:rPr>
                <w:i/>
                <w:iCs/>
              </w:rPr>
              <w:t>The inclusion of a third dose booster of AZD1222 in individuals previously vaccinated with a 2-dose primary course of AZD1222</w:t>
            </w:r>
          </w:p>
        </w:tc>
      </w:tr>
      <w:tr w:rsidR="0031545C" w14:paraId="4BCEB1CC" w14:textId="77777777" w:rsidTr="00F520F2">
        <w:tc>
          <w:tcPr>
            <w:tcW w:w="1449" w:type="dxa"/>
          </w:tcPr>
          <w:p w14:paraId="0046E8B3" w14:textId="07C19F57" w:rsidR="0031545C" w:rsidRDefault="0031545C" w:rsidP="0031545C">
            <w:pPr>
              <w:ind w:left="0"/>
            </w:pPr>
            <w:r>
              <w:t>Malaysia</w:t>
            </w:r>
          </w:p>
        </w:tc>
        <w:tc>
          <w:tcPr>
            <w:tcW w:w="2232" w:type="dxa"/>
          </w:tcPr>
          <w:p w14:paraId="3B59C7FC" w14:textId="514FD90C" w:rsidR="0031545C" w:rsidRDefault="0031545C" w:rsidP="0031545C">
            <w:pPr>
              <w:ind w:left="0"/>
            </w:pPr>
            <w:r>
              <w:t>3 November 2021</w:t>
            </w:r>
          </w:p>
        </w:tc>
        <w:tc>
          <w:tcPr>
            <w:tcW w:w="2268" w:type="dxa"/>
          </w:tcPr>
          <w:p w14:paraId="7E59E7C9" w14:textId="5F4296DF" w:rsidR="0031545C" w:rsidRPr="00006FAB" w:rsidRDefault="0031545C" w:rsidP="0031545C">
            <w:pPr>
              <w:ind w:left="0"/>
            </w:pPr>
            <w:r>
              <w:t>17 November 2021</w:t>
            </w:r>
          </w:p>
        </w:tc>
        <w:tc>
          <w:tcPr>
            <w:tcW w:w="2545" w:type="dxa"/>
          </w:tcPr>
          <w:p w14:paraId="5A1DFF0E" w14:textId="61902EF0" w:rsidR="0031545C" w:rsidRPr="00006FAB" w:rsidRDefault="0031545C" w:rsidP="0031545C">
            <w:pPr>
              <w:ind w:left="0"/>
            </w:pPr>
            <w:r w:rsidRPr="00184028">
              <w:rPr>
                <w:i/>
                <w:iCs/>
              </w:rPr>
              <w:t>The inclusion of a third dose booster of AZD1222 in individuals previously vaccinated with a 2-dose primary course of AZD1222</w:t>
            </w:r>
          </w:p>
        </w:tc>
      </w:tr>
      <w:tr w:rsidR="0031545C" w14:paraId="2040F084" w14:textId="77777777" w:rsidTr="00F520F2">
        <w:tc>
          <w:tcPr>
            <w:tcW w:w="1449" w:type="dxa"/>
          </w:tcPr>
          <w:p w14:paraId="6F3FB0BD" w14:textId="4C948610" w:rsidR="0031545C" w:rsidRDefault="0031545C" w:rsidP="0031545C">
            <w:pPr>
              <w:ind w:left="0"/>
            </w:pPr>
            <w:r>
              <w:t>Thailand</w:t>
            </w:r>
          </w:p>
        </w:tc>
        <w:tc>
          <w:tcPr>
            <w:tcW w:w="2232" w:type="dxa"/>
          </w:tcPr>
          <w:p w14:paraId="796C30A7" w14:textId="668089DC" w:rsidR="0031545C" w:rsidRDefault="0031545C" w:rsidP="0031545C">
            <w:pPr>
              <w:ind w:left="0"/>
            </w:pPr>
            <w:r>
              <w:t>11 November 2021</w:t>
            </w:r>
          </w:p>
        </w:tc>
        <w:tc>
          <w:tcPr>
            <w:tcW w:w="2268" w:type="dxa"/>
          </w:tcPr>
          <w:p w14:paraId="46936962" w14:textId="6B620AC1" w:rsidR="0031545C" w:rsidRPr="00006FAB" w:rsidRDefault="0031545C" w:rsidP="0031545C">
            <w:pPr>
              <w:ind w:left="0"/>
            </w:pPr>
            <w:r>
              <w:t>16 December 2021</w:t>
            </w:r>
          </w:p>
        </w:tc>
        <w:tc>
          <w:tcPr>
            <w:tcW w:w="2545" w:type="dxa"/>
          </w:tcPr>
          <w:p w14:paraId="203EB20A" w14:textId="3C2C5488" w:rsidR="0031545C" w:rsidRPr="00006FAB" w:rsidRDefault="0031545C" w:rsidP="0031545C">
            <w:pPr>
              <w:ind w:left="0"/>
            </w:pPr>
            <w:r w:rsidRPr="00184028">
              <w:rPr>
                <w:i/>
                <w:iCs/>
              </w:rPr>
              <w:t>The inclusion of a third dose booster of AZD1222 in individuals previously vaccinated with a 2-dose primary course of AZD1222</w:t>
            </w:r>
          </w:p>
        </w:tc>
      </w:tr>
      <w:tr w:rsidR="0031545C" w14:paraId="4C95FCFA" w14:textId="77777777" w:rsidTr="00F520F2">
        <w:tc>
          <w:tcPr>
            <w:tcW w:w="1449" w:type="dxa"/>
          </w:tcPr>
          <w:p w14:paraId="7FA453A7" w14:textId="487A3AEF" w:rsidR="0031545C" w:rsidRDefault="0031545C" w:rsidP="0031545C">
            <w:pPr>
              <w:ind w:left="0"/>
            </w:pPr>
            <w:r>
              <w:t>Vietnam</w:t>
            </w:r>
          </w:p>
        </w:tc>
        <w:tc>
          <w:tcPr>
            <w:tcW w:w="2232" w:type="dxa"/>
          </w:tcPr>
          <w:p w14:paraId="5E2A39C8" w14:textId="6AAFA59A" w:rsidR="0031545C" w:rsidRDefault="0031545C" w:rsidP="0031545C">
            <w:pPr>
              <w:ind w:left="0"/>
            </w:pPr>
            <w:r>
              <w:t>5 November 2021</w:t>
            </w:r>
          </w:p>
        </w:tc>
        <w:tc>
          <w:tcPr>
            <w:tcW w:w="2268" w:type="dxa"/>
          </w:tcPr>
          <w:p w14:paraId="14F7A146" w14:textId="6092DAB1" w:rsidR="0031545C" w:rsidRPr="00006FAB" w:rsidRDefault="0031545C" w:rsidP="0031545C">
            <w:pPr>
              <w:ind w:left="0"/>
            </w:pPr>
            <w:r>
              <w:t>9 December 2021</w:t>
            </w:r>
          </w:p>
        </w:tc>
        <w:tc>
          <w:tcPr>
            <w:tcW w:w="2545" w:type="dxa"/>
          </w:tcPr>
          <w:p w14:paraId="7AF2B851" w14:textId="0BB3BA9A" w:rsidR="0031545C" w:rsidRPr="00006FAB" w:rsidRDefault="0031545C" w:rsidP="0031545C">
            <w:pPr>
              <w:ind w:left="0"/>
            </w:pPr>
            <w:r w:rsidRPr="00184028">
              <w:rPr>
                <w:i/>
                <w:iCs/>
              </w:rPr>
              <w:t>The inclusion of a third dose booster of AZD1222 in individuals previously vaccinated with a 2-dose primary course of AZD1222</w:t>
            </w:r>
          </w:p>
        </w:tc>
      </w:tr>
    </w:tbl>
    <w:p w14:paraId="46767E71" w14:textId="77777777" w:rsidR="008E7846" w:rsidRDefault="008E7846" w:rsidP="00940A89">
      <w:pPr>
        <w:pStyle w:val="Heading3"/>
      </w:pPr>
      <w:bookmarkStart w:id="22" w:name="_Toc95891651"/>
      <w:r>
        <w:t>Product Information</w:t>
      </w:r>
      <w:bookmarkEnd w:id="20"/>
      <w:bookmarkEnd w:id="21"/>
      <w:bookmarkEnd w:id="22"/>
    </w:p>
    <w:p w14:paraId="4ADD903D" w14:textId="156697E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015783ED" w14:textId="77777777" w:rsidR="00500337" w:rsidRDefault="00500337" w:rsidP="00500337">
      <w:pPr>
        <w:pStyle w:val="Heading2"/>
      </w:pPr>
      <w:bookmarkStart w:id="25" w:name="_Toc504480011"/>
      <w:bookmarkStart w:id="26" w:name="_Toc95891652"/>
      <w:r>
        <w:t>II. Registration timeline</w:t>
      </w:r>
      <w:bookmarkEnd w:id="25"/>
      <w:bookmarkEnd w:id="26"/>
    </w:p>
    <w:p w14:paraId="156CC9B5" w14:textId="0DA2F6B6" w:rsidR="00500337" w:rsidRDefault="00500337" w:rsidP="00500337">
      <w:r>
        <w:t xml:space="preserve">The following table captures the key steps and dates for this </w:t>
      </w:r>
      <w:r w:rsidR="00B71D1B">
        <w:t>application,</w:t>
      </w:r>
      <w:r>
        <w:t xml:space="preserve"> and which are detailed and discussed in this </w:t>
      </w:r>
      <w:proofErr w:type="spellStart"/>
      <w:r>
        <w:t>AusPAR</w:t>
      </w:r>
      <w:proofErr w:type="spellEnd"/>
      <w:r>
        <w:t>.</w:t>
      </w:r>
    </w:p>
    <w:p w14:paraId="100A512A" w14:textId="77777777" w:rsidR="00E302CE" w:rsidRDefault="00E302CE" w:rsidP="00E302CE">
      <w:r>
        <w:t>Data was provided as a rolling submission. Under normal circumstances, the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comes to hand.</w:t>
      </w:r>
    </w:p>
    <w:p w14:paraId="041D84C3" w14:textId="2FEE5A89" w:rsidR="00E302CE" w:rsidRPr="00114FD1" w:rsidRDefault="00DB1139" w:rsidP="00DB1139">
      <w:pPr>
        <w:pStyle w:val="TableTitle"/>
      </w:pPr>
      <w:r w:rsidRPr="00DB1139">
        <w:lastRenderedPageBreak/>
        <w:t xml:space="preserve">Table </w:t>
      </w:r>
      <w:r w:rsidR="00000000">
        <w:fldChar w:fldCharType="begin"/>
      </w:r>
      <w:r w:rsidR="00000000">
        <w:instrText xml:space="preserve"> SEQ Table \* ARABIC </w:instrText>
      </w:r>
      <w:r w:rsidR="00000000">
        <w:fldChar w:fldCharType="separate"/>
      </w:r>
      <w:r w:rsidR="002B3478">
        <w:rPr>
          <w:noProof/>
        </w:rPr>
        <w:t>2</w:t>
      </w:r>
      <w:r w:rsidR="00000000">
        <w:rPr>
          <w:noProof/>
        </w:rPr>
        <w:fldChar w:fldCharType="end"/>
      </w:r>
      <w:r w:rsidR="00006FAB">
        <w:t>:</w:t>
      </w:r>
      <w:r w:rsidR="006A58A8" w:rsidRPr="006A58A8">
        <w:t xml:space="preserve"> Timeline for Submission PM-20</w:t>
      </w:r>
      <w:r w:rsidR="00324E45">
        <w:t>2</w:t>
      </w:r>
      <w:r>
        <w:t>1-05173-1</w:t>
      </w:r>
    </w:p>
    <w:tbl>
      <w:tblPr>
        <w:tblStyle w:val="TableTGAblue"/>
        <w:tblW w:w="0" w:type="auto"/>
        <w:tblLook w:val="04A0" w:firstRow="1" w:lastRow="0" w:firstColumn="1" w:lastColumn="0" w:noHBand="0" w:noVBand="1"/>
      </w:tblPr>
      <w:tblGrid>
        <w:gridCol w:w="4263"/>
        <w:gridCol w:w="4231"/>
      </w:tblGrid>
      <w:tr w:rsidR="00E302CE" w:rsidRPr="00765D5A" w14:paraId="03F3F2A1" w14:textId="77777777" w:rsidTr="00650EEA">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7B7AE51C" w14:textId="77777777" w:rsidR="00E302CE" w:rsidRPr="00765D5A" w:rsidRDefault="00E302CE" w:rsidP="00650EEA">
            <w:pPr>
              <w:ind w:left="0" w:right="0"/>
            </w:pPr>
            <w:r w:rsidRPr="00765D5A">
              <w:t>Description</w:t>
            </w:r>
          </w:p>
        </w:tc>
        <w:tc>
          <w:tcPr>
            <w:tcW w:w="4231" w:type="dxa"/>
            <w:tcBorders>
              <w:top w:val="single" w:sz="4" w:space="0" w:color="auto"/>
              <w:left w:val="single" w:sz="4" w:space="0" w:color="auto"/>
              <w:bottom w:val="single" w:sz="4" w:space="0" w:color="auto"/>
              <w:right w:val="single" w:sz="4" w:space="0" w:color="auto"/>
            </w:tcBorders>
          </w:tcPr>
          <w:p w14:paraId="34B44CD2" w14:textId="77777777" w:rsidR="00E302CE" w:rsidRPr="00765D5A" w:rsidRDefault="00E302CE" w:rsidP="00650EEA">
            <w:pPr>
              <w:ind w:left="0" w:right="0"/>
            </w:pPr>
            <w:r w:rsidRPr="00765D5A">
              <w:t>Date</w:t>
            </w:r>
          </w:p>
        </w:tc>
      </w:tr>
      <w:tr w:rsidR="00E302CE" w:rsidRPr="00765D5A" w14:paraId="1310766A" w14:textId="77777777" w:rsidTr="00650EEA">
        <w:tc>
          <w:tcPr>
            <w:tcW w:w="4263" w:type="dxa"/>
            <w:tcBorders>
              <w:top w:val="single" w:sz="4" w:space="0" w:color="auto"/>
            </w:tcBorders>
          </w:tcPr>
          <w:p w14:paraId="40AFB1E7" w14:textId="75B85848" w:rsidR="00E302CE" w:rsidRPr="00765D5A" w:rsidRDefault="00E302CE" w:rsidP="00650EEA">
            <w:pPr>
              <w:ind w:left="0" w:right="0"/>
            </w:pPr>
            <w:r>
              <w:t>Determination</w:t>
            </w:r>
            <w:r w:rsidRPr="00765D5A">
              <w:t xml:space="preserve"> (Provisional)</w:t>
            </w:r>
            <w:r w:rsidR="00B71D1B">
              <w:t>;</w:t>
            </w:r>
            <w:r w:rsidR="00B71D1B">
              <w:rPr>
                <w:rStyle w:val="FootnoteReference"/>
              </w:rPr>
              <w:footnoteReference w:id="6"/>
            </w:r>
          </w:p>
        </w:tc>
        <w:tc>
          <w:tcPr>
            <w:tcW w:w="4231" w:type="dxa"/>
            <w:tcBorders>
              <w:top w:val="single" w:sz="4" w:space="0" w:color="auto"/>
            </w:tcBorders>
          </w:tcPr>
          <w:p w14:paraId="2F48B33A" w14:textId="5BC13C8C" w:rsidR="00E302CE" w:rsidRPr="00E939CF" w:rsidRDefault="00E939CF" w:rsidP="00050F42">
            <w:pPr>
              <w:ind w:left="0"/>
            </w:pPr>
            <w:r w:rsidRPr="00E939CF">
              <w:t>Not applicable</w:t>
            </w:r>
          </w:p>
        </w:tc>
      </w:tr>
      <w:tr w:rsidR="00E302CE" w:rsidRPr="00765D5A" w14:paraId="1C2222E3" w14:textId="77777777" w:rsidTr="00650EEA">
        <w:tc>
          <w:tcPr>
            <w:tcW w:w="4263" w:type="dxa"/>
          </w:tcPr>
          <w:p w14:paraId="799B78C7" w14:textId="77777777" w:rsidR="00E302CE" w:rsidRPr="00765D5A" w:rsidRDefault="00E302CE" w:rsidP="00650EEA">
            <w:pPr>
              <w:ind w:left="0" w:right="0"/>
            </w:pPr>
            <w:r w:rsidRPr="00765D5A">
              <w:t>Submission dossier accepted and first round evaluation commenced</w:t>
            </w:r>
          </w:p>
        </w:tc>
        <w:tc>
          <w:tcPr>
            <w:tcW w:w="4231" w:type="dxa"/>
          </w:tcPr>
          <w:p w14:paraId="5C7553F1" w14:textId="1F3CB29C" w:rsidR="00E302CE" w:rsidRPr="00765D5A" w:rsidRDefault="00E939CF" w:rsidP="00650EEA">
            <w:pPr>
              <w:ind w:left="0" w:right="0"/>
            </w:pPr>
            <w:r w:rsidRPr="00E939CF">
              <w:t>11 November 2021</w:t>
            </w:r>
          </w:p>
        </w:tc>
      </w:tr>
      <w:tr w:rsidR="00E302CE" w:rsidRPr="00765D5A" w14:paraId="0CE4BFB9" w14:textId="77777777" w:rsidTr="00650EEA">
        <w:tc>
          <w:tcPr>
            <w:tcW w:w="4263" w:type="dxa"/>
          </w:tcPr>
          <w:p w14:paraId="64A12C3D" w14:textId="77777777" w:rsidR="00E302CE" w:rsidRPr="00765D5A" w:rsidRDefault="00E302CE" w:rsidP="00650EEA">
            <w:pPr>
              <w:ind w:left="0" w:right="0"/>
            </w:pPr>
            <w:r w:rsidRPr="00765D5A">
              <w:t>Evaluation completed</w:t>
            </w:r>
          </w:p>
        </w:tc>
        <w:tc>
          <w:tcPr>
            <w:tcW w:w="4231" w:type="dxa"/>
          </w:tcPr>
          <w:p w14:paraId="162B0ED5" w14:textId="769CC5CA" w:rsidR="00E302CE" w:rsidRPr="00E939CF" w:rsidRDefault="00E939CF" w:rsidP="00050F42">
            <w:pPr>
              <w:ind w:left="0"/>
            </w:pPr>
            <w:r w:rsidRPr="00E939CF">
              <w:t>23 December 2021</w:t>
            </w:r>
          </w:p>
        </w:tc>
      </w:tr>
      <w:tr w:rsidR="00E302CE" w:rsidRPr="00765D5A" w14:paraId="76AA4947" w14:textId="77777777" w:rsidTr="00650EEA">
        <w:tc>
          <w:tcPr>
            <w:tcW w:w="4263" w:type="dxa"/>
          </w:tcPr>
          <w:p w14:paraId="3E9BD47B" w14:textId="77777777" w:rsidR="00E302CE" w:rsidRPr="00765D5A" w:rsidRDefault="00E302CE" w:rsidP="00650EEA">
            <w:pPr>
              <w:ind w:left="0" w:right="0"/>
              <w:rPr>
                <w:color w:val="000000"/>
              </w:rPr>
            </w:pPr>
            <w:r w:rsidRPr="00765D5A">
              <w:rPr>
                <w:color w:val="000000"/>
              </w:rPr>
              <w:t>Delegate’s Overall benefit-risk assessment and request for Advisory Committee advice</w:t>
            </w:r>
          </w:p>
        </w:tc>
        <w:tc>
          <w:tcPr>
            <w:tcW w:w="4231" w:type="dxa"/>
          </w:tcPr>
          <w:p w14:paraId="7B3335F7" w14:textId="2D671578" w:rsidR="00E302CE" w:rsidRPr="00765D5A" w:rsidRDefault="00DB1139" w:rsidP="00650EEA">
            <w:pPr>
              <w:ind w:left="0" w:right="0"/>
            </w:pPr>
            <w:r>
              <w:t>23 December 2021</w:t>
            </w:r>
          </w:p>
        </w:tc>
      </w:tr>
      <w:tr w:rsidR="00E302CE" w:rsidRPr="00765D5A" w14:paraId="5FEBC1DD" w14:textId="77777777" w:rsidTr="00650EEA">
        <w:tc>
          <w:tcPr>
            <w:tcW w:w="4263" w:type="dxa"/>
          </w:tcPr>
          <w:p w14:paraId="7DCA0F11" w14:textId="77777777" w:rsidR="00E302CE" w:rsidRPr="00765D5A" w:rsidRDefault="00E302CE" w:rsidP="00650EEA">
            <w:pPr>
              <w:ind w:left="0" w:right="0"/>
            </w:pPr>
            <w:r w:rsidRPr="00765D5A">
              <w:t>Sponsor’s pre-Advisory Committee response</w:t>
            </w:r>
          </w:p>
        </w:tc>
        <w:tc>
          <w:tcPr>
            <w:tcW w:w="4231" w:type="dxa"/>
          </w:tcPr>
          <w:p w14:paraId="4BB0FD21" w14:textId="775CBC48" w:rsidR="00E302CE" w:rsidRPr="00765D5A" w:rsidRDefault="00E939CF" w:rsidP="00650EEA">
            <w:pPr>
              <w:ind w:left="0" w:right="0"/>
            </w:pPr>
            <w:r w:rsidRPr="00E939CF">
              <w:t>8 January 2022</w:t>
            </w:r>
          </w:p>
        </w:tc>
      </w:tr>
      <w:tr w:rsidR="00E302CE" w:rsidRPr="00765D5A" w14:paraId="13A7E71A" w14:textId="77777777" w:rsidTr="00650EEA">
        <w:tc>
          <w:tcPr>
            <w:tcW w:w="4263" w:type="dxa"/>
          </w:tcPr>
          <w:p w14:paraId="7279242F" w14:textId="77777777" w:rsidR="00E302CE" w:rsidRPr="00765D5A" w:rsidRDefault="00E302CE" w:rsidP="00650EEA">
            <w:pPr>
              <w:ind w:left="0" w:right="0"/>
            </w:pPr>
            <w:r w:rsidRPr="00765D5A">
              <w:t>Advisory Committee meeting</w:t>
            </w:r>
          </w:p>
        </w:tc>
        <w:tc>
          <w:tcPr>
            <w:tcW w:w="4231" w:type="dxa"/>
          </w:tcPr>
          <w:p w14:paraId="2C6E044E" w14:textId="77777777" w:rsidR="00E302CE" w:rsidRPr="00765D5A" w:rsidRDefault="00E302CE" w:rsidP="00650EEA">
            <w:pPr>
              <w:ind w:left="0" w:right="0"/>
            </w:pPr>
            <w:r>
              <w:t>14 January 2022</w:t>
            </w:r>
          </w:p>
        </w:tc>
      </w:tr>
      <w:tr w:rsidR="00E302CE" w:rsidRPr="00765D5A" w14:paraId="1A4EDC08" w14:textId="77777777" w:rsidTr="00650EEA">
        <w:tc>
          <w:tcPr>
            <w:tcW w:w="4263" w:type="dxa"/>
          </w:tcPr>
          <w:p w14:paraId="2B597DDA" w14:textId="77777777" w:rsidR="00E302CE" w:rsidRPr="00765D5A" w:rsidRDefault="00E302CE" w:rsidP="00650EEA">
            <w:pPr>
              <w:ind w:left="0" w:right="0"/>
            </w:pPr>
            <w:r w:rsidRPr="00765D5A">
              <w:t>Registration decision (Outcome)</w:t>
            </w:r>
          </w:p>
        </w:tc>
        <w:tc>
          <w:tcPr>
            <w:tcW w:w="4231" w:type="dxa"/>
          </w:tcPr>
          <w:p w14:paraId="233DF0E2" w14:textId="6D849719" w:rsidR="00E302CE" w:rsidRPr="00765D5A" w:rsidRDefault="003A2388" w:rsidP="00650EEA">
            <w:pPr>
              <w:ind w:left="0" w:right="0"/>
            </w:pPr>
            <w:r>
              <w:t>8</w:t>
            </w:r>
            <w:r w:rsidR="00E939CF" w:rsidRPr="003C7D5B">
              <w:t xml:space="preserve"> February 2022</w:t>
            </w:r>
          </w:p>
        </w:tc>
      </w:tr>
      <w:tr w:rsidR="00E302CE" w:rsidRPr="00765D5A" w14:paraId="6A293B11" w14:textId="77777777" w:rsidTr="00650EEA">
        <w:tc>
          <w:tcPr>
            <w:tcW w:w="4263" w:type="dxa"/>
          </w:tcPr>
          <w:p w14:paraId="5E5BCEC9" w14:textId="77777777" w:rsidR="00E302CE" w:rsidRPr="00765D5A" w:rsidRDefault="00E302CE" w:rsidP="00650EEA">
            <w:pPr>
              <w:ind w:left="0" w:right="0"/>
            </w:pPr>
            <w:r w:rsidRPr="00765D5A">
              <w:t>Completion of administrative activities and registration on the ARTG</w:t>
            </w:r>
          </w:p>
        </w:tc>
        <w:tc>
          <w:tcPr>
            <w:tcW w:w="4231" w:type="dxa"/>
          </w:tcPr>
          <w:p w14:paraId="0318D17C" w14:textId="4520CEB9" w:rsidR="00E302CE" w:rsidRPr="00765D5A" w:rsidRDefault="00FB3066" w:rsidP="00650EEA">
            <w:pPr>
              <w:ind w:left="0" w:right="0"/>
            </w:pPr>
            <w:r w:rsidRPr="00FB3066">
              <w:t>11 February 2022</w:t>
            </w:r>
          </w:p>
        </w:tc>
      </w:tr>
      <w:tr w:rsidR="00E302CE" w:rsidRPr="00765D5A" w14:paraId="77BF9E84" w14:textId="77777777" w:rsidTr="00650EEA">
        <w:tc>
          <w:tcPr>
            <w:tcW w:w="4263" w:type="dxa"/>
          </w:tcPr>
          <w:p w14:paraId="4ACBDDC9" w14:textId="77777777" w:rsidR="00E302CE" w:rsidRPr="00765D5A" w:rsidRDefault="00E302CE" w:rsidP="00650EEA">
            <w:pPr>
              <w:ind w:left="0" w:right="0"/>
            </w:pPr>
            <w:r w:rsidRPr="00765D5A">
              <w:t>Number of working days from submission dossier acceptance to registration decision*</w:t>
            </w:r>
          </w:p>
        </w:tc>
        <w:tc>
          <w:tcPr>
            <w:tcW w:w="4231" w:type="dxa"/>
          </w:tcPr>
          <w:p w14:paraId="0A083400" w14:textId="12A5853C" w:rsidR="00E302CE" w:rsidRPr="00E939CF" w:rsidRDefault="00E939CF" w:rsidP="00050F42">
            <w:pPr>
              <w:ind w:left="0"/>
            </w:pPr>
            <w:r w:rsidRPr="00E939CF">
              <w:t>56</w:t>
            </w:r>
          </w:p>
        </w:tc>
      </w:tr>
    </w:tbl>
    <w:p w14:paraId="5DC080F9" w14:textId="249C81AE" w:rsidR="00E302CE" w:rsidRPr="006A58A8" w:rsidRDefault="00E302CE" w:rsidP="00E302CE">
      <w:pPr>
        <w:pStyle w:val="TableDescription"/>
      </w:pPr>
      <w:r w:rsidRPr="00765D5A">
        <w:t>*Statutory timeframe for standard applications is 255 working days</w:t>
      </w:r>
    </w:p>
    <w:p w14:paraId="2027EC37" w14:textId="77777777" w:rsidR="008E7846" w:rsidRPr="00792A32" w:rsidRDefault="00456765" w:rsidP="008E7846">
      <w:pPr>
        <w:pStyle w:val="Heading2"/>
      </w:pPr>
      <w:bookmarkStart w:id="27" w:name="_Toc196046504"/>
      <w:bookmarkStart w:id="28" w:name="_Toc247691527"/>
      <w:bookmarkStart w:id="29" w:name="_Toc314842510"/>
      <w:bookmarkStart w:id="30" w:name="_Toc95891653"/>
      <w:bookmarkStart w:id="31" w:name="_Toc163441390"/>
      <w:bookmarkEnd w:id="1"/>
      <w:bookmarkEnd w:id="23"/>
      <w:bookmarkEnd w:id="24"/>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369DC908" w14:textId="77777777" w:rsidR="00006FAB" w:rsidRDefault="00006FAB" w:rsidP="00006FAB">
      <w:bookmarkStart w:id="32" w:name="_Toc247691528"/>
      <w:r>
        <w:t>The submission was summarised in the following Delegate’s overview and recommendations.</w:t>
      </w:r>
    </w:p>
    <w:p w14:paraId="5B6F16B4" w14:textId="77777777" w:rsidR="008E7846" w:rsidRDefault="008E7846" w:rsidP="008E7846">
      <w:pPr>
        <w:pStyle w:val="Heading3"/>
      </w:pPr>
      <w:bookmarkStart w:id="33" w:name="_Toc314842511"/>
      <w:bookmarkStart w:id="34" w:name="_Toc95891654"/>
      <w:r>
        <w:t>Quality</w:t>
      </w:r>
      <w:bookmarkEnd w:id="32"/>
      <w:bookmarkEnd w:id="33"/>
      <w:bookmarkEnd w:id="34"/>
    </w:p>
    <w:p w14:paraId="693D7115" w14:textId="5B9D1AF0" w:rsidR="00E45619" w:rsidRDefault="00006FAB" w:rsidP="00006FAB">
      <w:r>
        <w:t>There was no requirement for a quality evaluation in a submission of this type.</w:t>
      </w:r>
    </w:p>
    <w:p w14:paraId="351F5935" w14:textId="4C079A4B" w:rsidR="001E692E" w:rsidRDefault="001E692E" w:rsidP="00006FAB">
      <w:proofErr w:type="spellStart"/>
      <w:r>
        <w:t>Vaxzevria</w:t>
      </w:r>
      <w:proofErr w:type="spellEnd"/>
      <w:r>
        <w:t xml:space="preserve"> (ChAdOx-1-S</w:t>
      </w:r>
      <w:r w:rsidR="00BF07D0">
        <w:t>) received a full quality evaluation to the satisfaction of the TGA at the time of initial provisional registration.</w:t>
      </w:r>
    </w:p>
    <w:p w14:paraId="75282903" w14:textId="77777777" w:rsidR="008E7846" w:rsidRDefault="008E7846" w:rsidP="008E7846">
      <w:pPr>
        <w:pStyle w:val="Heading3"/>
      </w:pPr>
      <w:bookmarkStart w:id="35" w:name="_Toc314842512"/>
      <w:bookmarkStart w:id="36" w:name="_Toc95891655"/>
      <w:r>
        <w:lastRenderedPageBreak/>
        <w:t>Nonclinical</w:t>
      </w:r>
      <w:bookmarkEnd w:id="35"/>
      <w:bookmarkEnd w:id="36"/>
    </w:p>
    <w:p w14:paraId="39317712" w14:textId="5C86F5B7" w:rsidR="008E7846" w:rsidRDefault="00006FAB" w:rsidP="00006FAB">
      <w:r>
        <w:t>There was no requirement for a nonclinical evaluation in a submission of this type.</w:t>
      </w:r>
    </w:p>
    <w:p w14:paraId="408D64FE" w14:textId="0B8DF449" w:rsidR="00BF07D0" w:rsidRDefault="00BF07D0" w:rsidP="00006FAB">
      <w:proofErr w:type="spellStart"/>
      <w:r>
        <w:t>Vaxzevria</w:t>
      </w:r>
      <w:proofErr w:type="spellEnd"/>
      <w:r>
        <w:t xml:space="preserve"> (ChAdOx-1-S) received a full nonclinical evaluation to the satisfaction of the TGA at the time of initial provisional registration.</w:t>
      </w:r>
    </w:p>
    <w:p w14:paraId="78E56F38" w14:textId="2307143B" w:rsidR="00A360AB" w:rsidRDefault="008E7846" w:rsidP="00D502C4">
      <w:pPr>
        <w:pStyle w:val="Heading3"/>
      </w:pPr>
      <w:bookmarkStart w:id="37" w:name="_Toc247691530"/>
      <w:bookmarkStart w:id="38" w:name="_Toc314842513"/>
      <w:bookmarkStart w:id="39" w:name="_Toc95891656"/>
      <w:r>
        <w:t>Clinical</w:t>
      </w:r>
      <w:bookmarkStart w:id="40" w:name="_Toc314842514"/>
      <w:bookmarkEnd w:id="37"/>
      <w:bookmarkEnd w:id="38"/>
      <w:bookmarkEnd w:id="39"/>
    </w:p>
    <w:p w14:paraId="7C13A6EB" w14:textId="11F8E70C" w:rsidR="00A360AB" w:rsidRDefault="00A360AB" w:rsidP="00A360AB">
      <w:pPr>
        <w:pStyle w:val="Heading4"/>
      </w:pPr>
      <w:r>
        <w:t xml:space="preserve">Pivotal </w:t>
      </w:r>
      <w:r w:rsidR="008E2F10">
        <w:t>e</w:t>
      </w:r>
      <w:r>
        <w:t>fficacy</w:t>
      </w:r>
      <w:r w:rsidR="008E2F10">
        <w:t xml:space="preserve"> study</w:t>
      </w:r>
    </w:p>
    <w:p w14:paraId="09D6B1D3" w14:textId="10957E67" w:rsidR="00A360AB" w:rsidRDefault="00AF4D9D" w:rsidP="00A360AB">
      <w:r>
        <w:t xml:space="preserve">Study </w:t>
      </w:r>
      <w:r w:rsidR="00A360AB">
        <w:t xml:space="preserve">COV001 was a multi-arm Phase I/II study for which an initial study report was submitted to TGA in the initial registration of </w:t>
      </w:r>
      <w:proofErr w:type="spellStart"/>
      <w:r w:rsidR="00A360AB">
        <w:t>Vaxzevria</w:t>
      </w:r>
      <w:proofErr w:type="spellEnd"/>
      <w:r w:rsidR="00A360AB">
        <w:t xml:space="preserve">. It included a total of 1067 healthy volunteer subjects 18 to 55 years of age who were randomised to receive </w:t>
      </w:r>
      <w:proofErr w:type="spellStart"/>
      <w:r w:rsidR="00A360AB">
        <w:t>Vaxzevria</w:t>
      </w:r>
      <w:proofErr w:type="spellEnd"/>
      <w:r w:rsidR="00A360AB">
        <w:t xml:space="preserve"> or active</w:t>
      </w:r>
      <w:r w:rsidR="00CF65B0">
        <w:t xml:space="preserve"> </w:t>
      </w:r>
      <w:r w:rsidR="00A360AB">
        <w:t>control (</w:t>
      </w:r>
      <w:proofErr w:type="spellStart"/>
      <w:r w:rsidR="00A360AB">
        <w:t>MenACWY</w:t>
      </w:r>
      <w:proofErr w:type="spellEnd"/>
      <w:r w:rsidR="00A360AB">
        <w:t xml:space="preserve"> vaccine).</w:t>
      </w:r>
      <w:r>
        <w:rPr>
          <w:rStyle w:val="FootnoteReference"/>
        </w:rPr>
        <w:footnoteReference w:id="7"/>
      </w:r>
      <w:r w:rsidR="00A360AB">
        <w:t xml:space="preserve"> Of this cohort, 90 subjects were recruited to investigate a third </w:t>
      </w:r>
      <w:proofErr w:type="spellStart"/>
      <w:r w:rsidR="00A360AB">
        <w:t>Vax</w:t>
      </w:r>
      <w:r>
        <w:t>z</w:t>
      </w:r>
      <w:r w:rsidR="00A360AB">
        <w:t>evria</w:t>
      </w:r>
      <w:proofErr w:type="spellEnd"/>
      <w:r w:rsidR="00A360AB">
        <w:t xml:space="preserve"> dose in a 2:1 ratio of </w:t>
      </w:r>
      <w:proofErr w:type="spellStart"/>
      <w:r w:rsidR="00A360AB">
        <w:t>Vaxzevria</w:t>
      </w:r>
      <w:proofErr w:type="spellEnd"/>
      <w:r w:rsidR="00A360AB">
        <w:t>/</w:t>
      </w:r>
      <w:proofErr w:type="spellStart"/>
      <w:r w:rsidR="00A360AB">
        <w:t>MenACWY</w:t>
      </w:r>
      <w:proofErr w:type="spellEnd"/>
      <w:r w:rsidR="00A360AB">
        <w:t xml:space="preserve"> controls</w:t>
      </w:r>
      <w:r w:rsidR="0003657D">
        <w:t xml:space="preserve"> (see</w:t>
      </w:r>
      <w:r>
        <w:t> </w:t>
      </w:r>
      <w:r w:rsidR="0003657D">
        <w:fldChar w:fldCharType="begin"/>
      </w:r>
      <w:r w:rsidR="0003657D">
        <w:instrText xml:space="preserve"> REF _Ref93693772 \h </w:instrText>
      </w:r>
      <w:r w:rsidR="0003657D">
        <w:fldChar w:fldCharType="separate"/>
      </w:r>
      <w:r w:rsidR="002B3478" w:rsidRPr="00A360AB">
        <w:t xml:space="preserve">Figure </w:t>
      </w:r>
      <w:r w:rsidR="002B3478">
        <w:rPr>
          <w:noProof/>
        </w:rPr>
        <w:t>1</w:t>
      </w:r>
      <w:r w:rsidR="0003657D">
        <w:fldChar w:fldCharType="end"/>
      </w:r>
      <w:r w:rsidR="0003657D">
        <w:t>)</w:t>
      </w:r>
      <w:r w:rsidR="00A360AB">
        <w:t xml:space="preserve">. Participants in the third dose </w:t>
      </w:r>
      <w:proofErr w:type="spellStart"/>
      <w:r w:rsidR="00A360AB">
        <w:t>substudy</w:t>
      </w:r>
      <w:proofErr w:type="spellEnd"/>
      <w:r w:rsidR="00A360AB">
        <w:t xml:space="preserve"> had received their primary two</w:t>
      </w:r>
      <w:r>
        <w:t> </w:t>
      </w:r>
      <w:r w:rsidR="00A360AB">
        <w:t>dose schedule an interval of 8 to 16 weeks. The third dose was administered 28 to 38</w:t>
      </w:r>
      <w:r>
        <w:t> </w:t>
      </w:r>
      <w:r w:rsidR="00A360AB">
        <w:t xml:space="preserve">weeks after the second dose. Antibody levels were measured against the </w:t>
      </w:r>
      <w:r>
        <w:t>A</w:t>
      </w:r>
      <w:r w:rsidR="00A360AB">
        <w:t>lpha variant</w:t>
      </w:r>
      <w:r>
        <w:t xml:space="preserve"> of SARS-CoV-2</w:t>
      </w:r>
      <w:r w:rsidR="00A360AB">
        <w:t xml:space="preserve"> (</w:t>
      </w:r>
      <w:r>
        <w:t xml:space="preserve">specifically </w:t>
      </w:r>
      <w:r w:rsidR="00A360AB">
        <w:t>SARS-CoV-2/Victoria/01/2020).</w:t>
      </w:r>
      <w:bookmarkStart w:id="41" w:name="_Ref93693122"/>
      <w:r w:rsidR="00F5150A">
        <w:rPr>
          <w:rStyle w:val="FootnoteReference"/>
        </w:rPr>
        <w:footnoteReference w:id="8"/>
      </w:r>
      <w:bookmarkEnd w:id="41"/>
    </w:p>
    <w:p w14:paraId="5A808CC1" w14:textId="078E82B8" w:rsidR="00A360AB" w:rsidRDefault="00A360AB" w:rsidP="00F5150A">
      <w:pPr>
        <w:pStyle w:val="FigureTitle"/>
      </w:pPr>
      <w:bookmarkStart w:id="42" w:name="_Ref93693772"/>
      <w:r w:rsidRPr="00A360AB">
        <w:lastRenderedPageBreak/>
        <w:t xml:space="preserve">Figure </w:t>
      </w:r>
      <w:r w:rsidR="00000000">
        <w:fldChar w:fldCharType="begin"/>
      </w:r>
      <w:r w:rsidR="00000000">
        <w:instrText xml:space="preserve"> SEQ Figure \* ARABIC </w:instrText>
      </w:r>
      <w:r w:rsidR="00000000">
        <w:fldChar w:fldCharType="separate"/>
      </w:r>
      <w:r w:rsidR="002B3478">
        <w:rPr>
          <w:noProof/>
        </w:rPr>
        <w:t>1</w:t>
      </w:r>
      <w:r w:rsidR="00000000">
        <w:rPr>
          <w:noProof/>
        </w:rPr>
        <w:fldChar w:fldCharType="end"/>
      </w:r>
      <w:bookmarkEnd w:id="42"/>
      <w:r w:rsidRPr="00A360AB">
        <w:t>:</w:t>
      </w:r>
      <w:r>
        <w:t xml:space="preserve"> </w:t>
      </w:r>
      <w:r w:rsidR="00AF4D9D">
        <w:t xml:space="preserve">Study </w:t>
      </w:r>
      <w:r>
        <w:t>COV001 Sub</w:t>
      </w:r>
      <w:r w:rsidR="00DC2562">
        <w:t>-</w:t>
      </w:r>
      <w:r>
        <w:t>study p</w:t>
      </w:r>
      <w:r w:rsidRPr="00A360AB">
        <w:t>articipant disposition</w:t>
      </w:r>
      <w:r w:rsidR="00F5150A">
        <w:t>;</w:t>
      </w:r>
      <w:r w:rsidR="00F5150A">
        <w:fldChar w:fldCharType="begin"/>
      </w:r>
      <w:r w:rsidR="00F5150A">
        <w:instrText xml:space="preserve"> NOTEREF _Ref93693122 \f \h </w:instrText>
      </w:r>
      <w:r w:rsidR="00F5150A">
        <w:fldChar w:fldCharType="separate"/>
      </w:r>
      <w:r w:rsidR="002B3478" w:rsidRPr="002B3478">
        <w:rPr>
          <w:rStyle w:val="FootnoteReference"/>
        </w:rPr>
        <w:t>8</w:t>
      </w:r>
      <w:r w:rsidR="00F5150A">
        <w:fldChar w:fldCharType="end"/>
      </w:r>
    </w:p>
    <w:p w14:paraId="21828285" w14:textId="438665CC" w:rsidR="00DB1139" w:rsidRDefault="00F5150A" w:rsidP="00F5150A">
      <w:r w:rsidRPr="00F5150A">
        <w:rPr>
          <w:noProof/>
          <w:lang w:val="en-GB" w:eastAsia="en-GB"/>
        </w:rPr>
        <w:drawing>
          <wp:inline distT="0" distB="0" distL="0" distR="0" wp14:anchorId="6FE3BA3F" wp14:editId="6326BC23">
            <wp:extent cx="3924502" cy="4724643"/>
            <wp:effectExtent l="0" t="0" r="0" b="0"/>
            <wp:docPr id="1" name="Picture 1" descr="Figure 1: Study COV001 Sub-study participant disposition&#10;&#10;90 subjects were recruited to investigate a third Vazxevria dose in a 2:1 ratio of Vaxzevria/MenACWY controls. 10 participants were excluded because they were included in an open label subgroup and interval between first and second dose was less than 28 days.&#10;&#10;80 participants were assessed for reactogenicity. 5 participants were excluded because their primed boost interval was outside the defined interval of 8 to 16 weeks. &#10;&#10;75 participants were assessed for antibody immunogenicity. 60 participants were excluded due to no ELISpot data (56 participants) and insufficient ELISpot data (4 participants). &#10;&#10;15 participants were assessed for T cell response immunogenicit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tudy COV001 Sub-study participant disposition&#10;&#10;90 subjects were recruited to investigate a third Vazxevria dose in a 2:1 ratio of Vaxzevria/MenACWY controls. 10 participants were excluded because they were included in an open label subgroup and interval between first and second dose was less than 28 days.&#10;&#10;80 participants were assessed for reactogenicity. 5 participants were excluded because their primed boost interval was outside the defined interval of 8 to 16 weeks. &#10;&#10;75 participants were assessed for antibody immunogenicity. 60 participants were excluded due to no ELISpot data (56 participants) and insufficient ELISpot data (4 participants). &#10;&#10;15 participants were assessed for T cell response immunogenicity assessments."/>
                    <pic:cNvPicPr/>
                  </pic:nvPicPr>
                  <pic:blipFill>
                    <a:blip r:embed="rId14"/>
                    <a:stretch>
                      <a:fillRect/>
                    </a:stretch>
                  </pic:blipFill>
                  <pic:spPr>
                    <a:xfrm>
                      <a:off x="0" y="0"/>
                      <a:ext cx="3924502" cy="4724643"/>
                    </a:xfrm>
                    <a:prstGeom prst="rect">
                      <a:avLst/>
                    </a:prstGeom>
                  </pic:spPr>
                </pic:pic>
              </a:graphicData>
            </a:graphic>
          </wp:inline>
        </w:drawing>
      </w:r>
    </w:p>
    <w:p w14:paraId="15FC1AA1" w14:textId="6D32B9A3" w:rsidR="00AF4D9D" w:rsidRDefault="00AF4D9D" w:rsidP="00415920">
      <w:pPr>
        <w:pStyle w:val="FigureDescription"/>
      </w:pPr>
      <w:r>
        <w:t xml:space="preserve">ChAdOx1 nCoV-19 = </w:t>
      </w:r>
      <w:proofErr w:type="spellStart"/>
      <w:r>
        <w:t>Vaxzevria</w:t>
      </w:r>
      <w:proofErr w:type="spellEnd"/>
      <w:r>
        <w:t xml:space="preserve"> (ChAdOx-1-S) COVID-19 vaccine; ELISpot = </w:t>
      </w:r>
      <w:r w:rsidRPr="00AF4D9D">
        <w:t>enzyme-linked immune absorbent spot</w:t>
      </w:r>
      <w:r w:rsidR="00410597">
        <w:t>.</w:t>
      </w:r>
    </w:p>
    <w:p w14:paraId="13EFB697" w14:textId="57ED6F7F" w:rsidR="00F5150A" w:rsidRDefault="0003657D" w:rsidP="0003657D">
      <w:pPr>
        <w:pStyle w:val="FigureTitle"/>
      </w:pPr>
      <w:bookmarkStart w:id="43" w:name="_Ref93693751"/>
      <w:r w:rsidRPr="0003657D">
        <w:lastRenderedPageBreak/>
        <w:t xml:space="preserve">Figure </w:t>
      </w:r>
      <w:r w:rsidR="00000000">
        <w:fldChar w:fldCharType="begin"/>
      </w:r>
      <w:r w:rsidR="00000000">
        <w:instrText xml:space="preserve"> SEQ Figure \* ARABIC </w:instrText>
      </w:r>
      <w:r w:rsidR="00000000">
        <w:fldChar w:fldCharType="separate"/>
      </w:r>
      <w:r w:rsidR="002B3478">
        <w:rPr>
          <w:noProof/>
        </w:rPr>
        <w:t>2</w:t>
      </w:r>
      <w:r w:rsidR="00000000">
        <w:rPr>
          <w:noProof/>
        </w:rPr>
        <w:fldChar w:fldCharType="end"/>
      </w:r>
      <w:bookmarkEnd w:id="43"/>
      <w:r>
        <w:t xml:space="preserve">: </w:t>
      </w:r>
      <w:r w:rsidR="00AF4D9D">
        <w:t xml:space="preserve">Study </w:t>
      </w:r>
      <w:r>
        <w:t xml:space="preserve">COV001 </w:t>
      </w:r>
      <w:r w:rsidRPr="0003657D">
        <w:t xml:space="preserve">Anti-spike protein </w:t>
      </w:r>
      <w:r w:rsidR="0097472A">
        <w:t>immunoglob</w:t>
      </w:r>
      <w:r w:rsidR="00AF4D9D">
        <w:t>ul</w:t>
      </w:r>
      <w:r w:rsidR="0097472A">
        <w:t>in G</w:t>
      </w:r>
      <w:r w:rsidRPr="0003657D">
        <w:t xml:space="preserve"> for 75 evaluable subjects receiving th</w:t>
      </w:r>
      <w:r>
        <w:t>ird</w:t>
      </w:r>
      <w:r w:rsidRPr="0003657D">
        <w:t xml:space="preserve"> doses of Vaxzevria</w:t>
      </w:r>
      <w:r>
        <w:t>;</w:t>
      </w:r>
      <w:r>
        <w:fldChar w:fldCharType="begin"/>
      </w:r>
      <w:r>
        <w:instrText xml:space="preserve"> NOTEREF _Ref93693122 \f \h </w:instrText>
      </w:r>
      <w:r>
        <w:fldChar w:fldCharType="separate"/>
      </w:r>
      <w:r w:rsidR="002B3478" w:rsidRPr="002B3478">
        <w:rPr>
          <w:rStyle w:val="FootnoteReference"/>
        </w:rPr>
        <w:t>8</w:t>
      </w:r>
      <w:r>
        <w:fldChar w:fldCharType="end"/>
      </w:r>
    </w:p>
    <w:p w14:paraId="4B790056" w14:textId="31EB8480" w:rsidR="0003657D" w:rsidRDefault="0003657D" w:rsidP="0003657D">
      <w:r w:rsidRPr="0003657D">
        <w:rPr>
          <w:noProof/>
          <w:lang w:val="en-GB" w:eastAsia="en-GB"/>
        </w:rPr>
        <w:drawing>
          <wp:inline distT="0" distB="0" distL="0" distR="0" wp14:anchorId="4035CEDD" wp14:editId="05854130">
            <wp:extent cx="5262113" cy="3543914"/>
            <wp:effectExtent l="0" t="0" r="0" b="0"/>
            <wp:docPr id="10" name="Picture 10" descr="Figure 2: Study COV001 Anti-spike protein immunoglobulin G for 75 evaluable subjects receiving third doses of Vaxzev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Study COV001 Anti-spike protein immunoglobulin G for 75 evaluable subjects receiving third doses of Vaxzevria"/>
                    <pic:cNvPicPr/>
                  </pic:nvPicPr>
                  <pic:blipFill rotWithShape="1">
                    <a:blip r:embed="rId15"/>
                    <a:srcRect l="761" t="4573" r="1" b="401"/>
                    <a:stretch/>
                  </pic:blipFill>
                  <pic:spPr bwMode="auto">
                    <a:xfrm>
                      <a:off x="0" y="0"/>
                      <a:ext cx="5281242" cy="3556797"/>
                    </a:xfrm>
                    <a:prstGeom prst="rect">
                      <a:avLst/>
                    </a:prstGeom>
                    <a:ln>
                      <a:noFill/>
                    </a:ln>
                    <a:extLst>
                      <a:ext uri="{53640926-AAD7-44D8-BBD7-CCE9431645EC}">
                        <a14:shadowObscured xmlns:a14="http://schemas.microsoft.com/office/drawing/2010/main"/>
                      </a:ext>
                    </a:extLst>
                  </pic:spPr>
                </pic:pic>
              </a:graphicData>
            </a:graphic>
          </wp:inline>
        </w:drawing>
      </w:r>
    </w:p>
    <w:p w14:paraId="1A5C6D2B" w14:textId="23A9B548" w:rsidR="00AF4D9D" w:rsidRDefault="00AF4D9D" w:rsidP="0003657D">
      <w:pPr>
        <w:pStyle w:val="TableDescription"/>
      </w:pPr>
      <w:r>
        <w:t>IgG = immunoglobulin G</w:t>
      </w:r>
      <w:r w:rsidR="001111E5">
        <w:t>; ELISA = enzyme-linked immunosorbent assay.</w:t>
      </w:r>
    </w:p>
    <w:p w14:paraId="3346EFE7" w14:textId="409C41C7" w:rsidR="0003657D" w:rsidRDefault="0003657D" w:rsidP="0003657D">
      <w:pPr>
        <w:pStyle w:val="TableDescription"/>
      </w:pPr>
      <w:r>
        <w:t xml:space="preserve">Antibody levels to SARS-CoV-2 </w:t>
      </w:r>
      <w:r w:rsidR="00AF4D9D">
        <w:t>A</w:t>
      </w:r>
      <w:r>
        <w:t xml:space="preserve">lpha strain spike protein measured by total IgG ELISA (n = 75). Datapoints in lighter colours represent individual participants and darker datapoint show median values with error bars showing </w:t>
      </w:r>
      <w:r w:rsidR="0037025D" w:rsidRPr="0037025D">
        <w:t xml:space="preserve">interquartile range </w:t>
      </w:r>
      <w:r w:rsidR="0037025D">
        <w:t>(</w:t>
      </w:r>
      <w:r>
        <w:t>IQRs</w:t>
      </w:r>
      <w:r w:rsidR="0037025D">
        <w:t>)</w:t>
      </w:r>
      <w:r>
        <w:t xml:space="preserve"> and with solid lines connecting these median values.</w:t>
      </w:r>
    </w:p>
    <w:p w14:paraId="2749CCEE" w14:textId="3D5AFA5A" w:rsidR="0003657D" w:rsidRDefault="0003657D" w:rsidP="0003657D">
      <w:r>
        <w:t xml:space="preserve">Median </w:t>
      </w:r>
      <w:r w:rsidR="0097472A">
        <w:t>immunoglobin G (</w:t>
      </w:r>
      <w:r>
        <w:t>IgG</w:t>
      </w:r>
      <w:r w:rsidR="0097472A">
        <w:t>)</w:t>
      </w:r>
      <w:r>
        <w:t xml:space="preserve"> levels against spike protein were significantly higher after the third dose, 3746 </w:t>
      </w:r>
      <w:r w:rsidR="0097472A">
        <w:t>e</w:t>
      </w:r>
      <w:r w:rsidR="0097472A" w:rsidRPr="0097472A">
        <w:t>nzyme</w:t>
      </w:r>
      <w:r w:rsidR="00466F51">
        <w:t xml:space="preserve"> </w:t>
      </w:r>
      <w:r w:rsidR="0097472A" w:rsidRPr="0097472A">
        <w:t xml:space="preserve">linked immunosorbent assay </w:t>
      </w:r>
      <w:r w:rsidR="0097472A">
        <w:t>(</w:t>
      </w:r>
      <w:r>
        <w:t>ELISA</w:t>
      </w:r>
      <w:r w:rsidR="0097472A">
        <w:t>)</w:t>
      </w:r>
      <w:r>
        <w:t xml:space="preserve"> unit, than after the second dose, 1792 ELISA unit</w:t>
      </w:r>
      <w:r w:rsidR="001111E5">
        <w:t>s</w:t>
      </w:r>
      <w:r>
        <w:t xml:space="preserve"> (p = 0.0043) although the Delegate notes considerable overlap in the wide range of results observed (see </w:t>
      </w:r>
      <w:r>
        <w:fldChar w:fldCharType="begin"/>
      </w:r>
      <w:r>
        <w:instrText xml:space="preserve"> REF _Ref93693751 \h </w:instrText>
      </w:r>
      <w:r>
        <w:fldChar w:fldCharType="separate"/>
      </w:r>
      <w:r w:rsidR="002B3478" w:rsidRPr="0003657D">
        <w:t xml:space="preserve">Figure </w:t>
      </w:r>
      <w:r w:rsidR="002B3478">
        <w:rPr>
          <w:noProof/>
        </w:rPr>
        <w:t>2</w:t>
      </w:r>
      <w:r>
        <w:fldChar w:fldCharType="end"/>
      </w:r>
      <w:r>
        <w:t>).</w:t>
      </w:r>
    </w:p>
    <w:p w14:paraId="1C63894B" w14:textId="3226FA6C" w:rsidR="0003657D" w:rsidRDefault="0003657D" w:rsidP="0003657D">
      <w:pPr>
        <w:pStyle w:val="FigureTitle"/>
      </w:pPr>
      <w:bookmarkStart w:id="44" w:name="_Ref93694896"/>
      <w:r w:rsidRPr="0003657D">
        <w:lastRenderedPageBreak/>
        <w:t xml:space="preserve">Figure </w:t>
      </w:r>
      <w:r w:rsidR="00000000">
        <w:fldChar w:fldCharType="begin"/>
      </w:r>
      <w:r w:rsidR="00000000">
        <w:instrText xml:space="preserve"> SEQ Figure \* ARABIC </w:instrText>
      </w:r>
      <w:r w:rsidR="00000000">
        <w:fldChar w:fldCharType="separate"/>
      </w:r>
      <w:r w:rsidR="002B3478">
        <w:rPr>
          <w:noProof/>
        </w:rPr>
        <w:t>3</w:t>
      </w:r>
      <w:r w:rsidR="00000000">
        <w:rPr>
          <w:noProof/>
        </w:rPr>
        <w:fldChar w:fldCharType="end"/>
      </w:r>
      <w:bookmarkEnd w:id="44"/>
      <w:r>
        <w:t xml:space="preserve">: </w:t>
      </w:r>
      <w:r w:rsidR="001111E5">
        <w:t xml:space="preserve">Study </w:t>
      </w:r>
      <w:r>
        <w:t xml:space="preserve">COV001 </w:t>
      </w:r>
      <w:r w:rsidRPr="0003657D">
        <w:t>Neutralising antibody titres against three variants of concern (</w:t>
      </w:r>
      <w:r w:rsidR="001111E5">
        <w:t>A</w:t>
      </w:r>
      <w:r w:rsidRPr="0003657D">
        <w:t xml:space="preserve">lpha, </w:t>
      </w:r>
      <w:r w:rsidR="001111E5">
        <w:t>B</w:t>
      </w:r>
      <w:r w:rsidRPr="0003657D">
        <w:t xml:space="preserve">eta and </w:t>
      </w:r>
      <w:r w:rsidR="001111E5">
        <w:t>D</w:t>
      </w:r>
      <w:r w:rsidRPr="0003657D">
        <w:t xml:space="preserve">elta) following </w:t>
      </w:r>
      <w:r>
        <w:t>second</w:t>
      </w:r>
      <w:r w:rsidRPr="0003657D">
        <w:t xml:space="preserve"> and </w:t>
      </w:r>
      <w:r>
        <w:t>third</w:t>
      </w:r>
      <w:r w:rsidRPr="0003657D">
        <w:t xml:space="preserve"> dose </w:t>
      </w:r>
      <w:proofErr w:type="spellStart"/>
      <w:r w:rsidRPr="0003657D">
        <w:t>Vaxzevria</w:t>
      </w:r>
      <w:proofErr w:type="spellEnd"/>
      <w:r w:rsidRPr="0003657D">
        <w:t xml:space="preserve"> schedules</w:t>
      </w:r>
      <w:r w:rsidR="00F73494">
        <w:t>;</w:t>
      </w:r>
      <w:r w:rsidR="00F73494">
        <w:fldChar w:fldCharType="begin"/>
      </w:r>
      <w:r w:rsidR="00F73494">
        <w:instrText xml:space="preserve"> NOTEREF _Ref93693122 \f \h </w:instrText>
      </w:r>
      <w:r w:rsidR="00F73494">
        <w:fldChar w:fldCharType="separate"/>
      </w:r>
      <w:r w:rsidR="002B3478" w:rsidRPr="002B3478">
        <w:rPr>
          <w:rStyle w:val="FootnoteReference"/>
        </w:rPr>
        <w:t>8</w:t>
      </w:r>
      <w:r w:rsidR="00F73494">
        <w:fldChar w:fldCharType="end"/>
      </w:r>
    </w:p>
    <w:p w14:paraId="1F69BD61" w14:textId="270804E7" w:rsidR="0003657D" w:rsidRDefault="0003657D" w:rsidP="0003657D">
      <w:pPr>
        <w:pStyle w:val="FigureTitle"/>
      </w:pPr>
      <w:r w:rsidRPr="0003657D">
        <w:rPr>
          <w:noProof/>
          <w:lang w:val="en-GB" w:eastAsia="en-GB"/>
        </w:rPr>
        <w:drawing>
          <wp:inline distT="0" distB="0" distL="0" distR="0" wp14:anchorId="658A5F6B" wp14:editId="03A7B0B7">
            <wp:extent cx="5271847" cy="3277870"/>
            <wp:effectExtent l="0" t="0" r="5080" b="0"/>
            <wp:docPr id="11" name="Picture 11" descr="Figure 3: Study COV001 Neutralising antibody titres against three variants of concern (Alpha, Beta and Delta) following second and third dose Vaxzevria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 Study COV001 Neutralising antibody titres against three variants of concern (Alpha, Beta and Delta) following second and third dose Vaxzevria schedules"/>
                    <pic:cNvPicPr/>
                  </pic:nvPicPr>
                  <pic:blipFill>
                    <a:blip r:embed="rId16"/>
                    <a:stretch>
                      <a:fillRect/>
                    </a:stretch>
                  </pic:blipFill>
                  <pic:spPr>
                    <a:xfrm>
                      <a:off x="0" y="0"/>
                      <a:ext cx="5286296" cy="3286854"/>
                    </a:xfrm>
                    <a:prstGeom prst="rect">
                      <a:avLst/>
                    </a:prstGeom>
                  </pic:spPr>
                </pic:pic>
              </a:graphicData>
            </a:graphic>
          </wp:inline>
        </w:drawing>
      </w:r>
    </w:p>
    <w:p w14:paraId="04780B25" w14:textId="683D7F00" w:rsidR="007251A5" w:rsidRPr="0003657D" w:rsidRDefault="007251A5" w:rsidP="007251A5">
      <w:pPr>
        <w:pStyle w:val="TableDescription"/>
      </w:pPr>
      <w:r>
        <w:t>FRNT50 = focus reduction neutralisation titres with 50% neutralisation cut</w:t>
      </w:r>
      <w:r w:rsidR="00FB3066">
        <w:t>-</w:t>
      </w:r>
      <w:r>
        <w:t>off.</w:t>
      </w:r>
    </w:p>
    <w:p w14:paraId="79B0CAA3" w14:textId="6E4D48CE" w:rsidR="0003657D" w:rsidRDefault="0003657D" w:rsidP="0003657D">
      <w:pPr>
        <w:pStyle w:val="TableDescription"/>
      </w:pPr>
      <w:r>
        <w:t>Neutralisation titres from a randomly selected subset of participants (45 of 75 participants who received a third dose of vaccine and who had an interval of 8 to 16 weeks between their first and second dose</w:t>
      </w:r>
      <w:r w:rsidR="007251A5">
        <w:t>). Datapoints represent individual participants for the three variants of concern investigated.</w:t>
      </w:r>
    </w:p>
    <w:p w14:paraId="25EEF68E" w14:textId="3C703D7A" w:rsidR="007251A5" w:rsidRDefault="007251A5" w:rsidP="007251A5">
      <w:r w:rsidRPr="007251A5">
        <w:t xml:space="preserve">Median neutralising antibody titres against alpha, beta and delta strains of COVID-19 were significantly higher after </w:t>
      </w:r>
      <w:r>
        <w:t>third</w:t>
      </w:r>
      <w:r w:rsidRPr="007251A5">
        <w:t xml:space="preserve"> doses than after </w:t>
      </w:r>
      <w:r>
        <w:t>second</w:t>
      </w:r>
      <w:r w:rsidRPr="007251A5">
        <w:t xml:space="preserve"> doses of </w:t>
      </w:r>
      <w:proofErr w:type="spellStart"/>
      <w:r w:rsidRPr="007251A5">
        <w:t>Vaxzevria</w:t>
      </w:r>
      <w:proofErr w:type="spellEnd"/>
      <w:r w:rsidRPr="007251A5">
        <w:t xml:space="preserve">. </w:t>
      </w:r>
      <w:r>
        <w:t>However, t</w:t>
      </w:r>
      <w:r w:rsidRPr="007251A5">
        <w:t>he Delegate notes that there was a significant overlap in the range of these two results</w:t>
      </w:r>
      <w:r w:rsidR="00F73494">
        <w:t xml:space="preserve"> (see</w:t>
      </w:r>
      <w:r w:rsidR="001111E5">
        <w:t> </w:t>
      </w:r>
      <w:r w:rsidR="00F73494">
        <w:fldChar w:fldCharType="begin"/>
      </w:r>
      <w:r w:rsidR="00F73494">
        <w:instrText xml:space="preserve"> REF _Ref93694896 \h </w:instrText>
      </w:r>
      <w:r w:rsidR="00F73494">
        <w:fldChar w:fldCharType="separate"/>
      </w:r>
      <w:r w:rsidR="002B3478" w:rsidRPr="0003657D">
        <w:t xml:space="preserve">Figure </w:t>
      </w:r>
      <w:r w:rsidR="002B3478">
        <w:rPr>
          <w:noProof/>
        </w:rPr>
        <w:t>3</w:t>
      </w:r>
      <w:r w:rsidR="00F73494">
        <w:fldChar w:fldCharType="end"/>
      </w:r>
      <w:r w:rsidR="00F73494">
        <w:t xml:space="preserve"> and </w:t>
      </w:r>
      <w:r w:rsidR="00F73494">
        <w:fldChar w:fldCharType="begin"/>
      </w:r>
      <w:r w:rsidR="00F73494">
        <w:instrText xml:space="preserve"> REF _Ref93694928 \h </w:instrText>
      </w:r>
      <w:r w:rsidR="00F73494">
        <w:fldChar w:fldCharType="separate"/>
      </w:r>
      <w:r w:rsidR="002B3478" w:rsidRPr="007251A5">
        <w:t xml:space="preserve">Table </w:t>
      </w:r>
      <w:r w:rsidR="002B3478">
        <w:rPr>
          <w:noProof/>
        </w:rPr>
        <w:t>3</w:t>
      </w:r>
      <w:r w:rsidR="00F73494">
        <w:fldChar w:fldCharType="end"/>
      </w:r>
      <w:r w:rsidR="00F73494">
        <w:t>).</w:t>
      </w:r>
    </w:p>
    <w:p w14:paraId="1DF905DB" w14:textId="689175D3" w:rsidR="007251A5" w:rsidRDefault="007251A5" w:rsidP="007251A5">
      <w:pPr>
        <w:pStyle w:val="TableTitle"/>
      </w:pPr>
      <w:bookmarkStart w:id="45" w:name="_Ref93694928"/>
      <w:r w:rsidRPr="007251A5">
        <w:t xml:space="preserve">Table </w:t>
      </w:r>
      <w:r w:rsidR="00000000">
        <w:fldChar w:fldCharType="begin"/>
      </w:r>
      <w:r w:rsidR="00000000">
        <w:instrText xml:space="preserve"> SEQ Table \* ARABIC </w:instrText>
      </w:r>
      <w:r w:rsidR="00000000">
        <w:fldChar w:fldCharType="separate"/>
      </w:r>
      <w:r w:rsidR="002B3478">
        <w:rPr>
          <w:noProof/>
        </w:rPr>
        <w:t>3</w:t>
      </w:r>
      <w:r w:rsidR="00000000">
        <w:rPr>
          <w:noProof/>
        </w:rPr>
        <w:fldChar w:fldCharType="end"/>
      </w:r>
      <w:bookmarkEnd w:id="45"/>
      <w:r>
        <w:t xml:space="preserve">: </w:t>
      </w:r>
      <w:r w:rsidR="001111E5">
        <w:t xml:space="preserve">Study </w:t>
      </w:r>
      <w:r w:rsidR="00F73494">
        <w:t>COV001 G</w:t>
      </w:r>
      <w:r w:rsidR="00F73494" w:rsidRPr="00F73494">
        <w:t>eometric mean tit</w:t>
      </w:r>
      <w:r w:rsidR="00F73494">
        <w:t>re</w:t>
      </w:r>
      <w:r w:rsidRPr="007251A5">
        <w:t xml:space="preserve"> for neutralising antibodies to </w:t>
      </w:r>
      <w:r w:rsidR="00F73494">
        <w:t>alpha, beta and delta</w:t>
      </w:r>
      <w:r w:rsidRPr="007251A5">
        <w:t xml:space="preserve"> variants of concern following </w:t>
      </w:r>
      <w:r>
        <w:t>second</w:t>
      </w:r>
      <w:r w:rsidRPr="007251A5">
        <w:t xml:space="preserve"> and </w:t>
      </w:r>
      <w:r>
        <w:t>third</w:t>
      </w:r>
      <w:r w:rsidRPr="007251A5">
        <w:t xml:space="preserve"> dose </w:t>
      </w:r>
      <w:proofErr w:type="spellStart"/>
      <w:r w:rsidRPr="007251A5">
        <w:t>Vaxzevria</w:t>
      </w:r>
      <w:proofErr w:type="spellEnd"/>
      <w:r w:rsidRPr="007251A5">
        <w:t xml:space="preserve"> schedules</w:t>
      </w:r>
      <w:r w:rsidR="00F73494">
        <w:t>;</w:t>
      </w:r>
      <w:r w:rsidR="00F73494">
        <w:fldChar w:fldCharType="begin"/>
      </w:r>
      <w:r w:rsidR="00F73494">
        <w:instrText xml:space="preserve"> NOTEREF _Ref93693122 \f \h </w:instrText>
      </w:r>
      <w:r w:rsidR="00F73494">
        <w:fldChar w:fldCharType="separate"/>
      </w:r>
      <w:r w:rsidR="002B3478" w:rsidRPr="002B3478">
        <w:rPr>
          <w:rStyle w:val="FootnoteReference"/>
        </w:rPr>
        <w:t>8</w:t>
      </w:r>
      <w:r w:rsidR="00F73494">
        <w:fldChar w:fldCharType="end"/>
      </w:r>
    </w:p>
    <w:p w14:paraId="6FA64C3B" w14:textId="31F453D5" w:rsidR="007251A5" w:rsidRDefault="007251A5" w:rsidP="007251A5">
      <w:pPr>
        <w:pStyle w:val="TableDescription"/>
      </w:pPr>
      <w:r w:rsidRPr="00E1540C">
        <w:rPr>
          <w:noProof/>
          <w:lang w:val="en-GB" w:eastAsia="en-GB"/>
        </w:rPr>
        <w:drawing>
          <wp:inline distT="0" distB="0" distL="0" distR="0" wp14:anchorId="1FBE2CD6" wp14:editId="391BCFB3">
            <wp:extent cx="5252720" cy="1388745"/>
            <wp:effectExtent l="19050" t="19050" r="24130" b="20955"/>
            <wp:docPr id="8" name="Picture 8" descr="Table 3: Study COV001 Geometric mean titre for neutralising antibodies to alpha, beta and delta variants of concern following second and third dose Vaxzevria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3: Study COV001 Geometric mean titre for neutralising antibodies to alpha, beta and delta variants of concern following second and third dose Vaxzevria schedules"/>
                    <pic:cNvPicPr>
                      <a:picLocks noChangeAspect="1" noChangeArrowheads="1"/>
                    </pic:cNvPicPr>
                  </pic:nvPicPr>
                  <pic:blipFill rotWithShape="1">
                    <a:blip r:embed="rId17">
                      <a:extLst>
                        <a:ext uri="{28A0092B-C50C-407E-A947-70E740481C1C}">
                          <a14:useLocalDpi xmlns:a14="http://schemas.microsoft.com/office/drawing/2010/main" val="0"/>
                        </a:ext>
                      </a:extLst>
                    </a:blip>
                    <a:srcRect l="785" t="17100" r="1843" b="5188"/>
                    <a:stretch/>
                  </pic:blipFill>
                  <pic:spPr bwMode="auto">
                    <a:xfrm>
                      <a:off x="0" y="0"/>
                      <a:ext cx="5320193" cy="1406584"/>
                    </a:xfrm>
                    <a:prstGeom prst="rect">
                      <a:avLst/>
                    </a:prstGeom>
                    <a:noFill/>
                    <a:ln w="9525" cap="flat" cmpd="sng" algn="ctr">
                      <a:solidFill>
                        <a:srgbClr val="002C4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40E794" w14:textId="295C1588" w:rsidR="001111E5" w:rsidRDefault="001111E5" w:rsidP="007251A5">
      <w:pPr>
        <w:pStyle w:val="TableDescription"/>
      </w:pPr>
      <w:r>
        <w:t>CI = confidence intervals; IQR = interquartile range; n = number of study participants; V = visit.</w:t>
      </w:r>
    </w:p>
    <w:p w14:paraId="32B45257" w14:textId="4CB2D773" w:rsidR="007251A5" w:rsidRDefault="007251A5" w:rsidP="007251A5">
      <w:pPr>
        <w:pStyle w:val="TableDescription"/>
      </w:pPr>
      <w:r>
        <w:t>P</w:t>
      </w:r>
      <w:r w:rsidR="001111E5">
        <w:t>-</w:t>
      </w:r>
      <w:r>
        <w:t xml:space="preserve">values shown for pairwise comparisons using Wilcoxon sign rank test using </w:t>
      </w:r>
      <w:r w:rsidR="00F73494">
        <w:t>second dose</w:t>
      </w:r>
      <w:r>
        <w:t xml:space="preserve"> + 28</w:t>
      </w:r>
      <w:r w:rsidR="00F73494">
        <w:t xml:space="preserve"> days</w:t>
      </w:r>
      <w:r>
        <w:t xml:space="preserve"> as the reference time point.</w:t>
      </w:r>
    </w:p>
    <w:p w14:paraId="5CF1B5E9" w14:textId="2977A4ED" w:rsidR="008E2F10" w:rsidRDefault="00F73494" w:rsidP="00395EEA">
      <w:pPr>
        <w:pStyle w:val="FigureTitle"/>
      </w:pPr>
      <w:r w:rsidRPr="00F73494">
        <w:lastRenderedPageBreak/>
        <w:t xml:space="preserve">Figure </w:t>
      </w:r>
      <w:r w:rsidR="00000000">
        <w:fldChar w:fldCharType="begin"/>
      </w:r>
      <w:r w:rsidR="00000000">
        <w:instrText xml:space="preserve"> SEQ Figure \* ARABIC </w:instrText>
      </w:r>
      <w:r w:rsidR="00000000">
        <w:fldChar w:fldCharType="separate"/>
      </w:r>
      <w:r w:rsidR="002B3478">
        <w:rPr>
          <w:noProof/>
        </w:rPr>
        <w:t>4</w:t>
      </w:r>
      <w:r w:rsidR="00000000">
        <w:rPr>
          <w:noProof/>
        </w:rPr>
        <w:fldChar w:fldCharType="end"/>
      </w:r>
      <w:r>
        <w:t xml:space="preserve">: </w:t>
      </w:r>
      <w:r w:rsidR="001111E5">
        <w:t xml:space="preserve">Study </w:t>
      </w:r>
      <w:r>
        <w:t xml:space="preserve">COV001 </w:t>
      </w:r>
      <w:r w:rsidR="00466F51">
        <w:t>E</w:t>
      </w:r>
      <w:r w:rsidR="00466F51" w:rsidRPr="00466F51">
        <w:t>nzyme</w:t>
      </w:r>
      <w:r w:rsidR="00466F51">
        <w:t xml:space="preserve"> </w:t>
      </w:r>
      <w:r w:rsidR="00466F51" w:rsidRPr="00466F51">
        <w:t xml:space="preserve">linked immune absorbent spot </w:t>
      </w:r>
      <w:r w:rsidRPr="00F73494">
        <w:t xml:space="preserve">assessment of </w:t>
      </w:r>
      <w:r w:rsidR="00466F51">
        <w:t>i</w:t>
      </w:r>
      <w:r w:rsidR="00466F51" w:rsidRPr="00466F51">
        <w:t xml:space="preserve">nterferon gamma </w:t>
      </w:r>
      <w:r w:rsidRPr="00F73494">
        <w:t xml:space="preserve">response stimulated by spike proteins after </w:t>
      </w:r>
      <w:proofErr w:type="spellStart"/>
      <w:r w:rsidRPr="00F73494">
        <w:t>Vaxzevria</w:t>
      </w:r>
      <w:proofErr w:type="spellEnd"/>
      <w:r w:rsidRPr="00F73494">
        <w:t xml:space="preserve"> vaccination</w:t>
      </w:r>
      <w:r w:rsidR="006F2264">
        <w:t>;</w:t>
      </w:r>
      <w:r w:rsidR="006F2264">
        <w:fldChar w:fldCharType="begin"/>
      </w:r>
      <w:r w:rsidR="006F2264">
        <w:instrText xml:space="preserve"> NOTEREF _Ref93693122 \f \h </w:instrText>
      </w:r>
      <w:r w:rsidR="006F2264">
        <w:fldChar w:fldCharType="separate"/>
      </w:r>
      <w:r w:rsidR="002B3478" w:rsidRPr="002B3478">
        <w:rPr>
          <w:rStyle w:val="FootnoteReference"/>
        </w:rPr>
        <w:t>8</w:t>
      </w:r>
      <w:r w:rsidR="006F2264">
        <w:fldChar w:fldCharType="end"/>
      </w:r>
    </w:p>
    <w:p w14:paraId="765284FD" w14:textId="0C65036F" w:rsidR="00170D6E" w:rsidRDefault="00170D6E" w:rsidP="008E2F10">
      <w:r w:rsidRPr="00170D6E">
        <w:rPr>
          <w:noProof/>
          <w:lang w:val="en-GB" w:eastAsia="en-GB"/>
        </w:rPr>
        <w:drawing>
          <wp:inline distT="0" distB="0" distL="0" distR="0" wp14:anchorId="1A4182C2" wp14:editId="0BCBF4C8">
            <wp:extent cx="5400040" cy="3326130"/>
            <wp:effectExtent l="0" t="0" r="0" b="7620"/>
            <wp:docPr id="73" name="Main graphic" descr="Figure 4: Study COV001 Enzyme linked immune absorbent spot assessment of interferon gamma response stimulated by spike proteins after Vaxzevria vaccination"/>
            <wp:cNvGraphicFramePr/>
            <a:graphic xmlns:a="http://schemas.openxmlformats.org/drawingml/2006/main">
              <a:graphicData uri="http://schemas.openxmlformats.org/drawingml/2006/picture">
                <pic:pic xmlns:pic="http://schemas.openxmlformats.org/drawingml/2006/picture">
                  <pic:nvPicPr>
                    <pic:cNvPr id="73" name="Main graphic" descr="Figure 4: Study COV001 Enzyme linked immune absorbent spot assessment of interferon gamma response stimulated by spike proteins after Vaxzevria vaccination"/>
                    <pic:cNvPicPr/>
                  </pic:nvPicPr>
                  <pic:blipFill>
                    <a:blip r:embed="rId18"/>
                    <a:stretch/>
                  </pic:blipFill>
                  <pic:spPr>
                    <a:xfrm>
                      <a:off x="0" y="0"/>
                      <a:ext cx="5400040" cy="3326130"/>
                    </a:xfrm>
                    <a:prstGeom prst="rect">
                      <a:avLst/>
                    </a:prstGeom>
                    <a:ln>
                      <a:noFill/>
                    </a:ln>
                  </pic:spPr>
                </pic:pic>
              </a:graphicData>
            </a:graphic>
          </wp:inline>
        </w:drawing>
      </w:r>
    </w:p>
    <w:p w14:paraId="45407784" w14:textId="51CF7072" w:rsidR="008E2F10" w:rsidRDefault="008E2F10" w:rsidP="008E2F10">
      <w:pPr>
        <w:pStyle w:val="TableDescription"/>
      </w:pPr>
      <w:r>
        <w:t>SFU=spot</w:t>
      </w:r>
      <w:r w:rsidR="00466F51">
        <w:t xml:space="preserve"> </w:t>
      </w:r>
      <w:r>
        <w:t>forming unit. PBMC=peripheral blood mononuclear cells.</w:t>
      </w:r>
    </w:p>
    <w:p w14:paraId="73EF8363" w14:textId="04EE9412" w:rsidR="008E2F10" w:rsidRDefault="008E2F10" w:rsidP="008E2F10">
      <w:pPr>
        <w:pStyle w:val="TableDescription"/>
      </w:pPr>
      <w:r>
        <w:t>15 participants with an interval of 8 weeks between their first and second doses were assessed for ELISpot responses. These participants received their third dose 37 to 38 weeks after the second dose (median 38 weeks</w:t>
      </w:r>
      <w:r w:rsidR="0037025D">
        <w:t xml:space="preserve">, </w:t>
      </w:r>
      <w:r w:rsidR="0037025D" w:rsidRPr="0037025D">
        <w:t>interquartile range</w:t>
      </w:r>
      <w:r>
        <w:t xml:space="preserve"> 38</w:t>
      </w:r>
      <w:r w:rsidR="0037025D">
        <w:t xml:space="preserve"> to </w:t>
      </w:r>
      <w:r>
        <w:t xml:space="preserve">38). Datapoints in lighter colours represent individual participants and darker datapoints show median values with error bars showing the </w:t>
      </w:r>
      <w:r w:rsidR="0037025D" w:rsidRPr="0037025D">
        <w:t>interquartile range</w:t>
      </w:r>
      <w:r>
        <w:t xml:space="preserve"> and with solid lines connecting these median values. The dotted horizontal line represents the lower limit of detection of the assay (48 SFU per million PBMCs).</w:t>
      </w:r>
    </w:p>
    <w:p w14:paraId="0090D9DC" w14:textId="26CA8CD1" w:rsidR="008E2F10" w:rsidRDefault="008E2F10" w:rsidP="008E2F10">
      <w:r>
        <w:t>A subset of 15 subjects were selected to assess cytokine response (</w:t>
      </w:r>
      <w:r w:rsidR="00466F51">
        <w:t>i</w:t>
      </w:r>
      <w:r w:rsidR="00466F51" w:rsidRPr="00466F51">
        <w:t>nterferon gamma</w:t>
      </w:r>
      <w:r>
        <w:t>) response to vaccination.</w:t>
      </w:r>
      <w:r w:rsidRPr="008E2F10">
        <w:t xml:space="preserve"> </w:t>
      </w:r>
      <w:r>
        <w:t xml:space="preserve">The media </w:t>
      </w:r>
      <w:r w:rsidR="00466F51">
        <w:t>spot forming unit (</w:t>
      </w:r>
      <w:r>
        <w:t>SFU</w:t>
      </w:r>
      <w:r w:rsidR="00466F51">
        <w:t>)</w:t>
      </w:r>
      <w:r>
        <w:t xml:space="preserve"> increased from 200 per million peripheral monocytes after two doses of vaccine and at the time of the third dose, to 399 SFU/million </w:t>
      </w:r>
      <w:r w:rsidR="00466F51">
        <w:t>peripheral blood mononuclear cells</w:t>
      </w:r>
      <w:r>
        <w:t xml:space="preserve"> 28 days post the third dose. The peak response after the third dose was not significantly different from the peak response after the second dose of vaccine.</w:t>
      </w:r>
    </w:p>
    <w:p w14:paraId="70A25463" w14:textId="09BCA086" w:rsidR="008E2F10" w:rsidRDefault="008E2F10" w:rsidP="008E2F10">
      <w:pPr>
        <w:pStyle w:val="Heading4"/>
      </w:pPr>
      <w:r>
        <w:t>Other efficacy studies</w:t>
      </w:r>
    </w:p>
    <w:p w14:paraId="30D15A27" w14:textId="585B874B" w:rsidR="00650EEA" w:rsidRDefault="0026430A" w:rsidP="00415920">
      <w:pPr>
        <w:pStyle w:val="ListBullet"/>
        <w:numPr>
          <w:ilvl w:val="0"/>
          <w:numId w:val="0"/>
        </w:numPr>
      </w:pPr>
      <w:r>
        <w:t>Bar-on, Y et al. (2021);</w:t>
      </w:r>
      <w:r>
        <w:rPr>
          <w:rStyle w:val="FootnoteReference"/>
        </w:rPr>
        <w:footnoteReference w:id="9"/>
      </w:r>
      <w:r>
        <w:t xml:space="preserve"> </w:t>
      </w:r>
      <w:r w:rsidR="00650EEA">
        <w:t>was a study from the New England Journal of Medicine detailing the deployment of BNT162b2 third booster doses;</w:t>
      </w:r>
      <w:bookmarkStart w:id="46" w:name="_Ref93765110"/>
      <w:r w:rsidR="00650EEA">
        <w:rPr>
          <w:rStyle w:val="FootnoteReference"/>
        </w:rPr>
        <w:footnoteReference w:id="10"/>
      </w:r>
      <w:bookmarkEnd w:id="46"/>
      <w:r w:rsidR="00650EEA">
        <w:t xml:space="preserve"> in Israel between July and August 2021. This found a 11.3</w:t>
      </w:r>
      <w:r w:rsidR="00FB3066">
        <w:t>-</w:t>
      </w:r>
      <w:r w:rsidR="00650EEA">
        <w:t xml:space="preserve">fold reduction in rates of infection and a </w:t>
      </w:r>
      <w:proofErr w:type="gramStart"/>
      <w:r w:rsidR="00650EEA">
        <w:t>19.5 fold</w:t>
      </w:r>
      <w:proofErr w:type="gramEnd"/>
      <w:r w:rsidR="00650EEA">
        <w:t xml:space="preserve"> reduction in rates of severe disease in recipients of the three dose schedule compared to </w:t>
      </w:r>
      <w:proofErr w:type="spellStart"/>
      <w:r w:rsidR="00650EEA">
        <w:t>unboosted</w:t>
      </w:r>
      <w:proofErr w:type="spellEnd"/>
      <w:r w:rsidR="00650EEA">
        <w:t xml:space="preserve"> individuals.</w:t>
      </w:r>
    </w:p>
    <w:p w14:paraId="6A7C4AFB" w14:textId="402D9E98" w:rsidR="00650EEA" w:rsidRDefault="00650EEA" w:rsidP="00650EEA">
      <w:r>
        <w:t xml:space="preserve">This study was referenced in the sponsor’s submitted clinical overview as support for the concept of boosters but does not directly inform the efficacy of </w:t>
      </w:r>
      <w:proofErr w:type="spellStart"/>
      <w:r>
        <w:t>Vaxzevria</w:t>
      </w:r>
      <w:proofErr w:type="spellEnd"/>
      <w:r>
        <w:t>.</w:t>
      </w:r>
    </w:p>
    <w:p w14:paraId="2785C517" w14:textId="2AFE9D6B" w:rsidR="00650EEA" w:rsidRDefault="0026430A" w:rsidP="00650EEA">
      <w:r>
        <w:lastRenderedPageBreak/>
        <w:t>Barrett J et al. (2021);</w:t>
      </w:r>
      <w:r w:rsidR="00CC3488">
        <w:rPr>
          <w:rStyle w:val="FootnoteReference"/>
        </w:rPr>
        <w:footnoteReference w:id="11"/>
      </w:r>
      <w:r>
        <w:t xml:space="preserve"> </w:t>
      </w:r>
      <w:r w:rsidR="00650EEA">
        <w:t xml:space="preserve">was a </w:t>
      </w:r>
      <w:r w:rsidR="00CC3488">
        <w:t>P</w:t>
      </w:r>
      <w:r w:rsidR="00650EEA">
        <w:t xml:space="preserve">hase I/II study from Nature Medicine that provided an early examination of the immunogenicity of the </w:t>
      </w:r>
      <w:r w:rsidR="00CC3488">
        <w:t>two</w:t>
      </w:r>
      <w:r w:rsidR="00650EEA">
        <w:t xml:space="preserve"> dose </w:t>
      </w:r>
      <w:proofErr w:type="spellStart"/>
      <w:r w:rsidR="00650EEA">
        <w:t>Vaxzevria</w:t>
      </w:r>
      <w:proofErr w:type="spellEnd"/>
      <w:r w:rsidR="00650EEA">
        <w:t xml:space="preserve"> schedule. It examined anti-vector </w:t>
      </w:r>
      <w:r w:rsidR="00CC3488">
        <w:t>that is</w:t>
      </w:r>
      <w:r w:rsidR="00650EEA">
        <w:t xml:space="preserve"> ChAdOx1-</w:t>
      </w:r>
      <w:r w:rsidR="00CC3488">
        <w:t>S</w:t>
      </w:r>
      <w:r w:rsidR="00650EEA">
        <w:t xml:space="preserve"> neutralising immunity. It was found that these antibodies were induced and remained elevated until 84 days after enrolment following a second vaccine dose at </w:t>
      </w:r>
      <w:r w:rsidR="00CC2498">
        <w:t>D</w:t>
      </w:r>
      <w:r w:rsidR="00650EEA">
        <w:t>ay 56.</w:t>
      </w:r>
    </w:p>
    <w:p w14:paraId="1B31B8DB" w14:textId="2F693C33" w:rsidR="00650EEA" w:rsidRDefault="00650EEA" w:rsidP="00650EEA">
      <w:r>
        <w:t xml:space="preserve">This study was referenced in the </w:t>
      </w:r>
      <w:r w:rsidR="00CC3488">
        <w:t>s</w:t>
      </w:r>
      <w:r>
        <w:t>ponsor</w:t>
      </w:r>
      <w:r w:rsidR="0047029D">
        <w:t xml:space="preserve"> submitted </w:t>
      </w:r>
      <w:r w:rsidR="00CC3488">
        <w:t>c</w:t>
      </w:r>
      <w:r>
        <w:t xml:space="preserve">linical </w:t>
      </w:r>
      <w:r w:rsidR="00CC3488">
        <w:t>o</w:t>
      </w:r>
      <w:r>
        <w:t>verview in the context of anti-vector immunity, noting that the levels of neutralising antibodies did not increase after a second dose compared to post-f</w:t>
      </w:r>
      <w:r w:rsidR="00CC2498">
        <w:t xml:space="preserve">irst </w:t>
      </w:r>
      <w:r>
        <w:t xml:space="preserve">dose. However, it is also noted that induced vector immunity after a third dose of </w:t>
      </w:r>
      <w:proofErr w:type="spellStart"/>
      <w:r>
        <w:t>Vaxzevria</w:t>
      </w:r>
      <w:proofErr w:type="spellEnd"/>
      <w:r>
        <w:t xml:space="preserve"> is not known.</w:t>
      </w:r>
    </w:p>
    <w:p w14:paraId="14258936" w14:textId="6455C6BE" w:rsidR="00650EEA" w:rsidRDefault="0026430A" w:rsidP="00650EEA">
      <w:proofErr w:type="spellStart"/>
      <w:r w:rsidRPr="0026430A">
        <w:t>Berkwerk</w:t>
      </w:r>
      <w:proofErr w:type="spellEnd"/>
      <w:r>
        <w:t xml:space="preserve"> et al. (2021)</w:t>
      </w:r>
      <w:r w:rsidR="00CC2498">
        <w:t>;</w:t>
      </w:r>
      <w:r w:rsidR="00CC2498">
        <w:rPr>
          <w:rStyle w:val="FootnoteReference"/>
        </w:rPr>
        <w:footnoteReference w:id="12"/>
      </w:r>
      <w:r>
        <w:t xml:space="preserve"> </w:t>
      </w:r>
      <w:r w:rsidR="00650EEA">
        <w:t xml:space="preserve">was a study from the </w:t>
      </w:r>
      <w:r w:rsidR="00CC2498">
        <w:t>New England Journal of Medicine</w:t>
      </w:r>
      <w:r w:rsidR="00650EEA">
        <w:t xml:space="preserve"> that examined ‘breakthrough’ infections in health care workers vaccinated with BNT162b2</w:t>
      </w:r>
      <w:r w:rsidR="00CC2498">
        <w:t>;</w:t>
      </w:r>
      <w:r w:rsidR="00CC2498">
        <w:fldChar w:fldCharType="begin"/>
      </w:r>
      <w:r w:rsidR="00CC2498">
        <w:instrText xml:space="preserve"> NOTEREF _Ref93765110 \f \h </w:instrText>
      </w:r>
      <w:r w:rsidR="00CC2498">
        <w:fldChar w:fldCharType="separate"/>
      </w:r>
      <w:r w:rsidR="002B3478" w:rsidRPr="002B3478">
        <w:rPr>
          <w:rStyle w:val="FootnoteReference"/>
        </w:rPr>
        <w:t>10</w:t>
      </w:r>
      <w:r w:rsidR="00CC2498">
        <w:fldChar w:fldCharType="end"/>
      </w:r>
      <w:r w:rsidR="00650EEA">
        <w:t xml:space="preserve"> (Pfizer</w:t>
      </w:r>
      <w:r>
        <w:t xml:space="preserve"> vaccine</w:t>
      </w:r>
      <w:r w:rsidR="00650EEA">
        <w:t>).</w:t>
      </w:r>
    </w:p>
    <w:p w14:paraId="7F0D92DD" w14:textId="4E60549F" w:rsidR="00650EEA" w:rsidRDefault="00650EEA" w:rsidP="00650EEA">
      <w:r>
        <w:t xml:space="preserve">This study was referenced in the </w:t>
      </w:r>
      <w:r w:rsidR="0047029D">
        <w:t>s</w:t>
      </w:r>
      <w:r>
        <w:t>ponsor</w:t>
      </w:r>
      <w:r w:rsidR="0047029D">
        <w:t xml:space="preserve"> submitted</w:t>
      </w:r>
      <w:r>
        <w:t xml:space="preserve"> </w:t>
      </w:r>
      <w:r w:rsidR="0047029D">
        <w:t>c</w:t>
      </w:r>
      <w:r>
        <w:t xml:space="preserve">linical </w:t>
      </w:r>
      <w:r w:rsidR="0047029D">
        <w:t>o</w:t>
      </w:r>
      <w:r>
        <w:t xml:space="preserve">verview in the context of supporting the assertion that breakthrough infections occur. It does not directly inform the efficacy of </w:t>
      </w:r>
      <w:proofErr w:type="spellStart"/>
      <w:r>
        <w:t>Vaxzevria</w:t>
      </w:r>
      <w:proofErr w:type="spellEnd"/>
      <w:r>
        <w:t>.</w:t>
      </w:r>
    </w:p>
    <w:p w14:paraId="01E624D7" w14:textId="51474E27" w:rsidR="00650EEA" w:rsidRDefault="0026430A" w:rsidP="00650EEA">
      <w:r>
        <w:t>Bhuyan et al. (2021);</w:t>
      </w:r>
      <w:r w:rsidR="0047029D">
        <w:rPr>
          <w:rStyle w:val="FootnoteReference"/>
        </w:rPr>
        <w:footnoteReference w:id="13"/>
      </w:r>
      <w:r>
        <w:t xml:space="preserve"> </w:t>
      </w:r>
      <w:r w:rsidR="00650EEA">
        <w:t xml:space="preserve">was a brief description of a study that examined the rate of </w:t>
      </w:r>
      <w:r w:rsidR="0047029D">
        <w:t>t</w:t>
      </w:r>
      <w:r w:rsidR="00650EEA">
        <w:t xml:space="preserve">hrombocytopenic </w:t>
      </w:r>
      <w:r w:rsidR="0047029D">
        <w:t>t</w:t>
      </w:r>
      <w:r w:rsidR="00650EEA">
        <w:t xml:space="preserve">hrombotic </w:t>
      </w:r>
      <w:r w:rsidR="0047029D">
        <w:t>s</w:t>
      </w:r>
      <w:r w:rsidR="00650EEA">
        <w:t xml:space="preserve">yndrome (TTS) in recipients of the </w:t>
      </w:r>
      <w:r w:rsidR="0047029D">
        <w:t>two</w:t>
      </w:r>
      <w:r w:rsidR="00650EEA">
        <w:t xml:space="preserve"> dose </w:t>
      </w:r>
      <w:proofErr w:type="spellStart"/>
      <w:r w:rsidR="00650EEA">
        <w:t>Vaxzevria</w:t>
      </w:r>
      <w:proofErr w:type="spellEnd"/>
      <w:r w:rsidR="00650EEA">
        <w:t xml:space="preserve"> schedule based on post-marketing surveillance by the European </w:t>
      </w:r>
      <w:r w:rsidR="0047029D">
        <w:t>Centre for Disease Prevention and Control</w:t>
      </w:r>
      <w:r w:rsidR="00650EEA">
        <w:t xml:space="preserve">. It estimated the rate of TTS within 14 days of the second dose of </w:t>
      </w:r>
      <w:proofErr w:type="spellStart"/>
      <w:r w:rsidR="00650EEA">
        <w:t>Vaxzevria</w:t>
      </w:r>
      <w:proofErr w:type="spellEnd"/>
      <w:r w:rsidR="00650EEA">
        <w:t xml:space="preserve"> to be approximately 2.3 per million vaccines.</w:t>
      </w:r>
    </w:p>
    <w:p w14:paraId="751FF6F6" w14:textId="177A11D5" w:rsidR="00650EEA" w:rsidRDefault="00650EEA" w:rsidP="00650EEA">
      <w:r>
        <w:t xml:space="preserve">This study was referenced in the </w:t>
      </w:r>
      <w:r w:rsidR="0047029D">
        <w:t>s</w:t>
      </w:r>
      <w:r>
        <w:t>ponsor</w:t>
      </w:r>
      <w:r w:rsidR="0047029D">
        <w:t xml:space="preserve"> submitted c</w:t>
      </w:r>
      <w:r>
        <w:t xml:space="preserve">linical </w:t>
      </w:r>
      <w:r w:rsidR="0047029D">
        <w:t>o</w:t>
      </w:r>
      <w:r>
        <w:t xml:space="preserve">verview in the context of reporting the rate of TTS. The </w:t>
      </w:r>
      <w:r w:rsidR="0047029D">
        <w:t>c</w:t>
      </w:r>
      <w:r>
        <w:t xml:space="preserve">linical </w:t>
      </w:r>
      <w:r w:rsidR="0047029D">
        <w:t>o</w:t>
      </w:r>
      <w:r>
        <w:t>verview further notes:</w:t>
      </w:r>
    </w:p>
    <w:p w14:paraId="4B73127D" w14:textId="734D08A4" w:rsidR="00650EEA" w:rsidRPr="0047029D" w:rsidRDefault="0047029D" w:rsidP="00415920">
      <w:pPr>
        <w:ind w:left="360"/>
        <w:rPr>
          <w:i/>
          <w:iCs/>
        </w:rPr>
      </w:pPr>
      <w:r>
        <w:rPr>
          <w:i/>
          <w:iCs/>
        </w:rPr>
        <w:t>‘</w:t>
      </w:r>
      <w:r w:rsidRPr="0047029D">
        <w:rPr>
          <w:i/>
          <w:iCs/>
        </w:rPr>
        <w:t>In line with the reduced reactogenicity of second and third dose of AZD1222;</w:t>
      </w:r>
      <w:r w:rsidRPr="0047029D">
        <w:rPr>
          <w:i/>
          <w:iCs/>
        </w:rPr>
        <w:fldChar w:fldCharType="begin"/>
      </w:r>
      <w:r w:rsidRPr="0047029D">
        <w:rPr>
          <w:i/>
          <w:iCs/>
        </w:rPr>
        <w:instrText xml:space="preserve"> NOTEREF _Ref93765739 \f \h </w:instrText>
      </w:r>
      <w:r>
        <w:rPr>
          <w:i/>
          <w:iCs/>
        </w:rPr>
        <w:instrText xml:space="preserve"> \* MERGEFORMAT </w:instrText>
      </w:r>
      <w:r w:rsidRPr="0047029D">
        <w:rPr>
          <w:i/>
          <w:iCs/>
        </w:rPr>
      </w:r>
      <w:r w:rsidRPr="0047029D">
        <w:rPr>
          <w:i/>
          <w:iCs/>
        </w:rPr>
        <w:fldChar w:fldCharType="separate"/>
      </w:r>
      <w:r w:rsidR="002B3478" w:rsidRPr="002B3478">
        <w:rPr>
          <w:rStyle w:val="FootnoteReference"/>
        </w:rPr>
        <w:t>2</w:t>
      </w:r>
      <w:r w:rsidRPr="0047029D">
        <w:rPr>
          <w:i/>
          <w:iCs/>
        </w:rPr>
        <w:fldChar w:fldCharType="end"/>
      </w:r>
      <w:r w:rsidRPr="0047029D">
        <w:rPr>
          <w:i/>
          <w:iCs/>
        </w:rPr>
        <w:t xml:space="preserve"> compared with first dose, no increased risk of thrombosis with thrombocytopenia is anticipated following a third dose booster of AZD1222.</w:t>
      </w:r>
      <w:r>
        <w:rPr>
          <w:i/>
          <w:iCs/>
        </w:rPr>
        <w:t>’</w:t>
      </w:r>
    </w:p>
    <w:p w14:paraId="1786ADC0" w14:textId="37959CED" w:rsidR="00650EEA" w:rsidRDefault="0026430A" w:rsidP="00650EEA">
      <w:proofErr w:type="spellStart"/>
      <w:r>
        <w:t>Greinacher</w:t>
      </w:r>
      <w:proofErr w:type="spellEnd"/>
      <w:r>
        <w:t xml:space="preserve"> et al (2021)</w:t>
      </w:r>
      <w:r w:rsidR="0047029D">
        <w:t xml:space="preserve">; </w:t>
      </w:r>
      <w:bookmarkStart w:id="47" w:name="_Ref93766021"/>
      <w:r w:rsidR="0047029D">
        <w:rPr>
          <w:rStyle w:val="FootnoteReference"/>
        </w:rPr>
        <w:footnoteReference w:id="14"/>
      </w:r>
      <w:bookmarkEnd w:id="47"/>
      <w:r>
        <w:t xml:space="preserve"> </w:t>
      </w:r>
      <w:r w:rsidR="00650EEA">
        <w:t xml:space="preserve">was a study from the </w:t>
      </w:r>
      <w:r w:rsidR="00A54641">
        <w:t>New England Journal of Medicine</w:t>
      </w:r>
      <w:r w:rsidR="00650EEA">
        <w:t xml:space="preserve"> that provided an early case series of TTS in recipients of </w:t>
      </w:r>
      <w:proofErr w:type="spellStart"/>
      <w:r w:rsidR="00650EEA">
        <w:t>Vaxzevria</w:t>
      </w:r>
      <w:proofErr w:type="spellEnd"/>
      <w:r w:rsidR="00650EEA">
        <w:t>.</w:t>
      </w:r>
    </w:p>
    <w:p w14:paraId="1EB51D27" w14:textId="662F65A1" w:rsidR="00650EEA" w:rsidRDefault="00650EEA" w:rsidP="00650EEA">
      <w:r>
        <w:t xml:space="preserve">This study was referenced in the </w:t>
      </w:r>
      <w:r w:rsidR="00A54641">
        <w:t>sponsor submitted c</w:t>
      </w:r>
      <w:r>
        <w:t xml:space="preserve">linical </w:t>
      </w:r>
      <w:r w:rsidR="00A54641">
        <w:t>o</w:t>
      </w:r>
      <w:r>
        <w:t xml:space="preserve">verview in support of the assertion that while </w:t>
      </w:r>
      <w:proofErr w:type="gramStart"/>
      <w:r>
        <w:t>a number of</w:t>
      </w:r>
      <w:proofErr w:type="gramEnd"/>
      <w:r>
        <w:t xml:space="preserve"> biological mechanisms have been proposed to explain TTS,</w:t>
      </w:r>
      <w:r w:rsidR="00806AC6">
        <w:fldChar w:fldCharType="begin"/>
      </w:r>
      <w:r w:rsidR="00806AC6">
        <w:instrText xml:space="preserve"> NOTEREF _Ref93766021 \f \h </w:instrText>
      </w:r>
      <w:r w:rsidR="00806AC6">
        <w:fldChar w:fldCharType="separate"/>
      </w:r>
      <w:r w:rsidR="002B3478" w:rsidRPr="002B3478">
        <w:rPr>
          <w:rStyle w:val="FootnoteReference"/>
        </w:rPr>
        <w:t>14</w:t>
      </w:r>
      <w:r w:rsidR="00806AC6">
        <w:fldChar w:fldCharType="end"/>
      </w:r>
      <w:r>
        <w:t xml:space="preserve"> the exact mechanism remains unknown.</w:t>
      </w:r>
    </w:p>
    <w:p w14:paraId="43EADA45" w14:textId="3F857B3B" w:rsidR="00650EEA" w:rsidRDefault="0026430A" w:rsidP="00650EEA">
      <w:r>
        <w:t>Hall et al. (2021)</w:t>
      </w:r>
      <w:r w:rsidR="007D3891">
        <w:t>;</w:t>
      </w:r>
      <w:r w:rsidR="007D3891">
        <w:rPr>
          <w:rStyle w:val="FootnoteReference"/>
        </w:rPr>
        <w:footnoteReference w:id="15"/>
      </w:r>
      <w:r>
        <w:t xml:space="preserve"> </w:t>
      </w:r>
      <w:r w:rsidR="00650EEA">
        <w:t xml:space="preserve">was a study from the </w:t>
      </w:r>
      <w:r w:rsidR="00250D06">
        <w:t>New England Journal of Medicine</w:t>
      </w:r>
      <w:r w:rsidR="00650EEA">
        <w:t xml:space="preserve"> that examined the immune response of a third</w:t>
      </w:r>
      <w:r w:rsidR="007D3891">
        <w:t xml:space="preserve"> </w:t>
      </w:r>
      <w:r w:rsidR="00650EEA">
        <w:t>dose of mRNA vaccine administered to organ transplant recipients who had previously received two doses of the same product (mRNA-1273).</w:t>
      </w:r>
      <w:bookmarkStart w:id="48" w:name="_Ref93777421"/>
      <w:r w:rsidR="00250D06">
        <w:rPr>
          <w:rStyle w:val="FootnoteReference"/>
        </w:rPr>
        <w:footnoteReference w:id="16"/>
      </w:r>
      <w:bookmarkEnd w:id="48"/>
      <w:r w:rsidR="00650EEA">
        <w:t xml:space="preserve"> This found the third dose to produce an effective boost in immune markers.</w:t>
      </w:r>
    </w:p>
    <w:p w14:paraId="40F9259B" w14:textId="1478D2F4" w:rsidR="00650EEA" w:rsidRDefault="00650EEA" w:rsidP="00650EEA">
      <w:r>
        <w:t xml:space="preserve">This study was referenced in the </w:t>
      </w:r>
      <w:r w:rsidR="00250D06">
        <w:t>s</w:t>
      </w:r>
      <w:r>
        <w:t>ponsor</w:t>
      </w:r>
      <w:r w:rsidR="00250D06">
        <w:t xml:space="preserve"> submitted c</w:t>
      </w:r>
      <w:r>
        <w:t xml:space="preserve">linical </w:t>
      </w:r>
      <w:r w:rsidR="00250D06">
        <w:t>o</w:t>
      </w:r>
      <w:r>
        <w:t xml:space="preserve">verview in support of the validity of third dose boosting in immunocompromised patients. It does not, however, directly inform the efficacy of </w:t>
      </w:r>
      <w:proofErr w:type="spellStart"/>
      <w:r>
        <w:t>Vaxzevria</w:t>
      </w:r>
      <w:proofErr w:type="spellEnd"/>
      <w:r>
        <w:t>.</w:t>
      </w:r>
    </w:p>
    <w:p w14:paraId="63597A5A" w14:textId="0DA70AED" w:rsidR="00650EEA" w:rsidRDefault="0026430A" w:rsidP="006F2264">
      <w:r>
        <w:lastRenderedPageBreak/>
        <w:t>Levin et al. (2021)</w:t>
      </w:r>
      <w:r w:rsidR="004F6D44">
        <w:t>;</w:t>
      </w:r>
      <w:r w:rsidR="004F6D44">
        <w:rPr>
          <w:rStyle w:val="FootnoteReference"/>
        </w:rPr>
        <w:footnoteReference w:id="17"/>
      </w:r>
      <w:r>
        <w:t xml:space="preserve"> </w:t>
      </w:r>
      <w:r w:rsidR="00650EEA">
        <w:t xml:space="preserve">was a study from the </w:t>
      </w:r>
      <w:r w:rsidR="00250D06">
        <w:t xml:space="preserve">New England Journal of Medicine </w:t>
      </w:r>
      <w:r w:rsidR="00650EEA">
        <w:t>was described waning of IgG levels in the six months following the second dose of BNT162b2</w:t>
      </w:r>
      <w:r w:rsidR="004F6D44">
        <w:t>;</w:t>
      </w:r>
      <w:r w:rsidR="004F6D44">
        <w:fldChar w:fldCharType="begin"/>
      </w:r>
      <w:r w:rsidR="004F6D44">
        <w:instrText xml:space="preserve"> NOTEREF _Ref93765110 \f \h </w:instrText>
      </w:r>
      <w:r w:rsidR="006F2264">
        <w:instrText xml:space="preserve"> \* MERGEFORMAT </w:instrText>
      </w:r>
      <w:r w:rsidR="004F6D44">
        <w:fldChar w:fldCharType="separate"/>
      </w:r>
      <w:r w:rsidR="002B3478" w:rsidRPr="002B3478">
        <w:rPr>
          <w:rStyle w:val="FootnoteReference"/>
        </w:rPr>
        <w:t>10</w:t>
      </w:r>
      <w:r w:rsidR="004F6D44">
        <w:fldChar w:fldCharType="end"/>
      </w:r>
      <w:r w:rsidR="00650EEA">
        <w:t xml:space="preserve"> in the Israeli national vaccination program.</w:t>
      </w:r>
    </w:p>
    <w:p w14:paraId="7472CE4C" w14:textId="4C5917C1" w:rsidR="00650EEA" w:rsidRDefault="00650EEA" w:rsidP="006F2264">
      <w:r>
        <w:t xml:space="preserve">This study was referenced in the </w:t>
      </w:r>
      <w:r w:rsidR="004F6D44">
        <w:t>s</w:t>
      </w:r>
      <w:r>
        <w:t>ponsor</w:t>
      </w:r>
      <w:r w:rsidR="004F6D44">
        <w:t xml:space="preserve"> submitted c</w:t>
      </w:r>
      <w:r>
        <w:t xml:space="preserve">linical </w:t>
      </w:r>
      <w:r w:rsidR="004F6D44">
        <w:t>o</w:t>
      </w:r>
      <w:r>
        <w:t xml:space="preserve">verview in support of the assertion that evidence suggests waning immunity following </w:t>
      </w:r>
      <w:r w:rsidR="004F6D44">
        <w:t xml:space="preserve">two </w:t>
      </w:r>
      <w:r>
        <w:t xml:space="preserve">dose vaccination has occurred and this contributes to breakthrough infections. This study does not directly inform the efficacy of </w:t>
      </w:r>
      <w:proofErr w:type="spellStart"/>
      <w:r>
        <w:t>Vaxzevria</w:t>
      </w:r>
      <w:proofErr w:type="spellEnd"/>
      <w:r>
        <w:t>.</w:t>
      </w:r>
    </w:p>
    <w:p w14:paraId="7F46303A" w14:textId="318F59E5" w:rsidR="00650EEA" w:rsidRDefault="0026430A">
      <w:r>
        <w:t>Ramasamy et al. (2021)</w:t>
      </w:r>
      <w:r w:rsidR="0008454C">
        <w:t>;</w:t>
      </w:r>
      <w:r w:rsidR="0008454C">
        <w:rPr>
          <w:rStyle w:val="FootnoteReference"/>
        </w:rPr>
        <w:footnoteReference w:id="18"/>
      </w:r>
      <w:r w:rsidR="00650EEA">
        <w:t xml:space="preserve"> was a </w:t>
      </w:r>
      <w:r w:rsidR="004F6D44">
        <w:t>P</w:t>
      </w:r>
      <w:r w:rsidR="00650EEA">
        <w:t xml:space="preserve">hase II/III study from the Lancet that examined the immunogenicity of a </w:t>
      </w:r>
      <w:proofErr w:type="gramStart"/>
      <w:r w:rsidR="00650EEA">
        <w:t>two dose</w:t>
      </w:r>
      <w:proofErr w:type="gramEnd"/>
      <w:r w:rsidR="00650EEA">
        <w:t xml:space="preserve"> regimen of </w:t>
      </w:r>
      <w:proofErr w:type="spellStart"/>
      <w:r w:rsidR="00650EEA">
        <w:t>Vaxzevria</w:t>
      </w:r>
      <w:proofErr w:type="spellEnd"/>
      <w:r w:rsidR="00650EEA">
        <w:t xml:space="preserve"> in 560 participants. It formed part of the </w:t>
      </w:r>
      <w:r w:rsidR="004F6D44">
        <w:t xml:space="preserve">sponsor submitted </w:t>
      </w:r>
      <w:r w:rsidR="00650EEA">
        <w:t xml:space="preserve">dossier for the original registration submission and is detailed </w:t>
      </w:r>
      <w:r w:rsidR="004F6D44">
        <w:t>in the c</w:t>
      </w:r>
      <w:r w:rsidR="00650EEA">
        <w:t xml:space="preserve">linical </w:t>
      </w:r>
      <w:r w:rsidR="004F6D44">
        <w:t>e</w:t>
      </w:r>
      <w:r w:rsidR="00650EEA">
        <w:t xml:space="preserve">valuation </w:t>
      </w:r>
      <w:r w:rsidR="004F6D44">
        <w:t>r</w:t>
      </w:r>
      <w:r w:rsidR="00650EEA">
        <w:t>eport.</w:t>
      </w:r>
    </w:p>
    <w:p w14:paraId="5877DF41" w14:textId="35412DFF" w:rsidR="008E2F10" w:rsidRDefault="00650EEA" w:rsidP="006F2264">
      <w:r>
        <w:t xml:space="preserve">This study was referenced in the </w:t>
      </w:r>
      <w:r w:rsidR="004F6D44">
        <w:t>s</w:t>
      </w:r>
      <w:r>
        <w:t>ponsor</w:t>
      </w:r>
      <w:r w:rsidR="004F6D44">
        <w:t xml:space="preserve"> submitted</w:t>
      </w:r>
      <w:r>
        <w:t xml:space="preserve"> </w:t>
      </w:r>
      <w:r w:rsidR="004F6D44">
        <w:t>c</w:t>
      </w:r>
      <w:r>
        <w:t xml:space="preserve">linical </w:t>
      </w:r>
      <w:r w:rsidR="004F6D44">
        <w:t>o</w:t>
      </w:r>
      <w:r>
        <w:t xml:space="preserve">verview as a general reference to the development of the </w:t>
      </w:r>
      <w:proofErr w:type="gramStart"/>
      <w:r w:rsidR="004F6D44">
        <w:t>two</w:t>
      </w:r>
      <w:r>
        <w:t xml:space="preserve"> dose</w:t>
      </w:r>
      <w:proofErr w:type="gramEnd"/>
      <w:r>
        <w:t xml:space="preserve"> regimen. It does not directly inform the immunogenicity of the </w:t>
      </w:r>
      <w:r w:rsidR="004F6D44">
        <w:t>third</w:t>
      </w:r>
      <w:r>
        <w:t xml:space="preserve"> dose booster regimen under consideration in this application.</w:t>
      </w:r>
    </w:p>
    <w:p w14:paraId="45E20EC0" w14:textId="2D067D55" w:rsidR="004F6D44" w:rsidRDefault="00F91C52" w:rsidP="006F2264">
      <w:r>
        <w:t>Shrotri et al. (2021</w:t>
      </w:r>
      <w:r w:rsidRPr="00F91C52">
        <w:t>)</w:t>
      </w:r>
      <w:r w:rsidR="0008454C" w:rsidRPr="00F91C52">
        <w:t>;</w:t>
      </w:r>
      <w:r w:rsidR="0008454C" w:rsidRPr="00415920">
        <w:rPr>
          <w:vertAlign w:val="superscript"/>
        </w:rPr>
        <w:footnoteReference w:id="19"/>
      </w:r>
      <w:r w:rsidRPr="00415920">
        <w:rPr>
          <w:vertAlign w:val="superscript"/>
        </w:rPr>
        <w:t xml:space="preserve"> </w:t>
      </w:r>
      <w:r w:rsidR="004F6D44">
        <w:t xml:space="preserve">was a study from the Lancet that examined the waning of anti-spike IgG levels after the </w:t>
      </w:r>
      <w:proofErr w:type="gramStart"/>
      <w:r w:rsidR="004F6D44">
        <w:t>two dose</w:t>
      </w:r>
      <w:proofErr w:type="gramEnd"/>
      <w:r w:rsidR="004F6D44">
        <w:t xml:space="preserve"> regimen of </w:t>
      </w:r>
      <w:proofErr w:type="spellStart"/>
      <w:r w:rsidR="004F6D44">
        <w:t>Vaxzevria</w:t>
      </w:r>
      <w:proofErr w:type="spellEnd"/>
      <w:r w:rsidR="004F6D44">
        <w:t xml:space="preserve"> or </w:t>
      </w:r>
      <w:r w:rsidR="00600775">
        <w:t>Comirnaty</w:t>
      </w:r>
      <w:r w:rsidR="0008454C">
        <w:t>.</w:t>
      </w:r>
    </w:p>
    <w:p w14:paraId="208E6ECC" w14:textId="5F5C0C2C" w:rsidR="004F6D44" w:rsidRDefault="0008454C" w:rsidP="0008454C">
      <w:pPr>
        <w:pStyle w:val="FigureTitle"/>
      </w:pPr>
      <w:r w:rsidRPr="0008454C">
        <w:t xml:space="preserve">Figure </w:t>
      </w:r>
      <w:r w:rsidR="00000000">
        <w:fldChar w:fldCharType="begin"/>
      </w:r>
      <w:r w:rsidR="00000000">
        <w:instrText xml:space="preserve"> SEQ Figure \* ARABIC </w:instrText>
      </w:r>
      <w:r w:rsidR="00000000">
        <w:fldChar w:fldCharType="separate"/>
      </w:r>
      <w:r w:rsidR="002B3478">
        <w:rPr>
          <w:noProof/>
        </w:rPr>
        <w:t>5</w:t>
      </w:r>
      <w:r w:rsidR="00000000">
        <w:rPr>
          <w:noProof/>
        </w:rPr>
        <w:fldChar w:fldCharType="end"/>
      </w:r>
      <w:r>
        <w:t xml:space="preserve">: Antibody levels against </w:t>
      </w:r>
      <w:r w:rsidRPr="0008454C">
        <w:t>spike glycoprotein of SARS-CoV-2 (S-antibody)</w:t>
      </w:r>
      <w:r>
        <w:t xml:space="preserve"> following </w:t>
      </w:r>
      <w:r w:rsidR="00600775">
        <w:t xml:space="preserve">two dose </w:t>
      </w:r>
      <w:proofErr w:type="gramStart"/>
      <w:r w:rsidR="00A113F5">
        <w:t>regimen</w:t>
      </w:r>
      <w:proofErr w:type="gramEnd"/>
      <w:r w:rsidR="00600775">
        <w:t xml:space="preserve"> of </w:t>
      </w:r>
      <w:proofErr w:type="spellStart"/>
      <w:r w:rsidR="00600775">
        <w:t>Vaxzevria</w:t>
      </w:r>
      <w:proofErr w:type="spellEnd"/>
      <w:r w:rsidR="00600775">
        <w:t xml:space="preserve"> or Comirnaty</w:t>
      </w:r>
    </w:p>
    <w:p w14:paraId="2708796E" w14:textId="77777777" w:rsidR="0008454C" w:rsidRDefault="0008454C" w:rsidP="0008454C">
      <w:pPr>
        <w:pStyle w:val="TableDescription"/>
      </w:pPr>
      <w:r w:rsidRPr="0008454C">
        <w:rPr>
          <w:noProof/>
          <w:lang w:val="en-GB" w:eastAsia="en-GB"/>
        </w:rPr>
        <w:drawing>
          <wp:inline distT="0" distB="0" distL="0" distR="0" wp14:anchorId="3932C2DD" wp14:editId="0DDE9EBD">
            <wp:extent cx="4895850" cy="3895725"/>
            <wp:effectExtent l="0" t="0" r="0" b="9525"/>
            <wp:docPr id="48" name="Main graphic" descr="Figure 5: Antibody levels against spike glycoprotein of SARS-CoV-2 (S-antibody) following two dose regimen of Vaxzevria or Comirnaty"/>
            <wp:cNvGraphicFramePr/>
            <a:graphic xmlns:a="http://schemas.openxmlformats.org/drawingml/2006/main">
              <a:graphicData uri="http://schemas.openxmlformats.org/drawingml/2006/picture">
                <pic:pic xmlns:pic="http://schemas.openxmlformats.org/drawingml/2006/picture">
                  <pic:nvPicPr>
                    <pic:cNvPr id="48" name="Main graphic" descr="Figure 5: Antibody levels against spike glycoprotein of SARS-CoV-2 (S-antibody) following two dose regimen of Vaxzevria or Comirnaty"/>
                    <pic:cNvPicPr/>
                  </pic:nvPicPr>
                  <pic:blipFill>
                    <a:blip r:embed="rId19"/>
                    <a:stretch/>
                  </pic:blipFill>
                  <pic:spPr>
                    <a:xfrm>
                      <a:off x="0" y="0"/>
                      <a:ext cx="4895850" cy="3895725"/>
                    </a:xfrm>
                    <a:prstGeom prst="rect">
                      <a:avLst/>
                    </a:prstGeom>
                    <a:ln>
                      <a:noFill/>
                    </a:ln>
                  </pic:spPr>
                </pic:pic>
              </a:graphicData>
            </a:graphic>
          </wp:inline>
        </w:drawing>
      </w:r>
    </w:p>
    <w:p w14:paraId="1BD29BC1" w14:textId="0C4DCF64" w:rsidR="0008454C" w:rsidRDefault="0008454C" w:rsidP="0008454C">
      <w:pPr>
        <w:pStyle w:val="TableDescription"/>
      </w:pPr>
      <w:r w:rsidRPr="0008454C">
        <w:t>p values derived from non-parametric tests for trend for each vaccine subgroup are given in parenthesis in the key.</w:t>
      </w:r>
    </w:p>
    <w:p w14:paraId="241D02FA" w14:textId="7A3F09D6" w:rsidR="00600775" w:rsidRDefault="00600775" w:rsidP="0008454C">
      <w:pPr>
        <w:pStyle w:val="TableDescription"/>
      </w:pPr>
      <w:r>
        <w:lastRenderedPageBreak/>
        <w:t>BNT162b2 is the product development code for Comirnaty.</w:t>
      </w:r>
    </w:p>
    <w:p w14:paraId="5F695DE9" w14:textId="509AB8A8" w:rsidR="00600775" w:rsidRDefault="00600775" w:rsidP="0008454C">
      <w:pPr>
        <w:pStyle w:val="TableDescription"/>
      </w:pPr>
      <w:r>
        <w:t xml:space="preserve">ChAdOx1 nCoV-19 is the product development code for </w:t>
      </w:r>
      <w:proofErr w:type="spellStart"/>
      <w:r>
        <w:t>Vaxzevria</w:t>
      </w:r>
      <w:proofErr w:type="spellEnd"/>
      <w:r>
        <w:t>.</w:t>
      </w:r>
    </w:p>
    <w:p w14:paraId="5F4351CD" w14:textId="22A6AC42" w:rsidR="00600775" w:rsidRDefault="00600775" w:rsidP="006F2264">
      <w:r>
        <w:t xml:space="preserve">The study found that there was a general waning of antibody levels for both vaccines regardless of the initial peak effect of the </w:t>
      </w:r>
      <w:proofErr w:type="gramStart"/>
      <w:r>
        <w:t>two dose</w:t>
      </w:r>
      <w:proofErr w:type="gramEnd"/>
      <w:r>
        <w:t xml:space="preserve"> schedule.</w:t>
      </w:r>
    </w:p>
    <w:p w14:paraId="679CD1BF" w14:textId="184D8729" w:rsidR="00600775" w:rsidRDefault="00600775" w:rsidP="006F2264">
      <w:r>
        <w:t>This study was references in the sponsor submitted clinical overview in support of the assertion that immunity wanes after two dose COVID-19 vaccination.</w:t>
      </w:r>
    </w:p>
    <w:p w14:paraId="06766D36" w14:textId="1BC7ED77" w:rsidR="00600775" w:rsidRDefault="00F91C52" w:rsidP="006F2264">
      <w:proofErr w:type="spellStart"/>
      <w:r>
        <w:t>Tré</w:t>
      </w:r>
      <w:proofErr w:type="spellEnd"/>
      <w:r>
        <w:t>-Hardy et al. (2021)</w:t>
      </w:r>
      <w:r w:rsidR="00600775">
        <w:t>;</w:t>
      </w:r>
      <w:r w:rsidR="00600775">
        <w:rPr>
          <w:rStyle w:val="FootnoteReference"/>
        </w:rPr>
        <w:footnoteReference w:id="20"/>
      </w:r>
      <w:r>
        <w:t xml:space="preserve"> </w:t>
      </w:r>
      <w:r w:rsidR="00600775">
        <w:t xml:space="preserve">was a letter to the Journal of Infectious Disease noting the waning of immunity over six months following a two dose </w:t>
      </w:r>
      <w:r w:rsidR="001E692E">
        <w:t xml:space="preserve">Spikevax </w:t>
      </w:r>
      <w:proofErr w:type="spellStart"/>
      <w:r w:rsidR="001E692E">
        <w:t>elasomeran</w:t>
      </w:r>
      <w:proofErr w:type="spellEnd"/>
      <w:r w:rsidR="001E692E">
        <w:t xml:space="preserve"> (</w:t>
      </w:r>
      <w:r w:rsidR="00600775">
        <w:t>mRNA</w:t>
      </w:r>
      <w:r>
        <w:noBreakHyphen/>
      </w:r>
      <w:r w:rsidR="00600775">
        <w:t>1273</w:t>
      </w:r>
      <w:r w:rsidR="001E692E">
        <w:t>)</w:t>
      </w:r>
      <w:r w:rsidR="00600775">
        <w:t>;</w:t>
      </w:r>
      <w:r w:rsidR="00600775">
        <w:fldChar w:fldCharType="begin"/>
      </w:r>
      <w:r w:rsidR="00600775">
        <w:instrText xml:space="preserve"> NOTEREF _Ref93777421 \f \h </w:instrText>
      </w:r>
      <w:r w:rsidR="006F2264">
        <w:instrText xml:space="preserve"> \* MERGEFORMAT </w:instrText>
      </w:r>
      <w:r w:rsidR="00600775">
        <w:fldChar w:fldCharType="separate"/>
      </w:r>
      <w:r w:rsidR="002B3478" w:rsidRPr="002B3478">
        <w:rPr>
          <w:rStyle w:val="FootnoteReference"/>
        </w:rPr>
        <w:t>16</w:t>
      </w:r>
      <w:r w:rsidR="00600775">
        <w:fldChar w:fldCharType="end"/>
      </w:r>
      <w:r w:rsidR="00600775">
        <w:t xml:space="preserve"> vaccination schedule in COVID naïve patients, but the persistence of antibodies for longer following natural infection.</w:t>
      </w:r>
    </w:p>
    <w:p w14:paraId="5CCA37AA" w14:textId="199F7294" w:rsidR="00600775" w:rsidRDefault="00600775" w:rsidP="006F2264">
      <w:r>
        <w:t xml:space="preserve">This was referenced in this sponsor submitted clinical overview in support of the general assertion that immunity wanes after two doses of COVID-19 vaccine. It does not directly inform the efficacy of </w:t>
      </w:r>
      <w:proofErr w:type="spellStart"/>
      <w:r>
        <w:t>Vaxzevria</w:t>
      </w:r>
      <w:proofErr w:type="spellEnd"/>
      <w:r>
        <w:t>.</w:t>
      </w:r>
    </w:p>
    <w:p w14:paraId="06F7D65D" w14:textId="4487618F" w:rsidR="00600775" w:rsidRDefault="00F91C52" w:rsidP="006F2264">
      <w:r>
        <w:t>Voysey et al. (2021)</w:t>
      </w:r>
      <w:r w:rsidR="00600775">
        <w:t>;</w:t>
      </w:r>
      <w:r w:rsidR="00600775">
        <w:rPr>
          <w:rStyle w:val="FootnoteReference"/>
        </w:rPr>
        <w:footnoteReference w:id="21"/>
      </w:r>
      <w:r w:rsidR="00600775" w:rsidRPr="00415920">
        <w:rPr>
          <w:vertAlign w:val="superscript"/>
        </w:rPr>
        <w:t>;</w:t>
      </w:r>
      <w:r w:rsidR="00600775">
        <w:rPr>
          <w:rStyle w:val="FootnoteReference"/>
        </w:rPr>
        <w:footnoteReference w:id="22"/>
      </w:r>
      <w:r>
        <w:t xml:space="preserve"> </w:t>
      </w:r>
      <w:r w:rsidR="00600775">
        <w:t xml:space="preserve">were the two main studies which demonstrated the clinical efficacy of </w:t>
      </w:r>
      <w:proofErr w:type="spellStart"/>
      <w:r w:rsidR="00600775">
        <w:t>Vaxzevria</w:t>
      </w:r>
      <w:proofErr w:type="spellEnd"/>
      <w:r w:rsidR="00600775">
        <w:t xml:space="preserve"> in March 2021, and the additional benefit of a </w:t>
      </w:r>
      <w:r w:rsidR="001E692E">
        <w:t>three-month</w:t>
      </w:r>
      <w:r w:rsidR="00600775">
        <w:t xml:space="preserve"> dosing interval respectively. This includes the data from </w:t>
      </w:r>
      <w:r w:rsidR="001E692E">
        <w:t xml:space="preserve">Studies </w:t>
      </w:r>
      <w:r w:rsidR="00600775">
        <w:t>COV001, COV002, COV003 and COV005</w:t>
      </w:r>
      <w:r w:rsidR="00395EEA">
        <w:t xml:space="preserve"> </w:t>
      </w:r>
      <w:r w:rsidR="00600775">
        <w:t xml:space="preserve">considered in the original registration application for </w:t>
      </w:r>
      <w:proofErr w:type="spellStart"/>
      <w:r w:rsidR="00600775">
        <w:t>Vaxzevria</w:t>
      </w:r>
      <w:proofErr w:type="spellEnd"/>
      <w:r w:rsidR="00600775">
        <w:t xml:space="preserve"> and detailed in the </w:t>
      </w:r>
      <w:r w:rsidR="006F2264">
        <w:t>c</w:t>
      </w:r>
      <w:r w:rsidR="00600775">
        <w:t xml:space="preserve">linical </w:t>
      </w:r>
      <w:r w:rsidR="006F2264">
        <w:t>e</w:t>
      </w:r>
      <w:r w:rsidR="00600775">
        <w:t xml:space="preserve">valuation </w:t>
      </w:r>
      <w:r w:rsidR="006F2264">
        <w:t>r</w:t>
      </w:r>
      <w:r w:rsidR="00600775">
        <w:t>eport.</w:t>
      </w:r>
    </w:p>
    <w:p w14:paraId="7146EA30" w14:textId="38B07027" w:rsidR="00600775" w:rsidRDefault="00600775" w:rsidP="006F2264">
      <w:r>
        <w:t>Th</w:t>
      </w:r>
      <w:r w:rsidR="006F2264">
        <w:t>ese</w:t>
      </w:r>
      <w:r>
        <w:t xml:space="preserve"> stud</w:t>
      </w:r>
      <w:r w:rsidR="006F2264">
        <w:t>ies</w:t>
      </w:r>
      <w:r>
        <w:t xml:space="preserve"> w</w:t>
      </w:r>
      <w:r w:rsidR="006F2264">
        <w:t>ere</w:t>
      </w:r>
      <w:r>
        <w:t xml:space="preserve"> referenced in the </w:t>
      </w:r>
      <w:r w:rsidR="006F2264">
        <w:t>s</w:t>
      </w:r>
      <w:r>
        <w:t>ponsor</w:t>
      </w:r>
      <w:r w:rsidR="006F2264">
        <w:t xml:space="preserve"> submitted c</w:t>
      </w:r>
      <w:r>
        <w:t xml:space="preserve">linical </w:t>
      </w:r>
      <w:r w:rsidR="006F2264">
        <w:t>o</w:t>
      </w:r>
      <w:r>
        <w:t xml:space="preserve">verview as a general reference to the development of the </w:t>
      </w:r>
      <w:proofErr w:type="gramStart"/>
      <w:r w:rsidR="006F2264">
        <w:t>two</w:t>
      </w:r>
      <w:r>
        <w:t xml:space="preserve"> dose</w:t>
      </w:r>
      <w:proofErr w:type="gramEnd"/>
      <w:r>
        <w:t xml:space="preserve"> regimen. They do not directly inform the immunogenicity of the </w:t>
      </w:r>
      <w:r w:rsidR="006F2264">
        <w:t>third</w:t>
      </w:r>
      <w:r>
        <w:t xml:space="preserve"> dose booster regimen under consideration in this application.</w:t>
      </w:r>
    </w:p>
    <w:p w14:paraId="63CB5FFB" w14:textId="18996B94" w:rsidR="006F2264" w:rsidRDefault="006F2264" w:rsidP="006F2264">
      <w:pPr>
        <w:pStyle w:val="Heading4"/>
      </w:pPr>
      <w:r>
        <w:t>Safety</w:t>
      </w:r>
    </w:p>
    <w:p w14:paraId="50C0CA6E" w14:textId="347DB910" w:rsidR="006F2264" w:rsidRPr="006F2264" w:rsidRDefault="001E692E" w:rsidP="006F2264">
      <w:r>
        <w:t xml:space="preserve">The Study </w:t>
      </w:r>
      <w:r w:rsidR="006F2264" w:rsidRPr="006F2264">
        <w:t>COV001</w:t>
      </w:r>
      <w:r w:rsidR="00395EEA">
        <w:t xml:space="preserve"> </w:t>
      </w:r>
      <w:r w:rsidR="006F2264" w:rsidRPr="006F2264">
        <w:t>third boost</w:t>
      </w:r>
      <w:r>
        <w:t>er</w:t>
      </w:r>
      <w:r w:rsidR="006F2264" w:rsidRPr="006F2264">
        <w:t xml:space="preserve"> study examined reactogenic adverse events for </w:t>
      </w:r>
      <w:r>
        <w:t>7 </w:t>
      </w:r>
      <w:r w:rsidR="006F2264" w:rsidRPr="006F2264">
        <w:t>days following administration</w:t>
      </w:r>
      <w:r w:rsidR="006F2264">
        <w:t xml:space="preserve"> (see </w:t>
      </w:r>
      <w:r w:rsidR="006F2264">
        <w:fldChar w:fldCharType="begin"/>
      </w:r>
      <w:r w:rsidR="006F2264">
        <w:instrText xml:space="preserve"> REF _Ref93778355 \h </w:instrText>
      </w:r>
      <w:r w:rsidR="006F2264">
        <w:fldChar w:fldCharType="separate"/>
      </w:r>
      <w:r w:rsidR="002B3478" w:rsidRPr="006F2264">
        <w:t xml:space="preserve">Figure </w:t>
      </w:r>
      <w:r w:rsidR="002B3478">
        <w:rPr>
          <w:noProof/>
        </w:rPr>
        <w:t>6</w:t>
      </w:r>
      <w:r w:rsidR="006F2264">
        <w:fldChar w:fldCharType="end"/>
      </w:r>
      <w:r w:rsidR="006F2264">
        <w:t>)</w:t>
      </w:r>
    </w:p>
    <w:p w14:paraId="0A8ADB25" w14:textId="6F521856" w:rsidR="006F2264" w:rsidRDefault="006F2264" w:rsidP="006F2264">
      <w:pPr>
        <w:pStyle w:val="FigureTitle"/>
      </w:pPr>
      <w:bookmarkStart w:id="49" w:name="_Ref93778355"/>
      <w:r w:rsidRPr="006F2264">
        <w:lastRenderedPageBreak/>
        <w:t xml:space="preserve">Figure </w:t>
      </w:r>
      <w:r w:rsidR="00000000">
        <w:fldChar w:fldCharType="begin"/>
      </w:r>
      <w:r w:rsidR="00000000">
        <w:instrText xml:space="preserve"> SEQ Figure \* ARABIC </w:instrText>
      </w:r>
      <w:r w:rsidR="00000000">
        <w:fldChar w:fldCharType="separate"/>
      </w:r>
      <w:r w:rsidR="002B3478">
        <w:rPr>
          <w:noProof/>
        </w:rPr>
        <w:t>6</w:t>
      </w:r>
      <w:r w:rsidR="00000000">
        <w:rPr>
          <w:noProof/>
        </w:rPr>
        <w:fldChar w:fldCharType="end"/>
      </w:r>
      <w:bookmarkEnd w:id="49"/>
      <w:r>
        <w:t>:</w:t>
      </w:r>
      <w:r w:rsidRPr="006F2264">
        <w:t xml:space="preserve"> </w:t>
      </w:r>
      <w:r w:rsidR="001E692E">
        <w:t xml:space="preserve">Study </w:t>
      </w:r>
      <w:r w:rsidR="00395EEA">
        <w:t xml:space="preserve">COV001 </w:t>
      </w:r>
      <w:r w:rsidRPr="006F2264">
        <w:t xml:space="preserve">Solicited adverse events up to </w:t>
      </w:r>
      <w:r>
        <w:t>seven</w:t>
      </w:r>
      <w:r w:rsidRPr="006F2264">
        <w:t xml:space="preserve"> days following the first, second and third doses of </w:t>
      </w:r>
      <w:proofErr w:type="spellStart"/>
      <w:r w:rsidRPr="006F2264">
        <w:t>Vaxzevria</w:t>
      </w:r>
      <w:proofErr w:type="spellEnd"/>
      <w:r w:rsidRPr="006F2264">
        <w:t xml:space="preserve"> in 80 subjects with severity indicated by colour</w:t>
      </w:r>
    </w:p>
    <w:p w14:paraId="4F951DFE" w14:textId="6E87FB84" w:rsidR="006F2264" w:rsidRDefault="006F2264" w:rsidP="00170D6E">
      <w:r>
        <w:rPr>
          <w:noProof/>
          <w:lang w:val="en-GB" w:eastAsia="en-GB"/>
        </w:rPr>
        <w:drawing>
          <wp:inline distT="0" distB="0" distL="0" distR="0" wp14:anchorId="1DAEF8E2" wp14:editId="00167371">
            <wp:extent cx="5334000" cy="3009900"/>
            <wp:effectExtent l="0" t="0" r="0" b="0"/>
            <wp:docPr id="53" name="Main graphic" descr="Figure 6: Study COV001 Solicited adverse events up to seven days following the first, second and third doses of Vaxzevria in 80 subjects with severity indicated by colour"/>
            <wp:cNvGraphicFramePr/>
            <a:graphic xmlns:a="http://schemas.openxmlformats.org/drawingml/2006/main">
              <a:graphicData uri="http://schemas.openxmlformats.org/drawingml/2006/picture">
                <pic:pic xmlns:pic="http://schemas.openxmlformats.org/drawingml/2006/picture">
                  <pic:nvPicPr>
                    <pic:cNvPr id="53" name="Main graphic" descr="Figure 6: Study COV001 Solicited adverse events up to seven days following the first, second and third doses of Vaxzevria in 80 subjects with severity indicated by colour"/>
                    <pic:cNvPicPr/>
                  </pic:nvPicPr>
                  <pic:blipFill rotWithShape="1">
                    <a:blip r:embed="rId20"/>
                    <a:srcRect t="50235"/>
                    <a:stretch/>
                  </pic:blipFill>
                  <pic:spPr bwMode="auto">
                    <a:xfrm>
                      <a:off x="0" y="0"/>
                      <a:ext cx="5334495" cy="3010179"/>
                    </a:xfrm>
                    <a:prstGeom prst="rect">
                      <a:avLst/>
                    </a:prstGeom>
                    <a:ln>
                      <a:noFill/>
                    </a:ln>
                    <a:extLst>
                      <a:ext uri="{53640926-AAD7-44D8-BBD7-CCE9431645EC}">
                        <a14:shadowObscured xmlns:a14="http://schemas.microsoft.com/office/drawing/2010/main"/>
                      </a:ext>
                    </a:extLst>
                  </pic:spPr>
                </pic:pic>
              </a:graphicData>
            </a:graphic>
          </wp:inline>
        </w:drawing>
      </w:r>
    </w:p>
    <w:p w14:paraId="0822F2E4" w14:textId="6A547ADA" w:rsidR="00170D6E" w:rsidRPr="006F2264" w:rsidRDefault="00170D6E" w:rsidP="00170D6E">
      <w:r>
        <w:rPr>
          <w:noProof/>
          <w:lang w:val="en-GB" w:eastAsia="en-GB"/>
        </w:rPr>
        <w:drawing>
          <wp:inline distT="0" distB="0" distL="0" distR="0" wp14:anchorId="1137080B" wp14:editId="33F1DA7A">
            <wp:extent cx="676275" cy="828675"/>
            <wp:effectExtent l="0" t="0" r="9525" b="9525"/>
            <wp:docPr id="4" name="Main graphic" descr="Picture of Severity colour key"/>
            <wp:cNvGraphicFramePr/>
            <a:graphic xmlns:a="http://schemas.openxmlformats.org/drawingml/2006/main">
              <a:graphicData uri="http://schemas.openxmlformats.org/drawingml/2006/picture">
                <pic:pic xmlns:pic="http://schemas.openxmlformats.org/drawingml/2006/picture">
                  <pic:nvPicPr>
                    <pic:cNvPr id="4" name="Main graphic" descr="Picture of Severity colour key"/>
                    <pic:cNvPicPr/>
                  </pic:nvPicPr>
                  <pic:blipFill rotWithShape="1">
                    <a:blip r:embed="rId20"/>
                    <a:srcRect l="5116" t="4969" r="84428" b="82990"/>
                    <a:stretch/>
                  </pic:blipFill>
                  <pic:spPr bwMode="auto">
                    <a:xfrm>
                      <a:off x="0" y="0"/>
                      <a:ext cx="676991" cy="829552"/>
                    </a:xfrm>
                    <a:prstGeom prst="rect">
                      <a:avLst/>
                    </a:prstGeom>
                    <a:ln>
                      <a:noFill/>
                    </a:ln>
                    <a:extLst>
                      <a:ext uri="{53640926-AAD7-44D8-BBD7-CCE9431645EC}">
                        <a14:shadowObscured xmlns:a14="http://schemas.microsoft.com/office/drawing/2010/main"/>
                      </a:ext>
                    </a:extLst>
                  </pic:spPr>
                </pic:pic>
              </a:graphicData>
            </a:graphic>
          </wp:inline>
        </w:drawing>
      </w:r>
    </w:p>
    <w:p w14:paraId="01D17CF8" w14:textId="77777777" w:rsidR="008E7846" w:rsidRDefault="00386150" w:rsidP="007B6132">
      <w:pPr>
        <w:pStyle w:val="Heading3"/>
        <w:rPr>
          <w:lang w:eastAsia="en-AU"/>
        </w:rPr>
      </w:pPr>
      <w:bookmarkStart w:id="50" w:name="_Toc95891657"/>
      <w:r>
        <w:rPr>
          <w:lang w:eastAsia="en-AU"/>
        </w:rPr>
        <w:t>Risk m</w:t>
      </w:r>
      <w:r w:rsidR="008E7846">
        <w:rPr>
          <w:lang w:eastAsia="en-AU"/>
        </w:rPr>
        <w:t xml:space="preserve">anagement </w:t>
      </w:r>
      <w:r>
        <w:rPr>
          <w:lang w:eastAsia="en-AU"/>
        </w:rPr>
        <w:t>p</w:t>
      </w:r>
      <w:r w:rsidR="008E7846">
        <w:rPr>
          <w:lang w:eastAsia="en-AU"/>
        </w:rPr>
        <w:t>lan</w:t>
      </w:r>
      <w:bookmarkEnd w:id="40"/>
      <w:bookmarkEnd w:id="50"/>
    </w:p>
    <w:p w14:paraId="49C49D0C" w14:textId="731BDD68" w:rsidR="002F4016" w:rsidRPr="00F520F2" w:rsidRDefault="002F4016" w:rsidP="00F520F2">
      <w:r w:rsidRPr="00EA7F92">
        <w:t>The most recently evaluated EU-</w:t>
      </w:r>
      <w:r w:rsidR="00EA7F92">
        <w:t>r</w:t>
      </w:r>
      <w:r w:rsidR="00EA7F92" w:rsidRPr="00EA7F92">
        <w:t>isk management plan</w:t>
      </w:r>
      <w:r w:rsidR="00EA7F92">
        <w:t xml:space="preserve"> (</w:t>
      </w:r>
      <w:r w:rsidRPr="00EA7F92">
        <w:t>RMP</w:t>
      </w:r>
      <w:r w:rsidR="00EA7F92">
        <w:t>)</w:t>
      </w:r>
      <w:r w:rsidRPr="00EA7F92">
        <w:t xml:space="preserve"> </w:t>
      </w:r>
      <w:r w:rsidRPr="00DC2562">
        <w:t xml:space="preserve">is version 3.0, Succession 3 </w:t>
      </w:r>
      <w:r w:rsidRPr="00241724">
        <w:t>(</w:t>
      </w:r>
      <w:r w:rsidRPr="00F520F2">
        <w:t xml:space="preserve">8 July 2021; </w:t>
      </w:r>
      <w:r w:rsidR="00EA7F92">
        <w:t>data lock point (</w:t>
      </w:r>
      <w:r w:rsidRPr="00DC2562">
        <w:t>DLP</w:t>
      </w:r>
      <w:r w:rsidR="00EA7F92">
        <w:t>)</w:t>
      </w:r>
      <w:r w:rsidRPr="00DC2562">
        <w:t xml:space="preserve"> 25 April 2021) and </w:t>
      </w:r>
      <w:r w:rsidR="00EA7F92" w:rsidRPr="00EA7F92">
        <w:t>Australia</w:t>
      </w:r>
      <w:r w:rsidR="00EA7F92">
        <w:t xml:space="preserve"> </w:t>
      </w:r>
      <w:r w:rsidR="00EA7F92" w:rsidRPr="00EA7F92">
        <w:t>specific annex</w:t>
      </w:r>
      <w:r w:rsidR="00EA7F92" w:rsidRPr="00DC2562">
        <w:t xml:space="preserve"> </w:t>
      </w:r>
      <w:r w:rsidR="00EA7F92">
        <w:t>(</w:t>
      </w:r>
      <w:r w:rsidRPr="00DC2562">
        <w:t>ASA</w:t>
      </w:r>
      <w:r w:rsidR="00EA7F92">
        <w:t>)</w:t>
      </w:r>
      <w:r w:rsidRPr="00DC2562">
        <w:t xml:space="preserve"> version 2.0, Succession 3 (30 August 2021). The sponsor did not provide an EU</w:t>
      </w:r>
      <w:r w:rsidR="00EA7F92">
        <w:t>-</w:t>
      </w:r>
      <w:r w:rsidRPr="00DC2562">
        <w:t>RMP or ASA specific for</w:t>
      </w:r>
      <w:r w:rsidRPr="00241724">
        <w:t xml:space="preserve"> this application</w:t>
      </w:r>
      <w:r w:rsidRPr="00F520F2">
        <w:t xml:space="preserve"> and stated that the proposed changes </w:t>
      </w:r>
      <w:r w:rsidR="00EA7F92">
        <w:t>‘</w:t>
      </w:r>
      <w:r w:rsidRPr="00F520F2">
        <w:t>will not results in a new or heightened risk</w:t>
      </w:r>
      <w:r w:rsidR="00EA7F92">
        <w:t>’</w:t>
      </w:r>
      <w:r w:rsidRPr="00F520F2">
        <w:t xml:space="preserve">. </w:t>
      </w:r>
      <w:r w:rsidRPr="00DC2562">
        <w:t xml:space="preserve">Previously evaluated EU-RMP version 3.0, Succession 3 and ASA version 2.0, </w:t>
      </w:r>
      <w:r w:rsidRPr="00F520F2">
        <w:t>Succession 3 are considered applicable to this submission.</w:t>
      </w:r>
    </w:p>
    <w:p w14:paraId="0E8C313B" w14:textId="485E8888" w:rsidR="00EA7F92" w:rsidRPr="00DC2562" w:rsidRDefault="00EA7F92">
      <w:r w:rsidRPr="00EA7F92">
        <w:t xml:space="preserve">The summary of safety concerns and their associated risk monitoring and mitigation strategies are summarised in </w:t>
      </w:r>
      <w:r>
        <w:fldChar w:fldCharType="begin"/>
      </w:r>
      <w:r>
        <w:instrText xml:space="preserve"> REF _Ref94170939 \h </w:instrText>
      </w:r>
      <w:r>
        <w:fldChar w:fldCharType="separate"/>
      </w:r>
      <w:r w:rsidR="002B3478">
        <w:t xml:space="preserve">Table </w:t>
      </w:r>
      <w:r w:rsidR="002B3478">
        <w:rPr>
          <w:noProof/>
        </w:rPr>
        <w:t>4</w:t>
      </w:r>
      <w:r>
        <w:fldChar w:fldCharType="end"/>
      </w:r>
      <w:r w:rsidRPr="00DC2562">
        <w:t>.</w:t>
      </w:r>
      <w:r w:rsidRPr="00F520F2">
        <w:rPr>
          <w:vertAlign w:val="superscript"/>
        </w:rPr>
        <w:footnoteReference w:id="23"/>
      </w:r>
    </w:p>
    <w:p w14:paraId="6460623F" w14:textId="4773DCE8" w:rsidR="00EA7F92" w:rsidRDefault="00EA7F92" w:rsidP="00EA7F92">
      <w:pPr>
        <w:pStyle w:val="TableTitle"/>
      </w:pPr>
      <w:bookmarkStart w:id="51" w:name="_Ref94170939"/>
      <w:r>
        <w:lastRenderedPageBreak/>
        <w:t xml:space="preserve">Table </w:t>
      </w:r>
      <w:r w:rsidR="00000000">
        <w:fldChar w:fldCharType="begin"/>
      </w:r>
      <w:r w:rsidR="00000000">
        <w:instrText xml:space="preserve"> SEQ Table \* ARABIC </w:instrText>
      </w:r>
      <w:r w:rsidR="00000000">
        <w:fldChar w:fldCharType="separate"/>
      </w:r>
      <w:r w:rsidR="002B3478">
        <w:rPr>
          <w:noProof/>
        </w:rPr>
        <w:t>4</w:t>
      </w:r>
      <w:r w:rsidR="00000000">
        <w:rPr>
          <w:noProof/>
        </w:rPr>
        <w:fldChar w:fldCharType="end"/>
      </w:r>
      <w:bookmarkEnd w:id="51"/>
      <w:r>
        <w:t>: S</w:t>
      </w:r>
      <w:r w:rsidRPr="00456E37">
        <w:t>ummary of safety concerns</w:t>
      </w:r>
    </w:p>
    <w:tbl>
      <w:tblPr>
        <w:tblStyle w:val="TableTGAblue"/>
        <w:tblW w:w="8212" w:type="dxa"/>
        <w:tblLayout w:type="fixed"/>
        <w:tblLook w:val="04A0" w:firstRow="1" w:lastRow="0" w:firstColumn="1" w:lastColumn="0" w:noHBand="0" w:noVBand="1"/>
      </w:tblPr>
      <w:tblGrid>
        <w:gridCol w:w="1413"/>
        <w:gridCol w:w="2656"/>
        <w:gridCol w:w="968"/>
        <w:gridCol w:w="1104"/>
        <w:gridCol w:w="967"/>
        <w:gridCol w:w="1104"/>
      </w:tblGrid>
      <w:tr w:rsidR="00EA7F92" w:rsidRPr="00BF52F4" w14:paraId="776EE41A" w14:textId="77777777" w:rsidTr="007C7EA9">
        <w:trPr>
          <w:cnfStyle w:val="100000000000" w:firstRow="1" w:lastRow="0" w:firstColumn="0" w:lastColumn="0" w:oddVBand="0" w:evenVBand="0" w:oddHBand="0" w:evenHBand="0" w:firstRowFirstColumn="0" w:firstRowLastColumn="0" w:lastRowFirstColumn="0" w:lastRowLastColumn="0"/>
          <w:trHeight w:val="131"/>
        </w:trPr>
        <w:tc>
          <w:tcPr>
            <w:tcW w:w="4069" w:type="dxa"/>
            <w:gridSpan w:val="2"/>
            <w:vMerge w:val="restart"/>
            <w:tcBorders>
              <w:top w:val="single" w:sz="4" w:space="0" w:color="auto"/>
              <w:left w:val="single" w:sz="4" w:space="0" w:color="auto"/>
              <w:bottom w:val="single" w:sz="4" w:space="0" w:color="auto"/>
              <w:right w:val="single" w:sz="4" w:space="0" w:color="auto"/>
            </w:tcBorders>
          </w:tcPr>
          <w:p w14:paraId="33C1061C" w14:textId="77777777" w:rsidR="00EA7F92" w:rsidRPr="00EA7F92" w:rsidRDefault="00EA7F92" w:rsidP="00F520F2">
            <w:pPr>
              <w:pStyle w:val="Tabletext"/>
              <w:ind w:left="0" w:right="0"/>
              <w:rPr>
                <w:b w:val="0"/>
              </w:rPr>
            </w:pPr>
            <w:r w:rsidRPr="00DC2562">
              <w:t>Summary o</w:t>
            </w:r>
            <w:r w:rsidRPr="00241724">
              <w:t>f safety concerns</w:t>
            </w:r>
          </w:p>
        </w:tc>
        <w:tc>
          <w:tcPr>
            <w:tcW w:w="2072" w:type="dxa"/>
            <w:gridSpan w:val="2"/>
            <w:tcBorders>
              <w:top w:val="single" w:sz="4" w:space="0" w:color="auto"/>
              <w:left w:val="single" w:sz="4" w:space="0" w:color="auto"/>
              <w:bottom w:val="single" w:sz="4" w:space="0" w:color="auto"/>
              <w:right w:val="single" w:sz="4" w:space="0" w:color="auto"/>
            </w:tcBorders>
          </w:tcPr>
          <w:p w14:paraId="0F141D51" w14:textId="77777777" w:rsidR="00EA7F92" w:rsidRPr="00EA7F92" w:rsidRDefault="00EA7F92" w:rsidP="00F520F2">
            <w:pPr>
              <w:pStyle w:val="Tabletext"/>
              <w:ind w:left="0" w:right="0"/>
              <w:rPr>
                <w:b w:val="0"/>
                <w:sz w:val="18"/>
              </w:rPr>
            </w:pPr>
            <w:r w:rsidRPr="00EA7F92">
              <w:rPr>
                <w:sz w:val="18"/>
              </w:rPr>
              <w:t>Pharmacovigilance</w:t>
            </w:r>
          </w:p>
        </w:tc>
        <w:tc>
          <w:tcPr>
            <w:tcW w:w="2071" w:type="dxa"/>
            <w:gridSpan w:val="2"/>
            <w:tcBorders>
              <w:top w:val="single" w:sz="4" w:space="0" w:color="auto"/>
              <w:left w:val="single" w:sz="4" w:space="0" w:color="auto"/>
              <w:bottom w:val="single" w:sz="4" w:space="0" w:color="auto"/>
              <w:right w:val="single" w:sz="4" w:space="0" w:color="auto"/>
            </w:tcBorders>
          </w:tcPr>
          <w:p w14:paraId="11B5684C" w14:textId="68B59317" w:rsidR="00EA7F92" w:rsidRPr="00241724" w:rsidRDefault="00EA7F92" w:rsidP="00F520F2">
            <w:pPr>
              <w:pStyle w:val="Tabletext"/>
              <w:ind w:left="0" w:right="0"/>
              <w:rPr>
                <w:b w:val="0"/>
                <w:sz w:val="18"/>
              </w:rPr>
            </w:pPr>
            <w:r w:rsidRPr="00EA7F92">
              <w:rPr>
                <w:sz w:val="18"/>
              </w:rPr>
              <w:t xml:space="preserve">Risk </w:t>
            </w:r>
            <w:r>
              <w:rPr>
                <w:sz w:val="18"/>
              </w:rPr>
              <w:t>m</w:t>
            </w:r>
            <w:r w:rsidRPr="00DC2562">
              <w:rPr>
                <w:sz w:val="18"/>
              </w:rPr>
              <w:t>inimisation</w:t>
            </w:r>
          </w:p>
        </w:tc>
      </w:tr>
      <w:tr w:rsidR="00EA7F92" w:rsidRPr="00BF52F4" w14:paraId="19B22351" w14:textId="77777777" w:rsidTr="007C7EA9">
        <w:trPr>
          <w:trHeight w:val="150"/>
        </w:trPr>
        <w:tc>
          <w:tcPr>
            <w:tcW w:w="4069" w:type="dxa"/>
            <w:gridSpan w:val="2"/>
            <w:vMerge/>
            <w:tcBorders>
              <w:top w:val="single" w:sz="4" w:space="0" w:color="auto"/>
              <w:left w:val="single" w:sz="4" w:space="0" w:color="auto"/>
              <w:bottom w:val="single" w:sz="4" w:space="0" w:color="auto"/>
              <w:right w:val="single" w:sz="4" w:space="0" w:color="auto"/>
            </w:tcBorders>
            <w:shd w:val="clear" w:color="auto" w:fill="006DA7"/>
          </w:tcPr>
          <w:p w14:paraId="7431B7FF" w14:textId="77777777" w:rsidR="00EA7F92" w:rsidRPr="00F520F2" w:rsidRDefault="00EA7F92" w:rsidP="00F520F2">
            <w:pPr>
              <w:pStyle w:val="Tabletext"/>
              <w:ind w:left="0" w:right="0"/>
              <w:rPr>
                <w:b/>
                <w:color w:val="FFFFFF" w:themeColor="background1"/>
              </w:rPr>
            </w:pPr>
          </w:p>
        </w:tc>
        <w:tc>
          <w:tcPr>
            <w:tcW w:w="968" w:type="dxa"/>
            <w:tcBorders>
              <w:top w:val="single" w:sz="4" w:space="0" w:color="auto"/>
              <w:left w:val="single" w:sz="4" w:space="0" w:color="auto"/>
              <w:bottom w:val="single" w:sz="4" w:space="0" w:color="auto"/>
              <w:right w:val="single" w:sz="4" w:space="0" w:color="auto"/>
            </w:tcBorders>
            <w:shd w:val="clear" w:color="auto" w:fill="006DA7"/>
          </w:tcPr>
          <w:p w14:paraId="326CA9E6" w14:textId="77777777" w:rsidR="00EA7F92" w:rsidRPr="00F520F2" w:rsidRDefault="00EA7F92" w:rsidP="00F520F2">
            <w:pPr>
              <w:pStyle w:val="Tabletext"/>
              <w:ind w:left="0" w:right="0"/>
              <w:rPr>
                <w:b/>
                <w:bCs/>
                <w:color w:val="FFFFFF" w:themeColor="background1"/>
                <w:sz w:val="18"/>
              </w:rPr>
            </w:pPr>
            <w:r w:rsidRPr="00F520F2">
              <w:rPr>
                <w:b/>
                <w:bCs/>
                <w:color w:val="FFFFFF" w:themeColor="background1"/>
                <w:sz w:val="18"/>
              </w:rPr>
              <w:t>Routine</w:t>
            </w:r>
          </w:p>
        </w:tc>
        <w:tc>
          <w:tcPr>
            <w:tcW w:w="1104" w:type="dxa"/>
            <w:tcBorders>
              <w:top w:val="single" w:sz="4" w:space="0" w:color="auto"/>
              <w:left w:val="single" w:sz="4" w:space="0" w:color="auto"/>
              <w:bottom w:val="single" w:sz="4" w:space="0" w:color="auto"/>
              <w:right w:val="single" w:sz="4" w:space="0" w:color="auto"/>
            </w:tcBorders>
            <w:shd w:val="clear" w:color="auto" w:fill="006DA7"/>
          </w:tcPr>
          <w:p w14:paraId="0DBEA490" w14:textId="77777777" w:rsidR="00EA7F92" w:rsidRPr="00F520F2" w:rsidRDefault="00EA7F92" w:rsidP="00F520F2">
            <w:pPr>
              <w:pStyle w:val="Tabletext"/>
              <w:ind w:left="0" w:right="0"/>
              <w:rPr>
                <w:b/>
                <w:bCs/>
                <w:color w:val="FFFFFF" w:themeColor="background1"/>
                <w:sz w:val="18"/>
              </w:rPr>
            </w:pPr>
            <w:r w:rsidRPr="00F520F2">
              <w:rPr>
                <w:b/>
                <w:bCs/>
                <w:color w:val="FFFFFF" w:themeColor="background1"/>
                <w:sz w:val="18"/>
              </w:rPr>
              <w:t>Additional</w:t>
            </w:r>
          </w:p>
        </w:tc>
        <w:tc>
          <w:tcPr>
            <w:tcW w:w="967" w:type="dxa"/>
            <w:tcBorders>
              <w:top w:val="single" w:sz="4" w:space="0" w:color="auto"/>
              <w:left w:val="single" w:sz="4" w:space="0" w:color="auto"/>
              <w:bottom w:val="single" w:sz="4" w:space="0" w:color="auto"/>
              <w:right w:val="single" w:sz="4" w:space="0" w:color="auto"/>
            </w:tcBorders>
            <w:shd w:val="clear" w:color="auto" w:fill="006DA7"/>
          </w:tcPr>
          <w:p w14:paraId="65BBF124" w14:textId="77777777" w:rsidR="00EA7F92" w:rsidRPr="00F520F2" w:rsidRDefault="00EA7F92" w:rsidP="00F520F2">
            <w:pPr>
              <w:pStyle w:val="Tabletext"/>
              <w:ind w:left="0" w:right="0"/>
              <w:rPr>
                <w:b/>
                <w:bCs/>
                <w:color w:val="FFFFFF" w:themeColor="background1"/>
                <w:sz w:val="18"/>
              </w:rPr>
            </w:pPr>
            <w:r w:rsidRPr="00F520F2">
              <w:rPr>
                <w:b/>
                <w:bCs/>
                <w:color w:val="FFFFFF" w:themeColor="background1"/>
                <w:sz w:val="18"/>
              </w:rPr>
              <w:t>Routine</w:t>
            </w:r>
          </w:p>
        </w:tc>
        <w:tc>
          <w:tcPr>
            <w:tcW w:w="1104" w:type="dxa"/>
            <w:tcBorders>
              <w:top w:val="single" w:sz="4" w:space="0" w:color="auto"/>
              <w:left w:val="single" w:sz="4" w:space="0" w:color="auto"/>
              <w:bottom w:val="single" w:sz="4" w:space="0" w:color="auto"/>
              <w:right w:val="single" w:sz="4" w:space="0" w:color="auto"/>
            </w:tcBorders>
            <w:shd w:val="clear" w:color="auto" w:fill="006DA7"/>
          </w:tcPr>
          <w:p w14:paraId="761EE132" w14:textId="77777777" w:rsidR="00EA7F92" w:rsidRPr="00F520F2" w:rsidRDefault="00EA7F92" w:rsidP="00F520F2">
            <w:pPr>
              <w:pStyle w:val="Tabletext"/>
              <w:ind w:left="0" w:right="0"/>
              <w:rPr>
                <w:b/>
                <w:bCs/>
                <w:color w:val="FFFFFF" w:themeColor="background1"/>
                <w:sz w:val="18"/>
              </w:rPr>
            </w:pPr>
            <w:r w:rsidRPr="00F520F2">
              <w:rPr>
                <w:b/>
                <w:bCs/>
                <w:color w:val="FFFFFF" w:themeColor="background1"/>
                <w:sz w:val="18"/>
              </w:rPr>
              <w:t>Additional</w:t>
            </w:r>
          </w:p>
        </w:tc>
      </w:tr>
      <w:tr w:rsidR="00EA7F92" w:rsidRPr="00BF52F4" w14:paraId="0DAF0A51" w14:textId="77777777" w:rsidTr="007C7EA9">
        <w:trPr>
          <w:trHeight w:val="137"/>
        </w:trPr>
        <w:tc>
          <w:tcPr>
            <w:tcW w:w="1413" w:type="dxa"/>
            <w:vMerge w:val="restart"/>
            <w:tcBorders>
              <w:top w:val="single" w:sz="4" w:space="0" w:color="auto"/>
            </w:tcBorders>
          </w:tcPr>
          <w:p w14:paraId="6201A07B" w14:textId="77777777" w:rsidR="00EA7F92" w:rsidRPr="00BF52F4" w:rsidRDefault="00EA7F92" w:rsidP="00F520F2">
            <w:pPr>
              <w:pStyle w:val="Tabletext"/>
              <w:ind w:left="0" w:right="0"/>
              <w:rPr>
                <w:b/>
              </w:rPr>
            </w:pPr>
            <w:r w:rsidRPr="00BF52F4">
              <w:rPr>
                <w:b/>
              </w:rPr>
              <w:t>Important identified risks</w:t>
            </w:r>
          </w:p>
        </w:tc>
        <w:tc>
          <w:tcPr>
            <w:tcW w:w="2656" w:type="dxa"/>
            <w:tcBorders>
              <w:top w:val="single" w:sz="4" w:space="0" w:color="auto"/>
            </w:tcBorders>
          </w:tcPr>
          <w:p w14:paraId="73768884" w14:textId="77777777" w:rsidR="00EA7F92" w:rsidRPr="00BF52F4" w:rsidRDefault="00EA7F92" w:rsidP="00F520F2">
            <w:pPr>
              <w:pStyle w:val="Tabletext"/>
              <w:ind w:left="0" w:right="0"/>
            </w:pPr>
            <w:r>
              <w:t>Thrombosis with thrombocytopenia syndrome</w:t>
            </w:r>
          </w:p>
        </w:tc>
        <w:tc>
          <w:tcPr>
            <w:tcW w:w="968" w:type="dxa"/>
            <w:tcBorders>
              <w:top w:val="single" w:sz="4" w:space="0" w:color="auto"/>
            </w:tcBorders>
          </w:tcPr>
          <w:p w14:paraId="25601722" w14:textId="77777777" w:rsidR="00EA7F92" w:rsidRPr="00BF52F4" w:rsidRDefault="00EA7F92" w:rsidP="00F520F2">
            <w:pPr>
              <w:pStyle w:val="Tabletext"/>
              <w:ind w:left="0" w:right="0"/>
              <w:jc w:val="center"/>
              <w:rPr>
                <w:color w:val="00B050"/>
              </w:rPr>
            </w:pPr>
            <w:r w:rsidRPr="00DE1F06">
              <w:sym w:font="Wingdings" w:char="F0FC"/>
            </w:r>
            <w:r w:rsidRPr="00DE1F06">
              <w:rPr>
                <w:vertAlign w:val="superscript"/>
              </w:rPr>
              <w:t>1</w:t>
            </w:r>
          </w:p>
        </w:tc>
        <w:tc>
          <w:tcPr>
            <w:tcW w:w="1104" w:type="dxa"/>
            <w:tcBorders>
              <w:top w:val="single" w:sz="4" w:space="0" w:color="auto"/>
            </w:tcBorders>
          </w:tcPr>
          <w:p w14:paraId="72642B78" w14:textId="77777777" w:rsidR="00EA7F92" w:rsidRPr="00BF52F4" w:rsidRDefault="00EA7F92" w:rsidP="00F520F2">
            <w:pPr>
              <w:pStyle w:val="Tabletext"/>
              <w:ind w:left="0" w:right="0"/>
              <w:jc w:val="center"/>
              <w:rPr>
                <w:color w:val="00B050"/>
              </w:rPr>
            </w:pPr>
            <w:r w:rsidRPr="003402C9">
              <w:sym w:font="Wingdings" w:char="F0FC"/>
            </w:r>
            <w:r>
              <w:rPr>
                <w:vertAlign w:val="superscript"/>
              </w:rPr>
              <w:t>3,4,5,6,9</w:t>
            </w:r>
          </w:p>
        </w:tc>
        <w:tc>
          <w:tcPr>
            <w:tcW w:w="967" w:type="dxa"/>
            <w:tcBorders>
              <w:top w:val="single" w:sz="4" w:space="0" w:color="auto"/>
            </w:tcBorders>
          </w:tcPr>
          <w:p w14:paraId="07E49CAC" w14:textId="77777777" w:rsidR="00EA7F92" w:rsidRPr="00BF52F4" w:rsidRDefault="00EA7F92" w:rsidP="00F520F2">
            <w:pPr>
              <w:pStyle w:val="Tabletext"/>
              <w:ind w:left="0" w:right="0"/>
              <w:jc w:val="center"/>
              <w:rPr>
                <w:color w:val="00B050"/>
              </w:rPr>
            </w:pPr>
            <w:r w:rsidRPr="000C3459">
              <w:sym w:font="Wingdings" w:char="F0FC"/>
            </w:r>
          </w:p>
        </w:tc>
        <w:tc>
          <w:tcPr>
            <w:tcW w:w="1104" w:type="dxa"/>
            <w:tcBorders>
              <w:top w:val="single" w:sz="4" w:space="0" w:color="auto"/>
            </w:tcBorders>
          </w:tcPr>
          <w:p w14:paraId="685B328C" w14:textId="77777777" w:rsidR="00EA7F92" w:rsidRPr="00BF52F4" w:rsidRDefault="00EA7F92" w:rsidP="00F520F2">
            <w:pPr>
              <w:pStyle w:val="Tabletext"/>
              <w:ind w:left="0" w:right="0"/>
              <w:jc w:val="center"/>
              <w:rPr>
                <w:color w:val="00B050"/>
              </w:rPr>
            </w:pPr>
            <w:r w:rsidRPr="000C3459">
              <w:t>–</w:t>
            </w:r>
          </w:p>
        </w:tc>
      </w:tr>
      <w:tr w:rsidR="00EA7F92" w:rsidRPr="00BF52F4" w14:paraId="70E2022B" w14:textId="77777777" w:rsidTr="007C7EA9">
        <w:trPr>
          <w:trHeight w:val="94"/>
        </w:trPr>
        <w:tc>
          <w:tcPr>
            <w:tcW w:w="1413" w:type="dxa"/>
            <w:vMerge/>
          </w:tcPr>
          <w:p w14:paraId="0F2B76A8" w14:textId="77777777" w:rsidR="00EA7F92" w:rsidRPr="00BF52F4" w:rsidRDefault="00EA7F92" w:rsidP="00F520F2">
            <w:pPr>
              <w:pStyle w:val="Tabletext"/>
              <w:ind w:left="0" w:right="0"/>
              <w:rPr>
                <w:b/>
              </w:rPr>
            </w:pPr>
          </w:p>
        </w:tc>
        <w:tc>
          <w:tcPr>
            <w:tcW w:w="2656" w:type="dxa"/>
          </w:tcPr>
          <w:p w14:paraId="1173CB79" w14:textId="77777777" w:rsidR="00EA7F92" w:rsidRPr="00BF52F4" w:rsidRDefault="00EA7F92" w:rsidP="00F520F2">
            <w:pPr>
              <w:pStyle w:val="Tabletext"/>
              <w:ind w:left="0" w:right="0"/>
            </w:pPr>
            <w:r>
              <w:t xml:space="preserve">Anaphylaxis </w:t>
            </w:r>
          </w:p>
        </w:tc>
        <w:tc>
          <w:tcPr>
            <w:tcW w:w="968" w:type="dxa"/>
          </w:tcPr>
          <w:p w14:paraId="22519C87" w14:textId="77777777" w:rsidR="00EA7F92" w:rsidRPr="00BF52F4" w:rsidRDefault="00EA7F92" w:rsidP="00F520F2">
            <w:pPr>
              <w:pStyle w:val="Tabletext"/>
              <w:ind w:left="0" w:right="0"/>
              <w:jc w:val="center"/>
              <w:rPr>
                <w:color w:val="00B050"/>
              </w:rPr>
            </w:pPr>
            <w:r w:rsidRPr="00DE1F06">
              <w:sym w:font="Wingdings" w:char="F0FC"/>
            </w:r>
            <w:r w:rsidRPr="00DE1F06">
              <w:rPr>
                <w:vertAlign w:val="superscript"/>
              </w:rPr>
              <w:t>1</w:t>
            </w:r>
          </w:p>
        </w:tc>
        <w:tc>
          <w:tcPr>
            <w:tcW w:w="1104" w:type="dxa"/>
          </w:tcPr>
          <w:p w14:paraId="2FEEAA08" w14:textId="77777777" w:rsidR="00EA7F92" w:rsidRPr="00BF52F4" w:rsidRDefault="00EA7F92" w:rsidP="00F520F2">
            <w:pPr>
              <w:pStyle w:val="Tabletext"/>
              <w:ind w:left="0" w:right="0"/>
              <w:jc w:val="center"/>
              <w:rPr>
                <w:color w:val="00B050"/>
              </w:rPr>
            </w:pPr>
            <w:r w:rsidRPr="003402C9">
              <w:sym w:font="Wingdings" w:char="F0FC"/>
            </w:r>
            <w:r>
              <w:rPr>
                <w:vertAlign w:val="superscript"/>
              </w:rPr>
              <w:t>4,5,6</w:t>
            </w:r>
          </w:p>
        </w:tc>
        <w:tc>
          <w:tcPr>
            <w:tcW w:w="967" w:type="dxa"/>
          </w:tcPr>
          <w:p w14:paraId="71FDB737" w14:textId="77777777" w:rsidR="00EA7F92" w:rsidRPr="00BF52F4" w:rsidRDefault="00EA7F92" w:rsidP="00F520F2">
            <w:pPr>
              <w:pStyle w:val="Tabletext"/>
              <w:ind w:left="0" w:right="0"/>
              <w:jc w:val="center"/>
              <w:rPr>
                <w:color w:val="00B050"/>
              </w:rPr>
            </w:pPr>
            <w:r w:rsidRPr="000C3459">
              <w:sym w:font="Wingdings" w:char="F0FC"/>
            </w:r>
          </w:p>
        </w:tc>
        <w:tc>
          <w:tcPr>
            <w:tcW w:w="1104" w:type="dxa"/>
          </w:tcPr>
          <w:p w14:paraId="2D6AAFAB" w14:textId="77777777" w:rsidR="00EA7F92" w:rsidRPr="00BF52F4" w:rsidRDefault="00EA7F92" w:rsidP="00F520F2">
            <w:pPr>
              <w:pStyle w:val="Tabletext"/>
              <w:ind w:left="0" w:right="0"/>
              <w:jc w:val="center"/>
              <w:rPr>
                <w:color w:val="00B050"/>
              </w:rPr>
            </w:pPr>
            <w:r w:rsidRPr="000C3459">
              <w:t>–</w:t>
            </w:r>
          </w:p>
        </w:tc>
      </w:tr>
      <w:tr w:rsidR="00EA7F92" w:rsidRPr="00BF52F4" w14:paraId="192FA4BC" w14:textId="77777777" w:rsidTr="007C7EA9">
        <w:trPr>
          <w:trHeight w:val="159"/>
        </w:trPr>
        <w:tc>
          <w:tcPr>
            <w:tcW w:w="1413" w:type="dxa"/>
            <w:vMerge w:val="restart"/>
          </w:tcPr>
          <w:p w14:paraId="297A1DAA" w14:textId="77777777" w:rsidR="00EA7F92" w:rsidRPr="00BF52F4" w:rsidRDefault="00EA7F92" w:rsidP="00F520F2">
            <w:pPr>
              <w:pStyle w:val="Tabletext"/>
              <w:ind w:left="0" w:right="0"/>
              <w:rPr>
                <w:b/>
              </w:rPr>
            </w:pPr>
            <w:r w:rsidRPr="00BF52F4">
              <w:rPr>
                <w:b/>
              </w:rPr>
              <w:t>Important potential risks</w:t>
            </w:r>
          </w:p>
        </w:tc>
        <w:tc>
          <w:tcPr>
            <w:tcW w:w="2656" w:type="dxa"/>
          </w:tcPr>
          <w:p w14:paraId="4CD0C7EB" w14:textId="77777777" w:rsidR="00EA7F92" w:rsidRPr="00BF52F4" w:rsidRDefault="00EA7F92" w:rsidP="00F520F2">
            <w:pPr>
              <w:pStyle w:val="Tabletext"/>
              <w:ind w:left="0" w:right="0"/>
            </w:pPr>
            <w:r>
              <w:t xml:space="preserve">Thrombosis </w:t>
            </w:r>
          </w:p>
        </w:tc>
        <w:tc>
          <w:tcPr>
            <w:tcW w:w="968" w:type="dxa"/>
          </w:tcPr>
          <w:p w14:paraId="00924EF4" w14:textId="77777777" w:rsidR="00EA7F92" w:rsidRPr="00BF52F4" w:rsidRDefault="00EA7F92" w:rsidP="00F520F2">
            <w:pPr>
              <w:pStyle w:val="Tabletext"/>
              <w:ind w:left="0" w:right="0"/>
              <w:jc w:val="center"/>
              <w:rPr>
                <w:color w:val="00B050"/>
              </w:rPr>
            </w:pPr>
            <w:r w:rsidRPr="00DE1F06">
              <w:sym w:font="Wingdings" w:char="F0FC"/>
            </w:r>
            <w:r w:rsidRPr="00DE1F06">
              <w:rPr>
                <w:vertAlign w:val="superscript"/>
              </w:rPr>
              <w:t>1</w:t>
            </w:r>
          </w:p>
        </w:tc>
        <w:tc>
          <w:tcPr>
            <w:tcW w:w="1104" w:type="dxa"/>
          </w:tcPr>
          <w:p w14:paraId="07EB8C2F" w14:textId="77777777" w:rsidR="00EA7F92" w:rsidRPr="00BF52F4" w:rsidRDefault="00EA7F92" w:rsidP="00F520F2">
            <w:pPr>
              <w:pStyle w:val="Tabletext"/>
              <w:ind w:left="0" w:right="0"/>
              <w:jc w:val="center"/>
              <w:rPr>
                <w:color w:val="00B050"/>
              </w:rPr>
            </w:pPr>
            <w:r w:rsidRPr="003402C9">
              <w:sym w:font="Wingdings" w:char="F0FC"/>
            </w:r>
            <w:r>
              <w:rPr>
                <w:vertAlign w:val="superscript"/>
              </w:rPr>
              <w:t>4,5,6</w:t>
            </w:r>
          </w:p>
        </w:tc>
        <w:tc>
          <w:tcPr>
            <w:tcW w:w="967" w:type="dxa"/>
          </w:tcPr>
          <w:p w14:paraId="726D9AA0" w14:textId="77777777" w:rsidR="00EA7F92" w:rsidRPr="00BF52F4" w:rsidRDefault="00EA7F92" w:rsidP="00F520F2">
            <w:pPr>
              <w:pStyle w:val="Tabletext"/>
              <w:ind w:left="0" w:right="0"/>
              <w:jc w:val="center"/>
              <w:rPr>
                <w:color w:val="00B050"/>
              </w:rPr>
            </w:pPr>
            <w:r w:rsidRPr="000C3459">
              <w:sym w:font="Wingdings" w:char="F0FC"/>
            </w:r>
          </w:p>
        </w:tc>
        <w:tc>
          <w:tcPr>
            <w:tcW w:w="1104" w:type="dxa"/>
          </w:tcPr>
          <w:p w14:paraId="71D1D044" w14:textId="77777777" w:rsidR="00EA7F92" w:rsidRPr="00BF52F4" w:rsidRDefault="00EA7F92" w:rsidP="00F520F2">
            <w:pPr>
              <w:pStyle w:val="Tabletext"/>
              <w:ind w:left="0" w:right="0"/>
              <w:jc w:val="center"/>
              <w:rPr>
                <w:color w:val="00B050"/>
              </w:rPr>
            </w:pPr>
            <w:r w:rsidRPr="000C3459">
              <w:t>–</w:t>
            </w:r>
          </w:p>
        </w:tc>
      </w:tr>
      <w:tr w:rsidR="00EA7F92" w:rsidRPr="00BF52F4" w14:paraId="7F743D72" w14:textId="77777777" w:rsidTr="007C7EA9">
        <w:trPr>
          <w:trHeight w:val="122"/>
        </w:trPr>
        <w:tc>
          <w:tcPr>
            <w:tcW w:w="1413" w:type="dxa"/>
            <w:vMerge/>
          </w:tcPr>
          <w:p w14:paraId="53CF86A7" w14:textId="77777777" w:rsidR="00EA7F92" w:rsidRPr="00BF52F4" w:rsidRDefault="00EA7F92" w:rsidP="00F520F2">
            <w:pPr>
              <w:pStyle w:val="Tabletext"/>
              <w:ind w:left="0" w:right="0"/>
              <w:rPr>
                <w:b/>
              </w:rPr>
            </w:pPr>
          </w:p>
        </w:tc>
        <w:tc>
          <w:tcPr>
            <w:tcW w:w="2656" w:type="dxa"/>
          </w:tcPr>
          <w:p w14:paraId="5B6DA403" w14:textId="77777777" w:rsidR="00EA7F92" w:rsidRPr="00BF52F4" w:rsidRDefault="00EA7F92" w:rsidP="00F520F2">
            <w:pPr>
              <w:pStyle w:val="Tabletext"/>
              <w:ind w:left="0" w:right="0"/>
            </w:pPr>
            <w:r>
              <w:t xml:space="preserve">Nervous system disorders, including immune-mediated neurological conditions </w:t>
            </w:r>
          </w:p>
        </w:tc>
        <w:tc>
          <w:tcPr>
            <w:tcW w:w="968" w:type="dxa"/>
          </w:tcPr>
          <w:p w14:paraId="1839DDC9" w14:textId="77777777" w:rsidR="00EA7F92" w:rsidRPr="00BF52F4" w:rsidRDefault="00EA7F92" w:rsidP="00F520F2">
            <w:pPr>
              <w:pStyle w:val="Tabletext"/>
              <w:ind w:left="0" w:right="0"/>
              <w:jc w:val="center"/>
              <w:rPr>
                <w:color w:val="00B050"/>
              </w:rPr>
            </w:pPr>
            <w:r w:rsidRPr="00DE1F06">
              <w:sym w:font="Wingdings" w:char="F0FC"/>
            </w:r>
            <w:r>
              <w:rPr>
                <w:vertAlign w:val="superscript"/>
              </w:rPr>
              <w:t>2</w:t>
            </w:r>
          </w:p>
        </w:tc>
        <w:tc>
          <w:tcPr>
            <w:tcW w:w="1104" w:type="dxa"/>
          </w:tcPr>
          <w:p w14:paraId="7EFE2190" w14:textId="77777777" w:rsidR="00EA7F92" w:rsidRPr="00BF52F4" w:rsidRDefault="00EA7F92" w:rsidP="00F520F2">
            <w:pPr>
              <w:pStyle w:val="Tabletext"/>
              <w:ind w:left="0" w:right="0"/>
              <w:jc w:val="center"/>
              <w:rPr>
                <w:color w:val="00B050"/>
              </w:rPr>
            </w:pPr>
            <w:r w:rsidRPr="003402C9">
              <w:sym w:font="Wingdings" w:char="F0FC"/>
            </w:r>
            <w:r>
              <w:rPr>
                <w:vertAlign w:val="superscript"/>
              </w:rPr>
              <w:t>4,5,6</w:t>
            </w:r>
          </w:p>
        </w:tc>
        <w:tc>
          <w:tcPr>
            <w:tcW w:w="967" w:type="dxa"/>
          </w:tcPr>
          <w:p w14:paraId="765A7E55" w14:textId="77777777" w:rsidR="00EA7F92" w:rsidRPr="00BF52F4" w:rsidRDefault="00EA7F92" w:rsidP="00F520F2">
            <w:pPr>
              <w:pStyle w:val="Tabletext"/>
              <w:ind w:left="0" w:right="0"/>
              <w:jc w:val="center"/>
              <w:rPr>
                <w:color w:val="00B050"/>
              </w:rPr>
            </w:pPr>
            <w:r w:rsidRPr="000C3459">
              <w:t>–</w:t>
            </w:r>
          </w:p>
        </w:tc>
        <w:tc>
          <w:tcPr>
            <w:tcW w:w="1104" w:type="dxa"/>
          </w:tcPr>
          <w:p w14:paraId="08AD67D0" w14:textId="77777777" w:rsidR="00EA7F92" w:rsidRPr="00BF52F4" w:rsidRDefault="00EA7F92" w:rsidP="00F520F2">
            <w:pPr>
              <w:pStyle w:val="Tabletext"/>
              <w:ind w:left="0" w:right="0"/>
              <w:jc w:val="center"/>
              <w:rPr>
                <w:color w:val="00B050"/>
              </w:rPr>
            </w:pPr>
            <w:r w:rsidRPr="000C3459">
              <w:t>–</w:t>
            </w:r>
          </w:p>
        </w:tc>
      </w:tr>
      <w:tr w:rsidR="00EA7F92" w:rsidRPr="00BF52F4" w14:paraId="208F9D1C" w14:textId="77777777" w:rsidTr="007C7EA9">
        <w:trPr>
          <w:trHeight w:val="112"/>
        </w:trPr>
        <w:tc>
          <w:tcPr>
            <w:tcW w:w="1413" w:type="dxa"/>
            <w:vMerge/>
          </w:tcPr>
          <w:p w14:paraId="29664908" w14:textId="77777777" w:rsidR="00EA7F92" w:rsidRPr="00BF52F4" w:rsidRDefault="00EA7F92" w:rsidP="00F520F2">
            <w:pPr>
              <w:pStyle w:val="Tabletext"/>
              <w:ind w:left="0" w:right="0"/>
              <w:rPr>
                <w:b/>
              </w:rPr>
            </w:pPr>
          </w:p>
        </w:tc>
        <w:tc>
          <w:tcPr>
            <w:tcW w:w="2656" w:type="dxa"/>
          </w:tcPr>
          <w:p w14:paraId="540C933E" w14:textId="77777777" w:rsidR="00EA7F92" w:rsidRPr="00BF52F4" w:rsidRDefault="00EA7F92" w:rsidP="00F520F2">
            <w:pPr>
              <w:pStyle w:val="Tabletext"/>
              <w:ind w:left="0" w:right="0"/>
            </w:pPr>
            <w:r>
              <w:t>Vaccine-associated enhanced disease (VAED), including vaccine associated enhanced respiratory disease (VAERD)</w:t>
            </w:r>
          </w:p>
        </w:tc>
        <w:tc>
          <w:tcPr>
            <w:tcW w:w="968" w:type="dxa"/>
          </w:tcPr>
          <w:p w14:paraId="01799B7A" w14:textId="77777777" w:rsidR="00EA7F92" w:rsidRPr="00BF52F4" w:rsidRDefault="00EA7F92" w:rsidP="00F520F2">
            <w:pPr>
              <w:pStyle w:val="Tabletext"/>
              <w:ind w:left="0" w:right="0"/>
              <w:jc w:val="center"/>
              <w:rPr>
                <w:color w:val="00B050"/>
              </w:rPr>
            </w:pPr>
            <w:r w:rsidRPr="00DE1F06">
              <w:sym w:font="Wingdings" w:char="F0FC"/>
            </w:r>
            <w:r w:rsidRPr="00DE1F06">
              <w:rPr>
                <w:vertAlign w:val="superscript"/>
              </w:rPr>
              <w:t>1</w:t>
            </w:r>
          </w:p>
        </w:tc>
        <w:tc>
          <w:tcPr>
            <w:tcW w:w="1104" w:type="dxa"/>
          </w:tcPr>
          <w:p w14:paraId="314E44A7" w14:textId="77777777" w:rsidR="00EA7F92" w:rsidRPr="00BF52F4" w:rsidRDefault="00EA7F92" w:rsidP="00F520F2">
            <w:pPr>
              <w:pStyle w:val="Tabletext"/>
              <w:ind w:left="0" w:right="0"/>
              <w:jc w:val="center"/>
              <w:rPr>
                <w:color w:val="00B050"/>
              </w:rPr>
            </w:pPr>
            <w:r w:rsidRPr="003402C9">
              <w:sym w:font="Wingdings" w:char="F0FC"/>
            </w:r>
            <w:r>
              <w:rPr>
                <w:vertAlign w:val="superscript"/>
              </w:rPr>
              <w:t>4,5,6</w:t>
            </w:r>
          </w:p>
        </w:tc>
        <w:tc>
          <w:tcPr>
            <w:tcW w:w="967" w:type="dxa"/>
          </w:tcPr>
          <w:p w14:paraId="22AC9064" w14:textId="77777777" w:rsidR="00EA7F92" w:rsidRPr="00BF52F4" w:rsidRDefault="00EA7F92" w:rsidP="00F520F2">
            <w:pPr>
              <w:pStyle w:val="Tabletext"/>
              <w:ind w:left="0" w:right="0"/>
              <w:jc w:val="center"/>
              <w:rPr>
                <w:color w:val="00B050"/>
              </w:rPr>
            </w:pPr>
            <w:r w:rsidRPr="000C3459">
              <w:t>–</w:t>
            </w:r>
          </w:p>
        </w:tc>
        <w:tc>
          <w:tcPr>
            <w:tcW w:w="1104" w:type="dxa"/>
          </w:tcPr>
          <w:p w14:paraId="512C0383" w14:textId="77777777" w:rsidR="00EA7F92" w:rsidRPr="00BF52F4" w:rsidRDefault="00EA7F92" w:rsidP="00F520F2">
            <w:pPr>
              <w:pStyle w:val="Tabletext"/>
              <w:ind w:left="0" w:right="0"/>
              <w:jc w:val="center"/>
              <w:rPr>
                <w:color w:val="00B050"/>
              </w:rPr>
            </w:pPr>
            <w:r w:rsidRPr="000C3459">
              <w:t>–</w:t>
            </w:r>
          </w:p>
        </w:tc>
      </w:tr>
      <w:tr w:rsidR="00EA7F92" w:rsidRPr="00BF52F4" w14:paraId="739683E4" w14:textId="77777777" w:rsidTr="007C7EA9">
        <w:trPr>
          <w:trHeight w:val="178"/>
        </w:trPr>
        <w:tc>
          <w:tcPr>
            <w:tcW w:w="1413" w:type="dxa"/>
            <w:vMerge w:val="restart"/>
          </w:tcPr>
          <w:p w14:paraId="408AF52B" w14:textId="77777777" w:rsidR="00EA7F92" w:rsidRPr="00BF52F4" w:rsidRDefault="00EA7F92" w:rsidP="00F520F2">
            <w:pPr>
              <w:pStyle w:val="Tabletext"/>
              <w:ind w:left="0" w:right="0"/>
              <w:rPr>
                <w:b/>
              </w:rPr>
            </w:pPr>
            <w:r w:rsidRPr="00BF52F4">
              <w:rPr>
                <w:b/>
              </w:rPr>
              <w:t>Missing information</w:t>
            </w:r>
          </w:p>
        </w:tc>
        <w:tc>
          <w:tcPr>
            <w:tcW w:w="2656" w:type="dxa"/>
          </w:tcPr>
          <w:p w14:paraId="2DEC3CBA" w14:textId="77777777" w:rsidR="00EA7F92" w:rsidRPr="00BF52F4" w:rsidRDefault="00EA7F92" w:rsidP="00F520F2">
            <w:pPr>
              <w:pStyle w:val="Tabletext"/>
              <w:ind w:left="0" w:right="0"/>
            </w:pPr>
            <w:r w:rsidRPr="00BC6BC3">
              <w:rPr>
                <w:rFonts w:hint="eastAsia"/>
              </w:rPr>
              <w:t>Use during pregnancy and while breastfeeding</w:t>
            </w:r>
          </w:p>
        </w:tc>
        <w:tc>
          <w:tcPr>
            <w:tcW w:w="968" w:type="dxa"/>
          </w:tcPr>
          <w:p w14:paraId="5AE277B2" w14:textId="77777777" w:rsidR="00EA7F92" w:rsidRPr="00BF52F4" w:rsidRDefault="00EA7F92" w:rsidP="00F520F2">
            <w:pPr>
              <w:pStyle w:val="Tabletext"/>
              <w:ind w:left="0" w:right="0"/>
              <w:jc w:val="center"/>
              <w:rPr>
                <w:color w:val="00B050"/>
              </w:rPr>
            </w:pPr>
            <w:r w:rsidRPr="00DE1F06">
              <w:sym w:font="Wingdings" w:char="F0FC"/>
            </w:r>
          </w:p>
        </w:tc>
        <w:tc>
          <w:tcPr>
            <w:tcW w:w="1104" w:type="dxa"/>
          </w:tcPr>
          <w:p w14:paraId="3D16D67C" w14:textId="77777777" w:rsidR="00EA7F92" w:rsidRPr="00BF52F4" w:rsidRDefault="00EA7F92" w:rsidP="00F520F2">
            <w:pPr>
              <w:pStyle w:val="Tabletext"/>
              <w:ind w:left="0" w:right="0"/>
              <w:jc w:val="center"/>
              <w:rPr>
                <w:color w:val="00B050"/>
              </w:rPr>
            </w:pPr>
            <w:r w:rsidRPr="003402C9">
              <w:sym w:font="Wingdings" w:char="F0FC"/>
            </w:r>
            <w:r>
              <w:rPr>
                <w:vertAlign w:val="superscript"/>
              </w:rPr>
              <w:t>4,7</w:t>
            </w:r>
          </w:p>
        </w:tc>
        <w:tc>
          <w:tcPr>
            <w:tcW w:w="967" w:type="dxa"/>
          </w:tcPr>
          <w:p w14:paraId="302F1F53" w14:textId="77777777" w:rsidR="00EA7F92" w:rsidRPr="00BF52F4" w:rsidRDefault="00EA7F92" w:rsidP="00F520F2">
            <w:pPr>
              <w:pStyle w:val="Tabletext"/>
              <w:ind w:left="0" w:right="0"/>
              <w:jc w:val="center"/>
              <w:rPr>
                <w:color w:val="00B050"/>
              </w:rPr>
            </w:pPr>
            <w:r w:rsidRPr="000C3459">
              <w:sym w:font="Wingdings" w:char="F0FC"/>
            </w:r>
          </w:p>
        </w:tc>
        <w:tc>
          <w:tcPr>
            <w:tcW w:w="1104" w:type="dxa"/>
          </w:tcPr>
          <w:p w14:paraId="1AD1898C" w14:textId="77777777" w:rsidR="00EA7F92" w:rsidRPr="00BF52F4" w:rsidRDefault="00EA7F92" w:rsidP="00F520F2">
            <w:pPr>
              <w:pStyle w:val="Tabletext"/>
              <w:ind w:left="0" w:right="0"/>
              <w:jc w:val="center"/>
              <w:rPr>
                <w:color w:val="00B050"/>
              </w:rPr>
            </w:pPr>
            <w:r w:rsidRPr="000C3459">
              <w:t>–</w:t>
            </w:r>
          </w:p>
        </w:tc>
      </w:tr>
      <w:tr w:rsidR="00EA7F92" w:rsidRPr="00BF52F4" w14:paraId="4F6E8FBE" w14:textId="77777777" w:rsidTr="007C7EA9">
        <w:trPr>
          <w:trHeight w:val="103"/>
        </w:trPr>
        <w:tc>
          <w:tcPr>
            <w:tcW w:w="1413" w:type="dxa"/>
            <w:vMerge/>
          </w:tcPr>
          <w:p w14:paraId="704EBF55" w14:textId="77777777" w:rsidR="00EA7F92" w:rsidRPr="00BF52F4" w:rsidRDefault="00EA7F92" w:rsidP="00F520F2">
            <w:pPr>
              <w:pStyle w:val="Tabletext"/>
              <w:ind w:left="0" w:right="0"/>
            </w:pPr>
          </w:p>
        </w:tc>
        <w:tc>
          <w:tcPr>
            <w:tcW w:w="2656" w:type="dxa"/>
          </w:tcPr>
          <w:p w14:paraId="180F0350" w14:textId="77777777" w:rsidR="00EA7F92" w:rsidRPr="00BF52F4" w:rsidRDefault="00EA7F92" w:rsidP="00F520F2">
            <w:pPr>
              <w:pStyle w:val="Tabletext"/>
              <w:ind w:left="0" w:right="0"/>
            </w:pPr>
            <w:r w:rsidRPr="00BC6BC3">
              <w:rPr>
                <w:rFonts w:hint="eastAsia"/>
              </w:rPr>
              <w:t>Use in immunocompromised patients</w:t>
            </w:r>
          </w:p>
        </w:tc>
        <w:tc>
          <w:tcPr>
            <w:tcW w:w="968" w:type="dxa"/>
          </w:tcPr>
          <w:p w14:paraId="12FEC90A" w14:textId="77777777" w:rsidR="00EA7F92" w:rsidRPr="00BF52F4" w:rsidRDefault="00EA7F92" w:rsidP="00F520F2">
            <w:pPr>
              <w:pStyle w:val="Tabletext"/>
              <w:ind w:left="0" w:right="0"/>
              <w:jc w:val="center"/>
              <w:rPr>
                <w:color w:val="00B050"/>
              </w:rPr>
            </w:pPr>
            <w:r w:rsidRPr="00DE1F06">
              <w:sym w:font="Wingdings" w:char="F0FC"/>
            </w:r>
          </w:p>
        </w:tc>
        <w:tc>
          <w:tcPr>
            <w:tcW w:w="1104" w:type="dxa"/>
          </w:tcPr>
          <w:p w14:paraId="53734838" w14:textId="77777777" w:rsidR="00EA7F92" w:rsidRPr="00BF52F4" w:rsidRDefault="00EA7F92" w:rsidP="00F520F2">
            <w:pPr>
              <w:pStyle w:val="Tabletext"/>
              <w:ind w:left="0" w:right="0"/>
              <w:jc w:val="center"/>
              <w:rPr>
                <w:color w:val="00B050"/>
              </w:rPr>
            </w:pPr>
            <w:r w:rsidRPr="003402C9">
              <w:sym w:font="Wingdings" w:char="F0FC"/>
            </w:r>
            <w:r>
              <w:rPr>
                <w:vertAlign w:val="superscript"/>
              </w:rPr>
              <w:t>3,4,6,8</w:t>
            </w:r>
          </w:p>
        </w:tc>
        <w:tc>
          <w:tcPr>
            <w:tcW w:w="967" w:type="dxa"/>
          </w:tcPr>
          <w:p w14:paraId="08A6600B" w14:textId="77777777" w:rsidR="00EA7F92" w:rsidRPr="00BF52F4" w:rsidRDefault="00EA7F92" w:rsidP="00F520F2">
            <w:pPr>
              <w:pStyle w:val="Tabletext"/>
              <w:ind w:left="0" w:right="0"/>
              <w:jc w:val="center"/>
              <w:rPr>
                <w:color w:val="00B050"/>
              </w:rPr>
            </w:pPr>
            <w:r w:rsidRPr="000C3459">
              <w:sym w:font="Wingdings" w:char="F0FC"/>
            </w:r>
          </w:p>
        </w:tc>
        <w:tc>
          <w:tcPr>
            <w:tcW w:w="1104" w:type="dxa"/>
          </w:tcPr>
          <w:p w14:paraId="71BF3559" w14:textId="77777777" w:rsidR="00EA7F92" w:rsidRPr="00BF52F4" w:rsidRDefault="00EA7F92" w:rsidP="00F520F2">
            <w:pPr>
              <w:pStyle w:val="Tabletext"/>
              <w:ind w:left="0" w:right="0"/>
              <w:jc w:val="center"/>
              <w:rPr>
                <w:color w:val="00B050"/>
              </w:rPr>
            </w:pPr>
            <w:r w:rsidRPr="000C3459">
              <w:t>–</w:t>
            </w:r>
          </w:p>
        </w:tc>
      </w:tr>
      <w:tr w:rsidR="00EA7F92" w:rsidRPr="00BF52F4" w14:paraId="30FC62CD" w14:textId="77777777" w:rsidTr="007C7EA9">
        <w:trPr>
          <w:trHeight w:val="103"/>
        </w:trPr>
        <w:tc>
          <w:tcPr>
            <w:tcW w:w="1413" w:type="dxa"/>
            <w:vMerge/>
          </w:tcPr>
          <w:p w14:paraId="5F8D41F7" w14:textId="77777777" w:rsidR="00EA7F92" w:rsidRPr="00BF52F4" w:rsidRDefault="00EA7F92" w:rsidP="00F520F2">
            <w:pPr>
              <w:pStyle w:val="Tabletext"/>
              <w:ind w:left="0" w:right="0"/>
            </w:pPr>
          </w:p>
        </w:tc>
        <w:tc>
          <w:tcPr>
            <w:tcW w:w="2656" w:type="dxa"/>
          </w:tcPr>
          <w:p w14:paraId="492887AF" w14:textId="210A2623" w:rsidR="00EA7F92" w:rsidRPr="00BF52F4" w:rsidRDefault="00EA7F92" w:rsidP="00F520F2">
            <w:pPr>
              <w:pStyle w:val="Tabletext"/>
              <w:ind w:left="0" w:right="0"/>
            </w:pPr>
            <w:r w:rsidRPr="00BC6BC3">
              <w:rPr>
                <w:rFonts w:hint="eastAsia"/>
              </w:rPr>
              <w:t>Use in frail patients with co-morbidities (</w:t>
            </w:r>
            <w:r>
              <w:t>for example</w:t>
            </w:r>
            <w:r w:rsidRPr="00BC6BC3">
              <w:rPr>
                <w:rFonts w:hint="eastAsia"/>
              </w:rPr>
              <w:t>, chronic obstructive pulmonary disease, diabetes, chronic neurological disease, cardiovascular disorders)</w:t>
            </w:r>
          </w:p>
        </w:tc>
        <w:tc>
          <w:tcPr>
            <w:tcW w:w="968" w:type="dxa"/>
          </w:tcPr>
          <w:p w14:paraId="32EA0E14" w14:textId="77777777" w:rsidR="00EA7F92" w:rsidRPr="00BF52F4" w:rsidRDefault="00EA7F92" w:rsidP="00F520F2">
            <w:pPr>
              <w:pStyle w:val="Tabletext"/>
              <w:ind w:left="0" w:right="0"/>
              <w:jc w:val="center"/>
              <w:rPr>
                <w:color w:val="00B050"/>
              </w:rPr>
            </w:pPr>
            <w:r w:rsidRPr="00DE1F06">
              <w:sym w:font="Wingdings" w:char="F0FC"/>
            </w:r>
          </w:p>
        </w:tc>
        <w:tc>
          <w:tcPr>
            <w:tcW w:w="1104" w:type="dxa"/>
          </w:tcPr>
          <w:p w14:paraId="582AF65F" w14:textId="77777777" w:rsidR="00EA7F92" w:rsidRPr="00BF52F4" w:rsidRDefault="00EA7F92" w:rsidP="00F520F2">
            <w:pPr>
              <w:pStyle w:val="Tabletext"/>
              <w:ind w:left="0" w:right="0"/>
              <w:jc w:val="center"/>
              <w:rPr>
                <w:color w:val="00B050"/>
              </w:rPr>
            </w:pPr>
            <w:r w:rsidRPr="003402C9">
              <w:sym w:font="Wingdings" w:char="F0FC"/>
            </w:r>
            <w:r>
              <w:rPr>
                <w:vertAlign w:val="superscript"/>
              </w:rPr>
              <w:t>4</w:t>
            </w:r>
          </w:p>
        </w:tc>
        <w:tc>
          <w:tcPr>
            <w:tcW w:w="967" w:type="dxa"/>
          </w:tcPr>
          <w:p w14:paraId="033A83F1" w14:textId="77777777" w:rsidR="00EA7F92" w:rsidRPr="00BF52F4" w:rsidRDefault="00EA7F92" w:rsidP="00F520F2">
            <w:pPr>
              <w:pStyle w:val="Tabletext"/>
              <w:ind w:left="0" w:right="0"/>
              <w:jc w:val="center"/>
              <w:rPr>
                <w:color w:val="00B050"/>
              </w:rPr>
            </w:pPr>
            <w:r w:rsidRPr="000C3459">
              <w:t>–</w:t>
            </w:r>
          </w:p>
        </w:tc>
        <w:tc>
          <w:tcPr>
            <w:tcW w:w="1104" w:type="dxa"/>
          </w:tcPr>
          <w:p w14:paraId="76E45777" w14:textId="77777777" w:rsidR="00EA7F92" w:rsidRPr="00BF52F4" w:rsidRDefault="00EA7F92" w:rsidP="00F520F2">
            <w:pPr>
              <w:pStyle w:val="Tabletext"/>
              <w:ind w:left="0" w:right="0"/>
              <w:jc w:val="center"/>
              <w:rPr>
                <w:color w:val="00B050"/>
              </w:rPr>
            </w:pPr>
            <w:r w:rsidRPr="000C3459">
              <w:t>–</w:t>
            </w:r>
          </w:p>
        </w:tc>
      </w:tr>
      <w:tr w:rsidR="00EA7F92" w:rsidRPr="00BF52F4" w14:paraId="009526EE" w14:textId="77777777" w:rsidTr="007C7EA9">
        <w:trPr>
          <w:trHeight w:val="103"/>
        </w:trPr>
        <w:tc>
          <w:tcPr>
            <w:tcW w:w="1413" w:type="dxa"/>
            <w:vMerge/>
          </w:tcPr>
          <w:p w14:paraId="5D671289" w14:textId="77777777" w:rsidR="00EA7F92" w:rsidRPr="00BF52F4" w:rsidRDefault="00EA7F92" w:rsidP="00F520F2">
            <w:pPr>
              <w:pStyle w:val="Tabletext"/>
              <w:ind w:left="0" w:right="0"/>
            </w:pPr>
          </w:p>
        </w:tc>
        <w:tc>
          <w:tcPr>
            <w:tcW w:w="2656" w:type="dxa"/>
          </w:tcPr>
          <w:p w14:paraId="563EF739" w14:textId="77777777" w:rsidR="00EA7F92" w:rsidRPr="00BF52F4" w:rsidRDefault="00EA7F92" w:rsidP="00F520F2">
            <w:pPr>
              <w:pStyle w:val="Tabletext"/>
              <w:ind w:left="0" w:right="0"/>
            </w:pPr>
            <w:r w:rsidRPr="00BC6BC3">
              <w:rPr>
                <w:rFonts w:hint="eastAsia"/>
              </w:rPr>
              <w:t>Use in patients with autoimmune or inflammatory disorders</w:t>
            </w:r>
          </w:p>
        </w:tc>
        <w:tc>
          <w:tcPr>
            <w:tcW w:w="968" w:type="dxa"/>
          </w:tcPr>
          <w:p w14:paraId="489F1D4C" w14:textId="77777777" w:rsidR="00EA7F92" w:rsidRPr="00BF52F4" w:rsidRDefault="00EA7F92" w:rsidP="00F520F2">
            <w:pPr>
              <w:pStyle w:val="Tabletext"/>
              <w:ind w:left="0" w:right="0"/>
              <w:jc w:val="center"/>
              <w:rPr>
                <w:color w:val="00B050"/>
              </w:rPr>
            </w:pPr>
            <w:r w:rsidRPr="00DE1F06">
              <w:sym w:font="Wingdings" w:char="F0FC"/>
            </w:r>
          </w:p>
        </w:tc>
        <w:tc>
          <w:tcPr>
            <w:tcW w:w="1104" w:type="dxa"/>
          </w:tcPr>
          <w:p w14:paraId="1B33D36A" w14:textId="77777777" w:rsidR="00EA7F92" w:rsidRPr="00BF52F4" w:rsidRDefault="00EA7F92" w:rsidP="00F520F2">
            <w:pPr>
              <w:pStyle w:val="Tabletext"/>
              <w:ind w:left="0" w:right="0"/>
              <w:jc w:val="center"/>
              <w:rPr>
                <w:color w:val="00B050"/>
              </w:rPr>
            </w:pPr>
            <w:r w:rsidRPr="003402C9">
              <w:sym w:font="Wingdings" w:char="F0FC"/>
            </w:r>
            <w:r>
              <w:rPr>
                <w:vertAlign w:val="superscript"/>
              </w:rPr>
              <w:t>4</w:t>
            </w:r>
          </w:p>
        </w:tc>
        <w:tc>
          <w:tcPr>
            <w:tcW w:w="967" w:type="dxa"/>
          </w:tcPr>
          <w:p w14:paraId="2E424514" w14:textId="77777777" w:rsidR="00EA7F92" w:rsidRPr="00BF52F4" w:rsidRDefault="00EA7F92" w:rsidP="00F520F2">
            <w:pPr>
              <w:pStyle w:val="Tabletext"/>
              <w:ind w:left="0" w:right="0"/>
              <w:jc w:val="center"/>
              <w:rPr>
                <w:color w:val="00B050"/>
              </w:rPr>
            </w:pPr>
            <w:r w:rsidRPr="000C3459">
              <w:t>–</w:t>
            </w:r>
          </w:p>
        </w:tc>
        <w:tc>
          <w:tcPr>
            <w:tcW w:w="1104" w:type="dxa"/>
          </w:tcPr>
          <w:p w14:paraId="3F60D340" w14:textId="77777777" w:rsidR="00EA7F92" w:rsidRPr="00BF52F4" w:rsidRDefault="00EA7F92" w:rsidP="00F520F2">
            <w:pPr>
              <w:pStyle w:val="Tabletext"/>
              <w:ind w:left="0" w:right="0"/>
              <w:jc w:val="center"/>
              <w:rPr>
                <w:color w:val="00B050"/>
              </w:rPr>
            </w:pPr>
            <w:r w:rsidRPr="000C3459">
              <w:t>–</w:t>
            </w:r>
          </w:p>
        </w:tc>
      </w:tr>
      <w:tr w:rsidR="00EA7F92" w:rsidRPr="00BF52F4" w14:paraId="349F4522" w14:textId="77777777" w:rsidTr="007C7EA9">
        <w:trPr>
          <w:trHeight w:val="103"/>
        </w:trPr>
        <w:tc>
          <w:tcPr>
            <w:tcW w:w="1413" w:type="dxa"/>
            <w:vMerge/>
          </w:tcPr>
          <w:p w14:paraId="7503226B" w14:textId="77777777" w:rsidR="00EA7F92" w:rsidRPr="00BF52F4" w:rsidRDefault="00EA7F92" w:rsidP="00F520F2">
            <w:pPr>
              <w:pStyle w:val="Tabletext"/>
              <w:ind w:left="0" w:right="0"/>
            </w:pPr>
          </w:p>
        </w:tc>
        <w:tc>
          <w:tcPr>
            <w:tcW w:w="2656" w:type="dxa"/>
          </w:tcPr>
          <w:p w14:paraId="144C584A" w14:textId="77777777" w:rsidR="00EA7F92" w:rsidRPr="00BF52F4" w:rsidRDefault="00EA7F92" w:rsidP="00F520F2">
            <w:pPr>
              <w:pStyle w:val="Tabletext"/>
              <w:ind w:left="0" w:right="0"/>
            </w:pPr>
            <w:r w:rsidRPr="00BC6BC3">
              <w:rPr>
                <w:rFonts w:hint="eastAsia"/>
              </w:rPr>
              <w:t>Interactions with other vaccines</w:t>
            </w:r>
          </w:p>
        </w:tc>
        <w:tc>
          <w:tcPr>
            <w:tcW w:w="968" w:type="dxa"/>
          </w:tcPr>
          <w:p w14:paraId="4FE3BFCF" w14:textId="77777777" w:rsidR="00EA7F92" w:rsidRPr="00BF52F4" w:rsidRDefault="00EA7F92" w:rsidP="00F520F2">
            <w:pPr>
              <w:pStyle w:val="Tabletext"/>
              <w:ind w:left="0" w:right="0"/>
              <w:jc w:val="center"/>
              <w:rPr>
                <w:color w:val="00B050"/>
              </w:rPr>
            </w:pPr>
            <w:r w:rsidRPr="00DE1F06">
              <w:sym w:font="Wingdings" w:char="F0FC"/>
            </w:r>
          </w:p>
        </w:tc>
        <w:tc>
          <w:tcPr>
            <w:tcW w:w="1104" w:type="dxa"/>
          </w:tcPr>
          <w:p w14:paraId="6F42597D" w14:textId="77777777" w:rsidR="00EA7F92" w:rsidRPr="00BF52F4" w:rsidRDefault="00EA7F92" w:rsidP="00F520F2">
            <w:pPr>
              <w:pStyle w:val="Tabletext"/>
              <w:ind w:left="0" w:right="0"/>
              <w:jc w:val="center"/>
              <w:rPr>
                <w:color w:val="00B050"/>
              </w:rPr>
            </w:pPr>
            <w:r w:rsidRPr="003402C9">
              <w:sym w:font="Wingdings" w:char="F0FC"/>
            </w:r>
            <w:r>
              <w:rPr>
                <w:vertAlign w:val="superscript"/>
              </w:rPr>
              <w:t>4</w:t>
            </w:r>
          </w:p>
        </w:tc>
        <w:tc>
          <w:tcPr>
            <w:tcW w:w="967" w:type="dxa"/>
          </w:tcPr>
          <w:p w14:paraId="5F7002D3" w14:textId="77777777" w:rsidR="00EA7F92" w:rsidRPr="00BF52F4" w:rsidRDefault="00EA7F92" w:rsidP="00F520F2">
            <w:pPr>
              <w:pStyle w:val="Tabletext"/>
              <w:ind w:left="0" w:right="0"/>
              <w:jc w:val="center"/>
              <w:rPr>
                <w:color w:val="00B050"/>
              </w:rPr>
            </w:pPr>
            <w:r w:rsidRPr="000C3459">
              <w:sym w:font="Wingdings" w:char="F0FC"/>
            </w:r>
          </w:p>
        </w:tc>
        <w:tc>
          <w:tcPr>
            <w:tcW w:w="1104" w:type="dxa"/>
          </w:tcPr>
          <w:p w14:paraId="67294093" w14:textId="77777777" w:rsidR="00EA7F92" w:rsidRPr="00BF52F4" w:rsidRDefault="00EA7F92" w:rsidP="00F520F2">
            <w:pPr>
              <w:pStyle w:val="Tabletext"/>
              <w:ind w:left="0" w:right="0"/>
              <w:jc w:val="center"/>
              <w:rPr>
                <w:color w:val="00B050"/>
              </w:rPr>
            </w:pPr>
            <w:r w:rsidRPr="000C3459">
              <w:t>–</w:t>
            </w:r>
          </w:p>
        </w:tc>
      </w:tr>
      <w:tr w:rsidR="00EA7F92" w:rsidRPr="00BF52F4" w14:paraId="48E0E7DC" w14:textId="77777777" w:rsidTr="007C7EA9">
        <w:trPr>
          <w:trHeight w:val="140"/>
        </w:trPr>
        <w:tc>
          <w:tcPr>
            <w:tcW w:w="1413" w:type="dxa"/>
            <w:vMerge/>
          </w:tcPr>
          <w:p w14:paraId="5D2BFB3F" w14:textId="77777777" w:rsidR="00EA7F92" w:rsidRPr="00BF52F4" w:rsidRDefault="00EA7F92" w:rsidP="00F520F2">
            <w:pPr>
              <w:pStyle w:val="Tabletext"/>
              <w:ind w:left="0" w:right="0"/>
            </w:pPr>
          </w:p>
        </w:tc>
        <w:tc>
          <w:tcPr>
            <w:tcW w:w="2656" w:type="dxa"/>
          </w:tcPr>
          <w:p w14:paraId="7B528E2E" w14:textId="77777777" w:rsidR="00EA7F92" w:rsidRPr="00BF52F4" w:rsidRDefault="00EA7F92" w:rsidP="00F520F2">
            <w:pPr>
              <w:pStyle w:val="Tabletext"/>
              <w:ind w:left="0" w:right="0"/>
            </w:pPr>
            <w:r w:rsidRPr="00BC6BC3">
              <w:t>Long-term safety</w:t>
            </w:r>
          </w:p>
        </w:tc>
        <w:tc>
          <w:tcPr>
            <w:tcW w:w="968" w:type="dxa"/>
          </w:tcPr>
          <w:p w14:paraId="292562F0" w14:textId="77777777" w:rsidR="00EA7F92" w:rsidRPr="00BF52F4" w:rsidRDefault="00EA7F92" w:rsidP="00F520F2">
            <w:pPr>
              <w:pStyle w:val="Tabletext"/>
              <w:ind w:left="0" w:right="0"/>
              <w:jc w:val="center"/>
              <w:rPr>
                <w:color w:val="00B050"/>
              </w:rPr>
            </w:pPr>
            <w:r w:rsidRPr="00DE1F06">
              <w:sym w:font="Wingdings" w:char="F0FC"/>
            </w:r>
          </w:p>
        </w:tc>
        <w:tc>
          <w:tcPr>
            <w:tcW w:w="1104" w:type="dxa"/>
          </w:tcPr>
          <w:p w14:paraId="1A515E24" w14:textId="77777777" w:rsidR="00EA7F92" w:rsidRPr="00BF52F4" w:rsidRDefault="00EA7F92" w:rsidP="00F520F2">
            <w:pPr>
              <w:pStyle w:val="Tabletext"/>
              <w:ind w:left="0" w:right="0"/>
              <w:jc w:val="center"/>
              <w:rPr>
                <w:color w:val="00B050"/>
              </w:rPr>
            </w:pPr>
            <w:r w:rsidRPr="003402C9">
              <w:sym w:font="Wingdings" w:char="F0FC"/>
            </w:r>
            <w:r>
              <w:rPr>
                <w:vertAlign w:val="superscript"/>
              </w:rPr>
              <w:t>4,5,6</w:t>
            </w:r>
          </w:p>
        </w:tc>
        <w:tc>
          <w:tcPr>
            <w:tcW w:w="967" w:type="dxa"/>
          </w:tcPr>
          <w:p w14:paraId="3E955376" w14:textId="77777777" w:rsidR="00EA7F92" w:rsidRPr="00BF52F4" w:rsidRDefault="00EA7F92" w:rsidP="00F520F2">
            <w:pPr>
              <w:pStyle w:val="Tabletext"/>
              <w:ind w:left="0" w:right="0"/>
              <w:jc w:val="center"/>
              <w:rPr>
                <w:color w:val="00B050"/>
              </w:rPr>
            </w:pPr>
            <w:r w:rsidRPr="000C3459">
              <w:t>–</w:t>
            </w:r>
          </w:p>
        </w:tc>
        <w:tc>
          <w:tcPr>
            <w:tcW w:w="1104" w:type="dxa"/>
          </w:tcPr>
          <w:p w14:paraId="01AF9B2E" w14:textId="77777777" w:rsidR="00EA7F92" w:rsidRPr="00BF52F4" w:rsidRDefault="00EA7F92" w:rsidP="00F520F2">
            <w:pPr>
              <w:pStyle w:val="Tabletext"/>
              <w:ind w:left="0" w:right="0"/>
              <w:jc w:val="center"/>
              <w:rPr>
                <w:color w:val="00B050"/>
              </w:rPr>
            </w:pPr>
            <w:r w:rsidRPr="000C3459">
              <w:t>–</w:t>
            </w:r>
          </w:p>
        </w:tc>
      </w:tr>
    </w:tbl>
    <w:p w14:paraId="772BCCF2" w14:textId="67761C56" w:rsidR="00EA7F92" w:rsidRPr="00DC2562" w:rsidRDefault="00EA7F92" w:rsidP="00F520F2">
      <w:pPr>
        <w:pStyle w:val="TableDescription"/>
      </w:pPr>
      <w:r w:rsidRPr="00F520F2">
        <w:t>1</w:t>
      </w:r>
      <w:r>
        <w:t xml:space="preserve">. </w:t>
      </w:r>
      <w:r w:rsidRPr="00DC2562">
        <w:t>Specific adverse reaction follow-up forms</w:t>
      </w:r>
    </w:p>
    <w:p w14:paraId="66625194" w14:textId="20B2011B" w:rsidR="00EA7F92" w:rsidRPr="00DC2562" w:rsidRDefault="00EA7F92" w:rsidP="00F520F2">
      <w:pPr>
        <w:pStyle w:val="TableDescription"/>
      </w:pPr>
      <w:r w:rsidRPr="00F520F2">
        <w:t>2</w:t>
      </w:r>
      <w:r>
        <w:t xml:space="preserve">. </w:t>
      </w:r>
      <w:r w:rsidRPr="00DC2562">
        <w:t>Specific adverse reaction follow-up form for immune-mediated neurological conditions only</w:t>
      </w:r>
    </w:p>
    <w:p w14:paraId="64E089BC" w14:textId="0BC2D102" w:rsidR="00EA7F92" w:rsidRPr="00DC2562" w:rsidRDefault="00EA7F92" w:rsidP="00F520F2">
      <w:pPr>
        <w:pStyle w:val="TableDescription"/>
      </w:pPr>
      <w:r w:rsidRPr="00F520F2">
        <w:t>3</w:t>
      </w:r>
      <w:r>
        <w:t xml:space="preserve">. </w:t>
      </w:r>
      <w:r w:rsidRPr="00DC2562">
        <w:t xml:space="preserve">Interventional study </w:t>
      </w:r>
      <w:r>
        <w:t>-</w:t>
      </w:r>
      <w:r w:rsidRPr="00DC2562">
        <w:t xml:space="preserve"> </w:t>
      </w:r>
      <w:r>
        <w:t xml:space="preserve">Study </w:t>
      </w:r>
      <w:r w:rsidRPr="00DC2562">
        <w:t>D8111C00010</w:t>
      </w:r>
    </w:p>
    <w:p w14:paraId="1510CB83" w14:textId="036FF8AB" w:rsidR="00EA7F92" w:rsidRPr="00241724" w:rsidRDefault="00EA7F92" w:rsidP="00F520F2">
      <w:pPr>
        <w:pStyle w:val="TableDescription"/>
      </w:pPr>
      <w:r w:rsidRPr="00F520F2">
        <w:t>4</w:t>
      </w:r>
      <w:r>
        <w:t xml:space="preserve">. </w:t>
      </w:r>
      <w:r w:rsidRPr="00DC2562">
        <w:t>Enhanced active surveillance and post-marketing observational study</w:t>
      </w:r>
    </w:p>
    <w:p w14:paraId="405C2EBE" w14:textId="261AF7A3" w:rsidR="00EA7F92" w:rsidRPr="00DC2562" w:rsidRDefault="00EA7F92" w:rsidP="00F520F2">
      <w:pPr>
        <w:pStyle w:val="TableDescription"/>
      </w:pPr>
      <w:r w:rsidRPr="00F520F2">
        <w:t>5</w:t>
      </w:r>
      <w:r>
        <w:t xml:space="preserve">. </w:t>
      </w:r>
      <w:r w:rsidRPr="00DC2562">
        <w:t>Clinical trials excluding Study COV005</w:t>
      </w:r>
    </w:p>
    <w:p w14:paraId="2B79F3CF" w14:textId="18D670DC" w:rsidR="00EA7F92" w:rsidRPr="00DC2562" w:rsidRDefault="00EA7F92" w:rsidP="00F520F2">
      <w:pPr>
        <w:pStyle w:val="TableDescription"/>
      </w:pPr>
      <w:r w:rsidRPr="00F520F2">
        <w:t>6</w:t>
      </w:r>
      <w:r>
        <w:t xml:space="preserve">. </w:t>
      </w:r>
      <w:r w:rsidRPr="00DC2562">
        <w:t>Study COV005</w:t>
      </w:r>
    </w:p>
    <w:p w14:paraId="008B1C4D" w14:textId="5F52500E" w:rsidR="00EA7F92" w:rsidRPr="00DC2562" w:rsidRDefault="00EA7F92" w:rsidP="00F520F2">
      <w:pPr>
        <w:pStyle w:val="TableDescription"/>
      </w:pPr>
      <w:r w:rsidRPr="00F520F2">
        <w:t>7</w:t>
      </w:r>
      <w:r>
        <w:t xml:space="preserve">. </w:t>
      </w:r>
      <w:r w:rsidRPr="00DC2562">
        <w:t xml:space="preserve">Pregnancy </w:t>
      </w:r>
      <w:r>
        <w:t>r</w:t>
      </w:r>
      <w:r w:rsidRPr="00DC2562">
        <w:t>egistry</w:t>
      </w:r>
    </w:p>
    <w:p w14:paraId="73C9701D" w14:textId="3FF85513" w:rsidR="00EA7F92" w:rsidRPr="00DC2562" w:rsidRDefault="00EA7F92" w:rsidP="00F520F2">
      <w:pPr>
        <w:pStyle w:val="TableDescription"/>
      </w:pPr>
      <w:r w:rsidRPr="00F520F2">
        <w:t>8</w:t>
      </w:r>
      <w:r>
        <w:t xml:space="preserve">. </w:t>
      </w:r>
      <w:r w:rsidRPr="00DC2562">
        <w:t>Metanalytic post marketing safety study</w:t>
      </w:r>
    </w:p>
    <w:p w14:paraId="11DF06F2" w14:textId="648CCAE8" w:rsidR="00EA7F92" w:rsidRPr="00241724" w:rsidRDefault="00EA7F92" w:rsidP="00F520F2">
      <w:pPr>
        <w:pStyle w:val="TableDescription"/>
      </w:pPr>
      <w:r w:rsidRPr="00F520F2">
        <w:t>9</w:t>
      </w:r>
      <w:r>
        <w:t xml:space="preserve">. </w:t>
      </w:r>
      <w:r w:rsidRPr="00DC2562">
        <w:t xml:space="preserve">Biodistribution study; </w:t>
      </w:r>
      <w:r w:rsidRPr="00F520F2">
        <w:rPr>
          <w:i/>
          <w:iCs/>
        </w:rPr>
        <w:t>in vitro</w:t>
      </w:r>
      <w:r w:rsidRPr="00DC2562">
        <w:t xml:space="preserve"> expression of spike protein; </w:t>
      </w:r>
      <w:r>
        <w:t>h</w:t>
      </w:r>
      <w:r w:rsidRPr="00EA7F92">
        <w:t>eparin-induced thrombocytopenia</w:t>
      </w:r>
      <w:r w:rsidRPr="00DC2562">
        <w:t xml:space="preserve"> </w:t>
      </w:r>
      <w:r>
        <w:t>(</w:t>
      </w:r>
      <w:r w:rsidRPr="00DC2562">
        <w:t>HIT</w:t>
      </w:r>
      <w:r>
        <w:t>)</w:t>
      </w:r>
      <w:r w:rsidRPr="00DC2562">
        <w:t xml:space="preserve"> antibodies in vacc</w:t>
      </w:r>
      <w:r w:rsidRPr="00241724">
        <w:t xml:space="preserve">inated sera; In vitro interaction with </w:t>
      </w:r>
      <w:r>
        <w:t>p</w:t>
      </w:r>
      <w:r w:rsidRPr="00EA7F92">
        <w:t>latelet factor 4</w:t>
      </w:r>
      <w:r w:rsidRPr="00DC2562">
        <w:t xml:space="preserve"> </w:t>
      </w:r>
      <w:r>
        <w:t>(</w:t>
      </w:r>
      <w:r w:rsidRPr="00DC2562">
        <w:t>PF4</w:t>
      </w:r>
      <w:r>
        <w:t>)</w:t>
      </w:r>
      <w:r w:rsidRPr="00DC2562">
        <w:t xml:space="preserve"> and/or platelets</w:t>
      </w:r>
    </w:p>
    <w:p w14:paraId="688C90D8" w14:textId="782429B9" w:rsidR="00EA7F92" w:rsidRPr="00241724" w:rsidRDefault="00EA7F92" w:rsidP="00F520F2">
      <w:pPr>
        <w:pStyle w:val="ListBullet"/>
      </w:pPr>
      <w:r w:rsidRPr="00F520F2">
        <w:lastRenderedPageBreak/>
        <w:t xml:space="preserve">The summary of safety concerns was evaluated and found acceptable during the previous </w:t>
      </w:r>
      <w:r>
        <w:t>S</w:t>
      </w:r>
      <w:r w:rsidRPr="00DC2562">
        <w:t>ubmission PM-2021-02612-1-2.</w:t>
      </w:r>
      <w:r w:rsidRPr="00241724">
        <w:t xml:space="preserve"> The </w:t>
      </w:r>
      <w:r w:rsidRPr="00F520F2">
        <w:t xml:space="preserve">introduction of a booster dose is not expected to warrant changes to the summary of safety concerns from an RMP perspective. However, the acceptability of the summary of safety concerns will be reconsidered when the advice from the clinical evaluator and the </w:t>
      </w:r>
      <w:r w:rsidRPr="00EA7F92">
        <w:t>Advisory Committee on Vaccine</w:t>
      </w:r>
      <w:r w:rsidRPr="00DC2562">
        <w:t xml:space="preserve"> </w:t>
      </w:r>
      <w:r>
        <w:t>(</w:t>
      </w:r>
      <w:r w:rsidRPr="00DC2562">
        <w:t>ACV</w:t>
      </w:r>
      <w:r>
        <w:t>)</w:t>
      </w:r>
      <w:r w:rsidRPr="00F520F2">
        <w:rPr>
          <w:vertAlign w:val="superscript"/>
        </w:rPr>
        <w:fldChar w:fldCharType="begin"/>
      </w:r>
      <w:r w:rsidRPr="00F520F2">
        <w:rPr>
          <w:vertAlign w:val="superscript"/>
        </w:rPr>
        <w:instrText xml:space="preserve"> NOTEREF _Ref94171591 \h </w:instrText>
      </w:r>
      <w:r>
        <w:rPr>
          <w:vertAlign w:val="superscript"/>
        </w:rPr>
        <w:instrText xml:space="preserve"> \* MERGEFORMAT </w:instrText>
      </w:r>
      <w:r w:rsidRPr="00F520F2">
        <w:rPr>
          <w:vertAlign w:val="superscript"/>
        </w:rPr>
      </w:r>
      <w:r w:rsidRPr="00F520F2">
        <w:rPr>
          <w:vertAlign w:val="superscript"/>
        </w:rPr>
        <w:fldChar w:fldCharType="separate"/>
      </w:r>
      <w:r w:rsidR="002B3478">
        <w:rPr>
          <w:vertAlign w:val="superscript"/>
        </w:rPr>
        <w:t>25</w:t>
      </w:r>
      <w:r w:rsidRPr="00F520F2">
        <w:rPr>
          <w:vertAlign w:val="superscript"/>
        </w:rPr>
        <w:fldChar w:fldCharType="end"/>
      </w:r>
      <w:r w:rsidRPr="00DC2562">
        <w:t xml:space="preserve"> is received.</w:t>
      </w:r>
    </w:p>
    <w:p w14:paraId="739DA77A" w14:textId="081B428A" w:rsidR="00EA7F92" w:rsidRPr="00F520F2" w:rsidRDefault="00EA7F92" w:rsidP="00F520F2">
      <w:pPr>
        <w:pStyle w:val="ListBullet"/>
      </w:pPr>
      <w:r w:rsidRPr="00F520F2">
        <w:t>The pharmacovigilance plan was deemed acceptable during the previous evaluations and continues to be acceptable for the current submission.</w:t>
      </w:r>
    </w:p>
    <w:p w14:paraId="5DB8AABA" w14:textId="4036711C" w:rsidR="00EA7F92" w:rsidRPr="00F520F2" w:rsidRDefault="00EA7F92" w:rsidP="00F520F2">
      <w:pPr>
        <w:pStyle w:val="ListBullet"/>
      </w:pPr>
      <w:r w:rsidRPr="00F520F2">
        <w:t>Only routine risk minimisation measures are currently in place. COVID-19 vaccines that have been approved for booster doses in Australia have not required additional risk minimisation activities as part of the RMP. Routine risk minimisation measures are considered acceptable to address the changes proposed by the current submission.</w:t>
      </w:r>
    </w:p>
    <w:p w14:paraId="7034326D" w14:textId="77777777" w:rsidR="008E7846" w:rsidRDefault="00AA0ED0" w:rsidP="008E7846">
      <w:pPr>
        <w:pStyle w:val="Heading3"/>
      </w:pPr>
      <w:bookmarkStart w:id="52" w:name="_Toc247691531"/>
      <w:bookmarkStart w:id="53" w:name="_Toc314842515"/>
      <w:bookmarkStart w:id="54" w:name="_Toc95891658"/>
      <w:bookmarkStart w:id="55" w:name="_Toc196046505"/>
      <w:bookmarkStart w:id="56" w:name="_Toc196046949"/>
      <w:r>
        <w:t>Risk-benefit a</w:t>
      </w:r>
      <w:r w:rsidR="008E7846">
        <w:t>nalysis</w:t>
      </w:r>
      <w:bookmarkEnd w:id="52"/>
      <w:bookmarkEnd w:id="53"/>
      <w:bookmarkEnd w:id="54"/>
    </w:p>
    <w:p w14:paraId="1D7F619B" w14:textId="77777777" w:rsidR="00D23139" w:rsidRDefault="007D53B6" w:rsidP="00D23139">
      <w:pPr>
        <w:pStyle w:val="Heading4"/>
      </w:pPr>
      <w:r>
        <w:t>Delegate’s considerations</w:t>
      </w:r>
    </w:p>
    <w:p w14:paraId="56E74B5C" w14:textId="452B1848" w:rsidR="00FA04B8" w:rsidRDefault="006E1A20" w:rsidP="00FA04B8">
      <w:r>
        <w:t xml:space="preserve">Study </w:t>
      </w:r>
      <w:r w:rsidR="00FA04B8">
        <w:t>COV001</w:t>
      </w:r>
      <w:r w:rsidR="00395EEA">
        <w:t xml:space="preserve"> trial</w:t>
      </w:r>
      <w:r w:rsidR="00FA04B8">
        <w:t xml:space="preserve"> provides </w:t>
      </w:r>
      <w:r w:rsidR="00FA04B8" w:rsidRPr="00415920">
        <w:rPr>
          <w:i/>
        </w:rPr>
        <w:t>prima facie</w:t>
      </w:r>
      <w:r w:rsidR="00FA04B8">
        <w:t xml:space="preserve"> evidence that a third dose of </w:t>
      </w:r>
      <w:proofErr w:type="spellStart"/>
      <w:r w:rsidR="00FA04B8">
        <w:t>Vaxzevria</w:t>
      </w:r>
      <w:proofErr w:type="spellEnd"/>
      <w:r w:rsidR="00FA04B8">
        <w:t>:</w:t>
      </w:r>
    </w:p>
    <w:p w14:paraId="0242F7FF" w14:textId="3B830896" w:rsidR="00FA04B8" w:rsidRDefault="0037025D" w:rsidP="00FA04B8">
      <w:pPr>
        <w:pStyle w:val="ListBullet"/>
      </w:pPr>
      <w:r>
        <w:t>in</w:t>
      </w:r>
      <w:r w:rsidR="00FA04B8">
        <w:t>duces a level of anti-spike protein antibodies 28 days after the third dose that is comparable to that present 28 days after the two doses</w:t>
      </w:r>
      <w:r w:rsidR="006E1A20">
        <w:t>;</w:t>
      </w:r>
      <w:r w:rsidR="00FA04B8">
        <w:t xml:space="preserve"> and</w:t>
      </w:r>
    </w:p>
    <w:p w14:paraId="08249EC7" w14:textId="2CED2D6C" w:rsidR="00FA04B8" w:rsidRDefault="0037025D" w:rsidP="00FA04B8">
      <w:pPr>
        <w:pStyle w:val="ListBullet"/>
      </w:pPr>
      <w:r>
        <w:t>i</w:t>
      </w:r>
      <w:r w:rsidR="00FA04B8">
        <w:t>nduces a level of anti-spike protein antibodies 28 days after the third dose that is significantly higher tha</w:t>
      </w:r>
      <w:r w:rsidR="006E1A20">
        <w:t>n</w:t>
      </w:r>
      <w:r w:rsidR="00FA04B8">
        <w:t xml:space="preserve"> present 28 to </w:t>
      </w:r>
      <w:r>
        <w:t>3</w:t>
      </w:r>
      <w:r w:rsidR="00FA04B8">
        <w:t>8 weeks after the second dose.</w:t>
      </w:r>
    </w:p>
    <w:p w14:paraId="7FEBF0B6" w14:textId="35525C5F" w:rsidR="00FA04B8" w:rsidRDefault="00FA04B8" w:rsidP="00FA04B8">
      <w:r>
        <w:t xml:space="preserve">The median </w:t>
      </w:r>
      <w:r w:rsidR="0037025D">
        <w:t>g</w:t>
      </w:r>
      <w:r w:rsidR="0037025D" w:rsidRPr="0037025D">
        <w:t>eometric mean titre</w:t>
      </w:r>
      <w:r w:rsidR="0037025D">
        <w:t xml:space="preserve"> </w:t>
      </w:r>
      <w:r>
        <w:t xml:space="preserve">for anti-spike protein antibodies was significantly higher after the third dose of </w:t>
      </w:r>
      <w:proofErr w:type="spellStart"/>
      <w:r>
        <w:t>Vaxzevria</w:t>
      </w:r>
      <w:proofErr w:type="spellEnd"/>
      <w:r>
        <w:t xml:space="preserve"> than after the second. The Delegate notes, however, that the </w:t>
      </w:r>
      <w:r w:rsidR="0037025D" w:rsidRPr="0037025D">
        <w:t>interquartile range</w:t>
      </w:r>
      <w:r>
        <w:t xml:space="preserve"> of antibody levels showed overlap and that the median </w:t>
      </w:r>
      <w:r w:rsidR="0037025D">
        <w:t>g</w:t>
      </w:r>
      <w:r w:rsidR="0037025D" w:rsidRPr="0037025D">
        <w:t>eometric mean titre</w:t>
      </w:r>
      <w:r w:rsidR="0037025D">
        <w:t xml:space="preserve"> </w:t>
      </w:r>
      <w:r>
        <w:t>may not be the most appropriate measure of central tendency in this data. Furthermore, given that there is no absolute correlate of protection for COVID-19</w:t>
      </w:r>
      <w:r w:rsidR="006E1A20">
        <w:t>,</w:t>
      </w:r>
      <w:r>
        <w:t xml:space="preserve"> the clinical relevance of any difference in antibody levels is not clear. </w:t>
      </w:r>
      <w:r w:rsidR="006E1A20">
        <w:t>T</w:t>
      </w:r>
      <w:r>
        <w:t xml:space="preserve">he Delegate concludes </w:t>
      </w:r>
      <w:r w:rsidR="006E1A20">
        <w:t xml:space="preserve">therefore </w:t>
      </w:r>
      <w:r>
        <w:t xml:space="preserve">that the most appropriate interpretation is that the level of antibodies is likely to provide a comparable level of protection to that clinically demonstrated one month following two doses of </w:t>
      </w:r>
      <w:proofErr w:type="spellStart"/>
      <w:r>
        <w:t>Vaxzevria</w:t>
      </w:r>
      <w:proofErr w:type="spellEnd"/>
      <w:r>
        <w:t>, and this compensates for the recognised waning of this response over approximately six months following the second dose.</w:t>
      </w:r>
    </w:p>
    <w:p w14:paraId="197E6DB5" w14:textId="476158A9" w:rsidR="00FA04B8" w:rsidRDefault="00FA04B8" w:rsidP="00FA04B8">
      <w:r>
        <w:t xml:space="preserve">The Delegate notes that neutralising antibody levels obtained after three doses of </w:t>
      </w:r>
      <w:proofErr w:type="spellStart"/>
      <w:r>
        <w:t>Vaxzevria</w:t>
      </w:r>
      <w:proofErr w:type="spellEnd"/>
      <w:r>
        <w:t xml:space="preserve"> appear lower than those obtained from heterologous boosting with a two dose </w:t>
      </w:r>
      <w:proofErr w:type="spellStart"/>
      <w:r>
        <w:t>Vaxzevria</w:t>
      </w:r>
      <w:proofErr w:type="spellEnd"/>
      <w:r>
        <w:t xml:space="preserve"> primary schedule for example, ChAdOx</w:t>
      </w:r>
      <w:r w:rsidR="006E1A20">
        <w:t>-1-S</w:t>
      </w:r>
      <w:r>
        <w:t>/ChAdOx</w:t>
      </w:r>
      <w:r w:rsidR="006E1A20">
        <w:t>-</w:t>
      </w:r>
      <w:r>
        <w:t>1</w:t>
      </w:r>
      <w:r w:rsidR="006E1A20">
        <w:t>-S</w:t>
      </w:r>
      <w:r>
        <w:t>/</w:t>
      </w:r>
      <w:r w:rsidR="006E1A20">
        <w:t xml:space="preserve">an </w:t>
      </w:r>
      <w:r>
        <w:t>mRNA</w:t>
      </w:r>
      <w:r w:rsidR="006E1A20">
        <w:t xml:space="preserve"> vaccine</w:t>
      </w:r>
      <w:r>
        <w:t>. Optimal treatment is not required for approval under the Therapeutic Goods Act.</w:t>
      </w:r>
      <w:r w:rsidR="006E1A20">
        <w:rPr>
          <w:rStyle w:val="FootnoteReference"/>
        </w:rPr>
        <w:footnoteReference w:id="24"/>
      </w:r>
      <w:r>
        <w:t xml:space="preserve"> However, the Delegate considered whether it might be appropriate to limit a three dose </w:t>
      </w:r>
      <w:proofErr w:type="spellStart"/>
      <w:r>
        <w:t>Vaxzevria</w:t>
      </w:r>
      <w:proofErr w:type="spellEnd"/>
      <w:r>
        <w:t xml:space="preserve"> schedule to ‘second-line’ </w:t>
      </w:r>
      <w:r w:rsidR="006E1A20">
        <w:t xml:space="preserve">vaccination schedule </w:t>
      </w:r>
      <w:r>
        <w:t>given that it is not as effective as emerging ‘standard of care’</w:t>
      </w:r>
      <w:r w:rsidR="006E1A20">
        <w:t xml:space="preserve"> vaccination schedules</w:t>
      </w:r>
      <w:r>
        <w:t xml:space="preserve">. This would be consistent with current </w:t>
      </w:r>
      <w:r w:rsidR="00CE4632" w:rsidRPr="00CE4632">
        <w:t xml:space="preserve">Australian Technical Advisory Group on Immunisation </w:t>
      </w:r>
      <w:r w:rsidR="00CE4632">
        <w:t>(</w:t>
      </w:r>
      <w:r>
        <w:t>ATAGI</w:t>
      </w:r>
      <w:r w:rsidR="00CE4632">
        <w:t>)</w:t>
      </w:r>
      <w:r>
        <w:t xml:space="preserve"> advice regarding the use of third doses for example</w:t>
      </w:r>
      <w:r w:rsidR="00395EEA">
        <w:t>,</w:t>
      </w:r>
      <w:r>
        <w:t xml:space="preserve"> mRNA third doses are preferred on a </w:t>
      </w:r>
      <w:proofErr w:type="spellStart"/>
      <w:r>
        <w:t>Vaxzevria</w:t>
      </w:r>
      <w:proofErr w:type="spellEnd"/>
      <w:r>
        <w:t xml:space="preserve"> primary schedule. The Delegate has concluded, however, that this is a matter better left to clinical implementation given that the relative effectiveness of COVID-19 vaccine platforms may change as new strains of the virus become dominant.</w:t>
      </w:r>
    </w:p>
    <w:p w14:paraId="22436856" w14:textId="7658DE23" w:rsidR="00FA04B8" w:rsidRDefault="00FA04B8" w:rsidP="00FA04B8">
      <w:r>
        <w:lastRenderedPageBreak/>
        <w:t>The Delegate considers the major methodological concerns with COV001</w:t>
      </w:r>
      <w:r w:rsidR="00395EEA">
        <w:t xml:space="preserve"> trial</w:t>
      </w:r>
      <w:r>
        <w:t xml:space="preserve"> to be that:</w:t>
      </w:r>
    </w:p>
    <w:p w14:paraId="046393E3" w14:textId="2E818BDB" w:rsidR="00FA04B8" w:rsidRDefault="00395EEA">
      <w:pPr>
        <w:pStyle w:val="ListBullet"/>
      </w:pPr>
      <w:r>
        <w:t>I</w:t>
      </w:r>
      <w:r w:rsidR="00FA04B8">
        <w:t xml:space="preserve">t is not clear from the </w:t>
      </w:r>
      <w:r>
        <w:t>s</w:t>
      </w:r>
      <w:r w:rsidR="00FA04B8">
        <w:t xml:space="preserve">ponsor’s application or the published account of </w:t>
      </w:r>
      <w:r w:rsidR="006E1A20">
        <w:t xml:space="preserve">Study </w:t>
      </w:r>
      <w:r w:rsidR="00FA04B8">
        <w:t>COV001</w:t>
      </w:r>
      <w:r>
        <w:t xml:space="preserve"> </w:t>
      </w:r>
      <w:r w:rsidR="00FA04B8">
        <w:t>exactly how the subjects who received three doses were selected from the original larger pool of participants in the two</w:t>
      </w:r>
      <w:r w:rsidR="001E692E">
        <w:noBreakHyphen/>
      </w:r>
      <w:r w:rsidR="00FA04B8">
        <w:t xml:space="preserve">dose </w:t>
      </w:r>
      <w:r w:rsidR="001E692E">
        <w:t xml:space="preserve">Study </w:t>
      </w:r>
      <w:r w:rsidR="00FA04B8">
        <w:t>COV001. While the trial remained blinded, it</w:t>
      </w:r>
      <w:r>
        <w:t xml:space="preserve"> i</w:t>
      </w:r>
      <w:r w:rsidR="00FA04B8">
        <w:t>s not clear that the selection of subjects was random.</w:t>
      </w:r>
    </w:p>
    <w:p w14:paraId="7B2D2635" w14:textId="1D5C28E3" w:rsidR="00FA04B8" w:rsidRDefault="00FA04B8" w:rsidP="00395EEA">
      <w:pPr>
        <w:pStyle w:val="ListBullet"/>
      </w:pPr>
      <w:r>
        <w:t xml:space="preserve">The issue of potential selection bias is made more significant given the relatively small number of participants in the trial. Given that some millions of people have now received </w:t>
      </w:r>
      <w:r w:rsidR="00395EEA">
        <w:t>two</w:t>
      </w:r>
      <w:r>
        <w:t xml:space="preserve"> doses of </w:t>
      </w:r>
      <w:proofErr w:type="spellStart"/>
      <w:r>
        <w:t>Vaxzevria</w:t>
      </w:r>
      <w:proofErr w:type="spellEnd"/>
      <w:r>
        <w:t xml:space="preserve">, the external validity of the results of </w:t>
      </w:r>
      <w:r w:rsidR="001E692E">
        <w:t xml:space="preserve">Study </w:t>
      </w:r>
      <w:r>
        <w:t>COV001</w:t>
      </w:r>
      <w:r w:rsidR="00395EEA">
        <w:t xml:space="preserve"> </w:t>
      </w:r>
      <w:r>
        <w:t>when applied to a diverse population would have been better supported by a more robust recruitment methodology.</w:t>
      </w:r>
    </w:p>
    <w:p w14:paraId="0E1FA8AE" w14:textId="7DBFB606" w:rsidR="00FA04B8" w:rsidRDefault="00FA04B8" w:rsidP="00FA04B8">
      <w:r>
        <w:t xml:space="preserve">The Delegate notes, however, that </w:t>
      </w:r>
      <w:proofErr w:type="spellStart"/>
      <w:r>
        <w:t>Vaxzevria</w:t>
      </w:r>
      <w:proofErr w:type="spellEnd"/>
      <w:r>
        <w:t xml:space="preserve"> is provisionally </w:t>
      </w:r>
      <w:r w:rsidR="006754BF">
        <w:t>registered,</w:t>
      </w:r>
      <w:r>
        <w:t xml:space="preserve"> and this allows discretion to consider preliminary data.</w:t>
      </w:r>
    </w:p>
    <w:p w14:paraId="6F96E490" w14:textId="11672A96" w:rsidR="00FA04B8" w:rsidRDefault="00FA04B8" w:rsidP="00FA04B8">
      <w:r>
        <w:t xml:space="preserve">The immune response induced by </w:t>
      </w:r>
      <w:proofErr w:type="spellStart"/>
      <w:r>
        <w:t>Vaxzevria</w:t>
      </w:r>
      <w:proofErr w:type="spellEnd"/>
      <w:r>
        <w:t xml:space="preserve"> against three </w:t>
      </w:r>
      <w:r w:rsidR="00CE4632">
        <w:t>variants of concern</w:t>
      </w:r>
      <w:r>
        <w:t xml:space="preserve"> has been measured and fits with the generally observed reduction in neutralisation against Delta </w:t>
      </w:r>
      <w:r w:rsidR="001E692E">
        <w:t xml:space="preserve">variant of </w:t>
      </w:r>
      <w:r>
        <w:t xml:space="preserve">COVID-19. This application precedes the emergence of </w:t>
      </w:r>
      <w:r w:rsidR="001E692E">
        <w:t xml:space="preserve">the </w:t>
      </w:r>
      <w:r>
        <w:t xml:space="preserve">Omicron </w:t>
      </w:r>
      <w:r w:rsidR="001E692E">
        <w:t xml:space="preserve">variant of </w:t>
      </w:r>
      <w:r>
        <w:t>COVID-19.</w:t>
      </w:r>
    </w:p>
    <w:p w14:paraId="0ACB61DA" w14:textId="1B45E170" w:rsidR="00FA04B8" w:rsidRDefault="00FA04B8" w:rsidP="00FA04B8">
      <w:r>
        <w:t xml:space="preserve">Safety data in the dossier is limited to short term reactogenicity, and there is a general trend to lower rates of adverse reactions following the third dose than the second. The Delegate notes the small number of subjects in </w:t>
      </w:r>
      <w:r w:rsidR="001E692E">
        <w:t xml:space="preserve">Study </w:t>
      </w:r>
      <w:r>
        <w:t>COV001</w:t>
      </w:r>
      <w:r w:rsidR="001E692E">
        <w:t xml:space="preserve"> </w:t>
      </w:r>
      <w:r>
        <w:t>and the short period of follow</w:t>
      </w:r>
      <w:r w:rsidR="00395EEA">
        <w:t xml:space="preserve"> </w:t>
      </w:r>
      <w:r>
        <w:t>up, however, and that rarer adverse events would not be detected in this trial.</w:t>
      </w:r>
    </w:p>
    <w:p w14:paraId="0A59615E" w14:textId="3A4A6733" w:rsidR="00FA04B8" w:rsidRPr="00456765" w:rsidRDefault="00FA04B8" w:rsidP="00FA04B8">
      <w:r>
        <w:t xml:space="preserve">The </w:t>
      </w:r>
      <w:r w:rsidR="00395EEA">
        <w:t>s</w:t>
      </w:r>
      <w:r>
        <w:t xml:space="preserve">ponsor has not provided any data on anti-vector antibody levels following the third dose, having noted that they did not increase after a second dose of </w:t>
      </w:r>
      <w:proofErr w:type="spellStart"/>
      <w:r>
        <w:t>Vaxzevria</w:t>
      </w:r>
      <w:proofErr w:type="spellEnd"/>
      <w:r>
        <w:t>. The Delegate notes that it is plausible that multiple exposures to ChAdOx</w:t>
      </w:r>
      <w:r w:rsidR="001E692E">
        <w:t>-</w:t>
      </w:r>
      <w:r>
        <w:t>1</w:t>
      </w:r>
      <w:r w:rsidR="001E692E">
        <w:t>-S</w:t>
      </w:r>
      <w:r>
        <w:t xml:space="preserve"> might induce higher </w:t>
      </w:r>
      <w:r w:rsidR="001E692E">
        <w:t xml:space="preserve">levels of </w:t>
      </w:r>
      <w:r>
        <w:t xml:space="preserve">anti-vector antibodies and considers this important to examine as a potential source of vaccine resistance in future studies on multi-dose </w:t>
      </w:r>
      <w:proofErr w:type="spellStart"/>
      <w:r>
        <w:t>Vaxzevria</w:t>
      </w:r>
      <w:proofErr w:type="spellEnd"/>
      <w:r>
        <w:t xml:space="preserve"> schedules.</w:t>
      </w:r>
    </w:p>
    <w:p w14:paraId="62648BE4" w14:textId="77777777" w:rsidR="00D23139" w:rsidRDefault="00D23139" w:rsidP="00D23139">
      <w:pPr>
        <w:pStyle w:val="Heading4"/>
      </w:pPr>
      <w:r w:rsidRPr="00D23139">
        <w:t>Proposed action</w:t>
      </w:r>
    </w:p>
    <w:p w14:paraId="620A743C" w14:textId="37FD5178" w:rsidR="00AE395C" w:rsidRDefault="00AE395C" w:rsidP="00AE395C">
      <w:r>
        <w:t xml:space="preserve">The Delegate is currently minded </w:t>
      </w:r>
      <w:proofErr w:type="gramStart"/>
      <w:r>
        <w:t>to approve</w:t>
      </w:r>
      <w:proofErr w:type="gramEnd"/>
      <w:r>
        <w:t xml:space="preserve"> the </w:t>
      </w:r>
      <w:r w:rsidR="006F6F93">
        <w:t xml:space="preserve">proposed major variation </w:t>
      </w:r>
      <w:r>
        <w:t xml:space="preserve">of ‘Dosage and Administrations instructions’ to include a third dose of </w:t>
      </w:r>
      <w:proofErr w:type="spellStart"/>
      <w:r>
        <w:t>Vaxzevria</w:t>
      </w:r>
      <w:proofErr w:type="spellEnd"/>
      <w:r>
        <w:t xml:space="preserve"> as proposed by the </w:t>
      </w:r>
      <w:r w:rsidR="00CE4632">
        <w:t>s</w:t>
      </w:r>
      <w:r>
        <w:t>ponsor, that is at 6 months</w:t>
      </w:r>
      <w:r w:rsidR="006F6F93">
        <w:t xml:space="preserve"> or more</w:t>
      </w:r>
      <w:r>
        <w:t xml:space="preserve"> after the completion of a two dose schedule.</w:t>
      </w:r>
    </w:p>
    <w:p w14:paraId="1D89E6EF" w14:textId="0C2B4369" w:rsidR="00AE395C" w:rsidRPr="00456765" w:rsidRDefault="00AE395C" w:rsidP="00AE395C">
      <w:r>
        <w:t xml:space="preserve">The advice of ACV regarding whether there is sufficient data in the pivotal trial to conclude that a third dose of </w:t>
      </w:r>
      <w:proofErr w:type="spellStart"/>
      <w:r>
        <w:t>Vaxzevria</w:t>
      </w:r>
      <w:proofErr w:type="spellEnd"/>
      <w:r>
        <w:t xml:space="preserve"> is effective in boosting immunity against COVID-19 will be considered determinative in the Delegates final </w:t>
      </w:r>
      <w:r w:rsidR="006F6F93">
        <w:t>d</w:t>
      </w:r>
      <w:r>
        <w:t>ecision.</w:t>
      </w:r>
    </w:p>
    <w:p w14:paraId="1B28CFFE" w14:textId="085E9508" w:rsidR="008E7846" w:rsidRDefault="008E7846" w:rsidP="007D53B6">
      <w:pPr>
        <w:pStyle w:val="Heading4"/>
      </w:pPr>
      <w:r>
        <w:t xml:space="preserve">Advisory Committee </w:t>
      </w:r>
      <w:r w:rsidR="007D53B6">
        <w:t>c</w:t>
      </w:r>
      <w:r>
        <w:t>onsiderations</w:t>
      </w:r>
      <w:bookmarkStart w:id="57" w:name="_Ref94171591"/>
      <w:r w:rsidR="00456765">
        <w:rPr>
          <w:rStyle w:val="FootnoteReference"/>
        </w:rPr>
        <w:footnoteReference w:id="25"/>
      </w:r>
      <w:bookmarkEnd w:id="57"/>
    </w:p>
    <w:p w14:paraId="07C0127A" w14:textId="5264F301" w:rsidR="00744121" w:rsidRDefault="00744121" w:rsidP="00744121">
      <w:pPr>
        <w:rPr>
          <w:bCs/>
        </w:rPr>
      </w:pPr>
      <w:bookmarkStart w:id="58" w:name="_Toc247691532"/>
      <w:bookmarkStart w:id="59" w:name="_Toc314842516"/>
      <w:bookmarkEnd w:id="31"/>
      <w:bookmarkEnd w:id="55"/>
      <w:bookmarkEnd w:id="56"/>
      <w:r w:rsidRPr="00456765">
        <w:rPr>
          <w:bCs/>
        </w:rPr>
        <w:t xml:space="preserve">The Advisory Committee on </w:t>
      </w:r>
      <w:r w:rsidR="004C05AD">
        <w:rPr>
          <w:bCs/>
        </w:rPr>
        <w:t>Vaccine</w:t>
      </w:r>
      <w:r w:rsidRPr="00456765">
        <w:rPr>
          <w:bCs/>
        </w:rPr>
        <w:t xml:space="preserve"> (AC</w:t>
      </w:r>
      <w:r w:rsidR="004C05AD">
        <w:rPr>
          <w:bCs/>
        </w:rPr>
        <w:t>V</w:t>
      </w:r>
      <w:r w:rsidRPr="00456765">
        <w:rPr>
          <w:bCs/>
        </w:rPr>
        <w:t>), having considered the evaluations and the Delegate’s overview, as well as the sponsor’s response to these documents, advised the following</w:t>
      </w:r>
      <w:r>
        <w:rPr>
          <w:bCs/>
        </w:rPr>
        <w:t>.</w:t>
      </w:r>
    </w:p>
    <w:p w14:paraId="6E918592" w14:textId="77777777" w:rsidR="00744121" w:rsidRDefault="00744121" w:rsidP="00744121">
      <w:pPr>
        <w:pStyle w:val="Heading5"/>
      </w:pPr>
      <w:r>
        <w:lastRenderedPageBreak/>
        <w:t>Specific advice to the Delegate</w:t>
      </w:r>
    </w:p>
    <w:p w14:paraId="2459CF1C" w14:textId="77777777" w:rsidR="00AE395C" w:rsidRPr="00F520F2" w:rsidRDefault="00AE395C" w:rsidP="00AE395C">
      <w:pPr>
        <w:pStyle w:val="Numberbullet0"/>
        <w:numPr>
          <w:ilvl w:val="0"/>
          <w:numId w:val="33"/>
        </w:numPr>
        <w:rPr>
          <w:b/>
          <w:i/>
          <w:iCs/>
        </w:rPr>
      </w:pPr>
      <w:r w:rsidRPr="00F520F2">
        <w:rPr>
          <w:b/>
          <w:bCs/>
          <w:i/>
          <w:iCs/>
        </w:rPr>
        <w:t xml:space="preserve">Whether there are sufficient data in the pivotal trial to conclude that a third dose of </w:t>
      </w:r>
      <w:proofErr w:type="spellStart"/>
      <w:r w:rsidRPr="00F520F2">
        <w:rPr>
          <w:b/>
          <w:bCs/>
          <w:i/>
          <w:iCs/>
        </w:rPr>
        <w:t>Vaxzevria</w:t>
      </w:r>
      <w:proofErr w:type="spellEnd"/>
      <w:r w:rsidRPr="00F520F2">
        <w:rPr>
          <w:b/>
          <w:bCs/>
          <w:i/>
          <w:iCs/>
        </w:rPr>
        <w:t xml:space="preserve"> is effective in boosting immunity against COVID-19.</w:t>
      </w:r>
    </w:p>
    <w:p w14:paraId="246B22B1" w14:textId="293C099B" w:rsidR="00AE395C" w:rsidRDefault="00AE395C" w:rsidP="00AE395C">
      <w:r w:rsidRPr="008F4D32">
        <w:t>The ACV</w:t>
      </w:r>
      <w:r>
        <w:t xml:space="preserve"> commented that the pivotal data for this application were provided in an updated analysis of </w:t>
      </w:r>
      <w:r w:rsidR="006F6F93">
        <w:t xml:space="preserve">Study </w:t>
      </w:r>
      <w:r>
        <w:t xml:space="preserve">COV001. The ACV also </w:t>
      </w:r>
      <w:proofErr w:type="gramStart"/>
      <w:r>
        <w:t>took into account</w:t>
      </w:r>
      <w:proofErr w:type="gramEnd"/>
      <w:r>
        <w:t xml:space="preserve"> published clinical and immunogenicity data.</w:t>
      </w:r>
    </w:p>
    <w:p w14:paraId="3D1E98A6" w14:textId="77777777" w:rsidR="00AE395C" w:rsidRDefault="00AE395C" w:rsidP="00AE395C">
      <w:r>
        <w:t xml:space="preserve">The ACV advised that there are sufficient data to support the use of a third (booster) dose of </w:t>
      </w:r>
      <w:proofErr w:type="spellStart"/>
      <w:r>
        <w:t>Vaxzevria</w:t>
      </w:r>
      <w:proofErr w:type="spellEnd"/>
      <w:r>
        <w:t>. The booster dose has been shown to increase antibody levels and there were no additional safety concerns.</w:t>
      </w:r>
    </w:p>
    <w:p w14:paraId="59D2E28F" w14:textId="77777777" w:rsidR="00AE395C" w:rsidRDefault="00AE395C" w:rsidP="00AE395C">
      <w:r>
        <w:t xml:space="preserve">The ACV noted that </w:t>
      </w:r>
      <w:r w:rsidRPr="00091E53">
        <w:t>supportive efficacy/effectiveness data against any clinical outcome</w:t>
      </w:r>
      <w:r>
        <w:t xml:space="preserve"> were not available, and that the data/publications reflect relatively small patient groups.</w:t>
      </w:r>
    </w:p>
    <w:p w14:paraId="0A4A6204" w14:textId="3534A528" w:rsidR="00AE395C" w:rsidRDefault="00AE395C" w:rsidP="00AE395C">
      <w:r>
        <w:t>The ACV noted that the rise in neutralising antibody with the third (booster) dose was no greater than achieved by delaying the second dose beyond 12 to 14 weeks.</w:t>
      </w:r>
    </w:p>
    <w:p w14:paraId="629EF3AA" w14:textId="77777777" w:rsidR="00AE395C" w:rsidRDefault="00AE395C" w:rsidP="00AE395C">
      <w:r w:rsidRPr="0967BBCB">
        <w:t xml:space="preserve">The ACV advised that </w:t>
      </w:r>
      <w:r w:rsidRPr="00AE395C">
        <w:rPr>
          <w:i/>
          <w:iCs/>
        </w:rPr>
        <w:t>in vitro</w:t>
      </w:r>
      <w:r w:rsidRPr="0967BBCB">
        <w:t xml:space="preserve"> data (</w:t>
      </w:r>
      <w:proofErr w:type="spellStart"/>
      <w:r w:rsidRPr="0967BBCB">
        <w:t>Dejnirattisai</w:t>
      </w:r>
      <w:proofErr w:type="spellEnd"/>
      <w:r w:rsidRPr="0967BBCB">
        <w:t xml:space="preserve"> et al</w:t>
      </w:r>
      <w:r>
        <w:t>)</w:t>
      </w:r>
      <w:r>
        <w:rPr>
          <w:rStyle w:val="FootnoteReference"/>
        </w:rPr>
        <w:footnoteReference w:id="26"/>
      </w:r>
      <w:r w:rsidRPr="0967BBCB">
        <w:t xml:space="preserve"> do not suggest that a </w:t>
      </w:r>
      <w:proofErr w:type="spellStart"/>
      <w:r>
        <w:t>Vaxzevria</w:t>
      </w:r>
      <w:proofErr w:type="spellEnd"/>
      <w:r w:rsidRPr="0967BBCB">
        <w:t xml:space="preserve"> booster will provide strong</w:t>
      </w:r>
      <w:r>
        <w:t>er</w:t>
      </w:r>
      <w:r w:rsidRPr="0967BBCB">
        <w:t xml:space="preserve"> protection against </w:t>
      </w:r>
      <w:r>
        <w:t xml:space="preserve">infection and clinical outcomes with </w:t>
      </w:r>
      <w:r w:rsidRPr="0967BBCB">
        <w:t>the Omicron variant.</w:t>
      </w:r>
    </w:p>
    <w:p w14:paraId="06F6B427" w14:textId="3FB0C39A" w:rsidR="00AE395C" w:rsidRDefault="00AE395C" w:rsidP="00AE395C">
      <w:r w:rsidRPr="0967BBCB">
        <w:t xml:space="preserve">The ACV advised that data </w:t>
      </w:r>
      <w:r>
        <w:t xml:space="preserve">from </w:t>
      </w:r>
      <w:r w:rsidRPr="0967BBCB">
        <w:t>Munro et al</w:t>
      </w:r>
      <w:r>
        <w:t>;</w:t>
      </w:r>
      <w:bookmarkStart w:id="60" w:name="_Ref93849872"/>
      <w:r>
        <w:rPr>
          <w:rStyle w:val="FootnoteReference"/>
        </w:rPr>
        <w:footnoteReference w:id="27"/>
      </w:r>
      <w:bookmarkEnd w:id="60"/>
      <w:r w:rsidRPr="0967BBCB">
        <w:t xml:space="preserve"> suggest boosted responses are better </w:t>
      </w:r>
      <w:r>
        <w:t>following</w:t>
      </w:r>
      <w:r w:rsidRPr="0967BBCB">
        <w:t xml:space="preserve"> an mRNA vaccine rather than </w:t>
      </w:r>
      <w:r>
        <w:t xml:space="preserve">following </w:t>
      </w:r>
      <w:proofErr w:type="spellStart"/>
      <w:r>
        <w:t>Vaxzevria</w:t>
      </w:r>
      <w:proofErr w:type="spellEnd"/>
      <w:r w:rsidRPr="0967BBCB">
        <w:t xml:space="preserve">. The ACV discussed the place of this vaccine as a booster in the current clinical context of available COVID-19 vaccines in Australia and commented that there is a clinical need in the small number of Australians </w:t>
      </w:r>
      <w:r w:rsidRPr="00AE395C">
        <w:t xml:space="preserve">who cannot have mRNA </w:t>
      </w:r>
      <w:proofErr w:type="gramStart"/>
      <w:r w:rsidRPr="00AE395C">
        <w:t>vaccines, but</w:t>
      </w:r>
      <w:proofErr w:type="gramEnd"/>
      <w:r w:rsidRPr="00AE395C">
        <w:t xml:space="preserve"> advised that this matter is primarily a consideration for ATAGI.</w:t>
      </w:r>
    </w:p>
    <w:p w14:paraId="4169E527" w14:textId="1B2BDEA9" w:rsidR="00AE395C" w:rsidRPr="00F520F2" w:rsidRDefault="00AE395C" w:rsidP="00AE395C">
      <w:pPr>
        <w:pStyle w:val="Numberbullet0"/>
        <w:numPr>
          <w:ilvl w:val="0"/>
          <w:numId w:val="8"/>
        </w:numPr>
        <w:rPr>
          <w:b/>
          <w:i/>
          <w:iCs/>
        </w:rPr>
      </w:pPr>
      <w:r w:rsidRPr="00F520F2">
        <w:rPr>
          <w:b/>
          <w:i/>
          <w:iCs/>
        </w:rPr>
        <w:t xml:space="preserve">Advice on </w:t>
      </w:r>
      <w:r w:rsidR="006F6F93" w:rsidRPr="00F520F2">
        <w:rPr>
          <w:b/>
          <w:i/>
          <w:iCs/>
        </w:rPr>
        <w:t xml:space="preserve">the </w:t>
      </w:r>
      <w:r w:rsidRPr="00F520F2">
        <w:rPr>
          <w:b/>
          <w:i/>
          <w:iCs/>
        </w:rPr>
        <w:t>Product Information</w:t>
      </w:r>
    </w:p>
    <w:p w14:paraId="1688F0B9" w14:textId="77777777" w:rsidR="00AE395C" w:rsidRDefault="00AE395C" w:rsidP="00AE395C">
      <w:r w:rsidRPr="0967BBCB">
        <w:t xml:space="preserve">The ACV advised that the following sentence should be added </w:t>
      </w:r>
      <w:r>
        <w:t>in</w:t>
      </w:r>
      <w:r w:rsidRPr="0967BBCB">
        <w:t>to the PI:</w:t>
      </w:r>
    </w:p>
    <w:p w14:paraId="1E879DBC" w14:textId="77777777" w:rsidR="00AE395C" w:rsidRDefault="00AE395C" w:rsidP="00AE395C">
      <w:pPr>
        <w:ind w:firstLine="720"/>
      </w:pPr>
      <w:r>
        <w:t>‘The use of COVID-19 boosters should be in line with official recommendations.’</w:t>
      </w:r>
    </w:p>
    <w:p w14:paraId="53BAF56F" w14:textId="77777777" w:rsidR="00AE395C" w:rsidRDefault="00AE395C" w:rsidP="00AE395C">
      <w:r>
        <w:t>The ACV advised the following sentence should be added into the PI (Section 4.2):</w:t>
      </w:r>
    </w:p>
    <w:p w14:paraId="46668FBF" w14:textId="77777777" w:rsidR="00AE395C" w:rsidRDefault="00AE395C" w:rsidP="004C05AD">
      <w:pPr>
        <w:ind w:left="720"/>
      </w:pPr>
      <w:r w:rsidRPr="0967BBCB">
        <w:t xml:space="preserve">‘The risk of Thrombosis and Thrombocytopenia following a third dose of </w:t>
      </w:r>
      <w:proofErr w:type="spellStart"/>
      <w:r>
        <w:t>Vaxzevria</w:t>
      </w:r>
      <w:proofErr w:type="spellEnd"/>
      <w:r w:rsidRPr="0967BBCB">
        <w:t xml:space="preserve"> has not yet been determined.’</w:t>
      </w:r>
    </w:p>
    <w:p w14:paraId="67A565DB" w14:textId="127A53A6" w:rsidR="00AE395C" w:rsidRDefault="00AE395C" w:rsidP="00AE395C">
      <w:r w:rsidRPr="000455C9">
        <w:t>Th</w:t>
      </w:r>
      <w:r>
        <w:t>is</w:t>
      </w:r>
      <w:r w:rsidRPr="000455C9">
        <w:t xml:space="preserve"> </w:t>
      </w:r>
      <w:r>
        <w:t xml:space="preserve">undetermined risk also applies to persons receiving a </w:t>
      </w:r>
      <w:proofErr w:type="spellStart"/>
      <w:r>
        <w:t>Vaxzevria</w:t>
      </w:r>
      <w:proofErr w:type="spellEnd"/>
      <w:r>
        <w:t xml:space="preserve"> booster dose following </w:t>
      </w:r>
      <w:r w:rsidR="006F6F93">
        <w:t xml:space="preserve">vaccination with </w:t>
      </w:r>
      <w:r>
        <w:t>a primary series with another COVID-19 vaccine.</w:t>
      </w:r>
    </w:p>
    <w:p w14:paraId="4F4169BC" w14:textId="2B7439EA" w:rsidR="00AE395C" w:rsidRDefault="00AE395C" w:rsidP="00AE395C">
      <w:r w:rsidRPr="5B5F4BB7">
        <w:t xml:space="preserve">Published data comparing </w:t>
      </w:r>
      <w:proofErr w:type="spellStart"/>
      <w:r>
        <w:t>Vaxzevria</w:t>
      </w:r>
      <w:proofErr w:type="spellEnd"/>
      <w:r>
        <w:t xml:space="preserve"> to </w:t>
      </w:r>
      <w:r w:rsidRPr="5B5F4BB7">
        <w:t>other COVID-19 vaccines c</w:t>
      </w:r>
      <w:r>
        <w:t>ould</w:t>
      </w:r>
      <w:r w:rsidRPr="5B5F4BB7">
        <w:t xml:space="preserve"> be referenced within the clinical trials section</w:t>
      </w:r>
      <w:r>
        <w:t xml:space="preserve"> of the PI, for example</w:t>
      </w:r>
      <w:r w:rsidR="006F6F93">
        <w:t>:</w:t>
      </w:r>
    </w:p>
    <w:p w14:paraId="1B822FB6" w14:textId="5F2BEBEF" w:rsidR="00AE395C" w:rsidRDefault="00AE395C" w:rsidP="00AE395C">
      <w:pPr>
        <w:ind w:left="720"/>
      </w:pPr>
      <w:r>
        <w:t xml:space="preserve">‘The relative efficacy of </w:t>
      </w:r>
      <w:proofErr w:type="spellStart"/>
      <w:r>
        <w:t>Vaxzevria</w:t>
      </w:r>
      <w:proofErr w:type="spellEnd"/>
      <w:r>
        <w:t xml:space="preserve"> as a booster compared to other vaccines as boosters is not known. However, it is noted that the incremental increase in antibody concentrations is lower following a booster with ChAdOx1-S than following mRNA vaccines in published studies. This is likely to translate into lower efficacy against infection (particularly with Omicron variant) and/or a shorter duration of protection</w:t>
      </w:r>
      <w:r w:rsidR="006F6F93">
        <w:t>’</w:t>
      </w:r>
      <w:r>
        <w:t>.</w:t>
      </w:r>
    </w:p>
    <w:p w14:paraId="67180D61" w14:textId="3AF0E3DC" w:rsidR="006F6F93" w:rsidRDefault="00AE395C" w:rsidP="00AE395C">
      <w:r>
        <w:t xml:space="preserve">Additionally, the ACV commented </w:t>
      </w:r>
      <w:r w:rsidR="006F6F93">
        <w:t xml:space="preserve">on the following </w:t>
      </w:r>
      <w:r>
        <w:t>statement in the Section 4.4 of the PI</w:t>
      </w:r>
      <w:r w:rsidR="006F6F93">
        <w:t>:</w:t>
      </w:r>
    </w:p>
    <w:p w14:paraId="2B7EB30F" w14:textId="405DD73E" w:rsidR="006F6F93" w:rsidRDefault="00AE395C" w:rsidP="00415920">
      <w:pPr>
        <w:ind w:left="720"/>
      </w:pPr>
      <w:r>
        <w:lastRenderedPageBreak/>
        <w:t xml:space="preserve">‘Interchangeability: There are no safety, immunogenicity or efficacy data to support interchangeability of </w:t>
      </w:r>
      <w:proofErr w:type="spellStart"/>
      <w:r>
        <w:t>V</w:t>
      </w:r>
      <w:r w:rsidR="00CE4632">
        <w:t>axzevria</w:t>
      </w:r>
      <w:proofErr w:type="spellEnd"/>
      <w:r>
        <w:t xml:space="preserve"> with other COVID-19 </w:t>
      </w:r>
      <w:proofErr w:type="gramStart"/>
      <w:r>
        <w:t>vaccines’</w:t>
      </w:r>
      <w:proofErr w:type="gramEnd"/>
      <w:r w:rsidR="006F6F93">
        <w:t>.</w:t>
      </w:r>
    </w:p>
    <w:p w14:paraId="6C6D077F" w14:textId="1EAE5A6F" w:rsidR="00AE395C" w:rsidRDefault="006F6F93">
      <w:r>
        <w:t xml:space="preserve">This </w:t>
      </w:r>
      <w:r w:rsidR="00AE395C">
        <w:t>is not accurate as there is a public-domain, peer-reviewed publication (Munro et al)</w:t>
      </w:r>
      <w:r w:rsidR="00CE4632" w:rsidRPr="00CE4632">
        <w:rPr>
          <w:vertAlign w:val="superscript"/>
        </w:rPr>
        <w:fldChar w:fldCharType="begin"/>
      </w:r>
      <w:r w:rsidR="00CE4632" w:rsidRPr="00CE4632">
        <w:rPr>
          <w:vertAlign w:val="superscript"/>
        </w:rPr>
        <w:instrText xml:space="preserve"> NOTEREF _Ref93849872 \h </w:instrText>
      </w:r>
      <w:r w:rsidR="00CE4632">
        <w:rPr>
          <w:vertAlign w:val="superscript"/>
        </w:rPr>
        <w:instrText xml:space="preserve"> \* MERGEFORMAT </w:instrText>
      </w:r>
      <w:r w:rsidR="00CE4632" w:rsidRPr="00CE4632">
        <w:rPr>
          <w:vertAlign w:val="superscript"/>
        </w:rPr>
      </w:r>
      <w:r w:rsidR="00CE4632" w:rsidRPr="00CE4632">
        <w:rPr>
          <w:vertAlign w:val="superscript"/>
        </w:rPr>
        <w:fldChar w:fldCharType="separate"/>
      </w:r>
      <w:r w:rsidR="002B3478">
        <w:rPr>
          <w:vertAlign w:val="superscript"/>
        </w:rPr>
        <w:t>27</w:t>
      </w:r>
      <w:r w:rsidR="00CE4632" w:rsidRPr="00CE4632">
        <w:rPr>
          <w:vertAlign w:val="superscript"/>
        </w:rPr>
        <w:fldChar w:fldCharType="end"/>
      </w:r>
      <w:r w:rsidR="00AE395C">
        <w:t xml:space="preserve"> that shows that boosting with an mRNA vaccine after the two dose primary series of </w:t>
      </w:r>
      <w:proofErr w:type="spellStart"/>
      <w:r w:rsidR="00AE395C">
        <w:t>Vaxzevria</w:t>
      </w:r>
      <w:proofErr w:type="spellEnd"/>
      <w:r w:rsidR="00AE395C">
        <w:t xml:space="preserve"> appears to be more immunogenic than boosting with </w:t>
      </w:r>
      <w:proofErr w:type="spellStart"/>
      <w:r w:rsidR="00AE395C">
        <w:t>Vaxzevria</w:t>
      </w:r>
      <w:proofErr w:type="spellEnd"/>
      <w:r w:rsidR="00AE395C">
        <w:t>.</w:t>
      </w:r>
    </w:p>
    <w:p w14:paraId="2DC57DB0" w14:textId="77777777" w:rsidR="00AE395C" w:rsidRDefault="00AE395C" w:rsidP="00AE395C">
      <w:r w:rsidRPr="0967BBCB" w:rsidDel="00091E53">
        <w:t xml:space="preserve">The ACV advised that wording in the PI regarding the booster indication should be modified </w:t>
      </w:r>
      <w:r w:rsidDel="00091E53">
        <w:t xml:space="preserve">as needed </w:t>
      </w:r>
      <w:r w:rsidRPr="0967BBCB" w:rsidDel="00091E53">
        <w:t>to avoid confusion</w:t>
      </w:r>
      <w:r w:rsidDel="00091E53">
        <w:t xml:space="preserve"> for persons who have received a </w:t>
      </w:r>
      <w:r w:rsidRPr="0967BBCB" w:rsidDel="00091E53">
        <w:t xml:space="preserve">three dose primary series </w:t>
      </w:r>
      <w:r w:rsidDel="00091E53">
        <w:t xml:space="preserve">consistent with the current official recommendation (not PI recommendation) for persons who are severely </w:t>
      </w:r>
      <w:r w:rsidRPr="0967BBCB" w:rsidDel="00091E53">
        <w:t>immunocompromised</w:t>
      </w:r>
      <w:r>
        <w:t>.</w:t>
      </w:r>
      <w:r w:rsidDel="00091E53">
        <w:rPr>
          <w:rStyle w:val="FootnoteReference"/>
        </w:rPr>
        <w:footnoteReference w:id="28"/>
      </w:r>
    </w:p>
    <w:p w14:paraId="668700D2" w14:textId="37FC8786" w:rsidR="006F6F93" w:rsidRDefault="00AE395C" w:rsidP="00AE395C">
      <w:r w:rsidRPr="0967BBCB" w:rsidDel="00091E53">
        <w:t xml:space="preserve">The ACV </w:t>
      </w:r>
      <w:r>
        <w:t xml:space="preserve">advised </w:t>
      </w:r>
      <w:r w:rsidRPr="0967BBCB" w:rsidDel="00091E53">
        <w:t xml:space="preserve">that wording in the PI regarding </w:t>
      </w:r>
      <w:r>
        <w:t>dosage (</w:t>
      </w:r>
      <w:r w:rsidR="00CE4632">
        <w:t>S</w:t>
      </w:r>
      <w:r>
        <w:t>ection 4.2) could say</w:t>
      </w:r>
      <w:r w:rsidR="006F6F93">
        <w:t>:</w:t>
      </w:r>
    </w:p>
    <w:p w14:paraId="0C7387CE" w14:textId="3DC57807" w:rsidR="00AE395C" w:rsidRPr="008F4D32" w:rsidDel="00091E53" w:rsidRDefault="00AE395C" w:rsidP="00415920">
      <w:pPr>
        <w:ind w:left="720"/>
        <w:rPr>
          <w:b/>
        </w:rPr>
      </w:pPr>
      <w:r>
        <w:t>‘</w:t>
      </w:r>
      <w:r w:rsidRPr="00186678">
        <w:t xml:space="preserve">It is recommended that individuals who receive a first dose of </w:t>
      </w:r>
      <w:proofErr w:type="spellStart"/>
      <w:r w:rsidRPr="00186678">
        <w:t>Vaxzevria</w:t>
      </w:r>
      <w:proofErr w:type="spellEnd"/>
      <w:r w:rsidRPr="00186678">
        <w:t xml:space="preserve"> </w:t>
      </w:r>
      <w:r w:rsidRPr="004C05AD">
        <w:t>receive a second</w:t>
      </w:r>
      <w:r w:rsidR="00D7002A">
        <w:t xml:space="preserve"> </w:t>
      </w:r>
      <w:proofErr w:type="spellStart"/>
      <w:r w:rsidRPr="004C05AD">
        <w:t>Vaxzevria</w:t>
      </w:r>
      <w:proofErr w:type="spellEnd"/>
      <w:r w:rsidRPr="004C05AD">
        <w:t xml:space="preserve"> dose’</w:t>
      </w:r>
      <w:r w:rsidRPr="00186678">
        <w:t xml:space="preserve"> </w:t>
      </w:r>
      <w:r>
        <w:t>rather than ‘complete the vaccination course’.</w:t>
      </w:r>
    </w:p>
    <w:p w14:paraId="472DAC86" w14:textId="289EB9E2" w:rsidR="00AE395C" w:rsidRPr="008F4D32" w:rsidDel="00091E53" w:rsidRDefault="00AE395C" w:rsidP="00AE395C">
      <w:pPr>
        <w:rPr>
          <w:b/>
        </w:rPr>
      </w:pPr>
      <w:r w:rsidRPr="3A1138AB">
        <w:rPr>
          <w:rFonts w:cs="Cambria"/>
          <w:color w:val="000000" w:themeColor="text1"/>
        </w:rPr>
        <w:t>The ACV supported alignment of terminology used within dosage directions (</w:t>
      </w:r>
      <w:r w:rsidR="004C05AD">
        <w:rPr>
          <w:rFonts w:cs="Cambria"/>
          <w:color w:val="000000" w:themeColor="text1"/>
        </w:rPr>
        <w:t>for example,</w:t>
      </w:r>
      <w:r w:rsidRPr="3A1138AB">
        <w:rPr>
          <w:rFonts w:cs="Cambria"/>
          <w:color w:val="000000" w:themeColor="text1"/>
        </w:rPr>
        <w:t xml:space="preserve"> the use of booster dose or third dose) across all COVID-19 vaccines</w:t>
      </w:r>
      <w:r>
        <w:rPr>
          <w:rFonts w:cs="Cambria"/>
          <w:color w:val="000000" w:themeColor="text1"/>
        </w:rPr>
        <w:t xml:space="preserve">, and terms like </w:t>
      </w:r>
      <w:r>
        <w:t xml:space="preserve">‘complete vaccination course’ should be avoided as this is </w:t>
      </w:r>
      <w:r w:rsidRPr="00186678">
        <w:t>now ambiguous</w:t>
      </w:r>
      <w:r>
        <w:rPr>
          <w:rFonts w:cs="Cambria"/>
          <w:color w:val="000000" w:themeColor="text1"/>
        </w:rPr>
        <w:t>.</w:t>
      </w:r>
    </w:p>
    <w:p w14:paraId="3E405D7B" w14:textId="77777777" w:rsidR="00AE395C" w:rsidRPr="00F520F2" w:rsidRDefault="00AE395C" w:rsidP="00AE395C">
      <w:pPr>
        <w:pStyle w:val="Numberbullet0"/>
        <w:numPr>
          <w:ilvl w:val="0"/>
          <w:numId w:val="8"/>
        </w:numPr>
        <w:rPr>
          <w:b/>
          <w:i/>
          <w:iCs/>
        </w:rPr>
      </w:pPr>
      <w:r w:rsidRPr="00F520F2">
        <w:rPr>
          <w:b/>
          <w:i/>
          <w:iCs/>
        </w:rPr>
        <w:t>Other advice</w:t>
      </w:r>
    </w:p>
    <w:p w14:paraId="53F620EC" w14:textId="3F08071C" w:rsidR="00AE395C" w:rsidRPr="00AE395C" w:rsidRDefault="00AE395C" w:rsidP="00AE395C">
      <w:r>
        <w:t xml:space="preserve">The ACV commented that anti-vector responses could play a role in attenuating immune responses to the vaccine. There are currently no publicly available data on anti-vector responses after a third dose of </w:t>
      </w:r>
      <w:proofErr w:type="spellStart"/>
      <w:r w:rsidR="006F6F93">
        <w:t>Vaxzevria</w:t>
      </w:r>
      <w:proofErr w:type="spellEnd"/>
      <w:r w:rsidR="006F6F93">
        <w:t xml:space="preserve"> (</w:t>
      </w:r>
      <w:r>
        <w:t>ChAdOx1-S</w:t>
      </w:r>
      <w:r w:rsidR="006F6F93">
        <w:t>)</w:t>
      </w:r>
      <w:r>
        <w:t>. The ACV advised that any available data should be reviewed by the TGA.</w:t>
      </w:r>
    </w:p>
    <w:p w14:paraId="1A3EF874" w14:textId="77777777" w:rsidR="00744121" w:rsidRDefault="00744121" w:rsidP="00744121">
      <w:pPr>
        <w:pStyle w:val="Heading5"/>
      </w:pPr>
      <w:r>
        <w:t>Conclusion</w:t>
      </w:r>
    </w:p>
    <w:p w14:paraId="575EB08E" w14:textId="19D464D2" w:rsidR="004C05AD" w:rsidRDefault="004C05AD" w:rsidP="004C05AD">
      <w:r w:rsidRPr="007648E1">
        <w:t xml:space="preserve">The ACV recommended the approval of changes to the Product Information of </w:t>
      </w:r>
      <w:proofErr w:type="spellStart"/>
      <w:r>
        <w:t>Vaxzevria</w:t>
      </w:r>
      <w:proofErr w:type="spellEnd"/>
      <w:r w:rsidRPr="007648E1">
        <w:t xml:space="preserve"> to include a booster (third) dose for persons </w:t>
      </w:r>
      <w:r w:rsidR="006F6F93">
        <w:t xml:space="preserve">aged </w:t>
      </w:r>
      <w:r w:rsidRPr="007648E1">
        <w:t>1</w:t>
      </w:r>
      <w:r>
        <w:t>8</w:t>
      </w:r>
      <w:r w:rsidRPr="007648E1">
        <w:t xml:space="preserve"> years and older.</w:t>
      </w:r>
    </w:p>
    <w:p w14:paraId="66A8250E" w14:textId="77777777" w:rsidR="004C05AD" w:rsidRDefault="004C05AD" w:rsidP="004C05AD">
      <w:pPr>
        <w:autoSpaceDE w:val="0"/>
        <w:autoSpaceDN w:val="0"/>
        <w:adjustRightInd w:val="0"/>
        <w:spacing w:after="0"/>
        <w:rPr>
          <w:bCs/>
        </w:rPr>
      </w:pPr>
      <w:r w:rsidRPr="00D17097">
        <w:rPr>
          <w:bCs/>
        </w:rPr>
        <w:t xml:space="preserve">The use and timing of </w:t>
      </w:r>
      <w:proofErr w:type="spellStart"/>
      <w:r>
        <w:rPr>
          <w:bCs/>
        </w:rPr>
        <w:t>Vaxzevria</w:t>
      </w:r>
      <w:proofErr w:type="spellEnd"/>
      <w:r w:rsidRPr="00D17097">
        <w:rPr>
          <w:bCs/>
        </w:rPr>
        <w:t xml:space="preserve"> booster in </w:t>
      </w:r>
      <w:r>
        <w:rPr>
          <w:bCs/>
        </w:rPr>
        <w:t>adults</w:t>
      </w:r>
      <w:r w:rsidRPr="00D17097">
        <w:rPr>
          <w:bCs/>
        </w:rPr>
        <w:t xml:space="preserve"> should be in accordance with official recommendations.</w:t>
      </w:r>
    </w:p>
    <w:p w14:paraId="5D204FF1" w14:textId="7349CE5D" w:rsidR="00744121" w:rsidRPr="00A322B3" w:rsidRDefault="004C05AD" w:rsidP="004C05AD">
      <w:pPr>
        <w:autoSpaceDE w:val="0"/>
        <w:autoSpaceDN w:val="0"/>
        <w:adjustRightInd w:val="0"/>
        <w:spacing w:after="0"/>
      </w:pPr>
      <w:r>
        <w:t xml:space="preserve">The efficacy of </w:t>
      </w:r>
      <w:proofErr w:type="spellStart"/>
      <w:r>
        <w:t>Vaxzevria</w:t>
      </w:r>
      <w:proofErr w:type="spellEnd"/>
      <w:r>
        <w:t xml:space="preserve"> booster against the Omicron variant has not yet been determined.</w:t>
      </w:r>
    </w:p>
    <w:p w14:paraId="3BA7C12B" w14:textId="29A1F1F8" w:rsidR="008E7846" w:rsidRPr="002E238E" w:rsidRDefault="008E7846" w:rsidP="008E7846">
      <w:pPr>
        <w:pStyle w:val="Heading3"/>
      </w:pPr>
      <w:bookmarkStart w:id="61" w:name="_Toc95891659"/>
      <w:r>
        <w:t>Outcome</w:t>
      </w:r>
      <w:bookmarkEnd w:id="58"/>
      <w:bookmarkEnd w:id="59"/>
      <w:bookmarkEnd w:id="61"/>
    </w:p>
    <w:p w14:paraId="7D703030" w14:textId="0E922192" w:rsidR="00E939CF" w:rsidRDefault="00744121" w:rsidP="00744121">
      <w:bookmarkStart w:id="62" w:name="_Toc247691533"/>
      <w:bookmarkStart w:id="63" w:name="_Toc314842517"/>
      <w:r>
        <w:t xml:space="preserve">Based on a review of quality, safety and efficacy, the TGA approved the registration of </w:t>
      </w:r>
      <w:proofErr w:type="spellStart"/>
      <w:r w:rsidR="00D7002A" w:rsidRPr="00D7002A">
        <w:t>Vaxzevria</w:t>
      </w:r>
      <w:proofErr w:type="spellEnd"/>
      <w:r w:rsidR="00D7002A" w:rsidRPr="00D7002A">
        <w:t xml:space="preserve"> </w:t>
      </w:r>
      <w:r w:rsidRPr="00250271">
        <w:t>(</w:t>
      </w:r>
      <w:r w:rsidR="00D7002A" w:rsidRPr="00D7002A">
        <w:t>ChAdOx-1-S</w:t>
      </w:r>
      <w:r w:rsidRPr="00250271">
        <w:t xml:space="preserve">) </w:t>
      </w:r>
      <w:r w:rsidR="00D7002A">
        <w:t>1 x</w:t>
      </w:r>
      <w:r w:rsidR="00D7002A" w:rsidRPr="00D84D93">
        <w:t xml:space="preserve"> 10</w:t>
      </w:r>
      <w:r w:rsidR="00D7002A" w:rsidRPr="00D84D93">
        <w:rPr>
          <w:vertAlign w:val="superscript"/>
        </w:rPr>
        <w:t>11</w:t>
      </w:r>
      <w:r w:rsidR="00D7002A">
        <w:t xml:space="preserve"> viral particles (</w:t>
      </w:r>
      <w:proofErr w:type="spellStart"/>
      <w:r w:rsidR="00D7002A">
        <w:t>vp</w:t>
      </w:r>
      <w:proofErr w:type="spellEnd"/>
      <w:r w:rsidR="00D7002A">
        <w:t>)/mL</w:t>
      </w:r>
      <w:r w:rsidRPr="00250271">
        <w:t xml:space="preserve">, </w:t>
      </w:r>
      <w:r w:rsidR="00D7002A">
        <w:t>solution for injection</w:t>
      </w:r>
      <w:r>
        <w:t xml:space="preserve">, </w:t>
      </w:r>
      <w:r w:rsidR="00D7002A">
        <w:t>multi-dose vial</w:t>
      </w:r>
      <w:r>
        <w:t xml:space="preserve">, </w:t>
      </w:r>
      <w:r w:rsidR="00D7002A" w:rsidRPr="00D7002A">
        <w:t>change in dose regimen to:</w:t>
      </w:r>
    </w:p>
    <w:p w14:paraId="002B526E" w14:textId="714CBF59" w:rsidR="00E939CF" w:rsidRPr="000F1F9E" w:rsidRDefault="00E939CF" w:rsidP="00050F42">
      <w:pPr>
        <w:ind w:left="720"/>
        <w:rPr>
          <w:i/>
          <w:iCs/>
        </w:rPr>
      </w:pPr>
      <w:r>
        <w:t>‘</w:t>
      </w:r>
      <w:r w:rsidRPr="000F1F9E">
        <w:rPr>
          <w:i/>
          <w:iCs/>
        </w:rPr>
        <w:t xml:space="preserve">The </w:t>
      </w:r>
      <w:proofErr w:type="spellStart"/>
      <w:r w:rsidRPr="000F1F9E">
        <w:rPr>
          <w:i/>
          <w:iCs/>
        </w:rPr>
        <w:t>Vaxzevria</w:t>
      </w:r>
      <w:proofErr w:type="spellEnd"/>
      <w:r w:rsidRPr="000F1F9E">
        <w:rPr>
          <w:i/>
          <w:iCs/>
        </w:rPr>
        <w:t xml:space="preserve"> primary vaccination course consists of two separate doses of 0.5 mL each. The second dose should be administered between 4 and 12 weeks after the first dose (see Section 5.1 Pharmacodynamic properties).</w:t>
      </w:r>
    </w:p>
    <w:p w14:paraId="1667220B" w14:textId="3F3F3062" w:rsidR="00E939CF" w:rsidRPr="000F1F9E" w:rsidRDefault="00E939CF" w:rsidP="00050F42">
      <w:pPr>
        <w:ind w:left="720"/>
        <w:rPr>
          <w:i/>
          <w:iCs/>
        </w:rPr>
      </w:pPr>
      <w:r w:rsidRPr="000F1F9E">
        <w:rPr>
          <w:i/>
          <w:iCs/>
        </w:rPr>
        <w:t xml:space="preserve">It is recommended that individuals who receive a first dose of </w:t>
      </w:r>
      <w:proofErr w:type="spellStart"/>
      <w:r w:rsidRPr="000F1F9E">
        <w:rPr>
          <w:i/>
          <w:iCs/>
        </w:rPr>
        <w:t>Vaxzevria</w:t>
      </w:r>
      <w:proofErr w:type="spellEnd"/>
      <w:r w:rsidRPr="000F1F9E">
        <w:rPr>
          <w:i/>
          <w:iCs/>
        </w:rPr>
        <w:t xml:space="preserve"> receive a second dose of </w:t>
      </w:r>
      <w:proofErr w:type="spellStart"/>
      <w:r w:rsidRPr="000F1F9E">
        <w:rPr>
          <w:i/>
          <w:iCs/>
        </w:rPr>
        <w:t>Vaxzevria</w:t>
      </w:r>
      <w:proofErr w:type="spellEnd"/>
      <w:r w:rsidRPr="000F1F9E">
        <w:rPr>
          <w:i/>
          <w:iCs/>
        </w:rPr>
        <w:t xml:space="preserve"> (see Section 4.4 Special warnings and precautions for use).</w:t>
      </w:r>
    </w:p>
    <w:p w14:paraId="2B560EE0" w14:textId="37E35774" w:rsidR="00E939CF" w:rsidRPr="000F1F9E" w:rsidRDefault="00E939CF" w:rsidP="00050F42">
      <w:pPr>
        <w:ind w:left="720"/>
        <w:rPr>
          <w:i/>
          <w:iCs/>
        </w:rPr>
      </w:pPr>
      <w:r w:rsidRPr="000F1F9E">
        <w:rPr>
          <w:i/>
          <w:iCs/>
        </w:rPr>
        <w:t>A third (booster) dose of 0.5 mL may be given if clinically indicated with reference to official guidance regarding the use of a heterologous third dose (</w:t>
      </w:r>
      <w:r w:rsidR="00C67D61" w:rsidRPr="000F1F9E">
        <w:rPr>
          <w:i/>
          <w:iCs/>
        </w:rPr>
        <w:t xml:space="preserve">[for example] </w:t>
      </w:r>
      <w:r w:rsidRPr="000F1F9E">
        <w:rPr>
          <w:i/>
          <w:iCs/>
        </w:rPr>
        <w:t>e.g. mRNA vaccine).</w:t>
      </w:r>
    </w:p>
    <w:p w14:paraId="171E9ABC" w14:textId="1B764673" w:rsidR="00E939CF" w:rsidRPr="00E939CF" w:rsidRDefault="00E939CF" w:rsidP="00050F42">
      <w:pPr>
        <w:ind w:left="720"/>
      </w:pPr>
      <w:r w:rsidRPr="000F1F9E">
        <w:rPr>
          <w:i/>
          <w:iCs/>
        </w:rPr>
        <w:lastRenderedPageBreak/>
        <w:t xml:space="preserve">A third (booster) dose of </w:t>
      </w:r>
      <w:proofErr w:type="spellStart"/>
      <w:r w:rsidR="00C67D61" w:rsidRPr="000F1F9E">
        <w:rPr>
          <w:i/>
          <w:iCs/>
        </w:rPr>
        <w:t>Vaxzevria</w:t>
      </w:r>
      <w:proofErr w:type="spellEnd"/>
      <w:r w:rsidR="00C67D61" w:rsidRPr="000F1F9E">
        <w:rPr>
          <w:i/>
          <w:iCs/>
        </w:rPr>
        <w:t xml:space="preserve"> </w:t>
      </w:r>
      <w:r w:rsidRPr="000F1F9E">
        <w:rPr>
          <w:i/>
          <w:iCs/>
        </w:rPr>
        <w:t xml:space="preserve">should be administered at least 6 months after a second dose of </w:t>
      </w:r>
      <w:proofErr w:type="spellStart"/>
      <w:r w:rsidR="00C67D61" w:rsidRPr="000F1F9E">
        <w:rPr>
          <w:i/>
          <w:iCs/>
        </w:rPr>
        <w:t>Vaxzevria</w:t>
      </w:r>
      <w:proofErr w:type="spellEnd"/>
      <w:r w:rsidRPr="000F1F9E">
        <w:rPr>
          <w:i/>
          <w:iCs/>
        </w:rPr>
        <w:t>.</w:t>
      </w:r>
      <w:r>
        <w:t>’</w:t>
      </w:r>
    </w:p>
    <w:p w14:paraId="31562FDB" w14:textId="179E1C50" w:rsidR="00744121" w:rsidRDefault="00D23139" w:rsidP="00F520F2">
      <w:pPr>
        <w:pStyle w:val="Heading4"/>
      </w:pPr>
      <w:r w:rsidRPr="00D23139">
        <w:t>Specific conditions of registration applying to these goods</w:t>
      </w:r>
    </w:p>
    <w:p w14:paraId="114A3B63" w14:textId="65971CED" w:rsidR="00AA6CFA" w:rsidRPr="00E90C00" w:rsidRDefault="00AA6CFA" w:rsidP="00050F42">
      <w:pPr>
        <w:pStyle w:val="ListBullet"/>
      </w:pPr>
      <w:proofErr w:type="spellStart"/>
      <w:r w:rsidRPr="00E90C00">
        <w:t>Vaxzevria</w:t>
      </w:r>
      <w:proofErr w:type="spellEnd"/>
      <w:r w:rsidRPr="00E90C00">
        <w:t xml:space="preserve"> </w:t>
      </w:r>
      <w:r w:rsidR="00695664" w:rsidRPr="00E90C00">
        <w:t>(</w:t>
      </w:r>
      <w:r w:rsidRPr="00E90C00">
        <w:t>ChAdOx1-S</w:t>
      </w:r>
      <w:r w:rsidR="00695664" w:rsidRPr="00E90C00">
        <w:t>)</w:t>
      </w:r>
      <w:r w:rsidRPr="00E90C00">
        <w:t xml:space="preserve"> is to be included in the Black Triangle Scheme. The PI</w:t>
      </w:r>
      <w:r w:rsidR="00A24DCD" w:rsidRPr="00E90C00">
        <w:t xml:space="preserve"> </w:t>
      </w:r>
      <w:r w:rsidRPr="00E90C00">
        <w:t xml:space="preserve">and </w:t>
      </w:r>
      <w:r w:rsidR="00695664" w:rsidRPr="00E90C00">
        <w:t xml:space="preserve">[Consumer Medicine Information] </w:t>
      </w:r>
      <w:r w:rsidRPr="00E90C00">
        <w:t xml:space="preserve">CMI for </w:t>
      </w:r>
      <w:proofErr w:type="spellStart"/>
      <w:r w:rsidRPr="00E90C00">
        <w:t>Vaxzevria</w:t>
      </w:r>
      <w:proofErr w:type="spellEnd"/>
      <w:r w:rsidRPr="00E90C00">
        <w:t xml:space="preserve"> must include the black triangle symbol and</w:t>
      </w:r>
      <w:r w:rsidR="00A24DCD">
        <w:t xml:space="preserve"> </w:t>
      </w:r>
      <w:r w:rsidRPr="00E90C00">
        <w:t>mandatory accompanying text for the products entire period of provisional</w:t>
      </w:r>
      <w:r w:rsidR="00A24DCD">
        <w:t xml:space="preserve"> </w:t>
      </w:r>
      <w:r w:rsidRPr="00E90C00">
        <w:t>registration.</w:t>
      </w:r>
    </w:p>
    <w:p w14:paraId="67D4FB49" w14:textId="5DD89952" w:rsidR="00AA6CFA" w:rsidRPr="00050F42" w:rsidRDefault="00AA6CFA" w:rsidP="00050F42">
      <w:pPr>
        <w:pStyle w:val="ListBullet"/>
        <w:numPr>
          <w:ilvl w:val="0"/>
          <w:numId w:val="0"/>
        </w:numPr>
        <w:ind w:left="360"/>
      </w:pPr>
      <w:r w:rsidRPr="00050F42">
        <w:t xml:space="preserve">Risk </w:t>
      </w:r>
      <w:r w:rsidR="00695664">
        <w:t>m</w:t>
      </w:r>
      <w:r w:rsidRPr="00050F42">
        <w:t xml:space="preserve">anagement </w:t>
      </w:r>
      <w:r w:rsidR="00695664">
        <w:t>p</w:t>
      </w:r>
      <w:r w:rsidRPr="00050F42">
        <w:t>lan</w:t>
      </w:r>
    </w:p>
    <w:p w14:paraId="6B99522F" w14:textId="668DB646" w:rsidR="00AA6CFA" w:rsidRPr="00050F42" w:rsidRDefault="00AA6CFA" w:rsidP="00050F42">
      <w:pPr>
        <w:pStyle w:val="ListBullet"/>
        <w:numPr>
          <w:ilvl w:val="0"/>
          <w:numId w:val="0"/>
        </w:numPr>
        <w:ind w:left="360"/>
      </w:pPr>
      <w:r w:rsidRPr="00E90C00">
        <w:t xml:space="preserve">The </w:t>
      </w:r>
      <w:proofErr w:type="spellStart"/>
      <w:r w:rsidRPr="00E90C00">
        <w:t>Vaxzevria</w:t>
      </w:r>
      <w:proofErr w:type="spellEnd"/>
      <w:r w:rsidRPr="00E90C00">
        <w:t xml:space="preserve"> EU-</w:t>
      </w:r>
      <w:r w:rsidR="00695664" w:rsidRPr="00E90C00">
        <w:t xml:space="preserve">risk management plan </w:t>
      </w:r>
      <w:r w:rsidRPr="00E90C00">
        <w:t>(RMP) (version 3 succession 3, dated 8 July</w:t>
      </w:r>
      <w:r w:rsidR="00695664">
        <w:t> </w:t>
      </w:r>
      <w:r w:rsidRPr="00E90C00">
        <w:t xml:space="preserve">2021, data lock point 25 April 2021), with Australian </w:t>
      </w:r>
      <w:r w:rsidR="00695664">
        <w:t>s</w:t>
      </w:r>
      <w:r w:rsidRPr="00E90C00">
        <w:t xml:space="preserve">pecific </w:t>
      </w:r>
      <w:r w:rsidR="00695664">
        <w:t>a</w:t>
      </w:r>
      <w:r w:rsidRPr="00E90C00">
        <w:t>nnex (version 2 succession 3, dated 30 August 2021), and any subsequent revisions, as agreed with the TGA will be implemented in Australia.</w:t>
      </w:r>
    </w:p>
    <w:p w14:paraId="1DA1C85B" w14:textId="1B2E71D0" w:rsidR="00AA6CFA" w:rsidRPr="00E90C00" w:rsidRDefault="00AA6CFA" w:rsidP="00050F42">
      <w:r w:rsidRPr="00050F42">
        <w:t xml:space="preserve">Existing </w:t>
      </w:r>
      <w:r w:rsidR="00050F42">
        <w:t>c</w:t>
      </w:r>
      <w:r w:rsidRPr="00050F42">
        <w:t>onditions</w:t>
      </w:r>
    </w:p>
    <w:p w14:paraId="62900461" w14:textId="65969BEE" w:rsidR="00AA6CFA" w:rsidRPr="00E90C00" w:rsidRDefault="00AA6CFA" w:rsidP="00050F42">
      <w:r w:rsidRPr="00050F42">
        <w:t>Clinical</w:t>
      </w:r>
    </w:p>
    <w:p w14:paraId="4A04D55B" w14:textId="0151C31B" w:rsidR="00AA6CFA" w:rsidRPr="00E90C00" w:rsidRDefault="00AA6CFA" w:rsidP="00050F42">
      <w:pPr>
        <w:pStyle w:val="ListBullet"/>
      </w:pPr>
      <w:r w:rsidRPr="00E90C00">
        <w:t xml:space="preserve">The sponsor is to provide the full study reports of </w:t>
      </w:r>
      <w:r w:rsidR="00695664">
        <w:t>S</w:t>
      </w:r>
      <w:r w:rsidRPr="00E90C00">
        <w:t>tudies COV001, COV002,</w:t>
      </w:r>
      <w:r w:rsidR="00050F42">
        <w:t xml:space="preserve"> </w:t>
      </w:r>
      <w:r w:rsidRPr="00E90C00">
        <w:t xml:space="preserve">COV003 and COV005 when available in 2022 as a </w:t>
      </w:r>
      <w:r w:rsidR="00695664" w:rsidRPr="00E90C00">
        <w:t xml:space="preserve">[TGA Category 1] </w:t>
      </w:r>
      <w:r w:rsidRPr="00E90C00">
        <w:t>Cat. 1 Type</w:t>
      </w:r>
      <w:r w:rsidR="006754BF">
        <w:t> </w:t>
      </w:r>
      <w:r w:rsidRPr="00E90C00">
        <w:t>J or Type</w:t>
      </w:r>
      <w:r w:rsidR="006754BF">
        <w:t> </w:t>
      </w:r>
      <w:proofErr w:type="spellStart"/>
      <w:r w:rsidRPr="00E90C00">
        <w:t>F</w:t>
      </w:r>
      <w:proofErr w:type="spellEnd"/>
      <w:r w:rsidR="00A24DCD">
        <w:t xml:space="preserve"> </w:t>
      </w:r>
      <w:r w:rsidRPr="00E90C00">
        <w:t>application.</w:t>
      </w:r>
    </w:p>
    <w:p w14:paraId="34DD989D" w14:textId="29A1E8F7" w:rsidR="00AA6CFA" w:rsidRPr="00E90C00" w:rsidRDefault="00AA6CFA" w:rsidP="00050F42">
      <w:pPr>
        <w:pStyle w:val="ListBullet"/>
      </w:pPr>
      <w:r w:rsidRPr="00E90C00">
        <w:t xml:space="preserve">The sponsor is to provide updates to the TGA in relation to </w:t>
      </w:r>
      <w:r w:rsidR="00A24DCD" w:rsidRPr="00E90C00">
        <w:t>additional information</w:t>
      </w:r>
      <w:r w:rsidRPr="00E90C00">
        <w:t xml:space="preserve"> relevant to efficacy of </w:t>
      </w:r>
      <w:proofErr w:type="spellStart"/>
      <w:r w:rsidRPr="00E90C00">
        <w:t>Vaxzevria</w:t>
      </w:r>
      <w:proofErr w:type="spellEnd"/>
      <w:r w:rsidRPr="00E90C00">
        <w:t xml:space="preserve"> against new and </w:t>
      </w:r>
      <w:r w:rsidR="00A24DCD" w:rsidRPr="00E90C00">
        <w:t>emerging variants</w:t>
      </w:r>
      <w:r w:rsidRPr="00E90C00">
        <w:t xml:space="preserve"> of COVID-19.</w:t>
      </w:r>
    </w:p>
    <w:p w14:paraId="61DC4F68" w14:textId="31757ABB" w:rsidR="00AA6CFA" w:rsidRPr="00E90C00" w:rsidRDefault="00AA6CFA" w:rsidP="00050F42">
      <w:pPr>
        <w:pStyle w:val="ListBullet"/>
      </w:pPr>
      <w:r w:rsidRPr="00E90C00">
        <w:t>The sponsor is to provide further information to the TGA in relation to use of</w:t>
      </w:r>
      <w:r w:rsidR="00A24DCD">
        <w:t xml:space="preserve"> </w:t>
      </w:r>
      <w:r w:rsidRPr="00E90C00">
        <w:t>the COVID-19 vaccine with influenza vaccines when available.</w:t>
      </w:r>
    </w:p>
    <w:p w14:paraId="1C176A3A" w14:textId="14DDF938" w:rsidR="00AA6CFA" w:rsidRPr="00E90C00" w:rsidRDefault="00AA6CFA" w:rsidP="00050F42">
      <w:pPr>
        <w:pStyle w:val="ListBullet"/>
      </w:pPr>
      <w:r w:rsidRPr="00E90C00">
        <w:t>The sponsor is to provide the TGA with updates of the studies in the</w:t>
      </w:r>
      <w:r>
        <w:t xml:space="preserve"> </w:t>
      </w:r>
      <w:r w:rsidRPr="00E90C00">
        <w:t xml:space="preserve">pharmacovigilance plan in relation to the safety of the vaccine in </w:t>
      </w:r>
      <w:r w:rsidR="00A24DCD" w:rsidRPr="00E90C00">
        <w:t>pregnancy, the</w:t>
      </w:r>
      <w:r w:rsidRPr="00E90C00">
        <w:t xml:space="preserve"> immunosuppressed and those with co-morbidities with the PSUR every6 months</w:t>
      </w:r>
    </w:p>
    <w:p w14:paraId="1F2B83AE" w14:textId="6B17BC33" w:rsidR="00AA6CFA" w:rsidRPr="00E90C00" w:rsidRDefault="00AA6CFA" w:rsidP="00050F42">
      <w:pPr>
        <w:pStyle w:val="ListBullet"/>
      </w:pPr>
      <w:r w:rsidRPr="00E90C00">
        <w:t xml:space="preserve">Unless otherwise agreed to by the </w:t>
      </w:r>
      <w:r w:rsidR="005F247E">
        <w:t>s</w:t>
      </w:r>
      <w:r w:rsidRPr="00E90C00">
        <w:t xml:space="preserve">ecretary following an application under </w:t>
      </w:r>
      <w:r w:rsidR="005F247E">
        <w:t>S</w:t>
      </w:r>
      <w:r w:rsidRPr="00E90C00">
        <w:t>ection</w:t>
      </w:r>
      <w:r w:rsidR="005F247E">
        <w:t> </w:t>
      </w:r>
      <w:r w:rsidRPr="00E90C00">
        <w:t>9D of</w:t>
      </w:r>
      <w:r w:rsidR="00A24DCD">
        <w:t xml:space="preserve"> </w:t>
      </w:r>
      <w:r w:rsidRPr="00E90C00">
        <w:t xml:space="preserve">the </w:t>
      </w:r>
      <w:r w:rsidR="005F247E" w:rsidRPr="00E90C00">
        <w:t xml:space="preserve">[Therapeutic Goods Act 1989] </w:t>
      </w:r>
      <w:r w:rsidRPr="00E90C00">
        <w:t xml:space="preserve">Act, the </w:t>
      </w:r>
      <w:r w:rsidR="005F247E" w:rsidRPr="00E90C00">
        <w:t xml:space="preserve">new </w:t>
      </w:r>
      <w:proofErr w:type="spellStart"/>
      <w:r w:rsidRPr="00E90C00">
        <w:t>Vaxzevria</w:t>
      </w:r>
      <w:proofErr w:type="spellEnd"/>
      <w:r w:rsidRPr="00E90C00">
        <w:t xml:space="preserve"> </w:t>
      </w:r>
      <w:r w:rsidR="005F247E" w:rsidRPr="00E90C00">
        <w:t xml:space="preserve">medicine </w:t>
      </w:r>
      <w:r w:rsidRPr="00E90C00">
        <w:t>must only be supplied with the labels that have</w:t>
      </w:r>
      <w:r w:rsidR="00A24DCD">
        <w:t xml:space="preserve"> </w:t>
      </w:r>
      <w:r w:rsidRPr="00E90C00">
        <w:t>been determined to be acceptable in this decision.</w:t>
      </w:r>
    </w:p>
    <w:p w14:paraId="50110460" w14:textId="77777777" w:rsidR="00A24DCD" w:rsidRPr="00E90C00" w:rsidRDefault="00A24DCD">
      <w:r w:rsidRPr="00E90C00">
        <w:t>Quality</w:t>
      </w:r>
    </w:p>
    <w:p w14:paraId="37E1A5DA" w14:textId="5C47A2F7" w:rsidR="00A24DCD" w:rsidRPr="00E90C00" w:rsidRDefault="00A24DCD" w:rsidP="00050F42">
      <w:pPr>
        <w:pStyle w:val="ListBullet"/>
      </w:pPr>
      <w:r w:rsidRPr="00E90C00">
        <w:t xml:space="preserve">Batch </w:t>
      </w:r>
      <w:r w:rsidR="005F247E" w:rsidRPr="00E90C00">
        <w:t>release testing and compliance</w:t>
      </w:r>
    </w:p>
    <w:p w14:paraId="4B266D69" w14:textId="4F948BAB" w:rsidR="00A24DCD" w:rsidRPr="00E90C00" w:rsidRDefault="00A24DCD" w:rsidP="00050F42">
      <w:pPr>
        <w:pStyle w:val="ListBullet"/>
        <w:numPr>
          <w:ilvl w:val="0"/>
          <w:numId w:val="0"/>
        </w:numPr>
        <w:ind w:left="360"/>
      </w:pPr>
      <w:r w:rsidRPr="00E90C00">
        <w:t xml:space="preserve">It is a condition of registration that all independent batches of </w:t>
      </w:r>
      <w:r w:rsidR="00933AD5">
        <w:t>[</w:t>
      </w:r>
      <w:proofErr w:type="spellStart"/>
      <w:r w:rsidR="00933AD5" w:rsidRPr="00933AD5">
        <w:t>Vaxzevria</w:t>
      </w:r>
      <w:proofErr w:type="spellEnd"/>
      <w:r w:rsidR="00933AD5">
        <w:t>]</w:t>
      </w:r>
      <w:r w:rsidRPr="00E90C00">
        <w:t xml:space="preserve"> (ChAdOx1</w:t>
      </w:r>
      <w:r w:rsidR="00933AD5">
        <w:noBreakHyphen/>
      </w:r>
      <w:r w:rsidRPr="00E90C00">
        <w:t>S) vaccine imported into Australia are not supplied for</w:t>
      </w:r>
      <w:r>
        <w:t xml:space="preserve"> </w:t>
      </w:r>
      <w:r w:rsidRPr="00E90C00">
        <w:t xml:space="preserve">distribution by or on behalf of the </w:t>
      </w:r>
      <w:r w:rsidR="005F247E" w:rsidRPr="00E90C00">
        <w:t>s</w:t>
      </w:r>
      <w:r w:rsidRPr="00E90C00">
        <w:t xml:space="preserve">ponsor until samples and the manufacturer’s release data have been assessed and </w:t>
      </w:r>
      <w:r w:rsidR="005F247E" w:rsidRPr="00050F42">
        <w:t>[the sponsor</w:t>
      </w:r>
      <w:r w:rsidRPr="00E90C00">
        <w:t xml:space="preserve"> ha</w:t>
      </w:r>
      <w:r w:rsidR="005F247E" w:rsidRPr="00050F42">
        <w:t>s]</w:t>
      </w:r>
      <w:r w:rsidRPr="00E90C00">
        <w:t xml:space="preserve"> received notification acknowledging release from the Laboratories Branch, TGA.</w:t>
      </w:r>
    </w:p>
    <w:p w14:paraId="12C68BFB" w14:textId="27B58864" w:rsidR="00AA6CFA" w:rsidRPr="00E90C00" w:rsidRDefault="00A24DCD" w:rsidP="00050F42">
      <w:pPr>
        <w:pStyle w:val="ListBullet"/>
        <w:numPr>
          <w:ilvl w:val="0"/>
          <w:numId w:val="0"/>
        </w:numPr>
        <w:ind w:left="360"/>
      </w:pPr>
      <w:r w:rsidRPr="00E90C00">
        <w:t xml:space="preserve">For each independent batch of the product imported into Australia, the </w:t>
      </w:r>
      <w:r w:rsidR="005F247E">
        <w:t>s</w:t>
      </w:r>
      <w:r w:rsidRPr="00E90C00">
        <w:t>ponsor must</w:t>
      </w:r>
      <w:r>
        <w:t xml:space="preserve"> </w:t>
      </w:r>
      <w:r w:rsidRPr="00E90C00">
        <w:t>supply the following:</w:t>
      </w:r>
    </w:p>
    <w:p w14:paraId="6905F15C" w14:textId="41EB5576" w:rsidR="00AA6CFA" w:rsidRPr="00E90C00" w:rsidRDefault="00A24DCD" w:rsidP="00050F42">
      <w:pPr>
        <w:pStyle w:val="ListBullet2"/>
      </w:pPr>
      <w:r>
        <w:t>A</w:t>
      </w:r>
      <w:r w:rsidR="00AA6CFA" w:rsidRPr="00E90C00">
        <w:t xml:space="preserve"> </w:t>
      </w:r>
      <w:r w:rsidR="005F247E" w:rsidRPr="00E90C00">
        <w:t>completed request for release form</w:t>
      </w:r>
      <w:r w:rsidR="00AA6CFA" w:rsidRPr="00E90C00">
        <w:t>, available from vaccines@health.gov.au.</w:t>
      </w:r>
    </w:p>
    <w:p w14:paraId="24095521" w14:textId="15FD42CE" w:rsidR="00AA6CFA" w:rsidRPr="00E90C00" w:rsidRDefault="00AA6CFA" w:rsidP="00050F42">
      <w:pPr>
        <w:pStyle w:val="ListBullet2"/>
      </w:pPr>
      <w:r w:rsidRPr="00E90C00">
        <w:t xml:space="preserve">Complete summary protocols for manufacture and </w:t>
      </w:r>
      <w:r w:rsidR="005F247E" w:rsidRPr="00E90C00">
        <w:t xml:space="preserve">[quality control] </w:t>
      </w:r>
      <w:r w:rsidRPr="00E90C00">
        <w:t>QC, including all steps in</w:t>
      </w:r>
      <w:r w:rsidR="00A24DCD">
        <w:t xml:space="preserve"> </w:t>
      </w:r>
      <w:r w:rsidRPr="00E90C00">
        <w:t>production in the agreed format.</w:t>
      </w:r>
    </w:p>
    <w:p w14:paraId="151397DA" w14:textId="03283C60" w:rsidR="00AA6CFA" w:rsidRPr="00E90C00" w:rsidRDefault="00AA6CFA" w:rsidP="00050F42">
      <w:pPr>
        <w:pStyle w:val="ListBullet2"/>
      </w:pPr>
      <w:r w:rsidRPr="00E90C00">
        <w:t>At least 10 (ten) vials (</w:t>
      </w:r>
      <w:r w:rsidR="005F247E">
        <w:t>s</w:t>
      </w:r>
      <w:r w:rsidRPr="00E90C00">
        <w:t>amples) of each manufacturing batch of COVID-19 Vaccine</w:t>
      </w:r>
      <w:r w:rsidR="00A24DCD">
        <w:t xml:space="preserve"> </w:t>
      </w:r>
      <w:r w:rsidRPr="00E90C00">
        <w:t>AstraZeneca (ChAdOx1-S) with the Australian approved labels, PI and packaging</w:t>
      </w:r>
      <w:r w:rsidR="005F247E">
        <w:t xml:space="preserve"> </w:t>
      </w:r>
      <w:r w:rsidRPr="00E90C00">
        <w:t>(unless an exemption to supply these has been granted) representative of all batches</w:t>
      </w:r>
      <w:r w:rsidR="00A24DCD">
        <w:t xml:space="preserve"> </w:t>
      </w:r>
      <w:r w:rsidRPr="00E90C00">
        <w:t>of product seeking distribution in Australia.</w:t>
      </w:r>
    </w:p>
    <w:p w14:paraId="2BB536E6" w14:textId="39A0D0AB" w:rsidR="00AA6CFA" w:rsidRPr="00E90C00" w:rsidRDefault="00AA6CFA" w:rsidP="00050F42">
      <w:pPr>
        <w:pStyle w:val="ListBullet2"/>
      </w:pPr>
      <w:r w:rsidRPr="00E90C00">
        <w:lastRenderedPageBreak/>
        <w:t>At least 5 (five) vials (Samples) of any further consignments of a manufacturing</w:t>
      </w:r>
      <w:r w:rsidR="00A24DCD">
        <w:t xml:space="preserve"> </w:t>
      </w:r>
      <w:r w:rsidRPr="00E90C00">
        <w:t>batch COVID-19 Vaccine AstraZeneca (ChAdOx1-S) with the Australian approved</w:t>
      </w:r>
      <w:r w:rsidR="00A24DCD">
        <w:t xml:space="preserve"> </w:t>
      </w:r>
      <w:r w:rsidRPr="00E90C00">
        <w:t>labels, PI and packaging (unless an exemption to supply these has been granted).</w:t>
      </w:r>
      <w:r w:rsidR="005F247E">
        <w:t xml:space="preserve"> </w:t>
      </w:r>
      <w:r w:rsidRPr="00E90C00">
        <w:t>Further consignments cover batches previously supplied to TGA for the purposes of</w:t>
      </w:r>
      <w:r w:rsidR="00A24DCD">
        <w:t xml:space="preserve"> </w:t>
      </w:r>
      <w:r w:rsidRPr="00E90C00">
        <w:t>batch release testing but are seeking to be supplied again.</w:t>
      </w:r>
    </w:p>
    <w:p w14:paraId="6207F1F1" w14:textId="28019327" w:rsidR="00AA6CFA" w:rsidRPr="00E90C00" w:rsidRDefault="00AA6CFA" w:rsidP="00050F42">
      <w:pPr>
        <w:pStyle w:val="ListBullet2"/>
      </w:pPr>
      <w:r w:rsidRPr="00E90C00">
        <w:t>If the manufacturing batch has been released in Europe or United Kingdom a copy of</w:t>
      </w:r>
      <w:r w:rsidR="00A24DCD">
        <w:t xml:space="preserve"> </w:t>
      </w:r>
      <w:r w:rsidRPr="00E90C00">
        <w:t>the EU Official Control Authority Batch Release (OCABR) certificate (or equivalent</w:t>
      </w:r>
      <w:r w:rsidR="00A24DCD">
        <w:t xml:space="preserve"> </w:t>
      </w:r>
      <w:r w:rsidRPr="00E90C00">
        <w:t>from the UK) must be provided.</w:t>
      </w:r>
    </w:p>
    <w:p w14:paraId="65D982F7" w14:textId="5F770513" w:rsidR="00AA6CFA" w:rsidRPr="00E90C00" w:rsidRDefault="00AA6CFA" w:rsidP="00050F42">
      <w:pPr>
        <w:pStyle w:val="ListBullet2"/>
      </w:pPr>
      <w:r w:rsidRPr="00E90C00">
        <w:t>Any reagents, reference material and standards required to undertake testing, as</w:t>
      </w:r>
      <w:r w:rsidR="00A24DCD">
        <w:t xml:space="preserve"> </w:t>
      </w:r>
      <w:r w:rsidRPr="00E90C00">
        <w:t>requested by Laboratories Branch, TGA.</w:t>
      </w:r>
    </w:p>
    <w:p w14:paraId="3178BA93" w14:textId="2B9AE6C2" w:rsidR="00A24DCD" w:rsidRDefault="00A24DCD" w:rsidP="00050F42">
      <w:pPr>
        <w:pStyle w:val="ListBullet"/>
        <w:numPr>
          <w:ilvl w:val="0"/>
          <w:numId w:val="0"/>
        </w:numPr>
        <w:ind w:left="360"/>
      </w:pPr>
      <w:r>
        <w:t xml:space="preserve">Sponsors must provide all requested </w:t>
      </w:r>
      <w:r w:rsidR="005F247E">
        <w:t>s</w:t>
      </w:r>
      <w:r>
        <w:t>amples and data in sufficient time (at least 5</w:t>
      </w:r>
      <w:r w:rsidR="005F247E">
        <w:t> </w:t>
      </w:r>
      <w:r>
        <w:t>business days) prior to any distribution date to allow the TGA to perform testing and review. Distribution of each batch of vaccine is conditional upon fulfilment of these conditions and receipt of a letter from the Laboratories Branch acknowledging release.</w:t>
      </w:r>
    </w:p>
    <w:p w14:paraId="64822475" w14:textId="1A495011" w:rsidR="00AA6CFA" w:rsidRDefault="00A24DCD" w:rsidP="00050F42">
      <w:pPr>
        <w:pStyle w:val="ListBullet"/>
        <w:numPr>
          <w:ilvl w:val="0"/>
          <w:numId w:val="0"/>
        </w:numPr>
        <w:ind w:left="360"/>
      </w:pPr>
      <w:r>
        <w:t xml:space="preserve">Samples and data </w:t>
      </w:r>
      <w:r w:rsidRPr="00E90C00">
        <w:t>should</w:t>
      </w:r>
      <w:r>
        <w:t xml:space="preserve"> be forwarded to the Biotherapeutics Section, Laboratories Branch before release of each batch and with sufficient lead time to allow for Laboratories Branch testing.</w:t>
      </w:r>
    </w:p>
    <w:p w14:paraId="768233E9" w14:textId="054EEC0B" w:rsidR="00A24DCD" w:rsidRDefault="00A24DCD" w:rsidP="00050F42">
      <w:pPr>
        <w:pStyle w:val="ListBullet"/>
        <w:numPr>
          <w:ilvl w:val="0"/>
          <w:numId w:val="0"/>
        </w:numPr>
        <w:ind w:left="360"/>
      </w:pPr>
      <w:r w:rsidRPr="00A24DCD">
        <w:t xml:space="preserve">The shipments (including reagents) to TGA are the responsibility of the Australian </w:t>
      </w:r>
      <w:r w:rsidR="005F247E" w:rsidRPr="00A24DCD">
        <w:t xml:space="preserve">sponsor/agent </w:t>
      </w:r>
      <w:r w:rsidRPr="00A24DCD">
        <w:t>who will be required to facilitate the import and customs clearance process.</w:t>
      </w:r>
    </w:p>
    <w:p w14:paraId="1B5D0877" w14:textId="497A5899" w:rsidR="00AA6CFA" w:rsidRPr="00050F42" w:rsidRDefault="00AA6CFA" w:rsidP="00050F42">
      <w:pPr>
        <w:pStyle w:val="ListBullet"/>
      </w:pPr>
      <w:r w:rsidRPr="00050F42">
        <w:t>Certified Product Details</w:t>
      </w:r>
    </w:p>
    <w:p w14:paraId="40337145" w14:textId="509915B7" w:rsidR="00AA6CFA" w:rsidRPr="00050F42" w:rsidRDefault="00AA6CFA" w:rsidP="00050F42">
      <w:pPr>
        <w:pStyle w:val="ListBullet"/>
        <w:numPr>
          <w:ilvl w:val="0"/>
          <w:numId w:val="0"/>
        </w:numPr>
        <w:ind w:left="360"/>
      </w:pPr>
      <w:r w:rsidRPr="00050F42">
        <w:t>An electronic copy of the Certified Product Details (CPD) as described in Guidance</w:t>
      </w:r>
      <w:r w:rsidR="006754BF">
        <w:t> </w:t>
      </w:r>
      <w:r w:rsidRPr="00050F42">
        <w:t xml:space="preserve">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w:t>
      </w:r>
      <w:r w:rsidR="005F247E" w:rsidRPr="00E90C00">
        <w:t>vaccin</w:t>
      </w:r>
      <w:r w:rsidRPr="00050F42">
        <w:t xml:space="preserve">es can be obtained from the TGA website </w:t>
      </w:r>
      <w:r w:rsidR="005F247E">
        <w:t>(</w:t>
      </w:r>
      <w:r w:rsidRPr="00050F42">
        <w:t>https://www.tga.gov.au/form/certified-product- details-</w:t>
      </w:r>
      <w:proofErr w:type="spellStart"/>
      <w:r w:rsidRPr="00050F42">
        <w:t>cpd</w:t>
      </w:r>
      <w:proofErr w:type="spellEnd"/>
      <w:r w:rsidRPr="00050F42">
        <w:t>-biological-prescription- medicines</w:t>
      </w:r>
      <w:r w:rsidR="005F247E">
        <w:t>)</w:t>
      </w:r>
      <w:r w:rsidRPr="00050F42">
        <w:t xml:space="preserve">. The CPD should be sent as a single bookmarked </w:t>
      </w:r>
      <w:r w:rsidR="005F247E" w:rsidRPr="00E90C00">
        <w:t>[</w:t>
      </w:r>
      <w:r w:rsidR="00542950" w:rsidRPr="00E90C00">
        <w:t>portable document format</w:t>
      </w:r>
      <w:r w:rsidR="005F247E" w:rsidRPr="00E90C00">
        <w:t xml:space="preserve">] </w:t>
      </w:r>
      <w:r w:rsidRPr="00050F42">
        <w:t xml:space="preserve">PDF document to </w:t>
      </w:r>
      <w:r w:rsidR="005F247E">
        <w:t>v</w:t>
      </w:r>
      <w:r w:rsidRPr="00050F42">
        <w:t>accines@health.gov.au as soon as possible after registration/approval of the product or any subsequent changes as indicated above.</w:t>
      </w:r>
    </w:p>
    <w:p w14:paraId="7ECC2133" w14:textId="77777777" w:rsidR="008E7846" w:rsidRDefault="00A80B5B" w:rsidP="00D23139">
      <w:pPr>
        <w:pStyle w:val="Heading2"/>
      </w:pPr>
      <w:bookmarkStart w:id="64" w:name="_Toc95891660"/>
      <w:r>
        <w:t xml:space="preserve">Attachment 1. </w:t>
      </w:r>
      <w:r w:rsidR="008E7846">
        <w:t xml:space="preserve">Product </w:t>
      </w:r>
      <w:r w:rsidR="00AA0ED0">
        <w:t>I</w:t>
      </w:r>
      <w:r w:rsidR="008E7846">
        <w:t>nformation</w:t>
      </w:r>
      <w:bookmarkEnd w:id="62"/>
      <w:bookmarkEnd w:id="63"/>
      <w:bookmarkEnd w:id="64"/>
    </w:p>
    <w:p w14:paraId="78228F4B" w14:textId="631FE6C2" w:rsidR="00C80137" w:rsidRDefault="006136D7" w:rsidP="00C80137">
      <w:pPr>
        <w:rPr>
          <w:color w:val="000000"/>
          <w:lang w:eastAsia="en-AU"/>
        </w:rPr>
      </w:pPr>
      <w:r w:rsidRPr="002B3624">
        <w:t xml:space="preserve">The </w:t>
      </w:r>
      <w:r>
        <w:t>PI</w:t>
      </w:r>
      <w:r w:rsidRPr="002B3624">
        <w:t xml:space="preserve"> for</w:t>
      </w:r>
      <w:r w:rsidR="004C05AD">
        <w:t xml:space="preserve"> </w:t>
      </w:r>
      <w:proofErr w:type="spellStart"/>
      <w:r w:rsidR="004C05AD">
        <w:t>Vaxzevria</w:t>
      </w:r>
      <w:proofErr w:type="spellEnd"/>
      <w:r w:rsidR="004C05AD">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1" w:history="1">
        <w:r w:rsidR="007C6B9B" w:rsidRPr="007C6B9B">
          <w:rPr>
            <w:rStyle w:val="Hyperlink"/>
          </w:rPr>
          <w:t>https://www.tga.gov.au/product-information-pi</w:t>
        </w:r>
      </w:hyperlink>
      <w:r w:rsidR="007C6B9B" w:rsidRPr="007C6B9B">
        <w:t>&gt;.</w:t>
      </w:r>
    </w:p>
    <w:p w14:paraId="25EDFCFE" w14:textId="0A4581FA" w:rsidR="00744121" w:rsidRDefault="008E7846" w:rsidP="00C4263F">
      <w:pPr>
        <w:autoSpaceDE w:val="0"/>
        <w:autoSpaceDN w:val="0"/>
        <w:adjustRightInd w:val="0"/>
        <w:spacing w:after="0"/>
        <w:rPr>
          <w:lang w:eastAsia="ja-JP"/>
        </w:rPr>
      </w:pPr>
      <w:r w:rsidRPr="00C80137">
        <w:rPr>
          <w:b/>
        </w:rPr>
        <w:br w:type="page"/>
      </w:r>
    </w:p>
    <w:p w14:paraId="360F627B" w14:textId="77777777"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6BE534B" w14:textId="77777777" w:rsidTr="00A05FA4">
        <w:trPr>
          <w:trHeight w:hRule="exact" w:val="704"/>
        </w:trPr>
        <w:tc>
          <w:tcPr>
            <w:tcW w:w="9175" w:type="dxa"/>
          </w:tcPr>
          <w:p w14:paraId="0741EA18" w14:textId="77777777" w:rsidR="001C32CD" w:rsidRPr="00487162" w:rsidRDefault="001C32CD" w:rsidP="00A05FA4">
            <w:pPr>
              <w:pStyle w:val="TGASignoff"/>
            </w:pPr>
            <w:r w:rsidRPr="00487162">
              <w:lastRenderedPageBreak/>
              <w:t>Therapeutic Goods Administration</w:t>
            </w:r>
          </w:p>
        </w:tc>
      </w:tr>
      <w:tr w:rsidR="001C32CD" w:rsidRPr="004C239D" w14:paraId="0521789D" w14:textId="77777777" w:rsidTr="00A05FA4">
        <w:trPr>
          <w:trHeight w:val="1221"/>
        </w:trPr>
        <w:tc>
          <w:tcPr>
            <w:tcW w:w="9175" w:type="dxa"/>
            <w:tcMar>
              <w:top w:w="28" w:type="dxa"/>
            </w:tcMar>
          </w:tcPr>
          <w:p w14:paraId="4E8E1D0B" w14:textId="77777777" w:rsidR="001C32CD" w:rsidRPr="00487162" w:rsidRDefault="001C32CD" w:rsidP="00A05FA4">
            <w:pPr>
              <w:pStyle w:val="Address"/>
            </w:pPr>
            <w:r w:rsidRPr="00487162">
              <w:t>PO Box 100 Woden ACT 2606 Australia</w:t>
            </w:r>
          </w:p>
          <w:p w14:paraId="3CFCFCB2" w14:textId="59E47B71" w:rsidR="001C32CD" w:rsidRPr="00487162" w:rsidRDefault="001C32CD" w:rsidP="00A05FA4">
            <w:pPr>
              <w:pStyle w:val="Address"/>
            </w:pPr>
            <w:r w:rsidRPr="00487162">
              <w:t xml:space="preserve">Email: </w:t>
            </w:r>
            <w:hyperlink r:id="rId26"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077205D" w14:textId="2D60738C" w:rsidR="001C32CD" w:rsidRPr="004C239D" w:rsidRDefault="00000000" w:rsidP="00A05FA4">
            <w:pPr>
              <w:pStyle w:val="Address"/>
              <w:spacing w:line="260" w:lineRule="atLeast"/>
              <w:rPr>
                <w:b/>
                <w:color w:val="0000FF"/>
                <w:u w:val="single"/>
              </w:rPr>
            </w:pPr>
            <w:hyperlink r:id="rId27" w:history="1">
              <w:r w:rsidR="007C6B9B" w:rsidRPr="007C6B9B">
                <w:rPr>
                  <w:rStyle w:val="Hyperlink"/>
                  <w:b/>
                </w:rPr>
                <w:t>https://www.tga.gov.au</w:t>
              </w:r>
            </w:hyperlink>
          </w:p>
        </w:tc>
      </w:tr>
    </w:tbl>
    <w:p w14:paraId="701CD6EE" w14:textId="77777777" w:rsidR="00774E1D" w:rsidRPr="008A5E0B" w:rsidRDefault="00774E1D" w:rsidP="004C239D"/>
    <w:sectPr w:rsidR="00774E1D" w:rsidRPr="008A5E0B"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33D3F" w14:textId="77777777" w:rsidR="00956A02" w:rsidRDefault="00956A02" w:rsidP="00C40A36">
      <w:pPr>
        <w:spacing w:after="0"/>
      </w:pPr>
      <w:r>
        <w:separator/>
      </w:r>
    </w:p>
  </w:endnote>
  <w:endnote w:type="continuationSeparator" w:id="0">
    <w:p w14:paraId="43B468AB" w14:textId="77777777" w:rsidR="00956A02" w:rsidRDefault="00956A0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B3066" w:rsidRPr="00487162" w14:paraId="54F12CC6" w14:textId="77777777" w:rsidTr="00DB750B">
      <w:trPr>
        <w:trHeight w:val="269"/>
      </w:trPr>
      <w:tc>
        <w:tcPr>
          <w:tcW w:w="7371" w:type="dxa"/>
          <w:tcMar>
            <w:top w:w="142" w:type="dxa"/>
            <w:bottom w:w="0" w:type="dxa"/>
          </w:tcMar>
        </w:tcPr>
        <w:p w14:paraId="37CAFE51" w14:textId="725E1C99" w:rsidR="00FB3066" w:rsidRPr="00487162" w:rsidRDefault="00FB3066" w:rsidP="00460036">
          <w:pPr>
            <w:pStyle w:val="Footer"/>
          </w:pPr>
          <w:proofErr w:type="spellStart"/>
          <w:r w:rsidRPr="00487162">
            <w:t>AusPA</w:t>
          </w:r>
          <w:r>
            <w:t>R</w:t>
          </w:r>
          <w:proofErr w:type="spellEnd"/>
          <w:r>
            <w:t xml:space="preserve"> - </w:t>
          </w:r>
          <w:proofErr w:type="spellStart"/>
          <w:r w:rsidRPr="00BC3087">
            <w:t>V</w:t>
          </w:r>
          <w:r>
            <w:t>axzevria</w:t>
          </w:r>
          <w:proofErr w:type="spellEnd"/>
          <w:r w:rsidRPr="00BC3087">
            <w:t xml:space="preserve"> - ChAdOx-1-S</w:t>
          </w:r>
          <w:r>
            <w:t xml:space="preserve"> </w:t>
          </w:r>
          <w:r w:rsidRPr="00BC3087">
            <w:t>- AstraZeneca Pty Ltd - PM-2021-05173-1</w:t>
          </w:r>
          <w:r>
            <w:t>-2</w:t>
          </w:r>
          <w:r>
            <w:br/>
          </w:r>
          <w:r w:rsidR="006754BF">
            <w:t>Final</w:t>
          </w:r>
          <w:r>
            <w:t xml:space="preserve"> </w:t>
          </w:r>
          <w:r w:rsidR="006754BF">
            <w:t>16</w:t>
          </w:r>
          <w:r>
            <w:t xml:space="preserve"> February 2022</w:t>
          </w:r>
        </w:p>
      </w:tc>
      <w:tc>
        <w:tcPr>
          <w:tcW w:w="1490" w:type="dxa"/>
          <w:tcMar>
            <w:top w:w="142" w:type="dxa"/>
            <w:bottom w:w="0" w:type="dxa"/>
          </w:tcMar>
        </w:tcPr>
        <w:p w14:paraId="018B3808" w14:textId="1C7E88E2" w:rsidR="00FB3066" w:rsidRPr="00487162" w:rsidRDefault="00FB3066" w:rsidP="00DB750B">
          <w:pPr>
            <w:pStyle w:val="Footer"/>
            <w:jc w:val="right"/>
          </w:pPr>
          <w:r w:rsidRPr="00487162">
            <w:t xml:space="preserve">Page </w:t>
          </w:r>
          <w:r>
            <w:fldChar w:fldCharType="begin"/>
          </w:r>
          <w:r>
            <w:instrText xml:space="preserve"> PAGE  \* Arabic </w:instrText>
          </w:r>
          <w:r>
            <w:fldChar w:fldCharType="separate"/>
          </w:r>
          <w:r>
            <w:rPr>
              <w:noProof/>
            </w:rPr>
            <w:t>3</w:t>
          </w:r>
          <w:r>
            <w:fldChar w:fldCharType="end"/>
          </w:r>
          <w:r w:rsidRPr="00487162">
            <w:t xml:space="preserve"> of </w:t>
          </w:r>
          <w:r w:rsidR="00000000">
            <w:fldChar w:fldCharType="begin"/>
          </w:r>
          <w:r w:rsidR="00000000">
            <w:instrText xml:space="preserve"> NUMPAGES  \* Arabic </w:instrText>
          </w:r>
          <w:r w:rsidR="00000000">
            <w:fldChar w:fldCharType="separate"/>
          </w:r>
          <w:r>
            <w:rPr>
              <w:noProof/>
            </w:rPr>
            <w:t>23</w:t>
          </w:r>
          <w:r w:rsidR="00000000">
            <w:rPr>
              <w:noProof/>
            </w:rPr>
            <w:fldChar w:fldCharType="end"/>
          </w:r>
        </w:p>
      </w:tc>
    </w:tr>
  </w:tbl>
  <w:p w14:paraId="434F85AB" w14:textId="77777777" w:rsidR="00FB3066" w:rsidRDefault="00FB306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B3066" w:rsidRPr="00487162" w14:paraId="30593729" w14:textId="77777777" w:rsidTr="00E45619">
      <w:trPr>
        <w:trHeight w:val="269"/>
      </w:trPr>
      <w:tc>
        <w:tcPr>
          <w:tcW w:w="4519" w:type="dxa"/>
          <w:tcBorders>
            <w:top w:val="single" w:sz="4" w:space="0" w:color="auto"/>
          </w:tcBorders>
          <w:tcMar>
            <w:top w:w="142" w:type="dxa"/>
            <w:bottom w:w="0" w:type="dxa"/>
          </w:tcMar>
        </w:tcPr>
        <w:p w14:paraId="07D2B0BA" w14:textId="77777777" w:rsidR="00FB3066" w:rsidRPr="00487162" w:rsidRDefault="00FB3066" w:rsidP="00FE1DEE">
          <w:pPr>
            <w:pStyle w:val="Footer"/>
          </w:pPr>
          <w:r w:rsidRPr="00487162">
            <w:t>Document title, Part #, Section # - Section title</w:t>
          </w:r>
        </w:p>
        <w:p w14:paraId="38D28B5D" w14:textId="77777777" w:rsidR="00FB3066" w:rsidRPr="00487162" w:rsidRDefault="00FB3066" w:rsidP="00FE1DEE">
          <w:pPr>
            <w:pStyle w:val="Footer"/>
          </w:pPr>
          <w:r w:rsidRPr="00487162">
            <w:t>V1.0 October 2010</w:t>
          </w:r>
        </w:p>
      </w:tc>
      <w:tc>
        <w:tcPr>
          <w:tcW w:w="4342" w:type="dxa"/>
          <w:tcBorders>
            <w:top w:val="single" w:sz="4" w:space="0" w:color="auto"/>
          </w:tcBorders>
          <w:tcMar>
            <w:top w:w="142" w:type="dxa"/>
            <w:bottom w:w="0" w:type="dxa"/>
          </w:tcMar>
        </w:tcPr>
        <w:p w14:paraId="003946AE" w14:textId="77777777" w:rsidR="00FB3066" w:rsidRPr="00487162" w:rsidRDefault="00FB306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00000">
            <w:fldChar w:fldCharType="begin"/>
          </w:r>
          <w:r w:rsidR="00000000">
            <w:instrText xml:space="preserve"> NUMPAGES  </w:instrText>
          </w:r>
          <w:r w:rsidR="00000000">
            <w:fldChar w:fldCharType="separate"/>
          </w:r>
          <w:r>
            <w:rPr>
              <w:noProof/>
            </w:rPr>
            <w:t>21</w:t>
          </w:r>
          <w:r w:rsidR="00000000">
            <w:rPr>
              <w:noProof/>
            </w:rPr>
            <w:fldChar w:fldCharType="end"/>
          </w:r>
        </w:p>
      </w:tc>
    </w:tr>
  </w:tbl>
  <w:p w14:paraId="69A5F157" w14:textId="77777777" w:rsidR="00FB3066" w:rsidRDefault="00FB3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E2849" w14:textId="77777777" w:rsidR="00FB3066" w:rsidRPr="001C32CD" w:rsidRDefault="00FB306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B3066" w14:paraId="22A02D33" w14:textId="77777777" w:rsidTr="0010601F">
      <w:trPr>
        <w:trHeight w:val="108"/>
      </w:trPr>
      <w:tc>
        <w:tcPr>
          <w:tcW w:w="8875" w:type="dxa"/>
          <w:gridSpan w:val="2"/>
          <w:tcBorders>
            <w:bottom w:val="single" w:sz="4" w:space="0" w:color="auto"/>
          </w:tcBorders>
          <w:tcMar>
            <w:right w:w="284" w:type="dxa"/>
          </w:tcMar>
        </w:tcPr>
        <w:p w14:paraId="4C2B503A" w14:textId="77777777" w:rsidR="00FB3066" w:rsidRDefault="00FB3066" w:rsidP="006E08B3">
          <w:pPr>
            <w:pStyle w:val="Heading3"/>
          </w:pPr>
          <w:r>
            <w:t>Copyright</w:t>
          </w:r>
        </w:p>
        <w:p w14:paraId="34B1AEFE" w14:textId="77777777" w:rsidR="00FB3066" w:rsidRDefault="00FB3066" w:rsidP="006E08B3">
          <w:r>
            <w:rPr>
              <w:rFonts w:cs="Arial"/>
            </w:rPr>
            <w:t>©</w:t>
          </w:r>
          <w:r>
            <w:t xml:space="preserve"> Commonwealth of Australia [add year]</w:t>
          </w:r>
        </w:p>
        <w:p w14:paraId="1F930BA9" w14:textId="77777777" w:rsidR="00FB3066" w:rsidRDefault="00FB3066" w:rsidP="006E08B3"/>
        <w:p w14:paraId="67330D83" w14:textId="77777777" w:rsidR="00FB3066" w:rsidRDefault="00FB306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C9A407E" w14:textId="77777777" w:rsidR="00FB3066" w:rsidRDefault="00FB3066" w:rsidP="006E08B3"/>
        <w:p w14:paraId="34A8FCD0" w14:textId="77777777" w:rsidR="00FB3066" w:rsidRDefault="00FB3066" w:rsidP="006E08B3">
          <w:pPr>
            <w:pStyle w:val="Heading3"/>
          </w:pPr>
          <w:r>
            <w:t>Confidentiality</w:t>
          </w:r>
        </w:p>
        <w:p w14:paraId="51F785A3" w14:textId="77777777" w:rsidR="00FB3066" w:rsidRDefault="00FB306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FCEA265" w14:textId="77777777" w:rsidR="00FB3066" w:rsidRDefault="00FB3066" w:rsidP="006E08B3"/>
        <w:p w14:paraId="5538D0E9" w14:textId="77777777" w:rsidR="00FB3066" w:rsidRDefault="00FB3066" w:rsidP="006E08B3">
          <w:r>
            <w:t>For submission made by individuals, all personal details, other than your name, will be removed from your submission before it is published on the TGA’s Internet site.</w:t>
          </w:r>
        </w:p>
        <w:p w14:paraId="7FB35AC6" w14:textId="77777777" w:rsidR="00FB3066" w:rsidRDefault="00FB3066" w:rsidP="006E08B3"/>
        <w:p w14:paraId="1EAE5FDC" w14:textId="77777777" w:rsidR="00FB3066" w:rsidRDefault="00FB306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B3066" w14:paraId="7D7AA402" w14:textId="77777777" w:rsidTr="0010601F">
      <w:trPr>
        <w:trHeight w:val="417"/>
      </w:trPr>
      <w:tc>
        <w:tcPr>
          <w:tcW w:w="4519" w:type="dxa"/>
          <w:tcBorders>
            <w:top w:val="single" w:sz="4" w:space="0" w:color="auto"/>
          </w:tcBorders>
          <w:tcMar>
            <w:top w:w="142" w:type="dxa"/>
            <w:bottom w:w="0" w:type="dxa"/>
          </w:tcMar>
        </w:tcPr>
        <w:p w14:paraId="75F2D2CB" w14:textId="77777777" w:rsidR="00FB3066" w:rsidRDefault="00FB3066" w:rsidP="006E08B3">
          <w:r>
            <w:t>Document title, Part #, Section # - Section title</w:t>
          </w:r>
        </w:p>
        <w:p w14:paraId="7F8DAAB5" w14:textId="77777777" w:rsidR="00FB3066" w:rsidRDefault="00FB3066" w:rsidP="006E08B3">
          <w:r>
            <w:t>V1.0 October 2010</w:t>
          </w:r>
        </w:p>
      </w:tc>
      <w:tc>
        <w:tcPr>
          <w:tcW w:w="4356" w:type="dxa"/>
          <w:tcBorders>
            <w:top w:val="single" w:sz="4" w:space="0" w:color="auto"/>
          </w:tcBorders>
          <w:tcMar>
            <w:top w:w="142" w:type="dxa"/>
            <w:bottom w:w="0" w:type="dxa"/>
          </w:tcMar>
        </w:tcPr>
        <w:p w14:paraId="78DAD06B" w14:textId="77777777" w:rsidR="00FB3066" w:rsidRDefault="00FB306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00000">
            <w:fldChar w:fldCharType="begin"/>
          </w:r>
          <w:r w:rsidR="00000000">
            <w:instrText xml:space="preserve"> NUMPAGES  \* Arabic </w:instrText>
          </w:r>
          <w:r w:rsidR="00000000">
            <w:fldChar w:fldCharType="separate"/>
          </w:r>
          <w:r>
            <w:rPr>
              <w:noProof/>
            </w:rPr>
            <w:t>21</w:t>
          </w:r>
          <w:r w:rsidR="00000000">
            <w:rPr>
              <w:noProof/>
            </w:rPr>
            <w:fldChar w:fldCharType="end"/>
          </w:r>
          <w:r>
            <w:t xml:space="preserve">  </w:t>
          </w:r>
        </w:p>
      </w:tc>
    </w:tr>
  </w:tbl>
  <w:p w14:paraId="64F2ECC4" w14:textId="77777777" w:rsidR="00FB3066" w:rsidRDefault="00FB30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754FF" w14:textId="77777777" w:rsidR="00956A02" w:rsidRDefault="00956A02" w:rsidP="00C40A36">
      <w:pPr>
        <w:spacing w:after="0"/>
      </w:pPr>
      <w:r>
        <w:separator/>
      </w:r>
    </w:p>
  </w:footnote>
  <w:footnote w:type="continuationSeparator" w:id="0">
    <w:p w14:paraId="418269D5" w14:textId="77777777" w:rsidR="00956A02" w:rsidRDefault="00956A02" w:rsidP="00C40A36">
      <w:pPr>
        <w:spacing w:after="0"/>
      </w:pPr>
      <w:r>
        <w:continuationSeparator/>
      </w:r>
    </w:p>
  </w:footnote>
  <w:footnote w:id="1">
    <w:p w14:paraId="34E9FBCD" w14:textId="77777777" w:rsidR="00FB3066" w:rsidRDefault="00FB306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44C33225" w14:textId="450186C1" w:rsidR="00FB3066" w:rsidRDefault="00FB3066">
      <w:pPr>
        <w:pStyle w:val="FootnoteText"/>
      </w:pPr>
      <w:r>
        <w:rPr>
          <w:rStyle w:val="FootnoteReference"/>
        </w:rPr>
        <w:footnoteRef/>
      </w:r>
      <w:r>
        <w:t xml:space="preserve"> AZD1222 is the product development code for </w:t>
      </w:r>
      <w:proofErr w:type="spellStart"/>
      <w:r>
        <w:t>Vaxzevria</w:t>
      </w:r>
      <w:proofErr w:type="spellEnd"/>
      <w:r>
        <w:t>.</w:t>
      </w:r>
    </w:p>
  </w:footnote>
  <w:footnote w:id="3">
    <w:p w14:paraId="07A8DAD2" w14:textId="0F8EC011" w:rsidR="00FB3066" w:rsidRDefault="00FB3066">
      <w:pPr>
        <w:pStyle w:val="FootnoteText"/>
      </w:pPr>
      <w:r>
        <w:rPr>
          <w:rStyle w:val="FootnoteReference"/>
        </w:rPr>
        <w:footnoteRef/>
      </w:r>
      <w:r>
        <w:t xml:space="preserve"> World Health Organization,</w:t>
      </w:r>
      <w:r w:rsidRPr="00255565">
        <w:t xml:space="preserve"> </w:t>
      </w:r>
      <w:hyperlink r:id="rId1" w:history="1">
        <w:r w:rsidRPr="0087281D">
          <w:t xml:space="preserve">WHO Director-General </w:t>
        </w:r>
        <w:r>
          <w:t>S</w:t>
        </w:r>
        <w:r w:rsidRPr="0087281D">
          <w:t>peeches</w:t>
        </w:r>
      </w:hyperlink>
      <w:r w:rsidRPr="0087281D">
        <w:t xml:space="preserve">: </w:t>
      </w:r>
      <w:r w:rsidRPr="009317B9">
        <w:t xml:space="preserve">WHO Director-General's </w:t>
      </w:r>
      <w:r>
        <w:t>O</w:t>
      </w:r>
      <w:r w:rsidRPr="009317B9">
        <w:t xml:space="preserve">pening </w:t>
      </w:r>
      <w:r>
        <w:t>R</w:t>
      </w:r>
      <w:r w:rsidRPr="009317B9">
        <w:t xml:space="preserve">emarks at the </w:t>
      </w:r>
      <w:r>
        <w:t>M</w:t>
      </w:r>
      <w:r w:rsidRPr="009317B9">
        <w:t xml:space="preserve">edia </w:t>
      </w:r>
      <w:r>
        <w:t>B</w:t>
      </w:r>
      <w:r w:rsidRPr="009317B9">
        <w:t>riefing on COVID-19 - 11 March 2020</w:t>
      </w:r>
      <w:r>
        <w:t>,</w:t>
      </w:r>
      <w:r w:rsidRPr="00410597">
        <w:t xml:space="preserve"> 11 March 2020</w:t>
      </w:r>
      <w:r w:rsidRPr="0087281D">
        <w:t>.</w:t>
      </w:r>
      <w:r>
        <w:t xml:space="preserve"> Available at: </w:t>
      </w:r>
      <w:hyperlink r:id="rId2" w:history="1">
        <w:r w:rsidRPr="00431D0B">
          <w:rPr>
            <w:rStyle w:val="Hyperlink"/>
          </w:rPr>
          <w:t>https://www.who.int/director-general/speeches/detail/who-director-general-s-opening-remarks-at-the-media-briefing-on-covid-19---11-march-2020</w:t>
        </w:r>
      </w:hyperlink>
      <w:r>
        <w:t>.</w:t>
      </w:r>
    </w:p>
  </w:footnote>
  <w:footnote w:id="4">
    <w:p w14:paraId="625A7343" w14:textId="726AF529" w:rsidR="00FB3066" w:rsidRPr="00FB0E41" w:rsidRDefault="00FB3066">
      <w:pPr>
        <w:pStyle w:val="FootnoteText"/>
        <w:rPr>
          <w:lang w:val="en-US"/>
        </w:rPr>
      </w:pPr>
      <w:r>
        <w:rPr>
          <w:rStyle w:val="FootnoteReference"/>
        </w:rPr>
        <w:footnoteRef/>
      </w:r>
      <w:r>
        <w:t xml:space="preserve"> </w:t>
      </w:r>
      <w:proofErr w:type="spellStart"/>
      <w:r>
        <w:rPr>
          <w:lang w:val="en-US"/>
        </w:rPr>
        <w:t>AusPAR</w:t>
      </w:r>
      <w:proofErr w:type="spellEnd"/>
      <w:r>
        <w:rPr>
          <w:lang w:val="en-US"/>
        </w:rPr>
        <w:t xml:space="preserve"> for </w:t>
      </w:r>
      <w:proofErr w:type="spellStart"/>
      <w:r>
        <w:rPr>
          <w:lang w:val="en-US"/>
        </w:rPr>
        <w:t>Vaxzevria</w:t>
      </w:r>
      <w:proofErr w:type="spellEnd"/>
      <w:r>
        <w:rPr>
          <w:lang w:val="en-US"/>
        </w:rPr>
        <w:t xml:space="preserve"> </w:t>
      </w:r>
      <w:r w:rsidRPr="009E0824">
        <w:rPr>
          <w:lang w:val="en-US"/>
        </w:rPr>
        <w:t>ChAdOx1-S</w:t>
      </w:r>
      <w:r>
        <w:rPr>
          <w:lang w:val="en-US"/>
        </w:rPr>
        <w:t xml:space="preserve"> AstraZeneca Pty Ltd </w:t>
      </w:r>
      <w:r w:rsidRPr="009E0824">
        <w:rPr>
          <w:lang w:val="en-US"/>
        </w:rPr>
        <w:t>PM 2020 06115 1-2</w:t>
      </w:r>
      <w:r>
        <w:rPr>
          <w:lang w:val="en-US"/>
        </w:rPr>
        <w:t>. Available at: </w:t>
      </w:r>
      <w:hyperlink r:id="rId3" w:history="1">
        <w:r w:rsidRPr="00431D0B">
          <w:rPr>
            <w:rStyle w:val="Hyperlink"/>
            <w:lang w:val="en-US"/>
          </w:rPr>
          <w:t>https://www.tga.gov.au/auspar/auspar-chadox1-s</w:t>
        </w:r>
      </w:hyperlink>
      <w:r>
        <w:rPr>
          <w:lang w:val="en-US"/>
        </w:rPr>
        <w:t>.</w:t>
      </w:r>
    </w:p>
  </w:footnote>
  <w:footnote w:id="5">
    <w:p w14:paraId="3DF9A141" w14:textId="43824329" w:rsidR="00FB3066" w:rsidRPr="00FB0E41" w:rsidRDefault="00FB3066">
      <w:pPr>
        <w:pStyle w:val="FootnoteText"/>
        <w:rPr>
          <w:lang w:val="en-GB"/>
        </w:rPr>
      </w:pPr>
      <w:r>
        <w:rPr>
          <w:rStyle w:val="FootnoteReference"/>
        </w:rPr>
        <w:footnoteRef/>
      </w:r>
      <w:r>
        <w:t xml:space="preserve"> World Health Organization (WHO) Tracking SARS-CoV-2 Variants, </w:t>
      </w:r>
      <w:r w:rsidRPr="00410597">
        <w:t>updated on 25 January 2022</w:t>
      </w:r>
      <w:r>
        <w:t>. Available at: </w:t>
      </w:r>
      <w:hyperlink r:id="rId4" w:history="1">
        <w:r w:rsidRPr="00431D0B">
          <w:rPr>
            <w:rStyle w:val="Hyperlink"/>
          </w:rPr>
          <w:t>https://www.who.int/en/activities/tracking-SARS-CoV-2-variants/</w:t>
        </w:r>
      </w:hyperlink>
      <w:r>
        <w:t xml:space="preserve"> (accessed 27 January 2022).</w:t>
      </w:r>
    </w:p>
  </w:footnote>
  <w:footnote w:id="6">
    <w:p w14:paraId="581F13A5" w14:textId="77777777" w:rsidR="00FB3066" w:rsidRDefault="00FB3066" w:rsidP="00B71D1B">
      <w:pPr>
        <w:pStyle w:val="FootnoteText"/>
      </w:pPr>
      <w:r>
        <w:rPr>
          <w:rStyle w:val="FootnoteReference"/>
        </w:rPr>
        <w:footnoteRef/>
      </w:r>
      <w:r>
        <w:t xml:space="preserve"> As part of the </w:t>
      </w:r>
      <w:r w:rsidRPr="00CF1D4F">
        <w:rPr>
          <w:b/>
        </w:rPr>
        <w:t>provisional approval pathway</w:t>
      </w:r>
      <w:r>
        <w:t xml:space="preserve">, the provisional registration process will allow certain medicines to be provisionally registered in the Australian Register of Therapeutic Goods (ARTG) for a limited duration. These medicines are registered </w:t>
      </w:r>
      <w:proofErr w:type="gramStart"/>
      <w:r>
        <w:t>on the basis of</w:t>
      </w:r>
      <w:proofErr w:type="gramEnd"/>
      <w:r>
        <w:t xml:space="preserve"> preliminary clinical data, where there is the potential for a substantial benefit to Australian patients. The TGA will re-assess risks related to the absence of evidence through data provided at a later stage, as part of the confirmatory data.</w:t>
      </w:r>
    </w:p>
    <w:p w14:paraId="3B418FD6" w14:textId="77777777" w:rsidR="00FB3066" w:rsidRDefault="00FB3066" w:rsidP="00B71D1B">
      <w:pPr>
        <w:pStyle w:val="FootnoteText"/>
      </w:pPr>
      <w:r>
        <w:t>Confirmatory data should confirm the relationship between outcomes predicted by the surrogate endpoint, or other preliminary data, and the clinical benefit as demonstrated by direct clinical outcomes.</w:t>
      </w:r>
    </w:p>
    <w:p w14:paraId="3C1FAB95" w14:textId="3B67C735" w:rsidR="00FB3066" w:rsidRDefault="00FB3066" w:rsidP="00B71D1B">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7">
    <w:p w14:paraId="697DB288" w14:textId="331979D8" w:rsidR="00FB3066" w:rsidRPr="00415920" w:rsidRDefault="00FB3066">
      <w:pPr>
        <w:pStyle w:val="FootnoteText"/>
        <w:rPr>
          <w:lang w:val="en-GB"/>
        </w:rPr>
      </w:pPr>
      <w:r>
        <w:rPr>
          <w:rStyle w:val="FootnoteReference"/>
        </w:rPr>
        <w:footnoteRef/>
      </w:r>
      <w:r>
        <w:t xml:space="preserve"> </w:t>
      </w:r>
      <w:r>
        <w:rPr>
          <w:lang w:val="en-GB"/>
        </w:rPr>
        <w:t xml:space="preserve">The </w:t>
      </w:r>
      <w:proofErr w:type="spellStart"/>
      <w:r>
        <w:rPr>
          <w:lang w:val="en-GB"/>
        </w:rPr>
        <w:t>MenACWY</w:t>
      </w:r>
      <w:proofErr w:type="spellEnd"/>
      <w:r>
        <w:rPr>
          <w:lang w:val="en-GB"/>
        </w:rPr>
        <w:t xml:space="preserve"> vaccine is a vaccination conveying protection against meningococcal disease caused by serogroups A, C, W and Y.</w:t>
      </w:r>
    </w:p>
  </w:footnote>
  <w:footnote w:id="8">
    <w:p w14:paraId="5DD18A20" w14:textId="51228B00" w:rsidR="00FB3066" w:rsidRDefault="00FB3066">
      <w:pPr>
        <w:pStyle w:val="FootnoteText"/>
      </w:pPr>
      <w:r>
        <w:rPr>
          <w:rStyle w:val="FootnoteReference"/>
        </w:rPr>
        <w:footnoteRef/>
      </w:r>
      <w:r>
        <w:t xml:space="preserve"> Flaxman et al. </w:t>
      </w:r>
      <w:r w:rsidRPr="00F5150A">
        <w:t xml:space="preserve">Reactogenicity and </w:t>
      </w:r>
      <w:r>
        <w:t>I</w:t>
      </w:r>
      <w:r w:rsidRPr="00F5150A">
        <w:t xml:space="preserve">mmunogenicity after a </w:t>
      </w:r>
      <w:r>
        <w:t>L</w:t>
      </w:r>
      <w:r w:rsidRPr="00F5150A">
        <w:t xml:space="preserve">ate </w:t>
      </w:r>
      <w:r>
        <w:t>S</w:t>
      </w:r>
      <w:r w:rsidRPr="00F5150A">
        <w:t xml:space="preserve">econd </w:t>
      </w:r>
      <w:r>
        <w:t>D</w:t>
      </w:r>
      <w:r w:rsidRPr="00F5150A">
        <w:t xml:space="preserve">ose or a </w:t>
      </w:r>
      <w:r>
        <w:t>T</w:t>
      </w:r>
      <w:r w:rsidRPr="00F5150A">
        <w:t xml:space="preserve">hird </w:t>
      </w:r>
      <w:r>
        <w:t>D</w:t>
      </w:r>
      <w:r w:rsidRPr="00F5150A">
        <w:t xml:space="preserve">ose of ChAdOx1 nCoV-19 in the UK: a </w:t>
      </w:r>
      <w:proofErr w:type="spellStart"/>
      <w:r>
        <w:t>S</w:t>
      </w:r>
      <w:r w:rsidRPr="00F5150A">
        <w:t>ubstudy</w:t>
      </w:r>
      <w:proofErr w:type="spellEnd"/>
      <w:r w:rsidRPr="00F5150A">
        <w:t xml:space="preserve"> of two </w:t>
      </w:r>
      <w:r>
        <w:t>R</w:t>
      </w:r>
      <w:r w:rsidRPr="00F5150A">
        <w:t xml:space="preserve">andomised </w:t>
      </w:r>
      <w:r>
        <w:t>C</w:t>
      </w:r>
      <w:r w:rsidRPr="00F5150A">
        <w:t xml:space="preserve">ontrolled </w:t>
      </w:r>
      <w:r>
        <w:t>T</w:t>
      </w:r>
      <w:r w:rsidRPr="00F5150A">
        <w:t>rials (COV001 and COV002)</w:t>
      </w:r>
      <w:r>
        <w:t>,</w:t>
      </w:r>
      <w:r w:rsidRPr="00F5150A">
        <w:t xml:space="preserve"> </w:t>
      </w:r>
      <w:r w:rsidRPr="00F5150A">
        <w:rPr>
          <w:i/>
          <w:iCs/>
        </w:rPr>
        <w:t>Lancet</w:t>
      </w:r>
      <w:r>
        <w:t>,</w:t>
      </w:r>
      <w:r w:rsidRPr="00F5150A">
        <w:t xml:space="preserve"> 2021;</w:t>
      </w:r>
      <w:r>
        <w:t xml:space="preserve"> </w:t>
      </w:r>
      <w:r w:rsidRPr="00F5150A">
        <w:t>398(10304):</w:t>
      </w:r>
      <w:r>
        <w:t xml:space="preserve"> </w:t>
      </w:r>
      <w:r w:rsidRPr="00F5150A">
        <w:t>981-990</w:t>
      </w:r>
      <w:r>
        <w:t>.</w:t>
      </w:r>
    </w:p>
  </w:footnote>
  <w:footnote w:id="9">
    <w:p w14:paraId="1D5003ED" w14:textId="675B052B" w:rsidR="00FB3066" w:rsidRDefault="00FB3066" w:rsidP="0026430A">
      <w:pPr>
        <w:pStyle w:val="FootnoteText"/>
      </w:pPr>
      <w:r>
        <w:rPr>
          <w:rStyle w:val="FootnoteReference"/>
        </w:rPr>
        <w:footnoteRef/>
      </w:r>
      <w:r>
        <w:t xml:space="preserve"> </w:t>
      </w:r>
      <w:r w:rsidRPr="00650EEA">
        <w:t>Bar-On, Y</w:t>
      </w:r>
      <w:r>
        <w:t>.</w:t>
      </w:r>
      <w:r w:rsidRPr="00650EEA">
        <w:t xml:space="preserve"> et al. Protection of BNT162b2 Vaccine Booster </w:t>
      </w:r>
      <w:r>
        <w:t>A</w:t>
      </w:r>
      <w:r w:rsidRPr="00650EEA">
        <w:t xml:space="preserve">gainst </w:t>
      </w:r>
      <w:r>
        <w:t>COVID</w:t>
      </w:r>
      <w:r w:rsidRPr="00650EEA">
        <w:t>-19 in Israel</w:t>
      </w:r>
      <w:r>
        <w:t>,</w:t>
      </w:r>
      <w:r w:rsidRPr="00650EEA">
        <w:t xml:space="preserve"> </w:t>
      </w:r>
      <w:r w:rsidRPr="0005074E">
        <w:rPr>
          <w:i/>
          <w:iCs/>
        </w:rPr>
        <w:t>N Engl J Med</w:t>
      </w:r>
      <w:r>
        <w:t>,</w:t>
      </w:r>
      <w:r w:rsidRPr="00650EEA">
        <w:t xml:space="preserve"> 2021; 385:</w:t>
      </w:r>
      <w:r>
        <w:t xml:space="preserve"> </w:t>
      </w:r>
      <w:r w:rsidRPr="00650EEA">
        <w:t>1393-1400.</w:t>
      </w:r>
    </w:p>
  </w:footnote>
  <w:footnote w:id="10">
    <w:p w14:paraId="789E0833" w14:textId="76BC30FE" w:rsidR="00FB3066" w:rsidRDefault="00FB3066">
      <w:pPr>
        <w:pStyle w:val="FootnoteText"/>
      </w:pPr>
      <w:r>
        <w:rPr>
          <w:rStyle w:val="FootnoteReference"/>
        </w:rPr>
        <w:footnoteRef/>
      </w:r>
      <w:r>
        <w:t xml:space="preserve"> BNT162b2 is the product development code for Comirnaty.</w:t>
      </w:r>
    </w:p>
  </w:footnote>
  <w:footnote w:id="11">
    <w:p w14:paraId="6942E0B4" w14:textId="61E39207" w:rsidR="00FB3066" w:rsidRDefault="00FB3066">
      <w:pPr>
        <w:pStyle w:val="FootnoteText"/>
      </w:pPr>
      <w:r>
        <w:rPr>
          <w:rStyle w:val="FootnoteReference"/>
        </w:rPr>
        <w:footnoteRef/>
      </w:r>
      <w:r>
        <w:t xml:space="preserve"> </w:t>
      </w:r>
      <w:r w:rsidRPr="00CC3488">
        <w:t>Barrett, J.</w:t>
      </w:r>
      <w:r>
        <w:t xml:space="preserve"> </w:t>
      </w:r>
      <w:r w:rsidRPr="00CC3488">
        <w:t xml:space="preserve">et al. Phase 1/2 </w:t>
      </w:r>
      <w:r>
        <w:t>T</w:t>
      </w:r>
      <w:r w:rsidRPr="00CC3488">
        <w:t xml:space="preserve">rial of SARS-CoV-2 </w:t>
      </w:r>
      <w:r>
        <w:t>V</w:t>
      </w:r>
      <w:r w:rsidRPr="00CC3488">
        <w:t xml:space="preserve">accine ChAdOx1 nCoV-19 with a </w:t>
      </w:r>
      <w:r>
        <w:t>B</w:t>
      </w:r>
      <w:r w:rsidRPr="00CC3488">
        <w:t xml:space="preserve">ooster </w:t>
      </w:r>
      <w:r>
        <w:t>D</w:t>
      </w:r>
      <w:r w:rsidRPr="00CC3488">
        <w:t xml:space="preserve">ose </w:t>
      </w:r>
      <w:r>
        <w:t>I</w:t>
      </w:r>
      <w:r w:rsidRPr="00CC3488">
        <w:t xml:space="preserve">nduces </w:t>
      </w:r>
      <w:r>
        <w:t>M</w:t>
      </w:r>
      <w:r w:rsidRPr="00CC3488">
        <w:t xml:space="preserve">ultifunctional </w:t>
      </w:r>
      <w:r>
        <w:t>A</w:t>
      </w:r>
      <w:r w:rsidRPr="00CC3488">
        <w:t xml:space="preserve">ntibody </w:t>
      </w:r>
      <w:r>
        <w:t>R</w:t>
      </w:r>
      <w:r w:rsidRPr="00CC3488">
        <w:t>esponses</w:t>
      </w:r>
      <w:r>
        <w:t>,</w:t>
      </w:r>
      <w:r w:rsidRPr="00CC3488">
        <w:t xml:space="preserve"> </w:t>
      </w:r>
      <w:r w:rsidRPr="00CC3488">
        <w:rPr>
          <w:i/>
          <w:iCs/>
        </w:rPr>
        <w:t>Nat Med</w:t>
      </w:r>
      <w:r>
        <w:t xml:space="preserve">, 2021; </w:t>
      </w:r>
      <w:r w:rsidRPr="00CC3488">
        <w:t>279–288</w:t>
      </w:r>
      <w:r>
        <w:t>.</w:t>
      </w:r>
    </w:p>
  </w:footnote>
  <w:footnote w:id="12">
    <w:p w14:paraId="3FEA874A" w14:textId="13E14352" w:rsidR="00FB3066" w:rsidRDefault="00FB3066">
      <w:pPr>
        <w:pStyle w:val="FootnoteText"/>
      </w:pPr>
      <w:r>
        <w:rPr>
          <w:rStyle w:val="FootnoteReference"/>
        </w:rPr>
        <w:footnoteRef/>
      </w:r>
      <w:r>
        <w:t xml:space="preserve"> </w:t>
      </w:r>
      <w:proofErr w:type="spellStart"/>
      <w:r w:rsidRPr="00410597">
        <w:t>Bergwerk</w:t>
      </w:r>
      <w:proofErr w:type="spellEnd"/>
      <w:r>
        <w:t xml:space="preserve">, M. </w:t>
      </w:r>
      <w:r w:rsidRPr="00CC2498">
        <w:t xml:space="preserve">et al. </w:t>
      </w:r>
      <w:r>
        <w:t>COVID</w:t>
      </w:r>
      <w:r w:rsidRPr="00CC2498">
        <w:t>-19 Breakthrough Infections in Vaccinated Health Care Workers</w:t>
      </w:r>
      <w:r>
        <w:t>,</w:t>
      </w:r>
      <w:r w:rsidRPr="00CC2498">
        <w:t xml:space="preserve"> </w:t>
      </w:r>
      <w:r w:rsidRPr="007D3891">
        <w:rPr>
          <w:i/>
          <w:iCs/>
        </w:rPr>
        <w:t>N Engl J Med</w:t>
      </w:r>
      <w:r>
        <w:t xml:space="preserve">, </w:t>
      </w:r>
      <w:r w:rsidRPr="00CC2498">
        <w:t>2021; 385:</w:t>
      </w:r>
      <w:r>
        <w:t xml:space="preserve"> </w:t>
      </w:r>
      <w:r w:rsidRPr="00CC2498">
        <w:t>1474-1484</w:t>
      </w:r>
    </w:p>
  </w:footnote>
  <w:footnote w:id="13">
    <w:p w14:paraId="011804A5" w14:textId="43D288B5" w:rsidR="00FB3066" w:rsidRDefault="00FB3066">
      <w:pPr>
        <w:pStyle w:val="FootnoteText"/>
      </w:pPr>
      <w:r>
        <w:rPr>
          <w:rStyle w:val="FootnoteReference"/>
        </w:rPr>
        <w:footnoteRef/>
      </w:r>
      <w:r>
        <w:t xml:space="preserve"> </w:t>
      </w:r>
      <w:r w:rsidRPr="0047029D">
        <w:t>Bhuyan</w:t>
      </w:r>
      <w:r>
        <w:t>, P.</w:t>
      </w:r>
      <w:r w:rsidRPr="0047029D">
        <w:t xml:space="preserve"> et al. Very </w:t>
      </w:r>
      <w:r>
        <w:t>R</w:t>
      </w:r>
      <w:r w:rsidRPr="0047029D">
        <w:t xml:space="preserve">are </w:t>
      </w:r>
      <w:r>
        <w:t>T</w:t>
      </w:r>
      <w:r w:rsidRPr="0047029D">
        <w:t xml:space="preserve">hrombosis with </w:t>
      </w:r>
      <w:r>
        <w:t>T</w:t>
      </w:r>
      <w:r w:rsidRPr="0047029D">
        <w:t xml:space="preserve">hrombocytopenia after </w:t>
      </w:r>
      <w:r>
        <w:t>S</w:t>
      </w:r>
      <w:r w:rsidRPr="0047029D">
        <w:t xml:space="preserve">econd AZD1222 </w:t>
      </w:r>
      <w:r>
        <w:t>D</w:t>
      </w:r>
      <w:r w:rsidRPr="0047029D">
        <w:t xml:space="preserve">ose: </w:t>
      </w:r>
      <w:proofErr w:type="gramStart"/>
      <w:r w:rsidRPr="0047029D">
        <w:t>a</w:t>
      </w:r>
      <w:proofErr w:type="gramEnd"/>
      <w:r w:rsidRPr="0047029D">
        <w:t xml:space="preserve"> </w:t>
      </w:r>
      <w:r>
        <w:t>G</w:t>
      </w:r>
      <w:r w:rsidRPr="0047029D">
        <w:t xml:space="preserve">lobal </w:t>
      </w:r>
      <w:r>
        <w:t>S</w:t>
      </w:r>
      <w:r w:rsidRPr="0047029D">
        <w:t xml:space="preserve">afety </w:t>
      </w:r>
      <w:r>
        <w:t>D</w:t>
      </w:r>
      <w:r w:rsidRPr="0047029D">
        <w:t xml:space="preserve">atabase </w:t>
      </w:r>
      <w:r>
        <w:t>A</w:t>
      </w:r>
      <w:r w:rsidRPr="0047029D">
        <w:t>nalysis</w:t>
      </w:r>
      <w:r>
        <w:t>,</w:t>
      </w:r>
      <w:r w:rsidRPr="0047029D">
        <w:t xml:space="preserve"> </w:t>
      </w:r>
      <w:r w:rsidRPr="007D3891">
        <w:rPr>
          <w:i/>
          <w:iCs/>
        </w:rPr>
        <w:t>Lancet</w:t>
      </w:r>
      <w:r>
        <w:rPr>
          <w:i/>
          <w:iCs/>
        </w:rPr>
        <w:t>,</w:t>
      </w:r>
      <w:r w:rsidRPr="0047029D">
        <w:t xml:space="preserve"> 2021;</w:t>
      </w:r>
      <w:r>
        <w:t xml:space="preserve"> </w:t>
      </w:r>
      <w:r w:rsidRPr="0047029D">
        <w:t>398(10300):</w:t>
      </w:r>
      <w:r>
        <w:t xml:space="preserve"> </w:t>
      </w:r>
      <w:r w:rsidRPr="0047029D">
        <w:t>577-578.</w:t>
      </w:r>
    </w:p>
  </w:footnote>
  <w:footnote w:id="14">
    <w:p w14:paraId="47B90B01" w14:textId="107BBD10" w:rsidR="00FB3066" w:rsidRDefault="00FB3066">
      <w:pPr>
        <w:pStyle w:val="FootnoteText"/>
      </w:pPr>
      <w:r>
        <w:rPr>
          <w:rStyle w:val="FootnoteReference"/>
        </w:rPr>
        <w:footnoteRef/>
      </w:r>
      <w:r>
        <w:t xml:space="preserve"> </w:t>
      </w:r>
      <w:proofErr w:type="spellStart"/>
      <w:r w:rsidRPr="000809C5">
        <w:t>Greinacher</w:t>
      </w:r>
      <w:proofErr w:type="spellEnd"/>
      <w:r>
        <w:t>, A.</w:t>
      </w:r>
      <w:r w:rsidRPr="0047029D">
        <w:t xml:space="preserve"> et al. Thrombotic Thrombocytopenia after ChAdOx1 nCov-19 Vaccination</w:t>
      </w:r>
      <w:r>
        <w:t>,</w:t>
      </w:r>
      <w:r w:rsidRPr="0047029D">
        <w:t xml:space="preserve"> </w:t>
      </w:r>
      <w:r w:rsidRPr="007D3891">
        <w:rPr>
          <w:i/>
          <w:iCs/>
        </w:rPr>
        <w:t>N Engl J Med</w:t>
      </w:r>
      <w:r>
        <w:rPr>
          <w:i/>
          <w:iCs/>
        </w:rPr>
        <w:t>,</w:t>
      </w:r>
      <w:r w:rsidRPr="0047029D">
        <w:t xml:space="preserve"> 2021; 384:</w:t>
      </w:r>
      <w:r>
        <w:t xml:space="preserve"> </w:t>
      </w:r>
      <w:r w:rsidRPr="0047029D">
        <w:t>2092-2101.</w:t>
      </w:r>
    </w:p>
  </w:footnote>
  <w:footnote w:id="15">
    <w:p w14:paraId="0E2EE277" w14:textId="7E16CA3D" w:rsidR="00FB3066" w:rsidRDefault="00FB3066">
      <w:pPr>
        <w:pStyle w:val="FootnoteText"/>
      </w:pPr>
      <w:r>
        <w:rPr>
          <w:rStyle w:val="FootnoteReference"/>
        </w:rPr>
        <w:footnoteRef/>
      </w:r>
      <w:r>
        <w:t xml:space="preserve"> Hall, V. G. et al. </w:t>
      </w:r>
      <w:r w:rsidRPr="007D3891">
        <w:t>Randomized Trial of a Third Dose of mRNA-1273 Vaccine in Transplant Recipients</w:t>
      </w:r>
      <w:r>
        <w:t xml:space="preserve">, </w:t>
      </w:r>
      <w:r w:rsidRPr="007D3891">
        <w:rPr>
          <w:i/>
          <w:iCs/>
        </w:rPr>
        <w:t>N Engl J Med</w:t>
      </w:r>
      <w:r>
        <w:t xml:space="preserve">, </w:t>
      </w:r>
      <w:r w:rsidRPr="007D3891">
        <w:t>2021; 385:</w:t>
      </w:r>
      <w:r>
        <w:t xml:space="preserve"> </w:t>
      </w:r>
      <w:r w:rsidRPr="007D3891">
        <w:t>1244-1246</w:t>
      </w:r>
      <w:r>
        <w:t>.</w:t>
      </w:r>
    </w:p>
  </w:footnote>
  <w:footnote w:id="16">
    <w:p w14:paraId="7CB127A7" w14:textId="44C6517C" w:rsidR="00FB3066" w:rsidRDefault="00FB3066">
      <w:pPr>
        <w:pStyle w:val="FootnoteText"/>
      </w:pPr>
      <w:r>
        <w:rPr>
          <w:rStyle w:val="FootnoteReference"/>
        </w:rPr>
        <w:footnoteRef/>
      </w:r>
      <w:r>
        <w:t xml:space="preserve"> mRNA-1273 is the product development code for Spikevax.</w:t>
      </w:r>
    </w:p>
  </w:footnote>
  <w:footnote w:id="17">
    <w:p w14:paraId="2F59A6E9" w14:textId="4B597E92" w:rsidR="00FB3066" w:rsidRDefault="00FB3066">
      <w:pPr>
        <w:pStyle w:val="FootnoteText"/>
      </w:pPr>
      <w:r>
        <w:rPr>
          <w:rStyle w:val="FootnoteReference"/>
        </w:rPr>
        <w:footnoteRef/>
      </w:r>
      <w:r>
        <w:t xml:space="preserve"> Levin, E.G. et al. </w:t>
      </w:r>
      <w:r w:rsidRPr="004F6D44">
        <w:t xml:space="preserve">Waning Immune Humoral Response to BNT162b2 </w:t>
      </w:r>
      <w:r>
        <w:t>COVID</w:t>
      </w:r>
      <w:r w:rsidRPr="004F6D44">
        <w:t>-19 Vaccine over 6 Months</w:t>
      </w:r>
      <w:r>
        <w:t>,</w:t>
      </w:r>
      <w:r w:rsidRPr="004F6D44">
        <w:t xml:space="preserve"> </w:t>
      </w:r>
      <w:r w:rsidRPr="004F6D44">
        <w:rPr>
          <w:i/>
          <w:iCs/>
        </w:rPr>
        <w:t>N Engl J Med</w:t>
      </w:r>
      <w:r>
        <w:rPr>
          <w:i/>
          <w:iCs/>
        </w:rPr>
        <w:t>,</w:t>
      </w:r>
      <w:r w:rsidRPr="004F6D44">
        <w:t xml:space="preserve"> 2021; 385:</w:t>
      </w:r>
      <w:r>
        <w:t xml:space="preserve"> </w:t>
      </w:r>
      <w:r w:rsidRPr="004F6D44">
        <w:t>e84</w:t>
      </w:r>
      <w:r>
        <w:t>.</w:t>
      </w:r>
    </w:p>
  </w:footnote>
  <w:footnote w:id="18">
    <w:p w14:paraId="046321AD" w14:textId="553BBD70" w:rsidR="00FB3066" w:rsidRDefault="00FB3066">
      <w:pPr>
        <w:pStyle w:val="FootnoteText"/>
      </w:pPr>
      <w:r>
        <w:rPr>
          <w:rStyle w:val="FootnoteReference"/>
        </w:rPr>
        <w:footnoteRef/>
      </w:r>
      <w:r>
        <w:t xml:space="preserve"> Ramasamy et al. </w:t>
      </w:r>
      <w:r w:rsidRPr="0008454C">
        <w:t xml:space="preserve">Safety and </w:t>
      </w:r>
      <w:r>
        <w:t>I</w:t>
      </w:r>
      <w:r w:rsidRPr="0008454C">
        <w:t xml:space="preserve">mmunogenicity of ChAdOx1 nCoV-19 </w:t>
      </w:r>
      <w:r>
        <w:t>V</w:t>
      </w:r>
      <w:r w:rsidRPr="0008454C">
        <w:t xml:space="preserve">accine </w:t>
      </w:r>
      <w:r>
        <w:t>A</w:t>
      </w:r>
      <w:r w:rsidRPr="0008454C">
        <w:t xml:space="preserve">dministered in a </w:t>
      </w:r>
      <w:r>
        <w:t>P</w:t>
      </w:r>
      <w:r w:rsidRPr="0008454C">
        <w:t>rime-</w:t>
      </w:r>
      <w:r>
        <w:t>B</w:t>
      </w:r>
      <w:r w:rsidRPr="0008454C">
        <w:t xml:space="preserve">oost </w:t>
      </w:r>
      <w:r>
        <w:t>R</w:t>
      </w:r>
      <w:r w:rsidRPr="0008454C">
        <w:t xml:space="preserve">egimen in </w:t>
      </w:r>
      <w:r>
        <w:t>Y</w:t>
      </w:r>
      <w:r w:rsidRPr="0008454C">
        <w:t xml:space="preserve">oung and </w:t>
      </w:r>
      <w:r>
        <w:t>O</w:t>
      </w:r>
      <w:r w:rsidRPr="0008454C">
        <w:t xml:space="preserve">ld </w:t>
      </w:r>
      <w:r>
        <w:t>A</w:t>
      </w:r>
      <w:r w:rsidRPr="0008454C">
        <w:t xml:space="preserve">dults (COV002): a </w:t>
      </w:r>
      <w:r>
        <w:t>S</w:t>
      </w:r>
      <w:r w:rsidRPr="0008454C">
        <w:t>ingle-</w:t>
      </w:r>
      <w:r>
        <w:t>B</w:t>
      </w:r>
      <w:r w:rsidRPr="0008454C">
        <w:t xml:space="preserve">lind, </w:t>
      </w:r>
      <w:r>
        <w:t>R</w:t>
      </w:r>
      <w:r w:rsidRPr="0008454C">
        <w:t xml:space="preserve">andomised, </w:t>
      </w:r>
      <w:r>
        <w:t>C</w:t>
      </w:r>
      <w:r w:rsidRPr="0008454C">
        <w:t xml:space="preserve">ontrolled, </w:t>
      </w:r>
      <w:r>
        <w:t>P</w:t>
      </w:r>
      <w:r w:rsidRPr="0008454C">
        <w:t xml:space="preserve">hase </w:t>
      </w:r>
      <w:r>
        <w:t>II</w:t>
      </w:r>
      <w:r w:rsidRPr="0008454C">
        <w:t>/</w:t>
      </w:r>
      <w:r>
        <w:t>III</w:t>
      </w:r>
      <w:r w:rsidRPr="0008454C">
        <w:t xml:space="preserve"> </w:t>
      </w:r>
      <w:r>
        <w:t>T</w:t>
      </w:r>
      <w:r w:rsidRPr="0008454C">
        <w:t>rial</w:t>
      </w:r>
      <w:r>
        <w:t xml:space="preserve">, </w:t>
      </w:r>
      <w:r w:rsidRPr="0008454C">
        <w:rPr>
          <w:i/>
          <w:iCs/>
        </w:rPr>
        <w:t>Lancet</w:t>
      </w:r>
      <w:r>
        <w:rPr>
          <w:i/>
          <w:iCs/>
        </w:rPr>
        <w:t>,</w:t>
      </w:r>
      <w:r>
        <w:t xml:space="preserve"> 2020; 396: 1979-1993.</w:t>
      </w:r>
    </w:p>
  </w:footnote>
  <w:footnote w:id="19">
    <w:p w14:paraId="372881E3" w14:textId="50EA61BE" w:rsidR="00FB3066" w:rsidRDefault="00FB3066">
      <w:pPr>
        <w:pStyle w:val="FootnoteText"/>
      </w:pPr>
      <w:r>
        <w:rPr>
          <w:rStyle w:val="FootnoteReference"/>
        </w:rPr>
        <w:footnoteRef/>
      </w:r>
      <w:r>
        <w:t xml:space="preserve"> </w:t>
      </w:r>
      <w:r w:rsidRPr="0008454C">
        <w:t>Shrotri</w:t>
      </w:r>
      <w:r>
        <w:t>, M.</w:t>
      </w:r>
      <w:r w:rsidRPr="0008454C">
        <w:t xml:space="preserve"> et al. Spike-</w:t>
      </w:r>
      <w:r>
        <w:t>A</w:t>
      </w:r>
      <w:r w:rsidRPr="0008454C">
        <w:t xml:space="preserve">ntibody </w:t>
      </w:r>
      <w:r>
        <w:t>W</w:t>
      </w:r>
      <w:r w:rsidRPr="0008454C">
        <w:t xml:space="preserve">aning after </w:t>
      </w:r>
      <w:r>
        <w:t>S</w:t>
      </w:r>
      <w:r w:rsidRPr="0008454C">
        <w:t xml:space="preserve">econd </w:t>
      </w:r>
      <w:r>
        <w:t>D</w:t>
      </w:r>
      <w:r w:rsidRPr="0008454C">
        <w:t>ose of BNT162b2 or ChAdOx1</w:t>
      </w:r>
      <w:r>
        <w:t>,</w:t>
      </w:r>
      <w:r w:rsidRPr="0008454C">
        <w:t xml:space="preserve"> </w:t>
      </w:r>
      <w:r w:rsidRPr="0005074E">
        <w:rPr>
          <w:i/>
          <w:iCs/>
        </w:rPr>
        <w:t>Lancet</w:t>
      </w:r>
      <w:r>
        <w:t>,</w:t>
      </w:r>
      <w:r w:rsidRPr="0008454C">
        <w:t xml:space="preserve"> 2021; 398: 385-387.</w:t>
      </w:r>
    </w:p>
  </w:footnote>
  <w:footnote w:id="20">
    <w:p w14:paraId="6CD689A6" w14:textId="7661E6C4" w:rsidR="00FB3066" w:rsidRDefault="00FB3066">
      <w:pPr>
        <w:pStyle w:val="FootnoteText"/>
      </w:pPr>
      <w:r>
        <w:rPr>
          <w:rStyle w:val="FootnoteReference"/>
        </w:rPr>
        <w:footnoteRef/>
      </w:r>
      <w:r>
        <w:t xml:space="preserve"> </w:t>
      </w:r>
      <w:proofErr w:type="spellStart"/>
      <w:r w:rsidRPr="00600775">
        <w:t>Tré</w:t>
      </w:r>
      <w:proofErr w:type="spellEnd"/>
      <w:r w:rsidRPr="00600775">
        <w:t>-Hardy</w:t>
      </w:r>
      <w:r>
        <w:t>,</w:t>
      </w:r>
      <w:r w:rsidRPr="00600775">
        <w:t xml:space="preserve"> M</w:t>
      </w:r>
      <w:r>
        <w:t xml:space="preserve">. </w:t>
      </w:r>
      <w:r w:rsidRPr="00600775">
        <w:t xml:space="preserve">et al. Reactogenicity, </w:t>
      </w:r>
      <w:r>
        <w:t>S</w:t>
      </w:r>
      <w:r w:rsidRPr="00600775">
        <w:t xml:space="preserve">afety and </w:t>
      </w:r>
      <w:r>
        <w:t>A</w:t>
      </w:r>
      <w:r w:rsidRPr="00600775">
        <w:t xml:space="preserve">ntibody </w:t>
      </w:r>
      <w:r>
        <w:t>R</w:t>
      </w:r>
      <w:r w:rsidRPr="00600775">
        <w:t xml:space="preserve">esponse, after </w:t>
      </w:r>
      <w:r>
        <w:t>O</w:t>
      </w:r>
      <w:r w:rsidRPr="00600775">
        <w:t xml:space="preserve">ne and </w:t>
      </w:r>
      <w:r>
        <w:t>T</w:t>
      </w:r>
      <w:r w:rsidRPr="00600775">
        <w:t xml:space="preserve">wo </w:t>
      </w:r>
      <w:r>
        <w:t>D</w:t>
      </w:r>
      <w:r w:rsidRPr="00600775">
        <w:t xml:space="preserve">oses of mRNA-1273 in </w:t>
      </w:r>
      <w:r>
        <w:t>S</w:t>
      </w:r>
      <w:r w:rsidRPr="00600775">
        <w:t xml:space="preserve">eronegative and </w:t>
      </w:r>
      <w:r>
        <w:t>S</w:t>
      </w:r>
      <w:r w:rsidRPr="00600775">
        <w:t xml:space="preserve">eropositive </w:t>
      </w:r>
      <w:r>
        <w:t>H</w:t>
      </w:r>
      <w:r w:rsidRPr="00600775">
        <w:t xml:space="preserve">ealthcare </w:t>
      </w:r>
      <w:r>
        <w:t>W</w:t>
      </w:r>
      <w:r w:rsidRPr="00600775">
        <w:t>orkers</w:t>
      </w:r>
      <w:r>
        <w:t>,</w:t>
      </w:r>
      <w:r w:rsidRPr="00600775">
        <w:t xml:space="preserve"> </w:t>
      </w:r>
      <w:r w:rsidRPr="0005074E">
        <w:rPr>
          <w:i/>
          <w:iCs/>
        </w:rPr>
        <w:t>J Infect</w:t>
      </w:r>
      <w:r>
        <w:t>,</w:t>
      </w:r>
      <w:r w:rsidRPr="00600775">
        <w:t xml:space="preserve"> 2021;</w:t>
      </w:r>
      <w:r>
        <w:t xml:space="preserve"> </w:t>
      </w:r>
      <w:r w:rsidRPr="00600775">
        <w:t>83(2):</w:t>
      </w:r>
      <w:r>
        <w:t xml:space="preserve"> </w:t>
      </w:r>
      <w:r w:rsidRPr="00600775">
        <w:t>237-279.</w:t>
      </w:r>
    </w:p>
  </w:footnote>
  <w:footnote w:id="21">
    <w:p w14:paraId="2E04F8F2" w14:textId="3B0C16B6" w:rsidR="00FB3066" w:rsidRDefault="00FB3066">
      <w:pPr>
        <w:pStyle w:val="FootnoteText"/>
      </w:pPr>
      <w:r>
        <w:rPr>
          <w:rStyle w:val="FootnoteReference"/>
        </w:rPr>
        <w:footnoteRef/>
      </w:r>
      <w:r>
        <w:t xml:space="preserve"> Voysey, M. et al. </w:t>
      </w:r>
      <w:r w:rsidRPr="00600775">
        <w:t xml:space="preserve">Safety and </w:t>
      </w:r>
      <w:r>
        <w:t>E</w:t>
      </w:r>
      <w:r w:rsidRPr="00600775">
        <w:t xml:space="preserve">fficacy of the ChAdOx1 nCoV-19 </w:t>
      </w:r>
      <w:r>
        <w:t>V</w:t>
      </w:r>
      <w:r w:rsidRPr="00600775">
        <w:t xml:space="preserve">accine (AZD1222) </w:t>
      </w:r>
      <w:r>
        <w:t>A</w:t>
      </w:r>
      <w:r w:rsidRPr="00600775">
        <w:t xml:space="preserve">gainst SARS-CoV-2: an </w:t>
      </w:r>
      <w:r>
        <w:t>I</w:t>
      </w:r>
      <w:r w:rsidRPr="00600775">
        <w:t xml:space="preserve">nterim </w:t>
      </w:r>
      <w:r>
        <w:t>A</w:t>
      </w:r>
      <w:r w:rsidRPr="00600775">
        <w:t xml:space="preserve">nalysis of </w:t>
      </w:r>
      <w:r>
        <w:t>F</w:t>
      </w:r>
      <w:r w:rsidRPr="00600775">
        <w:t xml:space="preserve">our </w:t>
      </w:r>
      <w:r>
        <w:t>R</w:t>
      </w:r>
      <w:r w:rsidRPr="00600775">
        <w:t xml:space="preserve">andomised </w:t>
      </w:r>
      <w:r>
        <w:t>C</w:t>
      </w:r>
      <w:r w:rsidRPr="00600775">
        <w:t xml:space="preserve">ontrolled </w:t>
      </w:r>
      <w:r>
        <w:t>T</w:t>
      </w:r>
      <w:r w:rsidRPr="00600775">
        <w:t>rials in Brazil, South Africa, and the UK</w:t>
      </w:r>
      <w:r>
        <w:t xml:space="preserve">, </w:t>
      </w:r>
      <w:r w:rsidRPr="006F2264">
        <w:rPr>
          <w:i/>
          <w:iCs/>
        </w:rPr>
        <w:t>Lancet</w:t>
      </w:r>
      <w:r>
        <w:t>, 2021; 397: 99-111.</w:t>
      </w:r>
    </w:p>
  </w:footnote>
  <w:footnote w:id="22">
    <w:p w14:paraId="52F69F42" w14:textId="46A540C1" w:rsidR="00FB3066" w:rsidRDefault="00FB3066">
      <w:pPr>
        <w:pStyle w:val="FootnoteText"/>
      </w:pPr>
      <w:r>
        <w:rPr>
          <w:rStyle w:val="FootnoteReference"/>
        </w:rPr>
        <w:footnoteRef/>
      </w:r>
      <w:r>
        <w:t xml:space="preserve"> Voysey, M. et al. </w:t>
      </w:r>
      <w:r w:rsidRPr="006F2264">
        <w:t>Single-</w:t>
      </w:r>
      <w:r>
        <w:t>D</w:t>
      </w:r>
      <w:r w:rsidRPr="006F2264">
        <w:t xml:space="preserve">ose </w:t>
      </w:r>
      <w:r>
        <w:t>A</w:t>
      </w:r>
      <w:r w:rsidRPr="006F2264">
        <w:t xml:space="preserve">dministration and the </w:t>
      </w:r>
      <w:r>
        <w:t>I</w:t>
      </w:r>
      <w:r w:rsidRPr="006F2264">
        <w:t xml:space="preserve">nfluence of the </w:t>
      </w:r>
      <w:r>
        <w:t>T</w:t>
      </w:r>
      <w:r w:rsidRPr="006F2264">
        <w:t xml:space="preserve">iming of the </w:t>
      </w:r>
      <w:r>
        <w:t>B</w:t>
      </w:r>
      <w:r w:rsidRPr="006F2264">
        <w:t xml:space="preserve">ooster </w:t>
      </w:r>
      <w:r>
        <w:t>D</w:t>
      </w:r>
      <w:r w:rsidRPr="006F2264">
        <w:t xml:space="preserve">ose on </w:t>
      </w:r>
      <w:r>
        <w:t>I</w:t>
      </w:r>
      <w:r w:rsidRPr="006F2264">
        <w:t xml:space="preserve">mmunogenicity and </w:t>
      </w:r>
      <w:r>
        <w:t>E</w:t>
      </w:r>
      <w:r w:rsidRPr="006F2264">
        <w:t xml:space="preserve">fficacy of ChAdOx1 nCoV-19 (AZD1222) </w:t>
      </w:r>
      <w:r>
        <w:t>V</w:t>
      </w:r>
      <w:r w:rsidRPr="006F2264">
        <w:t xml:space="preserve">accine: </w:t>
      </w:r>
      <w:proofErr w:type="gramStart"/>
      <w:r w:rsidRPr="006F2264">
        <w:t>a</w:t>
      </w:r>
      <w:proofErr w:type="gramEnd"/>
      <w:r w:rsidRPr="006F2264">
        <w:t xml:space="preserve"> </w:t>
      </w:r>
      <w:r>
        <w:t>P</w:t>
      </w:r>
      <w:r w:rsidRPr="006F2264">
        <w:t xml:space="preserve">ooled </w:t>
      </w:r>
      <w:r>
        <w:t>A</w:t>
      </w:r>
      <w:r w:rsidRPr="006F2264">
        <w:t xml:space="preserve">nalysis of </w:t>
      </w:r>
      <w:r>
        <w:t>F</w:t>
      </w:r>
      <w:r w:rsidRPr="006F2264">
        <w:t xml:space="preserve">our </w:t>
      </w:r>
      <w:r>
        <w:t>R</w:t>
      </w:r>
      <w:r w:rsidRPr="006F2264">
        <w:t xml:space="preserve">andomised </w:t>
      </w:r>
      <w:r>
        <w:t>T</w:t>
      </w:r>
      <w:r w:rsidRPr="006F2264">
        <w:t>rials</w:t>
      </w:r>
      <w:r>
        <w:t xml:space="preserve">, </w:t>
      </w:r>
      <w:r w:rsidRPr="006F2264">
        <w:rPr>
          <w:i/>
          <w:iCs/>
        </w:rPr>
        <w:t>Lancet</w:t>
      </w:r>
      <w:r>
        <w:rPr>
          <w:i/>
          <w:iCs/>
        </w:rPr>
        <w:t>,</w:t>
      </w:r>
      <w:r>
        <w:t xml:space="preserve"> 2021; 397: 881-891.</w:t>
      </w:r>
    </w:p>
  </w:footnote>
  <w:footnote w:id="23">
    <w:p w14:paraId="334968EB" w14:textId="77777777" w:rsidR="00FB3066" w:rsidRDefault="00FB3066" w:rsidP="00EA7F92">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224AD9F6" w14:textId="77777777" w:rsidR="00FB3066" w:rsidRDefault="00FB3066" w:rsidP="00EA7F92">
      <w:pPr>
        <w:pStyle w:val="FootnoteText"/>
      </w:pPr>
      <w:r w:rsidRPr="007D53B6">
        <w:rPr>
          <w:i/>
        </w:rPr>
        <w:t>Routine pharmacovigilance</w:t>
      </w:r>
      <w:r>
        <w:t xml:space="preserve"> practices involve the following activities:</w:t>
      </w:r>
    </w:p>
    <w:p w14:paraId="2C987CFF" w14:textId="77777777" w:rsidR="00FB3066" w:rsidRDefault="00FB3066" w:rsidP="00EA7F92">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7100192D" w14:textId="77777777" w:rsidR="00FB3066" w:rsidRDefault="00FB3066" w:rsidP="00EA7F92">
      <w:pPr>
        <w:pStyle w:val="FootnoteText"/>
        <w:numPr>
          <w:ilvl w:val="0"/>
          <w:numId w:val="32"/>
        </w:numPr>
        <w:ind w:left="284" w:hanging="284"/>
      </w:pPr>
      <w:r>
        <w:t xml:space="preserve">Reporting to regulatory </w:t>
      </w:r>
      <w:proofErr w:type="gramStart"/>
      <w:r>
        <w:t>authorities;</w:t>
      </w:r>
      <w:proofErr w:type="gramEnd"/>
    </w:p>
    <w:p w14:paraId="2BD2CBAF" w14:textId="77777777" w:rsidR="00FB3066" w:rsidRDefault="00FB3066" w:rsidP="00EA7F92">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50DCC79F" w14:textId="77777777" w:rsidR="00FB3066" w:rsidRDefault="00FB3066" w:rsidP="00EA7F92">
      <w:pPr>
        <w:pStyle w:val="FootnoteText"/>
        <w:numPr>
          <w:ilvl w:val="0"/>
          <w:numId w:val="32"/>
        </w:numPr>
        <w:ind w:left="284" w:hanging="284"/>
      </w:pPr>
      <w:r>
        <w:t xml:space="preserve">Submission of </w:t>
      </w:r>
      <w:proofErr w:type="gramStart"/>
      <w:r>
        <w:t>PSURs;</w:t>
      </w:r>
      <w:proofErr w:type="gramEnd"/>
    </w:p>
    <w:p w14:paraId="40E310CE" w14:textId="77777777" w:rsidR="00FB3066" w:rsidRDefault="00FB3066" w:rsidP="00EA7F92">
      <w:pPr>
        <w:pStyle w:val="FootnoteText"/>
        <w:numPr>
          <w:ilvl w:val="0"/>
          <w:numId w:val="32"/>
        </w:numPr>
        <w:ind w:left="284" w:hanging="284"/>
      </w:pPr>
      <w:r>
        <w:t>Meeting other local regulatory agency requirements.</w:t>
      </w:r>
    </w:p>
  </w:footnote>
  <w:footnote w:id="24">
    <w:p w14:paraId="57F0F29D" w14:textId="47808EFE" w:rsidR="00FB3066" w:rsidRPr="00415920" w:rsidRDefault="00FB3066">
      <w:pPr>
        <w:pStyle w:val="FootnoteText"/>
        <w:rPr>
          <w:lang w:val="en-GB"/>
        </w:rPr>
      </w:pPr>
      <w:r>
        <w:rPr>
          <w:rStyle w:val="FootnoteReference"/>
        </w:rPr>
        <w:footnoteRef/>
      </w:r>
      <w:r>
        <w:t xml:space="preserve"> </w:t>
      </w:r>
      <w:r w:rsidRPr="00415920">
        <w:rPr>
          <w:b/>
        </w:rPr>
        <w:t>Therapeutic Goods Act 1989</w:t>
      </w:r>
      <w:r>
        <w:t xml:space="preserve">: </w:t>
      </w:r>
      <w:r w:rsidRPr="006E1A20">
        <w:t>The Therapeutic Goods Act</w:t>
      </w:r>
      <w:r>
        <w:t>, along with the Therapeutic Goods Regulations, and Orders are key pieces of legislation that</w:t>
      </w:r>
      <w:r w:rsidRPr="006E1A20">
        <w:t xml:space="preserve"> set</w:t>
      </w:r>
      <w:r>
        <w:t>s</w:t>
      </w:r>
      <w:r w:rsidRPr="006E1A20">
        <w:t xml:space="preserve"> out the requirements for inclusion of therapeutic goods in the Australian Register of Therapeutic Goods, including advertising, labelling, product appearance and appeal guidelines. Some provisions such as the scheduling of substances and the safe storage of therapeutic goods, are covered by the relevant State or Territory legislation.</w:t>
      </w:r>
    </w:p>
  </w:footnote>
  <w:footnote w:id="25">
    <w:p w14:paraId="2B5590DB" w14:textId="77777777" w:rsidR="00FB3066" w:rsidRPr="00C61EC3" w:rsidRDefault="00FB3066" w:rsidP="004C05AD">
      <w:pPr>
        <w:pStyle w:val="FootnoteText"/>
      </w:pPr>
      <w:r>
        <w:rPr>
          <w:rStyle w:val="FootnoteReference"/>
        </w:rPr>
        <w:footnoteRef/>
      </w:r>
      <w:r>
        <w:t xml:space="preserve"> </w:t>
      </w:r>
      <w:r w:rsidRPr="00C61EC3">
        <w:t xml:space="preserve">The </w:t>
      </w:r>
      <w:r w:rsidRPr="00C61EC3">
        <w:rPr>
          <w:b/>
        </w:rPr>
        <w:t>Advisory Committee on Vaccines (ACV)</w:t>
      </w:r>
      <w:r w:rsidRPr="00C61EC3">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0CA2D99C" w14:textId="77777777" w:rsidR="00FB3066" w:rsidRPr="00C61EC3" w:rsidRDefault="00FB3066" w:rsidP="004C05AD">
      <w:pPr>
        <w:pStyle w:val="FootnoteText"/>
      </w:pPr>
      <w:r w:rsidRPr="00C61EC3">
        <w:t>The Committee is established under Regulation 39F of the Therapeutic Goods Regulations 1990 and the members are appointed by the Minister for Health.</w:t>
      </w:r>
    </w:p>
    <w:p w14:paraId="5E82E40D" w14:textId="77777777" w:rsidR="00FB3066" w:rsidRPr="00C61EC3" w:rsidRDefault="00FB3066" w:rsidP="004C05AD">
      <w:pPr>
        <w:pStyle w:val="FootnoteText"/>
      </w:pPr>
      <w:r w:rsidRPr="00C61EC3">
        <w:t>The ACV was established in January 2017, following consolidation of previous functions of the Advisory Committee on the Safety of Vaccines (ACSOV) and the pre-market functions for vaccines of the Advisory Committee on Prescription Medicines (ACPM).</w:t>
      </w:r>
    </w:p>
    <w:p w14:paraId="0FC433E0" w14:textId="2CDCE6F4" w:rsidR="00FB3066" w:rsidRPr="00456765" w:rsidRDefault="00FB3066" w:rsidP="00FB369D">
      <w:pPr>
        <w:pStyle w:val="FootnoteText"/>
        <w:rPr>
          <w:lang w:val="en-US"/>
        </w:rPr>
      </w:pPr>
      <w:r w:rsidRPr="00C61EC3">
        <w:t>Membership comprises professionals with expertise in specific scientific, medical or clinical fields, or consumer health issues.</w:t>
      </w:r>
    </w:p>
  </w:footnote>
  <w:footnote w:id="26">
    <w:p w14:paraId="636B6753" w14:textId="2F970CC9" w:rsidR="00FB3066" w:rsidRDefault="00FB3066" w:rsidP="00182FEC">
      <w:pPr>
        <w:pStyle w:val="FootnoteText"/>
      </w:pPr>
      <w:r>
        <w:rPr>
          <w:rStyle w:val="FootnoteReference"/>
        </w:rPr>
        <w:footnoteRef/>
      </w:r>
      <w:r>
        <w:t xml:space="preserve"> </w:t>
      </w:r>
      <w:proofErr w:type="spellStart"/>
      <w:r w:rsidRPr="00FB565A">
        <w:t>Dejnirattisai</w:t>
      </w:r>
      <w:proofErr w:type="spellEnd"/>
      <w:r>
        <w:t>,</w:t>
      </w:r>
      <w:r w:rsidRPr="00FB565A">
        <w:t xml:space="preserve"> W</w:t>
      </w:r>
      <w:r>
        <w:t>.</w:t>
      </w:r>
      <w:r w:rsidRPr="00FB565A">
        <w:t xml:space="preserve"> et al. Omicron-B.1.1.529 </w:t>
      </w:r>
      <w:r>
        <w:t>L</w:t>
      </w:r>
      <w:r w:rsidRPr="00FB565A">
        <w:t xml:space="preserve">eads to </w:t>
      </w:r>
      <w:r>
        <w:t>W</w:t>
      </w:r>
      <w:r w:rsidRPr="00FB565A">
        <w:t xml:space="preserve">idespread </w:t>
      </w:r>
      <w:r>
        <w:t>E</w:t>
      </w:r>
      <w:r w:rsidRPr="00FB565A">
        <w:t xml:space="preserve">scape from </w:t>
      </w:r>
      <w:r>
        <w:t>N</w:t>
      </w:r>
      <w:r w:rsidRPr="00FB565A">
        <w:t xml:space="preserve">eutralizing </w:t>
      </w:r>
      <w:r>
        <w:t>A</w:t>
      </w:r>
      <w:r w:rsidRPr="00FB565A">
        <w:t xml:space="preserve">ntibody </w:t>
      </w:r>
      <w:r>
        <w:t>R</w:t>
      </w:r>
      <w:r w:rsidRPr="00FB565A">
        <w:t>esponses</w:t>
      </w:r>
      <w:r>
        <w:t>,</w:t>
      </w:r>
      <w:r w:rsidRPr="00FB565A">
        <w:t xml:space="preserve"> </w:t>
      </w:r>
      <w:proofErr w:type="spellStart"/>
      <w:r w:rsidRPr="0005074E">
        <w:rPr>
          <w:i/>
          <w:iCs/>
        </w:rPr>
        <w:t>bioRxiv</w:t>
      </w:r>
      <w:proofErr w:type="spellEnd"/>
      <w:r>
        <w:t xml:space="preserve">, </w:t>
      </w:r>
      <w:r w:rsidRPr="00182FEC">
        <w:t>2021</w:t>
      </w:r>
      <w:r>
        <w:t xml:space="preserve">; </w:t>
      </w:r>
      <w:r w:rsidRPr="00182FEC">
        <w:t>2021.12.03.471045</w:t>
      </w:r>
      <w:r>
        <w:t>.</w:t>
      </w:r>
    </w:p>
  </w:footnote>
  <w:footnote w:id="27">
    <w:p w14:paraId="2A67B4EB" w14:textId="2C61CA96" w:rsidR="00FB3066" w:rsidRDefault="00FB3066" w:rsidP="00AE395C">
      <w:pPr>
        <w:pStyle w:val="FootnoteText"/>
      </w:pPr>
      <w:r>
        <w:rPr>
          <w:rStyle w:val="FootnoteReference"/>
        </w:rPr>
        <w:footnoteRef/>
      </w:r>
      <w:r>
        <w:t xml:space="preserve"> </w:t>
      </w:r>
      <w:r>
        <w:rPr>
          <w:rFonts w:cs="Cambria"/>
        </w:rPr>
        <w:t xml:space="preserve">Munro, A. P. S. et al, </w:t>
      </w:r>
      <w:r>
        <w:t>Safety and Immunogenicity of Seven COVID-19 Vaccines as Third Dose (Booster) Following Two doses of ChAdOx1 nCov-19 or BTN162b2 in the UK (COV-BOOST): a Blinded, Multicentre, Randomised, Controlled Phase II Trial</w:t>
      </w:r>
      <w:r>
        <w:rPr>
          <w:rFonts w:cs="Cambria"/>
        </w:rPr>
        <w:t xml:space="preserve">, </w:t>
      </w:r>
      <w:r w:rsidRPr="004C05AD">
        <w:rPr>
          <w:rFonts w:cs="Cambria"/>
          <w:i/>
          <w:iCs/>
        </w:rPr>
        <w:t>Lancet</w:t>
      </w:r>
      <w:r>
        <w:rPr>
          <w:rFonts w:cs="Cambria"/>
          <w:i/>
          <w:iCs/>
        </w:rPr>
        <w:t>,</w:t>
      </w:r>
      <w:r>
        <w:rPr>
          <w:rFonts w:cs="Cambria"/>
        </w:rPr>
        <w:t xml:space="preserve"> 2021; 398: 2258-2276.</w:t>
      </w:r>
    </w:p>
  </w:footnote>
  <w:footnote w:id="28">
    <w:p w14:paraId="67946613" w14:textId="3EA5A207" w:rsidR="00FB3066" w:rsidRDefault="00FB3066" w:rsidP="00E77ED1">
      <w:pPr>
        <w:pStyle w:val="FootnoteText"/>
      </w:pPr>
      <w:r>
        <w:rPr>
          <w:rStyle w:val="FootnoteReference"/>
        </w:rPr>
        <w:footnoteRef/>
      </w:r>
      <w:r>
        <w:t xml:space="preserve"> Department of health, </w:t>
      </w:r>
      <w:r w:rsidRPr="00182FEC">
        <w:t>ATAGI recommendations on the use of a third primary dose of COVID-19 vaccine in individuals who are severely immunocompromised</w:t>
      </w:r>
      <w:r>
        <w:t xml:space="preserve">, published on </w:t>
      </w:r>
      <w:r w:rsidRPr="00182FEC">
        <w:t>8 October 2021</w:t>
      </w:r>
      <w:r>
        <w:t xml:space="preserve">, last updated on 19 January 2022. Available at: </w:t>
      </w:r>
      <w:hyperlink r:id="rId5" w:history="1">
        <w:r w:rsidRPr="00431D0B">
          <w:rPr>
            <w:rStyle w:val="Hyperlink"/>
          </w:rPr>
          <w:t>https://www.health.gov.au/resources/publications/atagi-recommendations-on-the-use-of-a-third-primary-dose-of-covid-19-vaccine-in-individuals-who-are-severely-immunocompromised</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3D3A3" w14:textId="77777777" w:rsidR="00FB3066" w:rsidRDefault="00FB306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03013" w14:textId="77777777" w:rsidR="00FB3066" w:rsidRDefault="00FB3066">
    <w:pPr>
      <w:rPr>
        <w:noProof/>
        <w:lang w:eastAsia="en-AU"/>
      </w:rPr>
    </w:pPr>
    <w:r w:rsidRPr="00347824">
      <w:rPr>
        <w:noProof/>
        <w:lang w:val="en-GB" w:eastAsia="en-GB"/>
      </w:rPr>
      <w:drawing>
        <wp:anchor distT="0" distB="0" distL="114300" distR="114300" simplePos="0" relativeHeight="251659264" behindDoc="1" locked="0" layoutInCell="1" allowOverlap="1" wp14:anchorId="122F7A2E" wp14:editId="60575069">
          <wp:simplePos x="0" y="0"/>
          <wp:positionH relativeFrom="column">
            <wp:posOffset>-1089660</wp:posOffset>
          </wp:positionH>
          <wp:positionV relativeFrom="paragraph">
            <wp:posOffset>-585470</wp:posOffset>
          </wp:positionV>
          <wp:extent cx="7572375" cy="10706100"/>
          <wp:effectExtent l="19050" t="0" r="0" b="0"/>
          <wp:wrapNone/>
          <wp:docPr id="9"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0">
                    <a:extLst>
                      <a:ext uri="{C183D7F6-B498-43B3-948B-1728B52AA6E4}">
                        <adec:decorative xmlns:adec="http://schemas.microsoft.com/office/drawing/2017/decorative" val="1"/>
                      </a:ext>
                    </a:extLst>
                  </pic:cNvPr>
                  <pic:cNvPicPr/>
                </pic:nvPicPr>
                <pic:blipFill>
                  <a:blip r:embed="rId1"/>
                  <a:stretch>
                    <a:fillRect/>
                  </a:stretch>
                </pic:blipFill>
                <pic:spPr>
                  <a:xfrm>
                    <a:off x="0" y="0"/>
                    <a:ext cx="7568736" cy="10706100"/>
                  </a:xfrm>
                  <a:prstGeom prst="rect">
                    <a:avLst/>
                  </a:prstGeom>
                </pic:spPr>
              </pic:pic>
            </a:graphicData>
          </a:graphic>
        </wp:anchor>
      </w:drawing>
    </w:r>
  </w:p>
  <w:p w14:paraId="09114044" w14:textId="77777777" w:rsidR="00FB3066" w:rsidRDefault="00FB3066"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3E57B" w14:textId="77777777" w:rsidR="00FB3066" w:rsidRDefault="00FB30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1654" w14:textId="77777777" w:rsidR="00FB3066" w:rsidRDefault="00FB306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66EC3" w14:textId="77777777" w:rsidR="00FB3066" w:rsidRDefault="00FB306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300E7" w14:textId="77777777" w:rsidR="00FB3066" w:rsidRDefault="00FB30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DC2C8" w14:textId="77777777" w:rsidR="00FB3066" w:rsidRDefault="00FB306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F55A2" w14:textId="77777777" w:rsidR="00FB3066" w:rsidRDefault="00FB3066" w:rsidP="006E08B3">
    <w:r>
      <w:t>Therapeutic Goods Administration</w:t>
    </w:r>
  </w:p>
  <w:p w14:paraId="53F4F0FB" w14:textId="77777777" w:rsidR="00FB3066" w:rsidRDefault="00FB306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80165C6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1C25D43"/>
    <w:multiLevelType w:val="hybridMultilevel"/>
    <w:tmpl w:val="EA8E070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9D96801"/>
    <w:multiLevelType w:val="hybridMultilevel"/>
    <w:tmpl w:val="03D6751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90C1E2D"/>
    <w:multiLevelType w:val="hybridMultilevel"/>
    <w:tmpl w:val="B1F44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7366154">
    <w:abstractNumId w:val="2"/>
  </w:num>
  <w:num w:numId="2" w16cid:durableId="1428620919">
    <w:abstractNumId w:val="1"/>
  </w:num>
  <w:num w:numId="3" w16cid:durableId="1842236680">
    <w:abstractNumId w:val="8"/>
  </w:num>
  <w:num w:numId="4" w16cid:durableId="1072122213">
    <w:abstractNumId w:val="8"/>
  </w:num>
  <w:num w:numId="5" w16cid:durableId="1642541381">
    <w:abstractNumId w:val="0"/>
  </w:num>
  <w:num w:numId="6" w16cid:durableId="1583292581">
    <w:abstractNumId w:val="8"/>
  </w:num>
  <w:num w:numId="7" w16cid:durableId="627976907">
    <w:abstractNumId w:val="8"/>
  </w:num>
  <w:num w:numId="8" w16cid:durableId="1869683478">
    <w:abstractNumId w:val="6"/>
  </w:num>
  <w:num w:numId="9" w16cid:durableId="1943416553">
    <w:abstractNumId w:val="6"/>
  </w:num>
  <w:num w:numId="10" w16cid:durableId="942884047">
    <w:abstractNumId w:val="6"/>
  </w:num>
  <w:num w:numId="11" w16cid:durableId="593902399">
    <w:abstractNumId w:val="6"/>
  </w:num>
  <w:num w:numId="12" w16cid:durableId="17582042">
    <w:abstractNumId w:val="3"/>
    <w:lvlOverride w:ilvl="0">
      <w:lvl w:ilvl="0">
        <w:numFmt w:val="bullet"/>
        <w:lvlText w:val="•"/>
        <w:legacy w:legacy="1" w:legacySpace="0" w:legacyIndent="0"/>
        <w:lvlJc w:val="left"/>
        <w:rPr>
          <w:rFonts w:ascii="Helv" w:hAnsi="Helv" w:hint="default"/>
        </w:rPr>
      </w:lvl>
    </w:lvlOverride>
  </w:num>
  <w:num w:numId="13" w16cid:durableId="497769383">
    <w:abstractNumId w:val="8"/>
  </w:num>
  <w:num w:numId="14" w16cid:durableId="1031148293">
    <w:abstractNumId w:val="8"/>
  </w:num>
  <w:num w:numId="15" w16cid:durableId="1546139932">
    <w:abstractNumId w:val="8"/>
  </w:num>
  <w:num w:numId="16" w16cid:durableId="512232536">
    <w:abstractNumId w:val="6"/>
  </w:num>
  <w:num w:numId="17" w16cid:durableId="1214082226">
    <w:abstractNumId w:val="6"/>
  </w:num>
  <w:num w:numId="18" w16cid:durableId="1672371536">
    <w:abstractNumId w:val="6"/>
  </w:num>
  <w:num w:numId="19" w16cid:durableId="395251836">
    <w:abstractNumId w:val="8"/>
  </w:num>
  <w:num w:numId="20" w16cid:durableId="1260531111">
    <w:abstractNumId w:val="8"/>
  </w:num>
  <w:num w:numId="21" w16cid:durableId="575358755">
    <w:abstractNumId w:val="8"/>
  </w:num>
  <w:num w:numId="22" w16cid:durableId="1518494808">
    <w:abstractNumId w:val="6"/>
  </w:num>
  <w:num w:numId="23" w16cid:durableId="1298996614">
    <w:abstractNumId w:val="6"/>
  </w:num>
  <w:num w:numId="24" w16cid:durableId="573508727">
    <w:abstractNumId w:val="6"/>
  </w:num>
  <w:num w:numId="25" w16cid:durableId="126552131">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16cid:durableId="2749101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16cid:durableId="501509849">
    <w:abstractNumId w:val="11"/>
  </w:num>
  <w:num w:numId="28" w16cid:durableId="872158116">
    <w:abstractNumId w:val="14"/>
  </w:num>
  <w:num w:numId="29" w16cid:durableId="923492648">
    <w:abstractNumId w:val="7"/>
  </w:num>
  <w:num w:numId="30" w16cid:durableId="31880732">
    <w:abstractNumId w:val="10"/>
  </w:num>
  <w:num w:numId="31" w16cid:durableId="675379506">
    <w:abstractNumId w:val="4"/>
  </w:num>
  <w:num w:numId="32" w16cid:durableId="1935086304">
    <w:abstractNumId w:val="12"/>
  </w:num>
  <w:num w:numId="33" w16cid:durableId="2154317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42381925">
    <w:abstractNumId w:val="5"/>
  </w:num>
  <w:num w:numId="35" w16cid:durableId="1587955983">
    <w:abstractNumId w:val="15"/>
  </w:num>
  <w:num w:numId="36" w16cid:durableId="2070765909">
    <w:abstractNumId w:val="13"/>
  </w:num>
  <w:num w:numId="37" w16cid:durableId="1557272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87"/>
    <w:rsid w:val="00002031"/>
    <w:rsid w:val="00004734"/>
    <w:rsid w:val="00006B22"/>
    <w:rsid w:val="00006FAB"/>
    <w:rsid w:val="0001276A"/>
    <w:rsid w:val="000246AE"/>
    <w:rsid w:val="00025C67"/>
    <w:rsid w:val="0003657D"/>
    <w:rsid w:val="0004132D"/>
    <w:rsid w:val="00044772"/>
    <w:rsid w:val="0004541C"/>
    <w:rsid w:val="0005074E"/>
    <w:rsid w:val="00050F42"/>
    <w:rsid w:val="0005559E"/>
    <w:rsid w:val="000604D6"/>
    <w:rsid w:val="00072CA5"/>
    <w:rsid w:val="000734D8"/>
    <w:rsid w:val="00077775"/>
    <w:rsid w:val="000809C5"/>
    <w:rsid w:val="0008454C"/>
    <w:rsid w:val="00090471"/>
    <w:rsid w:val="00091664"/>
    <w:rsid w:val="00096AA7"/>
    <w:rsid w:val="000A3AED"/>
    <w:rsid w:val="000B3532"/>
    <w:rsid w:val="000B3A75"/>
    <w:rsid w:val="000C00C2"/>
    <w:rsid w:val="000C690F"/>
    <w:rsid w:val="000D1295"/>
    <w:rsid w:val="000D391B"/>
    <w:rsid w:val="000D3D6D"/>
    <w:rsid w:val="000D4FC7"/>
    <w:rsid w:val="000E6196"/>
    <w:rsid w:val="000F1F9E"/>
    <w:rsid w:val="000F4869"/>
    <w:rsid w:val="000F5B42"/>
    <w:rsid w:val="000F6E6F"/>
    <w:rsid w:val="0010601F"/>
    <w:rsid w:val="0010788A"/>
    <w:rsid w:val="00107A31"/>
    <w:rsid w:val="00110EA5"/>
    <w:rsid w:val="001111E5"/>
    <w:rsid w:val="00112F56"/>
    <w:rsid w:val="00122C2E"/>
    <w:rsid w:val="00124ACD"/>
    <w:rsid w:val="00125318"/>
    <w:rsid w:val="001305A2"/>
    <w:rsid w:val="00133238"/>
    <w:rsid w:val="00133A1B"/>
    <w:rsid w:val="00136990"/>
    <w:rsid w:val="0014197B"/>
    <w:rsid w:val="001447CD"/>
    <w:rsid w:val="001516B1"/>
    <w:rsid w:val="00154EBB"/>
    <w:rsid w:val="00156316"/>
    <w:rsid w:val="00161181"/>
    <w:rsid w:val="00162D14"/>
    <w:rsid w:val="00163780"/>
    <w:rsid w:val="00165389"/>
    <w:rsid w:val="00170D6E"/>
    <w:rsid w:val="0017693F"/>
    <w:rsid w:val="0018110E"/>
    <w:rsid w:val="00181684"/>
    <w:rsid w:val="00182FEC"/>
    <w:rsid w:val="00184028"/>
    <w:rsid w:val="001843C6"/>
    <w:rsid w:val="001850E0"/>
    <w:rsid w:val="001A03AF"/>
    <w:rsid w:val="001A2158"/>
    <w:rsid w:val="001A525F"/>
    <w:rsid w:val="001B09F9"/>
    <w:rsid w:val="001B5C90"/>
    <w:rsid w:val="001B6448"/>
    <w:rsid w:val="001B6FA3"/>
    <w:rsid w:val="001C32CD"/>
    <w:rsid w:val="001D2984"/>
    <w:rsid w:val="001E07CF"/>
    <w:rsid w:val="001E59F1"/>
    <w:rsid w:val="001E692E"/>
    <w:rsid w:val="001F2CEE"/>
    <w:rsid w:val="001F49EB"/>
    <w:rsid w:val="001F5ABE"/>
    <w:rsid w:val="001F6CBA"/>
    <w:rsid w:val="00201D4E"/>
    <w:rsid w:val="00203952"/>
    <w:rsid w:val="002076C9"/>
    <w:rsid w:val="00220B8A"/>
    <w:rsid w:val="002257F3"/>
    <w:rsid w:val="00233456"/>
    <w:rsid w:val="002339A5"/>
    <w:rsid w:val="00241724"/>
    <w:rsid w:val="002474EE"/>
    <w:rsid w:val="00250271"/>
    <w:rsid w:val="00250D06"/>
    <w:rsid w:val="00257848"/>
    <w:rsid w:val="002578E8"/>
    <w:rsid w:val="0026430A"/>
    <w:rsid w:val="00265CE4"/>
    <w:rsid w:val="0027084A"/>
    <w:rsid w:val="00280265"/>
    <w:rsid w:val="00286434"/>
    <w:rsid w:val="00286C59"/>
    <w:rsid w:val="00291957"/>
    <w:rsid w:val="002942D1"/>
    <w:rsid w:val="0029501A"/>
    <w:rsid w:val="002A3721"/>
    <w:rsid w:val="002A66C5"/>
    <w:rsid w:val="002B1638"/>
    <w:rsid w:val="002B3478"/>
    <w:rsid w:val="002B3624"/>
    <w:rsid w:val="002D0952"/>
    <w:rsid w:val="002E40B3"/>
    <w:rsid w:val="002E4C9A"/>
    <w:rsid w:val="002F11F8"/>
    <w:rsid w:val="002F3F56"/>
    <w:rsid w:val="002F4016"/>
    <w:rsid w:val="002F44B5"/>
    <w:rsid w:val="002F5122"/>
    <w:rsid w:val="00311AC0"/>
    <w:rsid w:val="0031545C"/>
    <w:rsid w:val="003176FC"/>
    <w:rsid w:val="00324E45"/>
    <w:rsid w:val="0032583B"/>
    <w:rsid w:val="00327883"/>
    <w:rsid w:val="00335504"/>
    <w:rsid w:val="00340C18"/>
    <w:rsid w:val="003442FD"/>
    <w:rsid w:val="00347824"/>
    <w:rsid w:val="00350567"/>
    <w:rsid w:val="003521E8"/>
    <w:rsid w:val="00365545"/>
    <w:rsid w:val="0037025D"/>
    <w:rsid w:val="00370CE3"/>
    <w:rsid w:val="003728F3"/>
    <w:rsid w:val="003735BC"/>
    <w:rsid w:val="0037496E"/>
    <w:rsid w:val="00383221"/>
    <w:rsid w:val="00386150"/>
    <w:rsid w:val="003874CE"/>
    <w:rsid w:val="00390900"/>
    <w:rsid w:val="00395EEA"/>
    <w:rsid w:val="003A2388"/>
    <w:rsid w:val="003A7F6C"/>
    <w:rsid w:val="003B4D60"/>
    <w:rsid w:val="003B7E39"/>
    <w:rsid w:val="003C2036"/>
    <w:rsid w:val="003C58DC"/>
    <w:rsid w:val="003D1E62"/>
    <w:rsid w:val="003E0B99"/>
    <w:rsid w:val="003E2486"/>
    <w:rsid w:val="003E3208"/>
    <w:rsid w:val="003F0B04"/>
    <w:rsid w:val="0040134E"/>
    <w:rsid w:val="004014AA"/>
    <w:rsid w:val="00410597"/>
    <w:rsid w:val="00415920"/>
    <w:rsid w:val="004334C7"/>
    <w:rsid w:val="00440A2D"/>
    <w:rsid w:val="00441C3F"/>
    <w:rsid w:val="00444087"/>
    <w:rsid w:val="00444D1A"/>
    <w:rsid w:val="0045186A"/>
    <w:rsid w:val="004564A7"/>
    <w:rsid w:val="00456765"/>
    <w:rsid w:val="00460036"/>
    <w:rsid w:val="004617BF"/>
    <w:rsid w:val="00463658"/>
    <w:rsid w:val="004637A0"/>
    <w:rsid w:val="00466F51"/>
    <w:rsid w:val="0047029D"/>
    <w:rsid w:val="004722CC"/>
    <w:rsid w:val="00490483"/>
    <w:rsid w:val="004936E4"/>
    <w:rsid w:val="00494E60"/>
    <w:rsid w:val="00497487"/>
    <w:rsid w:val="004A2771"/>
    <w:rsid w:val="004A6189"/>
    <w:rsid w:val="004A7390"/>
    <w:rsid w:val="004B7B76"/>
    <w:rsid w:val="004C05AD"/>
    <w:rsid w:val="004C239D"/>
    <w:rsid w:val="004C2DCA"/>
    <w:rsid w:val="004C4FBE"/>
    <w:rsid w:val="004C61D2"/>
    <w:rsid w:val="004E0351"/>
    <w:rsid w:val="004F0C4A"/>
    <w:rsid w:val="004F0F38"/>
    <w:rsid w:val="004F2AA9"/>
    <w:rsid w:val="004F47D6"/>
    <w:rsid w:val="004F6D44"/>
    <w:rsid w:val="00500337"/>
    <w:rsid w:val="00501921"/>
    <w:rsid w:val="005252B2"/>
    <w:rsid w:val="00530354"/>
    <w:rsid w:val="0053625B"/>
    <w:rsid w:val="00542950"/>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5B66"/>
    <w:rsid w:val="005C67F7"/>
    <w:rsid w:val="005C79A4"/>
    <w:rsid w:val="005D5442"/>
    <w:rsid w:val="005F247E"/>
    <w:rsid w:val="00600775"/>
    <w:rsid w:val="00603F32"/>
    <w:rsid w:val="00605AD4"/>
    <w:rsid w:val="006136D7"/>
    <w:rsid w:val="00625A6E"/>
    <w:rsid w:val="00626FEF"/>
    <w:rsid w:val="00631238"/>
    <w:rsid w:val="00632398"/>
    <w:rsid w:val="00640FC3"/>
    <w:rsid w:val="00642020"/>
    <w:rsid w:val="006430EE"/>
    <w:rsid w:val="00650EEA"/>
    <w:rsid w:val="0065337B"/>
    <w:rsid w:val="0065419D"/>
    <w:rsid w:val="006603BC"/>
    <w:rsid w:val="006604D8"/>
    <w:rsid w:val="00664A5B"/>
    <w:rsid w:val="0066735C"/>
    <w:rsid w:val="006754BF"/>
    <w:rsid w:val="006763D2"/>
    <w:rsid w:val="00680C08"/>
    <w:rsid w:val="006916A0"/>
    <w:rsid w:val="006931B1"/>
    <w:rsid w:val="00695664"/>
    <w:rsid w:val="006A006F"/>
    <w:rsid w:val="006A15C0"/>
    <w:rsid w:val="006A58A8"/>
    <w:rsid w:val="006C3E2A"/>
    <w:rsid w:val="006C642F"/>
    <w:rsid w:val="006D03E5"/>
    <w:rsid w:val="006D5D3E"/>
    <w:rsid w:val="006E08B3"/>
    <w:rsid w:val="006E1A20"/>
    <w:rsid w:val="006F17AC"/>
    <w:rsid w:val="006F2264"/>
    <w:rsid w:val="006F25B8"/>
    <w:rsid w:val="006F572E"/>
    <w:rsid w:val="006F6F93"/>
    <w:rsid w:val="007046D6"/>
    <w:rsid w:val="00705DB0"/>
    <w:rsid w:val="00722B57"/>
    <w:rsid w:val="007251A5"/>
    <w:rsid w:val="00730F8A"/>
    <w:rsid w:val="00735A8C"/>
    <w:rsid w:val="0074253D"/>
    <w:rsid w:val="00744121"/>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0A08"/>
    <w:rsid w:val="007C1216"/>
    <w:rsid w:val="007C1AF7"/>
    <w:rsid w:val="007C6B9B"/>
    <w:rsid w:val="007C7EA9"/>
    <w:rsid w:val="007D3891"/>
    <w:rsid w:val="007D53B6"/>
    <w:rsid w:val="00805D27"/>
    <w:rsid w:val="00806AC6"/>
    <w:rsid w:val="00806DCB"/>
    <w:rsid w:val="00821776"/>
    <w:rsid w:val="008321F5"/>
    <w:rsid w:val="00832369"/>
    <w:rsid w:val="00834660"/>
    <w:rsid w:val="00836BC2"/>
    <w:rsid w:val="00837317"/>
    <w:rsid w:val="00846F19"/>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5570"/>
    <w:rsid w:val="008E2F10"/>
    <w:rsid w:val="008E7846"/>
    <w:rsid w:val="008F02E5"/>
    <w:rsid w:val="008F1CCC"/>
    <w:rsid w:val="008F2967"/>
    <w:rsid w:val="008F6943"/>
    <w:rsid w:val="00902A21"/>
    <w:rsid w:val="0091523F"/>
    <w:rsid w:val="00920330"/>
    <w:rsid w:val="009219D7"/>
    <w:rsid w:val="00922D53"/>
    <w:rsid w:val="00923B70"/>
    <w:rsid w:val="00924482"/>
    <w:rsid w:val="00930237"/>
    <w:rsid w:val="00933AD5"/>
    <w:rsid w:val="00937C17"/>
    <w:rsid w:val="00940A89"/>
    <w:rsid w:val="00941F77"/>
    <w:rsid w:val="00946EA5"/>
    <w:rsid w:val="00956A02"/>
    <w:rsid w:val="00960520"/>
    <w:rsid w:val="00963C08"/>
    <w:rsid w:val="0097472A"/>
    <w:rsid w:val="009752A5"/>
    <w:rsid w:val="0098585A"/>
    <w:rsid w:val="009A4CED"/>
    <w:rsid w:val="009A690D"/>
    <w:rsid w:val="009B1D12"/>
    <w:rsid w:val="009B416B"/>
    <w:rsid w:val="009C4BD5"/>
    <w:rsid w:val="009D7B77"/>
    <w:rsid w:val="009E0BB0"/>
    <w:rsid w:val="009E3FBB"/>
    <w:rsid w:val="009F7353"/>
    <w:rsid w:val="00A04F85"/>
    <w:rsid w:val="00A05FA4"/>
    <w:rsid w:val="00A102E4"/>
    <w:rsid w:val="00A113F5"/>
    <w:rsid w:val="00A1219C"/>
    <w:rsid w:val="00A12C42"/>
    <w:rsid w:val="00A14DF7"/>
    <w:rsid w:val="00A22D57"/>
    <w:rsid w:val="00A24DCD"/>
    <w:rsid w:val="00A3246D"/>
    <w:rsid w:val="00A360AB"/>
    <w:rsid w:val="00A3673C"/>
    <w:rsid w:val="00A36FA7"/>
    <w:rsid w:val="00A44DDB"/>
    <w:rsid w:val="00A475B7"/>
    <w:rsid w:val="00A47AF7"/>
    <w:rsid w:val="00A47C3E"/>
    <w:rsid w:val="00A50226"/>
    <w:rsid w:val="00A53662"/>
    <w:rsid w:val="00A54641"/>
    <w:rsid w:val="00A60BAD"/>
    <w:rsid w:val="00A71AB2"/>
    <w:rsid w:val="00A77F87"/>
    <w:rsid w:val="00A80B5B"/>
    <w:rsid w:val="00A84E36"/>
    <w:rsid w:val="00A964D1"/>
    <w:rsid w:val="00AA0ED0"/>
    <w:rsid w:val="00AA6CFA"/>
    <w:rsid w:val="00AC2B40"/>
    <w:rsid w:val="00AC2BB2"/>
    <w:rsid w:val="00AC2C3C"/>
    <w:rsid w:val="00AC512D"/>
    <w:rsid w:val="00AD0083"/>
    <w:rsid w:val="00AD3935"/>
    <w:rsid w:val="00AD63C5"/>
    <w:rsid w:val="00AE395C"/>
    <w:rsid w:val="00AE4883"/>
    <w:rsid w:val="00AE65EB"/>
    <w:rsid w:val="00AE67A7"/>
    <w:rsid w:val="00AF1D94"/>
    <w:rsid w:val="00AF4D9D"/>
    <w:rsid w:val="00AF60C5"/>
    <w:rsid w:val="00B009C6"/>
    <w:rsid w:val="00B01548"/>
    <w:rsid w:val="00B130C5"/>
    <w:rsid w:val="00B13EBD"/>
    <w:rsid w:val="00B21D29"/>
    <w:rsid w:val="00B25034"/>
    <w:rsid w:val="00B33588"/>
    <w:rsid w:val="00B33863"/>
    <w:rsid w:val="00B37D17"/>
    <w:rsid w:val="00B4175E"/>
    <w:rsid w:val="00B41C85"/>
    <w:rsid w:val="00B452CE"/>
    <w:rsid w:val="00B54C25"/>
    <w:rsid w:val="00B71D1B"/>
    <w:rsid w:val="00B76B91"/>
    <w:rsid w:val="00B77EB1"/>
    <w:rsid w:val="00B811C6"/>
    <w:rsid w:val="00B855B0"/>
    <w:rsid w:val="00B92E08"/>
    <w:rsid w:val="00BA6D19"/>
    <w:rsid w:val="00BC3087"/>
    <w:rsid w:val="00BC622A"/>
    <w:rsid w:val="00BD1F85"/>
    <w:rsid w:val="00BE0A78"/>
    <w:rsid w:val="00BE79F0"/>
    <w:rsid w:val="00BF046D"/>
    <w:rsid w:val="00BF07D0"/>
    <w:rsid w:val="00BF1190"/>
    <w:rsid w:val="00BF3774"/>
    <w:rsid w:val="00BF5D04"/>
    <w:rsid w:val="00C009AA"/>
    <w:rsid w:val="00C1164D"/>
    <w:rsid w:val="00C16861"/>
    <w:rsid w:val="00C2227B"/>
    <w:rsid w:val="00C346AB"/>
    <w:rsid w:val="00C404A6"/>
    <w:rsid w:val="00C40A36"/>
    <w:rsid w:val="00C4263F"/>
    <w:rsid w:val="00C44419"/>
    <w:rsid w:val="00C45E7B"/>
    <w:rsid w:val="00C471B1"/>
    <w:rsid w:val="00C525A2"/>
    <w:rsid w:val="00C52E24"/>
    <w:rsid w:val="00C6316B"/>
    <w:rsid w:val="00C634A9"/>
    <w:rsid w:val="00C64586"/>
    <w:rsid w:val="00C67D61"/>
    <w:rsid w:val="00C70A36"/>
    <w:rsid w:val="00C70D53"/>
    <w:rsid w:val="00C72035"/>
    <w:rsid w:val="00C73D0B"/>
    <w:rsid w:val="00C74F5C"/>
    <w:rsid w:val="00C754AB"/>
    <w:rsid w:val="00C75526"/>
    <w:rsid w:val="00C772FF"/>
    <w:rsid w:val="00C80137"/>
    <w:rsid w:val="00C801AF"/>
    <w:rsid w:val="00C80256"/>
    <w:rsid w:val="00C94CD4"/>
    <w:rsid w:val="00C9747E"/>
    <w:rsid w:val="00CB6BC0"/>
    <w:rsid w:val="00CC1B7C"/>
    <w:rsid w:val="00CC2498"/>
    <w:rsid w:val="00CC3488"/>
    <w:rsid w:val="00CC727F"/>
    <w:rsid w:val="00CE4632"/>
    <w:rsid w:val="00CF15C3"/>
    <w:rsid w:val="00CF2B6F"/>
    <w:rsid w:val="00CF2F3E"/>
    <w:rsid w:val="00CF58B6"/>
    <w:rsid w:val="00CF5DAD"/>
    <w:rsid w:val="00CF65B0"/>
    <w:rsid w:val="00D0062D"/>
    <w:rsid w:val="00D017ED"/>
    <w:rsid w:val="00D040D3"/>
    <w:rsid w:val="00D04C65"/>
    <w:rsid w:val="00D153D8"/>
    <w:rsid w:val="00D201D2"/>
    <w:rsid w:val="00D224FE"/>
    <w:rsid w:val="00D23139"/>
    <w:rsid w:val="00D425BB"/>
    <w:rsid w:val="00D453FA"/>
    <w:rsid w:val="00D502C4"/>
    <w:rsid w:val="00D6493E"/>
    <w:rsid w:val="00D7002A"/>
    <w:rsid w:val="00D7195D"/>
    <w:rsid w:val="00D7301E"/>
    <w:rsid w:val="00D76F39"/>
    <w:rsid w:val="00D83AE1"/>
    <w:rsid w:val="00D855D4"/>
    <w:rsid w:val="00D902C9"/>
    <w:rsid w:val="00D93466"/>
    <w:rsid w:val="00D961AB"/>
    <w:rsid w:val="00DA1124"/>
    <w:rsid w:val="00DA64CB"/>
    <w:rsid w:val="00DB06B8"/>
    <w:rsid w:val="00DB1139"/>
    <w:rsid w:val="00DB6124"/>
    <w:rsid w:val="00DB750B"/>
    <w:rsid w:val="00DB75B7"/>
    <w:rsid w:val="00DC0A2F"/>
    <w:rsid w:val="00DC1948"/>
    <w:rsid w:val="00DC2562"/>
    <w:rsid w:val="00DC6E02"/>
    <w:rsid w:val="00DD28CD"/>
    <w:rsid w:val="00DE02AE"/>
    <w:rsid w:val="00DE39D1"/>
    <w:rsid w:val="00DF1D7F"/>
    <w:rsid w:val="00DF4BE4"/>
    <w:rsid w:val="00E02382"/>
    <w:rsid w:val="00E02FB4"/>
    <w:rsid w:val="00E1112E"/>
    <w:rsid w:val="00E13FC7"/>
    <w:rsid w:val="00E20571"/>
    <w:rsid w:val="00E235F7"/>
    <w:rsid w:val="00E23659"/>
    <w:rsid w:val="00E239D4"/>
    <w:rsid w:val="00E26130"/>
    <w:rsid w:val="00E27BE4"/>
    <w:rsid w:val="00E302CE"/>
    <w:rsid w:val="00E33D42"/>
    <w:rsid w:val="00E40B22"/>
    <w:rsid w:val="00E44ED1"/>
    <w:rsid w:val="00E45619"/>
    <w:rsid w:val="00E4588F"/>
    <w:rsid w:val="00E46DA3"/>
    <w:rsid w:val="00E51BB1"/>
    <w:rsid w:val="00E55CB0"/>
    <w:rsid w:val="00E624A5"/>
    <w:rsid w:val="00E64BA4"/>
    <w:rsid w:val="00E7344E"/>
    <w:rsid w:val="00E77ED1"/>
    <w:rsid w:val="00E82665"/>
    <w:rsid w:val="00E90C00"/>
    <w:rsid w:val="00E939CF"/>
    <w:rsid w:val="00EA44F1"/>
    <w:rsid w:val="00EA7F92"/>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1855"/>
    <w:rsid w:val="00F12670"/>
    <w:rsid w:val="00F14B27"/>
    <w:rsid w:val="00F3148D"/>
    <w:rsid w:val="00F325C5"/>
    <w:rsid w:val="00F32FE0"/>
    <w:rsid w:val="00F35298"/>
    <w:rsid w:val="00F47333"/>
    <w:rsid w:val="00F47E37"/>
    <w:rsid w:val="00F5150A"/>
    <w:rsid w:val="00F520F2"/>
    <w:rsid w:val="00F53C07"/>
    <w:rsid w:val="00F54B65"/>
    <w:rsid w:val="00F63DBF"/>
    <w:rsid w:val="00F640B6"/>
    <w:rsid w:val="00F66DF2"/>
    <w:rsid w:val="00F73494"/>
    <w:rsid w:val="00F80E40"/>
    <w:rsid w:val="00F848D9"/>
    <w:rsid w:val="00F91C52"/>
    <w:rsid w:val="00FA04B8"/>
    <w:rsid w:val="00FA5069"/>
    <w:rsid w:val="00FA5B82"/>
    <w:rsid w:val="00FA639E"/>
    <w:rsid w:val="00FB0E41"/>
    <w:rsid w:val="00FB3066"/>
    <w:rsid w:val="00FB369D"/>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69672"/>
  <w15:docId w15:val="{64BF2958-6D8E-41DE-8FF7-6867041BF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Bulletlist">
    <w:name w:val="Bullet list"/>
    <w:basedOn w:val="Normal"/>
    <w:link w:val="BulletlistChar"/>
    <w:qFormat/>
    <w:rsid w:val="002F4016"/>
    <w:pPr>
      <w:numPr>
        <w:numId w:val="34"/>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2F4016"/>
    <w:rPr>
      <w:rFonts w:ascii="Cambria" w:eastAsia="Times New Roman" w:hAnsi="Cambria" w:cs="Times New Roman"/>
      <w:snapToGrid w:val="0"/>
      <w:kern w:val="2"/>
      <w:sz w:val="23"/>
    </w:rPr>
  </w:style>
  <w:style w:type="paragraph" w:customStyle="1" w:styleId="Standard">
    <w:name w:val="Standard"/>
    <w:basedOn w:val="Normal"/>
    <w:link w:val="StandardChar"/>
    <w:qFormat/>
    <w:rsid w:val="00EA7F9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A7F92"/>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EA7F92"/>
    <w:rPr>
      <w:rFonts w:ascii="Cambria" w:eastAsia="Cambria" w:hAnsi="Cambria" w:cs="Times New Roman"/>
      <w:snapToGrid/>
      <w:kern w:val="16"/>
      <w:sz w:val="19"/>
      <w:szCs w:val="24"/>
    </w:rPr>
  </w:style>
  <w:style w:type="paragraph" w:styleId="ListParagraph">
    <w:name w:val="List Paragraph"/>
    <w:basedOn w:val="Normal"/>
    <w:uiPriority w:val="34"/>
    <w:rsid w:val="00DC2562"/>
    <w:pPr>
      <w:ind w:left="720"/>
      <w:contextualSpacing/>
    </w:pPr>
  </w:style>
  <w:style w:type="character" w:styleId="UnresolvedMention">
    <w:name w:val="Unresolved Mention"/>
    <w:basedOn w:val="DefaultParagraphFont"/>
    <w:uiPriority w:val="99"/>
    <w:semiHidden/>
    <w:unhideWhenUsed/>
    <w:rsid w:val="00410597"/>
    <w:rPr>
      <w:color w:val="605E5C"/>
      <w:shd w:val="clear" w:color="auto" w:fill="E1DFDD"/>
    </w:rPr>
  </w:style>
  <w:style w:type="paragraph" w:customStyle="1" w:styleId="Default">
    <w:name w:val="Default"/>
    <w:rsid w:val="00AA6CF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12716">
      <w:bodyDiv w:val="1"/>
      <w:marLeft w:val="0"/>
      <w:marRight w:val="0"/>
      <w:marTop w:val="0"/>
      <w:marBottom w:val="0"/>
      <w:divBdr>
        <w:top w:val="none" w:sz="0" w:space="0" w:color="auto"/>
        <w:left w:val="none" w:sz="0" w:space="0" w:color="auto"/>
        <w:bottom w:val="none" w:sz="0" w:space="0" w:color="auto"/>
        <w:right w:val="none" w:sz="0" w:space="0" w:color="auto"/>
      </w:divBdr>
    </w:div>
    <w:div w:id="153224542">
      <w:bodyDiv w:val="1"/>
      <w:marLeft w:val="0"/>
      <w:marRight w:val="0"/>
      <w:marTop w:val="0"/>
      <w:marBottom w:val="0"/>
      <w:divBdr>
        <w:top w:val="none" w:sz="0" w:space="0" w:color="auto"/>
        <w:left w:val="none" w:sz="0" w:space="0" w:color="auto"/>
        <w:bottom w:val="none" w:sz="0" w:space="0" w:color="auto"/>
        <w:right w:val="none" w:sz="0" w:space="0" w:color="auto"/>
      </w:divBdr>
    </w:div>
    <w:div w:id="156774305">
      <w:bodyDiv w:val="1"/>
      <w:marLeft w:val="0"/>
      <w:marRight w:val="0"/>
      <w:marTop w:val="0"/>
      <w:marBottom w:val="0"/>
      <w:divBdr>
        <w:top w:val="none" w:sz="0" w:space="0" w:color="auto"/>
        <w:left w:val="none" w:sz="0" w:space="0" w:color="auto"/>
        <w:bottom w:val="none" w:sz="0" w:space="0" w:color="auto"/>
        <w:right w:val="none" w:sz="0" w:space="0" w:color="auto"/>
      </w:divBdr>
    </w:div>
    <w:div w:id="195239665">
      <w:bodyDiv w:val="1"/>
      <w:marLeft w:val="0"/>
      <w:marRight w:val="0"/>
      <w:marTop w:val="0"/>
      <w:marBottom w:val="0"/>
      <w:divBdr>
        <w:top w:val="none" w:sz="0" w:space="0" w:color="auto"/>
        <w:left w:val="none" w:sz="0" w:space="0" w:color="auto"/>
        <w:bottom w:val="none" w:sz="0" w:space="0" w:color="auto"/>
        <w:right w:val="none" w:sz="0" w:space="0" w:color="auto"/>
      </w:divBdr>
    </w:div>
    <w:div w:id="202912883">
      <w:bodyDiv w:val="1"/>
      <w:marLeft w:val="0"/>
      <w:marRight w:val="0"/>
      <w:marTop w:val="0"/>
      <w:marBottom w:val="0"/>
      <w:divBdr>
        <w:top w:val="none" w:sz="0" w:space="0" w:color="auto"/>
        <w:left w:val="none" w:sz="0" w:space="0" w:color="auto"/>
        <w:bottom w:val="none" w:sz="0" w:space="0" w:color="auto"/>
        <w:right w:val="none" w:sz="0" w:space="0" w:color="auto"/>
      </w:divBdr>
    </w:div>
    <w:div w:id="270670178">
      <w:bodyDiv w:val="1"/>
      <w:marLeft w:val="0"/>
      <w:marRight w:val="0"/>
      <w:marTop w:val="0"/>
      <w:marBottom w:val="0"/>
      <w:divBdr>
        <w:top w:val="none" w:sz="0" w:space="0" w:color="auto"/>
        <w:left w:val="none" w:sz="0" w:space="0" w:color="auto"/>
        <w:bottom w:val="none" w:sz="0" w:space="0" w:color="auto"/>
        <w:right w:val="none" w:sz="0" w:space="0" w:color="auto"/>
      </w:divBdr>
    </w:div>
    <w:div w:id="423189775">
      <w:bodyDiv w:val="1"/>
      <w:marLeft w:val="0"/>
      <w:marRight w:val="0"/>
      <w:marTop w:val="0"/>
      <w:marBottom w:val="0"/>
      <w:divBdr>
        <w:top w:val="none" w:sz="0" w:space="0" w:color="auto"/>
        <w:left w:val="none" w:sz="0" w:space="0" w:color="auto"/>
        <w:bottom w:val="none" w:sz="0" w:space="0" w:color="auto"/>
        <w:right w:val="none" w:sz="0" w:space="0" w:color="auto"/>
      </w:divBdr>
    </w:div>
    <w:div w:id="776100583">
      <w:bodyDiv w:val="1"/>
      <w:marLeft w:val="0"/>
      <w:marRight w:val="0"/>
      <w:marTop w:val="0"/>
      <w:marBottom w:val="0"/>
      <w:divBdr>
        <w:top w:val="none" w:sz="0" w:space="0" w:color="auto"/>
        <w:left w:val="none" w:sz="0" w:space="0" w:color="auto"/>
        <w:bottom w:val="none" w:sz="0" w:space="0" w:color="auto"/>
        <w:right w:val="none" w:sz="0" w:space="0" w:color="auto"/>
      </w:divBdr>
    </w:div>
    <w:div w:id="817846203">
      <w:bodyDiv w:val="1"/>
      <w:marLeft w:val="0"/>
      <w:marRight w:val="0"/>
      <w:marTop w:val="0"/>
      <w:marBottom w:val="0"/>
      <w:divBdr>
        <w:top w:val="none" w:sz="0" w:space="0" w:color="auto"/>
        <w:left w:val="none" w:sz="0" w:space="0" w:color="auto"/>
        <w:bottom w:val="none" w:sz="0" w:space="0" w:color="auto"/>
        <w:right w:val="none" w:sz="0" w:space="0" w:color="auto"/>
      </w:divBdr>
    </w:div>
    <w:div w:id="827789492">
      <w:bodyDiv w:val="1"/>
      <w:marLeft w:val="0"/>
      <w:marRight w:val="0"/>
      <w:marTop w:val="0"/>
      <w:marBottom w:val="0"/>
      <w:divBdr>
        <w:top w:val="none" w:sz="0" w:space="0" w:color="auto"/>
        <w:left w:val="none" w:sz="0" w:space="0" w:color="auto"/>
        <w:bottom w:val="none" w:sz="0" w:space="0" w:color="auto"/>
        <w:right w:val="none" w:sz="0" w:space="0" w:color="auto"/>
      </w:divBdr>
    </w:div>
    <w:div w:id="926887907">
      <w:bodyDiv w:val="1"/>
      <w:marLeft w:val="0"/>
      <w:marRight w:val="0"/>
      <w:marTop w:val="0"/>
      <w:marBottom w:val="0"/>
      <w:divBdr>
        <w:top w:val="none" w:sz="0" w:space="0" w:color="auto"/>
        <w:left w:val="none" w:sz="0" w:space="0" w:color="auto"/>
        <w:bottom w:val="none" w:sz="0" w:space="0" w:color="auto"/>
        <w:right w:val="none" w:sz="0" w:space="0" w:color="auto"/>
      </w:divBdr>
    </w:div>
    <w:div w:id="930117874">
      <w:bodyDiv w:val="1"/>
      <w:marLeft w:val="0"/>
      <w:marRight w:val="0"/>
      <w:marTop w:val="0"/>
      <w:marBottom w:val="0"/>
      <w:divBdr>
        <w:top w:val="none" w:sz="0" w:space="0" w:color="auto"/>
        <w:left w:val="none" w:sz="0" w:space="0" w:color="auto"/>
        <w:bottom w:val="none" w:sz="0" w:space="0" w:color="auto"/>
        <w:right w:val="none" w:sz="0" w:space="0" w:color="auto"/>
      </w:divBdr>
    </w:div>
    <w:div w:id="1026902001">
      <w:bodyDiv w:val="1"/>
      <w:marLeft w:val="0"/>
      <w:marRight w:val="0"/>
      <w:marTop w:val="0"/>
      <w:marBottom w:val="0"/>
      <w:divBdr>
        <w:top w:val="none" w:sz="0" w:space="0" w:color="auto"/>
        <w:left w:val="none" w:sz="0" w:space="0" w:color="auto"/>
        <w:bottom w:val="none" w:sz="0" w:space="0" w:color="auto"/>
        <w:right w:val="none" w:sz="0" w:space="0" w:color="auto"/>
      </w:divBdr>
    </w:div>
    <w:div w:id="1077820807">
      <w:bodyDiv w:val="1"/>
      <w:marLeft w:val="0"/>
      <w:marRight w:val="0"/>
      <w:marTop w:val="0"/>
      <w:marBottom w:val="0"/>
      <w:divBdr>
        <w:top w:val="none" w:sz="0" w:space="0" w:color="auto"/>
        <w:left w:val="none" w:sz="0" w:space="0" w:color="auto"/>
        <w:bottom w:val="none" w:sz="0" w:space="0" w:color="auto"/>
        <w:right w:val="none" w:sz="0" w:space="0" w:color="auto"/>
      </w:divBdr>
    </w:div>
    <w:div w:id="1137187260">
      <w:bodyDiv w:val="1"/>
      <w:marLeft w:val="0"/>
      <w:marRight w:val="0"/>
      <w:marTop w:val="0"/>
      <w:marBottom w:val="0"/>
      <w:divBdr>
        <w:top w:val="none" w:sz="0" w:space="0" w:color="auto"/>
        <w:left w:val="none" w:sz="0" w:space="0" w:color="auto"/>
        <w:bottom w:val="none" w:sz="0" w:space="0" w:color="auto"/>
        <w:right w:val="none" w:sz="0" w:space="0" w:color="auto"/>
      </w:divBdr>
    </w:div>
    <w:div w:id="1272862272">
      <w:bodyDiv w:val="1"/>
      <w:marLeft w:val="0"/>
      <w:marRight w:val="0"/>
      <w:marTop w:val="0"/>
      <w:marBottom w:val="0"/>
      <w:divBdr>
        <w:top w:val="none" w:sz="0" w:space="0" w:color="auto"/>
        <w:left w:val="none" w:sz="0" w:space="0" w:color="auto"/>
        <w:bottom w:val="none" w:sz="0" w:space="0" w:color="auto"/>
        <w:right w:val="none" w:sz="0" w:space="0" w:color="auto"/>
      </w:divBdr>
    </w:div>
    <w:div w:id="1374427548">
      <w:bodyDiv w:val="1"/>
      <w:marLeft w:val="0"/>
      <w:marRight w:val="0"/>
      <w:marTop w:val="0"/>
      <w:marBottom w:val="0"/>
      <w:divBdr>
        <w:top w:val="none" w:sz="0" w:space="0" w:color="auto"/>
        <w:left w:val="none" w:sz="0" w:space="0" w:color="auto"/>
        <w:bottom w:val="none" w:sz="0" w:space="0" w:color="auto"/>
        <w:right w:val="none" w:sz="0" w:space="0" w:color="auto"/>
      </w:divBdr>
    </w:div>
    <w:div w:id="1375420329">
      <w:bodyDiv w:val="1"/>
      <w:marLeft w:val="0"/>
      <w:marRight w:val="0"/>
      <w:marTop w:val="0"/>
      <w:marBottom w:val="0"/>
      <w:divBdr>
        <w:top w:val="none" w:sz="0" w:space="0" w:color="auto"/>
        <w:left w:val="none" w:sz="0" w:space="0" w:color="auto"/>
        <w:bottom w:val="none" w:sz="0" w:space="0" w:color="auto"/>
        <w:right w:val="none" w:sz="0" w:space="0" w:color="auto"/>
      </w:divBdr>
    </w:div>
    <w:div w:id="1627080436">
      <w:bodyDiv w:val="1"/>
      <w:marLeft w:val="0"/>
      <w:marRight w:val="0"/>
      <w:marTop w:val="0"/>
      <w:marBottom w:val="0"/>
      <w:divBdr>
        <w:top w:val="none" w:sz="0" w:space="0" w:color="auto"/>
        <w:left w:val="none" w:sz="0" w:space="0" w:color="auto"/>
        <w:bottom w:val="none" w:sz="0" w:space="0" w:color="auto"/>
        <w:right w:val="none" w:sz="0" w:space="0" w:color="auto"/>
      </w:divBdr>
    </w:div>
    <w:div w:id="1713188586">
      <w:bodyDiv w:val="1"/>
      <w:marLeft w:val="0"/>
      <w:marRight w:val="0"/>
      <w:marTop w:val="0"/>
      <w:marBottom w:val="0"/>
      <w:divBdr>
        <w:top w:val="none" w:sz="0" w:space="0" w:color="auto"/>
        <w:left w:val="none" w:sz="0" w:space="0" w:color="auto"/>
        <w:bottom w:val="none" w:sz="0" w:space="0" w:color="auto"/>
        <w:right w:val="none" w:sz="0" w:space="0" w:color="auto"/>
      </w:divBdr>
    </w:div>
    <w:div w:id="2050259798">
      <w:bodyDiv w:val="1"/>
      <w:marLeft w:val="0"/>
      <w:marRight w:val="0"/>
      <w:marTop w:val="0"/>
      <w:marBottom w:val="0"/>
      <w:divBdr>
        <w:top w:val="none" w:sz="0" w:space="0" w:color="auto"/>
        <w:left w:val="none" w:sz="0" w:space="0" w:color="auto"/>
        <w:bottom w:val="none" w:sz="0" w:space="0" w:color="auto"/>
        <w:right w:val="none" w:sz="0" w:space="0" w:color="auto"/>
      </w:divBdr>
      <w:divsChild>
        <w:div w:id="1368919197">
          <w:marLeft w:val="0"/>
          <w:marRight w:val="0"/>
          <w:marTop w:val="332"/>
          <w:marBottom w:val="332"/>
          <w:divBdr>
            <w:top w:val="none" w:sz="0" w:space="0" w:color="auto"/>
            <w:left w:val="none" w:sz="0" w:space="0" w:color="auto"/>
            <w:bottom w:val="none" w:sz="0" w:space="0" w:color="auto"/>
            <w:right w:val="none" w:sz="0" w:space="0" w:color="auto"/>
          </w:divBdr>
          <w:divsChild>
            <w:div w:id="7096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jpe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auspar/auspar-chadox1-s" TargetMode="External"/><Relationship Id="rId2" Type="http://schemas.openxmlformats.org/officeDocument/2006/relationships/hyperlink" Target="https://www.who.int/director-general/speeches/detail/who-director-general-s-opening-remarks-at-the-media-briefing-on-covid-19---11-march-2020" TargetMode="External"/><Relationship Id="rId1" Type="http://schemas.openxmlformats.org/officeDocument/2006/relationships/hyperlink" Target="https://www.who.int/feeds/entity/dg/speeches/en/rss.xml" TargetMode="External"/><Relationship Id="rId5" Type="http://schemas.openxmlformats.org/officeDocument/2006/relationships/hyperlink" Target="https://www.health.gov.au/resources/publications/atagi-recommendations-on-the-use-of-a-third-primary-dose-of-covid-19-vaccine-in-individuals-who-are-severely-immunocompromised" TargetMode="External"/><Relationship Id="rId4" Type="http://schemas.openxmlformats.org/officeDocument/2006/relationships/hyperlink" Target="https://www.who.int/en/activities/tracking-SARS-CoV-2-varia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4476\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97B34-6797-429D-B060-026662E21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1</TotalTime>
  <Pages>27</Pages>
  <Words>6725</Words>
  <Characters>38334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44970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 regulation</dc:subject>
  <dc:creator>HILLMAN, James</dc:creator>
  <cp:keywords/>
  <cp:lastModifiedBy>PITTMAN, Abby</cp:lastModifiedBy>
  <cp:revision>3</cp:revision>
  <cp:lastPrinted>2024-10-30T00:37:00Z</cp:lastPrinted>
  <dcterms:created xsi:type="dcterms:W3CDTF">2024-10-30T00:37:00Z</dcterms:created>
  <dcterms:modified xsi:type="dcterms:W3CDTF">2024-10-30T00:37:00Z</dcterms:modified>
  <cp:category/>
</cp:coreProperties>
</file>