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9C1B2" w14:textId="09688B87" w:rsidR="00375DF3" w:rsidRPr="00377337" w:rsidRDefault="009D6010" w:rsidP="003B7CFF">
      <w:pPr>
        <w:pStyle w:val="Paragraph"/>
      </w:pPr>
      <w:r w:rsidRPr="00377337">
        <w:rPr>
          <w:noProof/>
          <w:lang w:val="en-AU" w:eastAsia="en-AU"/>
        </w:rPr>
        <mc:AlternateContent>
          <mc:Choice Requires="wps">
            <w:drawing>
              <wp:inline distT="0" distB="0" distL="0" distR="0" wp14:anchorId="1FAD7A3D" wp14:editId="5D372BF5">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6ADB5" w14:textId="77777777" w:rsidR="00585E29" w:rsidRPr="00BE2A26" w:rsidRDefault="00585E29"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wps:wsp>
                  </a:graphicData>
                </a:graphic>
              </wp:inline>
            </w:drawing>
          </mc:Choice>
          <mc:Fallback>
            <w:pict>
              <v:shapetype w14:anchorId="1FAD7A3D"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" stroked="f">
                <v:textbox inset="0,0,0,0">
                  <w:txbxContent>
                    <w:p w14:paraId="68C6ADB5" w14:textId="77777777" w:rsidR="00585E29" w:rsidRPr="00BE2A26" w:rsidRDefault="00585E29"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BD55E8">
        <w:t xml:space="preserve">This </w:t>
      </w:r>
      <w:r w:rsidR="00246FC8" w:rsidRPr="00BD55E8">
        <w:t>vaccine</w:t>
      </w:r>
      <w:r w:rsidR="001A3992" w:rsidRPr="00BD55E8">
        <w:t xml:space="preserve"> is subject</w:t>
      </w:r>
      <w:r w:rsidR="001A3992" w:rsidRPr="00377337">
        <w:t xml:space="preserve"> to additional monitoring in Australia. This will allow quick identification of new safety information. Healthcare professionals are asked to report any suspected adverse events at</w:t>
      </w:r>
      <w:r w:rsidR="008958C0">
        <w:t xml:space="preserve"> www.tga.gov.au/reporting-problems.</w:t>
      </w:r>
    </w:p>
    <w:p w14:paraId="1EF9C1B3" w14:textId="77777777" w:rsidR="00ED27EC" w:rsidRDefault="009D6010" w:rsidP="22E45948">
      <w:pPr>
        <w:pStyle w:val="Heading1Unnumbered"/>
        <w:rPr>
          <w:rFonts w:eastAsia="SimSun"/>
        </w:rPr>
      </w:pPr>
      <w:r w:rsidRPr="59FB4B11">
        <w:rPr>
          <w:rFonts w:eastAsia="SimSun"/>
        </w:rPr>
        <w:t>Australian P</w:t>
      </w:r>
      <w:r w:rsidR="00A32E10" w:rsidRPr="59FB4B11">
        <w:rPr>
          <w:rFonts w:eastAsia="SimSun"/>
        </w:rPr>
        <w:t xml:space="preserve">RODUCT </w:t>
      </w:r>
      <w:r w:rsidRPr="59FB4B11">
        <w:rPr>
          <w:rFonts w:eastAsia="SimSun"/>
        </w:rPr>
        <w:t>I</w:t>
      </w:r>
      <w:r w:rsidR="00A32E10" w:rsidRPr="59FB4B11">
        <w:rPr>
          <w:rFonts w:eastAsia="SimSun"/>
        </w:rPr>
        <w:t>NFORMATION</w:t>
      </w:r>
    </w:p>
    <w:p w14:paraId="1EF9C1B4" w14:textId="3160CD0A" w:rsidR="006018AE" w:rsidRPr="00377337" w:rsidRDefault="00E56F2B" w:rsidP="00ED27EC">
      <w:pPr>
        <w:pStyle w:val="Heading1Unnumbered"/>
        <w:rPr>
          <w:rFonts w:eastAsia="SimSun"/>
        </w:rPr>
      </w:pPr>
      <w:r>
        <w:rPr>
          <w:rFonts w:eastAsia="SimSun"/>
          <w:caps w:val="0"/>
        </w:rPr>
        <w:t>VAXZEVRIA</w:t>
      </w:r>
      <w:r w:rsidRPr="00E56F2B">
        <w:rPr>
          <w:rFonts w:eastAsia="SimSun" w:cs="Times New Roman"/>
          <w:caps w:val="0"/>
          <w:vertAlign w:val="superscript"/>
        </w:rPr>
        <w:t>®</w:t>
      </w:r>
      <w:r>
        <w:rPr>
          <w:rFonts w:eastAsia="SimSun"/>
          <w:caps w:val="0"/>
        </w:rPr>
        <w:t xml:space="preserve"> (previously </w:t>
      </w:r>
      <w:r w:rsidR="009D6010" w:rsidRPr="00B179C4">
        <w:rPr>
          <w:rFonts w:eastAsia="SimSun"/>
          <w:caps w:val="0"/>
        </w:rPr>
        <w:t xml:space="preserve">COVID-19 </w:t>
      </w:r>
      <w:r w:rsidR="006C5479">
        <w:rPr>
          <w:rFonts w:eastAsia="SimSun"/>
          <w:caps w:val="0"/>
        </w:rPr>
        <w:t>Vaccine AstraZeneca</w:t>
      </w:r>
      <w:r>
        <w:rPr>
          <w:rFonts w:eastAsia="SimSun"/>
          <w:caps w:val="0"/>
        </w:rPr>
        <w:t>)</w:t>
      </w:r>
      <w:r w:rsidR="006C5479">
        <w:rPr>
          <w:rFonts w:eastAsia="SimSun"/>
          <w:caps w:val="0"/>
        </w:rPr>
        <w:t xml:space="preserve"> </w:t>
      </w:r>
      <w:r w:rsidR="00C85970">
        <w:rPr>
          <w:rFonts w:eastAsia="SimSun"/>
        </w:rPr>
        <w:br/>
      </w:r>
      <w:r w:rsidR="00A32E10" w:rsidRPr="00C354E8">
        <w:rPr>
          <w:rFonts w:eastAsia="SimSun"/>
        </w:rPr>
        <w:t>(</w:t>
      </w:r>
      <w:r w:rsidR="009D6010" w:rsidRPr="00C354E8">
        <w:rPr>
          <w:rFonts w:eastAsia="SimSun"/>
          <w:caps w:val="0"/>
        </w:rPr>
        <w:t>ChAdOx1-S</w:t>
      </w:r>
      <w:r w:rsidR="009F1C41" w:rsidRPr="00C354E8">
        <w:rPr>
          <w:rFonts w:eastAsia="SimSun"/>
          <w:caps w:val="0"/>
        </w:rPr>
        <w:t>)</w:t>
      </w:r>
      <w:r w:rsidR="009D6010" w:rsidRPr="00C354E8">
        <w:rPr>
          <w:rFonts w:eastAsia="SimSun"/>
          <w:caps w:val="0"/>
        </w:rPr>
        <w:t xml:space="preserve"> solution</w:t>
      </w:r>
      <w:r w:rsidR="009D6010">
        <w:rPr>
          <w:rFonts w:eastAsia="SimSun"/>
          <w:caps w:val="0"/>
        </w:rPr>
        <w:t xml:space="preserve"> for injection</w:t>
      </w:r>
    </w:p>
    <w:p w14:paraId="1EF9C1B5" w14:textId="77777777" w:rsidR="001A3992" w:rsidRDefault="009D6010" w:rsidP="00EE3AC8">
      <w:pPr>
        <w:pStyle w:val="Heading1"/>
      </w:pPr>
      <w:r w:rsidRPr="00377337">
        <w:t>Name of the medicine</w:t>
      </w:r>
    </w:p>
    <w:p w14:paraId="1EF9C1B6" w14:textId="05333153" w:rsidR="0080644B" w:rsidRPr="0080644B" w:rsidRDefault="00992C96" w:rsidP="0080644B">
      <w:pPr>
        <w:pStyle w:val="Paragraph"/>
      </w:pPr>
      <w:r w:rsidRPr="00B12677">
        <w:t>ChAdOx1-S</w:t>
      </w:r>
    </w:p>
    <w:p w14:paraId="1EF9C1B7" w14:textId="03BD64F7" w:rsidR="001A3992" w:rsidRDefault="009D6010" w:rsidP="00EE3AC8">
      <w:pPr>
        <w:pStyle w:val="Heading1"/>
      </w:pPr>
      <w:bookmarkStart w:id="0" w:name="_Ref505770391"/>
      <w:r w:rsidRPr="00377337">
        <w:t>Qualitative and quantitative composition</w:t>
      </w:r>
      <w:bookmarkEnd w:id="0"/>
    </w:p>
    <w:p w14:paraId="1EF9C1B9" w14:textId="67F284E4" w:rsidR="000B24AA" w:rsidRDefault="009D6010" w:rsidP="005F3843">
      <w:pPr>
        <w:pStyle w:val="Paragraph"/>
      </w:pPr>
      <w:r w:rsidRPr="00C354E8">
        <w:t>One dose (0.5 mL)</w:t>
      </w:r>
      <w:r w:rsidR="00372AE0" w:rsidRPr="00C354E8">
        <w:t xml:space="preserve"> contains </w:t>
      </w:r>
      <w:r w:rsidRPr="00C354E8">
        <w:t>5x10</w:t>
      </w:r>
      <w:r w:rsidRPr="00C354E8">
        <w:rPr>
          <w:vertAlign w:val="superscript"/>
        </w:rPr>
        <w:t>10</w:t>
      </w:r>
      <w:r w:rsidRPr="00C354E8">
        <w:t xml:space="preserve"> </w:t>
      </w:r>
      <w:r w:rsidR="00705092" w:rsidRPr="000B24AA">
        <w:t>v</w:t>
      </w:r>
      <w:r w:rsidR="00705092">
        <w:t xml:space="preserve">iral </w:t>
      </w:r>
      <w:r w:rsidR="00705092" w:rsidRPr="000B24AA">
        <w:t>p</w:t>
      </w:r>
      <w:r w:rsidR="00705092">
        <w:t>articles (</w:t>
      </w:r>
      <w:r w:rsidR="00372AE0" w:rsidRPr="00C354E8">
        <w:t>vp</w:t>
      </w:r>
      <w:r w:rsidR="00705092">
        <w:t>)</w:t>
      </w:r>
      <w:r w:rsidR="00372AE0" w:rsidRPr="00C354E8">
        <w:t xml:space="preserve"> of ChAdOx1-S</w:t>
      </w:r>
      <w:r w:rsidRPr="00C354E8">
        <w:rPr>
          <w:vertAlign w:val="superscript"/>
        </w:rPr>
        <w:t xml:space="preserve"> a, b</w:t>
      </w:r>
      <w:r w:rsidR="00B5488E">
        <w:rPr>
          <w:vertAlign w:val="superscript"/>
        </w:rPr>
        <w:t>, c</w:t>
      </w:r>
      <w:r w:rsidR="00372AE0" w:rsidRPr="00C354E8">
        <w:t>.</w:t>
      </w:r>
    </w:p>
    <w:p w14:paraId="1EF9C1BA" w14:textId="43155B5C" w:rsidR="009F1C41" w:rsidRPr="00815896" w:rsidRDefault="009D6010" w:rsidP="009F1C41">
      <w:pPr>
        <w:pStyle w:val="TableFootnoteLetter"/>
      </w:pPr>
      <w:r w:rsidRPr="00815896">
        <w:t xml:space="preserve">Recombinant, replication-deficient chimpanzee adenovirus vector </w:t>
      </w:r>
      <w:r w:rsidR="002043AA" w:rsidRPr="00815896">
        <w:t xml:space="preserve">encoding </w:t>
      </w:r>
      <w:r w:rsidRPr="00815896">
        <w:t>the SARS-CoV-2 Spike (S) glycoprotein (GP)</w:t>
      </w:r>
    </w:p>
    <w:p w14:paraId="1EF9C1BB" w14:textId="176A41DD" w:rsidR="009F1C41" w:rsidRPr="00815896" w:rsidRDefault="009D6010" w:rsidP="009F1C41">
      <w:pPr>
        <w:pStyle w:val="TableFootnoteLetter"/>
      </w:pPr>
      <w:bookmarkStart w:id="1" w:name="_Hlk63775549"/>
      <w:r w:rsidRPr="00815896">
        <w:t xml:space="preserve">The vaccine </w:t>
      </w:r>
      <w:r w:rsidR="0051294E" w:rsidRPr="00815896">
        <w:t>is</w:t>
      </w:r>
      <w:r w:rsidRPr="00815896">
        <w:t xml:space="preserve"> manufactured using material </w:t>
      </w:r>
      <w:r w:rsidR="0051294E" w:rsidRPr="00815896">
        <w:t xml:space="preserve">originally </w:t>
      </w:r>
      <w:r w:rsidRPr="00815896">
        <w:t>sourced from a human embryo (Human Embryonic Kidney cells: HEK293)</w:t>
      </w:r>
      <w:bookmarkEnd w:id="1"/>
      <w:r w:rsidR="00992C96" w:rsidRPr="00815896">
        <w:t xml:space="preserve"> </w:t>
      </w:r>
    </w:p>
    <w:p w14:paraId="626D72A8" w14:textId="737E652E" w:rsidR="00B5488E" w:rsidRPr="00815896" w:rsidRDefault="00A237ED" w:rsidP="00BF2638">
      <w:pPr>
        <w:pStyle w:val="TableFootnoteLetter"/>
      </w:pPr>
      <w:r w:rsidRPr="00815896">
        <w:t>Corresponding to not less than 2.5 × 10</w:t>
      </w:r>
      <w:r w:rsidRPr="00815896">
        <w:rPr>
          <w:vertAlign w:val="superscript"/>
        </w:rPr>
        <w:t>8</w:t>
      </w:r>
      <w:r w:rsidRPr="00815896">
        <w:t xml:space="preserve"> infectious units (Inf.U)</w:t>
      </w:r>
    </w:p>
    <w:p w14:paraId="1EF9C1BC" w14:textId="77777777" w:rsidR="009F1C41" w:rsidRPr="005F3843" w:rsidRDefault="009F1C41" w:rsidP="00992C96">
      <w:pPr>
        <w:pStyle w:val="Paragraph"/>
      </w:pPr>
    </w:p>
    <w:p w14:paraId="22F5ED79" w14:textId="443257DB" w:rsidR="00705092" w:rsidRDefault="00705092" w:rsidP="00705092">
      <w:pPr>
        <w:pStyle w:val="Paragraph"/>
      </w:pPr>
      <w:bookmarkStart w:id="2" w:name="_Hlk505357644"/>
      <w:r>
        <w:t>There are two multi-dose vial presentations:</w:t>
      </w:r>
    </w:p>
    <w:p w14:paraId="21770ACD" w14:textId="6F603648" w:rsidR="00705092" w:rsidRPr="00C354E8" w:rsidRDefault="00705092" w:rsidP="00705092">
      <w:pPr>
        <w:pStyle w:val="ListBullet"/>
      </w:pPr>
      <w:r>
        <w:t>8 dose:  4</w:t>
      </w:r>
      <w:r w:rsidRPr="000B24AA">
        <w:t>x10</w:t>
      </w:r>
      <w:r w:rsidRPr="000B24AA">
        <w:rPr>
          <w:vertAlign w:val="superscript"/>
        </w:rPr>
        <w:t>11</w:t>
      </w:r>
      <w:r w:rsidRPr="000B24AA">
        <w:t xml:space="preserve"> </w:t>
      </w:r>
      <w:r>
        <w:t xml:space="preserve">vp </w:t>
      </w:r>
      <w:r w:rsidRPr="00C354E8">
        <w:t xml:space="preserve">of ChAdOx1-S in </w:t>
      </w:r>
      <w:r>
        <w:t>4</w:t>
      </w:r>
      <w:r w:rsidRPr="00C354E8">
        <w:t> </w:t>
      </w:r>
      <w:proofErr w:type="spellStart"/>
      <w:r w:rsidRPr="00C354E8">
        <w:t>mL.</w:t>
      </w:r>
      <w:proofErr w:type="spellEnd"/>
    </w:p>
    <w:p w14:paraId="025425C0" w14:textId="1AA7239E" w:rsidR="00705092" w:rsidRPr="00C354E8" w:rsidRDefault="00705092" w:rsidP="00705092">
      <w:pPr>
        <w:pStyle w:val="ListBullet"/>
      </w:pPr>
      <w:r>
        <w:t xml:space="preserve">10 dose: </w:t>
      </w:r>
      <w:r w:rsidRPr="000B24AA">
        <w:t>5x10</w:t>
      </w:r>
      <w:r w:rsidRPr="000B24AA">
        <w:rPr>
          <w:vertAlign w:val="superscript"/>
        </w:rPr>
        <w:t>11</w:t>
      </w:r>
      <w:r w:rsidRPr="000B24AA">
        <w:t xml:space="preserve"> </w:t>
      </w:r>
      <w:r>
        <w:t xml:space="preserve">vp </w:t>
      </w:r>
      <w:r w:rsidRPr="00C354E8">
        <w:t>of ChAdOx1-S in 5 </w:t>
      </w:r>
      <w:proofErr w:type="spellStart"/>
      <w:r w:rsidRPr="00C354E8">
        <w:t>mL.</w:t>
      </w:r>
      <w:proofErr w:type="spellEnd"/>
    </w:p>
    <w:p w14:paraId="2D029050" w14:textId="77777777" w:rsidR="00705092" w:rsidRDefault="00705092" w:rsidP="00ED27EC">
      <w:pPr>
        <w:pStyle w:val="Paragraph"/>
        <w:rPr>
          <w:rFonts w:eastAsia="SimSun"/>
        </w:rPr>
      </w:pPr>
    </w:p>
    <w:p w14:paraId="1EF9C1BD" w14:textId="1A078192" w:rsidR="00992C96" w:rsidRDefault="009D6010" w:rsidP="00ED27EC">
      <w:pPr>
        <w:pStyle w:val="Paragraph"/>
        <w:rPr>
          <w:rFonts w:eastAsia="SimSun"/>
        </w:rPr>
      </w:pPr>
      <w:r w:rsidRPr="00992C96">
        <w:rPr>
          <w:rFonts w:eastAsia="SimSun"/>
        </w:rPr>
        <w:t>This product contains genetically modified organisms (GMOs).</w:t>
      </w:r>
    </w:p>
    <w:p w14:paraId="1EF9C1BE" w14:textId="69EA0AB4" w:rsidR="00ED27EC" w:rsidRDefault="009D6010" w:rsidP="00ED27EC">
      <w:pPr>
        <w:pStyle w:val="Paragraph"/>
        <w:rPr>
          <w:rFonts w:eastAsia="SimSun"/>
        </w:rPr>
      </w:pPr>
      <w:r w:rsidRPr="007228AC">
        <w:rPr>
          <w:rFonts w:eastAsia="SimSun"/>
        </w:rPr>
        <w:t xml:space="preserve">For the full list of excipients, see Section </w:t>
      </w:r>
      <w:r w:rsidRPr="007228AC">
        <w:rPr>
          <w:rFonts w:eastAsia="SimSun"/>
        </w:rPr>
        <w:fldChar w:fldCharType="begin"/>
      </w:r>
      <w:r w:rsidRPr="007228AC">
        <w:rPr>
          <w:rFonts w:eastAsia="SimSun"/>
        </w:rPr>
        <w:instrText xml:space="preserve"> REF _Ref505768678 \r \h </w:instrText>
      </w:r>
      <w:r w:rsidR="00986EEB" w:rsidRPr="007228AC">
        <w:rPr>
          <w:rFonts w:eastAsia="SimSun"/>
        </w:rPr>
        <w:instrText xml:space="preserve"> \* MERGEFORMAT </w:instrText>
      </w:r>
      <w:r w:rsidRPr="007228AC">
        <w:rPr>
          <w:rFonts w:eastAsia="SimSun"/>
        </w:rPr>
      </w:r>
      <w:r w:rsidRPr="007228AC">
        <w:rPr>
          <w:rFonts w:eastAsia="SimSun"/>
        </w:rPr>
        <w:fldChar w:fldCharType="separate"/>
      </w:r>
      <w:r w:rsidR="00D222AF">
        <w:rPr>
          <w:rFonts w:eastAsia="SimSun"/>
        </w:rPr>
        <w:t>6.1</w:t>
      </w:r>
      <w:r w:rsidRPr="007228AC">
        <w:rPr>
          <w:rFonts w:eastAsia="SimSun"/>
        </w:rPr>
        <w:fldChar w:fldCharType="end"/>
      </w:r>
      <w:r w:rsidR="007228AC" w:rsidRPr="007228AC">
        <w:rPr>
          <w:rFonts w:eastAsia="SimSun"/>
        </w:rPr>
        <w:t xml:space="preserve"> </w:t>
      </w:r>
      <w:r w:rsidR="007228AC" w:rsidRPr="007228AC">
        <w:rPr>
          <w:rFonts w:eastAsia="SimSun"/>
        </w:rPr>
        <w:fldChar w:fldCharType="begin"/>
      </w:r>
      <w:r w:rsidR="007228AC" w:rsidRPr="007228AC">
        <w:rPr>
          <w:rFonts w:eastAsia="SimSun"/>
        </w:rPr>
        <w:instrText xml:space="preserve"> REF _Ref505768678 \h </w:instrText>
      </w:r>
      <w:r w:rsidR="007228AC">
        <w:rPr>
          <w:rFonts w:eastAsia="SimSun"/>
        </w:rPr>
        <w:instrText xml:space="preserve"> \* MERGEFORMAT </w:instrText>
      </w:r>
      <w:r w:rsidR="007228AC" w:rsidRPr="007228AC">
        <w:rPr>
          <w:rFonts w:eastAsia="SimSun"/>
        </w:rPr>
      </w:r>
      <w:r w:rsidR="007228AC" w:rsidRPr="007228AC">
        <w:rPr>
          <w:rFonts w:eastAsia="SimSun"/>
        </w:rPr>
        <w:fldChar w:fldCharType="separate"/>
      </w:r>
      <w:r w:rsidR="00D222AF" w:rsidRPr="00377337">
        <w:t>List of excipients</w:t>
      </w:r>
      <w:r w:rsidR="007228AC" w:rsidRPr="007228AC">
        <w:rPr>
          <w:rFonts w:eastAsia="SimSun"/>
        </w:rPr>
        <w:fldChar w:fldCharType="end"/>
      </w:r>
      <w:r w:rsidR="007228AC" w:rsidRPr="007228AC">
        <w:rPr>
          <w:rFonts w:eastAsia="SimSun"/>
        </w:rPr>
        <w:t>.</w:t>
      </w:r>
    </w:p>
    <w:bookmarkEnd w:id="2"/>
    <w:p w14:paraId="1EF9C1BF" w14:textId="77777777" w:rsidR="001A3992" w:rsidRDefault="009D6010" w:rsidP="00EE3AC8">
      <w:pPr>
        <w:pStyle w:val="Heading1"/>
      </w:pPr>
      <w:r w:rsidRPr="00377337">
        <w:t>Pharmaceutical form</w:t>
      </w:r>
    </w:p>
    <w:p w14:paraId="1EF9C1C0" w14:textId="77777777" w:rsidR="00C85BE9" w:rsidRPr="00B00C47" w:rsidRDefault="009D6010" w:rsidP="00C85BE9">
      <w:pPr>
        <w:pStyle w:val="Paragraph"/>
      </w:pPr>
      <w:r w:rsidRPr="00B00C47">
        <w:t>Solution for injection.</w:t>
      </w:r>
    </w:p>
    <w:p w14:paraId="1EF9C1C1" w14:textId="0A142675" w:rsidR="005A2AE3" w:rsidRPr="00BC7898" w:rsidRDefault="009D6010" w:rsidP="005A2AE3">
      <w:pPr>
        <w:pStyle w:val="Paragraph"/>
      </w:pPr>
      <w:r w:rsidRPr="00BC7898">
        <w:rPr>
          <w:rStyle w:val="normaltextrun"/>
          <w:color w:val="000000"/>
          <w:szCs w:val="22"/>
          <w:shd w:val="clear" w:color="auto" w:fill="FFFFFF"/>
        </w:rPr>
        <w:t xml:space="preserve">Clear to slightly opaque, colourless to slightly </w:t>
      </w:r>
      <w:r w:rsidR="009177C2" w:rsidRPr="00BC7898">
        <w:rPr>
          <w:rStyle w:val="normaltextrun"/>
          <w:color w:val="000000"/>
          <w:szCs w:val="22"/>
          <w:shd w:val="clear" w:color="auto" w:fill="FFFFFF"/>
        </w:rPr>
        <w:t>brown</w:t>
      </w:r>
      <w:r w:rsidRPr="00BC7898">
        <w:rPr>
          <w:rStyle w:val="normaltextrun"/>
          <w:color w:val="000000"/>
          <w:szCs w:val="22"/>
          <w:shd w:val="clear" w:color="auto" w:fill="FFFFFF"/>
        </w:rPr>
        <w:t>, particle free</w:t>
      </w:r>
      <w:r w:rsidR="00B00C47" w:rsidRPr="00BC7898">
        <w:rPr>
          <w:rStyle w:val="normaltextrun"/>
          <w:color w:val="000000"/>
          <w:szCs w:val="22"/>
          <w:shd w:val="clear" w:color="auto" w:fill="FFFFFF"/>
        </w:rPr>
        <w:t xml:space="preserve"> with a</w:t>
      </w:r>
      <w:r w:rsidRPr="00BC7898">
        <w:rPr>
          <w:rStyle w:val="normaltextrun"/>
          <w:color w:val="000000"/>
          <w:szCs w:val="22"/>
          <w:shd w:val="clear" w:color="auto" w:fill="FFFFFF"/>
        </w:rPr>
        <w:t xml:space="preserve"> pH </w:t>
      </w:r>
      <w:r w:rsidR="00B00C47" w:rsidRPr="00BC7898">
        <w:rPr>
          <w:rStyle w:val="normaltextrun"/>
          <w:color w:val="000000"/>
          <w:szCs w:val="22"/>
          <w:shd w:val="clear" w:color="auto" w:fill="FFFFFF"/>
        </w:rPr>
        <w:t xml:space="preserve">of </w:t>
      </w:r>
      <w:r w:rsidR="003E4AE5" w:rsidRPr="00BC7898">
        <w:rPr>
          <w:rStyle w:val="normaltextrun"/>
          <w:color w:val="000000"/>
          <w:szCs w:val="22"/>
          <w:shd w:val="clear" w:color="auto" w:fill="FFFFFF"/>
        </w:rPr>
        <w:t>6.1 – 7.1</w:t>
      </w:r>
      <w:r w:rsidRPr="00BC7898">
        <w:rPr>
          <w:rStyle w:val="normaltextrun"/>
          <w:color w:val="000000"/>
          <w:szCs w:val="22"/>
          <w:shd w:val="clear" w:color="auto" w:fill="FFFFFF"/>
        </w:rPr>
        <w:t>.</w:t>
      </w:r>
    </w:p>
    <w:p w14:paraId="1EF9C1C2" w14:textId="77777777" w:rsidR="001A3992" w:rsidRPr="00BC7898" w:rsidRDefault="009D6010" w:rsidP="00EE3AC8">
      <w:pPr>
        <w:pStyle w:val="Heading1"/>
      </w:pPr>
      <w:r w:rsidRPr="00BC7898">
        <w:t>Clinical particulars</w:t>
      </w:r>
    </w:p>
    <w:p w14:paraId="1EF9C1C3" w14:textId="13442563" w:rsidR="001A3992" w:rsidRPr="008D35A9" w:rsidRDefault="009D6010" w:rsidP="00EE3AC8">
      <w:pPr>
        <w:pStyle w:val="Heading2"/>
      </w:pPr>
      <w:r w:rsidRPr="008D35A9">
        <w:t>Therapeutic indi</w:t>
      </w:r>
      <w:r w:rsidR="003B7CFF" w:rsidRPr="008D35A9">
        <w:t>cations</w:t>
      </w:r>
    </w:p>
    <w:p w14:paraId="1EF9C1C4" w14:textId="3C8F840A" w:rsidR="00246FC8" w:rsidRPr="008D35A9" w:rsidRDefault="00E56F2B" w:rsidP="00607A21">
      <w:pPr>
        <w:pStyle w:val="Paragraph"/>
      </w:pPr>
      <w:r>
        <w:t>VAXZEVRIA</w:t>
      </w:r>
      <w:r w:rsidR="009D6010" w:rsidRPr="008D35A9">
        <w:t xml:space="preserve"> has </w:t>
      </w:r>
      <w:r w:rsidR="009D6010" w:rsidRPr="008D35A9">
        <w:rPr>
          <w:b/>
          <w:bCs/>
        </w:rPr>
        <w:t>provisional approval</w:t>
      </w:r>
      <w:r w:rsidR="009D6010" w:rsidRPr="008D35A9">
        <w:t xml:space="preserve"> for the indication:</w:t>
      </w:r>
    </w:p>
    <w:p w14:paraId="1EF9C1C5" w14:textId="0E01F965" w:rsidR="7EDB722E" w:rsidRPr="008D35A9" w:rsidRDefault="00246FC8" w:rsidP="00607A21">
      <w:pPr>
        <w:pStyle w:val="Paragraph"/>
      </w:pPr>
      <w:r w:rsidRPr="008D35A9">
        <w:t>A</w:t>
      </w:r>
      <w:r w:rsidR="009D6010" w:rsidRPr="008D35A9">
        <w:t>ctive immuni</w:t>
      </w:r>
      <w:r w:rsidR="006C5479" w:rsidRPr="008D35A9">
        <w:t>s</w:t>
      </w:r>
      <w:r w:rsidR="009D6010" w:rsidRPr="008D35A9">
        <w:t>ation of individuals ≥18 years</w:t>
      </w:r>
      <w:r w:rsidR="009177C2" w:rsidRPr="008D35A9">
        <w:t xml:space="preserve"> old</w:t>
      </w:r>
      <w:r w:rsidR="009D6010" w:rsidRPr="008D35A9">
        <w:t xml:space="preserve"> for the prevention of coronavirus disease 2019 (COVID-19)</w:t>
      </w:r>
      <w:r w:rsidR="00CC1DD0" w:rsidRPr="008D35A9">
        <w:t xml:space="preserve"> caused by SARS-CoV-2</w:t>
      </w:r>
      <w:r w:rsidR="009D6010" w:rsidRPr="008D35A9">
        <w:t>.</w:t>
      </w:r>
    </w:p>
    <w:p w14:paraId="1EF9C1C6" w14:textId="77777777" w:rsidR="00CC1DD0" w:rsidRPr="008D35A9" w:rsidRDefault="009D6010" w:rsidP="00607A21">
      <w:pPr>
        <w:pStyle w:val="Paragraph"/>
      </w:pPr>
      <w:r w:rsidRPr="008D35A9">
        <w:t>The use of this vaccine should be in accordance with official recommendations.</w:t>
      </w:r>
    </w:p>
    <w:p w14:paraId="1EF9C1C7" w14:textId="26942A1D" w:rsidR="000B24AA" w:rsidRPr="008D35A9" w:rsidRDefault="00CC1DD0">
      <w:pPr>
        <w:pStyle w:val="Paragraph"/>
      </w:pPr>
      <w:r w:rsidRPr="008D35A9">
        <w:lastRenderedPageBreak/>
        <w:t>The decision has been made on the basis of short term efficacy and safety data. Continued approval is dependent upon the evidence of longer-term efficacy and safety from ongoing clinical trials and post-market assessment.</w:t>
      </w:r>
    </w:p>
    <w:p w14:paraId="1EF9C1C8" w14:textId="77777777" w:rsidR="003B7CFF" w:rsidRPr="008D35A9" w:rsidRDefault="009D6010" w:rsidP="003B7CFF">
      <w:pPr>
        <w:pStyle w:val="Heading2"/>
      </w:pPr>
      <w:bookmarkStart w:id="3" w:name="_Ref67345493"/>
      <w:r w:rsidRPr="008D35A9">
        <w:t>Dose and method of administration</w:t>
      </w:r>
      <w:bookmarkEnd w:id="3"/>
    </w:p>
    <w:p w14:paraId="1EF9C1C9" w14:textId="74260E95" w:rsidR="009177C2" w:rsidRPr="00E86F92" w:rsidRDefault="009D6010" w:rsidP="009177C2">
      <w:pPr>
        <w:pStyle w:val="Paragraph"/>
      </w:pPr>
      <w:r w:rsidRPr="00E86F92">
        <w:t xml:space="preserve">The </w:t>
      </w:r>
      <w:r w:rsidR="00E56F2B">
        <w:t>VAXZEVRIA</w:t>
      </w:r>
      <w:r w:rsidRPr="00E86F92">
        <w:t xml:space="preserve"> </w:t>
      </w:r>
      <w:r w:rsidR="00F76761">
        <w:t xml:space="preserve">primary </w:t>
      </w:r>
      <w:r w:rsidRPr="00E86F92">
        <w:t xml:space="preserve">vaccination course consists of two separate doses of 0.5 mL each. The second dose should be administered between 4 and 12 weeks after the first dose (see Section </w:t>
      </w:r>
      <w:r w:rsidRPr="00E86F92">
        <w:fldChar w:fldCharType="begin"/>
      </w:r>
      <w:r w:rsidRPr="00E86F92">
        <w:instrText xml:space="preserve"> REF _Ref59522372 \r \h </w:instrText>
      </w:r>
      <w:r w:rsidR="008D35A9" w:rsidRPr="00E86F92">
        <w:instrText xml:space="preserve"> \* MERGEFORMAT </w:instrText>
      </w:r>
      <w:r w:rsidRPr="00E86F92">
        <w:fldChar w:fldCharType="separate"/>
      </w:r>
      <w:r w:rsidR="00D222AF">
        <w:t>5.1</w:t>
      </w:r>
      <w:r w:rsidRPr="00E86F92">
        <w:fldChar w:fldCharType="end"/>
      </w:r>
      <w:r w:rsidRPr="00E86F92">
        <w:t xml:space="preserve"> </w:t>
      </w:r>
      <w:r w:rsidRPr="00E86F92">
        <w:fldChar w:fldCharType="begin"/>
      </w:r>
      <w:r w:rsidRPr="00E86F92">
        <w:instrText xml:space="preserve"> REF _Ref59522372 \h </w:instrText>
      </w:r>
      <w:r w:rsidR="008D35A9" w:rsidRPr="00E86F92">
        <w:instrText xml:space="preserve"> \* MERGEFORMAT </w:instrText>
      </w:r>
      <w:r w:rsidRPr="00E86F92">
        <w:fldChar w:fldCharType="separate"/>
      </w:r>
      <w:r w:rsidR="00D222AF" w:rsidRPr="00763304">
        <w:t>Pharmacodynamic properties</w:t>
      </w:r>
      <w:r w:rsidRPr="00E86F92">
        <w:fldChar w:fldCharType="end"/>
      </w:r>
      <w:r w:rsidRPr="00E86F92">
        <w:t>).</w:t>
      </w:r>
    </w:p>
    <w:p w14:paraId="1EF9C1CA" w14:textId="71CF6DB1" w:rsidR="009177C2" w:rsidRDefault="009D6010" w:rsidP="009177C2">
      <w:pPr>
        <w:pStyle w:val="Paragraph"/>
      </w:pPr>
      <w:r w:rsidRPr="00E86F92">
        <w:t xml:space="preserve">It is recommended that individuals who receive a first dose of </w:t>
      </w:r>
      <w:r w:rsidR="00E56F2B">
        <w:t>VAXZEVRIA</w:t>
      </w:r>
      <w:r w:rsidRPr="00E86F92">
        <w:t xml:space="preserve"> </w:t>
      </w:r>
      <w:r w:rsidR="00777D40" w:rsidRPr="00536228">
        <w:t xml:space="preserve">receive a second dose of VAXZEVRIA </w:t>
      </w:r>
      <w:r w:rsidRPr="00E86F92">
        <w:t xml:space="preserve">(see Section </w:t>
      </w:r>
      <w:r w:rsidRPr="00E86F92">
        <w:fldChar w:fldCharType="begin"/>
      </w:r>
      <w:r w:rsidRPr="00E86F92">
        <w:instrText xml:space="preserve"> REF _Ref59522420 \r \h </w:instrText>
      </w:r>
      <w:r w:rsidR="008D35A9" w:rsidRPr="00E86F92">
        <w:instrText xml:space="preserve"> \* MERGEFORMAT </w:instrText>
      </w:r>
      <w:r w:rsidRPr="00E86F92">
        <w:fldChar w:fldCharType="separate"/>
      </w:r>
      <w:r w:rsidR="00D222AF">
        <w:t>4.4</w:t>
      </w:r>
      <w:r w:rsidRPr="00E86F92">
        <w:fldChar w:fldCharType="end"/>
      </w:r>
      <w:r w:rsidRPr="00E86F92">
        <w:t xml:space="preserve"> </w:t>
      </w:r>
      <w:r w:rsidRPr="00E86F92">
        <w:fldChar w:fldCharType="begin"/>
      </w:r>
      <w:r w:rsidRPr="00E86F92">
        <w:instrText xml:space="preserve"> REF _Ref59522420 \h </w:instrText>
      </w:r>
      <w:r w:rsidR="008D35A9" w:rsidRPr="00E86F92">
        <w:instrText xml:space="preserve"> \* MERGEFORMAT </w:instrText>
      </w:r>
      <w:r w:rsidRPr="00E86F92">
        <w:fldChar w:fldCharType="separate"/>
      </w:r>
      <w:r w:rsidR="00D222AF" w:rsidRPr="008D35A9">
        <w:t>Special warnings and precautions for use</w:t>
      </w:r>
      <w:r w:rsidRPr="00E86F92">
        <w:fldChar w:fldCharType="end"/>
      </w:r>
      <w:r w:rsidRPr="00E86F92">
        <w:t xml:space="preserve">). </w:t>
      </w:r>
    </w:p>
    <w:p w14:paraId="722AEA36" w14:textId="5A60D0B8" w:rsidR="00F76761" w:rsidRDefault="00777D40" w:rsidP="009177C2">
      <w:pPr>
        <w:pStyle w:val="Paragraph"/>
        <w:rPr>
          <w:u w:val="single"/>
        </w:rPr>
      </w:pPr>
      <w:r w:rsidRPr="00536228">
        <w:t>A</w:t>
      </w:r>
      <w:r w:rsidR="00722608" w:rsidRPr="00536228">
        <w:t xml:space="preserve"> third (booster)</w:t>
      </w:r>
      <w:r w:rsidRPr="00536228">
        <w:t xml:space="preserve"> </w:t>
      </w:r>
      <w:r w:rsidR="00722608" w:rsidRPr="00536228">
        <w:t xml:space="preserve">dose of </w:t>
      </w:r>
      <w:r w:rsidRPr="00536228">
        <w:t>0.5 mL may be given</w:t>
      </w:r>
      <w:r w:rsidRPr="00777D40">
        <w:rPr>
          <w:u w:val="single"/>
        </w:rPr>
        <w:t xml:space="preserve"> </w:t>
      </w:r>
      <w:r w:rsidR="006933C3" w:rsidRPr="00536228">
        <w:t>if clinically indicated with reference to official guidance</w:t>
      </w:r>
      <w:r w:rsidR="00722608" w:rsidRPr="00536228">
        <w:t xml:space="preserve"> regarding the use of a heterologous third dose (e.g. mRNA vaccine)</w:t>
      </w:r>
      <w:r w:rsidRPr="00536228">
        <w:t>.</w:t>
      </w:r>
      <w:r w:rsidRPr="00777D40">
        <w:rPr>
          <w:u w:val="single"/>
        </w:rPr>
        <w:t xml:space="preserve"> </w:t>
      </w:r>
    </w:p>
    <w:p w14:paraId="4F3417F5" w14:textId="7D6688F5" w:rsidR="00CD7567" w:rsidRPr="00536228" w:rsidRDefault="00CD7567" w:rsidP="009177C2">
      <w:pPr>
        <w:pStyle w:val="Paragraph"/>
      </w:pPr>
      <w:r w:rsidRPr="00536228">
        <w:t xml:space="preserve">A third (booster) dose of VAXZEVRIA should be administered at least 6 months after a second-dose of VAXZEVRIA. </w:t>
      </w:r>
    </w:p>
    <w:p w14:paraId="1EF9C1CC" w14:textId="77777777" w:rsidR="00ED27EC" w:rsidRPr="00E86F92" w:rsidRDefault="009D6010" w:rsidP="00ED27EC">
      <w:pPr>
        <w:pStyle w:val="Heading3Unnumbered"/>
      </w:pPr>
      <w:r w:rsidRPr="00E86F92">
        <w:t>Special patient populations</w:t>
      </w:r>
    </w:p>
    <w:p w14:paraId="1EF9C1D1" w14:textId="77777777" w:rsidR="00ED27EC" w:rsidRPr="00E86F92" w:rsidRDefault="009D6010" w:rsidP="00ED27EC">
      <w:pPr>
        <w:pStyle w:val="Heading4Unnumbered"/>
      </w:pPr>
      <w:r w:rsidRPr="00E86F92">
        <w:t>Use in the elderly</w:t>
      </w:r>
    </w:p>
    <w:p w14:paraId="1EF9C1D3" w14:textId="4BFCFDA0" w:rsidR="009177C2" w:rsidRPr="00E86F92" w:rsidRDefault="009D6010" w:rsidP="009177C2">
      <w:pPr>
        <w:pStyle w:val="Paragraph"/>
      </w:pPr>
      <w:r w:rsidRPr="00E86F92">
        <w:t>No dosage adjustment is required in elderly individuals ≥65 years of age</w:t>
      </w:r>
      <w:r w:rsidR="002A3BAF" w:rsidRPr="00E86F92">
        <w:t xml:space="preserve"> (see Section </w:t>
      </w:r>
      <w:r w:rsidR="002A3BAF" w:rsidRPr="00E86F92">
        <w:fldChar w:fldCharType="begin"/>
      </w:r>
      <w:r w:rsidR="002A3BAF" w:rsidRPr="00E86F92">
        <w:instrText xml:space="preserve"> REF _Ref59522420 \r \h  \* MERGEFORMAT </w:instrText>
      </w:r>
      <w:r w:rsidR="002A3BAF" w:rsidRPr="00E86F92">
        <w:fldChar w:fldCharType="separate"/>
      </w:r>
      <w:r w:rsidR="00D222AF">
        <w:t>4.4</w:t>
      </w:r>
      <w:r w:rsidR="002A3BAF" w:rsidRPr="00E86F92">
        <w:fldChar w:fldCharType="end"/>
      </w:r>
      <w:r w:rsidR="002A3BAF" w:rsidRPr="00E86F92">
        <w:t xml:space="preserve"> </w:t>
      </w:r>
      <w:r w:rsidR="002A3BAF" w:rsidRPr="00E86F92">
        <w:fldChar w:fldCharType="begin"/>
      </w:r>
      <w:r w:rsidR="002A3BAF" w:rsidRPr="00E86F92">
        <w:instrText xml:space="preserve"> REF _Ref59522420 \h  \* MERGEFORMAT </w:instrText>
      </w:r>
      <w:r w:rsidR="002A3BAF" w:rsidRPr="00E86F92">
        <w:fldChar w:fldCharType="separate"/>
      </w:r>
      <w:r w:rsidR="00D222AF" w:rsidRPr="008D35A9">
        <w:t>Special warnings and precautions for use</w:t>
      </w:r>
      <w:r w:rsidR="002A3BAF" w:rsidRPr="00E86F92">
        <w:fldChar w:fldCharType="end"/>
      </w:r>
      <w:r w:rsidR="002A3BAF" w:rsidRPr="00E86F92">
        <w:t>)</w:t>
      </w:r>
      <w:r w:rsidRPr="00E86F92">
        <w:t>.</w:t>
      </w:r>
    </w:p>
    <w:p w14:paraId="1EF9C1D4" w14:textId="77777777" w:rsidR="00ED27EC" w:rsidRPr="00E86F92" w:rsidRDefault="009D6010" w:rsidP="00ED27EC">
      <w:pPr>
        <w:pStyle w:val="Heading4Unnumbered"/>
      </w:pPr>
      <w:r w:rsidRPr="00E86F92">
        <w:t>Paediatric use</w:t>
      </w:r>
    </w:p>
    <w:p w14:paraId="1EF9C1D6" w14:textId="0B9052F8" w:rsidR="009177C2" w:rsidRPr="00E86F92" w:rsidRDefault="009D6010" w:rsidP="009177C2">
      <w:pPr>
        <w:pStyle w:val="Paragraph"/>
      </w:pPr>
      <w:r w:rsidRPr="00E86F92">
        <w:t xml:space="preserve">The safety and efficacy of </w:t>
      </w:r>
      <w:r w:rsidR="00E56F2B">
        <w:t>VAXZEVRIA</w:t>
      </w:r>
      <w:r w:rsidRPr="00E86F92">
        <w:t xml:space="preserve"> in children and adolescents (aged</w:t>
      </w:r>
      <w:r w:rsidR="00E86F92">
        <w:t> </w:t>
      </w:r>
      <w:r w:rsidRPr="00E86F92">
        <w:t>&lt;18 years old) have not yet been established. No data are available.</w:t>
      </w:r>
    </w:p>
    <w:p w14:paraId="1EF9C1D7" w14:textId="77777777" w:rsidR="00ED27EC" w:rsidRPr="00E86F92" w:rsidRDefault="009D6010" w:rsidP="00EC39D9">
      <w:pPr>
        <w:pStyle w:val="Heading2Unnumbered"/>
      </w:pPr>
      <w:r w:rsidRPr="00E86F92">
        <w:t>Method of administration</w:t>
      </w:r>
    </w:p>
    <w:p w14:paraId="1EF9C1D8" w14:textId="3ACB9DCB" w:rsidR="00593AC2" w:rsidRPr="00E86F92" w:rsidRDefault="00E56F2B" w:rsidP="00463FD3">
      <w:pPr>
        <w:pStyle w:val="Paragraph"/>
      </w:pPr>
      <w:r>
        <w:t>VAXZEVRIA</w:t>
      </w:r>
      <w:r w:rsidR="009D6010" w:rsidRPr="00E86F92">
        <w:t xml:space="preserve"> is for intramuscular (IM) injection only, preferably in the deltoid muscle.</w:t>
      </w:r>
    </w:p>
    <w:p w14:paraId="1EF9C1D9" w14:textId="77777777" w:rsidR="00D07D44" w:rsidRPr="00E86F92" w:rsidRDefault="009D6010" w:rsidP="00D07D44">
      <w:pPr>
        <w:pStyle w:val="Paragraph"/>
      </w:pPr>
      <w:r w:rsidRPr="00E86F92">
        <w:t>To facilitate the traceability of the vaccine, the name and the batch number of the administered product should be clearly recorded for each recipient.</w:t>
      </w:r>
    </w:p>
    <w:p w14:paraId="1EF9C1DA" w14:textId="30713E97" w:rsidR="00DB3DEF" w:rsidRPr="00E86F92" w:rsidRDefault="00E56F2B" w:rsidP="00463FD3">
      <w:pPr>
        <w:pStyle w:val="Paragraph"/>
      </w:pPr>
      <w:r>
        <w:t>VAXZEVRIA</w:t>
      </w:r>
      <w:r w:rsidR="002C7810" w:rsidRPr="00E86F92">
        <w:t xml:space="preserve"> is a colourless to slightly </w:t>
      </w:r>
      <w:r w:rsidR="00593AC2" w:rsidRPr="00E86F92">
        <w:t>brown</w:t>
      </w:r>
      <w:r w:rsidR="002C7810" w:rsidRPr="00E86F92">
        <w:t>, clear to slightly opaque solution. The vaccine should be inspected visually for particulate matter and discolouration prior to administration. Discard the vial if the solution is discoloured or visible particles are observed.</w:t>
      </w:r>
      <w:r w:rsidR="00313239" w:rsidRPr="00E86F92">
        <w:t xml:space="preserve"> Do not shake.</w:t>
      </w:r>
    </w:p>
    <w:p w14:paraId="1EF9C1DB" w14:textId="41058DAF" w:rsidR="00F14D77" w:rsidRPr="00E86F92" w:rsidRDefault="00FF187C" w:rsidP="002C7810">
      <w:pPr>
        <w:pStyle w:val="Paragraph"/>
      </w:pPr>
      <w:r w:rsidRPr="00294422">
        <w:t>Using an aseptic technique, e</w:t>
      </w:r>
      <w:r w:rsidR="009D6010" w:rsidRPr="00294422">
        <w:t>ach vaccine dose of 0.5</w:t>
      </w:r>
      <w:r w:rsidR="00DB3DEF" w:rsidRPr="00294422">
        <w:t> mL</w:t>
      </w:r>
      <w:r w:rsidR="009D6010" w:rsidRPr="00294422">
        <w:t xml:space="preserve"> is withdrawn into a syringe for injection</w:t>
      </w:r>
      <w:r w:rsidR="009D6010" w:rsidRPr="00E86F92">
        <w:t xml:space="preserve"> to be administered intramuscularly. Use a separate sterile needle and syringe for each individual. </w:t>
      </w:r>
    </w:p>
    <w:p w14:paraId="1EF9C1DC" w14:textId="1D7F7BA5" w:rsidR="002C7810" w:rsidRPr="00E86F92" w:rsidRDefault="00F14D77" w:rsidP="002C7810">
      <w:pPr>
        <w:pStyle w:val="Paragraph"/>
      </w:pPr>
      <w:r w:rsidRPr="00E86F92">
        <w:t xml:space="preserve">Each vial contains at least the number of doses stated. </w:t>
      </w:r>
      <w:r w:rsidR="009D6010" w:rsidRPr="00E86F92">
        <w:t>It is normal for liquid to remain in the vial after withdrawing the final dose.</w:t>
      </w:r>
      <w:r w:rsidRPr="00E86F92">
        <w:t xml:space="preserve"> When low dead volume syringes and/or needles are used, the amount remaining in the vial may be sufficient for an additional dose.  Care should be taken to ensure a full 0.5</w:t>
      </w:r>
      <w:r w:rsidR="006864E0" w:rsidRPr="00E86F92">
        <w:t> </w:t>
      </w:r>
      <w:r w:rsidRPr="00E86F92">
        <w:t>m</w:t>
      </w:r>
      <w:r w:rsidR="006864E0" w:rsidRPr="00E86F92">
        <w:t>L</w:t>
      </w:r>
      <w:r w:rsidRPr="00E86F92">
        <w:t xml:space="preserve"> dose is administered. Where a full 0.5 mL dose cannot be extracted, the remaining volume should be discarded. </w:t>
      </w:r>
      <w:r w:rsidR="00755528" w:rsidRPr="00E86F92">
        <w:t xml:space="preserve"> Do not pool </w:t>
      </w:r>
      <w:r w:rsidRPr="00E86F92">
        <w:t xml:space="preserve">excess </w:t>
      </w:r>
      <w:r w:rsidR="00755528" w:rsidRPr="00E86F92">
        <w:t>vaccine</w:t>
      </w:r>
      <w:r w:rsidRPr="00E86F92">
        <w:t xml:space="preserve"> from multiple vials</w:t>
      </w:r>
      <w:r w:rsidR="00755528" w:rsidRPr="00E86F92">
        <w:t>.</w:t>
      </w:r>
    </w:p>
    <w:p w14:paraId="1EF9C1DD" w14:textId="27DBDAAF" w:rsidR="002C7810" w:rsidRPr="00B42D0F" w:rsidRDefault="009D6010" w:rsidP="00B42D0F">
      <w:pPr>
        <w:pStyle w:val="Paragraph"/>
        <w:spacing w:after="0"/>
      </w:pPr>
      <w:r w:rsidRPr="00B42D0F">
        <w:t xml:space="preserve">The vaccine does not contain any preservative. After first opening, use the vial within: </w:t>
      </w:r>
    </w:p>
    <w:p w14:paraId="1EF9C1DE" w14:textId="77777777" w:rsidR="002C7810" w:rsidRPr="00E86F92" w:rsidRDefault="009D6010" w:rsidP="00DB3DEF">
      <w:pPr>
        <w:pStyle w:val="ListBullet"/>
      </w:pPr>
      <w:r w:rsidRPr="00E86F92">
        <w:t>6 hours when stored at room temperature (up to 30ºC), or</w:t>
      </w:r>
    </w:p>
    <w:p w14:paraId="1EF9C1DF" w14:textId="58902A58" w:rsidR="002C7810" w:rsidRDefault="009D6010" w:rsidP="00DB3DEF">
      <w:pPr>
        <w:pStyle w:val="ListBullet"/>
      </w:pPr>
      <w:r w:rsidRPr="00E86F92">
        <w:t>48 hours when stored in a refrigerator (2</w:t>
      </w:r>
      <w:r w:rsidR="00DB3DEF" w:rsidRPr="00E86F92">
        <w:t>ºC</w:t>
      </w:r>
      <w:r w:rsidRPr="00E86F92">
        <w:t xml:space="preserve"> to 8ºC).</w:t>
      </w:r>
    </w:p>
    <w:p w14:paraId="2DB55852" w14:textId="77777777" w:rsidR="00B42D0F" w:rsidRPr="00E86F92" w:rsidRDefault="00B42D0F" w:rsidP="00B42D0F">
      <w:pPr>
        <w:pStyle w:val="ListBullet"/>
        <w:numPr>
          <w:ilvl w:val="0"/>
          <w:numId w:val="0"/>
        </w:numPr>
        <w:ind w:left="425"/>
      </w:pPr>
    </w:p>
    <w:p w14:paraId="1EF9C1E1" w14:textId="736FF564" w:rsidR="002C7810" w:rsidRPr="00FE3958" w:rsidRDefault="009D6010" w:rsidP="0072688C">
      <w:pPr>
        <w:pStyle w:val="Paragraph"/>
      </w:pPr>
      <w:r w:rsidRPr="002C7810">
        <w:t xml:space="preserve">The vial can be re-refrigerated, but </w:t>
      </w:r>
      <w:r w:rsidR="003B32B2" w:rsidRPr="003B32B2">
        <w:t xml:space="preserve">after first opening </w:t>
      </w:r>
      <w:r w:rsidRPr="002C7810">
        <w:t xml:space="preserve">the cumulative storage time at room temperature must not exceed 6 hours, and the total cumulative storage time must not exceed </w:t>
      </w:r>
      <w:r w:rsidRPr="00FE3958">
        <w:t>48</w:t>
      </w:r>
      <w:r w:rsidR="003B32B2" w:rsidRPr="00FE3958">
        <w:t> </w:t>
      </w:r>
      <w:r w:rsidRPr="00FE3958">
        <w:t xml:space="preserve">hours. </w:t>
      </w:r>
      <w:bookmarkStart w:id="4" w:name="_Hlk66885454"/>
      <w:r w:rsidRPr="00FE3958">
        <w:t>After this time, the vial must be discarded</w:t>
      </w:r>
      <w:bookmarkEnd w:id="4"/>
      <w:r w:rsidRPr="00FE3958">
        <w:t>.</w:t>
      </w:r>
      <w:r w:rsidR="004A0428" w:rsidRPr="00FE3958">
        <w:rPr>
          <w:rStyle w:val="FootnoteReference"/>
        </w:rPr>
        <w:t xml:space="preserve"> </w:t>
      </w:r>
    </w:p>
    <w:p w14:paraId="640BDD78" w14:textId="22675FBE" w:rsidR="006B2B1F" w:rsidRPr="00FE3958" w:rsidRDefault="00294422" w:rsidP="0072688C">
      <w:pPr>
        <w:pStyle w:val="Paragraph"/>
      </w:pPr>
      <w:r w:rsidRPr="00FE3958">
        <w:t xml:space="preserve">There is limited information available in relation to the storage of the vaccine in syringes. For practical reasons, if the contents of the vial are to be used within a short period of time, drawing up the content in multiple syringes </w:t>
      </w:r>
      <w:r w:rsidR="005730D9" w:rsidRPr="00FE3958">
        <w:t xml:space="preserve">at once </w:t>
      </w:r>
      <w:r w:rsidRPr="00FE3958">
        <w:t>may be considered.</w:t>
      </w:r>
      <w:r w:rsidR="00BD02E5" w:rsidRPr="00FE3958">
        <w:t xml:space="preserve"> </w:t>
      </w:r>
      <w:r w:rsidR="004A0428" w:rsidRPr="00FE3958">
        <w:t>V</w:t>
      </w:r>
      <w:r w:rsidR="00BD02E5" w:rsidRPr="00FE3958">
        <w:t>accine in syringes may be kept for up to 6</w:t>
      </w:r>
      <w:r w:rsidR="001F3F8C" w:rsidRPr="00FE3958">
        <w:t> </w:t>
      </w:r>
      <w:r w:rsidR="00BD02E5" w:rsidRPr="00FE3958">
        <w:t>hours when stored at room temperature (up to 30˚C</w:t>
      </w:r>
      <w:r w:rsidR="0072688C" w:rsidRPr="00FE3958">
        <w:t xml:space="preserve">). However, ensure that the cumulative storage time at room temperature from the first vial puncture to last dose administration does not exceed 6 hours. </w:t>
      </w:r>
      <w:r w:rsidR="00BD02E5" w:rsidRPr="00FE3958">
        <w:t>After this time, the syringe must be discarded.</w:t>
      </w:r>
      <w:r w:rsidRPr="00FE3958">
        <w:t xml:space="preserve">  For more details in relation to administration, please refer to Department of Health Guidance Documents.</w:t>
      </w:r>
    </w:p>
    <w:p w14:paraId="1EF9C1E2" w14:textId="512CB7C4" w:rsidR="003B1BF7" w:rsidRPr="008D35A9" w:rsidRDefault="009D6010" w:rsidP="0072688C">
      <w:pPr>
        <w:pStyle w:val="Paragraph"/>
      </w:pPr>
      <w:r w:rsidRPr="008D35A9">
        <w:t>The vials, needles, syringes should be disposed o</w:t>
      </w:r>
      <w:r w:rsidR="00C74AA4" w:rsidRPr="008D35A9">
        <w:t>f</w:t>
      </w:r>
      <w:r w:rsidRPr="008D35A9">
        <w:t xml:space="preserve"> in the clinical waste bin (see Section </w:t>
      </w:r>
      <w:r w:rsidRPr="008D35A9">
        <w:fldChar w:fldCharType="begin"/>
      </w:r>
      <w:r w:rsidRPr="008D35A9">
        <w:instrText xml:space="preserve"> REF _Ref63010781 \r \h  \* MERGEFORMAT </w:instrText>
      </w:r>
      <w:r w:rsidRPr="008D35A9">
        <w:fldChar w:fldCharType="separate"/>
      </w:r>
      <w:r w:rsidR="00D222AF">
        <w:t>6.6</w:t>
      </w:r>
      <w:r w:rsidRPr="008D35A9">
        <w:fldChar w:fldCharType="end"/>
      </w:r>
      <w:r w:rsidRPr="008D35A9">
        <w:t xml:space="preserve"> </w:t>
      </w:r>
      <w:r w:rsidRPr="008D35A9">
        <w:fldChar w:fldCharType="begin"/>
      </w:r>
      <w:r w:rsidRPr="008D35A9">
        <w:instrText xml:space="preserve"> REF _Ref63010781 \h  \* MERGEFORMAT </w:instrText>
      </w:r>
      <w:r w:rsidRPr="008D35A9">
        <w:fldChar w:fldCharType="separate"/>
      </w:r>
      <w:r w:rsidR="00D222AF" w:rsidRPr="00377337">
        <w:t>Special precautions for disposal</w:t>
      </w:r>
      <w:r w:rsidRPr="008D35A9">
        <w:fldChar w:fldCharType="end"/>
      </w:r>
      <w:r w:rsidRPr="008D35A9">
        <w:t>).</w:t>
      </w:r>
    </w:p>
    <w:p w14:paraId="1EF9C1E3" w14:textId="77777777" w:rsidR="001A3992" w:rsidRPr="008D35A9" w:rsidRDefault="009D6010" w:rsidP="00EE3AC8">
      <w:pPr>
        <w:pStyle w:val="Heading2"/>
      </w:pPr>
      <w:bookmarkStart w:id="5" w:name="_Ref76400330"/>
      <w:r w:rsidRPr="008D35A9">
        <w:t>Contraindications</w:t>
      </w:r>
      <w:bookmarkEnd w:id="5"/>
    </w:p>
    <w:p w14:paraId="1EF9C1E4" w14:textId="0DEF87FD" w:rsidR="00A64097" w:rsidRDefault="009D6010" w:rsidP="00A64097">
      <w:pPr>
        <w:pStyle w:val="Paragraph"/>
      </w:pPr>
      <w:r w:rsidRPr="008D35A9">
        <w:t xml:space="preserve">Hypersensitivity to the active substance or to any of the excipients listed in Section </w:t>
      </w:r>
      <w:r w:rsidRPr="008D35A9">
        <w:fldChar w:fldCharType="begin"/>
      </w:r>
      <w:r w:rsidRPr="008D35A9">
        <w:instrText xml:space="preserve"> REF _Ref505768678 \r \h </w:instrText>
      </w:r>
      <w:r w:rsidR="008D35A9">
        <w:instrText xml:space="preserve"> \* MERGEFORMAT </w:instrText>
      </w:r>
      <w:r w:rsidRPr="008D35A9">
        <w:fldChar w:fldCharType="separate"/>
      </w:r>
      <w:r w:rsidR="00D222AF">
        <w:t>6.1</w:t>
      </w:r>
      <w:r w:rsidRPr="008D35A9">
        <w:fldChar w:fldCharType="end"/>
      </w:r>
      <w:r w:rsidRPr="008D35A9">
        <w:t xml:space="preserve"> </w:t>
      </w:r>
      <w:r w:rsidRPr="008D35A9">
        <w:fldChar w:fldCharType="begin"/>
      </w:r>
      <w:r w:rsidRPr="008D35A9">
        <w:instrText xml:space="preserve"> REF _Ref505768678 \h </w:instrText>
      </w:r>
      <w:r w:rsidR="008D35A9">
        <w:instrText xml:space="preserve"> \* MERGEFORMAT </w:instrText>
      </w:r>
      <w:r w:rsidRPr="008D35A9">
        <w:fldChar w:fldCharType="separate"/>
      </w:r>
      <w:r w:rsidR="00D222AF" w:rsidRPr="00377337">
        <w:t>List of excipients</w:t>
      </w:r>
      <w:r w:rsidRPr="008D35A9">
        <w:fldChar w:fldCharType="end"/>
      </w:r>
      <w:r w:rsidRPr="008D35A9">
        <w:t>.</w:t>
      </w:r>
    </w:p>
    <w:p w14:paraId="01D66204" w14:textId="1BD479CA" w:rsidR="002F1BAB" w:rsidRPr="00815896" w:rsidRDefault="002F1BAB" w:rsidP="00A64097">
      <w:pPr>
        <w:pStyle w:val="Paragraph"/>
      </w:pPr>
      <w:r w:rsidRPr="00815896">
        <w:t>Patients who have experienced major venous and/or arterial thrombosis in combination with thrombocytopenia following vaccination with any COVID-19 vaccine.</w:t>
      </w:r>
    </w:p>
    <w:p w14:paraId="4150FD4B" w14:textId="702EB86F" w:rsidR="00B5488E" w:rsidRPr="008D35A9" w:rsidRDefault="00B5488E" w:rsidP="00A64097">
      <w:pPr>
        <w:pStyle w:val="Paragraph"/>
      </w:pPr>
      <w:r w:rsidRPr="00815896">
        <w:t xml:space="preserve">Individuals who have previously experienced episodes of capillary leak syndrome (see also </w:t>
      </w:r>
      <w:r w:rsidR="000E4540" w:rsidRPr="00815896">
        <w:t>S</w:t>
      </w:r>
      <w:r w:rsidRPr="00815896">
        <w:t xml:space="preserve">ection </w:t>
      </w:r>
      <w:r w:rsidR="000E4540" w:rsidRPr="00815896">
        <w:fldChar w:fldCharType="begin"/>
      </w:r>
      <w:r w:rsidR="000E4540" w:rsidRPr="00815896">
        <w:instrText xml:space="preserve"> REF _Ref59522420 \r \h </w:instrText>
      </w:r>
      <w:r w:rsidR="00741647" w:rsidRPr="00815896">
        <w:instrText xml:space="preserve"> \* MERGEFORMAT </w:instrText>
      </w:r>
      <w:r w:rsidR="000E4540" w:rsidRPr="00815896">
        <w:fldChar w:fldCharType="separate"/>
      </w:r>
      <w:r w:rsidR="000E4540" w:rsidRPr="00815896">
        <w:t>4.4</w:t>
      </w:r>
      <w:r w:rsidR="000E4540" w:rsidRPr="00815896">
        <w:fldChar w:fldCharType="end"/>
      </w:r>
      <w:r w:rsidR="000E4540" w:rsidRPr="00815896">
        <w:t xml:space="preserve"> </w:t>
      </w:r>
      <w:r w:rsidR="000E4540" w:rsidRPr="00815896">
        <w:fldChar w:fldCharType="begin"/>
      </w:r>
      <w:r w:rsidR="000E4540" w:rsidRPr="00815896">
        <w:instrText xml:space="preserve"> REF _Ref59522420 \h </w:instrText>
      </w:r>
      <w:r w:rsidR="00741647" w:rsidRPr="00815896">
        <w:instrText xml:space="preserve"> \* MERGEFORMAT </w:instrText>
      </w:r>
      <w:r w:rsidR="000E4540" w:rsidRPr="00815896">
        <w:fldChar w:fldCharType="separate"/>
      </w:r>
      <w:r w:rsidR="000E4540" w:rsidRPr="00815896">
        <w:t>Special warnings and precautions for use</w:t>
      </w:r>
      <w:r w:rsidR="000E4540" w:rsidRPr="00815896">
        <w:fldChar w:fldCharType="end"/>
      </w:r>
      <w:r w:rsidRPr="00815896">
        <w:t>)</w:t>
      </w:r>
      <w:r w:rsidR="00815896" w:rsidRPr="00815896">
        <w:t>.</w:t>
      </w:r>
    </w:p>
    <w:p w14:paraId="1EF9C1E5" w14:textId="77777777" w:rsidR="001A3992" w:rsidRPr="008D35A9" w:rsidRDefault="009D6010" w:rsidP="003B7CFF">
      <w:pPr>
        <w:pStyle w:val="Heading2"/>
      </w:pPr>
      <w:bookmarkStart w:id="6" w:name="_Ref59522420"/>
      <w:r w:rsidRPr="008D35A9">
        <w:t>Special warnings and precautions for use</w:t>
      </w:r>
      <w:bookmarkEnd w:id="6"/>
    </w:p>
    <w:p w14:paraId="1EF9C1E6" w14:textId="037AEDBE" w:rsidR="009363AD" w:rsidRPr="00E86F92" w:rsidRDefault="009D6010" w:rsidP="009363AD">
      <w:pPr>
        <w:pStyle w:val="Paragraph"/>
      </w:pPr>
      <w:r w:rsidRPr="00E86F92">
        <w:t xml:space="preserve">As with any vaccine, vaccination with </w:t>
      </w:r>
      <w:r w:rsidR="00E56F2B">
        <w:t>VAXZEVRIA</w:t>
      </w:r>
      <w:r w:rsidRPr="00E86F92">
        <w:t xml:space="preserve"> may not protect all vaccine recipients.</w:t>
      </w:r>
      <w:r w:rsidR="002A3BAF" w:rsidRPr="00E86F92">
        <w:t xml:space="preserve">  </w:t>
      </w:r>
      <w:bookmarkStart w:id="7" w:name="_Hlk63766610"/>
      <w:r w:rsidR="002A3BAF" w:rsidRPr="00E86F92">
        <w:t>Vaccination does not mitigate the need to follow other official recommendations to prevent the spread of COVID-19</w:t>
      </w:r>
      <w:bookmarkEnd w:id="7"/>
      <w:r w:rsidR="00705092">
        <w:t>.</w:t>
      </w:r>
    </w:p>
    <w:p w14:paraId="60642303" w14:textId="42BE9DEA" w:rsidR="000A3D28" w:rsidRDefault="009D6010" w:rsidP="000A3D28">
      <w:pPr>
        <w:pStyle w:val="Heading3Unnumbered"/>
      </w:pPr>
      <w:r w:rsidRPr="00E86F92">
        <w:t>Hypersensitivity</w:t>
      </w:r>
      <w:r w:rsidR="000A3D28">
        <w:t xml:space="preserve"> including anaphylaxis</w:t>
      </w:r>
    </w:p>
    <w:p w14:paraId="1EF9C1E7" w14:textId="1DFF3F0F" w:rsidR="00A64097" w:rsidRPr="00E86F92" w:rsidRDefault="000A3D28" w:rsidP="000A3D28">
      <w:pPr>
        <w:pStyle w:val="Paragraph"/>
      </w:pPr>
      <w:r>
        <w:t xml:space="preserve">Hypersensitivity reactions including anaphylaxis and angioedema have occurred following administration of </w:t>
      </w:r>
      <w:r w:rsidR="00E56F2B">
        <w:t>VAXZEVRIA</w:t>
      </w:r>
      <w:r>
        <w:t>.</w:t>
      </w:r>
    </w:p>
    <w:p w14:paraId="1EF9C1E8" w14:textId="5ECC4784" w:rsidR="00A64097" w:rsidRDefault="000A3D28" w:rsidP="00A64097">
      <w:pPr>
        <w:pStyle w:val="Paragraph"/>
      </w:pPr>
      <w:r>
        <w:t>A</w:t>
      </w:r>
      <w:r w:rsidR="009D6010" w:rsidRPr="00E86F92">
        <w:t>ppropriate medical treatment and supervision should always be readily available in case of an anaphylactic event following the administration of the vaccine.</w:t>
      </w:r>
    </w:p>
    <w:p w14:paraId="75DEFDC1" w14:textId="5DF0CC28" w:rsidR="000A3D28" w:rsidRDefault="000A3D28" w:rsidP="00A64097">
      <w:pPr>
        <w:pStyle w:val="Paragraph"/>
      </w:pPr>
      <w:r w:rsidRPr="000A3D28">
        <w:t>A</w:t>
      </w:r>
      <w:r w:rsidR="00BF7B4C">
        <w:t>n additional</w:t>
      </w:r>
      <w:r w:rsidRPr="000A3D28">
        <w:t xml:space="preserve"> dose of the vaccine should not be given to those who have experienced a </w:t>
      </w:r>
      <w:r w:rsidRPr="00677BBC">
        <w:t>severe</w:t>
      </w:r>
      <w:r w:rsidRPr="000A3D28">
        <w:t xml:space="preserve"> hypersensitivity reaction to </w:t>
      </w:r>
      <w:r w:rsidR="00BF7B4C">
        <w:t xml:space="preserve">a previous </w:t>
      </w:r>
      <w:r w:rsidRPr="000A3D28">
        <w:t xml:space="preserve">dose of </w:t>
      </w:r>
      <w:r w:rsidR="00E56F2B">
        <w:t>VAXZEVRIA</w:t>
      </w:r>
      <w:r w:rsidRPr="000A3D28">
        <w:t>.</w:t>
      </w:r>
    </w:p>
    <w:p w14:paraId="168746F4" w14:textId="01D20ED2" w:rsidR="00E675DA" w:rsidRPr="00DA6C59" w:rsidRDefault="00E675DA" w:rsidP="00E675DA">
      <w:pPr>
        <w:pStyle w:val="Heading3Unnumbered"/>
      </w:pPr>
      <w:r w:rsidRPr="00DA6C59">
        <w:t>Anxiety-related reactions</w:t>
      </w:r>
    </w:p>
    <w:p w14:paraId="6568BC0D" w14:textId="27810FEF" w:rsidR="00E675DA" w:rsidRPr="00E86F92" w:rsidRDefault="00E675DA" w:rsidP="00E675DA">
      <w:pPr>
        <w:pStyle w:val="Paragraph"/>
      </w:pPr>
      <w:r w:rsidRPr="00DA6C59">
        <w:t>Anxiety-related reactions, including vasovagal reactions (syncope (fainting)), hyperventilation or stress-related reactions may occur in association with vaccination as a psychogenic response to the needle injection or with the process of vaccination itself. It is important that precautions are in place to avoid injury from fainting.</w:t>
      </w:r>
    </w:p>
    <w:p w14:paraId="1EF9C1E9" w14:textId="77777777" w:rsidR="00A64097" w:rsidRPr="00E86F92" w:rsidRDefault="009D6010" w:rsidP="00A64097">
      <w:pPr>
        <w:pStyle w:val="Heading3Unnumbered"/>
      </w:pPr>
      <w:r w:rsidRPr="00E86F92">
        <w:lastRenderedPageBreak/>
        <w:t>Concurrent illness</w:t>
      </w:r>
    </w:p>
    <w:p w14:paraId="1EF9C1EA" w14:textId="178A351E" w:rsidR="00A854E8" w:rsidRDefault="009D6010" w:rsidP="00A64097">
      <w:pPr>
        <w:pStyle w:val="Paragraph"/>
      </w:pPr>
      <w:r w:rsidRPr="00E86F92">
        <w:t xml:space="preserve">As with other vaccines, administration of </w:t>
      </w:r>
      <w:r w:rsidR="00E56F2B">
        <w:t>VAXZEVRIA</w:t>
      </w:r>
      <w:r w:rsidRPr="00E86F92">
        <w:t xml:space="preserve"> should be postponed in individuals suffering from an acute severe febrile illness. However, the presence of a minor infection, such as cold, and/or low-grade fever should not delay vaccination.</w:t>
      </w:r>
    </w:p>
    <w:p w14:paraId="1EF9C1EB" w14:textId="4B66786E" w:rsidR="00A64097" w:rsidRPr="00E86F92" w:rsidRDefault="00C74647" w:rsidP="00A64097">
      <w:pPr>
        <w:pStyle w:val="Heading3Unnumbered"/>
      </w:pPr>
      <w:r>
        <w:t>Thrombosis</w:t>
      </w:r>
      <w:r w:rsidR="002F1BAB">
        <w:t xml:space="preserve"> </w:t>
      </w:r>
      <w:r w:rsidR="00714160">
        <w:t xml:space="preserve">and </w:t>
      </w:r>
      <w:r w:rsidR="002F1BAB">
        <w:t>t</w:t>
      </w:r>
      <w:r w:rsidR="00714160">
        <w:t>hrombocytopenia</w:t>
      </w:r>
    </w:p>
    <w:p w14:paraId="13B6B593" w14:textId="0FA5E245" w:rsidR="00AE2833" w:rsidRPr="00815896" w:rsidRDefault="00AC6964" w:rsidP="00A64097">
      <w:pPr>
        <w:pStyle w:val="Paragraph"/>
      </w:pPr>
      <w:r w:rsidRPr="00815896">
        <w:t>A very rare and serious combination of thrombosis and thrombocytopenia</w:t>
      </w:r>
      <w:r w:rsidR="00D86396" w:rsidRPr="00815896">
        <w:t xml:space="preserve"> including thrombosis with thrombocytopenia syndrome (TTS)</w:t>
      </w:r>
      <w:r w:rsidRPr="00815896">
        <w:t xml:space="preserve">, in some cases accompanied by bleeding, has been observed following vaccination with </w:t>
      </w:r>
      <w:r w:rsidR="00E56F2B">
        <w:t>VAXZEVRIA</w:t>
      </w:r>
      <w:r w:rsidRPr="00815896">
        <w:t xml:space="preserve"> during post-</w:t>
      </w:r>
      <w:r w:rsidR="002C3764" w:rsidRPr="00815896">
        <w:t>marketing</w:t>
      </w:r>
      <w:r w:rsidRPr="00815896">
        <w:t xml:space="preserve"> use. This includes cases presenting as venous thrombosis, including unusual sites such as cerebral venous sinus thrombosis, splanchnic vein thrombosis, as well as arterial thrombosis, concomitant with thrombocytopenia. </w:t>
      </w:r>
      <w:r w:rsidR="00D5259B" w:rsidRPr="00815896">
        <w:t xml:space="preserve">The majority of the events occurred within the first </w:t>
      </w:r>
      <w:r w:rsidR="00D86396" w:rsidRPr="00815896">
        <w:t xml:space="preserve">21 </w:t>
      </w:r>
      <w:r w:rsidR="00D5259B" w:rsidRPr="00815896">
        <w:t>days following vaccination</w:t>
      </w:r>
      <w:r w:rsidR="009E5FAB" w:rsidRPr="00815896">
        <w:t xml:space="preserve"> </w:t>
      </w:r>
      <w:bookmarkStart w:id="8" w:name="_Hlk71632528"/>
      <w:r w:rsidR="009E5FAB" w:rsidRPr="00815896">
        <w:t>but have also been reported after this period</w:t>
      </w:r>
      <w:bookmarkEnd w:id="8"/>
      <w:r w:rsidR="009E5FAB" w:rsidRPr="00815896">
        <w:t>.</w:t>
      </w:r>
      <w:r w:rsidR="00D5259B" w:rsidRPr="00815896">
        <w:t xml:space="preserve"> </w:t>
      </w:r>
      <w:r w:rsidR="009E5FAB" w:rsidRPr="00815896">
        <w:t>S</w:t>
      </w:r>
      <w:r w:rsidR="00D5259B" w:rsidRPr="00815896">
        <w:t>ome events had a fatal outcome.</w:t>
      </w:r>
      <w:r w:rsidR="005B03B4" w:rsidRPr="005B03B4">
        <w:t xml:space="preserve"> </w:t>
      </w:r>
      <w:r w:rsidR="005B03B4">
        <w:t xml:space="preserve">The reporting rates after the second dose are lower compared to after the first dose. See also </w:t>
      </w:r>
      <w:r w:rsidR="009B4A16">
        <w:t>S</w:t>
      </w:r>
      <w:r w:rsidR="005B03B4">
        <w:t xml:space="preserve">ection </w:t>
      </w:r>
      <w:r w:rsidR="00553B0C">
        <w:fldChar w:fldCharType="begin"/>
      </w:r>
      <w:r w:rsidR="00553B0C">
        <w:instrText xml:space="preserve"> REF _Ref76400330 \r \h </w:instrText>
      </w:r>
      <w:r w:rsidR="00553B0C">
        <w:fldChar w:fldCharType="separate"/>
      </w:r>
      <w:r w:rsidR="00553B0C">
        <w:t>4.3</w:t>
      </w:r>
      <w:r w:rsidR="00553B0C">
        <w:fldChar w:fldCharType="end"/>
      </w:r>
      <w:r w:rsidR="00553B0C">
        <w:t xml:space="preserve"> </w:t>
      </w:r>
      <w:r w:rsidR="009B4A16">
        <w:fldChar w:fldCharType="begin"/>
      </w:r>
      <w:r w:rsidR="009B4A16">
        <w:instrText xml:space="preserve"> REF _Ref76400330 \h </w:instrText>
      </w:r>
      <w:r w:rsidR="009B4A16">
        <w:fldChar w:fldCharType="separate"/>
      </w:r>
      <w:r w:rsidR="009B4A16" w:rsidRPr="008D35A9">
        <w:t>Contraindications</w:t>
      </w:r>
      <w:r w:rsidR="009B4A16">
        <w:fldChar w:fldCharType="end"/>
      </w:r>
      <w:r w:rsidR="005B03B4">
        <w:t>.</w:t>
      </w:r>
    </w:p>
    <w:p w14:paraId="6C72EECC" w14:textId="52CB9ADC" w:rsidR="006933C3" w:rsidRDefault="006933C3" w:rsidP="00D868DB">
      <w:pPr>
        <w:pStyle w:val="Paragraph"/>
      </w:pPr>
      <w:bookmarkStart w:id="9" w:name="_Hlk70622678"/>
      <w:r w:rsidRPr="00F47436">
        <w:t xml:space="preserve">The incidence of TTS following a third dose of </w:t>
      </w:r>
      <w:r>
        <w:t>VAXZEVRIA</w:t>
      </w:r>
      <w:r w:rsidRPr="00F47436">
        <w:t xml:space="preserve"> has not yet been determined, including in people who have received a third dose of </w:t>
      </w:r>
      <w:r>
        <w:t>VAXZEVRIA</w:t>
      </w:r>
      <w:r w:rsidRPr="00F47436">
        <w:t xml:space="preserve"> following another type COVID-19 vaccine.</w:t>
      </w:r>
    </w:p>
    <w:p w14:paraId="55461BDD" w14:textId="48CC9B69" w:rsidR="004008B1" w:rsidRPr="00D128DC" w:rsidRDefault="00AC079F" w:rsidP="00D868DB">
      <w:pPr>
        <w:pStyle w:val="Paragraph"/>
      </w:pPr>
      <w:r w:rsidRPr="00815896">
        <w:t>Whilst specific risk factors for thromboembolism in combination with thrombocytopenia have not been identified, cases have occurred in patients with</w:t>
      </w:r>
      <w:r w:rsidR="00540351" w:rsidRPr="00815896">
        <w:t xml:space="preserve"> </w:t>
      </w:r>
      <w:r w:rsidRPr="00815896">
        <w:t>a previous history of thrombosis, as well as in patients with autoimmune disorders, including immune thrombocytopenia. The benefits and risks of vaccination should be considered in these patients</w:t>
      </w:r>
      <w:r w:rsidR="00BF2638" w:rsidRPr="00815896">
        <w:t xml:space="preserve">. </w:t>
      </w:r>
      <w:r w:rsidR="00C74647" w:rsidRPr="00815896">
        <w:t xml:space="preserve">Cases have </w:t>
      </w:r>
      <w:r w:rsidR="00D868DB" w:rsidRPr="00815896">
        <w:t>also</w:t>
      </w:r>
      <w:r w:rsidR="009F519C" w:rsidRPr="00815896">
        <w:t xml:space="preserve"> </w:t>
      </w:r>
      <w:r w:rsidR="00C74647" w:rsidRPr="00815896">
        <w:t xml:space="preserve">occurred in patients without other risk factors </w:t>
      </w:r>
      <w:bookmarkStart w:id="10" w:name="_Hlk77007720"/>
      <w:r w:rsidR="00C74647" w:rsidRPr="00815896">
        <w:t>for thrombosis and thrombocytopenia</w:t>
      </w:r>
      <w:bookmarkEnd w:id="10"/>
      <w:r w:rsidR="00C74647" w:rsidRPr="00815896">
        <w:t>.</w:t>
      </w:r>
      <w:r w:rsidR="00EB676A" w:rsidRPr="00815896">
        <w:t xml:space="preserve">  </w:t>
      </w:r>
      <w:r w:rsidR="00C74647" w:rsidRPr="00815896">
        <w:t xml:space="preserve">As a precautionary measure, administration of </w:t>
      </w:r>
      <w:r w:rsidR="00E56F2B">
        <w:t>VAXZEVRIA</w:t>
      </w:r>
      <w:r w:rsidR="00C74647" w:rsidRPr="00815896">
        <w:t xml:space="preserve"> in patients with a history of cerebral venous sinus thrombosis </w:t>
      </w:r>
      <w:r w:rsidR="008D5287" w:rsidRPr="00815896">
        <w:t>with</w:t>
      </w:r>
      <w:r w:rsidR="00C74647" w:rsidRPr="00815896">
        <w:t xml:space="preserve"> thrombocytopenia </w:t>
      </w:r>
      <w:r w:rsidR="001E0672" w:rsidRPr="00815896">
        <w:t xml:space="preserve">or heparin induced thrombocytopenia (HIT) </w:t>
      </w:r>
      <w:r w:rsidR="00C74647" w:rsidRPr="00815896">
        <w:t>should only be considered when the benefit outweighs any potential risks</w:t>
      </w:r>
      <w:bookmarkEnd w:id="9"/>
      <w:r w:rsidR="00C74647" w:rsidRPr="00815896">
        <w:t>.</w:t>
      </w:r>
    </w:p>
    <w:p w14:paraId="627FA220" w14:textId="77777777" w:rsidR="003B2210" w:rsidRDefault="00AE2833" w:rsidP="00A64097">
      <w:pPr>
        <w:pStyle w:val="Paragraph"/>
      </w:pPr>
      <w:r w:rsidRPr="00D128DC">
        <w:t xml:space="preserve">Healthcare </w:t>
      </w:r>
      <w:r w:rsidR="00714160" w:rsidRPr="00D128DC">
        <w:t xml:space="preserve">professionals </w:t>
      </w:r>
      <w:r w:rsidRPr="00D128DC">
        <w:t xml:space="preserve">should be alert to the signs and symptoms of </w:t>
      </w:r>
      <w:r w:rsidR="001022E8" w:rsidRPr="00D128DC">
        <w:t xml:space="preserve">thrombosis </w:t>
      </w:r>
      <w:r w:rsidRPr="00D128DC">
        <w:t>and thrombocytopenia</w:t>
      </w:r>
      <w:r w:rsidR="00714160" w:rsidRPr="00D128DC">
        <w:t xml:space="preserve"> as well as coagulopathies</w:t>
      </w:r>
      <w:r w:rsidRPr="00D128DC">
        <w:t>. Vaccinated individuals should be instructed to seek immediate medical attention if the</w:t>
      </w:r>
      <w:r w:rsidR="00714160" w:rsidRPr="00D128DC">
        <w:t>y</w:t>
      </w:r>
      <w:r w:rsidRPr="00D128DC">
        <w:t xml:space="preserve"> develop symptoms such as a severe or persistent headache, blurred vision, </w:t>
      </w:r>
      <w:r w:rsidR="002D6B7D" w:rsidRPr="00D128DC">
        <w:t xml:space="preserve">confusion, seizures, </w:t>
      </w:r>
      <w:r w:rsidRPr="00D128DC">
        <w:t xml:space="preserve">shortness of breath, chest pain, leg swelling, </w:t>
      </w:r>
      <w:r w:rsidR="002D6B7D" w:rsidRPr="00D128DC">
        <w:t xml:space="preserve">leg pain, </w:t>
      </w:r>
      <w:r w:rsidRPr="00D128DC">
        <w:t>persistent abdominal pain or unusual skin bruising and/or petechia a few days af</w:t>
      </w:r>
      <w:r w:rsidR="00A2284D" w:rsidRPr="00D128DC">
        <w:t>t</w:t>
      </w:r>
      <w:r w:rsidRPr="00D128DC">
        <w:t xml:space="preserve">er vaccination. </w:t>
      </w:r>
    </w:p>
    <w:p w14:paraId="7A1C367B" w14:textId="73C18DA3" w:rsidR="00AE2833" w:rsidRPr="00D128DC" w:rsidRDefault="003B2210" w:rsidP="00A64097">
      <w:pPr>
        <w:pStyle w:val="Paragraph"/>
      </w:pPr>
      <w:r w:rsidRPr="004F4638">
        <w:t xml:space="preserve">Individuals diagnosed with thrombocytopenia within </w:t>
      </w:r>
      <w:r>
        <w:t>21 days</w:t>
      </w:r>
      <w:r w:rsidRPr="004F4638">
        <w:t xml:space="preserve"> </w:t>
      </w:r>
      <w:r>
        <w:t>of</w:t>
      </w:r>
      <w:r w:rsidRPr="004F4638">
        <w:t xml:space="preserve"> vaccination with </w:t>
      </w:r>
      <w:r w:rsidR="00E56F2B">
        <w:t>VAXZEVRIA</w:t>
      </w:r>
      <w:r w:rsidRPr="004F4638">
        <w:t xml:space="preserve">, should be actively investigated for signs of thrombosis. Similarly, individuals who present with thrombosis within </w:t>
      </w:r>
      <w:r>
        <w:t>21 days</w:t>
      </w:r>
      <w:r w:rsidRPr="004F4638">
        <w:t xml:space="preserve"> of vaccination should be evaluated for thrombocytopenia</w:t>
      </w:r>
      <w:r>
        <w:t>.</w:t>
      </w:r>
    </w:p>
    <w:p w14:paraId="67969C82" w14:textId="0CB9A11E" w:rsidR="00C74647" w:rsidRDefault="00C74647" w:rsidP="00A64097">
      <w:pPr>
        <w:pStyle w:val="Paragraph"/>
      </w:pPr>
      <w:bookmarkStart w:id="11" w:name="_Hlk70622706"/>
      <w:r w:rsidRPr="00D128DC">
        <w:t>Since medical management of a post-vaccine thrombosis with thrombocytopenia may be different from medical management of other thromboses, if a patient present</w:t>
      </w:r>
      <w:r w:rsidR="003A38D5" w:rsidRPr="00D128DC">
        <w:t>s</w:t>
      </w:r>
      <w:r w:rsidRPr="00D128DC">
        <w:t xml:space="preserve"> with thrombosis </w:t>
      </w:r>
      <w:r w:rsidR="00363315">
        <w:t>and/or</w:t>
      </w:r>
      <w:r w:rsidR="00363315" w:rsidRPr="00D128DC">
        <w:t xml:space="preserve"> </w:t>
      </w:r>
      <w:r w:rsidRPr="00D128DC">
        <w:t xml:space="preserve">thrombocytopenia </w:t>
      </w:r>
      <w:r w:rsidR="009E5FAB">
        <w:t>after</w:t>
      </w:r>
      <w:r w:rsidRPr="00D128DC">
        <w:t xml:space="preserve"> receiving a vaccine, healthcare professionals should consult </w:t>
      </w:r>
      <w:r w:rsidR="00992747">
        <w:t xml:space="preserve">applicable guidance and seek advice from </w:t>
      </w:r>
      <w:r w:rsidRPr="00D128DC">
        <w:t xml:space="preserve"> a specialist haematologist</w:t>
      </w:r>
      <w:bookmarkEnd w:id="11"/>
      <w:r w:rsidR="00992747">
        <w:t xml:space="preserve"> to diagnose and treat this condition</w:t>
      </w:r>
      <w:r w:rsidRPr="00D128DC">
        <w:t>.</w:t>
      </w:r>
    </w:p>
    <w:p w14:paraId="595C6BA9" w14:textId="35F960CF" w:rsidR="00FC465B" w:rsidRDefault="00FC465B" w:rsidP="00FC465B">
      <w:pPr>
        <w:pStyle w:val="Heading3Unnumbered"/>
      </w:pPr>
      <w:r w:rsidRPr="00FC465B">
        <w:t xml:space="preserve">Venous thromboembolic events without thrombocytopenia </w:t>
      </w:r>
    </w:p>
    <w:p w14:paraId="4866A3D6" w14:textId="43EA78EA" w:rsidR="005B03B4" w:rsidRPr="009B4A16" w:rsidRDefault="00FC465B" w:rsidP="00B81D0C">
      <w:pPr>
        <w:pStyle w:val="paragraph0"/>
        <w:rPr>
          <w:rFonts w:ascii="Cambria" w:eastAsiaTheme="minorHAnsi" w:hAnsi="Cambria" w:cs="Cambria"/>
          <w:color w:val="000000"/>
          <w:sz w:val="21"/>
          <w:szCs w:val="21"/>
          <w:lang w:val="en-AU"/>
        </w:rPr>
      </w:pPr>
      <w:r w:rsidRPr="009B4A16">
        <w:rPr>
          <w:lang w:val="en-AU"/>
        </w:rPr>
        <w:t xml:space="preserve">Venous thromboembolic events without accompanying thrombocytopenia, including </w:t>
      </w:r>
      <w:r w:rsidR="00B81D0C" w:rsidRPr="009B4A16">
        <w:rPr>
          <w:lang w:val="en-AU"/>
        </w:rPr>
        <w:t>e</w:t>
      </w:r>
      <w:r w:rsidR="005B03B4" w:rsidRPr="009B4A16">
        <w:rPr>
          <w:lang w:val="en-AU"/>
        </w:rPr>
        <w:t xml:space="preserve">vents of cerebrovascular venous and sinus thrombosis </w:t>
      </w:r>
      <w:r w:rsidRPr="009B4A16">
        <w:rPr>
          <w:lang w:val="en-AU"/>
        </w:rPr>
        <w:t xml:space="preserve">(CVST) </w:t>
      </w:r>
      <w:r w:rsidR="005B03B4" w:rsidRPr="009B4A16">
        <w:rPr>
          <w:lang w:val="en-AU"/>
        </w:rPr>
        <w:t xml:space="preserve">have been reported following vaccination with </w:t>
      </w:r>
      <w:r w:rsidR="009E265E" w:rsidRPr="009B4A16">
        <w:rPr>
          <w:lang w:val="en-AU"/>
        </w:rPr>
        <w:t>VAXZEVRIA</w:t>
      </w:r>
      <w:r w:rsidRPr="009B4A16">
        <w:rPr>
          <w:lang w:val="en-AU"/>
        </w:rPr>
        <w:t>.</w:t>
      </w:r>
      <w:r w:rsidR="005B03B4" w:rsidRPr="009B4A16">
        <w:rPr>
          <w:lang w:val="en-AU"/>
        </w:rPr>
        <w:t xml:space="preserve"> </w:t>
      </w:r>
      <w:r w:rsidRPr="009B4A16">
        <w:rPr>
          <w:lang w:val="en-AU"/>
        </w:rPr>
        <w:t>A</w:t>
      </w:r>
      <w:r w:rsidR="005B03B4" w:rsidRPr="009B4A16">
        <w:rPr>
          <w:lang w:val="en-AU"/>
        </w:rPr>
        <w:t>lthough a causal relationship has not been established</w:t>
      </w:r>
      <w:r w:rsidR="00B81D0C" w:rsidRPr="009B4A16">
        <w:rPr>
          <w:lang w:val="en-AU"/>
        </w:rPr>
        <w:t xml:space="preserve">, </w:t>
      </w:r>
      <w:r w:rsidR="00D87AAC" w:rsidRPr="009B4A16">
        <w:rPr>
          <w:lang w:val="en-AU"/>
        </w:rPr>
        <w:t>t</w:t>
      </w:r>
      <w:r w:rsidR="005B03B4" w:rsidRPr="009B4A16">
        <w:rPr>
          <w:lang w:val="en-AU"/>
        </w:rPr>
        <w:t xml:space="preserve">hese events can be </w:t>
      </w:r>
      <w:r w:rsidR="005B03B4" w:rsidRPr="009B4A16">
        <w:rPr>
          <w:lang w:val="en-AU"/>
        </w:rPr>
        <w:lastRenderedPageBreak/>
        <w:t xml:space="preserve">fatal and may require different treatment approaches than TTS. Healthcare professionals should consult applicable guidance. </w:t>
      </w:r>
    </w:p>
    <w:p w14:paraId="5611EACC" w14:textId="77777777" w:rsidR="001E15A4" w:rsidRPr="001E15A4" w:rsidRDefault="001E15A4" w:rsidP="001E15A4">
      <w:pPr>
        <w:pStyle w:val="Heading3Unnumbered"/>
      </w:pPr>
      <w:r w:rsidRPr="001E15A4">
        <w:t>Immune thrombocytopenia</w:t>
      </w:r>
    </w:p>
    <w:p w14:paraId="7A5C566A" w14:textId="7DEB4D95" w:rsidR="001E15A4" w:rsidRPr="001E15A4" w:rsidRDefault="001E15A4" w:rsidP="001E15A4">
      <w:pPr>
        <w:pStyle w:val="Paragraph"/>
      </w:pPr>
      <w:r w:rsidRPr="001E15A4">
        <w:t xml:space="preserve">There have been case reports of immune thrombocytopenia (ITP) following </w:t>
      </w:r>
      <w:r w:rsidR="00D90C04">
        <w:t>VAXZEVRIA</w:t>
      </w:r>
      <w:r w:rsidR="00D90C04" w:rsidRPr="001E15A4">
        <w:t xml:space="preserve"> </w:t>
      </w:r>
      <w:r w:rsidRPr="001E15A4">
        <w:t xml:space="preserve">vaccination, including a fatal outcome. </w:t>
      </w:r>
    </w:p>
    <w:p w14:paraId="0AABD78F" w14:textId="77777777" w:rsidR="00AE2833" w:rsidRPr="00AE2833" w:rsidRDefault="00AE2833" w:rsidP="000E4540">
      <w:pPr>
        <w:pStyle w:val="Heading3Unnumbered"/>
      </w:pPr>
      <w:r w:rsidRPr="00AE2833">
        <w:t>Risk of bleeding with intramuscular administration</w:t>
      </w:r>
    </w:p>
    <w:p w14:paraId="1EF9C1EC" w14:textId="6363A571" w:rsidR="00A64097" w:rsidRPr="00815896" w:rsidRDefault="009D6010" w:rsidP="00A64097">
      <w:pPr>
        <w:pStyle w:val="Paragraph"/>
      </w:pPr>
      <w:r w:rsidRPr="00815896">
        <w:t xml:space="preserve">As with other intramuscular injections, </w:t>
      </w:r>
      <w:r w:rsidR="00E56F2B">
        <w:t>VAXZEVRIA</w:t>
      </w:r>
      <w:r w:rsidRPr="00815896">
        <w:t xml:space="preserve"> should be given with caution to individuals with thrombocytopenia, any coagulation disorder or to persons on anticoagulation therapy, because bleeding or bruising may occur following an intramuscular administration in these individuals.</w:t>
      </w:r>
    </w:p>
    <w:p w14:paraId="74F2CD5B" w14:textId="1BDFF593" w:rsidR="000E4540" w:rsidRPr="00815896" w:rsidRDefault="000E4540" w:rsidP="000E4540">
      <w:pPr>
        <w:pStyle w:val="Heading3Unnumbered"/>
      </w:pPr>
      <w:r w:rsidRPr="00815896">
        <w:t>Capillary leak syndrome</w:t>
      </w:r>
    </w:p>
    <w:p w14:paraId="6AD6A618" w14:textId="59C10F7E" w:rsidR="00A854E8" w:rsidRDefault="000E4540" w:rsidP="000E4540">
      <w:pPr>
        <w:pStyle w:val="Paragraph"/>
      </w:pPr>
      <w:r w:rsidRPr="00815896">
        <w:t xml:space="preserve">Very rare cases of capillary leak syndrome (CLS) have been reported in the first days after vaccination with </w:t>
      </w:r>
      <w:r w:rsidR="00E56F2B">
        <w:t>VAXZEVRIA</w:t>
      </w:r>
      <w:r w:rsidRPr="00815896">
        <w:t xml:space="preserve">. A history of CLS was apparent in some of these cases. Fatal outcome has been reported. CLS is a rare disorder characterised by acute episodes of oedema mainly affecting the limbs, hypotension, haemoconcentration and </w:t>
      </w:r>
      <w:proofErr w:type="spellStart"/>
      <w:r w:rsidRPr="00815896">
        <w:t>hypoalbuminaemia</w:t>
      </w:r>
      <w:proofErr w:type="spellEnd"/>
      <w:r w:rsidRPr="00815896">
        <w:t xml:space="preserve">. Patients with an acute episode of CLS following vaccination require prompt recognition and treatment. Intensive support therapy is usually warranted. Individuals with a known history of CLS should not be vaccinated with this vaccine (see Section </w:t>
      </w:r>
      <w:r w:rsidRPr="00815896">
        <w:fldChar w:fldCharType="begin"/>
      </w:r>
      <w:r w:rsidRPr="00815896">
        <w:instrText xml:space="preserve"> REF _Ref76400330 \r \h </w:instrText>
      </w:r>
      <w:r w:rsidR="00741647" w:rsidRPr="00815896">
        <w:instrText xml:space="preserve"> \* MERGEFORMAT </w:instrText>
      </w:r>
      <w:r w:rsidRPr="00815896">
        <w:fldChar w:fldCharType="separate"/>
      </w:r>
      <w:r w:rsidRPr="00815896">
        <w:t>4.3</w:t>
      </w:r>
      <w:r w:rsidRPr="00815896">
        <w:fldChar w:fldCharType="end"/>
      </w:r>
      <w:r w:rsidRPr="00815896">
        <w:t xml:space="preserve"> </w:t>
      </w:r>
      <w:r w:rsidRPr="00815896">
        <w:fldChar w:fldCharType="begin"/>
      </w:r>
      <w:r w:rsidRPr="00815896">
        <w:instrText xml:space="preserve"> REF _Ref76400330 \h </w:instrText>
      </w:r>
      <w:r w:rsidR="00741647" w:rsidRPr="00815896">
        <w:instrText xml:space="preserve"> \* MERGEFORMAT </w:instrText>
      </w:r>
      <w:r w:rsidRPr="00815896">
        <w:fldChar w:fldCharType="separate"/>
      </w:r>
      <w:r w:rsidRPr="00815896">
        <w:t>Contraindications</w:t>
      </w:r>
      <w:r w:rsidRPr="00815896">
        <w:fldChar w:fldCharType="end"/>
      </w:r>
      <w:r w:rsidRPr="00815896">
        <w:t>)</w:t>
      </w:r>
      <w:r w:rsidR="003F62A8" w:rsidRPr="00815896">
        <w:t>.</w:t>
      </w:r>
    </w:p>
    <w:p w14:paraId="1EF9C1ED" w14:textId="0DDDF661" w:rsidR="00A64097" w:rsidRPr="00E86F92" w:rsidRDefault="009D6010" w:rsidP="00A64097">
      <w:pPr>
        <w:pStyle w:val="Heading3Unnumbered"/>
      </w:pPr>
      <w:r w:rsidRPr="00E86F92">
        <w:t>Neurological events</w:t>
      </w:r>
    </w:p>
    <w:p w14:paraId="4D3CAEC4" w14:textId="5B6A20BF" w:rsidR="00EF04A8" w:rsidRDefault="00EF04A8" w:rsidP="00A64097">
      <w:pPr>
        <w:pStyle w:val="Paragraph"/>
      </w:pPr>
      <w:bookmarkStart w:id="12" w:name="_Hlk90966026"/>
      <w:r w:rsidRPr="003A5F74">
        <w:t xml:space="preserve">Guillain-Barré Syndrome </w:t>
      </w:r>
      <w:bookmarkEnd w:id="12"/>
      <w:r w:rsidRPr="003A5F74">
        <w:t>(GBS)</w:t>
      </w:r>
      <w:r w:rsidRPr="00EF04A8">
        <w:t xml:space="preserve"> </w:t>
      </w:r>
      <w:r w:rsidRPr="00E86F92">
        <w:t>ha</w:t>
      </w:r>
      <w:r>
        <w:t>s</w:t>
      </w:r>
      <w:r w:rsidRPr="00E86F92">
        <w:t xml:space="preserve"> been reported </w:t>
      </w:r>
      <w:r w:rsidRPr="00EF04A8">
        <w:t>very rarely</w:t>
      </w:r>
      <w:r w:rsidRPr="00E86F92">
        <w:t xml:space="preserve"> following vaccination</w:t>
      </w:r>
      <w:r>
        <w:t xml:space="preserve"> with VAXZEVRIA.</w:t>
      </w:r>
    </w:p>
    <w:p w14:paraId="1EF9C1EF" w14:textId="2E46A997" w:rsidR="00A64097" w:rsidRPr="00E86F92" w:rsidRDefault="009D6010" w:rsidP="00A64097">
      <w:pPr>
        <w:pStyle w:val="Paragraph"/>
      </w:pPr>
      <w:r w:rsidRPr="00E86F92">
        <w:t xml:space="preserve">Very rare events of demyelinating disorders have been reported following vaccination with </w:t>
      </w:r>
      <w:r w:rsidR="00E56F2B">
        <w:t>VAXZEVRIA</w:t>
      </w:r>
      <w:r w:rsidR="00FB31E7">
        <w:t>, a</w:t>
      </w:r>
      <w:r w:rsidRPr="00E86F92">
        <w:t xml:space="preserve"> causal relationship has not been established.</w:t>
      </w:r>
      <w:r w:rsidR="00851195">
        <w:t xml:space="preserve">  </w:t>
      </w:r>
      <w:r w:rsidR="003A5F74" w:rsidRPr="003A5F74">
        <w:t>Healthcare professionals should be alert of signs and symptoms</w:t>
      </w:r>
      <w:r w:rsidR="003A5F74">
        <w:t xml:space="preserve"> </w:t>
      </w:r>
      <w:r w:rsidR="003A5F74" w:rsidRPr="00E86F92">
        <w:t>of demyelinating disorders</w:t>
      </w:r>
      <w:r w:rsidR="003A5F74" w:rsidRPr="003A5F74">
        <w:t xml:space="preserve"> to ensure correct diagnosis, in order to initiate adequate supportive care and treatment, and to rule out other causes</w:t>
      </w:r>
      <w:r w:rsidRPr="00E86F92">
        <w:t xml:space="preserve">. </w:t>
      </w:r>
    </w:p>
    <w:p w14:paraId="1EF9C1F0" w14:textId="7E7BFBDB" w:rsidR="00A64097" w:rsidRPr="00E86F92" w:rsidRDefault="009D6010" w:rsidP="00A64097">
      <w:pPr>
        <w:pStyle w:val="Heading3Unnumbered"/>
      </w:pPr>
      <w:r w:rsidRPr="00E86F92">
        <w:t>Immunocompromised individuals</w:t>
      </w:r>
    </w:p>
    <w:p w14:paraId="1EF9C1F1" w14:textId="38571F2B" w:rsidR="00A64097" w:rsidRPr="00E86F92" w:rsidRDefault="002A3BAF" w:rsidP="00A64097">
      <w:pPr>
        <w:pStyle w:val="Paragraph"/>
      </w:pPr>
      <w:bookmarkStart w:id="13" w:name="_Hlk63766788"/>
      <w:r w:rsidRPr="00E86F92">
        <w:t xml:space="preserve">The immunogenicity, efficacy and safety of </w:t>
      </w:r>
      <w:r w:rsidR="00E56F2B">
        <w:t>VAXZEVRIA</w:t>
      </w:r>
      <w:r w:rsidRPr="00E86F92">
        <w:t xml:space="preserve"> has not been assessed in immunocompromised individuals, including those receiving immunosuppressive therapy. The immunogenicity of vaccines may be lower in immunosuppressed patients</w:t>
      </w:r>
      <w:bookmarkEnd w:id="13"/>
      <w:r w:rsidRPr="00E86F92">
        <w:t>.</w:t>
      </w:r>
    </w:p>
    <w:p w14:paraId="1EF9C1F2" w14:textId="0AC1F13D" w:rsidR="00A64097" w:rsidRPr="00E86F92" w:rsidRDefault="009D6010" w:rsidP="00A64097">
      <w:pPr>
        <w:pStyle w:val="Heading3Unnumbered"/>
      </w:pPr>
      <w:bookmarkStart w:id="14" w:name="_Hlk60321248"/>
      <w:r w:rsidRPr="00E86F92">
        <w:t>Duration of protection</w:t>
      </w:r>
      <w:bookmarkEnd w:id="14"/>
    </w:p>
    <w:p w14:paraId="1EF9C1F3" w14:textId="2EB06359" w:rsidR="00A64097" w:rsidRPr="00E86F92" w:rsidRDefault="009D6010" w:rsidP="00A64097">
      <w:pPr>
        <w:pStyle w:val="Paragraph"/>
      </w:pPr>
      <w:r w:rsidRPr="00E86F92">
        <w:t>The duration of protection has not yet been established.</w:t>
      </w:r>
      <w:r w:rsidR="002A3BAF" w:rsidRPr="00E86F92">
        <w:t xml:space="preserve">  Studies are ongoing.</w:t>
      </w:r>
      <w:r w:rsidRPr="00E86F92">
        <w:t xml:space="preserve"> </w:t>
      </w:r>
    </w:p>
    <w:p w14:paraId="1EF9C1FB" w14:textId="6ABE3C6A" w:rsidR="001A3992" w:rsidRPr="008D35A9" w:rsidRDefault="009D6010" w:rsidP="00D347D7">
      <w:pPr>
        <w:pStyle w:val="Heading3Unnumbered"/>
      </w:pPr>
      <w:r w:rsidRPr="008D35A9">
        <w:t>Use in the elderly</w:t>
      </w:r>
    </w:p>
    <w:p w14:paraId="1EF9C1FC" w14:textId="5F9ED0D4" w:rsidR="008C3B1D" w:rsidRPr="008D35A9" w:rsidRDefault="009D6010" w:rsidP="008C3B1D">
      <w:pPr>
        <w:pStyle w:val="Paragraph"/>
        <w:rPr>
          <w:i/>
          <w:iCs/>
        </w:rPr>
      </w:pPr>
      <w:bookmarkStart w:id="15" w:name="_Hlk63767363"/>
      <w:r w:rsidRPr="00E86F92">
        <w:t xml:space="preserve">There </w:t>
      </w:r>
      <w:r w:rsidR="000F2343" w:rsidRPr="00E86F92">
        <w:t>are</w:t>
      </w:r>
      <w:r w:rsidRPr="00E86F92">
        <w:t xml:space="preserve"> currently limited data available for the efficacy and safety in individuals over 65 years of age. </w:t>
      </w:r>
      <w:r w:rsidR="00251E7E" w:rsidRPr="00E86F92">
        <w:t>Further information will be collected from ongoing clinical studies and post</w:t>
      </w:r>
      <w:r w:rsidR="00443C28" w:rsidRPr="00E86F92">
        <w:t>-</w:t>
      </w:r>
      <w:r w:rsidR="00251E7E" w:rsidRPr="00E86F92">
        <w:t xml:space="preserve">market monitoring. </w:t>
      </w:r>
      <w:r w:rsidRPr="00E86F92">
        <w:t xml:space="preserve">The decision to immunise an </w:t>
      </w:r>
      <w:r w:rsidR="00251E7E" w:rsidRPr="00E86F92">
        <w:t>elderly patient should be decided on a case</w:t>
      </w:r>
      <w:r w:rsidR="00443C28" w:rsidRPr="00E86F92">
        <w:t>-</w:t>
      </w:r>
      <w:r w:rsidR="00251E7E" w:rsidRPr="00E86F92">
        <w:t>by</w:t>
      </w:r>
      <w:r w:rsidR="00443C28" w:rsidRPr="00E86F92">
        <w:t>-</w:t>
      </w:r>
      <w:r w:rsidR="00251E7E" w:rsidRPr="00E86F92">
        <w:t>case basis with consideration of age, co-morbidities, their environment</w:t>
      </w:r>
      <w:r w:rsidR="00A103B8" w:rsidRPr="00E86F92">
        <w:t xml:space="preserve">, </w:t>
      </w:r>
      <w:r w:rsidRPr="00E86F92">
        <w:t xml:space="preserve">potential benefits </w:t>
      </w:r>
      <w:r w:rsidR="00251E7E" w:rsidRPr="00E86F92">
        <w:t>and potential</w:t>
      </w:r>
      <w:r w:rsidRPr="00E86F92">
        <w:t xml:space="preserve"> risks</w:t>
      </w:r>
      <w:bookmarkEnd w:id="15"/>
      <w:r w:rsidRPr="00E86F92">
        <w:t>.</w:t>
      </w:r>
    </w:p>
    <w:p w14:paraId="1EF9C1FD" w14:textId="1F20A1D3" w:rsidR="008A3257" w:rsidRPr="00E86F92" w:rsidRDefault="009D6010" w:rsidP="008A3257">
      <w:pPr>
        <w:pStyle w:val="Heading3Unnumbered"/>
      </w:pPr>
      <w:r w:rsidRPr="00E86F92">
        <w:lastRenderedPageBreak/>
        <w:t>Use in individuals with significant co-morbidities</w:t>
      </w:r>
    </w:p>
    <w:p w14:paraId="1EF9C1FE" w14:textId="41ECE409" w:rsidR="008A3257" w:rsidRPr="008D35A9" w:rsidRDefault="009D6010" w:rsidP="008A3257">
      <w:pPr>
        <w:pStyle w:val="Paragraph"/>
        <w:rPr>
          <w:i/>
          <w:iCs/>
        </w:rPr>
      </w:pPr>
      <w:r w:rsidRPr="00E86F92">
        <w:t xml:space="preserve">There </w:t>
      </w:r>
      <w:r w:rsidR="000F2343" w:rsidRPr="00E86F92">
        <w:t>are</w:t>
      </w:r>
      <w:r w:rsidRPr="00E86F92">
        <w:t xml:space="preserve"> currently limited data available for the efficacy and safety in individuals with significant co-morbidities. The decision to immunise an individual should be made on the basis of potential benefits over risks to that individual</w:t>
      </w:r>
      <w:r w:rsidR="00B56948" w:rsidRPr="00E86F92">
        <w:t>.</w:t>
      </w:r>
    </w:p>
    <w:p w14:paraId="1EF9C1FF" w14:textId="77777777" w:rsidR="001A3992" w:rsidRPr="008D35A9" w:rsidRDefault="009D6010" w:rsidP="00D347D7">
      <w:pPr>
        <w:pStyle w:val="Heading3Unnumbered"/>
      </w:pPr>
      <w:r w:rsidRPr="008D35A9">
        <w:t>Paediatric use</w:t>
      </w:r>
    </w:p>
    <w:p w14:paraId="1EF9C200" w14:textId="16535E0B" w:rsidR="008C3B1D" w:rsidRPr="008D35A9" w:rsidRDefault="009D6010" w:rsidP="008C3B1D">
      <w:pPr>
        <w:pStyle w:val="Paragraph"/>
        <w:rPr>
          <w:i/>
          <w:iCs/>
        </w:rPr>
      </w:pPr>
      <w:r w:rsidRPr="008D35A9">
        <w:t xml:space="preserve">The safety and efficacy of </w:t>
      </w:r>
      <w:r w:rsidR="00E56F2B">
        <w:t>VAXZEVRIA</w:t>
      </w:r>
      <w:r w:rsidRPr="008D35A9">
        <w:t xml:space="preserve"> in children and adolescents (aged</w:t>
      </w:r>
      <w:r w:rsidR="00E86F92">
        <w:t> </w:t>
      </w:r>
      <w:r w:rsidRPr="008D35A9">
        <w:t>&lt;18 years old) have not yet been established. No data are available.</w:t>
      </w:r>
    </w:p>
    <w:p w14:paraId="1EF9C201" w14:textId="77777777" w:rsidR="001A3992" w:rsidRPr="008D35A9" w:rsidRDefault="009D6010" w:rsidP="00042AAB">
      <w:pPr>
        <w:pStyle w:val="Heading3Unnumbered"/>
      </w:pPr>
      <w:r w:rsidRPr="008D35A9">
        <w:t>Effects on laboratory tests</w:t>
      </w:r>
    </w:p>
    <w:p w14:paraId="1EF9C202" w14:textId="174B8851" w:rsidR="00042AAB" w:rsidRPr="00F34A17" w:rsidRDefault="00903CAD" w:rsidP="00042AAB">
      <w:pPr>
        <w:pStyle w:val="Paragraph"/>
      </w:pPr>
      <w:bookmarkStart w:id="16" w:name="_Ref505770425"/>
      <w:r w:rsidRPr="008D35A9">
        <w:t xml:space="preserve">Vaccination with </w:t>
      </w:r>
      <w:r w:rsidR="00E56F2B">
        <w:t>VAXZEVRIA</w:t>
      </w:r>
      <w:r w:rsidRPr="008D35A9">
        <w:t xml:space="preserve"> leads to the development of antibodies to the SARS-CoV-2 S protein. This does not interfere with results from SARS-CoV-2 </w:t>
      </w:r>
      <w:r w:rsidR="0036583B" w:rsidRPr="008D35A9">
        <w:t>PCR</w:t>
      </w:r>
      <w:r w:rsidRPr="008D35A9">
        <w:t xml:space="preserve"> testing</w:t>
      </w:r>
      <w:r w:rsidR="009D6010" w:rsidRPr="008D35A9">
        <w:t>.</w:t>
      </w:r>
    </w:p>
    <w:p w14:paraId="1EF9C203" w14:textId="77777777" w:rsidR="001A3992" w:rsidRDefault="009D6010" w:rsidP="00EE3AC8">
      <w:pPr>
        <w:pStyle w:val="Heading2"/>
      </w:pPr>
      <w:r w:rsidRPr="00377337">
        <w:t>Interactions with other medicines and other forms of interactions</w:t>
      </w:r>
      <w:bookmarkEnd w:id="16"/>
    </w:p>
    <w:p w14:paraId="1EF9C204" w14:textId="4631AE42" w:rsidR="00C629AD" w:rsidRDefault="001B3DF8" w:rsidP="00042AAB">
      <w:pPr>
        <w:pStyle w:val="Paragraph"/>
      </w:pPr>
      <w:r w:rsidRPr="001B3DF8">
        <w:t xml:space="preserve">The safety, immunogenicity and efficacy of co-administration of </w:t>
      </w:r>
      <w:r w:rsidR="00E56F2B">
        <w:t>VAXZEVRIA</w:t>
      </w:r>
      <w:r w:rsidRPr="001B3DF8">
        <w:t xml:space="preserve"> with other vaccines have not been evaluated</w:t>
      </w:r>
      <w:r>
        <w:t>.</w:t>
      </w:r>
    </w:p>
    <w:p w14:paraId="1EF9C205" w14:textId="77777777" w:rsidR="001A3992" w:rsidRDefault="009D6010" w:rsidP="00EE3AC8">
      <w:pPr>
        <w:pStyle w:val="Heading2"/>
      </w:pPr>
      <w:r w:rsidRPr="00377337">
        <w:t>Fer</w:t>
      </w:r>
      <w:r w:rsidR="00EC60F8">
        <w:t>tility, pregnancy and lactation</w:t>
      </w:r>
    </w:p>
    <w:p w14:paraId="1EF9C206" w14:textId="77777777" w:rsidR="001A3992" w:rsidRDefault="009D6010" w:rsidP="0026491B">
      <w:pPr>
        <w:pStyle w:val="Heading3Unnumbered"/>
      </w:pPr>
      <w:r w:rsidRPr="00377337">
        <w:t>Effects on fertility</w:t>
      </w:r>
    </w:p>
    <w:p w14:paraId="1EF9C207" w14:textId="551D7530" w:rsidR="001B3DF8" w:rsidRPr="001B3DF8" w:rsidRDefault="009D6010" w:rsidP="001B3DF8">
      <w:pPr>
        <w:pStyle w:val="Paragraph"/>
      </w:pPr>
      <w:r w:rsidRPr="001B3DF8">
        <w:t xml:space="preserve">It is unknown whether </w:t>
      </w:r>
      <w:r w:rsidR="00E56F2B">
        <w:t>VAXZEVRIA</w:t>
      </w:r>
      <w:r w:rsidRPr="001B3DF8">
        <w:t xml:space="preserve"> may impact fertility. No data are available.</w:t>
      </w:r>
    </w:p>
    <w:p w14:paraId="1EF9C208" w14:textId="02FFAEEB" w:rsidR="001A3992" w:rsidRDefault="009D6010" w:rsidP="0026491B">
      <w:pPr>
        <w:pStyle w:val="Heading3Unnumbered"/>
      </w:pPr>
      <w:r>
        <w:t xml:space="preserve">Use in pregnancy </w:t>
      </w:r>
      <w:r w:rsidR="00E45826">
        <w:t xml:space="preserve">– </w:t>
      </w:r>
      <w:r w:rsidR="00E45826" w:rsidRPr="00F34A17">
        <w:t xml:space="preserve">Category </w:t>
      </w:r>
      <w:r w:rsidR="00F34A17" w:rsidRPr="00F34A17">
        <w:t>B2</w:t>
      </w:r>
    </w:p>
    <w:p w14:paraId="1EF9C209" w14:textId="6625A659" w:rsidR="001B3DF8" w:rsidRDefault="009D6010" w:rsidP="001B3DF8">
      <w:pPr>
        <w:pStyle w:val="Paragraph"/>
      </w:pPr>
      <w:r>
        <w:t>There</w:t>
      </w:r>
      <w:r w:rsidR="009D410F">
        <w:t xml:space="preserve"> are</w:t>
      </w:r>
      <w:r>
        <w:t xml:space="preserve"> a limited amount of data from the use of </w:t>
      </w:r>
      <w:r w:rsidR="00E56F2B">
        <w:t>VAXZEVRIA</w:t>
      </w:r>
      <w:r>
        <w:t xml:space="preserve"> in pregnant women, or women who became pregnant after receiving the vaccine. The data are insufficient to inform on vaccine</w:t>
      </w:r>
      <w:r w:rsidR="000A3D28">
        <w:t>-</w:t>
      </w:r>
      <w:r>
        <w:t xml:space="preserve">associated risk. </w:t>
      </w:r>
    </w:p>
    <w:p w14:paraId="1EF9C20A" w14:textId="7DFD77D0" w:rsidR="001B3DF8" w:rsidRDefault="009D6010" w:rsidP="001B3DF8">
      <w:pPr>
        <w:pStyle w:val="Paragraph"/>
      </w:pPr>
      <w:r>
        <w:t>Animal reproductive toxicity studies have not been completed.</w:t>
      </w:r>
    </w:p>
    <w:p w14:paraId="1EF9C20B" w14:textId="18C2778D" w:rsidR="001B3DF8" w:rsidRPr="001B3DF8" w:rsidRDefault="009D6010" w:rsidP="001B3DF8">
      <w:pPr>
        <w:pStyle w:val="Paragraph"/>
      </w:pPr>
      <w:r>
        <w:t xml:space="preserve">As a precautionary measure, vaccination with </w:t>
      </w:r>
      <w:r w:rsidR="00E56F2B">
        <w:t>VAXZEVRIA</w:t>
      </w:r>
      <w:r>
        <w:t xml:space="preserve"> is not recommended during pregnancy. Use of </w:t>
      </w:r>
      <w:r w:rsidR="00E56F2B">
        <w:t>VAXZEVRIA</w:t>
      </w:r>
      <w:r>
        <w:t xml:space="preserve"> in pregnant women should be based on an assessment of whether the benefits of vaccination outweigh the potential risks.</w:t>
      </w:r>
    </w:p>
    <w:p w14:paraId="1EF9C20C" w14:textId="77777777" w:rsidR="001A3992" w:rsidRDefault="009D6010" w:rsidP="0026491B">
      <w:pPr>
        <w:pStyle w:val="Heading3Unnumbered"/>
      </w:pPr>
      <w:r>
        <w:t>Use in lactation</w:t>
      </w:r>
    </w:p>
    <w:p w14:paraId="1EF9C20D" w14:textId="77712A12" w:rsidR="001B3DF8" w:rsidRDefault="009D6010" w:rsidP="001B3DF8">
      <w:pPr>
        <w:pStyle w:val="Paragraph"/>
      </w:pPr>
      <w:r>
        <w:t xml:space="preserve">There are no or limited data from the use of </w:t>
      </w:r>
      <w:r w:rsidR="00E56F2B">
        <w:t>VAXZEVRIA</w:t>
      </w:r>
      <w:r>
        <w:t xml:space="preserve"> in lactating women. A risk to breastfed </w:t>
      </w:r>
      <w:proofErr w:type="spellStart"/>
      <w:r>
        <w:t>newborns</w:t>
      </w:r>
      <w:proofErr w:type="spellEnd"/>
      <w:r>
        <w:t>/infants cannot be excluded.</w:t>
      </w:r>
    </w:p>
    <w:p w14:paraId="1EF9C20F" w14:textId="77777777" w:rsidR="001A3992" w:rsidRDefault="009D6010" w:rsidP="003B7CFF">
      <w:pPr>
        <w:pStyle w:val="Heading2"/>
      </w:pPr>
      <w:r>
        <w:t>Effects on ability to drive and use machines</w:t>
      </w:r>
    </w:p>
    <w:p w14:paraId="1EF9C210" w14:textId="4B67EA2D" w:rsidR="009E5FAB" w:rsidRDefault="00E56F2B" w:rsidP="009E10B4">
      <w:pPr>
        <w:pStyle w:val="Paragraph"/>
      </w:pPr>
      <w:r>
        <w:t>VAXZEVRIA</w:t>
      </w:r>
      <w:r w:rsidR="009D6010" w:rsidRPr="009E10B4">
        <w:t xml:space="preserve"> has no or negligible influence on the ability to drive and use machines. However, some of the adverse reactions mentioned under </w:t>
      </w:r>
      <w:r w:rsidR="009D6010">
        <w:t xml:space="preserve">Section </w:t>
      </w:r>
      <w:r w:rsidR="009D6010">
        <w:fldChar w:fldCharType="begin"/>
      </w:r>
      <w:r w:rsidR="009D6010">
        <w:instrText xml:space="preserve"> REF _Ref59523614 \r \h </w:instrText>
      </w:r>
      <w:r w:rsidR="009D6010">
        <w:fldChar w:fldCharType="separate"/>
      </w:r>
      <w:r w:rsidR="00D222AF">
        <w:t>4.8</w:t>
      </w:r>
      <w:r w:rsidR="009D6010">
        <w:fldChar w:fldCharType="end"/>
      </w:r>
      <w:r w:rsidR="009D6010">
        <w:t xml:space="preserve"> </w:t>
      </w:r>
      <w:r w:rsidR="009D6010">
        <w:fldChar w:fldCharType="begin"/>
      </w:r>
      <w:r w:rsidR="009D6010">
        <w:instrText xml:space="preserve"> REF _Ref59523614 \h </w:instrText>
      </w:r>
      <w:r w:rsidR="009D6010">
        <w:fldChar w:fldCharType="separate"/>
      </w:r>
      <w:r w:rsidR="00D222AF" w:rsidRPr="00377337">
        <w:t>Adverse effects (Undesirable effects)</w:t>
      </w:r>
      <w:r w:rsidR="009D6010">
        <w:fldChar w:fldCharType="end"/>
      </w:r>
      <w:r w:rsidR="009D6010" w:rsidRPr="009E10B4">
        <w:t xml:space="preserve"> may temporarily affect the ability to drive or use machines</w:t>
      </w:r>
      <w:r w:rsidR="009D6010">
        <w:t>.</w:t>
      </w:r>
    </w:p>
    <w:p w14:paraId="1EF9C211" w14:textId="77777777" w:rsidR="001A3992" w:rsidRDefault="009D6010" w:rsidP="00EE3AC8">
      <w:pPr>
        <w:pStyle w:val="Heading2"/>
      </w:pPr>
      <w:bookmarkStart w:id="17" w:name="_Ref59523614"/>
      <w:r w:rsidRPr="00377337">
        <w:lastRenderedPageBreak/>
        <w:t>Adverse effects (Undesirable effects)</w:t>
      </w:r>
      <w:bookmarkEnd w:id="17"/>
    </w:p>
    <w:p w14:paraId="1EF9C213" w14:textId="77777777" w:rsidR="00446EDD" w:rsidRDefault="009D6010" w:rsidP="001D3AF3">
      <w:pPr>
        <w:pStyle w:val="Heading3Unnumbered"/>
      </w:pPr>
      <w:r>
        <w:t>Clinical trials</w:t>
      </w:r>
    </w:p>
    <w:p w14:paraId="1EF9C214" w14:textId="3E85C2A6" w:rsidR="009E10B4" w:rsidRPr="00763304" w:rsidRDefault="009D6010" w:rsidP="009E10B4">
      <w:pPr>
        <w:pStyle w:val="Heading4Unnumbered"/>
      </w:pPr>
      <w:r w:rsidRPr="00763304">
        <w:t>Overall summary of the safety profile</w:t>
      </w:r>
    </w:p>
    <w:p w14:paraId="1EF9C215" w14:textId="32881AA7" w:rsidR="009E10B4" w:rsidRPr="00763304" w:rsidRDefault="009D6010" w:rsidP="009E10B4">
      <w:pPr>
        <w:pStyle w:val="Paragraph"/>
      </w:pPr>
      <w:r w:rsidRPr="00763304">
        <w:t xml:space="preserve">The overall safety of </w:t>
      </w:r>
      <w:r w:rsidR="00E56F2B">
        <w:t>VAXZEVRIA</w:t>
      </w:r>
      <w:r w:rsidRPr="00763304">
        <w:t xml:space="preserve"> is based on an interim analysis </w:t>
      </w:r>
      <w:r w:rsidR="007D2548">
        <w:t>(</w:t>
      </w:r>
      <w:r w:rsidR="007D2548" w:rsidRPr="00763304">
        <w:t>data lock: 4 November 2020</w:t>
      </w:r>
      <w:r w:rsidR="007D2548">
        <w:t xml:space="preserve">) </w:t>
      </w:r>
      <w:r w:rsidRPr="00763304">
        <w:t xml:space="preserve">of pooled data from four clinical trials conducted in the United Kingdom, Brazil, and South Africa. At the time of analysis, 23,745 participants ≥18 years old had been randomised and received either </w:t>
      </w:r>
      <w:r w:rsidR="00E56F2B">
        <w:t>VAXZEVRIA</w:t>
      </w:r>
      <w:r w:rsidRPr="00763304">
        <w:t xml:space="preserve"> or control. Out of these, 12,021 received at least one dose of </w:t>
      </w:r>
      <w:r w:rsidR="00E56F2B">
        <w:t>VAXZEVRIA</w:t>
      </w:r>
      <w:r w:rsidRPr="00763304">
        <w:t xml:space="preserve">. </w:t>
      </w:r>
    </w:p>
    <w:p w14:paraId="377C16DB" w14:textId="3C685E1E" w:rsidR="00364AA4" w:rsidRDefault="009D6010" w:rsidP="009E10B4">
      <w:pPr>
        <w:pStyle w:val="Paragraph"/>
      </w:pPr>
      <w:r w:rsidRPr="00763304">
        <w:t xml:space="preserve">Demographic characteristics were generally similar among participants who received </w:t>
      </w:r>
      <w:r w:rsidR="00E56F2B">
        <w:t>VAXZEVRIA</w:t>
      </w:r>
      <w:r w:rsidRPr="00763304">
        <w:t xml:space="preserve"> and those who received control. Overall, among the participants who received </w:t>
      </w:r>
      <w:r w:rsidR="00E56F2B">
        <w:t>VAXZEVRIA</w:t>
      </w:r>
      <w:r w:rsidRPr="00763304">
        <w:t>, 90.3% were aged 18 to 64</w:t>
      </w:r>
      <w:r w:rsidR="00AD1080" w:rsidRPr="00763304">
        <w:t> </w:t>
      </w:r>
      <w:r w:rsidRPr="00763304">
        <w:t>years and 9.7% were 65</w:t>
      </w:r>
      <w:r w:rsidR="00AD1080" w:rsidRPr="00763304">
        <w:t> </w:t>
      </w:r>
      <w:r w:rsidRPr="00763304">
        <w:t xml:space="preserve">years of age or older. The majority of recipients were White (75.5%), 10.1% were Black and 3.5% were Asian; 55.8% were female and 44.2% male. The most frequently reported adverse reactions were injection site tenderness (&gt;60%); injection site pain, headache, fatigue (&gt;50%); myalgia, malaise (&gt;40%); pyrexia, chills (&gt;30%); and arthralgia, nausea (&gt;20%). The majority of adverse reactions were mild to moderate in severity and usually resolved within a few days of vaccination. </w:t>
      </w:r>
    </w:p>
    <w:p w14:paraId="2F47A67C" w14:textId="7AC37EFE" w:rsidR="00364AA4" w:rsidRDefault="00364AA4" w:rsidP="00364AA4">
      <w:pPr>
        <w:pStyle w:val="Paragraph"/>
      </w:pPr>
      <w:r w:rsidRPr="00364AA4">
        <w:t>Following vaccination, recipients may experience multiple adverse reactions occurring at the same time (for example, myalgia/arthralgia, headache, chills, pyrexia and malaise). If a recipient reports persistent symptoms, alternative causes should be considered.</w:t>
      </w:r>
      <w:r>
        <w:t xml:space="preserve"> </w:t>
      </w:r>
    </w:p>
    <w:p w14:paraId="1EF9C217" w14:textId="2E8599F7" w:rsidR="009E10B4" w:rsidRPr="00763304" w:rsidRDefault="009D6010" w:rsidP="009E10B4">
      <w:pPr>
        <w:pStyle w:val="Paragraph"/>
      </w:pPr>
      <w:r w:rsidRPr="00763304">
        <w:t>When compared with the first dose, adverse reactions reported after the second dose were milder and reported less frequently.</w:t>
      </w:r>
    </w:p>
    <w:p w14:paraId="1EF9C218" w14:textId="75B003DE" w:rsidR="009E10B4" w:rsidRPr="00B82D81" w:rsidRDefault="009D6010" w:rsidP="009E10B4">
      <w:pPr>
        <w:pStyle w:val="Paragraph"/>
      </w:pPr>
      <w:r w:rsidRPr="00B82D81">
        <w:t>Adverse reactions were generally milder and reported less frequently in older adults (≥65</w:t>
      </w:r>
      <w:r w:rsidR="00AD1080" w:rsidRPr="00B82D81">
        <w:t> </w:t>
      </w:r>
      <w:r w:rsidRPr="00B82D81">
        <w:t xml:space="preserve">years old). </w:t>
      </w:r>
    </w:p>
    <w:p w14:paraId="5D65AA7C" w14:textId="43CFFB45" w:rsidR="00BF7B4C" w:rsidRPr="00396724" w:rsidRDefault="00BF7B4C" w:rsidP="00BF7B4C">
      <w:pPr>
        <w:pStyle w:val="Paragraph"/>
      </w:pPr>
      <w:r w:rsidRPr="00396724">
        <w:t xml:space="preserve">In the COV001 study, the observed reactogenicity in participants who received a booster dose (third dose) following a 2 dose primary vaccination course was consistent with the known reactogenicity profile of </w:t>
      </w:r>
      <w:r w:rsidR="006933C3" w:rsidRPr="00396724">
        <w:t>VAXZEVRIA</w:t>
      </w:r>
      <w:r w:rsidRPr="00396724">
        <w:t>, and was lower after the third dose compared with after the first dose.</w:t>
      </w:r>
    </w:p>
    <w:p w14:paraId="1EF9C219" w14:textId="7C9144EB" w:rsidR="009E10B4" w:rsidRPr="00763304" w:rsidRDefault="009D6010" w:rsidP="009E10B4">
      <w:pPr>
        <w:pStyle w:val="Paragraph"/>
      </w:pPr>
      <w:r w:rsidRPr="00763304">
        <w:t xml:space="preserve">Analgesic and/or anti-pyretic medicinal products (e.g. paracetamol-containing products) may be used to provide symptomatic relief from post-vaccination adverse reactions. </w:t>
      </w:r>
    </w:p>
    <w:p w14:paraId="1EF9C21A" w14:textId="6C0DF383" w:rsidR="00EF7D40" w:rsidRPr="00763304" w:rsidRDefault="009D6010" w:rsidP="009E10B4">
      <w:pPr>
        <w:pStyle w:val="Paragraph"/>
      </w:pPr>
      <w:bookmarkStart w:id="18" w:name="_Hlk63768657"/>
      <w:r w:rsidRPr="00763304">
        <w:t>Safety in subgroups including the frail elderly, immunosuppressed, and pregnancy is unknown due to the low number of representative participants from these groups. Further information will become available from ongoing clinical studies and pharmacovigilance programmes</w:t>
      </w:r>
      <w:bookmarkEnd w:id="18"/>
      <w:r w:rsidRPr="00763304">
        <w:t>.</w:t>
      </w:r>
    </w:p>
    <w:p w14:paraId="1EF9C21B" w14:textId="6E43EA70" w:rsidR="009E10B4" w:rsidRPr="00763304" w:rsidRDefault="009D6010" w:rsidP="6BC6D586">
      <w:pPr>
        <w:pStyle w:val="Heading4Unnumbered"/>
      </w:pPr>
      <w:r w:rsidRPr="00763304">
        <w:t>Adverse drug reactions</w:t>
      </w:r>
    </w:p>
    <w:p w14:paraId="1EF9C21C" w14:textId="77777777" w:rsidR="009E10B4" w:rsidRPr="00125782" w:rsidRDefault="009D6010" w:rsidP="00B85A9E">
      <w:pPr>
        <w:pStyle w:val="Paragraph"/>
        <w:rPr>
          <w:i/>
          <w:iCs/>
          <w:sz w:val="20"/>
          <w:szCs w:val="20"/>
        </w:rPr>
      </w:pPr>
      <w:r w:rsidRPr="00125782">
        <w:rPr>
          <w:i/>
          <w:iCs/>
          <w:sz w:val="20"/>
          <w:szCs w:val="20"/>
        </w:rPr>
        <w:t>Adverse drug reactions (ADRs) are organised by MedDRA System Organ Class (SOC). Within each SOC, preferred terms are arranged by decreasing frequency and then by decreasing seriousness. Frequencies of occurrence of adverse reactions are defined as: very common (≥1/10); common (≥1/100 to &lt;1/10); uncommon (≥1/1,000 to &lt;1/100); rare (≥1/10,000 to &lt;1/1000); very rare (&lt;1/10,000) and not known (cannot be estimated from available data).</w:t>
      </w:r>
    </w:p>
    <w:p w14:paraId="1EF9C21D" w14:textId="6D98609A" w:rsidR="00B85A9E" w:rsidRPr="00763304" w:rsidRDefault="009D6010" w:rsidP="00B85A9E">
      <w:pPr>
        <w:pStyle w:val="TableTitle"/>
      </w:pPr>
      <w:r w:rsidRPr="00763304">
        <w:t>Table </w:t>
      </w:r>
      <w:r w:rsidRPr="00763304">
        <w:fldChar w:fldCharType="begin"/>
      </w:r>
      <w:r w:rsidRPr="00763304">
        <w:instrText xml:space="preserve"> SEQ Table \* ARABIC </w:instrText>
      </w:r>
      <w:r w:rsidRPr="00763304">
        <w:fldChar w:fldCharType="separate"/>
      </w:r>
      <w:r w:rsidR="00D222AF">
        <w:rPr>
          <w:noProof/>
        </w:rPr>
        <w:t>1</w:t>
      </w:r>
      <w:r w:rsidRPr="00763304">
        <w:fldChar w:fldCharType="end"/>
      </w:r>
      <w:r w:rsidRPr="00763304">
        <w:tab/>
      </w:r>
      <w:r w:rsidR="009F0775" w:rsidRPr="00763304">
        <w:t xml:space="preserve">Adverse Drug Reactions (ADR) </w:t>
      </w:r>
      <w:r w:rsidR="00364AA4">
        <w:t xml:space="preserve">interim analysis </w:t>
      </w:r>
      <w:r w:rsidR="009F0775" w:rsidRPr="00763304">
        <w:t>– pooled data set (safety analysis set</w:t>
      </w:r>
      <w:r w:rsidR="00634AB8" w:rsidRPr="00763304">
        <w:rPr>
          <w:vertAlign w:val="superscript"/>
        </w:rPr>
        <w:t>a</w:t>
      </w:r>
      <w:r w:rsidR="009F0775" w:rsidRPr="00763304">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2405"/>
        <w:gridCol w:w="2835"/>
        <w:gridCol w:w="2268"/>
        <w:gridCol w:w="2126"/>
      </w:tblGrid>
      <w:tr w:rsidR="00444376" w:rsidRPr="00763304" w14:paraId="1EF9C223" w14:textId="77777777" w:rsidTr="00634AB8">
        <w:trPr>
          <w:cantSplit/>
          <w:tblHeader/>
        </w:trPr>
        <w:tc>
          <w:tcPr>
            <w:tcW w:w="2405" w:type="dxa"/>
            <w:shd w:val="clear" w:color="auto" w:fill="auto"/>
          </w:tcPr>
          <w:p w14:paraId="1EF9C21E" w14:textId="77777777" w:rsidR="009F0775" w:rsidRPr="00763304" w:rsidRDefault="009D6010" w:rsidP="009F0775">
            <w:pPr>
              <w:pStyle w:val="TableHead"/>
              <w:jc w:val="left"/>
            </w:pPr>
            <w:r w:rsidRPr="00763304">
              <w:t>MedDRA SOC</w:t>
            </w:r>
          </w:p>
        </w:tc>
        <w:tc>
          <w:tcPr>
            <w:tcW w:w="2835" w:type="dxa"/>
            <w:shd w:val="clear" w:color="auto" w:fill="auto"/>
          </w:tcPr>
          <w:p w14:paraId="1EF9C21F" w14:textId="77777777" w:rsidR="009F0775" w:rsidRPr="00763304" w:rsidRDefault="009D6010" w:rsidP="009F0775">
            <w:pPr>
              <w:pStyle w:val="TableHead"/>
              <w:jc w:val="left"/>
            </w:pPr>
            <w:r w:rsidRPr="00763304">
              <w:t xml:space="preserve">Adverse </w:t>
            </w:r>
            <w:proofErr w:type="spellStart"/>
            <w:r w:rsidRPr="00763304">
              <w:t>reaction</w:t>
            </w:r>
            <w:r w:rsidRPr="00763304">
              <w:rPr>
                <w:vertAlign w:val="superscript"/>
              </w:rPr>
              <w:t>b</w:t>
            </w:r>
            <w:proofErr w:type="spellEnd"/>
          </w:p>
        </w:tc>
        <w:tc>
          <w:tcPr>
            <w:tcW w:w="2268" w:type="dxa"/>
            <w:vAlign w:val="center"/>
          </w:tcPr>
          <w:p w14:paraId="1EF9C220" w14:textId="5B819F3D" w:rsidR="009F0775" w:rsidRPr="00763304" w:rsidRDefault="00E56F2B" w:rsidP="00634AB8">
            <w:pPr>
              <w:pStyle w:val="TableHead"/>
            </w:pPr>
            <w:r>
              <w:t>VAXZEVRIA</w:t>
            </w:r>
            <w:r w:rsidR="00634AB8" w:rsidRPr="00763304">
              <w:br/>
            </w:r>
            <w:r w:rsidR="009D6010" w:rsidRPr="00763304">
              <w:t>(N= 10</w:t>
            </w:r>
            <w:r w:rsidR="00634AB8" w:rsidRPr="00763304">
              <w:t xml:space="preserve">, </w:t>
            </w:r>
            <w:r w:rsidR="009D6010" w:rsidRPr="00763304">
              <w:t>069</w:t>
            </w:r>
            <w:r w:rsidR="00634AB8" w:rsidRPr="00763304">
              <w:t>)</w:t>
            </w:r>
          </w:p>
        </w:tc>
        <w:tc>
          <w:tcPr>
            <w:tcW w:w="2126" w:type="dxa"/>
            <w:shd w:val="clear" w:color="auto" w:fill="auto"/>
            <w:vAlign w:val="center"/>
          </w:tcPr>
          <w:p w14:paraId="1EF9C221" w14:textId="77777777" w:rsidR="009F0775" w:rsidRPr="00763304" w:rsidRDefault="009D6010" w:rsidP="00634AB8">
            <w:pPr>
              <w:pStyle w:val="TableHead"/>
            </w:pPr>
            <w:proofErr w:type="spellStart"/>
            <w:r w:rsidRPr="00763304">
              <w:t>Control</w:t>
            </w:r>
            <w:r w:rsidRPr="00763304">
              <w:rPr>
                <w:vertAlign w:val="superscript"/>
              </w:rPr>
              <w:t>c</w:t>
            </w:r>
            <w:proofErr w:type="spellEnd"/>
          </w:p>
          <w:p w14:paraId="1EF9C222" w14:textId="16C6D3E2" w:rsidR="009F0775" w:rsidRPr="00763304" w:rsidRDefault="009D6010" w:rsidP="00634AB8">
            <w:pPr>
              <w:pStyle w:val="TableHead"/>
            </w:pPr>
            <w:r w:rsidRPr="00763304">
              <w:t>(N= 9, 902)</w:t>
            </w:r>
          </w:p>
        </w:tc>
      </w:tr>
      <w:tr w:rsidR="00444376" w:rsidRPr="00763304" w14:paraId="1EF9C228" w14:textId="77777777" w:rsidTr="00634AB8">
        <w:trPr>
          <w:cantSplit/>
        </w:trPr>
        <w:tc>
          <w:tcPr>
            <w:tcW w:w="2405" w:type="dxa"/>
            <w:shd w:val="clear" w:color="auto" w:fill="auto"/>
          </w:tcPr>
          <w:p w14:paraId="1EF9C224" w14:textId="77777777" w:rsidR="009F0775" w:rsidRPr="00763304" w:rsidRDefault="009D6010" w:rsidP="009F0775">
            <w:pPr>
              <w:pStyle w:val="TableLeft"/>
            </w:pPr>
            <w:r w:rsidRPr="00763304">
              <w:t>Nervous system disorders</w:t>
            </w:r>
          </w:p>
        </w:tc>
        <w:tc>
          <w:tcPr>
            <w:tcW w:w="2835" w:type="dxa"/>
            <w:shd w:val="clear" w:color="auto" w:fill="auto"/>
          </w:tcPr>
          <w:p w14:paraId="1EF9C225" w14:textId="77777777" w:rsidR="009F0775" w:rsidRPr="00763304" w:rsidRDefault="009D6010" w:rsidP="009F0775">
            <w:pPr>
              <w:pStyle w:val="TableLeft"/>
            </w:pPr>
            <w:r w:rsidRPr="00763304">
              <w:t>Headache</w:t>
            </w:r>
          </w:p>
        </w:tc>
        <w:tc>
          <w:tcPr>
            <w:tcW w:w="2268" w:type="dxa"/>
          </w:tcPr>
          <w:p w14:paraId="1EF9C226" w14:textId="77777777" w:rsidR="009F0775" w:rsidRPr="00763304" w:rsidRDefault="009D6010" w:rsidP="00634AB8">
            <w:pPr>
              <w:pStyle w:val="TableLeft"/>
              <w:jc w:val="center"/>
            </w:pPr>
            <w:r w:rsidRPr="00763304">
              <w:t>Very common (52.6%)</w:t>
            </w:r>
          </w:p>
        </w:tc>
        <w:tc>
          <w:tcPr>
            <w:tcW w:w="2126" w:type="dxa"/>
            <w:shd w:val="clear" w:color="auto" w:fill="auto"/>
          </w:tcPr>
          <w:p w14:paraId="1EF9C227" w14:textId="77777777" w:rsidR="009F0775" w:rsidRPr="00763304" w:rsidRDefault="009D6010" w:rsidP="00634AB8">
            <w:pPr>
              <w:pStyle w:val="TableLeft"/>
              <w:jc w:val="center"/>
            </w:pPr>
            <w:r w:rsidRPr="00763304">
              <w:t>Very common (39.0%)</w:t>
            </w:r>
          </w:p>
        </w:tc>
      </w:tr>
      <w:tr w:rsidR="00444376" w:rsidRPr="00763304" w14:paraId="1EF9C22D" w14:textId="77777777" w:rsidTr="00634AB8">
        <w:trPr>
          <w:cantSplit/>
        </w:trPr>
        <w:tc>
          <w:tcPr>
            <w:tcW w:w="2405" w:type="dxa"/>
            <w:shd w:val="clear" w:color="auto" w:fill="auto"/>
          </w:tcPr>
          <w:p w14:paraId="1EF9C229" w14:textId="77777777" w:rsidR="009F0775" w:rsidRPr="00763304" w:rsidRDefault="009D6010" w:rsidP="009F0775">
            <w:pPr>
              <w:pStyle w:val="TableLeft"/>
            </w:pPr>
            <w:r w:rsidRPr="00763304">
              <w:lastRenderedPageBreak/>
              <w:t>Gastrointestinal disorders</w:t>
            </w:r>
          </w:p>
        </w:tc>
        <w:tc>
          <w:tcPr>
            <w:tcW w:w="2835" w:type="dxa"/>
            <w:shd w:val="clear" w:color="auto" w:fill="auto"/>
          </w:tcPr>
          <w:p w14:paraId="1EF9C22A" w14:textId="77777777" w:rsidR="009F0775" w:rsidRPr="00763304" w:rsidRDefault="009D6010" w:rsidP="009F0775">
            <w:pPr>
              <w:pStyle w:val="TableLeft"/>
            </w:pPr>
            <w:r w:rsidRPr="00763304">
              <w:t>Nausea</w:t>
            </w:r>
          </w:p>
        </w:tc>
        <w:tc>
          <w:tcPr>
            <w:tcW w:w="2268" w:type="dxa"/>
          </w:tcPr>
          <w:p w14:paraId="1EF9C22B" w14:textId="77777777" w:rsidR="009F0775" w:rsidRPr="00763304" w:rsidRDefault="009D6010" w:rsidP="00634AB8">
            <w:pPr>
              <w:pStyle w:val="TableLeft"/>
              <w:jc w:val="center"/>
            </w:pPr>
            <w:r w:rsidRPr="00763304">
              <w:t>Very common (21.9%)</w:t>
            </w:r>
          </w:p>
        </w:tc>
        <w:tc>
          <w:tcPr>
            <w:tcW w:w="2126" w:type="dxa"/>
            <w:shd w:val="clear" w:color="auto" w:fill="auto"/>
          </w:tcPr>
          <w:p w14:paraId="1EF9C22C" w14:textId="77777777" w:rsidR="009F0775" w:rsidRPr="00763304" w:rsidRDefault="009D6010" w:rsidP="00634AB8">
            <w:pPr>
              <w:pStyle w:val="TableLeft"/>
              <w:jc w:val="center"/>
            </w:pPr>
            <w:r w:rsidRPr="00763304">
              <w:t>Very common (13.1%)</w:t>
            </w:r>
          </w:p>
        </w:tc>
      </w:tr>
      <w:tr w:rsidR="00444376" w:rsidRPr="00763304" w14:paraId="1EF9C232" w14:textId="77777777" w:rsidTr="00634AB8">
        <w:trPr>
          <w:cantSplit/>
        </w:trPr>
        <w:tc>
          <w:tcPr>
            <w:tcW w:w="2405" w:type="dxa"/>
            <w:vMerge w:val="restart"/>
            <w:shd w:val="clear" w:color="auto" w:fill="auto"/>
          </w:tcPr>
          <w:p w14:paraId="1EF9C22E" w14:textId="77777777" w:rsidR="00634AB8" w:rsidRPr="00763304" w:rsidRDefault="009D6010" w:rsidP="009F0775">
            <w:pPr>
              <w:pStyle w:val="TableLeft"/>
            </w:pPr>
            <w:r w:rsidRPr="00763304">
              <w:t>Musculoskeletal and connective tissue disorders</w:t>
            </w:r>
          </w:p>
        </w:tc>
        <w:tc>
          <w:tcPr>
            <w:tcW w:w="2835" w:type="dxa"/>
            <w:shd w:val="clear" w:color="auto" w:fill="auto"/>
          </w:tcPr>
          <w:p w14:paraId="1EF9C22F" w14:textId="77777777" w:rsidR="00634AB8" w:rsidRPr="00763304" w:rsidRDefault="009D6010" w:rsidP="009F0775">
            <w:pPr>
              <w:pStyle w:val="TableLeft"/>
            </w:pPr>
            <w:r w:rsidRPr="00763304">
              <w:t>Muscle pain (Myalgia)</w:t>
            </w:r>
          </w:p>
        </w:tc>
        <w:tc>
          <w:tcPr>
            <w:tcW w:w="2268" w:type="dxa"/>
          </w:tcPr>
          <w:p w14:paraId="1EF9C230" w14:textId="77777777" w:rsidR="00634AB8" w:rsidRPr="00763304" w:rsidRDefault="009D6010" w:rsidP="00634AB8">
            <w:pPr>
              <w:pStyle w:val="TableLeft"/>
              <w:jc w:val="center"/>
            </w:pPr>
            <w:r w:rsidRPr="00763304">
              <w:t>Very common (44.0%)</w:t>
            </w:r>
          </w:p>
        </w:tc>
        <w:tc>
          <w:tcPr>
            <w:tcW w:w="2126" w:type="dxa"/>
            <w:shd w:val="clear" w:color="auto" w:fill="auto"/>
          </w:tcPr>
          <w:p w14:paraId="1EF9C231" w14:textId="77777777" w:rsidR="00634AB8" w:rsidRPr="00763304" w:rsidRDefault="009D6010" w:rsidP="00634AB8">
            <w:pPr>
              <w:pStyle w:val="TableLeft"/>
              <w:jc w:val="center"/>
            </w:pPr>
            <w:r w:rsidRPr="00763304">
              <w:t>Very common (21.6%)</w:t>
            </w:r>
          </w:p>
        </w:tc>
      </w:tr>
      <w:tr w:rsidR="00444376" w:rsidRPr="00763304" w14:paraId="1EF9C237" w14:textId="77777777" w:rsidTr="00634AB8">
        <w:trPr>
          <w:cantSplit/>
        </w:trPr>
        <w:tc>
          <w:tcPr>
            <w:tcW w:w="2405" w:type="dxa"/>
            <w:vMerge/>
            <w:shd w:val="clear" w:color="auto" w:fill="auto"/>
          </w:tcPr>
          <w:p w14:paraId="1EF9C233" w14:textId="77777777" w:rsidR="00634AB8" w:rsidRPr="00763304" w:rsidRDefault="00634AB8" w:rsidP="009F0775">
            <w:pPr>
              <w:pStyle w:val="TableLeft"/>
            </w:pPr>
          </w:p>
        </w:tc>
        <w:tc>
          <w:tcPr>
            <w:tcW w:w="2835" w:type="dxa"/>
            <w:shd w:val="clear" w:color="auto" w:fill="auto"/>
          </w:tcPr>
          <w:p w14:paraId="1EF9C234" w14:textId="77777777" w:rsidR="00634AB8" w:rsidRPr="00763304" w:rsidRDefault="009D6010" w:rsidP="009F0775">
            <w:pPr>
              <w:pStyle w:val="TableLeft"/>
            </w:pPr>
            <w:r w:rsidRPr="00763304">
              <w:t>Joint pain (Arthralgia)</w:t>
            </w:r>
          </w:p>
        </w:tc>
        <w:tc>
          <w:tcPr>
            <w:tcW w:w="2268" w:type="dxa"/>
          </w:tcPr>
          <w:p w14:paraId="1EF9C235" w14:textId="77777777" w:rsidR="00634AB8" w:rsidRPr="00763304" w:rsidRDefault="009D6010" w:rsidP="00634AB8">
            <w:pPr>
              <w:pStyle w:val="TableLeft"/>
              <w:jc w:val="center"/>
            </w:pPr>
            <w:r w:rsidRPr="00763304">
              <w:t>Very common (26.4%)</w:t>
            </w:r>
          </w:p>
        </w:tc>
        <w:tc>
          <w:tcPr>
            <w:tcW w:w="2126" w:type="dxa"/>
            <w:shd w:val="clear" w:color="auto" w:fill="auto"/>
          </w:tcPr>
          <w:p w14:paraId="1EF9C236" w14:textId="77777777" w:rsidR="00634AB8" w:rsidRPr="00763304" w:rsidRDefault="009D6010" w:rsidP="00634AB8">
            <w:pPr>
              <w:pStyle w:val="TableLeft"/>
              <w:jc w:val="center"/>
            </w:pPr>
            <w:r w:rsidRPr="00763304">
              <w:t>Very common (12.4%)</w:t>
            </w:r>
          </w:p>
        </w:tc>
      </w:tr>
      <w:tr w:rsidR="00444376" w:rsidRPr="00763304" w14:paraId="1EF9C23A" w14:textId="77777777" w:rsidTr="00DB43E7">
        <w:trPr>
          <w:cantSplit/>
        </w:trPr>
        <w:tc>
          <w:tcPr>
            <w:tcW w:w="2405" w:type="dxa"/>
            <w:vMerge w:val="restart"/>
            <w:shd w:val="clear" w:color="auto" w:fill="auto"/>
          </w:tcPr>
          <w:p w14:paraId="1EF9C238" w14:textId="77777777" w:rsidR="00634AB8" w:rsidRPr="00763304" w:rsidRDefault="009D6010" w:rsidP="009F0775">
            <w:pPr>
              <w:pStyle w:val="TableLeft"/>
            </w:pPr>
            <w:r w:rsidRPr="00763304">
              <w:t>General disorders and administration site conditions</w:t>
            </w:r>
          </w:p>
        </w:tc>
        <w:tc>
          <w:tcPr>
            <w:tcW w:w="7229" w:type="dxa"/>
            <w:gridSpan w:val="3"/>
            <w:shd w:val="clear" w:color="auto" w:fill="auto"/>
            <w:vAlign w:val="center"/>
          </w:tcPr>
          <w:p w14:paraId="1EF9C239" w14:textId="77777777" w:rsidR="00634AB8" w:rsidRPr="00763304" w:rsidRDefault="009D6010" w:rsidP="00634AB8">
            <w:pPr>
              <w:pStyle w:val="TableLeft"/>
            </w:pPr>
            <w:r w:rsidRPr="00763304">
              <w:rPr>
                <w:b/>
              </w:rPr>
              <w:t>Local</w:t>
            </w:r>
          </w:p>
        </w:tc>
      </w:tr>
      <w:tr w:rsidR="00444376" w:rsidRPr="00763304" w14:paraId="1EF9C23F" w14:textId="77777777" w:rsidTr="00634AB8">
        <w:trPr>
          <w:cantSplit/>
        </w:trPr>
        <w:tc>
          <w:tcPr>
            <w:tcW w:w="2405" w:type="dxa"/>
            <w:vMerge/>
            <w:shd w:val="clear" w:color="auto" w:fill="auto"/>
          </w:tcPr>
          <w:p w14:paraId="1EF9C23B" w14:textId="77777777" w:rsidR="00634AB8" w:rsidRPr="00763304" w:rsidRDefault="00634AB8" w:rsidP="009F0775">
            <w:pPr>
              <w:pStyle w:val="TableLeft"/>
            </w:pPr>
          </w:p>
        </w:tc>
        <w:tc>
          <w:tcPr>
            <w:tcW w:w="2835" w:type="dxa"/>
            <w:shd w:val="clear" w:color="auto" w:fill="auto"/>
          </w:tcPr>
          <w:p w14:paraId="1EF9C23C" w14:textId="77777777" w:rsidR="00634AB8" w:rsidRPr="00763304" w:rsidRDefault="009D6010" w:rsidP="009F0775">
            <w:pPr>
              <w:pStyle w:val="TableLeft"/>
            </w:pPr>
            <w:r w:rsidRPr="00763304">
              <w:t>Injection site tenderness</w:t>
            </w:r>
          </w:p>
        </w:tc>
        <w:tc>
          <w:tcPr>
            <w:tcW w:w="2268" w:type="dxa"/>
          </w:tcPr>
          <w:p w14:paraId="1EF9C23D" w14:textId="77777777" w:rsidR="00634AB8" w:rsidRPr="00763304" w:rsidRDefault="009D6010" w:rsidP="00634AB8">
            <w:pPr>
              <w:pStyle w:val="TableLeft"/>
              <w:jc w:val="center"/>
            </w:pPr>
            <w:r w:rsidRPr="00763304">
              <w:t>Very common (63.7%)</w:t>
            </w:r>
          </w:p>
        </w:tc>
        <w:tc>
          <w:tcPr>
            <w:tcW w:w="2126" w:type="dxa"/>
            <w:shd w:val="clear" w:color="auto" w:fill="auto"/>
          </w:tcPr>
          <w:p w14:paraId="1EF9C23E" w14:textId="77777777" w:rsidR="00634AB8" w:rsidRPr="00763304" w:rsidRDefault="009D6010" w:rsidP="00634AB8">
            <w:pPr>
              <w:pStyle w:val="TableLeft"/>
              <w:jc w:val="center"/>
            </w:pPr>
            <w:r w:rsidRPr="00763304">
              <w:t>Very common (39.5%)</w:t>
            </w:r>
          </w:p>
        </w:tc>
      </w:tr>
      <w:tr w:rsidR="00444376" w:rsidRPr="00763304" w14:paraId="1EF9C244" w14:textId="77777777" w:rsidTr="00634AB8">
        <w:trPr>
          <w:cantSplit/>
        </w:trPr>
        <w:tc>
          <w:tcPr>
            <w:tcW w:w="2405" w:type="dxa"/>
            <w:vMerge/>
            <w:shd w:val="clear" w:color="auto" w:fill="auto"/>
          </w:tcPr>
          <w:p w14:paraId="1EF9C240" w14:textId="77777777" w:rsidR="00634AB8" w:rsidRPr="00763304" w:rsidRDefault="00634AB8" w:rsidP="009F0775">
            <w:pPr>
              <w:pStyle w:val="TableLeft"/>
            </w:pPr>
          </w:p>
        </w:tc>
        <w:tc>
          <w:tcPr>
            <w:tcW w:w="2835" w:type="dxa"/>
            <w:shd w:val="clear" w:color="auto" w:fill="auto"/>
          </w:tcPr>
          <w:p w14:paraId="1EF9C241" w14:textId="77777777" w:rsidR="00634AB8" w:rsidRPr="00763304" w:rsidRDefault="009D6010" w:rsidP="009F0775">
            <w:pPr>
              <w:pStyle w:val="TableLeft"/>
            </w:pPr>
            <w:r w:rsidRPr="00763304">
              <w:t>Injection site pain</w:t>
            </w:r>
          </w:p>
        </w:tc>
        <w:tc>
          <w:tcPr>
            <w:tcW w:w="2268" w:type="dxa"/>
          </w:tcPr>
          <w:p w14:paraId="1EF9C242" w14:textId="77777777" w:rsidR="00634AB8" w:rsidRPr="00763304" w:rsidRDefault="009D6010" w:rsidP="00634AB8">
            <w:pPr>
              <w:pStyle w:val="TableLeft"/>
              <w:jc w:val="center"/>
            </w:pPr>
            <w:r w:rsidRPr="00763304">
              <w:t>Very common (54.2%)</w:t>
            </w:r>
          </w:p>
        </w:tc>
        <w:tc>
          <w:tcPr>
            <w:tcW w:w="2126" w:type="dxa"/>
            <w:shd w:val="clear" w:color="auto" w:fill="auto"/>
          </w:tcPr>
          <w:p w14:paraId="1EF9C243" w14:textId="77777777" w:rsidR="00634AB8" w:rsidRPr="00763304" w:rsidRDefault="009D6010" w:rsidP="00634AB8">
            <w:pPr>
              <w:pStyle w:val="TableLeft"/>
              <w:jc w:val="center"/>
            </w:pPr>
            <w:r w:rsidRPr="00763304">
              <w:t>Very common (36.7%)</w:t>
            </w:r>
          </w:p>
        </w:tc>
      </w:tr>
      <w:tr w:rsidR="00444376" w:rsidRPr="00763304" w14:paraId="1EF9C249" w14:textId="77777777" w:rsidTr="00634AB8">
        <w:trPr>
          <w:cantSplit/>
        </w:trPr>
        <w:tc>
          <w:tcPr>
            <w:tcW w:w="2405" w:type="dxa"/>
            <w:vMerge/>
            <w:shd w:val="clear" w:color="auto" w:fill="auto"/>
          </w:tcPr>
          <w:p w14:paraId="1EF9C245" w14:textId="77777777" w:rsidR="00634AB8" w:rsidRPr="00763304" w:rsidRDefault="00634AB8" w:rsidP="009F0775">
            <w:pPr>
              <w:pStyle w:val="TableLeft"/>
            </w:pPr>
          </w:p>
        </w:tc>
        <w:tc>
          <w:tcPr>
            <w:tcW w:w="2835" w:type="dxa"/>
            <w:shd w:val="clear" w:color="auto" w:fill="auto"/>
          </w:tcPr>
          <w:p w14:paraId="1EF9C246" w14:textId="77777777" w:rsidR="00634AB8" w:rsidRPr="00763304" w:rsidRDefault="009D6010" w:rsidP="009F0775">
            <w:pPr>
              <w:pStyle w:val="TableLeft"/>
            </w:pPr>
            <w:r w:rsidRPr="00763304">
              <w:t>Injection site warmth</w:t>
            </w:r>
          </w:p>
        </w:tc>
        <w:tc>
          <w:tcPr>
            <w:tcW w:w="2268" w:type="dxa"/>
          </w:tcPr>
          <w:p w14:paraId="1EF9C247" w14:textId="77777777" w:rsidR="00634AB8" w:rsidRPr="00763304" w:rsidRDefault="009D6010" w:rsidP="00634AB8">
            <w:pPr>
              <w:pStyle w:val="TableLeft"/>
              <w:jc w:val="center"/>
            </w:pPr>
            <w:r w:rsidRPr="00763304">
              <w:t>Very common (17.7%)</w:t>
            </w:r>
          </w:p>
        </w:tc>
        <w:tc>
          <w:tcPr>
            <w:tcW w:w="2126" w:type="dxa"/>
            <w:shd w:val="clear" w:color="auto" w:fill="auto"/>
          </w:tcPr>
          <w:p w14:paraId="1EF9C248" w14:textId="77777777" w:rsidR="00634AB8" w:rsidRPr="00763304" w:rsidRDefault="009D6010" w:rsidP="00634AB8">
            <w:pPr>
              <w:pStyle w:val="TableLeft"/>
              <w:jc w:val="center"/>
            </w:pPr>
            <w:r w:rsidRPr="00763304">
              <w:t>Very common (14.5%)</w:t>
            </w:r>
          </w:p>
        </w:tc>
      </w:tr>
      <w:tr w:rsidR="00444376" w:rsidRPr="00763304" w14:paraId="1EF9C253" w14:textId="77777777" w:rsidTr="00634AB8">
        <w:trPr>
          <w:cantSplit/>
        </w:trPr>
        <w:tc>
          <w:tcPr>
            <w:tcW w:w="2405" w:type="dxa"/>
            <w:vMerge/>
            <w:shd w:val="clear" w:color="auto" w:fill="auto"/>
          </w:tcPr>
          <w:p w14:paraId="1EF9C24F" w14:textId="77777777" w:rsidR="00634AB8" w:rsidRPr="00763304" w:rsidRDefault="00634AB8" w:rsidP="009F0775">
            <w:pPr>
              <w:pStyle w:val="TableLeft"/>
            </w:pPr>
          </w:p>
        </w:tc>
        <w:tc>
          <w:tcPr>
            <w:tcW w:w="2835" w:type="dxa"/>
            <w:shd w:val="clear" w:color="auto" w:fill="auto"/>
          </w:tcPr>
          <w:p w14:paraId="1EF9C250" w14:textId="77777777" w:rsidR="00634AB8" w:rsidRPr="00763304" w:rsidRDefault="009D6010" w:rsidP="009F0775">
            <w:pPr>
              <w:pStyle w:val="TableLeft"/>
            </w:pPr>
            <w:r w:rsidRPr="00763304">
              <w:t>Injection site itch (Injection site pruritus)</w:t>
            </w:r>
          </w:p>
        </w:tc>
        <w:tc>
          <w:tcPr>
            <w:tcW w:w="2268" w:type="dxa"/>
          </w:tcPr>
          <w:p w14:paraId="1EF9C251" w14:textId="77777777" w:rsidR="00634AB8" w:rsidRPr="00763304" w:rsidRDefault="009D6010" w:rsidP="00634AB8">
            <w:pPr>
              <w:pStyle w:val="TableLeft"/>
              <w:jc w:val="center"/>
            </w:pPr>
            <w:r w:rsidRPr="00763304">
              <w:t>Very common (12.7%)</w:t>
            </w:r>
          </w:p>
        </w:tc>
        <w:tc>
          <w:tcPr>
            <w:tcW w:w="2126" w:type="dxa"/>
            <w:shd w:val="clear" w:color="auto" w:fill="auto"/>
          </w:tcPr>
          <w:p w14:paraId="1EF9C252" w14:textId="77777777" w:rsidR="00634AB8" w:rsidRPr="00763304" w:rsidRDefault="009D6010" w:rsidP="00634AB8">
            <w:pPr>
              <w:pStyle w:val="TableLeft"/>
              <w:jc w:val="center"/>
            </w:pPr>
            <w:r w:rsidRPr="00763304">
              <w:t>Common (7.5%)</w:t>
            </w:r>
          </w:p>
        </w:tc>
      </w:tr>
      <w:tr w:rsidR="00444376" w:rsidRPr="00763304" w14:paraId="1EF9C258" w14:textId="77777777" w:rsidTr="00634AB8">
        <w:trPr>
          <w:cantSplit/>
        </w:trPr>
        <w:tc>
          <w:tcPr>
            <w:tcW w:w="2405" w:type="dxa"/>
            <w:vMerge/>
            <w:shd w:val="clear" w:color="auto" w:fill="auto"/>
          </w:tcPr>
          <w:p w14:paraId="1EF9C254" w14:textId="77777777" w:rsidR="00634AB8" w:rsidRPr="00763304" w:rsidRDefault="00634AB8" w:rsidP="009F0775">
            <w:pPr>
              <w:pStyle w:val="TableLeft"/>
            </w:pPr>
          </w:p>
        </w:tc>
        <w:tc>
          <w:tcPr>
            <w:tcW w:w="2835" w:type="dxa"/>
            <w:shd w:val="clear" w:color="auto" w:fill="auto"/>
          </w:tcPr>
          <w:p w14:paraId="1EF9C255" w14:textId="5A39A98F" w:rsidR="00634AB8" w:rsidRPr="00763304" w:rsidRDefault="009D6010" w:rsidP="009F0775">
            <w:pPr>
              <w:pStyle w:val="TableLeft"/>
            </w:pPr>
            <w:r w:rsidRPr="00763304">
              <w:t xml:space="preserve">Injection site swelling </w:t>
            </w:r>
          </w:p>
        </w:tc>
        <w:tc>
          <w:tcPr>
            <w:tcW w:w="2268" w:type="dxa"/>
          </w:tcPr>
          <w:p w14:paraId="1EF9C256" w14:textId="2AA28F15" w:rsidR="00634AB8" w:rsidRPr="00763304" w:rsidRDefault="009B2301" w:rsidP="00634AB8">
            <w:pPr>
              <w:pStyle w:val="TableLeft"/>
              <w:jc w:val="center"/>
            </w:pPr>
            <w:r w:rsidRPr="00763304">
              <w:t>C</w:t>
            </w:r>
            <w:r w:rsidR="009D6010" w:rsidRPr="00763304">
              <w:t>ommon (</w:t>
            </w:r>
            <w:r w:rsidRPr="00763304">
              <w:t>3.4</w:t>
            </w:r>
            <w:r w:rsidR="009D6010" w:rsidRPr="00763304">
              <w:t>%)</w:t>
            </w:r>
          </w:p>
        </w:tc>
        <w:tc>
          <w:tcPr>
            <w:tcW w:w="2126" w:type="dxa"/>
            <w:shd w:val="clear" w:color="auto" w:fill="auto"/>
          </w:tcPr>
          <w:p w14:paraId="1EF9C257" w14:textId="3957F025" w:rsidR="00634AB8" w:rsidRPr="00763304" w:rsidRDefault="009D6010" w:rsidP="00634AB8">
            <w:pPr>
              <w:pStyle w:val="TableLeft"/>
              <w:jc w:val="center"/>
            </w:pPr>
            <w:r w:rsidRPr="00763304">
              <w:t>Common (</w:t>
            </w:r>
            <w:r w:rsidR="009B2301" w:rsidRPr="00763304">
              <w:t>1.6</w:t>
            </w:r>
            <w:r w:rsidRPr="00763304">
              <w:t>%)</w:t>
            </w:r>
          </w:p>
        </w:tc>
      </w:tr>
      <w:tr w:rsidR="00444376" w:rsidRPr="00763304" w14:paraId="1EF9C25D" w14:textId="77777777" w:rsidTr="00634AB8">
        <w:trPr>
          <w:cantSplit/>
        </w:trPr>
        <w:tc>
          <w:tcPr>
            <w:tcW w:w="2405" w:type="dxa"/>
            <w:vMerge/>
            <w:shd w:val="clear" w:color="auto" w:fill="auto"/>
          </w:tcPr>
          <w:p w14:paraId="1EF9C259" w14:textId="77777777" w:rsidR="009B2301" w:rsidRPr="00763304" w:rsidRDefault="009B2301" w:rsidP="009F0775">
            <w:pPr>
              <w:pStyle w:val="TableLeft"/>
            </w:pPr>
          </w:p>
        </w:tc>
        <w:tc>
          <w:tcPr>
            <w:tcW w:w="2835" w:type="dxa"/>
            <w:shd w:val="clear" w:color="auto" w:fill="auto"/>
          </w:tcPr>
          <w:p w14:paraId="1EF9C25A" w14:textId="77777777" w:rsidR="009B2301" w:rsidRPr="00763304" w:rsidRDefault="009D6010" w:rsidP="009F0775">
            <w:pPr>
              <w:pStyle w:val="TableLeft"/>
            </w:pPr>
            <w:r w:rsidRPr="00763304">
              <w:t>Injection site redness (Injection site erythema)</w:t>
            </w:r>
          </w:p>
        </w:tc>
        <w:tc>
          <w:tcPr>
            <w:tcW w:w="2268" w:type="dxa"/>
          </w:tcPr>
          <w:p w14:paraId="1EF9C25B" w14:textId="77777777" w:rsidR="009B2301" w:rsidRPr="00763304" w:rsidRDefault="009D6010" w:rsidP="00634AB8">
            <w:pPr>
              <w:pStyle w:val="TableLeft"/>
              <w:jc w:val="center"/>
            </w:pPr>
            <w:r w:rsidRPr="00763304">
              <w:t>Common (3.1%)</w:t>
            </w:r>
          </w:p>
        </w:tc>
        <w:tc>
          <w:tcPr>
            <w:tcW w:w="2126" w:type="dxa"/>
            <w:shd w:val="clear" w:color="auto" w:fill="auto"/>
          </w:tcPr>
          <w:p w14:paraId="1EF9C25C" w14:textId="77777777" w:rsidR="009B2301" w:rsidRPr="00763304" w:rsidRDefault="009D6010" w:rsidP="00634AB8">
            <w:pPr>
              <w:pStyle w:val="TableLeft"/>
              <w:jc w:val="center"/>
            </w:pPr>
            <w:r w:rsidRPr="00763304">
              <w:t>Common (1.4%)</w:t>
            </w:r>
          </w:p>
        </w:tc>
      </w:tr>
      <w:tr w:rsidR="00444376" w:rsidRPr="00763304" w14:paraId="1EF9C260" w14:textId="77777777" w:rsidTr="00DB43E7">
        <w:trPr>
          <w:cantSplit/>
        </w:trPr>
        <w:tc>
          <w:tcPr>
            <w:tcW w:w="2405" w:type="dxa"/>
            <w:vMerge/>
            <w:shd w:val="clear" w:color="auto" w:fill="auto"/>
          </w:tcPr>
          <w:p w14:paraId="1EF9C25E" w14:textId="77777777" w:rsidR="00634AB8" w:rsidRPr="00763304" w:rsidRDefault="00634AB8" w:rsidP="009F0775">
            <w:pPr>
              <w:pStyle w:val="TableLeft"/>
            </w:pPr>
          </w:p>
        </w:tc>
        <w:tc>
          <w:tcPr>
            <w:tcW w:w="7229" w:type="dxa"/>
            <w:gridSpan w:val="3"/>
            <w:shd w:val="clear" w:color="auto" w:fill="auto"/>
            <w:vAlign w:val="center"/>
          </w:tcPr>
          <w:p w14:paraId="1EF9C25F" w14:textId="77777777" w:rsidR="00634AB8" w:rsidRPr="00763304" w:rsidRDefault="009D6010" w:rsidP="00634AB8">
            <w:pPr>
              <w:pStyle w:val="TableLeft"/>
            </w:pPr>
            <w:r w:rsidRPr="00763304">
              <w:rPr>
                <w:b/>
              </w:rPr>
              <w:t>Systemic</w:t>
            </w:r>
          </w:p>
        </w:tc>
      </w:tr>
      <w:tr w:rsidR="00444376" w:rsidRPr="00763304" w14:paraId="1EF9C265" w14:textId="77777777" w:rsidTr="00634AB8">
        <w:trPr>
          <w:cantSplit/>
        </w:trPr>
        <w:tc>
          <w:tcPr>
            <w:tcW w:w="2405" w:type="dxa"/>
            <w:vMerge/>
            <w:shd w:val="clear" w:color="auto" w:fill="auto"/>
          </w:tcPr>
          <w:p w14:paraId="1EF9C261" w14:textId="77777777" w:rsidR="00634AB8" w:rsidRPr="00763304" w:rsidRDefault="00634AB8" w:rsidP="009F0775">
            <w:pPr>
              <w:pStyle w:val="TableLeft"/>
            </w:pPr>
          </w:p>
        </w:tc>
        <w:tc>
          <w:tcPr>
            <w:tcW w:w="2835" w:type="dxa"/>
            <w:shd w:val="clear" w:color="auto" w:fill="auto"/>
          </w:tcPr>
          <w:p w14:paraId="1EF9C262" w14:textId="77777777" w:rsidR="00634AB8" w:rsidRPr="00763304" w:rsidRDefault="009D6010" w:rsidP="009F0775">
            <w:pPr>
              <w:pStyle w:val="TableLeft"/>
            </w:pPr>
            <w:r w:rsidRPr="00763304">
              <w:t>Fatigue</w:t>
            </w:r>
          </w:p>
        </w:tc>
        <w:tc>
          <w:tcPr>
            <w:tcW w:w="2268" w:type="dxa"/>
          </w:tcPr>
          <w:p w14:paraId="1EF9C263" w14:textId="77777777" w:rsidR="00634AB8" w:rsidRPr="00763304" w:rsidRDefault="009D6010" w:rsidP="00634AB8">
            <w:pPr>
              <w:pStyle w:val="TableLeft"/>
              <w:jc w:val="center"/>
            </w:pPr>
            <w:r w:rsidRPr="00763304">
              <w:t>Very common (53.1%)</w:t>
            </w:r>
          </w:p>
        </w:tc>
        <w:tc>
          <w:tcPr>
            <w:tcW w:w="2126" w:type="dxa"/>
            <w:shd w:val="clear" w:color="auto" w:fill="auto"/>
          </w:tcPr>
          <w:p w14:paraId="1EF9C264" w14:textId="77777777" w:rsidR="00634AB8" w:rsidRPr="00763304" w:rsidRDefault="009D6010" w:rsidP="00634AB8">
            <w:pPr>
              <w:pStyle w:val="TableLeft"/>
              <w:jc w:val="center"/>
            </w:pPr>
            <w:r w:rsidRPr="00763304">
              <w:t>Very common (38.2%)</w:t>
            </w:r>
          </w:p>
        </w:tc>
      </w:tr>
      <w:tr w:rsidR="00444376" w:rsidRPr="00763304" w14:paraId="1EF9C26A" w14:textId="77777777" w:rsidTr="00634AB8">
        <w:trPr>
          <w:cantSplit/>
        </w:trPr>
        <w:tc>
          <w:tcPr>
            <w:tcW w:w="2405" w:type="dxa"/>
            <w:vMerge/>
            <w:shd w:val="clear" w:color="auto" w:fill="auto"/>
          </w:tcPr>
          <w:p w14:paraId="1EF9C266" w14:textId="77777777" w:rsidR="00634AB8" w:rsidRPr="00763304" w:rsidRDefault="00634AB8" w:rsidP="009F0775">
            <w:pPr>
              <w:pStyle w:val="TableLeft"/>
            </w:pPr>
          </w:p>
        </w:tc>
        <w:tc>
          <w:tcPr>
            <w:tcW w:w="2835" w:type="dxa"/>
            <w:shd w:val="clear" w:color="auto" w:fill="auto"/>
          </w:tcPr>
          <w:p w14:paraId="1EF9C267" w14:textId="77777777" w:rsidR="00634AB8" w:rsidRPr="00763304" w:rsidRDefault="009D6010" w:rsidP="009F0775">
            <w:pPr>
              <w:pStyle w:val="TableLeft"/>
            </w:pPr>
            <w:r w:rsidRPr="00763304">
              <w:t>Malaise</w:t>
            </w:r>
          </w:p>
        </w:tc>
        <w:tc>
          <w:tcPr>
            <w:tcW w:w="2268" w:type="dxa"/>
          </w:tcPr>
          <w:p w14:paraId="1EF9C268" w14:textId="77777777" w:rsidR="00634AB8" w:rsidRPr="00763304" w:rsidRDefault="009D6010" w:rsidP="00634AB8">
            <w:pPr>
              <w:pStyle w:val="TableLeft"/>
              <w:jc w:val="center"/>
            </w:pPr>
            <w:r w:rsidRPr="00763304">
              <w:t>Very common (44.2%)</w:t>
            </w:r>
          </w:p>
        </w:tc>
        <w:tc>
          <w:tcPr>
            <w:tcW w:w="2126" w:type="dxa"/>
            <w:shd w:val="clear" w:color="auto" w:fill="auto"/>
          </w:tcPr>
          <w:p w14:paraId="1EF9C269" w14:textId="77777777" w:rsidR="00634AB8" w:rsidRPr="00763304" w:rsidRDefault="009D6010" w:rsidP="00634AB8">
            <w:pPr>
              <w:pStyle w:val="TableLeft"/>
              <w:jc w:val="center"/>
            </w:pPr>
            <w:r w:rsidRPr="00763304">
              <w:t>Very common (20.2%)</w:t>
            </w:r>
          </w:p>
        </w:tc>
      </w:tr>
      <w:tr w:rsidR="00444376" w:rsidRPr="00763304" w14:paraId="1EF9C26F" w14:textId="77777777" w:rsidTr="00634AB8">
        <w:trPr>
          <w:cantSplit/>
        </w:trPr>
        <w:tc>
          <w:tcPr>
            <w:tcW w:w="2405" w:type="dxa"/>
            <w:vMerge/>
            <w:shd w:val="clear" w:color="auto" w:fill="auto"/>
          </w:tcPr>
          <w:p w14:paraId="1EF9C26B" w14:textId="77777777" w:rsidR="00634AB8" w:rsidRPr="00763304" w:rsidRDefault="00634AB8" w:rsidP="009F0775">
            <w:pPr>
              <w:pStyle w:val="TableLeft"/>
            </w:pPr>
          </w:p>
        </w:tc>
        <w:tc>
          <w:tcPr>
            <w:tcW w:w="2835" w:type="dxa"/>
            <w:shd w:val="clear" w:color="auto" w:fill="auto"/>
          </w:tcPr>
          <w:p w14:paraId="1EF9C26C" w14:textId="77777777" w:rsidR="00634AB8" w:rsidRPr="00763304" w:rsidRDefault="009D6010" w:rsidP="009F0775">
            <w:pPr>
              <w:pStyle w:val="TableLeft"/>
            </w:pPr>
            <w:proofErr w:type="spellStart"/>
            <w:r w:rsidRPr="00763304">
              <w:t>Feverishness</w:t>
            </w:r>
            <w:r w:rsidRPr="00763304">
              <w:rPr>
                <w:vertAlign w:val="superscript"/>
              </w:rPr>
              <w:t>d</w:t>
            </w:r>
            <w:proofErr w:type="spellEnd"/>
            <w:r w:rsidRPr="00763304">
              <w:rPr>
                <w:vertAlign w:val="superscript"/>
              </w:rPr>
              <w:t xml:space="preserve"> </w:t>
            </w:r>
            <w:r w:rsidRPr="00763304">
              <w:t>(Pyrexia)</w:t>
            </w:r>
          </w:p>
        </w:tc>
        <w:tc>
          <w:tcPr>
            <w:tcW w:w="2268" w:type="dxa"/>
          </w:tcPr>
          <w:p w14:paraId="1EF9C26D" w14:textId="77777777" w:rsidR="00634AB8" w:rsidRPr="00763304" w:rsidRDefault="009D6010" w:rsidP="00634AB8">
            <w:pPr>
              <w:pStyle w:val="TableLeft"/>
              <w:jc w:val="center"/>
            </w:pPr>
            <w:r w:rsidRPr="00763304">
              <w:t>Very common (33.6%)</w:t>
            </w:r>
          </w:p>
        </w:tc>
        <w:tc>
          <w:tcPr>
            <w:tcW w:w="2126" w:type="dxa"/>
            <w:shd w:val="clear" w:color="auto" w:fill="auto"/>
          </w:tcPr>
          <w:p w14:paraId="1EF9C26E" w14:textId="77777777" w:rsidR="00634AB8" w:rsidRPr="00763304" w:rsidRDefault="009D6010" w:rsidP="00634AB8">
            <w:pPr>
              <w:pStyle w:val="TableLeft"/>
              <w:jc w:val="center"/>
            </w:pPr>
            <w:r w:rsidRPr="00763304">
              <w:t>Very common (10.7%)</w:t>
            </w:r>
          </w:p>
        </w:tc>
      </w:tr>
      <w:tr w:rsidR="00444376" w:rsidRPr="00763304" w14:paraId="1EF9C274" w14:textId="77777777" w:rsidTr="00634AB8">
        <w:trPr>
          <w:cantSplit/>
        </w:trPr>
        <w:tc>
          <w:tcPr>
            <w:tcW w:w="2405" w:type="dxa"/>
            <w:vMerge/>
            <w:shd w:val="clear" w:color="auto" w:fill="auto"/>
          </w:tcPr>
          <w:p w14:paraId="1EF9C270" w14:textId="77777777" w:rsidR="00634AB8" w:rsidRPr="00763304" w:rsidRDefault="00634AB8" w:rsidP="009F0775">
            <w:pPr>
              <w:pStyle w:val="TableLeft"/>
            </w:pPr>
          </w:p>
        </w:tc>
        <w:tc>
          <w:tcPr>
            <w:tcW w:w="2835" w:type="dxa"/>
            <w:shd w:val="clear" w:color="auto" w:fill="auto"/>
          </w:tcPr>
          <w:p w14:paraId="1EF9C271" w14:textId="77777777" w:rsidR="00634AB8" w:rsidRPr="00763304" w:rsidRDefault="009D6010" w:rsidP="009F0775">
            <w:pPr>
              <w:pStyle w:val="TableLeft"/>
            </w:pPr>
            <w:r w:rsidRPr="00763304">
              <w:t xml:space="preserve">Chills </w:t>
            </w:r>
          </w:p>
        </w:tc>
        <w:tc>
          <w:tcPr>
            <w:tcW w:w="2268" w:type="dxa"/>
          </w:tcPr>
          <w:p w14:paraId="1EF9C272" w14:textId="77777777" w:rsidR="00634AB8" w:rsidRPr="00763304" w:rsidRDefault="009D6010" w:rsidP="00634AB8">
            <w:pPr>
              <w:pStyle w:val="TableLeft"/>
              <w:jc w:val="center"/>
            </w:pPr>
            <w:r w:rsidRPr="00763304">
              <w:t>Very common (31.9%)</w:t>
            </w:r>
          </w:p>
        </w:tc>
        <w:tc>
          <w:tcPr>
            <w:tcW w:w="2126" w:type="dxa"/>
            <w:shd w:val="clear" w:color="auto" w:fill="auto"/>
          </w:tcPr>
          <w:p w14:paraId="1EF9C273" w14:textId="77777777" w:rsidR="00634AB8" w:rsidRPr="00763304" w:rsidRDefault="009D6010" w:rsidP="00634AB8">
            <w:pPr>
              <w:pStyle w:val="TableLeft"/>
              <w:jc w:val="center"/>
            </w:pPr>
            <w:r w:rsidRPr="00763304">
              <w:t>Common (8.3%)</w:t>
            </w:r>
          </w:p>
        </w:tc>
      </w:tr>
      <w:tr w:rsidR="00444376" w:rsidRPr="00763304" w14:paraId="1EF9C279" w14:textId="77777777" w:rsidTr="00634AB8">
        <w:trPr>
          <w:cantSplit/>
        </w:trPr>
        <w:tc>
          <w:tcPr>
            <w:tcW w:w="2405" w:type="dxa"/>
            <w:vMerge/>
            <w:shd w:val="clear" w:color="auto" w:fill="auto"/>
          </w:tcPr>
          <w:p w14:paraId="1EF9C275" w14:textId="77777777" w:rsidR="00634AB8" w:rsidRPr="00763304" w:rsidRDefault="00634AB8" w:rsidP="009F0775">
            <w:pPr>
              <w:pStyle w:val="TableLeft"/>
            </w:pPr>
          </w:p>
        </w:tc>
        <w:tc>
          <w:tcPr>
            <w:tcW w:w="2835" w:type="dxa"/>
            <w:shd w:val="clear" w:color="auto" w:fill="auto"/>
          </w:tcPr>
          <w:p w14:paraId="1EF9C276" w14:textId="77777777" w:rsidR="00634AB8" w:rsidRPr="00763304" w:rsidRDefault="009D6010" w:rsidP="009F0775">
            <w:pPr>
              <w:pStyle w:val="TableLeft"/>
            </w:pPr>
            <w:proofErr w:type="spellStart"/>
            <w:r w:rsidRPr="00763304">
              <w:t>Fever</w:t>
            </w:r>
            <w:r w:rsidRPr="00763304">
              <w:rPr>
                <w:vertAlign w:val="superscript"/>
              </w:rPr>
              <w:t>d</w:t>
            </w:r>
            <w:proofErr w:type="spellEnd"/>
            <w:r w:rsidRPr="00763304">
              <w:t xml:space="preserve"> (Pyrexia)</w:t>
            </w:r>
          </w:p>
        </w:tc>
        <w:tc>
          <w:tcPr>
            <w:tcW w:w="2268" w:type="dxa"/>
          </w:tcPr>
          <w:p w14:paraId="1EF9C277" w14:textId="77777777" w:rsidR="00634AB8" w:rsidRPr="00763304" w:rsidRDefault="009D6010" w:rsidP="00634AB8">
            <w:pPr>
              <w:pStyle w:val="TableLeft"/>
              <w:jc w:val="center"/>
            </w:pPr>
            <w:r w:rsidRPr="00763304">
              <w:t>Common (7.9%)</w:t>
            </w:r>
          </w:p>
        </w:tc>
        <w:tc>
          <w:tcPr>
            <w:tcW w:w="2126" w:type="dxa"/>
            <w:shd w:val="clear" w:color="auto" w:fill="auto"/>
          </w:tcPr>
          <w:p w14:paraId="1EF9C278" w14:textId="77777777" w:rsidR="00634AB8" w:rsidRPr="00763304" w:rsidRDefault="009D6010" w:rsidP="00634AB8">
            <w:pPr>
              <w:pStyle w:val="TableLeft"/>
              <w:jc w:val="center"/>
            </w:pPr>
            <w:r w:rsidRPr="00763304">
              <w:t>Common (1.2%)</w:t>
            </w:r>
          </w:p>
        </w:tc>
      </w:tr>
    </w:tbl>
    <w:p w14:paraId="1EF9C27A" w14:textId="77777777" w:rsidR="009F0775" w:rsidRPr="00763304" w:rsidRDefault="009D6010" w:rsidP="00FC453A">
      <w:pPr>
        <w:pStyle w:val="TableFootnoteLetter"/>
        <w:numPr>
          <w:ilvl w:val="0"/>
          <w:numId w:val="17"/>
        </w:numPr>
      </w:pPr>
      <w:r w:rsidRPr="00763304">
        <w:t>Frequencies of ADRs are reported from the safety analysis set where participants received the recommended dose (5×10</w:t>
      </w:r>
      <w:r w:rsidRPr="00EA452C">
        <w:rPr>
          <w:vertAlign w:val="superscript"/>
        </w:rPr>
        <w:t>10</w:t>
      </w:r>
      <w:r w:rsidRPr="00763304">
        <w:t xml:space="preserve"> vp) as their first dose.</w:t>
      </w:r>
    </w:p>
    <w:p w14:paraId="1EF9C27B" w14:textId="77777777" w:rsidR="009F0775" w:rsidRPr="00763304" w:rsidRDefault="009D6010" w:rsidP="009F0775">
      <w:pPr>
        <w:pStyle w:val="TableFootnoteLetter"/>
      </w:pPr>
      <w:r w:rsidRPr="00763304">
        <w:t>Solicited event reporting terms, where applicable MedDRA preferred terms are given in parentheses</w:t>
      </w:r>
    </w:p>
    <w:p w14:paraId="1EF9C27C" w14:textId="77777777" w:rsidR="009F0775" w:rsidRPr="00763304" w:rsidRDefault="009D6010" w:rsidP="009F0775">
      <w:pPr>
        <w:pStyle w:val="TableFootnoteLetter"/>
      </w:pPr>
      <w:r w:rsidRPr="00763304">
        <w:t>Control was either meningococcal vaccine or saline solution</w:t>
      </w:r>
    </w:p>
    <w:p w14:paraId="1EF9C27E" w14:textId="2D3D5461" w:rsidR="00125782" w:rsidRDefault="009D6010" w:rsidP="00570E74">
      <w:pPr>
        <w:pStyle w:val="TableFootnoteLetter"/>
        <w:spacing w:after="200"/>
      </w:pPr>
      <w:r w:rsidRPr="00763304">
        <w:t>Defined as: Feverishness, (subjective) a self-reported feeling of having a fever; Fever, (objective) ≥38°C</w:t>
      </w:r>
    </w:p>
    <w:p w14:paraId="16155494" w14:textId="77777777" w:rsidR="00B82D81" w:rsidRDefault="00B82D81" w:rsidP="009E10B4">
      <w:pPr>
        <w:pStyle w:val="Paragraph"/>
      </w:pPr>
    </w:p>
    <w:p w14:paraId="459BCD89" w14:textId="3464B234" w:rsidR="00A854E8" w:rsidRDefault="56777249" w:rsidP="009E10B4">
      <w:pPr>
        <w:pStyle w:val="Paragraph"/>
      </w:pPr>
      <w:r>
        <w:t>The following table provides new ADR reported from the primary analysis of the pooled data from the four clinical trials (</w:t>
      </w:r>
      <w:r w:rsidR="007D2548" w:rsidRPr="00763304">
        <w:t xml:space="preserve">data lock: </w:t>
      </w:r>
      <w:r w:rsidR="007D2548">
        <w:t>7</w:t>
      </w:r>
      <w:r w:rsidR="007D2548" w:rsidRPr="00763304">
        <w:t> </w:t>
      </w:r>
      <w:r w:rsidR="007D2548">
        <w:t>December</w:t>
      </w:r>
      <w:r w:rsidR="007D2548" w:rsidRPr="00763304">
        <w:t xml:space="preserve"> 2020</w:t>
      </w:r>
      <w:r w:rsidR="007D2548">
        <w:t xml:space="preserve">; </w:t>
      </w:r>
      <w:r>
        <w:t>medium duration of follow-up of 4.5 months).</w:t>
      </w:r>
    </w:p>
    <w:p w14:paraId="1B801D1E" w14:textId="79415AED" w:rsidR="00364AA4" w:rsidRPr="003A2B40" w:rsidRDefault="00364AA4" w:rsidP="00364AA4">
      <w:pPr>
        <w:pStyle w:val="TableTitle"/>
      </w:pPr>
      <w:r w:rsidRPr="003A2B40">
        <w:t>Table </w:t>
      </w:r>
      <w:r w:rsidRPr="003A2B40">
        <w:fldChar w:fldCharType="begin"/>
      </w:r>
      <w:r w:rsidRPr="003A2B40">
        <w:instrText xml:space="preserve"> SEQ Table \* ARABIC </w:instrText>
      </w:r>
      <w:r w:rsidRPr="003A2B40">
        <w:fldChar w:fldCharType="separate"/>
      </w:r>
      <w:r w:rsidR="00D222AF">
        <w:rPr>
          <w:noProof/>
        </w:rPr>
        <w:t>2</w:t>
      </w:r>
      <w:r w:rsidRPr="003A2B40">
        <w:fldChar w:fldCharType="end"/>
      </w:r>
      <w:r w:rsidRPr="003A2B40">
        <w:tab/>
      </w:r>
      <w:r w:rsidR="00D43F0C" w:rsidRPr="003A2B40">
        <w:t xml:space="preserve">New </w:t>
      </w:r>
      <w:r w:rsidRPr="003A2B40">
        <w:t xml:space="preserve">Adverse Drug Reactions (ADR) </w:t>
      </w:r>
      <w:r w:rsidR="00D43F0C" w:rsidRPr="003A2B40">
        <w:t>from the primary a</w:t>
      </w:r>
      <w:r w:rsidRPr="003A2B40">
        <w:t>nalysis – pooled data set (safety analysis set</w:t>
      </w:r>
      <w:r w:rsidRPr="003A2B40">
        <w:rPr>
          <w:vertAlign w:val="superscript"/>
        </w:rPr>
        <w:t>a</w:t>
      </w:r>
      <w:r w:rsidRPr="003A2B40">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539"/>
        <w:gridCol w:w="2410"/>
        <w:gridCol w:w="2126"/>
        <w:gridCol w:w="1559"/>
      </w:tblGrid>
      <w:tr w:rsidR="00364AA4" w:rsidRPr="003A2B40" w14:paraId="1A116386" w14:textId="77777777" w:rsidTr="00C3192B">
        <w:trPr>
          <w:cantSplit/>
          <w:tblHeader/>
        </w:trPr>
        <w:tc>
          <w:tcPr>
            <w:tcW w:w="3539" w:type="dxa"/>
            <w:shd w:val="clear" w:color="auto" w:fill="auto"/>
          </w:tcPr>
          <w:p w14:paraId="1CE9CD49" w14:textId="77777777" w:rsidR="00364AA4" w:rsidRPr="003A2B40" w:rsidRDefault="00364AA4" w:rsidP="00364AA4">
            <w:pPr>
              <w:pStyle w:val="TableHead"/>
              <w:jc w:val="left"/>
            </w:pPr>
            <w:r w:rsidRPr="003A2B40">
              <w:t>MedDRA SOC</w:t>
            </w:r>
          </w:p>
        </w:tc>
        <w:tc>
          <w:tcPr>
            <w:tcW w:w="2410" w:type="dxa"/>
            <w:shd w:val="clear" w:color="auto" w:fill="auto"/>
          </w:tcPr>
          <w:p w14:paraId="507524A3" w14:textId="77777777" w:rsidR="00364AA4" w:rsidRPr="003A2B40" w:rsidRDefault="00364AA4" w:rsidP="00364AA4">
            <w:pPr>
              <w:pStyle w:val="TableHead"/>
              <w:jc w:val="left"/>
            </w:pPr>
            <w:r w:rsidRPr="003A2B40">
              <w:t xml:space="preserve">Adverse </w:t>
            </w:r>
            <w:proofErr w:type="spellStart"/>
            <w:r w:rsidRPr="003A2B40">
              <w:t>reaction</w:t>
            </w:r>
            <w:r w:rsidRPr="003A2B40">
              <w:rPr>
                <w:vertAlign w:val="superscript"/>
              </w:rPr>
              <w:t>b</w:t>
            </w:r>
            <w:proofErr w:type="spellEnd"/>
          </w:p>
        </w:tc>
        <w:tc>
          <w:tcPr>
            <w:tcW w:w="2126" w:type="dxa"/>
            <w:vAlign w:val="center"/>
          </w:tcPr>
          <w:p w14:paraId="390B671E" w14:textId="64BB4E14" w:rsidR="00364AA4" w:rsidRPr="003A2B40" w:rsidRDefault="00E56F2B" w:rsidP="00C3192B">
            <w:pPr>
              <w:pStyle w:val="TableHead"/>
            </w:pPr>
            <w:r>
              <w:t>VAXZEVRIA</w:t>
            </w:r>
          </w:p>
        </w:tc>
        <w:tc>
          <w:tcPr>
            <w:tcW w:w="1559" w:type="dxa"/>
            <w:shd w:val="clear" w:color="auto" w:fill="auto"/>
            <w:vAlign w:val="center"/>
          </w:tcPr>
          <w:p w14:paraId="11B2F944" w14:textId="15B43126" w:rsidR="00364AA4" w:rsidRPr="003A2B40" w:rsidRDefault="00364AA4" w:rsidP="00C3192B">
            <w:pPr>
              <w:pStyle w:val="TableHead"/>
            </w:pPr>
            <w:r w:rsidRPr="003A2B40">
              <w:t>Control</w:t>
            </w:r>
            <w:r w:rsidR="00FE3958">
              <w:t xml:space="preserve"> </w:t>
            </w:r>
            <w:r w:rsidR="00FE3958" w:rsidRPr="00FE3958">
              <w:rPr>
                <w:vertAlign w:val="superscript"/>
              </w:rPr>
              <w:t>c</w:t>
            </w:r>
          </w:p>
        </w:tc>
      </w:tr>
      <w:tr w:rsidR="00D43F0C" w:rsidRPr="003A2B40" w14:paraId="73E884E7" w14:textId="77777777" w:rsidTr="00C3192B">
        <w:trPr>
          <w:cantSplit/>
        </w:trPr>
        <w:tc>
          <w:tcPr>
            <w:tcW w:w="3539" w:type="dxa"/>
            <w:shd w:val="clear" w:color="auto" w:fill="auto"/>
          </w:tcPr>
          <w:p w14:paraId="3332FA4F" w14:textId="5B205A4D" w:rsidR="00D43F0C" w:rsidRPr="003A2B40" w:rsidRDefault="00D43F0C" w:rsidP="00EA452C">
            <w:pPr>
              <w:pStyle w:val="TableLeft"/>
            </w:pPr>
            <w:r w:rsidRPr="003A2B40">
              <w:t>Blood and lymphatic system disorders</w:t>
            </w:r>
          </w:p>
        </w:tc>
        <w:tc>
          <w:tcPr>
            <w:tcW w:w="2410" w:type="dxa"/>
            <w:shd w:val="clear" w:color="auto" w:fill="auto"/>
          </w:tcPr>
          <w:p w14:paraId="45B97B58" w14:textId="23760AB5" w:rsidR="00D43F0C" w:rsidRPr="003A2B40" w:rsidRDefault="00D43F0C" w:rsidP="00EA452C">
            <w:pPr>
              <w:pStyle w:val="TableLeft"/>
            </w:pPr>
            <w:proofErr w:type="spellStart"/>
            <w:r w:rsidRPr="003A2B40">
              <w:t>Lymphadenopathy</w:t>
            </w:r>
            <w:r w:rsidRPr="003A2B40">
              <w:rPr>
                <w:vertAlign w:val="superscript"/>
              </w:rPr>
              <w:t>d</w:t>
            </w:r>
            <w:proofErr w:type="spellEnd"/>
          </w:p>
        </w:tc>
        <w:tc>
          <w:tcPr>
            <w:tcW w:w="2126" w:type="dxa"/>
          </w:tcPr>
          <w:p w14:paraId="77BDC638" w14:textId="057200C9" w:rsidR="00D43F0C" w:rsidRPr="003A2B40" w:rsidRDefault="00D43F0C" w:rsidP="00C3192B">
            <w:pPr>
              <w:pStyle w:val="TableLeft"/>
              <w:jc w:val="center"/>
            </w:pPr>
            <w:r w:rsidRPr="003A2B40">
              <w:t>Uncommon</w:t>
            </w:r>
          </w:p>
        </w:tc>
        <w:tc>
          <w:tcPr>
            <w:tcW w:w="1559" w:type="dxa"/>
            <w:shd w:val="clear" w:color="auto" w:fill="auto"/>
          </w:tcPr>
          <w:p w14:paraId="466A37B9" w14:textId="2F590718" w:rsidR="00D43F0C" w:rsidRPr="003A2B40" w:rsidRDefault="00D43F0C" w:rsidP="00C3192B">
            <w:pPr>
              <w:pStyle w:val="TableLeft"/>
              <w:jc w:val="center"/>
            </w:pPr>
            <w:r w:rsidRPr="003A2B40">
              <w:t>Uncommon</w:t>
            </w:r>
          </w:p>
        </w:tc>
      </w:tr>
      <w:tr w:rsidR="00EA452C" w:rsidRPr="003A2B40" w14:paraId="0F531D6D" w14:textId="77777777" w:rsidTr="00C3192B">
        <w:trPr>
          <w:cantSplit/>
        </w:trPr>
        <w:tc>
          <w:tcPr>
            <w:tcW w:w="3539" w:type="dxa"/>
            <w:vMerge w:val="restart"/>
            <w:shd w:val="clear" w:color="auto" w:fill="auto"/>
          </w:tcPr>
          <w:p w14:paraId="2823B98A" w14:textId="77777777" w:rsidR="00EA452C" w:rsidRPr="003A2B40" w:rsidRDefault="00EA452C" w:rsidP="00EA452C">
            <w:pPr>
              <w:pStyle w:val="TableLeft"/>
            </w:pPr>
            <w:r w:rsidRPr="003A2B40">
              <w:t>Nervous system disorders</w:t>
            </w:r>
          </w:p>
        </w:tc>
        <w:tc>
          <w:tcPr>
            <w:tcW w:w="2410" w:type="dxa"/>
            <w:shd w:val="clear" w:color="auto" w:fill="auto"/>
          </w:tcPr>
          <w:p w14:paraId="7D919CE6" w14:textId="5AEADD1E" w:rsidR="00EA452C" w:rsidRPr="003A2B40" w:rsidRDefault="00EA452C" w:rsidP="00EA452C">
            <w:pPr>
              <w:pStyle w:val="TableLeft"/>
            </w:pPr>
            <w:proofErr w:type="spellStart"/>
            <w:r w:rsidRPr="003A2B40">
              <w:t>Dizziness</w:t>
            </w:r>
            <w:r w:rsidRPr="003A2B40">
              <w:rPr>
                <w:vertAlign w:val="superscript"/>
              </w:rPr>
              <w:t>d</w:t>
            </w:r>
            <w:proofErr w:type="spellEnd"/>
          </w:p>
        </w:tc>
        <w:tc>
          <w:tcPr>
            <w:tcW w:w="2126" w:type="dxa"/>
          </w:tcPr>
          <w:p w14:paraId="563D257B" w14:textId="430BFE73" w:rsidR="00EA452C" w:rsidRPr="003A2B40" w:rsidRDefault="00EA452C" w:rsidP="00C3192B">
            <w:pPr>
              <w:pStyle w:val="TableLeft"/>
              <w:jc w:val="center"/>
            </w:pPr>
            <w:r w:rsidRPr="003A2B40">
              <w:t>Uncommon</w:t>
            </w:r>
          </w:p>
        </w:tc>
        <w:tc>
          <w:tcPr>
            <w:tcW w:w="1559" w:type="dxa"/>
            <w:shd w:val="clear" w:color="auto" w:fill="auto"/>
          </w:tcPr>
          <w:p w14:paraId="02D3B854" w14:textId="0194C310" w:rsidR="00EA452C" w:rsidRPr="003A2B40" w:rsidRDefault="00EA452C" w:rsidP="00C3192B">
            <w:pPr>
              <w:pStyle w:val="TableLeft"/>
              <w:jc w:val="center"/>
            </w:pPr>
            <w:r w:rsidRPr="003A2B40">
              <w:t>Uncommon</w:t>
            </w:r>
          </w:p>
        </w:tc>
      </w:tr>
      <w:tr w:rsidR="00EA452C" w:rsidRPr="003A2B40" w14:paraId="5AFF55F9" w14:textId="77777777" w:rsidTr="00C3192B">
        <w:trPr>
          <w:cantSplit/>
        </w:trPr>
        <w:tc>
          <w:tcPr>
            <w:tcW w:w="3539" w:type="dxa"/>
            <w:vMerge/>
            <w:shd w:val="clear" w:color="auto" w:fill="auto"/>
          </w:tcPr>
          <w:p w14:paraId="5860E3AB" w14:textId="77777777" w:rsidR="00EA452C" w:rsidRPr="003A2B40" w:rsidRDefault="00EA452C" w:rsidP="00EA452C">
            <w:pPr>
              <w:pStyle w:val="TableLeft"/>
            </w:pPr>
          </w:p>
        </w:tc>
        <w:tc>
          <w:tcPr>
            <w:tcW w:w="2410" w:type="dxa"/>
            <w:shd w:val="clear" w:color="auto" w:fill="auto"/>
          </w:tcPr>
          <w:p w14:paraId="180AF8E8" w14:textId="237E7D3C" w:rsidR="00EA452C" w:rsidRPr="003A2B40" w:rsidRDefault="00EA452C" w:rsidP="00EA452C">
            <w:pPr>
              <w:pStyle w:val="TableLeft"/>
            </w:pPr>
            <w:proofErr w:type="spellStart"/>
            <w:r w:rsidRPr="003A2B40">
              <w:t>Somnolence</w:t>
            </w:r>
            <w:r w:rsidRPr="003A2B40">
              <w:rPr>
                <w:vertAlign w:val="superscript"/>
              </w:rPr>
              <w:t>d</w:t>
            </w:r>
            <w:proofErr w:type="spellEnd"/>
          </w:p>
        </w:tc>
        <w:tc>
          <w:tcPr>
            <w:tcW w:w="2126" w:type="dxa"/>
          </w:tcPr>
          <w:p w14:paraId="77FB9154" w14:textId="6DCD11C6" w:rsidR="00EA452C" w:rsidRPr="003A2B40" w:rsidRDefault="00EA452C" w:rsidP="00C3192B">
            <w:pPr>
              <w:pStyle w:val="TableLeft"/>
              <w:jc w:val="center"/>
            </w:pPr>
            <w:r w:rsidRPr="003A2B40">
              <w:t>Uncommon</w:t>
            </w:r>
          </w:p>
        </w:tc>
        <w:tc>
          <w:tcPr>
            <w:tcW w:w="1559" w:type="dxa"/>
            <w:shd w:val="clear" w:color="auto" w:fill="auto"/>
          </w:tcPr>
          <w:p w14:paraId="09033470" w14:textId="3E2D601D" w:rsidR="00EA452C" w:rsidRPr="003A2B40" w:rsidRDefault="00EA452C" w:rsidP="00C3192B">
            <w:pPr>
              <w:pStyle w:val="TableLeft"/>
              <w:jc w:val="center"/>
            </w:pPr>
            <w:r w:rsidRPr="003A2B40">
              <w:t>Uncommon</w:t>
            </w:r>
          </w:p>
        </w:tc>
      </w:tr>
      <w:tr w:rsidR="00EA452C" w:rsidRPr="003A2B40" w14:paraId="6A85AA67" w14:textId="77777777" w:rsidTr="00C3192B">
        <w:trPr>
          <w:cantSplit/>
        </w:trPr>
        <w:tc>
          <w:tcPr>
            <w:tcW w:w="3539" w:type="dxa"/>
            <w:vMerge w:val="restart"/>
            <w:shd w:val="clear" w:color="auto" w:fill="auto"/>
          </w:tcPr>
          <w:p w14:paraId="029C86D7" w14:textId="77777777" w:rsidR="00EA452C" w:rsidRPr="003A2B40" w:rsidRDefault="00EA452C" w:rsidP="00EA452C">
            <w:pPr>
              <w:pStyle w:val="TableLeft"/>
            </w:pPr>
            <w:r w:rsidRPr="003A2B40">
              <w:t>Gastrointestinal disorders</w:t>
            </w:r>
          </w:p>
        </w:tc>
        <w:tc>
          <w:tcPr>
            <w:tcW w:w="2410" w:type="dxa"/>
            <w:shd w:val="clear" w:color="auto" w:fill="auto"/>
          </w:tcPr>
          <w:p w14:paraId="49ED9EFA" w14:textId="50CAD578" w:rsidR="00EA452C" w:rsidRPr="003A2B40" w:rsidRDefault="00EA452C" w:rsidP="00EA452C">
            <w:pPr>
              <w:pStyle w:val="TableLeft"/>
            </w:pPr>
            <w:r w:rsidRPr="003A2B40">
              <w:t>Vomiting</w:t>
            </w:r>
          </w:p>
        </w:tc>
        <w:tc>
          <w:tcPr>
            <w:tcW w:w="2126" w:type="dxa"/>
          </w:tcPr>
          <w:p w14:paraId="3BF8B17E" w14:textId="15D58B47" w:rsidR="00EA452C" w:rsidRPr="003A2B40" w:rsidRDefault="00EA452C" w:rsidP="00C3192B">
            <w:pPr>
              <w:pStyle w:val="TableLeft"/>
              <w:jc w:val="center"/>
            </w:pPr>
            <w:r w:rsidRPr="003A2B40">
              <w:t>Common</w:t>
            </w:r>
          </w:p>
        </w:tc>
        <w:tc>
          <w:tcPr>
            <w:tcW w:w="1559" w:type="dxa"/>
            <w:shd w:val="clear" w:color="auto" w:fill="auto"/>
          </w:tcPr>
          <w:p w14:paraId="4EBE02FE" w14:textId="6F2FBF94" w:rsidR="00EA452C" w:rsidRPr="003A2B40" w:rsidRDefault="00EA452C" w:rsidP="00C3192B">
            <w:pPr>
              <w:pStyle w:val="TableLeft"/>
              <w:jc w:val="center"/>
            </w:pPr>
            <w:r w:rsidRPr="003A2B40">
              <w:t>Uncommon</w:t>
            </w:r>
          </w:p>
        </w:tc>
      </w:tr>
      <w:tr w:rsidR="00EA452C" w:rsidRPr="003A2B40" w14:paraId="5E4CF80C" w14:textId="77777777" w:rsidTr="00C3192B">
        <w:trPr>
          <w:cantSplit/>
        </w:trPr>
        <w:tc>
          <w:tcPr>
            <w:tcW w:w="3539" w:type="dxa"/>
            <w:vMerge/>
            <w:shd w:val="clear" w:color="auto" w:fill="auto"/>
          </w:tcPr>
          <w:p w14:paraId="28AB09E0" w14:textId="77777777" w:rsidR="00EA452C" w:rsidRPr="003A2B40" w:rsidRDefault="00EA452C" w:rsidP="00EA452C">
            <w:pPr>
              <w:pStyle w:val="TableLeft"/>
            </w:pPr>
          </w:p>
        </w:tc>
        <w:tc>
          <w:tcPr>
            <w:tcW w:w="2410" w:type="dxa"/>
            <w:shd w:val="clear" w:color="auto" w:fill="auto"/>
          </w:tcPr>
          <w:p w14:paraId="44A699CF" w14:textId="02A3D8FE" w:rsidR="00EA452C" w:rsidRPr="003A2B40" w:rsidRDefault="00EA452C" w:rsidP="00EA452C">
            <w:pPr>
              <w:pStyle w:val="TableLeft"/>
            </w:pPr>
            <w:proofErr w:type="spellStart"/>
            <w:r w:rsidRPr="003A2B40">
              <w:t>Diarrhoea</w:t>
            </w:r>
            <w:r w:rsidRPr="003A2B40">
              <w:rPr>
                <w:vertAlign w:val="superscript"/>
              </w:rPr>
              <w:t>d</w:t>
            </w:r>
            <w:proofErr w:type="spellEnd"/>
          </w:p>
        </w:tc>
        <w:tc>
          <w:tcPr>
            <w:tcW w:w="2126" w:type="dxa"/>
          </w:tcPr>
          <w:p w14:paraId="46678652" w14:textId="6AADE7C5" w:rsidR="00EA452C" w:rsidRPr="003A2B40" w:rsidRDefault="00EA452C" w:rsidP="00C3192B">
            <w:pPr>
              <w:pStyle w:val="TableLeft"/>
              <w:jc w:val="center"/>
            </w:pPr>
            <w:r w:rsidRPr="003A2B40">
              <w:t>Common</w:t>
            </w:r>
          </w:p>
        </w:tc>
        <w:tc>
          <w:tcPr>
            <w:tcW w:w="1559" w:type="dxa"/>
            <w:shd w:val="clear" w:color="auto" w:fill="auto"/>
          </w:tcPr>
          <w:p w14:paraId="0C98D5C1" w14:textId="3C4CD5AB" w:rsidR="00EA452C" w:rsidRPr="003A2B40" w:rsidRDefault="00EA452C" w:rsidP="00C3192B">
            <w:pPr>
              <w:pStyle w:val="TableLeft"/>
              <w:jc w:val="center"/>
            </w:pPr>
            <w:r w:rsidRPr="003A2B40">
              <w:t>Common</w:t>
            </w:r>
          </w:p>
        </w:tc>
      </w:tr>
      <w:tr w:rsidR="00EA452C" w:rsidRPr="003A2B40" w14:paraId="7349DED4" w14:textId="77777777" w:rsidTr="00C3192B">
        <w:trPr>
          <w:cantSplit/>
        </w:trPr>
        <w:tc>
          <w:tcPr>
            <w:tcW w:w="3539" w:type="dxa"/>
            <w:vMerge/>
            <w:shd w:val="clear" w:color="auto" w:fill="auto"/>
          </w:tcPr>
          <w:p w14:paraId="1124CC9C" w14:textId="77777777" w:rsidR="00EA452C" w:rsidRPr="003A2B40" w:rsidRDefault="00EA452C" w:rsidP="00EA452C">
            <w:pPr>
              <w:pStyle w:val="TableLeft"/>
            </w:pPr>
          </w:p>
        </w:tc>
        <w:tc>
          <w:tcPr>
            <w:tcW w:w="2410" w:type="dxa"/>
            <w:shd w:val="clear" w:color="auto" w:fill="auto"/>
          </w:tcPr>
          <w:p w14:paraId="4BCA42CE" w14:textId="6DA3CC6D" w:rsidR="00EA452C" w:rsidRPr="003A2B40" w:rsidRDefault="00EA452C" w:rsidP="00EA452C">
            <w:pPr>
              <w:pStyle w:val="TableLeft"/>
            </w:pPr>
            <w:r w:rsidRPr="003A2B40">
              <w:t xml:space="preserve">Abdominal </w:t>
            </w:r>
            <w:proofErr w:type="spellStart"/>
            <w:r w:rsidRPr="003A2B40">
              <w:t>pain</w:t>
            </w:r>
            <w:r w:rsidRPr="003A2B40">
              <w:rPr>
                <w:vertAlign w:val="superscript"/>
              </w:rPr>
              <w:t>d</w:t>
            </w:r>
            <w:proofErr w:type="spellEnd"/>
          </w:p>
        </w:tc>
        <w:tc>
          <w:tcPr>
            <w:tcW w:w="2126" w:type="dxa"/>
          </w:tcPr>
          <w:p w14:paraId="2971B347" w14:textId="478FD153" w:rsidR="00EA452C" w:rsidRPr="003A2B40" w:rsidRDefault="00EA452C" w:rsidP="00C3192B">
            <w:pPr>
              <w:pStyle w:val="TableLeft"/>
              <w:jc w:val="center"/>
            </w:pPr>
            <w:r w:rsidRPr="003A2B40">
              <w:t>Uncommon</w:t>
            </w:r>
          </w:p>
        </w:tc>
        <w:tc>
          <w:tcPr>
            <w:tcW w:w="1559" w:type="dxa"/>
            <w:shd w:val="clear" w:color="auto" w:fill="auto"/>
          </w:tcPr>
          <w:p w14:paraId="09F7677D" w14:textId="2CA16AED" w:rsidR="00EA452C" w:rsidRPr="003A2B40" w:rsidRDefault="00EA452C" w:rsidP="00C3192B">
            <w:pPr>
              <w:pStyle w:val="TableLeft"/>
              <w:jc w:val="center"/>
            </w:pPr>
            <w:r w:rsidRPr="003A2B40">
              <w:t>Uncommon</w:t>
            </w:r>
          </w:p>
        </w:tc>
      </w:tr>
      <w:tr w:rsidR="00EA452C" w:rsidRPr="003A2B40" w14:paraId="4B10D6DE" w14:textId="77777777" w:rsidTr="00C3192B">
        <w:trPr>
          <w:cantSplit/>
        </w:trPr>
        <w:tc>
          <w:tcPr>
            <w:tcW w:w="3539" w:type="dxa"/>
            <w:vMerge w:val="restart"/>
            <w:shd w:val="clear" w:color="auto" w:fill="auto"/>
          </w:tcPr>
          <w:p w14:paraId="02350806" w14:textId="34346D9E" w:rsidR="00EA452C" w:rsidRPr="003A2B40" w:rsidRDefault="00EA452C" w:rsidP="00EA452C">
            <w:pPr>
              <w:pStyle w:val="TableLeft"/>
            </w:pPr>
            <w:r w:rsidRPr="003A2B40">
              <w:t>Skin and subcutaneous tissue disorders</w:t>
            </w:r>
          </w:p>
        </w:tc>
        <w:tc>
          <w:tcPr>
            <w:tcW w:w="2410" w:type="dxa"/>
            <w:shd w:val="clear" w:color="auto" w:fill="auto"/>
          </w:tcPr>
          <w:p w14:paraId="478173DE" w14:textId="5A5E28DA" w:rsidR="00EA452C" w:rsidRPr="003A2B40" w:rsidRDefault="00EA452C" w:rsidP="00EA452C">
            <w:pPr>
              <w:pStyle w:val="TableLeft"/>
            </w:pPr>
            <w:proofErr w:type="spellStart"/>
            <w:r w:rsidRPr="003A2B40">
              <w:t>Hyperhidrosis</w:t>
            </w:r>
            <w:r w:rsidRPr="003A2B40">
              <w:rPr>
                <w:vertAlign w:val="superscript"/>
              </w:rPr>
              <w:t>d</w:t>
            </w:r>
            <w:proofErr w:type="spellEnd"/>
          </w:p>
        </w:tc>
        <w:tc>
          <w:tcPr>
            <w:tcW w:w="2126" w:type="dxa"/>
          </w:tcPr>
          <w:p w14:paraId="4C46F380" w14:textId="028CE7A3" w:rsidR="00EA452C" w:rsidRPr="003A2B40" w:rsidRDefault="00EA452C" w:rsidP="00C3192B">
            <w:pPr>
              <w:pStyle w:val="TableLeft"/>
              <w:jc w:val="center"/>
            </w:pPr>
            <w:r w:rsidRPr="003A2B40">
              <w:t>Uncommon</w:t>
            </w:r>
          </w:p>
        </w:tc>
        <w:tc>
          <w:tcPr>
            <w:tcW w:w="1559" w:type="dxa"/>
            <w:shd w:val="clear" w:color="auto" w:fill="auto"/>
          </w:tcPr>
          <w:p w14:paraId="58F85CE6" w14:textId="735E4513" w:rsidR="00EA452C" w:rsidRPr="003A2B40" w:rsidRDefault="00EA452C" w:rsidP="00C3192B">
            <w:pPr>
              <w:pStyle w:val="TableLeft"/>
              <w:jc w:val="center"/>
            </w:pPr>
            <w:r w:rsidRPr="003A2B40">
              <w:t>Uncommon</w:t>
            </w:r>
          </w:p>
        </w:tc>
      </w:tr>
      <w:tr w:rsidR="00EA452C" w:rsidRPr="003A2B40" w14:paraId="33469227" w14:textId="77777777" w:rsidTr="00C3192B">
        <w:trPr>
          <w:cantSplit/>
        </w:trPr>
        <w:tc>
          <w:tcPr>
            <w:tcW w:w="3539" w:type="dxa"/>
            <w:vMerge/>
            <w:shd w:val="clear" w:color="auto" w:fill="auto"/>
          </w:tcPr>
          <w:p w14:paraId="27B8D452" w14:textId="77777777" w:rsidR="00EA452C" w:rsidRPr="003A2B40" w:rsidRDefault="00EA452C" w:rsidP="00EA452C">
            <w:pPr>
              <w:pStyle w:val="TableLeft"/>
            </w:pPr>
          </w:p>
        </w:tc>
        <w:tc>
          <w:tcPr>
            <w:tcW w:w="2410" w:type="dxa"/>
            <w:shd w:val="clear" w:color="auto" w:fill="auto"/>
          </w:tcPr>
          <w:p w14:paraId="78B61904" w14:textId="0CC28C1D" w:rsidR="00EA452C" w:rsidRPr="003A2B40" w:rsidRDefault="00EA452C" w:rsidP="00EA452C">
            <w:pPr>
              <w:pStyle w:val="TableLeft"/>
            </w:pPr>
            <w:proofErr w:type="spellStart"/>
            <w:r w:rsidRPr="003A2B40">
              <w:t>Pruritus</w:t>
            </w:r>
            <w:r w:rsidRPr="003A2B40">
              <w:rPr>
                <w:vertAlign w:val="superscript"/>
              </w:rPr>
              <w:t>d</w:t>
            </w:r>
            <w:proofErr w:type="spellEnd"/>
          </w:p>
        </w:tc>
        <w:tc>
          <w:tcPr>
            <w:tcW w:w="2126" w:type="dxa"/>
          </w:tcPr>
          <w:p w14:paraId="7CEA9660" w14:textId="5965646C" w:rsidR="00EA452C" w:rsidRPr="003A2B40" w:rsidRDefault="00EA452C" w:rsidP="00C3192B">
            <w:pPr>
              <w:pStyle w:val="TableLeft"/>
              <w:jc w:val="center"/>
            </w:pPr>
            <w:r w:rsidRPr="003A2B40">
              <w:t>Uncommon</w:t>
            </w:r>
          </w:p>
        </w:tc>
        <w:tc>
          <w:tcPr>
            <w:tcW w:w="1559" w:type="dxa"/>
            <w:shd w:val="clear" w:color="auto" w:fill="auto"/>
          </w:tcPr>
          <w:p w14:paraId="4E97DEAE" w14:textId="729F03E5" w:rsidR="00EA452C" w:rsidRPr="003A2B40" w:rsidRDefault="00EA452C" w:rsidP="00C3192B">
            <w:pPr>
              <w:pStyle w:val="TableLeft"/>
              <w:jc w:val="center"/>
            </w:pPr>
            <w:r w:rsidRPr="003A2B40">
              <w:t>Uncommon</w:t>
            </w:r>
          </w:p>
        </w:tc>
      </w:tr>
      <w:tr w:rsidR="00EA452C" w:rsidRPr="003A2B40" w14:paraId="70E55B52" w14:textId="77777777" w:rsidTr="00C3192B">
        <w:trPr>
          <w:cantSplit/>
        </w:trPr>
        <w:tc>
          <w:tcPr>
            <w:tcW w:w="3539" w:type="dxa"/>
            <w:vMerge/>
            <w:shd w:val="clear" w:color="auto" w:fill="auto"/>
          </w:tcPr>
          <w:p w14:paraId="04BA812B" w14:textId="77777777" w:rsidR="00EA452C" w:rsidRPr="003A2B40" w:rsidRDefault="00EA452C" w:rsidP="00EA452C">
            <w:pPr>
              <w:pStyle w:val="TableLeft"/>
            </w:pPr>
          </w:p>
        </w:tc>
        <w:tc>
          <w:tcPr>
            <w:tcW w:w="2410" w:type="dxa"/>
            <w:shd w:val="clear" w:color="auto" w:fill="auto"/>
          </w:tcPr>
          <w:p w14:paraId="01F9F2AA" w14:textId="1F390FF8" w:rsidR="00EA452C" w:rsidRPr="003A2B40" w:rsidRDefault="00EA452C" w:rsidP="00EA452C">
            <w:pPr>
              <w:pStyle w:val="TableLeft"/>
            </w:pPr>
            <w:proofErr w:type="spellStart"/>
            <w:r w:rsidRPr="003A2B40">
              <w:t>Rash</w:t>
            </w:r>
            <w:r w:rsidRPr="003A2B40">
              <w:rPr>
                <w:vertAlign w:val="superscript"/>
              </w:rPr>
              <w:t>d</w:t>
            </w:r>
            <w:proofErr w:type="spellEnd"/>
          </w:p>
        </w:tc>
        <w:tc>
          <w:tcPr>
            <w:tcW w:w="2126" w:type="dxa"/>
          </w:tcPr>
          <w:p w14:paraId="6CDF2565" w14:textId="6FC28122" w:rsidR="00EA452C" w:rsidRPr="003A2B40" w:rsidRDefault="00EA452C" w:rsidP="00C3192B">
            <w:pPr>
              <w:pStyle w:val="TableLeft"/>
              <w:jc w:val="center"/>
            </w:pPr>
            <w:r w:rsidRPr="003A2B40">
              <w:t>Uncommon</w:t>
            </w:r>
          </w:p>
        </w:tc>
        <w:tc>
          <w:tcPr>
            <w:tcW w:w="1559" w:type="dxa"/>
            <w:shd w:val="clear" w:color="auto" w:fill="auto"/>
          </w:tcPr>
          <w:p w14:paraId="47AA7207" w14:textId="21CA7A4C" w:rsidR="00EA452C" w:rsidRPr="003A2B40" w:rsidRDefault="00EA452C" w:rsidP="00C3192B">
            <w:pPr>
              <w:pStyle w:val="TableLeft"/>
              <w:jc w:val="center"/>
            </w:pPr>
            <w:r w:rsidRPr="003A2B40">
              <w:t>Uncommon</w:t>
            </w:r>
          </w:p>
        </w:tc>
      </w:tr>
      <w:tr w:rsidR="00EA452C" w:rsidRPr="003A2B40" w14:paraId="7F82394E" w14:textId="77777777" w:rsidTr="00C3192B">
        <w:trPr>
          <w:cantSplit/>
        </w:trPr>
        <w:tc>
          <w:tcPr>
            <w:tcW w:w="3539" w:type="dxa"/>
            <w:vMerge/>
            <w:shd w:val="clear" w:color="auto" w:fill="auto"/>
          </w:tcPr>
          <w:p w14:paraId="179D8026" w14:textId="77777777" w:rsidR="00EA452C" w:rsidRPr="003A2B40" w:rsidRDefault="00EA452C" w:rsidP="00EA452C">
            <w:pPr>
              <w:pStyle w:val="TableLeft"/>
            </w:pPr>
          </w:p>
        </w:tc>
        <w:tc>
          <w:tcPr>
            <w:tcW w:w="2410" w:type="dxa"/>
            <w:shd w:val="clear" w:color="auto" w:fill="auto"/>
          </w:tcPr>
          <w:p w14:paraId="1049F83E" w14:textId="72542548" w:rsidR="00EA452C" w:rsidRPr="003A2B40" w:rsidRDefault="00EA452C" w:rsidP="00EA452C">
            <w:pPr>
              <w:pStyle w:val="TableLeft"/>
            </w:pPr>
            <w:proofErr w:type="spellStart"/>
            <w:r w:rsidRPr="003A2B40">
              <w:t>Urticaria</w:t>
            </w:r>
            <w:r w:rsidRPr="003A2B40">
              <w:rPr>
                <w:vertAlign w:val="superscript"/>
              </w:rPr>
              <w:t>d</w:t>
            </w:r>
            <w:proofErr w:type="spellEnd"/>
          </w:p>
        </w:tc>
        <w:tc>
          <w:tcPr>
            <w:tcW w:w="2126" w:type="dxa"/>
          </w:tcPr>
          <w:p w14:paraId="00C50C1D" w14:textId="38C31420" w:rsidR="00EA452C" w:rsidRPr="003A2B40" w:rsidRDefault="00EA452C" w:rsidP="00C3192B">
            <w:pPr>
              <w:pStyle w:val="TableLeft"/>
              <w:jc w:val="center"/>
            </w:pPr>
            <w:r w:rsidRPr="003A2B40">
              <w:t>Uncommon</w:t>
            </w:r>
          </w:p>
        </w:tc>
        <w:tc>
          <w:tcPr>
            <w:tcW w:w="1559" w:type="dxa"/>
            <w:shd w:val="clear" w:color="auto" w:fill="auto"/>
          </w:tcPr>
          <w:p w14:paraId="226E60BF" w14:textId="13E0F927" w:rsidR="00EA452C" w:rsidRPr="003A2B40" w:rsidRDefault="00EA452C" w:rsidP="00C3192B">
            <w:pPr>
              <w:pStyle w:val="TableLeft"/>
              <w:jc w:val="center"/>
            </w:pPr>
            <w:r w:rsidRPr="003A2B40">
              <w:t>Uncommon</w:t>
            </w:r>
          </w:p>
        </w:tc>
      </w:tr>
      <w:tr w:rsidR="00EA452C" w:rsidRPr="003A2B40" w14:paraId="2D39B7C8" w14:textId="77777777" w:rsidTr="00C3192B">
        <w:trPr>
          <w:cantSplit/>
        </w:trPr>
        <w:tc>
          <w:tcPr>
            <w:tcW w:w="3539" w:type="dxa"/>
            <w:shd w:val="clear" w:color="auto" w:fill="auto"/>
          </w:tcPr>
          <w:p w14:paraId="56D40155" w14:textId="77777777" w:rsidR="00EA452C" w:rsidRPr="003A2B40" w:rsidRDefault="00EA452C" w:rsidP="00EA452C">
            <w:pPr>
              <w:pStyle w:val="TableLeft"/>
            </w:pPr>
            <w:r w:rsidRPr="003A2B40">
              <w:t>Musculoskeletal and connective tissue disorders</w:t>
            </w:r>
          </w:p>
        </w:tc>
        <w:tc>
          <w:tcPr>
            <w:tcW w:w="2410" w:type="dxa"/>
            <w:shd w:val="clear" w:color="auto" w:fill="auto"/>
          </w:tcPr>
          <w:p w14:paraId="1E440900" w14:textId="28DA695A" w:rsidR="00EA452C" w:rsidRPr="003A2B40" w:rsidRDefault="00EA452C" w:rsidP="00EA452C">
            <w:pPr>
              <w:pStyle w:val="TableLeft"/>
            </w:pPr>
            <w:r w:rsidRPr="003A2B40">
              <w:t xml:space="preserve">Pain in </w:t>
            </w:r>
            <w:proofErr w:type="spellStart"/>
            <w:r w:rsidRPr="003A2B40">
              <w:t>extremity</w:t>
            </w:r>
            <w:r w:rsidRPr="003A2B40">
              <w:rPr>
                <w:vertAlign w:val="superscript"/>
              </w:rPr>
              <w:t>d</w:t>
            </w:r>
            <w:proofErr w:type="spellEnd"/>
          </w:p>
        </w:tc>
        <w:tc>
          <w:tcPr>
            <w:tcW w:w="2126" w:type="dxa"/>
          </w:tcPr>
          <w:p w14:paraId="331A06CA" w14:textId="12086B00" w:rsidR="00EA452C" w:rsidRPr="003A2B40" w:rsidRDefault="00EA452C" w:rsidP="00C3192B">
            <w:pPr>
              <w:pStyle w:val="TableLeft"/>
              <w:jc w:val="center"/>
            </w:pPr>
            <w:r w:rsidRPr="003A2B40">
              <w:t>Common</w:t>
            </w:r>
          </w:p>
        </w:tc>
        <w:tc>
          <w:tcPr>
            <w:tcW w:w="1559" w:type="dxa"/>
            <w:shd w:val="clear" w:color="auto" w:fill="auto"/>
          </w:tcPr>
          <w:p w14:paraId="0883394B" w14:textId="2EE7E9FD" w:rsidR="00EA452C" w:rsidRPr="003A2B40" w:rsidRDefault="00EA452C" w:rsidP="00C3192B">
            <w:pPr>
              <w:pStyle w:val="TableLeft"/>
              <w:jc w:val="center"/>
            </w:pPr>
            <w:r w:rsidRPr="003A2B40">
              <w:t>Uncommon</w:t>
            </w:r>
          </w:p>
        </w:tc>
      </w:tr>
      <w:tr w:rsidR="00EA452C" w:rsidRPr="003A2B40" w14:paraId="5B08F68E" w14:textId="77777777" w:rsidTr="00C3192B">
        <w:trPr>
          <w:cantSplit/>
        </w:trPr>
        <w:tc>
          <w:tcPr>
            <w:tcW w:w="3539" w:type="dxa"/>
            <w:vMerge w:val="restart"/>
            <w:shd w:val="clear" w:color="auto" w:fill="auto"/>
          </w:tcPr>
          <w:p w14:paraId="18959132" w14:textId="77777777" w:rsidR="00EA452C" w:rsidRPr="003A2B40" w:rsidRDefault="00EA452C" w:rsidP="00EA452C">
            <w:pPr>
              <w:pStyle w:val="TableLeft"/>
            </w:pPr>
            <w:r w:rsidRPr="003A2B40">
              <w:lastRenderedPageBreak/>
              <w:t>General disorders and administration site conditions</w:t>
            </w:r>
          </w:p>
        </w:tc>
        <w:tc>
          <w:tcPr>
            <w:tcW w:w="6095" w:type="dxa"/>
            <w:gridSpan w:val="3"/>
            <w:shd w:val="clear" w:color="auto" w:fill="auto"/>
            <w:vAlign w:val="center"/>
          </w:tcPr>
          <w:p w14:paraId="3CEFEAA1" w14:textId="3E557202" w:rsidR="00EA452C" w:rsidRPr="003A2B40" w:rsidRDefault="00EA452C" w:rsidP="00EA452C">
            <w:pPr>
              <w:pStyle w:val="TableLeft"/>
              <w:rPr>
                <w:b/>
                <w:bCs w:val="0"/>
              </w:rPr>
            </w:pPr>
            <w:r w:rsidRPr="003A2B40">
              <w:rPr>
                <w:b/>
                <w:bCs w:val="0"/>
              </w:rPr>
              <w:t>Systemic</w:t>
            </w:r>
          </w:p>
        </w:tc>
      </w:tr>
      <w:tr w:rsidR="00EA452C" w:rsidRPr="003A2B40" w14:paraId="4CE9BBA5" w14:textId="77777777" w:rsidTr="00C3192B">
        <w:trPr>
          <w:cantSplit/>
        </w:trPr>
        <w:tc>
          <w:tcPr>
            <w:tcW w:w="3539" w:type="dxa"/>
            <w:vMerge/>
            <w:shd w:val="clear" w:color="auto" w:fill="auto"/>
          </w:tcPr>
          <w:p w14:paraId="04DE9264" w14:textId="77777777" w:rsidR="00EA452C" w:rsidRPr="003A2B40" w:rsidRDefault="00EA452C" w:rsidP="00EA452C">
            <w:pPr>
              <w:pStyle w:val="TableLeft"/>
            </w:pPr>
          </w:p>
        </w:tc>
        <w:tc>
          <w:tcPr>
            <w:tcW w:w="2410" w:type="dxa"/>
            <w:shd w:val="clear" w:color="auto" w:fill="auto"/>
          </w:tcPr>
          <w:p w14:paraId="69A2C544" w14:textId="57E32E63" w:rsidR="00EA452C" w:rsidRPr="003A2B40" w:rsidRDefault="00EA452C" w:rsidP="00EA452C">
            <w:pPr>
              <w:pStyle w:val="TableLeft"/>
            </w:pPr>
            <w:r w:rsidRPr="003A2B40">
              <w:t xml:space="preserve">Influenza-like </w:t>
            </w:r>
            <w:proofErr w:type="spellStart"/>
            <w:r w:rsidRPr="003A2B40">
              <w:t>illness</w:t>
            </w:r>
            <w:r w:rsidRPr="003A2B40">
              <w:rPr>
                <w:vertAlign w:val="superscript"/>
              </w:rPr>
              <w:t>d</w:t>
            </w:r>
            <w:proofErr w:type="spellEnd"/>
          </w:p>
        </w:tc>
        <w:tc>
          <w:tcPr>
            <w:tcW w:w="2126" w:type="dxa"/>
          </w:tcPr>
          <w:p w14:paraId="2476B1B9" w14:textId="0744F459" w:rsidR="00EA452C" w:rsidRPr="003A2B40" w:rsidRDefault="00EA452C" w:rsidP="00C3192B">
            <w:pPr>
              <w:pStyle w:val="TableLeft"/>
              <w:jc w:val="center"/>
            </w:pPr>
            <w:r w:rsidRPr="003A2B40">
              <w:t>Common</w:t>
            </w:r>
          </w:p>
        </w:tc>
        <w:tc>
          <w:tcPr>
            <w:tcW w:w="1559" w:type="dxa"/>
            <w:shd w:val="clear" w:color="auto" w:fill="auto"/>
          </w:tcPr>
          <w:p w14:paraId="788CCEE2" w14:textId="67FD9B8A" w:rsidR="00EA452C" w:rsidRPr="003A2B40" w:rsidRDefault="00EA452C" w:rsidP="00C3192B">
            <w:pPr>
              <w:pStyle w:val="TableLeft"/>
              <w:jc w:val="center"/>
            </w:pPr>
            <w:r w:rsidRPr="003A2B40">
              <w:t>Uncommon</w:t>
            </w:r>
          </w:p>
        </w:tc>
      </w:tr>
    </w:tbl>
    <w:p w14:paraId="3DD09969" w14:textId="2EDE41AE" w:rsidR="00364AA4" w:rsidRPr="003A2B40" w:rsidRDefault="00364AA4" w:rsidP="00FC453A">
      <w:pPr>
        <w:pStyle w:val="TableFootnoteLetter"/>
        <w:numPr>
          <w:ilvl w:val="0"/>
          <w:numId w:val="16"/>
        </w:numPr>
      </w:pPr>
      <w:r w:rsidRPr="003A2B40">
        <w:t>Frequencies of ADRs are reported from the safety analysis set where participants received the recommended dose (5×10</w:t>
      </w:r>
      <w:r w:rsidRPr="003A2B40">
        <w:rPr>
          <w:vertAlign w:val="superscript"/>
        </w:rPr>
        <w:t>10</w:t>
      </w:r>
      <w:r w:rsidRPr="003A2B40">
        <w:t xml:space="preserve"> vp) as their first dose.</w:t>
      </w:r>
    </w:p>
    <w:p w14:paraId="069A1D47" w14:textId="77777777" w:rsidR="00364AA4" w:rsidRPr="003A2B40" w:rsidRDefault="00364AA4" w:rsidP="00364AA4">
      <w:pPr>
        <w:pStyle w:val="TableFootnoteLetter"/>
      </w:pPr>
      <w:r w:rsidRPr="003A2B40">
        <w:t>Solicited event reporting terms, where applicable MedDRA preferred terms are given in parentheses</w:t>
      </w:r>
    </w:p>
    <w:p w14:paraId="6161CEE2" w14:textId="30063AF5" w:rsidR="00364AA4" w:rsidRPr="003A2B40" w:rsidRDefault="00364AA4" w:rsidP="00364AA4">
      <w:pPr>
        <w:pStyle w:val="TableFootnoteLetter"/>
      </w:pPr>
      <w:r w:rsidRPr="003A2B40">
        <w:t>Control was either meningococcal vaccine or saline solution</w:t>
      </w:r>
    </w:p>
    <w:p w14:paraId="004AA6BF" w14:textId="2F7FF690" w:rsidR="00364AA4" w:rsidRPr="00763304" w:rsidRDefault="00D43F0C" w:rsidP="00364AA4">
      <w:pPr>
        <w:pStyle w:val="TableFootnoteLetter"/>
      </w:pPr>
      <w:r>
        <w:t>Unsolicited adverse reactions</w:t>
      </w:r>
    </w:p>
    <w:p w14:paraId="0EEC54DB" w14:textId="7D55FC6E" w:rsidR="00364AA4" w:rsidRDefault="00364AA4" w:rsidP="009E10B4">
      <w:pPr>
        <w:pStyle w:val="Paragraph"/>
      </w:pPr>
    </w:p>
    <w:p w14:paraId="3A953E0A" w14:textId="1B22E206" w:rsidR="008050A6" w:rsidRDefault="3B979902" w:rsidP="4DD9ED6F">
      <w:pPr>
        <w:pStyle w:val="Heading3Unnumbered"/>
      </w:pPr>
      <w:r>
        <w:t>Post-marketing experience</w:t>
      </w:r>
    </w:p>
    <w:p w14:paraId="72B56A61" w14:textId="00AF5253" w:rsidR="008050A6" w:rsidRDefault="008050A6" w:rsidP="008050A6">
      <w:pPr>
        <w:pStyle w:val="Paragraph"/>
      </w:pPr>
      <w:r>
        <w:t xml:space="preserve">The following adverse reactions were not observed during clinical trials and have been spontaneously reported during worldwide post-authorisation use of </w:t>
      </w:r>
      <w:r w:rsidR="00E56F2B">
        <w:t>VAXZEVRIA</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9A35B7" w:rsidRPr="00815896" w14:paraId="7A346C70" w14:textId="77777777" w:rsidTr="0050354B">
        <w:tc>
          <w:tcPr>
            <w:tcW w:w="2410" w:type="dxa"/>
            <w:tcBorders>
              <w:top w:val="single" w:sz="4" w:space="0" w:color="auto"/>
              <w:left w:val="single" w:sz="4" w:space="0" w:color="auto"/>
              <w:bottom w:val="single" w:sz="4" w:space="0" w:color="auto"/>
              <w:right w:val="single" w:sz="4" w:space="0" w:color="auto"/>
            </w:tcBorders>
          </w:tcPr>
          <w:p w14:paraId="7D96EC59" w14:textId="77777777" w:rsidR="009A35B7" w:rsidRPr="00815896" w:rsidRDefault="009A35B7" w:rsidP="009A35B7">
            <w:pPr>
              <w:pStyle w:val="TableLeft"/>
              <w:rPr>
                <w:i/>
                <w:iCs/>
              </w:rPr>
            </w:pPr>
            <w:r w:rsidRPr="00815896">
              <w:rPr>
                <w:i/>
                <w:iCs/>
              </w:rPr>
              <w:t>Immune system disorders</w:t>
            </w:r>
          </w:p>
        </w:tc>
        <w:tc>
          <w:tcPr>
            <w:tcW w:w="7218" w:type="dxa"/>
            <w:tcBorders>
              <w:top w:val="single" w:sz="4" w:space="0" w:color="auto"/>
              <w:left w:val="single" w:sz="4" w:space="0" w:color="auto"/>
              <w:bottom w:val="single" w:sz="4" w:space="0" w:color="auto"/>
              <w:right w:val="single" w:sz="4" w:space="0" w:color="auto"/>
            </w:tcBorders>
          </w:tcPr>
          <w:p w14:paraId="21F61FF3" w14:textId="31C61EB1" w:rsidR="009A35B7" w:rsidRPr="00815896" w:rsidRDefault="009A35B7" w:rsidP="009A35B7">
            <w:pPr>
              <w:pStyle w:val="TableLeft"/>
            </w:pPr>
            <w:r w:rsidRPr="00815896">
              <w:t>*Anaphylactic reaction</w:t>
            </w:r>
          </w:p>
        </w:tc>
      </w:tr>
      <w:tr w:rsidR="009A35B7" w:rsidRPr="00815896" w14:paraId="726386BD" w14:textId="77777777" w:rsidTr="0050354B">
        <w:tc>
          <w:tcPr>
            <w:tcW w:w="2410" w:type="dxa"/>
            <w:tcBorders>
              <w:top w:val="single" w:sz="4" w:space="0" w:color="auto"/>
              <w:left w:val="single" w:sz="4" w:space="0" w:color="auto"/>
              <w:bottom w:val="single" w:sz="4" w:space="0" w:color="auto"/>
              <w:right w:val="single" w:sz="4" w:space="0" w:color="auto"/>
            </w:tcBorders>
          </w:tcPr>
          <w:p w14:paraId="4831099C" w14:textId="77777777" w:rsidR="009A35B7" w:rsidRPr="00815896" w:rsidRDefault="009A35B7" w:rsidP="009A35B7">
            <w:pPr>
              <w:pStyle w:val="TableLeft"/>
              <w:rPr>
                <w:i/>
                <w:iCs/>
              </w:rPr>
            </w:pPr>
            <w:r w:rsidRPr="00815896">
              <w:rPr>
                <w:i/>
                <w:iCs/>
              </w:rPr>
              <w:t>Skin and subcutaneous tissue disorders</w:t>
            </w:r>
          </w:p>
        </w:tc>
        <w:tc>
          <w:tcPr>
            <w:tcW w:w="7218" w:type="dxa"/>
            <w:tcBorders>
              <w:top w:val="single" w:sz="4" w:space="0" w:color="auto"/>
              <w:left w:val="single" w:sz="4" w:space="0" w:color="auto"/>
              <w:bottom w:val="single" w:sz="4" w:space="0" w:color="auto"/>
              <w:right w:val="single" w:sz="4" w:space="0" w:color="auto"/>
            </w:tcBorders>
          </w:tcPr>
          <w:p w14:paraId="1C4A8881" w14:textId="1894355C" w:rsidR="009A35B7" w:rsidRPr="00815896" w:rsidRDefault="009A35B7" w:rsidP="009A35B7">
            <w:pPr>
              <w:pStyle w:val="TableLeft"/>
            </w:pPr>
            <w:r w:rsidRPr="00815896">
              <w:t>*Angioedema</w:t>
            </w:r>
          </w:p>
        </w:tc>
      </w:tr>
      <w:tr w:rsidR="00F13694" w:rsidRPr="00815896" w14:paraId="47BBF1DF" w14:textId="77777777" w:rsidTr="001E15A4">
        <w:tc>
          <w:tcPr>
            <w:tcW w:w="2410" w:type="dxa"/>
            <w:vMerge w:val="restart"/>
            <w:tcBorders>
              <w:top w:val="single" w:sz="4" w:space="0" w:color="auto"/>
              <w:left w:val="single" w:sz="4" w:space="0" w:color="auto"/>
              <w:bottom w:val="single" w:sz="4" w:space="0" w:color="auto"/>
              <w:right w:val="single" w:sz="4" w:space="0" w:color="auto"/>
            </w:tcBorders>
          </w:tcPr>
          <w:p w14:paraId="6F35049B" w14:textId="77777777" w:rsidR="00F13694" w:rsidRPr="00815896" w:rsidRDefault="00F13694" w:rsidP="009A35B7">
            <w:pPr>
              <w:pStyle w:val="TableLeft"/>
              <w:rPr>
                <w:i/>
                <w:iCs/>
              </w:rPr>
            </w:pPr>
            <w:r w:rsidRPr="00815896">
              <w:rPr>
                <w:i/>
                <w:iCs/>
              </w:rPr>
              <w:t>Vascular disorders</w:t>
            </w:r>
          </w:p>
        </w:tc>
        <w:tc>
          <w:tcPr>
            <w:tcW w:w="7218" w:type="dxa"/>
            <w:tcBorders>
              <w:top w:val="single" w:sz="4" w:space="0" w:color="auto"/>
              <w:left w:val="single" w:sz="4" w:space="0" w:color="auto"/>
              <w:bottom w:val="single" w:sz="4" w:space="0" w:color="auto"/>
              <w:right w:val="single" w:sz="4" w:space="0" w:color="auto"/>
            </w:tcBorders>
          </w:tcPr>
          <w:p w14:paraId="5FFEA990" w14:textId="6B49349B" w:rsidR="00D82B20" w:rsidRPr="00815896" w:rsidRDefault="00F13694" w:rsidP="009A35B7">
            <w:pPr>
              <w:pStyle w:val="TableLeft"/>
              <w:rPr>
                <w:szCs w:val="22"/>
              </w:rPr>
            </w:pPr>
            <w:r w:rsidRPr="00815896">
              <w:rPr>
                <w:szCs w:val="22"/>
              </w:rPr>
              <w:t xml:space="preserve">A very rare and serious combination of </w:t>
            </w:r>
            <w:r w:rsidRPr="00815896">
              <w:t>thrombosis and thrombocytopenia including thrombosis with thrombocytopenia syndrome (TTS)</w:t>
            </w:r>
            <w:r w:rsidRPr="00815896">
              <w:rPr>
                <w:szCs w:val="22"/>
              </w:rPr>
              <w:t xml:space="preserve">, in some cases accompanied by bleeding, has been observed. This includes cases presenting as venous thrombosis, including unusual sites such as cerebral venous sinus thrombosis, splanchnic vein thrombosis, as well as arterial thrombosis, concomitant with thrombocytopenia (see Section </w:t>
            </w:r>
            <w:r w:rsidRPr="00815896">
              <w:rPr>
                <w:szCs w:val="22"/>
              </w:rPr>
              <w:fldChar w:fldCharType="begin"/>
            </w:r>
            <w:r w:rsidRPr="00815896">
              <w:rPr>
                <w:szCs w:val="22"/>
              </w:rPr>
              <w:instrText xml:space="preserve"> REF _Ref59522420 \r \h  \* MERGEFORMAT </w:instrText>
            </w:r>
            <w:r w:rsidRPr="00815896">
              <w:rPr>
                <w:szCs w:val="22"/>
              </w:rPr>
            </w:r>
            <w:r w:rsidRPr="00815896">
              <w:rPr>
                <w:szCs w:val="22"/>
              </w:rPr>
              <w:fldChar w:fldCharType="separate"/>
            </w:r>
            <w:r w:rsidRPr="00815896">
              <w:rPr>
                <w:szCs w:val="22"/>
              </w:rPr>
              <w:t>4.4</w:t>
            </w:r>
            <w:r w:rsidRPr="00815896">
              <w:rPr>
                <w:szCs w:val="22"/>
              </w:rPr>
              <w:fldChar w:fldCharType="end"/>
            </w:r>
            <w:r w:rsidRPr="00815896">
              <w:rPr>
                <w:szCs w:val="22"/>
              </w:rPr>
              <w:t xml:space="preserve"> </w:t>
            </w:r>
            <w:r w:rsidRPr="00815896">
              <w:rPr>
                <w:szCs w:val="22"/>
              </w:rPr>
              <w:fldChar w:fldCharType="begin"/>
            </w:r>
            <w:r w:rsidRPr="00815896">
              <w:rPr>
                <w:szCs w:val="22"/>
              </w:rPr>
              <w:instrText xml:space="preserve"> REF _Ref59522420 \h  \* MERGEFORMAT </w:instrText>
            </w:r>
            <w:r w:rsidRPr="00815896">
              <w:rPr>
                <w:szCs w:val="22"/>
              </w:rPr>
            </w:r>
            <w:r w:rsidRPr="00815896">
              <w:rPr>
                <w:szCs w:val="22"/>
              </w:rPr>
              <w:fldChar w:fldCharType="separate"/>
            </w:r>
            <w:r w:rsidRPr="00815896">
              <w:t>Special warnings and precautions for use</w:t>
            </w:r>
            <w:r w:rsidRPr="00815896">
              <w:rPr>
                <w:szCs w:val="22"/>
              </w:rPr>
              <w:fldChar w:fldCharType="end"/>
            </w:r>
            <w:r w:rsidRPr="00815896">
              <w:rPr>
                <w:szCs w:val="22"/>
              </w:rPr>
              <w:t>).</w:t>
            </w:r>
            <w:r w:rsidR="00470D50">
              <w:rPr>
                <w:szCs w:val="22"/>
              </w:rPr>
              <w:t xml:space="preserve"> C</w:t>
            </w:r>
            <w:r w:rsidR="00D82B20" w:rsidRPr="00470D50">
              <w:rPr>
                <w:szCs w:val="22"/>
              </w:rPr>
              <w:t>erebrovascular venous and sinus thrombosis without thrombocytopenia</w:t>
            </w:r>
            <w:r w:rsidR="00470D50" w:rsidRPr="00470D50">
              <w:rPr>
                <w:szCs w:val="22"/>
              </w:rPr>
              <w:t xml:space="preserve"> (frequency not known)</w:t>
            </w:r>
            <w:r w:rsidR="00470D50">
              <w:rPr>
                <w:szCs w:val="22"/>
              </w:rPr>
              <w:t>.</w:t>
            </w:r>
          </w:p>
        </w:tc>
      </w:tr>
      <w:tr w:rsidR="00F13694" w:rsidRPr="00815896" w14:paraId="7EFEEFF6" w14:textId="77777777" w:rsidTr="001E15A4">
        <w:tc>
          <w:tcPr>
            <w:tcW w:w="2410" w:type="dxa"/>
            <w:vMerge/>
            <w:tcBorders>
              <w:top w:val="single" w:sz="4" w:space="0" w:color="auto"/>
              <w:left w:val="single" w:sz="4" w:space="0" w:color="auto"/>
              <w:bottom w:val="single" w:sz="4" w:space="0" w:color="auto"/>
              <w:right w:val="single" w:sz="4" w:space="0" w:color="auto"/>
            </w:tcBorders>
          </w:tcPr>
          <w:p w14:paraId="2954E9E7" w14:textId="77777777" w:rsidR="00F13694" w:rsidRPr="00815896" w:rsidRDefault="00F13694" w:rsidP="009A35B7">
            <w:pPr>
              <w:pStyle w:val="TableLeft"/>
              <w:rPr>
                <w:i/>
                <w:iCs/>
              </w:rPr>
            </w:pPr>
          </w:p>
        </w:tc>
        <w:tc>
          <w:tcPr>
            <w:tcW w:w="7218" w:type="dxa"/>
            <w:tcBorders>
              <w:top w:val="single" w:sz="4" w:space="0" w:color="auto"/>
              <w:left w:val="single" w:sz="4" w:space="0" w:color="auto"/>
              <w:bottom w:val="single" w:sz="4" w:space="0" w:color="auto"/>
              <w:right w:val="single" w:sz="4" w:space="0" w:color="auto"/>
            </w:tcBorders>
          </w:tcPr>
          <w:p w14:paraId="399E0A53" w14:textId="282E29BA" w:rsidR="00F13694" w:rsidRPr="00815896" w:rsidRDefault="00F13694" w:rsidP="009A35B7">
            <w:pPr>
              <w:pStyle w:val="TableLeft"/>
              <w:rPr>
                <w:szCs w:val="22"/>
              </w:rPr>
            </w:pPr>
            <w:r w:rsidRPr="00815896">
              <w:rPr>
                <w:szCs w:val="22"/>
              </w:rPr>
              <w:t xml:space="preserve">Capillary leak syndrome (see Section </w:t>
            </w:r>
            <w:r w:rsidRPr="00815896">
              <w:rPr>
                <w:szCs w:val="22"/>
              </w:rPr>
              <w:fldChar w:fldCharType="begin"/>
            </w:r>
            <w:r w:rsidRPr="00815896">
              <w:rPr>
                <w:szCs w:val="22"/>
              </w:rPr>
              <w:instrText xml:space="preserve"> REF _Ref59522420 \r \h  \* MERGEFORMAT </w:instrText>
            </w:r>
            <w:r w:rsidRPr="00815896">
              <w:rPr>
                <w:szCs w:val="22"/>
              </w:rPr>
            </w:r>
            <w:r w:rsidRPr="00815896">
              <w:rPr>
                <w:szCs w:val="22"/>
              </w:rPr>
              <w:fldChar w:fldCharType="separate"/>
            </w:r>
            <w:r w:rsidRPr="00815896">
              <w:rPr>
                <w:szCs w:val="22"/>
              </w:rPr>
              <w:t>4.4</w:t>
            </w:r>
            <w:r w:rsidRPr="00815896">
              <w:rPr>
                <w:szCs w:val="22"/>
              </w:rPr>
              <w:fldChar w:fldCharType="end"/>
            </w:r>
            <w:r w:rsidRPr="00815896">
              <w:rPr>
                <w:szCs w:val="22"/>
              </w:rPr>
              <w:t xml:space="preserve"> </w:t>
            </w:r>
            <w:r w:rsidRPr="00815896">
              <w:rPr>
                <w:szCs w:val="22"/>
              </w:rPr>
              <w:fldChar w:fldCharType="begin"/>
            </w:r>
            <w:r w:rsidRPr="00815896">
              <w:rPr>
                <w:szCs w:val="22"/>
              </w:rPr>
              <w:instrText xml:space="preserve"> REF _Ref59522420 \h  \* MERGEFORMAT </w:instrText>
            </w:r>
            <w:r w:rsidRPr="00815896">
              <w:rPr>
                <w:szCs w:val="22"/>
              </w:rPr>
            </w:r>
            <w:r w:rsidRPr="00815896">
              <w:rPr>
                <w:szCs w:val="22"/>
              </w:rPr>
              <w:fldChar w:fldCharType="separate"/>
            </w:r>
            <w:r w:rsidRPr="00815896">
              <w:t>Special warnings and precautions for use</w:t>
            </w:r>
            <w:r w:rsidRPr="00815896">
              <w:rPr>
                <w:szCs w:val="22"/>
              </w:rPr>
              <w:fldChar w:fldCharType="end"/>
            </w:r>
            <w:r w:rsidRPr="00815896">
              <w:rPr>
                <w:szCs w:val="22"/>
              </w:rPr>
              <w:t>).</w:t>
            </w:r>
          </w:p>
        </w:tc>
      </w:tr>
      <w:tr w:rsidR="009A35B7" w:rsidRPr="009A35B7" w14:paraId="1F2C4680" w14:textId="77777777" w:rsidTr="001E15A4">
        <w:tc>
          <w:tcPr>
            <w:tcW w:w="2410" w:type="dxa"/>
            <w:tcBorders>
              <w:top w:val="single" w:sz="4" w:space="0" w:color="auto"/>
              <w:left w:val="single" w:sz="4" w:space="0" w:color="auto"/>
              <w:bottom w:val="single" w:sz="4" w:space="0" w:color="auto"/>
              <w:right w:val="single" w:sz="4" w:space="0" w:color="auto"/>
            </w:tcBorders>
          </w:tcPr>
          <w:p w14:paraId="103ADBD2" w14:textId="0E038024" w:rsidR="009A35B7" w:rsidRPr="00815896" w:rsidRDefault="009A35B7" w:rsidP="009A35B7">
            <w:pPr>
              <w:pStyle w:val="TableLeft"/>
              <w:rPr>
                <w:i/>
                <w:iCs/>
                <w:szCs w:val="22"/>
              </w:rPr>
            </w:pPr>
            <w:r w:rsidRPr="00815896">
              <w:rPr>
                <w:i/>
                <w:iCs/>
                <w:szCs w:val="22"/>
              </w:rPr>
              <w:t>Blood and lymphatic system disorders</w:t>
            </w:r>
          </w:p>
        </w:tc>
        <w:tc>
          <w:tcPr>
            <w:tcW w:w="7218" w:type="dxa"/>
            <w:tcBorders>
              <w:top w:val="single" w:sz="4" w:space="0" w:color="auto"/>
              <w:left w:val="single" w:sz="4" w:space="0" w:color="auto"/>
              <w:bottom w:val="single" w:sz="4" w:space="0" w:color="auto"/>
              <w:right w:val="single" w:sz="4" w:space="0" w:color="auto"/>
            </w:tcBorders>
          </w:tcPr>
          <w:p w14:paraId="3D0FB8AB" w14:textId="65D37B76" w:rsidR="001E15A4" w:rsidRPr="001E15A4" w:rsidRDefault="009A35B7" w:rsidP="001E15A4">
            <w:pPr>
              <w:pStyle w:val="TableLeft"/>
              <w:rPr>
                <w:szCs w:val="22"/>
              </w:rPr>
            </w:pPr>
            <w:r w:rsidRPr="00815896">
              <w:rPr>
                <w:szCs w:val="22"/>
              </w:rPr>
              <w:t>Thrombocytopenia (frequency very rare). The majority of reported events occurred in individuals aged 18-59 years old.</w:t>
            </w:r>
            <w:r w:rsidR="001E15A4" w:rsidRPr="001E15A4">
              <w:rPr>
                <w:szCs w:val="22"/>
              </w:rPr>
              <w:t xml:space="preserve"> Immune thrombocytopenia (frequency </w:t>
            </w:r>
            <w:r w:rsidR="004B4D34">
              <w:rPr>
                <w:szCs w:val="22"/>
              </w:rPr>
              <w:t xml:space="preserve">not </w:t>
            </w:r>
            <w:r w:rsidR="001E15A4" w:rsidRPr="001E15A4">
              <w:rPr>
                <w:szCs w:val="22"/>
              </w:rPr>
              <w:t>known).</w:t>
            </w:r>
          </w:p>
        </w:tc>
      </w:tr>
      <w:tr w:rsidR="001E15A4" w:rsidRPr="009A35B7" w14:paraId="333BFB51" w14:textId="77777777" w:rsidTr="001E15A4">
        <w:tc>
          <w:tcPr>
            <w:tcW w:w="2410" w:type="dxa"/>
            <w:tcBorders>
              <w:top w:val="single" w:sz="4" w:space="0" w:color="auto"/>
              <w:left w:val="single" w:sz="4" w:space="0" w:color="auto"/>
              <w:bottom w:val="single" w:sz="4" w:space="0" w:color="auto"/>
              <w:right w:val="single" w:sz="4" w:space="0" w:color="auto"/>
            </w:tcBorders>
          </w:tcPr>
          <w:p w14:paraId="003C4058" w14:textId="52E227E7" w:rsidR="001E15A4" w:rsidRPr="00815896" w:rsidRDefault="001E15A4" w:rsidP="009A35B7">
            <w:pPr>
              <w:pStyle w:val="TableLeft"/>
              <w:rPr>
                <w:i/>
                <w:iCs/>
                <w:szCs w:val="22"/>
              </w:rPr>
            </w:pPr>
            <w:r w:rsidRPr="001E15A4">
              <w:rPr>
                <w:i/>
                <w:iCs/>
                <w:szCs w:val="22"/>
              </w:rPr>
              <w:t>Nervous system disorders</w:t>
            </w:r>
          </w:p>
        </w:tc>
        <w:tc>
          <w:tcPr>
            <w:tcW w:w="7218" w:type="dxa"/>
            <w:tcBorders>
              <w:top w:val="single" w:sz="4" w:space="0" w:color="auto"/>
              <w:left w:val="single" w:sz="4" w:space="0" w:color="auto"/>
              <w:bottom w:val="single" w:sz="4" w:space="0" w:color="auto"/>
              <w:right w:val="single" w:sz="4" w:space="0" w:color="auto"/>
            </w:tcBorders>
          </w:tcPr>
          <w:p w14:paraId="227D1283" w14:textId="6E0F46A4" w:rsidR="001E15A4" w:rsidRPr="001E15A4" w:rsidRDefault="001E15A4" w:rsidP="001E15A4">
            <w:pPr>
              <w:pStyle w:val="TableLeft"/>
              <w:rPr>
                <w:szCs w:val="22"/>
              </w:rPr>
            </w:pPr>
            <w:r w:rsidRPr="001E15A4">
              <w:rPr>
                <w:szCs w:val="22"/>
              </w:rPr>
              <w:t>Guillain-Barré syndrome (GBS) (frequency very rare)</w:t>
            </w:r>
          </w:p>
        </w:tc>
      </w:tr>
    </w:tbl>
    <w:p w14:paraId="3DBFE482" w14:textId="06DFA4DE" w:rsidR="002E7BEB" w:rsidRDefault="002E7BEB" w:rsidP="009A35B7">
      <w:pPr>
        <w:pStyle w:val="TableFootnoteInfo"/>
      </w:pPr>
      <w:r w:rsidRPr="00A63FF2">
        <w:rPr>
          <w:szCs w:val="18"/>
        </w:rPr>
        <w:t>*</w:t>
      </w:r>
      <w:r w:rsidRPr="00A63FF2">
        <w:t xml:space="preserve"> The frequency of these adverse reactions is ‘not known’ (cannot be estimated from available data as the reports come from a population of unknown size).</w:t>
      </w:r>
    </w:p>
    <w:p w14:paraId="5D9D8916" w14:textId="77777777" w:rsidR="009A35B7" w:rsidRPr="002E7BEB" w:rsidRDefault="009A35B7" w:rsidP="00125782">
      <w:pPr>
        <w:pStyle w:val="Paragraph"/>
      </w:pPr>
    </w:p>
    <w:p w14:paraId="1EF9C27F" w14:textId="77777777" w:rsidR="00DF3302" w:rsidRPr="00763304" w:rsidRDefault="009D6010" w:rsidP="00DF3302">
      <w:pPr>
        <w:pStyle w:val="Heading3Unnumbered"/>
      </w:pPr>
      <w:r w:rsidRPr="00763304">
        <w:t xml:space="preserve">Reporting suspected adverse </w:t>
      </w:r>
      <w:r w:rsidR="002803FC" w:rsidRPr="00763304">
        <w:t>effects</w:t>
      </w:r>
    </w:p>
    <w:p w14:paraId="1EF9C280" w14:textId="31830D1F" w:rsidR="001D3AF3" w:rsidRPr="00763304" w:rsidRDefault="009D6010" w:rsidP="00446EDD">
      <w:pPr>
        <w:pStyle w:val="Paragraph"/>
      </w:pPr>
      <w:r w:rsidRPr="00763304">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763304">
        <w:t>www.tga.gov.au/reporting-problems</w:t>
      </w:r>
      <w:r w:rsidRPr="00763304">
        <w:t>.</w:t>
      </w:r>
    </w:p>
    <w:p w14:paraId="1EF9C281" w14:textId="77777777" w:rsidR="001A3992" w:rsidRPr="00763304" w:rsidRDefault="009D6010" w:rsidP="00EE3AC8">
      <w:pPr>
        <w:pStyle w:val="Heading2"/>
      </w:pPr>
      <w:r w:rsidRPr="00763304">
        <w:t>Overdose</w:t>
      </w:r>
    </w:p>
    <w:p w14:paraId="1EF9C282" w14:textId="3EC41891" w:rsidR="00AD1080" w:rsidRPr="00763304" w:rsidRDefault="009D6010" w:rsidP="00AD1080">
      <w:pPr>
        <w:pStyle w:val="Paragraph"/>
      </w:pPr>
      <w:r w:rsidRPr="00763304">
        <w:t>Experience of overdose is limited.</w:t>
      </w:r>
    </w:p>
    <w:p w14:paraId="1EF9C283" w14:textId="5BC289E4" w:rsidR="00AD1080" w:rsidRPr="00763304" w:rsidRDefault="009D6010" w:rsidP="00AD1080">
      <w:pPr>
        <w:pStyle w:val="Paragraph"/>
      </w:pPr>
      <w:r w:rsidRPr="00763304">
        <w:t xml:space="preserve">There is no specific treatment for an overdose with </w:t>
      </w:r>
      <w:r w:rsidR="00E56F2B">
        <w:t>VAXZEVRIA</w:t>
      </w:r>
      <w:r w:rsidRPr="00763304">
        <w:t>. In the event of an overdose, the individual should be monitored and provided with symptomatic treatment as appropriate.</w:t>
      </w:r>
    </w:p>
    <w:p w14:paraId="1EF9C284" w14:textId="1D4090F0" w:rsidR="003C2EEE" w:rsidRDefault="009D6010" w:rsidP="00D87298">
      <w:pPr>
        <w:pStyle w:val="Paragraph"/>
      </w:pPr>
      <w:r w:rsidRPr="00763304">
        <w:t>For information on the management of overdose, contact the Poison Information Centre on 131126 (Australia).</w:t>
      </w:r>
    </w:p>
    <w:p w14:paraId="1EF9C285" w14:textId="77777777" w:rsidR="001A3992" w:rsidRPr="00763304" w:rsidRDefault="009D6010" w:rsidP="00881EA6">
      <w:pPr>
        <w:pStyle w:val="Heading1"/>
        <w:keepNext w:val="0"/>
      </w:pPr>
      <w:r w:rsidRPr="00763304">
        <w:t>Pharmacological properties</w:t>
      </w:r>
    </w:p>
    <w:p w14:paraId="1EF9C286" w14:textId="77777777" w:rsidR="001A3992" w:rsidRPr="00763304" w:rsidRDefault="009D6010" w:rsidP="00EE3AC8">
      <w:pPr>
        <w:pStyle w:val="Heading2"/>
      </w:pPr>
      <w:bookmarkStart w:id="19" w:name="_Ref59522372"/>
      <w:r w:rsidRPr="00763304">
        <w:lastRenderedPageBreak/>
        <w:t>Pharmacodynamic properties</w:t>
      </w:r>
      <w:bookmarkEnd w:id="19"/>
    </w:p>
    <w:p w14:paraId="1EF9C287" w14:textId="712ABD92" w:rsidR="0082597C" w:rsidRPr="00763304" w:rsidRDefault="009D6010" w:rsidP="0082597C">
      <w:pPr>
        <w:pStyle w:val="Heading3Unnumbered"/>
      </w:pPr>
      <w:r w:rsidRPr="00763304">
        <w:t>Mechanism of action</w:t>
      </w:r>
    </w:p>
    <w:p w14:paraId="1EF9C288" w14:textId="5130D462" w:rsidR="003C49C9" w:rsidRPr="003C49C9" w:rsidRDefault="00E56F2B" w:rsidP="003C49C9">
      <w:pPr>
        <w:pStyle w:val="Paragraph"/>
      </w:pPr>
      <w:r>
        <w:t>VAXZEVRIA</w:t>
      </w:r>
      <w:r w:rsidR="009D6010" w:rsidRPr="00763304">
        <w:t xml:space="preserve"> is a monovalent vaccine composed of a single recombinant, replication-deficient chimpanzee adenovirus (ChAdOx1) vector encoding the S glycoprotein of </w:t>
      </w:r>
      <w:r w:rsidR="00F86971" w:rsidRPr="00763304">
        <w:t>SARS-C</w:t>
      </w:r>
      <w:r w:rsidR="006B17FE" w:rsidRPr="00763304">
        <w:t>o</w:t>
      </w:r>
      <w:r w:rsidR="00F86971" w:rsidRPr="00763304">
        <w:t>V-2</w:t>
      </w:r>
      <w:r w:rsidR="009D6010" w:rsidRPr="00763304">
        <w:t xml:space="preserve">. Following administration, the S glycoprotein of </w:t>
      </w:r>
      <w:r w:rsidR="00F86971" w:rsidRPr="00763304">
        <w:t>SARS-C</w:t>
      </w:r>
      <w:r w:rsidR="006B17FE" w:rsidRPr="00763304">
        <w:t>o</w:t>
      </w:r>
      <w:r w:rsidR="00F86971" w:rsidRPr="00763304">
        <w:t>V-2</w:t>
      </w:r>
      <w:r w:rsidR="009D6010" w:rsidRPr="00763304">
        <w:t xml:space="preserve"> is expressed locally stimulating neutralizing antibody and cellular immune responses.</w:t>
      </w:r>
    </w:p>
    <w:p w14:paraId="1EF9C28D" w14:textId="77777777" w:rsidR="001A3992" w:rsidRPr="008A311E" w:rsidRDefault="009D6010" w:rsidP="008A311E">
      <w:pPr>
        <w:pStyle w:val="Heading3Unnumbered"/>
      </w:pPr>
      <w:r w:rsidRPr="008A311E">
        <w:t>Clinical trials</w:t>
      </w:r>
    </w:p>
    <w:p w14:paraId="1EF9C28E" w14:textId="1B7C04B1" w:rsidR="00C02ED7" w:rsidRDefault="00EA69BE" w:rsidP="0082597C">
      <w:pPr>
        <w:pStyle w:val="Paragraph"/>
      </w:pPr>
      <w:r w:rsidRPr="00763304">
        <w:t>This section will be updated as evidence emerges from ongoing clinical studies.</w:t>
      </w:r>
    </w:p>
    <w:p w14:paraId="7FCCADEC" w14:textId="399DBE38" w:rsidR="006933C3" w:rsidRPr="008A311E" w:rsidRDefault="006933C3" w:rsidP="008A311E">
      <w:pPr>
        <w:pStyle w:val="Heading4Unnumbered"/>
      </w:pPr>
      <w:r w:rsidRPr="008A311E">
        <w:t xml:space="preserve">Efficacy of two doses of </w:t>
      </w:r>
      <w:r w:rsidR="0001308C" w:rsidRPr="008A311E">
        <w:t>VAXZEVRIA</w:t>
      </w:r>
    </w:p>
    <w:p w14:paraId="1EF9C28F" w14:textId="77777777" w:rsidR="00C02ED7" w:rsidRPr="00C13C6B" w:rsidRDefault="009D6010" w:rsidP="00C13C6B">
      <w:pPr>
        <w:pStyle w:val="Heading5Unnumbered"/>
      </w:pPr>
      <w:r w:rsidRPr="00C13C6B">
        <w:t>Interim analysis of pooled data from COV001, COV002, COV003, and COV005</w:t>
      </w:r>
    </w:p>
    <w:p w14:paraId="1EF9C290" w14:textId="49F9A76F" w:rsidR="00C02ED7" w:rsidRPr="008D35A9" w:rsidRDefault="006525A7" w:rsidP="00A82104">
      <w:pPr>
        <w:pStyle w:val="Paragraph"/>
      </w:pPr>
      <w:r w:rsidRPr="00763304">
        <w:t xml:space="preserve">The efficacy and safety of </w:t>
      </w:r>
      <w:r w:rsidR="00E56F2B">
        <w:t>VAXZEVRIA</w:t>
      </w:r>
      <w:r w:rsidR="009D6010" w:rsidRPr="00763304">
        <w:t xml:space="preserve"> has been evaluated based on an interim analysis </w:t>
      </w:r>
      <w:r w:rsidR="0008235A" w:rsidRPr="00763304">
        <w:t>(data lock</w:t>
      </w:r>
      <w:r w:rsidR="006B3168" w:rsidRPr="00763304">
        <w:t>:</w:t>
      </w:r>
      <w:r w:rsidR="0008235A" w:rsidRPr="00763304">
        <w:t xml:space="preserve"> 4</w:t>
      </w:r>
      <w:r w:rsidR="006B3168" w:rsidRPr="00763304">
        <w:t> </w:t>
      </w:r>
      <w:r w:rsidR="0008235A" w:rsidRPr="00763304">
        <w:t xml:space="preserve">November 2020) </w:t>
      </w:r>
      <w:r w:rsidR="009D6010" w:rsidRPr="00763304">
        <w:t xml:space="preserve">of pooled data from four on-going randomised, blinded, controlled trials: a Phase I/II Study, COV001 (NCT04324606), in healthy adults 18 to 55 years of age in the UK; a Phase II/III Study, COV002 (NCT04400838), in adults ≥18 years of age (including the elderly) in the UK; a Phase III Study, COV003 (ISRCTN89951424), in adults ≥18 years of age (including the elderly) in Brazil; and a Phase I/II study, COV005 (NCT04444674), in adults aged 18 to 65 years of age in South Africa. The studies excluded participants with severe and/or uncontrolled cardiovascular, gastrointestinal, liver, renal, endocrine/metabolic disease, and neurological illnesses; as well as those with severe immunosuppression. </w:t>
      </w:r>
      <w:bookmarkStart w:id="20" w:name="_Hlk62941851"/>
      <w:r w:rsidR="00A82104" w:rsidRPr="00763304">
        <w:t>In studies COV001 and COV002, licensed seasonal influenza and pneumococcal vaccinations were permitted (at least 7</w:t>
      </w:r>
      <w:r w:rsidR="00763304">
        <w:t> </w:t>
      </w:r>
      <w:r w:rsidR="00A82104" w:rsidRPr="00763304">
        <w:t>days before or after their study vaccine).</w:t>
      </w:r>
      <w:bookmarkEnd w:id="20"/>
      <w:r w:rsidR="00A82104" w:rsidRPr="00763304">
        <w:t xml:space="preserve"> </w:t>
      </w:r>
      <w:r w:rsidR="009D6010" w:rsidRPr="00763304">
        <w:t>All participants are planned to be followed for up to 12 months, for assessments of safety and efficacy against COVID-19 disease.</w:t>
      </w:r>
      <w:r w:rsidR="00763304">
        <w:t xml:space="preserve"> </w:t>
      </w:r>
      <w:r w:rsidRPr="00763304">
        <w:t>These studies are ongoing.</w:t>
      </w:r>
    </w:p>
    <w:p w14:paraId="1EF9C291" w14:textId="6FFF7135" w:rsidR="00C02ED7" w:rsidRPr="00763304" w:rsidRDefault="006525A7" w:rsidP="00C02ED7">
      <w:pPr>
        <w:pStyle w:val="Paragraph"/>
      </w:pPr>
      <w:r w:rsidRPr="00763304">
        <w:t>The</w:t>
      </w:r>
      <w:r w:rsidR="009D6010" w:rsidRPr="00763304">
        <w:t xml:space="preserve"> interim efficacy analysis</w:t>
      </w:r>
      <w:r w:rsidRPr="00763304">
        <w:t xml:space="preserve"> was based upon the results of</w:t>
      </w:r>
      <w:r w:rsidR="009D6010" w:rsidRPr="00763304">
        <w:t xml:space="preserve"> COV002 and COV003</w:t>
      </w:r>
      <w:r w:rsidRPr="00763304">
        <w:t xml:space="preserve">, as at that time studies COV001 and COV005 had &lt;5 </w:t>
      </w:r>
      <w:r w:rsidR="009D6010" w:rsidRPr="00763304">
        <w:t xml:space="preserve">virologically confirmed COVID-19 cases per study and therefore </w:t>
      </w:r>
      <w:r w:rsidRPr="00763304">
        <w:t>did not meet the predefined statistical threshold to be included in the</w:t>
      </w:r>
      <w:r w:rsidR="009D6010" w:rsidRPr="00763304">
        <w:t xml:space="preserve"> efficacy analysis.</w:t>
      </w:r>
      <w:r w:rsidR="00517D99" w:rsidRPr="00763304">
        <w:t xml:space="preserve"> </w:t>
      </w:r>
    </w:p>
    <w:p w14:paraId="1EF9C292" w14:textId="56A80397" w:rsidR="00C02ED7" w:rsidRPr="00763304" w:rsidRDefault="009D6010" w:rsidP="00C02ED7">
      <w:pPr>
        <w:pStyle w:val="Paragraph"/>
      </w:pPr>
      <w:r w:rsidRPr="00763304">
        <w:t xml:space="preserve">In the pooled analysis for efficacy (COV002 and COV003), participants ≥18 years of age received two doses of </w:t>
      </w:r>
      <w:r w:rsidR="00E56F2B">
        <w:t>VAXZEVRIA</w:t>
      </w:r>
      <w:r w:rsidRPr="00763304">
        <w:t xml:space="preserve"> (N=5,807) or control (meningococcal vaccine or saline) (N=5,829). Participants randomised to </w:t>
      </w:r>
      <w:r w:rsidR="00E56F2B">
        <w:t>VAXZEVRIA</w:t>
      </w:r>
      <w:r w:rsidRPr="00763304">
        <w:t xml:space="preserve"> received either two standard doses [SD] (5×10</w:t>
      </w:r>
      <w:r w:rsidRPr="00763304">
        <w:rPr>
          <w:vertAlign w:val="superscript"/>
        </w:rPr>
        <w:t>10</w:t>
      </w:r>
      <w:r w:rsidRPr="00763304">
        <w:t> vp per dose) or one low dose [LD] (2.2×10</w:t>
      </w:r>
      <w:r w:rsidRPr="00763304">
        <w:rPr>
          <w:vertAlign w:val="superscript"/>
        </w:rPr>
        <w:t>10</w:t>
      </w:r>
      <w:r w:rsidRPr="00763304">
        <w:t> vp) followed by one SD (5×10</w:t>
      </w:r>
      <w:r w:rsidRPr="00763304">
        <w:rPr>
          <w:vertAlign w:val="superscript"/>
        </w:rPr>
        <w:t>10</w:t>
      </w:r>
      <w:r w:rsidRPr="00763304">
        <w:t>vp), administered via IM injection.</w:t>
      </w:r>
      <w:r w:rsidR="00517D99" w:rsidRPr="00763304">
        <w:t xml:space="preserve"> </w:t>
      </w:r>
    </w:p>
    <w:p w14:paraId="1EF9C293" w14:textId="36CAA5C8" w:rsidR="00C02ED7" w:rsidRPr="00763304" w:rsidRDefault="009D6010" w:rsidP="00C02ED7">
      <w:pPr>
        <w:pStyle w:val="Paragraph"/>
      </w:pPr>
      <w:r w:rsidRPr="00763304">
        <w:t>Because of logistical constraints, the interval between dose 1 and dose 2 ranged from 4 to 26 weeks.</w:t>
      </w:r>
    </w:p>
    <w:p w14:paraId="1EF9C294" w14:textId="010A4275" w:rsidR="00C02ED7" w:rsidRPr="00763304" w:rsidRDefault="009D6010" w:rsidP="00C02ED7">
      <w:pPr>
        <w:pStyle w:val="Paragraph"/>
      </w:pPr>
      <w:r w:rsidRPr="00763304">
        <w:t xml:space="preserve">Baseline demographics were well balanced across </w:t>
      </w:r>
      <w:r w:rsidR="00E56F2B">
        <w:t>VAXZEVRIA</w:t>
      </w:r>
      <w:r w:rsidRPr="00763304">
        <w:t xml:space="preserve"> and control treatment groups. In the pooled analysis, </w:t>
      </w:r>
      <w:r w:rsidR="00F14D77" w:rsidRPr="00763304">
        <w:t xml:space="preserve">among the participants who received </w:t>
      </w:r>
      <w:r w:rsidR="00E56F2B">
        <w:t>VAXZEVRIA</w:t>
      </w:r>
      <w:r w:rsidR="00F14D77" w:rsidRPr="00763304">
        <w:t xml:space="preserve">, </w:t>
      </w:r>
      <w:r w:rsidRPr="00763304">
        <w:t>94.1% of participants were 18 to 6</w:t>
      </w:r>
      <w:r w:rsidR="00F14D77" w:rsidRPr="00763304">
        <w:t>4</w:t>
      </w:r>
      <w:r w:rsidR="00D14729" w:rsidRPr="00763304">
        <w:t> </w:t>
      </w:r>
      <w:r w:rsidRPr="00763304">
        <w:t xml:space="preserve"> years old (with 5.9% aged 65 or older); 60.7% of subjects were female; 82.8% were White, 4.6% were Asian, and 4.4% were Black.  A total of 2,070 (35.6%) participants had at least one pre-existing </w:t>
      </w:r>
      <w:r w:rsidR="0008235A" w:rsidRPr="00763304">
        <w:t xml:space="preserve">mild </w:t>
      </w:r>
      <w:r w:rsidRPr="00763304">
        <w:t>comorbidity (defined as a BMI ≥30</w:t>
      </w:r>
      <w:r w:rsidR="00D14729" w:rsidRPr="00763304">
        <w:t> Kg</w:t>
      </w:r>
      <w:r w:rsidRPr="00763304">
        <w:t>/m</w:t>
      </w:r>
      <w:r w:rsidRPr="00763304">
        <w:rPr>
          <w:vertAlign w:val="superscript"/>
        </w:rPr>
        <w:t>2</w:t>
      </w:r>
      <w:r w:rsidRPr="00763304">
        <w:t>, cardiovascular disorder, respiratory disease or diabetes).  At the time of interim analysis the median follow up time post-dose 1 was 4.7</w:t>
      </w:r>
      <w:r w:rsidR="00D14729" w:rsidRPr="00763304">
        <w:t> </w:t>
      </w:r>
      <w:r w:rsidRPr="00763304">
        <w:t xml:space="preserve">months and </w:t>
      </w:r>
      <w:r w:rsidR="0008235A" w:rsidRPr="00763304">
        <w:t xml:space="preserve">post-dose 2 was </w:t>
      </w:r>
      <w:r w:rsidRPr="00763304">
        <w:t>2.2</w:t>
      </w:r>
      <w:r w:rsidR="00D14729" w:rsidRPr="00763304">
        <w:t> </w:t>
      </w:r>
      <w:r w:rsidRPr="00763304">
        <w:t>months.</w:t>
      </w:r>
    </w:p>
    <w:p w14:paraId="1EF9C296" w14:textId="6E48896C" w:rsidR="009E5FAB" w:rsidRDefault="009D6010" w:rsidP="00D1487C">
      <w:pPr>
        <w:pStyle w:val="Paragraph"/>
      </w:pPr>
      <w:r w:rsidRPr="00763304">
        <w:t xml:space="preserve">The primary efficacy endpoint was symptomatic COVID-19 infection, defined as objective fever (≥37.8°C), cough, shortness of breath, anosmia, or ageusia with virologically confirmed COVID-19 occurring ≥15 days post second dose, in participants without serological evidence of previous </w:t>
      </w:r>
      <w:r w:rsidRPr="00763304">
        <w:lastRenderedPageBreak/>
        <w:t>SARS</w:t>
      </w:r>
      <w:r w:rsidR="006B17FE" w:rsidRPr="00763304">
        <w:t>-</w:t>
      </w:r>
      <w:r w:rsidRPr="00763304">
        <w:t>C</w:t>
      </w:r>
      <w:r w:rsidR="006B17FE" w:rsidRPr="00763304">
        <w:t>o</w:t>
      </w:r>
      <w:r w:rsidRPr="00763304">
        <w:t>V</w:t>
      </w:r>
      <w:r w:rsidR="006B17FE" w:rsidRPr="00763304">
        <w:t>-</w:t>
      </w:r>
      <w:r w:rsidRPr="00763304">
        <w:t>2 infection.</w:t>
      </w:r>
      <w:r w:rsidR="00394816" w:rsidRPr="00763304">
        <w:t xml:space="preserve">  </w:t>
      </w:r>
      <w:r w:rsidRPr="00763304">
        <w:t>Final determination of COVID-19 cases were made by an adjudication committee, who also assigned disease severity according to the WHO clinical progression scale. A total of 131</w:t>
      </w:r>
      <w:r w:rsidR="00D14729" w:rsidRPr="00763304">
        <w:t> </w:t>
      </w:r>
      <w:r w:rsidRPr="00763304">
        <w:t>participants</w:t>
      </w:r>
      <w:r w:rsidR="00394816" w:rsidRPr="00763304">
        <w:t xml:space="preserve"> met the primary efficacy endpoint criteria</w:t>
      </w:r>
      <w:r w:rsidRPr="00763304">
        <w:t xml:space="preserve">.  </w:t>
      </w:r>
      <w:r w:rsidR="00E56F2B">
        <w:t>VAXZEVRIA</w:t>
      </w:r>
      <w:r w:rsidRPr="00763304">
        <w:t xml:space="preserve"> significantly decreased the incidence of COVID</w:t>
      </w:r>
      <w:r w:rsidR="00D14729" w:rsidRPr="00763304">
        <w:t>-</w:t>
      </w:r>
      <w:r w:rsidRPr="00763304">
        <w:t xml:space="preserve">19 compared to control (see </w:t>
      </w:r>
      <w:r w:rsidRPr="00763304">
        <w:fldChar w:fldCharType="begin"/>
      </w:r>
      <w:r w:rsidRPr="00763304">
        <w:instrText xml:space="preserve"> REF _Ref59531993 \h  \* MERGEFORMAT </w:instrText>
      </w:r>
      <w:r w:rsidRPr="00763304">
        <w:fldChar w:fldCharType="separate"/>
      </w:r>
      <w:r w:rsidR="00D222AF" w:rsidRPr="00763304">
        <w:t>Table </w:t>
      </w:r>
      <w:r w:rsidR="00D222AF">
        <w:t>3</w:t>
      </w:r>
      <w:r w:rsidRPr="00763304">
        <w:fldChar w:fldCharType="end"/>
      </w:r>
      <w:r w:rsidRPr="00763304">
        <w:t>).</w:t>
      </w:r>
    </w:p>
    <w:p w14:paraId="1EF9C297" w14:textId="25097B97" w:rsidR="00D1487C" w:rsidRPr="00763304" w:rsidRDefault="009D6010" w:rsidP="00D1487C">
      <w:pPr>
        <w:pStyle w:val="TableTitle"/>
      </w:pPr>
      <w:bookmarkStart w:id="21" w:name="_Ref59531993"/>
      <w:r w:rsidRPr="00763304">
        <w:t>Table </w:t>
      </w:r>
      <w:r w:rsidRPr="00763304">
        <w:fldChar w:fldCharType="begin"/>
      </w:r>
      <w:r w:rsidRPr="00763304">
        <w:instrText xml:space="preserve"> SEQ Table \* ARABIC </w:instrText>
      </w:r>
      <w:r w:rsidRPr="00763304">
        <w:fldChar w:fldCharType="separate"/>
      </w:r>
      <w:r w:rsidR="009A35B7">
        <w:rPr>
          <w:noProof/>
        </w:rPr>
        <w:t>3</w:t>
      </w:r>
      <w:r w:rsidRPr="00763304">
        <w:fldChar w:fldCharType="end"/>
      </w:r>
      <w:bookmarkEnd w:id="21"/>
      <w:r w:rsidRPr="00763304">
        <w:tab/>
      </w:r>
      <w:r w:rsidR="00E56F2B">
        <w:t>VAXZEVRIA</w:t>
      </w:r>
      <w:r w:rsidRPr="00763304">
        <w:t xml:space="preserve"> efficacy against </w:t>
      </w:r>
      <w:r w:rsidR="002D18DD" w:rsidRPr="00763304">
        <w:t>COVID-19</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114"/>
        <w:gridCol w:w="992"/>
        <w:gridCol w:w="1418"/>
        <w:gridCol w:w="850"/>
        <w:gridCol w:w="1276"/>
        <w:gridCol w:w="1988"/>
      </w:tblGrid>
      <w:tr w:rsidR="00444376" w:rsidRPr="00763304" w14:paraId="1EF9C29C" w14:textId="77777777" w:rsidTr="004E0E95">
        <w:trPr>
          <w:cantSplit/>
          <w:tblHeader/>
        </w:trPr>
        <w:tc>
          <w:tcPr>
            <w:tcW w:w="3114" w:type="dxa"/>
            <w:vMerge w:val="restart"/>
            <w:shd w:val="clear" w:color="auto" w:fill="auto"/>
            <w:vAlign w:val="center"/>
          </w:tcPr>
          <w:p w14:paraId="1EF9C298" w14:textId="77777777" w:rsidR="009C4788" w:rsidRPr="00763304" w:rsidRDefault="009D6010" w:rsidP="009C4788">
            <w:pPr>
              <w:pStyle w:val="TableHead"/>
              <w:jc w:val="left"/>
            </w:pPr>
            <w:r w:rsidRPr="00763304">
              <w:t>Population</w:t>
            </w:r>
          </w:p>
        </w:tc>
        <w:tc>
          <w:tcPr>
            <w:tcW w:w="2410" w:type="dxa"/>
            <w:gridSpan w:val="2"/>
            <w:shd w:val="clear" w:color="auto" w:fill="auto"/>
            <w:vAlign w:val="center"/>
          </w:tcPr>
          <w:p w14:paraId="1EF9C299" w14:textId="77D72259" w:rsidR="009C4788" w:rsidRPr="00763304" w:rsidRDefault="00E56F2B" w:rsidP="009C4788">
            <w:pPr>
              <w:pStyle w:val="TableHead"/>
            </w:pPr>
            <w:r>
              <w:t>VAXZEVRIA</w:t>
            </w:r>
          </w:p>
        </w:tc>
        <w:tc>
          <w:tcPr>
            <w:tcW w:w="2126" w:type="dxa"/>
            <w:gridSpan w:val="2"/>
            <w:shd w:val="clear" w:color="auto" w:fill="auto"/>
            <w:vAlign w:val="center"/>
          </w:tcPr>
          <w:p w14:paraId="1EF9C29A" w14:textId="77777777" w:rsidR="009C4788" w:rsidRPr="00763304" w:rsidRDefault="009D6010" w:rsidP="009C4788">
            <w:pPr>
              <w:pStyle w:val="TableHead"/>
            </w:pPr>
            <w:r w:rsidRPr="00763304">
              <w:t>Control</w:t>
            </w:r>
          </w:p>
        </w:tc>
        <w:tc>
          <w:tcPr>
            <w:tcW w:w="1988" w:type="dxa"/>
            <w:vMerge w:val="restart"/>
            <w:shd w:val="clear" w:color="auto" w:fill="auto"/>
            <w:vAlign w:val="center"/>
          </w:tcPr>
          <w:p w14:paraId="1EF9C29B" w14:textId="77777777" w:rsidR="009C4788" w:rsidRPr="00763304" w:rsidRDefault="009D6010" w:rsidP="009C4788">
            <w:pPr>
              <w:pStyle w:val="TableHead"/>
            </w:pPr>
            <w:r w:rsidRPr="00763304">
              <w:t>Vaccine efficacy % (95.84% CI)</w:t>
            </w:r>
          </w:p>
        </w:tc>
      </w:tr>
      <w:tr w:rsidR="00444376" w:rsidRPr="00763304" w14:paraId="1EF9C2A3" w14:textId="77777777" w:rsidTr="004E0E95">
        <w:trPr>
          <w:cantSplit/>
          <w:tblHeader/>
        </w:trPr>
        <w:tc>
          <w:tcPr>
            <w:tcW w:w="3114" w:type="dxa"/>
            <w:vMerge/>
            <w:shd w:val="clear" w:color="auto" w:fill="auto"/>
          </w:tcPr>
          <w:p w14:paraId="1EF9C29D" w14:textId="77777777" w:rsidR="009C4788" w:rsidRPr="00763304" w:rsidRDefault="009C4788" w:rsidP="009C4788">
            <w:pPr>
              <w:pStyle w:val="TableHead"/>
              <w:jc w:val="left"/>
            </w:pPr>
          </w:p>
        </w:tc>
        <w:tc>
          <w:tcPr>
            <w:tcW w:w="992" w:type="dxa"/>
            <w:shd w:val="clear" w:color="auto" w:fill="auto"/>
            <w:vAlign w:val="center"/>
          </w:tcPr>
          <w:p w14:paraId="1EF9C29E" w14:textId="77777777" w:rsidR="009C4788" w:rsidRPr="00763304" w:rsidRDefault="009D6010" w:rsidP="009C4788">
            <w:pPr>
              <w:pStyle w:val="TableHead"/>
            </w:pPr>
            <w:r w:rsidRPr="00763304">
              <w:t>N</w:t>
            </w:r>
          </w:p>
        </w:tc>
        <w:tc>
          <w:tcPr>
            <w:tcW w:w="1418" w:type="dxa"/>
            <w:shd w:val="clear" w:color="auto" w:fill="auto"/>
            <w:vAlign w:val="center"/>
          </w:tcPr>
          <w:p w14:paraId="1EF9C29F" w14:textId="490C75D5" w:rsidR="009C4788" w:rsidRPr="00763304" w:rsidRDefault="009D6010" w:rsidP="009C4788">
            <w:pPr>
              <w:pStyle w:val="TableHead"/>
            </w:pPr>
            <w:r w:rsidRPr="00763304">
              <w:t>Number of COVID-19 cases, n (%)</w:t>
            </w:r>
          </w:p>
        </w:tc>
        <w:tc>
          <w:tcPr>
            <w:tcW w:w="850" w:type="dxa"/>
            <w:shd w:val="clear" w:color="auto" w:fill="auto"/>
            <w:vAlign w:val="center"/>
          </w:tcPr>
          <w:p w14:paraId="1EF9C2A0" w14:textId="77777777" w:rsidR="009C4788" w:rsidRPr="00763304" w:rsidRDefault="009D6010" w:rsidP="009C4788">
            <w:pPr>
              <w:pStyle w:val="TableHead"/>
            </w:pPr>
            <w:r w:rsidRPr="00763304">
              <w:t>N</w:t>
            </w:r>
          </w:p>
        </w:tc>
        <w:tc>
          <w:tcPr>
            <w:tcW w:w="1276" w:type="dxa"/>
            <w:shd w:val="clear" w:color="auto" w:fill="auto"/>
            <w:vAlign w:val="center"/>
          </w:tcPr>
          <w:p w14:paraId="1EF9C2A1" w14:textId="7E114DB5" w:rsidR="009C4788" w:rsidRPr="00763304" w:rsidRDefault="009D6010" w:rsidP="009C4788">
            <w:pPr>
              <w:pStyle w:val="TableHead"/>
            </w:pPr>
            <w:r w:rsidRPr="00763304">
              <w:t>Number of COVID-19 cases, n (%)</w:t>
            </w:r>
          </w:p>
        </w:tc>
        <w:tc>
          <w:tcPr>
            <w:tcW w:w="1988" w:type="dxa"/>
            <w:vMerge/>
            <w:shd w:val="clear" w:color="auto" w:fill="auto"/>
          </w:tcPr>
          <w:p w14:paraId="1EF9C2A2" w14:textId="77777777" w:rsidR="009C4788" w:rsidRPr="00763304" w:rsidRDefault="009C4788" w:rsidP="009C4788">
            <w:pPr>
              <w:pStyle w:val="TableHead"/>
            </w:pPr>
          </w:p>
        </w:tc>
      </w:tr>
      <w:tr w:rsidR="00444376" w:rsidRPr="00763304" w14:paraId="1EF9C2A5" w14:textId="77777777" w:rsidTr="00DB43E7">
        <w:trPr>
          <w:cantSplit/>
        </w:trPr>
        <w:tc>
          <w:tcPr>
            <w:tcW w:w="9638" w:type="dxa"/>
            <w:gridSpan w:val="6"/>
            <w:shd w:val="clear" w:color="auto" w:fill="auto"/>
          </w:tcPr>
          <w:p w14:paraId="1EF9C2A4" w14:textId="77777777" w:rsidR="009C4788" w:rsidRPr="00763304" w:rsidRDefault="009D6010" w:rsidP="009C4788">
            <w:pPr>
              <w:pStyle w:val="TableCenter"/>
              <w:jc w:val="left"/>
              <w:rPr>
                <w:b/>
                <w:bCs/>
                <w:i/>
                <w:iCs/>
                <w:szCs w:val="20"/>
              </w:rPr>
            </w:pPr>
            <w:r w:rsidRPr="00763304">
              <w:rPr>
                <w:b/>
                <w:bCs/>
                <w:i/>
                <w:iCs/>
                <w:szCs w:val="20"/>
              </w:rPr>
              <w:t>Primary analysis population</w:t>
            </w:r>
          </w:p>
        </w:tc>
      </w:tr>
      <w:tr w:rsidR="00444376" w:rsidRPr="00763304" w14:paraId="1EF9C2AC" w14:textId="77777777" w:rsidTr="004E0E95">
        <w:trPr>
          <w:cantSplit/>
        </w:trPr>
        <w:tc>
          <w:tcPr>
            <w:tcW w:w="3114" w:type="dxa"/>
            <w:shd w:val="clear" w:color="auto" w:fill="auto"/>
            <w:vAlign w:val="center"/>
          </w:tcPr>
          <w:p w14:paraId="1EF9C2A6" w14:textId="3E7184DB" w:rsidR="009C4788" w:rsidRPr="00763304" w:rsidRDefault="009D6010" w:rsidP="009C4788">
            <w:pPr>
              <w:pStyle w:val="TableCenter"/>
              <w:jc w:val="left"/>
              <w:rPr>
                <w:szCs w:val="20"/>
              </w:rPr>
            </w:pPr>
            <w:r w:rsidRPr="00763304">
              <w:rPr>
                <w:szCs w:val="20"/>
              </w:rPr>
              <w:t xml:space="preserve">Participants who had 2 doses of </w:t>
            </w:r>
            <w:r w:rsidR="0008220D" w:rsidRPr="003C2EEE">
              <w:rPr>
                <w:szCs w:val="20"/>
              </w:rPr>
              <w:t>VAXZEVRIA</w:t>
            </w:r>
            <w:r w:rsidRPr="003C2EEE">
              <w:rPr>
                <w:szCs w:val="20"/>
              </w:rPr>
              <w:t xml:space="preserve"> </w:t>
            </w:r>
            <w:r w:rsidR="0051238A" w:rsidRPr="003C2EEE">
              <w:rPr>
                <w:szCs w:val="20"/>
              </w:rPr>
              <w:t>&amp;</w:t>
            </w:r>
            <w:r w:rsidRPr="003C2EEE">
              <w:rPr>
                <w:szCs w:val="20"/>
              </w:rPr>
              <w:t xml:space="preserve"> were</w:t>
            </w:r>
            <w:r w:rsidRPr="00763304">
              <w:rPr>
                <w:szCs w:val="20"/>
              </w:rPr>
              <w:t xml:space="preserve"> seronegative at baseline </w:t>
            </w:r>
            <w:r w:rsidR="0051238A" w:rsidRPr="00763304">
              <w:rPr>
                <w:szCs w:val="20"/>
              </w:rPr>
              <w:t>&amp;</w:t>
            </w:r>
            <w:r w:rsidRPr="00763304">
              <w:rPr>
                <w:szCs w:val="20"/>
              </w:rPr>
              <w:t xml:space="preserve"> followed </w:t>
            </w:r>
            <w:r w:rsidR="007D3E36" w:rsidRPr="00763304">
              <w:rPr>
                <w:szCs w:val="20"/>
              </w:rPr>
              <w:t>≥</w:t>
            </w:r>
            <w:r w:rsidRPr="00763304">
              <w:rPr>
                <w:szCs w:val="20"/>
              </w:rPr>
              <w:t xml:space="preserve">15 days after the </w:t>
            </w:r>
            <w:r w:rsidR="0051238A" w:rsidRPr="00763304">
              <w:rPr>
                <w:szCs w:val="20"/>
              </w:rPr>
              <w:t>2</w:t>
            </w:r>
            <w:r w:rsidR="0051238A" w:rsidRPr="00763304">
              <w:rPr>
                <w:szCs w:val="20"/>
                <w:vertAlign w:val="superscript"/>
              </w:rPr>
              <w:t>nd</w:t>
            </w:r>
            <w:r w:rsidR="0051238A" w:rsidRPr="00763304">
              <w:rPr>
                <w:szCs w:val="20"/>
              </w:rPr>
              <w:t xml:space="preserve"> </w:t>
            </w:r>
            <w:r w:rsidRPr="00763304">
              <w:rPr>
                <w:szCs w:val="20"/>
              </w:rPr>
              <w:t xml:space="preserve">dose </w:t>
            </w:r>
            <w:r w:rsidRPr="00763304">
              <w:rPr>
                <w:szCs w:val="20"/>
                <w:vertAlign w:val="superscript"/>
              </w:rPr>
              <w:t>a</w:t>
            </w:r>
          </w:p>
        </w:tc>
        <w:tc>
          <w:tcPr>
            <w:tcW w:w="992" w:type="dxa"/>
            <w:shd w:val="clear" w:color="auto" w:fill="auto"/>
            <w:vAlign w:val="center"/>
          </w:tcPr>
          <w:p w14:paraId="1EF9C2A7" w14:textId="77777777" w:rsidR="009C4788" w:rsidRPr="00763304" w:rsidRDefault="009D6010" w:rsidP="009C4788">
            <w:pPr>
              <w:pStyle w:val="TableCenter"/>
              <w:rPr>
                <w:szCs w:val="20"/>
              </w:rPr>
            </w:pPr>
            <w:r w:rsidRPr="00763304">
              <w:rPr>
                <w:szCs w:val="20"/>
              </w:rPr>
              <w:t>5807</w:t>
            </w:r>
          </w:p>
        </w:tc>
        <w:tc>
          <w:tcPr>
            <w:tcW w:w="1418" w:type="dxa"/>
            <w:shd w:val="clear" w:color="auto" w:fill="auto"/>
            <w:vAlign w:val="center"/>
          </w:tcPr>
          <w:p w14:paraId="1EF9C2A8" w14:textId="77777777" w:rsidR="009C4788" w:rsidRPr="00763304" w:rsidRDefault="009D6010" w:rsidP="009C4788">
            <w:pPr>
              <w:pStyle w:val="TableCenter"/>
              <w:rPr>
                <w:szCs w:val="20"/>
              </w:rPr>
            </w:pPr>
            <w:r w:rsidRPr="00763304">
              <w:rPr>
                <w:szCs w:val="20"/>
              </w:rPr>
              <w:t>30 (0.52)</w:t>
            </w:r>
          </w:p>
        </w:tc>
        <w:tc>
          <w:tcPr>
            <w:tcW w:w="850" w:type="dxa"/>
            <w:shd w:val="clear" w:color="auto" w:fill="auto"/>
            <w:vAlign w:val="center"/>
          </w:tcPr>
          <w:p w14:paraId="1EF9C2A9" w14:textId="77777777" w:rsidR="009C4788" w:rsidRPr="00763304" w:rsidRDefault="009D6010" w:rsidP="009C4788">
            <w:pPr>
              <w:pStyle w:val="TableCenter"/>
              <w:rPr>
                <w:szCs w:val="20"/>
              </w:rPr>
            </w:pPr>
            <w:r w:rsidRPr="00763304">
              <w:rPr>
                <w:szCs w:val="20"/>
              </w:rPr>
              <w:t>5829</w:t>
            </w:r>
          </w:p>
        </w:tc>
        <w:tc>
          <w:tcPr>
            <w:tcW w:w="1276" w:type="dxa"/>
            <w:shd w:val="clear" w:color="auto" w:fill="auto"/>
            <w:vAlign w:val="center"/>
          </w:tcPr>
          <w:p w14:paraId="1EF9C2AA" w14:textId="77777777" w:rsidR="009C4788" w:rsidRPr="00763304" w:rsidRDefault="009D6010" w:rsidP="009C4788">
            <w:pPr>
              <w:pStyle w:val="TableCenter"/>
              <w:rPr>
                <w:szCs w:val="20"/>
              </w:rPr>
            </w:pPr>
            <w:r w:rsidRPr="00763304">
              <w:rPr>
                <w:szCs w:val="20"/>
              </w:rPr>
              <w:t>101 (1.73)</w:t>
            </w:r>
          </w:p>
        </w:tc>
        <w:tc>
          <w:tcPr>
            <w:tcW w:w="1988" w:type="dxa"/>
            <w:shd w:val="clear" w:color="auto" w:fill="auto"/>
            <w:vAlign w:val="center"/>
          </w:tcPr>
          <w:p w14:paraId="1EF9C2AB" w14:textId="3E78B4A4" w:rsidR="009C4788" w:rsidRPr="00763304" w:rsidRDefault="009D6010" w:rsidP="009C4788">
            <w:pPr>
              <w:pStyle w:val="TableCenter"/>
              <w:rPr>
                <w:szCs w:val="20"/>
              </w:rPr>
            </w:pPr>
            <w:r w:rsidRPr="00763304">
              <w:rPr>
                <w:szCs w:val="20"/>
              </w:rPr>
              <w:t>70.42</w:t>
            </w:r>
            <w:r w:rsidRPr="00763304">
              <w:rPr>
                <w:szCs w:val="20"/>
              </w:rPr>
              <w:br/>
              <w:t>(</w:t>
            </w:r>
            <w:r w:rsidR="006864E0" w:rsidRPr="00763304">
              <w:rPr>
                <w:szCs w:val="20"/>
              </w:rPr>
              <w:t>54</w:t>
            </w:r>
            <w:r w:rsidRPr="00763304">
              <w:rPr>
                <w:szCs w:val="20"/>
              </w:rPr>
              <w:t>.84, 80.63)</w:t>
            </w:r>
          </w:p>
        </w:tc>
      </w:tr>
      <w:tr w:rsidR="00444376" w:rsidRPr="00763304" w14:paraId="1EF9C2AE" w14:textId="77777777" w:rsidTr="00DB43E7">
        <w:trPr>
          <w:cantSplit/>
        </w:trPr>
        <w:tc>
          <w:tcPr>
            <w:tcW w:w="9638" w:type="dxa"/>
            <w:gridSpan w:val="6"/>
            <w:shd w:val="clear" w:color="auto" w:fill="auto"/>
          </w:tcPr>
          <w:p w14:paraId="1EF9C2AD" w14:textId="77777777" w:rsidR="009C4788" w:rsidRPr="00763304" w:rsidRDefault="009D6010" w:rsidP="009C4788">
            <w:pPr>
              <w:pStyle w:val="TableCenter"/>
              <w:jc w:val="left"/>
              <w:rPr>
                <w:b/>
                <w:bCs/>
                <w:i/>
                <w:iCs/>
                <w:szCs w:val="20"/>
              </w:rPr>
            </w:pPr>
            <w:r w:rsidRPr="00763304">
              <w:rPr>
                <w:b/>
                <w:bCs/>
                <w:i/>
                <w:iCs/>
                <w:szCs w:val="20"/>
              </w:rPr>
              <w:t>Licensing regimen</w:t>
            </w:r>
          </w:p>
        </w:tc>
      </w:tr>
      <w:tr w:rsidR="00444376" w:rsidRPr="00763304" w14:paraId="1EF9C2B5" w14:textId="77777777" w:rsidTr="004E0E95">
        <w:trPr>
          <w:cantSplit/>
        </w:trPr>
        <w:tc>
          <w:tcPr>
            <w:tcW w:w="3114" w:type="dxa"/>
            <w:shd w:val="clear" w:color="auto" w:fill="auto"/>
            <w:vAlign w:val="center"/>
          </w:tcPr>
          <w:p w14:paraId="1EF9C2AF" w14:textId="2763084E" w:rsidR="009C4788" w:rsidRPr="00763304" w:rsidRDefault="009D6010" w:rsidP="009C4788">
            <w:pPr>
              <w:pStyle w:val="TableCenter"/>
              <w:jc w:val="left"/>
              <w:rPr>
                <w:szCs w:val="20"/>
              </w:rPr>
            </w:pPr>
            <w:r w:rsidRPr="00763304">
              <w:rPr>
                <w:szCs w:val="20"/>
              </w:rPr>
              <w:t xml:space="preserve">Participants who had </w:t>
            </w:r>
            <w:r w:rsidR="0051238A" w:rsidRPr="00763304">
              <w:rPr>
                <w:szCs w:val="20"/>
              </w:rPr>
              <w:t>2</w:t>
            </w:r>
            <w:r w:rsidRPr="00763304">
              <w:rPr>
                <w:szCs w:val="20"/>
              </w:rPr>
              <w:t xml:space="preserve"> doses of the standard dose </w:t>
            </w:r>
            <w:r w:rsidR="0051238A" w:rsidRPr="00763304">
              <w:rPr>
                <w:szCs w:val="20"/>
              </w:rPr>
              <w:t>&amp;</w:t>
            </w:r>
            <w:r w:rsidRPr="00763304">
              <w:rPr>
                <w:szCs w:val="20"/>
              </w:rPr>
              <w:t xml:space="preserve"> were followed for </w:t>
            </w:r>
            <w:r w:rsidR="007D3E36" w:rsidRPr="00763304">
              <w:rPr>
                <w:szCs w:val="20"/>
              </w:rPr>
              <w:t>≥</w:t>
            </w:r>
            <w:r w:rsidRPr="00763304">
              <w:rPr>
                <w:szCs w:val="20"/>
              </w:rPr>
              <w:t xml:space="preserve">15 days after the </w:t>
            </w:r>
            <w:r w:rsidR="0051238A" w:rsidRPr="00763304">
              <w:rPr>
                <w:szCs w:val="20"/>
              </w:rPr>
              <w:t>2</w:t>
            </w:r>
            <w:r w:rsidR="0051238A" w:rsidRPr="00763304">
              <w:rPr>
                <w:szCs w:val="20"/>
                <w:vertAlign w:val="superscript"/>
              </w:rPr>
              <w:t>nd</w:t>
            </w:r>
            <w:r w:rsidR="0051238A" w:rsidRPr="00763304">
              <w:rPr>
                <w:szCs w:val="20"/>
              </w:rPr>
              <w:t xml:space="preserve"> </w:t>
            </w:r>
            <w:r w:rsidRPr="00763304">
              <w:rPr>
                <w:szCs w:val="20"/>
              </w:rPr>
              <w:t>dose.</w:t>
            </w:r>
          </w:p>
        </w:tc>
        <w:tc>
          <w:tcPr>
            <w:tcW w:w="992" w:type="dxa"/>
            <w:shd w:val="clear" w:color="auto" w:fill="auto"/>
            <w:vAlign w:val="center"/>
          </w:tcPr>
          <w:p w14:paraId="1EF9C2B0" w14:textId="77777777" w:rsidR="009C4788" w:rsidRPr="00763304" w:rsidRDefault="009D6010" w:rsidP="009C4788">
            <w:pPr>
              <w:pStyle w:val="TableCenter"/>
              <w:rPr>
                <w:szCs w:val="20"/>
              </w:rPr>
            </w:pPr>
            <w:r w:rsidRPr="00763304">
              <w:rPr>
                <w:szCs w:val="20"/>
              </w:rPr>
              <w:t>4440</w:t>
            </w:r>
          </w:p>
        </w:tc>
        <w:tc>
          <w:tcPr>
            <w:tcW w:w="1418" w:type="dxa"/>
            <w:shd w:val="clear" w:color="auto" w:fill="auto"/>
            <w:vAlign w:val="center"/>
          </w:tcPr>
          <w:p w14:paraId="1EF9C2B1" w14:textId="77777777" w:rsidR="009C4788" w:rsidRPr="00763304" w:rsidRDefault="009D6010" w:rsidP="009C4788">
            <w:pPr>
              <w:pStyle w:val="TableCenter"/>
              <w:rPr>
                <w:szCs w:val="20"/>
              </w:rPr>
            </w:pPr>
            <w:r w:rsidRPr="00763304">
              <w:rPr>
                <w:szCs w:val="20"/>
              </w:rPr>
              <w:t>27 (0.61)</w:t>
            </w:r>
          </w:p>
        </w:tc>
        <w:tc>
          <w:tcPr>
            <w:tcW w:w="850" w:type="dxa"/>
            <w:shd w:val="clear" w:color="auto" w:fill="auto"/>
            <w:vAlign w:val="center"/>
          </w:tcPr>
          <w:p w14:paraId="1EF9C2B2" w14:textId="77777777" w:rsidR="009C4788" w:rsidRPr="00763304" w:rsidRDefault="009D6010" w:rsidP="009C4788">
            <w:pPr>
              <w:pStyle w:val="TableCenter"/>
              <w:rPr>
                <w:szCs w:val="20"/>
              </w:rPr>
            </w:pPr>
            <w:r w:rsidRPr="00763304">
              <w:rPr>
                <w:szCs w:val="20"/>
              </w:rPr>
              <w:t>4455</w:t>
            </w:r>
          </w:p>
        </w:tc>
        <w:tc>
          <w:tcPr>
            <w:tcW w:w="1276" w:type="dxa"/>
            <w:shd w:val="clear" w:color="auto" w:fill="auto"/>
            <w:vAlign w:val="center"/>
          </w:tcPr>
          <w:p w14:paraId="1EF9C2B3" w14:textId="77777777" w:rsidR="009C4788" w:rsidRPr="00763304" w:rsidRDefault="009D6010" w:rsidP="009C4788">
            <w:pPr>
              <w:pStyle w:val="TableCenter"/>
              <w:rPr>
                <w:szCs w:val="20"/>
              </w:rPr>
            </w:pPr>
            <w:r w:rsidRPr="00763304">
              <w:rPr>
                <w:szCs w:val="20"/>
              </w:rPr>
              <w:t>71 (1.59)</w:t>
            </w:r>
          </w:p>
        </w:tc>
        <w:tc>
          <w:tcPr>
            <w:tcW w:w="1988" w:type="dxa"/>
            <w:shd w:val="clear" w:color="auto" w:fill="auto"/>
            <w:vAlign w:val="center"/>
          </w:tcPr>
          <w:p w14:paraId="1EF9C2B4" w14:textId="77777777" w:rsidR="009C4788" w:rsidRPr="00763304" w:rsidRDefault="009D6010" w:rsidP="009C4788">
            <w:pPr>
              <w:pStyle w:val="TableCenter"/>
              <w:rPr>
                <w:szCs w:val="20"/>
              </w:rPr>
            </w:pPr>
            <w:r w:rsidRPr="00763304">
              <w:rPr>
                <w:szCs w:val="20"/>
              </w:rPr>
              <w:t>62.10</w:t>
            </w:r>
            <w:r w:rsidRPr="00763304">
              <w:rPr>
                <w:szCs w:val="20"/>
              </w:rPr>
              <w:br/>
              <w:t>(39.96, 76.08)</w:t>
            </w:r>
          </w:p>
        </w:tc>
      </w:tr>
    </w:tbl>
    <w:p w14:paraId="1EF9C2BF" w14:textId="567EEE73" w:rsidR="009C4788" w:rsidRPr="00763304" w:rsidRDefault="009D6010" w:rsidP="00414470">
      <w:pPr>
        <w:pStyle w:val="TableFootnoteInfo"/>
      </w:pPr>
      <w:r w:rsidRPr="00763304">
        <w:t>N = Number of subjects included in each group; n = Number of subjects having a confirmed event; CI = Confidence Interval</w:t>
      </w:r>
    </w:p>
    <w:p w14:paraId="1EF9C2C1" w14:textId="584B9246" w:rsidR="00394816" w:rsidRPr="00763304" w:rsidRDefault="007620BE" w:rsidP="00FC453A">
      <w:pPr>
        <w:pStyle w:val="TableFootnoteLetter"/>
        <w:numPr>
          <w:ilvl w:val="0"/>
          <w:numId w:val="14"/>
        </w:numPr>
      </w:pPr>
      <w:r w:rsidRPr="00763304">
        <w:t xml:space="preserve"> some of the participants in this group received an initial LD. These were included in the primary analysis as the immune response in this group was similar to that in the SD and efficacy would therefore be expected to be the same. However, when this subgroup was analysed, the efficacy was greater. There are many factors other than having a LD that may have influenced the results (including lower age, longer duration between doses), thus the use of a LD will not be considered further for regulatory purposes.  Two doses of vaccine are required.</w:t>
      </w:r>
    </w:p>
    <w:p w14:paraId="28284FAC" w14:textId="3596FEDC" w:rsidR="00D1493E" w:rsidRDefault="00D1493E">
      <w:pPr>
        <w:spacing w:after="200"/>
      </w:pPr>
    </w:p>
    <w:p w14:paraId="1EF9C2C4" w14:textId="38736835" w:rsidR="00C02ED7" w:rsidRPr="004E0E95" w:rsidRDefault="009D6010" w:rsidP="00972146">
      <w:pPr>
        <w:pStyle w:val="Paragraph"/>
      </w:pPr>
      <w:r w:rsidRPr="004E0E95">
        <w:t xml:space="preserve">The level of protection gained from </w:t>
      </w:r>
      <w:r w:rsidR="007A3D94" w:rsidRPr="004E0E95">
        <w:t>a single dose</w:t>
      </w:r>
      <w:r w:rsidRPr="004E0E95">
        <w:t xml:space="preserve"> of </w:t>
      </w:r>
      <w:r w:rsidR="00E56F2B">
        <w:t>VAXZEVRIA</w:t>
      </w:r>
      <w:r w:rsidRPr="004E0E95">
        <w:t xml:space="preserve"> was assessed in an exploratory analysis that included participants who had received one dose. </w:t>
      </w:r>
      <w:r w:rsidR="007A3D94" w:rsidRPr="004E0E95">
        <w:t xml:space="preserve"> Participants were censored from the analysis at the earliest time point of when they received a second dose or at 12 weeks post-dose 1.</w:t>
      </w:r>
      <w:r w:rsidRPr="004E0E95">
        <w:t xml:space="preserve"> In this population, vaccine efficacy from 22</w:t>
      </w:r>
      <w:r w:rsidR="00D14729" w:rsidRPr="004E0E95">
        <w:t> </w:t>
      </w:r>
      <w:r w:rsidRPr="004E0E95">
        <w:t>days post</w:t>
      </w:r>
      <w:r w:rsidRPr="004E0E95">
        <w:noBreakHyphen/>
        <w:t>dose 1 was 73.00% (95% CI: 48.79; 85.76 [</w:t>
      </w:r>
      <w:r w:rsidR="00E56F2B">
        <w:t>VAXZEVRIA</w:t>
      </w:r>
      <w:r w:rsidRPr="004E0E95">
        <w:t xml:space="preserve"> 12/7,998 vs control 44/7,982]).  </w:t>
      </w:r>
    </w:p>
    <w:p w14:paraId="1EF9C2C5" w14:textId="3E763248" w:rsidR="001B509F" w:rsidRDefault="009D6010" w:rsidP="001B509F">
      <w:pPr>
        <w:pStyle w:val="Paragraph"/>
      </w:pPr>
      <w:r w:rsidRPr="004E0E95">
        <w:t xml:space="preserve">An </w:t>
      </w:r>
      <w:proofErr w:type="gramStart"/>
      <w:r w:rsidR="00284A1B" w:rsidRPr="004E0E95">
        <w:t xml:space="preserve">exploratory </w:t>
      </w:r>
      <w:r w:rsidRPr="004E0E95">
        <w:t xml:space="preserve">analyses </w:t>
      </w:r>
      <w:r w:rsidR="00284A1B" w:rsidRPr="004E0E95">
        <w:t>of the impact</w:t>
      </w:r>
      <w:proofErr w:type="gramEnd"/>
      <w:r w:rsidR="00284A1B" w:rsidRPr="004E0E95">
        <w:t xml:space="preserve"> of duration between doses and efficacy demonstrated greater efficacy with increasing duration between vaccine doses (</w:t>
      </w:r>
      <w:r w:rsidRPr="004E0E95">
        <w:fldChar w:fldCharType="begin"/>
      </w:r>
      <w:r w:rsidRPr="004E0E95">
        <w:instrText xml:space="preserve"> REF _Ref63714488 \h </w:instrText>
      </w:r>
      <w:r w:rsidR="004E0E95">
        <w:instrText xml:space="preserve"> \* MERGEFORMAT </w:instrText>
      </w:r>
      <w:r w:rsidRPr="004E0E95">
        <w:fldChar w:fldCharType="separate"/>
      </w:r>
      <w:r w:rsidR="00D222AF" w:rsidRPr="004E0E95">
        <w:t>Table </w:t>
      </w:r>
      <w:r w:rsidR="00D222AF">
        <w:t>4</w:t>
      </w:r>
      <w:r w:rsidRPr="004E0E95">
        <w:fldChar w:fldCharType="end"/>
      </w:r>
      <w:r w:rsidR="00284A1B" w:rsidRPr="004E0E95">
        <w:t xml:space="preserve">). This was supported by the </w:t>
      </w:r>
      <w:r w:rsidRPr="004E0E95">
        <w:t xml:space="preserve">immunogenicity </w:t>
      </w:r>
      <w:r w:rsidR="00284A1B" w:rsidRPr="004E0E95">
        <w:t>data</w:t>
      </w:r>
      <w:r w:rsidRPr="004E0E95">
        <w:t xml:space="preserve"> (see Immunogenicity </w:t>
      </w:r>
      <w:r w:rsidRPr="004E0E95">
        <w:fldChar w:fldCharType="begin"/>
      </w:r>
      <w:r w:rsidRPr="004E0E95">
        <w:instrText xml:space="preserve"> REF _Ref59532598 \h  \* MERGEFORMAT </w:instrText>
      </w:r>
      <w:r w:rsidRPr="004E0E95">
        <w:fldChar w:fldCharType="separate"/>
      </w:r>
      <w:r w:rsidR="00D222AF" w:rsidRPr="004E0E95">
        <w:t>Table </w:t>
      </w:r>
      <w:r w:rsidR="00D222AF">
        <w:t>5</w:t>
      </w:r>
      <w:r w:rsidRPr="004E0E95">
        <w:fldChar w:fldCharType="end"/>
      </w:r>
      <w:r w:rsidRPr="004E0E95">
        <w:t>).</w:t>
      </w:r>
    </w:p>
    <w:p w14:paraId="1EF9C2C6" w14:textId="2080634E" w:rsidR="001B509F" w:rsidRPr="004E0E95" w:rsidRDefault="009D6010" w:rsidP="001B509F">
      <w:pPr>
        <w:pStyle w:val="TableTitle"/>
        <w:rPr>
          <w:color w:val="auto"/>
        </w:rPr>
      </w:pPr>
      <w:bookmarkStart w:id="22" w:name="_Ref63714488"/>
      <w:bookmarkStart w:id="23" w:name="_Ref63714483"/>
      <w:r w:rsidRPr="004E0E95">
        <w:t>Table </w:t>
      </w:r>
      <w:r w:rsidRPr="004E0E95">
        <w:fldChar w:fldCharType="begin"/>
      </w:r>
      <w:r w:rsidRPr="004E0E95">
        <w:instrText xml:space="preserve"> SEQ Table \* ARABIC </w:instrText>
      </w:r>
      <w:r w:rsidRPr="004E0E95">
        <w:fldChar w:fldCharType="separate"/>
      </w:r>
      <w:r w:rsidR="00D222AF">
        <w:rPr>
          <w:noProof/>
        </w:rPr>
        <w:t>4</w:t>
      </w:r>
      <w:r w:rsidRPr="004E0E95">
        <w:fldChar w:fldCharType="end"/>
      </w:r>
      <w:bookmarkEnd w:id="22"/>
      <w:r w:rsidRPr="004E0E95">
        <w:tab/>
        <w:t>Vaccine efficacy for incidence of first SARS</w:t>
      </w:r>
      <w:r w:rsidRPr="004E0E95">
        <w:noBreakHyphen/>
        <w:t>C</w:t>
      </w:r>
      <w:r w:rsidR="006B17FE" w:rsidRPr="004E0E95">
        <w:t>o</w:t>
      </w:r>
      <w:r w:rsidRPr="004E0E95">
        <w:t>V</w:t>
      </w:r>
      <w:r w:rsidRPr="004E0E95">
        <w:noBreakHyphen/>
        <w:t>2 virologically confirmed symptomatic COVID</w:t>
      </w:r>
      <w:r w:rsidRPr="004E0E95">
        <w:noBreakHyphen/>
        <w:t>19 occurring ≥15 days post second dose by dose interval (SDSD seronegative for efficacy analysis set</w:t>
      </w:r>
      <w:bookmarkEnd w:id="23"/>
      <w:r w:rsidR="00E765DE" w:rsidRPr="004E0E95">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275"/>
        <w:gridCol w:w="1134"/>
        <w:gridCol w:w="1843"/>
        <w:gridCol w:w="1134"/>
        <w:gridCol w:w="1277"/>
        <w:gridCol w:w="1417"/>
        <w:gridCol w:w="1548"/>
      </w:tblGrid>
      <w:tr w:rsidR="00444376" w:rsidRPr="004E0E95" w14:paraId="1EF9C2CB" w14:textId="77777777" w:rsidTr="00A67F90">
        <w:trPr>
          <w:cantSplit/>
          <w:trHeight w:val="82"/>
          <w:tblHeader/>
        </w:trPr>
        <w:tc>
          <w:tcPr>
            <w:tcW w:w="662" w:type="pct"/>
            <w:vMerge w:val="restart"/>
            <w:shd w:val="clear" w:color="auto" w:fill="auto"/>
            <w:tcMar>
              <w:top w:w="72" w:type="dxa"/>
              <w:left w:w="144" w:type="dxa"/>
              <w:bottom w:w="72" w:type="dxa"/>
              <w:right w:w="144" w:type="dxa"/>
            </w:tcMar>
          </w:tcPr>
          <w:p w14:paraId="1EF9C2C7" w14:textId="77777777" w:rsidR="000F2343" w:rsidRPr="004E0E95" w:rsidRDefault="009D6010" w:rsidP="00427B23">
            <w:pPr>
              <w:pStyle w:val="TableHead"/>
              <w:jc w:val="left"/>
            </w:pPr>
            <w:r w:rsidRPr="004E0E95">
              <w:t>Dose interval</w:t>
            </w:r>
          </w:p>
        </w:tc>
        <w:tc>
          <w:tcPr>
            <w:tcW w:w="2798" w:type="pct"/>
            <w:gridSpan w:val="4"/>
            <w:shd w:val="clear" w:color="auto" w:fill="auto"/>
            <w:tcMar>
              <w:top w:w="72" w:type="dxa"/>
              <w:left w:w="144" w:type="dxa"/>
              <w:bottom w:w="72" w:type="dxa"/>
              <w:right w:w="144" w:type="dxa"/>
            </w:tcMar>
          </w:tcPr>
          <w:p w14:paraId="1EF9C2C8" w14:textId="77777777" w:rsidR="000F2343" w:rsidRPr="004E0E95" w:rsidRDefault="009D6010" w:rsidP="00427B23">
            <w:pPr>
              <w:pStyle w:val="TableHead"/>
            </w:pPr>
            <w:r w:rsidRPr="004E0E95">
              <w:t>Participants with events, n (%)</w:t>
            </w:r>
          </w:p>
        </w:tc>
        <w:tc>
          <w:tcPr>
            <w:tcW w:w="736" w:type="pct"/>
            <w:vMerge w:val="restart"/>
            <w:shd w:val="clear" w:color="auto" w:fill="auto"/>
            <w:tcMar>
              <w:top w:w="72" w:type="dxa"/>
              <w:left w:w="144" w:type="dxa"/>
              <w:bottom w:w="72" w:type="dxa"/>
              <w:right w:w="144" w:type="dxa"/>
            </w:tcMar>
          </w:tcPr>
          <w:p w14:paraId="1EF9C2C9" w14:textId="77777777" w:rsidR="000F2343" w:rsidRPr="004E0E95" w:rsidRDefault="009D6010" w:rsidP="00427B23">
            <w:pPr>
              <w:pStyle w:val="TableHead"/>
            </w:pPr>
            <w:r w:rsidRPr="004E0E95">
              <w:t>Vaccine efficacy (%)</w:t>
            </w:r>
          </w:p>
        </w:tc>
        <w:tc>
          <w:tcPr>
            <w:tcW w:w="804" w:type="pct"/>
            <w:vMerge w:val="restart"/>
            <w:shd w:val="clear" w:color="auto" w:fill="auto"/>
            <w:tcMar>
              <w:top w:w="72" w:type="dxa"/>
              <w:left w:w="144" w:type="dxa"/>
              <w:bottom w:w="72" w:type="dxa"/>
              <w:right w:w="144" w:type="dxa"/>
            </w:tcMar>
          </w:tcPr>
          <w:p w14:paraId="1EF9C2CA" w14:textId="77777777" w:rsidR="000F2343" w:rsidRPr="004E0E95" w:rsidRDefault="009D6010" w:rsidP="00427B23">
            <w:pPr>
              <w:pStyle w:val="TableHead"/>
            </w:pPr>
            <w:r w:rsidRPr="004E0E95">
              <w:t>95% CI (%)</w:t>
            </w:r>
          </w:p>
        </w:tc>
      </w:tr>
      <w:tr w:rsidR="00444376" w:rsidRPr="004E0E95" w14:paraId="1EF9C2D3" w14:textId="77777777" w:rsidTr="00A67F90">
        <w:trPr>
          <w:cantSplit/>
          <w:trHeight w:val="26"/>
          <w:tblHeader/>
        </w:trPr>
        <w:tc>
          <w:tcPr>
            <w:tcW w:w="662" w:type="pct"/>
            <w:vMerge/>
            <w:shd w:val="clear" w:color="auto" w:fill="auto"/>
            <w:tcMar>
              <w:top w:w="72" w:type="dxa"/>
              <w:left w:w="144" w:type="dxa"/>
              <w:bottom w:w="72" w:type="dxa"/>
              <w:right w:w="144" w:type="dxa"/>
            </w:tcMar>
            <w:vAlign w:val="bottom"/>
          </w:tcPr>
          <w:p w14:paraId="1EF9C2CC" w14:textId="77777777" w:rsidR="000F2343" w:rsidRPr="004E0E95" w:rsidRDefault="000F2343" w:rsidP="003368C9">
            <w:pPr>
              <w:pStyle w:val="TableHead"/>
              <w:keepNext/>
              <w:spacing w:before="0" w:after="0"/>
              <w:ind w:left="-59"/>
              <w:jc w:val="left"/>
              <w:rPr>
                <w:lang w:val="en-US"/>
              </w:rPr>
            </w:pPr>
          </w:p>
        </w:tc>
        <w:tc>
          <w:tcPr>
            <w:tcW w:w="589" w:type="pct"/>
            <w:shd w:val="clear" w:color="auto" w:fill="auto"/>
            <w:tcMar>
              <w:top w:w="72" w:type="dxa"/>
              <w:left w:w="144" w:type="dxa"/>
              <w:bottom w:w="72" w:type="dxa"/>
              <w:right w:w="144" w:type="dxa"/>
            </w:tcMar>
            <w:vAlign w:val="bottom"/>
            <w:hideMark/>
          </w:tcPr>
          <w:p w14:paraId="1EF9C2CD" w14:textId="77777777" w:rsidR="000F2343" w:rsidRPr="004E0E95" w:rsidRDefault="009D6010" w:rsidP="00427B23">
            <w:pPr>
              <w:pStyle w:val="TableHead"/>
            </w:pPr>
            <w:r w:rsidRPr="004E0E95">
              <w:t>N</w:t>
            </w:r>
          </w:p>
        </w:tc>
        <w:tc>
          <w:tcPr>
            <w:tcW w:w="957" w:type="pct"/>
            <w:shd w:val="clear" w:color="auto" w:fill="auto"/>
            <w:vAlign w:val="center"/>
          </w:tcPr>
          <w:p w14:paraId="1EF9C2CE" w14:textId="7157D68A" w:rsidR="000F2343" w:rsidRPr="004E0E95" w:rsidRDefault="00E56F2B" w:rsidP="00427B23">
            <w:pPr>
              <w:pStyle w:val="TableHead"/>
            </w:pPr>
            <w:r>
              <w:t>VAXZEVRIA</w:t>
            </w:r>
            <w:r w:rsidR="009D6010" w:rsidRPr="004E0E95">
              <w:br/>
              <w:t>n (%)</w:t>
            </w:r>
          </w:p>
        </w:tc>
        <w:tc>
          <w:tcPr>
            <w:tcW w:w="589" w:type="pct"/>
            <w:shd w:val="clear" w:color="auto" w:fill="auto"/>
            <w:vAlign w:val="bottom"/>
          </w:tcPr>
          <w:p w14:paraId="1EF9C2CF" w14:textId="77777777" w:rsidR="000F2343" w:rsidRPr="004E0E95" w:rsidRDefault="009D6010" w:rsidP="00427B23">
            <w:pPr>
              <w:pStyle w:val="TableHead"/>
            </w:pPr>
            <w:r w:rsidRPr="004E0E95">
              <w:t>N</w:t>
            </w:r>
          </w:p>
        </w:tc>
        <w:tc>
          <w:tcPr>
            <w:tcW w:w="663" w:type="pct"/>
            <w:shd w:val="clear" w:color="auto" w:fill="auto"/>
            <w:vAlign w:val="center"/>
          </w:tcPr>
          <w:p w14:paraId="1EF9C2D0" w14:textId="77777777" w:rsidR="000F2343" w:rsidRPr="004E0E95" w:rsidRDefault="009D6010" w:rsidP="00427B23">
            <w:pPr>
              <w:pStyle w:val="TableHead"/>
            </w:pPr>
            <w:r w:rsidRPr="004E0E95">
              <w:t>Control</w:t>
            </w:r>
            <w:r w:rsidR="00A67F90" w:rsidRPr="004E0E95">
              <w:br/>
            </w:r>
            <w:r w:rsidRPr="004E0E95">
              <w:t>n (%)</w:t>
            </w:r>
          </w:p>
        </w:tc>
        <w:tc>
          <w:tcPr>
            <w:tcW w:w="736" w:type="pct"/>
            <w:vMerge/>
            <w:shd w:val="clear" w:color="auto" w:fill="auto"/>
            <w:tcMar>
              <w:top w:w="72" w:type="dxa"/>
              <w:left w:w="144" w:type="dxa"/>
              <w:bottom w:w="72" w:type="dxa"/>
              <w:right w:w="144" w:type="dxa"/>
            </w:tcMar>
            <w:vAlign w:val="center"/>
            <w:hideMark/>
          </w:tcPr>
          <w:p w14:paraId="1EF9C2D1" w14:textId="77777777" w:rsidR="000F2343" w:rsidRPr="004E0E95" w:rsidRDefault="000F2343" w:rsidP="00427B23">
            <w:pPr>
              <w:pStyle w:val="TableHead"/>
            </w:pPr>
          </w:p>
        </w:tc>
        <w:tc>
          <w:tcPr>
            <w:tcW w:w="804" w:type="pct"/>
            <w:vMerge/>
            <w:shd w:val="clear" w:color="auto" w:fill="auto"/>
            <w:tcMar>
              <w:top w:w="72" w:type="dxa"/>
              <w:left w:w="144" w:type="dxa"/>
              <w:bottom w:w="72" w:type="dxa"/>
              <w:right w:w="144" w:type="dxa"/>
            </w:tcMar>
            <w:vAlign w:val="bottom"/>
            <w:hideMark/>
          </w:tcPr>
          <w:p w14:paraId="1EF9C2D2" w14:textId="77777777" w:rsidR="000F2343" w:rsidRPr="004E0E95" w:rsidRDefault="000F2343" w:rsidP="00427B23">
            <w:pPr>
              <w:pStyle w:val="TableHead"/>
            </w:pPr>
          </w:p>
        </w:tc>
      </w:tr>
      <w:tr w:rsidR="00444376" w:rsidRPr="004E0E95" w14:paraId="1EF9C2DB" w14:textId="77777777" w:rsidTr="00A67F90">
        <w:trPr>
          <w:cantSplit/>
          <w:trHeight w:val="179"/>
        </w:trPr>
        <w:tc>
          <w:tcPr>
            <w:tcW w:w="662" w:type="pct"/>
            <w:shd w:val="clear" w:color="auto" w:fill="auto"/>
            <w:tcMar>
              <w:top w:w="72" w:type="dxa"/>
              <w:left w:w="144" w:type="dxa"/>
              <w:bottom w:w="72" w:type="dxa"/>
              <w:right w:w="144" w:type="dxa"/>
            </w:tcMar>
            <w:vAlign w:val="center"/>
            <w:hideMark/>
          </w:tcPr>
          <w:p w14:paraId="1EF9C2D4" w14:textId="77777777" w:rsidR="000F2343" w:rsidRPr="004E0E95" w:rsidRDefault="009D6010" w:rsidP="00934FCA">
            <w:pPr>
              <w:pStyle w:val="TableLeft"/>
              <w:rPr>
                <w:lang w:val="en-US"/>
              </w:rPr>
            </w:pPr>
            <w:r w:rsidRPr="004E0E95">
              <w:rPr>
                <w:lang w:val="en-US"/>
              </w:rPr>
              <w:t xml:space="preserve">&lt; 6 weeks </w:t>
            </w:r>
          </w:p>
        </w:tc>
        <w:tc>
          <w:tcPr>
            <w:tcW w:w="589" w:type="pct"/>
            <w:shd w:val="clear" w:color="auto" w:fill="auto"/>
            <w:tcMar>
              <w:top w:w="15" w:type="dxa"/>
              <w:left w:w="10" w:type="dxa"/>
              <w:bottom w:w="0" w:type="dxa"/>
              <w:right w:w="10" w:type="dxa"/>
            </w:tcMar>
            <w:vAlign w:val="center"/>
            <w:hideMark/>
          </w:tcPr>
          <w:p w14:paraId="1EF9C2D5" w14:textId="77777777" w:rsidR="000F2343" w:rsidRPr="004E0E95" w:rsidRDefault="009D6010" w:rsidP="00427B23">
            <w:pPr>
              <w:pStyle w:val="TableCenter"/>
            </w:pPr>
            <w:r w:rsidRPr="004E0E95">
              <w:t>1702</w:t>
            </w:r>
          </w:p>
        </w:tc>
        <w:tc>
          <w:tcPr>
            <w:tcW w:w="957" w:type="pct"/>
            <w:shd w:val="clear" w:color="auto" w:fill="auto"/>
            <w:vAlign w:val="center"/>
          </w:tcPr>
          <w:p w14:paraId="1EF9C2D6" w14:textId="77777777" w:rsidR="000F2343" w:rsidRPr="004E0E95" w:rsidRDefault="009D6010" w:rsidP="00427B23">
            <w:pPr>
              <w:pStyle w:val="TableCenter"/>
            </w:pPr>
            <w:r w:rsidRPr="004E0E95">
              <w:t>9 (0.53)</w:t>
            </w:r>
          </w:p>
        </w:tc>
        <w:tc>
          <w:tcPr>
            <w:tcW w:w="589" w:type="pct"/>
            <w:shd w:val="clear" w:color="auto" w:fill="auto"/>
            <w:tcMar>
              <w:top w:w="15" w:type="dxa"/>
              <w:left w:w="10" w:type="dxa"/>
              <w:bottom w:w="0" w:type="dxa"/>
              <w:right w:w="10" w:type="dxa"/>
            </w:tcMar>
            <w:vAlign w:val="center"/>
            <w:hideMark/>
          </w:tcPr>
          <w:p w14:paraId="1EF9C2D7" w14:textId="77777777" w:rsidR="000F2343" w:rsidRPr="004E0E95" w:rsidRDefault="009D6010" w:rsidP="00427B23">
            <w:pPr>
              <w:pStyle w:val="TableCenter"/>
            </w:pPr>
            <w:r w:rsidRPr="004E0E95">
              <w:t>1698</w:t>
            </w:r>
          </w:p>
        </w:tc>
        <w:tc>
          <w:tcPr>
            <w:tcW w:w="663" w:type="pct"/>
            <w:shd w:val="clear" w:color="auto" w:fill="auto"/>
            <w:vAlign w:val="center"/>
          </w:tcPr>
          <w:p w14:paraId="1EF9C2D8" w14:textId="77777777" w:rsidR="000F2343" w:rsidRPr="004E0E95" w:rsidRDefault="009D6010" w:rsidP="00427B23">
            <w:pPr>
              <w:pStyle w:val="TableCenter"/>
            </w:pPr>
            <w:r w:rsidRPr="004E0E95">
              <w:t>19 (1.12)</w:t>
            </w:r>
          </w:p>
        </w:tc>
        <w:tc>
          <w:tcPr>
            <w:tcW w:w="736" w:type="pct"/>
            <w:shd w:val="clear" w:color="auto" w:fill="auto"/>
            <w:tcMar>
              <w:top w:w="15" w:type="dxa"/>
              <w:left w:w="10" w:type="dxa"/>
              <w:bottom w:w="0" w:type="dxa"/>
              <w:right w:w="10" w:type="dxa"/>
            </w:tcMar>
            <w:vAlign w:val="center"/>
            <w:hideMark/>
          </w:tcPr>
          <w:p w14:paraId="1EF9C2D9" w14:textId="77777777" w:rsidR="000F2343" w:rsidRPr="004E0E95" w:rsidRDefault="009D6010" w:rsidP="00427B23">
            <w:pPr>
              <w:pStyle w:val="TableCenter"/>
            </w:pPr>
            <w:r w:rsidRPr="004E0E95">
              <w:t>53.28</w:t>
            </w:r>
          </w:p>
        </w:tc>
        <w:tc>
          <w:tcPr>
            <w:tcW w:w="804" w:type="pct"/>
            <w:shd w:val="clear" w:color="auto" w:fill="auto"/>
            <w:tcMar>
              <w:top w:w="15" w:type="dxa"/>
              <w:left w:w="10" w:type="dxa"/>
              <w:bottom w:w="0" w:type="dxa"/>
              <w:right w:w="10" w:type="dxa"/>
            </w:tcMar>
            <w:vAlign w:val="center"/>
            <w:hideMark/>
          </w:tcPr>
          <w:p w14:paraId="1EF9C2DA" w14:textId="77777777" w:rsidR="000F2343" w:rsidRPr="004E0E95" w:rsidRDefault="009D6010" w:rsidP="00427B23">
            <w:pPr>
              <w:pStyle w:val="TableCenter"/>
            </w:pPr>
            <w:r w:rsidRPr="004E0E95">
              <w:t>(-3.21, 78.86)</w:t>
            </w:r>
          </w:p>
        </w:tc>
      </w:tr>
      <w:tr w:rsidR="00444376" w:rsidRPr="004E0E95" w14:paraId="1EF9C2E3" w14:textId="77777777" w:rsidTr="00A67F90">
        <w:trPr>
          <w:cantSplit/>
          <w:trHeight w:val="109"/>
        </w:trPr>
        <w:tc>
          <w:tcPr>
            <w:tcW w:w="662" w:type="pct"/>
            <w:shd w:val="clear" w:color="auto" w:fill="auto"/>
            <w:tcMar>
              <w:top w:w="72" w:type="dxa"/>
              <w:left w:w="144" w:type="dxa"/>
              <w:bottom w:w="72" w:type="dxa"/>
              <w:right w:w="144" w:type="dxa"/>
            </w:tcMar>
            <w:vAlign w:val="center"/>
            <w:hideMark/>
          </w:tcPr>
          <w:p w14:paraId="1EF9C2DC" w14:textId="77777777" w:rsidR="000F2343" w:rsidRPr="004E0E95" w:rsidRDefault="009D6010" w:rsidP="00934FCA">
            <w:pPr>
              <w:pStyle w:val="TableLeft"/>
              <w:rPr>
                <w:lang w:val="en-US"/>
              </w:rPr>
            </w:pPr>
            <w:r w:rsidRPr="004E0E95">
              <w:rPr>
                <w:lang w:val="en-US"/>
              </w:rPr>
              <w:t>6–8 weeks</w:t>
            </w:r>
          </w:p>
        </w:tc>
        <w:tc>
          <w:tcPr>
            <w:tcW w:w="589" w:type="pct"/>
            <w:shd w:val="clear" w:color="auto" w:fill="auto"/>
            <w:tcMar>
              <w:top w:w="15" w:type="dxa"/>
              <w:left w:w="10" w:type="dxa"/>
              <w:bottom w:w="0" w:type="dxa"/>
              <w:right w:w="10" w:type="dxa"/>
            </w:tcMar>
            <w:vAlign w:val="center"/>
            <w:hideMark/>
          </w:tcPr>
          <w:p w14:paraId="1EF9C2DD" w14:textId="77777777" w:rsidR="000F2343" w:rsidRPr="004E0E95" w:rsidRDefault="009D6010" w:rsidP="00934FCA">
            <w:pPr>
              <w:pStyle w:val="TableCenter"/>
            </w:pPr>
            <w:r w:rsidRPr="004E0E95">
              <w:t>562</w:t>
            </w:r>
          </w:p>
        </w:tc>
        <w:tc>
          <w:tcPr>
            <w:tcW w:w="957" w:type="pct"/>
            <w:shd w:val="clear" w:color="auto" w:fill="auto"/>
            <w:vAlign w:val="center"/>
          </w:tcPr>
          <w:p w14:paraId="1EF9C2DE" w14:textId="77777777" w:rsidR="000F2343" w:rsidRPr="004E0E95" w:rsidRDefault="009D6010" w:rsidP="00934FCA">
            <w:pPr>
              <w:pStyle w:val="TableCenter"/>
            </w:pPr>
            <w:r w:rsidRPr="004E0E95">
              <w:t>5 (0.88)</w:t>
            </w:r>
          </w:p>
        </w:tc>
        <w:tc>
          <w:tcPr>
            <w:tcW w:w="589" w:type="pct"/>
            <w:shd w:val="clear" w:color="auto" w:fill="auto"/>
            <w:tcMar>
              <w:top w:w="15" w:type="dxa"/>
              <w:left w:w="10" w:type="dxa"/>
              <w:bottom w:w="0" w:type="dxa"/>
              <w:right w:w="10" w:type="dxa"/>
            </w:tcMar>
            <w:vAlign w:val="center"/>
            <w:hideMark/>
          </w:tcPr>
          <w:p w14:paraId="1EF9C2DF" w14:textId="77777777" w:rsidR="000F2343" w:rsidRPr="004E0E95" w:rsidRDefault="009D6010" w:rsidP="00934FCA">
            <w:pPr>
              <w:pStyle w:val="TableCenter"/>
            </w:pPr>
            <w:r w:rsidRPr="004E0E95">
              <w:t>521</w:t>
            </w:r>
          </w:p>
        </w:tc>
        <w:tc>
          <w:tcPr>
            <w:tcW w:w="663" w:type="pct"/>
            <w:shd w:val="clear" w:color="auto" w:fill="auto"/>
            <w:vAlign w:val="center"/>
          </w:tcPr>
          <w:p w14:paraId="1EF9C2E0" w14:textId="77777777" w:rsidR="000F2343" w:rsidRPr="004E0E95" w:rsidRDefault="009D6010" w:rsidP="00934FCA">
            <w:pPr>
              <w:pStyle w:val="TableCenter"/>
            </w:pPr>
            <w:r w:rsidRPr="004E0E95">
              <w:t>9 (1.73)</w:t>
            </w:r>
          </w:p>
        </w:tc>
        <w:tc>
          <w:tcPr>
            <w:tcW w:w="736" w:type="pct"/>
            <w:shd w:val="clear" w:color="auto" w:fill="auto"/>
            <w:tcMar>
              <w:top w:w="15" w:type="dxa"/>
              <w:left w:w="10" w:type="dxa"/>
              <w:bottom w:w="0" w:type="dxa"/>
              <w:right w:w="10" w:type="dxa"/>
            </w:tcMar>
            <w:vAlign w:val="center"/>
            <w:hideMark/>
          </w:tcPr>
          <w:p w14:paraId="1EF9C2E1" w14:textId="77777777" w:rsidR="000F2343" w:rsidRPr="004E0E95" w:rsidRDefault="009D6010" w:rsidP="00934FCA">
            <w:pPr>
              <w:pStyle w:val="TableCenter"/>
            </w:pPr>
            <w:r w:rsidRPr="004E0E95">
              <w:t>51.08</w:t>
            </w:r>
          </w:p>
        </w:tc>
        <w:tc>
          <w:tcPr>
            <w:tcW w:w="804" w:type="pct"/>
            <w:shd w:val="clear" w:color="auto" w:fill="auto"/>
            <w:tcMar>
              <w:top w:w="15" w:type="dxa"/>
              <w:left w:w="10" w:type="dxa"/>
              <w:bottom w:w="0" w:type="dxa"/>
              <w:right w:w="10" w:type="dxa"/>
            </w:tcMar>
            <w:vAlign w:val="center"/>
            <w:hideMark/>
          </w:tcPr>
          <w:p w14:paraId="1EF9C2E2" w14:textId="77777777" w:rsidR="000F2343" w:rsidRPr="004E0E95" w:rsidRDefault="009D6010" w:rsidP="00934FCA">
            <w:pPr>
              <w:pStyle w:val="TableCenter"/>
            </w:pPr>
            <w:r w:rsidRPr="004E0E95">
              <w:t>(-45.57, 83.56)</w:t>
            </w:r>
          </w:p>
        </w:tc>
      </w:tr>
      <w:tr w:rsidR="00444376" w:rsidRPr="004E0E95" w14:paraId="1EF9C2EB" w14:textId="77777777" w:rsidTr="00A67F90">
        <w:trPr>
          <w:cantSplit/>
          <w:trHeight w:val="109"/>
        </w:trPr>
        <w:tc>
          <w:tcPr>
            <w:tcW w:w="662" w:type="pct"/>
            <w:shd w:val="clear" w:color="auto" w:fill="auto"/>
            <w:tcMar>
              <w:top w:w="72" w:type="dxa"/>
              <w:left w:w="144" w:type="dxa"/>
              <w:bottom w:w="72" w:type="dxa"/>
              <w:right w:w="144" w:type="dxa"/>
            </w:tcMar>
            <w:vAlign w:val="center"/>
            <w:hideMark/>
          </w:tcPr>
          <w:p w14:paraId="1EF9C2E4" w14:textId="77777777" w:rsidR="000F2343" w:rsidRPr="004E0E95" w:rsidRDefault="009D6010" w:rsidP="00934FCA">
            <w:pPr>
              <w:pStyle w:val="TableLeft"/>
              <w:rPr>
                <w:lang w:val="en-US"/>
              </w:rPr>
            </w:pPr>
            <w:r w:rsidRPr="004E0E95">
              <w:rPr>
                <w:lang w:val="en-US"/>
              </w:rPr>
              <w:t>9–11 weeks</w:t>
            </w:r>
          </w:p>
        </w:tc>
        <w:tc>
          <w:tcPr>
            <w:tcW w:w="589" w:type="pct"/>
            <w:shd w:val="clear" w:color="auto" w:fill="auto"/>
            <w:tcMar>
              <w:top w:w="72" w:type="dxa"/>
              <w:left w:w="144" w:type="dxa"/>
              <w:bottom w:w="72" w:type="dxa"/>
              <w:right w:w="144" w:type="dxa"/>
            </w:tcMar>
            <w:vAlign w:val="center"/>
            <w:hideMark/>
          </w:tcPr>
          <w:p w14:paraId="1EF9C2E5" w14:textId="77777777" w:rsidR="000F2343" w:rsidRPr="004E0E95" w:rsidRDefault="009D6010" w:rsidP="00934FCA">
            <w:pPr>
              <w:pStyle w:val="TableCenter"/>
            </w:pPr>
            <w:r w:rsidRPr="004E0E95">
              <w:t>1056</w:t>
            </w:r>
          </w:p>
        </w:tc>
        <w:tc>
          <w:tcPr>
            <w:tcW w:w="957" w:type="pct"/>
            <w:shd w:val="clear" w:color="auto" w:fill="auto"/>
            <w:vAlign w:val="center"/>
          </w:tcPr>
          <w:p w14:paraId="1EF9C2E6" w14:textId="77777777" w:rsidR="000F2343" w:rsidRPr="004E0E95" w:rsidRDefault="009D6010" w:rsidP="00934FCA">
            <w:pPr>
              <w:pStyle w:val="TableCenter"/>
            </w:pPr>
            <w:r w:rsidRPr="004E0E95">
              <w:t>9 (0.85)</w:t>
            </w:r>
          </w:p>
        </w:tc>
        <w:tc>
          <w:tcPr>
            <w:tcW w:w="589" w:type="pct"/>
            <w:shd w:val="clear" w:color="auto" w:fill="auto"/>
            <w:tcMar>
              <w:top w:w="72" w:type="dxa"/>
              <w:left w:w="144" w:type="dxa"/>
              <w:bottom w:w="72" w:type="dxa"/>
              <w:right w:w="144" w:type="dxa"/>
            </w:tcMar>
            <w:vAlign w:val="center"/>
            <w:hideMark/>
          </w:tcPr>
          <w:p w14:paraId="1EF9C2E7" w14:textId="77777777" w:rsidR="000F2343" w:rsidRPr="004E0E95" w:rsidRDefault="009D6010" w:rsidP="00934FCA">
            <w:pPr>
              <w:pStyle w:val="TableCenter"/>
            </w:pPr>
            <w:r w:rsidRPr="004E0E95">
              <w:t>1110</w:t>
            </w:r>
          </w:p>
        </w:tc>
        <w:tc>
          <w:tcPr>
            <w:tcW w:w="663" w:type="pct"/>
            <w:shd w:val="clear" w:color="auto" w:fill="auto"/>
            <w:vAlign w:val="center"/>
          </w:tcPr>
          <w:p w14:paraId="1EF9C2E8" w14:textId="77777777" w:rsidR="000F2343" w:rsidRPr="004E0E95" w:rsidRDefault="009D6010" w:rsidP="00934FCA">
            <w:pPr>
              <w:pStyle w:val="TableCenter"/>
            </w:pPr>
            <w:r w:rsidRPr="004E0E95">
              <w:t>24 (2.16)</w:t>
            </w:r>
          </w:p>
        </w:tc>
        <w:tc>
          <w:tcPr>
            <w:tcW w:w="736" w:type="pct"/>
            <w:shd w:val="clear" w:color="auto" w:fill="auto"/>
            <w:tcMar>
              <w:top w:w="72" w:type="dxa"/>
              <w:left w:w="144" w:type="dxa"/>
              <w:bottom w:w="72" w:type="dxa"/>
              <w:right w:w="144" w:type="dxa"/>
            </w:tcMar>
            <w:vAlign w:val="center"/>
            <w:hideMark/>
          </w:tcPr>
          <w:p w14:paraId="1EF9C2E9" w14:textId="77777777" w:rsidR="000F2343" w:rsidRPr="004E0E95" w:rsidRDefault="009D6010" w:rsidP="00934FCA">
            <w:pPr>
              <w:pStyle w:val="TableCenter"/>
            </w:pPr>
            <w:r w:rsidRPr="004E0E95">
              <w:t>60.55</w:t>
            </w:r>
          </w:p>
        </w:tc>
        <w:tc>
          <w:tcPr>
            <w:tcW w:w="804" w:type="pct"/>
            <w:shd w:val="clear" w:color="auto" w:fill="auto"/>
            <w:tcMar>
              <w:top w:w="72" w:type="dxa"/>
              <w:left w:w="144" w:type="dxa"/>
              <w:bottom w:w="72" w:type="dxa"/>
              <w:right w:w="144" w:type="dxa"/>
            </w:tcMar>
            <w:vAlign w:val="center"/>
            <w:hideMark/>
          </w:tcPr>
          <w:p w14:paraId="1EF9C2EA" w14:textId="77777777" w:rsidR="000F2343" w:rsidRPr="004E0E95" w:rsidRDefault="009D6010" w:rsidP="00934FCA">
            <w:pPr>
              <w:pStyle w:val="TableCenter"/>
            </w:pPr>
            <w:r w:rsidRPr="004E0E95">
              <w:t>(15.23, 81.64)</w:t>
            </w:r>
          </w:p>
        </w:tc>
      </w:tr>
      <w:tr w:rsidR="00444376" w:rsidRPr="004E0E95" w14:paraId="1EF9C2F3" w14:textId="77777777" w:rsidTr="00A67F90">
        <w:trPr>
          <w:cantSplit/>
          <w:trHeight w:val="4"/>
        </w:trPr>
        <w:tc>
          <w:tcPr>
            <w:tcW w:w="662" w:type="pct"/>
            <w:shd w:val="clear" w:color="auto" w:fill="auto"/>
            <w:tcMar>
              <w:top w:w="72" w:type="dxa"/>
              <w:left w:w="144" w:type="dxa"/>
              <w:bottom w:w="72" w:type="dxa"/>
              <w:right w:w="144" w:type="dxa"/>
            </w:tcMar>
            <w:vAlign w:val="center"/>
            <w:hideMark/>
          </w:tcPr>
          <w:p w14:paraId="1EF9C2EC" w14:textId="77777777" w:rsidR="000F2343" w:rsidRPr="004E0E95" w:rsidRDefault="009D6010" w:rsidP="00934FCA">
            <w:pPr>
              <w:pStyle w:val="TableLeft"/>
              <w:rPr>
                <w:lang w:val="en-US"/>
              </w:rPr>
            </w:pPr>
            <w:r w:rsidRPr="004E0E95">
              <w:rPr>
                <w:rFonts w:cs="Times New Roman"/>
                <w:lang w:val="en-US"/>
              </w:rPr>
              <w:lastRenderedPageBreak/>
              <w:t>≥</w:t>
            </w:r>
            <w:r w:rsidRPr="004E0E95">
              <w:rPr>
                <w:lang w:val="en-US"/>
              </w:rPr>
              <w:t>12 weeks</w:t>
            </w:r>
          </w:p>
        </w:tc>
        <w:tc>
          <w:tcPr>
            <w:tcW w:w="589" w:type="pct"/>
            <w:shd w:val="clear" w:color="auto" w:fill="auto"/>
            <w:tcMar>
              <w:top w:w="15" w:type="dxa"/>
              <w:left w:w="10" w:type="dxa"/>
              <w:bottom w:w="0" w:type="dxa"/>
              <w:right w:w="10" w:type="dxa"/>
            </w:tcMar>
            <w:vAlign w:val="center"/>
            <w:hideMark/>
          </w:tcPr>
          <w:p w14:paraId="1EF9C2ED" w14:textId="77777777" w:rsidR="000F2343" w:rsidRPr="004E0E95" w:rsidRDefault="009D6010" w:rsidP="00934FCA">
            <w:pPr>
              <w:pStyle w:val="TableCenter"/>
            </w:pPr>
            <w:r w:rsidRPr="004E0E95">
              <w:t>1120</w:t>
            </w:r>
          </w:p>
        </w:tc>
        <w:tc>
          <w:tcPr>
            <w:tcW w:w="957" w:type="pct"/>
            <w:shd w:val="clear" w:color="auto" w:fill="auto"/>
            <w:vAlign w:val="center"/>
          </w:tcPr>
          <w:p w14:paraId="1EF9C2EE" w14:textId="77777777" w:rsidR="000F2343" w:rsidRPr="004E0E95" w:rsidRDefault="009D6010" w:rsidP="00934FCA">
            <w:pPr>
              <w:pStyle w:val="TableCenter"/>
            </w:pPr>
            <w:r w:rsidRPr="004E0E95">
              <w:t>4 (0.36)</w:t>
            </w:r>
          </w:p>
        </w:tc>
        <w:tc>
          <w:tcPr>
            <w:tcW w:w="589" w:type="pct"/>
            <w:shd w:val="clear" w:color="auto" w:fill="auto"/>
            <w:tcMar>
              <w:top w:w="15" w:type="dxa"/>
              <w:left w:w="10" w:type="dxa"/>
              <w:bottom w:w="0" w:type="dxa"/>
              <w:right w:w="10" w:type="dxa"/>
            </w:tcMar>
            <w:vAlign w:val="center"/>
            <w:hideMark/>
          </w:tcPr>
          <w:p w14:paraId="1EF9C2EF" w14:textId="77777777" w:rsidR="000F2343" w:rsidRPr="004E0E95" w:rsidRDefault="009D6010" w:rsidP="00934FCA">
            <w:pPr>
              <w:pStyle w:val="TableCenter"/>
            </w:pPr>
            <w:r w:rsidRPr="004E0E95">
              <w:t>1126</w:t>
            </w:r>
          </w:p>
        </w:tc>
        <w:tc>
          <w:tcPr>
            <w:tcW w:w="663" w:type="pct"/>
            <w:shd w:val="clear" w:color="auto" w:fill="auto"/>
            <w:vAlign w:val="center"/>
          </w:tcPr>
          <w:p w14:paraId="1EF9C2F0" w14:textId="77777777" w:rsidR="000F2343" w:rsidRPr="004E0E95" w:rsidRDefault="009D6010" w:rsidP="00934FCA">
            <w:pPr>
              <w:pStyle w:val="TableCenter"/>
            </w:pPr>
            <w:r w:rsidRPr="004E0E95">
              <w:t>19 (1.69)</w:t>
            </w:r>
          </w:p>
        </w:tc>
        <w:tc>
          <w:tcPr>
            <w:tcW w:w="736" w:type="pct"/>
            <w:shd w:val="clear" w:color="auto" w:fill="auto"/>
            <w:tcMar>
              <w:top w:w="72" w:type="dxa"/>
              <w:left w:w="144" w:type="dxa"/>
              <w:bottom w:w="72" w:type="dxa"/>
              <w:right w:w="144" w:type="dxa"/>
            </w:tcMar>
            <w:vAlign w:val="center"/>
            <w:hideMark/>
          </w:tcPr>
          <w:p w14:paraId="1EF9C2F1" w14:textId="77777777" w:rsidR="000F2343" w:rsidRPr="004E0E95" w:rsidRDefault="009D6010" w:rsidP="00934FCA">
            <w:pPr>
              <w:pStyle w:val="TableCenter"/>
            </w:pPr>
            <w:r w:rsidRPr="004E0E95">
              <w:t>78.79</w:t>
            </w:r>
          </w:p>
        </w:tc>
        <w:tc>
          <w:tcPr>
            <w:tcW w:w="804" w:type="pct"/>
            <w:shd w:val="clear" w:color="auto" w:fill="auto"/>
            <w:tcMar>
              <w:top w:w="72" w:type="dxa"/>
              <w:left w:w="144" w:type="dxa"/>
              <w:bottom w:w="72" w:type="dxa"/>
              <w:right w:w="144" w:type="dxa"/>
            </w:tcMar>
            <w:vAlign w:val="center"/>
            <w:hideMark/>
          </w:tcPr>
          <w:p w14:paraId="1EF9C2F2" w14:textId="77777777" w:rsidR="000F2343" w:rsidRPr="004E0E95" w:rsidRDefault="009D6010" w:rsidP="00934FCA">
            <w:pPr>
              <w:pStyle w:val="TableCenter"/>
            </w:pPr>
            <w:r w:rsidRPr="004E0E95">
              <w:t>(37.63, 92.79)</w:t>
            </w:r>
          </w:p>
        </w:tc>
      </w:tr>
    </w:tbl>
    <w:p w14:paraId="1EF9C2F4" w14:textId="51CE575B" w:rsidR="00934FCA" w:rsidRPr="004E0E95" w:rsidRDefault="009D6010" w:rsidP="00427B23">
      <w:pPr>
        <w:pStyle w:val="TableFootnoteInfo"/>
      </w:pPr>
      <w:r w:rsidRPr="004E0E95">
        <w:t xml:space="preserve">Vaccine efficacy (VE) of </w:t>
      </w:r>
      <w:r w:rsidR="00E56F2B">
        <w:t>VAXZEVRIA</w:t>
      </w:r>
      <w:r w:rsidRPr="004E0E95">
        <w:t xml:space="preserve"> versus control, the 95% CI and p value were estimated based on Poisson regression with robust variance including the term of treatment as well as the log of the follow-up time as an offset.</w:t>
      </w:r>
    </w:p>
    <w:p w14:paraId="1EF9C2F5" w14:textId="73FA1533" w:rsidR="00934FCA" w:rsidRPr="004E0E95" w:rsidRDefault="009D6010" w:rsidP="00427B23">
      <w:pPr>
        <w:pStyle w:val="TableFootnoteInfo"/>
      </w:pPr>
      <w:r w:rsidRPr="004E0E95">
        <w:t xml:space="preserve">VE is defined as 1-(incidence from the </w:t>
      </w:r>
      <w:r w:rsidR="00E56F2B">
        <w:t>VAXZEVRIA</w:t>
      </w:r>
      <w:r w:rsidR="003217BC" w:rsidRPr="004E0E95">
        <w:t xml:space="preserve"> </w:t>
      </w:r>
      <w:r w:rsidRPr="004E0E95">
        <w:t>arm / incidence from the control arm) expressed as a percentage, where the risk ratio is derived from Poisson regression with robust variance. The 95% CI for the VE is obtained by taking 1 minus the 95% CI of the risk ratio derived from the model.</w:t>
      </w:r>
    </w:p>
    <w:p w14:paraId="1EF9C2F6" w14:textId="77777777" w:rsidR="00934FCA" w:rsidRPr="004E0E95" w:rsidRDefault="009D6010" w:rsidP="00427B23">
      <w:pPr>
        <w:pStyle w:val="TableFootnoteInfo"/>
      </w:pPr>
      <w:r w:rsidRPr="004E0E95">
        <w:t>The observation period for the endpoint was 15 days post second dose up to 1 year in study.</w:t>
      </w:r>
    </w:p>
    <w:p w14:paraId="1EF9C2F7" w14:textId="77777777" w:rsidR="00934FCA" w:rsidRPr="004E0E95" w:rsidRDefault="009D6010" w:rsidP="00427B23">
      <w:pPr>
        <w:pStyle w:val="TableFootnoteInfo"/>
      </w:pPr>
      <w:r w:rsidRPr="004E0E95">
        <w:t>COVID</w:t>
      </w:r>
      <w:r w:rsidRPr="004E0E95">
        <w:noBreakHyphen/>
        <w:t>19 endpoints were based on adjudicated events.</w:t>
      </w:r>
    </w:p>
    <w:p w14:paraId="1EF9C2F8" w14:textId="77777777" w:rsidR="00934FCA" w:rsidRPr="004E0E95" w:rsidRDefault="00934FCA" w:rsidP="00C02ED7">
      <w:pPr>
        <w:pStyle w:val="Paragraph"/>
      </w:pPr>
    </w:p>
    <w:p w14:paraId="1EF9C2F9" w14:textId="61FC34B5" w:rsidR="00C02ED7" w:rsidRPr="004E0E95" w:rsidRDefault="00E56F2B" w:rsidP="00C02ED7">
      <w:pPr>
        <w:pStyle w:val="Paragraph"/>
      </w:pPr>
      <w:r>
        <w:t>VAXZEVRIA</w:t>
      </w:r>
      <w:r w:rsidR="009D6010" w:rsidRPr="004E0E95">
        <w:t xml:space="preserve"> reduced COVID</w:t>
      </w:r>
      <w:r w:rsidR="00D14729" w:rsidRPr="004E0E95">
        <w:t>-</w:t>
      </w:r>
      <w:r w:rsidR="009D6010" w:rsidRPr="004E0E95">
        <w:t>19 hospitalisation (WHO Severity grading ≥4). In all participants who received SD as a first dose, as from 22</w:t>
      </w:r>
      <w:r w:rsidR="00D14729" w:rsidRPr="004E0E95">
        <w:t> </w:t>
      </w:r>
      <w:r w:rsidR="009D6010" w:rsidRPr="004E0E95">
        <w:t>days post dose</w:t>
      </w:r>
      <w:r w:rsidR="00D14729" w:rsidRPr="004E0E95">
        <w:t> </w:t>
      </w:r>
      <w:r w:rsidR="009D6010" w:rsidRPr="004E0E95">
        <w:t>1, there were 0 (0.0%, N=6,307) cases of COVID</w:t>
      </w:r>
      <w:r w:rsidR="00D14729" w:rsidRPr="004E0E95">
        <w:t>-</w:t>
      </w:r>
      <w:r w:rsidR="009D6010" w:rsidRPr="004E0E95">
        <w:t xml:space="preserve">19 hospitalisation in participants who received </w:t>
      </w:r>
      <w:r>
        <w:t>VAXZEVRIA</w:t>
      </w:r>
      <w:r w:rsidR="009D6010" w:rsidRPr="004E0E95">
        <w:t xml:space="preserve"> (N=6,307), as compared to 9 (0.14%, N=6,297) reported for control.</w:t>
      </w:r>
    </w:p>
    <w:p w14:paraId="1EF9C2FA" w14:textId="7AA117BB" w:rsidR="00C02ED7" w:rsidRDefault="009D6010" w:rsidP="00C02ED7">
      <w:pPr>
        <w:pStyle w:val="Paragraph"/>
      </w:pPr>
      <w:r w:rsidRPr="004E0E95">
        <w:t xml:space="preserve">Participants who had one or more </w:t>
      </w:r>
      <w:r w:rsidR="00695D67" w:rsidRPr="004E0E95">
        <w:t xml:space="preserve">mild </w:t>
      </w:r>
      <w:r w:rsidRPr="004E0E95">
        <w:t xml:space="preserve">comorbidities had a vaccine efficacy of 73.43% [95% CI: 48.49; 86.29]; 11 (0.53%) vs 43 (2.02%) for </w:t>
      </w:r>
      <w:r w:rsidR="00E56F2B">
        <w:t>VAXZEVRIA</w:t>
      </w:r>
      <w:r w:rsidRPr="004E0E95">
        <w:t xml:space="preserve"> (N=2,070) and control (N=2,113), respectively; which was similar to the vaccine efficacy observed in the overall population.</w:t>
      </w:r>
    </w:p>
    <w:p w14:paraId="0D09F93C" w14:textId="77777777" w:rsidR="004E0E95" w:rsidRPr="004E0E95" w:rsidRDefault="009D6010" w:rsidP="00C02ED7">
      <w:pPr>
        <w:pStyle w:val="Paragraph"/>
      </w:pPr>
      <w:r w:rsidRPr="004E0E95">
        <w:t>The number of COVID</w:t>
      </w:r>
      <w:r w:rsidR="00D14729" w:rsidRPr="004E0E95">
        <w:t>-</w:t>
      </w:r>
      <w:r w:rsidRPr="004E0E95">
        <w:t xml:space="preserve">19 cases in </w:t>
      </w:r>
      <w:r w:rsidR="0067290F" w:rsidRPr="004E0E95">
        <w:t xml:space="preserve">the subgroup of </w:t>
      </w:r>
      <w:r w:rsidRPr="004E0E95">
        <w:t>participants ≥65</w:t>
      </w:r>
      <w:r w:rsidR="00D14729" w:rsidRPr="004E0E95">
        <w:t> </w:t>
      </w:r>
      <w:r w:rsidRPr="004E0E95">
        <w:t>years old were too few to draw conclusions on efficacy. In this sub</w:t>
      </w:r>
      <w:r w:rsidR="00D14729" w:rsidRPr="004E0E95">
        <w:t>-</w:t>
      </w:r>
      <w:r w:rsidRPr="004E0E95">
        <w:t>population, efficacy has been inferred from immunogenicity data and efficacy demonstrated in the general population.</w:t>
      </w:r>
    </w:p>
    <w:p w14:paraId="1EF9C2FC" w14:textId="699F72A4" w:rsidR="004D0E7D" w:rsidRDefault="003F573A" w:rsidP="00C02ED7">
      <w:pPr>
        <w:pStyle w:val="Paragraph"/>
      </w:pPr>
      <w:r w:rsidRPr="004E0E95">
        <w:t>Limited data are available on the impact of emerging SARS-CoV-2 variants of concern on vaccine efficacy. Further information will be collected throughout the AZD1222 clinical development program by clinical and surveillance virology monitoring.</w:t>
      </w:r>
    </w:p>
    <w:p w14:paraId="1EF9C2FF" w14:textId="2F888BCD" w:rsidR="00C02ED7" w:rsidRPr="008D35A9" w:rsidRDefault="00C13C6B" w:rsidP="00C13C6B">
      <w:pPr>
        <w:pStyle w:val="Heading5Unnumbered"/>
      </w:pPr>
      <w:r w:rsidRPr="00E81697">
        <w:t xml:space="preserve">Immunogenicity data in individuals receiving </w:t>
      </w:r>
      <w:r>
        <w:t>2 doses (</w:t>
      </w:r>
      <w:r w:rsidR="009D6010" w:rsidRPr="008D35A9">
        <w:t>Interim analysis of pooled data from COV001, COV002, COV003, and COV005</w:t>
      </w:r>
      <w:r>
        <w:t>)</w:t>
      </w:r>
    </w:p>
    <w:p w14:paraId="1EF9C300" w14:textId="002013AD" w:rsidR="004518E8" w:rsidRPr="008D35A9" w:rsidRDefault="009D6010" w:rsidP="00C02ED7">
      <w:pPr>
        <w:pStyle w:val="Paragraph"/>
      </w:pPr>
      <w:r w:rsidRPr="008D35A9">
        <w:t>An immunological correlate of protection has not been established; therefore the level of immune response that provides protection against COVID-19 is unknown.</w:t>
      </w:r>
    </w:p>
    <w:p w14:paraId="1EF9C301" w14:textId="11186915" w:rsidR="00C02ED7" w:rsidRPr="004E0E95" w:rsidRDefault="009D6010" w:rsidP="00C02ED7">
      <w:pPr>
        <w:pStyle w:val="Paragraph"/>
      </w:pPr>
      <w:r w:rsidRPr="004E0E95">
        <w:t xml:space="preserve">Following vaccination with </w:t>
      </w:r>
      <w:r w:rsidR="00E56F2B">
        <w:t>VAXZEVRIA</w:t>
      </w:r>
      <w:r w:rsidRPr="004E0E95">
        <w:t>, in participants who were seronegative at baseline, seroconversion (as measured by a ≥4</w:t>
      </w:r>
      <w:r w:rsidR="008E3975">
        <w:t>-</w:t>
      </w:r>
      <w:r w:rsidRPr="004E0E95">
        <w:t>fold increase from baseline in S</w:t>
      </w:r>
      <w:r w:rsidR="00D14729" w:rsidRPr="004E0E95">
        <w:noBreakHyphen/>
      </w:r>
      <w:r w:rsidRPr="004E0E95">
        <w:t>binding antibodies) was demonstrated in ≥98% of participants at 28</w:t>
      </w:r>
      <w:r w:rsidR="00D14729" w:rsidRPr="004E0E95">
        <w:t> </w:t>
      </w:r>
      <w:r w:rsidRPr="004E0E95">
        <w:t>days after the first dose and &gt;99% at 28</w:t>
      </w:r>
      <w:r w:rsidR="00D14729" w:rsidRPr="004E0E95">
        <w:t> </w:t>
      </w:r>
      <w:r w:rsidRPr="004E0E95">
        <w:t>days after the second.  Higher S-binding antibodies were observed with increasing dose interval (</w:t>
      </w:r>
      <w:r w:rsidR="00414470" w:rsidRPr="004E0E95">
        <w:t xml:space="preserve">see </w:t>
      </w:r>
      <w:r w:rsidR="00414470" w:rsidRPr="004E0E95">
        <w:fldChar w:fldCharType="begin"/>
      </w:r>
      <w:r w:rsidR="00414470" w:rsidRPr="004E0E95">
        <w:instrText xml:space="preserve"> REF _Ref59532598 \h  \* MERGEFORMAT </w:instrText>
      </w:r>
      <w:r w:rsidR="00414470" w:rsidRPr="004E0E95">
        <w:fldChar w:fldCharType="separate"/>
      </w:r>
      <w:r w:rsidR="00D222AF" w:rsidRPr="004E0E95">
        <w:t>Table </w:t>
      </w:r>
      <w:r w:rsidR="00D222AF">
        <w:t>5</w:t>
      </w:r>
      <w:r w:rsidR="00414470" w:rsidRPr="004E0E95">
        <w:fldChar w:fldCharType="end"/>
      </w:r>
      <w:r w:rsidRPr="004E0E95">
        <w:t>).</w:t>
      </w:r>
    </w:p>
    <w:p w14:paraId="1EF9C302" w14:textId="331A40F8" w:rsidR="00414470" w:rsidRPr="004E0E95" w:rsidRDefault="009D6010" w:rsidP="00414470">
      <w:pPr>
        <w:pStyle w:val="Paragraph"/>
      </w:pPr>
      <w:r w:rsidRPr="004E0E95">
        <w:t>Generally similar trends were observed between analyses of neutralising antibodies and S</w:t>
      </w:r>
      <w:r w:rsidR="00D14729" w:rsidRPr="004E0E95">
        <w:noBreakHyphen/>
      </w:r>
      <w:r w:rsidRPr="004E0E95">
        <w:t>binding antibodies.</w:t>
      </w:r>
    </w:p>
    <w:p w14:paraId="1EF9C303" w14:textId="7083FFC0" w:rsidR="00414470" w:rsidRPr="004E0E95" w:rsidRDefault="009D6010" w:rsidP="00414470">
      <w:pPr>
        <w:pStyle w:val="TableTitle"/>
      </w:pPr>
      <w:bookmarkStart w:id="24" w:name="_Ref59532598"/>
      <w:r w:rsidRPr="004E0E95">
        <w:lastRenderedPageBreak/>
        <w:t>Table </w:t>
      </w:r>
      <w:r w:rsidRPr="004E0E95">
        <w:fldChar w:fldCharType="begin"/>
      </w:r>
      <w:r w:rsidRPr="004E0E95">
        <w:instrText xml:space="preserve"> SEQ Table \* ARABIC </w:instrText>
      </w:r>
      <w:r w:rsidRPr="004E0E95">
        <w:fldChar w:fldCharType="separate"/>
      </w:r>
      <w:r w:rsidR="00D222AF">
        <w:rPr>
          <w:noProof/>
        </w:rPr>
        <w:t>5</w:t>
      </w:r>
      <w:r w:rsidRPr="004E0E95">
        <w:fldChar w:fldCharType="end"/>
      </w:r>
      <w:bookmarkEnd w:id="24"/>
      <w:r w:rsidRPr="004E0E95">
        <w:tab/>
      </w:r>
      <w:r w:rsidR="00F86971" w:rsidRPr="004E0E95">
        <w:t>SARS-C</w:t>
      </w:r>
      <w:r w:rsidR="006B17FE" w:rsidRPr="004E0E95">
        <w:t>o</w:t>
      </w:r>
      <w:r w:rsidR="00F86971" w:rsidRPr="004E0E95">
        <w:t>V</w:t>
      </w:r>
      <w:r w:rsidRPr="004E0E95">
        <w:t xml:space="preserve">-2 S-binding antibody response to </w:t>
      </w:r>
      <w:r w:rsidR="00E56F2B">
        <w:t>VAXZEVRIA</w:t>
      </w:r>
      <w:r w:rsidRPr="004E0E95">
        <w:t xml:space="preserve"> (SDSD)</w:t>
      </w:r>
      <w:r w:rsidRPr="004E0E95">
        <w:rPr>
          <w:vertAlign w:val="superscript"/>
        </w:rPr>
        <w: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927"/>
        <w:gridCol w:w="2463"/>
        <w:gridCol w:w="2409"/>
        <w:gridCol w:w="2835"/>
      </w:tblGrid>
      <w:tr w:rsidR="00444376" w:rsidRPr="004E0E95" w14:paraId="1EF9C308" w14:textId="77777777" w:rsidTr="6BC6D586">
        <w:trPr>
          <w:cantSplit/>
          <w:tblHeader/>
        </w:trPr>
        <w:tc>
          <w:tcPr>
            <w:tcW w:w="1927" w:type="dxa"/>
            <w:vMerge w:val="restart"/>
            <w:shd w:val="clear" w:color="auto" w:fill="auto"/>
            <w:vAlign w:val="center"/>
          </w:tcPr>
          <w:p w14:paraId="1EF9C304" w14:textId="77777777" w:rsidR="00414470" w:rsidRPr="004E0E95" w:rsidRDefault="009D6010" w:rsidP="00414470">
            <w:pPr>
              <w:pStyle w:val="TableHead"/>
              <w:jc w:val="left"/>
            </w:pPr>
            <w:r w:rsidRPr="004E0E95">
              <w:t>Population</w:t>
            </w:r>
          </w:p>
        </w:tc>
        <w:tc>
          <w:tcPr>
            <w:tcW w:w="2463" w:type="dxa"/>
            <w:shd w:val="clear" w:color="auto" w:fill="auto"/>
            <w:vAlign w:val="center"/>
          </w:tcPr>
          <w:p w14:paraId="1EF9C305" w14:textId="77777777" w:rsidR="00414470" w:rsidRPr="004E0E95" w:rsidRDefault="009D6010" w:rsidP="00414470">
            <w:pPr>
              <w:pStyle w:val="TableHead"/>
            </w:pPr>
            <w:r w:rsidRPr="004E0E95">
              <w:t>Baseline</w:t>
            </w:r>
          </w:p>
        </w:tc>
        <w:tc>
          <w:tcPr>
            <w:tcW w:w="2409" w:type="dxa"/>
            <w:shd w:val="clear" w:color="auto" w:fill="auto"/>
            <w:vAlign w:val="center"/>
          </w:tcPr>
          <w:p w14:paraId="1EF9C306" w14:textId="77777777" w:rsidR="00414470" w:rsidRPr="004E0E95" w:rsidRDefault="009D6010" w:rsidP="00414470">
            <w:pPr>
              <w:pStyle w:val="TableHead"/>
            </w:pPr>
            <w:r w:rsidRPr="004E0E95">
              <w:t>28 days after dose 1</w:t>
            </w:r>
          </w:p>
        </w:tc>
        <w:tc>
          <w:tcPr>
            <w:tcW w:w="2835" w:type="dxa"/>
            <w:shd w:val="clear" w:color="auto" w:fill="auto"/>
            <w:vAlign w:val="center"/>
          </w:tcPr>
          <w:p w14:paraId="1EF9C307" w14:textId="77777777" w:rsidR="00414470" w:rsidRPr="004E0E95" w:rsidRDefault="009D6010" w:rsidP="00414470">
            <w:pPr>
              <w:pStyle w:val="TableHead"/>
            </w:pPr>
            <w:r w:rsidRPr="004E0E95">
              <w:t>28 days after dose 2</w:t>
            </w:r>
          </w:p>
        </w:tc>
      </w:tr>
      <w:tr w:rsidR="00444376" w:rsidRPr="004E0E95" w14:paraId="1EF9C30D" w14:textId="77777777" w:rsidTr="6BC6D586">
        <w:trPr>
          <w:cantSplit/>
          <w:tblHeader/>
        </w:trPr>
        <w:tc>
          <w:tcPr>
            <w:tcW w:w="1927" w:type="dxa"/>
            <w:vMerge/>
          </w:tcPr>
          <w:p w14:paraId="1EF9C309" w14:textId="77777777" w:rsidR="00414470" w:rsidRPr="004E0E95" w:rsidRDefault="00414470" w:rsidP="00414470">
            <w:pPr>
              <w:pStyle w:val="TableHead"/>
            </w:pPr>
          </w:p>
        </w:tc>
        <w:tc>
          <w:tcPr>
            <w:tcW w:w="2463" w:type="dxa"/>
            <w:shd w:val="clear" w:color="auto" w:fill="auto"/>
            <w:vAlign w:val="center"/>
          </w:tcPr>
          <w:p w14:paraId="1EF9C30A" w14:textId="77777777" w:rsidR="00414470" w:rsidRPr="004E0E95" w:rsidRDefault="009D6010" w:rsidP="00414470">
            <w:pPr>
              <w:pStyle w:val="TableHead"/>
            </w:pPr>
            <w:r w:rsidRPr="004E0E95">
              <w:t>GMT</w:t>
            </w:r>
            <w:r w:rsidRPr="004E0E95">
              <w:br/>
              <w:t>(95% CI)</w:t>
            </w:r>
          </w:p>
        </w:tc>
        <w:tc>
          <w:tcPr>
            <w:tcW w:w="2409" w:type="dxa"/>
            <w:shd w:val="clear" w:color="auto" w:fill="auto"/>
            <w:vAlign w:val="center"/>
          </w:tcPr>
          <w:p w14:paraId="1EF9C30B" w14:textId="77777777" w:rsidR="00414470" w:rsidRPr="004E0E95" w:rsidRDefault="009D6010" w:rsidP="00414470">
            <w:pPr>
              <w:pStyle w:val="TableHead"/>
            </w:pPr>
            <w:r w:rsidRPr="004E0E95">
              <w:t>GMT</w:t>
            </w:r>
            <w:r w:rsidRPr="004E0E95">
              <w:br/>
              <w:t>(95% CI)</w:t>
            </w:r>
          </w:p>
        </w:tc>
        <w:tc>
          <w:tcPr>
            <w:tcW w:w="2835" w:type="dxa"/>
            <w:shd w:val="clear" w:color="auto" w:fill="auto"/>
            <w:vAlign w:val="center"/>
          </w:tcPr>
          <w:p w14:paraId="1EF9C30C" w14:textId="77777777" w:rsidR="00414470" w:rsidRPr="004E0E95" w:rsidRDefault="009D6010" w:rsidP="00414470">
            <w:pPr>
              <w:pStyle w:val="TableHead"/>
            </w:pPr>
            <w:r w:rsidRPr="004E0E95">
              <w:t>GMT</w:t>
            </w:r>
            <w:r w:rsidRPr="004E0E95">
              <w:br/>
              <w:t>(95% CI)</w:t>
            </w:r>
          </w:p>
        </w:tc>
      </w:tr>
      <w:tr w:rsidR="00444376" w:rsidRPr="004E0E95" w14:paraId="1EF9C315" w14:textId="77777777" w:rsidTr="6BC6D586">
        <w:trPr>
          <w:cantSplit/>
        </w:trPr>
        <w:tc>
          <w:tcPr>
            <w:tcW w:w="1927" w:type="dxa"/>
            <w:shd w:val="clear" w:color="auto" w:fill="auto"/>
            <w:vAlign w:val="center"/>
          </w:tcPr>
          <w:p w14:paraId="1EF9C30E" w14:textId="52BC0BB8" w:rsidR="00414470" w:rsidRPr="004E0E95" w:rsidRDefault="009D6010" w:rsidP="00414470">
            <w:pPr>
              <w:pStyle w:val="TableLeft"/>
            </w:pPr>
            <w:r w:rsidRPr="004E0E95">
              <w:t>Overall</w:t>
            </w:r>
          </w:p>
        </w:tc>
        <w:tc>
          <w:tcPr>
            <w:tcW w:w="2463" w:type="dxa"/>
            <w:shd w:val="clear" w:color="auto" w:fill="auto"/>
            <w:vAlign w:val="center"/>
          </w:tcPr>
          <w:p w14:paraId="1EF9C30F" w14:textId="77777777" w:rsidR="00414470" w:rsidRPr="004E0E95" w:rsidRDefault="009D6010" w:rsidP="00414470">
            <w:pPr>
              <w:pStyle w:val="TableCenter"/>
            </w:pPr>
            <w:r w:rsidRPr="004E0E95">
              <w:t>(N=882)</w:t>
            </w:r>
          </w:p>
          <w:p w14:paraId="1EF9C310" w14:textId="77777777" w:rsidR="00414470" w:rsidRPr="004E0E95" w:rsidRDefault="009D6010" w:rsidP="002D18DD">
            <w:pPr>
              <w:pStyle w:val="TableCenter"/>
            </w:pPr>
            <w:r w:rsidRPr="004E0E95">
              <w:t>57.18</w:t>
            </w:r>
            <w:r w:rsidR="002D18DD" w:rsidRPr="004E0E95">
              <w:br/>
            </w:r>
            <w:r w:rsidRPr="004E0E95">
              <w:t>(52.8, 62.0)</w:t>
            </w:r>
          </w:p>
        </w:tc>
        <w:tc>
          <w:tcPr>
            <w:tcW w:w="2409" w:type="dxa"/>
            <w:shd w:val="clear" w:color="auto" w:fill="auto"/>
            <w:vAlign w:val="center"/>
          </w:tcPr>
          <w:p w14:paraId="1EF9C311" w14:textId="77777777" w:rsidR="00414470" w:rsidRPr="004E0E95" w:rsidRDefault="009D6010" w:rsidP="00414470">
            <w:pPr>
              <w:pStyle w:val="TableCenter"/>
            </w:pPr>
            <w:r w:rsidRPr="004E0E95">
              <w:t>(N=817)</w:t>
            </w:r>
          </w:p>
          <w:p w14:paraId="1EF9C312" w14:textId="6B2DF7EF" w:rsidR="003C2EEE" w:rsidRPr="004E0E95" w:rsidRDefault="009D6010" w:rsidP="00125782">
            <w:pPr>
              <w:pStyle w:val="TableCenter"/>
            </w:pPr>
            <w:r w:rsidRPr="004E0E95">
              <w:t>8386.46</w:t>
            </w:r>
            <w:r w:rsidR="002D18DD" w:rsidRPr="004E0E95">
              <w:br/>
            </w:r>
            <w:r w:rsidRPr="004E0E95">
              <w:t>(7758.6, 9065.1)</w:t>
            </w:r>
          </w:p>
        </w:tc>
        <w:tc>
          <w:tcPr>
            <w:tcW w:w="2835" w:type="dxa"/>
            <w:shd w:val="clear" w:color="auto" w:fill="auto"/>
            <w:vAlign w:val="center"/>
          </w:tcPr>
          <w:p w14:paraId="1EF9C313" w14:textId="77777777" w:rsidR="00414470" w:rsidRPr="004E0E95" w:rsidRDefault="009D6010" w:rsidP="00414470">
            <w:pPr>
              <w:pStyle w:val="TableCenter"/>
            </w:pPr>
            <w:r w:rsidRPr="004E0E95">
              <w:t>(N=819)</w:t>
            </w:r>
          </w:p>
          <w:p w14:paraId="1EF9C314" w14:textId="77777777" w:rsidR="00414470" w:rsidRPr="004E0E95" w:rsidRDefault="009D6010" w:rsidP="002D18DD">
            <w:pPr>
              <w:pStyle w:val="TableCenter"/>
            </w:pPr>
            <w:r w:rsidRPr="004E0E95">
              <w:t>29034.74</w:t>
            </w:r>
            <w:r w:rsidR="002D18DD" w:rsidRPr="004E0E95">
              <w:br/>
            </w:r>
            <w:r w:rsidRPr="004E0E95">
              <w:t>(27118.2, 31086.7)</w:t>
            </w:r>
          </w:p>
        </w:tc>
      </w:tr>
      <w:tr w:rsidR="00444376" w:rsidRPr="004E0E95" w14:paraId="1EF9C317" w14:textId="77777777" w:rsidTr="6BC6D586">
        <w:trPr>
          <w:cantSplit/>
        </w:trPr>
        <w:tc>
          <w:tcPr>
            <w:tcW w:w="9634" w:type="dxa"/>
            <w:gridSpan w:val="4"/>
            <w:shd w:val="clear" w:color="auto" w:fill="auto"/>
          </w:tcPr>
          <w:p w14:paraId="1EF9C316" w14:textId="131A6338" w:rsidR="00414470" w:rsidRPr="004E0E95" w:rsidRDefault="009D6010" w:rsidP="00414470">
            <w:pPr>
              <w:pStyle w:val="TableLeft"/>
              <w:rPr>
                <w:b/>
                <w:bCs w:val="0"/>
                <w:i/>
                <w:iCs/>
              </w:rPr>
            </w:pPr>
            <w:r w:rsidRPr="004E0E95">
              <w:rPr>
                <w:b/>
                <w:bCs w:val="0"/>
                <w:i/>
                <w:iCs/>
              </w:rPr>
              <w:t>Dose Interval</w:t>
            </w:r>
          </w:p>
        </w:tc>
      </w:tr>
      <w:tr w:rsidR="00444376" w:rsidRPr="004E0E95" w14:paraId="1EF9C31F" w14:textId="77777777" w:rsidTr="6BC6D586">
        <w:trPr>
          <w:cantSplit/>
        </w:trPr>
        <w:tc>
          <w:tcPr>
            <w:tcW w:w="1927" w:type="dxa"/>
            <w:shd w:val="clear" w:color="auto" w:fill="auto"/>
            <w:vAlign w:val="center"/>
          </w:tcPr>
          <w:p w14:paraId="1EF9C318" w14:textId="77777777" w:rsidR="00414470" w:rsidRPr="004E0E95" w:rsidRDefault="009D6010" w:rsidP="00414470">
            <w:pPr>
              <w:pStyle w:val="TableLeft"/>
            </w:pPr>
            <w:r w:rsidRPr="004E0E95">
              <w:t>&lt;6 weeks</w:t>
            </w:r>
          </w:p>
        </w:tc>
        <w:tc>
          <w:tcPr>
            <w:tcW w:w="2463" w:type="dxa"/>
            <w:shd w:val="clear" w:color="auto" w:fill="auto"/>
            <w:vAlign w:val="center"/>
          </w:tcPr>
          <w:p w14:paraId="1EF9C319" w14:textId="77777777" w:rsidR="00414470" w:rsidRPr="004E0E95" w:rsidRDefault="009D6010" w:rsidP="00414470">
            <w:pPr>
              <w:pStyle w:val="TableCenter"/>
            </w:pPr>
            <w:r w:rsidRPr="004E0E95">
              <w:t>(N=481)</w:t>
            </w:r>
          </w:p>
          <w:p w14:paraId="1EF9C31A" w14:textId="77777777" w:rsidR="00414470" w:rsidRPr="004E0E95" w:rsidRDefault="009D6010" w:rsidP="002D18DD">
            <w:pPr>
              <w:pStyle w:val="TableCenter"/>
            </w:pPr>
            <w:r w:rsidRPr="004E0E95">
              <w:t>60.51</w:t>
            </w:r>
            <w:r w:rsidR="002D18DD" w:rsidRPr="004E0E95">
              <w:br/>
            </w:r>
            <w:r w:rsidRPr="004E0E95">
              <w:t>(54.1, 67.7)</w:t>
            </w:r>
          </w:p>
        </w:tc>
        <w:tc>
          <w:tcPr>
            <w:tcW w:w="2409" w:type="dxa"/>
            <w:shd w:val="clear" w:color="auto" w:fill="auto"/>
            <w:vAlign w:val="center"/>
          </w:tcPr>
          <w:p w14:paraId="1EF9C31B" w14:textId="77777777" w:rsidR="00414470" w:rsidRPr="004E0E95" w:rsidRDefault="009D6010" w:rsidP="00414470">
            <w:pPr>
              <w:pStyle w:val="TableCenter"/>
            </w:pPr>
            <w:r w:rsidRPr="004E0E95">
              <w:t>(N=479)</w:t>
            </w:r>
          </w:p>
          <w:p w14:paraId="1EF9C31C" w14:textId="77777777" w:rsidR="00414470" w:rsidRPr="004E0E95" w:rsidRDefault="009D6010" w:rsidP="002D18DD">
            <w:pPr>
              <w:pStyle w:val="TableCenter"/>
            </w:pPr>
            <w:r w:rsidRPr="004E0E95">
              <w:t>8734.08</w:t>
            </w:r>
            <w:r w:rsidR="002D18DD" w:rsidRPr="004E0E95">
              <w:br/>
            </w:r>
            <w:r w:rsidRPr="004E0E95">
              <w:t>(7883.1, 9676.9)</w:t>
            </w:r>
          </w:p>
        </w:tc>
        <w:tc>
          <w:tcPr>
            <w:tcW w:w="2835" w:type="dxa"/>
            <w:shd w:val="clear" w:color="auto" w:fill="auto"/>
            <w:vAlign w:val="center"/>
          </w:tcPr>
          <w:p w14:paraId="1EF9C31D" w14:textId="77777777" w:rsidR="00414470" w:rsidRPr="004E0E95" w:rsidRDefault="009D6010" w:rsidP="00414470">
            <w:pPr>
              <w:pStyle w:val="TableCenter"/>
            </w:pPr>
            <w:r w:rsidRPr="004E0E95">
              <w:t>(N=443)</w:t>
            </w:r>
          </w:p>
          <w:p w14:paraId="1EF9C31E" w14:textId="77777777" w:rsidR="00414470" w:rsidRPr="004E0E95" w:rsidRDefault="009D6010" w:rsidP="002D18DD">
            <w:pPr>
              <w:pStyle w:val="TableCenter"/>
            </w:pPr>
            <w:r w:rsidRPr="004E0E95">
              <w:t>22222.73</w:t>
            </w:r>
            <w:r w:rsidR="002D18DD" w:rsidRPr="004E0E95">
              <w:br/>
            </w:r>
            <w:r w:rsidRPr="004E0E95">
              <w:t>(20360.50, 24255.3)</w:t>
            </w:r>
          </w:p>
        </w:tc>
      </w:tr>
      <w:tr w:rsidR="00444376" w:rsidRPr="004E0E95" w14:paraId="1EF9C327" w14:textId="77777777" w:rsidTr="6BC6D586">
        <w:trPr>
          <w:cantSplit/>
        </w:trPr>
        <w:tc>
          <w:tcPr>
            <w:tcW w:w="1927" w:type="dxa"/>
            <w:shd w:val="clear" w:color="auto" w:fill="auto"/>
            <w:vAlign w:val="center"/>
          </w:tcPr>
          <w:p w14:paraId="1EF9C320" w14:textId="77777777" w:rsidR="00414470" w:rsidRPr="004E0E95" w:rsidRDefault="009D6010" w:rsidP="00414470">
            <w:pPr>
              <w:pStyle w:val="TableLeft"/>
            </w:pPr>
            <w:r w:rsidRPr="004E0E95">
              <w:t>6-8 weeks</w:t>
            </w:r>
          </w:p>
        </w:tc>
        <w:tc>
          <w:tcPr>
            <w:tcW w:w="2463" w:type="dxa"/>
            <w:shd w:val="clear" w:color="auto" w:fill="auto"/>
            <w:vAlign w:val="center"/>
          </w:tcPr>
          <w:p w14:paraId="1EF9C321" w14:textId="77777777" w:rsidR="00414470" w:rsidRPr="004E0E95" w:rsidRDefault="009D6010" w:rsidP="00414470">
            <w:pPr>
              <w:pStyle w:val="TableCenter"/>
            </w:pPr>
            <w:r w:rsidRPr="004E0E95">
              <w:t>(N=137)</w:t>
            </w:r>
          </w:p>
          <w:p w14:paraId="1EF9C322" w14:textId="77777777" w:rsidR="00414470" w:rsidRPr="004E0E95" w:rsidRDefault="009D6010" w:rsidP="002D18DD">
            <w:pPr>
              <w:pStyle w:val="TableCenter"/>
            </w:pPr>
            <w:r w:rsidRPr="004E0E95">
              <w:t>58.02</w:t>
            </w:r>
            <w:r w:rsidR="002D18DD" w:rsidRPr="004E0E95">
              <w:br/>
            </w:r>
            <w:r w:rsidRPr="004E0E95">
              <w:t>(46.3, 72.6)</w:t>
            </w:r>
          </w:p>
        </w:tc>
        <w:tc>
          <w:tcPr>
            <w:tcW w:w="2409" w:type="dxa"/>
            <w:shd w:val="clear" w:color="auto" w:fill="auto"/>
            <w:vAlign w:val="center"/>
          </w:tcPr>
          <w:p w14:paraId="1EF9C323" w14:textId="77777777" w:rsidR="00414470" w:rsidRPr="004E0E95" w:rsidRDefault="009D6010" w:rsidP="00414470">
            <w:pPr>
              <w:pStyle w:val="TableCenter"/>
            </w:pPr>
            <w:r w:rsidRPr="004E0E95">
              <w:t>(N=99)</w:t>
            </w:r>
          </w:p>
          <w:p w14:paraId="1EF9C324" w14:textId="77777777" w:rsidR="00414470" w:rsidRPr="004E0E95" w:rsidRDefault="009D6010" w:rsidP="002D18DD">
            <w:pPr>
              <w:pStyle w:val="TableCenter"/>
            </w:pPr>
            <w:r w:rsidRPr="004E0E95">
              <w:t>7295.54</w:t>
            </w:r>
            <w:r w:rsidR="002D18DD" w:rsidRPr="004E0E95">
              <w:br/>
            </w:r>
            <w:r w:rsidRPr="004E0E95">
              <w:t>(5857.4, 9086.7)</w:t>
            </w:r>
          </w:p>
        </w:tc>
        <w:tc>
          <w:tcPr>
            <w:tcW w:w="2835" w:type="dxa"/>
            <w:shd w:val="clear" w:color="auto" w:fill="auto"/>
            <w:vAlign w:val="center"/>
          </w:tcPr>
          <w:p w14:paraId="1EF9C325" w14:textId="77777777" w:rsidR="00414470" w:rsidRPr="004E0E95" w:rsidRDefault="009D6010" w:rsidP="00414470">
            <w:pPr>
              <w:pStyle w:val="TableCenter"/>
            </w:pPr>
            <w:r w:rsidRPr="004E0E95">
              <w:t>(N=116)</w:t>
            </w:r>
          </w:p>
          <w:p w14:paraId="1EF9C326" w14:textId="77777777" w:rsidR="00414470" w:rsidRPr="004E0E95" w:rsidRDefault="009D6010" w:rsidP="002D18DD">
            <w:pPr>
              <w:pStyle w:val="TableCenter"/>
            </w:pPr>
            <w:r w:rsidRPr="004E0E95">
              <w:t>24363.10</w:t>
            </w:r>
            <w:r w:rsidR="002D18DD" w:rsidRPr="004E0E95">
              <w:br/>
            </w:r>
            <w:r w:rsidRPr="004E0E95">
              <w:t>(20088.5, 29547.3)</w:t>
            </w:r>
          </w:p>
        </w:tc>
      </w:tr>
      <w:tr w:rsidR="00444376" w:rsidRPr="004E0E95" w14:paraId="1EF9C32F" w14:textId="77777777" w:rsidTr="6BC6D586">
        <w:trPr>
          <w:cantSplit/>
        </w:trPr>
        <w:tc>
          <w:tcPr>
            <w:tcW w:w="1927" w:type="dxa"/>
            <w:shd w:val="clear" w:color="auto" w:fill="auto"/>
            <w:vAlign w:val="center"/>
          </w:tcPr>
          <w:p w14:paraId="1EF9C328" w14:textId="77777777" w:rsidR="00414470" w:rsidRPr="004E0E95" w:rsidRDefault="009D6010" w:rsidP="00414470">
            <w:pPr>
              <w:pStyle w:val="TableLeft"/>
            </w:pPr>
            <w:r w:rsidRPr="004E0E95">
              <w:t>9-11 weeks</w:t>
            </w:r>
          </w:p>
        </w:tc>
        <w:tc>
          <w:tcPr>
            <w:tcW w:w="2463" w:type="dxa"/>
            <w:shd w:val="clear" w:color="auto" w:fill="auto"/>
            <w:vAlign w:val="center"/>
          </w:tcPr>
          <w:p w14:paraId="1EF9C329" w14:textId="77777777" w:rsidR="00414470" w:rsidRPr="004E0E95" w:rsidRDefault="009D6010" w:rsidP="00414470">
            <w:pPr>
              <w:pStyle w:val="TableCenter"/>
            </w:pPr>
            <w:r w:rsidRPr="004E0E95">
              <w:t>(N=110)</w:t>
            </w:r>
          </w:p>
          <w:p w14:paraId="1EF9C32A" w14:textId="77777777" w:rsidR="00414470" w:rsidRPr="004E0E95" w:rsidRDefault="009D6010" w:rsidP="002D18DD">
            <w:pPr>
              <w:pStyle w:val="TableCenter"/>
            </w:pPr>
            <w:r w:rsidRPr="004E0E95">
              <w:t>48.79</w:t>
            </w:r>
            <w:r w:rsidR="002D18DD" w:rsidRPr="004E0E95">
              <w:br/>
            </w:r>
            <w:r w:rsidRPr="004E0E95">
              <w:t>(39.6, 60.1)</w:t>
            </w:r>
          </w:p>
        </w:tc>
        <w:tc>
          <w:tcPr>
            <w:tcW w:w="2409" w:type="dxa"/>
            <w:shd w:val="clear" w:color="auto" w:fill="auto"/>
            <w:vAlign w:val="center"/>
          </w:tcPr>
          <w:p w14:paraId="1EF9C32B" w14:textId="77777777" w:rsidR="00414470" w:rsidRPr="004E0E95" w:rsidRDefault="009D6010" w:rsidP="00414470">
            <w:pPr>
              <w:pStyle w:val="TableCenter"/>
            </w:pPr>
            <w:r w:rsidRPr="004E0E95">
              <w:t>(N=87)</w:t>
            </w:r>
          </w:p>
          <w:p w14:paraId="1EF9C32C" w14:textId="77777777" w:rsidR="00414470" w:rsidRPr="004E0E95" w:rsidRDefault="009D6010" w:rsidP="002D18DD">
            <w:pPr>
              <w:pStyle w:val="TableCenter"/>
            </w:pPr>
            <w:r w:rsidRPr="004E0E95">
              <w:t>7492.98</w:t>
            </w:r>
            <w:r w:rsidR="002D18DD" w:rsidRPr="004E0E95">
              <w:br/>
            </w:r>
            <w:r w:rsidRPr="004E0E95">
              <w:t>(5885.1, 9540.2)</w:t>
            </w:r>
          </w:p>
        </w:tc>
        <w:tc>
          <w:tcPr>
            <w:tcW w:w="2835" w:type="dxa"/>
            <w:shd w:val="clear" w:color="auto" w:fill="auto"/>
            <w:vAlign w:val="center"/>
          </w:tcPr>
          <w:p w14:paraId="1EF9C32D" w14:textId="77777777" w:rsidR="00414470" w:rsidRPr="004E0E95" w:rsidRDefault="009D6010" w:rsidP="00414470">
            <w:pPr>
              <w:pStyle w:val="TableCenter"/>
            </w:pPr>
            <w:r w:rsidRPr="004E0E95">
              <w:t>(N=106)</w:t>
            </w:r>
          </w:p>
          <w:p w14:paraId="1EF9C32E" w14:textId="77777777" w:rsidR="00414470" w:rsidRPr="004E0E95" w:rsidRDefault="009D6010" w:rsidP="002D18DD">
            <w:pPr>
              <w:pStyle w:val="TableCenter"/>
            </w:pPr>
            <w:r w:rsidRPr="004E0E95">
              <w:t>34754.10</w:t>
            </w:r>
            <w:r w:rsidR="002D18DD" w:rsidRPr="004E0E95">
              <w:br/>
            </w:r>
            <w:r w:rsidRPr="004E0E95">
              <w:t>(30287.2, 39879.8)</w:t>
            </w:r>
          </w:p>
        </w:tc>
      </w:tr>
      <w:tr w:rsidR="00444376" w:rsidRPr="004E0E95" w14:paraId="1EF9C337" w14:textId="77777777" w:rsidTr="6BC6D586">
        <w:trPr>
          <w:cantSplit/>
        </w:trPr>
        <w:tc>
          <w:tcPr>
            <w:tcW w:w="1927" w:type="dxa"/>
            <w:shd w:val="clear" w:color="auto" w:fill="auto"/>
            <w:vAlign w:val="center"/>
          </w:tcPr>
          <w:p w14:paraId="1EF9C330" w14:textId="77777777" w:rsidR="00414470" w:rsidRPr="004E0E95" w:rsidRDefault="009D6010" w:rsidP="00414470">
            <w:pPr>
              <w:pStyle w:val="TableLeft"/>
            </w:pPr>
            <w:r w:rsidRPr="004E0E95">
              <w:t>≥12 weeks</w:t>
            </w:r>
          </w:p>
        </w:tc>
        <w:tc>
          <w:tcPr>
            <w:tcW w:w="2463" w:type="dxa"/>
            <w:shd w:val="clear" w:color="auto" w:fill="auto"/>
            <w:vAlign w:val="center"/>
          </w:tcPr>
          <w:p w14:paraId="1EF9C331" w14:textId="77777777" w:rsidR="00414470" w:rsidRPr="004E0E95" w:rsidRDefault="009D6010" w:rsidP="00414470">
            <w:pPr>
              <w:pStyle w:val="TableCenter"/>
            </w:pPr>
            <w:r w:rsidRPr="004E0E95">
              <w:t>(N=154)</w:t>
            </w:r>
          </w:p>
          <w:p w14:paraId="1EF9C332" w14:textId="77777777" w:rsidR="00414470" w:rsidRPr="004E0E95" w:rsidRDefault="009D6010" w:rsidP="002D18DD">
            <w:pPr>
              <w:pStyle w:val="TableCenter"/>
            </w:pPr>
            <w:r w:rsidRPr="004E0E95">
              <w:t>52.98</w:t>
            </w:r>
            <w:r w:rsidR="002D18DD" w:rsidRPr="004E0E95">
              <w:br/>
            </w:r>
            <w:r w:rsidRPr="004E0E95">
              <w:t>(44.4, 63.2)</w:t>
            </w:r>
          </w:p>
        </w:tc>
        <w:tc>
          <w:tcPr>
            <w:tcW w:w="2409" w:type="dxa"/>
            <w:shd w:val="clear" w:color="auto" w:fill="auto"/>
            <w:vAlign w:val="center"/>
          </w:tcPr>
          <w:p w14:paraId="1EF9C333" w14:textId="77777777" w:rsidR="00414470" w:rsidRPr="004E0E95" w:rsidRDefault="009D6010" w:rsidP="00414470">
            <w:pPr>
              <w:pStyle w:val="TableCenter"/>
            </w:pPr>
            <w:r w:rsidRPr="004E0E95">
              <w:t>(N=152)</w:t>
            </w:r>
          </w:p>
          <w:p w14:paraId="1EF9C334" w14:textId="77777777" w:rsidR="00414470" w:rsidRPr="004E0E95" w:rsidRDefault="009D6010" w:rsidP="002D18DD">
            <w:pPr>
              <w:pStyle w:val="TableCenter"/>
            </w:pPr>
            <w:r w:rsidRPr="004E0E95">
              <w:t>8618.17</w:t>
            </w:r>
            <w:r w:rsidR="002D18DD" w:rsidRPr="004E0E95">
              <w:br/>
            </w:r>
            <w:r w:rsidRPr="004E0E95">
              <w:t>(7195.4, 10322.3)</w:t>
            </w:r>
          </w:p>
        </w:tc>
        <w:tc>
          <w:tcPr>
            <w:tcW w:w="2835" w:type="dxa"/>
            <w:shd w:val="clear" w:color="auto" w:fill="auto"/>
            <w:vAlign w:val="center"/>
          </w:tcPr>
          <w:p w14:paraId="1EF9C335" w14:textId="77777777" w:rsidR="00414470" w:rsidRPr="004E0E95" w:rsidRDefault="009D6010" w:rsidP="00414470">
            <w:pPr>
              <w:pStyle w:val="TableCenter"/>
            </w:pPr>
            <w:r w:rsidRPr="004E0E95">
              <w:t>(N=154)</w:t>
            </w:r>
          </w:p>
          <w:p w14:paraId="1EF9C336" w14:textId="77777777" w:rsidR="00414470" w:rsidRPr="004E0E95" w:rsidRDefault="009D6010" w:rsidP="002D18DD">
            <w:pPr>
              <w:pStyle w:val="TableCenter"/>
            </w:pPr>
            <w:r w:rsidRPr="004E0E95">
              <w:t>63181.59</w:t>
            </w:r>
            <w:r w:rsidR="002D18DD" w:rsidRPr="004E0E95">
              <w:br/>
            </w:r>
            <w:r w:rsidRPr="004E0E95">
              <w:t>(55180.1, 72343.4)</w:t>
            </w:r>
          </w:p>
        </w:tc>
      </w:tr>
    </w:tbl>
    <w:p w14:paraId="1EF9C338" w14:textId="77777777" w:rsidR="00414470" w:rsidRPr="004E0E95" w:rsidRDefault="009D6010" w:rsidP="002D18DD">
      <w:pPr>
        <w:pStyle w:val="TableFootnoteInfo"/>
      </w:pPr>
      <w:r w:rsidRPr="004E0E95">
        <w:t>N = Number of subjects included in each group; GMT = Geometric mean titre; CI = Confidence interval; S = Spike</w:t>
      </w:r>
    </w:p>
    <w:p w14:paraId="1EF9C339" w14:textId="77777777" w:rsidR="00414470" w:rsidRPr="004E0E95" w:rsidRDefault="009D6010" w:rsidP="00FC453A">
      <w:pPr>
        <w:pStyle w:val="TableFootnoteLetter"/>
        <w:numPr>
          <w:ilvl w:val="0"/>
          <w:numId w:val="15"/>
        </w:numPr>
      </w:pPr>
      <w:r w:rsidRPr="004E0E95">
        <w:t>Immune response evaluated using a multiplex immunoassay</w:t>
      </w:r>
    </w:p>
    <w:p w14:paraId="1EF9C33A" w14:textId="77777777" w:rsidR="00414470" w:rsidRPr="004E0E95" w:rsidRDefault="00414470" w:rsidP="00414470">
      <w:pPr>
        <w:pStyle w:val="Paragraph"/>
      </w:pPr>
    </w:p>
    <w:p w14:paraId="1EF9C33B" w14:textId="45D33599" w:rsidR="00C02ED7" w:rsidRPr="004E0E95" w:rsidRDefault="009D6010" w:rsidP="00C02ED7">
      <w:pPr>
        <w:pStyle w:val="Paragraph"/>
      </w:pPr>
      <w:r w:rsidRPr="004E0E95">
        <w:t xml:space="preserve">The immune response observed in participants with one or more comorbidities was consistent with the overall population. </w:t>
      </w:r>
    </w:p>
    <w:p w14:paraId="1EF9C33C" w14:textId="2742E0AD" w:rsidR="00C02ED7" w:rsidRDefault="009D6010" w:rsidP="00C02ED7">
      <w:pPr>
        <w:pStyle w:val="Paragraph"/>
      </w:pPr>
      <w:r w:rsidRPr="004E0E95">
        <w:t>High seroconversion rates were observed in older adults (≥65</w:t>
      </w:r>
      <w:r w:rsidR="00D14729" w:rsidRPr="004E0E95">
        <w:t> </w:t>
      </w:r>
      <w:r w:rsidRPr="004E0E95">
        <w:t>years) after the first SD (97.8% [N=136, 95% CI: 93.7; 99.5]) and the second SD (100.0% [N=111, 95% CI: 96.7; NE]).  The increase in S</w:t>
      </w:r>
      <w:r w:rsidR="00D14729" w:rsidRPr="004E0E95">
        <w:noBreakHyphen/>
      </w:r>
      <w:r w:rsidRPr="004E0E95">
        <w:t>binding antibodies was numerically lower for participants ≥65</w:t>
      </w:r>
      <w:r w:rsidR="00D14729" w:rsidRPr="004E0E95">
        <w:t> </w:t>
      </w:r>
      <w:r w:rsidRPr="004E0E95">
        <w:t>years old (28</w:t>
      </w:r>
      <w:r w:rsidR="00D14729" w:rsidRPr="004E0E95">
        <w:t> </w:t>
      </w:r>
      <w:r w:rsidRPr="004E0E95">
        <w:t xml:space="preserve">days after second SD: </w:t>
      </w:r>
      <w:r w:rsidR="002D18DD" w:rsidRPr="004E0E95">
        <w:t>Geometric mean titre (</w:t>
      </w:r>
      <w:r w:rsidRPr="004E0E95">
        <w:t>GMT</w:t>
      </w:r>
      <w:r w:rsidR="002D18DD" w:rsidRPr="004E0E95">
        <w:t>)</w:t>
      </w:r>
      <w:r w:rsidRPr="004E0E95">
        <w:t>=20,727.02 [N=116, 95% CI: 17,646.6; 24,345.2]) when compared to participants aged 18</w:t>
      </w:r>
      <w:r w:rsidR="00D14729" w:rsidRPr="004E0E95">
        <w:noBreakHyphen/>
      </w:r>
      <w:r w:rsidRPr="004E0E95">
        <w:t>64</w:t>
      </w:r>
      <w:r w:rsidR="00D14729" w:rsidRPr="004E0E95">
        <w:t> </w:t>
      </w:r>
      <w:r w:rsidRPr="004E0E95">
        <w:t>years (28</w:t>
      </w:r>
      <w:r w:rsidR="00D14729" w:rsidRPr="004E0E95">
        <w:t> </w:t>
      </w:r>
      <w:r w:rsidRPr="004E0E95">
        <w:t>days after second SD: GMT=30,695.30 [N=703,</w:t>
      </w:r>
      <w:r>
        <w:t xml:space="preserve"> 95% CI: 28,496.2; 33,064.1]).  The majority of participants ≥65</w:t>
      </w:r>
      <w:r w:rsidR="00D14729">
        <w:t> </w:t>
      </w:r>
      <w:r>
        <w:t>years old had a dose interval of &lt;6</w:t>
      </w:r>
      <w:r w:rsidR="00D14729">
        <w:t> </w:t>
      </w:r>
      <w:r>
        <w:t>weeks, which may have contributed to the numerically lower titres observed.</w:t>
      </w:r>
    </w:p>
    <w:p w14:paraId="1EF9C33D" w14:textId="18740314" w:rsidR="00C02ED7" w:rsidRPr="004E0E95" w:rsidRDefault="009D6010" w:rsidP="00C02ED7">
      <w:pPr>
        <w:pStyle w:val="Paragraph"/>
      </w:pPr>
      <w:r w:rsidRPr="004E0E95">
        <w:t xml:space="preserve">In participants with serological evidence of prior </w:t>
      </w:r>
      <w:r w:rsidR="00F86971" w:rsidRPr="004E0E95">
        <w:t>SARS-C</w:t>
      </w:r>
      <w:r w:rsidR="006B17FE" w:rsidRPr="004E0E95">
        <w:t>o</w:t>
      </w:r>
      <w:r w:rsidR="00F86971" w:rsidRPr="004E0E95">
        <w:t>V-2</w:t>
      </w:r>
      <w:r w:rsidRPr="004E0E95">
        <w:t xml:space="preserve"> infection at baseline (GMT=13,137.97 [N=29; 95% CI: 7,441.8; 23,194.1]), S</w:t>
      </w:r>
      <w:r w:rsidR="00D14729" w:rsidRPr="004E0E95">
        <w:noBreakHyphen/>
      </w:r>
      <w:r w:rsidRPr="004E0E95">
        <w:t>antibody titres peaked 28</w:t>
      </w:r>
      <w:r w:rsidR="00D14729" w:rsidRPr="004E0E95">
        <w:t> </w:t>
      </w:r>
      <w:r w:rsidRPr="004E0E95">
        <w:t>days after dose</w:t>
      </w:r>
      <w:r w:rsidR="00D14729" w:rsidRPr="004E0E95">
        <w:t> </w:t>
      </w:r>
      <w:r w:rsidRPr="004E0E95">
        <w:t xml:space="preserve">1 (GMT=175,120.84 [N=28; 95% CI: 120,096.9; 255,354.8). </w:t>
      </w:r>
    </w:p>
    <w:p w14:paraId="1EF9C33E" w14:textId="468E30FD" w:rsidR="00C02ED7" w:rsidRDefault="009D6010" w:rsidP="003C49C9">
      <w:pPr>
        <w:pStyle w:val="Paragraph"/>
      </w:pPr>
      <w:r w:rsidRPr="004E0E95">
        <w:t>Spike-specific T</w:t>
      </w:r>
      <w:r w:rsidR="00D14729" w:rsidRPr="004E0E95">
        <w:noBreakHyphen/>
      </w:r>
      <w:r w:rsidRPr="004E0E95">
        <w:t xml:space="preserve">cell responses as measured by IFN-ɣ enzyme-linked </w:t>
      </w:r>
      <w:proofErr w:type="spellStart"/>
      <w:r w:rsidRPr="004E0E95">
        <w:t>immunospot</w:t>
      </w:r>
      <w:proofErr w:type="spellEnd"/>
      <w:r w:rsidRPr="004E0E95">
        <w:t xml:space="preserve"> (ELISpot) assay are induced </w:t>
      </w:r>
      <w:r w:rsidR="004518E8" w:rsidRPr="004E0E95">
        <w:t>1</w:t>
      </w:r>
      <w:r w:rsidR="00B02BE6" w:rsidRPr="004E0E95">
        <w:t>4</w:t>
      </w:r>
      <w:r w:rsidR="004518E8" w:rsidRPr="004E0E95">
        <w:t xml:space="preserve"> days </w:t>
      </w:r>
      <w:r w:rsidRPr="004E0E95">
        <w:t xml:space="preserve">after a first dose of </w:t>
      </w:r>
      <w:r w:rsidR="00E56F2B">
        <w:t>VAXZEVRIA</w:t>
      </w:r>
      <w:r w:rsidRPr="004E0E95">
        <w:t>. These do not rise further after a second dose.</w:t>
      </w:r>
    </w:p>
    <w:p w14:paraId="57FA3193" w14:textId="1C0169C9" w:rsidR="006933C3" w:rsidRDefault="00C13C6B" w:rsidP="00C13C6B">
      <w:pPr>
        <w:pStyle w:val="Heading4Unnumbered"/>
      </w:pPr>
      <w:r>
        <w:t>E</w:t>
      </w:r>
      <w:r w:rsidRPr="00A87A19">
        <w:t xml:space="preserve">fficacy of a third dose of </w:t>
      </w:r>
      <w:r w:rsidR="006933C3" w:rsidRPr="00A87A19">
        <w:t>VAXZEVRIA</w:t>
      </w:r>
    </w:p>
    <w:p w14:paraId="220FE705" w14:textId="04BC57D5" w:rsidR="006933C3" w:rsidRPr="006933C3" w:rsidRDefault="006933C3" w:rsidP="006933C3">
      <w:pPr>
        <w:pStyle w:val="Paragraph"/>
      </w:pPr>
      <w:r w:rsidRPr="007F2B15">
        <w:t xml:space="preserve">No data has been evaluated regarding the efficacy of a third dose of </w:t>
      </w:r>
      <w:r w:rsidR="00FF7AD5" w:rsidRPr="00A95A90">
        <w:t>VAXZEVRIA</w:t>
      </w:r>
      <w:r w:rsidRPr="007F2B15">
        <w:t xml:space="preserve"> in preventing clinically evident COVID-19 infection or severe COVID-19 illness.</w:t>
      </w:r>
    </w:p>
    <w:p w14:paraId="3D9C77AE" w14:textId="4D6E1C71" w:rsidR="00D1338C" w:rsidRPr="00E81697" w:rsidRDefault="00D1338C" w:rsidP="00C13C6B">
      <w:pPr>
        <w:pStyle w:val="Heading5Unnumbered"/>
      </w:pPr>
      <w:r w:rsidRPr="00E81697">
        <w:t xml:space="preserve">Immunogenicity data in individuals receiving a </w:t>
      </w:r>
      <w:r w:rsidR="00A95A90">
        <w:t>third (</w:t>
      </w:r>
      <w:r w:rsidRPr="00E81697">
        <w:t>booster</w:t>
      </w:r>
      <w:r w:rsidR="00A95A90">
        <w:t>)</w:t>
      </w:r>
      <w:r w:rsidRPr="00E81697">
        <w:t xml:space="preserve"> dose</w:t>
      </w:r>
    </w:p>
    <w:p w14:paraId="772DD270" w14:textId="455B0A7E" w:rsidR="00D1338C" w:rsidRPr="00A95A90" w:rsidRDefault="00D1338C" w:rsidP="00D1338C">
      <w:pPr>
        <w:pStyle w:val="Paragraph"/>
      </w:pPr>
      <w:r w:rsidRPr="00A95A90">
        <w:lastRenderedPageBreak/>
        <w:t xml:space="preserve">COV001 included 90 participants aged 18-55 years who received a </w:t>
      </w:r>
      <w:r w:rsidR="00A95A90">
        <w:t>third (</w:t>
      </w:r>
      <w:r w:rsidRPr="00A95A90">
        <w:t>booster</w:t>
      </w:r>
      <w:r w:rsidR="00A95A90">
        <w:t>)</w:t>
      </w:r>
      <w:r w:rsidRPr="00A95A90">
        <w:t xml:space="preserve"> dose </w:t>
      </w:r>
      <w:proofErr w:type="spellStart"/>
      <w:r w:rsidRPr="00A95A90">
        <w:t>with</w:t>
      </w:r>
      <w:r w:rsidR="006933C3" w:rsidRPr="00A95A90">
        <w:t>VAXZEVRIA</w:t>
      </w:r>
      <w:proofErr w:type="spellEnd"/>
      <w:r w:rsidR="006933C3" w:rsidRPr="00A95A90">
        <w:t xml:space="preserve">. </w:t>
      </w:r>
      <w:r w:rsidRPr="00A95A90">
        <w:t xml:space="preserve">Antibody responses were assessed in 75 participants who had received their two doses of the primary vaccination course within an 8-16 week interval, followed by a </w:t>
      </w:r>
      <w:r w:rsidR="00A95A90">
        <w:t>third (</w:t>
      </w:r>
      <w:r w:rsidRPr="00A95A90">
        <w:t>booster</w:t>
      </w:r>
      <w:r w:rsidR="00A95A90">
        <w:t xml:space="preserve">) </w:t>
      </w:r>
      <w:r w:rsidRPr="00A95A90">
        <w:t xml:space="preserve">dose administered between 28-38 weeks after the second dose. </w:t>
      </w:r>
      <w:r w:rsidR="00A95A90" w:rsidRPr="00A95A90">
        <w:t xml:space="preserve">There was a statistically significant increase in spike IgG antibody titres after the third dose from a median of 1792 EU </w:t>
      </w:r>
      <w:r w:rsidR="00585E29">
        <w:br/>
      </w:r>
      <w:r w:rsidR="00A95A90" w:rsidRPr="00A95A90">
        <w:t>[IQR 899</w:t>
      </w:r>
      <w:r w:rsidR="00A95A90" w:rsidRPr="00A95A90">
        <w:rPr>
          <w:rFonts w:hint="eastAsia"/>
        </w:rPr>
        <w:t>–</w:t>
      </w:r>
      <w:r w:rsidR="00A95A90" w:rsidRPr="00A95A90">
        <w:t>4634] at 28 days after the second dose to 3746 EU [IQR 2047</w:t>
      </w:r>
      <w:r w:rsidR="00A95A90" w:rsidRPr="00A95A90">
        <w:rPr>
          <w:rFonts w:hint="eastAsia"/>
        </w:rPr>
        <w:t>–</w:t>
      </w:r>
      <w:r w:rsidR="00A95A90" w:rsidRPr="00A95A90">
        <w:t>6420] 28 days after the third dose;</w:t>
      </w:r>
      <w:r w:rsidR="00585E29">
        <w:t xml:space="preserve"> </w:t>
      </w:r>
      <w:r w:rsidRPr="00A95A90">
        <w:t>pairwise comparison in 73 participants for whom samples were available using Wilcoxon signed rank test; p=0.0043).</w:t>
      </w:r>
    </w:p>
    <w:p w14:paraId="30A87D46" w14:textId="0310DB3A" w:rsidR="00A95A90" w:rsidRDefault="00A95A90" w:rsidP="00D1338C">
      <w:pPr>
        <w:pStyle w:val="Paragraph"/>
        <w:rPr>
          <w:rFonts w:eastAsia="Segoe UI"/>
          <w:color w:val="333333"/>
        </w:rPr>
      </w:pPr>
      <w:r>
        <w:t xml:space="preserve">The relative efficacy of </w:t>
      </w:r>
      <w:r w:rsidR="00B82D81" w:rsidRPr="00777D40">
        <w:t>VAXZEVRIA</w:t>
      </w:r>
      <w:r>
        <w:t xml:space="preserve"> as a third (booster) dose compared to other vaccines as boosters is not known. It is noted that the incremental increase in antibody concentrations is lower following a third (booster) dose with ChAdOx1-S than following mRNA vaccines in published studies. </w:t>
      </w:r>
      <w:r w:rsidRPr="003735FA">
        <w:t xml:space="preserve"> </w:t>
      </w:r>
    </w:p>
    <w:p w14:paraId="603A9E1E" w14:textId="4B60F0B8" w:rsidR="00A95A90" w:rsidRDefault="00A95A90" w:rsidP="00A95A90">
      <w:pPr>
        <w:pStyle w:val="FigureTitle"/>
      </w:pPr>
      <w:r w:rsidRPr="001C5420">
        <w:t>Figure 1</w:t>
      </w:r>
      <w:r>
        <w:tab/>
      </w:r>
      <w:r w:rsidRPr="001C5420">
        <w:t>Antibody responses in participants who received a third dose of AZD1222</w:t>
      </w:r>
      <w:r>
        <w:t xml:space="preserve"> </w:t>
      </w:r>
    </w:p>
    <w:p w14:paraId="43D0BC7D" w14:textId="77777777" w:rsidR="00A95A90" w:rsidRDefault="00A95A90" w:rsidP="00A95A90">
      <w:pPr>
        <w:pStyle w:val="Figure"/>
      </w:pPr>
      <w:r>
        <w:rPr>
          <w:noProof/>
        </w:rPr>
        <w:drawing>
          <wp:inline distT="0" distB="0" distL="0" distR="0" wp14:anchorId="39DBEE36" wp14:editId="691FF8C6">
            <wp:extent cx="5021617" cy="4108784"/>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2348" cy="4133929"/>
                    </a:xfrm>
                    <a:prstGeom prst="rect">
                      <a:avLst/>
                    </a:prstGeom>
                  </pic:spPr>
                </pic:pic>
              </a:graphicData>
            </a:graphic>
          </wp:inline>
        </w:drawing>
      </w:r>
    </w:p>
    <w:p w14:paraId="18967CB3" w14:textId="77777777" w:rsidR="00A95A90" w:rsidRPr="004E0E95" w:rsidRDefault="00A95A90" w:rsidP="00D1338C">
      <w:pPr>
        <w:pStyle w:val="Paragraph"/>
      </w:pPr>
    </w:p>
    <w:p w14:paraId="1EF9C33F" w14:textId="77777777" w:rsidR="001A3992" w:rsidRPr="004E0E95" w:rsidRDefault="009D6010" w:rsidP="003B7CFF">
      <w:pPr>
        <w:pStyle w:val="Heading2"/>
      </w:pPr>
      <w:r w:rsidRPr="004E0E95">
        <w:t>Pharmacokinetic properties</w:t>
      </w:r>
    </w:p>
    <w:p w14:paraId="6E752D07" w14:textId="6810C5DF" w:rsidR="00A854E8" w:rsidRDefault="009D6010" w:rsidP="00A2331E">
      <w:pPr>
        <w:pStyle w:val="Paragraph"/>
      </w:pPr>
      <w:r w:rsidRPr="004E0E95">
        <w:t>Not applicable.</w:t>
      </w:r>
    </w:p>
    <w:p w14:paraId="1EF9C349" w14:textId="0FCF22BA" w:rsidR="001A3992" w:rsidRPr="004E0E95" w:rsidRDefault="009D6010" w:rsidP="00EE3AC8">
      <w:pPr>
        <w:pStyle w:val="Heading2"/>
      </w:pPr>
      <w:r w:rsidRPr="004E0E95">
        <w:t>Preclinical safety data</w:t>
      </w:r>
    </w:p>
    <w:p w14:paraId="1EF9C34A" w14:textId="77777777" w:rsidR="00B5298B" w:rsidRPr="004E0E95" w:rsidRDefault="009D6010" w:rsidP="00B5298B">
      <w:pPr>
        <w:pStyle w:val="Heading3Unnumbered"/>
      </w:pPr>
      <w:r w:rsidRPr="004E0E95">
        <w:t>Toxicity and local tolerance studies</w:t>
      </w:r>
    </w:p>
    <w:p w14:paraId="1EF9C34B" w14:textId="02FC4C49" w:rsidR="003C49C9" w:rsidRPr="004E0E95" w:rsidRDefault="009D6010" w:rsidP="00B5298B">
      <w:pPr>
        <w:pStyle w:val="Paragraph"/>
      </w:pPr>
      <w:r w:rsidRPr="004E0E95">
        <w:t xml:space="preserve">Non-clinical data obtained from toxicology and local tolerance studies with investigational vaccines utilising the same ChAdOx1 adenoviral vector vaccine technology as </w:t>
      </w:r>
      <w:r w:rsidR="00E56F2B">
        <w:t>VAXZEVRIA</w:t>
      </w:r>
      <w:r w:rsidRPr="004E0E95">
        <w:t xml:space="preserve">, concluded that </w:t>
      </w:r>
      <w:r w:rsidRPr="004E0E95">
        <w:lastRenderedPageBreak/>
        <w:t>the ChAdOx1 technology was well tolerated in mice and was not associated with any adverse effects.</w:t>
      </w:r>
    </w:p>
    <w:p w14:paraId="1EF9C34C" w14:textId="77777777" w:rsidR="001A3992" w:rsidRPr="004E0E95" w:rsidRDefault="009D6010" w:rsidP="0026491B">
      <w:pPr>
        <w:pStyle w:val="Heading3Unnumbered"/>
      </w:pPr>
      <w:r w:rsidRPr="004E0E95">
        <w:t>Genotoxicity</w:t>
      </w:r>
    </w:p>
    <w:p w14:paraId="1EF9C34D" w14:textId="24074DEF" w:rsidR="003C49C9" w:rsidRPr="004E0E95" w:rsidRDefault="00E56F2B" w:rsidP="003C49C9">
      <w:pPr>
        <w:pStyle w:val="Paragraph"/>
      </w:pPr>
      <w:r>
        <w:t>VAXZEVRIA</w:t>
      </w:r>
      <w:r w:rsidR="009D6010" w:rsidRPr="004E0E95">
        <w:t xml:space="preserve"> is a vaccine, as such, genotoxicity (mutagenicity) studies have not been conducted.</w:t>
      </w:r>
    </w:p>
    <w:p w14:paraId="1EF9C34E" w14:textId="77777777" w:rsidR="001A3992" w:rsidRPr="004E0E95" w:rsidRDefault="009D6010" w:rsidP="0026491B">
      <w:pPr>
        <w:pStyle w:val="Heading3Unnumbered"/>
      </w:pPr>
      <w:r w:rsidRPr="004E0E95">
        <w:t>Carcinogenicity</w:t>
      </w:r>
    </w:p>
    <w:p w14:paraId="1EF9C34F" w14:textId="47459342" w:rsidR="003C49C9" w:rsidRPr="003C49C9" w:rsidRDefault="00E56F2B" w:rsidP="0082597C">
      <w:pPr>
        <w:pStyle w:val="Paragraph"/>
      </w:pPr>
      <w:r>
        <w:t>VAXZEVRIA</w:t>
      </w:r>
      <w:r w:rsidR="009D6010" w:rsidRPr="004E0E95">
        <w:t xml:space="preserve"> is a vaccine, as such, carcinogenicity studies have not been conducted.</w:t>
      </w:r>
    </w:p>
    <w:p w14:paraId="1EF9C350" w14:textId="77777777" w:rsidR="001A3992" w:rsidRPr="00377337" w:rsidRDefault="009D6010" w:rsidP="00EE3AC8">
      <w:pPr>
        <w:pStyle w:val="Heading1"/>
      </w:pPr>
      <w:r w:rsidRPr="00377337">
        <w:t>Pharmaceutical particulars</w:t>
      </w:r>
    </w:p>
    <w:p w14:paraId="1EF9C351" w14:textId="15AFF263" w:rsidR="001A3992" w:rsidRDefault="009D6010" w:rsidP="00A406F5">
      <w:pPr>
        <w:pStyle w:val="Heading2"/>
      </w:pPr>
      <w:bookmarkStart w:id="25" w:name="_Ref505768678"/>
      <w:r w:rsidRPr="00377337">
        <w:t>List of exci</w:t>
      </w:r>
      <w:r w:rsidR="00795D99" w:rsidRPr="00377337">
        <w:t>pients</w:t>
      </w:r>
      <w:bookmarkEnd w:id="25"/>
    </w:p>
    <w:p w14:paraId="1EF9C352" w14:textId="532F15C1" w:rsidR="00D417F4" w:rsidRPr="00BC7898" w:rsidRDefault="00E56F2B" w:rsidP="00D417F4">
      <w:pPr>
        <w:pStyle w:val="Paragraph"/>
      </w:pPr>
      <w:r>
        <w:t>VAXZEVRIA</w:t>
      </w:r>
      <w:r w:rsidR="009D6010">
        <w:t xml:space="preserve"> contains the excipients histidine, histidine hydrochloride monohydrate, sodium chloride, magnesium chloride hexahydrate, disodium edetate</w:t>
      </w:r>
      <w:r w:rsidR="00BC4AF7">
        <w:t xml:space="preserve"> (EDTA)</w:t>
      </w:r>
      <w:r w:rsidR="009D6010">
        <w:t xml:space="preserve">, </w:t>
      </w:r>
      <w:r w:rsidR="009D6010" w:rsidRPr="00BC7898">
        <w:t>sucrose, ethanol absolute, polysorbate 80 and water for injections.</w:t>
      </w:r>
    </w:p>
    <w:p w14:paraId="1EF9C353" w14:textId="50627197" w:rsidR="00A406F5" w:rsidRPr="00BC7898" w:rsidRDefault="00E56F2B" w:rsidP="00A406F5">
      <w:pPr>
        <w:pStyle w:val="Paragraph"/>
      </w:pPr>
      <w:r>
        <w:t>VAXZEVRIA</w:t>
      </w:r>
      <w:r w:rsidR="009D6010" w:rsidRPr="00BC7898">
        <w:t xml:space="preserve"> does not contain any preservatives </w:t>
      </w:r>
      <w:r w:rsidR="00970CA0" w:rsidRPr="00BC7898">
        <w:t xml:space="preserve">and the vial stopper is not made with natural rubber </w:t>
      </w:r>
      <w:r w:rsidR="009D6010" w:rsidRPr="00BC7898">
        <w:t>latex.</w:t>
      </w:r>
    </w:p>
    <w:p w14:paraId="1EF9C354" w14:textId="77777777" w:rsidR="001A3992" w:rsidRPr="00BC7898" w:rsidRDefault="009D6010" w:rsidP="00EE3AC8">
      <w:pPr>
        <w:pStyle w:val="Heading2"/>
      </w:pPr>
      <w:r w:rsidRPr="00BC7898">
        <w:t>Incompatib</w:t>
      </w:r>
      <w:r w:rsidR="00795D99" w:rsidRPr="00BC7898">
        <w:t>ilities</w:t>
      </w:r>
    </w:p>
    <w:p w14:paraId="1EF9C355" w14:textId="77777777" w:rsidR="001A54BA" w:rsidRPr="008A0717" w:rsidRDefault="009D6010" w:rsidP="001A54BA">
      <w:pPr>
        <w:pStyle w:val="Paragraph"/>
      </w:pPr>
      <w:r w:rsidRPr="00BC7898">
        <w:t>In the absence of compatibility studies, this vaccine must not be mixed with other medicinal products.</w:t>
      </w:r>
    </w:p>
    <w:p w14:paraId="1EF9C356" w14:textId="77777777" w:rsidR="001A3992" w:rsidRDefault="009D6010" w:rsidP="00EE3AC8">
      <w:pPr>
        <w:pStyle w:val="Heading2"/>
      </w:pPr>
      <w:r w:rsidRPr="00377337">
        <w:t>Shelf life</w:t>
      </w:r>
    </w:p>
    <w:p w14:paraId="1EF9C357" w14:textId="77777777" w:rsidR="007A2548" w:rsidRPr="001A54BA" w:rsidRDefault="009D6010" w:rsidP="007403BD">
      <w:pPr>
        <w:pStyle w:val="Paragraph"/>
      </w:pPr>
      <w:r>
        <w:t xml:space="preserve">In Australia, information on the shelf life can be found on the public summary of the Australian Register of Therapeutic Goods (ARTG). </w:t>
      </w:r>
      <w:r w:rsidRPr="001A54BA">
        <w:t>The expiry date can be found on the packaging.</w:t>
      </w:r>
    </w:p>
    <w:p w14:paraId="1EF9C358" w14:textId="77777777" w:rsidR="001A3992" w:rsidRDefault="009D6010" w:rsidP="00795D99">
      <w:pPr>
        <w:pStyle w:val="Heading2"/>
      </w:pPr>
      <w:r w:rsidRPr="00377337">
        <w:t>Special precautions for storage</w:t>
      </w:r>
    </w:p>
    <w:p w14:paraId="1EF9C359" w14:textId="752EFF12" w:rsidR="001A54BA" w:rsidRDefault="009D6010" w:rsidP="001A54BA">
      <w:pPr>
        <w:pStyle w:val="Heading3Unnumbered"/>
      </w:pPr>
      <w:r>
        <w:t>Unopened mu</w:t>
      </w:r>
      <w:r w:rsidR="004305D5">
        <w:t>l</w:t>
      </w:r>
      <w:r>
        <w:t>tidose vial</w:t>
      </w:r>
    </w:p>
    <w:p w14:paraId="1EF9C35A" w14:textId="77777777" w:rsidR="001A54BA" w:rsidRDefault="009D6010" w:rsidP="007403BD">
      <w:pPr>
        <w:pStyle w:val="Paragraph"/>
      </w:pPr>
      <w:r w:rsidRPr="006F1E95">
        <w:t>Store at 2°C to 8°C (Refrigerate. Do not freeze)</w:t>
      </w:r>
      <w:r>
        <w:t>.</w:t>
      </w:r>
    </w:p>
    <w:p w14:paraId="1EF9C35B" w14:textId="2FED9A5C" w:rsidR="001A54BA" w:rsidRDefault="009D6010" w:rsidP="001A54BA">
      <w:pPr>
        <w:pStyle w:val="Paragraph"/>
      </w:pPr>
      <w:r>
        <w:t>Store in outer carton in order to protect from light.</w:t>
      </w:r>
    </w:p>
    <w:p w14:paraId="55BDF07B" w14:textId="77777777" w:rsidR="00EC51C3" w:rsidRDefault="00EC51C3" w:rsidP="00EC51C3">
      <w:pPr>
        <w:pStyle w:val="Paragraph"/>
      </w:pPr>
      <w:r>
        <w:t>The following information is intended to guide healthcare professionals only in case of an unforeseen temporary temperature excursion. It is not a recommended storage or shipping condition.</w:t>
      </w:r>
    </w:p>
    <w:p w14:paraId="72BF94FE" w14:textId="77777777" w:rsidR="00EC51C3" w:rsidRDefault="00EC51C3" w:rsidP="00EC51C3">
      <w:pPr>
        <w:pStyle w:val="Paragraph"/>
      </w:pPr>
      <w:r>
        <w:t>The shelf-life of unopened vials includes the following unforeseen excursions from refrigerated storage (2°C to 8°C) for a single period of:</w:t>
      </w:r>
    </w:p>
    <w:p w14:paraId="3AC3CD35" w14:textId="77777777" w:rsidR="00EC51C3" w:rsidRDefault="00EC51C3" w:rsidP="00EC51C3">
      <w:pPr>
        <w:pStyle w:val="ListBullet2"/>
      </w:pPr>
      <w:r>
        <w:t>12 hours up to 30°C</w:t>
      </w:r>
    </w:p>
    <w:p w14:paraId="04A44AB1" w14:textId="77777777" w:rsidR="00EC51C3" w:rsidRDefault="00EC51C3" w:rsidP="00EC51C3">
      <w:pPr>
        <w:pStyle w:val="ListBullet2"/>
      </w:pPr>
      <w:r>
        <w:t>72 hours down to -3°C</w:t>
      </w:r>
    </w:p>
    <w:p w14:paraId="2DD21303" w14:textId="77777777" w:rsidR="00EC51C3" w:rsidRDefault="00EC51C3" w:rsidP="00EC51C3">
      <w:pPr>
        <w:pStyle w:val="Paragraph"/>
      </w:pPr>
    </w:p>
    <w:p w14:paraId="6F302218" w14:textId="4A1FC2B8" w:rsidR="00EC51C3" w:rsidRDefault="00EC51C3" w:rsidP="00EC51C3">
      <w:pPr>
        <w:pStyle w:val="Paragraph"/>
      </w:pPr>
      <w:r>
        <w:t>Unopened vials must always be returned to refrigerated storage (2</w:t>
      </w:r>
      <w:r w:rsidR="00C1171D">
        <w:t>ºC</w:t>
      </w:r>
      <w:r>
        <w:t xml:space="preserve"> to 8ºC) following an unforeseen temperature excursion.</w:t>
      </w:r>
    </w:p>
    <w:p w14:paraId="49477770" w14:textId="6714D5BA" w:rsidR="00EC51C3" w:rsidRDefault="00EC51C3" w:rsidP="001A54BA">
      <w:pPr>
        <w:pStyle w:val="Paragraph"/>
      </w:pPr>
      <w:r>
        <w:lastRenderedPageBreak/>
        <w:t>The occurrence of an unforeseen temperature excursion for unopened vials does not impact how the vials should be stored after first opening (first vial puncture).</w:t>
      </w:r>
    </w:p>
    <w:p w14:paraId="1EF9C35C" w14:textId="5AF97147" w:rsidR="001A54BA" w:rsidRDefault="009D6010" w:rsidP="001A54BA">
      <w:pPr>
        <w:pStyle w:val="Heading3Unnumbered"/>
      </w:pPr>
      <w:r>
        <w:t>Opened multidose vial</w:t>
      </w:r>
    </w:p>
    <w:p w14:paraId="1EF9C35D" w14:textId="77777777" w:rsidR="001A54BA" w:rsidRDefault="009D6010" w:rsidP="001A54BA">
      <w:pPr>
        <w:pStyle w:val="Paragraph"/>
      </w:pPr>
      <w:r>
        <w:t>After first opening, chemical and physical in-use stability has been demonstrated from the time of vial puncture to administration for no more than:</w:t>
      </w:r>
    </w:p>
    <w:p w14:paraId="1EF9C35E" w14:textId="77777777" w:rsidR="001A54BA" w:rsidRDefault="009D6010" w:rsidP="001A54BA">
      <w:pPr>
        <w:pStyle w:val="ListBullet2"/>
      </w:pPr>
      <w:r>
        <w:t>6 hours at room temperature up to 30</w:t>
      </w:r>
      <w:r w:rsidR="0006590C">
        <w:t>°C</w:t>
      </w:r>
      <w:r w:rsidR="00B5298B">
        <w:t>, or</w:t>
      </w:r>
    </w:p>
    <w:p w14:paraId="1EF9C35F" w14:textId="77777777" w:rsidR="001A54BA" w:rsidRDefault="009D6010" w:rsidP="00BA1E1B">
      <w:pPr>
        <w:pStyle w:val="ListBullet2"/>
        <w:spacing w:after="240" w:line="240" w:lineRule="auto"/>
      </w:pPr>
      <w:r>
        <w:t>48 hours in a refrigerator (</w:t>
      </w:r>
      <w:r w:rsidRPr="006F1E95">
        <w:t>2°C to 8°C</w:t>
      </w:r>
      <w:r>
        <w:t>)</w:t>
      </w:r>
    </w:p>
    <w:p w14:paraId="1EF9C361" w14:textId="266A14BA" w:rsidR="001A54BA" w:rsidRPr="00FE3958" w:rsidRDefault="009D6010" w:rsidP="001A54BA">
      <w:pPr>
        <w:pStyle w:val="Paragraph"/>
      </w:pPr>
      <w:r w:rsidRPr="00FE3958">
        <w:t>The vial can be re-refrigerated, but</w:t>
      </w:r>
      <w:r w:rsidR="008C57A3" w:rsidRPr="00FE3958">
        <w:t xml:space="preserve"> after first opening</w:t>
      </w:r>
      <w:r w:rsidRPr="00FE3958">
        <w:t xml:space="preserve"> the cumulative storage time at room temperature must not exceed 6 hours, and the total cumulative storage time must not exceed 48</w:t>
      </w:r>
      <w:r w:rsidR="008C57A3" w:rsidRPr="00FE3958">
        <w:t> </w:t>
      </w:r>
      <w:r w:rsidRPr="00FE3958">
        <w:t>hours.</w:t>
      </w:r>
    </w:p>
    <w:p w14:paraId="4EA9EDF9" w14:textId="27DCA660" w:rsidR="0001540C" w:rsidRPr="007403BD" w:rsidRDefault="0001540C" w:rsidP="001A54BA">
      <w:pPr>
        <w:pStyle w:val="Paragraph"/>
      </w:pPr>
      <w:r w:rsidRPr="00FE3958">
        <w:t xml:space="preserve">See Section </w:t>
      </w:r>
      <w:r w:rsidRPr="00FE3958">
        <w:fldChar w:fldCharType="begin"/>
      </w:r>
      <w:r w:rsidRPr="00FE3958">
        <w:instrText xml:space="preserve"> REF _Ref67345493 \r \h  \* MERGEFORMAT </w:instrText>
      </w:r>
      <w:r w:rsidRPr="00FE3958">
        <w:fldChar w:fldCharType="separate"/>
      </w:r>
      <w:r w:rsidR="00D222AF">
        <w:t>4.2</w:t>
      </w:r>
      <w:r w:rsidRPr="00FE3958">
        <w:fldChar w:fldCharType="end"/>
      </w:r>
      <w:r w:rsidRPr="00FE3958">
        <w:t xml:space="preserve"> </w:t>
      </w:r>
      <w:r w:rsidRPr="00FE3958">
        <w:fldChar w:fldCharType="begin"/>
      </w:r>
      <w:r w:rsidRPr="00FE3958">
        <w:instrText xml:space="preserve"> REF _Ref67345493 \h  \* MERGEFORMAT </w:instrText>
      </w:r>
      <w:r w:rsidRPr="00FE3958">
        <w:fldChar w:fldCharType="separate"/>
      </w:r>
      <w:r w:rsidR="00D222AF" w:rsidRPr="008D35A9">
        <w:t>Dose and method of administration</w:t>
      </w:r>
      <w:r w:rsidRPr="00FE3958">
        <w:fldChar w:fldCharType="end"/>
      </w:r>
      <w:r w:rsidRPr="00FE3958">
        <w:t>/Method of administration for details on the storage of the vaccine in syringes.</w:t>
      </w:r>
    </w:p>
    <w:p w14:paraId="1EF9C362" w14:textId="0AC852A1" w:rsidR="001A3992" w:rsidRDefault="009D6010" w:rsidP="00EE3AC8">
      <w:pPr>
        <w:pStyle w:val="Heading2"/>
      </w:pPr>
      <w:r w:rsidRPr="00377337">
        <w:t>N</w:t>
      </w:r>
      <w:r w:rsidR="00795D99" w:rsidRPr="00377337">
        <w:t>ature and contents of container</w:t>
      </w:r>
    </w:p>
    <w:p w14:paraId="79766C03" w14:textId="5B11A247" w:rsidR="001A7123" w:rsidRDefault="001A7123" w:rsidP="001A7123">
      <w:pPr>
        <w:pStyle w:val="ListBullet"/>
      </w:pPr>
      <w:r>
        <w:t xml:space="preserve">4 mL of </w:t>
      </w:r>
      <w:r w:rsidRPr="004305D5">
        <w:t>solution</w:t>
      </w:r>
      <w:r>
        <w:t xml:space="preserve"> in a 8-dose vial (clear type I glass) with stopper (elastomeric with aluminium </w:t>
      </w:r>
      <w:proofErr w:type="spellStart"/>
      <w:r>
        <w:t>overseal</w:t>
      </w:r>
      <w:proofErr w:type="spellEnd"/>
      <w:r>
        <w:t>). Packs of 10 multidose vials</w:t>
      </w:r>
    </w:p>
    <w:p w14:paraId="1EF9C363" w14:textId="790FFA64" w:rsidR="004305D5" w:rsidRPr="001A7123" w:rsidRDefault="009D6010" w:rsidP="001A7123">
      <w:pPr>
        <w:pStyle w:val="ListBullet"/>
        <w:rPr>
          <w:u w:val="single"/>
        </w:rPr>
      </w:pPr>
      <w:r>
        <w:t>5</w:t>
      </w:r>
      <w:r w:rsidR="00A313F6">
        <w:t> </w:t>
      </w:r>
      <w:r>
        <w:t xml:space="preserve">mL of </w:t>
      </w:r>
      <w:r w:rsidRPr="004305D5">
        <w:t>solution</w:t>
      </w:r>
      <w:r>
        <w:t xml:space="preserve"> in a 10-dose vial (clear type I glass) with stopper (elastomeric with aluminium </w:t>
      </w:r>
      <w:proofErr w:type="spellStart"/>
      <w:r>
        <w:t>overseal</w:t>
      </w:r>
      <w:proofErr w:type="spellEnd"/>
      <w:r>
        <w:t>). Packs of 10 multidose vials.</w:t>
      </w:r>
    </w:p>
    <w:p w14:paraId="4BCF787F" w14:textId="77777777" w:rsidR="001A7123" w:rsidRPr="00890881" w:rsidRDefault="001A7123" w:rsidP="001A7123">
      <w:pPr>
        <w:pStyle w:val="Paragraph"/>
      </w:pPr>
    </w:p>
    <w:p w14:paraId="1EF9C364" w14:textId="77777777" w:rsidR="001A3992" w:rsidRDefault="009D6010" w:rsidP="00EE3AC8">
      <w:pPr>
        <w:pStyle w:val="Heading2"/>
      </w:pPr>
      <w:bookmarkStart w:id="26" w:name="_Ref63010781"/>
      <w:r w:rsidRPr="00377337">
        <w:t>S</w:t>
      </w:r>
      <w:r w:rsidR="00795D99" w:rsidRPr="00377337">
        <w:t>pecial precautions for disposal</w:t>
      </w:r>
      <w:bookmarkEnd w:id="26"/>
    </w:p>
    <w:p w14:paraId="1EF9C365" w14:textId="6BAC9DF2" w:rsidR="007D58BD" w:rsidRPr="008D35A9" w:rsidRDefault="00E56F2B" w:rsidP="002C7810">
      <w:pPr>
        <w:pStyle w:val="Paragraph"/>
      </w:pPr>
      <w:r>
        <w:t>VAXZEVRIA</w:t>
      </w:r>
      <w:r w:rsidR="002C7810" w:rsidRPr="008D35A9">
        <w:t xml:space="preserve"> contains genetically modified organisms (GMOs). Any unused vaccine or waste material should be disposed of in accordance with local requirements</w:t>
      </w:r>
      <w:r w:rsidR="0061009E" w:rsidRPr="008D35A9">
        <w:t xml:space="preserve"> in a clinical waste bin</w:t>
      </w:r>
      <w:r w:rsidR="002C7810" w:rsidRPr="008D35A9">
        <w:t xml:space="preserve">. Spills </w:t>
      </w:r>
      <w:r w:rsidR="00BC778E" w:rsidRPr="008D35A9">
        <w:t>should be disinfected with an appropriate antiviral disinfectant.</w:t>
      </w:r>
    </w:p>
    <w:p w14:paraId="1EF9C366" w14:textId="77777777" w:rsidR="001A3992" w:rsidRPr="008D35A9" w:rsidRDefault="009D6010" w:rsidP="00BC778E">
      <w:pPr>
        <w:pStyle w:val="Heading2"/>
      </w:pPr>
      <w:r w:rsidRPr="008D35A9">
        <w:t>Physicochemical properties</w:t>
      </w:r>
    </w:p>
    <w:p w14:paraId="1EF9C369" w14:textId="77777777" w:rsidR="00062AE5" w:rsidRPr="008D35A9" w:rsidRDefault="009D6010" w:rsidP="00062AE5">
      <w:pPr>
        <w:pStyle w:val="Heading3Unnumbered"/>
      </w:pPr>
      <w:r w:rsidRPr="008D35A9">
        <w:t>CAS number</w:t>
      </w:r>
    </w:p>
    <w:p w14:paraId="1EF9C36A" w14:textId="77777777" w:rsidR="007F0727" w:rsidRPr="008D35A9" w:rsidRDefault="009D6010" w:rsidP="006A727B">
      <w:pPr>
        <w:pStyle w:val="Paragraph"/>
      </w:pPr>
      <w:r w:rsidRPr="008D35A9">
        <w:t>2420395-83-9</w:t>
      </w:r>
    </w:p>
    <w:p w14:paraId="1EF9C36C" w14:textId="77777777" w:rsidR="001A3992" w:rsidRDefault="009D6010" w:rsidP="00EE3AC8">
      <w:pPr>
        <w:pStyle w:val="Heading1"/>
      </w:pPr>
      <w:r w:rsidRPr="00377337">
        <w:t>Medicine schedule (Poisons Standard)</w:t>
      </w:r>
    </w:p>
    <w:p w14:paraId="1EF9C36D" w14:textId="77777777" w:rsidR="0041004D" w:rsidRPr="002D3489" w:rsidRDefault="009D6010" w:rsidP="002D3489">
      <w:pPr>
        <w:pStyle w:val="Paragraph"/>
      </w:pPr>
      <w:r w:rsidRPr="0041004D">
        <w:t>Prescription only medicine (Schedule 4)</w:t>
      </w:r>
    </w:p>
    <w:p w14:paraId="1EF9C36E" w14:textId="77777777" w:rsidR="00285173" w:rsidRDefault="009D6010" w:rsidP="00EE3AC8">
      <w:pPr>
        <w:pStyle w:val="Heading1"/>
      </w:pPr>
      <w:r w:rsidRPr="00377337">
        <w:t>Sponsor</w:t>
      </w:r>
    </w:p>
    <w:p w14:paraId="1EF9C36F" w14:textId="77777777" w:rsidR="0041004D" w:rsidRDefault="009D6010" w:rsidP="0041004D">
      <w:pPr>
        <w:pStyle w:val="Paragraph"/>
      </w:pPr>
      <w:r>
        <w:t>AstraZeneca Pty Ltd</w:t>
      </w:r>
      <w:r>
        <w:br/>
        <w:t>ABN 54 009 682 311</w:t>
      </w:r>
      <w:r>
        <w:br/>
        <w:t>66 Talavera Road</w:t>
      </w:r>
      <w:r>
        <w:br/>
        <w:t>MACQUARIE PARK NSW 2113</w:t>
      </w:r>
    </w:p>
    <w:p w14:paraId="1EF9C370" w14:textId="10E7FB81" w:rsidR="0041004D" w:rsidRPr="002D3489" w:rsidRDefault="009D6010" w:rsidP="0041004D">
      <w:pPr>
        <w:pStyle w:val="Paragraph"/>
      </w:pPr>
      <w:bookmarkStart w:id="27" w:name="_Hlk56437809"/>
      <w:r>
        <w:t xml:space="preserve">For </w:t>
      </w:r>
      <w:r w:rsidR="00E56F2B">
        <w:t>VAXZEVRIA</w:t>
      </w:r>
      <w:r w:rsidR="009D410F">
        <w:t xml:space="preserve"> </w:t>
      </w:r>
      <w:r>
        <w:t>enquiries contact 1800 343 949</w:t>
      </w:r>
      <w:r w:rsidR="009D410F">
        <w:t xml:space="preserve"> or visit azcovid-19.com</w:t>
      </w:r>
    </w:p>
    <w:bookmarkEnd w:id="27"/>
    <w:p w14:paraId="1EF9C371" w14:textId="77777777" w:rsidR="00285173" w:rsidRDefault="009D6010" w:rsidP="00EE3AC8">
      <w:pPr>
        <w:pStyle w:val="Heading1"/>
      </w:pPr>
      <w:r w:rsidRPr="00377337">
        <w:lastRenderedPageBreak/>
        <w:t xml:space="preserve">Date of first </w:t>
      </w:r>
      <w:r w:rsidR="00795D99" w:rsidRPr="00377337">
        <w:t>approval</w:t>
      </w:r>
    </w:p>
    <w:p w14:paraId="1EF9C372" w14:textId="1F8D16EF" w:rsidR="00E00336" w:rsidRPr="002D3489" w:rsidRDefault="001D7ADB" w:rsidP="002D3489">
      <w:pPr>
        <w:pStyle w:val="Paragraph"/>
      </w:pPr>
      <w:r w:rsidRPr="001D7ADB">
        <w:t>1</w:t>
      </w:r>
      <w:r w:rsidR="00DE05B2">
        <w:t>6</w:t>
      </w:r>
      <w:r w:rsidR="0061009E" w:rsidRPr="001D7ADB">
        <w:t xml:space="preserve"> February 2021</w:t>
      </w:r>
    </w:p>
    <w:p w14:paraId="1EF9C373" w14:textId="77777777" w:rsidR="00285173" w:rsidRDefault="009D6010" w:rsidP="00EE3AC8">
      <w:pPr>
        <w:pStyle w:val="Heading1"/>
      </w:pPr>
      <w:r w:rsidRPr="00377337">
        <w:t>Date o</w:t>
      </w:r>
      <w:r w:rsidR="00795D99" w:rsidRPr="00377337">
        <w:t>f revision</w:t>
      </w:r>
    </w:p>
    <w:p w14:paraId="7968127B" w14:textId="71EFB4C9" w:rsidR="00BA1E1B" w:rsidRDefault="00BA1E1B">
      <w:pPr>
        <w:spacing w:after="200"/>
        <w:rPr>
          <w:rFonts w:ascii="Times New Roman Bold" w:hAnsi="Times New Roman Bold" w:cs="Arial"/>
          <w:b/>
          <w:bCs/>
          <w:iCs/>
          <w:caps/>
          <w:szCs w:val="26"/>
        </w:rPr>
      </w:pPr>
    </w:p>
    <w:p w14:paraId="3C0E1259" w14:textId="77777777" w:rsidR="004D5752" w:rsidRDefault="004D5752">
      <w:pPr>
        <w:spacing w:after="200"/>
        <w:rPr>
          <w:rFonts w:ascii="Times New Roman Bold" w:hAnsi="Times New Roman Bold" w:cs="Arial"/>
          <w:b/>
          <w:bCs/>
          <w:iCs/>
          <w:caps/>
          <w:szCs w:val="26"/>
        </w:rPr>
      </w:pPr>
      <w:r>
        <w:br w:type="page"/>
      </w:r>
    </w:p>
    <w:p w14:paraId="1EF9C376" w14:textId="584722C7" w:rsidR="009D79AA" w:rsidRPr="00377337" w:rsidRDefault="009D6010" w:rsidP="00B4112A">
      <w:pPr>
        <w:pStyle w:val="Heading2Unnumbered"/>
      </w:pPr>
      <w:r w:rsidRPr="00377337">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96"/>
        <w:gridCol w:w="7942"/>
      </w:tblGrid>
      <w:tr w:rsidR="00444376" w:rsidRPr="00F76761" w14:paraId="1EF9C379" w14:textId="77777777" w:rsidTr="00F76761">
        <w:trPr>
          <w:cantSplit/>
          <w:tblHeader/>
        </w:trPr>
        <w:tc>
          <w:tcPr>
            <w:tcW w:w="1696" w:type="dxa"/>
            <w:shd w:val="clear" w:color="auto" w:fill="auto"/>
          </w:tcPr>
          <w:p w14:paraId="1EF9C377" w14:textId="77777777" w:rsidR="009D79AA" w:rsidRPr="00F76761" w:rsidRDefault="009D6010" w:rsidP="00B4112A">
            <w:pPr>
              <w:pStyle w:val="TableHead"/>
              <w:jc w:val="left"/>
              <w:rPr>
                <w:sz w:val="22"/>
                <w:szCs w:val="22"/>
              </w:rPr>
            </w:pPr>
            <w:r w:rsidRPr="00F76761">
              <w:rPr>
                <w:sz w:val="22"/>
                <w:szCs w:val="22"/>
              </w:rPr>
              <w:t>Section changed</w:t>
            </w:r>
          </w:p>
        </w:tc>
        <w:tc>
          <w:tcPr>
            <w:tcW w:w="7942" w:type="dxa"/>
            <w:shd w:val="clear" w:color="auto" w:fill="auto"/>
          </w:tcPr>
          <w:p w14:paraId="1EF9C378" w14:textId="77777777" w:rsidR="009D79AA" w:rsidRPr="00F76761" w:rsidRDefault="009D6010" w:rsidP="00B4112A">
            <w:pPr>
              <w:pStyle w:val="TableHead"/>
              <w:jc w:val="left"/>
              <w:rPr>
                <w:sz w:val="22"/>
                <w:szCs w:val="22"/>
              </w:rPr>
            </w:pPr>
            <w:r w:rsidRPr="00F76761">
              <w:rPr>
                <w:sz w:val="22"/>
                <w:szCs w:val="22"/>
              </w:rPr>
              <w:t>Summary of new information</w:t>
            </w:r>
          </w:p>
        </w:tc>
      </w:tr>
      <w:tr w:rsidR="00C1171D" w:rsidRPr="00F76761" w14:paraId="58B1376D" w14:textId="77777777" w:rsidTr="00F76761">
        <w:trPr>
          <w:cantSplit/>
        </w:trPr>
        <w:tc>
          <w:tcPr>
            <w:tcW w:w="1696" w:type="dxa"/>
            <w:shd w:val="clear" w:color="auto" w:fill="auto"/>
          </w:tcPr>
          <w:p w14:paraId="63A5E529" w14:textId="77777777" w:rsidR="00C1171D" w:rsidRPr="00F76761" w:rsidRDefault="00C1171D" w:rsidP="00F76761">
            <w:pPr>
              <w:pStyle w:val="TableLeft"/>
              <w:rPr>
                <w:sz w:val="22"/>
                <w:szCs w:val="22"/>
              </w:rPr>
            </w:pPr>
            <w:r w:rsidRPr="00F76761">
              <w:rPr>
                <w:sz w:val="22"/>
                <w:szCs w:val="22"/>
              </w:rPr>
              <w:t>4.4, 4.8</w:t>
            </w:r>
          </w:p>
        </w:tc>
        <w:tc>
          <w:tcPr>
            <w:tcW w:w="7942" w:type="dxa"/>
            <w:shd w:val="clear" w:color="auto" w:fill="auto"/>
          </w:tcPr>
          <w:p w14:paraId="6E5547D2" w14:textId="77777777" w:rsidR="00C1171D" w:rsidRPr="00F76761" w:rsidRDefault="00C1171D" w:rsidP="00F76761">
            <w:pPr>
              <w:pStyle w:val="TableLeft"/>
              <w:rPr>
                <w:sz w:val="22"/>
                <w:szCs w:val="22"/>
              </w:rPr>
            </w:pPr>
            <w:r w:rsidRPr="00F76761">
              <w:rPr>
                <w:sz w:val="22"/>
                <w:szCs w:val="22"/>
              </w:rPr>
              <w:t xml:space="preserve">New </w:t>
            </w:r>
            <w:r w:rsidRPr="00F76761">
              <w:rPr>
                <w:i/>
                <w:iCs/>
                <w:sz w:val="22"/>
                <w:szCs w:val="22"/>
              </w:rPr>
              <w:t>Cerebrovascular Venous and Sinus Thrombosis without Thrombocytopenia</w:t>
            </w:r>
            <w:r w:rsidRPr="00F76761">
              <w:rPr>
                <w:sz w:val="22"/>
                <w:szCs w:val="22"/>
              </w:rPr>
              <w:t xml:space="preserve"> is included</w:t>
            </w:r>
          </w:p>
        </w:tc>
      </w:tr>
      <w:tr w:rsidR="00C1171D" w:rsidRPr="00F76761" w14:paraId="60C66032" w14:textId="77777777" w:rsidTr="00F76761">
        <w:trPr>
          <w:cantSplit/>
        </w:trPr>
        <w:tc>
          <w:tcPr>
            <w:tcW w:w="1696" w:type="dxa"/>
            <w:shd w:val="clear" w:color="auto" w:fill="auto"/>
          </w:tcPr>
          <w:p w14:paraId="21A83F6B" w14:textId="77777777" w:rsidR="00C1171D" w:rsidRPr="00F76761" w:rsidRDefault="00C1171D" w:rsidP="00F76761">
            <w:pPr>
              <w:pStyle w:val="TableLeft"/>
              <w:rPr>
                <w:sz w:val="22"/>
                <w:szCs w:val="22"/>
              </w:rPr>
            </w:pPr>
            <w:r w:rsidRPr="00F76761">
              <w:rPr>
                <w:sz w:val="22"/>
                <w:szCs w:val="22"/>
              </w:rPr>
              <w:t>4.4</w:t>
            </w:r>
          </w:p>
        </w:tc>
        <w:tc>
          <w:tcPr>
            <w:tcW w:w="7942" w:type="dxa"/>
            <w:shd w:val="clear" w:color="auto" w:fill="auto"/>
          </w:tcPr>
          <w:p w14:paraId="4E95B826" w14:textId="77777777" w:rsidR="00C1171D" w:rsidRPr="00F76761" w:rsidRDefault="00C1171D" w:rsidP="00F76761">
            <w:pPr>
              <w:pStyle w:val="TableLeft"/>
              <w:rPr>
                <w:bCs w:val="0"/>
                <w:sz w:val="22"/>
                <w:szCs w:val="22"/>
              </w:rPr>
            </w:pPr>
            <w:r w:rsidRPr="00F76761">
              <w:rPr>
                <w:sz w:val="22"/>
                <w:szCs w:val="22"/>
              </w:rPr>
              <w:t xml:space="preserve">Additional </w:t>
            </w:r>
            <w:r w:rsidRPr="00F76761">
              <w:rPr>
                <w:i/>
                <w:iCs/>
                <w:sz w:val="22"/>
                <w:szCs w:val="22"/>
              </w:rPr>
              <w:t xml:space="preserve">Thromboembolism and thrombocytopenia </w:t>
            </w:r>
            <w:r w:rsidRPr="00F76761">
              <w:rPr>
                <w:sz w:val="22"/>
                <w:szCs w:val="22"/>
              </w:rPr>
              <w:t>text is included.</w:t>
            </w:r>
          </w:p>
        </w:tc>
      </w:tr>
      <w:tr w:rsidR="00C1171D" w:rsidRPr="00F76761" w14:paraId="7D2EAC7E" w14:textId="77777777" w:rsidTr="00F76761">
        <w:trPr>
          <w:cantSplit/>
        </w:trPr>
        <w:tc>
          <w:tcPr>
            <w:tcW w:w="1696" w:type="dxa"/>
            <w:shd w:val="clear" w:color="auto" w:fill="auto"/>
          </w:tcPr>
          <w:p w14:paraId="35654890" w14:textId="77777777" w:rsidR="00C1171D" w:rsidRPr="00F76761" w:rsidRDefault="00C1171D" w:rsidP="00F76761">
            <w:pPr>
              <w:pStyle w:val="TableLeft"/>
              <w:rPr>
                <w:sz w:val="22"/>
                <w:szCs w:val="22"/>
              </w:rPr>
            </w:pPr>
            <w:r w:rsidRPr="00F76761">
              <w:rPr>
                <w:sz w:val="22"/>
                <w:szCs w:val="22"/>
              </w:rPr>
              <w:t>4.4</w:t>
            </w:r>
          </w:p>
        </w:tc>
        <w:tc>
          <w:tcPr>
            <w:tcW w:w="7942" w:type="dxa"/>
            <w:shd w:val="clear" w:color="auto" w:fill="auto"/>
          </w:tcPr>
          <w:p w14:paraId="099D9375" w14:textId="77777777" w:rsidR="00C1171D" w:rsidRPr="00F76761" w:rsidRDefault="00C1171D" w:rsidP="00F76761">
            <w:pPr>
              <w:pStyle w:val="TableLeft"/>
              <w:rPr>
                <w:sz w:val="22"/>
                <w:szCs w:val="22"/>
              </w:rPr>
            </w:pPr>
            <w:r w:rsidRPr="00F76761">
              <w:rPr>
                <w:sz w:val="22"/>
                <w:szCs w:val="22"/>
              </w:rPr>
              <w:t xml:space="preserve">Modified </w:t>
            </w:r>
            <w:r w:rsidRPr="00F76761">
              <w:rPr>
                <w:i/>
                <w:iCs/>
                <w:sz w:val="22"/>
                <w:szCs w:val="22"/>
              </w:rPr>
              <w:t>Guillain-Barré Syndrome (GBS)</w:t>
            </w:r>
            <w:r w:rsidRPr="00F76761">
              <w:rPr>
                <w:sz w:val="22"/>
                <w:szCs w:val="22"/>
              </w:rPr>
              <w:t xml:space="preserve"> text</w:t>
            </w:r>
          </w:p>
        </w:tc>
      </w:tr>
      <w:tr w:rsidR="00EC51C3" w:rsidRPr="00F76761" w14:paraId="6761F501" w14:textId="77777777" w:rsidTr="00F76761">
        <w:trPr>
          <w:cantSplit/>
        </w:trPr>
        <w:tc>
          <w:tcPr>
            <w:tcW w:w="1696" w:type="dxa"/>
            <w:shd w:val="clear" w:color="auto" w:fill="auto"/>
          </w:tcPr>
          <w:p w14:paraId="54823E66" w14:textId="131F0A63" w:rsidR="00EC51C3" w:rsidRPr="00F76761" w:rsidRDefault="00EC51C3" w:rsidP="00EC51C3">
            <w:pPr>
              <w:pStyle w:val="TableLeft"/>
              <w:rPr>
                <w:sz w:val="22"/>
                <w:szCs w:val="22"/>
              </w:rPr>
            </w:pPr>
            <w:r w:rsidRPr="00F76761">
              <w:rPr>
                <w:sz w:val="22"/>
                <w:szCs w:val="22"/>
              </w:rPr>
              <w:t>6.4</w:t>
            </w:r>
          </w:p>
        </w:tc>
        <w:tc>
          <w:tcPr>
            <w:tcW w:w="7942" w:type="dxa"/>
            <w:shd w:val="clear" w:color="auto" w:fill="auto"/>
          </w:tcPr>
          <w:p w14:paraId="23A0B58F" w14:textId="28DE4452" w:rsidR="00EC51C3" w:rsidRPr="00F76761" w:rsidRDefault="00EC51C3" w:rsidP="00EC51C3">
            <w:pPr>
              <w:pStyle w:val="TableLeft"/>
              <w:rPr>
                <w:sz w:val="22"/>
                <w:szCs w:val="22"/>
              </w:rPr>
            </w:pPr>
            <w:r w:rsidRPr="00F76761">
              <w:rPr>
                <w:sz w:val="22"/>
                <w:szCs w:val="22"/>
              </w:rPr>
              <w:t>Additional unopened vial storage advice</w:t>
            </w:r>
          </w:p>
        </w:tc>
      </w:tr>
      <w:tr w:rsidR="00F76761" w:rsidRPr="00F76761" w14:paraId="6500C291" w14:textId="77777777" w:rsidTr="00F76761">
        <w:trPr>
          <w:cantSplit/>
        </w:trPr>
        <w:tc>
          <w:tcPr>
            <w:tcW w:w="1696" w:type="dxa"/>
            <w:shd w:val="clear" w:color="auto" w:fill="auto"/>
          </w:tcPr>
          <w:p w14:paraId="21877F14" w14:textId="5EFC4C12" w:rsidR="00F76761" w:rsidRPr="00F76761" w:rsidRDefault="00F76761" w:rsidP="00F76761">
            <w:pPr>
              <w:pStyle w:val="TableLeft"/>
              <w:rPr>
                <w:sz w:val="22"/>
                <w:szCs w:val="22"/>
              </w:rPr>
            </w:pPr>
            <w:r w:rsidRPr="00F76761">
              <w:rPr>
                <w:sz w:val="22"/>
                <w:szCs w:val="22"/>
              </w:rPr>
              <w:t>4.2, 4.4, 4.8, 5.1</w:t>
            </w:r>
          </w:p>
        </w:tc>
        <w:tc>
          <w:tcPr>
            <w:tcW w:w="7942" w:type="dxa"/>
            <w:shd w:val="clear" w:color="auto" w:fill="auto"/>
          </w:tcPr>
          <w:p w14:paraId="6622ED91" w14:textId="0FFF43F4" w:rsidR="00F76761" w:rsidRPr="00F76761" w:rsidRDefault="00F76761" w:rsidP="00F76761">
            <w:pPr>
              <w:pStyle w:val="TableLeft"/>
              <w:rPr>
                <w:sz w:val="22"/>
                <w:szCs w:val="22"/>
              </w:rPr>
            </w:pPr>
            <w:r w:rsidRPr="00F76761">
              <w:rPr>
                <w:sz w:val="22"/>
                <w:szCs w:val="22"/>
              </w:rPr>
              <w:t xml:space="preserve">Updated for the booster dose (3rd dose) </w:t>
            </w:r>
          </w:p>
        </w:tc>
      </w:tr>
    </w:tbl>
    <w:p w14:paraId="1EF9C37D" w14:textId="31A02957" w:rsidR="009D79AA" w:rsidRDefault="009D79AA" w:rsidP="00B4112A">
      <w:pPr>
        <w:pStyle w:val="Paragraph"/>
      </w:pPr>
    </w:p>
    <w:p w14:paraId="0A9E6312" w14:textId="658BC7AB" w:rsidR="00C3563E" w:rsidRPr="0060222D" w:rsidRDefault="0060222D" w:rsidP="00B4112A">
      <w:pPr>
        <w:rPr>
          <w:lang w:val="en-AU"/>
        </w:rPr>
      </w:pPr>
      <w:r>
        <w:rPr>
          <w:lang w:val="en-AU"/>
        </w:rPr>
        <w:t>Vaxzevria</w:t>
      </w:r>
      <w:r w:rsidRPr="002A4274">
        <w:rPr>
          <w:lang w:val="en-AU"/>
        </w:rPr>
        <w:t xml:space="preserve"> is a </w:t>
      </w:r>
      <w:r>
        <w:rPr>
          <w:lang w:val="en-AU"/>
        </w:rPr>
        <w:t xml:space="preserve">registered </w:t>
      </w:r>
      <w:r w:rsidRPr="002A4274">
        <w:rPr>
          <w:lang w:val="en-AU"/>
        </w:rPr>
        <w:t>trade mark of the AstraZeneca group of companies</w:t>
      </w:r>
      <w:r>
        <w:rPr>
          <w:lang w:val="en-AU"/>
        </w:rPr>
        <w:t>.</w:t>
      </w:r>
    </w:p>
    <w:p w14:paraId="1EF9C37E" w14:textId="2887E4B7" w:rsidR="00513B1A" w:rsidRPr="00F76761" w:rsidRDefault="009D6010" w:rsidP="00B4112A">
      <w:pPr>
        <w:pStyle w:val="Paragraph"/>
        <w:rPr>
          <w:sz w:val="20"/>
          <w:szCs w:val="20"/>
        </w:rPr>
      </w:pPr>
      <w:r w:rsidRPr="00F76761">
        <w:rPr>
          <w:sz w:val="20"/>
          <w:szCs w:val="20"/>
          <w:vertAlign w:val="superscript"/>
        </w:rPr>
        <w:t>©</w:t>
      </w:r>
      <w:r w:rsidRPr="00F76761">
        <w:rPr>
          <w:sz w:val="20"/>
          <w:szCs w:val="20"/>
        </w:rPr>
        <w:t xml:space="preserve"> AstraZeneca, </w:t>
      </w:r>
      <w:r w:rsidR="007F0727" w:rsidRPr="00F76761">
        <w:rPr>
          <w:sz w:val="20"/>
          <w:szCs w:val="20"/>
        </w:rPr>
        <w:t>202</w:t>
      </w:r>
      <w:r w:rsidR="008C6767" w:rsidRPr="00F76761">
        <w:rPr>
          <w:sz w:val="20"/>
          <w:szCs w:val="20"/>
        </w:rPr>
        <w:t>2</w:t>
      </w:r>
    </w:p>
    <w:p w14:paraId="1EF9C37F" w14:textId="20D26ADA" w:rsidR="008A35FB" w:rsidRPr="00F76761" w:rsidRDefault="00F47436" w:rsidP="00F47436">
      <w:pPr>
        <w:pStyle w:val="Paragraph"/>
        <w:rPr>
          <w:sz w:val="20"/>
          <w:szCs w:val="20"/>
        </w:rPr>
      </w:pPr>
      <w:r w:rsidRPr="00F47436">
        <w:rPr>
          <w:sz w:val="20"/>
          <w:szCs w:val="20"/>
        </w:rPr>
        <w:t>Doc ID-004715816</w:t>
      </w:r>
      <w:r>
        <w:rPr>
          <w:sz w:val="20"/>
          <w:szCs w:val="20"/>
        </w:rPr>
        <w:t xml:space="preserve"> v</w:t>
      </w:r>
      <w:r w:rsidR="000577BD">
        <w:rPr>
          <w:sz w:val="20"/>
          <w:szCs w:val="20"/>
        </w:rPr>
        <w:t>3</w:t>
      </w:r>
    </w:p>
    <w:sectPr w:rsidR="008A35FB" w:rsidRPr="00F76761" w:rsidSect="0080644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7235E" w14:textId="77777777" w:rsidR="00C449A6" w:rsidRDefault="00C449A6">
      <w:pPr>
        <w:spacing w:after="0" w:line="240" w:lineRule="auto"/>
      </w:pPr>
      <w:r>
        <w:separator/>
      </w:r>
    </w:p>
  </w:endnote>
  <w:endnote w:type="continuationSeparator" w:id="0">
    <w:p w14:paraId="22959032" w14:textId="77777777" w:rsidR="00C449A6" w:rsidRDefault="00C449A6">
      <w:pPr>
        <w:spacing w:after="0" w:line="240" w:lineRule="auto"/>
      </w:pPr>
      <w:r>
        <w:continuationSeparator/>
      </w:r>
    </w:p>
  </w:endnote>
  <w:endnote w:type="continuationNotice" w:id="1">
    <w:p w14:paraId="772E17D4" w14:textId="77777777" w:rsidR="00C449A6" w:rsidRDefault="00C44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6A2B3" w14:textId="77777777" w:rsidR="00E142D1" w:rsidRDefault="00E1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9C3C7" w14:textId="36A9EE51" w:rsidR="00585E29" w:rsidRDefault="00585E29" w:rsidP="00C85696">
    <w:pPr>
      <w:pStyle w:val="Footer"/>
      <w:jc w:val="center"/>
    </w:pPr>
    <w:r w:rsidRPr="00136256">
      <w:fldChar w:fldCharType="begin"/>
    </w:r>
    <w:r w:rsidRPr="00136256">
      <w:instrText xml:space="preserve"> PAGE </w:instrText>
    </w:r>
    <w:r w:rsidRPr="00136256">
      <w:fldChar w:fldCharType="separate"/>
    </w:r>
    <w:r>
      <w:rPr>
        <w:noProof/>
      </w:rPr>
      <w:t>8</w:t>
    </w:r>
    <w:r w:rsidRPr="00136256">
      <w:fldChar w:fldCharType="end"/>
    </w:r>
    <w:r w:rsidRPr="00136256">
      <w:t xml:space="preserve"> </w:t>
    </w:r>
    <w:r>
      <w:t xml:space="preserve">of </w:t>
    </w:r>
    <w:r>
      <w:fldChar w:fldCharType="begin"/>
    </w:r>
    <w:r>
      <w:instrText xml:space="preserve"> NUMPAGES </w:instrText>
    </w:r>
    <w: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E725" w14:textId="77777777" w:rsidR="00E142D1" w:rsidRDefault="00E1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9D1A9" w14:textId="77777777" w:rsidR="00C449A6" w:rsidRDefault="00C449A6" w:rsidP="001A3992">
      <w:pPr>
        <w:spacing w:after="0" w:line="240" w:lineRule="auto"/>
      </w:pPr>
      <w:r>
        <w:separator/>
      </w:r>
    </w:p>
  </w:footnote>
  <w:footnote w:type="continuationSeparator" w:id="0">
    <w:p w14:paraId="581E7753" w14:textId="77777777" w:rsidR="00C449A6" w:rsidRDefault="00C449A6" w:rsidP="001A3992">
      <w:pPr>
        <w:spacing w:after="0" w:line="240" w:lineRule="auto"/>
      </w:pPr>
      <w:r>
        <w:continuationSeparator/>
      </w:r>
    </w:p>
  </w:footnote>
  <w:footnote w:type="continuationNotice" w:id="1">
    <w:p w14:paraId="2BD0AC82" w14:textId="77777777" w:rsidR="00C449A6" w:rsidRDefault="00C44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EC965" w14:textId="77777777" w:rsidR="00E142D1" w:rsidRDefault="00E1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E142D1" w:rsidRPr="000B2145" w14:paraId="2FFD1A35" w14:textId="77777777" w:rsidTr="00E142D1">
      <w:trPr>
        <w:trHeight w:val="1012"/>
        <w:jc w:val="center"/>
      </w:trPr>
      <w:tc>
        <w:tcPr>
          <w:tcW w:w="9039" w:type="dxa"/>
          <w:shd w:val="clear" w:color="auto" w:fill="E4F2E0"/>
        </w:tcPr>
        <w:p w14:paraId="05501BF1" w14:textId="77777777" w:rsidR="00E142D1" w:rsidRPr="008E6F2C" w:rsidRDefault="00E142D1" w:rsidP="00E142D1">
          <w:pPr>
            <w:pStyle w:val="Footer"/>
            <w:tabs>
              <w:tab w:val="center" w:pos="4513"/>
              <w:tab w:val="right" w:pos="9026"/>
            </w:tabs>
            <w:rPr>
              <w:b/>
              <w:sz w:val="18"/>
              <w:szCs w:val="18"/>
            </w:rPr>
          </w:pPr>
          <w:bookmarkStart w:id="28" w:name="_Hlk80611440"/>
          <w:r w:rsidRPr="000E4791">
            <w:rPr>
              <w:b/>
              <w:sz w:val="18"/>
              <w:szCs w:val="18"/>
            </w:rPr>
            <w:t>Attachment 1</w:t>
          </w:r>
          <w:r>
            <w:t xml:space="preserve"> </w:t>
          </w:r>
          <w:proofErr w:type="spellStart"/>
          <w:r w:rsidRPr="008E6F2C">
            <w:rPr>
              <w:b/>
              <w:sz w:val="18"/>
              <w:szCs w:val="18"/>
            </w:rPr>
            <w:t>AusPAR</w:t>
          </w:r>
          <w:proofErr w:type="spellEnd"/>
          <w:r w:rsidRPr="008E6F2C">
            <w:rPr>
              <w:b/>
              <w:sz w:val="18"/>
              <w:szCs w:val="18"/>
            </w:rPr>
            <w:t xml:space="preserve"> - </w:t>
          </w:r>
          <w:proofErr w:type="spellStart"/>
          <w:r w:rsidRPr="008E6F2C">
            <w:rPr>
              <w:b/>
              <w:sz w:val="18"/>
              <w:szCs w:val="18"/>
            </w:rPr>
            <w:t>Vaxzevria</w:t>
          </w:r>
          <w:proofErr w:type="spellEnd"/>
          <w:r w:rsidRPr="008E6F2C">
            <w:rPr>
              <w:b/>
              <w:sz w:val="18"/>
              <w:szCs w:val="18"/>
            </w:rPr>
            <w:t xml:space="preserve"> - ChAdOx-1-S - AstraZeneca Pty Ltd - PM-2021-05173-1-2</w:t>
          </w:r>
        </w:p>
        <w:p w14:paraId="6D4CA259" w14:textId="77777777" w:rsidR="00E142D1" w:rsidRPr="000E4791" w:rsidRDefault="00E142D1" w:rsidP="00E142D1">
          <w:pPr>
            <w:pStyle w:val="Footer"/>
            <w:rPr>
              <w:b/>
              <w:sz w:val="18"/>
              <w:szCs w:val="18"/>
            </w:rPr>
          </w:pPr>
          <w:r w:rsidRPr="008E6F2C">
            <w:rPr>
              <w:b/>
              <w:sz w:val="18"/>
              <w:szCs w:val="18"/>
            </w:rPr>
            <w:t>Final 16 February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8"/>
  </w:tbl>
  <w:p w14:paraId="1EF9C3C6" w14:textId="77777777" w:rsidR="00585E29" w:rsidRPr="00266F86" w:rsidRDefault="00585E29" w:rsidP="00E142D1">
    <w:pPr>
      <w:pStyle w:val="Header"/>
      <w:tabs>
        <w:tab w:val="left" w:pos="23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F6622" w14:textId="77777777" w:rsidR="00E142D1" w:rsidRDefault="00E1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07B"/>
    <w:multiLevelType w:val="hybridMultilevel"/>
    <w:tmpl w:val="241253C8"/>
    <w:name w:val="ListBullet"/>
    <w:lvl w:ilvl="0" w:tplc="34AAB7F6">
      <w:start w:val="1"/>
      <w:numFmt w:val="bullet"/>
      <w:pStyle w:val="ListBullet"/>
      <w:lvlText w:val=""/>
      <w:lvlJc w:val="left"/>
      <w:pPr>
        <w:ind w:left="425" w:hanging="425"/>
      </w:pPr>
      <w:rPr>
        <w:rFonts w:ascii="Symbol" w:hAnsi="Symbol" w:hint="default"/>
        <w:b w:val="0"/>
        <w:i w:val="0"/>
        <w:caps w:val="0"/>
        <w:sz w:val="24"/>
        <w:u w:val="none"/>
        <w:vertAlign w:val="baseline"/>
      </w:rPr>
    </w:lvl>
    <w:lvl w:ilvl="1" w:tplc="EB88522E">
      <w:start w:val="1"/>
      <w:numFmt w:val="bullet"/>
      <w:pStyle w:val="ListBullet2"/>
      <w:lvlText w:val=""/>
      <w:lvlJc w:val="left"/>
      <w:pPr>
        <w:ind w:left="850" w:hanging="425"/>
      </w:pPr>
      <w:rPr>
        <w:rFonts w:ascii="Symbol" w:hAnsi="Symbol" w:hint="default"/>
        <w:color w:val="auto"/>
      </w:rPr>
    </w:lvl>
    <w:lvl w:ilvl="2" w:tplc="14545AA8">
      <w:start w:val="1"/>
      <w:numFmt w:val="bullet"/>
      <w:pStyle w:val="ListBullet3"/>
      <w:lvlText w:val="o"/>
      <w:lvlJc w:val="left"/>
      <w:pPr>
        <w:ind w:left="1275" w:hanging="425"/>
      </w:pPr>
      <w:rPr>
        <w:rFonts w:ascii="Courier New" w:hAnsi="Courier New" w:hint="default"/>
      </w:rPr>
    </w:lvl>
    <w:lvl w:ilvl="3" w:tplc="70B65FA0">
      <w:start w:val="1"/>
      <w:numFmt w:val="bullet"/>
      <w:pStyle w:val="ListBullet4"/>
      <w:lvlText w:val=""/>
      <w:lvlJc w:val="left"/>
      <w:pPr>
        <w:ind w:left="1700" w:hanging="425"/>
      </w:pPr>
      <w:rPr>
        <w:rFonts w:ascii="Symbol" w:hAnsi="Symbol" w:hint="default"/>
      </w:rPr>
    </w:lvl>
    <w:lvl w:ilvl="4" w:tplc="F39C3CEC">
      <w:start w:val="1"/>
      <w:numFmt w:val="none"/>
      <w:lvlText w:val=""/>
      <w:lvlJc w:val="left"/>
      <w:pPr>
        <w:ind w:left="2125" w:hanging="425"/>
      </w:pPr>
      <w:rPr>
        <w:rFonts w:hint="default"/>
      </w:rPr>
    </w:lvl>
    <w:lvl w:ilvl="5" w:tplc="9CD2B7E6">
      <w:start w:val="1"/>
      <w:numFmt w:val="none"/>
      <w:lvlText w:val=""/>
      <w:lvlJc w:val="left"/>
      <w:pPr>
        <w:ind w:left="2550" w:hanging="425"/>
      </w:pPr>
      <w:rPr>
        <w:rFonts w:hint="default"/>
      </w:rPr>
    </w:lvl>
    <w:lvl w:ilvl="6" w:tplc="9346860A">
      <w:start w:val="1"/>
      <w:numFmt w:val="none"/>
      <w:lvlText w:val=""/>
      <w:lvlJc w:val="left"/>
      <w:pPr>
        <w:ind w:left="2975" w:hanging="425"/>
      </w:pPr>
      <w:rPr>
        <w:rFonts w:hint="default"/>
      </w:rPr>
    </w:lvl>
    <w:lvl w:ilvl="7" w:tplc="C6682130">
      <w:start w:val="1"/>
      <w:numFmt w:val="none"/>
      <w:lvlText w:val=""/>
      <w:lvlJc w:val="left"/>
      <w:pPr>
        <w:ind w:left="3400" w:hanging="425"/>
      </w:pPr>
      <w:rPr>
        <w:rFonts w:hint="default"/>
      </w:rPr>
    </w:lvl>
    <w:lvl w:ilvl="8" w:tplc="88720772">
      <w:start w:val="1"/>
      <w:numFmt w:val="none"/>
      <w:lvlText w:val=""/>
      <w:lvlJc w:val="left"/>
      <w:pPr>
        <w:ind w:left="3825" w:hanging="425"/>
      </w:pPr>
      <w:rPr>
        <w:rFonts w:hint="default"/>
      </w:rPr>
    </w:lvl>
  </w:abstractNum>
  <w:abstractNum w:abstractNumId="1" w15:restartNumberingAfterBreak="0">
    <w:nsid w:val="062556DB"/>
    <w:multiLevelType w:val="hybridMultilevel"/>
    <w:tmpl w:val="C6DA3D6A"/>
    <w:name w:val="ListNumber"/>
    <w:lvl w:ilvl="0" w:tplc="91C0D8BE">
      <w:start w:val="1"/>
      <w:numFmt w:val="decimal"/>
      <w:pStyle w:val="ListNumber"/>
      <w:lvlText w:val="%1"/>
      <w:lvlJc w:val="left"/>
      <w:pPr>
        <w:ind w:left="425" w:hanging="425"/>
      </w:pPr>
      <w:rPr>
        <w:rFonts w:hint="default"/>
        <w:b w:val="0"/>
        <w:i w:val="0"/>
        <w:caps w:val="0"/>
        <w:sz w:val="24"/>
        <w:u w:val="none"/>
        <w:vertAlign w:val="baseline"/>
      </w:rPr>
    </w:lvl>
    <w:lvl w:ilvl="1" w:tplc="A5621D62">
      <w:start w:val="1"/>
      <w:numFmt w:val="lowerLetter"/>
      <w:pStyle w:val="ListNumber2"/>
      <w:lvlText w:val="(%2)"/>
      <w:lvlJc w:val="left"/>
      <w:pPr>
        <w:ind w:left="850" w:hanging="425"/>
      </w:pPr>
      <w:rPr>
        <w:rFonts w:ascii="Times New Roman" w:hAnsi="Times New Roman" w:hint="default"/>
      </w:rPr>
    </w:lvl>
    <w:lvl w:ilvl="2" w:tplc="88A47A88">
      <w:start w:val="1"/>
      <w:numFmt w:val="lowerRoman"/>
      <w:pStyle w:val="ListNumber3"/>
      <w:lvlText w:val="(%3)"/>
      <w:lvlJc w:val="left"/>
      <w:pPr>
        <w:ind w:left="1275" w:hanging="425"/>
      </w:pPr>
      <w:rPr>
        <w:rFonts w:ascii="Times New Roman" w:hAnsi="Times New Roman" w:hint="default"/>
      </w:rPr>
    </w:lvl>
    <w:lvl w:ilvl="3" w:tplc="4CD05B74">
      <w:start w:val="1"/>
      <w:numFmt w:val="none"/>
      <w:lvlText w:val=""/>
      <w:lvlJc w:val="left"/>
      <w:pPr>
        <w:ind w:left="1700" w:hanging="425"/>
      </w:pPr>
      <w:rPr>
        <w:rFonts w:hint="default"/>
      </w:rPr>
    </w:lvl>
    <w:lvl w:ilvl="4" w:tplc="E0E4203A">
      <w:start w:val="1"/>
      <w:numFmt w:val="none"/>
      <w:lvlText w:val=""/>
      <w:lvlJc w:val="left"/>
      <w:pPr>
        <w:ind w:left="2125" w:hanging="425"/>
      </w:pPr>
      <w:rPr>
        <w:rFonts w:hint="default"/>
      </w:rPr>
    </w:lvl>
    <w:lvl w:ilvl="5" w:tplc="AB94EAAC">
      <w:start w:val="1"/>
      <w:numFmt w:val="none"/>
      <w:lvlText w:val=""/>
      <w:lvlJc w:val="left"/>
      <w:pPr>
        <w:ind w:left="2550" w:hanging="425"/>
      </w:pPr>
      <w:rPr>
        <w:rFonts w:hint="default"/>
      </w:rPr>
    </w:lvl>
    <w:lvl w:ilvl="6" w:tplc="8F88F802">
      <w:start w:val="1"/>
      <w:numFmt w:val="none"/>
      <w:lvlText w:val=""/>
      <w:lvlJc w:val="left"/>
      <w:pPr>
        <w:ind w:left="2975" w:hanging="425"/>
      </w:pPr>
      <w:rPr>
        <w:rFonts w:hint="default"/>
      </w:rPr>
    </w:lvl>
    <w:lvl w:ilvl="7" w:tplc="FB62A5B8">
      <w:start w:val="1"/>
      <w:numFmt w:val="none"/>
      <w:lvlText w:val=""/>
      <w:lvlJc w:val="left"/>
      <w:pPr>
        <w:ind w:left="3400" w:hanging="425"/>
      </w:pPr>
      <w:rPr>
        <w:rFonts w:hint="default"/>
      </w:rPr>
    </w:lvl>
    <w:lvl w:ilvl="8" w:tplc="255A5F02">
      <w:start w:val="1"/>
      <w:numFmt w:val="none"/>
      <w:lvlText w:val=""/>
      <w:lvlJc w:val="left"/>
      <w:pPr>
        <w:ind w:left="3825" w:hanging="425"/>
      </w:pPr>
      <w:rPr>
        <w:rFonts w:hint="default"/>
      </w:rPr>
    </w:lvl>
  </w:abstractNum>
  <w:abstractNum w:abstractNumId="2" w15:restartNumberingAfterBreak="0">
    <w:nsid w:val="126562D4"/>
    <w:multiLevelType w:val="hybridMultilevel"/>
    <w:tmpl w:val="786C40EC"/>
    <w:name w:val="TableFootnotes"/>
    <w:lvl w:ilvl="0" w:tplc="5D6C64B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tplc="1EECA3EE">
      <w:start w:val="1"/>
      <w:numFmt w:val="none"/>
      <w:lvlText w:val=""/>
      <w:lvlJc w:val="left"/>
      <w:pPr>
        <w:tabs>
          <w:tab w:val="num" w:pos="1134"/>
        </w:tabs>
        <w:ind w:left="425" w:hanging="425"/>
      </w:pPr>
      <w:rPr>
        <w:rFonts w:hint="default"/>
      </w:rPr>
    </w:lvl>
    <w:lvl w:ilvl="2" w:tplc="833C2358">
      <w:start w:val="1"/>
      <w:numFmt w:val="none"/>
      <w:lvlText w:val=""/>
      <w:lvlJc w:val="left"/>
      <w:pPr>
        <w:tabs>
          <w:tab w:val="num" w:pos="1134"/>
        </w:tabs>
        <w:ind w:left="425" w:hanging="425"/>
      </w:pPr>
      <w:rPr>
        <w:rFonts w:hint="default"/>
      </w:rPr>
    </w:lvl>
    <w:lvl w:ilvl="3" w:tplc="5336B050">
      <w:start w:val="1"/>
      <w:numFmt w:val="none"/>
      <w:lvlText w:val=""/>
      <w:lvlJc w:val="left"/>
      <w:pPr>
        <w:tabs>
          <w:tab w:val="num" w:pos="1134"/>
        </w:tabs>
        <w:ind w:left="425" w:hanging="425"/>
      </w:pPr>
      <w:rPr>
        <w:rFonts w:hint="default"/>
      </w:rPr>
    </w:lvl>
    <w:lvl w:ilvl="4" w:tplc="9FCCDB22">
      <w:start w:val="1"/>
      <w:numFmt w:val="none"/>
      <w:lvlText w:val=""/>
      <w:lvlJc w:val="left"/>
      <w:pPr>
        <w:tabs>
          <w:tab w:val="num" w:pos="1134"/>
        </w:tabs>
        <w:ind w:left="425" w:hanging="425"/>
      </w:pPr>
      <w:rPr>
        <w:rFonts w:hint="default"/>
      </w:rPr>
    </w:lvl>
    <w:lvl w:ilvl="5" w:tplc="3E3E23A8">
      <w:start w:val="1"/>
      <w:numFmt w:val="none"/>
      <w:lvlText w:val=""/>
      <w:lvlJc w:val="left"/>
      <w:pPr>
        <w:tabs>
          <w:tab w:val="num" w:pos="1134"/>
        </w:tabs>
        <w:ind w:left="425" w:hanging="425"/>
      </w:pPr>
      <w:rPr>
        <w:rFonts w:hint="default"/>
      </w:rPr>
    </w:lvl>
    <w:lvl w:ilvl="6" w:tplc="4878BB42">
      <w:start w:val="1"/>
      <w:numFmt w:val="none"/>
      <w:lvlText w:val=""/>
      <w:lvlJc w:val="left"/>
      <w:pPr>
        <w:tabs>
          <w:tab w:val="num" w:pos="1134"/>
        </w:tabs>
        <w:ind w:left="425" w:hanging="425"/>
      </w:pPr>
      <w:rPr>
        <w:rFonts w:hint="default"/>
      </w:rPr>
    </w:lvl>
    <w:lvl w:ilvl="7" w:tplc="88CC6A88">
      <w:start w:val="1"/>
      <w:numFmt w:val="none"/>
      <w:lvlText w:val=""/>
      <w:lvlJc w:val="left"/>
      <w:pPr>
        <w:tabs>
          <w:tab w:val="num" w:pos="1134"/>
        </w:tabs>
        <w:ind w:left="425" w:hanging="425"/>
      </w:pPr>
      <w:rPr>
        <w:rFonts w:hint="default"/>
      </w:rPr>
    </w:lvl>
    <w:lvl w:ilvl="8" w:tplc="47E0E050">
      <w:start w:val="1"/>
      <w:numFmt w:val="none"/>
      <w:lvlRestart w:val="1"/>
      <w:lvlText w:val=""/>
      <w:lvlJc w:val="left"/>
      <w:pPr>
        <w:tabs>
          <w:tab w:val="num" w:pos="1134"/>
        </w:tabs>
        <w:ind w:left="425" w:hanging="425"/>
      </w:pPr>
      <w:rPr>
        <w:rFonts w:hint="default"/>
      </w:rPr>
    </w:lvl>
  </w:abstractNum>
  <w:abstractNum w:abstractNumId="3" w15:restartNumberingAfterBreak="0">
    <w:nsid w:val="12A441C1"/>
    <w:multiLevelType w:val="hybridMultilevel"/>
    <w:tmpl w:val="1FA422F0"/>
    <w:lvl w:ilvl="0" w:tplc="347AAABE">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lvl w:ilvl="1" w:tplc="B4F6EE3A">
      <w:numFmt w:val="decimal"/>
      <w:lvlText w:val=""/>
      <w:lvlJc w:val="left"/>
    </w:lvl>
    <w:lvl w:ilvl="2" w:tplc="E35602A4">
      <w:numFmt w:val="decimal"/>
      <w:lvlText w:val=""/>
      <w:lvlJc w:val="left"/>
    </w:lvl>
    <w:lvl w:ilvl="3" w:tplc="C8A61E50">
      <w:numFmt w:val="decimal"/>
      <w:lvlText w:val=""/>
      <w:lvlJc w:val="left"/>
    </w:lvl>
    <w:lvl w:ilvl="4" w:tplc="3574F260">
      <w:numFmt w:val="decimal"/>
      <w:lvlText w:val=""/>
      <w:lvlJc w:val="left"/>
    </w:lvl>
    <w:lvl w:ilvl="5" w:tplc="106434A8">
      <w:numFmt w:val="decimal"/>
      <w:lvlText w:val=""/>
      <w:lvlJc w:val="left"/>
    </w:lvl>
    <w:lvl w:ilvl="6" w:tplc="7672596E">
      <w:numFmt w:val="decimal"/>
      <w:lvlText w:val=""/>
      <w:lvlJc w:val="left"/>
    </w:lvl>
    <w:lvl w:ilvl="7" w:tplc="5642826C">
      <w:numFmt w:val="decimal"/>
      <w:lvlText w:val=""/>
      <w:lvlJc w:val="left"/>
    </w:lvl>
    <w:lvl w:ilvl="8" w:tplc="F54E7050">
      <w:numFmt w:val="decimal"/>
      <w:lvlText w:val=""/>
      <w:lvlJc w:val="left"/>
    </w:lvl>
  </w:abstractNum>
  <w:abstractNum w:abstractNumId="4" w15:restartNumberingAfterBreak="0">
    <w:nsid w:val="15AE6FEE"/>
    <w:multiLevelType w:val="hybridMultilevel"/>
    <w:tmpl w:val="01940AA0"/>
    <w:name w:val="ListBulletSmall1"/>
    <w:lvl w:ilvl="0" w:tplc="425E9348">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tplc="9D7870BE">
      <w:start w:val="1"/>
      <w:numFmt w:val="bullet"/>
      <w:pStyle w:val="ListBulletSmall2"/>
      <w:lvlText w:val=""/>
      <w:lvlJc w:val="left"/>
      <w:pPr>
        <w:ind w:left="850" w:hanging="425"/>
      </w:pPr>
      <w:rPr>
        <w:rFonts w:ascii="Symbol" w:hAnsi="Symbol" w:hint="default"/>
      </w:rPr>
    </w:lvl>
    <w:lvl w:ilvl="2" w:tplc="82D6BB4A">
      <w:start w:val="1"/>
      <w:numFmt w:val="none"/>
      <w:lvlText w:val=""/>
      <w:lvlJc w:val="left"/>
      <w:pPr>
        <w:ind w:left="1275" w:hanging="425"/>
      </w:pPr>
      <w:rPr>
        <w:rFonts w:hint="default"/>
      </w:rPr>
    </w:lvl>
    <w:lvl w:ilvl="3" w:tplc="9F66A2A6">
      <w:start w:val="1"/>
      <w:numFmt w:val="none"/>
      <w:lvlText w:val=""/>
      <w:lvlJc w:val="left"/>
      <w:pPr>
        <w:ind w:left="1700" w:hanging="425"/>
      </w:pPr>
      <w:rPr>
        <w:rFonts w:hint="default"/>
      </w:rPr>
    </w:lvl>
    <w:lvl w:ilvl="4" w:tplc="5BF0A012">
      <w:start w:val="1"/>
      <w:numFmt w:val="bullet"/>
      <w:lvlText w:val="o"/>
      <w:lvlJc w:val="left"/>
      <w:pPr>
        <w:tabs>
          <w:tab w:val="num" w:pos="2060"/>
        </w:tabs>
        <w:ind w:left="2125" w:hanging="425"/>
      </w:pPr>
      <w:rPr>
        <w:rFonts w:ascii="Courier New" w:hAnsi="Courier New" w:cs="Courier New" w:hint="default"/>
      </w:rPr>
    </w:lvl>
    <w:lvl w:ilvl="5" w:tplc="439C1410">
      <w:start w:val="1"/>
      <w:numFmt w:val="bullet"/>
      <w:lvlText w:val=""/>
      <w:lvlJc w:val="left"/>
      <w:pPr>
        <w:tabs>
          <w:tab w:val="num" w:pos="2485"/>
        </w:tabs>
        <w:ind w:left="2550" w:hanging="425"/>
      </w:pPr>
      <w:rPr>
        <w:rFonts w:ascii="Wingdings" w:hAnsi="Wingdings" w:hint="default"/>
      </w:rPr>
    </w:lvl>
    <w:lvl w:ilvl="6" w:tplc="14C2C1F8">
      <w:start w:val="1"/>
      <w:numFmt w:val="bullet"/>
      <w:lvlText w:val=""/>
      <w:lvlJc w:val="left"/>
      <w:pPr>
        <w:tabs>
          <w:tab w:val="num" w:pos="2910"/>
        </w:tabs>
        <w:ind w:left="2975" w:hanging="425"/>
      </w:pPr>
      <w:rPr>
        <w:rFonts w:ascii="Symbol" w:hAnsi="Symbol" w:hint="default"/>
      </w:rPr>
    </w:lvl>
    <w:lvl w:ilvl="7" w:tplc="DF58BBC2">
      <w:start w:val="1"/>
      <w:numFmt w:val="bullet"/>
      <w:lvlText w:val="o"/>
      <w:lvlJc w:val="left"/>
      <w:pPr>
        <w:tabs>
          <w:tab w:val="num" w:pos="3335"/>
        </w:tabs>
        <w:ind w:left="3400" w:hanging="425"/>
      </w:pPr>
      <w:rPr>
        <w:rFonts w:ascii="Courier New" w:hAnsi="Courier New" w:cs="Courier New" w:hint="default"/>
      </w:rPr>
    </w:lvl>
    <w:lvl w:ilvl="8" w:tplc="9D1CD2A6">
      <w:start w:val="1"/>
      <w:numFmt w:val="bullet"/>
      <w:lvlText w:val=""/>
      <w:lvlJc w:val="left"/>
      <w:pPr>
        <w:tabs>
          <w:tab w:val="num" w:pos="3760"/>
        </w:tabs>
        <w:ind w:left="3825" w:hanging="425"/>
      </w:pPr>
      <w:rPr>
        <w:rFonts w:ascii="Wingdings" w:hAnsi="Wingdings" w:hint="default"/>
      </w:rPr>
    </w:lvl>
  </w:abstractNum>
  <w:abstractNum w:abstractNumId="5" w15:restartNumberingAfterBreak="0">
    <w:nsid w:val="29A72716"/>
    <w:multiLevelType w:val="multilevel"/>
    <w:tmpl w:val="8BBAE1C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2913332"/>
    <w:multiLevelType w:val="multilevel"/>
    <w:tmpl w:val="84F8ACAC"/>
    <w:name w:val="HousestyleHeadings"/>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844"/>
        </w:tabs>
        <w:ind w:left="184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decimal"/>
      <w:pStyle w:val="Heading5"/>
      <w:lvlText w:val="%1.%2.%3.%4.%5"/>
      <w:lvlJc w:val="left"/>
      <w:pPr>
        <w:tabs>
          <w:tab w:val="num" w:pos="1134"/>
        </w:tabs>
        <w:ind w:left="1134" w:hanging="1134"/>
      </w:pPr>
    </w:lvl>
    <w:lvl w:ilvl="5">
      <w:start w:val="1"/>
      <w:numFmt w:val="decimal"/>
      <w:pStyle w:val="Heading6"/>
      <w:lvlText w:val="%1.%2.%3.%4.%5.%6"/>
      <w:lvlJc w:val="left"/>
      <w:pPr>
        <w:tabs>
          <w:tab w:val="num" w:pos="1134"/>
        </w:tabs>
        <w:ind w:left="1134" w:hanging="1134"/>
      </w:p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3A9E7E4D"/>
    <w:multiLevelType w:val="multilevel"/>
    <w:tmpl w:val="9EC8EBF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8"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9" w15:restartNumberingAfterBreak="0">
    <w:nsid w:val="556F4F4D"/>
    <w:multiLevelType w:val="multilevel"/>
    <w:tmpl w:val="53CE82B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BE70C3"/>
    <w:multiLevelType w:val="multilevel"/>
    <w:tmpl w:val="F8E4CBBE"/>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1" w15:restartNumberingAfterBreak="0">
    <w:nsid w:val="74C030A5"/>
    <w:multiLevelType w:val="hybridMultilevel"/>
    <w:tmpl w:val="99C4946C"/>
    <w:name w:val="ListNumberSmall"/>
    <w:lvl w:ilvl="0" w:tplc="D26892B0">
      <w:start w:val="1"/>
      <w:numFmt w:val="decimal"/>
      <w:pStyle w:val="ListNumberSmall"/>
      <w:lvlText w:val="%1"/>
      <w:lvlJc w:val="left"/>
      <w:pPr>
        <w:tabs>
          <w:tab w:val="num" w:pos="425"/>
        </w:tabs>
        <w:ind w:left="425" w:hanging="425"/>
      </w:pPr>
      <w:rPr>
        <w:rFonts w:ascii="Times New Roman" w:hAnsi="Times New Roman" w:hint="default"/>
        <w:sz w:val="20"/>
      </w:rPr>
    </w:lvl>
    <w:lvl w:ilvl="1" w:tplc="DF9CE8FC">
      <w:start w:val="1"/>
      <w:numFmt w:val="lowerLetter"/>
      <w:lvlText w:val="%2."/>
      <w:lvlJc w:val="left"/>
      <w:pPr>
        <w:tabs>
          <w:tab w:val="num" w:pos="851"/>
        </w:tabs>
        <w:ind w:left="851" w:hanging="426"/>
      </w:pPr>
      <w:rPr>
        <w:rFonts w:hint="default"/>
      </w:rPr>
    </w:lvl>
    <w:lvl w:ilvl="2" w:tplc="9A68142A">
      <w:start w:val="1"/>
      <w:numFmt w:val="lowerRoman"/>
      <w:lvlText w:val="%3."/>
      <w:lvlJc w:val="right"/>
      <w:pPr>
        <w:tabs>
          <w:tab w:val="num" w:pos="1276"/>
        </w:tabs>
        <w:ind w:left="1276" w:hanging="425"/>
      </w:pPr>
      <w:rPr>
        <w:rFonts w:hint="default"/>
      </w:rPr>
    </w:lvl>
    <w:lvl w:ilvl="3" w:tplc="D00C0402">
      <w:start w:val="1"/>
      <w:numFmt w:val="decimal"/>
      <w:lvlText w:val="%4."/>
      <w:lvlJc w:val="left"/>
      <w:pPr>
        <w:ind w:left="2880" w:hanging="360"/>
      </w:pPr>
      <w:rPr>
        <w:rFonts w:hint="default"/>
      </w:rPr>
    </w:lvl>
    <w:lvl w:ilvl="4" w:tplc="1EDEA1AA">
      <w:start w:val="1"/>
      <w:numFmt w:val="lowerLetter"/>
      <w:lvlText w:val="%5."/>
      <w:lvlJc w:val="left"/>
      <w:pPr>
        <w:ind w:left="3600" w:hanging="360"/>
      </w:pPr>
      <w:rPr>
        <w:rFonts w:hint="default"/>
      </w:rPr>
    </w:lvl>
    <w:lvl w:ilvl="5" w:tplc="6A5A5D04">
      <w:start w:val="1"/>
      <w:numFmt w:val="lowerRoman"/>
      <w:lvlText w:val="%6."/>
      <w:lvlJc w:val="right"/>
      <w:pPr>
        <w:ind w:left="4320" w:hanging="180"/>
      </w:pPr>
      <w:rPr>
        <w:rFonts w:hint="default"/>
      </w:rPr>
    </w:lvl>
    <w:lvl w:ilvl="6" w:tplc="F0B03F5A">
      <w:start w:val="1"/>
      <w:numFmt w:val="decimal"/>
      <w:lvlText w:val="%7."/>
      <w:lvlJc w:val="left"/>
      <w:pPr>
        <w:ind w:left="5040" w:hanging="360"/>
      </w:pPr>
      <w:rPr>
        <w:rFonts w:hint="default"/>
      </w:rPr>
    </w:lvl>
    <w:lvl w:ilvl="7" w:tplc="B6D69E9A">
      <w:start w:val="1"/>
      <w:numFmt w:val="lowerLetter"/>
      <w:lvlText w:val="%8."/>
      <w:lvlJc w:val="left"/>
      <w:pPr>
        <w:ind w:left="5760" w:hanging="360"/>
      </w:pPr>
      <w:rPr>
        <w:rFonts w:hint="default"/>
      </w:rPr>
    </w:lvl>
    <w:lvl w:ilvl="8" w:tplc="0492D65A">
      <w:start w:val="1"/>
      <w:numFmt w:val="lowerRoman"/>
      <w:lvlText w:val="%9."/>
      <w:lvlJc w:val="right"/>
      <w:pPr>
        <w:ind w:left="6480" w:hanging="180"/>
      </w:pPr>
      <w:rPr>
        <w:rFonts w:hint="default"/>
      </w:rPr>
    </w:lvl>
  </w:abstractNum>
  <w:abstractNum w:abstractNumId="12"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3"/>
  </w:num>
  <w:num w:numId="5">
    <w:abstractNumId w:val="8"/>
  </w:num>
  <w:num w:numId="6">
    <w:abstractNumId w:val="0"/>
  </w:num>
  <w:num w:numId="7">
    <w:abstractNumId w:val="4"/>
  </w:num>
  <w:num w:numId="8">
    <w:abstractNumId w:val="9"/>
  </w:num>
  <w:num w:numId="9">
    <w:abstractNumId w:val="1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9C"/>
    <w:rsid w:val="000036EC"/>
    <w:rsid w:val="000044B1"/>
    <w:rsid w:val="000053F4"/>
    <w:rsid w:val="0001308C"/>
    <w:rsid w:val="000144AD"/>
    <w:rsid w:val="0001540C"/>
    <w:rsid w:val="00015A4C"/>
    <w:rsid w:val="00021709"/>
    <w:rsid w:val="00022307"/>
    <w:rsid w:val="00022FFC"/>
    <w:rsid w:val="0003265E"/>
    <w:rsid w:val="00035714"/>
    <w:rsid w:val="00042302"/>
    <w:rsid w:val="00042AAB"/>
    <w:rsid w:val="00042F96"/>
    <w:rsid w:val="00043104"/>
    <w:rsid w:val="000460B7"/>
    <w:rsid w:val="00053A99"/>
    <w:rsid w:val="00055301"/>
    <w:rsid w:val="0005656E"/>
    <w:rsid w:val="000577BD"/>
    <w:rsid w:val="000608DA"/>
    <w:rsid w:val="00060B43"/>
    <w:rsid w:val="00062AE5"/>
    <w:rsid w:val="00063EE1"/>
    <w:rsid w:val="0006590C"/>
    <w:rsid w:val="000721F2"/>
    <w:rsid w:val="00077A34"/>
    <w:rsid w:val="00077DDC"/>
    <w:rsid w:val="0008220D"/>
    <w:rsid w:val="0008235A"/>
    <w:rsid w:val="000831C8"/>
    <w:rsid w:val="0009106C"/>
    <w:rsid w:val="000A29C7"/>
    <w:rsid w:val="000A3D28"/>
    <w:rsid w:val="000A50D9"/>
    <w:rsid w:val="000A7EE9"/>
    <w:rsid w:val="000B24AA"/>
    <w:rsid w:val="000B4CA5"/>
    <w:rsid w:val="000B6973"/>
    <w:rsid w:val="000C1D99"/>
    <w:rsid w:val="000C61EA"/>
    <w:rsid w:val="000C6BB6"/>
    <w:rsid w:val="000C6FB8"/>
    <w:rsid w:val="000C7C61"/>
    <w:rsid w:val="000D1A4E"/>
    <w:rsid w:val="000D4403"/>
    <w:rsid w:val="000D6604"/>
    <w:rsid w:val="000D7F05"/>
    <w:rsid w:val="000E0B5B"/>
    <w:rsid w:val="000E1283"/>
    <w:rsid w:val="000E4540"/>
    <w:rsid w:val="000F2041"/>
    <w:rsid w:val="000F2343"/>
    <w:rsid w:val="000F2624"/>
    <w:rsid w:val="000F4530"/>
    <w:rsid w:val="000F4BF7"/>
    <w:rsid w:val="000F5F5C"/>
    <w:rsid w:val="000F79D7"/>
    <w:rsid w:val="00100D39"/>
    <w:rsid w:val="001022E8"/>
    <w:rsid w:val="00102BE9"/>
    <w:rsid w:val="001063F3"/>
    <w:rsid w:val="001127BE"/>
    <w:rsid w:val="00114366"/>
    <w:rsid w:val="00115B26"/>
    <w:rsid w:val="001172F2"/>
    <w:rsid w:val="00123B9C"/>
    <w:rsid w:val="001255C4"/>
    <w:rsid w:val="00125782"/>
    <w:rsid w:val="00126BCD"/>
    <w:rsid w:val="00136256"/>
    <w:rsid w:val="00144426"/>
    <w:rsid w:val="00144DEF"/>
    <w:rsid w:val="0014508B"/>
    <w:rsid w:val="00150536"/>
    <w:rsid w:val="00154AF4"/>
    <w:rsid w:val="001552CB"/>
    <w:rsid w:val="0016399C"/>
    <w:rsid w:val="0016472F"/>
    <w:rsid w:val="00167EF2"/>
    <w:rsid w:val="00172E0D"/>
    <w:rsid w:val="00173649"/>
    <w:rsid w:val="00173A86"/>
    <w:rsid w:val="001812B5"/>
    <w:rsid w:val="00183F56"/>
    <w:rsid w:val="00183F84"/>
    <w:rsid w:val="001840A1"/>
    <w:rsid w:val="0018536F"/>
    <w:rsid w:val="00190622"/>
    <w:rsid w:val="0019625B"/>
    <w:rsid w:val="00196A7D"/>
    <w:rsid w:val="001A3992"/>
    <w:rsid w:val="001A54BA"/>
    <w:rsid w:val="001A7123"/>
    <w:rsid w:val="001A7D81"/>
    <w:rsid w:val="001B114A"/>
    <w:rsid w:val="001B2435"/>
    <w:rsid w:val="001B3DF8"/>
    <w:rsid w:val="001B509F"/>
    <w:rsid w:val="001C380F"/>
    <w:rsid w:val="001C394C"/>
    <w:rsid w:val="001C58BE"/>
    <w:rsid w:val="001C62B1"/>
    <w:rsid w:val="001C68AD"/>
    <w:rsid w:val="001C6FD4"/>
    <w:rsid w:val="001D2D48"/>
    <w:rsid w:val="001D3AF3"/>
    <w:rsid w:val="001D5B5C"/>
    <w:rsid w:val="001D7918"/>
    <w:rsid w:val="001D79B8"/>
    <w:rsid w:val="001D7ADB"/>
    <w:rsid w:val="001D7C55"/>
    <w:rsid w:val="001E0672"/>
    <w:rsid w:val="001E15A4"/>
    <w:rsid w:val="001E6F91"/>
    <w:rsid w:val="001F2C4F"/>
    <w:rsid w:val="001F3F8C"/>
    <w:rsid w:val="001F5390"/>
    <w:rsid w:val="001F5901"/>
    <w:rsid w:val="001F6893"/>
    <w:rsid w:val="002004BF"/>
    <w:rsid w:val="00204149"/>
    <w:rsid w:val="002043AA"/>
    <w:rsid w:val="002078A9"/>
    <w:rsid w:val="00207AD8"/>
    <w:rsid w:val="00210AE4"/>
    <w:rsid w:val="00211547"/>
    <w:rsid w:val="0021227F"/>
    <w:rsid w:val="00214852"/>
    <w:rsid w:val="00214E8E"/>
    <w:rsid w:val="0022269E"/>
    <w:rsid w:val="002335CD"/>
    <w:rsid w:val="00236734"/>
    <w:rsid w:val="00244561"/>
    <w:rsid w:val="00246FC8"/>
    <w:rsid w:val="002507CD"/>
    <w:rsid w:val="00251E7E"/>
    <w:rsid w:val="002521FB"/>
    <w:rsid w:val="002537CF"/>
    <w:rsid w:val="0025434A"/>
    <w:rsid w:val="00257099"/>
    <w:rsid w:val="002631A9"/>
    <w:rsid w:val="0026491B"/>
    <w:rsid w:val="00266C5A"/>
    <w:rsid w:val="00266F86"/>
    <w:rsid w:val="00270647"/>
    <w:rsid w:val="0027092E"/>
    <w:rsid w:val="00273341"/>
    <w:rsid w:val="002801DD"/>
    <w:rsid w:val="002803FC"/>
    <w:rsid w:val="0028343B"/>
    <w:rsid w:val="00284A1B"/>
    <w:rsid w:val="00285173"/>
    <w:rsid w:val="00286FD5"/>
    <w:rsid w:val="0029016F"/>
    <w:rsid w:val="00294422"/>
    <w:rsid w:val="002956CF"/>
    <w:rsid w:val="002A3BAF"/>
    <w:rsid w:val="002A5539"/>
    <w:rsid w:val="002A7047"/>
    <w:rsid w:val="002B4D22"/>
    <w:rsid w:val="002B5E4D"/>
    <w:rsid w:val="002C0313"/>
    <w:rsid w:val="002C1380"/>
    <w:rsid w:val="002C3764"/>
    <w:rsid w:val="002C7810"/>
    <w:rsid w:val="002D053C"/>
    <w:rsid w:val="002D1062"/>
    <w:rsid w:val="002D18DD"/>
    <w:rsid w:val="002D1B44"/>
    <w:rsid w:val="002D3489"/>
    <w:rsid w:val="002D6B7D"/>
    <w:rsid w:val="002E277D"/>
    <w:rsid w:val="002E52F1"/>
    <w:rsid w:val="002E6423"/>
    <w:rsid w:val="002E7BEB"/>
    <w:rsid w:val="002F091A"/>
    <w:rsid w:val="002F1BAB"/>
    <w:rsid w:val="003038D7"/>
    <w:rsid w:val="00305FFB"/>
    <w:rsid w:val="00313239"/>
    <w:rsid w:val="00313BC0"/>
    <w:rsid w:val="00314451"/>
    <w:rsid w:val="00314B28"/>
    <w:rsid w:val="003217BC"/>
    <w:rsid w:val="00323697"/>
    <w:rsid w:val="00323C74"/>
    <w:rsid w:val="003248E6"/>
    <w:rsid w:val="003308B6"/>
    <w:rsid w:val="00332942"/>
    <w:rsid w:val="003335F4"/>
    <w:rsid w:val="003367F9"/>
    <w:rsid w:val="003368C9"/>
    <w:rsid w:val="00341C7A"/>
    <w:rsid w:val="00350663"/>
    <w:rsid w:val="00352938"/>
    <w:rsid w:val="00362F10"/>
    <w:rsid w:val="00363315"/>
    <w:rsid w:val="0036402E"/>
    <w:rsid w:val="00364AA4"/>
    <w:rsid w:val="0036583B"/>
    <w:rsid w:val="00365FE6"/>
    <w:rsid w:val="00367246"/>
    <w:rsid w:val="003672CB"/>
    <w:rsid w:val="00370286"/>
    <w:rsid w:val="00372AE0"/>
    <w:rsid w:val="00375DF3"/>
    <w:rsid w:val="00376D26"/>
    <w:rsid w:val="00377337"/>
    <w:rsid w:val="00381CB0"/>
    <w:rsid w:val="00382726"/>
    <w:rsid w:val="00382B88"/>
    <w:rsid w:val="00390AB1"/>
    <w:rsid w:val="00394816"/>
    <w:rsid w:val="003949BD"/>
    <w:rsid w:val="00396724"/>
    <w:rsid w:val="003A2B40"/>
    <w:rsid w:val="003A38D5"/>
    <w:rsid w:val="003A41C5"/>
    <w:rsid w:val="003A4DC8"/>
    <w:rsid w:val="003A5363"/>
    <w:rsid w:val="003A5F74"/>
    <w:rsid w:val="003B1BF7"/>
    <w:rsid w:val="003B2210"/>
    <w:rsid w:val="003B2BE9"/>
    <w:rsid w:val="003B32B2"/>
    <w:rsid w:val="003B39DC"/>
    <w:rsid w:val="003B3E12"/>
    <w:rsid w:val="003B6E48"/>
    <w:rsid w:val="003B7CFF"/>
    <w:rsid w:val="003C1343"/>
    <w:rsid w:val="003C2EEE"/>
    <w:rsid w:val="003C49C9"/>
    <w:rsid w:val="003C67E9"/>
    <w:rsid w:val="003C68E8"/>
    <w:rsid w:val="003E4AE5"/>
    <w:rsid w:val="003E669C"/>
    <w:rsid w:val="003F573A"/>
    <w:rsid w:val="003F5CA9"/>
    <w:rsid w:val="003F62A8"/>
    <w:rsid w:val="004002CA"/>
    <w:rsid w:val="0040048F"/>
    <w:rsid w:val="004008B1"/>
    <w:rsid w:val="00402E3F"/>
    <w:rsid w:val="004034C2"/>
    <w:rsid w:val="00403AAE"/>
    <w:rsid w:val="00407EFA"/>
    <w:rsid w:val="0041004D"/>
    <w:rsid w:val="00414470"/>
    <w:rsid w:val="00415A17"/>
    <w:rsid w:val="004163CE"/>
    <w:rsid w:val="00422F72"/>
    <w:rsid w:val="004268AF"/>
    <w:rsid w:val="00427B23"/>
    <w:rsid w:val="00427CA0"/>
    <w:rsid w:val="00430254"/>
    <w:rsid w:val="004305D5"/>
    <w:rsid w:val="00431ACD"/>
    <w:rsid w:val="00434A24"/>
    <w:rsid w:val="004373B2"/>
    <w:rsid w:val="004423C0"/>
    <w:rsid w:val="00443C28"/>
    <w:rsid w:val="00444376"/>
    <w:rsid w:val="00446BCD"/>
    <w:rsid w:val="00446EDD"/>
    <w:rsid w:val="00447ADE"/>
    <w:rsid w:val="004518E8"/>
    <w:rsid w:val="00454689"/>
    <w:rsid w:val="004618F2"/>
    <w:rsid w:val="00461B9F"/>
    <w:rsid w:val="00463FD3"/>
    <w:rsid w:val="00466BF7"/>
    <w:rsid w:val="00470D50"/>
    <w:rsid w:val="00470DC2"/>
    <w:rsid w:val="00473B46"/>
    <w:rsid w:val="00490B87"/>
    <w:rsid w:val="00491666"/>
    <w:rsid w:val="004A0428"/>
    <w:rsid w:val="004A2C7F"/>
    <w:rsid w:val="004A32D5"/>
    <w:rsid w:val="004A60D6"/>
    <w:rsid w:val="004B104B"/>
    <w:rsid w:val="004B10FA"/>
    <w:rsid w:val="004B28FE"/>
    <w:rsid w:val="004B34AB"/>
    <w:rsid w:val="004B4D34"/>
    <w:rsid w:val="004B4EEF"/>
    <w:rsid w:val="004B543A"/>
    <w:rsid w:val="004B6B19"/>
    <w:rsid w:val="004C0D45"/>
    <w:rsid w:val="004C1E5B"/>
    <w:rsid w:val="004C2756"/>
    <w:rsid w:val="004C6967"/>
    <w:rsid w:val="004C7F1B"/>
    <w:rsid w:val="004D06A6"/>
    <w:rsid w:val="004D0E7D"/>
    <w:rsid w:val="004D1AD3"/>
    <w:rsid w:val="004D210B"/>
    <w:rsid w:val="004D5752"/>
    <w:rsid w:val="004D6FC6"/>
    <w:rsid w:val="004D7744"/>
    <w:rsid w:val="004E0E95"/>
    <w:rsid w:val="004E36F3"/>
    <w:rsid w:val="004F2B12"/>
    <w:rsid w:val="004F5242"/>
    <w:rsid w:val="004F6D0B"/>
    <w:rsid w:val="00500C97"/>
    <w:rsid w:val="0050354B"/>
    <w:rsid w:val="0051238A"/>
    <w:rsid w:val="0051294E"/>
    <w:rsid w:val="00513B1A"/>
    <w:rsid w:val="005162A0"/>
    <w:rsid w:val="00517D99"/>
    <w:rsid w:val="00521273"/>
    <w:rsid w:val="0052360D"/>
    <w:rsid w:val="0052505B"/>
    <w:rsid w:val="00525AD7"/>
    <w:rsid w:val="00530C2A"/>
    <w:rsid w:val="00533BED"/>
    <w:rsid w:val="005359A9"/>
    <w:rsid w:val="00536228"/>
    <w:rsid w:val="00540351"/>
    <w:rsid w:val="0054353C"/>
    <w:rsid w:val="00553B0C"/>
    <w:rsid w:val="00555E4D"/>
    <w:rsid w:val="00567153"/>
    <w:rsid w:val="00570704"/>
    <w:rsid w:val="00570E74"/>
    <w:rsid w:val="005730D9"/>
    <w:rsid w:val="00577840"/>
    <w:rsid w:val="0057794F"/>
    <w:rsid w:val="00585E29"/>
    <w:rsid w:val="005904E1"/>
    <w:rsid w:val="00591397"/>
    <w:rsid w:val="005926ED"/>
    <w:rsid w:val="00593AC2"/>
    <w:rsid w:val="005A08E1"/>
    <w:rsid w:val="005A2AE3"/>
    <w:rsid w:val="005A3383"/>
    <w:rsid w:val="005B03B4"/>
    <w:rsid w:val="005B24D3"/>
    <w:rsid w:val="005B2B47"/>
    <w:rsid w:val="005C1E9B"/>
    <w:rsid w:val="005C33B8"/>
    <w:rsid w:val="005D2363"/>
    <w:rsid w:val="005D3CC8"/>
    <w:rsid w:val="005E314B"/>
    <w:rsid w:val="005E3ECC"/>
    <w:rsid w:val="005F1132"/>
    <w:rsid w:val="005F3843"/>
    <w:rsid w:val="005F3860"/>
    <w:rsid w:val="006018AE"/>
    <w:rsid w:val="0060222D"/>
    <w:rsid w:val="00605050"/>
    <w:rsid w:val="00607A21"/>
    <w:rsid w:val="0061009E"/>
    <w:rsid w:val="006102E4"/>
    <w:rsid w:val="0061148B"/>
    <w:rsid w:val="0062158D"/>
    <w:rsid w:val="0062548E"/>
    <w:rsid w:val="006269B4"/>
    <w:rsid w:val="00627CF1"/>
    <w:rsid w:val="00634AB8"/>
    <w:rsid w:val="00641142"/>
    <w:rsid w:val="006460DB"/>
    <w:rsid w:val="00650CEE"/>
    <w:rsid w:val="006525A7"/>
    <w:rsid w:val="00652CB5"/>
    <w:rsid w:val="00660C66"/>
    <w:rsid w:val="00663CD5"/>
    <w:rsid w:val="0067290F"/>
    <w:rsid w:val="00677BBC"/>
    <w:rsid w:val="006828A8"/>
    <w:rsid w:val="006864E0"/>
    <w:rsid w:val="006926E4"/>
    <w:rsid w:val="006933C3"/>
    <w:rsid w:val="00695D67"/>
    <w:rsid w:val="00696BCD"/>
    <w:rsid w:val="00697082"/>
    <w:rsid w:val="00697316"/>
    <w:rsid w:val="006A1C99"/>
    <w:rsid w:val="006A727B"/>
    <w:rsid w:val="006B0301"/>
    <w:rsid w:val="006B17FE"/>
    <w:rsid w:val="006B2B1F"/>
    <w:rsid w:val="006B3168"/>
    <w:rsid w:val="006B49BE"/>
    <w:rsid w:val="006B6BEC"/>
    <w:rsid w:val="006C408C"/>
    <w:rsid w:val="006C5479"/>
    <w:rsid w:val="006D04F7"/>
    <w:rsid w:val="006D3F63"/>
    <w:rsid w:val="006D5C6F"/>
    <w:rsid w:val="006E02A5"/>
    <w:rsid w:val="006E3E1C"/>
    <w:rsid w:val="006E4C1E"/>
    <w:rsid w:val="006F01A1"/>
    <w:rsid w:val="006F0F99"/>
    <w:rsid w:val="006F1E95"/>
    <w:rsid w:val="006F578E"/>
    <w:rsid w:val="00703F98"/>
    <w:rsid w:val="00705092"/>
    <w:rsid w:val="00705CDF"/>
    <w:rsid w:val="00706AA4"/>
    <w:rsid w:val="00714160"/>
    <w:rsid w:val="00715772"/>
    <w:rsid w:val="00722608"/>
    <w:rsid w:val="007228AC"/>
    <w:rsid w:val="0072688C"/>
    <w:rsid w:val="007335F1"/>
    <w:rsid w:val="00737EB9"/>
    <w:rsid w:val="007403BD"/>
    <w:rsid w:val="00740B3A"/>
    <w:rsid w:val="00741647"/>
    <w:rsid w:val="0074190D"/>
    <w:rsid w:val="0074237B"/>
    <w:rsid w:val="00755528"/>
    <w:rsid w:val="007620BE"/>
    <w:rsid w:val="00763304"/>
    <w:rsid w:val="007677EF"/>
    <w:rsid w:val="007706C9"/>
    <w:rsid w:val="00771FB2"/>
    <w:rsid w:val="00777D40"/>
    <w:rsid w:val="007801E0"/>
    <w:rsid w:val="007809AB"/>
    <w:rsid w:val="00784282"/>
    <w:rsid w:val="0078659E"/>
    <w:rsid w:val="0079396E"/>
    <w:rsid w:val="00795D99"/>
    <w:rsid w:val="00796333"/>
    <w:rsid w:val="007A17BB"/>
    <w:rsid w:val="007A2548"/>
    <w:rsid w:val="007A268C"/>
    <w:rsid w:val="007A2CEC"/>
    <w:rsid w:val="007A3D94"/>
    <w:rsid w:val="007B074C"/>
    <w:rsid w:val="007B339B"/>
    <w:rsid w:val="007B372F"/>
    <w:rsid w:val="007C09BC"/>
    <w:rsid w:val="007C2128"/>
    <w:rsid w:val="007C2FDF"/>
    <w:rsid w:val="007C4603"/>
    <w:rsid w:val="007C5FB4"/>
    <w:rsid w:val="007C66C8"/>
    <w:rsid w:val="007C6DBC"/>
    <w:rsid w:val="007D2548"/>
    <w:rsid w:val="007D38EA"/>
    <w:rsid w:val="007D3BDC"/>
    <w:rsid w:val="007D3E36"/>
    <w:rsid w:val="007D435D"/>
    <w:rsid w:val="007D58BD"/>
    <w:rsid w:val="007D693B"/>
    <w:rsid w:val="007E7E13"/>
    <w:rsid w:val="007F05AD"/>
    <w:rsid w:val="007F0727"/>
    <w:rsid w:val="007F1949"/>
    <w:rsid w:val="007F4AED"/>
    <w:rsid w:val="007F7555"/>
    <w:rsid w:val="007F7628"/>
    <w:rsid w:val="007F7F32"/>
    <w:rsid w:val="00800C7D"/>
    <w:rsid w:val="0080388F"/>
    <w:rsid w:val="008050A6"/>
    <w:rsid w:val="00805382"/>
    <w:rsid w:val="00805E90"/>
    <w:rsid w:val="0080644B"/>
    <w:rsid w:val="00806C54"/>
    <w:rsid w:val="00810885"/>
    <w:rsid w:val="008120B3"/>
    <w:rsid w:val="00815896"/>
    <w:rsid w:val="00824373"/>
    <w:rsid w:val="0082597C"/>
    <w:rsid w:val="0083006A"/>
    <w:rsid w:val="00833133"/>
    <w:rsid w:val="00836181"/>
    <w:rsid w:val="008439B6"/>
    <w:rsid w:val="0084747D"/>
    <w:rsid w:val="00850A02"/>
    <w:rsid w:val="00851195"/>
    <w:rsid w:val="00852179"/>
    <w:rsid w:val="00856157"/>
    <w:rsid w:val="00860153"/>
    <w:rsid w:val="00866D40"/>
    <w:rsid w:val="00870A78"/>
    <w:rsid w:val="0088014B"/>
    <w:rsid w:val="00881EA6"/>
    <w:rsid w:val="0088316E"/>
    <w:rsid w:val="0088494E"/>
    <w:rsid w:val="00885AA7"/>
    <w:rsid w:val="00885B1F"/>
    <w:rsid w:val="008862B8"/>
    <w:rsid w:val="00886579"/>
    <w:rsid w:val="00890881"/>
    <w:rsid w:val="00890AD7"/>
    <w:rsid w:val="00892FD7"/>
    <w:rsid w:val="008947BF"/>
    <w:rsid w:val="008958C0"/>
    <w:rsid w:val="00896938"/>
    <w:rsid w:val="008A0717"/>
    <w:rsid w:val="008A311E"/>
    <w:rsid w:val="008A3129"/>
    <w:rsid w:val="008A3257"/>
    <w:rsid w:val="008A35FB"/>
    <w:rsid w:val="008A5AB7"/>
    <w:rsid w:val="008B2FEC"/>
    <w:rsid w:val="008C3B1D"/>
    <w:rsid w:val="008C4A80"/>
    <w:rsid w:val="008C57A3"/>
    <w:rsid w:val="008C6767"/>
    <w:rsid w:val="008C7AEA"/>
    <w:rsid w:val="008D22F1"/>
    <w:rsid w:val="008D35A9"/>
    <w:rsid w:val="008D5287"/>
    <w:rsid w:val="008E2333"/>
    <w:rsid w:val="008E3430"/>
    <w:rsid w:val="008E3975"/>
    <w:rsid w:val="008E5AD9"/>
    <w:rsid w:val="008F1926"/>
    <w:rsid w:val="008F28D1"/>
    <w:rsid w:val="008F7669"/>
    <w:rsid w:val="00900EF5"/>
    <w:rsid w:val="00902E92"/>
    <w:rsid w:val="00903CAD"/>
    <w:rsid w:val="009041DC"/>
    <w:rsid w:val="009041F2"/>
    <w:rsid w:val="00905FE6"/>
    <w:rsid w:val="00906923"/>
    <w:rsid w:val="00907A7E"/>
    <w:rsid w:val="00910E87"/>
    <w:rsid w:val="0091124D"/>
    <w:rsid w:val="00911C23"/>
    <w:rsid w:val="00913072"/>
    <w:rsid w:val="00914669"/>
    <w:rsid w:val="00915237"/>
    <w:rsid w:val="00916C0C"/>
    <w:rsid w:val="009177C2"/>
    <w:rsid w:val="009235BF"/>
    <w:rsid w:val="009249F4"/>
    <w:rsid w:val="00926EE4"/>
    <w:rsid w:val="00934FCA"/>
    <w:rsid w:val="009363AD"/>
    <w:rsid w:val="00936B8C"/>
    <w:rsid w:val="0094076E"/>
    <w:rsid w:val="00941E7E"/>
    <w:rsid w:val="009432ED"/>
    <w:rsid w:val="00945A9C"/>
    <w:rsid w:val="00954319"/>
    <w:rsid w:val="00960CD5"/>
    <w:rsid w:val="0096297B"/>
    <w:rsid w:val="00963C76"/>
    <w:rsid w:val="00967824"/>
    <w:rsid w:val="00970CA0"/>
    <w:rsid w:val="00972146"/>
    <w:rsid w:val="00973972"/>
    <w:rsid w:val="00980B47"/>
    <w:rsid w:val="00980F00"/>
    <w:rsid w:val="00983D71"/>
    <w:rsid w:val="00984763"/>
    <w:rsid w:val="00986EEB"/>
    <w:rsid w:val="00992747"/>
    <w:rsid w:val="00992C96"/>
    <w:rsid w:val="00994D5F"/>
    <w:rsid w:val="009A35B7"/>
    <w:rsid w:val="009B1804"/>
    <w:rsid w:val="009B2301"/>
    <w:rsid w:val="009B462B"/>
    <w:rsid w:val="009B4A16"/>
    <w:rsid w:val="009B7CAE"/>
    <w:rsid w:val="009C4788"/>
    <w:rsid w:val="009C6F30"/>
    <w:rsid w:val="009D0200"/>
    <w:rsid w:val="009D410F"/>
    <w:rsid w:val="009D6010"/>
    <w:rsid w:val="009D79AA"/>
    <w:rsid w:val="009E10B4"/>
    <w:rsid w:val="009E265E"/>
    <w:rsid w:val="009E5FAB"/>
    <w:rsid w:val="009E70FB"/>
    <w:rsid w:val="009F0775"/>
    <w:rsid w:val="009F1377"/>
    <w:rsid w:val="009F1C41"/>
    <w:rsid w:val="009F4E35"/>
    <w:rsid w:val="009F519C"/>
    <w:rsid w:val="00A00DE1"/>
    <w:rsid w:val="00A01E17"/>
    <w:rsid w:val="00A03575"/>
    <w:rsid w:val="00A103B8"/>
    <w:rsid w:val="00A2284D"/>
    <w:rsid w:val="00A2331E"/>
    <w:rsid w:val="00A237ED"/>
    <w:rsid w:val="00A23A86"/>
    <w:rsid w:val="00A313F6"/>
    <w:rsid w:val="00A320CB"/>
    <w:rsid w:val="00A32E10"/>
    <w:rsid w:val="00A406F5"/>
    <w:rsid w:val="00A45774"/>
    <w:rsid w:val="00A46E45"/>
    <w:rsid w:val="00A520A3"/>
    <w:rsid w:val="00A546A2"/>
    <w:rsid w:val="00A55C07"/>
    <w:rsid w:val="00A63094"/>
    <w:rsid w:val="00A63FF2"/>
    <w:rsid w:val="00A6402C"/>
    <w:rsid w:val="00A64097"/>
    <w:rsid w:val="00A65932"/>
    <w:rsid w:val="00A65CEB"/>
    <w:rsid w:val="00A67F90"/>
    <w:rsid w:val="00A70D62"/>
    <w:rsid w:val="00A81F14"/>
    <w:rsid w:val="00A82104"/>
    <w:rsid w:val="00A854DA"/>
    <w:rsid w:val="00A854E8"/>
    <w:rsid w:val="00A9066D"/>
    <w:rsid w:val="00A93C7C"/>
    <w:rsid w:val="00A93D75"/>
    <w:rsid w:val="00A95A90"/>
    <w:rsid w:val="00AA069C"/>
    <w:rsid w:val="00AA0B20"/>
    <w:rsid w:val="00AA6DC5"/>
    <w:rsid w:val="00AA6E9F"/>
    <w:rsid w:val="00AB17DC"/>
    <w:rsid w:val="00AB419B"/>
    <w:rsid w:val="00AB7459"/>
    <w:rsid w:val="00AC079F"/>
    <w:rsid w:val="00AC3F71"/>
    <w:rsid w:val="00AC6964"/>
    <w:rsid w:val="00AD066D"/>
    <w:rsid w:val="00AD1080"/>
    <w:rsid w:val="00AD2A91"/>
    <w:rsid w:val="00AD5705"/>
    <w:rsid w:val="00AE2595"/>
    <w:rsid w:val="00AE2833"/>
    <w:rsid w:val="00AE493C"/>
    <w:rsid w:val="00AE6715"/>
    <w:rsid w:val="00AF0117"/>
    <w:rsid w:val="00AF2454"/>
    <w:rsid w:val="00AF55FC"/>
    <w:rsid w:val="00B00C47"/>
    <w:rsid w:val="00B02552"/>
    <w:rsid w:val="00B02BE6"/>
    <w:rsid w:val="00B11B8B"/>
    <w:rsid w:val="00B1231A"/>
    <w:rsid w:val="00B12677"/>
    <w:rsid w:val="00B14C54"/>
    <w:rsid w:val="00B152F8"/>
    <w:rsid w:val="00B15838"/>
    <w:rsid w:val="00B15A4E"/>
    <w:rsid w:val="00B179C4"/>
    <w:rsid w:val="00B20E1E"/>
    <w:rsid w:val="00B22B33"/>
    <w:rsid w:val="00B23738"/>
    <w:rsid w:val="00B241A8"/>
    <w:rsid w:val="00B4112A"/>
    <w:rsid w:val="00B42D0F"/>
    <w:rsid w:val="00B43D7F"/>
    <w:rsid w:val="00B52617"/>
    <w:rsid w:val="00B5298B"/>
    <w:rsid w:val="00B52ABA"/>
    <w:rsid w:val="00B52C9A"/>
    <w:rsid w:val="00B532BC"/>
    <w:rsid w:val="00B5488E"/>
    <w:rsid w:val="00B56914"/>
    <w:rsid w:val="00B56948"/>
    <w:rsid w:val="00B6498E"/>
    <w:rsid w:val="00B724CD"/>
    <w:rsid w:val="00B77700"/>
    <w:rsid w:val="00B80CD8"/>
    <w:rsid w:val="00B81D0C"/>
    <w:rsid w:val="00B828E9"/>
    <w:rsid w:val="00B82D81"/>
    <w:rsid w:val="00B8340B"/>
    <w:rsid w:val="00B8478A"/>
    <w:rsid w:val="00B85A9E"/>
    <w:rsid w:val="00B941C0"/>
    <w:rsid w:val="00B94AC9"/>
    <w:rsid w:val="00BA06E2"/>
    <w:rsid w:val="00BA1C3C"/>
    <w:rsid w:val="00BA1E1B"/>
    <w:rsid w:val="00BA20B5"/>
    <w:rsid w:val="00BA3475"/>
    <w:rsid w:val="00BA45DA"/>
    <w:rsid w:val="00BA6F99"/>
    <w:rsid w:val="00BA7405"/>
    <w:rsid w:val="00BB2542"/>
    <w:rsid w:val="00BB52F9"/>
    <w:rsid w:val="00BC1D61"/>
    <w:rsid w:val="00BC2440"/>
    <w:rsid w:val="00BC4AF7"/>
    <w:rsid w:val="00BC778E"/>
    <w:rsid w:val="00BC7898"/>
    <w:rsid w:val="00BC7AB2"/>
    <w:rsid w:val="00BD02E5"/>
    <w:rsid w:val="00BD4F9C"/>
    <w:rsid w:val="00BD55E8"/>
    <w:rsid w:val="00BE139F"/>
    <w:rsid w:val="00BE2A26"/>
    <w:rsid w:val="00BE4BE6"/>
    <w:rsid w:val="00BE70E4"/>
    <w:rsid w:val="00BF2638"/>
    <w:rsid w:val="00BF4BD1"/>
    <w:rsid w:val="00BF7B4C"/>
    <w:rsid w:val="00BF7E3F"/>
    <w:rsid w:val="00C02ED7"/>
    <w:rsid w:val="00C0516F"/>
    <w:rsid w:val="00C06DA0"/>
    <w:rsid w:val="00C07CF7"/>
    <w:rsid w:val="00C1171D"/>
    <w:rsid w:val="00C12920"/>
    <w:rsid w:val="00C13C6B"/>
    <w:rsid w:val="00C16B6C"/>
    <w:rsid w:val="00C1707F"/>
    <w:rsid w:val="00C3192B"/>
    <w:rsid w:val="00C3329A"/>
    <w:rsid w:val="00C354E8"/>
    <w:rsid w:val="00C3563E"/>
    <w:rsid w:val="00C449A6"/>
    <w:rsid w:val="00C456C0"/>
    <w:rsid w:val="00C468B4"/>
    <w:rsid w:val="00C47C31"/>
    <w:rsid w:val="00C629AD"/>
    <w:rsid w:val="00C670DE"/>
    <w:rsid w:val="00C71F06"/>
    <w:rsid w:val="00C74647"/>
    <w:rsid w:val="00C74AA4"/>
    <w:rsid w:val="00C77EE8"/>
    <w:rsid w:val="00C814D4"/>
    <w:rsid w:val="00C85696"/>
    <w:rsid w:val="00C85970"/>
    <w:rsid w:val="00C85BE9"/>
    <w:rsid w:val="00C96938"/>
    <w:rsid w:val="00CA4C3B"/>
    <w:rsid w:val="00CA5722"/>
    <w:rsid w:val="00CA61C6"/>
    <w:rsid w:val="00CA6452"/>
    <w:rsid w:val="00CB1302"/>
    <w:rsid w:val="00CB26AA"/>
    <w:rsid w:val="00CC16AE"/>
    <w:rsid w:val="00CC1DD0"/>
    <w:rsid w:val="00CC3E48"/>
    <w:rsid w:val="00CC5B40"/>
    <w:rsid w:val="00CC6BAC"/>
    <w:rsid w:val="00CD3B5C"/>
    <w:rsid w:val="00CD7567"/>
    <w:rsid w:val="00CE5BAE"/>
    <w:rsid w:val="00CE6422"/>
    <w:rsid w:val="00CE6515"/>
    <w:rsid w:val="00CF40F6"/>
    <w:rsid w:val="00CF52EA"/>
    <w:rsid w:val="00CF54B5"/>
    <w:rsid w:val="00CF5520"/>
    <w:rsid w:val="00D0178A"/>
    <w:rsid w:val="00D0179C"/>
    <w:rsid w:val="00D01BD1"/>
    <w:rsid w:val="00D02597"/>
    <w:rsid w:val="00D07436"/>
    <w:rsid w:val="00D07AF7"/>
    <w:rsid w:val="00D07D44"/>
    <w:rsid w:val="00D108F6"/>
    <w:rsid w:val="00D128DC"/>
    <w:rsid w:val="00D1338C"/>
    <w:rsid w:val="00D14729"/>
    <w:rsid w:val="00D1487C"/>
    <w:rsid w:val="00D1493E"/>
    <w:rsid w:val="00D20378"/>
    <w:rsid w:val="00D222AF"/>
    <w:rsid w:val="00D22720"/>
    <w:rsid w:val="00D236D8"/>
    <w:rsid w:val="00D26282"/>
    <w:rsid w:val="00D30DAB"/>
    <w:rsid w:val="00D347D7"/>
    <w:rsid w:val="00D36790"/>
    <w:rsid w:val="00D40F1D"/>
    <w:rsid w:val="00D417F4"/>
    <w:rsid w:val="00D43B08"/>
    <w:rsid w:val="00D43F0C"/>
    <w:rsid w:val="00D44D49"/>
    <w:rsid w:val="00D50378"/>
    <w:rsid w:val="00D506A1"/>
    <w:rsid w:val="00D512DC"/>
    <w:rsid w:val="00D51E89"/>
    <w:rsid w:val="00D5259B"/>
    <w:rsid w:val="00D57811"/>
    <w:rsid w:val="00D6411B"/>
    <w:rsid w:val="00D644D1"/>
    <w:rsid w:val="00D6692A"/>
    <w:rsid w:val="00D66ED7"/>
    <w:rsid w:val="00D82B20"/>
    <w:rsid w:val="00D86396"/>
    <w:rsid w:val="00D868DB"/>
    <w:rsid w:val="00D8703F"/>
    <w:rsid w:val="00D87298"/>
    <w:rsid w:val="00D87AAC"/>
    <w:rsid w:val="00D9076B"/>
    <w:rsid w:val="00D90C04"/>
    <w:rsid w:val="00D92187"/>
    <w:rsid w:val="00DA4F25"/>
    <w:rsid w:val="00DA6C59"/>
    <w:rsid w:val="00DA6F1A"/>
    <w:rsid w:val="00DB1402"/>
    <w:rsid w:val="00DB3DEF"/>
    <w:rsid w:val="00DB43E7"/>
    <w:rsid w:val="00DB4D6C"/>
    <w:rsid w:val="00DB5E0D"/>
    <w:rsid w:val="00DC24EB"/>
    <w:rsid w:val="00DC4D9E"/>
    <w:rsid w:val="00DC6139"/>
    <w:rsid w:val="00DC61DE"/>
    <w:rsid w:val="00DC631D"/>
    <w:rsid w:val="00DC66DD"/>
    <w:rsid w:val="00DC729A"/>
    <w:rsid w:val="00DD0160"/>
    <w:rsid w:val="00DD34EF"/>
    <w:rsid w:val="00DD50F4"/>
    <w:rsid w:val="00DD78FE"/>
    <w:rsid w:val="00DE05B2"/>
    <w:rsid w:val="00DE2EBA"/>
    <w:rsid w:val="00DE5237"/>
    <w:rsid w:val="00DE731F"/>
    <w:rsid w:val="00DF1B38"/>
    <w:rsid w:val="00DF213F"/>
    <w:rsid w:val="00DF3302"/>
    <w:rsid w:val="00DF6484"/>
    <w:rsid w:val="00DF7503"/>
    <w:rsid w:val="00E00336"/>
    <w:rsid w:val="00E11216"/>
    <w:rsid w:val="00E142D1"/>
    <w:rsid w:val="00E1633B"/>
    <w:rsid w:val="00E166CA"/>
    <w:rsid w:val="00E200A1"/>
    <w:rsid w:val="00E248B8"/>
    <w:rsid w:val="00E34AC6"/>
    <w:rsid w:val="00E42327"/>
    <w:rsid w:val="00E45826"/>
    <w:rsid w:val="00E50D88"/>
    <w:rsid w:val="00E56F2B"/>
    <w:rsid w:val="00E60BA9"/>
    <w:rsid w:val="00E63E02"/>
    <w:rsid w:val="00E675DA"/>
    <w:rsid w:val="00E74A56"/>
    <w:rsid w:val="00E75366"/>
    <w:rsid w:val="00E763C2"/>
    <w:rsid w:val="00E765DE"/>
    <w:rsid w:val="00E86F92"/>
    <w:rsid w:val="00E91A82"/>
    <w:rsid w:val="00E92E87"/>
    <w:rsid w:val="00EA4200"/>
    <w:rsid w:val="00EA452C"/>
    <w:rsid w:val="00EA69BE"/>
    <w:rsid w:val="00EB3563"/>
    <w:rsid w:val="00EB676A"/>
    <w:rsid w:val="00EC03EA"/>
    <w:rsid w:val="00EC39D9"/>
    <w:rsid w:val="00EC51C3"/>
    <w:rsid w:val="00EC60F8"/>
    <w:rsid w:val="00ED1E0F"/>
    <w:rsid w:val="00ED27EC"/>
    <w:rsid w:val="00ED3CF6"/>
    <w:rsid w:val="00EE3AC8"/>
    <w:rsid w:val="00EF04A8"/>
    <w:rsid w:val="00EF1D4B"/>
    <w:rsid w:val="00EF29C4"/>
    <w:rsid w:val="00EF4A66"/>
    <w:rsid w:val="00EF769C"/>
    <w:rsid w:val="00EF7D40"/>
    <w:rsid w:val="00F00C37"/>
    <w:rsid w:val="00F02869"/>
    <w:rsid w:val="00F02A45"/>
    <w:rsid w:val="00F02D3A"/>
    <w:rsid w:val="00F030D8"/>
    <w:rsid w:val="00F052D4"/>
    <w:rsid w:val="00F05AD9"/>
    <w:rsid w:val="00F06F31"/>
    <w:rsid w:val="00F075DF"/>
    <w:rsid w:val="00F108AC"/>
    <w:rsid w:val="00F125A6"/>
    <w:rsid w:val="00F13694"/>
    <w:rsid w:val="00F14D77"/>
    <w:rsid w:val="00F17244"/>
    <w:rsid w:val="00F32A6A"/>
    <w:rsid w:val="00F34A17"/>
    <w:rsid w:val="00F40FEA"/>
    <w:rsid w:val="00F42B8F"/>
    <w:rsid w:val="00F47436"/>
    <w:rsid w:val="00F476D5"/>
    <w:rsid w:val="00F653B2"/>
    <w:rsid w:val="00F66A1E"/>
    <w:rsid w:val="00F6790C"/>
    <w:rsid w:val="00F74C83"/>
    <w:rsid w:val="00F750E9"/>
    <w:rsid w:val="00F766B5"/>
    <w:rsid w:val="00F76761"/>
    <w:rsid w:val="00F80DBD"/>
    <w:rsid w:val="00F86971"/>
    <w:rsid w:val="00F901BF"/>
    <w:rsid w:val="00F913F9"/>
    <w:rsid w:val="00F93273"/>
    <w:rsid w:val="00F9571D"/>
    <w:rsid w:val="00FA246B"/>
    <w:rsid w:val="00FA34B2"/>
    <w:rsid w:val="00FA67C9"/>
    <w:rsid w:val="00FB31E7"/>
    <w:rsid w:val="00FC3D6B"/>
    <w:rsid w:val="00FC453A"/>
    <w:rsid w:val="00FC465B"/>
    <w:rsid w:val="00FC6AE3"/>
    <w:rsid w:val="00FC77A0"/>
    <w:rsid w:val="00FD41B7"/>
    <w:rsid w:val="00FD4726"/>
    <w:rsid w:val="00FD79BB"/>
    <w:rsid w:val="00FE1B73"/>
    <w:rsid w:val="00FE3958"/>
    <w:rsid w:val="00FE65F1"/>
    <w:rsid w:val="00FE71AF"/>
    <w:rsid w:val="00FF0047"/>
    <w:rsid w:val="00FF05D5"/>
    <w:rsid w:val="00FF187C"/>
    <w:rsid w:val="00FF18C6"/>
    <w:rsid w:val="00FF44E2"/>
    <w:rsid w:val="00FF4E1A"/>
    <w:rsid w:val="00FF5732"/>
    <w:rsid w:val="00FF5DCB"/>
    <w:rsid w:val="00FF7AD5"/>
    <w:rsid w:val="047C3184"/>
    <w:rsid w:val="072F2BFA"/>
    <w:rsid w:val="0D70CB32"/>
    <w:rsid w:val="0E3715D1"/>
    <w:rsid w:val="113CF79F"/>
    <w:rsid w:val="12366331"/>
    <w:rsid w:val="22E45948"/>
    <w:rsid w:val="25D260C8"/>
    <w:rsid w:val="26F5FF2F"/>
    <w:rsid w:val="32561D77"/>
    <w:rsid w:val="3B979902"/>
    <w:rsid w:val="40447F07"/>
    <w:rsid w:val="4DD9ED6F"/>
    <w:rsid w:val="55B47EBD"/>
    <w:rsid w:val="56777249"/>
    <w:rsid w:val="59FB4B11"/>
    <w:rsid w:val="6B7FE659"/>
    <w:rsid w:val="6BC6D586"/>
    <w:rsid w:val="7310B1A0"/>
    <w:rsid w:val="73BBD45D"/>
    <w:rsid w:val="773EBEF7"/>
    <w:rsid w:val="776CDC15"/>
    <w:rsid w:val="7EDB7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ABC"/>
  <w15:docId w15:val="{B28DD685-AF7F-477E-96D8-A8F9F8C7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qFormat/>
    <w:rsid w:val="00705CDF"/>
    <w:pPr>
      <w:keepNext/>
      <w:keepLines/>
      <w:numPr>
        <w:ilvl w:val="1"/>
        <w:numId w:val="3"/>
      </w:numPr>
      <w:tabs>
        <w:tab w:val="clear" w:pos="1844"/>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basedOn w:val="Normal"/>
    <w:link w:val="CommentTextChar"/>
    <w:uiPriority w:val="99"/>
    <w:rsid w:val="003B7CFF"/>
    <w:rPr>
      <w:sz w:val="20"/>
      <w:szCs w:val="20"/>
    </w:rPr>
  </w:style>
  <w:style w:type="character" w:customStyle="1" w:styleId="CommentTextChar">
    <w:name w:val="Comment Text Char"/>
    <w:basedOn w:val="DefaultParagraphFont"/>
    <w:link w:val="CommentText"/>
    <w:uiPriority w:val="9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3"/>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2"/>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659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5A2AE3"/>
  </w:style>
  <w:style w:type="character" w:customStyle="1" w:styleId="eop">
    <w:name w:val="eop"/>
    <w:basedOn w:val="DefaultParagraphFont"/>
    <w:rsid w:val="005A2AE3"/>
  </w:style>
  <w:style w:type="character" w:customStyle="1" w:styleId="SmartLink1">
    <w:name w:val="SmartLink1"/>
    <w:basedOn w:val="DefaultParagraphFont"/>
    <w:uiPriority w:val="99"/>
    <w:semiHidden/>
    <w:unhideWhenUsed/>
    <w:rsid w:val="00934FCA"/>
    <w:rPr>
      <w:color w:val="0000FF" w:themeColor="hyperlink"/>
      <w:u w:val="single"/>
      <w:shd w:val="clear" w:color="auto" w:fill="E1DFDD"/>
    </w:rPr>
  </w:style>
  <w:style w:type="character" w:customStyle="1" w:styleId="SmartLinkError1">
    <w:name w:val="SmartLinkError1"/>
    <w:basedOn w:val="DefaultParagraphFont"/>
    <w:uiPriority w:val="99"/>
    <w:semiHidden/>
    <w:unhideWhenUsed/>
    <w:rsid w:val="00934FCA"/>
    <w:rPr>
      <w:color w:val="FF0000"/>
    </w:rPr>
  </w:style>
  <w:style w:type="character" w:styleId="UnresolvedMention">
    <w:name w:val="Unresolved Mention"/>
    <w:basedOn w:val="DefaultParagraphFont"/>
    <w:uiPriority w:val="99"/>
    <w:semiHidden/>
    <w:unhideWhenUsed/>
    <w:rsid w:val="00D50378"/>
    <w:rPr>
      <w:color w:val="605E5C"/>
      <w:shd w:val="clear" w:color="auto" w:fill="E1DFDD"/>
    </w:rPr>
  </w:style>
  <w:style w:type="paragraph" w:customStyle="1" w:styleId="paragraph0">
    <w:name w:val="paragraph"/>
    <w:basedOn w:val="Normal"/>
    <w:rsid w:val="005B03B4"/>
    <w:pPr>
      <w:spacing w:before="100" w:beforeAutospacing="1" w:after="100" w:afterAutospacing="1" w:line="240" w:lineRule="auto"/>
    </w:pPr>
    <w:rPr>
      <w:lang w:val="sv-SE" w:eastAsia="sv-SE"/>
    </w:rPr>
  </w:style>
  <w:style w:type="paragraph" w:customStyle="1" w:styleId="Heading5Unnumbered">
    <w:name w:val="Heading 5 Unnumbered"/>
    <w:basedOn w:val="Paragraph"/>
    <w:uiPriority w:val="99"/>
    <w:qFormat/>
    <w:rsid w:val="00C13C6B"/>
    <w:rPr>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00266">
      <w:bodyDiv w:val="1"/>
      <w:marLeft w:val="0"/>
      <w:marRight w:val="0"/>
      <w:marTop w:val="0"/>
      <w:marBottom w:val="0"/>
      <w:divBdr>
        <w:top w:val="none" w:sz="0" w:space="0" w:color="auto"/>
        <w:left w:val="none" w:sz="0" w:space="0" w:color="auto"/>
        <w:bottom w:val="none" w:sz="0" w:space="0" w:color="auto"/>
        <w:right w:val="none" w:sz="0" w:space="0" w:color="auto"/>
      </w:divBdr>
    </w:div>
    <w:div w:id="174079888">
      <w:bodyDiv w:val="1"/>
      <w:marLeft w:val="0"/>
      <w:marRight w:val="0"/>
      <w:marTop w:val="0"/>
      <w:marBottom w:val="0"/>
      <w:divBdr>
        <w:top w:val="none" w:sz="0" w:space="0" w:color="auto"/>
        <w:left w:val="none" w:sz="0" w:space="0" w:color="auto"/>
        <w:bottom w:val="none" w:sz="0" w:space="0" w:color="auto"/>
        <w:right w:val="none" w:sz="0" w:space="0" w:color="auto"/>
      </w:divBdr>
    </w:div>
    <w:div w:id="240407650">
      <w:bodyDiv w:val="1"/>
      <w:marLeft w:val="0"/>
      <w:marRight w:val="0"/>
      <w:marTop w:val="0"/>
      <w:marBottom w:val="0"/>
      <w:divBdr>
        <w:top w:val="none" w:sz="0" w:space="0" w:color="auto"/>
        <w:left w:val="none" w:sz="0" w:space="0" w:color="auto"/>
        <w:bottom w:val="none" w:sz="0" w:space="0" w:color="auto"/>
        <w:right w:val="none" w:sz="0" w:space="0" w:color="auto"/>
      </w:divBdr>
    </w:div>
    <w:div w:id="326859848">
      <w:bodyDiv w:val="1"/>
      <w:marLeft w:val="0"/>
      <w:marRight w:val="0"/>
      <w:marTop w:val="0"/>
      <w:marBottom w:val="0"/>
      <w:divBdr>
        <w:top w:val="none" w:sz="0" w:space="0" w:color="auto"/>
        <w:left w:val="none" w:sz="0" w:space="0" w:color="auto"/>
        <w:bottom w:val="none" w:sz="0" w:space="0" w:color="auto"/>
        <w:right w:val="none" w:sz="0" w:space="0" w:color="auto"/>
      </w:divBdr>
    </w:div>
    <w:div w:id="465126617">
      <w:bodyDiv w:val="1"/>
      <w:marLeft w:val="0"/>
      <w:marRight w:val="0"/>
      <w:marTop w:val="0"/>
      <w:marBottom w:val="0"/>
      <w:divBdr>
        <w:top w:val="none" w:sz="0" w:space="0" w:color="auto"/>
        <w:left w:val="none" w:sz="0" w:space="0" w:color="auto"/>
        <w:bottom w:val="none" w:sz="0" w:space="0" w:color="auto"/>
        <w:right w:val="none" w:sz="0" w:space="0" w:color="auto"/>
      </w:divBdr>
    </w:div>
    <w:div w:id="1081758770">
      <w:bodyDiv w:val="1"/>
      <w:marLeft w:val="0"/>
      <w:marRight w:val="0"/>
      <w:marTop w:val="0"/>
      <w:marBottom w:val="0"/>
      <w:divBdr>
        <w:top w:val="none" w:sz="0" w:space="0" w:color="auto"/>
        <w:left w:val="none" w:sz="0" w:space="0" w:color="auto"/>
        <w:bottom w:val="none" w:sz="0" w:space="0" w:color="auto"/>
        <w:right w:val="none" w:sz="0" w:space="0" w:color="auto"/>
      </w:divBdr>
    </w:div>
    <w:div w:id="1308819755">
      <w:bodyDiv w:val="1"/>
      <w:marLeft w:val="0"/>
      <w:marRight w:val="0"/>
      <w:marTop w:val="0"/>
      <w:marBottom w:val="0"/>
      <w:divBdr>
        <w:top w:val="none" w:sz="0" w:space="0" w:color="auto"/>
        <w:left w:val="none" w:sz="0" w:space="0" w:color="auto"/>
        <w:bottom w:val="none" w:sz="0" w:space="0" w:color="auto"/>
        <w:right w:val="none" w:sz="0" w:space="0" w:color="auto"/>
      </w:divBdr>
    </w:div>
    <w:div w:id="1517890577">
      <w:bodyDiv w:val="1"/>
      <w:marLeft w:val="0"/>
      <w:marRight w:val="0"/>
      <w:marTop w:val="0"/>
      <w:marBottom w:val="0"/>
      <w:divBdr>
        <w:top w:val="none" w:sz="0" w:space="0" w:color="auto"/>
        <w:left w:val="none" w:sz="0" w:space="0" w:color="auto"/>
        <w:bottom w:val="none" w:sz="0" w:space="0" w:color="auto"/>
        <w:right w:val="none" w:sz="0" w:space="0" w:color="auto"/>
      </w:divBdr>
    </w:div>
    <w:div w:id="17039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rob\Box%20Sync\AU-COMM-REGAFFAIRS-S\Administration\Forms%20and%20Templates\Mod%201%20&amp;%20labelling\pi-annotated-template-black-triangle%20270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AD388AC54C840B4316C1F053208B2" ma:contentTypeVersion="6" ma:contentTypeDescription="Create a new document." ma:contentTypeScope="" ma:versionID="edbc6e376630609c91f10b49ac31fcec">
  <xsd:schema xmlns:xsd="http://www.w3.org/2001/XMLSchema" xmlns:xs="http://www.w3.org/2001/XMLSchema" xmlns:p="http://schemas.microsoft.com/office/2006/metadata/properties" xmlns:ns2="44a56295-c29e-4898-8136-a54736c65b82" xmlns:ns3="ad9afc6b-0f0f-4a9b-ae49-a8fb08213316" targetNamespace="http://schemas.microsoft.com/office/2006/metadata/properties" ma:root="true" ma:fieldsID="1235cb82c2b6b8a7bdf3c1d9177c1cba" ns2:_="" ns3:_="">
    <xsd:import namespace="44a56295-c29e-4898-8136-a54736c65b82"/>
    <xsd:import namespace="ad9afc6b-0f0f-4a9b-ae49-a8fb08213316"/>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afc6b-0f0f-4a9b-ae49-a8fb082133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74B0-F76D-47FB-94FE-2DC78DD52739}">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4BC122AB-0ACE-4945-811E-6295EE979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ad9afc6b-0f0f-4a9b-ae49-a8fb08213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C2E59-A481-4883-8419-A1A84CF45EB8}">
  <ds:schemaRefs>
    <ds:schemaRef ds:uri="Microsoft.SharePoint.Taxonomy.ContentTypeSync"/>
  </ds:schemaRefs>
</ds:datastoreItem>
</file>

<file path=customXml/itemProps4.xml><?xml version="1.0" encoding="utf-8"?>
<ds:datastoreItem xmlns:ds="http://schemas.openxmlformats.org/officeDocument/2006/customXml" ds:itemID="{FDF50DCB-59E5-4CA7-8A4B-6CED043FD5BE}">
  <ds:schemaRefs>
    <ds:schemaRef ds:uri="http://schemas.microsoft.com/sharepoint/v3/contenttype/forms"/>
  </ds:schemaRefs>
</ds:datastoreItem>
</file>

<file path=customXml/itemProps5.xml><?xml version="1.0" encoding="utf-8"?>
<ds:datastoreItem xmlns:ds="http://schemas.openxmlformats.org/officeDocument/2006/customXml" ds:itemID="{17A8CA55-842C-46F2-BBEF-BBB4119B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27022019.dotx</Template>
  <TotalTime>2</TotalTime>
  <Pages>18</Pages>
  <Words>5972</Words>
  <Characters>34042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Hurlston, Robyn</dc:creator>
  <cp:keywords/>
  <cp:lastModifiedBy>KOLARIK-OREILLY, Kristy</cp:lastModifiedBy>
  <cp:revision>3</cp:revision>
  <cp:lastPrinted>2017-11-14T19:13:00Z</cp:lastPrinted>
  <dcterms:created xsi:type="dcterms:W3CDTF">2022-02-09T01:47:00Z</dcterms:created>
  <dcterms:modified xsi:type="dcterms:W3CDTF">2022-02-17T05:01:00Z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GEL_DocumentName">
    <vt:lpwstr>ANGEL_DocumentName</vt:lpwstr>
  </property>
  <property fmtid="{D5CDD505-2E9C-101B-9397-08002B2CF9AE}" pid="3" name="ANGEL_Document_ID">
    <vt:lpwstr>ANGEL_DocID</vt:lpwstr>
  </property>
  <property fmtid="{D5CDD505-2E9C-101B-9397-08002B2CF9AE}" pid="4" name="ANGEL_Document_Status">
    <vt:lpwstr>ANGEL_Status </vt:lpwstr>
  </property>
  <property fmtid="{D5CDD505-2E9C-101B-9397-08002B2CF9AE}" pid="5" name="ANGEL_DosageForm">
    <vt:lpwstr>DosageForm</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Version">
    <vt:lpwstr>ANGEL_Version</vt:lpwstr>
  </property>
  <property fmtid="{D5CDD505-2E9C-101B-9397-08002B2CF9AE}" pid="10" name="ContentTypeId">
    <vt:lpwstr>0x010100658AD388AC54C840B4316C1F053208B2</vt:lpwstr>
  </property>
  <property fmtid="{D5CDD505-2E9C-101B-9397-08002B2CF9AE}" pid="11" name="HeadingCaptions">
    <vt:lpwstr>No</vt:lpwstr>
  </property>
  <property fmtid="{D5CDD505-2E9C-101B-9397-08002B2CF9AE}" pid="12" name="Prefix">
    <vt:lpwstr/>
  </property>
</Properties>
</file>