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FF46E9" w:rsidP="0013730F">
            <w:pPr>
              <w:rPr>
                <w:rFonts w:ascii="Arial" w:hAnsi="Arial" w:cs="Arial"/>
                <w:b/>
                <w:color w:val="002C47"/>
                <w:sz w:val="36"/>
                <w:szCs w:val="36"/>
              </w:rPr>
            </w:pPr>
            <w:r>
              <w:rPr>
                <w:rFonts w:ascii="Arial" w:hAnsi="Arial" w:cs="Arial"/>
                <w:b/>
                <w:color w:val="002C47"/>
                <w:sz w:val="36"/>
                <w:szCs w:val="36"/>
              </w:rPr>
              <w:t>Octo</w:t>
            </w:r>
            <w:r w:rsidR="0047432C">
              <w:rPr>
                <w:rFonts w:ascii="Arial" w:hAnsi="Arial" w:cs="Arial"/>
                <w:b/>
                <w:color w:val="002C47"/>
                <w:sz w:val="36"/>
                <w:szCs w:val="36"/>
              </w:rPr>
              <w:t>ber</w:t>
            </w:r>
            <w:r w:rsidR="0013730F">
              <w:rPr>
                <w:rFonts w:ascii="Arial" w:hAnsi="Arial" w:cs="Arial"/>
                <w:b/>
                <w:color w:val="002C47"/>
                <w:sz w:val="36"/>
                <w:szCs w:val="36"/>
              </w:rPr>
              <w:t xml:space="preserve">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13730F">
            <w:pPr>
              <w:pStyle w:val="Title"/>
              <w:rPr>
                <w:color w:val="FFFFFF" w:themeColor="background1"/>
              </w:rPr>
            </w:pPr>
            <w:r w:rsidRPr="00A964D1">
              <w:rPr>
                <w:color w:val="FFFFFF" w:themeColor="background1"/>
              </w:rPr>
              <w:t xml:space="preserve">Australian Public Assessment Report for </w:t>
            </w:r>
            <w:r w:rsidR="0013730F">
              <w:rPr>
                <w:color w:val="FFFFFF" w:themeColor="background1"/>
              </w:rPr>
              <w:t>C</w:t>
            </w:r>
            <w:r w:rsidR="0013730F" w:rsidRPr="0013730F">
              <w:rPr>
                <w:color w:val="FFFFFF" w:themeColor="background1"/>
              </w:rPr>
              <w:t>etuximab</w:t>
            </w:r>
          </w:p>
        </w:tc>
      </w:tr>
      <w:tr w:rsidR="0032583B" w:rsidRPr="00B64760" w:rsidTr="0032583B">
        <w:tc>
          <w:tcPr>
            <w:tcW w:w="9079" w:type="dxa"/>
          </w:tcPr>
          <w:p w:rsidR="0032583B" w:rsidRPr="008E7846" w:rsidRDefault="0032583B" w:rsidP="0013730F">
            <w:pPr>
              <w:pStyle w:val="Subtitle"/>
              <w:rPr>
                <w:color w:val="FFFFFF" w:themeColor="background1"/>
              </w:rPr>
            </w:pPr>
            <w:r w:rsidRPr="008E7846">
              <w:rPr>
                <w:color w:val="FFFFFF" w:themeColor="background1"/>
              </w:rPr>
              <w:t xml:space="preserve">Proprietary Product Name: </w:t>
            </w:r>
            <w:proofErr w:type="spellStart"/>
            <w:r w:rsidR="0013730F">
              <w:rPr>
                <w:color w:val="FFFFFF" w:themeColor="background1"/>
              </w:rPr>
              <w:t>Erbitux</w:t>
            </w:r>
            <w:proofErr w:type="spellEnd"/>
          </w:p>
        </w:tc>
      </w:tr>
      <w:tr w:rsidR="0032583B" w:rsidRPr="00B64760" w:rsidTr="0032583B">
        <w:trPr>
          <w:trHeight w:val="486"/>
        </w:trPr>
        <w:tc>
          <w:tcPr>
            <w:tcW w:w="9079" w:type="dxa"/>
          </w:tcPr>
          <w:p w:rsidR="0032583B" w:rsidRPr="008E7846" w:rsidRDefault="00B95D37" w:rsidP="0013730F">
            <w:pPr>
              <w:pStyle w:val="Subtitle"/>
              <w:rPr>
                <w:color w:val="FFFFFF" w:themeColor="background1"/>
              </w:rPr>
            </w:pPr>
            <w:r>
              <w:rPr>
                <w:color w:val="FFFFFF" w:themeColor="background1"/>
              </w:rPr>
              <w:t>Sponsor</w:t>
            </w:r>
            <w:r w:rsidR="0032583B" w:rsidRPr="008E7846">
              <w:rPr>
                <w:color w:val="FFFFFF" w:themeColor="background1"/>
              </w:rPr>
              <w:t xml:space="preserve">: </w:t>
            </w:r>
            <w:r w:rsidR="0013730F" w:rsidRPr="0013730F">
              <w:rPr>
                <w:color w:val="FFFFFF" w:themeColor="background1"/>
              </w:rPr>
              <w:t xml:space="preserve">Merck </w:t>
            </w:r>
            <w:proofErr w:type="spellStart"/>
            <w:r w:rsidR="0013730F" w:rsidRPr="0013730F">
              <w:rPr>
                <w:color w:val="FFFFFF" w:themeColor="background1"/>
              </w:rPr>
              <w:t>Serono</w:t>
            </w:r>
            <w:proofErr w:type="spellEnd"/>
            <w:r w:rsidR="0013730F" w:rsidRPr="0013730F">
              <w:rPr>
                <w:color w:val="FFFFFF" w:themeColor="background1"/>
              </w:rPr>
              <w:t xml:space="preserv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7B7E5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7B7E5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7B7E5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7B7E5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7B7E55">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B7E55" w:rsidRPr="004E038F">
          <w:rPr>
            <w:rStyle w:val="Hyperlink"/>
          </w:rPr>
          <w:t>http://www.tga.gov.au</w:t>
        </w:r>
      </w:hyperlink>
      <w:r w:rsidR="00112F56">
        <w:t>&gt;</w:t>
      </w:r>
      <w:r>
        <w:t>.</w:t>
      </w:r>
    </w:p>
    <w:p w:rsidR="008E7846" w:rsidRDefault="008E7846" w:rsidP="008E7846">
      <w:pPr>
        <w:pStyle w:val="NonTOCHeading2"/>
      </w:pPr>
      <w:r>
        <w:t>About AusPARs</w:t>
      </w:r>
    </w:p>
    <w:p w:rsidR="008E7846" w:rsidRDefault="008E7846" w:rsidP="007B7E55">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7B7E55">
      <w:pPr>
        <w:pStyle w:val="ListBullet"/>
        <w:numPr>
          <w:ilvl w:val="0"/>
          <w:numId w:val="1"/>
        </w:numPr>
        <w:ind w:left="357" w:hanging="357"/>
      </w:pPr>
      <w:r>
        <w:t>AusPARs are prepared and published by the TGA.</w:t>
      </w:r>
    </w:p>
    <w:p w:rsidR="008E7846" w:rsidRDefault="008E7846" w:rsidP="007B7E55">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7B7E55">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7B7E55">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E2250" w:rsidRDefault="00E6419B">
          <w:pPr>
            <w:pStyle w:val="TOC2"/>
            <w:rPr>
              <w:rFonts w:asciiTheme="minorHAnsi" w:eastAsiaTheme="minorEastAsia" w:hAnsiTheme="minorHAnsi" w:cstheme="minorBidi"/>
              <w:b w:val="0"/>
              <w:noProof/>
              <w:sz w:val="22"/>
              <w:lang w:eastAsia="en-AU" w:bidi="lo-LA"/>
            </w:rPr>
          </w:pPr>
          <w:r>
            <w:fldChar w:fldCharType="begin"/>
          </w:r>
          <w:r w:rsidR="0089635C">
            <w:instrText xml:space="preserve"> TOC \o "1-3" \h \z \u </w:instrText>
          </w:r>
          <w:r>
            <w:fldChar w:fldCharType="separate"/>
          </w:r>
          <w:hyperlink w:anchor="_Toc368388450" w:history="1">
            <w:r w:rsidR="00AE2250" w:rsidRPr="00744B67">
              <w:rPr>
                <w:rStyle w:val="Hyperlink"/>
                <w:noProof/>
              </w:rPr>
              <w:t>I. Introduction to product submission</w:t>
            </w:r>
            <w:r w:rsidR="00AE2250">
              <w:rPr>
                <w:noProof/>
                <w:webHidden/>
              </w:rPr>
              <w:tab/>
            </w:r>
            <w:r>
              <w:rPr>
                <w:noProof/>
                <w:webHidden/>
              </w:rPr>
              <w:fldChar w:fldCharType="begin"/>
            </w:r>
            <w:r w:rsidR="00AE2250">
              <w:rPr>
                <w:noProof/>
                <w:webHidden/>
              </w:rPr>
              <w:instrText xml:space="preserve"> PAGEREF _Toc368388450 \h </w:instrText>
            </w:r>
            <w:r>
              <w:rPr>
                <w:noProof/>
                <w:webHidden/>
              </w:rPr>
            </w:r>
            <w:r>
              <w:rPr>
                <w:noProof/>
                <w:webHidden/>
              </w:rPr>
              <w:fldChar w:fldCharType="separate"/>
            </w:r>
            <w:r w:rsidR="00F649C2">
              <w:rPr>
                <w:noProof/>
                <w:webHidden/>
              </w:rPr>
              <w:t>4</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51" w:history="1">
            <w:r w:rsidR="00AE2250" w:rsidRPr="00744B67">
              <w:rPr>
                <w:rStyle w:val="Hyperlink"/>
                <w:noProof/>
                <w:lang w:eastAsia="en-AU"/>
              </w:rPr>
              <w:t>Submission details</w:t>
            </w:r>
            <w:r w:rsidR="00AE2250">
              <w:rPr>
                <w:noProof/>
                <w:webHidden/>
              </w:rPr>
              <w:tab/>
            </w:r>
            <w:r>
              <w:rPr>
                <w:noProof/>
                <w:webHidden/>
              </w:rPr>
              <w:fldChar w:fldCharType="begin"/>
            </w:r>
            <w:r w:rsidR="00AE2250">
              <w:rPr>
                <w:noProof/>
                <w:webHidden/>
              </w:rPr>
              <w:instrText xml:space="preserve"> PAGEREF _Toc368388451 \h </w:instrText>
            </w:r>
            <w:r>
              <w:rPr>
                <w:noProof/>
                <w:webHidden/>
              </w:rPr>
            </w:r>
            <w:r>
              <w:rPr>
                <w:noProof/>
                <w:webHidden/>
              </w:rPr>
              <w:fldChar w:fldCharType="separate"/>
            </w:r>
            <w:r w:rsidR="00F649C2">
              <w:rPr>
                <w:noProof/>
                <w:webHidden/>
              </w:rPr>
              <w:t>4</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52" w:history="1">
            <w:r w:rsidR="00AE2250" w:rsidRPr="00744B67">
              <w:rPr>
                <w:rStyle w:val="Hyperlink"/>
                <w:noProof/>
              </w:rPr>
              <w:t>Product background</w:t>
            </w:r>
            <w:r w:rsidR="00AE2250">
              <w:rPr>
                <w:noProof/>
                <w:webHidden/>
              </w:rPr>
              <w:tab/>
            </w:r>
            <w:r>
              <w:rPr>
                <w:noProof/>
                <w:webHidden/>
              </w:rPr>
              <w:fldChar w:fldCharType="begin"/>
            </w:r>
            <w:r w:rsidR="00AE2250">
              <w:rPr>
                <w:noProof/>
                <w:webHidden/>
              </w:rPr>
              <w:instrText xml:space="preserve"> PAGEREF _Toc368388452 \h </w:instrText>
            </w:r>
            <w:r>
              <w:rPr>
                <w:noProof/>
                <w:webHidden/>
              </w:rPr>
            </w:r>
            <w:r>
              <w:rPr>
                <w:noProof/>
                <w:webHidden/>
              </w:rPr>
              <w:fldChar w:fldCharType="separate"/>
            </w:r>
            <w:r w:rsidR="00F649C2">
              <w:rPr>
                <w:noProof/>
                <w:webHidden/>
              </w:rPr>
              <w:t>5</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53" w:history="1">
            <w:r w:rsidR="00AE2250" w:rsidRPr="00744B67">
              <w:rPr>
                <w:rStyle w:val="Hyperlink"/>
                <w:noProof/>
              </w:rPr>
              <w:t>Regulatory status</w:t>
            </w:r>
            <w:r w:rsidR="00AE2250">
              <w:rPr>
                <w:noProof/>
                <w:webHidden/>
              </w:rPr>
              <w:tab/>
            </w:r>
            <w:r>
              <w:rPr>
                <w:noProof/>
                <w:webHidden/>
              </w:rPr>
              <w:fldChar w:fldCharType="begin"/>
            </w:r>
            <w:r w:rsidR="00AE2250">
              <w:rPr>
                <w:noProof/>
                <w:webHidden/>
              </w:rPr>
              <w:instrText xml:space="preserve"> PAGEREF _Toc368388453 \h </w:instrText>
            </w:r>
            <w:r>
              <w:rPr>
                <w:noProof/>
                <w:webHidden/>
              </w:rPr>
            </w:r>
            <w:r>
              <w:rPr>
                <w:noProof/>
                <w:webHidden/>
              </w:rPr>
              <w:fldChar w:fldCharType="separate"/>
            </w:r>
            <w:r w:rsidR="00F649C2">
              <w:rPr>
                <w:noProof/>
                <w:webHidden/>
              </w:rPr>
              <w:t>6</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54" w:history="1">
            <w:r w:rsidR="00AE2250" w:rsidRPr="00744B67">
              <w:rPr>
                <w:rStyle w:val="Hyperlink"/>
                <w:noProof/>
              </w:rPr>
              <w:t>Product Information</w:t>
            </w:r>
            <w:r w:rsidR="00AE2250">
              <w:rPr>
                <w:noProof/>
                <w:webHidden/>
              </w:rPr>
              <w:tab/>
            </w:r>
            <w:r>
              <w:rPr>
                <w:noProof/>
                <w:webHidden/>
              </w:rPr>
              <w:fldChar w:fldCharType="begin"/>
            </w:r>
            <w:r w:rsidR="00AE2250">
              <w:rPr>
                <w:noProof/>
                <w:webHidden/>
              </w:rPr>
              <w:instrText xml:space="preserve"> PAGEREF _Toc368388454 \h </w:instrText>
            </w:r>
            <w:r>
              <w:rPr>
                <w:noProof/>
                <w:webHidden/>
              </w:rPr>
            </w:r>
            <w:r>
              <w:rPr>
                <w:noProof/>
                <w:webHidden/>
              </w:rPr>
              <w:fldChar w:fldCharType="separate"/>
            </w:r>
            <w:r w:rsidR="00F649C2">
              <w:rPr>
                <w:noProof/>
                <w:webHidden/>
              </w:rPr>
              <w:t>7</w:t>
            </w:r>
            <w:r>
              <w:rPr>
                <w:noProof/>
                <w:webHidden/>
              </w:rPr>
              <w:fldChar w:fldCharType="end"/>
            </w:r>
          </w:hyperlink>
        </w:p>
        <w:p w:rsidR="00AE2250" w:rsidRDefault="00E6419B">
          <w:pPr>
            <w:pStyle w:val="TOC2"/>
            <w:rPr>
              <w:rFonts w:asciiTheme="minorHAnsi" w:eastAsiaTheme="minorEastAsia" w:hAnsiTheme="minorHAnsi" w:cstheme="minorBidi"/>
              <w:b w:val="0"/>
              <w:noProof/>
              <w:sz w:val="22"/>
              <w:lang w:eastAsia="en-AU" w:bidi="lo-LA"/>
            </w:rPr>
          </w:pPr>
          <w:hyperlink w:anchor="_Toc368388455" w:history="1">
            <w:r w:rsidR="00AE2250" w:rsidRPr="00744B67">
              <w:rPr>
                <w:rStyle w:val="Hyperlink"/>
                <w:noProof/>
              </w:rPr>
              <w:t>II. Quality findings</w:t>
            </w:r>
            <w:r w:rsidR="00AE2250">
              <w:rPr>
                <w:noProof/>
                <w:webHidden/>
              </w:rPr>
              <w:tab/>
            </w:r>
            <w:r>
              <w:rPr>
                <w:noProof/>
                <w:webHidden/>
              </w:rPr>
              <w:fldChar w:fldCharType="begin"/>
            </w:r>
            <w:r w:rsidR="00AE2250">
              <w:rPr>
                <w:noProof/>
                <w:webHidden/>
              </w:rPr>
              <w:instrText xml:space="preserve"> PAGEREF _Toc368388455 \h </w:instrText>
            </w:r>
            <w:r>
              <w:rPr>
                <w:noProof/>
                <w:webHidden/>
              </w:rPr>
            </w:r>
            <w:r>
              <w:rPr>
                <w:noProof/>
                <w:webHidden/>
              </w:rPr>
              <w:fldChar w:fldCharType="separate"/>
            </w:r>
            <w:r w:rsidR="00F649C2">
              <w:rPr>
                <w:noProof/>
                <w:webHidden/>
              </w:rPr>
              <w:t>7</w:t>
            </w:r>
            <w:r>
              <w:rPr>
                <w:noProof/>
                <w:webHidden/>
              </w:rPr>
              <w:fldChar w:fldCharType="end"/>
            </w:r>
          </w:hyperlink>
        </w:p>
        <w:p w:rsidR="00AE2250" w:rsidRDefault="00E6419B">
          <w:pPr>
            <w:pStyle w:val="TOC2"/>
            <w:rPr>
              <w:rFonts w:asciiTheme="minorHAnsi" w:eastAsiaTheme="minorEastAsia" w:hAnsiTheme="minorHAnsi" w:cstheme="minorBidi"/>
              <w:b w:val="0"/>
              <w:noProof/>
              <w:sz w:val="22"/>
              <w:lang w:eastAsia="en-AU" w:bidi="lo-LA"/>
            </w:rPr>
          </w:pPr>
          <w:hyperlink w:anchor="_Toc368388456" w:history="1">
            <w:r w:rsidR="00AE2250" w:rsidRPr="00744B67">
              <w:rPr>
                <w:rStyle w:val="Hyperlink"/>
                <w:noProof/>
              </w:rPr>
              <w:t>III. Nonclinical findings</w:t>
            </w:r>
            <w:r w:rsidR="00AE2250">
              <w:rPr>
                <w:noProof/>
                <w:webHidden/>
              </w:rPr>
              <w:tab/>
            </w:r>
            <w:r>
              <w:rPr>
                <w:noProof/>
                <w:webHidden/>
              </w:rPr>
              <w:fldChar w:fldCharType="begin"/>
            </w:r>
            <w:r w:rsidR="00AE2250">
              <w:rPr>
                <w:noProof/>
                <w:webHidden/>
              </w:rPr>
              <w:instrText xml:space="preserve"> PAGEREF _Toc368388456 \h </w:instrText>
            </w:r>
            <w:r>
              <w:rPr>
                <w:noProof/>
                <w:webHidden/>
              </w:rPr>
            </w:r>
            <w:r>
              <w:rPr>
                <w:noProof/>
                <w:webHidden/>
              </w:rPr>
              <w:fldChar w:fldCharType="separate"/>
            </w:r>
            <w:r w:rsidR="00F649C2">
              <w:rPr>
                <w:noProof/>
                <w:webHidden/>
              </w:rPr>
              <w:t>7</w:t>
            </w:r>
            <w:r>
              <w:rPr>
                <w:noProof/>
                <w:webHidden/>
              </w:rPr>
              <w:fldChar w:fldCharType="end"/>
            </w:r>
          </w:hyperlink>
        </w:p>
        <w:p w:rsidR="00AE2250" w:rsidRDefault="00E6419B">
          <w:pPr>
            <w:pStyle w:val="TOC2"/>
            <w:rPr>
              <w:rFonts w:asciiTheme="minorHAnsi" w:eastAsiaTheme="minorEastAsia" w:hAnsiTheme="minorHAnsi" w:cstheme="minorBidi"/>
              <w:b w:val="0"/>
              <w:noProof/>
              <w:sz w:val="22"/>
              <w:lang w:eastAsia="en-AU" w:bidi="lo-LA"/>
            </w:rPr>
          </w:pPr>
          <w:hyperlink w:anchor="_Toc368388457" w:history="1">
            <w:r w:rsidR="00AE2250" w:rsidRPr="00744B67">
              <w:rPr>
                <w:rStyle w:val="Hyperlink"/>
                <w:noProof/>
              </w:rPr>
              <w:t>IV. Clinical findings</w:t>
            </w:r>
            <w:r w:rsidR="00AE2250">
              <w:rPr>
                <w:noProof/>
                <w:webHidden/>
              </w:rPr>
              <w:tab/>
            </w:r>
            <w:r>
              <w:rPr>
                <w:noProof/>
                <w:webHidden/>
              </w:rPr>
              <w:fldChar w:fldCharType="begin"/>
            </w:r>
            <w:r w:rsidR="00AE2250">
              <w:rPr>
                <w:noProof/>
                <w:webHidden/>
              </w:rPr>
              <w:instrText xml:space="preserve"> PAGEREF _Toc368388457 \h </w:instrText>
            </w:r>
            <w:r>
              <w:rPr>
                <w:noProof/>
                <w:webHidden/>
              </w:rPr>
            </w:r>
            <w:r>
              <w:rPr>
                <w:noProof/>
                <w:webHidden/>
              </w:rPr>
              <w:fldChar w:fldCharType="separate"/>
            </w:r>
            <w:r w:rsidR="00F649C2">
              <w:rPr>
                <w:noProof/>
                <w:webHidden/>
              </w:rPr>
              <w:t>8</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58" w:history="1">
            <w:r w:rsidR="00AE2250" w:rsidRPr="00744B67">
              <w:rPr>
                <w:rStyle w:val="Hyperlink"/>
                <w:noProof/>
              </w:rPr>
              <w:t>Introduction</w:t>
            </w:r>
            <w:r w:rsidR="00AE2250">
              <w:rPr>
                <w:noProof/>
                <w:webHidden/>
              </w:rPr>
              <w:tab/>
            </w:r>
            <w:r>
              <w:rPr>
                <w:noProof/>
                <w:webHidden/>
              </w:rPr>
              <w:fldChar w:fldCharType="begin"/>
            </w:r>
            <w:r w:rsidR="00AE2250">
              <w:rPr>
                <w:noProof/>
                <w:webHidden/>
              </w:rPr>
              <w:instrText xml:space="preserve"> PAGEREF _Toc368388458 \h </w:instrText>
            </w:r>
            <w:r>
              <w:rPr>
                <w:noProof/>
                <w:webHidden/>
              </w:rPr>
            </w:r>
            <w:r>
              <w:rPr>
                <w:noProof/>
                <w:webHidden/>
              </w:rPr>
              <w:fldChar w:fldCharType="separate"/>
            </w:r>
            <w:r w:rsidR="00F649C2">
              <w:rPr>
                <w:noProof/>
                <w:webHidden/>
              </w:rPr>
              <w:t>8</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59" w:history="1">
            <w:r w:rsidR="00AE2250" w:rsidRPr="00744B67">
              <w:rPr>
                <w:rStyle w:val="Hyperlink"/>
                <w:noProof/>
              </w:rPr>
              <w:t>Pharmacokinetics</w:t>
            </w:r>
            <w:r w:rsidR="00AE2250">
              <w:rPr>
                <w:noProof/>
                <w:webHidden/>
              </w:rPr>
              <w:tab/>
            </w:r>
            <w:r>
              <w:rPr>
                <w:noProof/>
                <w:webHidden/>
              </w:rPr>
              <w:fldChar w:fldCharType="begin"/>
            </w:r>
            <w:r w:rsidR="00AE2250">
              <w:rPr>
                <w:noProof/>
                <w:webHidden/>
              </w:rPr>
              <w:instrText xml:space="preserve"> PAGEREF _Toc368388459 \h </w:instrText>
            </w:r>
            <w:r>
              <w:rPr>
                <w:noProof/>
                <w:webHidden/>
              </w:rPr>
            </w:r>
            <w:r>
              <w:rPr>
                <w:noProof/>
                <w:webHidden/>
              </w:rPr>
              <w:fldChar w:fldCharType="separate"/>
            </w:r>
            <w:r w:rsidR="00F649C2">
              <w:rPr>
                <w:noProof/>
                <w:webHidden/>
              </w:rPr>
              <w:t>8</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60" w:history="1">
            <w:r w:rsidR="00AE2250" w:rsidRPr="00744B67">
              <w:rPr>
                <w:rStyle w:val="Hyperlink"/>
                <w:noProof/>
              </w:rPr>
              <w:t>Pharmacodynamics</w:t>
            </w:r>
            <w:r w:rsidR="00AE2250">
              <w:rPr>
                <w:noProof/>
                <w:webHidden/>
              </w:rPr>
              <w:tab/>
            </w:r>
            <w:r>
              <w:rPr>
                <w:noProof/>
                <w:webHidden/>
              </w:rPr>
              <w:fldChar w:fldCharType="begin"/>
            </w:r>
            <w:r w:rsidR="00AE2250">
              <w:rPr>
                <w:noProof/>
                <w:webHidden/>
              </w:rPr>
              <w:instrText xml:space="preserve"> PAGEREF _Toc368388460 \h </w:instrText>
            </w:r>
            <w:r>
              <w:rPr>
                <w:noProof/>
                <w:webHidden/>
              </w:rPr>
            </w:r>
            <w:r>
              <w:rPr>
                <w:noProof/>
                <w:webHidden/>
              </w:rPr>
              <w:fldChar w:fldCharType="separate"/>
            </w:r>
            <w:r w:rsidR="00F649C2">
              <w:rPr>
                <w:noProof/>
                <w:webHidden/>
              </w:rPr>
              <w:t>9</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61" w:history="1">
            <w:r w:rsidR="00AE2250" w:rsidRPr="00744B67">
              <w:rPr>
                <w:rStyle w:val="Hyperlink"/>
                <w:noProof/>
              </w:rPr>
              <w:t>Efficacy</w:t>
            </w:r>
            <w:r w:rsidR="00AE2250">
              <w:rPr>
                <w:noProof/>
                <w:webHidden/>
              </w:rPr>
              <w:tab/>
            </w:r>
            <w:r>
              <w:rPr>
                <w:noProof/>
                <w:webHidden/>
              </w:rPr>
              <w:fldChar w:fldCharType="begin"/>
            </w:r>
            <w:r w:rsidR="00AE2250">
              <w:rPr>
                <w:noProof/>
                <w:webHidden/>
              </w:rPr>
              <w:instrText xml:space="preserve"> PAGEREF _Toc368388461 \h </w:instrText>
            </w:r>
            <w:r>
              <w:rPr>
                <w:noProof/>
                <w:webHidden/>
              </w:rPr>
            </w:r>
            <w:r>
              <w:rPr>
                <w:noProof/>
                <w:webHidden/>
              </w:rPr>
              <w:fldChar w:fldCharType="separate"/>
            </w:r>
            <w:r w:rsidR="00F649C2">
              <w:rPr>
                <w:noProof/>
                <w:webHidden/>
              </w:rPr>
              <w:t>9</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62" w:history="1">
            <w:r w:rsidR="00AE2250" w:rsidRPr="00744B67">
              <w:rPr>
                <w:rStyle w:val="Hyperlink"/>
                <w:noProof/>
              </w:rPr>
              <w:t>Safety</w:t>
            </w:r>
            <w:r w:rsidR="00AE2250">
              <w:rPr>
                <w:noProof/>
                <w:webHidden/>
              </w:rPr>
              <w:tab/>
            </w:r>
            <w:r>
              <w:rPr>
                <w:noProof/>
                <w:webHidden/>
              </w:rPr>
              <w:fldChar w:fldCharType="begin"/>
            </w:r>
            <w:r w:rsidR="00AE2250">
              <w:rPr>
                <w:noProof/>
                <w:webHidden/>
              </w:rPr>
              <w:instrText xml:space="preserve"> PAGEREF _Toc368388462 \h </w:instrText>
            </w:r>
            <w:r>
              <w:rPr>
                <w:noProof/>
                <w:webHidden/>
              </w:rPr>
            </w:r>
            <w:r>
              <w:rPr>
                <w:noProof/>
                <w:webHidden/>
              </w:rPr>
              <w:fldChar w:fldCharType="separate"/>
            </w:r>
            <w:r w:rsidR="00F649C2">
              <w:rPr>
                <w:noProof/>
                <w:webHidden/>
              </w:rPr>
              <w:t>14</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63" w:history="1">
            <w:r w:rsidR="00AE2250" w:rsidRPr="00744B67">
              <w:rPr>
                <w:rStyle w:val="Hyperlink"/>
                <w:noProof/>
              </w:rPr>
              <w:t>List of questions</w:t>
            </w:r>
            <w:r w:rsidR="00AE2250">
              <w:rPr>
                <w:noProof/>
                <w:webHidden/>
              </w:rPr>
              <w:tab/>
            </w:r>
            <w:r>
              <w:rPr>
                <w:noProof/>
                <w:webHidden/>
              </w:rPr>
              <w:fldChar w:fldCharType="begin"/>
            </w:r>
            <w:r w:rsidR="00AE2250">
              <w:rPr>
                <w:noProof/>
                <w:webHidden/>
              </w:rPr>
              <w:instrText xml:space="preserve"> PAGEREF _Toc368388463 \h </w:instrText>
            </w:r>
            <w:r>
              <w:rPr>
                <w:noProof/>
                <w:webHidden/>
              </w:rPr>
            </w:r>
            <w:r>
              <w:rPr>
                <w:noProof/>
                <w:webHidden/>
              </w:rPr>
              <w:fldChar w:fldCharType="separate"/>
            </w:r>
            <w:r w:rsidR="00F649C2">
              <w:rPr>
                <w:noProof/>
                <w:webHidden/>
              </w:rPr>
              <w:t>16</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64" w:history="1">
            <w:r w:rsidR="00AE2250" w:rsidRPr="00744B67">
              <w:rPr>
                <w:rStyle w:val="Hyperlink"/>
                <w:noProof/>
              </w:rPr>
              <w:t>Clinical summary and conclusions</w:t>
            </w:r>
            <w:r w:rsidR="00AE2250">
              <w:rPr>
                <w:noProof/>
                <w:webHidden/>
              </w:rPr>
              <w:tab/>
            </w:r>
            <w:r>
              <w:rPr>
                <w:noProof/>
                <w:webHidden/>
              </w:rPr>
              <w:fldChar w:fldCharType="begin"/>
            </w:r>
            <w:r w:rsidR="00AE2250">
              <w:rPr>
                <w:noProof/>
                <w:webHidden/>
              </w:rPr>
              <w:instrText xml:space="preserve"> PAGEREF _Toc368388464 \h </w:instrText>
            </w:r>
            <w:r>
              <w:rPr>
                <w:noProof/>
                <w:webHidden/>
              </w:rPr>
            </w:r>
            <w:r>
              <w:rPr>
                <w:noProof/>
                <w:webHidden/>
              </w:rPr>
              <w:fldChar w:fldCharType="separate"/>
            </w:r>
            <w:r w:rsidR="00F649C2">
              <w:rPr>
                <w:noProof/>
                <w:webHidden/>
              </w:rPr>
              <w:t>16</w:t>
            </w:r>
            <w:r>
              <w:rPr>
                <w:noProof/>
                <w:webHidden/>
              </w:rPr>
              <w:fldChar w:fldCharType="end"/>
            </w:r>
          </w:hyperlink>
        </w:p>
        <w:p w:rsidR="00AE2250" w:rsidRDefault="00E6419B">
          <w:pPr>
            <w:pStyle w:val="TOC2"/>
            <w:rPr>
              <w:rFonts w:asciiTheme="minorHAnsi" w:eastAsiaTheme="minorEastAsia" w:hAnsiTheme="minorHAnsi" w:cstheme="minorBidi"/>
              <w:b w:val="0"/>
              <w:noProof/>
              <w:sz w:val="22"/>
              <w:lang w:eastAsia="en-AU" w:bidi="lo-LA"/>
            </w:rPr>
          </w:pPr>
          <w:hyperlink w:anchor="_Toc368388465" w:history="1">
            <w:r w:rsidR="00AE2250" w:rsidRPr="00744B67">
              <w:rPr>
                <w:rStyle w:val="Hyperlink"/>
                <w:noProof/>
              </w:rPr>
              <w:t>V. Pharmacovigilance findings</w:t>
            </w:r>
            <w:r w:rsidR="00AE2250">
              <w:rPr>
                <w:noProof/>
                <w:webHidden/>
              </w:rPr>
              <w:tab/>
            </w:r>
            <w:r>
              <w:rPr>
                <w:noProof/>
                <w:webHidden/>
              </w:rPr>
              <w:fldChar w:fldCharType="begin"/>
            </w:r>
            <w:r w:rsidR="00AE2250">
              <w:rPr>
                <w:noProof/>
                <w:webHidden/>
              </w:rPr>
              <w:instrText xml:space="preserve"> PAGEREF _Toc368388465 \h </w:instrText>
            </w:r>
            <w:r>
              <w:rPr>
                <w:noProof/>
                <w:webHidden/>
              </w:rPr>
            </w:r>
            <w:r>
              <w:rPr>
                <w:noProof/>
                <w:webHidden/>
              </w:rPr>
              <w:fldChar w:fldCharType="separate"/>
            </w:r>
            <w:r w:rsidR="00F649C2">
              <w:rPr>
                <w:noProof/>
                <w:webHidden/>
              </w:rPr>
              <w:t>17</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66" w:history="1">
            <w:r w:rsidR="00AE2250" w:rsidRPr="00744B67">
              <w:rPr>
                <w:rStyle w:val="Hyperlink"/>
                <w:noProof/>
                <w:lang w:eastAsia="en-AU"/>
              </w:rPr>
              <w:t>Risk management plan</w:t>
            </w:r>
            <w:r w:rsidR="00AE2250">
              <w:rPr>
                <w:noProof/>
                <w:webHidden/>
              </w:rPr>
              <w:tab/>
            </w:r>
            <w:r>
              <w:rPr>
                <w:noProof/>
                <w:webHidden/>
              </w:rPr>
              <w:fldChar w:fldCharType="begin"/>
            </w:r>
            <w:r w:rsidR="00AE2250">
              <w:rPr>
                <w:noProof/>
                <w:webHidden/>
              </w:rPr>
              <w:instrText xml:space="preserve"> PAGEREF _Toc368388466 \h </w:instrText>
            </w:r>
            <w:r>
              <w:rPr>
                <w:noProof/>
                <w:webHidden/>
              </w:rPr>
            </w:r>
            <w:r>
              <w:rPr>
                <w:noProof/>
                <w:webHidden/>
              </w:rPr>
              <w:fldChar w:fldCharType="separate"/>
            </w:r>
            <w:r w:rsidR="00F649C2">
              <w:rPr>
                <w:noProof/>
                <w:webHidden/>
              </w:rPr>
              <w:t>17</w:t>
            </w:r>
            <w:r>
              <w:rPr>
                <w:noProof/>
                <w:webHidden/>
              </w:rPr>
              <w:fldChar w:fldCharType="end"/>
            </w:r>
          </w:hyperlink>
        </w:p>
        <w:p w:rsidR="00AE2250" w:rsidRDefault="00E6419B">
          <w:pPr>
            <w:pStyle w:val="TOC2"/>
            <w:rPr>
              <w:rFonts w:asciiTheme="minorHAnsi" w:eastAsiaTheme="minorEastAsia" w:hAnsiTheme="minorHAnsi" w:cstheme="minorBidi"/>
              <w:b w:val="0"/>
              <w:noProof/>
              <w:sz w:val="22"/>
              <w:lang w:eastAsia="en-AU" w:bidi="lo-LA"/>
            </w:rPr>
          </w:pPr>
          <w:hyperlink w:anchor="_Toc368388467" w:history="1">
            <w:r w:rsidR="00AE2250" w:rsidRPr="00744B67">
              <w:rPr>
                <w:rStyle w:val="Hyperlink"/>
                <w:noProof/>
              </w:rPr>
              <w:t>VI. Overall conclusion and risk/benefit assessment</w:t>
            </w:r>
            <w:r w:rsidR="00AE2250">
              <w:rPr>
                <w:noProof/>
                <w:webHidden/>
              </w:rPr>
              <w:tab/>
            </w:r>
            <w:r>
              <w:rPr>
                <w:noProof/>
                <w:webHidden/>
              </w:rPr>
              <w:fldChar w:fldCharType="begin"/>
            </w:r>
            <w:r w:rsidR="00AE2250">
              <w:rPr>
                <w:noProof/>
                <w:webHidden/>
              </w:rPr>
              <w:instrText xml:space="preserve"> PAGEREF _Toc368388467 \h </w:instrText>
            </w:r>
            <w:r>
              <w:rPr>
                <w:noProof/>
                <w:webHidden/>
              </w:rPr>
            </w:r>
            <w:r>
              <w:rPr>
                <w:noProof/>
                <w:webHidden/>
              </w:rPr>
              <w:fldChar w:fldCharType="separate"/>
            </w:r>
            <w:r w:rsidR="00F649C2">
              <w:rPr>
                <w:noProof/>
                <w:webHidden/>
              </w:rPr>
              <w:t>18</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68" w:history="1">
            <w:r w:rsidR="00AE2250" w:rsidRPr="00744B67">
              <w:rPr>
                <w:rStyle w:val="Hyperlink"/>
                <w:noProof/>
              </w:rPr>
              <w:t>Quality</w:t>
            </w:r>
            <w:r w:rsidR="00AE2250">
              <w:rPr>
                <w:noProof/>
                <w:webHidden/>
              </w:rPr>
              <w:tab/>
            </w:r>
            <w:r>
              <w:rPr>
                <w:noProof/>
                <w:webHidden/>
              </w:rPr>
              <w:fldChar w:fldCharType="begin"/>
            </w:r>
            <w:r w:rsidR="00AE2250">
              <w:rPr>
                <w:noProof/>
                <w:webHidden/>
              </w:rPr>
              <w:instrText xml:space="preserve"> PAGEREF _Toc368388468 \h </w:instrText>
            </w:r>
            <w:r>
              <w:rPr>
                <w:noProof/>
                <w:webHidden/>
              </w:rPr>
            </w:r>
            <w:r>
              <w:rPr>
                <w:noProof/>
                <w:webHidden/>
              </w:rPr>
              <w:fldChar w:fldCharType="separate"/>
            </w:r>
            <w:r w:rsidR="00F649C2">
              <w:rPr>
                <w:noProof/>
                <w:webHidden/>
              </w:rPr>
              <w:t>20</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69" w:history="1">
            <w:r w:rsidR="00AE2250" w:rsidRPr="00744B67">
              <w:rPr>
                <w:rStyle w:val="Hyperlink"/>
                <w:noProof/>
              </w:rPr>
              <w:t>Nonclinical</w:t>
            </w:r>
            <w:r w:rsidR="00AE2250">
              <w:rPr>
                <w:noProof/>
                <w:webHidden/>
              </w:rPr>
              <w:tab/>
            </w:r>
            <w:r>
              <w:rPr>
                <w:noProof/>
                <w:webHidden/>
              </w:rPr>
              <w:fldChar w:fldCharType="begin"/>
            </w:r>
            <w:r w:rsidR="00AE2250">
              <w:rPr>
                <w:noProof/>
                <w:webHidden/>
              </w:rPr>
              <w:instrText xml:space="preserve"> PAGEREF _Toc368388469 \h </w:instrText>
            </w:r>
            <w:r>
              <w:rPr>
                <w:noProof/>
                <w:webHidden/>
              </w:rPr>
            </w:r>
            <w:r>
              <w:rPr>
                <w:noProof/>
                <w:webHidden/>
              </w:rPr>
              <w:fldChar w:fldCharType="separate"/>
            </w:r>
            <w:r w:rsidR="00F649C2">
              <w:rPr>
                <w:noProof/>
                <w:webHidden/>
              </w:rPr>
              <w:t>20</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70" w:history="1">
            <w:r w:rsidR="00AE2250" w:rsidRPr="00744B67">
              <w:rPr>
                <w:rStyle w:val="Hyperlink"/>
                <w:noProof/>
              </w:rPr>
              <w:t>Clinical</w:t>
            </w:r>
            <w:r w:rsidR="00AE2250">
              <w:rPr>
                <w:noProof/>
                <w:webHidden/>
              </w:rPr>
              <w:tab/>
            </w:r>
            <w:r>
              <w:rPr>
                <w:noProof/>
                <w:webHidden/>
              </w:rPr>
              <w:fldChar w:fldCharType="begin"/>
            </w:r>
            <w:r w:rsidR="00AE2250">
              <w:rPr>
                <w:noProof/>
                <w:webHidden/>
              </w:rPr>
              <w:instrText xml:space="preserve"> PAGEREF _Toc368388470 \h </w:instrText>
            </w:r>
            <w:r>
              <w:rPr>
                <w:noProof/>
                <w:webHidden/>
              </w:rPr>
            </w:r>
            <w:r>
              <w:rPr>
                <w:noProof/>
                <w:webHidden/>
              </w:rPr>
              <w:fldChar w:fldCharType="separate"/>
            </w:r>
            <w:r w:rsidR="00F649C2">
              <w:rPr>
                <w:noProof/>
                <w:webHidden/>
              </w:rPr>
              <w:t>20</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71" w:history="1">
            <w:r w:rsidR="00AE2250" w:rsidRPr="00744B67">
              <w:rPr>
                <w:rStyle w:val="Hyperlink"/>
                <w:noProof/>
                <w:lang w:eastAsia="en-AU"/>
              </w:rPr>
              <w:t>Risk management plan</w:t>
            </w:r>
            <w:r w:rsidR="00AE2250">
              <w:rPr>
                <w:noProof/>
                <w:webHidden/>
              </w:rPr>
              <w:tab/>
            </w:r>
            <w:r>
              <w:rPr>
                <w:noProof/>
                <w:webHidden/>
              </w:rPr>
              <w:fldChar w:fldCharType="begin"/>
            </w:r>
            <w:r w:rsidR="00AE2250">
              <w:rPr>
                <w:noProof/>
                <w:webHidden/>
              </w:rPr>
              <w:instrText xml:space="preserve"> PAGEREF _Toc368388471 \h </w:instrText>
            </w:r>
            <w:r>
              <w:rPr>
                <w:noProof/>
                <w:webHidden/>
              </w:rPr>
            </w:r>
            <w:r>
              <w:rPr>
                <w:noProof/>
                <w:webHidden/>
              </w:rPr>
              <w:fldChar w:fldCharType="separate"/>
            </w:r>
            <w:r w:rsidR="00F649C2">
              <w:rPr>
                <w:noProof/>
                <w:webHidden/>
              </w:rPr>
              <w:t>27</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72" w:history="1">
            <w:r w:rsidR="00AE2250" w:rsidRPr="00744B67">
              <w:rPr>
                <w:rStyle w:val="Hyperlink"/>
                <w:noProof/>
              </w:rPr>
              <w:t>Risk-benefit analysis</w:t>
            </w:r>
            <w:r w:rsidR="00AE2250">
              <w:rPr>
                <w:noProof/>
                <w:webHidden/>
              </w:rPr>
              <w:tab/>
            </w:r>
            <w:r>
              <w:rPr>
                <w:noProof/>
                <w:webHidden/>
              </w:rPr>
              <w:fldChar w:fldCharType="begin"/>
            </w:r>
            <w:r w:rsidR="00AE2250">
              <w:rPr>
                <w:noProof/>
                <w:webHidden/>
              </w:rPr>
              <w:instrText xml:space="preserve"> PAGEREF _Toc368388472 \h </w:instrText>
            </w:r>
            <w:r>
              <w:rPr>
                <w:noProof/>
                <w:webHidden/>
              </w:rPr>
            </w:r>
            <w:r>
              <w:rPr>
                <w:noProof/>
                <w:webHidden/>
              </w:rPr>
              <w:fldChar w:fldCharType="separate"/>
            </w:r>
            <w:r w:rsidR="00F649C2">
              <w:rPr>
                <w:noProof/>
                <w:webHidden/>
              </w:rPr>
              <w:t>27</w:t>
            </w:r>
            <w:r>
              <w:rPr>
                <w:noProof/>
                <w:webHidden/>
              </w:rPr>
              <w:fldChar w:fldCharType="end"/>
            </w:r>
          </w:hyperlink>
        </w:p>
        <w:p w:rsidR="00AE2250" w:rsidRDefault="00E6419B">
          <w:pPr>
            <w:pStyle w:val="TOC3"/>
            <w:rPr>
              <w:rFonts w:asciiTheme="minorHAnsi" w:eastAsiaTheme="minorEastAsia" w:hAnsiTheme="minorHAnsi" w:cstheme="minorBidi"/>
              <w:noProof/>
              <w:lang w:eastAsia="en-AU" w:bidi="lo-LA"/>
            </w:rPr>
          </w:pPr>
          <w:hyperlink w:anchor="_Toc368388473" w:history="1">
            <w:r w:rsidR="00AE2250" w:rsidRPr="00744B67">
              <w:rPr>
                <w:rStyle w:val="Hyperlink"/>
                <w:noProof/>
              </w:rPr>
              <w:t>Outcome</w:t>
            </w:r>
            <w:r w:rsidR="00AE2250">
              <w:rPr>
                <w:noProof/>
                <w:webHidden/>
              </w:rPr>
              <w:tab/>
            </w:r>
            <w:r>
              <w:rPr>
                <w:noProof/>
                <w:webHidden/>
              </w:rPr>
              <w:fldChar w:fldCharType="begin"/>
            </w:r>
            <w:r w:rsidR="00AE2250">
              <w:rPr>
                <w:noProof/>
                <w:webHidden/>
              </w:rPr>
              <w:instrText xml:space="preserve"> PAGEREF _Toc368388473 \h </w:instrText>
            </w:r>
            <w:r>
              <w:rPr>
                <w:noProof/>
                <w:webHidden/>
              </w:rPr>
            </w:r>
            <w:r>
              <w:rPr>
                <w:noProof/>
                <w:webHidden/>
              </w:rPr>
              <w:fldChar w:fldCharType="separate"/>
            </w:r>
            <w:r w:rsidR="00F649C2">
              <w:rPr>
                <w:noProof/>
                <w:webHidden/>
              </w:rPr>
              <w:t>36</w:t>
            </w:r>
            <w:r>
              <w:rPr>
                <w:noProof/>
                <w:webHidden/>
              </w:rPr>
              <w:fldChar w:fldCharType="end"/>
            </w:r>
          </w:hyperlink>
        </w:p>
        <w:p w:rsidR="00AE2250" w:rsidRDefault="00E6419B">
          <w:pPr>
            <w:pStyle w:val="TOC2"/>
            <w:tabs>
              <w:tab w:val="left" w:pos="2448"/>
            </w:tabs>
            <w:rPr>
              <w:rFonts w:asciiTheme="minorHAnsi" w:eastAsiaTheme="minorEastAsia" w:hAnsiTheme="minorHAnsi" w:cstheme="minorBidi"/>
              <w:b w:val="0"/>
              <w:noProof/>
              <w:sz w:val="22"/>
              <w:lang w:eastAsia="en-AU" w:bidi="lo-LA"/>
            </w:rPr>
          </w:pPr>
          <w:hyperlink w:anchor="_Toc368388474" w:history="1">
            <w:r w:rsidR="00AE2250" w:rsidRPr="00744B67">
              <w:rPr>
                <w:rStyle w:val="Hyperlink"/>
                <w:noProof/>
              </w:rPr>
              <w:t>Attachment 1.</w:t>
            </w:r>
            <w:r w:rsidR="00AE2250">
              <w:rPr>
                <w:rFonts w:asciiTheme="minorHAnsi" w:eastAsiaTheme="minorEastAsia" w:hAnsiTheme="minorHAnsi" w:cstheme="minorBidi"/>
                <w:b w:val="0"/>
                <w:noProof/>
                <w:sz w:val="22"/>
                <w:lang w:eastAsia="en-AU" w:bidi="lo-LA"/>
              </w:rPr>
              <w:tab/>
            </w:r>
            <w:r w:rsidR="00AE2250" w:rsidRPr="00744B67">
              <w:rPr>
                <w:rStyle w:val="Hyperlink"/>
                <w:noProof/>
              </w:rPr>
              <w:t>Product Information</w:t>
            </w:r>
            <w:r w:rsidR="00AE2250">
              <w:rPr>
                <w:noProof/>
                <w:webHidden/>
              </w:rPr>
              <w:tab/>
            </w:r>
            <w:r>
              <w:rPr>
                <w:noProof/>
                <w:webHidden/>
              </w:rPr>
              <w:fldChar w:fldCharType="begin"/>
            </w:r>
            <w:r w:rsidR="00AE2250">
              <w:rPr>
                <w:noProof/>
                <w:webHidden/>
              </w:rPr>
              <w:instrText xml:space="preserve"> PAGEREF _Toc368388474 \h </w:instrText>
            </w:r>
            <w:r>
              <w:rPr>
                <w:noProof/>
                <w:webHidden/>
              </w:rPr>
            </w:r>
            <w:r>
              <w:rPr>
                <w:noProof/>
                <w:webHidden/>
              </w:rPr>
              <w:fldChar w:fldCharType="separate"/>
            </w:r>
            <w:r w:rsidR="00F649C2">
              <w:rPr>
                <w:noProof/>
                <w:webHidden/>
              </w:rPr>
              <w:t>37</w:t>
            </w:r>
            <w:r>
              <w:rPr>
                <w:noProof/>
                <w:webHidden/>
              </w:rPr>
              <w:fldChar w:fldCharType="end"/>
            </w:r>
          </w:hyperlink>
        </w:p>
        <w:p w:rsidR="00AE2250" w:rsidRDefault="00E6419B">
          <w:pPr>
            <w:pStyle w:val="TOC2"/>
            <w:tabs>
              <w:tab w:val="left" w:pos="2448"/>
            </w:tabs>
            <w:rPr>
              <w:rFonts w:asciiTheme="minorHAnsi" w:eastAsiaTheme="minorEastAsia" w:hAnsiTheme="minorHAnsi" w:cstheme="minorBidi"/>
              <w:b w:val="0"/>
              <w:noProof/>
              <w:sz w:val="22"/>
              <w:lang w:eastAsia="en-AU" w:bidi="lo-LA"/>
            </w:rPr>
          </w:pPr>
          <w:hyperlink w:anchor="_Toc368388475" w:history="1">
            <w:r w:rsidR="00AE2250" w:rsidRPr="00744B67">
              <w:rPr>
                <w:rStyle w:val="Hyperlink"/>
                <w:noProof/>
                <w:lang w:eastAsia="en-AU"/>
              </w:rPr>
              <w:t>Attachment 2.</w:t>
            </w:r>
            <w:r w:rsidR="00AE2250">
              <w:rPr>
                <w:rFonts w:asciiTheme="minorHAnsi" w:eastAsiaTheme="minorEastAsia" w:hAnsiTheme="minorHAnsi" w:cstheme="minorBidi"/>
                <w:b w:val="0"/>
                <w:noProof/>
                <w:sz w:val="22"/>
                <w:lang w:eastAsia="en-AU" w:bidi="lo-LA"/>
              </w:rPr>
              <w:tab/>
            </w:r>
            <w:r w:rsidR="00AE2250" w:rsidRPr="00744B67">
              <w:rPr>
                <w:rStyle w:val="Hyperlink"/>
                <w:noProof/>
                <w:lang w:eastAsia="en-AU"/>
              </w:rPr>
              <w:t>Extract from the Clinical Evaluation Report</w:t>
            </w:r>
            <w:r w:rsidR="00AE2250">
              <w:rPr>
                <w:noProof/>
                <w:webHidden/>
              </w:rPr>
              <w:tab/>
            </w:r>
            <w:r>
              <w:rPr>
                <w:noProof/>
                <w:webHidden/>
              </w:rPr>
              <w:fldChar w:fldCharType="begin"/>
            </w:r>
            <w:r w:rsidR="00AE2250">
              <w:rPr>
                <w:noProof/>
                <w:webHidden/>
              </w:rPr>
              <w:instrText xml:space="preserve"> PAGEREF _Toc368388475 \h </w:instrText>
            </w:r>
            <w:r>
              <w:rPr>
                <w:noProof/>
                <w:webHidden/>
              </w:rPr>
            </w:r>
            <w:r>
              <w:rPr>
                <w:noProof/>
                <w:webHidden/>
              </w:rPr>
              <w:fldChar w:fldCharType="separate"/>
            </w:r>
            <w:r w:rsidR="00F649C2">
              <w:rPr>
                <w:noProof/>
                <w:webHidden/>
              </w:rPr>
              <w:t>37</w:t>
            </w:r>
            <w:r>
              <w:rPr>
                <w:noProof/>
                <w:webHidden/>
              </w:rPr>
              <w:fldChar w:fldCharType="end"/>
            </w:r>
          </w:hyperlink>
        </w:p>
        <w:p w:rsidR="003A7F6C" w:rsidRPr="00B811C6" w:rsidRDefault="00E6419B" w:rsidP="00B811C6">
          <w:pPr>
            <w:pStyle w:val="TOC2"/>
          </w:pPr>
          <w:r>
            <w:fldChar w:fldCharType="end"/>
          </w:r>
        </w:p>
      </w:sdtContent>
    </w:sdt>
    <w:bookmarkStart w:id="2" w:name="_Toc314842482" w:displacedByCustomXml="prev"/>
    <w:p w:rsidR="0013730F" w:rsidRDefault="0013730F">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3" w:name="_Toc368388450"/>
      <w:r>
        <w:lastRenderedPageBreak/>
        <w:t>I.</w:t>
      </w:r>
      <w:r w:rsidR="008E7846">
        <w:t xml:space="preserve"> Introduction to product submission</w:t>
      </w:r>
      <w:bookmarkEnd w:id="3"/>
      <w:bookmarkEnd w:id="2"/>
      <w:bookmarkEnd w:id="0"/>
    </w:p>
    <w:p w:rsidR="008E7846" w:rsidRDefault="008E7846" w:rsidP="008E7846">
      <w:pPr>
        <w:pStyle w:val="Heading3"/>
        <w:rPr>
          <w:lang w:eastAsia="en-AU"/>
        </w:rPr>
      </w:pPr>
      <w:bookmarkStart w:id="4" w:name="_Toc247691502"/>
      <w:bookmarkStart w:id="5" w:name="_Toc314842483"/>
      <w:bookmarkStart w:id="6" w:name="_Toc368388451"/>
      <w:r>
        <w:rPr>
          <w:lang w:eastAsia="en-AU"/>
        </w:rPr>
        <w:t>Submission details</w:t>
      </w:r>
      <w:bookmarkEnd w:id="4"/>
      <w:bookmarkEnd w:id="5"/>
      <w:bookmarkEnd w:id="6"/>
    </w:p>
    <w:tbl>
      <w:tblPr>
        <w:tblW w:w="9214" w:type="dxa"/>
        <w:tblInd w:w="108" w:type="dxa"/>
        <w:tblLook w:val="01E0"/>
      </w:tblPr>
      <w:tblGrid>
        <w:gridCol w:w="2907"/>
        <w:gridCol w:w="6307"/>
      </w:tblGrid>
      <w:tr w:rsidR="008E7846" w:rsidRPr="003D1E62" w:rsidTr="0091260B">
        <w:trPr>
          <w:trHeight w:hRule="exact" w:val="739"/>
        </w:trPr>
        <w:tc>
          <w:tcPr>
            <w:tcW w:w="2907" w:type="dxa"/>
          </w:tcPr>
          <w:p w:rsidR="008E7846" w:rsidRPr="003D1E62" w:rsidRDefault="007B7E55" w:rsidP="003D1E62">
            <w:pPr>
              <w:rPr>
                <w:i/>
              </w:rPr>
            </w:pPr>
            <w:r>
              <w:rPr>
                <w:i/>
              </w:rPr>
              <w:t>Type of s</w:t>
            </w:r>
            <w:r w:rsidR="008E7846" w:rsidRPr="003D1E62">
              <w:rPr>
                <w:i/>
              </w:rPr>
              <w:t>ubmission</w:t>
            </w:r>
            <w:r w:rsidR="0013730F">
              <w:rPr>
                <w:i/>
              </w:rPr>
              <w:t>:</w:t>
            </w:r>
          </w:p>
        </w:tc>
        <w:tc>
          <w:tcPr>
            <w:tcW w:w="6307" w:type="dxa"/>
          </w:tcPr>
          <w:p w:rsidR="008E7846" w:rsidRPr="003D1E62" w:rsidRDefault="0094137B" w:rsidP="006203B4">
            <w:r>
              <w:t>Major v</w:t>
            </w:r>
            <w:r w:rsidR="008E7846" w:rsidRPr="003D1E62">
              <w:t>ariation</w:t>
            </w:r>
            <w:r w:rsidR="00914ADA">
              <w:t xml:space="preserve">: </w:t>
            </w:r>
            <w:r w:rsidR="006203B4">
              <w:t xml:space="preserve">review of </w:t>
            </w:r>
            <w:r w:rsidR="00914ADA">
              <w:t xml:space="preserve">the indication and </w:t>
            </w:r>
            <w:r w:rsidR="006203B4">
              <w:t xml:space="preserve">other changes to the </w:t>
            </w:r>
            <w:r w:rsidR="00914ADA">
              <w:t xml:space="preserve">Product </w:t>
            </w:r>
            <w:r>
              <w:t>Information</w:t>
            </w:r>
          </w:p>
        </w:tc>
      </w:tr>
      <w:tr w:rsidR="008E7846" w:rsidRPr="003D1E62" w:rsidTr="0091260B">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8E7846" w:rsidP="0013730F">
            <w:r w:rsidRPr="003D1E62">
              <w:t>Approved</w:t>
            </w:r>
          </w:p>
        </w:tc>
      </w:tr>
      <w:tr w:rsidR="008E7846" w:rsidRPr="003D1E62" w:rsidTr="0091260B">
        <w:trPr>
          <w:trHeight w:hRule="exact" w:val="454"/>
        </w:trPr>
        <w:tc>
          <w:tcPr>
            <w:tcW w:w="2907" w:type="dxa"/>
          </w:tcPr>
          <w:p w:rsidR="008E7846" w:rsidRPr="003D1E62" w:rsidRDefault="008E7846" w:rsidP="007B7E55">
            <w:pPr>
              <w:rPr>
                <w:i/>
              </w:rPr>
            </w:pPr>
            <w:r w:rsidRPr="003D1E62">
              <w:rPr>
                <w:i/>
              </w:rPr>
              <w:t xml:space="preserve">Date of </w:t>
            </w:r>
            <w:r w:rsidR="007B7E55">
              <w:rPr>
                <w:i/>
              </w:rPr>
              <w:t>d</w:t>
            </w:r>
            <w:r w:rsidRPr="003D1E62">
              <w:rPr>
                <w:i/>
              </w:rPr>
              <w:t>ecision:</w:t>
            </w:r>
          </w:p>
        </w:tc>
        <w:tc>
          <w:tcPr>
            <w:tcW w:w="6307" w:type="dxa"/>
          </w:tcPr>
          <w:p w:rsidR="008E7846" w:rsidRPr="003D1E62" w:rsidRDefault="0094137B" w:rsidP="003D1E62">
            <w:r>
              <w:t>14 May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637047" w:rsidP="00E45619">
            <w:pPr>
              <w:rPr>
                <w:i/>
              </w:rPr>
            </w:pPr>
            <w:r>
              <w:rPr>
                <w:i/>
              </w:rPr>
              <w:t>Active ingredient</w:t>
            </w:r>
            <w:r w:rsidR="008E7846" w:rsidRPr="00487162">
              <w:rPr>
                <w:i/>
              </w:rPr>
              <w:t>:</w:t>
            </w:r>
          </w:p>
        </w:tc>
        <w:tc>
          <w:tcPr>
            <w:tcW w:w="6307" w:type="dxa"/>
          </w:tcPr>
          <w:p w:rsidR="008E7846" w:rsidRPr="00487162" w:rsidRDefault="0013730F" w:rsidP="00E45619">
            <w:r>
              <w:t>Cetuximab</w:t>
            </w:r>
          </w:p>
        </w:tc>
      </w:tr>
      <w:tr w:rsidR="008E7846" w:rsidRPr="00487162" w:rsidTr="00BF1190">
        <w:tc>
          <w:tcPr>
            <w:tcW w:w="2907" w:type="dxa"/>
          </w:tcPr>
          <w:p w:rsidR="008E7846" w:rsidRPr="00487162" w:rsidRDefault="00637047" w:rsidP="007B7E55">
            <w:pPr>
              <w:rPr>
                <w:i/>
              </w:rPr>
            </w:pPr>
            <w:r>
              <w:rPr>
                <w:i/>
              </w:rPr>
              <w:t xml:space="preserve">Product </w:t>
            </w:r>
            <w:r w:rsidR="007B7E55">
              <w:rPr>
                <w:i/>
              </w:rPr>
              <w:t>n</w:t>
            </w:r>
            <w:r>
              <w:rPr>
                <w:i/>
              </w:rPr>
              <w:t>ame</w:t>
            </w:r>
            <w:r w:rsidR="008E7846" w:rsidRPr="00487162">
              <w:rPr>
                <w:i/>
              </w:rPr>
              <w:t>:</w:t>
            </w:r>
          </w:p>
        </w:tc>
        <w:tc>
          <w:tcPr>
            <w:tcW w:w="6307" w:type="dxa"/>
          </w:tcPr>
          <w:p w:rsidR="008E7846" w:rsidRPr="00487162" w:rsidRDefault="0013730F" w:rsidP="00E45619">
            <w:r>
              <w:t>Erbitux</w:t>
            </w:r>
          </w:p>
        </w:tc>
      </w:tr>
      <w:tr w:rsidR="008E7846" w:rsidRPr="00487162" w:rsidTr="00BF1190">
        <w:tc>
          <w:tcPr>
            <w:tcW w:w="2907" w:type="dxa"/>
          </w:tcPr>
          <w:p w:rsidR="008E7846" w:rsidRPr="00487162" w:rsidRDefault="00B95D37" w:rsidP="007B7E55">
            <w:pPr>
              <w:rPr>
                <w:i/>
              </w:rPr>
            </w:pPr>
            <w:r>
              <w:rPr>
                <w:i/>
              </w:rPr>
              <w:t>Sponsor</w:t>
            </w:r>
            <w:r w:rsidR="007B7E55">
              <w:rPr>
                <w:i/>
              </w:rPr>
              <w:t>’s n</w:t>
            </w:r>
            <w:r w:rsidR="008E7846" w:rsidRPr="00487162">
              <w:rPr>
                <w:i/>
              </w:rPr>
              <w:t xml:space="preserve">ame and </w:t>
            </w:r>
            <w:r w:rsidR="007B7E55">
              <w:rPr>
                <w:i/>
              </w:rPr>
              <w:t>a</w:t>
            </w:r>
            <w:r w:rsidR="008E7846" w:rsidRPr="00487162">
              <w:rPr>
                <w:i/>
              </w:rPr>
              <w:t>ddress:</w:t>
            </w:r>
          </w:p>
        </w:tc>
        <w:tc>
          <w:tcPr>
            <w:tcW w:w="6307" w:type="dxa"/>
          </w:tcPr>
          <w:p w:rsidR="008E7846" w:rsidRPr="00487162" w:rsidRDefault="0013730F" w:rsidP="000E1CE8">
            <w:r w:rsidRPr="0013730F">
              <w:t xml:space="preserve">Merck </w:t>
            </w:r>
            <w:proofErr w:type="spellStart"/>
            <w:r w:rsidRPr="0013730F">
              <w:t>Serono</w:t>
            </w:r>
            <w:proofErr w:type="spellEnd"/>
            <w:r w:rsidRPr="0013730F">
              <w:t xml:space="preserve"> Australia Pty Ltd</w:t>
            </w:r>
            <w:r>
              <w:br/>
              <w:t>Units 3-4/25 Frenchs Forest Road East</w:t>
            </w:r>
            <w:r>
              <w:br/>
            </w:r>
            <w:r w:rsidR="000E1CE8">
              <w:t xml:space="preserve">Frenchs Forest </w:t>
            </w:r>
            <w:r>
              <w:t>NSW 2086</w:t>
            </w:r>
          </w:p>
        </w:tc>
      </w:tr>
      <w:tr w:rsidR="008E7846" w:rsidRPr="00487162" w:rsidTr="00BF1190">
        <w:tc>
          <w:tcPr>
            <w:tcW w:w="2907" w:type="dxa"/>
          </w:tcPr>
          <w:p w:rsidR="008E7846" w:rsidRPr="00487162" w:rsidRDefault="0013730F" w:rsidP="00E45619">
            <w:pPr>
              <w:rPr>
                <w:i/>
              </w:rPr>
            </w:pPr>
            <w:r>
              <w:rPr>
                <w:i/>
              </w:rPr>
              <w:t>Dose form</w:t>
            </w:r>
            <w:r w:rsidR="008E7846" w:rsidRPr="00487162">
              <w:rPr>
                <w:i/>
              </w:rPr>
              <w:t>:</w:t>
            </w:r>
          </w:p>
        </w:tc>
        <w:tc>
          <w:tcPr>
            <w:tcW w:w="6307" w:type="dxa"/>
          </w:tcPr>
          <w:p w:rsidR="008E7846" w:rsidRPr="00487162" w:rsidRDefault="0094137B" w:rsidP="00E45619">
            <w:r>
              <w:t>Injection solution</w:t>
            </w:r>
          </w:p>
        </w:tc>
      </w:tr>
      <w:tr w:rsidR="008E7846" w:rsidRPr="00487162" w:rsidTr="00BF1190">
        <w:tc>
          <w:tcPr>
            <w:tcW w:w="2907" w:type="dxa"/>
          </w:tcPr>
          <w:p w:rsidR="008E7846" w:rsidRPr="00487162" w:rsidRDefault="008E7846" w:rsidP="0013730F">
            <w:pPr>
              <w:rPr>
                <w:i/>
              </w:rPr>
            </w:pPr>
            <w:r w:rsidRPr="00487162">
              <w:rPr>
                <w:i/>
              </w:rPr>
              <w:t>Strengths:</w:t>
            </w:r>
          </w:p>
        </w:tc>
        <w:tc>
          <w:tcPr>
            <w:tcW w:w="6307" w:type="dxa"/>
          </w:tcPr>
          <w:p w:rsidR="008E7846" w:rsidRPr="00487162" w:rsidRDefault="0094137B" w:rsidP="0094137B">
            <w:r>
              <w:t>100 mg/20 mL and 500 mg/100 mL</w:t>
            </w:r>
          </w:p>
        </w:tc>
      </w:tr>
      <w:tr w:rsidR="008E7846" w:rsidRPr="00487162" w:rsidTr="00BF1190">
        <w:tc>
          <w:tcPr>
            <w:tcW w:w="2907" w:type="dxa"/>
          </w:tcPr>
          <w:p w:rsidR="008E7846" w:rsidRPr="00487162" w:rsidRDefault="0094137B" w:rsidP="00E45619">
            <w:pPr>
              <w:rPr>
                <w:i/>
              </w:rPr>
            </w:pPr>
            <w:r>
              <w:rPr>
                <w:i/>
              </w:rPr>
              <w:t>Container</w:t>
            </w:r>
            <w:r w:rsidR="008E7846" w:rsidRPr="00487162">
              <w:rPr>
                <w:i/>
              </w:rPr>
              <w:t>:</w:t>
            </w:r>
          </w:p>
        </w:tc>
        <w:tc>
          <w:tcPr>
            <w:tcW w:w="6307" w:type="dxa"/>
          </w:tcPr>
          <w:p w:rsidR="008E7846" w:rsidRPr="00487162" w:rsidRDefault="0094137B" w:rsidP="00E45619">
            <w:r>
              <w:t>Vial</w:t>
            </w:r>
          </w:p>
        </w:tc>
      </w:tr>
      <w:tr w:rsidR="008E7846" w:rsidRPr="00487162" w:rsidTr="00914ADA">
        <w:trPr>
          <w:trHeight w:val="476"/>
        </w:trPr>
        <w:tc>
          <w:tcPr>
            <w:tcW w:w="2907" w:type="dxa"/>
          </w:tcPr>
          <w:p w:rsidR="008E7846" w:rsidRPr="00487162" w:rsidRDefault="0013730F" w:rsidP="0013730F">
            <w:pPr>
              <w:rPr>
                <w:i/>
              </w:rPr>
            </w:pPr>
            <w:r>
              <w:rPr>
                <w:i/>
              </w:rPr>
              <w:t>Pack size</w:t>
            </w:r>
            <w:r w:rsidR="008E7846" w:rsidRPr="00487162">
              <w:rPr>
                <w:i/>
              </w:rPr>
              <w:t>:</w:t>
            </w:r>
          </w:p>
        </w:tc>
        <w:tc>
          <w:tcPr>
            <w:tcW w:w="6307" w:type="dxa"/>
          </w:tcPr>
          <w:p w:rsidR="008E7846" w:rsidRPr="00487162" w:rsidRDefault="00914ADA" w:rsidP="00E45619">
            <w:r>
              <w:t>1 x single use vial</w:t>
            </w:r>
          </w:p>
        </w:tc>
      </w:tr>
      <w:tr w:rsidR="008E7846" w:rsidRPr="00487162" w:rsidTr="00756A68">
        <w:trPr>
          <w:trHeight w:val="3251"/>
        </w:trPr>
        <w:tc>
          <w:tcPr>
            <w:tcW w:w="2907" w:type="dxa"/>
          </w:tcPr>
          <w:p w:rsidR="008E7846" w:rsidRPr="00487162" w:rsidRDefault="006F30EF" w:rsidP="007B7E55">
            <w:pPr>
              <w:rPr>
                <w:i/>
              </w:rPr>
            </w:pPr>
            <w:r>
              <w:rPr>
                <w:i/>
              </w:rPr>
              <w:t>Revised</w:t>
            </w:r>
            <w:r w:rsidR="007B7E55">
              <w:rPr>
                <w:i/>
              </w:rPr>
              <w:t xml:space="preserve"> a</w:t>
            </w:r>
            <w:r w:rsidR="008E7846" w:rsidRPr="00487162">
              <w:rPr>
                <w:i/>
              </w:rPr>
              <w:t xml:space="preserve">pproved </w:t>
            </w:r>
            <w:r w:rsidR="007B7E55">
              <w:rPr>
                <w:i/>
              </w:rPr>
              <w:t>t</w:t>
            </w:r>
            <w:r w:rsidR="008E7846" w:rsidRPr="00487162">
              <w:rPr>
                <w:i/>
              </w:rPr>
              <w:t>herapeutic use:</w:t>
            </w:r>
          </w:p>
        </w:tc>
        <w:tc>
          <w:tcPr>
            <w:tcW w:w="6307" w:type="dxa"/>
          </w:tcPr>
          <w:p w:rsidR="00914ADA" w:rsidRDefault="00914ADA" w:rsidP="007B7E55">
            <w:r>
              <w:t xml:space="preserve">Erbitux is indicated for the treatment of patients with epidermal growth factor receptor (EGFR)-expressing, </w:t>
            </w:r>
            <w:r w:rsidRPr="00CE4CA2">
              <w:rPr>
                <w:iCs/>
              </w:rPr>
              <w:t>K-RAS</w:t>
            </w:r>
            <w:r w:rsidR="008729EC">
              <w:rPr>
                <w:rStyle w:val="FootnoteReference"/>
                <w:iCs/>
              </w:rPr>
              <w:footnoteReference w:id="1"/>
            </w:r>
            <w:r>
              <w:t xml:space="preserve"> wild-typ</w:t>
            </w:r>
            <w:r w:rsidR="007B7E55">
              <w:t>e metastatic colorectal cancer.</w:t>
            </w:r>
          </w:p>
          <w:p w:rsidR="00914ADA" w:rsidRPr="007B7E55" w:rsidRDefault="00914ADA" w:rsidP="007B7E55">
            <w:pPr>
              <w:pStyle w:val="ListBullet"/>
            </w:pPr>
            <w:r w:rsidRPr="007B7E55">
              <w:t xml:space="preserve">In combination with </w:t>
            </w:r>
            <w:proofErr w:type="spellStart"/>
            <w:r w:rsidRPr="007B7E55">
              <w:t>infusional</w:t>
            </w:r>
            <w:proofErr w:type="spellEnd"/>
            <w:r w:rsidRPr="007B7E55">
              <w:t xml:space="preserve"> 5-fluorouraci</w:t>
            </w:r>
            <w:r w:rsidR="007B7E55">
              <w:t>l/</w:t>
            </w:r>
            <w:proofErr w:type="spellStart"/>
            <w:r w:rsidR="007B7E55">
              <w:t>folinic</w:t>
            </w:r>
            <w:proofErr w:type="spellEnd"/>
            <w:r w:rsidR="007B7E55">
              <w:t xml:space="preserve"> acid plus </w:t>
            </w:r>
            <w:proofErr w:type="spellStart"/>
            <w:r w:rsidR="007B7E55">
              <w:t>irinotecan</w:t>
            </w:r>
            <w:proofErr w:type="spellEnd"/>
            <w:r w:rsidR="007B7E55">
              <w:t>.</w:t>
            </w:r>
          </w:p>
          <w:p w:rsidR="00914ADA" w:rsidRPr="007B7E55" w:rsidRDefault="00914ADA" w:rsidP="007B7E55">
            <w:pPr>
              <w:pStyle w:val="ListBullet"/>
            </w:pPr>
            <w:r w:rsidRPr="007B7E55">
              <w:t xml:space="preserve">In combination with </w:t>
            </w:r>
            <w:proofErr w:type="spellStart"/>
            <w:r w:rsidRPr="007B7E55">
              <w:t>irinotecan</w:t>
            </w:r>
            <w:proofErr w:type="spellEnd"/>
            <w:r w:rsidRPr="007B7E55">
              <w:t xml:space="preserve"> in patients who are refract</w:t>
            </w:r>
            <w:r w:rsidR="007B7E55">
              <w:t>ory to first-line chemotherapy.</w:t>
            </w:r>
          </w:p>
          <w:p w:rsidR="00914ADA" w:rsidRPr="007B7E55" w:rsidRDefault="00914ADA" w:rsidP="007B7E55">
            <w:pPr>
              <w:pStyle w:val="ListBullet"/>
            </w:pPr>
            <w:r w:rsidRPr="007B7E55">
              <w:t>In first-line in combination with FOLFOX</w:t>
            </w:r>
            <w:r w:rsidR="007B7E55">
              <w:t>.</w:t>
            </w:r>
          </w:p>
          <w:p w:rsidR="0047432C" w:rsidRPr="007B7E55" w:rsidRDefault="00914ADA" w:rsidP="007B7E55">
            <w:pPr>
              <w:pStyle w:val="ListBullet"/>
            </w:pPr>
            <w:r w:rsidRPr="007B7E55">
              <w:t xml:space="preserve">As a single agent in patients who have failed or are intolerant to </w:t>
            </w:r>
            <w:proofErr w:type="spellStart"/>
            <w:r w:rsidRPr="007B7E55">
              <w:t>oxaliplatin</w:t>
            </w:r>
            <w:proofErr w:type="spellEnd"/>
            <w:r w:rsidRPr="007B7E55">
              <w:t>-based therap</w:t>
            </w:r>
            <w:r w:rsidR="0047432C" w:rsidRPr="007B7E55">
              <w:t xml:space="preserve">y and </w:t>
            </w:r>
            <w:proofErr w:type="spellStart"/>
            <w:r w:rsidR="0047432C" w:rsidRPr="007B7E55">
              <w:t>irinotecan</w:t>
            </w:r>
            <w:proofErr w:type="spellEnd"/>
            <w:r w:rsidR="0047432C" w:rsidRPr="007B7E55">
              <w:t>-based therapy.</w:t>
            </w:r>
          </w:p>
          <w:p w:rsidR="008E7846" w:rsidRPr="00487162" w:rsidRDefault="00914ADA" w:rsidP="007B7E55">
            <w:pPr>
              <w:pStyle w:val="ListBullet"/>
              <w:rPr>
                <w:rFonts w:eastAsia="MS Mincho"/>
                <w:lang w:eastAsia="ja-JP"/>
              </w:rPr>
            </w:pPr>
            <w:r w:rsidRPr="007B7E55">
              <w:t>(See CLINICAL TRIALS)</w:t>
            </w:r>
          </w:p>
        </w:tc>
      </w:tr>
      <w:tr w:rsidR="008E7846" w:rsidRPr="00487162" w:rsidTr="00BF1190">
        <w:tc>
          <w:tcPr>
            <w:tcW w:w="2907" w:type="dxa"/>
          </w:tcPr>
          <w:p w:rsidR="008E7846" w:rsidRPr="00487162" w:rsidRDefault="008E7846" w:rsidP="0013730F">
            <w:pPr>
              <w:rPr>
                <w:i/>
              </w:rPr>
            </w:pPr>
            <w:r w:rsidRPr="00487162">
              <w:rPr>
                <w:i/>
              </w:rPr>
              <w:t>Route of administration:</w:t>
            </w:r>
          </w:p>
        </w:tc>
        <w:tc>
          <w:tcPr>
            <w:tcW w:w="6307" w:type="dxa"/>
          </w:tcPr>
          <w:p w:rsidR="008E7846" w:rsidRPr="00487162" w:rsidRDefault="00914ADA" w:rsidP="00E45619">
            <w:r>
              <w:t>Intravenous infusion</w:t>
            </w:r>
          </w:p>
        </w:tc>
      </w:tr>
      <w:tr w:rsidR="008E7846" w:rsidRPr="00487162" w:rsidTr="00BF1190">
        <w:tc>
          <w:tcPr>
            <w:tcW w:w="2907" w:type="dxa"/>
          </w:tcPr>
          <w:p w:rsidR="008E7846" w:rsidRPr="00487162" w:rsidRDefault="008E7846" w:rsidP="00E45619">
            <w:pPr>
              <w:rPr>
                <w:i/>
              </w:rPr>
            </w:pPr>
            <w:r w:rsidRPr="00487162">
              <w:rPr>
                <w:i/>
              </w:rPr>
              <w:t>Dosage</w:t>
            </w:r>
            <w:r w:rsidR="00914ADA">
              <w:rPr>
                <w:i/>
              </w:rPr>
              <w:t xml:space="preserve"> (abbreviated)</w:t>
            </w:r>
            <w:r w:rsidRPr="00487162">
              <w:rPr>
                <w:i/>
              </w:rPr>
              <w:t>:</w:t>
            </w:r>
          </w:p>
        </w:tc>
        <w:tc>
          <w:tcPr>
            <w:tcW w:w="6307" w:type="dxa"/>
          </w:tcPr>
          <w:p w:rsidR="008E7846" w:rsidRPr="00487162" w:rsidRDefault="00914ADA" w:rsidP="00914ADA">
            <w:r>
              <w:t>Erbitux is administered once a week for all indications. The initial dose is 400 mg cetuximab per m</w:t>
            </w:r>
            <w:r w:rsidRPr="00914ADA">
              <w:rPr>
                <w:vertAlign w:val="superscript"/>
              </w:rPr>
              <w:t>2</w:t>
            </w:r>
            <w:r>
              <w:t xml:space="preserve"> body surface area. The subsequent weekly doses are 250 mg/m</w:t>
            </w:r>
            <w:r w:rsidRPr="00914ADA">
              <w:rPr>
                <w:vertAlign w:val="superscript"/>
              </w:rPr>
              <w:t>2</w:t>
            </w:r>
            <w:r>
              <w:t xml:space="preserve"> each.</w:t>
            </w:r>
          </w:p>
        </w:tc>
      </w:tr>
      <w:tr w:rsidR="008E7846" w:rsidRPr="00487162" w:rsidTr="00BF1190">
        <w:tc>
          <w:tcPr>
            <w:tcW w:w="2907" w:type="dxa"/>
          </w:tcPr>
          <w:p w:rsidR="008E7846" w:rsidRPr="00487162" w:rsidRDefault="007B7E55" w:rsidP="0013730F">
            <w:pPr>
              <w:rPr>
                <w:i/>
              </w:rPr>
            </w:pPr>
            <w:r>
              <w:rPr>
                <w:i/>
              </w:rPr>
              <w:t>ARTG n</w:t>
            </w:r>
            <w:r w:rsidR="0013730F">
              <w:rPr>
                <w:i/>
              </w:rPr>
              <w:t>umber</w:t>
            </w:r>
            <w:r w:rsidR="008E7846" w:rsidRPr="00487162">
              <w:rPr>
                <w:i/>
              </w:rPr>
              <w:t>s</w:t>
            </w:r>
            <w:r w:rsidR="0013730F">
              <w:rPr>
                <w:i/>
              </w:rPr>
              <w:t>:</w:t>
            </w:r>
          </w:p>
        </w:tc>
        <w:tc>
          <w:tcPr>
            <w:tcW w:w="6307" w:type="dxa"/>
          </w:tcPr>
          <w:p w:rsidR="008E7846" w:rsidRPr="00487162" w:rsidRDefault="0094137B" w:rsidP="00E45619">
            <w:r>
              <w:t>132393 and 132396</w:t>
            </w:r>
          </w:p>
        </w:tc>
      </w:tr>
    </w:tbl>
    <w:p w:rsidR="008E7846" w:rsidRDefault="008E7846" w:rsidP="008E7846">
      <w:pPr>
        <w:pStyle w:val="Heading3"/>
      </w:pPr>
      <w:bookmarkStart w:id="7" w:name="_Toc247691503"/>
      <w:bookmarkStart w:id="8" w:name="_Toc314842484"/>
      <w:bookmarkStart w:id="9" w:name="_Toc368388452"/>
      <w:r>
        <w:lastRenderedPageBreak/>
        <w:t>Product background</w:t>
      </w:r>
      <w:bookmarkEnd w:id="7"/>
      <w:bookmarkEnd w:id="8"/>
      <w:bookmarkEnd w:id="9"/>
    </w:p>
    <w:p w:rsidR="00A82ED2" w:rsidRPr="003E6B7D" w:rsidRDefault="00A82ED2" w:rsidP="00A82ED2">
      <w:r w:rsidRPr="00A82ED2">
        <w:t>Cetuximab is a monoclonal antibody against epidermal growth factor receptor (EGFR; ErbB-1</w:t>
      </w:r>
      <w:r>
        <w:t xml:space="preserve">). </w:t>
      </w:r>
      <w:r w:rsidRPr="00A82ED2">
        <w:t>EGFR is over-expressed in many human cancers</w:t>
      </w:r>
      <w:r w:rsidR="007B7E55">
        <w:t>, including colorectal cancers.</w:t>
      </w:r>
    </w:p>
    <w:p w:rsidR="000E1CE8" w:rsidRDefault="003E6B7D" w:rsidP="00CF704F">
      <w:r w:rsidRPr="003E6B7D">
        <w:t xml:space="preserve">Erbitux injection solution </w:t>
      </w:r>
      <w:r w:rsidR="00003C55">
        <w:t xml:space="preserve">containing cetuximab </w:t>
      </w:r>
      <w:r w:rsidRPr="003E6B7D">
        <w:t>received initial registration on the Australian Regist</w:t>
      </w:r>
      <w:r w:rsidR="00A82ED2">
        <w:t>er of Therapeutic Goods (ARTG) i</w:t>
      </w:r>
      <w:r w:rsidRPr="003E6B7D">
        <w:t>n</w:t>
      </w:r>
      <w:r>
        <w:t xml:space="preserve"> </w:t>
      </w:r>
      <w:r w:rsidR="00A82ED2">
        <w:t>2005</w:t>
      </w:r>
      <w:r>
        <w:t>, for the following indication</w:t>
      </w:r>
      <w:r w:rsidR="00756A68">
        <w:t xml:space="preserve"> regarding metastatic colorectal cancer (</w:t>
      </w:r>
      <w:proofErr w:type="spellStart"/>
      <w:r w:rsidR="00756A68">
        <w:t>mCRC</w:t>
      </w:r>
      <w:proofErr w:type="spellEnd"/>
      <w:r w:rsidR="00756A68">
        <w:t>)</w:t>
      </w:r>
      <w:r>
        <w:t>:</w:t>
      </w:r>
    </w:p>
    <w:p w:rsidR="005301E5" w:rsidRDefault="003E6B7D" w:rsidP="000E1CE8">
      <w:pPr>
        <w:ind w:left="720"/>
        <w:rPr>
          <w:i/>
        </w:rPr>
      </w:pPr>
      <w:r w:rsidRPr="005301E5">
        <w:rPr>
          <w:i/>
        </w:rPr>
        <w:t xml:space="preserve">Cetuximab is indicated for the treatment of patients with metastatic colorectal cancer that has been demonstrated to </w:t>
      </w:r>
      <w:r w:rsidR="004A2C56">
        <w:rPr>
          <w:i/>
        </w:rPr>
        <w:t xml:space="preserve">be </w:t>
      </w:r>
      <w:r w:rsidRPr="005301E5">
        <w:rPr>
          <w:i/>
        </w:rPr>
        <w:t xml:space="preserve">epidermal growth factor receptor (EGFR) </w:t>
      </w:r>
      <w:r w:rsidR="004A2C56">
        <w:rPr>
          <w:i/>
        </w:rPr>
        <w:t xml:space="preserve">positive </w:t>
      </w:r>
      <w:r w:rsidRPr="005301E5">
        <w:rPr>
          <w:i/>
        </w:rPr>
        <w:t xml:space="preserve">and whose disease has progressed or is refractory to irinotecan based therapy. Cetuximab can be used at the doses recommended either in combination with irinotecan or as a single agent. </w:t>
      </w:r>
    </w:p>
    <w:p w:rsidR="006F30EF" w:rsidRDefault="00574EAE" w:rsidP="00574EAE">
      <w:pPr>
        <w:rPr>
          <w:i/>
        </w:rPr>
      </w:pPr>
      <w:r>
        <w:t>In 2007</w:t>
      </w:r>
      <w:r w:rsidRPr="00574EAE">
        <w:t xml:space="preserve">, Erbitux was also approved for use in the treatment of locally advanced </w:t>
      </w:r>
      <w:proofErr w:type="spellStart"/>
      <w:r w:rsidRPr="00574EAE">
        <w:t>squamous</w:t>
      </w:r>
      <w:proofErr w:type="spellEnd"/>
      <w:r w:rsidRPr="00574EAE">
        <w:t xml:space="preserve"> cell cancer of the head and neck, with the current indication in this context being: </w:t>
      </w:r>
      <w:r w:rsidRPr="00574EAE">
        <w:rPr>
          <w:i/>
        </w:rPr>
        <w:t xml:space="preserve">Erbitux is indicated for the treatment of patients with </w:t>
      </w:r>
      <w:proofErr w:type="spellStart"/>
      <w:r w:rsidRPr="00574EAE">
        <w:rPr>
          <w:i/>
        </w:rPr>
        <w:t>squamous</w:t>
      </w:r>
      <w:proofErr w:type="spellEnd"/>
      <w:r w:rsidRPr="00574EAE">
        <w:rPr>
          <w:i/>
        </w:rPr>
        <w:t xml:space="preserve"> cell cancer of the head and neck. In combination with radiation therapy for locally advanced disease; </w:t>
      </w:r>
      <w:proofErr w:type="gramStart"/>
      <w:r w:rsidRPr="00574EAE">
        <w:rPr>
          <w:i/>
        </w:rPr>
        <w:t>In</w:t>
      </w:r>
      <w:proofErr w:type="gramEnd"/>
      <w:r w:rsidRPr="00574EAE">
        <w:rPr>
          <w:i/>
        </w:rPr>
        <w:t xml:space="preserve"> combination with platinum-based chemotherapy for recur</w:t>
      </w:r>
      <w:r w:rsidR="007B7E55">
        <w:rPr>
          <w:i/>
        </w:rPr>
        <w:t>rent and/or metastatic disease.</w:t>
      </w:r>
    </w:p>
    <w:p w:rsidR="00574EAE" w:rsidRPr="00574EAE" w:rsidRDefault="00574EAE" w:rsidP="00574EAE">
      <w:r w:rsidRPr="00574EAE">
        <w:t xml:space="preserve">The application discussed in this AusPAR relates only to the indication for metastatic colorectal cancer and therefore the indication for locally advanced </w:t>
      </w:r>
      <w:proofErr w:type="spellStart"/>
      <w:r w:rsidRPr="00574EAE">
        <w:t>squamous</w:t>
      </w:r>
      <w:proofErr w:type="spellEnd"/>
      <w:r w:rsidRPr="00574EAE">
        <w:t xml:space="preserve"> cell cancer of the head and neck is not referred to at length in this AusPAR or in Attachment 2 of this AusPAR (Extract from the Clinical Evaluation Report).</w:t>
      </w:r>
    </w:p>
    <w:p w:rsidR="003E6B7D" w:rsidRDefault="005301E5" w:rsidP="003E6B7D">
      <w:r>
        <w:t xml:space="preserve">Following evaluation </w:t>
      </w:r>
      <w:r w:rsidR="00A84A5A">
        <w:t xml:space="preserve">by TGA </w:t>
      </w:r>
      <w:r>
        <w:t xml:space="preserve">of a variation application, the approved indications </w:t>
      </w:r>
      <w:r w:rsidR="00282750">
        <w:t xml:space="preserve">regarding </w:t>
      </w:r>
      <w:proofErr w:type="spellStart"/>
      <w:r w:rsidR="00282750">
        <w:t>mCRC</w:t>
      </w:r>
      <w:proofErr w:type="spellEnd"/>
      <w:r w:rsidR="00282750">
        <w:t xml:space="preserve"> </w:t>
      </w:r>
      <w:r>
        <w:t xml:space="preserve">were </w:t>
      </w:r>
      <w:r w:rsidR="003E6B7D">
        <w:t>revised in January 2010 to the following</w:t>
      </w:r>
      <w:r w:rsidR="005C7537">
        <w:t xml:space="preserve"> (which are identical to those approved in Europe at that time)</w:t>
      </w:r>
      <w:r w:rsidR="003E6B7D">
        <w:t>:</w:t>
      </w:r>
    </w:p>
    <w:p w:rsidR="003E6B7D" w:rsidRPr="00EA614B" w:rsidRDefault="003E6B7D" w:rsidP="00EA614B">
      <w:pPr>
        <w:ind w:left="360"/>
        <w:rPr>
          <w:i/>
        </w:rPr>
      </w:pPr>
      <w:r w:rsidRPr="00EA614B">
        <w:rPr>
          <w:i/>
        </w:rPr>
        <w:t>Erbitux is indicated for the treatment of patients with epidermal growth factor receptor (EGFR)-expressing, K-RAS</w:t>
      </w:r>
      <w:r w:rsidR="00C624F5">
        <w:rPr>
          <w:rStyle w:val="FootnoteReference"/>
          <w:i/>
        </w:rPr>
        <w:footnoteReference w:id="2"/>
      </w:r>
      <w:r w:rsidRPr="00EA614B">
        <w:rPr>
          <w:i/>
        </w:rPr>
        <w:t xml:space="preserve"> wild-type metastatic colorectal canc</w:t>
      </w:r>
      <w:r w:rsidR="007B7E55">
        <w:rPr>
          <w:i/>
        </w:rPr>
        <w:t>er.</w:t>
      </w:r>
    </w:p>
    <w:p w:rsidR="003E6B7D" w:rsidRPr="00EA614B" w:rsidRDefault="003E6B7D" w:rsidP="00EA614B">
      <w:pPr>
        <w:pStyle w:val="ListBullet"/>
        <w:ind w:left="720"/>
        <w:rPr>
          <w:i/>
        </w:rPr>
      </w:pPr>
      <w:r w:rsidRPr="00EA614B">
        <w:rPr>
          <w:i/>
        </w:rPr>
        <w:t>In</w:t>
      </w:r>
      <w:r w:rsidR="007B7E55">
        <w:rPr>
          <w:i/>
        </w:rPr>
        <w:t xml:space="preserve"> combination with chemotherapy.</w:t>
      </w:r>
    </w:p>
    <w:p w:rsidR="008C46D0" w:rsidRPr="00EA614B" w:rsidRDefault="003E6B7D" w:rsidP="00EA614B">
      <w:pPr>
        <w:pStyle w:val="ListBullet"/>
        <w:ind w:left="720"/>
        <w:rPr>
          <w:i/>
        </w:rPr>
      </w:pPr>
      <w:r w:rsidRPr="00EA614B">
        <w:rPr>
          <w:i/>
        </w:rPr>
        <w:t xml:space="preserve">As a single agent in patients who have failed or are intolerant to oxaliplatin - based therapy and </w:t>
      </w:r>
      <w:proofErr w:type="spellStart"/>
      <w:r w:rsidRPr="00EA614B">
        <w:rPr>
          <w:i/>
        </w:rPr>
        <w:t>irinotecan</w:t>
      </w:r>
      <w:proofErr w:type="spellEnd"/>
      <w:r w:rsidRPr="00EA614B">
        <w:rPr>
          <w:i/>
        </w:rPr>
        <w:t>-base</w:t>
      </w:r>
      <w:r w:rsidR="007B7E55">
        <w:rPr>
          <w:i/>
        </w:rPr>
        <w:t>d therapy.</w:t>
      </w:r>
    </w:p>
    <w:p w:rsidR="0047432C" w:rsidRDefault="005301E5" w:rsidP="00282750">
      <w:r w:rsidRPr="00EA614B">
        <w:t xml:space="preserve">In 2011, the sponsor advised the TGA that </w:t>
      </w:r>
      <w:r w:rsidR="00EA614B">
        <w:t xml:space="preserve">the </w:t>
      </w:r>
      <w:r w:rsidR="006203B4">
        <w:t xml:space="preserve">European Medicines Agency (EMA) </w:t>
      </w:r>
      <w:r w:rsidR="00EA614B" w:rsidRPr="00EA614B">
        <w:t>Committee for Medicinal Products for Human Use (CHMP)</w:t>
      </w:r>
      <w:r w:rsidR="006203B4">
        <w:t xml:space="preserve"> had </w:t>
      </w:r>
      <w:r w:rsidR="00C624F5">
        <w:t xml:space="preserve">assessed </w:t>
      </w:r>
      <w:r w:rsidR="00574EAE">
        <w:t xml:space="preserve">newly reported </w:t>
      </w:r>
      <w:r w:rsidR="006203B4">
        <w:t>clinical</w:t>
      </w:r>
      <w:r w:rsidR="00EA755F">
        <w:t xml:space="preserve"> trial data for </w:t>
      </w:r>
      <w:proofErr w:type="spellStart"/>
      <w:r w:rsidR="00EA755F">
        <w:t>cetuximab</w:t>
      </w:r>
      <w:proofErr w:type="spellEnd"/>
      <w:r w:rsidR="006203B4">
        <w:t xml:space="preserve"> </w:t>
      </w:r>
      <w:r w:rsidR="00FC5A6E">
        <w:t xml:space="preserve">in </w:t>
      </w:r>
      <w:proofErr w:type="spellStart"/>
      <w:r w:rsidR="00FC5A6E">
        <w:t>mCRC</w:t>
      </w:r>
      <w:proofErr w:type="spellEnd"/>
      <w:r w:rsidR="00FC5A6E">
        <w:t xml:space="preserve"> </w:t>
      </w:r>
      <w:r w:rsidR="00E412E0">
        <w:t xml:space="preserve">from an investigator-sponsored trial, the </w:t>
      </w:r>
      <w:proofErr w:type="spellStart"/>
      <w:r w:rsidR="00E412E0" w:rsidRPr="00E412E0">
        <w:t>COntinuous</w:t>
      </w:r>
      <w:proofErr w:type="spellEnd"/>
      <w:r w:rsidR="00E412E0" w:rsidRPr="00E412E0">
        <w:t xml:space="preserve"> chemotherapy plus </w:t>
      </w:r>
      <w:proofErr w:type="spellStart"/>
      <w:r w:rsidR="00E412E0" w:rsidRPr="00E412E0">
        <w:t>cetuximab</w:t>
      </w:r>
      <w:proofErr w:type="spellEnd"/>
      <w:r w:rsidR="00E412E0" w:rsidRPr="00E412E0">
        <w:t xml:space="preserve"> or </w:t>
      </w:r>
      <w:proofErr w:type="spellStart"/>
      <w:r w:rsidR="00E412E0" w:rsidRPr="00E412E0">
        <w:t>INtermittent</w:t>
      </w:r>
      <w:proofErr w:type="spellEnd"/>
      <w:r w:rsidR="00E412E0" w:rsidRPr="00E412E0">
        <w:t xml:space="preserve"> chemotherapy (COIN) Study</w:t>
      </w:r>
      <w:r w:rsidR="00E412E0">
        <w:t>,</w:t>
      </w:r>
      <w:r w:rsidR="00E412E0" w:rsidRPr="00E412E0">
        <w:t xml:space="preserve"> </w:t>
      </w:r>
      <w:r w:rsidR="00FC5A6E">
        <w:t xml:space="preserve">and </w:t>
      </w:r>
      <w:r w:rsidR="006203B4">
        <w:t xml:space="preserve">found </w:t>
      </w:r>
      <w:r w:rsidR="006203B4" w:rsidRPr="006203B4">
        <w:t xml:space="preserve">no improvement could be shown for key efficacy parameters, Overall Survival (OS) and Progression Free Survival (PFS), particularly in patients who received combination therapy with oral </w:t>
      </w:r>
      <w:proofErr w:type="spellStart"/>
      <w:r w:rsidR="006203B4" w:rsidRPr="006203B4">
        <w:t>capecitabine+oxaliplatin</w:t>
      </w:r>
      <w:proofErr w:type="spellEnd"/>
      <w:r w:rsidR="006203B4" w:rsidRPr="006203B4">
        <w:t xml:space="preserve"> (XELOX)</w:t>
      </w:r>
      <w:r w:rsidR="00EA614B">
        <w:t xml:space="preserve">. </w:t>
      </w:r>
      <w:r w:rsidR="006203B4">
        <w:t xml:space="preserve">The CHMP recommended the indications for </w:t>
      </w:r>
      <w:r w:rsidR="005C7537">
        <w:t xml:space="preserve">use of </w:t>
      </w:r>
      <w:r w:rsidR="006203B4">
        <w:t xml:space="preserve">cetuximab </w:t>
      </w:r>
      <w:r w:rsidR="005C7537" w:rsidRPr="005C7537">
        <w:rPr>
          <w:i/>
        </w:rPr>
        <w:t>in combination with chemotherapy</w:t>
      </w:r>
      <w:r w:rsidR="005C7537">
        <w:t xml:space="preserve"> </w:t>
      </w:r>
      <w:r w:rsidR="006203B4">
        <w:t>be revised to reflect these finding</w:t>
      </w:r>
      <w:r w:rsidR="005C7537">
        <w:t>s</w:t>
      </w:r>
      <w:r w:rsidR="007B7E55">
        <w:t>.</w:t>
      </w:r>
    </w:p>
    <w:p w:rsidR="00282750" w:rsidRPr="00282750" w:rsidRDefault="006203B4" w:rsidP="00282750">
      <w:r>
        <w:t>The indication</w:t>
      </w:r>
      <w:r w:rsidR="0047432C">
        <w:t>s</w:t>
      </w:r>
      <w:r>
        <w:t xml:space="preserve"> subsequently </w:t>
      </w:r>
      <w:r w:rsidR="00EA614B">
        <w:t xml:space="preserve">approved </w:t>
      </w:r>
      <w:r w:rsidR="00282750">
        <w:t xml:space="preserve">for inclusion in the </w:t>
      </w:r>
      <w:r w:rsidR="00003C55">
        <w:t xml:space="preserve">EU </w:t>
      </w:r>
      <w:r w:rsidR="00282750">
        <w:t>Summary of Medicine Characteristics (</w:t>
      </w:r>
      <w:proofErr w:type="spellStart"/>
      <w:r w:rsidR="00282750">
        <w:t>SmPC</w:t>
      </w:r>
      <w:proofErr w:type="spellEnd"/>
      <w:r w:rsidR="00282750">
        <w:t xml:space="preserve">) relating to </w:t>
      </w:r>
      <w:proofErr w:type="spellStart"/>
      <w:r w:rsidR="00282750">
        <w:t>mCRC</w:t>
      </w:r>
      <w:proofErr w:type="spellEnd"/>
      <w:r w:rsidR="00282750">
        <w:t xml:space="preserve"> were</w:t>
      </w:r>
      <w:r w:rsidR="007B7E55">
        <w:t>:</w:t>
      </w:r>
    </w:p>
    <w:p w:rsidR="00EA614B" w:rsidRPr="00282750" w:rsidRDefault="00EA614B" w:rsidP="00282750">
      <w:pPr>
        <w:ind w:left="360"/>
        <w:rPr>
          <w:i/>
        </w:rPr>
      </w:pPr>
      <w:r w:rsidRPr="00282750">
        <w:rPr>
          <w:i/>
        </w:rPr>
        <w:t>Erbitux is indicated for the treatment of patients with epidermal growth factor receptor (EGFR)-expressing, K</w:t>
      </w:r>
      <w:r w:rsidR="00CA0972">
        <w:rPr>
          <w:i/>
        </w:rPr>
        <w:t>-</w:t>
      </w:r>
      <w:r w:rsidRPr="00282750">
        <w:rPr>
          <w:i/>
        </w:rPr>
        <w:t>RAS wild-ty</w:t>
      </w:r>
      <w:r w:rsidR="007B7E55">
        <w:rPr>
          <w:i/>
        </w:rPr>
        <w:t>pe metastatic colorectal cancer</w:t>
      </w:r>
    </w:p>
    <w:p w:rsidR="00EA614B" w:rsidRPr="00282750" w:rsidRDefault="00EA614B" w:rsidP="00282750">
      <w:pPr>
        <w:pStyle w:val="ListBullet"/>
        <w:ind w:left="720"/>
        <w:rPr>
          <w:i/>
        </w:rPr>
      </w:pPr>
      <w:r w:rsidRPr="00282750">
        <w:rPr>
          <w:i/>
        </w:rPr>
        <w:lastRenderedPageBreak/>
        <w:t>in combination with irinotecan-based chemotherapy or FOLFOX4</w:t>
      </w:r>
      <w:r w:rsidR="00FC5A6E">
        <w:rPr>
          <w:rStyle w:val="FootnoteReference"/>
          <w:i/>
        </w:rPr>
        <w:footnoteReference w:id="3"/>
      </w:r>
    </w:p>
    <w:p w:rsidR="00EA614B" w:rsidRPr="00282750" w:rsidRDefault="00EA614B" w:rsidP="00282750">
      <w:pPr>
        <w:pStyle w:val="ListBullet"/>
        <w:ind w:left="720"/>
        <w:rPr>
          <w:i/>
        </w:rPr>
      </w:pPr>
      <w:proofErr w:type="gramStart"/>
      <w:r w:rsidRPr="00282750">
        <w:rPr>
          <w:i/>
        </w:rPr>
        <w:t>as</w:t>
      </w:r>
      <w:proofErr w:type="gramEnd"/>
      <w:r w:rsidRPr="00282750">
        <w:rPr>
          <w:i/>
        </w:rPr>
        <w:t xml:space="preserve"> a single agent in patients who have failed oxaliplatin- and irinotecan-based therapy and wh</w:t>
      </w:r>
      <w:r w:rsidR="0085312F">
        <w:rPr>
          <w:i/>
        </w:rPr>
        <w:t xml:space="preserve">o are intolerant to </w:t>
      </w:r>
      <w:proofErr w:type="spellStart"/>
      <w:r w:rsidR="0085312F">
        <w:rPr>
          <w:i/>
        </w:rPr>
        <w:t>irinotecan</w:t>
      </w:r>
      <w:proofErr w:type="spellEnd"/>
      <w:r w:rsidR="0085312F">
        <w:rPr>
          <w:i/>
        </w:rPr>
        <w:t>.</w:t>
      </w:r>
    </w:p>
    <w:p w:rsidR="005301E5" w:rsidRPr="00282750" w:rsidRDefault="00282750" w:rsidP="00282750">
      <w:r>
        <w:t>Therefore, t</w:t>
      </w:r>
      <w:r w:rsidR="005301E5" w:rsidRPr="00282750">
        <w:t>reatment with XELOX w</w:t>
      </w:r>
      <w:r w:rsidR="00756A68">
        <w:t xml:space="preserve">ould </w:t>
      </w:r>
      <w:r w:rsidR="005301E5" w:rsidRPr="00282750">
        <w:t>no longer be an option with the revised indication.</w:t>
      </w:r>
    </w:p>
    <w:p w:rsidR="00282750" w:rsidRDefault="00003C55" w:rsidP="00EA614B">
      <w:r>
        <w:t>In view of the above development, the TGA advised the sponsor that</w:t>
      </w:r>
      <w:r w:rsidR="000E1CE8">
        <w:t>:</w:t>
      </w:r>
      <w:r>
        <w:t xml:space="preserve"> </w:t>
      </w:r>
      <w:r w:rsidR="0098545B">
        <w:t>“g</w:t>
      </w:r>
      <w:r w:rsidR="00C8593A" w:rsidRPr="00C8593A">
        <w:t>iven the evidence of lack of efficacy when cetuximab is used in combination with chemothe</w:t>
      </w:r>
      <w:r w:rsidR="0098545B">
        <w:t>rapy regimens other than FOLFOX</w:t>
      </w:r>
      <w:r w:rsidR="00C8593A" w:rsidRPr="00C8593A">
        <w:t>4 and irinotecan, it is strongly recommended that you consider restricting the indication in Australia along similar lines to that now approved in Europe. A restriction to the indication could be implemented through a safety-related notification (SRN</w:t>
      </w:r>
      <w:r w:rsidR="00FC5A6E">
        <w:rPr>
          <w:rStyle w:val="FootnoteReference"/>
        </w:rPr>
        <w:footnoteReference w:id="4"/>
      </w:r>
      <w:r w:rsidR="00C8593A" w:rsidRPr="00C8593A">
        <w:t>).”</w:t>
      </w:r>
      <w:r>
        <w:t xml:space="preserve"> </w:t>
      </w:r>
      <w:r w:rsidR="00282750">
        <w:t xml:space="preserve">If </w:t>
      </w:r>
      <w:r w:rsidR="00354C4B">
        <w:t>the sponsor wished to further</w:t>
      </w:r>
      <w:r w:rsidR="00EA54E4">
        <w:t xml:space="preserve"> amend</w:t>
      </w:r>
      <w:r w:rsidR="00282750">
        <w:t xml:space="preserve"> the indication</w:t>
      </w:r>
      <w:r w:rsidR="00EA54E4">
        <w:t>s</w:t>
      </w:r>
      <w:r w:rsidR="00282750">
        <w:t xml:space="preserve">, </w:t>
      </w:r>
      <w:r w:rsidR="00354C4B">
        <w:t xml:space="preserve">a full application with supporting data would need </w:t>
      </w:r>
      <w:r w:rsidR="0085312F">
        <w:t>to be submitted for evaluation.</w:t>
      </w:r>
    </w:p>
    <w:p w:rsidR="00756A68" w:rsidRDefault="00756A68" w:rsidP="00EA614B">
      <w:r>
        <w:t xml:space="preserve">The sponsor subsequently amended the </w:t>
      </w:r>
      <w:r w:rsidR="00C624F5">
        <w:t xml:space="preserve">Australian </w:t>
      </w:r>
      <w:r>
        <w:t>indication via a SRN to the following</w:t>
      </w:r>
      <w:r w:rsidR="000E1CE8">
        <w:t xml:space="preserve"> (current) indication</w:t>
      </w:r>
      <w:r>
        <w:t>:</w:t>
      </w:r>
    </w:p>
    <w:p w:rsidR="008C46D0" w:rsidRPr="00756A68" w:rsidRDefault="003E6B7D" w:rsidP="00756A68">
      <w:pPr>
        <w:ind w:left="360"/>
        <w:rPr>
          <w:i/>
        </w:rPr>
      </w:pPr>
      <w:r w:rsidRPr="00756A68">
        <w:rPr>
          <w:i/>
        </w:rPr>
        <w:t>Erbitux is indicated for the treatment of patients with epidermal growth factor receptor (EGFR)-expressing, K-RAS wild-typ</w:t>
      </w:r>
      <w:r w:rsidR="0085312F">
        <w:rPr>
          <w:i/>
        </w:rPr>
        <w:t>e metastatic colorectal cancer.</w:t>
      </w:r>
    </w:p>
    <w:p w:rsidR="008C46D0" w:rsidRPr="00756A68" w:rsidRDefault="003E6B7D" w:rsidP="00756A68">
      <w:pPr>
        <w:pStyle w:val="ListBullet"/>
        <w:ind w:left="720"/>
        <w:rPr>
          <w:i/>
        </w:rPr>
      </w:pPr>
      <w:r w:rsidRPr="00756A68">
        <w:rPr>
          <w:i/>
        </w:rPr>
        <w:t xml:space="preserve">In combination with irinotecan-based chemotherapy or continuous infusional 5-fluorouracil/folinic acid plus </w:t>
      </w:r>
      <w:proofErr w:type="spellStart"/>
      <w:r w:rsidRPr="00756A68">
        <w:rPr>
          <w:i/>
        </w:rPr>
        <w:t>oxaliplatin</w:t>
      </w:r>
      <w:proofErr w:type="spellEnd"/>
      <w:r w:rsidRPr="00756A68">
        <w:rPr>
          <w:i/>
        </w:rPr>
        <w:t xml:space="preserve"> (see CLINICAL TRIALS).</w:t>
      </w:r>
    </w:p>
    <w:p w:rsidR="008C46D0" w:rsidRPr="00756A68" w:rsidRDefault="003E6B7D" w:rsidP="00756A68">
      <w:pPr>
        <w:pStyle w:val="ListBullet"/>
        <w:ind w:left="720"/>
        <w:rPr>
          <w:i/>
        </w:rPr>
      </w:pPr>
      <w:r w:rsidRPr="00756A68">
        <w:rPr>
          <w:i/>
        </w:rPr>
        <w:t xml:space="preserve">As a single agent in patients who have failed or are intolerant to oxaliplatin - based therapy and </w:t>
      </w:r>
      <w:proofErr w:type="spellStart"/>
      <w:r w:rsidRPr="00756A68">
        <w:rPr>
          <w:i/>
        </w:rPr>
        <w:t>irinotecan</w:t>
      </w:r>
      <w:proofErr w:type="spellEnd"/>
      <w:r w:rsidRPr="00756A68">
        <w:rPr>
          <w:i/>
        </w:rPr>
        <w:t>-ba</w:t>
      </w:r>
      <w:r w:rsidR="0085312F">
        <w:rPr>
          <w:i/>
        </w:rPr>
        <w:t>sed therapy.</w:t>
      </w:r>
    </w:p>
    <w:p w:rsidR="0098545B" w:rsidRDefault="00E758BE" w:rsidP="004656AC">
      <w:r>
        <w:t xml:space="preserve">While the revised indication </w:t>
      </w:r>
      <w:r w:rsidR="00C624F5">
        <w:t xml:space="preserve">is </w:t>
      </w:r>
      <w:r>
        <w:t xml:space="preserve">more restrictive than </w:t>
      </w:r>
      <w:r w:rsidR="00F6588A">
        <w:t xml:space="preserve">that </w:t>
      </w:r>
      <w:r w:rsidR="005C7537">
        <w:t xml:space="preserve">previously </w:t>
      </w:r>
      <w:r w:rsidR="00F6588A">
        <w:t xml:space="preserve">approved </w:t>
      </w:r>
      <w:r w:rsidR="00EA755F">
        <w:t>in Australia</w:t>
      </w:r>
      <w:r>
        <w:t xml:space="preserve">, it </w:t>
      </w:r>
      <w:r w:rsidR="0098545B">
        <w:t xml:space="preserve">was </w:t>
      </w:r>
      <w:r w:rsidR="00EC65A4">
        <w:t xml:space="preserve">nevertheless </w:t>
      </w:r>
      <w:r w:rsidR="0098545B">
        <w:t xml:space="preserve">broader than recommended by the CHMP and therefore </w:t>
      </w:r>
      <w:r w:rsidR="00EC65A4">
        <w:t xml:space="preserve">required </w:t>
      </w:r>
      <w:r w:rsidR="00F6588A">
        <w:t>justification</w:t>
      </w:r>
      <w:r w:rsidR="0098545B">
        <w:t xml:space="preserve"> on the basis</w:t>
      </w:r>
      <w:r w:rsidR="0085312F">
        <w:t xml:space="preserve"> of data for evaluation by TGA.</w:t>
      </w:r>
    </w:p>
    <w:p w:rsidR="00CF704F" w:rsidRPr="00CF704F" w:rsidRDefault="0098545B" w:rsidP="00CF704F">
      <w:r>
        <w:t xml:space="preserve">This AusPAR describes the application by Merck </w:t>
      </w:r>
      <w:proofErr w:type="spellStart"/>
      <w:r>
        <w:t>Serono</w:t>
      </w:r>
      <w:proofErr w:type="spellEnd"/>
      <w:r>
        <w:t xml:space="preserve"> Australia Pty Ltd </w:t>
      </w:r>
      <w:r w:rsidR="000E1CE8">
        <w:t xml:space="preserve">(the sponsor) </w:t>
      </w:r>
      <w:r>
        <w:t>to justify the indication</w:t>
      </w:r>
      <w:r w:rsidR="00CF704F">
        <w:t xml:space="preserve"> described above, in particular </w:t>
      </w:r>
      <w:r w:rsidR="000E1CE8">
        <w:t>the [</w:t>
      </w:r>
      <w:r w:rsidR="00CF704F">
        <w:t xml:space="preserve">use </w:t>
      </w:r>
      <w:r w:rsidR="000E1CE8">
        <w:t xml:space="preserve">of cetuximab] </w:t>
      </w:r>
      <w:r w:rsidR="00CF704F" w:rsidRPr="00CF704F">
        <w:rPr>
          <w:i/>
        </w:rPr>
        <w:t xml:space="preserve">in combination with </w:t>
      </w:r>
      <w:r w:rsidR="00CF704F" w:rsidRPr="00CF704F">
        <w:rPr>
          <w:i/>
          <w:u w:val="single"/>
        </w:rPr>
        <w:t>irinotecan-based chemotherapy or continuous infusional 5-fluorouracil/folinic acid plus oxaliplatin</w:t>
      </w:r>
      <w:r w:rsidR="00CF704F">
        <w:rPr>
          <w:i/>
          <w:u w:val="single"/>
        </w:rPr>
        <w:t>.</w:t>
      </w:r>
      <w:r w:rsidR="00CF704F" w:rsidRPr="00CF704F">
        <w:t xml:space="preserve"> </w:t>
      </w:r>
    </w:p>
    <w:p w:rsidR="00CF704F" w:rsidRDefault="00CF704F" w:rsidP="008E7846">
      <w:r>
        <w:t xml:space="preserve">Additional changes </w:t>
      </w:r>
      <w:r w:rsidR="00EA54E4">
        <w:t xml:space="preserve">were also </w:t>
      </w:r>
      <w:r>
        <w:t xml:space="preserve">proposed to the Product Information </w:t>
      </w:r>
      <w:r w:rsidR="00EA54E4">
        <w:t xml:space="preserve">(PI); </w:t>
      </w:r>
      <w:r w:rsidR="005C7537">
        <w:t xml:space="preserve">details of </w:t>
      </w:r>
      <w:r w:rsidR="00EA54E4">
        <w:t>these are beyond the scope of the</w:t>
      </w:r>
      <w:r>
        <w:t xml:space="preserve"> AusPAR.</w:t>
      </w:r>
    </w:p>
    <w:p w:rsidR="008E7846" w:rsidRPr="003F31A2" w:rsidRDefault="00386150" w:rsidP="008E7846">
      <w:pPr>
        <w:pStyle w:val="Heading3"/>
      </w:pPr>
      <w:bookmarkStart w:id="10" w:name="_Toc314842485"/>
      <w:bookmarkStart w:id="11" w:name="_Toc368388453"/>
      <w:bookmarkStart w:id="12" w:name="_Toc247691504"/>
      <w:r>
        <w:t>Regulatory s</w:t>
      </w:r>
      <w:r w:rsidR="008E7846">
        <w:t>tatus</w:t>
      </w:r>
      <w:bookmarkEnd w:id="10"/>
      <w:bookmarkEnd w:id="11"/>
      <w:bookmarkEnd w:id="12"/>
    </w:p>
    <w:p w:rsidR="008E7846" w:rsidRDefault="003E6B7D" w:rsidP="008E7846">
      <w:r>
        <w:t xml:space="preserve">Erbitux injection solution </w:t>
      </w:r>
      <w:r w:rsidR="008E7846">
        <w:t xml:space="preserve">received initial </w:t>
      </w:r>
      <w:r>
        <w:t xml:space="preserve">registration on the </w:t>
      </w:r>
      <w:r w:rsidR="008E7846">
        <w:t xml:space="preserve">ARTG </w:t>
      </w:r>
      <w:r w:rsidR="00A8661A">
        <w:t>in 2005</w:t>
      </w:r>
      <w:r w:rsidR="002424E9">
        <w:t>.</w:t>
      </w:r>
      <w:r w:rsidR="00EA755F">
        <w:t xml:space="preserve"> See also </w:t>
      </w:r>
      <w:r w:rsidR="00EA755F" w:rsidRPr="009F76C5">
        <w:rPr>
          <w:i/>
          <w:iCs/>
        </w:rPr>
        <w:t>Background</w:t>
      </w:r>
      <w:r w:rsidR="00EA755F">
        <w:t>, above.</w:t>
      </w:r>
      <w:r w:rsidR="00C624F5">
        <w:t xml:space="preserve"> </w:t>
      </w:r>
      <w:r w:rsidR="00EA755F">
        <w:t xml:space="preserve">The international regulatory status </w:t>
      </w:r>
      <w:r w:rsidR="009F76C5">
        <w:t xml:space="preserve">for </w:t>
      </w:r>
      <w:proofErr w:type="spellStart"/>
      <w:r w:rsidR="009F76C5">
        <w:t>cetuximab</w:t>
      </w:r>
      <w:proofErr w:type="spellEnd"/>
      <w:r w:rsidR="009F76C5">
        <w:t xml:space="preserve"> in </w:t>
      </w:r>
      <w:proofErr w:type="spellStart"/>
      <w:r w:rsidR="009F76C5">
        <w:t>mCRC</w:t>
      </w:r>
      <w:proofErr w:type="spellEnd"/>
      <w:r w:rsidR="009F76C5">
        <w:t xml:space="preserve"> </w:t>
      </w:r>
      <w:r w:rsidR="00EA755F">
        <w:t>at the time this application was reviewed by the TGA</w:t>
      </w:r>
      <w:r w:rsidR="00C624F5">
        <w:t xml:space="preserve"> is shown in Table 1</w:t>
      </w:r>
      <w:r w:rsidR="001C5FF9">
        <w:t>.</w:t>
      </w:r>
    </w:p>
    <w:p w:rsidR="00307105" w:rsidRPr="005D17E8" w:rsidRDefault="005D17E8" w:rsidP="001C5FF9">
      <w:pPr>
        <w:pStyle w:val="TableTitle"/>
      </w:pPr>
      <w:proofErr w:type="gramStart"/>
      <w:r w:rsidRPr="005D17E8">
        <w:lastRenderedPageBreak/>
        <w:t>Table 1.</w:t>
      </w:r>
      <w:proofErr w:type="gramEnd"/>
      <w:r w:rsidRPr="005D17E8">
        <w:t xml:space="preserve"> Erbitux in metastatic colorectal cancer; overseas regulatory status</w:t>
      </w:r>
    </w:p>
    <w:tbl>
      <w:tblPr>
        <w:tblStyle w:val="TableTGAblue"/>
        <w:tblW w:w="0" w:type="auto"/>
        <w:tblInd w:w="108" w:type="dxa"/>
        <w:tblLayout w:type="fixed"/>
        <w:tblLook w:val="04A0"/>
      </w:tblPr>
      <w:tblGrid>
        <w:gridCol w:w="1276"/>
        <w:gridCol w:w="1134"/>
        <w:gridCol w:w="5954"/>
      </w:tblGrid>
      <w:tr w:rsidR="00307105" w:rsidRPr="00307105" w:rsidTr="001C5FF9">
        <w:trPr>
          <w:cnfStyle w:val="100000000000"/>
          <w:tblHeader/>
        </w:trPr>
        <w:tc>
          <w:tcPr>
            <w:tcW w:w="1276" w:type="dxa"/>
          </w:tcPr>
          <w:p w:rsidR="00307105" w:rsidRPr="00307105" w:rsidRDefault="00307105" w:rsidP="0047432C">
            <w:pPr>
              <w:keepNext/>
              <w:spacing w:line="240" w:lineRule="auto"/>
              <w:ind w:left="0" w:right="0"/>
              <w:rPr>
                <w:sz w:val="18"/>
                <w:szCs w:val="18"/>
              </w:rPr>
            </w:pPr>
            <w:r w:rsidRPr="00307105">
              <w:rPr>
                <w:sz w:val="18"/>
                <w:szCs w:val="18"/>
              </w:rPr>
              <w:t>Country/</w:t>
            </w:r>
            <w:r w:rsidR="006A501E">
              <w:rPr>
                <w:sz w:val="18"/>
                <w:szCs w:val="18"/>
              </w:rPr>
              <w:br/>
              <w:t>Region</w:t>
            </w:r>
          </w:p>
        </w:tc>
        <w:tc>
          <w:tcPr>
            <w:tcW w:w="1134" w:type="dxa"/>
          </w:tcPr>
          <w:p w:rsidR="00307105" w:rsidRPr="00307105" w:rsidRDefault="00307105" w:rsidP="0047432C">
            <w:pPr>
              <w:keepNext/>
              <w:spacing w:line="240" w:lineRule="auto"/>
              <w:ind w:left="0" w:right="0"/>
              <w:rPr>
                <w:sz w:val="18"/>
                <w:szCs w:val="18"/>
              </w:rPr>
            </w:pPr>
            <w:r w:rsidRPr="00307105">
              <w:rPr>
                <w:sz w:val="18"/>
                <w:szCs w:val="18"/>
              </w:rPr>
              <w:t>Approval date</w:t>
            </w:r>
          </w:p>
        </w:tc>
        <w:tc>
          <w:tcPr>
            <w:tcW w:w="5954" w:type="dxa"/>
          </w:tcPr>
          <w:p w:rsidR="00307105" w:rsidRPr="00307105" w:rsidRDefault="00307105" w:rsidP="0047432C">
            <w:pPr>
              <w:keepNext/>
              <w:spacing w:line="240" w:lineRule="auto"/>
              <w:ind w:left="0" w:right="0"/>
              <w:rPr>
                <w:sz w:val="18"/>
                <w:szCs w:val="18"/>
              </w:rPr>
            </w:pPr>
            <w:r w:rsidRPr="00307105">
              <w:rPr>
                <w:sz w:val="18"/>
                <w:szCs w:val="18"/>
              </w:rPr>
              <w:t xml:space="preserve">Approved indications (for </w:t>
            </w:r>
            <w:proofErr w:type="spellStart"/>
            <w:r w:rsidRPr="00307105">
              <w:rPr>
                <w:sz w:val="18"/>
                <w:szCs w:val="18"/>
              </w:rPr>
              <w:t>mCRC</w:t>
            </w:r>
            <w:proofErr w:type="spellEnd"/>
            <w:r w:rsidRPr="00307105">
              <w:rPr>
                <w:sz w:val="18"/>
                <w:szCs w:val="18"/>
              </w:rPr>
              <w:t>)</w:t>
            </w:r>
          </w:p>
        </w:tc>
      </w:tr>
      <w:tr w:rsidR="00307105" w:rsidRPr="00307105" w:rsidTr="006A501E">
        <w:tc>
          <w:tcPr>
            <w:tcW w:w="1276" w:type="dxa"/>
          </w:tcPr>
          <w:p w:rsidR="00307105" w:rsidRPr="00307105" w:rsidRDefault="00307105" w:rsidP="0047432C">
            <w:pPr>
              <w:keepNext/>
              <w:spacing w:before="0" w:after="0" w:line="240" w:lineRule="auto"/>
              <w:ind w:left="0" w:right="0"/>
              <w:rPr>
                <w:sz w:val="18"/>
                <w:szCs w:val="18"/>
              </w:rPr>
            </w:pPr>
            <w:r w:rsidRPr="00307105">
              <w:rPr>
                <w:sz w:val="18"/>
                <w:szCs w:val="18"/>
              </w:rPr>
              <w:t>European Union</w:t>
            </w:r>
            <w:r w:rsidR="00E67ABF">
              <w:rPr>
                <w:sz w:val="18"/>
                <w:szCs w:val="18"/>
              </w:rPr>
              <w:t xml:space="preserve"> </w:t>
            </w:r>
            <w:r w:rsidRPr="00307105">
              <w:rPr>
                <w:sz w:val="18"/>
                <w:szCs w:val="18"/>
              </w:rPr>
              <w:t>(centralised)</w:t>
            </w:r>
          </w:p>
        </w:tc>
        <w:tc>
          <w:tcPr>
            <w:tcW w:w="1134" w:type="dxa"/>
          </w:tcPr>
          <w:p w:rsidR="00307105" w:rsidRPr="00307105" w:rsidRDefault="00307105" w:rsidP="0047432C">
            <w:pPr>
              <w:keepNext/>
              <w:spacing w:before="0" w:after="0" w:line="240" w:lineRule="auto"/>
              <w:ind w:left="0" w:right="0"/>
              <w:rPr>
                <w:sz w:val="18"/>
                <w:szCs w:val="18"/>
              </w:rPr>
            </w:pPr>
            <w:r w:rsidRPr="00307105">
              <w:rPr>
                <w:sz w:val="18"/>
                <w:szCs w:val="18"/>
              </w:rPr>
              <w:t>February 2012</w:t>
            </w:r>
          </w:p>
        </w:tc>
        <w:tc>
          <w:tcPr>
            <w:tcW w:w="5954" w:type="dxa"/>
          </w:tcPr>
          <w:p w:rsidR="00307105" w:rsidRPr="00307105" w:rsidRDefault="00307105" w:rsidP="0047432C">
            <w:pPr>
              <w:keepNext/>
              <w:spacing w:before="0" w:after="0" w:line="240" w:lineRule="auto"/>
              <w:ind w:left="0" w:right="0"/>
              <w:rPr>
                <w:sz w:val="18"/>
                <w:szCs w:val="18"/>
              </w:rPr>
            </w:pPr>
            <w:r w:rsidRPr="00307105">
              <w:rPr>
                <w:sz w:val="18"/>
                <w:szCs w:val="18"/>
              </w:rPr>
              <w:t>Erbitux is indicated for the treatment of patients with epidermal growth factor</w:t>
            </w:r>
            <w:r w:rsidR="00E412E0">
              <w:rPr>
                <w:sz w:val="18"/>
                <w:szCs w:val="18"/>
              </w:rPr>
              <w:t xml:space="preserve"> </w:t>
            </w:r>
            <w:r w:rsidRPr="00307105">
              <w:rPr>
                <w:sz w:val="18"/>
                <w:szCs w:val="18"/>
              </w:rPr>
              <w:t>receptor (EGFR)-expressing, KRAS wild-type metastatic colorectal cancer</w:t>
            </w:r>
          </w:p>
          <w:p w:rsidR="00307105" w:rsidRPr="006A501E" w:rsidRDefault="00307105" w:rsidP="0047432C">
            <w:pPr>
              <w:pStyle w:val="ListBullet"/>
              <w:keepNext/>
              <w:spacing w:before="0" w:after="0" w:line="240" w:lineRule="auto"/>
              <w:ind w:left="113" w:hanging="113"/>
              <w:rPr>
                <w:sz w:val="18"/>
                <w:szCs w:val="18"/>
              </w:rPr>
            </w:pPr>
            <w:r w:rsidRPr="006A501E">
              <w:rPr>
                <w:sz w:val="18"/>
                <w:szCs w:val="18"/>
              </w:rPr>
              <w:t>in combination with irinotecan-based chemotherapy,</w:t>
            </w:r>
          </w:p>
          <w:p w:rsidR="00307105" w:rsidRPr="006A501E" w:rsidRDefault="00307105" w:rsidP="0047432C">
            <w:pPr>
              <w:pStyle w:val="ListBullet"/>
              <w:keepNext/>
              <w:spacing w:before="0" w:after="0" w:line="240" w:lineRule="auto"/>
              <w:ind w:left="113" w:hanging="113"/>
              <w:rPr>
                <w:sz w:val="18"/>
                <w:szCs w:val="18"/>
              </w:rPr>
            </w:pPr>
            <w:r w:rsidRPr="006A501E">
              <w:rPr>
                <w:sz w:val="18"/>
                <w:szCs w:val="18"/>
              </w:rPr>
              <w:t>in first-line in combination with FOLFOX,</w:t>
            </w:r>
          </w:p>
          <w:p w:rsidR="00307105" w:rsidRPr="00307105" w:rsidRDefault="00307105" w:rsidP="0047432C">
            <w:pPr>
              <w:pStyle w:val="ListBullet"/>
              <w:keepNext/>
              <w:spacing w:before="0" w:after="0" w:line="240" w:lineRule="auto"/>
              <w:ind w:left="113" w:hanging="113"/>
            </w:pPr>
            <w:proofErr w:type="gramStart"/>
            <w:r w:rsidRPr="006A501E">
              <w:rPr>
                <w:sz w:val="18"/>
                <w:szCs w:val="18"/>
              </w:rPr>
              <w:t>as</w:t>
            </w:r>
            <w:proofErr w:type="gramEnd"/>
            <w:r w:rsidRPr="006A501E">
              <w:rPr>
                <w:sz w:val="18"/>
                <w:szCs w:val="18"/>
              </w:rPr>
              <w:t xml:space="preserve"> a single agent in patients who have failed oxaliplatin- and irinotecan</w:t>
            </w:r>
            <w:r w:rsidR="00E67ABF" w:rsidRPr="006A501E">
              <w:rPr>
                <w:sz w:val="18"/>
                <w:szCs w:val="18"/>
              </w:rPr>
              <w:t xml:space="preserve"> </w:t>
            </w:r>
            <w:r w:rsidRPr="006A501E">
              <w:rPr>
                <w:sz w:val="18"/>
                <w:szCs w:val="18"/>
              </w:rPr>
              <w:t>based</w:t>
            </w:r>
            <w:r w:rsidR="00E67ABF" w:rsidRPr="006A501E">
              <w:rPr>
                <w:sz w:val="18"/>
                <w:szCs w:val="18"/>
              </w:rPr>
              <w:t xml:space="preserve"> </w:t>
            </w:r>
            <w:r w:rsidRPr="006A501E">
              <w:rPr>
                <w:sz w:val="18"/>
                <w:szCs w:val="18"/>
              </w:rPr>
              <w:t>therapy and who are intolerant to irinotecan.</w:t>
            </w:r>
          </w:p>
        </w:tc>
      </w:tr>
      <w:tr w:rsidR="00307105" w:rsidRPr="00307105" w:rsidTr="00FB579A">
        <w:trPr>
          <w:cantSplit/>
        </w:trPr>
        <w:tc>
          <w:tcPr>
            <w:tcW w:w="1276" w:type="dxa"/>
          </w:tcPr>
          <w:p w:rsidR="00307105" w:rsidRPr="00307105" w:rsidRDefault="00307105" w:rsidP="005D17E8">
            <w:pPr>
              <w:spacing w:before="0" w:after="0" w:line="240" w:lineRule="auto"/>
              <w:ind w:left="0" w:right="0"/>
              <w:rPr>
                <w:sz w:val="18"/>
                <w:szCs w:val="18"/>
              </w:rPr>
            </w:pPr>
            <w:r w:rsidRPr="00307105">
              <w:rPr>
                <w:sz w:val="18"/>
                <w:szCs w:val="18"/>
              </w:rPr>
              <w:t>Switzerland</w:t>
            </w:r>
          </w:p>
        </w:tc>
        <w:tc>
          <w:tcPr>
            <w:tcW w:w="1134" w:type="dxa"/>
          </w:tcPr>
          <w:p w:rsidR="00307105" w:rsidRPr="00307105" w:rsidRDefault="00307105" w:rsidP="005D17E8">
            <w:pPr>
              <w:spacing w:before="0" w:after="0" w:line="240" w:lineRule="auto"/>
              <w:ind w:left="0" w:right="0"/>
              <w:rPr>
                <w:sz w:val="18"/>
                <w:szCs w:val="18"/>
              </w:rPr>
            </w:pPr>
            <w:r w:rsidRPr="00307105">
              <w:rPr>
                <w:sz w:val="18"/>
                <w:szCs w:val="18"/>
              </w:rPr>
              <w:t>13 September 2010</w:t>
            </w:r>
          </w:p>
        </w:tc>
        <w:tc>
          <w:tcPr>
            <w:tcW w:w="5954" w:type="dxa"/>
          </w:tcPr>
          <w:p w:rsidR="00307105" w:rsidRPr="00307105" w:rsidRDefault="00307105" w:rsidP="005D17E8">
            <w:pPr>
              <w:spacing w:before="0" w:after="0" w:line="240" w:lineRule="auto"/>
              <w:ind w:left="0" w:right="0"/>
              <w:rPr>
                <w:sz w:val="18"/>
                <w:szCs w:val="18"/>
              </w:rPr>
            </w:pPr>
            <w:r w:rsidRPr="00307105">
              <w:rPr>
                <w:sz w:val="18"/>
                <w:szCs w:val="18"/>
              </w:rPr>
              <w:t>For the treatment of patients with EGFR (epidermal growth factor receptor)</w:t>
            </w:r>
            <w:r w:rsidR="00E67ABF">
              <w:rPr>
                <w:sz w:val="18"/>
                <w:szCs w:val="18"/>
              </w:rPr>
              <w:t xml:space="preserve"> </w:t>
            </w:r>
            <w:r w:rsidRPr="00307105">
              <w:rPr>
                <w:sz w:val="18"/>
                <w:szCs w:val="18"/>
              </w:rPr>
              <w:t>expressing KRAS wild-type metastatic colorectal cancer:</w:t>
            </w:r>
          </w:p>
          <w:p w:rsidR="00307105" w:rsidRPr="00307105" w:rsidRDefault="00307105" w:rsidP="006A501E">
            <w:pPr>
              <w:pStyle w:val="ListBullet"/>
              <w:spacing w:before="0" w:after="0" w:line="240" w:lineRule="auto"/>
              <w:ind w:left="113" w:hanging="113"/>
              <w:rPr>
                <w:sz w:val="18"/>
                <w:szCs w:val="18"/>
              </w:rPr>
            </w:pPr>
            <w:r w:rsidRPr="00307105">
              <w:rPr>
                <w:sz w:val="18"/>
                <w:szCs w:val="18"/>
              </w:rPr>
              <w:t>in combination with FOLFIRI or FOLFOX</w:t>
            </w:r>
          </w:p>
          <w:p w:rsidR="00307105" w:rsidRPr="00307105" w:rsidRDefault="00307105" w:rsidP="006A501E">
            <w:pPr>
              <w:pStyle w:val="ListBullet"/>
              <w:spacing w:before="0" w:after="0" w:line="240" w:lineRule="auto"/>
              <w:ind w:left="113" w:hanging="113"/>
              <w:rPr>
                <w:sz w:val="18"/>
                <w:szCs w:val="18"/>
              </w:rPr>
            </w:pPr>
            <w:proofErr w:type="gramStart"/>
            <w:r w:rsidRPr="00307105">
              <w:rPr>
                <w:sz w:val="18"/>
                <w:szCs w:val="18"/>
              </w:rPr>
              <w:t>as</w:t>
            </w:r>
            <w:proofErr w:type="gramEnd"/>
            <w:r w:rsidRPr="00307105">
              <w:rPr>
                <w:sz w:val="18"/>
                <w:szCs w:val="18"/>
              </w:rPr>
              <w:t xml:space="preserve"> a single agent in patients who have failed oxaliplatin- and</w:t>
            </w:r>
            <w:r w:rsidR="00E67ABF">
              <w:rPr>
                <w:sz w:val="18"/>
                <w:szCs w:val="18"/>
              </w:rPr>
              <w:t xml:space="preserve"> </w:t>
            </w:r>
            <w:r w:rsidRPr="00307105">
              <w:rPr>
                <w:sz w:val="18"/>
                <w:szCs w:val="18"/>
              </w:rPr>
              <w:t>irinotecan-based therapy or who are intolerant to irinotecan.</w:t>
            </w:r>
          </w:p>
        </w:tc>
      </w:tr>
      <w:tr w:rsidR="00307105" w:rsidRPr="00307105" w:rsidTr="000E1CE8">
        <w:trPr>
          <w:cantSplit/>
        </w:trPr>
        <w:tc>
          <w:tcPr>
            <w:tcW w:w="1276" w:type="dxa"/>
          </w:tcPr>
          <w:p w:rsidR="00307105" w:rsidRPr="00307105" w:rsidRDefault="00307105" w:rsidP="005D17E8">
            <w:pPr>
              <w:spacing w:before="0" w:after="0" w:line="240" w:lineRule="auto"/>
              <w:ind w:left="0" w:right="0"/>
              <w:rPr>
                <w:sz w:val="18"/>
                <w:szCs w:val="18"/>
              </w:rPr>
            </w:pPr>
            <w:r w:rsidRPr="00307105">
              <w:rPr>
                <w:sz w:val="18"/>
                <w:szCs w:val="18"/>
              </w:rPr>
              <w:t>United States of America</w:t>
            </w:r>
          </w:p>
        </w:tc>
        <w:tc>
          <w:tcPr>
            <w:tcW w:w="1134" w:type="dxa"/>
          </w:tcPr>
          <w:p w:rsidR="00307105" w:rsidRPr="00307105" w:rsidRDefault="00307105" w:rsidP="005D17E8">
            <w:pPr>
              <w:spacing w:before="0" w:after="0" w:line="240" w:lineRule="auto"/>
              <w:ind w:left="0" w:right="0"/>
              <w:rPr>
                <w:sz w:val="18"/>
                <w:szCs w:val="18"/>
              </w:rPr>
            </w:pPr>
            <w:r w:rsidRPr="00307105">
              <w:rPr>
                <w:sz w:val="18"/>
                <w:szCs w:val="18"/>
              </w:rPr>
              <w:t>6 July 2012</w:t>
            </w:r>
          </w:p>
        </w:tc>
        <w:tc>
          <w:tcPr>
            <w:tcW w:w="5954" w:type="dxa"/>
          </w:tcPr>
          <w:p w:rsidR="00307105" w:rsidRPr="00307105" w:rsidRDefault="00307105" w:rsidP="005D17E8">
            <w:pPr>
              <w:spacing w:before="0" w:after="0" w:line="240" w:lineRule="auto"/>
              <w:ind w:left="0" w:right="0"/>
              <w:rPr>
                <w:sz w:val="18"/>
                <w:szCs w:val="18"/>
              </w:rPr>
            </w:pPr>
            <w:r w:rsidRPr="00307105">
              <w:rPr>
                <w:sz w:val="18"/>
                <w:szCs w:val="18"/>
              </w:rPr>
              <w:t>Erbitux is indicated for the treatment of K-</w:t>
            </w:r>
            <w:proofErr w:type="spellStart"/>
            <w:r w:rsidRPr="00307105">
              <w:rPr>
                <w:sz w:val="18"/>
                <w:szCs w:val="18"/>
              </w:rPr>
              <w:t>Ras</w:t>
            </w:r>
            <w:proofErr w:type="spellEnd"/>
            <w:r w:rsidRPr="00307105">
              <w:rPr>
                <w:sz w:val="18"/>
                <w:szCs w:val="18"/>
              </w:rPr>
              <w:t xml:space="preserve"> mutation-negative (wild-type),</w:t>
            </w:r>
            <w:r w:rsidR="00E67ABF">
              <w:rPr>
                <w:sz w:val="18"/>
                <w:szCs w:val="18"/>
              </w:rPr>
              <w:t xml:space="preserve"> </w:t>
            </w:r>
            <w:r w:rsidRPr="00307105">
              <w:rPr>
                <w:sz w:val="18"/>
                <w:szCs w:val="18"/>
              </w:rPr>
              <w:t>epidermal growth factor receptor (EGFR)-expressing, metastatic colorectal</w:t>
            </w:r>
            <w:r w:rsidR="00E67ABF">
              <w:rPr>
                <w:sz w:val="18"/>
                <w:szCs w:val="18"/>
              </w:rPr>
              <w:t xml:space="preserve"> </w:t>
            </w:r>
            <w:r w:rsidRPr="00307105">
              <w:rPr>
                <w:sz w:val="18"/>
                <w:szCs w:val="18"/>
              </w:rPr>
              <w:t>cancer (</w:t>
            </w:r>
            <w:proofErr w:type="spellStart"/>
            <w:r w:rsidRPr="00307105">
              <w:rPr>
                <w:sz w:val="18"/>
                <w:szCs w:val="18"/>
              </w:rPr>
              <w:t>mCRC</w:t>
            </w:r>
            <w:proofErr w:type="spellEnd"/>
            <w:r w:rsidRPr="00307105">
              <w:rPr>
                <w:sz w:val="18"/>
                <w:szCs w:val="18"/>
              </w:rPr>
              <w:t>) as determined by FDA-appr</w:t>
            </w:r>
            <w:r w:rsidR="001C5FF9">
              <w:rPr>
                <w:sz w:val="18"/>
                <w:szCs w:val="18"/>
              </w:rPr>
              <w:t>oved tests for this use</w:t>
            </w:r>
          </w:p>
          <w:p w:rsidR="00307105" w:rsidRPr="00307105" w:rsidRDefault="00307105" w:rsidP="006A501E">
            <w:pPr>
              <w:pStyle w:val="ListBullet"/>
              <w:spacing w:before="0" w:after="0" w:line="240" w:lineRule="auto"/>
              <w:ind w:left="113" w:hanging="113"/>
              <w:rPr>
                <w:sz w:val="18"/>
                <w:szCs w:val="18"/>
              </w:rPr>
            </w:pPr>
            <w:r w:rsidRPr="00307105">
              <w:rPr>
                <w:sz w:val="18"/>
                <w:szCs w:val="18"/>
              </w:rPr>
              <w:t>in combination with FOLFIRI (</w:t>
            </w:r>
            <w:proofErr w:type="spellStart"/>
            <w:r w:rsidRPr="00307105">
              <w:rPr>
                <w:sz w:val="18"/>
                <w:szCs w:val="18"/>
              </w:rPr>
              <w:t>irinotecan</w:t>
            </w:r>
            <w:proofErr w:type="spellEnd"/>
            <w:r w:rsidRPr="00307105">
              <w:rPr>
                <w:sz w:val="18"/>
                <w:szCs w:val="18"/>
              </w:rPr>
              <w:t xml:space="preserve">, 5-fluorouracil, </w:t>
            </w:r>
            <w:proofErr w:type="spellStart"/>
            <w:r w:rsidRPr="00307105">
              <w:rPr>
                <w:sz w:val="18"/>
                <w:szCs w:val="18"/>
              </w:rPr>
              <w:t>leucovorin</w:t>
            </w:r>
            <w:proofErr w:type="spellEnd"/>
            <w:r w:rsidRPr="00307105">
              <w:rPr>
                <w:sz w:val="18"/>
                <w:szCs w:val="18"/>
              </w:rPr>
              <w:t>) for first</w:t>
            </w:r>
            <w:r w:rsidR="00B95D37">
              <w:rPr>
                <w:sz w:val="18"/>
                <w:szCs w:val="18"/>
              </w:rPr>
              <w:t xml:space="preserve"> </w:t>
            </w:r>
            <w:r w:rsidRPr="00307105">
              <w:rPr>
                <w:sz w:val="18"/>
                <w:szCs w:val="18"/>
              </w:rPr>
              <w:t>line</w:t>
            </w:r>
            <w:r w:rsidR="00E67ABF">
              <w:rPr>
                <w:sz w:val="18"/>
                <w:szCs w:val="18"/>
              </w:rPr>
              <w:t xml:space="preserve"> </w:t>
            </w:r>
            <w:r w:rsidRPr="00307105">
              <w:rPr>
                <w:sz w:val="18"/>
                <w:szCs w:val="18"/>
              </w:rPr>
              <w:t>treatment,</w:t>
            </w:r>
          </w:p>
          <w:p w:rsidR="00307105" w:rsidRPr="00307105" w:rsidRDefault="00307105" w:rsidP="006A501E">
            <w:pPr>
              <w:pStyle w:val="ListBullet"/>
              <w:spacing w:before="0" w:after="0" w:line="240" w:lineRule="auto"/>
              <w:ind w:left="113" w:hanging="113"/>
              <w:rPr>
                <w:sz w:val="18"/>
                <w:szCs w:val="18"/>
              </w:rPr>
            </w:pPr>
            <w:r w:rsidRPr="00307105">
              <w:rPr>
                <w:sz w:val="18"/>
                <w:szCs w:val="18"/>
              </w:rPr>
              <w:t>in combination with irinotecan in patients who are refractory to irinotecan</w:t>
            </w:r>
            <w:r w:rsidR="00E67ABF">
              <w:rPr>
                <w:sz w:val="18"/>
                <w:szCs w:val="18"/>
              </w:rPr>
              <w:t xml:space="preserve"> </w:t>
            </w:r>
            <w:r w:rsidRPr="00307105">
              <w:rPr>
                <w:sz w:val="18"/>
                <w:szCs w:val="18"/>
              </w:rPr>
              <w:t>based</w:t>
            </w:r>
            <w:r w:rsidR="00E67ABF">
              <w:rPr>
                <w:sz w:val="18"/>
                <w:szCs w:val="18"/>
              </w:rPr>
              <w:t xml:space="preserve"> </w:t>
            </w:r>
            <w:r w:rsidRPr="00307105">
              <w:rPr>
                <w:sz w:val="18"/>
                <w:szCs w:val="18"/>
              </w:rPr>
              <w:t>chemotherapy,</w:t>
            </w:r>
          </w:p>
          <w:p w:rsidR="00307105" w:rsidRPr="00E67ABF" w:rsidRDefault="00307105" w:rsidP="006A501E">
            <w:pPr>
              <w:pStyle w:val="ListBullet"/>
              <w:spacing w:before="0" w:after="0" w:line="240" w:lineRule="auto"/>
              <w:ind w:left="113" w:hanging="113"/>
              <w:rPr>
                <w:sz w:val="18"/>
                <w:szCs w:val="18"/>
              </w:rPr>
            </w:pPr>
            <w:r w:rsidRPr="00E67ABF">
              <w:rPr>
                <w:sz w:val="18"/>
                <w:szCs w:val="18"/>
              </w:rPr>
              <w:t>as a single agent in patients who have failed oxaliplatin- and irinotecan</w:t>
            </w:r>
            <w:r w:rsidR="00E67ABF" w:rsidRPr="00E67ABF">
              <w:rPr>
                <w:sz w:val="18"/>
                <w:szCs w:val="18"/>
              </w:rPr>
              <w:t xml:space="preserve"> </w:t>
            </w:r>
            <w:r w:rsidRPr="00E67ABF">
              <w:rPr>
                <w:sz w:val="18"/>
                <w:szCs w:val="18"/>
              </w:rPr>
              <w:t>based</w:t>
            </w:r>
            <w:r w:rsidR="00E67ABF" w:rsidRPr="00E67ABF">
              <w:rPr>
                <w:sz w:val="18"/>
                <w:szCs w:val="18"/>
              </w:rPr>
              <w:t xml:space="preserve"> </w:t>
            </w:r>
            <w:r w:rsidRPr="00E67ABF">
              <w:rPr>
                <w:sz w:val="18"/>
                <w:szCs w:val="18"/>
              </w:rPr>
              <w:t>chemotherapy or who are intolerant to irinotecan</w:t>
            </w:r>
          </w:p>
          <w:p w:rsidR="00307105" w:rsidRPr="00307105" w:rsidRDefault="00307105" w:rsidP="00CE4CA2">
            <w:pPr>
              <w:spacing w:before="0" w:after="0" w:line="240" w:lineRule="auto"/>
              <w:ind w:left="0" w:right="0"/>
              <w:rPr>
                <w:sz w:val="18"/>
                <w:szCs w:val="18"/>
              </w:rPr>
            </w:pPr>
            <w:r w:rsidRPr="00307105">
              <w:rPr>
                <w:sz w:val="18"/>
                <w:szCs w:val="18"/>
              </w:rPr>
              <w:t>Limitation of Use: Erbitux is not indicated for treatment of K-</w:t>
            </w:r>
            <w:proofErr w:type="spellStart"/>
            <w:r w:rsidRPr="00307105">
              <w:rPr>
                <w:sz w:val="18"/>
                <w:szCs w:val="18"/>
              </w:rPr>
              <w:t>Ras</w:t>
            </w:r>
            <w:proofErr w:type="spellEnd"/>
            <w:r w:rsidRPr="00307105">
              <w:rPr>
                <w:sz w:val="18"/>
                <w:szCs w:val="18"/>
              </w:rPr>
              <w:t xml:space="preserve"> mutation</w:t>
            </w:r>
            <w:r w:rsidR="00E67ABF">
              <w:rPr>
                <w:sz w:val="18"/>
                <w:szCs w:val="18"/>
              </w:rPr>
              <w:t xml:space="preserve"> </w:t>
            </w:r>
            <w:r w:rsidRPr="00307105">
              <w:rPr>
                <w:sz w:val="18"/>
                <w:szCs w:val="18"/>
              </w:rPr>
              <w:t>positive</w:t>
            </w:r>
            <w:r w:rsidR="00E67ABF">
              <w:rPr>
                <w:sz w:val="18"/>
                <w:szCs w:val="18"/>
              </w:rPr>
              <w:t xml:space="preserve"> </w:t>
            </w:r>
            <w:r w:rsidRPr="00307105">
              <w:rPr>
                <w:sz w:val="18"/>
                <w:szCs w:val="18"/>
              </w:rPr>
              <w:t>colorectal cancer</w:t>
            </w:r>
          </w:p>
        </w:tc>
      </w:tr>
      <w:tr w:rsidR="00307105" w:rsidRPr="00307105" w:rsidTr="006A501E">
        <w:trPr>
          <w:cantSplit/>
        </w:trPr>
        <w:tc>
          <w:tcPr>
            <w:tcW w:w="1276" w:type="dxa"/>
          </w:tcPr>
          <w:p w:rsidR="00307105" w:rsidRPr="00307105" w:rsidRDefault="00307105" w:rsidP="005D17E8">
            <w:pPr>
              <w:spacing w:before="0" w:after="0" w:line="240" w:lineRule="auto"/>
              <w:ind w:left="0" w:right="0"/>
              <w:rPr>
                <w:sz w:val="18"/>
                <w:szCs w:val="18"/>
              </w:rPr>
            </w:pPr>
            <w:r w:rsidRPr="00307105">
              <w:rPr>
                <w:sz w:val="18"/>
                <w:szCs w:val="18"/>
              </w:rPr>
              <w:t>Canada</w:t>
            </w:r>
          </w:p>
        </w:tc>
        <w:tc>
          <w:tcPr>
            <w:tcW w:w="1134" w:type="dxa"/>
          </w:tcPr>
          <w:p w:rsidR="00307105" w:rsidRPr="00307105" w:rsidRDefault="00307105" w:rsidP="005D17E8">
            <w:pPr>
              <w:spacing w:before="0" w:after="0" w:line="240" w:lineRule="auto"/>
              <w:ind w:left="0" w:right="0"/>
              <w:rPr>
                <w:sz w:val="18"/>
                <w:szCs w:val="18"/>
              </w:rPr>
            </w:pPr>
            <w:r w:rsidRPr="00307105">
              <w:rPr>
                <w:sz w:val="18"/>
                <w:szCs w:val="18"/>
              </w:rPr>
              <w:t>20 December 2012</w:t>
            </w:r>
          </w:p>
        </w:tc>
        <w:tc>
          <w:tcPr>
            <w:tcW w:w="5954" w:type="dxa"/>
          </w:tcPr>
          <w:p w:rsidR="00307105" w:rsidRPr="00307105" w:rsidRDefault="00307105" w:rsidP="005D17E8">
            <w:pPr>
              <w:spacing w:before="0" w:after="0" w:line="240" w:lineRule="auto"/>
              <w:ind w:left="0" w:right="0"/>
              <w:rPr>
                <w:sz w:val="18"/>
                <w:szCs w:val="18"/>
              </w:rPr>
            </w:pPr>
            <w:r w:rsidRPr="00307105">
              <w:rPr>
                <w:sz w:val="18"/>
                <w:szCs w:val="18"/>
              </w:rPr>
              <w:t>ERBITUX (cetuximab) is indicated for the treatment of EGFR-expressing</w:t>
            </w:r>
          </w:p>
          <w:p w:rsidR="00307105" w:rsidRPr="00307105" w:rsidRDefault="00307105" w:rsidP="005D17E8">
            <w:pPr>
              <w:spacing w:before="0" w:after="0" w:line="240" w:lineRule="auto"/>
              <w:ind w:left="0" w:right="0"/>
              <w:rPr>
                <w:sz w:val="18"/>
                <w:szCs w:val="18"/>
              </w:rPr>
            </w:pPr>
            <w:r w:rsidRPr="00307105">
              <w:rPr>
                <w:sz w:val="18"/>
                <w:szCs w:val="18"/>
              </w:rPr>
              <w:t>K-</w:t>
            </w:r>
            <w:proofErr w:type="spellStart"/>
            <w:r w:rsidRPr="00307105">
              <w:rPr>
                <w:sz w:val="18"/>
                <w:szCs w:val="18"/>
              </w:rPr>
              <w:t>ras</w:t>
            </w:r>
            <w:proofErr w:type="spellEnd"/>
            <w:r w:rsidRPr="00307105">
              <w:rPr>
                <w:sz w:val="18"/>
                <w:szCs w:val="18"/>
              </w:rPr>
              <w:t xml:space="preserve"> wild-type metastatic colorectal carcinoma (</w:t>
            </w:r>
            <w:proofErr w:type="spellStart"/>
            <w:r w:rsidRPr="00307105">
              <w:rPr>
                <w:sz w:val="18"/>
                <w:szCs w:val="18"/>
              </w:rPr>
              <w:t>mCRC</w:t>
            </w:r>
            <w:proofErr w:type="spellEnd"/>
            <w:r w:rsidRPr="00307105">
              <w:rPr>
                <w:sz w:val="18"/>
                <w:szCs w:val="18"/>
              </w:rPr>
              <w:t>)</w:t>
            </w:r>
          </w:p>
          <w:p w:rsidR="00E67ABF" w:rsidRDefault="00307105" w:rsidP="006A501E">
            <w:pPr>
              <w:pStyle w:val="ListBullet"/>
              <w:spacing w:before="0" w:after="0" w:line="240" w:lineRule="auto"/>
              <w:ind w:left="113" w:hanging="113"/>
              <w:rPr>
                <w:sz w:val="18"/>
                <w:szCs w:val="18"/>
              </w:rPr>
            </w:pPr>
            <w:proofErr w:type="gramStart"/>
            <w:r w:rsidRPr="00E67ABF">
              <w:rPr>
                <w:sz w:val="18"/>
                <w:szCs w:val="18"/>
              </w:rPr>
              <w:t>in</w:t>
            </w:r>
            <w:proofErr w:type="gramEnd"/>
            <w:r w:rsidRPr="00E67ABF">
              <w:rPr>
                <w:sz w:val="18"/>
                <w:szCs w:val="18"/>
              </w:rPr>
              <w:t xml:space="preserve"> combination with FOLFIRI (</w:t>
            </w:r>
            <w:proofErr w:type="spellStart"/>
            <w:r w:rsidRPr="00E67ABF">
              <w:rPr>
                <w:sz w:val="18"/>
                <w:szCs w:val="18"/>
              </w:rPr>
              <w:t>irinotecan</w:t>
            </w:r>
            <w:proofErr w:type="spellEnd"/>
            <w:r w:rsidRPr="00E67ABF">
              <w:rPr>
                <w:sz w:val="18"/>
                <w:szCs w:val="18"/>
              </w:rPr>
              <w:t xml:space="preserve">, 5-fluorouracil, </w:t>
            </w:r>
            <w:proofErr w:type="spellStart"/>
            <w:r w:rsidRPr="00E67ABF">
              <w:rPr>
                <w:sz w:val="18"/>
                <w:szCs w:val="18"/>
              </w:rPr>
              <w:t>leucovorin</w:t>
            </w:r>
            <w:proofErr w:type="spellEnd"/>
            <w:r w:rsidRPr="00E67ABF">
              <w:rPr>
                <w:sz w:val="18"/>
                <w:szCs w:val="18"/>
              </w:rPr>
              <w:t>) for first</w:t>
            </w:r>
            <w:r w:rsidR="00E67ABF" w:rsidRPr="00E67ABF">
              <w:rPr>
                <w:sz w:val="18"/>
                <w:szCs w:val="18"/>
              </w:rPr>
              <w:t>-</w:t>
            </w:r>
            <w:r w:rsidRPr="00E67ABF">
              <w:rPr>
                <w:sz w:val="18"/>
                <w:szCs w:val="18"/>
              </w:rPr>
              <w:t>line</w:t>
            </w:r>
            <w:r w:rsidR="00E67ABF" w:rsidRPr="00E67ABF">
              <w:rPr>
                <w:sz w:val="18"/>
                <w:szCs w:val="18"/>
              </w:rPr>
              <w:t xml:space="preserve"> </w:t>
            </w:r>
            <w:r w:rsidRPr="00E67ABF">
              <w:rPr>
                <w:sz w:val="18"/>
                <w:szCs w:val="18"/>
              </w:rPr>
              <w:t>treatment.</w:t>
            </w:r>
            <w:r w:rsidR="00E67ABF" w:rsidRPr="00E67ABF">
              <w:rPr>
                <w:sz w:val="18"/>
                <w:szCs w:val="18"/>
              </w:rPr>
              <w:t xml:space="preserve"> </w:t>
            </w:r>
          </w:p>
          <w:p w:rsidR="00E67ABF" w:rsidRDefault="00307105" w:rsidP="006A501E">
            <w:pPr>
              <w:pStyle w:val="ListBullet"/>
              <w:spacing w:before="0" w:after="0" w:line="240" w:lineRule="auto"/>
              <w:ind w:left="113" w:hanging="113"/>
              <w:rPr>
                <w:sz w:val="18"/>
                <w:szCs w:val="18"/>
              </w:rPr>
            </w:pPr>
            <w:r w:rsidRPr="00E67ABF">
              <w:rPr>
                <w:sz w:val="18"/>
                <w:szCs w:val="18"/>
              </w:rPr>
              <w:t xml:space="preserve">The benefits and risks of ERBITUX in combination with FOLFIRI, for first line treatment in </w:t>
            </w:r>
            <w:proofErr w:type="spellStart"/>
            <w:r w:rsidRPr="00E67ABF">
              <w:rPr>
                <w:sz w:val="18"/>
                <w:szCs w:val="18"/>
              </w:rPr>
              <w:t>mCRC</w:t>
            </w:r>
            <w:proofErr w:type="spellEnd"/>
            <w:r w:rsidRPr="00E67ABF">
              <w:rPr>
                <w:sz w:val="18"/>
                <w:szCs w:val="18"/>
              </w:rPr>
              <w:t xml:space="preserve"> patients, have been observed only in a subgroup</w:t>
            </w:r>
            <w:r w:rsidR="00E67ABF" w:rsidRPr="00E67ABF">
              <w:rPr>
                <w:sz w:val="18"/>
                <w:szCs w:val="18"/>
              </w:rPr>
              <w:t xml:space="preserve"> </w:t>
            </w:r>
            <w:r w:rsidRPr="00E67ABF">
              <w:rPr>
                <w:sz w:val="18"/>
                <w:szCs w:val="18"/>
              </w:rPr>
              <w:t>analysis of patients with ECOG performance status of 0 or 1 (see</w:t>
            </w:r>
            <w:r w:rsidR="00E67ABF">
              <w:rPr>
                <w:sz w:val="18"/>
                <w:szCs w:val="18"/>
              </w:rPr>
              <w:t xml:space="preserve"> </w:t>
            </w:r>
            <w:r w:rsidRPr="00307105">
              <w:rPr>
                <w:sz w:val="18"/>
                <w:szCs w:val="18"/>
              </w:rPr>
              <w:t>CLINICAL TRIALS).</w:t>
            </w:r>
          </w:p>
          <w:p w:rsidR="00307105" w:rsidRPr="00E67ABF" w:rsidRDefault="00307105" w:rsidP="006A501E">
            <w:pPr>
              <w:pStyle w:val="ListBullet"/>
              <w:spacing w:before="0" w:after="0" w:line="240" w:lineRule="auto"/>
              <w:ind w:left="113" w:hanging="113"/>
              <w:rPr>
                <w:sz w:val="18"/>
                <w:szCs w:val="18"/>
              </w:rPr>
            </w:pPr>
            <w:proofErr w:type="gramStart"/>
            <w:r w:rsidRPr="00E67ABF">
              <w:rPr>
                <w:sz w:val="18"/>
                <w:szCs w:val="18"/>
              </w:rPr>
              <w:t>in</w:t>
            </w:r>
            <w:proofErr w:type="gramEnd"/>
            <w:r w:rsidRPr="00E67ABF">
              <w:rPr>
                <w:sz w:val="18"/>
                <w:szCs w:val="18"/>
              </w:rPr>
              <w:t xml:space="preserve"> combination with irinotecan in patients who are refractory to other</w:t>
            </w:r>
            <w:r w:rsidR="00E67ABF" w:rsidRPr="00E67ABF">
              <w:rPr>
                <w:sz w:val="18"/>
                <w:szCs w:val="18"/>
              </w:rPr>
              <w:t xml:space="preserve"> </w:t>
            </w:r>
            <w:r w:rsidRPr="00E67ABF">
              <w:rPr>
                <w:sz w:val="18"/>
                <w:szCs w:val="18"/>
              </w:rPr>
              <w:t>irinotecan-based chemotherapy regimens.</w:t>
            </w:r>
          </w:p>
          <w:p w:rsidR="00307105" w:rsidRPr="00E67ABF" w:rsidRDefault="00307105" w:rsidP="006A501E">
            <w:pPr>
              <w:pStyle w:val="ListBullet"/>
              <w:spacing w:before="0" w:after="0" w:line="240" w:lineRule="auto"/>
              <w:ind w:left="113" w:hanging="113"/>
              <w:rPr>
                <w:sz w:val="18"/>
                <w:szCs w:val="18"/>
              </w:rPr>
            </w:pPr>
            <w:proofErr w:type="gramStart"/>
            <w:r w:rsidRPr="00307105">
              <w:rPr>
                <w:sz w:val="18"/>
                <w:szCs w:val="18"/>
              </w:rPr>
              <w:t>as</w:t>
            </w:r>
            <w:proofErr w:type="gramEnd"/>
            <w:r w:rsidRPr="00307105">
              <w:rPr>
                <w:sz w:val="18"/>
                <w:szCs w:val="18"/>
              </w:rPr>
              <w:t xml:space="preserve"> a single agent in patients who are intolerant to irinotecan-based</w:t>
            </w:r>
            <w:r w:rsidR="00E67ABF">
              <w:rPr>
                <w:sz w:val="18"/>
                <w:szCs w:val="18"/>
              </w:rPr>
              <w:t xml:space="preserve"> </w:t>
            </w:r>
            <w:r w:rsidRPr="00E67ABF">
              <w:rPr>
                <w:sz w:val="18"/>
                <w:szCs w:val="18"/>
              </w:rPr>
              <w:t>chemotherapy.</w:t>
            </w:r>
          </w:p>
          <w:p w:rsidR="00307105" w:rsidRPr="00E67ABF" w:rsidRDefault="00307105" w:rsidP="006A501E">
            <w:pPr>
              <w:pStyle w:val="ListBullet"/>
              <w:spacing w:before="0" w:after="0" w:line="240" w:lineRule="auto"/>
              <w:ind w:left="113" w:hanging="113"/>
              <w:rPr>
                <w:sz w:val="18"/>
                <w:szCs w:val="18"/>
              </w:rPr>
            </w:pPr>
            <w:proofErr w:type="gramStart"/>
            <w:r w:rsidRPr="00E67ABF">
              <w:rPr>
                <w:sz w:val="18"/>
                <w:szCs w:val="18"/>
              </w:rPr>
              <w:t>as</w:t>
            </w:r>
            <w:proofErr w:type="gramEnd"/>
            <w:r w:rsidRPr="00E67ABF">
              <w:rPr>
                <w:sz w:val="18"/>
                <w:szCs w:val="18"/>
              </w:rPr>
              <w:t xml:space="preserve"> a single agent for the treatment of patients who have failed both</w:t>
            </w:r>
            <w:r w:rsidR="00E67ABF" w:rsidRPr="00E67ABF">
              <w:rPr>
                <w:sz w:val="18"/>
                <w:szCs w:val="18"/>
              </w:rPr>
              <w:t xml:space="preserve"> </w:t>
            </w:r>
            <w:r w:rsidRPr="00E67ABF">
              <w:rPr>
                <w:sz w:val="18"/>
                <w:szCs w:val="18"/>
              </w:rPr>
              <w:t>irinotecan- and oxaliplatin-based regimens and who have received a</w:t>
            </w:r>
            <w:r w:rsidR="00E67ABF" w:rsidRPr="00E67ABF">
              <w:rPr>
                <w:sz w:val="18"/>
                <w:szCs w:val="18"/>
              </w:rPr>
              <w:t xml:space="preserve"> </w:t>
            </w:r>
            <w:r w:rsidRPr="00E67ABF">
              <w:rPr>
                <w:sz w:val="18"/>
                <w:szCs w:val="18"/>
              </w:rPr>
              <w:t>fluoropyrimidine.</w:t>
            </w:r>
          </w:p>
          <w:p w:rsidR="00307105" w:rsidRPr="00307105" w:rsidRDefault="00307105" w:rsidP="005D17E8">
            <w:pPr>
              <w:spacing w:before="0" w:after="0" w:line="240" w:lineRule="auto"/>
              <w:ind w:left="0" w:right="0"/>
              <w:rPr>
                <w:sz w:val="18"/>
                <w:szCs w:val="18"/>
              </w:rPr>
            </w:pPr>
            <w:r w:rsidRPr="00307105">
              <w:rPr>
                <w:sz w:val="18"/>
                <w:szCs w:val="18"/>
              </w:rPr>
              <w:t>Use of ERBITUX is not indicated for the treatment of colorectal cancer in</w:t>
            </w:r>
            <w:r w:rsidR="00E67ABF">
              <w:rPr>
                <w:sz w:val="18"/>
                <w:szCs w:val="18"/>
              </w:rPr>
              <w:t xml:space="preserve"> </w:t>
            </w:r>
            <w:r w:rsidRPr="00307105">
              <w:rPr>
                <w:sz w:val="18"/>
                <w:szCs w:val="18"/>
              </w:rPr>
              <w:t>patients with K-</w:t>
            </w:r>
            <w:proofErr w:type="spellStart"/>
            <w:r w:rsidRPr="00307105">
              <w:rPr>
                <w:sz w:val="18"/>
                <w:szCs w:val="18"/>
              </w:rPr>
              <w:t>ras</w:t>
            </w:r>
            <w:proofErr w:type="spellEnd"/>
            <w:r w:rsidRPr="00307105">
              <w:rPr>
                <w:sz w:val="18"/>
                <w:szCs w:val="18"/>
              </w:rPr>
              <w:t xml:space="preserve"> mutations or unknown K-</w:t>
            </w:r>
            <w:proofErr w:type="spellStart"/>
            <w:r w:rsidRPr="00307105">
              <w:rPr>
                <w:sz w:val="18"/>
                <w:szCs w:val="18"/>
              </w:rPr>
              <w:t>ras</w:t>
            </w:r>
            <w:proofErr w:type="spellEnd"/>
            <w:r w:rsidRPr="00307105">
              <w:rPr>
                <w:sz w:val="18"/>
                <w:szCs w:val="18"/>
              </w:rPr>
              <w:t xml:space="preserve"> status</w:t>
            </w:r>
          </w:p>
        </w:tc>
      </w:tr>
    </w:tbl>
    <w:p w:rsidR="008E7846" w:rsidRDefault="008E7846" w:rsidP="008E7846">
      <w:pPr>
        <w:pStyle w:val="Heading3"/>
      </w:pPr>
      <w:bookmarkStart w:id="13" w:name="_Toc247691505"/>
      <w:bookmarkStart w:id="14" w:name="_Toc314842486"/>
      <w:bookmarkStart w:id="15" w:name="_Toc368388454"/>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68388455"/>
      <w:r>
        <w:t>II. Quality</w:t>
      </w:r>
      <w:bookmarkEnd w:id="1"/>
      <w:r>
        <w:t xml:space="preserve"> findings</w:t>
      </w:r>
      <w:bookmarkEnd w:id="16"/>
      <w:bookmarkEnd w:id="17"/>
      <w:bookmarkEnd w:id="18"/>
    </w:p>
    <w:p w:rsidR="008E7846" w:rsidRDefault="008E7846" w:rsidP="008E7846">
      <w:r>
        <w:t>There was no requirement for a quality evaluation in a submission of this type.</w:t>
      </w:r>
    </w:p>
    <w:p w:rsidR="008E7846" w:rsidRDefault="008E7846" w:rsidP="008E7846">
      <w:pPr>
        <w:pStyle w:val="Heading2"/>
      </w:pPr>
      <w:bookmarkStart w:id="19" w:name="_Toc196046439"/>
      <w:bookmarkStart w:id="20" w:name="_Toc247691510"/>
      <w:bookmarkStart w:id="21" w:name="_Toc314842494"/>
      <w:bookmarkStart w:id="22" w:name="_Toc368388456"/>
      <w:r>
        <w:t>III. Nonclinical</w:t>
      </w:r>
      <w:bookmarkEnd w:id="19"/>
      <w:r>
        <w:t xml:space="preserve"> findings</w:t>
      </w:r>
      <w:bookmarkEnd w:id="20"/>
      <w:bookmarkEnd w:id="21"/>
      <w:bookmarkEnd w:id="22"/>
    </w:p>
    <w:p w:rsidR="008E7846" w:rsidRDefault="008E7846" w:rsidP="00E26130">
      <w:r>
        <w:t>There was no requirement for a nonclinical evaluation in a submission of this type.</w:t>
      </w:r>
    </w:p>
    <w:p w:rsidR="008E7846" w:rsidRPr="00254787" w:rsidRDefault="008E7846" w:rsidP="008E7846">
      <w:pPr>
        <w:pStyle w:val="Heading2"/>
      </w:pPr>
      <w:bookmarkStart w:id="23" w:name="_Toc196046462"/>
      <w:bookmarkStart w:id="24" w:name="_Toc247691516"/>
      <w:bookmarkStart w:id="25" w:name="_Toc314842500"/>
      <w:bookmarkStart w:id="26" w:name="_Toc368388457"/>
      <w:bookmarkStart w:id="27" w:name="_Toc163441353"/>
      <w:bookmarkStart w:id="28" w:name="_Toc163441348"/>
      <w:r>
        <w:lastRenderedPageBreak/>
        <w:t xml:space="preserve">IV. </w:t>
      </w:r>
      <w:r w:rsidRPr="00254787">
        <w:t>Clinical</w:t>
      </w:r>
      <w:bookmarkEnd w:id="23"/>
      <w:r>
        <w:t xml:space="preserve"> </w:t>
      </w:r>
      <w:r w:rsidR="003A7F6C">
        <w:t>f</w:t>
      </w:r>
      <w:r>
        <w:t>indings</w:t>
      </w:r>
      <w:bookmarkEnd w:id="24"/>
      <w:bookmarkEnd w:id="25"/>
      <w:bookmarkEnd w:id="26"/>
    </w:p>
    <w:p w:rsidR="00C80137" w:rsidRPr="001F480C" w:rsidRDefault="00C80137" w:rsidP="001F480C">
      <w:bookmarkStart w:id="29" w:name="_Toc196046463"/>
      <w:r w:rsidRPr="001F480C">
        <w:t>A summary of the clinical findings is presented in this section. Further details of these clinical findings can be found in Attachment 2.</w:t>
      </w:r>
    </w:p>
    <w:p w:rsidR="008E7846" w:rsidRDefault="008E7846" w:rsidP="008E7846">
      <w:pPr>
        <w:pStyle w:val="Heading3"/>
      </w:pPr>
      <w:bookmarkStart w:id="30" w:name="_Toc247691517"/>
      <w:bookmarkStart w:id="31" w:name="_Toc314842501"/>
      <w:bookmarkStart w:id="32" w:name="_Toc368388458"/>
      <w:r w:rsidRPr="00254787">
        <w:t>Introduction</w:t>
      </w:r>
      <w:bookmarkEnd w:id="29"/>
      <w:bookmarkEnd w:id="30"/>
      <w:bookmarkEnd w:id="31"/>
      <w:bookmarkEnd w:id="32"/>
    </w:p>
    <w:p w:rsidR="00C624F5" w:rsidRPr="00C624F5" w:rsidRDefault="00C624F5" w:rsidP="001D16D9">
      <w:pPr>
        <w:pStyle w:val="Heading4"/>
      </w:pPr>
      <w:bookmarkStart w:id="33" w:name="_Toc364942815"/>
      <w:r w:rsidRPr="00C624F5">
        <w:t>Scope of the clinical dossier</w:t>
      </w:r>
      <w:bookmarkEnd w:id="33"/>
    </w:p>
    <w:p w:rsidR="00D218E3" w:rsidRDefault="00C624F5" w:rsidP="00C624F5">
      <w:r w:rsidRPr="00C624F5">
        <w:t xml:space="preserve">The indications for </w:t>
      </w:r>
      <w:r w:rsidR="00D218E3">
        <w:t xml:space="preserve">use of cetuximab in </w:t>
      </w:r>
      <w:r w:rsidR="001D16D9">
        <w:t>first</w:t>
      </w:r>
      <w:r w:rsidRPr="00C624F5">
        <w:t xml:space="preserve"> line treatment in </w:t>
      </w:r>
      <w:proofErr w:type="spellStart"/>
      <w:r w:rsidRPr="00C624F5">
        <w:t>mCRC</w:t>
      </w:r>
      <w:proofErr w:type="spellEnd"/>
      <w:r w:rsidRPr="00C624F5">
        <w:t xml:space="preserve"> </w:t>
      </w:r>
      <w:r w:rsidR="00733C6A">
        <w:t xml:space="preserve">were </w:t>
      </w:r>
      <w:r w:rsidRPr="00C624F5">
        <w:t>narrowed</w:t>
      </w:r>
      <w:r w:rsidR="00733C6A">
        <w:t>,</w:t>
      </w:r>
      <w:r w:rsidRPr="00C624F5">
        <w:t xml:space="preserve"> </w:t>
      </w:r>
      <w:r w:rsidR="00733C6A">
        <w:t xml:space="preserve">via a SRN in 2011, </w:t>
      </w:r>
      <w:r w:rsidRPr="00C624F5">
        <w:t>by specifying the type of chemotherapy to be used in combination with cetuximab. The current submission mainly addresses this issue.</w:t>
      </w:r>
      <w:r w:rsidR="00220061">
        <w:t xml:space="preserve"> </w:t>
      </w:r>
      <w:r w:rsidR="00D218E3">
        <w:t>T</w:t>
      </w:r>
      <w:r w:rsidRPr="00C624F5">
        <w:t xml:space="preserve">he </w:t>
      </w:r>
      <w:r w:rsidR="007C378C">
        <w:t>following data were submitted</w:t>
      </w:r>
      <w:r w:rsidR="009F76C5">
        <w:t xml:space="preserve"> to support the indication</w:t>
      </w:r>
      <w:r w:rsidR="001C5FF9">
        <w:t>:</w:t>
      </w:r>
    </w:p>
    <w:p w:rsidR="00D218E3" w:rsidRPr="001C5FF9" w:rsidRDefault="007C378C" w:rsidP="001C5FF9">
      <w:pPr>
        <w:pStyle w:val="ListBullet"/>
      </w:pPr>
      <w:proofErr w:type="gramStart"/>
      <w:r>
        <w:t>updated</w:t>
      </w:r>
      <w:proofErr w:type="gramEnd"/>
      <w:r>
        <w:t xml:space="preserve"> clinical study reports (CSR) for </w:t>
      </w:r>
      <w:r w:rsidR="00D218E3">
        <w:t xml:space="preserve">two </w:t>
      </w:r>
      <w:r w:rsidR="00FA1E1D">
        <w:t>company-</w:t>
      </w:r>
      <w:r w:rsidR="00C624F5" w:rsidRPr="00C624F5">
        <w:t>sponsored</w:t>
      </w:r>
      <w:r w:rsidR="00D218E3">
        <w:t>,</w:t>
      </w:r>
      <w:r w:rsidR="00C624F5" w:rsidRPr="00C624F5">
        <w:t xml:space="preserve"> </w:t>
      </w:r>
      <w:r w:rsidR="00D218E3" w:rsidRPr="00C624F5">
        <w:t xml:space="preserve">pivotal studies </w:t>
      </w:r>
      <w:r w:rsidR="00D218E3">
        <w:t>evaluat</w:t>
      </w:r>
      <w:r w:rsidR="00D218E3" w:rsidRPr="001C5FF9">
        <w:t xml:space="preserve">ed previously by the TGA for the first line </w:t>
      </w:r>
      <w:proofErr w:type="spellStart"/>
      <w:r w:rsidR="00D218E3" w:rsidRPr="001C5FF9">
        <w:t>mCRC</w:t>
      </w:r>
      <w:proofErr w:type="spellEnd"/>
      <w:r w:rsidR="00D218E3" w:rsidRPr="001C5FF9">
        <w:t xml:space="preserve"> indication</w:t>
      </w:r>
      <w:r w:rsidRPr="001C5FF9">
        <w:t>:</w:t>
      </w:r>
      <w:r w:rsidR="00D218E3" w:rsidRPr="001C5FF9">
        <w:t xml:space="preserve"> the Phase III CRYSTAL and the Phase II OPUS </w:t>
      </w:r>
      <w:r w:rsidR="00FA1E1D" w:rsidRPr="001C5FF9">
        <w:t>s</w:t>
      </w:r>
      <w:r w:rsidR="00D218E3" w:rsidRPr="001C5FF9">
        <w:t>tudies.</w:t>
      </w:r>
    </w:p>
    <w:p w:rsidR="00C624F5" w:rsidRPr="001C5FF9" w:rsidRDefault="00CE4CA2" w:rsidP="001C5FF9">
      <w:pPr>
        <w:pStyle w:val="ListBullet"/>
      </w:pPr>
      <w:r w:rsidRPr="001C5FF9">
        <w:t>2</w:t>
      </w:r>
      <w:r w:rsidR="00D218E3" w:rsidRPr="001C5FF9">
        <w:t xml:space="preserve"> new investigator-</w:t>
      </w:r>
      <w:r w:rsidR="00C624F5" w:rsidRPr="001C5FF9">
        <w:t>sponsored studies</w:t>
      </w:r>
      <w:r w:rsidR="00D218E3" w:rsidRPr="001C5FF9">
        <w:t>,</w:t>
      </w:r>
      <w:r w:rsidR="00C624F5" w:rsidRPr="001C5FF9">
        <w:t xml:space="preserve"> the COIN and NORDIC VII trials</w:t>
      </w:r>
      <w:r w:rsidR="00733C6A" w:rsidRPr="001C5FF9">
        <w:t xml:space="preserve"> (COIN </w:t>
      </w:r>
      <w:r w:rsidR="00C624F5" w:rsidRPr="001C5FF9">
        <w:t xml:space="preserve">led to the </w:t>
      </w:r>
      <w:r w:rsidR="00FA1E1D" w:rsidRPr="001C5FF9">
        <w:t xml:space="preserve">CHMP </w:t>
      </w:r>
      <w:r w:rsidR="00C624F5" w:rsidRPr="001C5FF9">
        <w:t>investigation into</w:t>
      </w:r>
      <w:r w:rsidR="00C624F5" w:rsidRPr="00C624F5">
        <w:t xml:space="preserve"> the benefit/risk of combination therapy in patients with </w:t>
      </w:r>
      <w:r w:rsidR="00C624F5" w:rsidRPr="00FA1E1D">
        <w:t>K</w:t>
      </w:r>
      <w:r w:rsidR="00733C6A">
        <w:noBreakHyphen/>
      </w:r>
      <w:r w:rsidR="00C624F5" w:rsidRPr="00FA1E1D">
        <w:t>RAS</w:t>
      </w:r>
      <w:r w:rsidR="00C624F5" w:rsidRPr="00C624F5">
        <w:rPr>
          <w:i/>
        </w:rPr>
        <w:t xml:space="preserve"> </w:t>
      </w:r>
      <w:r w:rsidR="00C624F5" w:rsidRPr="00C624F5">
        <w:t>wild</w:t>
      </w:r>
      <w:r w:rsidR="00C624F5" w:rsidRPr="001C5FF9">
        <w:t xml:space="preserve"> type tumours</w:t>
      </w:r>
      <w:r w:rsidR="00733C6A" w:rsidRPr="001C5FF9">
        <w:t>)</w:t>
      </w:r>
      <w:r w:rsidR="001C5FF9" w:rsidRPr="001C5FF9">
        <w:t>.</w:t>
      </w:r>
    </w:p>
    <w:p w:rsidR="007C378C" w:rsidRDefault="007C378C" w:rsidP="001C5FF9">
      <w:pPr>
        <w:pStyle w:val="ListBullet"/>
      </w:pPr>
      <w:r w:rsidRPr="001C5FF9">
        <w:t>a paediatric pharmacokine</w:t>
      </w:r>
      <w:r>
        <w:t xml:space="preserve">tics (PK) </w:t>
      </w:r>
      <w:r w:rsidRPr="00C624F5">
        <w:t>Study CA225085</w:t>
      </w:r>
    </w:p>
    <w:p w:rsidR="007C378C" w:rsidRDefault="007C378C" w:rsidP="00D218E3">
      <w:pPr>
        <w:pStyle w:val="ListBullet"/>
      </w:pPr>
      <w:r w:rsidRPr="00C624F5">
        <w:t>47 publications</w:t>
      </w:r>
      <w:r>
        <w:t xml:space="preserve"> (some providing only background information)</w:t>
      </w:r>
    </w:p>
    <w:p w:rsidR="007C378C" w:rsidRPr="00C624F5" w:rsidRDefault="007C378C" w:rsidP="00D218E3">
      <w:pPr>
        <w:pStyle w:val="ListBullet"/>
      </w:pPr>
      <w:r>
        <w:t>3 Periodic Safety Update Reports (</w:t>
      </w:r>
      <w:r w:rsidRPr="00C624F5">
        <w:t>PSURs</w:t>
      </w:r>
      <w:r>
        <w:t xml:space="preserve">; numbers </w:t>
      </w:r>
      <w:r w:rsidRPr="00C624F5">
        <w:t>8, 9</w:t>
      </w:r>
      <w:r>
        <w:t xml:space="preserve"> and </w:t>
      </w:r>
      <w:r w:rsidRPr="00C624F5">
        <w:t xml:space="preserve">10) not previously evaluated by the TGA and covering the period from 01 October 2008 </w:t>
      </w:r>
      <w:r>
        <w:t xml:space="preserve">to </w:t>
      </w:r>
      <w:r w:rsidRPr="00C624F5">
        <w:t>30 Septemb</w:t>
      </w:r>
      <w:r w:rsidR="001C5FF9">
        <w:t>er 2011.</w:t>
      </w:r>
    </w:p>
    <w:p w:rsidR="00C624F5" w:rsidRPr="00C624F5" w:rsidRDefault="00C624F5" w:rsidP="00C624F5">
      <w:r w:rsidRPr="00C624F5">
        <w:t xml:space="preserve">The sponsor provided reassurance that the updated reports </w:t>
      </w:r>
      <w:r w:rsidR="007C378C">
        <w:t xml:space="preserve">for the </w:t>
      </w:r>
      <w:r w:rsidR="007C378C" w:rsidRPr="00C624F5">
        <w:t xml:space="preserve">CRYSTAL and OPUS </w:t>
      </w:r>
      <w:r w:rsidR="007C378C">
        <w:t>s</w:t>
      </w:r>
      <w:r w:rsidR="007C378C" w:rsidRPr="00C624F5">
        <w:t xml:space="preserve">tudies </w:t>
      </w:r>
      <w:r w:rsidRPr="00C624F5">
        <w:t xml:space="preserve">“do not contain any new efficacy information and the current PI already reports the results from later cut-off dates and subgroup analyses by </w:t>
      </w:r>
      <w:r w:rsidRPr="00FA1E1D">
        <w:t>K-RAS</w:t>
      </w:r>
      <w:r w:rsidRPr="00C624F5">
        <w:t xml:space="preserve"> tumour status. There was no change to the safety profile of cetuximab in these studies after re-calculations based on the new cut-off dates.”</w:t>
      </w:r>
      <w:r w:rsidR="00733C6A">
        <w:t xml:space="preserve"> The rest of the studies, w</w:t>
      </w:r>
      <w:r w:rsidR="007C378C">
        <w:t xml:space="preserve">ith the exception of the company-sponsored PK study, </w:t>
      </w:r>
      <w:r w:rsidRPr="00C624F5">
        <w:t xml:space="preserve">were investigator-sponsored trials for which no study reports were available. These trials were reported with varying degrees of detail; some resulted in published papers that were </w:t>
      </w:r>
      <w:r w:rsidR="007C378C">
        <w:t xml:space="preserve">provided </w:t>
      </w:r>
      <w:r w:rsidRPr="00C624F5">
        <w:t>in the dossier.</w:t>
      </w:r>
    </w:p>
    <w:p w:rsidR="008E7846" w:rsidRPr="00254787" w:rsidRDefault="008E7846" w:rsidP="008E7846">
      <w:pPr>
        <w:pStyle w:val="Heading3"/>
      </w:pPr>
      <w:bookmarkStart w:id="34" w:name="_Toc196046464"/>
      <w:bookmarkStart w:id="35" w:name="_Toc247691518"/>
      <w:bookmarkStart w:id="36" w:name="_Toc314842502"/>
      <w:bookmarkStart w:id="37" w:name="_Toc368388459"/>
      <w:r w:rsidRPr="00254787">
        <w:t>Pharmacokinetics</w:t>
      </w:r>
      <w:bookmarkEnd w:id="27"/>
      <w:bookmarkEnd w:id="34"/>
      <w:bookmarkEnd w:id="35"/>
      <w:bookmarkEnd w:id="36"/>
      <w:bookmarkEnd w:id="37"/>
    </w:p>
    <w:p w:rsidR="00123342" w:rsidRDefault="00C624F5" w:rsidP="00123342">
      <w:bookmarkStart w:id="38" w:name="_Toc364942817"/>
      <w:r w:rsidRPr="00123342">
        <w:t>Study CA 225085</w:t>
      </w:r>
      <w:bookmarkEnd w:id="38"/>
      <w:r w:rsidR="00123342">
        <w:t xml:space="preserve"> was a </w:t>
      </w:r>
      <w:r w:rsidR="00FA1E1D">
        <w:t>Phase I s</w:t>
      </w:r>
      <w:r w:rsidRPr="00123342">
        <w:t xml:space="preserve">tudy of </w:t>
      </w:r>
      <w:r w:rsidR="00123342">
        <w:t xml:space="preserve">cetuximab </w:t>
      </w:r>
      <w:r w:rsidR="00123342" w:rsidRPr="00123342">
        <w:t>at multiple ascending doses in combination with irinotecan at a fixed dose in paediatric and adolescent patients (n = 46)</w:t>
      </w:r>
      <w:r w:rsidR="00123342">
        <w:t xml:space="preserve"> with r</w:t>
      </w:r>
      <w:r w:rsidRPr="00123342">
        <w:t xml:space="preserve">efractory </w:t>
      </w:r>
      <w:r w:rsidR="00123342">
        <w:t>s</w:t>
      </w:r>
      <w:r w:rsidRPr="00123342">
        <w:t xml:space="preserve">olid </w:t>
      </w:r>
      <w:r w:rsidR="00123342">
        <w:t>t</w:t>
      </w:r>
      <w:r w:rsidRPr="00123342">
        <w:t>umo</w:t>
      </w:r>
      <w:r w:rsidR="00123342">
        <w:t>u</w:t>
      </w:r>
      <w:r w:rsidRPr="00123342">
        <w:t>rs</w:t>
      </w:r>
      <w:r w:rsidR="00123342">
        <w:t>. It was designed</w:t>
      </w:r>
      <w:r w:rsidR="00123342" w:rsidRPr="00123342">
        <w:t xml:space="preserve"> </w:t>
      </w:r>
      <w:r w:rsidR="00123342">
        <w:t>to characterise</w:t>
      </w:r>
      <w:r w:rsidR="00123342" w:rsidRPr="00123342">
        <w:t xml:space="preserve"> </w:t>
      </w:r>
      <w:r w:rsidR="00123342">
        <w:t>the s</w:t>
      </w:r>
      <w:r w:rsidR="00123342" w:rsidRPr="00123342">
        <w:t xml:space="preserve">erum </w:t>
      </w:r>
      <w:r w:rsidR="00123342">
        <w:t>PK</w:t>
      </w:r>
      <w:r w:rsidR="00123342" w:rsidRPr="00123342">
        <w:t xml:space="preserve">, </w:t>
      </w:r>
      <w:r w:rsidR="00123342">
        <w:t>s</w:t>
      </w:r>
      <w:r w:rsidR="00123342" w:rsidRPr="00123342">
        <w:t xml:space="preserve">afety and </w:t>
      </w:r>
      <w:r w:rsidR="00123342">
        <w:t>e</w:t>
      </w:r>
      <w:r w:rsidR="00123342" w:rsidRPr="00123342">
        <w:t xml:space="preserve">fficacy of </w:t>
      </w:r>
      <w:r w:rsidR="00123342">
        <w:t>c</w:t>
      </w:r>
      <w:r w:rsidR="00123342" w:rsidRPr="00123342">
        <w:t xml:space="preserve">etuximab when </w:t>
      </w:r>
      <w:r w:rsidR="00123342">
        <w:t>c</w:t>
      </w:r>
      <w:r w:rsidR="00123342" w:rsidRPr="00123342">
        <w:t xml:space="preserve">ombined with </w:t>
      </w:r>
      <w:proofErr w:type="spellStart"/>
      <w:r w:rsidR="00123342">
        <w:t>i</w:t>
      </w:r>
      <w:r w:rsidR="00123342" w:rsidRPr="00123342">
        <w:t>rinotecan</w:t>
      </w:r>
      <w:proofErr w:type="spellEnd"/>
      <w:r w:rsidR="00123342" w:rsidRPr="00123342">
        <w:t>.</w:t>
      </w:r>
    </w:p>
    <w:p w:rsidR="00123342" w:rsidRDefault="00123342" w:rsidP="00123342">
      <w:r>
        <w:t xml:space="preserve">This study was submitted mainly to </w:t>
      </w:r>
      <w:r w:rsidRPr="00123342">
        <w:t>support a proposed PI change relating to paediatric PK</w:t>
      </w:r>
      <w:r>
        <w:t xml:space="preserve">. </w:t>
      </w:r>
      <w:r w:rsidR="00FA1E1D">
        <w:t xml:space="preserve">Changes to the </w:t>
      </w:r>
      <w:r>
        <w:t>PI other than to the indication are beyond the scope of the AusPAR, therefore details of this study are</w:t>
      </w:r>
      <w:r w:rsidR="001C5FF9">
        <w:t xml:space="preserve"> not included in this document.</w:t>
      </w:r>
    </w:p>
    <w:p w:rsidR="00C624F5" w:rsidRPr="00C624F5" w:rsidRDefault="00123342" w:rsidP="00123342">
      <w:r>
        <w:t>The evaluator’s conclus</w:t>
      </w:r>
      <w:r w:rsidR="001C5FF9">
        <w:t>ions regarding this study were:</w:t>
      </w:r>
    </w:p>
    <w:p w:rsidR="00C624F5" w:rsidRPr="00C624F5" w:rsidRDefault="00C624F5" w:rsidP="00123342">
      <w:pPr>
        <w:pStyle w:val="ListBullet"/>
      </w:pPr>
      <w:r w:rsidRPr="00C624F5">
        <w:t>Cetuximab in combination with irinotecan was safely administered in paediatric and adolescent subjects with so</w:t>
      </w:r>
      <w:r w:rsidR="001C5FF9">
        <w:t>lid tumours.</w:t>
      </w:r>
    </w:p>
    <w:p w:rsidR="00C624F5" w:rsidRPr="00C624F5" w:rsidRDefault="00C624F5" w:rsidP="00123342">
      <w:pPr>
        <w:pStyle w:val="ListBullet"/>
      </w:pPr>
      <w:r w:rsidRPr="00C624F5">
        <w:t>The safety profile of the combination was similar between the 2 age groups, and consistent with the known safety profile of each of the indi</w:t>
      </w:r>
      <w:r w:rsidR="001C5FF9">
        <w:t>vidual drugs in adult subjects.</w:t>
      </w:r>
    </w:p>
    <w:p w:rsidR="00C624F5" w:rsidRPr="00C624F5" w:rsidRDefault="00C624F5" w:rsidP="00123342">
      <w:pPr>
        <w:pStyle w:val="ListBullet"/>
      </w:pPr>
      <w:r w:rsidRPr="00C624F5">
        <w:lastRenderedPageBreak/>
        <w:t xml:space="preserve">The </w:t>
      </w:r>
      <w:r w:rsidR="00123342">
        <w:t>maximum tolerated dose (</w:t>
      </w:r>
      <w:r w:rsidRPr="00C624F5">
        <w:t>MTD</w:t>
      </w:r>
      <w:r w:rsidR="00123342">
        <w:t>)</w:t>
      </w:r>
      <w:r w:rsidRPr="00C624F5">
        <w:t xml:space="preserve"> for the combination of cetuximab and irinotecan was different between the 2 age groups. However, the recommended Phase II cetuximab dose for both age groups is 250 mg/m</w:t>
      </w:r>
      <w:r w:rsidRPr="00123342">
        <w:rPr>
          <w:vertAlign w:val="superscript"/>
        </w:rPr>
        <w:t>2</w:t>
      </w:r>
      <w:r w:rsidRPr="00C624F5">
        <w:t xml:space="preserve"> together with irinotecan</w:t>
      </w:r>
      <w:r w:rsidR="00123342">
        <w:t xml:space="preserve"> 16 or 20 </w:t>
      </w:r>
      <w:r w:rsidRPr="00C624F5">
        <w:t>mg/m</w:t>
      </w:r>
      <w:r w:rsidRPr="00C624F5">
        <w:rPr>
          <w:vertAlign w:val="superscript"/>
        </w:rPr>
        <w:t>2</w:t>
      </w:r>
      <w:r w:rsidR="001C5FF9">
        <w:t xml:space="preserve"> IV x 5 days x 2 weeks.</w:t>
      </w:r>
    </w:p>
    <w:p w:rsidR="008E7846" w:rsidRPr="00FB2770" w:rsidRDefault="00C624F5" w:rsidP="008E7846">
      <w:pPr>
        <w:pStyle w:val="ListBullet"/>
      </w:pPr>
      <w:r w:rsidRPr="00C624F5">
        <w:t>PK analysis indicated a similar cetuximab exposure profile between the 2 age groups and was comparable to that known for adults.</w:t>
      </w:r>
    </w:p>
    <w:p w:rsidR="008E7846" w:rsidRDefault="008E7846" w:rsidP="008E7846">
      <w:pPr>
        <w:pStyle w:val="Heading3"/>
      </w:pPr>
      <w:bookmarkStart w:id="39" w:name="_Toc196046481"/>
      <w:bookmarkStart w:id="40" w:name="_Toc247691520"/>
      <w:bookmarkStart w:id="41" w:name="_Toc314842503"/>
      <w:bookmarkStart w:id="42" w:name="_Toc368388460"/>
      <w:r w:rsidRPr="00254787">
        <w:t>Pharmacodynamics</w:t>
      </w:r>
      <w:bookmarkEnd w:id="28"/>
      <w:bookmarkEnd w:id="39"/>
      <w:bookmarkEnd w:id="40"/>
      <w:bookmarkEnd w:id="41"/>
      <w:bookmarkEnd w:id="42"/>
    </w:p>
    <w:p w:rsidR="00C624F5" w:rsidRPr="00C624F5" w:rsidRDefault="00C624F5" w:rsidP="00C624F5">
      <w:pPr>
        <w:autoSpaceDE w:val="0"/>
        <w:autoSpaceDN w:val="0"/>
        <w:adjustRightInd w:val="0"/>
        <w:rPr>
          <w:color w:val="000000"/>
        </w:rPr>
      </w:pPr>
      <w:r w:rsidRPr="00C624F5">
        <w:rPr>
          <w:color w:val="000000"/>
        </w:rPr>
        <w:t xml:space="preserve">Samples were not collected for PD analyses in the PK </w:t>
      </w:r>
      <w:r w:rsidR="00B120F5">
        <w:rPr>
          <w:color w:val="000000"/>
        </w:rPr>
        <w:t>S</w:t>
      </w:r>
      <w:r w:rsidRPr="00C624F5">
        <w:rPr>
          <w:color w:val="000000"/>
        </w:rPr>
        <w:t>tudy CA 225085. No other PD data were presented.</w:t>
      </w:r>
    </w:p>
    <w:p w:rsidR="008E7846" w:rsidRPr="00254787" w:rsidRDefault="008E7846" w:rsidP="008E7846">
      <w:pPr>
        <w:pStyle w:val="Heading3"/>
      </w:pPr>
      <w:bookmarkStart w:id="43" w:name="_Toc163441372"/>
      <w:bookmarkStart w:id="44" w:name="_Toc196046485"/>
      <w:bookmarkStart w:id="45" w:name="_Toc247691521"/>
      <w:bookmarkStart w:id="46" w:name="_Toc314842504"/>
      <w:bookmarkStart w:id="47" w:name="_Toc368388461"/>
      <w:r w:rsidRPr="00254787">
        <w:t>Efficacy</w:t>
      </w:r>
      <w:bookmarkEnd w:id="43"/>
      <w:bookmarkEnd w:id="44"/>
      <w:bookmarkEnd w:id="45"/>
      <w:bookmarkEnd w:id="46"/>
      <w:bookmarkEnd w:id="47"/>
    </w:p>
    <w:p w:rsidR="00DD6EA2" w:rsidRPr="00DD6EA2" w:rsidRDefault="00DD6EA2" w:rsidP="00DD6EA2">
      <w:pPr>
        <w:pStyle w:val="Heading4"/>
      </w:pPr>
      <w:bookmarkStart w:id="48" w:name="_Toc364942821"/>
      <w:bookmarkStart w:id="49" w:name="_Toc184439992"/>
      <w:bookmarkStart w:id="50" w:name="_Toc184440279"/>
      <w:bookmarkStart w:id="51" w:name="_Toc184444657"/>
      <w:bookmarkStart w:id="52" w:name="_Toc196046487"/>
      <w:r w:rsidRPr="00DD6EA2">
        <w:t>Background</w:t>
      </w:r>
      <w:bookmarkEnd w:id="48"/>
    </w:p>
    <w:p w:rsidR="00DD6EA2" w:rsidRPr="00DD6EA2" w:rsidRDefault="00DD6EA2" w:rsidP="00DD6EA2">
      <w:r w:rsidRPr="00DD6EA2">
        <w:t xml:space="preserve">Treatment of </w:t>
      </w:r>
      <w:proofErr w:type="spellStart"/>
      <w:r w:rsidRPr="00DD6EA2">
        <w:t>mCRC</w:t>
      </w:r>
      <w:proofErr w:type="spellEnd"/>
      <w:r w:rsidRPr="00DD6EA2">
        <w:t xml:space="preserve"> has been changing considerably in </w:t>
      </w:r>
      <w:r w:rsidR="004F5EB7">
        <w:t>recent years. Combinations of 5</w:t>
      </w:r>
      <w:r w:rsidR="004F5EB7">
        <w:noBreakHyphen/>
      </w:r>
      <w:r>
        <w:t>f</w:t>
      </w:r>
      <w:r w:rsidRPr="00DD6EA2">
        <w:t>luorouracil</w:t>
      </w:r>
      <w:r w:rsidR="004F5EB7">
        <w:t>/</w:t>
      </w:r>
      <w:proofErr w:type="spellStart"/>
      <w:r>
        <w:t>leucovorin</w:t>
      </w:r>
      <w:proofErr w:type="spellEnd"/>
      <w:r>
        <w:t xml:space="preserve"> (</w:t>
      </w:r>
      <w:r w:rsidR="004F5EB7">
        <w:t>5-FU/</w:t>
      </w:r>
      <w:r w:rsidRPr="00DD6EA2">
        <w:t>LV</w:t>
      </w:r>
      <w:r>
        <w:t>)</w:t>
      </w:r>
      <w:r w:rsidRPr="00DD6EA2">
        <w:t xml:space="preserve"> containing both bolus (Roswell Park) </w:t>
      </w:r>
      <w:r>
        <w:t xml:space="preserve">and </w:t>
      </w:r>
      <w:proofErr w:type="spellStart"/>
      <w:r>
        <w:t>infusional</w:t>
      </w:r>
      <w:proofErr w:type="spellEnd"/>
      <w:r>
        <w:t xml:space="preserve"> administration (d</w:t>
      </w:r>
      <w:r w:rsidRPr="00DD6EA2">
        <w:t xml:space="preserve">e </w:t>
      </w:r>
      <w:proofErr w:type="spellStart"/>
      <w:r w:rsidRPr="00DD6EA2">
        <w:t>Gramont</w:t>
      </w:r>
      <w:proofErr w:type="spellEnd"/>
      <w:r w:rsidRPr="00DD6EA2">
        <w:t xml:space="preserve"> schedule) </w:t>
      </w:r>
      <w:r w:rsidR="009F76C5">
        <w:t xml:space="preserve">regimens </w:t>
      </w:r>
      <w:r w:rsidRPr="00DD6EA2">
        <w:t xml:space="preserve">with </w:t>
      </w:r>
      <w:r>
        <w:t xml:space="preserve">a </w:t>
      </w:r>
      <w:r w:rsidRPr="00DD6EA2">
        <w:t xml:space="preserve">second active drug, either irinotecan or oxaliplatin, have been accepted as the mainstay of </w:t>
      </w:r>
      <w:r>
        <w:t xml:space="preserve">first </w:t>
      </w:r>
      <w:r w:rsidRPr="00DD6EA2">
        <w:t>line treatment.</w:t>
      </w:r>
    </w:p>
    <w:p w:rsidR="00DD6EA2" w:rsidRPr="00DD6EA2" w:rsidRDefault="00DD6EA2" w:rsidP="00DD6EA2">
      <w:r w:rsidRPr="00DD6EA2">
        <w:t xml:space="preserve">During the last years, the IFL regimen (weekly irinotecan </w:t>
      </w:r>
      <w:r w:rsidR="00351B00">
        <w:t>and IV push administration of 5</w:t>
      </w:r>
      <w:r w:rsidR="00351B00">
        <w:noBreakHyphen/>
      </w:r>
      <w:r w:rsidRPr="00DD6EA2">
        <w:t xml:space="preserve">FU or LV) no longer represents the gold standard of front line treatment of </w:t>
      </w:r>
      <w:proofErr w:type="spellStart"/>
      <w:r w:rsidRPr="00DD6EA2">
        <w:t>mCRC</w:t>
      </w:r>
      <w:proofErr w:type="spellEnd"/>
      <w:r w:rsidRPr="00DD6EA2">
        <w:t xml:space="preserve"> and was replaced by the combination of irinotecan or oxaliplatin with infusional 5-FU regimens (FOLFIRI</w:t>
      </w:r>
      <w:r w:rsidR="00FB579A">
        <w:t xml:space="preserve"> (</w:t>
      </w:r>
      <w:r w:rsidR="00FB579A" w:rsidRPr="00FB579A">
        <w:t>folinic acid + fluorouracil + irinotecan</w:t>
      </w:r>
      <w:r w:rsidR="00FB579A">
        <w:t>)</w:t>
      </w:r>
      <w:r w:rsidRPr="00DD6EA2">
        <w:t xml:space="preserve"> or FOLFOX, respectively).</w:t>
      </w:r>
    </w:p>
    <w:p w:rsidR="00DD6EA2" w:rsidRPr="00DD6EA2" w:rsidRDefault="00DD6EA2" w:rsidP="00DD6EA2">
      <w:r w:rsidRPr="00DD6EA2">
        <w:t xml:space="preserve">To investigate the use of cetuximab as an add-on option to currently used chemotherapy regimens in </w:t>
      </w:r>
      <w:proofErr w:type="spellStart"/>
      <w:r w:rsidRPr="00DD6EA2">
        <w:t>mCRC</w:t>
      </w:r>
      <w:proofErr w:type="spellEnd"/>
      <w:r w:rsidR="00733C6A">
        <w:t>,</w:t>
      </w:r>
      <w:r w:rsidRPr="00DD6EA2">
        <w:t xml:space="preserve"> various studies were analysed for this application. These studies are presented</w:t>
      </w:r>
      <w:r>
        <w:t xml:space="preserve"> in Table 2</w:t>
      </w:r>
      <w:r w:rsidRPr="00DD6EA2">
        <w:t>.</w:t>
      </w:r>
    </w:p>
    <w:p w:rsidR="00DD6EA2" w:rsidRPr="00DD6EA2" w:rsidRDefault="00DD6EA2" w:rsidP="001C5FF9">
      <w:pPr>
        <w:pStyle w:val="TableTitle"/>
      </w:pPr>
      <w:proofErr w:type="gramStart"/>
      <w:r>
        <w:lastRenderedPageBreak/>
        <w:t>Table 2</w:t>
      </w:r>
      <w:r w:rsidRPr="00DD6EA2">
        <w:t>.</w:t>
      </w:r>
      <w:proofErr w:type="gramEnd"/>
      <w:r w:rsidRPr="00DD6EA2">
        <w:t xml:space="preserve"> Overview of studies</w:t>
      </w:r>
    </w:p>
    <w:p w:rsidR="00DD6EA2" w:rsidRPr="00DD6EA2" w:rsidRDefault="00DD6EA2" w:rsidP="001C5FF9">
      <w:r w:rsidRPr="00DD6EA2">
        <w:rPr>
          <w:noProof/>
          <w:lang w:eastAsia="en-AU"/>
        </w:rPr>
        <w:drawing>
          <wp:inline distT="0" distB="0" distL="0" distR="0">
            <wp:extent cx="5133242" cy="5771595"/>
            <wp:effectExtent l="19050" t="0" r="0" b="0"/>
            <wp:docPr id="1" name="Picture 8" descr="Table 2. Overview of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132548" cy="5770815"/>
                    </a:xfrm>
                    <a:prstGeom prst="rect">
                      <a:avLst/>
                    </a:prstGeom>
                    <a:noFill/>
                    <a:ln w="9525">
                      <a:noFill/>
                      <a:miter lim="800000"/>
                      <a:headEnd/>
                      <a:tailEnd/>
                    </a:ln>
                  </pic:spPr>
                </pic:pic>
              </a:graphicData>
            </a:graphic>
          </wp:inline>
        </w:drawing>
      </w:r>
    </w:p>
    <w:p w:rsidR="00DD6EA2" w:rsidRPr="00DD6EA2" w:rsidRDefault="00DD6EA2" w:rsidP="00813104">
      <w:pPr>
        <w:pStyle w:val="Heading4"/>
      </w:pPr>
      <w:bookmarkStart w:id="53" w:name="_Toc335932570"/>
      <w:bookmarkStart w:id="54" w:name="_Toc364942822"/>
      <w:r w:rsidRPr="00DD6EA2">
        <w:t xml:space="preserve">Main studies for </w:t>
      </w:r>
      <w:r w:rsidR="00580AA7">
        <w:t xml:space="preserve">the </w:t>
      </w:r>
      <w:r w:rsidRPr="00DD6EA2">
        <w:t>current submission</w:t>
      </w:r>
      <w:bookmarkEnd w:id="53"/>
      <w:bookmarkEnd w:id="54"/>
    </w:p>
    <w:p w:rsidR="00DD6EA2" w:rsidRPr="00DD6EA2" w:rsidRDefault="00DD6EA2" w:rsidP="00DD6EA2">
      <w:r w:rsidRPr="00DD6EA2">
        <w:t xml:space="preserve">The CRYSTAL and OPUS studies were previously evaluated by the TGA </w:t>
      </w:r>
      <w:r>
        <w:t xml:space="preserve">for a variation </w:t>
      </w:r>
      <w:r w:rsidRPr="00DD6EA2">
        <w:t xml:space="preserve">application </w:t>
      </w:r>
      <w:r w:rsidR="00782AA8">
        <w:t xml:space="preserve">(approved in 2010) </w:t>
      </w:r>
      <w:r w:rsidRPr="00DD6EA2">
        <w:t xml:space="preserve">for </w:t>
      </w:r>
      <w:proofErr w:type="spellStart"/>
      <w:r w:rsidRPr="00DD6EA2">
        <w:t>cetuximab</w:t>
      </w:r>
      <w:proofErr w:type="spellEnd"/>
      <w:r w:rsidRPr="00DD6EA2">
        <w:t xml:space="preserve"> in </w:t>
      </w:r>
      <w:proofErr w:type="spellStart"/>
      <w:r w:rsidRPr="00DD6EA2">
        <w:t>mCRC</w:t>
      </w:r>
      <w:proofErr w:type="spellEnd"/>
      <w:r w:rsidRPr="00DD6EA2">
        <w:t xml:space="preserve">. </w:t>
      </w:r>
      <w:r w:rsidR="00580AA7">
        <w:t>Updated d</w:t>
      </w:r>
      <w:r w:rsidRPr="00DD6EA2">
        <w:t xml:space="preserve">ata </w:t>
      </w:r>
      <w:r w:rsidR="00DB2F6C">
        <w:t xml:space="preserve">(including for </w:t>
      </w:r>
      <w:r w:rsidRPr="00DD6EA2">
        <w:t>OS</w:t>
      </w:r>
      <w:r w:rsidR="00DB2F6C">
        <w:t>)</w:t>
      </w:r>
      <w:r w:rsidRPr="00DD6EA2">
        <w:t xml:space="preserve"> for these studies </w:t>
      </w:r>
      <w:r w:rsidR="00DB2F6C">
        <w:t xml:space="preserve">were </w:t>
      </w:r>
      <w:r w:rsidRPr="00DD6EA2">
        <w:t>provided</w:t>
      </w:r>
      <w:r w:rsidR="00DB2F6C">
        <w:t xml:space="preserve"> and a</w:t>
      </w:r>
      <w:r w:rsidRPr="00DD6EA2">
        <w:t xml:space="preserve">n addendum to the original version of the study reports </w:t>
      </w:r>
      <w:r w:rsidR="00DB2F6C">
        <w:t xml:space="preserve">was </w:t>
      </w:r>
      <w:r w:rsidRPr="00DD6EA2">
        <w:t>included</w:t>
      </w:r>
      <w:r w:rsidR="00C577ED">
        <w:t xml:space="preserve"> for the current application</w:t>
      </w:r>
      <w:r w:rsidRPr="00DD6EA2">
        <w:t>.</w:t>
      </w:r>
    </w:p>
    <w:p w:rsidR="00DD6EA2" w:rsidRPr="00DD6EA2" w:rsidRDefault="00DD6EA2" w:rsidP="00DD6EA2">
      <w:r w:rsidRPr="00DD6EA2">
        <w:t xml:space="preserve">The COIN </w:t>
      </w:r>
      <w:r w:rsidR="00B120F5">
        <w:t>S</w:t>
      </w:r>
      <w:r w:rsidRPr="00DD6EA2">
        <w:t xml:space="preserve">tudy, that prompted the review of the benefit/risk profile of </w:t>
      </w:r>
      <w:proofErr w:type="spellStart"/>
      <w:r w:rsidRPr="00DD6EA2">
        <w:t>cetuximab</w:t>
      </w:r>
      <w:proofErr w:type="spellEnd"/>
      <w:r w:rsidRPr="00DD6EA2">
        <w:t xml:space="preserve"> in </w:t>
      </w:r>
      <w:proofErr w:type="spellStart"/>
      <w:r w:rsidRPr="00DD6EA2">
        <w:t>mCRC</w:t>
      </w:r>
      <w:proofErr w:type="spellEnd"/>
      <w:r w:rsidRPr="00DD6EA2">
        <w:t>, is the main investigator-sponsored trial discussed in the submission.</w:t>
      </w:r>
    </w:p>
    <w:p w:rsidR="00DD6EA2" w:rsidRDefault="00DD6EA2" w:rsidP="00DD6EA2">
      <w:r w:rsidRPr="00DD6EA2">
        <w:t xml:space="preserve">The sponsor </w:t>
      </w:r>
      <w:r w:rsidR="00351B00">
        <w:t xml:space="preserve">also </w:t>
      </w:r>
      <w:r w:rsidRPr="00DD6EA2">
        <w:t xml:space="preserve">reviewed the available information from the NORDIC VII </w:t>
      </w:r>
      <w:r w:rsidR="00B120F5">
        <w:t>S</w:t>
      </w:r>
      <w:r w:rsidRPr="00DD6EA2">
        <w:t xml:space="preserve">tudy (sponsored by Nordic Colorectal Cancer </w:t>
      </w:r>
      <w:proofErr w:type="spellStart"/>
      <w:r w:rsidRPr="00DD6EA2">
        <w:t>Biomodulation</w:t>
      </w:r>
      <w:proofErr w:type="spellEnd"/>
      <w:r w:rsidRPr="00DD6EA2">
        <w:t xml:space="preserve"> Group</w:t>
      </w:r>
      <w:r>
        <w:t>,</w:t>
      </w:r>
      <w:r w:rsidRPr="00DD6EA2">
        <w:t xml:space="preserve"> NCCBG) in the context of </w:t>
      </w:r>
      <w:r>
        <w:t xml:space="preserve">the first </w:t>
      </w:r>
      <w:r w:rsidRPr="00DD6EA2">
        <w:t xml:space="preserve">line </w:t>
      </w:r>
      <w:proofErr w:type="spellStart"/>
      <w:r w:rsidRPr="00DD6EA2">
        <w:t>mCRC</w:t>
      </w:r>
      <w:proofErr w:type="spellEnd"/>
      <w:r w:rsidRPr="00DD6EA2">
        <w:t xml:space="preserve"> indication for </w:t>
      </w:r>
      <w:proofErr w:type="spellStart"/>
      <w:r w:rsidRPr="00DD6EA2">
        <w:t>cetuximab</w:t>
      </w:r>
      <w:proofErr w:type="spellEnd"/>
      <w:r w:rsidRPr="00DD6EA2">
        <w:t>.</w:t>
      </w:r>
      <w:r w:rsidR="001860C7">
        <w:t xml:space="preserve"> However, because the </w:t>
      </w:r>
      <w:r w:rsidRPr="00DD6EA2">
        <w:t xml:space="preserve">Nordic FLOX </w:t>
      </w:r>
      <w:r w:rsidR="00FB579A">
        <w:t>(</w:t>
      </w:r>
      <w:r w:rsidR="00FB579A" w:rsidRPr="00FB579A">
        <w:t>5-FU as a bolus, folinic acid and oxaliplatin</w:t>
      </w:r>
      <w:r w:rsidR="00FB579A">
        <w:t>)</w:t>
      </w:r>
      <w:r w:rsidR="00FB579A" w:rsidRPr="00FB579A">
        <w:t xml:space="preserve"> </w:t>
      </w:r>
      <w:r w:rsidRPr="00DD6EA2">
        <w:t xml:space="preserve">regimen used in the study </w:t>
      </w:r>
      <w:r w:rsidR="001860C7">
        <w:t xml:space="preserve">is </w:t>
      </w:r>
      <w:r w:rsidRPr="00DD6EA2">
        <w:t xml:space="preserve">not registered for cetuximab, and </w:t>
      </w:r>
      <w:r w:rsidR="001860C7">
        <w:t xml:space="preserve">due </w:t>
      </w:r>
      <w:r w:rsidRPr="00DD6EA2">
        <w:t>to missing information and lack of final data, a meaningful and complete assessment of the outcome of this study was not deemed possible. The results from this study were, therefore, not considered by the sponsor in the analyses provided.</w:t>
      </w:r>
    </w:p>
    <w:p w:rsidR="00813104" w:rsidRDefault="00813104" w:rsidP="00DB2F6C">
      <w:pPr>
        <w:pStyle w:val="Heading5"/>
      </w:pPr>
      <w:r>
        <w:lastRenderedPageBreak/>
        <w:t>Other studies</w:t>
      </w:r>
    </w:p>
    <w:p w:rsidR="001860C7" w:rsidRPr="001860C7" w:rsidRDefault="001860C7" w:rsidP="001860C7">
      <w:bookmarkStart w:id="55" w:name="_Toc335932573"/>
      <w:bookmarkStart w:id="56" w:name="_Toc364942825"/>
      <w:r w:rsidRPr="001860C7">
        <w:t xml:space="preserve">Various </w:t>
      </w:r>
      <w:bookmarkEnd w:id="55"/>
      <w:bookmarkEnd w:id="56"/>
      <w:r>
        <w:t>investigator-</w:t>
      </w:r>
      <w:r w:rsidRPr="001860C7">
        <w:t xml:space="preserve">sponsored studies </w:t>
      </w:r>
      <w:r w:rsidR="00351B00" w:rsidRPr="001860C7">
        <w:t>with cetuximab and various chemotherapy regimens</w:t>
      </w:r>
      <w:r w:rsidR="00637047">
        <w:t>,</w:t>
      </w:r>
      <w:r w:rsidR="00AE2250">
        <w:t xml:space="preserve"> and results from pooled analyse</w:t>
      </w:r>
      <w:r w:rsidR="00637047">
        <w:t xml:space="preserve">s across studies </w:t>
      </w:r>
      <w:r w:rsidR="00813104">
        <w:t>were also provided.</w:t>
      </w:r>
    </w:p>
    <w:p w:rsidR="00836CA0" w:rsidRPr="00813104" w:rsidRDefault="006624D2" w:rsidP="00813104">
      <w:pPr>
        <w:pStyle w:val="Heading4"/>
      </w:pPr>
      <w:bookmarkStart w:id="57" w:name="_Toc335932574"/>
      <w:bookmarkStart w:id="58" w:name="_Toc364942827"/>
      <w:r>
        <w:t>Summary and c</w:t>
      </w:r>
      <w:r w:rsidR="00836CA0" w:rsidRPr="00813104">
        <w:t>onclusions regarding efficacy</w:t>
      </w:r>
      <w:bookmarkEnd w:id="57"/>
      <w:bookmarkEnd w:id="58"/>
    </w:p>
    <w:p w:rsidR="00813104" w:rsidRPr="00813104" w:rsidRDefault="00782AA8" w:rsidP="00813104">
      <w:r>
        <w:t xml:space="preserve">In this submission, the </w:t>
      </w:r>
      <w:r w:rsidR="00813104" w:rsidRPr="00813104">
        <w:t xml:space="preserve">indication for cetuximab in combination with chemotherapy regimens for the treatment of </w:t>
      </w:r>
      <w:proofErr w:type="spellStart"/>
      <w:r w:rsidR="00813104" w:rsidRPr="00813104">
        <w:t>mCRC</w:t>
      </w:r>
      <w:proofErr w:type="spellEnd"/>
      <w:r w:rsidR="00813104" w:rsidRPr="00813104">
        <w:t xml:space="preserve"> was re-evaluated. </w:t>
      </w:r>
      <w:r>
        <w:t>T</w:t>
      </w:r>
      <w:r w:rsidR="00813104" w:rsidRPr="00813104">
        <w:t xml:space="preserve">he </w:t>
      </w:r>
      <w:r w:rsidR="00B95D37">
        <w:t>first</w:t>
      </w:r>
      <w:r w:rsidR="00813104" w:rsidRPr="00813104">
        <w:t xml:space="preserve"> line palliative chemotherapy for advanced </w:t>
      </w:r>
      <w:proofErr w:type="spellStart"/>
      <w:r w:rsidR="006624D2">
        <w:t>m</w:t>
      </w:r>
      <w:r w:rsidR="00813104" w:rsidRPr="00813104">
        <w:t>CRC</w:t>
      </w:r>
      <w:proofErr w:type="spellEnd"/>
      <w:r w:rsidR="00C3383E">
        <w:t>,</w:t>
      </w:r>
      <w:r w:rsidR="00813104" w:rsidRPr="00813104">
        <w:t xml:space="preserve"> involving the combination of cetuximab with irinotecan-based chemotherapy and continuous infusional 5</w:t>
      </w:r>
      <w:r w:rsidR="00351B00">
        <w:t xml:space="preserve">-FU or </w:t>
      </w:r>
      <w:r w:rsidR="00813104" w:rsidRPr="00813104">
        <w:t xml:space="preserve">FA plus </w:t>
      </w:r>
      <w:proofErr w:type="spellStart"/>
      <w:r w:rsidR="00813104" w:rsidRPr="00813104">
        <w:t>oxaliplatin</w:t>
      </w:r>
      <w:proofErr w:type="spellEnd"/>
      <w:r w:rsidR="00C3383E">
        <w:t>,</w:t>
      </w:r>
      <w:r w:rsidR="00C3383E" w:rsidRPr="00C3383E">
        <w:t xml:space="preserve"> </w:t>
      </w:r>
      <w:r w:rsidR="00C3383E" w:rsidRPr="00813104">
        <w:t>is addressed</w:t>
      </w:r>
      <w:r w:rsidR="001C5FF9">
        <w:t>.</w:t>
      </w:r>
    </w:p>
    <w:p w:rsidR="00813104" w:rsidRPr="00813104" w:rsidRDefault="00E412E0" w:rsidP="00813104">
      <w:r>
        <w:t>The clinical evaluator considered o</w:t>
      </w:r>
      <w:r w:rsidR="00813104" w:rsidRPr="00813104">
        <w:t>verall</w:t>
      </w:r>
      <w:r w:rsidR="00AE2250">
        <w:t xml:space="preserve"> that</w:t>
      </w:r>
      <w:r w:rsidR="00813104" w:rsidRPr="00813104">
        <w:t xml:space="preserve"> the results presented for both irinotecan- and oxaliplatin-based combination therapies </w:t>
      </w:r>
      <w:r>
        <w:t>we</w:t>
      </w:r>
      <w:r w:rsidR="00813104" w:rsidRPr="00813104">
        <w:t xml:space="preserve">re not impressive, even in the </w:t>
      </w:r>
      <w:r w:rsidR="00813104" w:rsidRPr="00351B00">
        <w:t>K-RAS</w:t>
      </w:r>
      <w:r w:rsidR="00813104" w:rsidRPr="00813104">
        <w:t xml:space="preserve"> wild type population.</w:t>
      </w:r>
    </w:p>
    <w:p w:rsidR="00813104" w:rsidRPr="00813104" w:rsidRDefault="00813104" w:rsidP="00813104">
      <w:r w:rsidRPr="00813104">
        <w:t>The conclusions, below, are focused on efficacy outcomes from 2 company-sponsored pivotal trials that were previously evaluated by the TGA</w:t>
      </w:r>
      <w:r w:rsidR="00C3383E">
        <w:t xml:space="preserve"> [the CRYSTAL and OPUS Studies]</w:t>
      </w:r>
      <w:r w:rsidRPr="00813104">
        <w:t xml:space="preserve">, and one large </w:t>
      </w:r>
      <w:r w:rsidR="009B5519">
        <w:t>National Cancer Research Institute (</w:t>
      </w:r>
      <w:r w:rsidRPr="00813104">
        <w:t>NCRI</w:t>
      </w:r>
      <w:r w:rsidR="009B5519">
        <w:t>)</w:t>
      </w:r>
      <w:r w:rsidRPr="00813104">
        <w:t xml:space="preserve">-sponsored </w:t>
      </w:r>
      <w:r w:rsidR="009B5519">
        <w:t xml:space="preserve">study </w:t>
      </w:r>
      <w:r w:rsidR="00C3383E">
        <w:t>[COIN]</w:t>
      </w:r>
      <w:r w:rsidRPr="00813104">
        <w:t xml:space="preserve"> that led to the review of </w:t>
      </w:r>
      <w:r w:rsidR="009B5519">
        <w:t xml:space="preserve">the </w:t>
      </w:r>
      <w:r w:rsidRPr="00813104">
        <w:t xml:space="preserve">present indications for cetuximab in </w:t>
      </w:r>
      <w:r w:rsidR="00B95D37">
        <w:t>first</w:t>
      </w:r>
      <w:r w:rsidRPr="00813104">
        <w:t xml:space="preserve"> line indications for </w:t>
      </w:r>
      <w:proofErr w:type="spellStart"/>
      <w:r w:rsidRPr="00813104">
        <w:t>mCRC</w:t>
      </w:r>
      <w:proofErr w:type="spellEnd"/>
      <w:r w:rsidRPr="00813104">
        <w:t>.</w:t>
      </w:r>
    </w:p>
    <w:p w:rsidR="00813104" w:rsidRPr="00813104" w:rsidRDefault="00813104" w:rsidP="00813104">
      <w:r w:rsidRPr="00813104">
        <w:t xml:space="preserve">The important point to consider in evaluating the outcome of the studies is that the benefits for the targeted population, </w:t>
      </w:r>
      <w:r w:rsidR="009B5519">
        <w:t xml:space="preserve">that is, </w:t>
      </w:r>
      <w:r w:rsidRPr="00813104">
        <w:t xml:space="preserve">patients with </w:t>
      </w:r>
      <w:r w:rsidRPr="00351B00">
        <w:t>K-RAS</w:t>
      </w:r>
      <w:r w:rsidRPr="00813104">
        <w:t xml:space="preserve"> wild type tumours, was estimated based on retrospective exploratory analyses and that </w:t>
      </w:r>
      <w:r w:rsidR="009B5519">
        <w:t xml:space="preserve">statistical significance </w:t>
      </w:r>
      <w:r w:rsidR="00A95DFB">
        <w:t xml:space="preserve">levels </w:t>
      </w:r>
      <w:r w:rsidR="009B5519">
        <w:t>(</w:t>
      </w:r>
      <w:r w:rsidR="00DB109C">
        <w:t>alpha</w:t>
      </w:r>
      <w:r w:rsidRPr="00813104">
        <w:t xml:space="preserve"> values</w:t>
      </w:r>
      <w:r w:rsidR="00DB109C">
        <w:t>)</w:t>
      </w:r>
      <w:r w:rsidRPr="00813104">
        <w:t xml:space="preserve"> were not adjusted for the mul</w:t>
      </w:r>
      <w:r w:rsidR="001C5FF9">
        <w:t>tiplicity of statistical tests.</w:t>
      </w:r>
    </w:p>
    <w:p w:rsidR="00813104" w:rsidRPr="00813104" w:rsidRDefault="00813104" w:rsidP="00813104">
      <w:r w:rsidRPr="00813104">
        <w:t>The updated data</w:t>
      </w:r>
      <w:r w:rsidR="009B5519">
        <w:t xml:space="preserve">, including </w:t>
      </w:r>
      <w:r w:rsidR="009B5519" w:rsidRPr="009B5519">
        <w:t>the OS data</w:t>
      </w:r>
      <w:r w:rsidR="009B5519">
        <w:t>,</w:t>
      </w:r>
      <w:r w:rsidRPr="00813104">
        <w:t xml:space="preserve"> submitted for the C</w:t>
      </w:r>
      <w:r w:rsidR="009B5519">
        <w:t>RYSTAL (n </w:t>
      </w:r>
      <w:r w:rsidRPr="00813104">
        <w:t>=</w:t>
      </w:r>
      <w:r w:rsidR="009B5519">
        <w:t> </w:t>
      </w:r>
      <w:r w:rsidRPr="00813104">
        <w:t xml:space="preserve">1198) and OPUS studies (n = 337) </w:t>
      </w:r>
      <w:r w:rsidR="00580AA7">
        <w:t xml:space="preserve">are </w:t>
      </w:r>
      <w:r w:rsidRPr="00813104">
        <w:t xml:space="preserve">consistent </w:t>
      </w:r>
      <w:r w:rsidR="009B5519">
        <w:t xml:space="preserve">with the data evaluated </w:t>
      </w:r>
      <w:r w:rsidRPr="00813104">
        <w:t xml:space="preserve">previously </w:t>
      </w:r>
      <w:r w:rsidR="009B5519">
        <w:t xml:space="preserve">by </w:t>
      </w:r>
      <w:r w:rsidRPr="00813104">
        <w:t xml:space="preserve">the TGA. The COIN </w:t>
      </w:r>
      <w:r w:rsidR="00B120F5">
        <w:t>S</w:t>
      </w:r>
      <w:r w:rsidRPr="00813104">
        <w:t>tudy, which is difficult to interpret, basically put into question the combination of cetuximab with oxaliplatin as a backbone of chemotherapy regimens.</w:t>
      </w:r>
    </w:p>
    <w:p w:rsidR="00813104" w:rsidRPr="00813104" w:rsidRDefault="00813104" w:rsidP="00813104">
      <w:r w:rsidRPr="00813104">
        <w:t xml:space="preserve">The numerous investigator-sponsored studies and the analyses of pooled data </w:t>
      </w:r>
      <w:r w:rsidR="00C3383E">
        <w:t xml:space="preserve">that were also submitted </w:t>
      </w:r>
      <w:r w:rsidR="00DB2F6C">
        <w:t>are of interest</w:t>
      </w:r>
      <w:r w:rsidRPr="00813104">
        <w:t xml:space="preserve"> but cannot be</w:t>
      </w:r>
      <w:r w:rsidR="001C5FF9">
        <w:t xml:space="preserve"> relied on in decision-making.</w:t>
      </w:r>
    </w:p>
    <w:p w:rsidR="00813104" w:rsidRPr="00813104" w:rsidRDefault="00813104" w:rsidP="004F441E">
      <w:pPr>
        <w:pStyle w:val="Heading5"/>
      </w:pPr>
      <w:r w:rsidRPr="00813104">
        <w:t>Cetuximab added to irinotecan (FOLFIRI) chemotherapy</w:t>
      </w:r>
    </w:p>
    <w:p w:rsidR="00813104" w:rsidRPr="00813104" w:rsidRDefault="00813104" w:rsidP="00813104">
      <w:r w:rsidRPr="00813104">
        <w:t xml:space="preserve">Cetuximab added to irinotecan (FOLFIRI) chemotherapy provided extra benefit for </w:t>
      </w:r>
      <w:r w:rsidRPr="00351B00">
        <w:t>K-RAS</w:t>
      </w:r>
      <w:r w:rsidRPr="00813104">
        <w:t xml:space="preserve"> wild population based on the outcome of Phase III CRYSTAL </w:t>
      </w:r>
      <w:r w:rsidR="00B120F5">
        <w:t>S</w:t>
      </w:r>
      <w:r w:rsidRPr="00813104">
        <w:t xml:space="preserve">tudy, and these results are not disputed here. “This was also the first time that the addition of an EGFR antibody therapy to a standard continuous 5-FU-based regimen, in </w:t>
      </w:r>
      <w:r w:rsidR="00B95D37">
        <w:t>first</w:t>
      </w:r>
      <w:r w:rsidRPr="00813104">
        <w:t xml:space="preserve"> line </w:t>
      </w:r>
      <w:proofErr w:type="spellStart"/>
      <w:r w:rsidRPr="00813104">
        <w:t>mCRC</w:t>
      </w:r>
      <w:proofErr w:type="spellEnd"/>
      <w:r w:rsidRPr="00813104">
        <w:t xml:space="preserve"> treatment, resulted in an overall survival benefit.”</w:t>
      </w:r>
    </w:p>
    <w:p w:rsidR="00813104" w:rsidRPr="00351B00" w:rsidRDefault="00813104" w:rsidP="00351B00">
      <w:r w:rsidRPr="00351B00">
        <w:t>The retrospective analysis of patients with K-RAS wild-type tumours demonstrated that the addition of cetuximab to FOLFIRI resulted in a clinically relevant and statistically significant benefit in tumo</w:t>
      </w:r>
      <w:r w:rsidR="00E412E0">
        <w:t>u</w:t>
      </w:r>
      <w:r w:rsidRPr="00351B00">
        <w:t xml:space="preserve">r-related outcomes </w:t>
      </w:r>
      <w:r w:rsidR="005159F7">
        <w:t xml:space="preserve">when compared </w:t>
      </w:r>
      <w:r w:rsidRPr="00351B00">
        <w:t xml:space="preserve">to the standard irinotecan-based chemotherapy (considered by some as one of the most effective chemotherapy combinations in the initial treatment of CRC). The addition of cetuximab to FOLFIRI prolonged median OS from 20.0 to 23.5 months (p = 0.0094) compared with FOLFIRI alone. Consistently, </w:t>
      </w:r>
      <w:r w:rsidR="009B5519">
        <w:t>progression-free survival (</w:t>
      </w:r>
      <w:r w:rsidRPr="00351B00">
        <w:t>PFS</w:t>
      </w:r>
      <w:r w:rsidR="009B5519">
        <w:t>,</w:t>
      </w:r>
      <w:r w:rsidRPr="00351B00">
        <w:t xml:space="preserve"> </w:t>
      </w:r>
      <w:r w:rsidR="009B5519">
        <w:t xml:space="preserve">a </w:t>
      </w:r>
      <w:r w:rsidRPr="00351B00">
        <w:t xml:space="preserve">primary endpoint) and </w:t>
      </w:r>
      <w:r w:rsidR="000F15B6">
        <w:t>response rate (</w:t>
      </w:r>
      <w:r w:rsidRPr="00351B00">
        <w:t>RR</w:t>
      </w:r>
      <w:r w:rsidR="000F15B6">
        <w:t>)</w:t>
      </w:r>
      <w:r w:rsidRPr="00351B00">
        <w:t xml:space="preserve"> were </w:t>
      </w:r>
      <w:r w:rsidR="009B5519">
        <w:t xml:space="preserve">also </w:t>
      </w:r>
      <w:r w:rsidRPr="00351B00">
        <w:t>significantly increased in patients treated with cetuximab.</w:t>
      </w:r>
    </w:p>
    <w:p w:rsidR="00813104" w:rsidRPr="00813104" w:rsidRDefault="00813104" w:rsidP="00351B00">
      <w:r w:rsidRPr="00351B00">
        <w:t xml:space="preserve">In the wild type K-RAS subgroup, PFS (assessed by an </w:t>
      </w:r>
      <w:r w:rsidR="009B5519">
        <w:t xml:space="preserve">Independent Review Committee, </w:t>
      </w:r>
      <w:r w:rsidRPr="00351B00">
        <w:t>IRC) was increased statistically</w:t>
      </w:r>
      <w:r w:rsidRPr="00813104">
        <w:t xml:space="preserve"> significant</w:t>
      </w:r>
      <w:r w:rsidR="009B5519">
        <w:t>ly by</w:t>
      </w:r>
      <w:r w:rsidRPr="00813104">
        <w:t xml:space="preserve"> 1.5 months (p = 0.001). Elderly </w:t>
      </w:r>
      <w:r w:rsidRPr="004F441E">
        <w:t>K-RAS</w:t>
      </w:r>
      <w:r w:rsidRPr="00813104">
        <w:t xml:space="preserve"> wild type patients and patients with </w:t>
      </w:r>
      <w:r w:rsidR="009B5519" w:rsidRPr="009B5519">
        <w:t>European Co-operative Oncology Group (ECOG</w:t>
      </w:r>
      <w:r w:rsidR="00077EEA">
        <w:rPr>
          <w:rStyle w:val="FootnoteReference"/>
        </w:rPr>
        <w:footnoteReference w:id="5"/>
      </w:r>
      <w:r w:rsidR="009B5519" w:rsidRPr="009B5519">
        <w:t xml:space="preserve">) performance status </w:t>
      </w:r>
      <w:r w:rsidRPr="00813104">
        <w:t xml:space="preserve">&gt; 2 derived no benefit from cetuximab added to FOLFIRI. For the </w:t>
      </w:r>
      <w:r w:rsidRPr="00813104">
        <w:lastRenderedPageBreak/>
        <w:t>overall population, PFS benefit reached marginal significance for the cetuximab + FOLFIRI combination group (p = 0.0479)</w:t>
      </w:r>
      <w:r w:rsidR="006F30EF">
        <w:t xml:space="preserve">; </w:t>
      </w:r>
      <w:r w:rsidRPr="00813104">
        <w:t>the</w:t>
      </w:r>
      <w:r w:rsidR="006F30EF">
        <w:t xml:space="preserve"> level of </w:t>
      </w:r>
      <w:r w:rsidRPr="00813104">
        <w:t>significan</w:t>
      </w:r>
      <w:r w:rsidR="006F30EF">
        <w:t>ce for</w:t>
      </w:r>
      <w:r w:rsidRPr="00813104">
        <w:t xml:space="preserve"> benefit for OS in the overall population </w:t>
      </w:r>
      <w:r w:rsidR="006F30EF">
        <w:t xml:space="preserve">was </w:t>
      </w:r>
      <w:r w:rsidRPr="00813104">
        <w:t>p = 0.04.</w:t>
      </w:r>
    </w:p>
    <w:p w:rsidR="00813104" w:rsidRPr="00813104" w:rsidRDefault="00813104" w:rsidP="00813104">
      <w:r w:rsidRPr="00813104">
        <w:t xml:space="preserve">To obtain the picture of complexity, the results of another study involving cetuximab in combination with irinotecan, also evaluated previously by the TGA, </w:t>
      </w:r>
      <w:r w:rsidR="003F4147">
        <w:t>are</w:t>
      </w:r>
      <w:r w:rsidRPr="00813104">
        <w:t xml:space="preserve"> mentioned here: Unlike in other trials, cetuximab did not significantly affect PFS or OS in wild type </w:t>
      </w:r>
      <w:r w:rsidRPr="004F441E">
        <w:t>K-RAS</w:t>
      </w:r>
      <w:r w:rsidRPr="00813104">
        <w:t xml:space="preserve"> subjects in the EPIC </w:t>
      </w:r>
      <w:r w:rsidR="00B120F5">
        <w:t>S</w:t>
      </w:r>
      <w:r w:rsidRPr="00813104">
        <w:t>tudy (2</w:t>
      </w:r>
      <w:r w:rsidRPr="00813104">
        <w:rPr>
          <w:vertAlign w:val="superscript"/>
        </w:rPr>
        <w:t>nd</w:t>
      </w:r>
      <w:r w:rsidRPr="00813104">
        <w:t xml:space="preserve"> line therapy comparing cetuximab and irinotecan </w:t>
      </w:r>
      <w:r w:rsidR="004F441E">
        <w:t>versus</w:t>
      </w:r>
      <w:r w:rsidRPr="00813104">
        <w:t xml:space="preserve"> irinotecan alone).</w:t>
      </w:r>
    </w:p>
    <w:p w:rsidR="00813104" w:rsidRPr="00813104" w:rsidRDefault="00813104" w:rsidP="004F441E">
      <w:pPr>
        <w:pStyle w:val="Heading5"/>
      </w:pPr>
      <w:r w:rsidRPr="00813104">
        <w:t>Oxaliplatin-based chemotherapy in combination with cetuximab</w:t>
      </w:r>
    </w:p>
    <w:p w:rsidR="00813104" w:rsidRPr="00813104" w:rsidRDefault="00813104" w:rsidP="00813104">
      <w:r w:rsidRPr="00813104">
        <w:t>By comparison, the trials using oxaliplatin-based chemotherapy in combination with cetux</w:t>
      </w:r>
      <w:r w:rsidR="00580AA7">
        <w:t>imab have not shown improved OS</w:t>
      </w:r>
      <w:r w:rsidRPr="00813104">
        <w:t xml:space="preserve"> and this failure has raised the possibility of a negative interaction between oxaliplatin and cetuximab.</w:t>
      </w:r>
    </w:p>
    <w:p w:rsidR="00813104" w:rsidRPr="00813104" w:rsidRDefault="00813104" w:rsidP="00813104">
      <w:r w:rsidRPr="00813104">
        <w:t xml:space="preserve">In the Phase II OPUS </w:t>
      </w:r>
      <w:r w:rsidR="00B120F5">
        <w:t>S</w:t>
      </w:r>
      <w:r w:rsidRPr="00813104">
        <w:t xml:space="preserve">tudy, the addition of cetuximab to FOLFOX4 in patients </w:t>
      </w:r>
      <w:r w:rsidRPr="009B5519">
        <w:t>with K-RAS</w:t>
      </w:r>
      <w:r w:rsidRPr="00813104">
        <w:t xml:space="preserve"> wild type tumours led to a significantly longer PFS time, a significantly higher </w:t>
      </w:r>
      <w:r w:rsidR="009B5519">
        <w:t>overall response (</w:t>
      </w:r>
      <w:r w:rsidRPr="00813104">
        <w:t>OR</w:t>
      </w:r>
      <w:r w:rsidR="009B5519">
        <w:t>)</w:t>
      </w:r>
      <w:r w:rsidRPr="00813104">
        <w:t>, and improvement in OS time compared with patients receiving FOLFOX4 alone (</w:t>
      </w:r>
      <w:r w:rsidR="009B5519">
        <w:t>not significant</w:t>
      </w:r>
      <w:r w:rsidRPr="00813104">
        <w:t xml:space="preserve">). The updated analysis with later cut off data showed improved PFS </w:t>
      </w:r>
      <w:r w:rsidRPr="009B5519">
        <w:t>in K-RAS</w:t>
      </w:r>
      <w:r w:rsidRPr="00813104">
        <w:t xml:space="preserve"> wild population; 8.3 months </w:t>
      </w:r>
      <w:r w:rsidR="004F441E">
        <w:t>versus</w:t>
      </w:r>
      <w:r w:rsidRPr="00813104">
        <w:t xml:space="preserve"> 7.2 months (p = 0.0064). The updated OS data were 22.8 months </w:t>
      </w:r>
      <w:r w:rsidR="004F441E">
        <w:t>versus</w:t>
      </w:r>
      <w:r w:rsidRPr="00813104">
        <w:t xml:space="preserve"> 18.5 months (p = 0.39), respectively for the cetuximab + FOLFOX 4 </w:t>
      </w:r>
      <w:r w:rsidR="004F441E">
        <w:t>versus</w:t>
      </w:r>
      <w:r w:rsidR="001C5FF9">
        <w:t xml:space="preserve"> FOLFOX 4 alone.</w:t>
      </w:r>
    </w:p>
    <w:p w:rsidR="00813104" w:rsidRPr="00813104" w:rsidRDefault="00813104" w:rsidP="00813104">
      <w:r w:rsidRPr="00813104">
        <w:t xml:space="preserve">The primary objective, the </w:t>
      </w:r>
      <w:r w:rsidR="00520346">
        <w:t>objective response rate (</w:t>
      </w:r>
      <w:r w:rsidRPr="00813104">
        <w:t>ORR</w:t>
      </w:r>
      <w:r w:rsidR="00520346">
        <w:t>)</w:t>
      </w:r>
      <w:r w:rsidR="009315F3">
        <w:t>,</w:t>
      </w:r>
      <w:r w:rsidRPr="00813104">
        <w:t xml:space="preserve"> was not met in the overall population. The PFS time and OS were similar in the 2 treatment groups for the ITT population.</w:t>
      </w:r>
    </w:p>
    <w:p w:rsidR="00813104" w:rsidRPr="00813104" w:rsidRDefault="00813104" w:rsidP="00813104">
      <w:r w:rsidRPr="00813104">
        <w:t xml:space="preserve">Of note, with the exception of the primary efficacy endpoint (OR in </w:t>
      </w:r>
      <w:r w:rsidR="009315F3">
        <w:t xml:space="preserve">the </w:t>
      </w:r>
      <w:r w:rsidR="00520346">
        <w:t>i</w:t>
      </w:r>
      <w:r w:rsidR="00520346" w:rsidRPr="00520346">
        <w:t>ntention-to-treat</w:t>
      </w:r>
      <w:r w:rsidR="00520346">
        <w:t xml:space="preserve"> (</w:t>
      </w:r>
      <w:r w:rsidRPr="00813104">
        <w:t>ITT</w:t>
      </w:r>
      <w:r w:rsidR="00520346">
        <w:t>)</w:t>
      </w:r>
      <w:r w:rsidRPr="00813104">
        <w:t xml:space="preserve"> population), all further efficacy analyses were considered exploratory and </w:t>
      </w:r>
      <w:r w:rsidR="00DB109C">
        <w:t xml:space="preserve">statistical significance levels (alpha values) </w:t>
      </w:r>
      <w:r w:rsidRPr="00813104">
        <w:t>were not adjusted for the multiplicity of statistical testing.</w:t>
      </w:r>
    </w:p>
    <w:p w:rsidR="00813104" w:rsidRPr="00520346" w:rsidRDefault="00813104" w:rsidP="00813104">
      <w:r w:rsidRPr="00813104">
        <w:t xml:space="preserve">Retrospective analyses of these 2 studies, the CRYSTAL and OPUS </w:t>
      </w:r>
      <w:proofErr w:type="gramStart"/>
      <w:r w:rsidRPr="00813104">
        <w:t>trials,</w:t>
      </w:r>
      <w:proofErr w:type="gramEnd"/>
      <w:r w:rsidRPr="00813104">
        <w:t xml:space="preserve"> supported overall efficacy in </w:t>
      </w:r>
      <w:r w:rsidR="009B5519" w:rsidRPr="009B5519">
        <w:t>K-RAS wild</w:t>
      </w:r>
      <w:r w:rsidR="009B5519" w:rsidRPr="00813104">
        <w:t xml:space="preserve"> type </w:t>
      </w:r>
      <w:r w:rsidRPr="00813104">
        <w:t xml:space="preserve">patients. The OPUS </w:t>
      </w:r>
      <w:r w:rsidR="00B120F5">
        <w:t>S</w:t>
      </w:r>
      <w:r w:rsidRPr="00813104">
        <w:t xml:space="preserve">tudy in particular led to the conclusions that cetuximab should not be used in the treatment of </w:t>
      </w:r>
      <w:proofErr w:type="spellStart"/>
      <w:r w:rsidR="009B5519">
        <w:t>m</w:t>
      </w:r>
      <w:r w:rsidRPr="00813104">
        <w:t>CRC</w:t>
      </w:r>
      <w:proofErr w:type="spellEnd"/>
      <w:r w:rsidRPr="00813104">
        <w:t xml:space="preserve"> patients whose </w:t>
      </w:r>
      <w:r w:rsidR="009B5519">
        <w:t>tumours have K-RAS mutations</w:t>
      </w:r>
      <w:r w:rsidRPr="00520346">
        <w:t xml:space="preserve"> or for whom K-RAS tumour status is unknown. In these patients negative effects </w:t>
      </w:r>
      <w:r w:rsidR="009315F3">
        <w:t xml:space="preserve">on </w:t>
      </w:r>
      <w:r w:rsidRPr="00520346">
        <w:t xml:space="preserve">PFS and OS were seen </w:t>
      </w:r>
      <w:r w:rsidR="009315F3">
        <w:t xml:space="preserve">with </w:t>
      </w:r>
      <w:proofErr w:type="spellStart"/>
      <w:r w:rsidR="009315F3">
        <w:t>cetuximab</w:t>
      </w:r>
      <w:proofErr w:type="spellEnd"/>
      <w:r w:rsidR="009315F3">
        <w:t xml:space="preserve"> </w:t>
      </w:r>
      <w:r w:rsidR="001C5FF9">
        <w:t>add-on to FOLFOX4.</w:t>
      </w:r>
    </w:p>
    <w:p w:rsidR="00813104" w:rsidRPr="00813104" w:rsidRDefault="00813104" w:rsidP="00813104">
      <w:r w:rsidRPr="00520346">
        <w:t>The outcome of the large investigator-spon</w:t>
      </w:r>
      <w:r w:rsidR="00520346" w:rsidRPr="00520346">
        <w:t>sored COIN trial (total randomis</w:t>
      </w:r>
      <w:r w:rsidR="003E6055">
        <w:t>ed patients n </w:t>
      </w:r>
      <w:r w:rsidRPr="00520346">
        <w:t>=</w:t>
      </w:r>
      <w:r w:rsidR="003E6055">
        <w:t> </w:t>
      </w:r>
      <w:r w:rsidRPr="00520346">
        <w:t xml:space="preserve">2245) is not clear cut. The primary analysis demonstrated that the addition of cetuximab to oxaliplatin-based chemotherapy conferred no benefit in relation to PFS or OS irrespective of K-RAS mutational status, although RR was significantly improved in patients with K-RAS wild-type tumours. Of note, there was a negative outcome for the comparison of cetuximab + XELOX treatment arm </w:t>
      </w:r>
      <w:r w:rsidR="004F441E" w:rsidRPr="00520346">
        <w:t>versus</w:t>
      </w:r>
      <w:r w:rsidRPr="00520346">
        <w:t xml:space="preserve"> XELOX alone. This resulted in the</w:t>
      </w:r>
      <w:r w:rsidRPr="00813104">
        <w:t xml:space="preserve"> fluoropyrimidine regimen based on oral capecitabine being no longer considered a viable combination with cetuximab.</w:t>
      </w:r>
    </w:p>
    <w:p w:rsidR="00813104" w:rsidRPr="000F15B6" w:rsidRDefault="00813104" w:rsidP="00813104">
      <w:r w:rsidRPr="00813104">
        <w:t>It has been p</w:t>
      </w:r>
      <w:r w:rsidR="003E6055">
        <w:t>ostulated</w:t>
      </w:r>
      <w:r w:rsidRPr="00813104">
        <w:t xml:space="preserve"> that the lower dose of capecitabine subsequently administered in </w:t>
      </w:r>
      <w:r w:rsidR="000F15B6">
        <w:t xml:space="preserve">the </w:t>
      </w:r>
      <w:r w:rsidRPr="00813104">
        <w:t xml:space="preserve">XELOX arm may also conceivably have been suboptimal for the treatment of </w:t>
      </w:r>
      <w:proofErr w:type="spellStart"/>
      <w:r w:rsidRPr="00813104">
        <w:t>mCRC</w:t>
      </w:r>
      <w:proofErr w:type="spellEnd"/>
      <w:r w:rsidR="000F15B6">
        <w:t>:</w:t>
      </w:r>
      <w:r w:rsidRPr="00813104">
        <w:t xml:space="preserve"> </w:t>
      </w:r>
      <w:r w:rsidRPr="000F15B6">
        <w:t xml:space="preserve">“Indeed, closer inspection of the results suggested that patients with K-RAS wild-type </w:t>
      </w:r>
      <w:r w:rsidR="003E6055" w:rsidRPr="000F15B6">
        <w:t>tumours</w:t>
      </w:r>
      <w:r w:rsidRPr="000F15B6">
        <w:t xml:space="preserve"> who received XELOX + cetuximab derived no additional benefit, whereas those who received infusional 5-FU/oxaliplatin (</w:t>
      </w:r>
      <w:r w:rsidR="00E10DDB">
        <w:t>o</w:t>
      </w:r>
      <w:r w:rsidR="00E10DDB" w:rsidRPr="00E10DDB">
        <w:t xml:space="preserve">xaliplatin + modified de </w:t>
      </w:r>
      <w:proofErr w:type="spellStart"/>
      <w:r w:rsidR="00E10DDB" w:rsidRPr="00E10DDB">
        <w:t>Gramont</w:t>
      </w:r>
      <w:proofErr w:type="spellEnd"/>
      <w:r w:rsidR="00E10DDB" w:rsidRPr="00E10DDB">
        <w:t xml:space="preserve"> schedule of 5-FU</w:t>
      </w:r>
      <w:r w:rsidR="00E10DDB">
        <w:t>;</w:t>
      </w:r>
      <w:r w:rsidR="00E10DDB" w:rsidRPr="00E10DDB">
        <w:t xml:space="preserve"> </w:t>
      </w:r>
      <w:proofErr w:type="spellStart"/>
      <w:r w:rsidRPr="000F15B6">
        <w:t>OxMdG</w:t>
      </w:r>
      <w:proofErr w:type="spellEnd"/>
      <w:r w:rsidRPr="000F15B6">
        <w:t xml:space="preserve">) + </w:t>
      </w:r>
      <w:proofErr w:type="spellStart"/>
      <w:r w:rsidRPr="000F15B6">
        <w:t>cetuximab</w:t>
      </w:r>
      <w:proofErr w:type="spellEnd"/>
      <w:r w:rsidRPr="000F15B6">
        <w:t xml:space="preserve"> had prolonged PFS time (</w:t>
      </w:r>
      <w:r w:rsidR="00CC17EF" w:rsidRPr="000F15B6">
        <w:t>hazard ratio (</w:t>
      </w:r>
      <w:r w:rsidRPr="000F15B6">
        <w:t>HR</w:t>
      </w:r>
      <w:r w:rsidR="00CC17EF" w:rsidRPr="000F15B6">
        <w:t>)</w:t>
      </w:r>
      <w:r w:rsidRPr="000F15B6">
        <w:t xml:space="preserve"> 0.77, </w:t>
      </w:r>
      <w:r w:rsidR="00CC17EF" w:rsidRPr="000F15B6">
        <w:t>p</w:t>
      </w:r>
      <w:r w:rsidRPr="000F15B6">
        <w:t xml:space="preserve"> = 0.056) compared with those receiving </w:t>
      </w:r>
      <w:proofErr w:type="spellStart"/>
      <w:r w:rsidRPr="000F15B6">
        <w:t>OxMdG</w:t>
      </w:r>
      <w:proofErr w:type="spellEnd"/>
      <w:r w:rsidRPr="000F15B6">
        <w:t xml:space="preserve"> alone.”</w:t>
      </w:r>
    </w:p>
    <w:p w:rsidR="00813104" w:rsidRPr="00813104" w:rsidRDefault="00580AA7" w:rsidP="00813104">
      <w:r>
        <w:t>P</w:t>
      </w:r>
      <w:r w:rsidR="00813104" w:rsidRPr="00813104">
        <w:t xml:space="preserve">ooled analyses of the results of the OPUS </w:t>
      </w:r>
      <w:r w:rsidR="00B120F5">
        <w:t>S</w:t>
      </w:r>
      <w:r w:rsidR="00813104" w:rsidRPr="00813104">
        <w:t xml:space="preserve">tudy and the </w:t>
      </w:r>
      <w:proofErr w:type="spellStart"/>
      <w:r w:rsidR="00813104" w:rsidRPr="00813104">
        <w:t>OxMdG</w:t>
      </w:r>
      <w:proofErr w:type="spellEnd"/>
      <w:r w:rsidR="00813104" w:rsidRPr="00813104">
        <w:t xml:space="preserve"> subgroup of </w:t>
      </w:r>
      <w:r w:rsidR="003E6055">
        <w:t xml:space="preserve">the </w:t>
      </w:r>
      <w:r w:rsidR="00813104" w:rsidRPr="00813104">
        <w:t xml:space="preserve">COIN </w:t>
      </w:r>
      <w:r w:rsidR="00B120F5">
        <w:t>S</w:t>
      </w:r>
      <w:r w:rsidR="00813104" w:rsidRPr="00813104">
        <w:t xml:space="preserve">tudy treated with infusional 5-FU/FA + </w:t>
      </w:r>
      <w:proofErr w:type="spellStart"/>
      <w:r w:rsidR="00813104" w:rsidRPr="00813104">
        <w:t>oxaliplatin</w:t>
      </w:r>
      <w:proofErr w:type="spellEnd"/>
      <w:r w:rsidR="00813104" w:rsidRPr="00813104">
        <w:t xml:space="preserve"> (</w:t>
      </w:r>
      <w:proofErr w:type="spellStart"/>
      <w:r w:rsidR="00813104" w:rsidRPr="00813104">
        <w:t>OxMdG</w:t>
      </w:r>
      <w:proofErr w:type="spellEnd"/>
      <w:r w:rsidR="00813104" w:rsidRPr="00813104">
        <w:t xml:space="preserve"> subgroup) have been discussed in </w:t>
      </w:r>
      <w:r w:rsidR="003F4147">
        <w:t xml:space="preserve">the submission clinical overview </w:t>
      </w:r>
      <w:r w:rsidR="00813104" w:rsidRPr="00813104">
        <w:t xml:space="preserve">in support of the oxaliplatin-based </w:t>
      </w:r>
      <w:r w:rsidR="00813104" w:rsidRPr="00813104">
        <w:lastRenderedPageBreak/>
        <w:t>combination chem</w:t>
      </w:r>
      <w:r w:rsidR="00DB2F6C">
        <w:t>otherapy. These are of interest</w:t>
      </w:r>
      <w:r w:rsidR="00813104" w:rsidRPr="00813104">
        <w:t xml:space="preserve"> but do not add much weight to efficacy data.</w:t>
      </w:r>
    </w:p>
    <w:p w:rsidR="00813104" w:rsidRPr="00813104" w:rsidRDefault="00813104" w:rsidP="000F15B6">
      <w:pPr>
        <w:pStyle w:val="Heading5"/>
      </w:pPr>
      <w:r w:rsidRPr="00813104">
        <w:t>Summary</w:t>
      </w:r>
    </w:p>
    <w:p w:rsidR="00813104" w:rsidRPr="00813104" w:rsidRDefault="00813104" w:rsidP="00813104">
      <w:r w:rsidRPr="00813104">
        <w:t>In summary, the efficacy of oxaliplatin-based regimens i</w:t>
      </w:r>
      <w:r w:rsidR="003E6055">
        <w:t xml:space="preserve">n combination with cetuximab </w:t>
      </w:r>
      <w:r w:rsidR="00B727D9" w:rsidRPr="00813104">
        <w:t xml:space="preserve">for </w:t>
      </w:r>
      <w:r w:rsidR="00B727D9">
        <w:t>first</w:t>
      </w:r>
      <w:r w:rsidR="00B727D9" w:rsidRPr="00813104">
        <w:t xml:space="preserve"> line </w:t>
      </w:r>
      <w:r w:rsidR="00B727D9">
        <w:t xml:space="preserve">treatment </w:t>
      </w:r>
      <w:r w:rsidR="00B727D9" w:rsidRPr="00813104">
        <w:t xml:space="preserve">of </w:t>
      </w:r>
      <w:proofErr w:type="spellStart"/>
      <w:r w:rsidR="00B727D9" w:rsidRPr="00813104">
        <w:t>mCRC</w:t>
      </w:r>
      <w:proofErr w:type="spellEnd"/>
      <w:r w:rsidR="00B727D9">
        <w:t xml:space="preserve"> </w:t>
      </w:r>
      <w:r w:rsidR="003E6055">
        <w:t>ha</w:t>
      </w:r>
      <w:r w:rsidR="003F4147">
        <w:t>d</w:t>
      </w:r>
      <w:r w:rsidRPr="00813104">
        <w:t xml:space="preserve"> been questioned. This led to review of the data from company-sponsored trials and a numb</w:t>
      </w:r>
      <w:r w:rsidR="001C5FF9">
        <w:t>er of investigator-led studies.</w:t>
      </w:r>
    </w:p>
    <w:p w:rsidR="00813104" w:rsidRPr="00813104" w:rsidRDefault="00813104" w:rsidP="00813104">
      <w:r w:rsidRPr="00813104">
        <w:t xml:space="preserve">A number of pooled analyses have also been presented, as well as comparisons with irinotecan-based chemotherapy regimens in combination with </w:t>
      </w:r>
      <w:r w:rsidR="00B727D9">
        <w:t>cetuximab, capitalis</w:t>
      </w:r>
      <w:r w:rsidRPr="00813104">
        <w:t>ing on similarities in statistical comparisons (</w:t>
      </w:r>
      <w:r w:rsidR="00B727D9">
        <w:t xml:space="preserve">such as </w:t>
      </w:r>
      <w:r w:rsidR="001C5FF9">
        <w:t>comparable HRs).</w:t>
      </w:r>
    </w:p>
    <w:p w:rsidR="00813104" w:rsidRPr="00813104" w:rsidRDefault="00813104" w:rsidP="00813104">
      <w:r w:rsidRPr="00813104">
        <w:t xml:space="preserve">In all of the studies, the results for the </w:t>
      </w:r>
      <w:r w:rsidRPr="00B727D9">
        <w:t>targeted K-RAS</w:t>
      </w:r>
      <w:r w:rsidRPr="00813104">
        <w:t xml:space="preserve"> wild population were based on retrospective subgroup analyses and the studies were not powered to show the difference in the subgroups. When considered with the initial approval for </w:t>
      </w:r>
      <w:r w:rsidR="00B95D37">
        <w:t>first</w:t>
      </w:r>
      <w:r w:rsidRPr="00813104">
        <w:t xml:space="preserve"> line indication in </w:t>
      </w:r>
      <w:proofErr w:type="spellStart"/>
      <w:r w:rsidRPr="00813104">
        <w:t>mCRC</w:t>
      </w:r>
      <w:proofErr w:type="spellEnd"/>
      <w:r w:rsidRPr="00813104">
        <w:t>, the absolute gains were small, but statistically significant and often clinically meaningful.</w:t>
      </w:r>
    </w:p>
    <w:p w:rsidR="00813104" w:rsidRPr="00813104" w:rsidRDefault="00813104" w:rsidP="00813104">
      <w:r w:rsidRPr="00813104">
        <w:t>Thus, the outcomes of the studies are far from clear-c</w:t>
      </w:r>
      <w:r w:rsidR="00B727D9">
        <w:t>ut</w:t>
      </w:r>
      <w:r w:rsidRPr="00813104">
        <w:t xml:space="preserve"> and the results are less convincing for the combination of cetuximab with oxalipl</w:t>
      </w:r>
      <w:r w:rsidR="00580AA7">
        <w:t xml:space="preserve">atin based regimens, including </w:t>
      </w:r>
      <w:r w:rsidRPr="00813104">
        <w:t>continuous in</w:t>
      </w:r>
      <w:r w:rsidR="00580AA7">
        <w:t>fusional 5-FU/FA + oxaliplatin.</w:t>
      </w:r>
    </w:p>
    <w:p w:rsidR="00813104" w:rsidRPr="00813104" w:rsidRDefault="00813104" w:rsidP="00813104">
      <w:r w:rsidRPr="00813104">
        <w:t>There have been in</w:t>
      </w:r>
      <w:r w:rsidR="00B727D9">
        <w:t xml:space="preserve">consistencies in efficacy data </w:t>
      </w:r>
      <w:r w:rsidRPr="00813104">
        <w:t>f</w:t>
      </w:r>
      <w:r w:rsidR="00B727D9">
        <w:t>rom</w:t>
      </w:r>
      <w:r w:rsidRPr="00813104">
        <w:t xml:space="preserve"> the trials involving cetuximab with oxaliplatin-based chemotherapy, and no survival benefit has </w:t>
      </w:r>
      <w:r w:rsidR="001C5FF9">
        <w:t>been convincingly demonstrated.</w:t>
      </w:r>
    </w:p>
    <w:p w:rsidR="00813104" w:rsidRPr="00813104" w:rsidRDefault="00813104" w:rsidP="000F15B6">
      <w:pPr>
        <w:pStyle w:val="Heading5"/>
      </w:pPr>
      <w:r w:rsidRPr="00813104">
        <w:t>Other developments</w:t>
      </w:r>
    </w:p>
    <w:p w:rsidR="00813104" w:rsidRPr="00813104" w:rsidRDefault="00813104" w:rsidP="00813104">
      <w:r w:rsidRPr="00813104">
        <w:t xml:space="preserve">The recently published online preliminary results of a “large, </w:t>
      </w:r>
      <w:r w:rsidR="00B120F5">
        <w:t>P</w:t>
      </w:r>
      <w:r w:rsidRPr="00813104">
        <w:t>hase III, European trial” add further uncertainty to the efficacy of oxaliplatin-based chemoth</w:t>
      </w:r>
      <w:r w:rsidR="000F15B6">
        <w:t xml:space="preserve">erapy combined with cetuximab. </w:t>
      </w:r>
      <w:r w:rsidRPr="00813104">
        <w:t>The PETACC8 trial</w:t>
      </w:r>
      <w:r w:rsidRPr="00813104">
        <w:rPr>
          <w:vertAlign w:val="superscript"/>
        </w:rPr>
        <w:footnoteReference w:id="6"/>
      </w:r>
      <w:r w:rsidRPr="00813104">
        <w:t xml:space="preserve"> was originally designed to compare 12 cycles of FOLFOX4 </w:t>
      </w:r>
      <w:r w:rsidR="004F441E">
        <w:t>versus</w:t>
      </w:r>
      <w:r w:rsidRPr="00813104">
        <w:t xml:space="preserve"> FOLFOX4 + cetuximab. “In the multicenter rando</w:t>
      </w:r>
      <w:r w:rsidR="00B120F5">
        <w:t>mis</w:t>
      </w:r>
      <w:r w:rsidRPr="00813104">
        <w:t>ed study, the combination of FOLFOX4 plus cetuximab (Erbitux) did not prolong disease-free survival, compared with FOLFOX alone, even in patients with K</w:t>
      </w:r>
      <w:r w:rsidR="00CA0972">
        <w:t>-</w:t>
      </w:r>
      <w:r w:rsidRPr="00813104">
        <w:t>RAS wild-type tumours. The disease-free survival rate at 3 years was 75.1% in 791 patients given FOL</w:t>
      </w:r>
      <w:r w:rsidR="003F4147">
        <w:t>F</w:t>
      </w:r>
      <w:r w:rsidRPr="00813104">
        <w:t>OX 4 with cetuximab and 78% in 811 patients in the control group.”</w:t>
      </w:r>
    </w:p>
    <w:p w:rsidR="00813104" w:rsidRPr="00813104" w:rsidRDefault="00813104" w:rsidP="00813104">
      <w:r w:rsidRPr="00813104">
        <w:t>“These preliminary results of the PETACC8 cooperative group trial were presented for the first time on June 29 at the European Society for Medical Oncology (ESMO’s) 14</w:t>
      </w:r>
      <w:r w:rsidRPr="00813104">
        <w:rPr>
          <w:vertAlign w:val="superscript"/>
        </w:rPr>
        <w:t>th</w:t>
      </w:r>
      <w:r w:rsidRPr="00813104">
        <w:t xml:space="preserve"> World Congress on Gastrointestinal Cancer. The disappointing outcome follows a negative report from the North Central Cancer Treatment Group (NCCTG) N0147 trial, which also looked at the benefit of cetuximab added to FOLFOX in the adjuvant colorectal cancer setting (Alberts </w:t>
      </w:r>
      <w:r w:rsidRPr="00813104">
        <w:rPr>
          <w:i/>
        </w:rPr>
        <w:t>et al</w:t>
      </w:r>
      <w:r w:rsidRPr="00813104">
        <w:t>. 2012</w:t>
      </w:r>
      <w:r w:rsidRPr="00813104">
        <w:rPr>
          <w:vertAlign w:val="superscript"/>
        </w:rPr>
        <w:footnoteReference w:id="7"/>
      </w:r>
      <w:r w:rsidR="001C5FF9">
        <w:t>).”</w:t>
      </w:r>
    </w:p>
    <w:p w:rsidR="00813104" w:rsidRPr="00813104" w:rsidRDefault="00813104" w:rsidP="00813104">
      <w:r w:rsidRPr="00813104">
        <w:t xml:space="preserve">“The current study specifically looked at patients with </w:t>
      </w:r>
      <w:r w:rsidRPr="00B120F5">
        <w:rPr>
          <w:iCs/>
        </w:rPr>
        <w:t>K-RAS wild</w:t>
      </w:r>
      <w:r w:rsidRPr="00813104">
        <w:t xml:space="preserve"> type. These are patients who should, in theory, still be able to respond to an EGFR inhibitor, such as </w:t>
      </w:r>
      <w:proofErr w:type="spellStart"/>
      <w:r w:rsidRPr="00813104">
        <w:t>cetuximab</w:t>
      </w:r>
      <w:proofErr w:type="spellEnd"/>
      <w:r w:rsidRPr="00813104">
        <w:t>.”</w:t>
      </w:r>
    </w:p>
    <w:p w:rsidR="00813104" w:rsidRPr="00813104" w:rsidRDefault="00813104" w:rsidP="00813104">
      <w:r w:rsidRPr="00813104">
        <w:t xml:space="preserve">“The probability for a positive result in </w:t>
      </w:r>
      <w:r w:rsidR="00A95DFB">
        <w:t>the final analysis is very low.</w:t>
      </w:r>
      <w:r w:rsidRPr="00813104">
        <w:t xml:space="preserve"> </w:t>
      </w:r>
      <w:r w:rsidR="00A95DFB">
        <w:t xml:space="preserve">… </w:t>
      </w:r>
      <w:r w:rsidRPr="00813104">
        <w:t xml:space="preserve">Cetuximab might have a different form of activity on </w:t>
      </w:r>
      <w:proofErr w:type="spellStart"/>
      <w:r w:rsidRPr="00813104">
        <w:t>micrometastatic</w:t>
      </w:r>
      <w:proofErr w:type="spellEnd"/>
      <w:r w:rsidRPr="00813104">
        <w:t xml:space="preserve"> disease compared to that observed in stage IV disease.”</w:t>
      </w:r>
    </w:p>
    <w:p w:rsidR="00813104" w:rsidRPr="00813104" w:rsidRDefault="00813104" w:rsidP="00813104">
      <w:r w:rsidRPr="00813104">
        <w:t xml:space="preserve">In July 2012 FDA granted approval for cetuximab in combination with FOLFIRI in </w:t>
      </w:r>
      <w:r w:rsidR="00B95D37">
        <w:t>first</w:t>
      </w:r>
      <w:r w:rsidRPr="00813104">
        <w:t xml:space="preserve"> line treatment of patients </w:t>
      </w:r>
      <w:r w:rsidRPr="00364C0D">
        <w:t>with K-RAS mutation</w:t>
      </w:r>
      <w:r w:rsidRPr="00813104">
        <w:t xml:space="preserve">-negative (wild type), EGFR-expressing </w:t>
      </w:r>
      <w:proofErr w:type="spellStart"/>
      <w:r w:rsidRPr="00813104">
        <w:t>mCRC</w:t>
      </w:r>
      <w:proofErr w:type="spellEnd"/>
      <w:r w:rsidRPr="00813104">
        <w:t xml:space="preserve"> as determined by FDA-approved tests for this use. Oxaliplatin-based chemotherapy in combination with cetuximab is not approved for </w:t>
      </w:r>
      <w:proofErr w:type="spellStart"/>
      <w:r w:rsidRPr="00813104">
        <w:t>mCRC</w:t>
      </w:r>
      <w:proofErr w:type="spellEnd"/>
      <w:r w:rsidRPr="00813104">
        <w:t xml:space="preserve"> in t</w:t>
      </w:r>
      <w:r w:rsidR="001C5FF9">
        <w:t>he US in any line of treatment.</w:t>
      </w:r>
    </w:p>
    <w:p w:rsidR="00813104" w:rsidRPr="00813104" w:rsidRDefault="00813104" w:rsidP="00DB2F6C">
      <w:pPr>
        <w:pStyle w:val="Heading5"/>
      </w:pPr>
      <w:r w:rsidRPr="00813104">
        <w:lastRenderedPageBreak/>
        <w:t>Conclusion</w:t>
      </w:r>
    </w:p>
    <w:p w:rsidR="00813104" w:rsidRPr="00813104" w:rsidRDefault="00813104" w:rsidP="00813104">
      <w:r w:rsidRPr="00813104">
        <w:t xml:space="preserve">The evaluator concludes that the submitted data, and overall information available to date, supports cetuximab in combination with irinotecan-based chemotherapy in </w:t>
      </w:r>
      <w:r w:rsidR="00B95D37">
        <w:t>first</w:t>
      </w:r>
      <w:r w:rsidR="00D54846">
        <w:t xml:space="preserve"> line indication for </w:t>
      </w:r>
      <w:proofErr w:type="spellStart"/>
      <w:r w:rsidR="00D54846">
        <w:t>mCRC</w:t>
      </w:r>
      <w:proofErr w:type="spellEnd"/>
      <w:r w:rsidRPr="00813104">
        <w:t xml:space="preserve"> but does not support the combination with continuous in</w:t>
      </w:r>
      <w:r w:rsidR="00364C0D">
        <w:t>fusional 5-FU/FA + oxaliplatin.</w:t>
      </w:r>
    </w:p>
    <w:p w:rsidR="008E7846" w:rsidRPr="002E238E" w:rsidRDefault="008E7846" w:rsidP="008E7846">
      <w:pPr>
        <w:pStyle w:val="Heading3"/>
      </w:pPr>
      <w:bookmarkStart w:id="59" w:name="_Toc163441378"/>
      <w:bookmarkStart w:id="60" w:name="_Toc196046495"/>
      <w:bookmarkStart w:id="61" w:name="_Toc247691522"/>
      <w:bookmarkStart w:id="62" w:name="_Toc314842505"/>
      <w:bookmarkStart w:id="63" w:name="_Toc368388462"/>
      <w:bookmarkEnd w:id="49"/>
      <w:bookmarkEnd w:id="50"/>
      <w:bookmarkEnd w:id="51"/>
      <w:bookmarkEnd w:id="52"/>
      <w:r w:rsidRPr="002E238E">
        <w:t>Safety</w:t>
      </w:r>
      <w:bookmarkEnd w:id="59"/>
      <w:bookmarkEnd w:id="60"/>
      <w:bookmarkEnd w:id="61"/>
      <w:bookmarkEnd w:id="62"/>
      <w:bookmarkEnd w:id="63"/>
    </w:p>
    <w:p w:rsidR="008269C1" w:rsidRDefault="008269C1" w:rsidP="00DB2F6C">
      <w:pPr>
        <w:pStyle w:val="Heading4"/>
      </w:pPr>
      <w:bookmarkStart w:id="64" w:name="_Toc184440288"/>
      <w:bookmarkStart w:id="65" w:name="_Toc184444666"/>
      <w:bookmarkStart w:id="66" w:name="_Toc196046496"/>
      <w:r>
        <w:t>Background</w:t>
      </w:r>
    </w:p>
    <w:p w:rsidR="00836CA0" w:rsidRPr="00836CA0" w:rsidRDefault="00836CA0" w:rsidP="00836CA0">
      <w:pPr>
        <w:autoSpaceDE w:val="0"/>
        <w:autoSpaceDN w:val="0"/>
        <w:adjustRightInd w:val="0"/>
      </w:pPr>
      <w:r w:rsidRPr="00836CA0">
        <w:t xml:space="preserve">The safety profile of cetuximab </w:t>
      </w:r>
      <w:r w:rsidR="00866057">
        <w:t>is well known and characterised</w:t>
      </w:r>
      <w:r w:rsidRPr="00836CA0">
        <w:t xml:space="preserve"> based on previous </w:t>
      </w:r>
      <w:r w:rsidR="00364C0D">
        <w:t xml:space="preserve">randomised controlled trials (RCTs) </w:t>
      </w:r>
      <w:r w:rsidRPr="00836CA0">
        <w:t xml:space="preserve">in </w:t>
      </w:r>
      <w:proofErr w:type="spellStart"/>
      <w:r w:rsidRPr="00836CA0">
        <w:t>mCRC</w:t>
      </w:r>
      <w:proofErr w:type="spellEnd"/>
      <w:r w:rsidRPr="00836CA0">
        <w:t xml:space="preserve">, </w:t>
      </w:r>
      <w:proofErr w:type="spellStart"/>
      <w:r w:rsidR="00364C0D">
        <w:t>s</w:t>
      </w:r>
      <w:r w:rsidR="00364C0D" w:rsidRPr="00364C0D">
        <w:t>quamous</w:t>
      </w:r>
      <w:proofErr w:type="spellEnd"/>
      <w:r w:rsidR="00364C0D" w:rsidRPr="00364C0D">
        <w:t xml:space="preserve"> cell carcinoma of the head and neck </w:t>
      </w:r>
      <w:r w:rsidR="00364C0D">
        <w:t>(</w:t>
      </w:r>
      <w:r w:rsidRPr="00836CA0">
        <w:t>SCCHN</w:t>
      </w:r>
      <w:r w:rsidR="00364C0D">
        <w:t>)</w:t>
      </w:r>
      <w:r w:rsidRPr="00836CA0">
        <w:t xml:space="preserve">, and </w:t>
      </w:r>
      <w:r w:rsidR="00364C0D">
        <w:t>n</w:t>
      </w:r>
      <w:r w:rsidR="00364C0D" w:rsidRPr="00364C0D">
        <w:t xml:space="preserve">on-small cell lung cancer </w:t>
      </w:r>
      <w:r w:rsidR="00364C0D">
        <w:t>(</w:t>
      </w:r>
      <w:r w:rsidRPr="00836CA0">
        <w:t>NSCLC</w:t>
      </w:r>
      <w:r w:rsidR="00364C0D">
        <w:t>)</w:t>
      </w:r>
      <w:r w:rsidR="001C5FF9">
        <w:t>.</w:t>
      </w:r>
    </w:p>
    <w:p w:rsidR="00836CA0" w:rsidRPr="00836CA0" w:rsidRDefault="00836CA0" w:rsidP="00836CA0">
      <w:pPr>
        <w:autoSpaceDE w:val="0"/>
        <w:autoSpaceDN w:val="0"/>
        <w:adjustRightInd w:val="0"/>
      </w:pPr>
      <w:r w:rsidRPr="00836CA0">
        <w:t xml:space="preserve">The safety profile in the target </w:t>
      </w:r>
      <w:proofErr w:type="spellStart"/>
      <w:r w:rsidRPr="00836CA0">
        <w:t>mCRC</w:t>
      </w:r>
      <w:proofErr w:type="spellEnd"/>
      <w:r w:rsidRPr="00836CA0">
        <w:t xml:space="preserve"> population with K-RAS wild-type tumour status was evaluated in CRYSTAL and OPUS studies. There were no major differences in the safety profile of cetuximab between the K-RAS wild-type population and</w:t>
      </w:r>
      <w:r w:rsidR="00364C0D">
        <w:t xml:space="preserve"> the overall safety population.</w:t>
      </w:r>
    </w:p>
    <w:p w:rsidR="00836CA0" w:rsidRPr="00836CA0" w:rsidRDefault="00364C0D" w:rsidP="00836CA0">
      <w:pPr>
        <w:autoSpaceDE w:val="0"/>
        <w:autoSpaceDN w:val="0"/>
        <w:adjustRightInd w:val="0"/>
      </w:pPr>
      <w:r>
        <w:t>T</w:t>
      </w:r>
      <w:r w:rsidR="00836CA0" w:rsidRPr="00836CA0">
        <w:t>he overview of the K-RAS safety population,</w:t>
      </w:r>
      <w:r>
        <w:t xml:space="preserve"> based on 4 controlled, randomis</w:t>
      </w:r>
      <w:r w:rsidR="00836CA0" w:rsidRPr="00836CA0">
        <w:t xml:space="preserve">ed studies in </w:t>
      </w:r>
      <w:proofErr w:type="spellStart"/>
      <w:r w:rsidR="00836CA0" w:rsidRPr="00836CA0">
        <w:t>mCRC</w:t>
      </w:r>
      <w:proofErr w:type="spellEnd"/>
      <w:r w:rsidR="00836CA0" w:rsidRPr="00836CA0">
        <w:t xml:space="preserve"> (NCIC, EPIC, CRYSTAL, and OPUS studies) was submitted and included as part of </w:t>
      </w:r>
      <w:r>
        <w:t>a previous application</w:t>
      </w:r>
      <w:r w:rsidR="00836CA0" w:rsidRPr="00836CA0">
        <w:t>. In the overall safety population (n = 3369) of the 4 RCTs, 37% (1250/3369) of subjects were evaluable for K-RAS status, and of these 62% (779/1250) had tumo</w:t>
      </w:r>
      <w:r w:rsidR="001C5FF9">
        <w:t>urs with K-RAS wild type genes.</w:t>
      </w:r>
    </w:p>
    <w:p w:rsidR="00836CA0" w:rsidRPr="00836CA0" w:rsidRDefault="00836CA0" w:rsidP="00836CA0">
      <w:pPr>
        <w:autoSpaceDE w:val="0"/>
        <w:autoSpaceDN w:val="0"/>
        <w:adjustRightInd w:val="0"/>
      </w:pPr>
      <w:r w:rsidRPr="00836CA0">
        <w:t xml:space="preserve">Overall, the frequencies of </w:t>
      </w:r>
      <w:r w:rsidR="00364C0D">
        <w:t>serious adverse events (</w:t>
      </w:r>
      <w:r w:rsidRPr="00836CA0">
        <w:t>SAEs</w:t>
      </w:r>
      <w:r w:rsidR="00364C0D">
        <w:t>)</w:t>
      </w:r>
      <w:r w:rsidRPr="00836CA0">
        <w:t>, including treatment-related and cetuximab-related SAEs, did not reveal major differences between the 2 populations in these 4 RCTs. Similar conclusions were drawn for AEs leading to discontinuation of cetuximab and/or study treatment. Imbal</w:t>
      </w:r>
      <w:r w:rsidR="00866057">
        <w:t>ances in neutropenia were found</w:t>
      </w:r>
      <w:r w:rsidRPr="00836CA0">
        <w:t xml:space="preserve"> but were not considered clinically relevant.</w:t>
      </w:r>
    </w:p>
    <w:p w:rsidR="00836CA0" w:rsidRPr="00836CA0" w:rsidRDefault="00836CA0" w:rsidP="00836CA0">
      <w:pPr>
        <w:autoSpaceDE w:val="0"/>
        <w:autoSpaceDN w:val="0"/>
        <w:adjustRightInd w:val="0"/>
      </w:pPr>
      <w:r w:rsidRPr="00836CA0">
        <w:t xml:space="preserve">The profiles of the AE neutropenia and corresponding laboratory variables differed in the safety and K-RAS wild type populations of the studies in which cetuximab was given in combination with chemotherapy. In the K-RAS wild type population, frequencies in the cetuximab groups tended to be higher than in the respective control groups. However, there was no consistent pattern across studies and in </w:t>
      </w:r>
      <w:r w:rsidR="00B120F5">
        <w:t>S</w:t>
      </w:r>
      <w:r w:rsidRPr="00836CA0">
        <w:t>tudy CA225006 (EPIC study) the differences were explained by an additional analysis. It is considered that imbalances may be due to differences in treatment duration or exposure.”</w:t>
      </w:r>
    </w:p>
    <w:p w:rsidR="00836CA0" w:rsidRPr="00836CA0" w:rsidRDefault="00836CA0" w:rsidP="00DB2F6C">
      <w:pPr>
        <w:pStyle w:val="Heading4"/>
      </w:pPr>
      <w:bookmarkStart w:id="67" w:name="_Toc364942830"/>
      <w:r w:rsidRPr="00836CA0">
        <w:t>Overview of studies providing safety data</w:t>
      </w:r>
      <w:bookmarkEnd w:id="67"/>
      <w:r w:rsidR="008269C1">
        <w:t xml:space="preserve"> for the current application</w:t>
      </w:r>
    </w:p>
    <w:p w:rsidR="00836CA0" w:rsidRPr="00836CA0" w:rsidRDefault="00836CA0" w:rsidP="00836CA0">
      <w:pPr>
        <w:autoSpaceDE w:val="0"/>
        <w:autoSpaceDN w:val="0"/>
        <w:adjustRightInd w:val="0"/>
      </w:pPr>
      <w:r w:rsidRPr="00836CA0">
        <w:t xml:space="preserve">The current review of safety data involved the following studies supporting the use of cetuximab as an add-on option to continuous infusional 5-FU/FA + oxaliplatin: Table </w:t>
      </w:r>
      <w:r w:rsidR="00637047">
        <w:t>3</w:t>
      </w:r>
      <w:r w:rsidRPr="00836CA0">
        <w:t>.</w:t>
      </w:r>
    </w:p>
    <w:p w:rsidR="00836CA0" w:rsidRPr="00836CA0" w:rsidRDefault="00836CA0" w:rsidP="001C5FF9">
      <w:pPr>
        <w:pStyle w:val="TableTitle"/>
      </w:pPr>
      <w:proofErr w:type="gramStart"/>
      <w:r w:rsidRPr="00836CA0">
        <w:lastRenderedPageBreak/>
        <w:t xml:space="preserve">Table </w:t>
      </w:r>
      <w:r w:rsidR="00637047">
        <w:t>3</w:t>
      </w:r>
      <w:r w:rsidRPr="00836CA0">
        <w:t>.</w:t>
      </w:r>
      <w:proofErr w:type="gramEnd"/>
      <w:r w:rsidRPr="00836CA0">
        <w:t xml:space="preserve"> </w:t>
      </w:r>
      <w:proofErr w:type="gramStart"/>
      <w:r w:rsidRPr="00836CA0">
        <w:t>Metastatic CRC trials by infusional 5-FU regimen.</w:t>
      </w:r>
      <w:proofErr w:type="gramEnd"/>
    </w:p>
    <w:p w:rsidR="00836CA0" w:rsidRPr="00836CA0" w:rsidRDefault="00836CA0" w:rsidP="00836CA0">
      <w:pPr>
        <w:autoSpaceDE w:val="0"/>
        <w:autoSpaceDN w:val="0"/>
        <w:adjustRightInd w:val="0"/>
      </w:pPr>
      <w:r w:rsidRPr="00836CA0">
        <w:rPr>
          <w:b/>
          <w:noProof/>
          <w:lang w:eastAsia="en-AU"/>
        </w:rPr>
        <w:drawing>
          <wp:inline distT="0" distB="0" distL="0" distR="0">
            <wp:extent cx="5730240" cy="2293620"/>
            <wp:effectExtent l="19050" t="0" r="3810" b="0"/>
            <wp:docPr id="7" name="Picture 5" descr="Table 3. Metastatic CRC trials by infusional 5-FU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2. Metastatic CRC trials by infusional 5-FU regimen."/>
                    <pic:cNvPicPr>
                      <a:picLocks noChangeAspect="1" noChangeArrowheads="1"/>
                    </pic:cNvPicPr>
                  </pic:nvPicPr>
                  <pic:blipFill>
                    <a:blip r:embed="rId14" cstate="print"/>
                    <a:srcRect t="12218"/>
                    <a:stretch>
                      <a:fillRect/>
                    </a:stretch>
                  </pic:blipFill>
                  <pic:spPr bwMode="auto">
                    <a:xfrm>
                      <a:off x="0" y="0"/>
                      <a:ext cx="5730240" cy="2293620"/>
                    </a:xfrm>
                    <a:prstGeom prst="rect">
                      <a:avLst/>
                    </a:prstGeom>
                    <a:noFill/>
                    <a:ln w="9525">
                      <a:noFill/>
                      <a:miter lim="800000"/>
                      <a:headEnd/>
                      <a:tailEnd/>
                    </a:ln>
                  </pic:spPr>
                </pic:pic>
              </a:graphicData>
            </a:graphic>
          </wp:inline>
        </w:drawing>
      </w:r>
    </w:p>
    <w:p w:rsidR="00836CA0" w:rsidRPr="00836CA0" w:rsidRDefault="00836CA0" w:rsidP="00836CA0">
      <w:pPr>
        <w:autoSpaceDE w:val="0"/>
        <w:autoSpaceDN w:val="0"/>
        <w:adjustRightInd w:val="0"/>
      </w:pPr>
      <w:r w:rsidRPr="00836CA0">
        <w:t>The data are based on study reports for completed company-sponsored trials and the available and published data for non company-sponsored trials. The review focuses on the overall safety population, as the K-RAS mutation status wa</w:t>
      </w:r>
      <w:r w:rsidR="001C5FF9">
        <w:t>s not available in all studies.</w:t>
      </w:r>
    </w:p>
    <w:p w:rsidR="00836CA0" w:rsidRPr="00836CA0" w:rsidRDefault="00836CA0" w:rsidP="00836CA0">
      <w:pPr>
        <w:autoSpaceDE w:val="0"/>
        <w:autoSpaceDN w:val="0"/>
        <w:adjustRightInd w:val="0"/>
      </w:pPr>
      <w:r w:rsidRPr="00836CA0">
        <w:t>In all company-sponsored trials, treatment-emergent AEs (during treatment and up to 30 days after last dose of study drug) irrespective of relationship to study treatment are presented. This may not be the case in the other trials. Data comparison across trials has some limitations because of differences in data documentation, analysis and presentation of safety results, i.e. pre-specified AE documentation, different coding dictionaries and versions.</w:t>
      </w:r>
    </w:p>
    <w:p w:rsidR="00836CA0" w:rsidRPr="00836CA0" w:rsidRDefault="00836CA0" w:rsidP="00836CA0">
      <w:pPr>
        <w:autoSpaceDE w:val="0"/>
        <w:autoSpaceDN w:val="0"/>
        <w:adjustRightInd w:val="0"/>
      </w:pPr>
      <w:r w:rsidRPr="00836CA0">
        <w:t>The studies involved in safety analysis included:</w:t>
      </w:r>
    </w:p>
    <w:p w:rsidR="00836CA0" w:rsidRPr="00836CA0" w:rsidRDefault="00836CA0" w:rsidP="001C5FF9">
      <w:pPr>
        <w:pStyle w:val="ListBullet"/>
      </w:pPr>
      <w:r w:rsidRPr="00836CA0">
        <w:t xml:space="preserve">OPUS </w:t>
      </w:r>
      <w:r w:rsidR="00B120F5">
        <w:t>S</w:t>
      </w:r>
      <w:r w:rsidRPr="00836CA0">
        <w:t xml:space="preserve">tudy and the </w:t>
      </w:r>
      <w:proofErr w:type="spellStart"/>
      <w:r w:rsidRPr="00836CA0">
        <w:t>OxMdG</w:t>
      </w:r>
      <w:proofErr w:type="spellEnd"/>
      <w:r w:rsidRPr="00836CA0">
        <w:t xml:space="preserve"> subgroup of COIN - trials that involved comparison of cetuximab and infusional 5-FU/FA + oxaliplatin </w:t>
      </w:r>
      <w:r w:rsidR="004F441E">
        <w:t>versus</w:t>
      </w:r>
      <w:r w:rsidRPr="00836CA0">
        <w:t xml:space="preserve"> infusional 5-FU/FA + oxaliplatin alone.</w:t>
      </w:r>
    </w:p>
    <w:p w:rsidR="00836CA0" w:rsidRPr="00836CA0" w:rsidRDefault="00836CA0" w:rsidP="001C5FF9">
      <w:pPr>
        <w:pStyle w:val="ListBullet"/>
      </w:pPr>
      <w:r w:rsidRPr="00836CA0">
        <w:t xml:space="preserve">CECOG CORE 1.2.001 and CELIM studies - trials that compared cetuximab and infusional 5-FU/FA + oxaliplatin </w:t>
      </w:r>
      <w:r w:rsidR="004F441E">
        <w:t>versus</w:t>
      </w:r>
      <w:r w:rsidRPr="00836CA0">
        <w:t xml:space="preserve"> cetuximab and FOLFIRI.</w:t>
      </w:r>
    </w:p>
    <w:p w:rsidR="00836CA0" w:rsidRPr="00836CA0" w:rsidRDefault="00836CA0" w:rsidP="001C5FF9">
      <w:pPr>
        <w:pStyle w:val="ListBullet"/>
      </w:pPr>
      <w:r w:rsidRPr="00836CA0">
        <w:t>CECOG CORE 1.2.002 and FUTURE studies (FOLFOX arm).</w:t>
      </w:r>
    </w:p>
    <w:p w:rsidR="00836CA0" w:rsidRPr="00836CA0" w:rsidRDefault="00836CA0" w:rsidP="00DB2F6C">
      <w:pPr>
        <w:pStyle w:val="Heading4"/>
      </w:pPr>
      <w:bookmarkStart w:id="68" w:name="_Toc364942831"/>
      <w:r w:rsidRPr="00836CA0">
        <w:t xml:space="preserve">Safety </w:t>
      </w:r>
      <w:r w:rsidR="00DB2F6C">
        <w:t>findings</w:t>
      </w:r>
      <w:bookmarkEnd w:id="68"/>
    </w:p>
    <w:p w:rsidR="00836CA0" w:rsidRPr="00836CA0" w:rsidRDefault="00836CA0" w:rsidP="00836CA0">
      <w:pPr>
        <w:autoSpaceDE w:val="0"/>
        <w:autoSpaceDN w:val="0"/>
        <w:adjustRightInd w:val="0"/>
      </w:pPr>
      <w:r w:rsidRPr="00836CA0">
        <w:t xml:space="preserve">Based on the additional safety data observed in the above studies, the safety profile of cetuximab in combination with infusional 5-FU + oxaliplatin is unchanged as compared to that reported earlier. However, in the COIN </w:t>
      </w:r>
      <w:r w:rsidR="00B120F5">
        <w:t>S</w:t>
      </w:r>
      <w:r w:rsidRPr="00836CA0">
        <w:t xml:space="preserve">tudy, a significantly higher incidence of Grade ≥ 3 diarrhoea was observed for patients in the cetuximab + XELOX group (26%) </w:t>
      </w:r>
      <w:r w:rsidR="004F441E">
        <w:t>versus</w:t>
      </w:r>
      <w:r w:rsidRPr="00836CA0">
        <w:t xml:space="preserve"> the XELOX alone </w:t>
      </w:r>
      <w:r w:rsidR="003F4147">
        <w:t xml:space="preserve">group </w:t>
      </w:r>
      <w:r w:rsidRPr="00836CA0">
        <w:t>(15%), leading to frequent dose reductions of both capecitabine and oxaliplatin and a protocol amendment that defined 850 mg/m</w:t>
      </w:r>
      <w:r w:rsidRPr="0006554B">
        <w:rPr>
          <w:vertAlign w:val="superscript"/>
        </w:rPr>
        <w:t>2</w:t>
      </w:r>
      <w:r w:rsidRPr="00836CA0">
        <w:t xml:space="preserve"> </w:t>
      </w:r>
      <w:r w:rsidR="0006554B">
        <w:t xml:space="preserve">twice daily </w:t>
      </w:r>
      <w:r w:rsidRPr="00836CA0">
        <w:t xml:space="preserve">as the capecitabine dose for patients treated with cetuximab. The sponsor observed that in other trials of cetuximab + XELOX or XELIRI similar results for Grade 3/4 diarrhoea </w:t>
      </w:r>
      <w:proofErr w:type="gramStart"/>
      <w:r w:rsidRPr="00836CA0">
        <w:t>w</w:t>
      </w:r>
      <w:r w:rsidR="003F4147">
        <w:t>ere</w:t>
      </w:r>
      <w:proofErr w:type="gramEnd"/>
      <w:r w:rsidRPr="00836CA0">
        <w:t xml:space="preserve"> reported; in none of these studies was it reported to be a major issue.</w:t>
      </w:r>
    </w:p>
    <w:p w:rsidR="00836CA0" w:rsidRPr="00836CA0" w:rsidRDefault="00836CA0" w:rsidP="00836CA0">
      <w:pPr>
        <w:autoSpaceDE w:val="0"/>
        <w:autoSpaceDN w:val="0"/>
        <w:adjustRightInd w:val="0"/>
      </w:pPr>
      <w:r w:rsidRPr="00836CA0">
        <w:t xml:space="preserve">In the 6 selected above studies, 801 patients (safety population) were treated with cetuximab in combination with continuous infusional 5-FU/FA + oxaliplatin. The AEs observed were consistent with the known safety profiles of cetuximab, oxaliplatin and the chemotherapy agents employed. The incidence of the most frequent Grade 3/4 AEs was generally in the same range. The incidence of neutropenia ranged from 24% - 34%. </w:t>
      </w:r>
    </w:p>
    <w:p w:rsidR="00836CA0" w:rsidRPr="00836CA0" w:rsidRDefault="00836CA0" w:rsidP="00836CA0">
      <w:pPr>
        <w:autoSpaceDE w:val="0"/>
        <w:autoSpaceDN w:val="0"/>
        <w:adjustRightInd w:val="0"/>
      </w:pPr>
      <w:proofErr w:type="spellStart"/>
      <w:r w:rsidRPr="00836CA0">
        <w:t>Neurotoxicities</w:t>
      </w:r>
      <w:proofErr w:type="spellEnd"/>
      <w:r w:rsidRPr="00836CA0">
        <w:t xml:space="preserve"> generally reported as Grade </w:t>
      </w:r>
      <w:r w:rsidR="0006554B">
        <w:t>3/4,</w:t>
      </w:r>
      <w:r w:rsidRPr="00836CA0">
        <w:t xml:space="preserve"> peripheral neuropathy or peripheral sensory neuropathy are known side effects of oxaliplat</w:t>
      </w:r>
      <w:r w:rsidR="0006554B">
        <w:t xml:space="preserve">in and had an incidence of </w:t>
      </w:r>
      <w:r w:rsidR="0006554B">
        <w:lastRenderedPageBreak/>
        <w:t>1.2%</w:t>
      </w:r>
      <w:r w:rsidR="0006554B">
        <w:noBreakHyphen/>
      </w:r>
      <w:r w:rsidRPr="00836CA0">
        <w:t xml:space="preserve">6.3%. In the COIN </w:t>
      </w:r>
      <w:r w:rsidR="00B120F5">
        <w:t>S</w:t>
      </w:r>
      <w:r w:rsidRPr="00836CA0">
        <w:t>tudy a higher frequency (14.0%) was reported. The incidence of neurotoxicity was not increased in combination with cetuximab compared to the comparator arm in the randomised controlled trials; OPUS and COIN studies.</w:t>
      </w:r>
    </w:p>
    <w:p w:rsidR="00836CA0" w:rsidRPr="00836CA0" w:rsidRDefault="00836CA0" w:rsidP="00836CA0">
      <w:pPr>
        <w:autoSpaceDE w:val="0"/>
        <w:autoSpaceDN w:val="0"/>
        <w:adjustRightInd w:val="0"/>
      </w:pPr>
      <w:r w:rsidRPr="00836CA0">
        <w:t xml:space="preserve">The incidence of </w:t>
      </w:r>
      <w:proofErr w:type="spellStart"/>
      <w:r w:rsidRPr="00836CA0">
        <w:t>palmar</w:t>
      </w:r>
      <w:proofErr w:type="spellEnd"/>
      <w:r w:rsidRPr="00836CA0">
        <w:t>-plan</w:t>
      </w:r>
      <w:r w:rsidR="0006554B">
        <w:t xml:space="preserve">tar </w:t>
      </w:r>
      <w:proofErr w:type="spellStart"/>
      <w:r w:rsidR="0006554B">
        <w:t>erythrodysesthesia</w:t>
      </w:r>
      <w:proofErr w:type="spellEnd"/>
      <w:r w:rsidR="0006554B">
        <w:t xml:space="preserve"> (range 0</w:t>
      </w:r>
      <w:r w:rsidRPr="00836CA0">
        <w:t xml:space="preserve">-6%) is known for </w:t>
      </w:r>
      <w:proofErr w:type="spellStart"/>
      <w:r w:rsidRPr="00836CA0">
        <w:t>fluoropyrimidines</w:t>
      </w:r>
      <w:proofErr w:type="spellEnd"/>
      <w:r w:rsidRPr="00836CA0">
        <w:t xml:space="preserve"> and the increased frequency is a known interaction with cetuximab.</w:t>
      </w:r>
    </w:p>
    <w:p w:rsidR="00836CA0" w:rsidRPr="00836CA0" w:rsidRDefault="00836CA0" w:rsidP="00836CA0">
      <w:pPr>
        <w:autoSpaceDE w:val="0"/>
        <w:autoSpaceDN w:val="0"/>
        <w:adjustRightInd w:val="0"/>
      </w:pPr>
      <w:r w:rsidRPr="00836CA0">
        <w:t>In summary, the safety profile of cetuximab in combinati</w:t>
      </w:r>
      <w:r w:rsidR="0006554B">
        <w:t>on with continuous infusional 5</w:t>
      </w:r>
      <w:r w:rsidR="0006554B">
        <w:noBreakHyphen/>
      </w:r>
      <w:r w:rsidRPr="00836CA0">
        <w:t>FU/FA + oxaliplatin is unchanged as compared to that reported earlier. Considering the impact of severe diarrhoea on XELOX administration, a statement on the interaction with capecitabine and oxaliplatin (XELOX) has been included in the PI</w:t>
      </w:r>
      <w:r w:rsidR="0006554B">
        <w:t xml:space="preserve"> </w:t>
      </w:r>
      <w:r w:rsidR="0006554B" w:rsidRPr="0006554B">
        <w:t>(</w:t>
      </w:r>
      <w:r w:rsidR="0006554B" w:rsidRPr="0006554B">
        <w:rPr>
          <w:i/>
          <w:iCs/>
        </w:rPr>
        <w:t>Interactions with other medicines</w:t>
      </w:r>
      <w:r w:rsidR="0006554B">
        <w:t xml:space="preserve"> section):</w:t>
      </w:r>
      <w:r w:rsidRPr="00836CA0">
        <w:t xml:space="preserve"> </w:t>
      </w:r>
      <w:r w:rsidRPr="0006554B">
        <w:rPr>
          <w:i/>
          <w:iCs/>
        </w:rPr>
        <w:t>“In combination with capecitabine and oxaliplatin (XELOX) the frequency of severe diarrhoea may be increased.”</w:t>
      </w:r>
    </w:p>
    <w:p w:rsidR="00836CA0" w:rsidRPr="00836CA0" w:rsidRDefault="00836CA0" w:rsidP="00836CA0">
      <w:pPr>
        <w:autoSpaceDE w:val="0"/>
        <w:autoSpaceDN w:val="0"/>
        <w:adjustRightInd w:val="0"/>
      </w:pPr>
      <w:r w:rsidRPr="00836CA0">
        <w:t xml:space="preserve">Furthermore, the statement on cardiovascular disorders was updated </w:t>
      </w:r>
      <w:r w:rsidR="0006554B" w:rsidRPr="00836CA0">
        <w:t>(</w:t>
      </w:r>
      <w:r w:rsidR="0006554B" w:rsidRPr="00836CA0">
        <w:rPr>
          <w:i/>
        </w:rPr>
        <w:t>Precautions</w:t>
      </w:r>
      <w:r w:rsidR="0006554B" w:rsidRPr="00836CA0">
        <w:t xml:space="preserve"> section</w:t>
      </w:r>
      <w:r w:rsidR="0006554B">
        <w:t xml:space="preserve"> of the PI</w:t>
      </w:r>
      <w:r w:rsidR="0006554B" w:rsidRPr="00836CA0">
        <w:t>)</w:t>
      </w:r>
      <w:r w:rsidR="0006554B">
        <w:t xml:space="preserve"> </w:t>
      </w:r>
      <w:r w:rsidRPr="00836CA0">
        <w:t xml:space="preserve">to reflect, besides age, the </w:t>
      </w:r>
      <w:r w:rsidR="0006554B">
        <w:t>performance status (</w:t>
      </w:r>
      <w:r w:rsidRPr="00836CA0">
        <w:t>PS</w:t>
      </w:r>
      <w:r w:rsidR="0006554B">
        <w:t>)</w:t>
      </w:r>
      <w:r w:rsidRPr="00836CA0">
        <w:t xml:space="preserve">: </w:t>
      </w:r>
      <w:r w:rsidRPr="0006554B">
        <w:rPr>
          <w:i/>
          <w:iCs/>
        </w:rPr>
        <w:t xml:space="preserve">“An increased frequency of severe and sometimes fatal cardiovascular events and treatment emergent deaths has been observed in the treatment of non-small cell lung cancer, </w:t>
      </w:r>
      <w:proofErr w:type="spellStart"/>
      <w:r w:rsidRPr="0006554B">
        <w:rPr>
          <w:i/>
          <w:iCs/>
        </w:rPr>
        <w:t>squamous</w:t>
      </w:r>
      <w:proofErr w:type="spellEnd"/>
      <w:r w:rsidRPr="0006554B">
        <w:rPr>
          <w:i/>
          <w:iCs/>
        </w:rPr>
        <w:t xml:space="preserve"> cell carcinoma of the head and neck and colorectal carcinoma. In some studies association with age ≥ 65 years has been observed. When prescribing cetuximab, the cardiovascular and performance status of the patients and concomitant administration of </w:t>
      </w:r>
      <w:proofErr w:type="spellStart"/>
      <w:r w:rsidRPr="0006554B">
        <w:rPr>
          <w:i/>
          <w:iCs/>
        </w:rPr>
        <w:t>cardiotoxic</w:t>
      </w:r>
      <w:proofErr w:type="spellEnd"/>
      <w:r w:rsidRPr="0006554B">
        <w:rPr>
          <w:i/>
          <w:iCs/>
        </w:rPr>
        <w:t xml:space="preserve"> compounds such as </w:t>
      </w:r>
      <w:proofErr w:type="spellStart"/>
      <w:r w:rsidRPr="0006554B">
        <w:rPr>
          <w:i/>
          <w:iCs/>
        </w:rPr>
        <w:t>fluoropyrimidines</w:t>
      </w:r>
      <w:proofErr w:type="spellEnd"/>
      <w:r w:rsidRPr="0006554B">
        <w:rPr>
          <w:i/>
          <w:iCs/>
        </w:rPr>
        <w:t xml:space="preserve"> should be taken into account.”</w:t>
      </w:r>
    </w:p>
    <w:p w:rsidR="00836CA0" w:rsidRPr="00836CA0" w:rsidRDefault="00836CA0" w:rsidP="00CE4CA2">
      <w:pPr>
        <w:autoSpaceDE w:val="0"/>
        <w:autoSpaceDN w:val="0"/>
        <w:adjustRightInd w:val="0"/>
      </w:pPr>
      <w:r w:rsidRPr="00836CA0">
        <w:t xml:space="preserve">Finally, a statement on the efficacy results in the pivotal CRYSTAL </w:t>
      </w:r>
      <w:r w:rsidR="00B120F5">
        <w:t>S</w:t>
      </w:r>
      <w:r w:rsidRPr="00836CA0">
        <w:t xml:space="preserve">tudy was added: </w:t>
      </w:r>
      <w:r w:rsidRPr="0006554B">
        <w:rPr>
          <w:i/>
          <w:iCs/>
        </w:rPr>
        <w:t>“Patients with K-RAS wild-type tumours and an ECOG performance status of &gt; 2 or who were 65 years of age or older, had no benefit in overall survival time, when cetuximab was added to FOLFIRI.”</w:t>
      </w:r>
      <w:r w:rsidRPr="00836CA0">
        <w:t xml:space="preserve"> </w:t>
      </w:r>
      <w:proofErr w:type="gramStart"/>
      <w:r w:rsidRPr="00836CA0">
        <w:t>(</w:t>
      </w:r>
      <w:r w:rsidRPr="00836CA0">
        <w:rPr>
          <w:i/>
        </w:rPr>
        <w:t>Clinical trials</w:t>
      </w:r>
      <w:r w:rsidRPr="00836CA0">
        <w:t xml:space="preserve"> section)</w:t>
      </w:r>
      <w:r w:rsidR="00CE4CA2">
        <w:t>.</w:t>
      </w:r>
      <w:proofErr w:type="gramEnd"/>
    </w:p>
    <w:p w:rsidR="00836CA0" w:rsidRPr="00836CA0" w:rsidRDefault="00836CA0" w:rsidP="00836CA0">
      <w:pPr>
        <w:pStyle w:val="Heading4"/>
      </w:pPr>
      <w:bookmarkStart w:id="69" w:name="_Toc364942839"/>
      <w:bookmarkStart w:id="70" w:name="_Toc335932585"/>
      <w:r w:rsidRPr="00836CA0">
        <w:t>Conclusions regarding safety</w:t>
      </w:r>
      <w:bookmarkEnd w:id="69"/>
      <w:bookmarkEnd w:id="70"/>
    </w:p>
    <w:p w:rsidR="00836CA0" w:rsidRPr="00A82ED2" w:rsidRDefault="00836CA0" w:rsidP="00A82ED2">
      <w:r w:rsidRPr="00A82ED2">
        <w:t xml:space="preserve">The safety findings were presented </w:t>
      </w:r>
      <w:r w:rsidR="0006554B">
        <w:t xml:space="preserve">for </w:t>
      </w:r>
      <w:r w:rsidRPr="00A82ED2">
        <w:t>the individual studies. No separate, integrated safety report on cetuximab in combination with irinotecan and oxaliplatin based chemotherapy regimens has been provided.</w:t>
      </w:r>
    </w:p>
    <w:p w:rsidR="008E7846" w:rsidRPr="00A82ED2" w:rsidRDefault="00836CA0" w:rsidP="00A82ED2">
      <w:r w:rsidRPr="00A82ED2">
        <w:t>The sponsor concluded: “Overall the combinations of cetuximab with continuous infusional 5-FU/FA and oxaliplatin or irinotecan show acceptable and manageable toxicity in the treatment of first-line metastatic CRC. The corresponding safety profile is adequately reflected in the current product information for cetuximab.” The evaluator</w:t>
      </w:r>
      <w:r w:rsidR="006F2D48">
        <w:t xml:space="preserve"> had</w:t>
      </w:r>
      <w:r w:rsidRPr="00A82ED2">
        <w:t xml:space="preserve"> no reason to object to these conclusions.</w:t>
      </w:r>
      <w:bookmarkStart w:id="71" w:name="_Toc163441387"/>
      <w:bookmarkEnd w:id="64"/>
      <w:bookmarkEnd w:id="65"/>
      <w:bookmarkEnd w:id="66"/>
    </w:p>
    <w:p w:rsidR="008E7846" w:rsidRDefault="008E7846" w:rsidP="008E7846">
      <w:pPr>
        <w:pStyle w:val="Heading3"/>
      </w:pPr>
      <w:bookmarkStart w:id="72" w:name="_Toc255919423"/>
      <w:bookmarkStart w:id="73" w:name="_Toc241374329"/>
      <w:bookmarkStart w:id="74" w:name="_Toc270320087"/>
      <w:bookmarkStart w:id="75" w:name="_Toc314842506"/>
      <w:bookmarkStart w:id="76" w:name="_Toc368388463"/>
      <w:r>
        <w:t>List of questions</w:t>
      </w:r>
      <w:bookmarkEnd w:id="72"/>
      <w:bookmarkEnd w:id="73"/>
      <w:bookmarkEnd w:id="74"/>
      <w:bookmarkEnd w:id="75"/>
      <w:bookmarkEnd w:id="76"/>
    </w:p>
    <w:p w:rsidR="008E7846" w:rsidRPr="0039105A" w:rsidRDefault="001F480C" w:rsidP="00327883">
      <w:r>
        <w:t>None</w:t>
      </w:r>
    </w:p>
    <w:p w:rsidR="008E7846" w:rsidRPr="006E137C" w:rsidRDefault="008E7846" w:rsidP="008E7846">
      <w:pPr>
        <w:pStyle w:val="Heading3"/>
      </w:pPr>
      <w:bookmarkStart w:id="77" w:name="_Toc247691523"/>
      <w:bookmarkStart w:id="78" w:name="_Toc314842507"/>
      <w:bookmarkStart w:id="79" w:name="_Toc368388464"/>
      <w:bookmarkStart w:id="80" w:name="_Toc184440295"/>
      <w:bookmarkStart w:id="81" w:name="_Toc184444673"/>
      <w:bookmarkStart w:id="82" w:name="_Toc196046503"/>
      <w:bookmarkEnd w:id="71"/>
      <w:r>
        <w:t>Clinical summary and conclusions</w:t>
      </w:r>
      <w:bookmarkEnd w:id="77"/>
      <w:bookmarkEnd w:id="78"/>
      <w:bookmarkEnd w:id="79"/>
    </w:p>
    <w:p w:rsidR="00836CA0" w:rsidRPr="00A82ED2" w:rsidRDefault="00836CA0" w:rsidP="00A82ED2">
      <w:bookmarkStart w:id="83" w:name="_Toc196046504"/>
      <w:bookmarkStart w:id="84" w:name="_Toc163441390"/>
      <w:bookmarkEnd w:id="80"/>
      <w:bookmarkEnd w:id="81"/>
      <w:bookmarkEnd w:id="82"/>
      <w:r w:rsidRPr="00A82ED2">
        <w:t xml:space="preserve">The current submission contains data to provide justification for the current indications for cetuximab as </w:t>
      </w:r>
      <w:r w:rsidR="00B95D37">
        <w:t>first</w:t>
      </w:r>
      <w:r w:rsidRPr="00A82ED2">
        <w:t xml:space="preserve"> line therapy for </w:t>
      </w:r>
      <w:proofErr w:type="spellStart"/>
      <w:r w:rsidRPr="00A82ED2">
        <w:t>mCRC</w:t>
      </w:r>
      <w:proofErr w:type="spellEnd"/>
      <w:r w:rsidRPr="00A82ED2">
        <w:t xml:space="preserve"> </w:t>
      </w:r>
      <w:r w:rsidRPr="00A82ED2">
        <w:rPr>
          <w:i/>
        </w:rPr>
        <w:t>“in combination with irinotecan-based chemotherapy or continuous infusional 5-fluorouracil/</w:t>
      </w:r>
      <w:proofErr w:type="spellStart"/>
      <w:r w:rsidRPr="00A82ED2">
        <w:rPr>
          <w:i/>
        </w:rPr>
        <w:t>folinic</w:t>
      </w:r>
      <w:proofErr w:type="spellEnd"/>
      <w:r w:rsidRPr="00A82ED2">
        <w:rPr>
          <w:i/>
        </w:rPr>
        <w:t xml:space="preserve"> acid plus </w:t>
      </w:r>
      <w:proofErr w:type="spellStart"/>
      <w:r w:rsidRPr="00A82ED2">
        <w:rPr>
          <w:i/>
        </w:rPr>
        <w:t>oxaliplatin</w:t>
      </w:r>
      <w:proofErr w:type="spellEnd"/>
      <w:r w:rsidRPr="00A82ED2">
        <w:rPr>
          <w:i/>
        </w:rPr>
        <w:t>.”</w:t>
      </w:r>
    </w:p>
    <w:p w:rsidR="00836CA0" w:rsidRPr="00A82ED2" w:rsidRDefault="00D54846" w:rsidP="00A82ED2">
      <w:r>
        <w:t>The previous</w:t>
      </w:r>
      <w:r w:rsidR="00836CA0" w:rsidRPr="00A82ED2">
        <w:t xml:space="preserve"> rather broad indications for cetuximab in </w:t>
      </w:r>
      <w:r w:rsidR="00B95D37">
        <w:t>first</w:t>
      </w:r>
      <w:r w:rsidR="00836CA0" w:rsidRPr="00A82ED2">
        <w:t xml:space="preserve"> line therapy for </w:t>
      </w:r>
      <w:proofErr w:type="spellStart"/>
      <w:r w:rsidR="00836CA0" w:rsidRPr="00A82ED2">
        <w:t>mCRC</w:t>
      </w:r>
      <w:proofErr w:type="spellEnd"/>
      <w:r w:rsidR="00836CA0" w:rsidRPr="00A82ED2">
        <w:t xml:space="preserve"> “in combination with che</w:t>
      </w:r>
      <w:r>
        <w:t>motherapy” have been restricted by SRN in September last year</w:t>
      </w:r>
      <w:r w:rsidR="00836CA0" w:rsidRPr="00A82ED2">
        <w:t xml:space="preserve"> by specifying the exact regime of chemotherapy to be used.</w:t>
      </w:r>
    </w:p>
    <w:p w:rsidR="00836CA0" w:rsidRPr="00A82ED2" w:rsidRDefault="00836CA0" w:rsidP="00A82ED2">
      <w:r w:rsidRPr="00A82ED2">
        <w:t xml:space="preserve">The subsequent review of the data for </w:t>
      </w:r>
      <w:proofErr w:type="spellStart"/>
      <w:r w:rsidRPr="00A82ED2">
        <w:t>mCRC</w:t>
      </w:r>
      <w:proofErr w:type="spellEnd"/>
      <w:r w:rsidRPr="00A82ED2">
        <w:t xml:space="preserve"> indication generated by Merck </w:t>
      </w:r>
      <w:proofErr w:type="spellStart"/>
      <w:r w:rsidRPr="00A82ED2">
        <w:t>Serono</w:t>
      </w:r>
      <w:proofErr w:type="spellEnd"/>
      <w:r w:rsidRPr="00A82ED2">
        <w:t xml:space="preserve"> and by the independent investigators has provided t</w:t>
      </w:r>
      <w:r w:rsidR="00D54846">
        <w:t>he evidence of lack of efficacy</w:t>
      </w:r>
      <w:r w:rsidRPr="00A82ED2">
        <w:t xml:space="preserve"> when </w:t>
      </w:r>
      <w:r w:rsidRPr="00A82ED2">
        <w:lastRenderedPageBreak/>
        <w:t>cetuximab is used in combination with chemotherapy regimens other than FOLFOX4 and irinotecan.</w:t>
      </w:r>
    </w:p>
    <w:p w:rsidR="00836CA0" w:rsidRPr="00A82ED2" w:rsidRDefault="00836CA0" w:rsidP="00A82ED2">
      <w:r w:rsidRPr="00A82ED2">
        <w:t xml:space="preserve">The current evaluation report is based on the review of </w:t>
      </w:r>
      <w:r w:rsidR="001B0FD6">
        <w:t xml:space="preserve">a </w:t>
      </w:r>
      <w:r w:rsidRPr="00A82ED2">
        <w:t xml:space="preserve">significant amount of data that </w:t>
      </w:r>
      <w:r w:rsidR="001B0FD6">
        <w:t xml:space="preserve">the </w:t>
      </w:r>
      <w:r w:rsidRPr="00A82ED2">
        <w:t xml:space="preserve">sponsor submitted, including the update reports to 2 pivotal studies for the </w:t>
      </w:r>
      <w:r w:rsidR="00B95D37">
        <w:t>first</w:t>
      </w:r>
      <w:r w:rsidRPr="00A82ED2">
        <w:t xml:space="preserve"> line </w:t>
      </w:r>
      <w:proofErr w:type="spellStart"/>
      <w:r w:rsidRPr="00A82ED2">
        <w:t>mCRC</w:t>
      </w:r>
      <w:proofErr w:type="spellEnd"/>
      <w:r w:rsidRPr="00A82ED2">
        <w:t xml:space="preserve"> indication that were previously evaluated by the TGA; the Phase III CRYSTAL and the Phase II OPUS studies.</w:t>
      </w:r>
    </w:p>
    <w:p w:rsidR="00836CA0" w:rsidRPr="00A82ED2" w:rsidRDefault="00836CA0" w:rsidP="00A82ED2">
      <w:r w:rsidRPr="00A82ED2">
        <w:t>Submitted data from the 2 investigator-sponsored studies that led to the review of the benefit/risk of combination therapy in patients with K-RAS wild type tumours, the COIN and NORDIC VII trials were also reviewed, as w</w:t>
      </w:r>
      <w:r w:rsidR="00D54846">
        <w:t>ere</w:t>
      </w:r>
      <w:r w:rsidRPr="00A82ED2">
        <w:t xml:space="preserve"> </w:t>
      </w:r>
      <w:r w:rsidR="004A2C56">
        <w:t xml:space="preserve">a </w:t>
      </w:r>
      <w:r w:rsidRPr="00A82ED2">
        <w:t>large number of published papers.</w:t>
      </w:r>
    </w:p>
    <w:p w:rsidR="00836CA0" w:rsidRPr="00A82ED2" w:rsidRDefault="00836CA0" w:rsidP="00A82ED2">
      <w:r w:rsidRPr="00A82ED2">
        <w:t>The evaluator co</w:t>
      </w:r>
      <w:r w:rsidR="001B0FD6">
        <w:t>ncluded that the submitted data</w:t>
      </w:r>
      <w:r w:rsidRPr="00A82ED2">
        <w:t xml:space="preserve"> and overal</w:t>
      </w:r>
      <w:r w:rsidR="001B0FD6">
        <w:t>l information available to date</w:t>
      </w:r>
      <w:r w:rsidRPr="00A82ED2">
        <w:t xml:space="preserve"> supports </w:t>
      </w:r>
      <w:r w:rsidR="001B0FD6">
        <w:t xml:space="preserve">the use of </w:t>
      </w:r>
      <w:r w:rsidRPr="00A82ED2">
        <w:t xml:space="preserve">cetuximab in combination with irinotecan-based chemotherapy in </w:t>
      </w:r>
      <w:r w:rsidR="00B95D37">
        <w:t>first</w:t>
      </w:r>
      <w:r w:rsidRPr="00A82ED2">
        <w:t xml:space="preserve"> line indication for </w:t>
      </w:r>
      <w:proofErr w:type="spellStart"/>
      <w:r w:rsidRPr="00A82ED2">
        <w:t>mCRC</w:t>
      </w:r>
      <w:proofErr w:type="spellEnd"/>
      <w:r w:rsidRPr="00A82ED2">
        <w:t xml:space="preserve"> but does no</w:t>
      </w:r>
      <w:r w:rsidR="00FB579A">
        <w:t xml:space="preserve">t support the combination with </w:t>
      </w:r>
      <w:r w:rsidRPr="00A82ED2">
        <w:t xml:space="preserve">continuous </w:t>
      </w:r>
      <w:proofErr w:type="spellStart"/>
      <w:r w:rsidRPr="00A82ED2">
        <w:t>in</w:t>
      </w:r>
      <w:r w:rsidR="00FB579A">
        <w:t>fusional</w:t>
      </w:r>
      <w:proofErr w:type="spellEnd"/>
      <w:r w:rsidR="00FB579A">
        <w:t xml:space="preserve"> 5-FU/FA + </w:t>
      </w:r>
      <w:proofErr w:type="spellStart"/>
      <w:r w:rsidR="00FB579A">
        <w:t>oxaliplatin</w:t>
      </w:r>
      <w:proofErr w:type="spellEnd"/>
      <w:r w:rsidR="00FB579A">
        <w:t>.</w:t>
      </w:r>
    </w:p>
    <w:p w:rsidR="00836CA0" w:rsidRPr="00A82ED2" w:rsidRDefault="00836CA0" w:rsidP="00A82ED2">
      <w:r w:rsidRPr="00A82ED2">
        <w:t xml:space="preserve">The other significant change to the PI includes addition of statements on paediatric population, based on submitted company-sponsored Phase I, PK </w:t>
      </w:r>
      <w:r w:rsidR="00B120F5">
        <w:t>S</w:t>
      </w:r>
      <w:r w:rsidRPr="00A82ED2">
        <w:t>tudy CA225085 of cetuximab in combination with irinotecan in paediatric population with solid tumours; this does not represent any controversial issue.</w:t>
      </w:r>
    </w:p>
    <w:p w:rsidR="00836CA0" w:rsidRPr="00836CA0" w:rsidRDefault="00836CA0" w:rsidP="00836CA0">
      <w:pPr>
        <w:pStyle w:val="Heading4"/>
      </w:pPr>
      <w:bookmarkStart w:id="85" w:name="_Toc364942841"/>
      <w:r w:rsidRPr="00836CA0">
        <w:t>Recommendation regarding authorisation</w:t>
      </w:r>
      <w:bookmarkEnd w:id="85"/>
    </w:p>
    <w:p w:rsidR="00836CA0" w:rsidRPr="00836CA0" w:rsidRDefault="00836CA0" w:rsidP="00836CA0">
      <w:r w:rsidRPr="00836CA0">
        <w:t xml:space="preserve">The major part of this submission by Merck </w:t>
      </w:r>
      <w:proofErr w:type="spellStart"/>
      <w:r w:rsidRPr="00836CA0">
        <w:t>Serono</w:t>
      </w:r>
      <w:proofErr w:type="spellEnd"/>
      <w:r w:rsidRPr="00836CA0">
        <w:t xml:space="preserve"> Australia Pty Ltd relates to the approval of indications for cetuximab in combination with irinotecan- and oxaliplatin-based chemotherapy in </w:t>
      </w:r>
      <w:r w:rsidR="00B95D37">
        <w:t>first</w:t>
      </w:r>
      <w:r w:rsidRPr="00836CA0">
        <w:t xml:space="preserve"> line therapy for </w:t>
      </w:r>
      <w:proofErr w:type="spellStart"/>
      <w:r w:rsidRPr="00836CA0">
        <w:t>mCRC</w:t>
      </w:r>
      <w:proofErr w:type="spellEnd"/>
      <w:r w:rsidRPr="00836CA0">
        <w:t>.</w:t>
      </w:r>
    </w:p>
    <w:p w:rsidR="00836CA0" w:rsidRPr="00836CA0" w:rsidRDefault="00836CA0" w:rsidP="00836CA0">
      <w:r w:rsidRPr="00836CA0">
        <w:t xml:space="preserve">Based on the available information and considering the targeted indications of cetuximab as part of combination palliative chemotherapy in life-threatening disease, the evaluator supports cetuximab in combination with irinotecan-based chemotherapy in </w:t>
      </w:r>
      <w:r w:rsidR="00B95D37">
        <w:t>first</w:t>
      </w:r>
      <w:r w:rsidRPr="00836CA0">
        <w:t xml:space="preserve"> line indication for </w:t>
      </w:r>
      <w:proofErr w:type="spellStart"/>
      <w:r w:rsidRPr="00836CA0">
        <w:t>mCRC</w:t>
      </w:r>
      <w:proofErr w:type="spellEnd"/>
      <w:r w:rsidRPr="00836CA0">
        <w:t>.</w:t>
      </w:r>
    </w:p>
    <w:p w:rsidR="00836CA0" w:rsidRPr="00836CA0" w:rsidRDefault="00836CA0" w:rsidP="00836CA0">
      <w:r w:rsidRPr="00836CA0">
        <w:t>The combination of cetuximab with continuous infusional 5-FU/FA + oxaliplatin is not supported in this setting.</w:t>
      </w:r>
    </w:p>
    <w:p w:rsidR="00836CA0" w:rsidRPr="00836CA0" w:rsidRDefault="00836CA0" w:rsidP="00836CA0">
      <w:r w:rsidRPr="00836CA0">
        <w:t xml:space="preserve">The remaining proposed updates to the PI of Erbitux are </w:t>
      </w:r>
      <w:r w:rsidR="00350E98">
        <w:t>supported</w:t>
      </w:r>
      <w:r w:rsidRPr="00836CA0">
        <w:t>; conditional upon the sponsor addressing the recommendations relating to the changes to the PI.</w:t>
      </w:r>
      <w:r w:rsidR="001B0FD6">
        <w:rPr>
          <w:rStyle w:val="FootnoteReference"/>
        </w:rPr>
        <w:footnoteReference w:id="8"/>
      </w:r>
    </w:p>
    <w:p w:rsidR="008E7846" w:rsidRPr="00E41208" w:rsidRDefault="008E7846" w:rsidP="008E7846">
      <w:pPr>
        <w:pStyle w:val="Heading2"/>
      </w:pPr>
      <w:bookmarkStart w:id="86" w:name="_Toc247691524"/>
      <w:bookmarkStart w:id="87" w:name="_Toc314842508"/>
      <w:bookmarkStart w:id="88" w:name="_Toc368388465"/>
      <w:r w:rsidRPr="00E41208">
        <w:t xml:space="preserve">V. Pharmacovigilance </w:t>
      </w:r>
      <w:r>
        <w:t>f</w:t>
      </w:r>
      <w:r w:rsidRPr="00E41208">
        <w:t>indings</w:t>
      </w:r>
      <w:bookmarkEnd w:id="86"/>
      <w:bookmarkEnd w:id="87"/>
      <w:bookmarkEnd w:id="88"/>
    </w:p>
    <w:p w:rsidR="008E7846" w:rsidRDefault="00386150" w:rsidP="008E7846">
      <w:pPr>
        <w:pStyle w:val="Heading3"/>
        <w:rPr>
          <w:lang w:eastAsia="en-AU"/>
        </w:rPr>
      </w:pPr>
      <w:bookmarkStart w:id="89" w:name="_Toc247691526"/>
      <w:bookmarkStart w:id="90" w:name="_Toc314842509"/>
      <w:bookmarkStart w:id="91" w:name="_Toc368388466"/>
      <w:r>
        <w:rPr>
          <w:lang w:eastAsia="en-AU"/>
        </w:rPr>
        <w:t>Risk m</w:t>
      </w:r>
      <w:r w:rsidR="008E7846">
        <w:rPr>
          <w:lang w:eastAsia="en-AU"/>
        </w:rPr>
        <w:t xml:space="preserve">anagement </w:t>
      </w:r>
      <w:r>
        <w:rPr>
          <w:lang w:eastAsia="en-AU"/>
        </w:rPr>
        <w:t>p</w:t>
      </w:r>
      <w:r w:rsidR="008E7846">
        <w:rPr>
          <w:lang w:eastAsia="en-AU"/>
        </w:rPr>
        <w:t>lan</w:t>
      </w:r>
      <w:bookmarkEnd w:id="89"/>
      <w:bookmarkEnd w:id="90"/>
      <w:bookmarkEnd w:id="91"/>
    </w:p>
    <w:p w:rsidR="00D9565F" w:rsidRDefault="00D9565F" w:rsidP="00D9565F">
      <w:r>
        <w:t>T</w:t>
      </w:r>
      <w:r w:rsidRPr="00D9565F">
        <w:t>he Risk Management Plan (RMP) included in this application, version 14.1 dated 2 March</w:t>
      </w:r>
      <w:r>
        <w:t xml:space="preserve"> </w:t>
      </w:r>
      <w:r w:rsidRPr="00D9565F">
        <w:t xml:space="preserve">2011, </w:t>
      </w:r>
      <w:r>
        <w:t xml:space="preserve">was </w:t>
      </w:r>
      <w:r w:rsidRPr="00D9565F">
        <w:t xml:space="preserve">previously evaluated by the TGA </w:t>
      </w:r>
      <w:r>
        <w:t>for an application that was subsequently withdrawn by the sponsor. At the time, t</w:t>
      </w:r>
      <w:r w:rsidRPr="00D9565F">
        <w:t xml:space="preserve">he </w:t>
      </w:r>
      <w:r>
        <w:t xml:space="preserve">TGA’s </w:t>
      </w:r>
      <w:r w:rsidRPr="00D9565F">
        <w:t xml:space="preserve">Office of Product Review </w:t>
      </w:r>
      <w:r>
        <w:t xml:space="preserve">(OPR) </w:t>
      </w:r>
      <w:r w:rsidRPr="00D9565F">
        <w:t>deemed the RMP acceptable, subject to some assurances</w:t>
      </w:r>
      <w:r>
        <w:t xml:space="preserve"> </w:t>
      </w:r>
      <w:r w:rsidRPr="00D9565F">
        <w:t>from the company</w:t>
      </w:r>
      <w:r w:rsidR="001C5FF9">
        <w:t xml:space="preserve"> which were later provided.</w:t>
      </w:r>
    </w:p>
    <w:p w:rsidR="004A2C56" w:rsidRDefault="00D9565F" w:rsidP="00957BA6">
      <w:r>
        <w:t xml:space="preserve">For the current application, TGA requested the sponsor provide any available updates to RMP </w:t>
      </w:r>
      <w:r w:rsidRPr="00D9565F">
        <w:t>version 14.1 dated 2 March 2011</w:t>
      </w:r>
      <w:r>
        <w:t xml:space="preserve">. Updated </w:t>
      </w:r>
      <w:r w:rsidR="004A2C56">
        <w:t xml:space="preserve">RMP </w:t>
      </w:r>
      <w:r>
        <w:t>was subsequently provided</w:t>
      </w:r>
      <w:r w:rsidR="00957BA6">
        <w:t xml:space="preserve"> and reviewed by the </w:t>
      </w:r>
      <w:r>
        <w:t>OPR</w:t>
      </w:r>
      <w:r w:rsidRPr="00D9565F">
        <w:t>.</w:t>
      </w:r>
    </w:p>
    <w:p w:rsidR="008E7846" w:rsidRDefault="008E7846" w:rsidP="008E7846">
      <w:pPr>
        <w:pStyle w:val="Heading4"/>
        <w:rPr>
          <w:lang w:eastAsia="en-AU"/>
        </w:rPr>
      </w:pPr>
      <w:bookmarkStart w:id="92" w:name="_Toc247691527"/>
      <w:r>
        <w:rPr>
          <w:lang w:eastAsia="en-AU"/>
        </w:rPr>
        <w:lastRenderedPageBreak/>
        <w:t xml:space="preserve">Summary of </w:t>
      </w:r>
      <w:r w:rsidR="003A7F6C">
        <w:rPr>
          <w:lang w:eastAsia="en-AU"/>
        </w:rPr>
        <w:t>r</w:t>
      </w:r>
      <w:r>
        <w:rPr>
          <w:lang w:eastAsia="en-AU"/>
        </w:rPr>
        <w:t>ecommendations</w:t>
      </w:r>
    </w:p>
    <w:p w:rsidR="00404DC6" w:rsidRDefault="00957BA6" w:rsidP="00404DC6">
      <w:bookmarkStart w:id="93" w:name="_Toc314842510"/>
      <w:r>
        <w:t>There were no outstanding concerns regarding the RMP.</w:t>
      </w:r>
    </w:p>
    <w:p w:rsidR="00404DC6" w:rsidRDefault="00404DC6" w:rsidP="00404DC6">
      <w:r>
        <w:t>The OPR provided comments and recommended revisions to the PI; details of these are beyond the scope of the AusPAR.</w:t>
      </w:r>
    </w:p>
    <w:p w:rsidR="008E7846" w:rsidRPr="00792A32" w:rsidRDefault="008E7846" w:rsidP="001C5FF9">
      <w:pPr>
        <w:pStyle w:val="Heading2"/>
      </w:pPr>
      <w:bookmarkStart w:id="94" w:name="_Toc36838846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3"/>
      <w:bookmarkEnd w:id="92"/>
      <w:bookmarkEnd w:id="93"/>
      <w:bookmarkEnd w:id="94"/>
    </w:p>
    <w:p w:rsidR="008E7846" w:rsidRDefault="008E7846" w:rsidP="008E7846">
      <w:bookmarkStart w:id="95" w:name="_Toc247691528"/>
      <w:r>
        <w:t xml:space="preserve">The submission was summarised in the following </w:t>
      </w:r>
      <w:r w:rsidRPr="00EF5C48">
        <w:t xml:space="preserve">Delegate’s </w:t>
      </w:r>
      <w:r>
        <w:t>overview</w:t>
      </w:r>
      <w:r w:rsidRPr="00EF5C48">
        <w:t xml:space="preserve"> and recommendation</w:t>
      </w:r>
      <w:r>
        <w:t>s:</w:t>
      </w:r>
    </w:p>
    <w:p w:rsidR="00E07252" w:rsidRPr="00F819C6" w:rsidRDefault="00E07252" w:rsidP="00F819C6">
      <w:r w:rsidRPr="00F819C6">
        <w:t xml:space="preserve">Cetuximab is a monoclonal antibody against </w:t>
      </w:r>
      <w:r w:rsidR="00A82ED2" w:rsidRPr="00F819C6">
        <w:t>EGFR</w:t>
      </w:r>
      <w:r w:rsidR="00BB1825" w:rsidRPr="00F819C6">
        <w:t xml:space="preserve"> which </w:t>
      </w:r>
      <w:r w:rsidRPr="00F819C6">
        <w:t>is over-</w:t>
      </w:r>
      <w:r w:rsidR="00F819C6">
        <w:t>expressed in many human cancers</w:t>
      </w:r>
      <w:r w:rsidR="00A82ED2" w:rsidRPr="00F819C6">
        <w:t xml:space="preserve"> including colorectal cancers. </w:t>
      </w:r>
      <w:r w:rsidRPr="00F819C6">
        <w:t xml:space="preserve">Cetuximab has indications in </w:t>
      </w:r>
      <w:proofErr w:type="spellStart"/>
      <w:r w:rsidRPr="00F819C6">
        <w:t>mCRC</w:t>
      </w:r>
      <w:proofErr w:type="spellEnd"/>
      <w:r w:rsidRPr="00F819C6">
        <w:t xml:space="preserve"> and head and neck cancer.</w:t>
      </w:r>
    </w:p>
    <w:p w:rsidR="00E07252" w:rsidRPr="00F819C6" w:rsidRDefault="00CE4CA2" w:rsidP="00F819C6">
      <w:r>
        <w:t xml:space="preserve">In this application, the </w:t>
      </w:r>
      <w:r w:rsidR="00E07252" w:rsidRPr="00F819C6">
        <w:t xml:space="preserve">sponsor aims to justify a narrowing of the </w:t>
      </w:r>
      <w:proofErr w:type="spellStart"/>
      <w:r w:rsidR="00E07252" w:rsidRPr="00F819C6">
        <w:t>mCRC</w:t>
      </w:r>
      <w:proofErr w:type="spellEnd"/>
      <w:r w:rsidR="00E07252" w:rsidRPr="00F819C6">
        <w:t xml:space="preserve"> indication that </w:t>
      </w:r>
      <w:r w:rsidR="00A82ED2" w:rsidRPr="00F819C6">
        <w:t>was impl</w:t>
      </w:r>
      <w:r w:rsidR="006C4B8D" w:rsidRPr="00F819C6">
        <w:t xml:space="preserve">emented </w:t>
      </w:r>
      <w:r w:rsidR="00A82ED2" w:rsidRPr="00F819C6">
        <w:t xml:space="preserve">via a SRN </w:t>
      </w:r>
      <w:r w:rsidR="00E07252" w:rsidRPr="00F819C6">
        <w:t>in 2011. The clinical evaluator argues that the indic</w:t>
      </w:r>
      <w:r w:rsidR="00A82ED2" w:rsidRPr="00F819C6">
        <w:t xml:space="preserve">ation was not narrowed enough. </w:t>
      </w:r>
      <w:r w:rsidR="00E07252" w:rsidRPr="00F819C6">
        <w:t>The concern is that there are insufficient data supporting efficacy in first-line treatment of</w:t>
      </w:r>
      <w:r w:rsidR="00A82ED2" w:rsidRPr="00F819C6">
        <w:t xml:space="preserve"> </w:t>
      </w:r>
      <w:proofErr w:type="spellStart"/>
      <w:r w:rsidR="00A82ED2" w:rsidRPr="00F819C6">
        <w:t>mCRC</w:t>
      </w:r>
      <w:proofErr w:type="spellEnd"/>
      <w:r w:rsidR="00A82ED2" w:rsidRPr="00F819C6">
        <w:t xml:space="preserve"> with FOLFOX + cetuximab. </w:t>
      </w:r>
      <w:r w:rsidR="00E07252" w:rsidRPr="00F819C6">
        <w:t>This overview focuses on that topic.</w:t>
      </w:r>
    </w:p>
    <w:p w:rsidR="00E07252" w:rsidRPr="001C5FF9" w:rsidRDefault="00E07252" w:rsidP="001C5FF9">
      <w:pPr>
        <w:rPr>
          <w:b/>
          <w:i/>
        </w:rPr>
      </w:pPr>
      <w:r w:rsidRPr="001C5FF9">
        <w:rPr>
          <w:b/>
          <w:i/>
        </w:rPr>
        <w:t>Regulatory history</w:t>
      </w:r>
    </w:p>
    <w:p w:rsidR="00E07252" w:rsidRPr="006C4B8D" w:rsidRDefault="00E07252" w:rsidP="006C4B8D">
      <w:r w:rsidRPr="006C4B8D">
        <w:t xml:space="preserve">An indication in </w:t>
      </w:r>
      <w:proofErr w:type="spellStart"/>
      <w:r w:rsidRPr="006C4B8D">
        <w:t>mCRC</w:t>
      </w:r>
      <w:proofErr w:type="spellEnd"/>
      <w:r w:rsidRPr="006C4B8D">
        <w:t xml:space="preserve"> was initially approved in 2005, changed in 2010 and changed again </w:t>
      </w:r>
      <w:r w:rsidR="00637047">
        <w:t xml:space="preserve">(via a SRN) in </w:t>
      </w:r>
      <w:r w:rsidRPr="006C4B8D">
        <w:t>2011</w:t>
      </w:r>
      <w:r w:rsidR="00637047">
        <w:t>.</w:t>
      </w:r>
      <w:r w:rsidR="006C4B8D">
        <w:t xml:space="preserve"> </w:t>
      </w:r>
      <w:r w:rsidRPr="006C4B8D">
        <w:t>The current application aims to provide data in support of the 2011 change.</w:t>
      </w:r>
    </w:p>
    <w:p w:rsidR="00E07252" w:rsidRPr="006C4B8D" w:rsidRDefault="00E07252" w:rsidP="006C4B8D">
      <w:r w:rsidRPr="006C4B8D">
        <w:t xml:space="preserve">The 2005 initial registration approved the following second-line </w:t>
      </w:r>
      <w:proofErr w:type="spellStart"/>
      <w:r w:rsidRPr="006C4B8D">
        <w:t>mCRC</w:t>
      </w:r>
      <w:proofErr w:type="spellEnd"/>
      <w:r w:rsidRPr="006C4B8D">
        <w:t xml:space="preserve"> indication:</w:t>
      </w:r>
      <w:r w:rsidR="006C4B8D">
        <w:t xml:space="preserve"> </w:t>
      </w:r>
      <w:r w:rsidRPr="006C4B8D">
        <w:rPr>
          <w:i/>
        </w:rPr>
        <w:t>For the treatment of patients with metastatic colorectal cancer that has been demonstrated to be epidermal growth factor receptor (EGFR) positive and whose disease has progressed or is refractory to irinotecan based therapy. Cetuximab can be used at doses recommended either in combination with irinotecan or as a single agent.</w:t>
      </w:r>
    </w:p>
    <w:p w:rsidR="006C4B8D" w:rsidRDefault="00E07252" w:rsidP="00E07252">
      <w:r w:rsidRPr="006C4B8D">
        <w:t xml:space="preserve">In 2008 it was shown that </w:t>
      </w:r>
      <w:proofErr w:type="spellStart"/>
      <w:r w:rsidRPr="006C4B8D">
        <w:t>panitumumab</w:t>
      </w:r>
      <w:proofErr w:type="spellEnd"/>
      <w:r w:rsidRPr="006C4B8D">
        <w:t xml:space="preserve"> (another m</w:t>
      </w:r>
      <w:r w:rsidR="006C4B8D">
        <w:t xml:space="preserve">onoclonal antibody </w:t>
      </w:r>
      <w:r w:rsidRPr="006C4B8D">
        <w:t>targeting EGFR) added to</w:t>
      </w:r>
      <w:r w:rsidRPr="00E07252">
        <w:t xml:space="preserve"> FOLFOX4 had no beneficial impact on PFS in </w:t>
      </w:r>
      <w:proofErr w:type="spellStart"/>
      <w:r w:rsidRPr="00E07252">
        <w:t>mCRC</w:t>
      </w:r>
      <w:proofErr w:type="spellEnd"/>
      <w:r w:rsidRPr="00E07252">
        <w:t xml:space="preserve"> patients with K-RAS mutation</w:t>
      </w:r>
      <w:r w:rsidR="00A82ED2">
        <w:t>s (</w:t>
      </w:r>
      <w:r w:rsidR="00637047">
        <w:t xml:space="preserve">see for example, </w:t>
      </w:r>
      <w:r w:rsidR="00A82ED2">
        <w:t xml:space="preserve">Amado </w:t>
      </w:r>
      <w:r w:rsidR="00A82ED2" w:rsidRPr="00637047">
        <w:rPr>
          <w:i/>
        </w:rPr>
        <w:t>et al</w:t>
      </w:r>
      <w:r w:rsidR="00637047">
        <w:t>.</w:t>
      </w:r>
      <w:r w:rsidR="00A82ED2">
        <w:t xml:space="preserve"> 2008</w:t>
      </w:r>
      <w:r w:rsidR="00637047">
        <w:rPr>
          <w:rStyle w:val="FootnoteReference"/>
        </w:rPr>
        <w:footnoteReference w:id="9"/>
      </w:r>
      <w:r w:rsidR="00A82ED2">
        <w:t xml:space="preserve">). </w:t>
      </w:r>
      <w:r w:rsidRPr="00E07252">
        <w:t xml:space="preserve">This echoed earlier findings with cetuximab in the OPUS </w:t>
      </w:r>
      <w:r w:rsidR="006C4B8D">
        <w:t>S</w:t>
      </w:r>
      <w:r w:rsidRPr="00E07252">
        <w:t>tudy.</w:t>
      </w:r>
    </w:p>
    <w:p w:rsidR="00E07252" w:rsidRPr="006C4B8D" w:rsidRDefault="00E07252" w:rsidP="006C4B8D">
      <w:pPr>
        <w:spacing w:before="0" w:after="0" w:line="240" w:lineRule="auto"/>
        <w:rPr>
          <w:i/>
        </w:rPr>
      </w:pPr>
      <w:r w:rsidRPr="006C4B8D">
        <w:t xml:space="preserve">The </w:t>
      </w:r>
      <w:r w:rsidR="00A8661A">
        <w:t xml:space="preserve">application approved in </w:t>
      </w:r>
      <w:r w:rsidRPr="006C4B8D">
        <w:t>2010 adjusted the indicat</w:t>
      </w:r>
      <w:r w:rsidR="006C4B8D">
        <w:t>ion to account for inefficacy regarding</w:t>
      </w:r>
      <w:r w:rsidRPr="006C4B8D">
        <w:t xml:space="preserve"> K-RAS mutant tumours, but within the K-RAS wild-type subset broadening use to allow first-line treatment (in broad com</w:t>
      </w:r>
      <w:r w:rsidR="006C4B8D">
        <w:t xml:space="preserve">bination with ‘chemotherapy’). </w:t>
      </w:r>
      <w:r w:rsidRPr="006C4B8D">
        <w:t xml:space="preserve">Single agent use was shifted to </w:t>
      </w:r>
      <w:r w:rsidR="006C4B8D">
        <w:t xml:space="preserve">third </w:t>
      </w:r>
      <w:r w:rsidRPr="006C4B8D">
        <w:t>line:</w:t>
      </w:r>
      <w:r w:rsidR="006C4B8D">
        <w:t xml:space="preserve"> </w:t>
      </w:r>
      <w:r w:rsidRPr="006C4B8D">
        <w:rPr>
          <w:i/>
        </w:rPr>
        <w:t>Treatment of patients with epidermal growth factor receptor (EGFR)-expressing, K-RAS wild-type metastatic colorectal cancer</w:t>
      </w:r>
      <w:r w:rsidR="006A44D4">
        <w:rPr>
          <w:i/>
        </w:rPr>
        <w:t>:</w:t>
      </w:r>
      <w:r w:rsidRPr="006C4B8D">
        <w:rPr>
          <w:i/>
        </w:rPr>
        <w:t xml:space="preserve"> In combination with chemotherapy</w:t>
      </w:r>
      <w:r w:rsidR="006C4B8D">
        <w:rPr>
          <w:i/>
        </w:rPr>
        <w:t xml:space="preserve">; </w:t>
      </w:r>
      <w:proofErr w:type="gramStart"/>
      <w:r w:rsidRPr="006C4B8D">
        <w:rPr>
          <w:i/>
        </w:rPr>
        <w:t>As</w:t>
      </w:r>
      <w:proofErr w:type="gramEnd"/>
      <w:r w:rsidRPr="006C4B8D">
        <w:rPr>
          <w:i/>
        </w:rPr>
        <w:t xml:space="preserve"> a single agent in patients who have failed or are intolerant to oxaliplatin based therapy and irinotecan-based therapy.</w:t>
      </w:r>
    </w:p>
    <w:p w:rsidR="00E07252" w:rsidRPr="006C4B8D" w:rsidRDefault="00E07252" w:rsidP="006C4B8D">
      <w:r w:rsidRPr="006C4B8D">
        <w:t>The 2011 change in wording, to the current form, was via SRN</w:t>
      </w:r>
      <w:r w:rsidR="006C4B8D">
        <w:t xml:space="preserve">. </w:t>
      </w:r>
      <w:r w:rsidRPr="006C4B8D">
        <w:t>This wording specifies the chemotherapy that should accompany first-line cetuximab but maintains the broader second-line use:</w:t>
      </w:r>
    </w:p>
    <w:p w:rsidR="00E07252" w:rsidRPr="008B5D8A" w:rsidRDefault="00E07252" w:rsidP="008B5D8A">
      <w:pPr>
        <w:ind w:left="360"/>
        <w:rPr>
          <w:i/>
        </w:rPr>
      </w:pPr>
      <w:r w:rsidRPr="008B5D8A">
        <w:rPr>
          <w:i/>
        </w:rPr>
        <w:t>Erbitux is indicated for the treatment of patients with epidermal growth factor receptor (EGFR)-expressing, K-RAS wild-type metastatic colorectal cancer</w:t>
      </w:r>
    </w:p>
    <w:p w:rsidR="00E07252" w:rsidRPr="00DB18F9" w:rsidRDefault="00E07252" w:rsidP="008B5D8A">
      <w:pPr>
        <w:pStyle w:val="ListBullet"/>
        <w:ind w:left="720"/>
        <w:rPr>
          <w:i/>
        </w:rPr>
      </w:pPr>
      <w:r w:rsidRPr="00DB18F9">
        <w:rPr>
          <w:i/>
        </w:rPr>
        <w:t>In combination with irinotecan-based chemotherapy or continuous infusional 5- fluorouracil/folinic acid plus oxaliplatin (see CLINICAL TRIALS)</w:t>
      </w:r>
    </w:p>
    <w:p w:rsidR="00E07252" w:rsidRPr="00DB18F9" w:rsidRDefault="00E07252" w:rsidP="008B5D8A">
      <w:pPr>
        <w:pStyle w:val="ListBullet"/>
        <w:ind w:left="720"/>
        <w:rPr>
          <w:i/>
        </w:rPr>
      </w:pPr>
      <w:r w:rsidRPr="00DB18F9">
        <w:rPr>
          <w:i/>
        </w:rPr>
        <w:lastRenderedPageBreak/>
        <w:t>As a single agent in patients who have failed or are intolerant to oxaliplatin-based therapy and irinotecan-based therapy.</w:t>
      </w:r>
    </w:p>
    <w:p w:rsidR="00B50B64" w:rsidRDefault="005326A5" w:rsidP="005326A5">
      <w:r>
        <w:t>For the current application, t</w:t>
      </w:r>
      <w:r w:rsidRPr="005326A5">
        <w:t>he sponsor provided data to support the narrowing of first-line indication from combination with ‘chemotherapy’ to combination with specific chemotherapy regimens</w:t>
      </w:r>
      <w:r>
        <w:t xml:space="preserve"> as per the above indication</w:t>
      </w:r>
      <w:r w:rsidRPr="005326A5">
        <w:t>.</w:t>
      </w:r>
      <w:r>
        <w:t xml:space="preserve"> </w:t>
      </w:r>
    </w:p>
    <w:p w:rsidR="00E07252" w:rsidRPr="006C4B8D" w:rsidRDefault="005326A5" w:rsidP="005326A5">
      <w:pPr>
        <w:rPr>
          <w:b/>
        </w:rPr>
      </w:pPr>
      <w:r>
        <w:t xml:space="preserve">Following receipt of the clinical evaluation report, the sponsor </w:t>
      </w:r>
      <w:r w:rsidR="00D004C7">
        <w:t xml:space="preserve">proposed an amended indication as follows: </w:t>
      </w:r>
    </w:p>
    <w:p w:rsidR="00E07252" w:rsidRPr="00E21E29" w:rsidRDefault="00E07252" w:rsidP="00E21E29">
      <w:pPr>
        <w:ind w:left="360"/>
        <w:rPr>
          <w:i/>
        </w:rPr>
      </w:pPr>
      <w:r w:rsidRPr="00E21E29">
        <w:rPr>
          <w:i/>
        </w:rPr>
        <w:t>Erbitux is indicated for the treatment of patients with epidermal growth factor receptor (EGFR)-expressing, K-RAS wild-type metastatic colorectal cancer</w:t>
      </w:r>
    </w:p>
    <w:p w:rsidR="00E07252" w:rsidRPr="00E21E29" w:rsidRDefault="00E07252" w:rsidP="00E21E29">
      <w:pPr>
        <w:pStyle w:val="ListBullet"/>
        <w:ind w:left="720"/>
        <w:rPr>
          <w:i/>
        </w:rPr>
      </w:pPr>
      <w:r w:rsidRPr="00E21E29">
        <w:rPr>
          <w:i/>
        </w:rPr>
        <w:t>In combination with irinotecan-based chemotherapy</w:t>
      </w:r>
    </w:p>
    <w:p w:rsidR="00E07252" w:rsidRPr="00E21E29" w:rsidRDefault="00E07252" w:rsidP="00E21E29">
      <w:pPr>
        <w:pStyle w:val="ListBullet"/>
        <w:ind w:left="720"/>
        <w:rPr>
          <w:i/>
        </w:rPr>
      </w:pPr>
      <w:r w:rsidRPr="00E21E29">
        <w:rPr>
          <w:i/>
        </w:rPr>
        <w:t>In first-line in combination with FOLFOX</w:t>
      </w:r>
    </w:p>
    <w:p w:rsidR="001C5FF9" w:rsidRDefault="00E07252" w:rsidP="001C5FF9">
      <w:pPr>
        <w:pStyle w:val="ListBullet"/>
        <w:ind w:left="720"/>
        <w:rPr>
          <w:i/>
        </w:rPr>
      </w:pPr>
      <w:r w:rsidRPr="00E21E29">
        <w:rPr>
          <w:i/>
        </w:rPr>
        <w:t xml:space="preserve">As a single agent in patients who have failed or are intolerant to oxaliplatin-based therapy and </w:t>
      </w:r>
      <w:proofErr w:type="spellStart"/>
      <w:r w:rsidRPr="00E21E29">
        <w:rPr>
          <w:i/>
        </w:rPr>
        <w:t>irinotecan</w:t>
      </w:r>
      <w:proofErr w:type="spellEnd"/>
      <w:r w:rsidRPr="00E21E29">
        <w:rPr>
          <w:i/>
        </w:rPr>
        <w:t>-based therapy</w:t>
      </w:r>
    </w:p>
    <w:p w:rsidR="00E07252" w:rsidRPr="001C5FF9" w:rsidRDefault="00E07252" w:rsidP="001C5FF9">
      <w:pPr>
        <w:pStyle w:val="ListBullet"/>
        <w:ind w:left="720"/>
        <w:rPr>
          <w:i/>
        </w:rPr>
      </w:pPr>
      <w:r w:rsidRPr="001C5FF9">
        <w:rPr>
          <w:i/>
        </w:rPr>
        <w:t>(</w:t>
      </w:r>
      <w:proofErr w:type="gramStart"/>
      <w:r w:rsidRPr="001C5FF9">
        <w:rPr>
          <w:i/>
        </w:rPr>
        <w:t>see</w:t>
      </w:r>
      <w:proofErr w:type="gramEnd"/>
      <w:r w:rsidRPr="001C5FF9">
        <w:rPr>
          <w:i/>
        </w:rPr>
        <w:t xml:space="preserve"> CLINICAL TRIALS).</w:t>
      </w:r>
    </w:p>
    <w:p w:rsidR="00E07252" w:rsidRPr="00E07252" w:rsidRDefault="00E07252" w:rsidP="00E07252">
      <w:r w:rsidRPr="00E07252">
        <w:t xml:space="preserve">This </w:t>
      </w:r>
      <w:r w:rsidR="0097612F">
        <w:t>would align</w:t>
      </w:r>
      <w:r w:rsidRPr="00E07252">
        <w:t xml:space="preserve"> the Australian </w:t>
      </w:r>
      <w:r w:rsidR="0097612F">
        <w:t xml:space="preserve">indication almost completely with the </w:t>
      </w:r>
      <w:r w:rsidRPr="00E07252">
        <w:t xml:space="preserve">EU wording </w:t>
      </w:r>
      <w:r w:rsidR="005326A5" w:rsidRPr="00E07252">
        <w:t xml:space="preserve">(see </w:t>
      </w:r>
      <w:r w:rsidR="0097612F">
        <w:t xml:space="preserve">table </w:t>
      </w:r>
      <w:r w:rsidR="005326A5" w:rsidRPr="00E07252">
        <w:t>below)</w:t>
      </w:r>
      <w:r w:rsidRPr="00E07252">
        <w:t>.</w:t>
      </w:r>
    </w:p>
    <w:p w:rsidR="005326A5" w:rsidRPr="00E00A2A" w:rsidRDefault="00E07252" w:rsidP="005326A5">
      <w:r w:rsidRPr="00E07252">
        <w:t xml:space="preserve">The application also </w:t>
      </w:r>
      <w:r w:rsidR="005326A5">
        <w:t xml:space="preserve">proposed </w:t>
      </w:r>
      <w:r w:rsidRPr="00E07252">
        <w:t xml:space="preserve">to modify several </w:t>
      </w:r>
      <w:r w:rsidR="005326A5">
        <w:t xml:space="preserve">statements in the PI concerning </w:t>
      </w:r>
      <w:r w:rsidRPr="00E00A2A">
        <w:rPr>
          <w:i/>
        </w:rPr>
        <w:t>Precautions</w:t>
      </w:r>
      <w:r w:rsidRPr="00E07252">
        <w:t xml:space="preserve"> (interstitial lung disease; prevention of skin reactions; patients with K-RAS mutated tumours)</w:t>
      </w:r>
      <w:r w:rsidR="005326A5">
        <w:t xml:space="preserve"> and </w:t>
      </w:r>
      <w:r w:rsidRPr="00E07252">
        <w:t xml:space="preserve">PK in paediatric patients, and </w:t>
      </w:r>
      <w:r w:rsidR="005326A5">
        <w:t xml:space="preserve">to </w:t>
      </w:r>
      <w:r w:rsidRPr="00E07252">
        <w:t xml:space="preserve">re-organise parts of the </w:t>
      </w:r>
      <w:r w:rsidRPr="00E00A2A">
        <w:rPr>
          <w:i/>
        </w:rPr>
        <w:t>Adverse Effects</w:t>
      </w:r>
      <w:r w:rsidR="001C5FF9">
        <w:t xml:space="preserve"> section.</w:t>
      </w:r>
    </w:p>
    <w:p w:rsidR="00E07252" w:rsidRPr="001C5FF9" w:rsidRDefault="00E07252" w:rsidP="001C5FF9">
      <w:pPr>
        <w:rPr>
          <w:b/>
          <w:i/>
        </w:rPr>
      </w:pPr>
      <w:r w:rsidRPr="001C5FF9">
        <w:rPr>
          <w:b/>
          <w:i/>
        </w:rPr>
        <w:t>Overseas status</w:t>
      </w:r>
    </w:p>
    <w:p w:rsidR="00E07252" w:rsidRDefault="00F938E7" w:rsidP="00E07252">
      <w:r>
        <w:t>Overseas</w:t>
      </w:r>
      <w:r w:rsidR="00E07252" w:rsidRPr="00E07252">
        <w:t xml:space="preserve"> approaches diverge with regard to first-line therapy: the EMA has approved use in combination with irinotecan-based therapy or with FOLFOX (similar to the Swiss approach); but the FDA has approved first-line use in combination with FOLFIRI only.</w:t>
      </w:r>
    </w:p>
    <w:p w:rsidR="0097612F" w:rsidRPr="00E07252" w:rsidRDefault="0097612F" w:rsidP="001C5FF9">
      <w:pPr>
        <w:pStyle w:val="TableTitle"/>
      </w:pPr>
      <w:proofErr w:type="gramStart"/>
      <w:r>
        <w:t>Table</w:t>
      </w:r>
      <w:r w:rsidR="009F76C5">
        <w:t xml:space="preserve"> 4</w:t>
      </w:r>
      <w:r>
        <w:t>.</w:t>
      </w:r>
      <w:proofErr w:type="gramEnd"/>
      <w:r>
        <w:t xml:space="preserve"> Overseas status</w:t>
      </w:r>
      <w:r w:rsidR="00F938E7">
        <w:t xml:space="preserve"> of </w:t>
      </w:r>
      <w:proofErr w:type="spellStart"/>
      <w:r w:rsidR="00F938E7">
        <w:t>cetuximab</w:t>
      </w:r>
      <w:proofErr w:type="spellEnd"/>
      <w:r w:rsidR="00F938E7">
        <w:t xml:space="preserve"> in </w:t>
      </w:r>
      <w:proofErr w:type="spellStart"/>
      <w:r w:rsidR="00F938E7">
        <w:t>mCRC</w:t>
      </w:r>
      <w:proofErr w:type="spellEnd"/>
    </w:p>
    <w:tbl>
      <w:tblPr>
        <w:tblStyle w:val="TableTGAblue"/>
        <w:tblW w:w="0" w:type="auto"/>
        <w:tblInd w:w="108" w:type="dxa"/>
        <w:tblLook w:val="04A0"/>
      </w:tblPr>
      <w:tblGrid>
        <w:gridCol w:w="1477"/>
        <w:gridCol w:w="7135"/>
      </w:tblGrid>
      <w:tr w:rsidR="00E07252" w:rsidRPr="00D1652C" w:rsidTr="001C5FF9">
        <w:trPr>
          <w:cnfStyle w:val="100000000000"/>
          <w:tblHeader/>
        </w:trPr>
        <w:tc>
          <w:tcPr>
            <w:tcW w:w="1477" w:type="dxa"/>
          </w:tcPr>
          <w:p w:rsidR="00E07252" w:rsidRPr="00D1652C" w:rsidRDefault="00E07252" w:rsidP="00B50B64">
            <w:pPr>
              <w:keepNext/>
              <w:spacing w:before="60" w:after="60" w:line="240" w:lineRule="auto"/>
              <w:rPr>
                <w:sz w:val="18"/>
                <w:szCs w:val="18"/>
              </w:rPr>
            </w:pPr>
            <w:r w:rsidRPr="00D1652C">
              <w:rPr>
                <w:sz w:val="18"/>
                <w:szCs w:val="18"/>
              </w:rPr>
              <w:t>Country</w:t>
            </w:r>
          </w:p>
        </w:tc>
        <w:tc>
          <w:tcPr>
            <w:tcW w:w="7135" w:type="dxa"/>
          </w:tcPr>
          <w:p w:rsidR="00E07252" w:rsidRPr="00D1652C" w:rsidRDefault="00E07252" w:rsidP="00B50B64">
            <w:pPr>
              <w:keepNext/>
              <w:spacing w:before="60" w:after="60" w:line="240" w:lineRule="auto"/>
              <w:rPr>
                <w:sz w:val="18"/>
                <w:szCs w:val="18"/>
              </w:rPr>
            </w:pPr>
            <w:r w:rsidRPr="00D1652C">
              <w:rPr>
                <w:sz w:val="18"/>
                <w:szCs w:val="18"/>
              </w:rPr>
              <w:t xml:space="preserve">Current </w:t>
            </w:r>
            <w:proofErr w:type="spellStart"/>
            <w:r w:rsidRPr="00D1652C">
              <w:rPr>
                <w:sz w:val="18"/>
                <w:szCs w:val="18"/>
              </w:rPr>
              <w:t>mCRC</w:t>
            </w:r>
            <w:proofErr w:type="spellEnd"/>
            <w:r w:rsidRPr="00D1652C">
              <w:rPr>
                <w:sz w:val="18"/>
                <w:szCs w:val="18"/>
              </w:rPr>
              <w:t xml:space="preserve"> wording</w:t>
            </w:r>
          </w:p>
        </w:tc>
      </w:tr>
      <w:tr w:rsidR="00E07252" w:rsidRPr="00D1652C" w:rsidTr="00F938E7">
        <w:tc>
          <w:tcPr>
            <w:tcW w:w="1477" w:type="dxa"/>
          </w:tcPr>
          <w:p w:rsidR="00E07252" w:rsidRPr="00D1652C" w:rsidRDefault="00D004C7" w:rsidP="00E10DDB">
            <w:pPr>
              <w:keepNext/>
              <w:spacing w:before="0" w:after="0" w:line="240" w:lineRule="auto"/>
              <w:rPr>
                <w:sz w:val="18"/>
                <w:szCs w:val="18"/>
              </w:rPr>
            </w:pPr>
            <w:r>
              <w:rPr>
                <w:sz w:val="18"/>
                <w:szCs w:val="18"/>
              </w:rPr>
              <w:t>EU (</w:t>
            </w:r>
            <w:proofErr w:type="spellStart"/>
            <w:r>
              <w:rPr>
                <w:sz w:val="18"/>
                <w:szCs w:val="18"/>
              </w:rPr>
              <w:t>SmPC</w:t>
            </w:r>
            <w:proofErr w:type="spellEnd"/>
            <w:r>
              <w:rPr>
                <w:sz w:val="18"/>
                <w:szCs w:val="18"/>
              </w:rPr>
              <w:t>, last updated 23.</w:t>
            </w:r>
            <w:r w:rsidR="00E07252" w:rsidRPr="00D1652C">
              <w:rPr>
                <w:sz w:val="18"/>
                <w:szCs w:val="18"/>
              </w:rPr>
              <w:t>1.2013)</w:t>
            </w:r>
          </w:p>
        </w:tc>
        <w:tc>
          <w:tcPr>
            <w:tcW w:w="7135" w:type="dxa"/>
          </w:tcPr>
          <w:p w:rsidR="00E07252" w:rsidRPr="00D1652C" w:rsidRDefault="00E07252" w:rsidP="00E10DDB">
            <w:pPr>
              <w:keepNext/>
              <w:spacing w:before="0" w:after="0" w:line="240" w:lineRule="auto"/>
              <w:rPr>
                <w:sz w:val="18"/>
                <w:szCs w:val="18"/>
              </w:rPr>
            </w:pPr>
            <w:r w:rsidRPr="00D1652C">
              <w:rPr>
                <w:sz w:val="18"/>
                <w:szCs w:val="18"/>
              </w:rPr>
              <w:t xml:space="preserve">Erbitux is indicated for the treatment of patients with epidermal growth factor receptor (EGFR)-expressing, KRAS wild-type metastatic colorectal cancer </w:t>
            </w:r>
          </w:p>
          <w:p w:rsidR="00E07252" w:rsidRPr="00D1652C" w:rsidRDefault="00E07252" w:rsidP="007B7E55">
            <w:pPr>
              <w:keepNext/>
              <w:numPr>
                <w:ilvl w:val="0"/>
                <w:numId w:val="6"/>
              </w:numPr>
              <w:spacing w:before="0" w:after="0" w:line="240" w:lineRule="auto"/>
              <w:rPr>
                <w:sz w:val="18"/>
                <w:szCs w:val="18"/>
              </w:rPr>
            </w:pPr>
            <w:r w:rsidRPr="00D1652C">
              <w:rPr>
                <w:sz w:val="18"/>
                <w:szCs w:val="18"/>
              </w:rPr>
              <w:t>in combination with</w:t>
            </w:r>
            <w:r w:rsidR="001C5FF9">
              <w:rPr>
                <w:sz w:val="18"/>
                <w:szCs w:val="18"/>
              </w:rPr>
              <w:t xml:space="preserve"> </w:t>
            </w:r>
            <w:proofErr w:type="spellStart"/>
            <w:r w:rsidR="001C5FF9">
              <w:rPr>
                <w:sz w:val="18"/>
                <w:szCs w:val="18"/>
              </w:rPr>
              <w:t>irinotecan</w:t>
            </w:r>
            <w:proofErr w:type="spellEnd"/>
            <w:r w:rsidR="001C5FF9">
              <w:rPr>
                <w:sz w:val="18"/>
                <w:szCs w:val="18"/>
              </w:rPr>
              <w:t>-based chemotherapy,</w:t>
            </w:r>
          </w:p>
          <w:p w:rsidR="00E07252" w:rsidRPr="00D1652C" w:rsidRDefault="00E07252" w:rsidP="007B7E55">
            <w:pPr>
              <w:keepNext/>
              <w:numPr>
                <w:ilvl w:val="0"/>
                <w:numId w:val="6"/>
              </w:numPr>
              <w:spacing w:before="0" w:after="0" w:line="240" w:lineRule="auto"/>
              <w:rPr>
                <w:sz w:val="18"/>
                <w:szCs w:val="18"/>
              </w:rPr>
            </w:pPr>
            <w:r w:rsidRPr="00D1652C">
              <w:rPr>
                <w:sz w:val="18"/>
                <w:szCs w:val="18"/>
              </w:rPr>
              <w:t>in first-l</w:t>
            </w:r>
            <w:r w:rsidR="001C5FF9">
              <w:rPr>
                <w:sz w:val="18"/>
                <w:szCs w:val="18"/>
              </w:rPr>
              <w:t>ine in combination with FOLFOX,</w:t>
            </w:r>
          </w:p>
          <w:p w:rsidR="00E07252" w:rsidRPr="00D1652C" w:rsidRDefault="00E07252" w:rsidP="007B7E55">
            <w:pPr>
              <w:keepNext/>
              <w:numPr>
                <w:ilvl w:val="0"/>
                <w:numId w:val="6"/>
              </w:numPr>
              <w:spacing w:before="0" w:after="0" w:line="240" w:lineRule="auto"/>
              <w:rPr>
                <w:sz w:val="18"/>
                <w:szCs w:val="18"/>
              </w:rPr>
            </w:pPr>
            <w:proofErr w:type="gramStart"/>
            <w:r w:rsidRPr="00D1652C">
              <w:rPr>
                <w:sz w:val="18"/>
                <w:szCs w:val="18"/>
              </w:rPr>
              <w:t>as</w:t>
            </w:r>
            <w:proofErr w:type="gramEnd"/>
            <w:r w:rsidRPr="00D1652C">
              <w:rPr>
                <w:sz w:val="18"/>
                <w:szCs w:val="18"/>
              </w:rPr>
              <w:t xml:space="preserve"> a single agent in patients who have failed oxaliplatin- and irinotecan-based therapy and who are intolerant to irinotecan.</w:t>
            </w:r>
          </w:p>
        </w:tc>
      </w:tr>
      <w:tr w:rsidR="00E07252" w:rsidRPr="00D1652C" w:rsidTr="00F938E7">
        <w:tc>
          <w:tcPr>
            <w:tcW w:w="1477" w:type="dxa"/>
          </w:tcPr>
          <w:p w:rsidR="00E07252" w:rsidRPr="00D1652C" w:rsidRDefault="00E07252" w:rsidP="00D1652C">
            <w:pPr>
              <w:spacing w:before="0" w:after="0" w:line="240" w:lineRule="auto"/>
              <w:rPr>
                <w:sz w:val="18"/>
                <w:szCs w:val="18"/>
              </w:rPr>
            </w:pPr>
            <w:r w:rsidRPr="00D1652C">
              <w:rPr>
                <w:sz w:val="18"/>
                <w:szCs w:val="18"/>
              </w:rPr>
              <w:t>USA (PI, 6.7.2012)</w:t>
            </w:r>
          </w:p>
        </w:tc>
        <w:tc>
          <w:tcPr>
            <w:tcW w:w="7135" w:type="dxa"/>
          </w:tcPr>
          <w:p w:rsidR="00E07252" w:rsidRPr="00D1652C" w:rsidRDefault="00E07252" w:rsidP="00D1652C">
            <w:pPr>
              <w:spacing w:before="0" w:after="0" w:line="240" w:lineRule="auto"/>
              <w:rPr>
                <w:sz w:val="18"/>
                <w:szCs w:val="18"/>
              </w:rPr>
            </w:pPr>
            <w:r w:rsidRPr="00D1652C">
              <w:rPr>
                <w:i/>
                <w:iCs/>
                <w:sz w:val="18"/>
                <w:szCs w:val="18"/>
              </w:rPr>
              <w:t>K-</w:t>
            </w:r>
            <w:proofErr w:type="spellStart"/>
            <w:r w:rsidRPr="00D1652C">
              <w:rPr>
                <w:i/>
                <w:iCs/>
                <w:sz w:val="18"/>
                <w:szCs w:val="18"/>
              </w:rPr>
              <w:t>Ras</w:t>
            </w:r>
            <w:proofErr w:type="spellEnd"/>
            <w:r w:rsidRPr="00D1652C">
              <w:rPr>
                <w:i/>
                <w:iCs/>
                <w:sz w:val="18"/>
                <w:szCs w:val="18"/>
              </w:rPr>
              <w:t xml:space="preserve"> </w:t>
            </w:r>
            <w:r w:rsidRPr="00D1652C">
              <w:rPr>
                <w:sz w:val="18"/>
                <w:szCs w:val="18"/>
              </w:rPr>
              <w:t>mutation-negative (wild-type), EGFR-expressing, metastatic colorectal cancer as determined by FDA-approved tests</w:t>
            </w:r>
          </w:p>
          <w:p w:rsidR="00E07252" w:rsidRPr="00D1652C" w:rsidRDefault="00E07252" w:rsidP="007B7E55">
            <w:pPr>
              <w:numPr>
                <w:ilvl w:val="0"/>
                <w:numId w:val="5"/>
              </w:numPr>
              <w:spacing w:before="0" w:after="0" w:line="240" w:lineRule="auto"/>
              <w:rPr>
                <w:sz w:val="18"/>
                <w:szCs w:val="18"/>
              </w:rPr>
            </w:pPr>
            <w:r w:rsidRPr="00D1652C">
              <w:rPr>
                <w:sz w:val="18"/>
                <w:szCs w:val="18"/>
              </w:rPr>
              <w:t>in combination with FOLFIRI for first-line treatment</w:t>
            </w:r>
          </w:p>
          <w:p w:rsidR="00E07252" w:rsidRPr="00D1652C" w:rsidRDefault="00E07252" w:rsidP="007B7E55">
            <w:pPr>
              <w:numPr>
                <w:ilvl w:val="0"/>
                <w:numId w:val="5"/>
              </w:numPr>
              <w:spacing w:before="0" w:after="0" w:line="240" w:lineRule="auto"/>
              <w:rPr>
                <w:sz w:val="18"/>
                <w:szCs w:val="18"/>
              </w:rPr>
            </w:pPr>
            <w:r w:rsidRPr="00D1652C">
              <w:rPr>
                <w:sz w:val="18"/>
                <w:szCs w:val="18"/>
              </w:rPr>
              <w:t>in combination with irinotecan in patients who are refractory to</w:t>
            </w:r>
            <w:r w:rsidR="001C5FF9">
              <w:rPr>
                <w:sz w:val="18"/>
                <w:szCs w:val="18"/>
              </w:rPr>
              <w:t xml:space="preserve"> </w:t>
            </w:r>
            <w:proofErr w:type="spellStart"/>
            <w:r w:rsidR="001C5FF9">
              <w:rPr>
                <w:sz w:val="18"/>
                <w:szCs w:val="18"/>
              </w:rPr>
              <w:t>irinotecan</w:t>
            </w:r>
            <w:proofErr w:type="spellEnd"/>
            <w:r w:rsidR="001C5FF9">
              <w:rPr>
                <w:sz w:val="18"/>
                <w:szCs w:val="18"/>
              </w:rPr>
              <w:t>-based chemotherapy,</w:t>
            </w:r>
          </w:p>
          <w:p w:rsidR="00E07252" w:rsidRPr="00D1652C" w:rsidRDefault="00E07252" w:rsidP="007B7E55">
            <w:pPr>
              <w:numPr>
                <w:ilvl w:val="0"/>
                <w:numId w:val="5"/>
              </w:numPr>
              <w:spacing w:before="0" w:after="0" w:line="240" w:lineRule="auto"/>
              <w:rPr>
                <w:sz w:val="18"/>
                <w:szCs w:val="18"/>
              </w:rPr>
            </w:pPr>
            <w:proofErr w:type="gramStart"/>
            <w:r w:rsidRPr="00D1652C">
              <w:rPr>
                <w:sz w:val="18"/>
                <w:szCs w:val="18"/>
              </w:rPr>
              <w:t>as</w:t>
            </w:r>
            <w:proofErr w:type="gramEnd"/>
            <w:r w:rsidRPr="00D1652C">
              <w:rPr>
                <w:sz w:val="18"/>
                <w:szCs w:val="18"/>
              </w:rPr>
              <w:t xml:space="preserve"> a single agent in patients who have failed oxaliplatin- and irinotecan-based chemotherapy or who are intolerant to </w:t>
            </w:r>
            <w:proofErr w:type="spellStart"/>
            <w:r w:rsidRPr="00D1652C">
              <w:rPr>
                <w:sz w:val="18"/>
                <w:szCs w:val="18"/>
              </w:rPr>
              <w:t>irinotecan</w:t>
            </w:r>
            <w:proofErr w:type="spellEnd"/>
            <w:r w:rsidRPr="00D1652C">
              <w:rPr>
                <w:sz w:val="18"/>
                <w:szCs w:val="18"/>
              </w:rPr>
              <w:t>.</w:t>
            </w:r>
          </w:p>
        </w:tc>
      </w:tr>
      <w:tr w:rsidR="00E07252" w:rsidRPr="00D1652C" w:rsidTr="00F938E7">
        <w:tc>
          <w:tcPr>
            <w:tcW w:w="1477" w:type="dxa"/>
          </w:tcPr>
          <w:p w:rsidR="00E07252" w:rsidRPr="00D1652C" w:rsidRDefault="00E07252" w:rsidP="00D1652C">
            <w:pPr>
              <w:spacing w:before="0" w:after="0" w:line="240" w:lineRule="auto"/>
              <w:rPr>
                <w:sz w:val="18"/>
                <w:szCs w:val="18"/>
              </w:rPr>
            </w:pPr>
            <w:r w:rsidRPr="00D1652C">
              <w:rPr>
                <w:sz w:val="18"/>
                <w:szCs w:val="18"/>
              </w:rPr>
              <w:t>Switzerland</w:t>
            </w:r>
          </w:p>
        </w:tc>
        <w:tc>
          <w:tcPr>
            <w:tcW w:w="7135" w:type="dxa"/>
          </w:tcPr>
          <w:p w:rsidR="00E07252" w:rsidRPr="00D1652C" w:rsidRDefault="00E07252" w:rsidP="00D1652C">
            <w:pPr>
              <w:spacing w:before="0" w:after="0" w:line="240" w:lineRule="auto"/>
              <w:rPr>
                <w:sz w:val="18"/>
                <w:szCs w:val="18"/>
              </w:rPr>
            </w:pPr>
            <w:r w:rsidRPr="00D1652C">
              <w:rPr>
                <w:sz w:val="18"/>
                <w:szCs w:val="18"/>
              </w:rPr>
              <w:t>For the treatment of patients with EGFR (epidermal growth factor receptor) expressing KRAS wild-type metastatic colorectal cancer:</w:t>
            </w:r>
          </w:p>
          <w:p w:rsidR="00E07252" w:rsidRPr="00D1652C" w:rsidRDefault="00E07252" w:rsidP="007B7E55">
            <w:pPr>
              <w:numPr>
                <w:ilvl w:val="0"/>
                <w:numId w:val="5"/>
              </w:numPr>
              <w:spacing w:before="0" w:after="0" w:line="240" w:lineRule="auto"/>
              <w:rPr>
                <w:sz w:val="18"/>
                <w:szCs w:val="18"/>
              </w:rPr>
            </w:pPr>
            <w:r w:rsidRPr="00D1652C">
              <w:rPr>
                <w:sz w:val="18"/>
                <w:szCs w:val="18"/>
              </w:rPr>
              <w:t>in combination with FOLFIRI or FOLFOX</w:t>
            </w:r>
          </w:p>
          <w:p w:rsidR="00E07252" w:rsidRPr="00D1652C" w:rsidRDefault="00E07252" w:rsidP="007B7E55">
            <w:pPr>
              <w:numPr>
                <w:ilvl w:val="0"/>
                <w:numId w:val="5"/>
              </w:numPr>
              <w:spacing w:before="0" w:after="0" w:line="240" w:lineRule="auto"/>
              <w:rPr>
                <w:sz w:val="18"/>
                <w:szCs w:val="18"/>
              </w:rPr>
            </w:pPr>
            <w:r w:rsidRPr="00D1652C">
              <w:rPr>
                <w:sz w:val="18"/>
                <w:szCs w:val="18"/>
              </w:rPr>
              <w:t>as a single agent in patients who have failed oxaliplatin- and irinotecan-based therapy or who are intolerant to irinotecan</w:t>
            </w:r>
          </w:p>
        </w:tc>
      </w:tr>
    </w:tbl>
    <w:p w:rsidR="00E07252" w:rsidRPr="001C5FF9" w:rsidRDefault="00E07252" w:rsidP="001C5FF9">
      <w:pPr>
        <w:rPr>
          <w:b/>
          <w:i/>
        </w:rPr>
      </w:pPr>
      <w:r w:rsidRPr="001C5FF9">
        <w:rPr>
          <w:b/>
          <w:i/>
        </w:rPr>
        <w:t>Clinical guidelines</w:t>
      </w:r>
    </w:p>
    <w:p w:rsidR="00E07252" w:rsidRPr="00E07252" w:rsidRDefault="00E07252" w:rsidP="00E07252">
      <w:r w:rsidRPr="00E07252">
        <w:t xml:space="preserve">With regard to first-line therapy in metastatic </w:t>
      </w:r>
      <w:r w:rsidRPr="00E00A2A">
        <w:t xml:space="preserve">disease, </w:t>
      </w:r>
      <w:r w:rsidR="00E00A2A">
        <w:t xml:space="preserve">the </w:t>
      </w:r>
      <w:r w:rsidR="00E00A2A" w:rsidRPr="00E00A2A">
        <w:t xml:space="preserve">National Comprehensive Cancer Network </w:t>
      </w:r>
      <w:r w:rsidR="00E00A2A">
        <w:t>(</w:t>
      </w:r>
      <w:r w:rsidRPr="00E00A2A">
        <w:t>NCCN</w:t>
      </w:r>
      <w:r w:rsidR="00E00A2A">
        <w:t>)</w:t>
      </w:r>
      <w:r w:rsidRPr="00E00A2A">
        <w:t xml:space="preserve"> p</w:t>
      </w:r>
      <w:r w:rsidR="00E00A2A" w:rsidRPr="00E00A2A">
        <w:t xml:space="preserve">rovides a treatment algorithm. </w:t>
      </w:r>
      <w:r w:rsidRPr="00E00A2A">
        <w:t>For</w:t>
      </w:r>
      <w:r w:rsidRPr="00E07252">
        <w:t xml:space="preserve"> initial intensive therapy, the only option containing cetuximab is: FOLFIRI </w:t>
      </w:r>
      <w:r w:rsidR="00E00A2A">
        <w:sym w:font="Symbol" w:char="F0B1"/>
      </w:r>
      <w:r w:rsidR="00F938E7">
        <w:t xml:space="preserve"> </w:t>
      </w:r>
      <w:proofErr w:type="spellStart"/>
      <w:r w:rsidRPr="00E07252">
        <w:t>c</w:t>
      </w:r>
      <w:r w:rsidR="00B50B64">
        <w:t>etuximab</w:t>
      </w:r>
      <w:proofErr w:type="spellEnd"/>
      <w:r w:rsidR="00B50B64">
        <w:t xml:space="preserve"> or </w:t>
      </w:r>
      <w:proofErr w:type="spellStart"/>
      <w:r w:rsidR="00B50B64">
        <w:t>panitumumab</w:t>
      </w:r>
      <w:proofErr w:type="spellEnd"/>
      <w:r w:rsidR="00B50B64">
        <w:t xml:space="preserve"> (for K</w:t>
      </w:r>
      <w:r w:rsidR="00CA0972">
        <w:t>-</w:t>
      </w:r>
      <w:r w:rsidRPr="00E07252">
        <w:t xml:space="preserve">RAS </w:t>
      </w:r>
      <w:r w:rsidR="00E00A2A">
        <w:t xml:space="preserve">wild type </w:t>
      </w:r>
      <w:r w:rsidRPr="00E07252">
        <w:t>tumours only).</w:t>
      </w:r>
    </w:p>
    <w:p w:rsidR="00E07252" w:rsidRPr="00E07252" w:rsidRDefault="00E07252" w:rsidP="00E07252">
      <w:r w:rsidRPr="00E07252">
        <w:lastRenderedPageBreak/>
        <w:t>Consistent with the US indication, cetuximab is not recommended in the NCCN guidance in the first-line setting with anything other than FOLFIRI (except in the case of patients who are not suitable for intensive therapy, where cetuximab monotherapy is an option).</w:t>
      </w:r>
    </w:p>
    <w:p w:rsidR="00E07252" w:rsidRPr="00E07252" w:rsidRDefault="0097612F" w:rsidP="00E07252">
      <w:r>
        <w:t xml:space="preserve">The </w:t>
      </w:r>
      <w:r w:rsidR="00E07252" w:rsidRPr="00E07252">
        <w:t xml:space="preserve">NSW Cancer Institute’s </w:t>
      </w:r>
      <w:proofErr w:type="spellStart"/>
      <w:r w:rsidR="00E07252" w:rsidRPr="00E07252">
        <w:t>EviQ</w:t>
      </w:r>
      <w:proofErr w:type="spellEnd"/>
      <w:r w:rsidR="00E07252" w:rsidRPr="00E07252">
        <w:t xml:space="preserve"> guidelines for </w:t>
      </w:r>
      <w:proofErr w:type="spellStart"/>
      <w:r w:rsidR="00E07252" w:rsidRPr="00E07252">
        <w:t>mCRC</w:t>
      </w:r>
      <w:proofErr w:type="spellEnd"/>
      <w:r w:rsidR="00E07252" w:rsidRPr="00E07252">
        <w:t xml:space="preserve"> refer to use of FOLFIRI with cetuximab, but do not refer to use of FOLFOX with cetux</w:t>
      </w:r>
      <w:r w:rsidR="00E00A2A">
        <w:t xml:space="preserve">imab. </w:t>
      </w:r>
      <w:r w:rsidR="00E07252" w:rsidRPr="00E07252">
        <w:t>There is also reference to cetuximab and irinotecan, not necessarily in first-line use.</w:t>
      </w:r>
    </w:p>
    <w:p w:rsidR="008E7846" w:rsidRDefault="008E7846" w:rsidP="008E7846">
      <w:pPr>
        <w:pStyle w:val="Heading3"/>
      </w:pPr>
      <w:bookmarkStart w:id="96" w:name="_Toc314842511"/>
      <w:bookmarkStart w:id="97" w:name="_Toc368388468"/>
      <w:r>
        <w:t>Quality</w:t>
      </w:r>
      <w:bookmarkEnd w:id="95"/>
      <w:bookmarkEnd w:id="96"/>
      <w:bookmarkEnd w:id="97"/>
    </w:p>
    <w:p w:rsidR="00E45619" w:rsidRDefault="008E7846" w:rsidP="003A7F6C">
      <w:r>
        <w:t>There was no requirement for a quality evaluation in a submission of this type.</w:t>
      </w:r>
    </w:p>
    <w:p w:rsidR="008E7846" w:rsidRDefault="008E7846" w:rsidP="008E7846">
      <w:pPr>
        <w:pStyle w:val="Heading3"/>
      </w:pPr>
      <w:bookmarkStart w:id="98" w:name="_Toc314842512"/>
      <w:bookmarkStart w:id="99" w:name="_Toc368388469"/>
      <w:r>
        <w:t>Nonclinical</w:t>
      </w:r>
      <w:bookmarkEnd w:id="98"/>
      <w:bookmarkEnd w:id="99"/>
    </w:p>
    <w:p w:rsidR="008E7846" w:rsidRDefault="008E7846" w:rsidP="008E7846">
      <w:r>
        <w:t>There was no requirement for a nonclinical evaluation in a submission of this type.</w:t>
      </w:r>
    </w:p>
    <w:p w:rsidR="008E7846" w:rsidRDefault="008E7846" w:rsidP="008E7846">
      <w:pPr>
        <w:pStyle w:val="Heading3"/>
      </w:pPr>
      <w:bookmarkStart w:id="100" w:name="_Toc247691530"/>
      <w:bookmarkStart w:id="101" w:name="_Toc314842513"/>
      <w:bookmarkStart w:id="102" w:name="_Toc368388470"/>
      <w:r>
        <w:t>Clinical</w:t>
      </w:r>
      <w:bookmarkEnd w:id="100"/>
      <w:bookmarkEnd w:id="101"/>
      <w:bookmarkEnd w:id="102"/>
    </w:p>
    <w:p w:rsidR="007E4DB8" w:rsidRPr="003554D8" w:rsidRDefault="003554D8" w:rsidP="003554D8">
      <w:r>
        <w:t>An o</w:t>
      </w:r>
      <w:r w:rsidR="007E4DB8" w:rsidRPr="003554D8">
        <w:t xml:space="preserve">verview of key studies </w:t>
      </w:r>
      <w:r>
        <w:t xml:space="preserve">is provided in Table </w:t>
      </w:r>
      <w:r w:rsidR="009F76C5">
        <w:t>5</w:t>
      </w:r>
      <w:r>
        <w:t xml:space="preserve">. </w:t>
      </w:r>
    </w:p>
    <w:p w:rsidR="00E00A2A" w:rsidRPr="003554D8" w:rsidRDefault="009F76C5" w:rsidP="001C5FF9">
      <w:pPr>
        <w:pStyle w:val="TableTitle"/>
      </w:pPr>
      <w:proofErr w:type="gramStart"/>
      <w:r>
        <w:t>Table 5</w:t>
      </w:r>
      <w:r w:rsidR="003554D8" w:rsidRPr="003554D8">
        <w:t>.</w:t>
      </w:r>
      <w:proofErr w:type="gramEnd"/>
      <w:r w:rsidR="003554D8" w:rsidRPr="003554D8">
        <w:t xml:space="preserve"> </w:t>
      </w:r>
      <w:r w:rsidR="003554D8">
        <w:t>O</w:t>
      </w:r>
      <w:r w:rsidR="007E4DB8" w:rsidRPr="003554D8">
        <w:t>verview of key studies</w:t>
      </w:r>
    </w:p>
    <w:tbl>
      <w:tblPr>
        <w:tblStyle w:val="TableTGAblue"/>
        <w:tblW w:w="0" w:type="auto"/>
        <w:tblInd w:w="108" w:type="dxa"/>
        <w:tblLook w:val="04A0"/>
      </w:tblPr>
      <w:tblGrid>
        <w:gridCol w:w="1910"/>
        <w:gridCol w:w="2113"/>
        <w:gridCol w:w="88"/>
        <w:gridCol w:w="4111"/>
      </w:tblGrid>
      <w:tr w:rsidR="00E00A2A" w:rsidRPr="00E00A2A" w:rsidTr="00F938E7">
        <w:trPr>
          <w:cnfStyle w:val="100000000000"/>
          <w:cantSplit/>
          <w:tblHeader/>
        </w:trPr>
        <w:tc>
          <w:tcPr>
            <w:tcW w:w="1910" w:type="dxa"/>
            <w:hideMark/>
          </w:tcPr>
          <w:p w:rsidR="00E00A2A" w:rsidRPr="0097612F" w:rsidRDefault="00E00A2A" w:rsidP="00D004C7">
            <w:pPr>
              <w:keepNext/>
              <w:spacing w:line="240" w:lineRule="auto"/>
              <w:ind w:left="0" w:right="0"/>
              <w:rPr>
                <w:bCs/>
                <w:sz w:val="18"/>
                <w:szCs w:val="18"/>
              </w:rPr>
            </w:pPr>
            <w:r w:rsidRPr="0097612F">
              <w:rPr>
                <w:bCs/>
                <w:sz w:val="18"/>
                <w:szCs w:val="18"/>
              </w:rPr>
              <w:t>Study</w:t>
            </w:r>
          </w:p>
        </w:tc>
        <w:tc>
          <w:tcPr>
            <w:tcW w:w="2113" w:type="dxa"/>
            <w:hideMark/>
          </w:tcPr>
          <w:p w:rsidR="00E00A2A" w:rsidRPr="0097612F" w:rsidRDefault="00E00A2A" w:rsidP="00D004C7">
            <w:pPr>
              <w:keepNext/>
              <w:spacing w:line="240" w:lineRule="auto"/>
              <w:ind w:left="0" w:right="0"/>
              <w:rPr>
                <w:bCs/>
                <w:sz w:val="18"/>
                <w:szCs w:val="18"/>
              </w:rPr>
            </w:pPr>
            <w:r w:rsidRPr="0097612F">
              <w:rPr>
                <w:bCs/>
                <w:sz w:val="18"/>
                <w:szCs w:val="18"/>
              </w:rPr>
              <w:t>Design</w:t>
            </w:r>
          </w:p>
        </w:tc>
        <w:tc>
          <w:tcPr>
            <w:tcW w:w="4199" w:type="dxa"/>
            <w:gridSpan w:val="2"/>
            <w:hideMark/>
          </w:tcPr>
          <w:p w:rsidR="00E00A2A" w:rsidRPr="0097612F" w:rsidRDefault="00E00A2A" w:rsidP="00D004C7">
            <w:pPr>
              <w:keepNext/>
              <w:spacing w:line="240" w:lineRule="auto"/>
              <w:ind w:left="0" w:right="0"/>
              <w:rPr>
                <w:bCs/>
                <w:sz w:val="18"/>
                <w:szCs w:val="18"/>
              </w:rPr>
            </w:pPr>
            <w:r w:rsidRPr="0097612F">
              <w:rPr>
                <w:bCs/>
                <w:sz w:val="18"/>
                <w:szCs w:val="18"/>
              </w:rPr>
              <w:t>Comments</w:t>
            </w:r>
          </w:p>
        </w:tc>
      </w:tr>
      <w:tr w:rsidR="00E00A2A" w:rsidRPr="00E00A2A" w:rsidTr="00F938E7">
        <w:tc>
          <w:tcPr>
            <w:tcW w:w="8222" w:type="dxa"/>
            <w:gridSpan w:val="4"/>
            <w:hideMark/>
          </w:tcPr>
          <w:p w:rsidR="00E00A2A" w:rsidRPr="0097612F" w:rsidRDefault="0097612F" w:rsidP="00D004C7">
            <w:pPr>
              <w:keepNext/>
              <w:spacing w:before="0" w:after="0" w:line="240" w:lineRule="auto"/>
              <w:ind w:left="0" w:right="0"/>
              <w:jc w:val="center"/>
              <w:rPr>
                <w:b/>
                <w:bCs/>
                <w:sz w:val="18"/>
                <w:szCs w:val="18"/>
              </w:rPr>
            </w:pPr>
            <w:r w:rsidRPr="0097612F">
              <w:rPr>
                <w:b/>
                <w:bCs/>
                <w:sz w:val="18"/>
                <w:szCs w:val="18"/>
              </w:rPr>
              <w:t>MERCK-SERONO</w:t>
            </w:r>
            <w:r w:rsidR="00E00A2A" w:rsidRPr="0097612F">
              <w:rPr>
                <w:b/>
                <w:bCs/>
                <w:sz w:val="18"/>
                <w:szCs w:val="18"/>
              </w:rPr>
              <w:t>–SPONSORED (all previously evaluated by the TGA)</w:t>
            </w:r>
          </w:p>
        </w:tc>
      </w:tr>
      <w:tr w:rsidR="00E00A2A" w:rsidRPr="00E00A2A" w:rsidTr="00F938E7">
        <w:tc>
          <w:tcPr>
            <w:tcW w:w="1910" w:type="dxa"/>
            <w:hideMark/>
          </w:tcPr>
          <w:p w:rsidR="00E00A2A" w:rsidRPr="00F819C6" w:rsidRDefault="00E00A2A" w:rsidP="00D004C7">
            <w:pPr>
              <w:keepNext/>
              <w:spacing w:before="0" w:after="0" w:line="240" w:lineRule="auto"/>
              <w:ind w:left="0" w:right="0"/>
              <w:rPr>
                <w:bCs/>
                <w:sz w:val="18"/>
                <w:szCs w:val="18"/>
              </w:rPr>
            </w:pPr>
            <w:r w:rsidRPr="00F819C6">
              <w:rPr>
                <w:bCs/>
                <w:sz w:val="18"/>
                <w:szCs w:val="18"/>
              </w:rPr>
              <w:t xml:space="preserve">NCIC </w:t>
            </w:r>
            <w:r w:rsidR="00B120F5">
              <w:rPr>
                <w:bCs/>
                <w:sz w:val="18"/>
                <w:szCs w:val="18"/>
              </w:rPr>
              <w:t>S</w:t>
            </w:r>
            <w:r w:rsidRPr="00F819C6">
              <w:rPr>
                <w:bCs/>
                <w:sz w:val="18"/>
                <w:szCs w:val="18"/>
              </w:rPr>
              <w:t>tudy</w:t>
            </w:r>
          </w:p>
          <w:p w:rsidR="00E00A2A" w:rsidRPr="00F819C6" w:rsidRDefault="00E00A2A" w:rsidP="00D004C7">
            <w:pPr>
              <w:keepNext/>
              <w:spacing w:before="0" w:after="0" w:line="240" w:lineRule="auto"/>
              <w:ind w:left="0" w:right="0"/>
              <w:rPr>
                <w:bCs/>
                <w:sz w:val="18"/>
                <w:szCs w:val="18"/>
              </w:rPr>
            </w:pPr>
            <w:r w:rsidRPr="00F819C6">
              <w:rPr>
                <w:bCs/>
                <w:sz w:val="18"/>
                <w:szCs w:val="18"/>
              </w:rPr>
              <w:t>(CA225025)</w:t>
            </w:r>
          </w:p>
        </w:tc>
        <w:tc>
          <w:tcPr>
            <w:tcW w:w="2201" w:type="dxa"/>
            <w:gridSpan w:val="2"/>
            <w:hideMark/>
          </w:tcPr>
          <w:p w:rsidR="00E00A2A" w:rsidRPr="00F819C6" w:rsidRDefault="00E00A2A" w:rsidP="00D004C7">
            <w:pPr>
              <w:keepNext/>
              <w:spacing w:before="0" w:after="0" w:line="240" w:lineRule="auto"/>
              <w:ind w:left="0" w:right="0"/>
              <w:rPr>
                <w:sz w:val="18"/>
                <w:szCs w:val="18"/>
              </w:rPr>
            </w:pPr>
            <w:r w:rsidRPr="00F819C6">
              <w:rPr>
                <w:sz w:val="18"/>
                <w:szCs w:val="18"/>
              </w:rPr>
              <w:t>Add-on to best supportive care</w:t>
            </w:r>
          </w:p>
          <w:p w:rsidR="00E00A2A" w:rsidRPr="00F819C6" w:rsidRDefault="00E00A2A" w:rsidP="00D004C7">
            <w:pPr>
              <w:keepNext/>
              <w:spacing w:before="0" w:after="0" w:line="240" w:lineRule="auto"/>
              <w:ind w:left="0" w:right="0"/>
              <w:rPr>
                <w:sz w:val="18"/>
                <w:szCs w:val="18"/>
              </w:rPr>
            </w:pPr>
            <w:r w:rsidRPr="00F819C6">
              <w:rPr>
                <w:sz w:val="18"/>
                <w:szCs w:val="18"/>
              </w:rPr>
              <w:t>(3</w:t>
            </w:r>
            <w:r w:rsidRPr="00F819C6">
              <w:rPr>
                <w:sz w:val="18"/>
                <w:szCs w:val="18"/>
                <w:vertAlign w:val="superscript"/>
              </w:rPr>
              <w:t>rd</w:t>
            </w:r>
            <w:r w:rsidRPr="00F819C6">
              <w:rPr>
                <w:sz w:val="18"/>
                <w:szCs w:val="18"/>
              </w:rPr>
              <w:t xml:space="preserve"> line)</w:t>
            </w:r>
          </w:p>
        </w:tc>
        <w:tc>
          <w:tcPr>
            <w:tcW w:w="4111" w:type="dxa"/>
            <w:hideMark/>
          </w:tcPr>
          <w:p w:rsidR="00E00A2A" w:rsidRPr="00F819C6" w:rsidRDefault="00E00A2A" w:rsidP="00D004C7">
            <w:pPr>
              <w:keepNext/>
              <w:spacing w:before="0" w:after="0" w:line="240" w:lineRule="auto"/>
              <w:ind w:left="0" w:right="0"/>
              <w:rPr>
                <w:sz w:val="18"/>
                <w:szCs w:val="18"/>
              </w:rPr>
            </w:pPr>
            <w:r w:rsidRPr="00F819C6">
              <w:rPr>
                <w:sz w:val="18"/>
                <w:szCs w:val="18"/>
              </w:rPr>
              <w:t>[A]</w:t>
            </w:r>
          </w:p>
          <w:p w:rsidR="00E00A2A" w:rsidRPr="00F819C6" w:rsidRDefault="00E00A2A" w:rsidP="00D004C7">
            <w:pPr>
              <w:keepNext/>
              <w:spacing w:before="0" w:after="0" w:line="240" w:lineRule="auto"/>
              <w:ind w:left="0" w:right="0"/>
              <w:rPr>
                <w:sz w:val="18"/>
                <w:szCs w:val="18"/>
              </w:rPr>
            </w:pPr>
            <w:r w:rsidRPr="00F819C6">
              <w:rPr>
                <w:sz w:val="18"/>
                <w:szCs w:val="18"/>
              </w:rPr>
              <w:t>[B] Retrospective K-RAS status analysis in 69%</w:t>
            </w:r>
          </w:p>
        </w:tc>
      </w:tr>
      <w:tr w:rsidR="00E00A2A" w:rsidRPr="00E00A2A" w:rsidTr="00F938E7">
        <w:tc>
          <w:tcPr>
            <w:tcW w:w="1910" w:type="dxa"/>
            <w:hideMark/>
          </w:tcPr>
          <w:p w:rsidR="00E00A2A" w:rsidRPr="00F819C6" w:rsidRDefault="00E00A2A" w:rsidP="00D004C7">
            <w:pPr>
              <w:spacing w:before="0" w:after="0" w:line="240" w:lineRule="auto"/>
              <w:ind w:left="0" w:right="0"/>
              <w:rPr>
                <w:bCs/>
                <w:sz w:val="18"/>
                <w:szCs w:val="18"/>
              </w:rPr>
            </w:pPr>
            <w:r w:rsidRPr="00F819C6">
              <w:rPr>
                <w:bCs/>
                <w:sz w:val="18"/>
                <w:szCs w:val="18"/>
              </w:rPr>
              <w:t>EPIC</w:t>
            </w:r>
          </w:p>
          <w:p w:rsidR="00E00A2A" w:rsidRPr="00F819C6" w:rsidRDefault="00E00A2A" w:rsidP="00D004C7">
            <w:pPr>
              <w:spacing w:before="0" w:after="0" w:line="240" w:lineRule="auto"/>
              <w:ind w:left="0" w:right="0"/>
              <w:rPr>
                <w:bCs/>
                <w:sz w:val="18"/>
                <w:szCs w:val="18"/>
              </w:rPr>
            </w:pPr>
            <w:r w:rsidRPr="00F819C6">
              <w:rPr>
                <w:bCs/>
                <w:sz w:val="18"/>
                <w:szCs w:val="18"/>
              </w:rPr>
              <w:t>(CA225006)</w:t>
            </w:r>
          </w:p>
        </w:tc>
        <w:tc>
          <w:tcPr>
            <w:tcW w:w="2201" w:type="dxa"/>
            <w:gridSpan w:val="2"/>
            <w:hideMark/>
          </w:tcPr>
          <w:p w:rsidR="00E00A2A" w:rsidRPr="00F819C6" w:rsidRDefault="00E00A2A" w:rsidP="00D004C7">
            <w:pPr>
              <w:spacing w:before="0" w:after="0" w:line="240" w:lineRule="auto"/>
              <w:ind w:left="0" w:right="0"/>
              <w:rPr>
                <w:sz w:val="18"/>
                <w:szCs w:val="18"/>
              </w:rPr>
            </w:pPr>
            <w:r w:rsidRPr="00F819C6">
              <w:rPr>
                <w:sz w:val="18"/>
                <w:szCs w:val="18"/>
              </w:rPr>
              <w:t>Cetuximab add-on to irinotecan monotherapy</w:t>
            </w:r>
            <w:r w:rsidR="000F15B6" w:rsidRPr="00F819C6">
              <w:rPr>
                <w:sz w:val="18"/>
                <w:szCs w:val="18"/>
              </w:rPr>
              <w:t xml:space="preserve"> </w:t>
            </w:r>
          </w:p>
          <w:p w:rsidR="00E00A2A" w:rsidRPr="00F819C6" w:rsidRDefault="00E00A2A" w:rsidP="00D004C7">
            <w:pPr>
              <w:spacing w:before="0" w:after="0" w:line="240" w:lineRule="auto"/>
              <w:ind w:left="0" w:right="0"/>
              <w:rPr>
                <w:sz w:val="18"/>
                <w:szCs w:val="18"/>
              </w:rPr>
            </w:pPr>
            <w:r w:rsidRPr="00F819C6">
              <w:rPr>
                <w:sz w:val="18"/>
                <w:szCs w:val="18"/>
              </w:rPr>
              <w:t>(2</w:t>
            </w:r>
            <w:r w:rsidRPr="00F819C6">
              <w:rPr>
                <w:sz w:val="18"/>
                <w:szCs w:val="18"/>
                <w:vertAlign w:val="superscript"/>
              </w:rPr>
              <w:t>nd</w:t>
            </w:r>
            <w:r w:rsidRPr="00F819C6">
              <w:rPr>
                <w:sz w:val="18"/>
                <w:szCs w:val="18"/>
              </w:rPr>
              <w:t xml:space="preserve"> line)</w:t>
            </w:r>
          </w:p>
        </w:tc>
        <w:tc>
          <w:tcPr>
            <w:tcW w:w="4111" w:type="dxa"/>
            <w:hideMark/>
          </w:tcPr>
          <w:p w:rsidR="00E00A2A" w:rsidRPr="00F819C6" w:rsidRDefault="00E00A2A" w:rsidP="00D004C7">
            <w:pPr>
              <w:spacing w:before="0" w:after="0" w:line="240" w:lineRule="auto"/>
              <w:ind w:left="0" w:right="0"/>
              <w:rPr>
                <w:sz w:val="18"/>
                <w:szCs w:val="18"/>
              </w:rPr>
            </w:pPr>
            <w:r w:rsidRPr="00F819C6">
              <w:rPr>
                <w:sz w:val="18"/>
                <w:szCs w:val="18"/>
              </w:rPr>
              <w:t>[A]</w:t>
            </w:r>
          </w:p>
          <w:p w:rsidR="00E00A2A" w:rsidRPr="00F819C6" w:rsidRDefault="00E00A2A" w:rsidP="00D004C7">
            <w:pPr>
              <w:spacing w:before="0" w:after="0" w:line="240" w:lineRule="auto"/>
              <w:ind w:left="0" w:right="0"/>
              <w:rPr>
                <w:sz w:val="18"/>
                <w:szCs w:val="18"/>
              </w:rPr>
            </w:pPr>
            <w:r w:rsidRPr="00F819C6">
              <w:rPr>
                <w:sz w:val="18"/>
                <w:szCs w:val="18"/>
              </w:rPr>
              <w:t>[B] Retrospective K-RAS status analysis in 1/4</w:t>
            </w:r>
          </w:p>
        </w:tc>
      </w:tr>
      <w:tr w:rsidR="00E00A2A" w:rsidRPr="00E00A2A" w:rsidTr="00F938E7">
        <w:tc>
          <w:tcPr>
            <w:tcW w:w="1910" w:type="dxa"/>
          </w:tcPr>
          <w:p w:rsidR="00E00A2A" w:rsidRPr="00F819C6" w:rsidRDefault="00E00A2A" w:rsidP="00D004C7">
            <w:pPr>
              <w:spacing w:before="0" w:after="0" w:line="240" w:lineRule="auto"/>
              <w:ind w:left="0" w:right="0"/>
              <w:rPr>
                <w:bCs/>
                <w:sz w:val="18"/>
                <w:szCs w:val="18"/>
              </w:rPr>
            </w:pPr>
            <w:r w:rsidRPr="00F819C6">
              <w:rPr>
                <w:bCs/>
                <w:sz w:val="18"/>
                <w:szCs w:val="18"/>
              </w:rPr>
              <w:t>CRYSTAL</w:t>
            </w:r>
          </w:p>
          <w:p w:rsidR="00E00A2A" w:rsidRPr="00F819C6" w:rsidRDefault="00E00A2A" w:rsidP="00D004C7">
            <w:pPr>
              <w:spacing w:before="0" w:after="0" w:line="240" w:lineRule="auto"/>
              <w:ind w:left="0" w:right="0"/>
              <w:rPr>
                <w:bCs/>
                <w:sz w:val="18"/>
                <w:szCs w:val="18"/>
              </w:rPr>
            </w:pPr>
            <w:r w:rsidRPr="00F819C6">
              <w:rPr>
                <w:bCs/>
                <w:sz w:val="18"/>
                <w:szCs w:val="18"/>
              </w:rPr>
              <w:t>(EMR 62 202-013)</w:t>
            </w:r>
          </w:p>
          <w:p w:rsidR="00E00A2A" w:rsidRPr="00F819C6" w:rsidRDefault="00E00A2A" w:rsidP="00D004C7">
            <w:pPr>
              <w:spacing w:before="0" w:after="0" w:line="240" w:lineRule="auto"/>
              <w:ind w:left="0" w:right="0"/>
              <w:rPr>
                <w:bCs/>
                <w:sz w:val="18"/>
                <w:szCs w:val="18"/>
              </w:rPr>
            </w:pPr>
          </w:p>
        </w:tc>
        <w:tc>
          <w:tcPr>
            <w:tcW w:w="2201" w:type="dxa"/>
            <w:gridSpan w:val="2"/>
            <w:hideMark/>
          </w:tcPr>
          <w:p w:rsidR="00E00A2A" w:rsidRPr="00F819C6" w:rsidRDefault="00E00A2A" w:rsidP="00D004C7">
            <w:pPr>
              <w:spacing w:before="0" w:after="0" w:line="240" w:lineRule="auto"/>
              <w:ind w:left="0" w:right="0"/>
              <w:rPr>
                <w:sz w:val="18"/>
                <w:szCs w:val="18"/>
              </w:rPr>
            </w:pPr>
            <w:r w:rsidRPr="00F819C6">
              <w:rPr>
                <w:sz w:val="18"/>
                <w:szCs w:val="18"/>
              </w:rPr>
              <w:t>Add-on to FOLFIRI</w:t>
            </w:r>
          </w:p>
          <w:p w:rsidR="00E00A2A" w:rsidRPr="00F819C6" w:rsidRDefault="00E00A2A" w:rsidP="00D004C7">
            <w:pPr>
              <w:spacing w:before="0" w:after="0" w:line="240" w:lineRule="auto"/>
              <w:ind w:left="0" w:right="0"/>
              <w:rPr>
                <w:sz w:val="18"/>
                <w:szCs w:val="18"/>
              </w:rPr>
            </w:pPr>
            <w:r w:rsidRPr="00F819C6">
              <w:rPr>
                <w:sz w:val="18"/>
                <w:szCs w:val="18"/>
              </w:rPr>
              <w:t>(</w:t>
            </w:r>
            <w:r w:rsidR="00B95D37" w:rsidRPr="00F819C6">
              <w:rPr>
                <w:sz w:val="18"/>
                <w:szCs w:val="18"/>
              </w:rPr>
              <w:t>first</w:t>
            </w:r>
            <w:r w:rsidRPr="00F819C6">
              <w:rPr>
                <w:sz w:val="18"/>
                <w:szCs w:val="18"/>
              </w:rPr>
              <w:t xml:space="preserve"> line)</w:t>
            </w:r>
          </w:p>
        </w:tc>
        <w:tc>
          <w:tcPr>
            <w:tcW w:w="4111" w:type="dxa"/>
            <w:hideMark/>
          </w:tcPr>
          <w:p w:rsidR="00E00A2A" w:rsidRPr="00F819C6" w:rsidRDefault="00E00A2A" w:rsidP="00D004C7">
            <w:pPr>
              <w:spacing w:before="0" w:after="0" w:line="240" w:lineRule="auto"/>
              <w:ind w:left="0" w:right="0"/>
              <w:rPr>
                <w:sz w:val="18"/>
                <w:szCs w:val="18"/>
              </w:rPr>
            </w:pPr>
            <w:r w:rsidRPr="00F819C6">
              <w:rPr>
                <w:sz w:val="18"/>
                <w:szCs w:val="18"/>
              </w:rPr>
              <w:t>[A]</w:t>
            </w:r>
          </w:p>
          <w:p w:rsidR="00E00A2A" w:rsidRPr="00F819C6" w:rsidRDefault="00E00A2A" w:rsidP="00D004C7">
            <w:pPr>
              <w:spacing w:before="0" w:after="0" w:line="240" w:lineRule="auto"/>
              <w:ind w:left="0" w:right="0"/>
              <w:rPr>
                <w:sz w:val="18"/>
                <w:szCs w:val="18"/>
              </w:rPr>
            </w:pPr>
            <w:r w:rsidRPr="00F819C6">
              <w:rPr>
                <w:sz w:val="18"/>
                <w:szCs w:val="18"/>
              </w:rPr>
              <w:t>[B] Retrospective K-RAS status analysis in 89%</w:t>
            </w:r>
          </w:p>
          <w:p w:rsidR="00E00A2A" w:rsidRPr="00F819C6" w:rsidRDefault="00E00A2A" w:rsidP="00D004C7">
            <w:pPr>
              <w:spacing w:before="0" w:after="0" w:line="240" w:lineRule="auto"/>
              <w:ind w:left="0" w:right="0"/>
              <w:rPr>
                <w:sz w:val="18"/>
                <w:szCs w:val="18"/>
              </w:rPr>
            </w:pPr>
            <w:r w:rsidRPr="00F819C6">
              <w:rPr>
                <w:sz w:val="18"/>
                <w:szCs w:val="18"/>
              </w:rPr>
              <w:t>[C], [D]</w:t>
            </w:r>
          </w:p>
        </w:tc>
      </w:tr>
      <w:tr w:rsidR="00E00A2A" w:rsidRPr="00E00A2A" w:rsidTr="00F938E7">
        <w:tc>
          <w:tcPr>
            <w:tcW w:w="1910" w:type="dxa"/>
          </w:tcPr>
          <w:p w:rsidR="00E00A2A" w:rsidRPr="00F819C6" w:rsidRDefault="00E00A2A" w:rsidP="00D004C7">
            <w:pPr>
              <w:spacing w:before="0" w:after="0" w:line="240" w:lineRule="auto"/>
              <w:ind w:left="0" w:right="0"/>
              <w:rPr>
                <w:bCs/>
                <w:sz w:val="18"/>
                <w:szCs w:val="18"/>
              </w:rPr>
            </w:pPr>
            <w:r w:rsidRPr="00F819C6">
              <w:rPr>
                <w:bCs/>
                <w:sz w:val="18"/>
                <w:szCs w:val="18"/>
              </w:rPr>
              <w:t>OPUS</w:t>
            </w:r>
          </w:p>
          <w:p w:rsidR="00E00A2A" w:rsidRPr="00F819C6" w:rsidRDefault="00E00A2A" w:rsidP="00D004C7">
            <w:pPr>
              <w:spacing w:before="0" w:after="0" w:line="240" w:lineRule="auto"/>
              <w:ind w:left="0" w:right="0"/>
              <w:rPr>
                <w:bCs/>
                <w:sz w:val="18"/>
                <w:szCs w:val="18"/>
              </w:rPr>
            </w:pPr>
            <w:r w:rsidRPr="00F819C6">
              <w:rPr>
                <w:bCs/>
                <w:sz w:val="18"/>
                <w:szCs w:val="18"/>
              </w:rPr>
              <w:t>(EMR 62 202-047)</w:t>
            </w:r>
          </w:p>
          <w:p w:rsidR="00E00A2A" w:rsidRPr="00F819C6" w:rsidRDefault="00E00A2A" w:rsidP="00D004C7">
            <w:pPr>
              <w:spacing w:before="0" w:after="0" w:line="240" w:lineRule="auto"/>
              <w:ind w:left="0" w:right="0"/>
              <w:rPr>
                <w:bCs/>
                <w:sz w:val="18"/>
                <w:szCs w:val="18"/>
              </w:rPr>
            </w:pPr>
          </w:p>
        </w:tc>
        <w:tc>
          <w:tcPr>
            <w:tcW w:w="2201" w:type="dxa"/>
            <w:gridSpan w:val="2"/>
            <w:hideMark/>
          </w:tcPr>
          <w:p w:rsidR="00E00A2A" w:rsidRPr="00F819C6" w:rsidRDefault="00E00A2A" w:rsidP="00D004C7">
            <w:pPr>
              <w:spacing w:before="0" w:after="0" w:line="240" w:lineRule="auto"/>
              <w:ind w:left="0" w:right="0"/>
              <w:rPr>
                <w:sz w:val="18"/>
                <w:szCs w:val="18"/>
              </w:rPr>
            </w:pPr>
            <w:r w:rsidRPr="00F819C6">
              <w:rPr>
                <w:sz w:val="18"/>
                <w:szCs w:val="18"/>
              </w:rPr>
              <w:t>Add-on to FOLFOX4</w:t>
            </w:r>
          </w:p>
          <w:p w:rsidR="00E00A2A" w:rsidRPr="00F819C6" w:rsidRDefault="00E00A2A" w:rsidP="00D004C7">
            <w:pPr>
              <w:spacing w:before="0" w:after="0" w:line="240" w:lineRule="auto"/>
              <w:ind w:left="0" w:right="0"/>
              <w:rPr>
                <w:sz w:val="18"/>
                <w:szCs w:val="18"/>
              </w:rPr>
            </w:pPr>
            <w:r w:rsidRPr="00F819C6">
              <w:rPr>
                <w:sz w:val="18"/>
                <w:szCs w:val="18"/>
              </w:rPr>
              <w:t>(</w:t>
            </w:r>
            <w:r w:rsidR="00B95D37" w:rsidRPr="00F819C6">
              <w:rPr>
                <w:sz w:val="18"/>
                <w:szCs w:val="18"/>
              </w:rPr>
              <w:t>first</w:t>
            </w:r>
            <w:r w:rsidRPr="00F819C6">
              <w:rPr>
                <w:sz w:val="18"/>
                <w:szCs w:val="18"/>
              </w:rPr>
              <w:t xml:space="preserve"> line)</w:t>
            </w:r>
          </w:p>
        </w:tc>
        <w:tc>
          <w:tcPr>
            <w:tcW w:w="4111" w:type="dxa"/>
            <w:hideMark/>
          </w:tcPr>
          <w:p w:rsidR="00E00A2A" w:rsidRPr="00F819C6" w:rsidRDefault="00E00A2A" w:rsidP="00D004C7">
            <w:pPr>
              <w:spacing w:before="0" w:after="0" w:line="240" w:lineRule="auto"/>
              <w:ind w:left="0" w:right="0"/>
              <w:rPr>
                <w:sz w:val="18"/>
                <w:szCs w:val="18"/>
              </w:rPr>
            </w:pPr>
            <w:r w:rsidRPr="00F819C6">
              <w:rPr>
                <w:sz w:val="18"/>
                <w:szCs w:val="18"/>
              </w:rPr>
              <w:t>[A]</w:t>
            </w:r>
          </w:p>
          <w:p w:rsidR="00E00A2A" w:rsidRPr="00F819C6" w:rsidRDefault="00E00A2A" w:rsidP="00D004C7">
            <w:pPr>
              <w:spacing w:before="0" w:after="0" w:line="240" w:lineRule="auto"/>
              <w:ind w:left="0" w:right="0"/>
              <w:rPr>
                <w:sz w:val="18"/>
                <w:szCs w:val="18"/>
              </w:rPr>
            </w:pPr>
            <w:r w:rsidRPr="00F819C6">
              <w:rPr>
                <w:sz w:val="18"/>
                <w:szCs w:val="18"/>
              </w:rPr>
              <w:t>[B] Retrospective K-RAS status analysis in 93%</w:t>
            </w:r>
          </w:p>
          <w:p w:rsidR="00E00A2A" w:rsidRPr="00F819C6" w:rsidRDefault="00E00A2A" w:rsidP="00D004C7">
            <w:pPr>
              <w:spacing w:before="0" w:after="0" w:line="240" w:lineRule="auto"/>
              <w:ind w:left="0" w:right="0"/>
              <w:rPr>
                <w:sz w:val="18"/>
                <w:szCs w:val="18"/>
              </w:rPr>
            </w:pPr>
            <w:r w:rsidRPr="00F819C6">
              <w:rPr>
                <w:sz w:val="18"/>
                <w:szCs w:val="18"/>
              </w:rPr>
              <w:t>[C], [D]</w:t>
            </w:r>
          </w:p>
        </w:tc>
      </w:tr>
      <w:tr w:rsidR="00E00A2A" w:rsidRPr="00E00A2A" w:rsidTr="00F938E7">
        <w:tc>
          <w:tcPr>
            <w:tcW w:w="8222" w:type="dxa"/>
            <w:gridSpan w:val="4"/>
            <w:hideMark/>
          </w:tcPr>
          <w:p w:rsidR="00E00A2A" w:rsidRPr="0097612F" w:rsidRDefault="00E00A2A" w:rsidP="00D004C7">
            <w:pPr>
              <w:keepNext/>
              <w:spacing w:before="0" w:after="0" w:line="240" w:lineRule="auto"/>
              <w:ind w:left="0" w:right="0"/>
              <w:jc w:val="center"/>
              <w:rPr>
                <w:b/>
                <w:bCs/>
                <w:sz w:val="18"/>
                <w:szCs w:val="18"/>
              </w:rPr>
            </w:pPr>
            <w:r w:rsidRPr="0097612F">
              <w:rPr>
                <w:b/>
                <w:bCs/>
                <w:sz w:val="18"/>
                <w:szCs w:val="18"/>
              </w:rPr>
              <w:t>INVESTIGATOR-SPONSORED (not previously evaluated by the TGA)</w:t>
            </w:r>
          </w:p>
        </w:tc>
      </w:tr>
      <w:tr w:rsidR="00E00A2A" w:rsidRPr="00E00A2A" w:rsidTr="00F938E7">
        <w:tc>
          <w:tcPr>
            <w:tcW w:w="1910" w:type="dxa"/>
            <w:hideMark/>
          </w:tcPr>
          <w:p w:rsidR="00E00A2A" w:rsidRPr="00F819C6" w:rsidRDefault="00E00A2A" w:rsidP="00D004C7">
            <w:pPr>
              <w:keepNext/>
              <w:spacing w:before="0" w:after="0" w:line="240" w:lineRule="auto"/>
              <w:ind w:left="0" w:right="0"/>
              <w:rPr>
                <w:bCs/>
                <w:sz w:val="18"/>
                <w:szCs w:val="18"/>
              </w:rPr>
            </w:pPr>
            <w:r w:rsidRPr="00F819C6">
              <w:rPr>
                <w:bCs/>
                <w:sz w:val="18"/>
                <w:szCs w:val="18"/>
              </w:rPr>
              <w:t>COIN (</w:t>
            </w:r>
            <w:proofErr w:type="spellStart"/>
            <w:r w:rsidRPr="00F819C6">
              <w:rPr>
                <w:bCs/>
                <w:sz w:val="18"/>
                <w:szCs w:val="18"/>
              </w:rPr>
              <w:t>OxMdG</w:t>
            </w:r>
            <w:proofErr w:type="spellEnd"/>
            <w:r w:rsidRPr="00F819C6">
              <w:rPr>
                <w:bCs/>
                <w:sz w:val="18"/>
                <w:szCs w:val="18"/>
              </w:rPr>
              <w:t xml:space="preserve"> subgroup)</w:t>
            </w:r>
          </w:p>
        </w:tc>
        <w:tc>
          <w:tcPr>
            <w:tcW w:w="2113" w:type="dxa"/>
            <w:hideMark/>
          </w:tcPr>
          <w:p w:rsidR="00E00A2A" w:rsidRPr="00F819C6" w:rsidRDefault="00E00A2A" w:rsidP="00D004C7">
            <w:pPr>
              <w:keepNext/>
              <w:spacing w:before="0" w:after="0" w:line="240" w:lineRule="auto"/>
              <w:ind w:left="0" w:right="0"/>
              <w:rPr>
                <w:sz w:val="18"/>
                <w:szCs w:val="18"/>
              </w:rPr>
            </w:pPr>
            <w:r w:rsidRPr="00F819C6">
              <w:rPr>
                <w:sz w:val="18"/>
                <w:szCs w:val="18"/>
              </w:rPr>
              <w:t xml:space="preserve">Add-on to </w:t>
            </w:r>
            <w:proofErr w:type="spellStart"/>
            <w:r w:rsidRPr="00F819C6">
              <w:rPr>
                <w:sz w:val="18"/>
                <w:szCs w:val="18"/>
              </w:rPr>
              <w:t>OxMdG</w:t>
            </w:r>
            <w:proofErr w:type="spellEnd"/>
            <w:r w:rsidRPr="00F819C6">
              <w:rPr>
                <w:sz w:val="18"/>
                <w:szCs w:val="18"/>
              </w:rPr>
              <w:t xml:space="preserve"> (</w:t>
            </w:r>
            <w:proofErr w:type="spellStart"/>
            <w:r w:rsidRPr="00F819C6">
              <w:rPr>
                <w:sz w:val="18"/>
                <w:szCs w:val="18"/>
              </w:rPr>
              <w:t>oxaliplatin</w:t>
            </w:r>
            <w:proofErr w:type="spellEnd"/>
            <w:r w:rsidRPr="00F819C6">
              <w:rPr>
                <w:sz w:val="18"/>
                <w:szCs w:val="18"/>
              </w:rPr>
              <w:t xml:space="preserve"> + </w:t>
            </w:r>
            <w:proofErr w:type="spellStart"/>
            <w:r w:rsidRPr="00F819C6">
              <w:rPr>
                <w:sz w:val="18"/>
                <w:szCs w:val="18"/>
              </w:rPr>
              <w:t>fluoropyrimidines</w:t>
            </w:r>
            <w:proofErr w:type="spellEnd"/>
            <w:r w:rsidRPr="00F819C6">
              <w:rPr>
                <w:sz w:val="18"/>
                <w:szCs w:val="18"/>
              </w:rPr>
              <w:t>)</w:t>
            </w:r>
          </w:p>
        </w:tc>
        <w:tc>
          <w:tcPr>
            <w:tcW w:w="4199" w:type="dxa"/>
            <w:gridSpan w:val="2"/>
            <w:hideMark/>
          </w:tcPr>
          <w:p w:rsidR="00E00A2A" w:rsidRPr="00F819C6" w:rsidRDefault="00E00A2A" w:rsidP="00D004C7">
            <w:pPr>
              <w:keepNext/>
              <w:spacing w:before="0" w:after="0" w:line="240" w:lineRule="auto"/>
              <w:ind w:left="0" w:right="0"/>
              <w:rPr>
                <w:sz w:val="18"/>
                <w:szCs w:val="18"/>
              </w:rPr>
            </w:pPr>
            <w:r w:rsidRPr="00F819C6">
              <w:rPr>
                <w:sz w:val="18"/>
                <w:szCs w:val="18"/>
              </w:rPr>
              <w:t>[D]</w:t>
            </w:r>
          </w:p>
          <w:p w:rsidR="00E00A2A" w:rsidRPr="00F819C6" w:rsidRDefault="00E00A2A" w:rsidP="00D004C7">
            <w:pPr>
              <w:keepNext/>
              <w:spacing w:before="0" w:after="0" w:line="240" w:lineRule="auto"/>
              <w:ind w:left="0" w:right="0"/>
              <w:rPr>
                <w:sz w:val="18"/>
                <w:szCs w:val="18"/>
              </w:rPr>
            </w:pPr>
            <w:r w:rsidRPr="00F819C6">
              <w:rPr>
                <w:sz w:val="18"/>
                <w:szCs w:val="18"/>
              </w:rPr>
              <w:t xml:space="preserve">This study prompted review of risk-benefit in </w:t>
            </w:r>
            <w:proofErr w:type="spellStart"/>
            <w:r w:rsidRPr="00F819C6">
              <w:rPr>
                <w:sz w:val="18"/>
                <w:szCs w:val="18"/>
              </w:rPr>
              <w:t>mCRC</w:t>
            </w:r>
            <w:proofErr w:type="spellEnd"/>
            <w:r w:rsidRPr="00F819C6">
              <w:rPr>
                <w:sz w:val="18"/>
                <w:szCs w:val="18"/>
              </w:rPr>
              <w:t>.</w:t>
            </w:r>
          </w:p>
        </w:tc>
      </w:tr>
      <w:tr w:rsidR="00E00A2A" w:rsidRPr="00E00A2A" w:rsidTr="00F938E7">
        <w:trPr>
          <w:cantSplit/>
        </w:trPr>
        <w:tc>
          <w:tcPr>
            <w:tcW w:w="1910" w:type="dxa"/>
            <w:hideMark/>
          </w:tcPr>
          <w:p w:rsidR="00E00A2A" w:rsidRPr="00F819C6" w:rsidRDefault="00E00A2A" w:rsidP="00D004C7">
            <w:pPr>
              <w:keepNext/>
              <w:spacing w:before="0" w:after="0" w:line="240" w:lineRule="auto"/>
              <w:ind w:left="0" w:right="0"/>
              <w:rPr>
                <w:bCs/>
                <w:sz w:val="18"/>
                <w:szCs w:val="18"/>
              </w:rPr>
            </w:pPr>
            <w:r w:rsidRPr="00F819C6">
              <w:rPr>
                <w:bCs/>
                <w:sz w:val="18"/>
                <w:szCs w:val="18"/>
              </w:rPr>
              <w:t>NORDIC VII</w:t>
            </w:r>
          </w:p>
        </w:tc>
        <w:tc>
          <w:tcPr>
            <w:tcW w:w="2113" w:type="dxa"/>
            <w:hideMark/>
          </w:tcPr>
          <w:p w:rsidR="00E00A2A" w:rsidRPr="00F819C6" w:rsidRDefault="00E00A2A" w:rsidP="00D004C7">
            <w:pPr>
              <w:keepNext/>
              <w:spacing w:before="0" w:after="0" w:line="240" w:lineRule="auto"/>
              <w:ind w:left="0" w:right="0"/>
              <w:rPr>
                <w:sz w:val="18"/>
                <w:szCs w:val="18"/>
              </w:rPr>
            </w:pPr>
            <w:r w:rsidRPr="00F819C6">
              <w:rPr>
                <w:sz w:val="18"/>
                <w:szCs w:val="18"/>
              </w:rPr>
              <w:t>Combination with Nordic FLOX (5-FU / FA + oxaliplatin)</w:t>
            </w:r>
          </w:p>
        </w:tc>
        <w:tc>
          <w:tcPr>
            <w:tcW w:w="4199" w:type="dxa"/>
            <w:gridSpan w:val="2"/>
            <w:hideMark/>
          </w:tcPr>
          <w:p w:rsidR="00E00A2A" w:rsidRPr="00F819C6" w:rsidRDefault="00E00A2A" w:rsidP="00D004C7">
            <w:pPr>
              <w:keepNext/>
              <w:spacing w:before="0" w:after="0" w:line="240" w:lineRule="auto"/>
              <w:ind w:left="0" w:right="0"/>
              <w:rPr>
                <w:sz w:val="18"/>
                <w:szCs w:val="18"/>
              </w:rPr>
            </w:pPr>
            <w:r w:rsidRPr="00F819C6">
              <w:rPr>
                <w:sz w:val="18"/>
                <w:szCs w:val="18"/>
              </w:rPr>
              <w:t>[D]</w:t>
            </w:r>
          </w:p>
          <w:p w:rsidR="00E00A2A" w:rsidRPr="00F819C6" w:rsidRDefault="00E00A2A" w:rsidP="00D004C7">
            <w:pPr>
              <w:keepNext/>
              <w:spacing w:before="0" w:after="0" w:line="240" w:lineRule="auto"/>
              <w:ind w:left="0" w:right="0"/>
              <w:rPr>
                <w:sz w:val="18"/>
                <w:szCs w:val="18"/>
              </w:rPr>
            </w:pPr>
            <w:r w:rsidRPr="00F819C6">
              <w:rPr>
                <w:sz w:val="18"/>
                <w:szCs w:val="18"/>
              </w:rPr>
              <w:t>Brief summary only.  Results not considered in detail due to use of Nordic FLOX, etc.</w:t>
            </w:r>
          </w:p>
        </w:tc>
      </w:tr>
      <w:tr w:rsidR="00E00A2A" w:rsidRPr="00E00A2A" w:rsidTr="00F938E7">
        <w:tc>
          <w:tcPr>
            <w:tcW w:w="8222" w:type="dxa"/>
            <w:gridSpan w:val="4"/>
            <w:hideMark/>
          </w:tcPr>
          <w:p w:rsidR="00E00A2A" w:rsidRPr="00F819C6" w:rsidRDefault="00E00A2A" w:rsidP="00D004C7">
            <w:pPr>
              <w:spacing w:before="0" w:after="0" w:line="240" w:lineRule="auto"/>
              <w:ind w:left="0" w:right="0"/>
              <w:rPr>
                <w:bCs/>
                <w:sz w:val="18"/>
                <w:szCs w:val="18"/>
              </w:rPr>
            </w:pPr>
            <w:r w:rsidRPr="00F819C6">
              <w:rPr>
                <w:bCs/>
                <w:sz w:val="18"/>
                <w:szCs w:val="18"/>
              </w:rPr>
              <w:t>A = used to support initial (2005) 2</w:t>
            </w:r>
            <w:r w:rsidRPr="00F819C6">
              <w:rPr>
                <w:bCs/>
                <w:sz w:val="18"/>
                <w:szCs w:val="18"/>
                <w:vertAlign w:val="superscript"/>
              </w:rPr>
              <w:t>nd</w:t>
            </w:r>
            <w:r w:rsidRPr="00F819C6">
              <w:rPr>
                <w:bCs/>
                <w:sz w:val="18"/>
                <w:szCs w:val="18"/>
              </w:rPr>
              <w:t xml:space="preserve"> line indication</w:t>
            </w:r>
          </w:p>
          <w:p w:rsidR="00E00A2A" w:rsidRPr="00F819C6" w:rsidRDefault="00E00A2A" w:rsidP="00D004C7">
            <w:pPr>
              <w:spacing w:before="0" w:after="0" w:line="240" w:lineRule="auto"/>
              <w:ind w:left="0" w:right="0"/>
              <w:rPr>
                <w:bCs/>
                <w:sz w:val="18"/>
                <w:szCs w:val="18"/>
              </w:rPr>
            </w:pPr>
            <w:r w:rsidRPr="00F819C6">
              <w:rPr>
                <w:bCs/>
                <w:sz w:val="18"/>
                <w:szCs w:val="18"/>
              </w:rPr>
              <w:t xml:space="preserve">B = used to support 2010 narrowing to K-RAS </w:t>
            </w:r>
            <w:r w:rsidR="003E400C">
              <w:rPr>
                <w:bCs/>
                <w:sz w:val="18"/>
                <w:szCs w:val="18"/>
              </w:rPr>
              <w:t>wild type</w:t>
            </w:r>
            <w:r w:rsidRPr="00F819C6">
              <w:rPr>
                <w:bCs/>
                <w:sz w:val="18"/>
                <w:szCs w:val="18"/>
              </w:rPr>
              <w:t xml:space="preserve"> population</w:t>
            </w:r>
          </w:p>
          <w:p w:rsidR="00E00A2A" w:rsidRPr="00F819C6" w:rsidRDefault="00E00A2A" w:rsidP="00D004C7">
            <w:pPr>
              <w:spacing w:before="0" w:after="0" w:line="240" w:lineRule="auto"/>
              <w:ind w:left="0" w:right="0"/>
              <w:rPr>
                <w:bCs/>
                <w:sz w:val="18"/>
                <w:szCs w:val="18"/>
              </w:rPr>
            </w:pPr>
            <w:r w:rsidRPr="00F819C6">
              <w:rPr>
                <w:bCs/>
                <w:sz w:val="18"/>
                <w:szCs w:val="18"/>
              </w:rPr>
              <w:t xml:space="preserve">C = used to support 2010 broad combination </w:t>
            </w:r>
            <w:r w:rsidR="00B95D37" w:rsidRPr="00F819C6">
              <w:rPr>
                <w:bCs/>
                <w:sz w:val="18"/>
                <w:szCs w:val="18"/>
              </w:rPr>
              <w:t>first</w:t>
            </w:r>
            <w:r w:rsidRPr="00F819C6">
              <w:rPr>
                <w:bCs/>
                <w:sz w:val="18"/>
                <w:szCs w:val="18"/>
              </w:rPr>
              <w:t xml:space="preserve"> line treatment</w:t>
            </w:r>
          </w:p>
          <w:p w:rsidR="00E00A2A" w:rsidRPr="00F819C6" w:rsidRDefault="00E00A2A" w:rsidP="00D004C7">
            <w:pPr>
              <w:spacing w:before="0" w:after="0" w:line="240" w:lineRule="auto"/>
              <w:ind w:left="0" w:right="0"/>
              <w:rPr>
                <w:bCs/>
                <w:sz w:val="18"/>
                <w:szCs w:val="18"/>
              </w:rPr>
            </w:pPr>
            <w:r w:rsidRPr="00F819C6">
              <w:rPr>
                <w:bCs/>
                <w:sz w:val="18"/>
                <w:szCs w:val="18"/>
              </w:rPr>
              <w:t xml:space="preserve">D = used to support 2011 specific combination </w:t>
            </w:r>
            <w:r w:rsidR="00B95D37" w:rsidRPr="00F819C6">
              <w:rPr>
                <w:bCs/>
                <w:sz w:val="18"/>
                <w:szCs w:val="18"/>
              </w:rPr>
              <w:t>first</w:t>
            </w:r>
            <w:r w:rsidRPr="00F819C6">
              <w:rPr>
                <w:bCs/>
                <w:sz w:val="18"/>
                <w:szCs w:val="18"/>
              </w:rPr>
              <w:t xml:space="preserve"> line treatment</w:t>
            </w:r>
          </w:p>
        </w:tc>
      </w:tr>
    </w:tbl>
    <w:p w:rsidR="007E4DB8" w:rsidRPr="003554D8" w:rsidRDefault="007E4DB8" w:rsidP="00F938E7">
      <w:pPr>
        <w:keepNext/>
      </w:pPr>
      <w:r w:rsidRPr="003554D8">
        <w:t>Various other studies were also submitted</w:t>
      </w:r>
      <w:r w:rsidR="0097612F">
        <w:t>:</w:t>
      </w:r>
    </w:p>
    <w:p w:rsidR="007E4DB8" w:rsidRPr="003554D8" w:rsidRDefault="007E4DB8" w:rsidP="003554D8">
      <w:pPr>
        <w:pStyle w:val="ListBullet"/>
      </w:pPr>
      <w:r w:rsidRPr="003554D8">
        <w:t xml:space="preserve">Several (CECOG CORE 1.2.001 in </w:t>
      </w:r>
      <w:r w:rsidR="00B95D37">
        <w:t>first</w:t>
      </w:r>
      <w:r w:rsidRPr="003554D8">
        <w:t xml:space="preserve"> line </w:t>
      </w:r>
      <w:proofErr w:type="spellStart"/>
      <w:r w:rsidRPr="003554D8">
        <w:t>mCRC</w:t>
      </w:r>
      <w:proofErr w:type="spellEnd"/>
      <w:r w:rsidRPr="003554D8">
        <w:t>; CELIM in the specific setting of liver metastases) compared cetuximab + FOLFIR</w:t>
      </w:r>
      <w:r w:rsidR="003554D8">
        <w:t xml:space="preserve">I against cetuximab + FOLFOX6. </w:t>
      </w:r>
      <w:r w:rsidRPr="003554D8">
        <w:t>New EPOC results were preliminary and supplied late, as were APEC top-line results.</w:t>
      </w:r>
    </w:p>
    <w:p w:rsidR="0097612F" w:rsidRDefault="007E4DB8" w:rsidP="003554D8">
      <w:pPr>
        <w:pStyle w:val="ListBullet"/>
      </w:pPr>
      <w:r w:rsidRPr="003554D8">
        <w:t xml:space="preserve">Several (SAKK in </w:t>
      </w:r>
      <w:r w:rsidR="00B95D37">
        <w:t>first</w:t>
      </w:r>
      <w:r w:rsidRPr="003554D8">
        <w:t xml:space="preserve"> line; COIN’s XELOX subgroup in </w:t>
      </w:r>
      <w:r w:rsidR="00B95D37">
        <w:t>first</w:t>
      </w:r>
      <w:r w:rsidRPr="003554D8">
        <w:t xml:space="preserve"> line) compared cetuximab + XELOX v</w:t>
      </w:r>
      <w:r w:rsidR="004F441E">
        <w:t>ersu</w:t>
      </w:r>
      <w:r w:rsidRPr="003554D8">
        <w:t>s XELOX alone.</w:t>
      </w:r>
    </w:p>
    <w:p w:rsidR="007E4DB8" w:rsidRPr="003554D8" w:rsidRDefault="0097612F" w:rsidP="0097612F">
      <w:pPr>
        <w:pStyle w:val="ListBullet"/>
      </w:pPr>
      <w:r>
        <w:t>P</w:t>
      </w:r>
      <w:r w:rsidR="007E4DB8" w:rsidRPr="003554D8">
        <w:t>aediatric PK Study CA225085 (cetuximab + irinotecan, in subjects 1-18 yrs with refractory solid tumours)</w:t>
      </w:r>
      <w:r w:rsidR="00F819C6">
        <w:t xml:space="preserve"> </w:t>
      </w:r>
      <w:r>
        <w:t xml:space="preserve">was provided to </w:t>
      </w:r>
      <w:r w:rsidRPr="0097612F">
        <w:t xml:space="preserve">support a proposed PI change </w:t>
      </w:r>
      <w:r>
        <w:t>(t</w:t>
      </w:r>
      <w:r w:rsidR="007E4DB8" w:rsidRPr="003554D8">
        <w:t xml:space="preserve">he </w:t>
      </w:r>
      <w:r>
        <w:t xml:space="preserve">clinical evaluator </w:t>
      </w:r>
      <w:r w:rsidR="007E4DB8" w:rsidRPr="003554D8">
        <w:t>had no objections to this PI change</w:t>
      </w:r>
      <w:r>
        <w:t>)</w:t>
      </w:r>
      <w:r w:rsidR="007E4DB8" w:rsidRPr="003554D8">
        <w:t>.</w:t>
      </w:r>
    </w:p>
    <w:p w:rsidR="007E4DB8" w:rsidRPr="003554D8" w:rsidRDefault="007E4DB8" w:rsidP="003554D8">
      <w:pPr>
        <w:pStyle w:val="Heading4"/>
      </w:pPr>
      <w:r w:rsidRPr="003554D8">
        <w:lastRenderedPageBreak/>
        <w:t>Efficacy</w:t>
      </w:r>
    </w:p>
    <w:p w:rsidR="007E4DB8" w:rsidRPr="003554D8" w:rsidRDefault="007E4DB8" w:rsidP="003554D8">
      <w:pPr>
        <w:pStyle w:val="Heading5"/>
      </w:pPr>
      <w:r w:rsidRPr="003554D8">
        <w:t>First-line use with FOLFIRI</w:t>
      </w:r>
    </w:p>
    <w:p w:rsidR="007E4DB8" w:rsidRPr="003554D8" w:rsidRDefault="00F819C6" w:rsidP="003554D8">
      <w:r>
        <w:t xml:space="preserve">The use of cetuximab </w:t>
      </w:r>
      <w:r w:rsidR="00E10DDB" w:rsidRPr="00E10DDB">
        <w:t xml:space="preserve">first-line in combination with </w:t>
      </w:r>
      <w:r w:rsidR="00E10DDB">
        <w:t>FOLF</w:t>
      </w:r>
      <w:r w:rsidR="000457A1">
        <w:t>I</w:t>
      </w:r>
      <w:r w:rsidR="00E10DDB">
        <w:t xml:space="preserve">RI </w:t>
      </w:r>
      <w:r w:rsidR="007E4DB8" w:rsidRPr="003554D8">
        <w:t>is supported by the clinical evaluator</w:t>
      </w:r>
      <w:r w:rsidR="003554D8">
        <w:t xml:space="preserve">, FDA and NCCN. </w:t>
      </w:r>
      <w:r w:rsidR="007E4DB8" w:rsidRPr="003554D8">
        <w:t>The sponsor and the EU CHMP consider that a broader indication in combination with “irinotecan-based chemotherapy” is appropriate.</w:t>
      </w:r>
    </w:p>
    <w:p w:rsidR="007E4DB8" w:rsidRPr="003554D8" w:rsidRDefault="007E4DB8" w:rsidP="003554D8">
      <w:r w:rsidRPr="003554D8">
        <w:t>The pivotal study in support of such use is CRYSTAL</w:t>
      </w:r>
      <w:r w:rsidR="003554D8">
        <w:t xml:space="preserve">. </w:t>
      </w:r>
      <w:r w:rsidRPr="003554D8">
        <w:t xml:space="preserve">An update (31 May 2009 cut-off) is </w:t>
      </w:r>
      <w:r w:rsidR="003554D8">
        <w:t>provided</w:t>
      </w:r>
      <w:r w:rsidRPr="003554D8">
        <w:t xml:space="preserve">. More subjects had K-RAS status determined (1063/1198 or 88.7%); of those evaluable, 62.7% were </w:t>
      </w:r>
      <w:r w:rsidR="003554D8">
        <w:t xml:space="preserve">wild type. </w:t>
      </w:r>
      <w:r w:rsidRPr="003554D8">
        <w:t xml:space="preserve">Given the indication is restricted to </w:t>
      </w:r>
      <w:r w:rsidR="003554D8">
        <w:t xml:space="preserve">wild type </w:t>
      </w:r>
      <w:r w:rsidRPr="003554D8">
        <w:t>K-RAS subjects, comments are restricted to analyses of that group.</w:t>
      </w:r>
    </w:p>
    <w:p w:rsidR="007E4DB8" w:rsidRPr="003554D8" w:rsidRDefault="007E4DB8" w:rsidP="003554D8">
      <w:r w:rsidRPr="003554D8">
        <w:t>Median PFS was 9.9 months for the cetuximab + FOLFIRI arm, and 8.4 months for the FOLFIRI arm (a modest 1.5 month improvement, which w</w:t>
      </w:r>
      <w:r w:rsidR="003554D8">
        <w:t xml:space="preserve">as statistically significant). </w:t>
      </w:r>
      <w:r w:rsidRPr="003554D8">
        <w:t>The HR was 0.70 (95% CI 0.56-0.87).</w:t>
      </w:r>
    </w:p>
    <w:p w:rsidR="007E4DB8" w:rsidRPr="003554D8" w:rsidRDefault="007E4DB8" w:rsidP="003554D8">
      <w:r w:rsidRPr="003554D8">
        <w:t>Median OS was 23.5 months for the cetuximab + FOLFIRI arm, and 20 months for the F</w:t>
      </w:r>
      <w:r w:rsidR="003554D8">
        <w:t xml:space="preserve">OLFIRI arm (a 3.5 month gain). </w:t>
      </w:r>
      <w:r w:rsidRPr="003554D8">
        <w:t>The HR was 0.80 (95% CI 0</w:t>
      </w:r>
      <w:r w:rsidR="003554D8">
        <w:t xml:space="preserve">.67-0.95). </w:t>
      </w:r>
      <w:r w:rsidRPr="003554D8">
        <w:t>In the small group with ECOG</w:t>
      </w:r>
      <w:r w:rsidR="00F819C6">
        <w:t xml:space="preserve"> performance</w:t>
      </w:r>
      <w:r w:rsidRPr="003554D8">
        <w:t xml:space="preserve"> status &gt;2, there was no OS</w:t>
      </w:r>
      <w:r w:rsidR="003554D8">
        <w:t xml:space="preserve"> benefit in the cetuximab arm. </w:t>
      </w:r>
      <w:r w:rsidRPr="003554D8">
        <w:t xml:space="preserve">In the larger group of </w:t>
      </w:r>
      <w:proofErr w:type="gramStart"/>
      <w:r w:rsidRPr="003554D8">
        <w:t>patients</w:t>
      </w:r>
      <w:proofErr w:type="gramEnd"/>
      <w:r w:rsidRPr="003554D8">
        <w:t xml:space="preserve"> ≥65 yrs of age, there was also essentially no benefit.</w:t>
      </w:r>
    </w:p>
    <w:p w:rsidR="007E4DB8" w:rsidRPr="003554D8" w:rsidRDefault="007E4DB8" w:rsidP="003554D8">
      <w:pPr>
        <w:pStyle w:val="Heading5"/>
      </w:pPr>
      <w:r w:rsidRPr="003554D8">
        <w:t>First-line use with FOLFOX-like regimens</w:t>
      </w:r>
    </w:p>
    <w:p w:rsidR="007E4DB8" w:rsidRDefault="007E4DB8" w:rsidP="003554D8">
      <w:r w:rsidRPr="003554D8">
        <w:t>This us</w:t>
      </w:r>
      <w:r w:rsidR="00F819C6">
        <w:t>e of cetuximab</w:t>
      </w:r>
      <w:r w:rsidR="00E10DDB" w:rsidRPr="00E10DDB">
        <w:t xml:space="preserve"> first-line in combination with FOLFOX </w:t>
      </w:r>
      <w:r w:rsidRPr="003554D8">
        <w:t xml:space="preserve">is supported by the sponsor but </w:t>
      </w:r>
      <w:r w:rsidR="003554D8">
        <w:t xml:space="preserve">not by the clinical evaluator. </w:t>
      </w:r>
      <w:r w:rsidRPr="003554D8">
        <w:t>The EMA has approved</w:t>
      </w:r>
      <w:r w:rsidR="00CC17EF">
        <w:t xml:space="preserve"> this use; the US FDA has not. The </w:t>
      </w:r>
      <w:r w:rsidRPr="003554D8">
        <w:t>NCCN guide</w:t>
      </w:r>
      <w:r w:rsidR="003554D8">
        <w:t xml:space="preserve">lines do not endorse this use. </w:t>
      </w:r>
      <w:r w:rsidRPr="003554D8">
        <w:t>The following table describes various FOLFOX-like regimens:</w:t>
      </w:r>
    </w:p>
    <w:p w:rsidR="00CC17EF" w:rsidRPr="003554D8" w:rsidRDefault="009F76C5" w:rsidP="00684713">
      <w:pPr>
        <w:pStyle w:val="TableTitle"/>
      </w:pPr>
      <w:proofErr w:type="gramStart"/>
      <w:r>
        <w:t>Table 6</w:t>
      </w:r>
      <w:r w:rsidR="00CC17EF">
        <w:t>.</w:t>
      </w:r>
      <w:proofErr w:type="gramEnd"/>
      <w:r w:rsidR="00CC17EF">
        <w:t xml:space="preserve"> </w:t>
      </w:r>
      <w:r w:rsidR="00CC17EF" w:rsidRPr="00CC17EF">
        <w:t>FOLFOX-like regimens</w:t>
      </w:r>
    </w:p>
    <w:tbl>
      <w:tblPr>
        <w:tblStyle w:val="TableTGAblue"/>
        <w:tblW w:w="0" w:type="auto"/>
        <w:tblInd w:w="108" w:type="dxa"/>
        <w:tblLook w:val="04A0"/>
      </w:tblPr>
      <w:tblGrid>
        <w:gridCol w:w="1843"/>
        <w:gridCol w:w="1559"/>
        <w:gridCol w:w="2694"/>
        <w:gridCol w:w="2516"/>
      </w:tblGrid>
      <w:tr w:rsidR="007E4DB8" w:rsidRPr="003554D8" w:rsidTr="0018056E">
        <w:trPr>
          <w:cnfStyle w:val="100000000000"/>
          <w:cantSplit/>
          <w:tblHeader/>
        </w:trPr>
        <w:tc>
          <w:tcPr>
            <w:tcW w:w="1843" w:type="dxa"/>
          </w:tcPr>
          <w:p w:rsidR="007E4DB8" w:rsidRPr="003554D8" w:rsidRDefault="007E4DB8" w:rsidP="00F819C6">
            <w:pPr>
              <w:keepNext/>
              <w:ind w:left="0" w:right="0"/>
              <w:rPr>
                <w:sz w:val="20"/>
                <w:szCs w:val="20"/>
              </w:rPr>
            </w:pPr>
          </w:p>
        </w:tc>
        <w:tc>
          <w:tcPr>
            <w:tcW w:w="1559" w:type="dxa"/>
          </w:tcPr>
          <w:p w:rsidR="007E4DB8" w:rsidRPr="003554D8" w:rsidRDefault="007E4DB8" w:rsidP="00F819C6">
            <w:pPr>
              <w:keepNext/>
              <w:ind w:left="0" w:right="0"/>
              <w:rPr>
                <w:sz w:val="20"/>
                <w:szCs w:val="20"/>
              </w:rPr>
            </w:pPr>
            <w:r w:rsidRPr="003554D8">
              <w:rPr>
                <w:sz w:val="20"/>
                <w:szCs w:val="20"/>
              </w:rPr>
              <w:t>Oxaliplatin</w:t>
            </w:r>
          </w:p>
        </w:tc>
        <w:tc>
          <w:tcPr>
            <w:tcW w:w="2694" w:type="dxa"/>
          </w:tcPr>
          <w:p w:rsidR="007E4DB8" w:rsidRPr="003554D8" w:rsidRDefault="007E4DB8" w:rsidP="00F819C6">
            <w:pPr>
              <w:keepNext/>
              <w:ind w:left="0" w:right="0"/>
              <w:rPr>
                <w:sz w:val="20"/>
                <w:szCs w:val="20"/>
              </w:rPr>
            </w:pPr>
            <w:r w:rsidRPr="003554D8">
              <w:rPr>
                <w:sz w:val="20"/>
                <w:szCs w:val="20"/>
              </w:rPr>
              <w:t>5-FU</w:t>
            </w:r>
          </w:p>
        </w:tc>
        <w:tc>
          <w:tcPr>
            <w:tcW w:w="2516" w:type="dxa"/>
          </w:tcPr>
          <w:p w:rsidR="007E4DB8" w:rsidRPr="003554D8" w:rsidRDefault="007E4DB8" w:rsidP="00F819C6">
            <w:pPr>
              <w:keepNext/>
              <w:ind w:left="0" w:right="0"/>
              <w:rPr>
                <w:sz w:val="20"/>
                <w:szCs w:val="20"/>
              </w:rPr>
            </w:pPr>
            <w:r w:rsidRPr="003554D8">
              <w:rPr>
                <w:sz w:val="20"/>
                <w:szCs w:val="20"/>
              </w:rPr>
              <w:t>Folinic acid</w:t>
            </w:r>
          </w:p>
        </w:tc>
      </w:tr>
      <w:tr w:rsidR="007E4DB8" w:rsidRPr="003554D8" w:rsidTr="0018056E">
        <w:tc>
          <w:tcPr>
            <w:tcW w:w="1843" w:type="dxa"/>
          </w:tcPr>
          <w:p w:rsidR="007E4DB8" w:rsidRPr="003554D8" w:rsidRDefault="007E4DB8" w:rsidP="00F819C6">
            <w:pPr>
              <w:keepNext/>
              <w:spacing w:before="0" w:after="0"/>
              <w:ind w:left="0" w:right="0"/>
              <w:rPr>
                <w:sz w:val="20"/>
                <w:szCs w:val="20"/>
              </w:rPr>
            </w:pPr>
            <w:r w:rsidRPr="003554D8">
              <w:rPr>
                <w:sz w:val="20"/>
                <w:szCs w:val="20"/>
              </w:rPr>
              <w:t>FOLFOX4 in OPUS;</w:t>
            </w:r>
          </w:p>
          <w:p w:rsidR="007E4DB8" w:rsidRPr="003554D8" w:rsidRDefault="007E4DB8" w:rsidP="00F819C6">
            <w:pPr>
              <w:keepNext/>
              <w:spacing w:before="0" w:after="0"/>
              <w:ind w:left="0" w:right="0"/>
              <w:rPr>
                <w:sz w:val="20"/>
                <w:szCs w:val="20"/>
              </w:rPr>
            </w:pPr>
            <w:r w:rsidRPr="003554D8">
              <w:rPr>
                <w:sz w:val="20"/>
                <w:szCs w:val="20"/>
              </w:rPr>
              <w:t>2 wk cycle</w:t>
            </w:r>
          </w:p>
        </w:tc>
        <w:tc>
          <w:tcPr>
            <w:tcW w:w="1559" w:type="dxa"/>
          </w:tcPr>
          <w:p w:rsidR="007E4DB8" w:rsidRPr="003554D8" w:rsidRDefault="007E4DB8" w:rsidP="00F819C6">
            <w:pPr>
              <w:keepNext/>
              <w:spacing w:before="0" w:after="0"/>
              <w:ind w:left="0" w:right="0"/>
              <w:rPr>
                <w:sz w:val="20"/>
                <w:szCs w:val="20"/>
              </w:rPr>
            </w:pPr>
            <w:r w:rsidRPr="003554D8">
              <w:rPr>
                <w:sz w:val="20"/>
                <w:szCs w:val="20"/>
              </w:rPr>
              <w:t>85 mg/m</w:t>
            </w:r>
            <w:r w:rsidRPr="00F819C6">
              <w:rPr>
                <w:sz w:val="20"/>
                <w:szCs w:val="20"/>
                <w:vertAlign w:val="superscript"/>
              </w:rPr>
              <w:t>2</w:t>
            </w:r>
            <w:r w:rsidRPr="003554D8">
              <w:rPr>
                <w:sz w:val="20"/>
                <w:szCs w:val="20"/>
              </w:rPr>
              <w:t xml:space="preserve"> over 2 hrs on Day 1</w:t>
            </w:r>
          </w:p>
        </w:tc>
        <w:tc>
          <w:tcPr>
            <w:tcW w:w="2694" w:type="dxa"/>
          </w:tcPr>
          <w:p w:rsidR="007E4DB8" w:rsidRPr="003554D8" w:rsidRDefault="0018056E" w:rsidP="00F819C6">
            <w:pPr>
              <w:keepNext/>
              <w:spacing w:before="0" w:after="0"/>
              <w:ind w:left="0" w:right="0"/>
              <w:rPr>
                <w:sz w:val="20"/>
                <w:szCs w:val="20"/>
              </w:rPr>
            </w:pPr>
            <w:r>
              <w:rPr>
                <w:sz w:val="20"/>
                <w:szCs w:val="20"/>
              </w:rPr>
              <w:t>On each of Days 1 and 2: 400 </w:t>
            </w:r>
            <w:r w:rsidR="007E4DB8" w:rsidRPr="003554D8">
              <w:rPr>
                <w:sz w:val="20"/>
                <w:szCs w:val="20"/>
              </w:rPr>
              <w:t>mg/m</w:t>
            </w:r>
            <w:r w:rsidR="007E4DB8" w:rsidRPr="00E10DDB">
              <w:rPr>
                <w:sz w:val="20"/>
                <w:szCs w:val="20"/>
                <w:vertAlign w:val="superscript"/>
              </w:rPr>
              <w:t>2</w:t>
            </w:r>
            <w:r>
              <w:rPr>
                <w:sz w:val="20"/>
                <w:szCs w:val="20"/>
              </w:rPr>
              <w:t xml:space="preserve"> bolus then 22 </w:t>
            </w:r>
            <w:r w:rsidR="007E4DB8" w:rsidRPr="003554D8">
              <w:rPr>
                <w:sz w:val="20"/>
                <w:szCs w:val="20"/>
              </w:rPr>
              <w:t>h</w:t>
            </w:r>
            <w:r>
              <w:rPr>
                <w:sz w:val="20"/>
                <w:szCs w:val="20"/>
              </w:rPr>
              <w:t>r</w:t>
            </w:r>
            <w:r w:rsidR="00F819C6">
              <w:rPr>
                <w:sz w:val="20"/>
                <w:szCs w:val="20"/>
              </w:rPr>
              <w:t xml:space="preserve"> </w:t>
            </w:r>
            <w:r w:rsidR="007E4DB8" w:rsidRPr="003554D8">
              <w:rPr>
                <w:sz w:val="20"/>
                <w:szCs w:val="20"/>
              </w:rPr>
              <w:t>infusion of 600 mg/m</w:t>
            </w:r>
            <w:r w:rsidR="007E4DB8" w:rsidRPr="00E10DDB">
              <w:rPr>
                <w:sz w:val="20"/>
                <w:szCs w:val="20"/>
                <w:vertAlign w:val="superscript"/>
              </w:rPr>
              <w:t>2</w:t>
            </w:r>
          </w:p>
        </w:tc>
        <w:tc>
          <w:tcPr>
            <w:tcW w:w="2516" w:type="dxa"/>
          </w:tcPr>
          <w:p w:rsidR="007E4DB8" w:rsidRPr="003554D8" w:rsidRDefault="007E4DB8" w:rsidP="00F819C6">
            <w:pPr>
              <w:keepNext/>
              <w:spacing w:before="0" w:after="0"/>
              <w:ind w:left="0" w:right="0"/>
              <w:rPr>
                <w:sz w:val="20"/>
                <w:szCs w:val="20"/>
              </w:rPr>
            </w:pPr>
            <w:r w:rsidRPr="003554D8">
              <w:rPr>
                <w:sz w:val="20"/>
                <w:szCs w:val="20"/>
              </w:rPr>
              <w:t>200 mg/m</w:t>
            </w:r>
            <w:r w:rsidRPr="00F819C6">
              <w:rPr>
                <w:sz w:val="20"/>
                <w:szCs w:val="20"/>
                <w:vertAlign w:val="superscript"/>
              </w:rPr>
              <w:t>2</w:t>
            </w:r>
            <w:r w:rsidRPr="003554D8">
              <w:rPr>
                <w:sz w:val="20"/>
                <w:szCs w:val="20"/>
              </w:rPr>
              <w:t xml:space="preserve"> over 2 hrs on Days 1 and 2</w:t>
            </w:r>
          </w:p>
        </w:tc>
      </w:tr>
      <w:tr w:rsidR="007E4DB8" w:rsidRPr="003554D8" w:rsidTr="0018056E">
        <w:tc>
          <w:tcPr>
            <w:tcW w:w="1843" w:type="dxa"/>
          </w:tcPr>
          <w:p w:rsidR="007E4DB8" w:rsidRPr="003554D8" w:rsidRDefault="007E4DB8" w:rsidP="003554D8">
            <w:pPr>
              <w:spacing w:before="0" w:after="0"/>
              <w:ind w:left="0" w:right="0"/>
              <w:rPr>
                <w:sz w:val="20"/>
                <w:szCs w:val="20"/>
              </w:rPr>
            </w:pPr>
            <w:r w:rsidRPr="003554D8">
              <w:rPr>
                <w:sz w:val="20"/>
                <w:szCs w:val="20"/>
              </w:rPr>
              <w:t xml:space="preserve">FOLFOX6 modified (metastatic; </w:t>
            </w:r>
            <w:proofErr w:type="spellStart"/>
            <w:r w:rsidRPr="003554D8">
              <w:rPr>
                <w:sz w:val="20"/>
                <w:szCs w:val="20"/>
              </w:rPr>
              <w:t>EviQ</w:t>
            </w:r>
            <w:proofErr w:type="spellEnd"/>
            <w:r w:rsidRPr="003554D8">
              <w:rPr>
                <w:sz w:val="20"/>
                <w:szCs w:val="20"/>
              </w:rPr>
              <w:t>)</w:t>
            </w:r>
          </w:p>
          <w:p w:rsidR="007E4DB8" w:rsidRPr="003554D8" w:rsidRDefault="007E4DB8" w:rsidP="003554D8">
            <w:pPr>
              <w:spacing w:before="0" w:after="0"/>
              <w:ind w:left="0" w:right="0"/>
              <w:rPr>
                <w:sz w:val="20"/>
                <w:szCs w:val="20"/>
              </w:rPr>
            </w:pPr>
            <w:r w:rsidRPr="003554D8">
              <w:rPr>
                <w:sz w:val="20"/>
                <w:szCs w:val="20"/>
              </w:rPr>
              <w:t>2 wk cycle</w:t>
            </w:r>
          </w:p>
        </w:tc>
        <w:tc>
          <w:tcPr>
            <w:tcW w:w="1559" w:type="dxa"/>
          </w:tcPr>
          <w:p w:rsidR="007E4DB8" w:rsidRPr="003554D8" w:rsidRDefault="007E4DB8" w:rsidP="003554D8">
            <w:pPr>
              <w:spacing w:before="0" w:after="0"/>
              <w:ind w:left="0" w:right="0"/>
              <w:rPr>
                <w:sz w:val="20"/>
                <w:szCs w:val="20"/>
              </w:rPr>
            </w:pPr>
            <w:r w:rsidRPr="003554D8">
              <w:rPr>
                <w:sz w:val="20"/>
                <w:szCs w:val="20"/>
              </w:rPr>
              <w:t>85 mg/m</w:t>
            </w:r>
            <w:r w:rsidRPr="00F819C6">
              <w:rPr>
                <w:sz w:val="20"/>
                <w:szCs w:val="20"/>
                <w:vertAlign w:val="superscript"/>
              </w:rPr>
              <w:t>2</w:t>
            </w:r>
            <w:r w:rsidRPr="003554D8">
              <w:rPr>
                <w:sz w:val="20"/>
                <w:szCs w:val="20"/>
              </w:rPr>
              <w:t xml:space="preserve"> over 2 hrs on Day 1</w:t>
            </w:r>
          </w:p>
        </w:tc>
        <w:tc>
          <w:tcPr>
            <w:tcW w:w="2694" w:type="dxa"/>
          </w:tcPr>
          <w:p w:rsidR="007E4DB8" w:rsidRPr="003554D8" w:rsidRDefault="007E4DB8" w:rsidP="0018056E">
            <w:pPr>
              <w:spacing w:before="0" w:after="0"/>
              <w:ind w:left="0" w:right="0"/>
              <w:rPr>
                <w:sz w:val="20"/>
                <w:szCs w:val="20"/>
              </w:rPr>
            </w:pPr>
            <w:r w:rsidRPr="003554D8">
              <w:rPr>
                <w:sz w:val="20"/>
                <w:szCs w:val="20"/>
              </w:rPr>
              <w:t>400 mg/m</w:t>
            </w:r>
            <w:r w:rsidRPr="0018056E">
              <w:rPr>
                <w:sz w:val="20"/>
                <w:szCs w:val="20"/>
                <w:vertAlign w:val="superscript"/>
              </w:rPr>
              <w:t>2</w:t>
            </w:r>
            <w:r w:rsidR="0018056E">
              <w:rPr>
                <w:sz w:val="20"/>
                <w:szCs w:val="20"/>
              </w:rPr>
              <w:t xml:space="preserve"> bolus then 2400 </w:t>
            </w:r>
            <w:r w:rsidRPr="003554D8">
              <w:rPr>
                <w:sz w:val="20"/>
                <w:szCs w:val="20"/>
              </w:rPr>
              <w:t>mg/m</w:t>
            </w:r>
            <w:r w:rsidRPr="0018056E">
              <w:rPr>
                <w:sz w:val="20"/>
                <w:szCs w:val="20"/>
                <w:vertAlign w:val="superscript"/>
              </w:rPr>
              <w:t>2</w:t>
            </w:r>
            <w:r w:rsidRPr="003554D8">
              <w:rPr>
                <w:sz w:val="20"/>
                <w:szCs w:val="20"/>
              </w:rPr>
              <w:t xml:space="preserve"> over 46 h</w:t>
            </w:r>
            <w:r w:rsidR="0018056E">
              <w:rPr>
                <w:sz w:val="20"/>
                <w:szCs w:val="20"/>
              </w:rPr>
              <w:t>rs</w:t>
            </w:r>
          </w:p>
        </w:tc>
        <w:tc>
          <w:tcPr>
            <w:tcW w:w="2516" w:type="dxa"/>
          </w:tcPr>
          <w:p w:rsidR="007E4DB8" w:rsidRPr="003554D8" w:rsidRDefault="007E4DB8" w:rsidP="003554D8">
            <w:pPr>
              <w:spacing w:before="0" w:after="0"/>
              <w:ind w:left="0" w:right="0"/>
              <w:rPr>
                <w:sz w:val="20"/>
                <w:szCs w:val="20"/>
              </w:rPr>
            </w:pPr>
            <w:r w:rsidRPr="003554D8">
              <w:rPr>
                <w:sz w:val="20"/>
                <w:szCs w:val="20"/>
              </w:rPr>
              <w:t>50 mg on Day 1</w:t>
            </w:r>
          </w:p>
        </w:tc>
      </w:tr>
      <w:tr w:rsidR="007E4DB8" w:rsidRPr="003554D8" w:rsidTr="0018056E">
        <w:trPr>
          <w:cantSplit/>
        </w:trPr>
        <w:tc>
          <w:tcPr>
            <w:tcW w:w="1843" w:type="dxa"/>
          </w:tcPr>
          <w:p w:rsidR="007E4DB8" w:rsidRPr="003554D8" w:rsidRDefault="007E4DB8" w:rsidP="003554D8">
            <w:pPr>
              <w:spacing w:before="0" w:after="0"/>
              <w:ind w:left="0" w:right="0"/>
              <w:rPr>
                <w:sz w:val="20"/>
                <w:szCs w:val="20"/>
              </w:rPr>
            </w:pPr>
            <w:proofErr w:type="spellStart"/>
            <w:r w:rsidRPr="003554D8">
              <w:rPr>
                <w:sz w:val="20"/>
                <w:szCs w:val="20"/>
              </w:rPr>
              <w:t>OxMdG</w:t>
            </w:r>
            <w:proofErr w:type="spellEnd"/>
            <w:r w:rsidRPr="003554D8">
              <w:rPr>
                <w:sz w:val="20"/>
                <w:szCs w:val="20"/>
              </w:rPr>
              <w:t xml:space="preserve"> in COIN;</w:t>
            </w:r>
          </w:p>
          <w:p w:rsidR="007E4DB8" w:rsidRPr="003554D8" w:rsidRDefault="007E4DB8" w:rsidP="003554D8">
            <w:pPr>
              <w:spacing w:before="0" w:after="0"/>
              <w:ind w:left="0" w:right="0"/>
              <w:rPr>
                <w:sz w:val="20"/>
                <w:szCs w:val="20"/>
              </w:rPr>
            </w:pPr>
            <w:r w:rsidRPr="003554D8">
              <w:rPr>
                <w:sz w:val="20"/>
                <w:szCs w:val="20"/>
              </w:rPr>
              <w:t>2 wk cycle</w:t>
            </w:r>
          </w:p>
        </w:tc>
        <w:tc>
          <w:tcPr>
            <w:tcW w:w="1559" w:type="dxa"/>
          </w:tcPr>
          <w:p w:rsidR="007E4DB8" w:rsidRPr="003554D8" w:rsidRDefault="007E4DB8" w:rsidP="003554D8">
            <w:pPr>
              <w:spacing w:before="0" w:after="0"/>
              <w:ind w:left="0" w:right="0"/>
              <w:rPr>
                <w:sz w:val="20"/>
                <w:szCs w:val="20"/>
              </w:rPr>
            </w:pPr>
            <w:r w:rsidRPr="003554D8">
              <w:rPr>
                <w:sz w:val="20"/>
                <w:szCs w:val="20"/>
              </w:rPr>
              <w:t>85 mg/m</w:t>
            </w:r>
            <w:r w:rsidRPr="00F819C6">
              <w:rPr>
                <w:sz w:val="20"/>
                <w:szCs w:val="20"/>
                <w:vertAlign w:val="superscript"/>
              </w:rPr>
              <w:t>2</w:t>
            </w:r>
            <w:r w:rsidRPr="003554D8">
              <w:rPr>
                <w:sz w:val="20"/>
                <w:szCs w:val="20"/>
              </w:rPr>
              <w:t xml:space="preserve"> over 2 hrs on Day 1</w:t>
            </w:r>
          </w:p>
        </w:tc>
        <w:tc>
          <w:tcPr>
            <w:tcW w:w="2694" w:type="dxa"/>
          </w:tcPr>
          <w:p w:rsidR="007E4DB8" w:rsidRPr="003554D8" w:rsidRDefault="00F819C6" w:rsidP="0018056E">
            <w:pPr>
              <w:spacing w:before="0" w:after="0"/>
              <w:ind w:left="0" w:right="0"/>
              <w:rPr>
                <w:sz w:val="20"/>
                <w:szCs w:val="20"/>
              </w:rPr>
            </w:pPr>
            <w:r>
              <w:rPr>
                <w:sz w:val="20"/>
                <w:szCs w:val="20"/>
              </w:rPr>
              <w:t>400 mg/</w:t>
            </w:r>
            <w:r w:rsidR="007E4DB8" w:rsidRPr="003554D8">
              <w:rPr>
                <w:sz w:val="20"/>
                <w:szCs w:val="20"/>
              </w:rPr>
              <w:t>m</w:t>
            </w:r>
            <w:r w:rsidR="007E4DB8" w:rsidRPr="00F819C6">
              <w:rPr>
                <w:sz w:val="20"/>
                <w:szCs w:val="20"/>
                <w:vertAlign w:val="superscript"/>
              </w:rPr>
              <w:t>2</w:t>
            </w:r>
            <w:r w:rsidR="007E4DB8" w:rsidRPr="003554D8">
              <w:rPr>
                <w:sz w:val="20"/>
                <w:szCs w:val="20"/>
              </w:rPr>
              <w:t xml:space="preserve"> bolus then 2400 mg/m</w:t>
            </w:r>
            <w:r w:rsidR="007E4DB8" w:rsidRPr="00F819C6">
              <w:rPr>
                <w:sz w:val="20"/>
                <w:szCs w:val="20"/>
                <w:vertAlign w:val="superscript"/>
              </w:rPr>
              <w:t>2</w:t>
            </w:r>
            <w:r w:rsidR="007E4DB8" w:rsidRPr="003554D8">
              <w:rPr>
                <w:sz w:val="20"/>
                <w:szCs w:val="20"/>
              </w:rPr>
              <w:t xml:space="preserve"> over 46 hrs</w:t>
            </w:r>
          </w:p>
        </w:tc>
        <w:tc>
          <w:tcPr>
            <w:tcW w:w="2516" w:type="dxa"/>
          </w:tcPr>
          <w:p w:rsidR="007E4DB8" w:rsidRPr="003554D8" w:rsidRDefault="007E4DB8" w:rsidP="003554D8">
            <w:pPr>
              <w:spacing w:before="0" w:after="0"/>
              <w:ind w:left="0" w:right="0"/>
              <w:rPr>
                <w:sz w:val="20"/>
                <w:szCs w:val="20"/>
              </w:rPr>
            </w:pPr>
            <w:r w:rsidRPr="003554D8">
              <w:rPr>
                <w:sz w:val="20"/>
                <w:szCs w:val="20"/>
              </w:rPr>
              <w:t>L-FA 175 mg over 2 hrs</w:t>
            </w:r>
          </w:p>
        </w:tc>
      </w:tr>
      <w:tr w:rsidR="007E4DB8" w:rsidRPr="003554D8" w:rsidTr="0018056E">
        <w:tc>
          <w:tcPr>
            <w:tcW w:w="1843" w:type="dxa"/>
          </w:tcPr>
          <w:p w:rsidR="007E4DB8" w:rsidRPr="003554D8" w:rsidRDefault="007E4DB8" w:rsidP="003554D8">
            <w:pPr>
              <w:spacing w:before="0" w:after="0"/>
              <w:ind w:left="0" w:right="0"/>
              <w:rPr>
                <w:sz w:val="20"/>
                <w:szCs w:val="20"/>
              </w:rPr>
            </w:pPr>
            <w:r w:rsidRPr="003554D8">
              <w:rPr>
                <w:sz w:val="20"/>
                <w:szCs w:val="20"/>
              </w:rPr>
              <w:t>Nordic FLOX;</w:t>
            </w:r>
          </w:p>
          <w:p w:rsidR="007E4DB8" w:rsidRPr="003554D8" w:rsidRDefault="007E4DB8" w:rsidP="003554D8">
            <w:pPr>
              <w:spacing w:before="0" w:after="0"/>
              <w:ind w:left="0" w:right="0"/>
              <w:rPr>
                <w:sz w:val="20"/>
                <w:szCs w:val="20"/>
              </w:rPr>
            </w:pPr>
            <w:r w:rsidRPr="003554D8">
              <w:rPr>
                <w:sz w:val="20"/>
                <w:szCs w:val="20"/>
              </w:rPr>
              <w:t>2 wk cycle</w:t>
            </w:r>
          </w:p>
        </w:tc>
        <w:tc>
          <w:tcPr>
            <w:tcW w:w="1559" w:type="dxa"/>
          </w:tcPr>
          <w:p w:rsidR="007E4DB8" w:rsidRPr="003554D8" w:rsidRDefault="007E4DB8" w:rsidP="003554D8">
            <w:pPr>
              <w:spacing w:before="0" w:after="0"/>
              <w:ind w:left="0" w:right="0"/>
              <w:rPr>
                <w:sz w:val="20"/>
                <w:szCs w:val="20"/>
              </w:rPr>
            </w:pPr>
            <w:r w:rsidRPr="003554D8">
              <w:rPr>
                <w:sz w:val="20"/>
                <w:szCs w:val="20"/>
              </w:rPr>
              <w:t>85 mg/m</w:t>
            </w:r>
            <w:r w:rsidRPr="00F819C6">
              <w:rPr>
                <w:sz w:val="20"/>
                <w:szCs w:val="20"/>
                <w:vertAlign w:val="superscript"/>
              </w:rPr>
              <w:t>2</w:t>
            </w:r>
            <w:r w:rsidRPr="003554D8">
              <w:rPr>
                <w:sz w:val="20"/>
                <w:szCs w:val="20"/>
              </w:rPr>
              <w:t xml:space="preserve"> over 1 hr on Day 1</w:t>
            </w:r>
          </w:p>
        </w:tc>
        <w:tc>
          <w:tcPr>
            <w:tcW w:w="2694" w:type="dxa"/>
          </w:tcPr>
          <w:p w:rsidR="007E4DB8" w:rsidRPr="003554D8" w:rsidRDefault="007E4DB8" w:rsidP="0018056E">
            <w:pPr>
              <w:spacing w:before="0" w:after="0"/>
              <w:ind w:left="0" w:right="0"/>
              <w:rPr>
                <w:sz w:val="20"/>
                <w:szCs w:val="20"/>
              </w:rPr>
            </w:pPr>
            <w:r w:rsidRPr="003554D8">
              <w:rPr>
                <w:sz w:val="20"/>
                <w:szCs w:val="20"/>
              </w:rPr>
              <w:t>On each of Days 1 and 2: 500</w:t>
            </w:r>
            <w:r w:rsidR="0018056E">
              <w:rPr>
                <w:sz w:val="20"/>
                <w:szCs w:val="20"/>
              </w:rPr>
              <w:t> </w:t>
            </w:r>
            <w:r w:rsidRPr="003554D8">
              <w:rPr>
                <w:sz w:val="20"/>
                <w:szCs w:val="20"/>
              </w:rPr>
              <w:t>mg/m</w:t>
            </w:r>
            <w:r w:rsidRPr="00F819C6">
              <w:rPr>
                <w:sz w:val="20"/>
                <w:szCs w:val="20"/>
                <w:vertAlign w:val="superscript"/>
              </w:rPr>
              <w:t>2</w:t>
            </w:r>
            <w:r w:rsidRPr="003554D8">
              <w:rPr>
                <w:sz w:val="20"/>
                <w:szCs w:val="20"/>
              </w:rPr>
              <w:t xml:space="preserve"> as bolus</w:t>
            </w:r>
          </w:p>
        </w:tc>
        <w:tc>
          <w:tcPr>
            <w:tcW w:w="2516" w:type="dxa"/>
          </w:tcPr>
          <w:p w:rsidR="007E4DB8" w:rsidRPr="003554D8" w:rsidRDefault="007E4DB8" w:rsidP="003554D8">
            <w:pPr>
              <w:spacing w:before="0" w:after="0"/>
              <w:ind w:left="0" w:right="0"/>
              <w:rPr>
                <w:sz w:val="20"/>
                <w:szCs w:val="20"/>
              </w:rPr>
            </w:pPr>
            <w:r w:rsidRPr="003554D8">
              <w:rPr>
                <w:sz w:val="20"/>
                <w:szCs w:val="20"/>
              </w:rPr>
              <w:t>60 mg/m</w:t>
            </w:r>
            <w:r w:rsidRPr="00F819C6">
              <w:rPr>
                <w:sz w:val="20"/>
                <w:szCs w:val="20"/>
                <w:vertAlign w:val="superscript"/>
              </w:rPr>
              <w:t>2</w:t>
            </w:r>
            <w:r w:rsidR="0018056E">
              <w:rPr>
                <w:sz w:val="20"/>
                <w:szCs w:val="20"/>
              </w:rPr>
              <w:t xml:space="preserve"> as bolus after 5</w:t>
            </w:r>
            <w:r w:rsidR="0018056E">
              <w:rPr>
                <w:sz w:val="20"/>
                <w:szCs w:val="20"/>
              </w:rPr>
              <w:noBreakHyphen/>
            </w:r>
            <w:r w:rsidRPr="003554D8">
              <w:rPr>
                <w:sz w:val="20"/>
                <w:szCs w:val="20"/>
              </w:rPr>
              <w:t>FU on each of Days 1-2</w:t>
            </w:r>
          </w:p>
        </w:tc>
      </w:tr>
    </w:tbl>
    <w:p w:rsidR="007E4DB8" w:rsidRPr="003554D8" w:rsidRDefault="007E4DB8" w:rsidP="0018056E">
      <w:pPr>
        <w:pStyle w:val="Heading6"/>
        <w:spacing w:line="240" w:lineRule="auto"/>
      </w:pPr>
      <w:r w:rsidRPr="003554D8">
        <w:t>OPUS</w:t>
      </w:r>
      <w:r w:rsidR="00684713">
        <w:t xml:space="preserve"> s</w:t>
      </w:r>
      <w:r w:rsidR="00F938E7">
        <w:t>tudy</w:t>
      </w:r>
    </w:p>
    <w:p w:rsidR="007E4DB8" w:rsidRPr="003554D8" w:rsidRDefault="007E4DB8" w:rsidP="003554D8">
      <w:r w:rsidRPr="003554D8">
        <w:t>A pivotal study in support of this use is OPUS, where FOLF</w:t>
      </w:r>
      <w:r w:rsidR="00CC17EF">
        <w:t xml:space="preserve">OX4 was the reference regimen. </w:t>
      </w:r>
      <w:r w:rsidRPr="003554D8">
        <w:t xml:space="preserve">An update (30 November 2008 cut-off) is </w:t>
      </w:r>
      <w:r w:rsidR="00CC17EF">
        <w:t xml:space="preserve">provided. </w:t>
      </w:r>
      <w:r w:rsidRPr="003554D8">
        <w:t xml:space="preserve">In this case, 315/337 </w:t>
      </w:r>
      <w:r w:rsidR="00E10DDB">
        <w:t xml:space="preserve">patients </w:t>
      </w:r>
      <w:r w:rsidRPr="003554D8">
        <w:t>were evaluable for K-RAS st</w:t>
      </w:r>
      <w:r w:rsidR="00CC17EF">
        <w:t xml:space="preserve">atus; of these, 56.8% were wild type. </w:t>
      </w:r>
      <w:r w:rsidRPr="003554D8">
        <w:t xml:space="preserve">Again, only the </w:t>
      </w:r>
      <w:r w:rsidR="00CC17EF" w:rsidRPr="00CC17EF">
        <w:t xml:space="preserve">wild type </w:t>
      </w:r>
      <w:r w:rsidRPr="003554D8">
        <w:t>p</w:t>
      </w:r>
      <w:r w:rsidR="00CC17EF">
        <w:t xml:space="preserve">opulation is considered below. </w:t>
      </w:r>
      <w:r w:rsidRPr="003554D8">
        <w:t>Although ORR was the primary endpoint, PFS and OS are considered useful.</w:t>
      </w:r>
    </w:p>
    <w:p w:rsidR="007E4DB8" w:rsidRPr="003554D8" w:rsidRDefault="007E4DB8" w:rsidP="003554D8">
      <w:r w:rsidRPr="003554D8">
        <w:t xml:space="preserve">Median PFS was 8.3 months for cetuximab + FOLFOX4, </w:t>
      </w:r>
      <w:r w:rsidR="004F441E">
        <w:t>versus</w:t>
      </w:r>
      <w:r w:rsidR="00E10DDB">
        <w:t xml:space="preserve"> 7.2 months for FOLFOX4. </w:t>
      </w:r>
      <w:r w:rsidRPr="003554D8">
        <w:t>The hazard ratio (HR) was impressive at 0.57 (95% CI 0.38-0.86), but effect size in terms of difference in median PFS was more modest.</w:t>
      </w:r>
    </w:p>
    <w:p w:rsidR="007E4DB8" w:rsidRPr="003554D8" w:rsidRDefault="007E4DB8" w:rsidP="003554D8">
      <w:r w:rsidRPr="003554D8">
        <w:t xml:space="preserve">Median OS was 22.8 months for cetuximab + FOLFOX4, </w:t>
      </w:r>
      <w:r w:rsidR="004F441E" w:rsidRPr="004F441E">
        <w:t>versus</w:t>
      </w:r>
      <w:r w:rsidRPr="003554D8">
        <w:t xml:space="preserve"> 18.5 months for FOLFOX4 (n</w:t>
      </w:r>
      <w:r w:rsidR="00E10DDB">
        <w:t xml:space="preserve">ot statistically significant). </w:t>
      </w:r>
      <w:r w:rsidRPr="003554D8">
        <w:t>The HR was 0.86 (95% CI 0.60-1.22)</w:t>
      </w:r>
      <w:r w:rsidR="00E10DDB">
        <w:t>.</w:t>
      </w:r>
    </w:p>
    <w:p w:rsidR="007E4DB8" w:rsidRPr="003554D8" w:rsidRDefault="007E4DB8" w:rsidP="003554D8">
      <w:r w:rsidRPr="003554D8">
        <w:t>OPUS is supportive of use in combination with FOLFOX, with gains sim</w:t>
      </w:r>
      <w:r w:rsidR="00E10DDB">
        <w:t>ilar to those seen in CRYSTAL. The i</w:t>
      </w:r>
      <w:r w:rsidRPr="003554D8">
        <w:t xml:space="preserve">nvestigator-sponsored COIN </w:t>
      </w:r>
      <w:r w:rsidR="00E10DDB">
        <w:t xml:space="preserve">Study </w:t>
      </w:r>
      <w:r w:rsidRPr="003554D8">
        <w:t>produced a different picture, as described below.</w:t>
      </w:r>
    </w:p>
    <w:p w:rsidR="007E4DB8" w:rsidRPr="003554D8" w:rsidRDefault="007E4DB8" w:rsidP="003554D8">
      <w:pPr>
        <w:pStyle w:val="Heading6"/>
      </w:pPr>
      <w:r w:rsidRPr="003554D8">
        <w:lastRenderedPageBreak/>
        <w:t>COIN</w:t>
      </w:r>
      <w:r w:rsidR="00684713">
        <w:t xml:space="preserve"> s</w:t>
      </w:r>
      <w:r w:rsidR="00F938E7">
        <w:t>tudy</w:t>
      </w:r>
    </w:p>
    <w:p w:rsidR="00F938E7" w:rsidRPr="00F938E7" w:rsidRDefault="007E4DB8" w:rsidP="00F938E7">
      <w:r w:rsidRPr="00F938E7">
        <w:t>COIN had three arms</w:t>
      </w:r>
      <w:r w:rsidR="00F938E7" w:rsidRPr="00F938E7">
        <w:t xml:space="preserve">: Arm A (control): oxaliplatin + </w:t>
      </w:r>
      <w:proofErr w:type="spellStart"/>
      <w:r w:rsidR="00F938E7" w:rsidRPr="00F938E7">
        <w:t>fluoropyrimidine</w:t>
      </w:r>
      <w:proofErr w:type="spellEnd"/>
      <w:r w:rsidR="00F938E7" w:rsidRPr="00F938E7">
        <w:t xml:space="preserve"> (</w:t>
      </w:r>
      <w:proofErr w:type="spellStart"/>
      <w:r w:rsidR="00F938E7" w:rsidRPr="00F938E7">
        <w:t>OxFp</w:t>
      </w:r>
      <w:proofErr w:type="spellEnd"/>
      <w:r w:rsidR="00F938E7" w:rsidRPr="00F938E7">
        <w:t xml:space="preserve">) chemotherapy </w:t>
      </w:r>
      <w:r w:rsidR="00F938E7">
        <w:t>(XELOX/</w:t>
      </w:r>
      <w:proofErr w:type="spellStart"/>
      <w:r w:rsidR="00F938E7">
        <w:t>OxMdG</w:t>
      </w:r>
      <w:proofErr w:type="spellEnd"/>
      <w:r w:rsidR="00F938E7" w:rsidRPr="00F938E7">
        <w:rPr>
          <w:vertAlign w:val="superscript"/>
        </w:rPr>
        <w:footnoteReference w:id="10"/>
      </w:r>
      <w:r w:rsidR="00F938E7">
        <w:t>);</w:t>
      </w:r>
      <w:r w:rsidR="00F938E7" w:rsidRPr="00F938E7">
        <w:t xml:space="preserve"> Arm B: cetuximab at the standard approved regimen added to the same chemotherapy schedule</w:t>
      </w:r>
      <w:r w:rsidR="00F938E7">
        <w:t>;</w:t>
      </w:r>
      <w:r w:rsidR="00F938E7" w:rsidRPr="00F938E7">
        <w:t xml:space="preserve"> Arm C</w:t>
      </w:r>
      <w:r w:rsidR="00F938E7">
        <w:t>:</w:t>
      </w:r>
      <w:r w:rsidR="00F938E7" w:rsidRPr="00F938E7">
        <w:t xml:space="preserve"> intermittent schedule of </w:t>
      </w:r>
      <w:proofErr w:type="spellStart"/>
      <w:r w:rsidR="00F938E7" w:rsidRPr="00F938E7">
        <w:t>OxFp</w:t>
      </w:r>
      <w:proofErr w:type="spellEnd"/>
      <w:r w:rsidR="00F938E7" w:rsidRPr="00F938E7">
        <w:t xml:space="preserve"> chemotherapy (</w:t>
      </w:r>
      <w:proofErr w:type="spellStart"/>
      <w:r w:rsidR="00F938E7" w:rsidRPr="00F938E7">
        <w:t>OxMdG</w:t>
      </w:r>
      <w:proofErr w:type="spellEnd"/>
      <w:r w:rsidR="00F938E7" w:rsidRPr="00F938E7">
        <w:t xml:space="preserve">/XELOX) without </w:t>
      </w:r>
      <w:proofErr w:type="spellStart"/>
      <w:r w:rsidR="00F938E7" w:rsidRPr="00F938E7">
        <w:t>cetuximab</w:t>
      </w:r>
      <w:proofErr w:type="spellEnd"/>
      <w:r w:rsidR="00F938E7">
        <w:t>.</w:t>
      </w:r>
    </w:p>
    <w:p w:rsidR="007E4DB8" w:rsidRPr="003554D8" w:rsidRDefault="007E4DB8" w:rsidP="003554D8">
      <w:r w:rsidRPr="003554D8">
        <w:t xml:space="preserve">Comparison of Arm A ([5-FU or capecitabine] + oxaliplatin) and Arm B (same + </w:t>
      </w:r>
      <w:proofErr w:type="spellStart"/>
      <w:r w:rsidRPr="003554D8">
        <w:t>cetuximab</w:t>
      </w:r>
      <w:proofErr w:type="spellEnd"/>
      <w:r w:rsidRPr="003554D8">
        <w:t>) is key.</w:t>
      </w:r>
    </w:p>
    <w:p w:rsidR="007E4DB8" w:rsidRPr="003554D8" w:rsidRDefault="007E4DB8" w:rsidP="003554D8">
      <w:r w:rsidRPr="003554D8">
        <w:t xml:space="preserve">There was </w:t>
      </w:r>
      <w:r w:rsidR="004A2C56">
        <w:t xml:space="preserve">a </w:t>
      </w:r>
      <w:r w:rsidRPr="003554D8">
        <w:t>pre-defined subgroup analysis for those</w:t>
      </w:r>
      <w:r w:rsidR="00E10DDB">
        <w:t xml:space="preserve"> receiving 5-FU + </w:t>
      </w:r>
      <w:proofErr w:type="spellStart"/>
      <w:r w:rsidR="00E10DDB">
        <w:t>oxaliplatin</w:t>
      </w:r>
      <w:proofErr w:type="spellEnd"/>
      <w:r w:rsidR="00E10DDB">
        <w:t xml:space="preserve"> (</w:t>
      </w:r>
      <w:proofErr w:type="spellStart"/>
      <w:r w:rsidRPr="003554D8">
        <w:t>OxMdG</w:t>
      </w:r>
      <w:proofErr w:type="spellEnd"/>
      <w:r w:rsidRPr="003554D8">
        <w:t xml:space="preserve">) and for those receiving capecitabine + oxaliplatin (XELOX) (there was no random allocation to </w:t>
      </w:r>
      <w:proofErr w:type="spellStart"/>
      <w:r w:rsidRPr="003554D8">
        <w:t>OxMdG</w:t>
      </w:r>
      <w:proofErr w:type="spellEnd"/>
      <w:r w:rsidRPr="003554D8">
        <w:t xml:space="preserve"> and XELOX; patients / clinicians chose </w:t>
      </w:r>
      <w:proofErr w:type="spellStart"/>
      <w:r w:rsidRPr="003554D8">
        <w:t>OxMdG</w:t>
      </w:r>
      <w:proofErr w:type="spellEnd"/>
      <w:r w:rsidRPr="003554D8">
        <w:t xml:space="preserve"> or XELOX before randomisation into main arms).</w:t>
      </w:r>
    </w:p>
    <w:p w:rsidR="007E4DB8" w:rsidRDefault="00C404AC" w:rsidP="003554D8">
      <w:proofErr w:type="spellStart"/>
      <w:r>
        <w:t>OxMdG</w:t>
      </w:r>
      <w:proofErr w:type="spellEnd"/>
      <w:r>
        <w:t xml:space="preserve"> is comparable with</w:t>
      </w:r>
      <w:r w:rsidR="007E4DB8" w:rsidRPr="003554D8">
        <w:t xml:space="preserve"> </w:t>
      </w:r>
      <w:r w:rsidR="00E10DDB">
        <w:t>but not identical to FOLFOX4/</w:t>
      </w:r>
      <w:r w:rsidR="007E4DB8" w:rsidRPr="003554D8">
        <w:t xml:space="preserve">FOLFOX6. The K-RAS </w:t>
      </w:r>
      <w:r w:rsidR="00E10DDB">
        <w:t xml:space="preserve">wild type </w:t>
      </w:r>
      <w:r w:rsidR="007E4DB8" w:rsidRPr="003554D8">
        <w:t>subgroup (55.4% of t</w:t>
      </w:r>
      <w:r w:rsidR="00C66AA9">
        <w:t xml:space="preserve">hose evaluable) is considered. </w:t>
      </w:r>
      <w:r w:rsidR="007E4DB8" w:rsidRPr="003554D8">
        <w:t xml:space="preserve">The most relevant comparison is between 117 </w:t>
      </w:r>
      <w:r w:rsidR="00E10DDB" w:rsidRPr="00E10DDB">
        <w:t>wild type</w:t>
      </w:r>
      <w:r w:rsidR="007E4DB8" w:rsidRPr="003554D8">
        <w:t xml:space="preserve"> patients who received </w:t>
      </w:r>
      <w:proofErr w:type="spellStart"/>
      <w:r w:rsidR="007E4DB8" w:rsidRPr="003554D8">
        <w:t>cetuximab</w:t>
      </w:r>
      <w:proofErr w:type="spellEnd"/>
      <w:r w:rsidR="007E4DB8" w:rsidRPr="003554D8">
        <w:t xml:space="preserve"> + </w:t>
      </w:r>
      <w:proofErr w:type="spellStart"/>
      <w:r w:rsidR="007E4DB8" w:rsidRPr="003554D8">
        <w:t>OxMdG</w:t>
      </w:r>
      <w:proofErr w:type="spellEnd"/>
      <w:r w:rsidR="007E4DB8" w:rsidRPr="003554D8">
        <w:t xml:space="preserve"> and 127 </w:t>
      </w:r>
      <w:r w:rsidR="00E10DDB" w:rsidRPr="00E10DDB">
        <w:t>wild type</w:t>
      </w:r>
      <w:r w:rsidR="007E4DB8" w:rsidRPr="003554D8">
        <w:t xml:space="preserve"> patients who received </w:t>
      </w:r>
      <w:proofErr w:type="spellStart"/>
      <w:r w:rsidR="007E4DB8" w:rsidRPr="003554D8">
        <w:t>OxMdG</w:t>
      </w:r>
      <w:proofErr w:type="spellEnd"/>
      <w:r w:rsidR="007E4DB8" w:rsidRPr="003554D8">
        <w:t xml:space="preserve">. Table </w:t>
      </w:r>
      <w:r w:rsidR="009F76C5">
        <w:t>7</w:t>
      </w:r>
      <w:r w:rsidR="00AA32C7">
        <w:t xml:space="preserve"> below </w:t>
      </w:r>
      <w:r w:rsidR="007E4DB8" w:rsidRPr="003554D8">
        <w:t>sets out results</w:t>
      </w:r>
      <w:r>
        <w:t>;</w:t>
      </w:r>
      <w:r w:rsidR="00AA32C7">
        <w:t xml:space="preserve"> survival curves </w:t>
      </w:r>
      <w:r>
        <w:t xml:space="preserve">from this study </w:t>
      </w:r>
      <w:r w:rsidR="0018056E">
        <w:t xml:space="preserve">are </w:t>
      </w:r>
      <w:r w:rsidR="00AA32C7">
        <w:t>shown in Figure</w:t>
      </w:r>
      <w:r w:rsidR="004F044B">
        <w:t>s</w:t>
      </w:r>
      <w:r w:rsidR="00AA32C7">
        <w:t xml:space="preserve"> </w:t>
      </w:r>
      <w:r w:rsidR="004F044B">
        <w:t>1</w:t>
      </w:r>
      <w:r>
        <w:t xml:space="preserve"> and </w:t>
      </w:r>
      <w:r w:rsidR="004F044B">
        <w:t>2</w:t>
      </w:r>
      <w:r>
        <w:t xml:space="preserve">; and subgroup analyses are shown in Figures </w:t>
      </w:r>
      <w:r w:rsidR="004F044B">
        <w:t>3</w:t>
      </w:r>
      <w:r w:rsidR="0018056E">
        <w:t xml:space="preserve"> and </w:t>
      </w:r>
      <w:r w:rsidR="004F044B">
        <w:t>4</w:t>
      </w:r>
      <w:r w:rsidR="00684713">
        <w:t>.</w:t>
      </w:r>
    </w:p>
    <w:p w:rsidR="00C66AA9" w:rsidRPr="00C66AA9" w:rsidRDefault="009F76C5" w:rsidP="00684713">
      <w:pPr>
        <w:pStyle w:val="TableTitle"/>
      </w:pPr>
      <w:proofErr w:type="gramStart"/>
      <w:r>
        <w:t>Table 7</w:t>
      </w:r>
      <w:r w:rsidR="00AA32C7">
        <w:t>.</w:t>
      </w:r>
      <w:proofErr w:type="gramEnd"/>
      <w:r w:rsidR="00AA32C7">
        <w:t xml:space="preserve"> </w:t>
      </w:r>
      <w:proofErr w:type="gramStart"/>
      <w:r w:rsidR="00B120F5">
        <w:t>COIN S</w:t>
      </w:r>
      <w:r w:rsidR="00C66AA9" w:rsidRPr="00C66AA9">
        <w:t>tudy</w:t>
      </w:r>
      <w:r w:rsidR="00AA32C7">
        <w:t>: Efficacy in the K</w:t>
      </w:r>
      <w:r w:rsidR="00CA0972">
        <w:t>-</w:t>
      </w:r>
      <w:r w:rsidR="00AA32C7">
        <w:t xml:space="preserve">RAS wild type population by treatment arm and </w:t>
      </w:r>
      <w:proofErr w:type="spellStart"/>
      <w:r w:rsidR="00AA32C7">
        <w:t>OxFp</w:t>
      </w:r>
      <w:proofErr w:type="spellEnd"/>
      <w:r w:rsidR="00AA32C7">
        <w:t xml:space="preserve"> regimen.</w:t>
      </w:r>
      <w:proofErr w:type="gramEnd"/>
    </w:p>
    <w:p w:rsidR="00C66AA9" w:rsidRDefault="00C66AA9" w:rsidP="00684713">
      <w:r>
        <w:rPr>
          <w:noProof/>
          <w:lang w:eastAsia="en-AU"/>
        </w:rPr>
        <w:drawing>
          <wp:inline distT="0" distB="0" distL="0" distR="0">
            <wp:extent cx="4966789" cy="3233057"/>
            <wp:effectExtent l="19050" t="0" r="5261" b="0"/>
            <wp:docPr id="9" name="Picture 9" descr="Table 7. COIN study: Efficacy in the K-RAS wild type population by treatment arm and OxFp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2368" t="12000" r="5692"/>
                    <a:stretch>
                      <a:fillRect/>
                    </a:stretch>
                  </pic:blipFill>
                  <pic:spPr bwMode="auto">
                    <a:xfrm>
                      <a:off x="0" y="0"/>
                      <a:ext cx="4966789" cy="3233057"/>
                    </a:xfrm>
                    <a:prstGeom prst="rect">
                      <a:avLst/>
                    </a:prstGeom>
                    <a:noFill/>
                    <a:ln w="9525">
                      <a:noFill/>
                      <a:miter lim="800000"/>
                      <a:headEnd/>
                      <a:tailEnd/>
                    </a:ln>
                  </pic:spPr>
                </pic:pic>
              </a:graphicData>
            </a:graphic>
          </wp:inline>
        </w:drawing>
      </w:r>
    </w:p>
    <w:p w:rsidR="00AA32C7" w:rsidRDefault="00AA32C7" w:rsidP="003B6002">
      <w:pPr>
        <w:pStyle w:val="FigureTitle"/>
        <w:keepNext/>
      </w:pPr>
      <w:proofErr w:type="gramStart"/>
      <w:r>
        <w:lastRenderedPageBreak/>
        <w:t xml:space="preserve">Figure </w:t>
      </w:r>
      <w:r w:rsidR="004F044B">
        <w:t>1</w:t>
      </w:r>
      <w:r>
        <w:t>.</w:t>
      </w:r>
      <w:proofErr w:type="gramEnd"/>
      <w:r>
        <w:t xml:space="preserve"> </w:t>
      </w:r>
      <w:r w:rsidRPr="00AA32C7">
        <w:t>COIN</w:t>
      </w:r>
      <w:r w:rsidR="0018056E">
        <w:t xml:space="preserve"> Study.</w:t>
      </w:r>
      <w:r w:rsidRPr="00AA32C7">
        <w:t xml:space="preserve"> Overall survival in patients with K</w:t>
      </w:r>
      <w:r w:rsidR="00CA0972">
        <w:t>-</w:t>
      </w:r>
      <w:r w:rsidRPr="00AA32C7">
        <w:t xml:space="preserve">RAS wild type tumours by </w:t>
      </w:r>
      <w:proofErr w:type="spellStart"/>
      <w:r w:rsidRPr="00AA32C7">
        <w:t>OxFp</w:t>
      </w:r>
      <w:proofErr w:type="spellEnd"/>
      <w:r w:rsidRPr="00AA32C7">
        <w:t xml:space="preserve"> regimen (XELOX, </w:t>
      </w:r>
      <w:proofErr w:type="spellStart"/>
      <w:r w:rsidRPr="00AA32C7">
        <w:t>OxMdG</w:t>
      </w:r>
      <w:proofErr w:type="spellEnd"/>
      <w:r w:rsidRPr="00AA32C7">
        <w:t>)</w:t>
      </w:r>
    </w:p>
    <w:p w:rsidR="0018056E" w:rsidRDefault="0018056E" w:rsidP="00684713">
      <w:r>
        <w:rPr>
          <w:noProof/>
          <w:lang w:eastAsia="en-AU"/>
        </w:rPr>
        <w:drawing>
          <wp:inline distT="0" distB="0" distL="0" distR="0">
            <wp:extent cx="5583509" cy="3550920"/>
            <wp:effectExtent l="19050" t="0" r="0" b="0"/>
            <wp:docPr id="12" name="Picture 11" descr="Figure 1. COIN Study. Overall survival in patients with K-RAS wild type tumours by OxFp regimen (XELOX, OxM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591600" cy="3556066"/>
                    </a:xfrm>
                    <a:prstGeom prst="rect">
                      <a:avLst/>
                    </a:prstGeom>
                    <a:noFill/>
                    <a:ln w="9525">
                      <a:noFill/>
                      <a:miter lim="800000"/>
                      <a:headEnd/>
                      <a:tailEnd/>
                    </a:ln>
                  </pic:spPr>
                </pic:pic>
              </a:graphicData>
            </a:graphic>
          </wp:inline>
        </w:drawing>
      </w:r>
    </w:p>
    <w:p w:rsidR="007A7075" w:rsidRPr="007A7075" w:rsidRDefault="004F044B" w:rsidP="007A7075">
      <w:pPr>
        <w:pStyle w:val="FigureTitle"/>
        <w:keepNext/>
      </w:pPr>
      <w:proofErr w:type="gramStart"/>
      <w:r>
        <w:t>Figure 2</w:t>
      </w:r>
      <w:r w:rsidR="007A7075" w:rsidRPr="007A7075">
        <w:t>.</w:t>
      </w:r>
      <w:proofErr w:type="gramEnd"/>
      <w:r w:rsidR="007A7075" w:rsidRPr="007A7075">
        <w:t xml:space="preserve"> COIN Study. PFS in patients with K</w:t>
      </w:r>
      <w:r w:rsidR="00CA0972">
        <w:t>-</w:t>
      </w:r>
      <w:r w:rsidR="007A7075" w:rsidRPr="007A7075">
        <w:t xml:space="preserve">RAS wild type tumours by </w:t>
      </w:r>
      <w:proofErr w:type="spellStart"/>
      <w:r w:rsidR="007A7075" w:rsidRPr="007A7075">
        <w:t>OxFp</w:t>
      </w:r>
      <w:proofErr w:type="spellEnd"/>
      <w:r w:rsidR="007A7075" w:rsidRPr="007A7075">
        <w:t xml:space="preserve"> regimen (XELOX, </w:t>
      </w:r>
      <w:proofErr w:type="spellStart"/>
      <w:r w:rsidR="007A7075" w:rsidRPr="007A7075">
        <w:t>OxMdG</w:t>
      </w:r>
      <w:proofErr w:type="spellEnd"/>
      <w:r w:rsidR="007A7075" w:rsidRPr="007A7075">
        <w:t>)</w:t>
      </w:r>
    </w:p>
    <w:p w:rsidR="0018056E" w:rsidRDefault="0018056E" w:rsidP="0096279F">
      <w:pPr>
        <w:pStyle w:val="FigureTitle"/>
      </w:pPr>
      <w:r w:rsidRPr="0018056E">
        <w:rPr>
          <w:noProof/>
          <w:lang w:eastAsia="en-AU"/>
        </w:rPr>
        <w:drawing>
          <wp:inline distT="0" distB="0" distL="0" distR="0">
            <wp:extent cx="5513070" cy="3444061"/>
            <wp:effectExtent l="19050" t="0" r="0" b="0"/>
            <wp:docPr id="11" name="Picture 8" descr="Figure 2. COIN Study. PFS in patients with K-RAS wild type tumours by OxFp regimen (XELOX, OxM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515470" cy="3445560"/>
                    </a:xfrm>
                    <a:prstGeom prst="rect">
                      <a:avLst/>
                    </a:prstGeom>
                    <a:noFill/>
                    <a:ln w="9525">
                      <a:noFill/>
                      <a:miter lim="800000"/>
                      <a:headEnd/>
                      <a:tailEnd/>
                    </a:ln>
                  </pic:spPr>
                </pic:pic>
              </a:graphicData>
            </a:graphic>
          </wp:inline>
        </w:drawing>
      </w:r>
    </w:p>
    <w:p w:rsidR="0096279F" w:rsidRPr="0096279F" w:rsidRDefault="004F044B" w:rsidP="003B6002">
      <w:pPr>
        <w:pStyle w:val="FigureTitle"/>
        <w:keepNext/>
      </w:pPr>
      <w:proofErr w:type="gramStart"/>
      <w:r>
        <w:lastRenderedPageBreak/>
        <w:t>Figure 3</w:t>
      </w:r>
      <w:r w:rsidR="0096279F">
        <w:t>.</w:t>
      </w:r>
      <w:proofErr w:type="gramEnd"/>
      <w:r w:rsidR="0096279F">
        <w:t xml:space="preserve"> </w:t>
      </w:r>
      <w:r w:rsidR="0096279F" w:rsidRPr="0096279F">
        <w:t>COIN</w:t>
      </w:r>
      <w:r w:rsidR="007A7075">
        <w:t xml:space="preserve"> Study.</w:t>
      </w:r>
      <w:r w:rsidR="0096279F" w:rsidRPr="0096279F">
        <w:t xml:space="preserve"> </w:t>
      </w:r>
      <w:proofErr w:type="gramStart"/>
      <w:r w:rsidR="0096279F">
        <w:t>P</w:t>
      </w:r>
      <w:r w:rsidR="007A7075">
        <w:t>FS</w:t>
      </w:r>
      <w:r w:rsidR="0096279F">
        <w:t>.</w:t>
      </w:r>
      <w:proofErr w:type="gramEnd"/>
      <w:r w:rsidR="0096279F">
        <w:t xml:space="preserve"> E</w:t>
      </w:r>
      <w:r w:rsidR="0096279F" w:rsidRPr="0096279F">
        <w:t>fficacy by number of metastatic sites or liver-limited disease</w:t>
      </w:r>
    </w:p>
    <w:p w:rsidR="004D59A7" w:rsidRDefault="004D59A7" w:rsidP="004D59A7">
      <w:pPr>
        <w:pStyle w:val="ListBullet"/>
        <w:numPr>
          <w:ilvl w:val="0"/>
          <w:numId w:val="0"/>
        </w:numPr>
        <w:ind w:left="360" w:hanging="360"/>
      </w:pPr>
      <w:r w:rsidRPr="004D59A7">
        <w:rPr>
          <w:noProof/>
          <w:lang w:eastAsia="en-AU"/>
        </w:rPr>
        <w:drawing>
          <wp:inline distT="0" distB="0" distL="0" distR="0">
            <wp:extent cx="5400040" cy="3348551"/>
            <wp:effectExtent l="19050" t="0" r="0" b="0"/>
            <wp:docPr id="6" name="Picture 3" descr="Figure 3. COIN Study. PFS. Efficacy by number of metastatic sites or liver-limited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cstate="print"/>
                    <a:stretch>
                      <a:fillRect/>
                    </a:stretch>
                  </pic:blipFill>
                  <pic:spPr>
                    <a:xfrm>
                      <a:off x="0" y="0"/>
                      <a:ext cx="5400040" cy="3348551"/>
                    </a:xfrm>
                    <a:prstGeom prst="rect">
                      <a:avLst/>
                    </a:prstGeom>
                  </pic:spPr>
                </pic:pic>
              </a:graphicData>
            </a:graphic>
          </wp:inline>
        </w:drawing>
      </w:r>
    </w:p>
    <w:p w:rsidR="0096279F" w:rsidRPr="0096279F" w:rsidRDefault="004F044B" w:rsidP="0018056E">
      <w:pPr>
        <w:pStyle w:val="FigureTitle"/>
        <w:keepNext/>
      </w:pPr>
      <w:proofErr w:type="gramStart"/>
      <w:r>
        <w:t>Figure 4</w:t>
      </w:r>
      <w:r w:rsidR="004D59A7" w:rsidRPr="0096279F">
        <w:t>.</w:t>
      </w:r>
      <w:proofErr w:type="gramEnd"/>
      <w:r w:rsidR="004D59A7" w:rsidRPr="0096279F">
        <w:t xml:space="preserve"> COIN</w:t>
      </w:r>
      <w:r w:rsidR="0096279F">
        <w:t xml:space="preserve"> Study</w:t>
      </w:r>
      <w:r w:rsidR="0018056E">
        <w:t>.</w:t>
      </w:r>
      <w:r w:rsidR="004D59A7" w:rsidRPr="0096279F">
        <w:t xml:space="preserve"> </w:t>
      </w:r>
      <w:proofErr w:type="gramStart"/>
      <w:r w:rsidR="004D59A7" w:rsidRPr="0096279F">
        <w:t>O</w:t>
      </w:r>
      <w:r w:rsidR="007A7075">
        <w:t>S.</w:t>
      </w:r>
      <w:proofErr w:type="gramEnd"/>
      <w:r w:rsidR="0096279F" w:rsidRPr="0096279F">
        <w:t xml:space="preserve"> </w:t>
      </w:r>
      <w:r w:rsidR="007A7075">
        <w:t>E</w:t>
      </w:r>
      <w:r w:rsidR="0096279F" w:rsidRPr="0096279F">
        <w:t>fficacy by number of metastatic sites or liver-limited disease</w:t>
      </w:r>
    </w:p>
    <w:p w:rsidR="004D59A7" w:rsidRDefault="004D59A7" w:rsidP="004D59A7">
      <w:pPr>
        <w:pStyle w:val="ListBullet"/>
        <w:numPr>
          <w:ilvl w:val="0"/>
          <w:numId w:val="0"/>
        </w:numPr>
        <w:ind w:left="360" w:hanging="360"/>
      </w:pPr>
      <w:r w:rsidRPr="004D59A7">
        <w:rPr>
          <w:noProof/>
          <w:lang w:eastAsia="en-AU"/>
        </w:rPr>
        <w:drawing>
          <wp:inline distT="0" distB="0" distL="0" distR="0">
            <wp:extent cx="5400040" cy="3209751"/>
            <wp:effectExtent l="19050" t="0" r="0" b="0"/>
            <wp:docPr id="8" name="Picture 2" descr="Figure 4. COIN Study. OS. Efficacy by number of metastatic sites or liver-limited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9" cstate="print"/>
                    <a:stretch>
                      <a:fillRect/>
                    </a:stretch>
                  </pic:blipFill>
                  <pic:spPr>
                    <a:xfrm>
                      <a:off x="0" y="0"/>
                      <a:ext cx="5400040" cy="3209751"/>
                    </a:xfrm>
                    <a:prstGeom prst="rect">
                      <a:avLst/>
                    </a:prstGeom>
                  </pic:spPr>
                </pic:pic>
              </a:graphicData>
            </a:graphic>
          </wp:inline>
        </w:drawing>
      </w:r>
    </w:p>
    <w:p w:rsidR="007E4DB8" w:rsidRPr="003554D8" w:rsidRDefault="007E4DB8" w:rsidP="00C66AA9">
      <w:pPr>
        <w:pStyle w:val="ListBullet"/>
      </w:pPr>
      <w:r w:rsidRPr="003554D8">
        <w:t xml:space="preserve">Overall response rate at 12 weeks was slightly higher in the </w:t>
      </w:r>
      <w:proofErr w:type="spellStart"/>
      <w:r w:rsidRPr="003554D8">
        <w:t>cetuximab</w:t>
      </w:r>
      <w:proofErr w:type="spellEnd"/>
      <w:r w:rsidRPr="003554D8">
        <w:t xml:space="preserve"> + </w:t>
      </w:r>
      <w:proofErr w:type="spellStart"/>
      <w:r w:rsidRPr="003554D8">
        <w:t>OxMdG</w:t>
      </w:r>
      <w:proofErr w:type="spellEnd"/>
      <w:r w:rsidRPr="003554D8">
        <w:t xml:space="preserve"> arm (54%) than the </w:t>
      </w:r>
      <w:proofErr w:type="spellStart"/>
      <w:r w:rsidRPr="003554D8">
        <w:t>OxMdG</w:t>
      </w:r>
      <w:proofErr w:type="spellEnd"/>
      <w:r w:rsidRPr="003554D8">
        <w:t xml:space="preserve"> arm (47%).</w:t>
      </w:r>
    </w:p>
    <w:p w:rsidR="007E4DB8" w:rsidRPr="003554D8" w:rsidRDefault="007E4DB8" w:rsidP="00C66AA9">
      <w:pPr>
        <w:pStyle w:val="ListBullet"/>
      </w:pPr>
      <w:r w:rsidRPr="003554D8">
        <w:t xml:space="preserve">For median PFS, results are similar (9.0 </w:t>
      </w:r>
      <w:r w:rsidR="004F441E" w:rsidRPr="004F441E">
        <w:t>versus</w:t>
      </w:r>
      <w:r w:rsidR="0096279F">
        <w:t xml:space="preserve"> 9.2 months respectively). </w:t>
      </w:r>
      <w:r w:rsidRPr="003554D8">
        <w:t xml:space="preserve">Comparison of PFS survival curves favoured </w:t>
      </w:r>
      <w:proofErr w:type="spellStart"/>
      <w:r w:rsidRPr="003554D8">
        <w:t>cetuximab</w:t>
      </w:r>
      <w:proofErr w:type="spellEnd"/>
      <w:r w:rsidRPr="003554D8">
        <w:t xml:space="preserve"> + </w:t>
      </w:r>
      <w:proofErr w:type="spellStart"/>
      <w:r w:rsidRPr="003554D8">
        <w:t>OxMdG</w:t>
      </w:r>
      <w:proofErr w:type="spellEnd"/>
      <w:r w:rsidRPr="003554D8">
        <w:t xml:space="preserve"> (HR 0.77, 95% CI 0.59-1.01) without statistica</w:t>
      </w:r>
      <w:r w:rsidR="00AA32C7">
        <w:t xml:space="preserve">l significance being attained. </w:t>
      </w:r>
      <w:r w:rsidRPr="003554D8">
        <w:t>Benefit was restricted to those with 0-1 metastatic sites at baseline (</w:t>
      </w:r>
      <w:r w:rsidR="00BF11E1">
        <w:t>Figure 3</w:t>
      </w:r>
      <w:r w:rsidRPr="003554D8">
        <w:t>).</w:t>
      </w:r>
    </w:p>
    <w:p w:rsidR="007E4DB8" w:rsidRPr="003554D8" w:rsidRDefault="007E4DB8" w:rsidP="00C66AA9">
      <w:pPr>
        <w:pStyle w:val="ListBullet"/>
      </w:pPr>
      <w:r w:rsidRPr="003554D8">
        <w:lastRenderedPageBreak/>
        <w:t xml:space="preserve">For median OS, results were worse in the </w:t>
      </w:r>
      <w:proofErr w:type="spellStart"/>
      <w:r w:rsidRPr="003554D8">
        <w:t>cetuximab</w:t>
      </w:r>
      <w:proofErr w:type="spellEnd"/>
      <w:r w:rsidRPr="003554D8">
        <w:t xml:space="preserve"> + </w:t>
      </w:r>
      <w:proofErr w:type="spellStart"/>
      <w:r w:rsidRPr="003554D8">
        <w:t>OxMdG</w:t>
      </w:r>
      <w:proofErr w:type="spellEnd"/>
      <w:r w:rsidRPr="003554D8">
        <w:t xml:space="preserve"> arm (16.3 months </w:t>
      </w:r>
      <w:r w:rsidR="004F441E" w:rsidRPr="004F441E">
        <w:t>versus</w:t>
      </w:r>
      <w:r w:rsidR="00AA32C7">
        <w:t xml:space="preserve"> 18.2 months). </w:t>
      </w:r>
      <w:r w:rsidRPr="003554D8">
        <w:t>Comparison of OS survival curves suggested little differenc</w:t>
      </w:r>
      <w:r w:rsidR="00BF11E1">
        <w:t xml:space="preserve">e: HR 0.93 (95% CI 0.72-1.19). </w:t>
      </w:r>
      <w:r w:rsidRPr="003554D8">
        <w:t xml:space="preserve">There was a sharp distinction between those with 0-1 metastatic sites at baseline (HR </w:t>
      </w:r>
      <w:r w:rsidR="00AA32C7">
        <w:t xml:space="preserve">approximately </w:t>
      </w:r>
      <w:r w:rsidRPr="003554D8">
        <w:t xml:space="preserve">0.63, favouring addition of cetuximab), and those with 2 or more sites (HR </w:t>
      </w:r>
      <w:r w:rsidR="00AA32C7">
        <w:t xml:space="preserve">approximately </w:t>
      </w:r>
      <w:r w:rsidRPr="003554D8">
        <w:t>1.28) (</w:t>
      </w:r>
      <w:r w:rsidR="00BF11E1">
        <w:t>Figure 4</w:t>
      </w:r>
      <w:r w:rsidRPr="003554D8">
        <w:t>).</w:t>
      </w:r>
    </w:p>
    <w:p w:rsidR="007E4DB8" w:rsidRPr="003554D8" w:rsidRDefault="007E4DB8" w:rsidP="003554D8">
      <w:r w:rsidRPr="003554D8">
        <w:t xml:space="preserve">It can be debated what weight should be placed on comparison across arms of medians </w:t>
      </w:r>
      <w:r w:rsidR="004F441E" w:rsidRPr="004F441E">
        <w:t>versus</w:t>
      </w:r>
      <w:r w:rsidRPr="003554D8">
        <w:t xml:space="preserve"> comparison of ‘survival curves’ as expressed by </w:t>
      </w:r>
      <w:r w:rsidR="0018056E">
        <w:t>HRs</w:t>
      </w:r>
      <w:r w:rsidRPr="003554D8">
        <w:t>, or their shape (</w:t>
      </w:r>
      <w:r w:rsidR="0096279F">
        <w:t xml:space="preserve">Figures </w:t>
      </w:r>
      <w:r w:rsidR="00BF11E1">
        <w:t xml:space="preserve">1 and 2 </w:t>
      </w:r>
      <w:r w:rsidR="0096279F">
        <w:t>above</w:t>
      </w:r>
      <w:r w:rsidR="0018056E">
        <w:t xml:space="preserve">). </w:t>
      </w:r>
      <w:r w:rsidRPr="003554D8">
        <w:t>That the measures are in conflict (especially for OS) points to a lack of robust efficacy for cetuximab, in this trial.</w:t>
      </w:r>
    </w:p>
    <w:p w:rsidR="007E4DB8" w:rsidRPr="003554D8" w:rsidRDefault="007E4DB8" w:rsidP="003554D8">
      <w:r w:rsidRPr="003554D8">
        <w:t xml:space="preserve">Based on COIN, the sponsor considered that XELOX should not be used (with </w:t>
      </w:r>
      <w:proofErr w:type="spellStart"/>
      <w:r w:rsidRPr="003554D8">
        <w:t>cetuximab</w:t>
      </w:r>
      <w:proofErr w:type="spellEnd"/>
      <w:r w:rsidRPr="003554D8">
        <w:t xml:space="preserve"> in first-line </w:t>
      </w:r>
      <w:proofErr w:type="spellStart"/>
      <w:r w:rsidRPr="003554D8">
        <w:t>mCRC</w:t>
      </w:r>
      <w:proofErr w:type="spellEnd"/>
      <w:r w:rsidRPr="003554D8">
        <w:t>).</w:t>
      </w:r>
    </w:p>
    <w:p w:rsidR="007E4DB8" w:rsidRPr="003554D8" w:rsidRDefault="007E4DB8" w:rsidP="003554D8">
      <w:r w:rsidRPr="003554D8">
        <w:t>Beyond this, COIN does raise some concern that the benefit of cetuximab + FOLFOX is not as robust as might b</w:t>
      </w:r>
      <w:r w:rsidR="0096279F">
        <w:t xml:space="preserve">e suggested by the OPUS </w:t>
      </w:r>
      <w:r w:rsidR="00B120F5">
        <w:t>S</w:t>
      </w:r>
      <w:r w:rsidR="0096279F">
        <w:t xml:space="preserve">tudy. </w:t>
      </w:r>
      <w:r w:rsidRPr="003554D8">
        <w:t xml:space="preserve">A possibility is that benefit is restricted to those </w:t>
      </w:r>
      <w:r w:rsidR="0096279F">
        <w:t xml:space="preserve">with liver-limited metastases. </w:t>
      </w:r>
      <w:r w:rsidRPr="003554D8">
        <w:t>While this finding can be described as ‘exploratory’ it is notable that it is a recurring signal (see below).</w:t>
      </w:r>
    </w:p>
    <w:p w:rsidR="007E4DB8" w:rsidRPr="003554D8" w:rsidRDefault="007E4DB8" w:rsidP="009C1118">
      <w:pPr>
        <w:pStyle w:val="Heading6"/>
      </w:pPr>
      <w:r w:rsidRPr="003554D8">
        <w:t>Other studies</w:t>
      </w:r>
    </w:p>
    <w:p w:rsidR="007E4DB8" w:rsidRPr="003554D8" w:rsidRDefault="007E4DB8" w:rsidP="003554D8">
      <w:r w:rsidRPr="003554D8">
        <w:t xml:space="preserve">The NORDIC VII </w:t>
      </w:r>
      <w:r w:rsidR="00B120F5">
        <w:t>S</w:t>
      </w:r>
      <w:r w:rsidRPr="003554D8">
        <w:t xml:space="preserve">tudy is outlined </w:t>
      </w:r>
      <w:r w:rsidR="009C1118">
        <w:t>in the CER (</w:t>
      </w:r>
      <w:r w:rsidR="00080BE3">
        <w:t xml:space="preserve">see </w:t>
      </w:r>
      <w:r w:rsidR="009C1118">
        <w:t xml:space="preserve">Attachment 2 of this AusPAR). </w:t>
      </w:r>
      <w:r w:rsidRPr="003554D8">
        <w:t>As per the table above, it uses less 5-FU than other FOLFOX-like regimens,</w:t>
      </w:r>
      <w:r w:rsidR="009C1118">
        <w:t xml:space="preserve"> and 5-FU is given as a bolus. </w:t>
      </w:r>
      <w:r w:rsidRPr="003554D8">
        <w:t>The study cannot support the current indication, which specifi</w:t>
      </w:r>
      <w:r w:rsidR="009C1118">
        <w:t xml:space="preserve">es continuous infusional 5-FU. </w:t>
      </w:r>
      <w:r w:rsidRPr="003554D8">
        <w:t xml:space="preserve">In K-RAS </w:t>
      </w:r>
      <w:r w:rsidR="00B91328">
        <w:t>wild type</w:t>
      </w:r>
      <w:r w:rsidRPr="003554D8">
        <w:t xml:space="preserve"> subjects, median OS was 22.0 months with FLOX and 20.1</w:t>
      </w:r>
      <w:r w:rsidR="009C1118">
        <w:t xml:space="preserve"> months with FLOX + cetuximab. </w:t>
      </w:r>
      <w:r w:rsidRPr="003554D8">
        <w:t>ORR was not improved either.</w:t>
      </w:r>
    </w:p>
    <w:p w:rsidR="007E4DB8" w:rsidRPr="003554D8" w:rsidRDefault="007E4DB8" w:rsidP="003554D8">
      <w:r w:rsidRPr="003554D8">
        <w:t xml:space="preserve">The PETACC8 trial </w:t>
      </w:r>
      <w:r w:rsidR="00B91328">
        <w:t xml:space="preserve">is </w:t>
      </w:r>
      <w:r w:rsidRPr="003554D8">
        <w:t xml:space="preserve">mentioned in </w:t>
      </w:r>
      <w:r w:rsidR="009C1118">
        <w:t xml:space="preserve">the CER. It was </w:t>
      </w:r>
      <w:r w:rsidRPr="003554D8">
        <w:t xml:space="preserve">in Stage III disease and so </w:t>
      </w:r>
      <w:r w:rsidR="009C1118">
        <w:t xml:space="preserve">is </w:t>
      </w:r>
      <w:r w:rsidRPr="003554D8">
        <w:t>not considered further</w:t>
      </w:r>
      <w:r w:rsidR="009C1118">
        <w:t xml:space="preserve"> in this overview</w:t>
      </w:r>
      <w:r w:rsidRPr="003554D8">
        <w:t>.</w:t>
      </w:r>
    </w:p>
    <w:p w:rsidR="007E4DB8" w:rsidRPr="003554D8" w:rsidRDefault="007E4DB8" w:rsidP="00C66AA9">
      <w:pPr>
        <w:pStyle w:val="Heading4"/>
      </w:pPr>
      <w:r w:rsidRPr="003554D8">
        <w:t>Liver-limited disease</w:t>
      </w:r>
    </w:p>
    <w:p w:rsidR="007E4DB8" w:rsidRPr="003554D8" w:rsidRDefault="007E4DB8" w:rsidP="003554D8">
      <w:r w:rsidRPr="003554D8">
        <w:t xml:space="preserve">Analysis in COIN of efficacy in patient groups with 0-1 </w:t>
      </w:r>
      <w:r w:rsidR="004F441E" w:rsidRPr="004F441E">
        <w:t>versus</w:t>
      </w:r>
      <w:r w:rsidRPr="003554D8">
        <w:t xml:space="preserve"> 2+ metastatic sites is hypothesis-generating rather than definitive in itself, but previous trials have shown increased response rates in liver-limited disease (</w:t>
      </w:r>
      <w:r w:rsidR="009C1118">
        <w:t xml:space="preserve">for example, </w:t>
      </w:r>
      <w:r w:rsidRPr="003554D8">
        <w:t>CRYSTAL and OPUS). Analysis by liver-limited disease is not directly comparable to analysis by number of metastases, however:</w:t>
      </w:r>
    </w:p>
    <w:p w:rsidR="007E4DB8" w:rsidRPr="003554D8" w:rsidRDefault="007E4DB8" w:rsidP="009C1118">
      <w:pPr>
        <w:pStyle w:val="ListBullet"/>
      </w:pPr>
      <w:r w:rsidRPr="003554D8">
        <w:t xml:space="preserve">In OPUS, in patients with liver metastases only, addition of cetuximab to FOLFOX-4 resulted in best ORR of 56%, </w:t>
      </w:r>
      <w:r w:rsidR="004F441E" w:rsidRPr="004F441E">
        <w:t>versus</w:t>
      </w:r>
      <w:r w:rsidR="009C1118">
        <w:t xml:space="preserve"> 41% for the FOLFOX-4 arm. </w:t>
      </w:r>
      <w:r w:rsidRPr="003554D8">
        <w:t xml:space="preserve">(For those with metastases beyond the liver, figures were 42% </w:t>
      </w:r>
      <w:r w:rsidR="004F441E" w:rsidRPr="004F441E">
        <w:t>versus</w:t>
      </w:r>
      <w:r w:rsidR="009C1118">
        <w:t xml:space="preserve"> 39.5% respectively.) </w:t>
      </w:r>
      <w:r w:rsidRPr="003554D8">
        <w:t>When PFS was considered, median PFS was higher in the cetuximab arm only in the ‘liver metastases only’ group.</w:t>
      </w:r>
    </w:p>
    <w:p w:rsidR="007E4DB8" w:rsidRPr="003554D8" w:rsidRDefault="007E4DB8" w:rsidP="009C1118">
      <w:pPr>
        <w:pStyle w:val="ListBullet"/>
      </w:pPr>
      <w:r w:rsidRPr="003554D8">
        <w:t xml:space="preserve">In CRYSTAL, PFS favoured the cetuximab-treated arm more clearly in those with liver metastases only (HR 0.64, </w:t>
      </w:r>
      <w:r w:rsidR="004F441E" w:rsidRPr="004F441E">
        <w:t>versus</w:t>
      </w:r>
      <w:r w:rsidRPr="003554D8">
        <w:t xml:space="preserve"> 0.91 in those with other sites</w:t>
      </w:r>
      <w:r w:rsidR="000457A1">
        <w:t>)</w:t>
      </w:r>
      <w:r w:rsidRPr="003554D8">
        <w:t xml:space="preserve">; this difference was attenuated in the </w:t>
      </w:r>
      <w:r w:rsidR="00B91328">
        <w:t>wild type</w:t>
      </w:r>
      <w:r w:rsidRPr="003554D8">
        <w:t xml:space="preserve"> population.</w:t>
      </w:r>
    </w:p>
    <w:p w:rsidR="007E4DB8" w:rsidRPr="003554D8" w:rsidRDefault="007E4DB8" w:rsidP="00C66AA9">
      <w:pPr>
        <w:pStyle w:val="Heading4"/>
      </w:pPr>
      <w:r w:rsidRPr="003554D8">
        <w:t>Comparisons of chemotherapy backbones</w:t>
      </w:r>
    </w:p>
    <w:p w:rsidR="007E4DB8" w:rsidRPr="003554D8" w:rsidRDefault="007E4DB8" w:rsidP="003554D8">
      <w:r w:rsidRPr="003554D8">
        <w:t xml:space="preserve">It is also useful to consider whether head-to-head studies of differing backbones (particularly FOLFIRI </w:t>
      </w:r>
      <w:r w:rsidR="004F441E" w:rsidRPr="004F441E">
        <w:t>versus</w:t>
      </w:r>
      <w:r w:rsidRPr="003554D8">
        <w:t xml:space="preserve"> FOLFOX-like chemotherapy) produce differing results.</w:t>
      </w:r>
    </w:p>
    <w:p w:rsidR="007E4DB8" w:rsidRPr="003554D8" w:rsidRDefault="007E4DB8" w:rsidP="003554D8">
      <w:r w:rsidRPr="009C1118">
        <w:rPr>
          <w:b/>
          <w:bCs/>
        </w:rPr>
        <w:t>CECOG CORE 1.2.001</w:t>
      </w:r>
      <w:r w:rsidRPr="003554D8">
        <w:t xml:space="preserve"> compared “cetuximab + FOLFOX6 [</w:t>
      </w:r>
      <w:r w:rsidRPr="009C1118">
        <w:rPr>
          <w:vertAlign w:val="superscript"/>
        </w:rPr>
        <w:footnoteReference w:id="11"/>
      </w:r>
      <w:r w:rsidRPr="003554D8">
        <w:t>]”</w:t>
      </w:r>
      <w:r w:rsidR="004F441E" w:rsidRPr="004F441E">
        <w:t>versus</w:t>
      </w:r>
      <w:r w:rsidRPr="003554D8">
        <w:t xml:space="preserve"> “cetuximab + FOLFIRI” in </w:t>
      </w:r>
      <w:r w:rsidR="00B95D37">
        <w:t>first</w:t>
      </w:r>
      <w:r w:rsidRPr="003554D8">
        <w:t xml:space="preserve"> line t</w:t>
      </w:r>
      <w:r w:rsidR="009C1118">
        <w:t xml:space="preserve">reatment of </w:t>
      </w:r>
      <w:proofErr w:type="spellStart"/>
      <w:r w:rsidR="009C1118">
        <w:t>unresectable</w:t>
      </w:r>
      <w:proofErr w:type="spellEnd"/>
      <w:r w:rsidR="009C1118">
        <w:t xml:space="preserve"> </w:t>
      </w:r>
      <w:proofErr w:type="spellStart"/>
      <w:r w:rsidR="009C1118">
        <w:t>mCRC</w:t>
      </w:r>
      <w:proofErr w:type="spellEnd"/>
      <w:r w:rsidR="009C1118">
        <w:t xml:space="preserve">. </w:t>
      </w:r>
      <w:r w:rsidRPr="003554D8">
        <w:t>Sample size was small, and particularly small in</w:t>
      </w:r>
      <w:r w:rsidR="009C1118">
        <w:t xml:space="preserve"> the K-RAS </w:t>
      </w:r>
      <w:r w:rsidR="00B91328">
        <w:t>wild type</w:t>
      </w:r>
      <w:r w:rsidR="009C1118">
        <w:t xml:space="preserve"> subgroup (n</w:t>
      </w:r>
      <w:r w:rsidR="00B120F5">
        <w:t xml:space="preserve"> </w:t>
      </w:r>
      <w:r w:rsidR="009C1118">
        <w:t>=</w:t>
      </w:r>
      <w:r w:rsidR="00B120F5">
        <w:t xml:space="preserve"> </w:t>
      </w:r>
      <w:r w:rsidR="009C1118">
        <w:t xml:space="preserve">62). </w:t>
      </w:r>
      <w:r w:rsidRPr="003554D8">
        <w:t xml:space="preserve">The study was not powered to </w:t>
      </w:r>
      <w:r w:rsidRPr="003554D8">
        <w:lastRenderedPageBreak/>
        <w:t>detect a difference in key endpo</w:t>
      </w:r>
      <w:r w:rsidR="009C1118">
        <w:t xml:space="preserve">ints in the K-RAS </w:t>
      </w:r>
      <w:r w:rsidR="00B91328" w:rsidRPr="00B91328">
        <w:t>wild type</w:t>
      </w:r>
      <w:r w:rsidR="009C1118">
        <w:t xml:space="preserve"> subgroup. </w:t>
      </w:r>
      <w:r w:rsidRPr="003554D8">
        <w:t>Point estimates favoured the FOLFOX6 backbone.</w:t>
      </w:r>
    </w:p>
    <w:p w:rsidR="007E4DB8" w:rsidRPr="003554D8" w:rsidRDefault="007E4DB8" w:rsidP="003554D8">
      <w:r w:rsidRPr="003554D8">
        <w:t xml:space="preserve">After the evaluation phase, the sponsor supplied the following limited information about the </w:t>
      </w:r>
      <w:r w:rsidRPr="009C1118">
        <w:rPr>
          <w:b/>
          <w:bCs/>
        </w:rPr>
        <w:t xml:space="preserve">APEC </w:t>
      </w:r>
      <w:r w:rsidR="009C1118">
        <w:rPr>
          <w:b/>
          <w:bCs/>
        </w:rPr>
        <w:t>S</w:t>
      </w:r>
      <w:r w:rsidRPr="009C1118">
        <w:rPr>
          <w:b/>
          <w:bCs/>
        </w:rPr>
        <w:t>tudy</w:t>
      </w:r>
      <w:r w:rsidRPr="003554D8">
        <w:t>:</w:t>
      </w:r>
    </w:p>
    <w:p w:rsidR="000457A1" w:rsidRDefault="007E4DB8" w:rsidP="009C1118">
      <w:pPr>
        <w:ind w:left="720"/>
      </w:pPr>
      <w:r w:rsidRPr="003554D8">
        <w:t>APEC</w:t>
      </w:r>
      <w:r w:rsidR="00404DC6">
        <w:t xml:space="preserve"> is an Asia Pacific non-randomis</w:t>
      </w:r>
      <w:r w:rsidRPr="003554D8">
        <w:t xml:space="preserve">ed, open-label </w:t>
      </w:r>
      <w:r w:rsidR="00B120F5">
        <w:t>P</w:t>
      </w:r>
      <w:r w:rsidRPr="003554D8">
        <w:t>hase III study evaluating the safety and efficacy of FOLFIRI plus cetuximab or FOLFOX plus cetuximab as first-line therapy in subjects with K</w:t>
      </w:r>
      <w:r w:rsidR="00CA0972">
        <w:t>-</w:t>
      </w:r>
      <w:r w:rsidRPr="003554D8">
        <w:t>RAS wild-type metastatic colorectal cancer. Preliminary results indicate an identical PFS of 11.1 months for each of the combinations (n</w:t>
      </w:r>
      <w:r w:rsidR="009C1118">
        <w:t xml:space="preserve"> </w:t>
      </w:r>
      <w:r w:rsidRPr="003554D8">
        <w:t>= 289; FOLFIRI plus cetuximab arm n</w:t>
      </w:r>
      <w:r w:rsidR="00B120F5">
        <w:t xml:space="preserve"> </w:t>
      </w:r>
      <w:r w:rsidRPr="003554D8">
        <w:t>=</w:t>
      </w:r>
      <w:r w:rsidR="00B120F5">
        <w:t xml:space="preserve"> </w:t>
      </w:r>
      <w:r w:rsidRPr="003554D8">
        <w:t>101; FOLFOX plus cetuximab arm n</w:t>
      </w:r>
      <w:r w:rsidR="009C1118">
        <w:t xml:space="preserve"> </w:t>
      </w:r>
      <w:r w:rsidRPr="003554D8">
        <w:t>=</w:t>
      </w:r>
      <w:r w:rsidR="009C1118">
        <w:t xml:space="preserve"> </w:t>
      </w:r>
      <w:r w:rsidRPr="003554D8">
        <w:t xml:space="preserve">188). </w:t>
      </w:r>
    </w:p>
    <w:p w:rsidR="0047432C" w:rsidRDefault="000457A1">
      <w:r>
        <w:t xml:space="preserve">At the time, the </w:t>
      </w:r>
      <w:r w:rsidR="007E4DB8" w:rsidRPr="003554D8">
        <w:t xml:space="preserve">APEC data </w:t>
      </w:r>
      <w:r>
        <w:t xml:space="preserve">were </w:t>
      </w:r>
      <w:r w:rsidR="007E4DB8" w:rsidRPr="003554D8">
        <w:t xml:space="preserve">confidential and </w:t>
      </w:r>
      <w:r>
        <w:t xml:space="preserve">had </w:t>
      </w:r>
      <w:r w:rsidR="007E4DB8" w:rsidRPr="003554D8">
        <w:t>not yet been presented.</w:t>
      </w:r>
    </w:p>
    <w:p w:rsidR="007E4DB8" w:rsidRPr="003554D8" w:rsidRDefault="007E4DB8" w:rsidP="003554D8">
      <w:r w:rsidRPr="009C1118">
        <w:rPr>
          <w:b/>
          <w:bCs/>
        </w:rPr>
        <w:t>CELIM</w:t>
      </w:r>
      <w:r w:rsidRPr="003554D8">
        <w:t xml:space="preserve"> did not analyse by K-RAS status and was restricted to the setting of </w:t>
      </w:r>
      <w:proofErr w:type="spellStart"/>
      <w:r w:rsidRPr="003554D8">
        <w:t>neoadjuvant</w:t>
      </w:r>
      <w:proofErr w:type="spellEnd"/>
      <w:r w:rsidRPr="003554D8">
        <w:t xml:space="preserve"> treatment of liver metastases</w:t>
      </w:r>
      <w:r w:rsidR="009C1118">
        <w:t xml:space="preserve">, so is not directly relevant. </w:t>
      </w:r>
      <w:r w:rsidRPr="003554D8">
        <w:t>Neither backbone emerged clearly ahead of the other, with regard to efficacy.</w:t>
      </w:r>
    </w:p>
    <w:p w:rsidR="007E4DB8" w:rsidRPr="003554D8" w:rsidRDefault="007E4DB8" w:rsidP="003554D8">
      <w:r w:rsidRPr="003554D8">
        <w:t xml:space="preserve">Another investigator-sponsored study, </w:t>
      </w:r>
      <w:r w:rsidRPr="009C1118">
        <w:rPr>
          <w:b/>
          <w:bCs/>
        </w:rPr>
        <w:t>New EPOC</w:t>
      </w:r>
      <w:r w:rsidR="009C1118">
        <w:t xml:space="preserve">, is of similar relevance. </w:t>
      </w:r>
      <w:r w:rsidRPr="003554D8">
        <w:t xml:space="preserve">This was a study of cetuximab as add-on to </w:t>
      </w:r>
      <w:proofErr w:type="gramStart"/>
      <w:r w:rsidRPr="003554D8">
        <w:t>eit</w:t>
      </w:r>
      <w:r w:rsidR="009C1118">
        <w:t xml:space="preserve">her </w:t>
      </w:r>
      <w:proofErr w:type="spellStart"/>
      <w:r w:rsidR="009C1118">
        <w:t>OxMdG</w:t>
      </w:r>
      <w:proofErr w:type="spellEnd"/>
      <w:proofErr w:type="gramEnd"/>
      <w:r w:rsidR="009C1118">
        <w:t xml:space="preserve"> or </w:t>
      </w:r>
      <w:proofErr w:type="spellStart"/>
      <w:r w:rsidR="009C1118">
        <w:t>irinotecan</w:t>
      </w:r>
      <w:proofErr w:type="spellEnd"/>
      <w:r w:rsidR="009C1118">
        <w:t xml:space="preserve"> + </w:t>
      </w:r>
      <w:proofErr w:type="spellStart"/>
      <w:r w:rsidR="009C1118">
        <w:t>MdG</w:t>
      </w:r>
      <w:proofErr w:type="spellEnd"/>
      <w:r w:rsidR="009C1118">
        <w:t xml:space="preserve"> (</w:t>
      </w:r>
      <w:proofErr w:type="spellStart"/>
      <w:r w:rsidRPr="003554D8">
        <w:t>IrMdG</w:t>
      </w:r>
      <w:proofErr w:type="spellEnd"/>
      <w:r w:rsidR="009C1118">
        <w:t xml:space="preserve">). </w:t>
      </w:r>
      <w:r w:rsidRPr="003554D8">
        <w:t xml:space="preserve">K-RAS </w:t>
      </w:r>
      <w:r w:rsidR="009C1118">
        <w:t xml:space="preserve">wild type colorectal cancer </w:t>
      </w:r>
      <w:r w:rsidRPr="003554D8">
        <w:t xml:space="preserve">patients with operable liver metastases, with no prior chemotherapy for advanced </w:t>
      </w:r>
      <w:r w:rsidR="009C1118" w:rsidRPr="009C1118">
        <w:t>colorectal cancer</w:t>
      </w:r>
      <w:r w:rsidR="009C1118">
        <w:t xml:space="preserve">, were enrolled. </w:t>
      </w:r>
      <w:r w:rsidRPr="003554D8">
        <w:t>Treatment was for 12 weeks both before and after resection of liver metastases, but only 108/2</w:t>
      </w:r>
      <w:r w:rsidR="009C1118">
        <w:t xml:space="preserve">52 subjects underwent surgery. </w:t>
      </w:r>
      <w:r w:rsidRPr="003554D8">
        <w:t>The trial was stopped for the following reason:</w:t>
      </w:r>
    </w:p>
    <w:p w:rsidR="007E4DB8" w:rsidRPr="003554D8" w:rsidRDefault="007E4DB8" w:rsidP="009C1118">
      <w:pPr>
        <w:ind w:left="720"/>
      </w:pPr>
      <w:r w:rsidRPr="003554D8">
        <w:t xml:space="preserve">With 45.3% (96/212; 42 events in arm A and 54 in arm B) of the expected events observed, PFS was significantly worse in the cetuximab arm (14.8 </w:t>
      </w:r>
      <w:r w:rsidR="004F441E" w:rsidRPr="004F441E">
        <w:t>versus</w:t>
      </w:r>
      <w:r w:rsidRPr="003554D8">
        <w:t xml:space="preserve"> 24.2 months, HR (95% CI) 1.50037 (1.000707 to 2.249517), p=0.048).</w:t>
      </w:r>
    </w:p>
    <w:p w:rsidR="007E4DB8" w:rsidRPr="003554D8" w:rsidRDefault="007E4DB8" w:rsidP="003554D8">
      <w:r w:rsidRPr="003554D8">
        <w:t>Notable in New EPOC was the negative effect size (a &gt;9 month difference in</w:t>
      </w:r>
      <w:r w:rsidR="009C1118">
        <w:t xml:space="preserve"> PFS). </w:t>
      </w:r>
      <w:r w:rsidRPr="003554D8">
        <w:t xml:space="preserve">Analysis by whether oxaliplatin or irinotecan were used as backbone chemotherapy was not presented, although apparently most patients used an </w:t>
      </w:r>
      <w:proofErr w:type="spellStart"/>
      <w:r w:rsidRPr="003554D8">
        <w:t>OxMdG</w:t>
      </w:r>
      <w:proofErr w:type="spellEnd"/>
      <w:r w:rsidRPr="003554D8">
        <w:t xml:space="preserve"> backbone </w:t>
      </w:r>
      <w:r w:rsidR="009C1118">
        <w:t xml:space="preserve">and relatively few used </w:t>
      </w:r>
      <w:proofErr w:type="spellStart"/>
      <w:r w:rsidR="009C1118">
        <w:t>IrMdG</w:t>
      </w:r>
      <w:proofErr w:type="spellEnd"/>
      <w:r w:rsidR="009C1118">
        <w:t xml:space="preserve">. </w:t>
      </w:r>
      <w:r w:rsidRPr="003554D8">
        <w:t>Analysis of outcomes prior to resection (</w:t>
      </w:r>
      <w:r w:rsidR="009C1118">
        <w:t xml:space="preserve">that is, </w:t>
      </w:r>
      <w:r w:rsidRPr="003554D8">
        <w:t>in a purely metastat</w:t>
      </w:r>
      <w:r w:rsidR="009C1118">
        <w:t xml:space="preserve">ic setting) was not presented. </w:t>
      </w:r>
      <w:r w:rsidRPr="003554D8">
        <w:t>Only top-line results were given; the study has not been evaluated in any detail.</w:t>
      </w:r>
    </w:p>
    <w:p w:rsidR="007E4DB8" w:rsidRPr="003554D8" w:rsidRDefault="007E4DB8" w:rsidP="00C66AA9">
      <w:pPr>
        <w:pStyle w:val="Heading4"/>
      </w:pPr>
      <w:r w:rsidRPr="003554D8">
        <w:t>Safety</w:t>
      </w:r>
    </w:p>
    <w:p w:rsidR="007E4DB8" w:rsidRPr="003554D8" w:rsidRDefault="007E4DB8" w:rsidP="003554D8">
      <w:r w:rsidRPr="003554D8">
        <w:t>Given the pivotal nature of the OP</w:t>
      </w:r>
      <w:r w:rsidR="00B91328">
        <w:t>US and COIN S</w:t>
      </w:r>
      <w:r w:rsidRPr="003554D8">
        <w:t>tudies for efficacy, safety aspects of these studies are emphasised below.</w:t>
      </w:r>
    </w:p>
    <w:p w:rsidR="007E4DB8" w:rsidRPr="003554D8" w:rsidRDefault="007E4DB8" w:rsidP="003554D8">
      <w:r w:rsidRPr="003554D8">
        <w:t>In OPUS, various significant AEs were more common in the cetuximab + FOLFOX</w:t>
      </w:r>
      <w:r w:rsidR="009C1118">
        <w:t xml:space="preserve">4 arm than in the FOLFOX4 arm. </w:t>
      </w:r>
      <w:proofErr w:type="spellStart"/>
      <w:r w:rsidRPr="003554D8">
        <w:t>Palmar</w:t>
      </w:r>
      <w:proofErr w:type="spellEnd"/>
      <w:r w:rsidRPr="003554D8">
        <w:t xml:space="preserve">-plantar </w:t>
      </w:r>
      <w:proofErr w:type="spellStart"/>
      <w:r w:rsidRPr="003554D8">
        <w:t>erythrodysaesthesia</w:t>
      </w:r>
      <w:proofErr w:type="spellEnd"/>
      <w:r w:rsidRPr="003554D8">
        <w:t xml:space="preserve"> syndrome was seen in 11.2% </w:t>
      </w:r>
      <w:r w:rsidR="004F441E" w:rsidRPr="004F441E">
        <w:t>versus</w:t>
      </w:r>
      <w:r w:rsidR="009C1118">
        <w:t xml:space="preserve"> 4.2%. </w:t>
      </w:r>
      <w:r w:rsidRPr="003554D8">
        <w:t xml:space="preserve">Also, severe cardiac events were seen in 4.7% </w:t>
      </w:r>
      <w:r w:rsidR="004F441E" w:rsidRPr="004F441E">
        <w:t>versus</w:t>
      </w:r>
      <w:r w:rsidR="009C1118">
        <w:t xml:space="preserve"> 0%. </w:t>
      </w:r>
      <w:r w:rsidR="00085CAD">
        <w:t>In the K</w:t>
      </w:r>
      <w:r w:rsidR="00085CAD">
        <w:noBreakHyphen/>
      </w:r>
      <w:r w:rsidRPr="003554D8">
        <w:t xml:space="preserve">RAS </w:t>
      </w:r>
      <w:r w:rsidR="009C1118">
        <w:t xml:space="preserve">wild type </w:t>
      </w:r>
      <w:r w:rsidRPr="003554D8">
        <w:t>population, neutropenia was more prominent in the arm given cetuximab.</w:t>
      </w:r>
    </w:p>
    <w:p w:rsidR="007E4DB8" w:rsidRPr="003554D8" w:rsidRDefault="007E4DB8" w:rsidP="003554D8">
      <w:r w:rsidRPr="003554D8">
        <w:t>In COIN, safety was</w:t>
      </w:r>
      <w:r w:rsidR="009C1118">
        <w:t xml:space="preserve"> not analysed by K-RAS status. </w:t>
      </w:r>
      <w:r w:rsidRPr="003554D8">
        <w:t xml:space="preserve">Severe skin rash and severe </w:t>
      </w:r>
      <w:proofErr w:type="spellStart"/>
      <w:r w:rsidRPr="003554D8">
        <w:t>palmar</w:t>
      </w:r>
      <w:proofErr w:type="spellEnd"/>
      <w:r w:rsidRPr="003554D8">
        <w:t xml:space="preserve">-plantar </w:t>
      </w:r>
      <w:proofErr w:type="spellStart"/>
      <w:r w:rsidRPr="003554D8">
        <w:t>erythrodysaesthesia</w:t>
      </w:r>
      <w:proofErr w:type="spellEnd"/>
      <w:r w:rsidRPr="003554D8">
        <w:t xml:space="preserve"> syndrome were more prominent in the </w:t>
      </w:r>
      <w:proofErr w:type="spellStart"/>
      <w:r w:rsidRPr="003554D8">
        <w:t>cetuximab</w:t>
      </w:r>
      <w:proofErr w:type="spellEnd"/>
      <w:r w:rsidRPr="003554D8">
        <w:t xml:space="preserve"> + </w:t>
      </w:r>
      <w:proofErr w:type="spellStart"/>
      <w:r w:rsidRPr="003554D8">
        <w:t>OxMdG</w:t>
      </w:r>
      <w:proofErr w:type="spellEnd"/>
      <w:r w:rsidRPr="003554D8">
        <w:t xml:space="preserve"> arm than in the </w:t>
      </w:r>
      <w:proofErr w:type="spellStart"/>
      <w:r w:rsidRPr="003554D8">
        <w:t>OxMdG</w:t>
      </w:r>
      <w:proofErr w:type="spellEnd"/>
      <w:r w:rsidRPr="003554D8">
        <w:t xml:space="preserve"> arm, </w:t>
      </w:r>
      <w:r w:rsidR="009C1118">
        <w:t xml:space="preserve">as was severe hypomagnesaemia. </w:t>
      </w:r>
      <w:r w:rsidRPr="003554D8">
        <w:t>An important finding was the extent of gastrointestinal toxicity in the cetuximab + XELOX</w:t>
      </w:r>
      <w:r w:rsidR="009C1118">
        <w:t xml:space="preserve"> arm, relative to XELOX alone. </w:t>
      </w:r>
      <w:r w:rsidRPr="003554D8">
        <w:t>This led to a protocol amendment, reducing capecitabine dose</w:t>
      </w:r>
      <w:r w:rsidR="009C1118">
        <w:t xml:space="preserve">. </w:t>
      </w:r>
      <w:r w:rsidRPr="003554D8">
        <w:t xml:space="preserve">On the other hand, neutropenia was more prominent in those given </w:t>
      </w:r>
      <w:proofErr w:type="spellStart"/>
      <w:r w:rsidRPr="003554D8">
        <w:t>OxMdG</w:t>
      </w:r>
      <w:proofErr w:type="spellEnd"/>
      <w:r w:rsidRPr="003554D8">
        <w:t>, especially in combination with cetuximab.</w:t>
      </w:r>
    </w:p>
    <w:p w:rsidR="007E4DB8" w:rsidRPr="003554D8" w:rsidRDefault="007E4DB8" w:rsidP="003554D8">
      <w:r w:rsidRPr="003554D8">
        <w:t>For the sake of comparison, in CRYSTAL (FOLFIRI backbone), there was also a slight increase in severe cardiac events in the arm given cetuximab</w:t>
      </w:r>
      <w:r w:rsidR="00F0746A">
        <w:t xml:space="preserve">. </w:t>
      </w:r>
      <w:r w:rsidRPr="003554D8">
        <w:t xml:space="preserve">In the K-RAS </w:t>
      </w:r>
      <w:r w:rsidR="00F0746A" w:rsidRPr="00F0746A">
        <w:t>wild type</w:t>
      </w:r>
      <w:r w:rsidRPr="003554D8">
        <w:t xml:space="preserve"> group, neutropenia was again more prominent</w:t>
      </w:r>
      <w:r w:rsidR="00F0746A">
        <w:t>.</w:t>
      </w:r>
    </w:p>
    <w:p w:rsidR="007E4DB8" w:rsidRPr="003554D8" w:rsidRDefault="007E4DB8" w:rsidP="003554D8">
      <w:r w:rsidRPr="003554D8">
        <w:lastRenderedPageBreak/>
        <w:t>In CELIM, there was a suggestion of less toxicity in the cetuximab + FOLFOX6 arm than in the cetuximab + FOLFIRI arm</w:t>
      </w:r>
      <w:r w:rsidR="00F0746A">
        <w:t xml:space="preserve">. </w:t>
      </w:r>
      <w:r w:rsidRPr="003554D8">
        <w:t xml:space="preserve">In the perhaps more relevant CECOG CORE 1.2.001 </w:t>
      </w:r>
      <w:r w:rsidR="00B120F5">
        <w:t>S</w:t>
      </w:r>
      <w:r w:rsidRPr="003554D8">
        <w:t>tudy, the opposite impression was generated.</w:t>
      </w:r>
    </w:p>
    <w:p w:rsidR="008E7846" w:rsidRPr="003554D8" w:rsidRDefault="003554D8" w:rsidP="003554D8">
      <w:pPr>
        <w:pStyle w:val="Heading4"/>
      </w:pPr>
      <w:r>
        <w:t>C</w:t>
      </w:r>
      <w:r w:rsidR="008E7846" w:rsidRPr="003554D8">
        <w:t xml:space="preserve">linical </w:t>
      </w:r>
      <w:r>
        <w:t xml:space="preserve">evaluator’s </w:t>
      </w:r>
      <w:r w:rsidR="00F0746A">
        <w:t>recommendation</w:t>
      </w:r>
    </w:p>
    <w:p w:rsidR="008E7846" w:rsidRPr="00F0746A" w:rsidRDefault="003554D8" w:rsidP="00F0746A">
      <w:r w:rsidRPr="00F0746A">
        <w:t xml:space="preserve">The clinical evaluator does </w:t>
      </w:r>
      <w:r w:rsidRPr="001020E5">
        <w:t>not c</w:t>
      </w:r>
      <w:r w:rsidRPr="00F0746A">
        <w:t>onsider that the submitted data support the curre</w:t>
      </w:r>
      <w:r w:rsidR="00F0746A" w:rsidRPr="00F0746A">
        <w:t xml:space="preserve">nt </w:t>
      </w:r>
      <w:proofErr w:type="spellStart"/>
      <w:r w:rsidR="00F0746A" w:rsidRPr="00F0746A">
        <w:t>mCRC</w:t>
      </w:r>
      <w:proofErr w:type="spellEnd"/>
      <w:r w:rsidR="00F0746A" w:rsidRPr="00F0746A">
        <w:t xml:space="preserve"> first-line indication. </w:t>
      </w:r>
      <w:r w:rsidRPr="00F0746A">
        <w:t>The evaluator considers that there are sufficient data to support first-line use in combination wit</w:t>
      </w:r>
      <w:r w:rsidR="00D54846">
        <w:t>h irinotecan-based chemotherapy</w:t>
      </w:r>
      <w:r w:rsidRPr="00F0746A">
        <w:t xml:space="preserve"> but insufficient data to support first-line use in combination with continuous infusional 5-FU / FA + oxaliplatin.</w:t>
      </w:r>
    </w:p>
    <w:p w:rsidR="008E7846" w:rsidRDefault="00386150" w:rsidP="008E7846">
      <w:pPr>
        <w:pStyle w:val="Heading3"/>
        <w:rPr>
          <w:lang w:eastAsia="en-AU"/>
        </w:rPr>
      </w:pPr>
      <w:bookmarkStart w:id="103" w:name="_Toc314842514"/>
      <w:bookmarkStart w:id="104" w:name="_Toc368388471"/>
      <w:r>
        <w:rPr>
          <w:lang w:eastAsia="en-AU"/>
        </w:rPr>
        <w:t>Risk m</w:t>
      </w:r>
      <w:r w:rsidR="008E7846">
        <w:rPr>
          <w:lang w:eastAsia="en-AU"/>
        </w:rPr>
        <w:t xml:space="preserve">anagement </w:t>
      </w:r>
      <w:r>
        <w:rPr>
          <w:lang w:eastAsia="en-AU"/>
        </w:rPr>
        <w:t>p</w:t>
      </w:r>
      <w:r w:rsidR="008E7846">
        <w:rPr>
          <w:lang w:eastAsia="en-AU"/>
        </w:rPr>
        <w:t>lan</w:t>
      </w:r>
      <w:bookmarkEnd w:id="103"/>
      <w:bookmarkEnd w:id="104"/>
    </w:p>
    <w:p w:rsidR="007E4DB8" w:rsidRPr="007E4DB8" w:rsidRDefault="007E4DB8" w:rsidP="007E4DB8">
      <w:r w:rsidRPr="007E4DB8">
        <w:t>The RMP supplied with this application (dated 2</w:t>
      </w:r>
      <w:r w:rsidR="00957BA6">
        <w:t xml:space="preserve"> March </w:t>
      </w:r>
      <w:r w:rsidRPr="007E4DB8">
        <w:t>2011) has been reviewed and approved in a previous setting for cetuximab</w:t>
      </w:r>
      <w:r w:rsidR="00957BA6">
        <w:t>. T</w:t>
      </w:r>
      <w:r w:rsidRPr="007E4DB8">
        <w:t xml:space="preserve">he TGA’s </w:t>
      </w:r>
      <w:r w:rsidR="00957BA6">
        <w:t xml:space="preserve">OPR </w:t>
      </w:r>
      <w:r w:rsidRPr="007E4DB8">
        <w:t>review</w:t>
      </w:r>
      <w:r w:rsidR="00957BA6">
        <w:t>ed</w:t>
      </w:r>
      <w:r w:rsidRPr="007E4DB8">
        <w:t xml:space="preserve"> the most up-to-</w:t>
      </w:r>
      <w:r w:rsidR="00957BA6">
        <w:t xml:space="preserve">version and </w:t>
      </w:r>
      <w:r w:rsidRPr="007E4DB8">
        <w:t>confirm</w:t>
      </w:r>
      <w:r w:rsidR="00957BA6">
        <w:t>ed</w:t>
      </w:r>
      <w:r w:rsidRPr="007E4DB8">
        <w:t xml:space="preserve"> it is appropriate</w:t>
      </w:r>
      <w:r w:rsidR="00AF281E">
        <w:t xml:space="preserve"> provided various revisions to the PI were considered</w:t>
      </w:r>
      <w:r w:rsidR="00957BA6">
        <w:t>.</w:t>
      </w:r>
      <w:r w:rsidR="00AF281E">
        <w:rPr>
          <w:rStyle w:val="FootnoteReference"/>
        </w:rPr>
        <w:footnoteReference w:id="12"/>
      </w:r>
    </w:p>
    <w:p w:rsidR="008E7846" w:rsidRDefault="00AA0ED0" w:rsidP="008E7846">
      <w:pPr>
        <w:pStyle w:val="Heading3"/>
      </w:pPr>
      <w:bookmarkStart w:id="105" w:name="_Toc247691531"/>
      <w:bookmarkStart w:id="106" w:name="_Toc314842515"/>
      <w:bookmarkStart w:id="107" w:name="_Toc368388472"/>
      <w:bookmarkStart w:id="108" w:name="_Toc196046505"/>
      <w:bookmarkStart w:id="109" w:name="_Toc196046949"/>
      <w:r>
        <w:t>Risk-benefit a</w:t>
      </w:r>
      <w:r w:rsidR="008E7846">
        <w:t>nalysis</w:t>
      </w:r>
      <w:bookmarkEnd w:id="105"/>
      <w:bookmarkEnd w:id="106"/>
      <w:bookmarkEnd w:id="107"/>
    </w:p>
    <w:p w:rsidR="008E7846" w:rsidRDefault="008E7846" w:rsidP="00684713">
      <w:pPr>
        <w:pStyle w:val="Heading4"/>
      </w:pPr>
      <w:r>
        <w:t xml:space="preserve">Delegate </w:t>
      </w:r>
      <w:r w:rsidR="00ED3CAD">
        <w:t>c</w:t>
      </w:r>
      <w:r>
        <w:t>onsiderations</w:t>
      </w:r>
    </w:p>
    <w:p w:rsidR="007E4DB8" w:rsidRPr="007E4DB8" w:rsidRDefault="007E4DB8" w:rsidP="007E4DB8">
      <w:r w:rsidRPr="007E4DB8">
        <w:t xml:space="preserve">The sponsor proposes the following </w:t>
      </w:r>
      <w:r w:rsidR="00067361">
        <w:t>(</w:t>
      </w:r>
      <w:r w:rsidRPr="007E4DB8">
        <w:t>updated</w:t>
      </w:r>
      <w:r w:rsidR="00067361">
        <w:t>)</w:t>
      </w:r>
      <w:r w:rsidRPr="007E4DB8">
        <w:t xml:space="preserve"> indication for </w:t>
      </w:r>
      <w:proofErr w:type="spellStart"/>
      <w:r w:rsidRPr="007E4DB8">
        <w:t>cetuximab</w:t>
      </w:r>
      <w:proofErr w:type="spellEnd"/>
      <w:r w:rsidRPr="007E4DB8">
        <w:t xml:space="preserve"> in the </w:t>
      </w:r>
      <w:proofErr w:type="spellStart"/>
      <w:r w:rsidRPr="007E4DB8">
        <w:t>mCRC</w:t>
      </w:r>
      <w:proofErr w:type="spellEnd"/>
      <w:r w:rsidRPr="007E4DB8">
        <w:t xml:space="preserve"> setting:</w:t>
      </w:r>
    </w:p>
    <w:p w:rsidR="007E4DB8" w:rsidRPr="0051392E" w:rsidRDefault="007E4DB8" w:rsidP="00404DC6">
      <w:pPr>
        <w:ind w:left="360"/>
        <w:rPr>
          <w:i/>
          <w:iCs/>
        </w:rPr>
      </w:pPr>
      <w:r w:rsidRPr="0051392E">
        <w:rPr>
          <w:i/>
          <w:iCs/>
        </w:rPr>
        <w:t>Erbitux is indicated for the treatment of patients with epidermal growth factor receptor (EGFR)-expressing, K-RAS wild-type metastatic colorectal cancer</w:t>
      </w:r>
    </w:p>
    <w:p w:rsidR="007E4DB8" w:rsidRPr="0051392E" w:rsidRDefault="007E4DB8" w:rsidP="00404DC6">
      <w:pPr>
        <w:pStyle w:val="ListBullet"/>
        <w:ind w:left="720"/>
        <w:rPr>
          <w:i/>
          <w:iCs/>
        </w:rPr>
      </w:pPr>
      <w:r w:rsidRPr="0051392E">
        <w:rPr>
          <w:i/>
          <w:iCs/>
        </w:rPr>
        <w:t>In combination with irinotecan-based chemotherapy</w:t>
      </w:r>
    </w:p>
    <w:p w:rsidR="007E4DB8" w:rsidRPr="0051392E" w:rsidRDefault="007E4DB8" w:rsidP="00404DC6">
      <w:pPr>
        <w:pStyle w:val="ListBullet"/>
        <w:ind w:left="720"/>
        <w:rPr>
          <w:i/>
          <w:iCs/>
        </w:rPr>
      </w:pPr>
      <w:r w:rsidRPr="0051392E">
        <w:rPr>
          <w:i/>
          <w:iCs/>
        </w:rPr>
        <w:t>In first-line in combination with FOLFOX</w:t>
      </w:r>
    </w:p>
    <w:p w:rsidR="000457A1" w:rsidRDefault="007E4DB8" w:rsidP="00404DC6">
      <w:pPr>
        <w:pStyle w:val="ListBullet"/>
        <w:ind w:left="720"/>
        <w:rPr>
          <w:i/>
          <w:iCs/>
        </w:rPr>
      </w:pPr>
      <w:r w:rsidRPr="0051392E">
        <w:rPr>
          <w:i/>
          <w:iCs/>
        </w:rPr>
        <w:t>As a single agent in patients who have failed or are intolerant to oxaliplatin-based therapy and irinotecan-based therapy</w:t>
      </w:r>
      <w:r w:rsidR="00093850" w:rsidRPr="0051392E">
        <w:rPr>
          <w:i/>
          <w:iCs/>
        </w:rPr>
        <w:t xml:space="preserve"> </w:t>
      </w:r>
    </w:p>
    <w:p w:rsidR="0047432C" w:rsidRDefault="007E4DB8" w:rsidP="00404DC6">
      <w:pPr>
        <w:pStyle w:val="ListBullet"/>
        <w:numPr>
          <w:ilvl w:val="0"/>
          <w:numId w:val="0"/>
        </w:numPr>
        <w:ind w:left="360"/>
        <w:rPr>
          <w:i/>
          <w:iCs/>
        </w:rPr>
      </w:pPr>
      <w:r w:rsidRPr="0051392E">
        <w:rPr>
          <w:i/>
          <w:iCs/>
        </w:rPr>
        <w:t>(</w:t>
      </w:r>
      <w:proofErr w:type="gramStart"/>
      <w:r w:rsidRPr="0051392E">
        <w:rPr>
          <w:i/>
          <w:iCs/>
        </w:rPr>
        <w:t>see</w:t>
      </w:r>
      <w:proofErr w:type="gramEnd"/>
      <w:r w:rsidRPr="0051392E">
        <w:rPr>
          <w:i/>
          <w:iCs/>
        </w:rPr>
        <w:t xml:space="preserve"> CLINICAL TRIALS).</w:t>
      </w:r>
    </w:p>
    <w:p w:rsidR="007E4DB8" w:rsidRPr="007E4DB8" w:rsidRDefault="007E4DB8" w:rsidP="007E4DB8">
      <w:r w:rsidRPr="007E4DB8">
        <w:t>In response to t</w:t>
      </w:r>
      <w:r w:rsidR="0051392E">
        <w:t>he c</w:t>
      </w:r>
      <w:r w:rsidRPr="007E4DB8">
        <w:t xml:space="preserve">linical </w:t>
      </w:r>
      <w:r w:rsidR="0051392E">
        <w:t>e</w:t>
      </w:r>
      <w:r w:rsidRPr="007E4DB8">
        <w:t>valuation</w:t>
      </w:r>
      <w:r w:rsidR="0051392E">
        <w:t xml:space="preserve"> report</w:t>
      </w:r>
      <w:r w:rsidRPr="007E4DB8">
        <w:t xml:space="preserve">, the sponsor </w:t>
      </w:r>
      <w:r w:rsidR="0051392E">
        <w:t xml:space="preserve">also </w:t>
      </w:r>
      <w:r w:rsidRPr="007E4DB8">
        <w:t>proposes a new contra-indication:</w:t>
      </w:r>
    </w:p>
    <w:p w:rsidR="007E4DB8" w:rsidRPr="00067361" w:rsidRDefault="007E4DB8" w:rsidP="00067361">
      <w:pPr>
        <w:rPr>
          <w:i/>
          <w:iCs/>
        </w:rPr>
      </w:pPr>
      <w:r w:rsidRPr="00067361">
        <w:rPr>
          <w:i/>
          <w:iCs/>
        </w:rPr>
        <w:t>The combination of Erbitux with oxaliplatin-containing chemotherapy is contra-indicated for patients with mutant K-RAS metastatic colorectal cancer (</w:t>
      </w:r>
      <w:proofErr w:type="spellStart"/>
      <w:r w:rsidRPr="00067361">
        <w:rPr>
          <w:i/>
          <w:iCs/>
        </w:rPr>
        <w:t>mCRC</w:t>
      </w:r>
      <w:proofErr w:type="spellEnd"/>
      <w:r w:rsidRPr="00067361">
        <w:rPr>
          <w:i/>
          <w:iCs/>
        </w:rPr>
        <w:t xml:space="preserve">) or for whom K-RAS </w:t>
      </w:r>
      <w:proofErr w:type="spellStart"/>
      <w:r w:rsidRPr="00067361">
        <w:rPr>
          <w:i/>
          <w:iCs/>
        </w:rPr>
        <w:t>mCRC</w:t>
      </w:r>
      <w:proofErr w:type="spellEnd"/>
      <w:r w:rsidRPr="00067361">
        <w:rPr>
          <w:i/>
          <w:iCs/>
        </w:rPr>
        <w:t xml:space="preserve"> status is unknown.</w:t>
      </w:r>
    </w:p>
    <w:p w:rsidR="007E4DB8" w:rsidRPr="007E4DB8" w:rsidRDefault="007E4DB8" w:rsidP="007E4DB8">
      <w:r w:rsidRPr="007E4DB8">
        <w:t xml:space="preserve">The </w:t>
      </w:r>
      <w:r w:rsidR="00067361">
        <w:t xml:space="preserve">Delegate considered the </w:t>
      </w:r>
      <w:r w:rsidRPr="007E4DB8">
        <w:t>following issues:</w:t>
      </w:r>
    </w:p>
    <w:p w:rsidR="007E4DB8" w:rsidRPr="007E4DB8" w:rsidRDefault="007E4DB8" w:rsidP="00067361">
      <w:pPr>
        <w:pStyle w:val="Heading5"/>
      </w:pPr>
      <w:r w:rsidRPr="007E4DB8">
        <w:t>Combination with irinotecan-based chemotherapy</w:t>
      </w:r>
    </w:p>
    <w:p w:rsidR="00B91328" w:rsidRDefault="007E4DB8" w:rsidP="00AF281E">
      <w:pPr>
        <w:pStyle w:val="ListBullet"/>
      </w:pPr>
      <w:r w:rsidRPr="007E4DB8">
        <w:t>Should the indication specify us</w:t>
      </w:r>
      <w:r w:rsidR="00B91328">
        <w:t xml:space="preserve">e in combination with FOLFIRI? </w:t>
      </w:r>
    </w:p>
    <w:p w:rsidR="007E4DB8" w:rsidRPr="00B91328" w:rsidRDefault="007E4DB8" w:rsidP="00067361">
      <w:pPr>
        <w:rPr>
          <w:i/>
          <w:iCs/>
        </w:rPr>
      </w:pPr>
      <w:r w:rsidRPr="007E4DB8">
        <w:t>The clinical evaluator says it should; the spo</w:t>
      </w:r>
      <w:r w:rsidR="0051392E">
        <w:t xml:space="preserve">nsor supports broader wording. </w:t>
      </w:r>
      <w:r w:rsidRPr="007E4DB8">
        <w:t xml:space="preserve">The basis for the current broad wording (“irinotecan-based chemotherapy”) was data submitted in </w:t>
      </w:r>
      <w:r w:rsidR="00B91328">
        <w:t>a previous a</w:t>
      </w:r>
      <w:r w:rsidR="0051392E">
        <w:t>pplication</w:t>
      </w:r>
      <w:r w:rsidR="00A8661A">
        <w:t xml:space="preserve"> (approved in 2010)</w:t>
      </w:r>
      <w:r w:rsidR="0051392E">
        <w:t xml:space="preserve">. </w:t>
      </w:r>
      <w:r w:rsidRPr="007E4DB8">
        <w:t>Pivotal there wa</w:t>
      </w:r>
      <w:r w:rsidR="0051392E">
        <w:t xml:space="preserve">s CRYSTAL, which used FOLFIRI. </w:t>
      </w:r>
      <w:r w:rsidRPr="007E4DB8">
        <w:t xml:space="preserve">The </w:t>
      </w:r>
      <w:r w:rsidR="00B91328">
        <w:t>TGA Delegate for that application noted</w:t>
      </w:r>
      <w:r w:rsidRPr="007E4DB8">
        <w:t>:</w:t>
      </w:r>
      <w:r w:rsidR="00067361">
        <w:t xml:space="preserve"> </w:t>
      </w:r>
      <w:r w:rsidRPr="00B91328">
        <w:rPr>
          <w:i/>
          <w:iCs/>
        </w:rPr>
        <w:t>Even though cetuximab has only been tested with FOLFIRI and FOLFOX4 in controlled trials for the first-line indication, it is likely to add benefit to o</w:t>
      </w:r>
      <w:r w:rsidR="00067361">
        <w:rPr>
          <w:i/>
          <w:iCs/>
        </w:rPr>
        <w:t xml:space="preserve">ther chemotherapy regimens. </w:t>
      </w:r>
      <w:r w:rsidRPr="00B91328">
        <w:rPr>
          <w:i/>
          <w:iCs/>
        </w:rPr>
        <w:t>The product information warns prescribers to consider respective product information when use of cetuximab with other che</w:t>
      </w:r>
      <w:r w:rsidR="00067361">
        <w:rPr>
          <w:i/>
          <w:iCs/>
        </w:rPr>
        <w:t xml:space="preserve">motherapy is </w:t>
      </w:r>
      <w:r w:rsidR="00067361">
        <w:rPr>
          <w:i/>
          <w:iCs/>
        </w:rPr>
        <w:lastRenderedPageBreak/>
        <w:t xml:space="preserve">being considered. </w:t>
      </w:r>
      <w:r w:rsidRPr="00B91328">
        <w:rPr>
          <w:i/>
          <w:iCs/>
        </w:rPr>
        <w:t>This is important in predicting the toxicity of the proposed drug combinat</w:t>
      </w:r>
      <w:r w:rsidR="00067361">
        <w:rPr>
          <w:i/>
          <w:iCs/>
        </w:rPr>
        <w:t xml:space="preserve">ion. </w:t>
      </w:r>
      <w:r w:rsidRPr="00B91328">
        <w:rPr>
          <w:i/>
          <w:iCs/>
        </w:rPr>
        <w:t>The general indication will allow flexibility with continually changing chemotherapy regimens.</w:t>
      </w:r>
    </w:p>
    <w:p w:rsidR="007E4DB8" w:rsidRPr="007E4DB8" w:rsidRDefault="007E4DB8" w:rsidP="007E4DB8">
      <w:r w:rsidRPr="007E4DB8">
        <w:t xml:space="preserve">Subsequently, the </w:t>
      </w:r>
      <w:r w:rsidR="00B91328">
        <w:t xml:space="preserve">SRN </w:t>
      </w:r>
      <w:r w:rsidRPr="007E4DB8">
        <w:t>in 2011 narrowed the wording to “irinotecan-based chemotherapy”; it is the current application that seeks to justify this change.</w:t>
      </w:r>
    </w:p>
    <w:p w:rsidR="007E4DB8" w:rsidRPr="007E4DB8" w:rsidRDefault="007E4DB8" w:rsidP="007E4DB8">
      <w:r w:rsidRPr="007E4DB8">
        <w:t>Data have emerged suggesting that the benefit of adding cetuximab may be tied more closely than once thought to choice of s</w:t>
      </w:r>
      <w:r w:rsidR="00B91328">
        <w:t xml:space="preserve">pecific chemotherapy backbone. </w:t>
      </w:r>
      <w:r w:rsidRPr="007E4DB8">
        <w:t xml:space="preserve">An example is use with XELOX: COIN suggests adding cetuximab to XELOX is not </w:t>
      </w:r>
      <w:r w:rsidR="00B91328">
        <w:t xml:space="preserve">beneficial in first line </w:t>
      </w:r>
      <w:proofErr w:type="spellStart"/>
      <w:r w:rsidR="00B91328">
        <w:t>mCRC</w:t>
      </w:r>
      <w:proofErr w:type="spellEnd"/>
      <w:r w:rsidR="00B91328">
        <w:t xml:space="preserve">. </w:t>
      </w:r>
      <w:proofErr w:type="spellStart"/>
      <w:r w:rsidRPr="007E4DB8">
        <w:t>EviQ</w:t>
      </w:r>
      <w:proofErr w:type="spellEnd"/>
      <w:r w:rsidRPr="007E4DB8">
        <w:t xml:space="preserve"> implies that in </w:t>
      </w:r>
      <w:proofErr w:type="spellStart"/>
      <w:r w:rsidRPr="007E4DB8">
        <w:t>mCRC</w:t>
      </w:r>
      <w:proofErr w:type="spellEnd"/>
      <w:r w:rsidRPr="007E4DB8">
        <w:t>, the following chemotherapy regimens are ‘irinotecan-based’:</w:t>
      </w:r>
    </w:p>
    <w:p w:rsidR="007E4DB8" w:rsidRPr="007E4DB8" w:rsidRDefault="007E4DB8" w:rsidP="00B91328">
      <w:pPr>
        <w:pStyle w:val="ListBullet"/>
      </w:pPr>
      <w:r w:rsidRPr="007E4DB8">
        <w:t>irinotecan alone</w:t>
      </w:r>
    </w:p>
    <w:p w:rsidR="007E4DB8" w:rsidRPr="007E4DB8" w:rsidRDefault="007E4DB8" w:rsidP="00B91328">
      <w:pPr>
        <w:pStyle w:val="ListBullet"/>
      </w:pPr>
      <w:r w:rsidRPr="007E4DB8">
        <w:t>FOLFIRI</w:t>
      </w:r>
    </w:p>
    <w:p w:rsidR="007E4DB8" w:rsidRPr="007E4DB8" w:rsidRDefault="007E4DB8" w:rsidP="00B91328">
      <w:pPr>
        <w:pStyle w:val="ListBullet"/>
      </w:pPr>
      <w:r w:rsidRPr="007E4DB8">
        <w:t>FOLFIRI modified</w:t>
      </w:r>
    </w:p>
    <w:p w:rsidR="007E4DB8" w:rsidRPr="007E4DB8" w:rsidRDefault="007E4DB8" w:rsidP="00B91328">
      <w:pPr>
        <w:pStyle w:val="ListBullet"/>
      </w:pPr>
      <w:r w:rsidRPr="007E4DB8">
        <w:t>XELIRI (capecitabine and irinotecan)</w:t>
      </w:r>
    </w:p>
    <w:p w:rsidR="00B91328" w:rsidRDefault="007E4DB8" w:rsidP="007E4DB8">
      <w:r w:rsidRPr="007E4DB8">
        <w:t>XELIRI can be viewed as ‘irinotecan-based chemotherapy’ yet COIN found that capecitabine + oxaliplatin should n</w:t>
      </w:r>
      <w:r w:rsidR="00B91328">
        <w:t xml:space="preserve">ot be combined with cetuximab. </w:t>
      </w:r>
      <w:r w:rsidRPr="007E4DB8">
        <w:t xml:space="preserve">XELIRI may be used where FOLFIRI is not suitable or practical, without regard to </w:t>
      </w:r>
      <w:r w:rsidR="00B95D37">
        <w:t>first</w:t>
      </w:r>
      <w:r w:rsidRPr="007E4DB8">
        <w:t xml:space="preserve"> </w:t>
      </w:r>
      <w:r w:rsidR="004F441E" w:rsidRPr="004F441E">
        <w:t>versus</w:t>
      </w:r>
      <w:r w:rsidRPr="007E4DB8">
        <w:t xml:space="preserve"> subsequent- line use. COIN data emerged after the TGA evaluation of </w:t>
      </w:r>
      <w:r w:rsidR="00B91328">
        <w:t>the a</w:t>
      </w:r>
      <w:r w:rsidRPr="007E4DB8">
        <w:t>pplication</w:t>
      </w:r>
      <w:r w:rsidR="00A8661A">
        <w:t xml:space="preserve"> approved in 2010</w:t>
      </w:r>
      <w:r w:rsidR="00684713">
        <w:t>.</w:t>
      </w:r>
    </w:p>
    <w:p w:rsidR="007E4DB8" w:rsidRPr="007E4DB8" w:rsidRDefault="00B91328" w:rsidP="00FA01FD">
      <w:r>
        <w:t xml:space="preserve">The Delegate </w:t>
      </w:r>
      <w:r w:rsidR="007E4DB8" w:rsidRPr="007E4DB8">
        <w:t>consider</w:t>
      </w:r>
      <w:r>
        <w:t>ed</w:t>
      </w:r>
      <w:r w:rsidR="007E4DB8" w:rsidRPr="007E4DB8">
        <w:t xml:space="preserve"> this new evidence raises doubt about the benefit-risk profile of cetux</w:t>
      </w:r>
      <w:r w:rsidR="00FA01FD">
        <w:t>imab in combination with XELIRI</w:t>
      </w:r>
      <w:r w:rsidR="007E4DB8" w:rsidRPr="007E4DB8">
        <w:t xml:space="preserve"> </w:t>
      </w:r>
      <w:r w:rsidR="007E4DB8" w:rsidRPr="00B91328">
        <w:t>and agree</w:t>
      </w:r>
      <w:r>
        <w:t>d</w:t>
      </w:r>
      <w:r w:rsidR="007E4DB8" w:rsidRPr="00B91328">
        <w:t xml:space="preserve"> that the indication should be narrowed until there</w:t>
      </w:r>
      <w:r w:rsidR="007E4DB8" w:rsidRPr="007E4DB8">
        <w:t xml:space="preserve"> are suitable data supporting broader use in </w:t>
      </w:r>
      <w:r w:rsidR="00B95D37">
        <w:t>first</w:t>
      </w:r>
      <w:r>
        <w:t xml:space="preserve"> line </w:t>
      </w:r>
      <w:proofErr w:type="spellStart"/>
      <w:r>
        <w:t>mCRC</w:t>
      </w:r>
      <w:proofErr w:type="spellEnd"/>
      <w:r>
        <w:t xml:space="preserve">. The Delegate </w:t>
      </w:r>
      <w:r w:rsidR="007E4DB8" w:rsidRPr="007E4DB8">
        <w:t>support</w:t>
      </w:r>
      <w:r>
        <w:t>ed</w:t>
      </w:r>
      <w:r w:rsidR="007E4DB8" w:rsidRPr="007E4DB8">
        <w:t xml:space="preserve"> use of the term “FOLFIRI”, but potentially a term that captures the modified FOLFIRI regi</w:t>
      </w:r>
      <w:r>
        <w:t xml:space="preserve">men would be more appropriate. </w:t>
      </w:r>
      <w:r w:rsidR="007E4DB8" w:rsidRPr="007E4DB8">
        <w:t>(The modified regimen is quite closely related to the regimen used in CRYSTAL and ca</w:t>
      </w:r>
      <w:r>
        <w:t xml:space="preserve">n be supported on that basis.) </w:t>
      </w:r>
      <w:r w:rsidR="00FA01FD">
        <w:t xml:space="preserve">The Delegate proposed to seek the advice of the </w:t>
      </w:r>
      <w:r w:rsidR="00AF281E">
        <w:t>Advisory Committee on Prescription Medicines (</w:t>
      </w:r>
      <w:r w:rsidR="00FA01FD">
        <w:t>ACPM</w:t>
      </w:r>
      <w:r w:rsidR="00AF281E">
        <w:t>)</w:t>
      </w:r>
      <w:r w:rsidR="00FA01FD">
        <w:t xml:space="preserve"> on this issue.</w:t>
      </w:r>
    </w:p>
    <w:p w:rsidR="007E4DB8" w:rsidRPr="007E4DB8" w:rsidRDefault="007E4DB8" w:rsidP="00067361">
      <w:pPr>
        <w:pStyle w:val="Heading5"/>
      </w:pPr>
      <w:r w:rsidRPr="007E4DB8">
        <w:t>Combination with FOLFOX-like chemotherapy</w:t>
      </w:r>
    </w:p>
    <w:p w:rsidR="00B91328" w:rsidRDefault="007E4DB8" w:rsidP="00A8661A">
      <w:pPr>
        <w:pStyle w:val="ListBullet"/>
      </w:pPr>
      <w:r w:rsidRPr="007E4DB8">
        <w:t xml:space="preserve">Should the indication allow combination with FOLFOX in treatment of </w:t>
      </w:r>
      <w:r w:rsidR="00B95D37">
        <w:t>first</w:t>
      </w:r>
      <w:r w:rsidR="00684713">
        <w:t xml:space="preserve"> line </w:t>
      </w:r>
      <w:proofErr w:type="spellStart"/>
      <w:r w:rsidR="00684713">
        <w:t>mCRC</w:t>
      </w:r>
      <w:proofErr w:type="spellEnd"/>
      <w:r w:rsidR="00684713">
        <w:t>?</w:t>
      </w:r>
    </w:p>
    <w:p w:rsidR="007E4DB8" w:rsidRPr="007E4DB8" w:rsidRDefault="007E4DB8" w:rsidP="007E4DB8">
      <w:r w:rsidRPr="007E4DB8">
        <w:t xml:space="preserve">The </w:t>
      </w:r>
      <w:r w:rsidR="00B91328">
        <w:t>clinical evaluator thinks not. The m</w:t>
      </w:r>
      <w:r w:rsidRPr="007E4DB8">
        <w:t xml:space="preserve">ain concerns as outlined in </w:t>
      </w:r>
      <w:r w:rsidR="00B91328">
        <w:t xml:space="preserve">the </w:t>
      </w:r>
      <w:r w:rsidRPr="007E4DB8">
        <w:t>CER</w:t>
      </w:r>
      <w:r w:rsidR="00B91328">
        <w:t xml:space="preserve"> </w:t>
      </w:r>
      <w:r w:rsidRPr="007E4DB8">
        <w:t>(</w:t>
      </w:r>
      <w:r w:rsidR="00B91328">
        <w:t xml:space="preserve">see </w:t>
      </w:r>
      <w:r w:rsidR="00A8661A">
        <w:t xml:space="preserve">also </w:t>
      </w:r>
      <w:r w:rsidR="00FA01FD">
        <w:t xml:space="preserve">Figure </w:t>
      </w:r>
      <w:r w:rsidR="00A8661A">
        <w:t>2 above</w:t>
      </w:r>
      <w:r w:rsidRPr="007E4DB8">
        <w:t>) are that COIN results did not support this use, and that neither OPUS nor COIN demonstrated a survival benefit convincingly.</w:t>
      </w:r>
    </w:p>
    <w:p w:rsidR="007E4DB8" w:rsidRPr="007E4DB8" w:rsidRDefault="00B91328" w:rsidP="007E4DB8">
      <w:r>
        <w:t xml:space="preserve">The Delegate </w:t>
      </w:r>
      <w:r w:rsidR="007E4DB8" w:rsidRPr="007E4DB8">
        <w:t>agree</w:t>
      </w:r>
      <w:r>
        <w:t>d</w:t>
      </w:r>
      <w:r w:rsidR="00CA0972">
        <w:t xml:space="preserve"> with the sponsor that it i</w:t>
      </w:r>
      <w:r w:rsidR="007E4DB8" w:rsidRPr="007E4DB8">
        <w:t xml:space="preserve">s reasonable to consider PFS as a pivotal endpoint, though it would be more reassuring if OS data were consistent </w:t>
      </w:r>
      <w:r w:rsidR="00FA01FD">
        <w:t>and</w:t>
      </w:r>
      <w:r w:rsidR="007E4DB8" w:rsidRPr="007E4DB8">
        <w:t>/</w:t>
      </w:r>
      <w:r w:rsidR="00FA01FD">
        <w:t>or</w:t>
      </w:r>
      <w:r w:rsidR="007E4DB8" w:rsidRPr="007E4DB8">
        <w:t xml:space="preserve"> supportive.</w:t>
      </w:r>
    </w:p>
    <w:p w:rsidR="007E4DB8" w:rsidRPr="00FA01FD" w:rsidRDefault="00FA01FD" w:rsidP="007E4DB8">
      <w:r>
        <w:t xml:space="preserve">The Delegate had </w:t>
      </w:r>
      <w:r w:rsidR="007E4DB8" w:rsidRPr="007E4DB8">
        <w:t>less concern about the use of retrospective analysis of K-RAS status given the strong mechanist</w:t>
      </w:r>
      <w:r w:rsidR="003E400C">
        <w:t xml:space="preserve">ic basis for this </w:t>
      </w:r>
      <w:proofErr w:type="spellStart"/>
      <w:r w:rsidR="003E400C">
        <w:t>subgrouping</w:t>
      </w:r>
      <w:proofErr w:type="spellEnd"/>
      <w:r w:rsidR="003E400C">
        <w:t xml:space="preserve">. </w:t>
      </w:r>
      <w:r w:rsidR="007E4DB8" w:rsidRPr="007E4DB8">
        <w:t xml:space="preserve">The disadvantage of focusing on K-RAS </w:t>
      </w:r>
      <w:r w:rsidR="003E400C">
        <w:t>wild type</w:t>
      </w:r>
      <w:r w:rsidR="007E4DB8" w:rsidRPr="007E4DB8">
        <w:t xml:space="preserve"> patients in terms of power to detect differences across arms is offset by the ability to examine re</w:t>
      </w:r>
      <w:r>
        <w:t xml:space="preserve">sults across multiple studies. </w:t>
      </w:r>
      <w:r w:rsidR="007E4DB8" w:rsidRPr="007E4DB8">
        <w:t>While OPUS was supportive of the current indicati</w:t>
      </w:r>
      <w:r>
        <w:t xml:space="preserve">on, efficacy was not dramatic. </w:t>
      </w:r>
      <w:r w:rsidR="007E4DB8" w:rsidRPr="007E4DB8">
        <w:t xml:space="preserve">COIN suggested a more marginal benefit, if any, in the </w:t>
      </w:r>
      <w:r w:rsidR="003E400C" w:rsidRPr="003E400C">
        <w:t>wild type</w:t>
      </w:r>
      <w:r w:rsidR="007E4DB8" w:rsidRPr="007E4DB8">
        <w:t xml:space="preserve"> subgroup given a FOLFOX-like regimen, but there wa</w:t>
      </w:r>
      <w:r>
        <w:t xml:space="preserve">s no strongly negative signal. </w:t>
      </w:r>
      <w:r w:rsidR="007E4DB8" w:rsidRPr="007E4DB8">
        <w:t>Results of studies where cetuximab + FOLFIRI w</w:t>
      </w:r>
      <w:r>
        <w:t>ere</w:t>
      </w:r>
      <w:r w:rsidR="007E4DB8" w:rsidRPr="007E4DB8">
        <w:t xml:space="preserve"> compared with cetuximab + FOLFOX did not clearly indicate that combina</w:t>
      </w:r>
      <w:r>
        <w:t xml:space="preserve">tion with FOLFOX was inferior. The Delegate’s </w:t>
      </w:r>
      <w:r w:rsidR="007E4DB8" w:rsidRPr="007E4DB8">
        <w:t xml:space="preserve">view </w:t>
      </w:r>
      <w:r>
        <w:t>wa</w:t>
      </w:r>
      <w:r w:rsidR="007E4DB8" w:rsidRPr="007E4DB8">
        <w:t xml:space="preserve">s </w:t>
      </w:r>
      <w:r w:rsidR="007E4DB8" w:rsidRPr="00FA01FD">
        <w:t xml:space="preserve">that it is reasonable for this indication to remain </w:t>
      </w:r>
      <w:r w:rsidR="00067361">
        <w:t xml:space="preserve">and proposed to seek the </w:t>
      </w:r>
      <w:r w:rsidR="007E4DB8" w:rsidRPr="00FA01FD">
        <w:t xml:space="preserve">advice of the ACPM </w:t>
      </w:r>
      <w:r w:rsidR="00CA0972">
        <w:t>on this matter</w:t>
      </w:r>
      <w:r w:rsidR="007E4DB8" w:rsidRPr="00FA01FD">
        <w:t>.</w:t>
      </w:r>
    </w:p>
    <w:p w:rsidR="007E4DB8" w:rsidRPr="007E4DB8" w:rsidRDefault="007E4DB8" w:rsidP="00067361">
      <w:pPr>
        <w:pStyle w:val="Heading5"/>
      </w:pPr>
      <w:r w:rsidRPr="007E4DB8">
        <w:t>Liver-limited disease; efficacy by number of metastatic sites</w:t>
      </w:r>
    </w:p>
    <w:p w:rsidR="007E4DB8" w:rsidRPr="007E4DB8" w:rsidRDefault="007E4DB8" w:rsidP="007E4DB8">
      <w:r w:rsidRPr="007E4DB8">
        <w:t xml:space="preserve">There was a signal in several important studies that the benefit of cetuximab is most evident (in the setting of </w:t>
      </w:r>
      <w:r w:rsidR="00B95D37">
        <w:t>first</w:t>
      </w:r>
      <w:r w:rsidRPr="007E4DB8">
        <w:t xml:space="preserve"> line treatment of </w:t>
      </w:r>
      <w:proofErr w:type="spellStart"/>
      <w:r w:rsidRPr="007E4DB8">
        <w:t>mCRC</w:t>
      </w:r>
      <w:proofErr w:type="spellEnd"/>
      <w:r w:rsidRPr="007E4DB8">
        <w:t>) in patients with either liver-limited metastatic di</w:t>
      </w:r>
      <w:r w:rsidR="00FA01FD">
        <w:t xml:space="preserve">sease or few metastatic sites. </w:t>
      </w:r>
      <w:r w:rsidRPr="007E4DB8">
        <w:t xml:space="preserve">A similar finding is not immediately obvious in </w:t>
      </w:r>
      <w:r w:rsidRPr="007E4DB8">
        <w:lastRenderedPageBreak/>
        <w:t xml:space="preserve">the pivotal study </w:t>
      </w:r>
      <w:r w:rsidR="00CA0972">
        <w:t xml:space="preserve">(the PRIME Study) </w:t>
      </w:r>
      <w:r w:rsidRPr="007E4DB8">
        <w:t xml:space="preserve">for </w:t>
      </w:r>
      <w:proofErr w:type="spellStart"/>
      <w:r w:rsidRPr="007E4DB8">
        <w:t>panitumumab</w:t>
      </w:r>
      <w:proofErr w:type="spellEnd"/>
      <w:r w:rsidR="00FA01FD">
        <w:t xml:space="preserve">. The Delegate proposed </w:t>
      </w:r>
      <w:r w:rsidRPr="007E4DB8">
        <w:t xml:space="preserve">inclusion of this information </w:t>
      </w:r>
      <w:r w:rsidR="00FA01FD">
        <w:t xml:space="preserve">under </w:t>
      </w:r>
      <w:r w:rsidRPr="00FA01FD">
        <w:rPr>
          <w:i/>
          <w:iCs/>
        </w:rPr>
        <w:t>Precaution</w:t>
      </w:r>
      <w:r w:rsidR="00FA01FD">
        <w:rPr>
          <w:i/>
          <w:iCs/>
        </w:rPr>
        <w:t xml:space="preserve">s </w:t>
      </w:r>
      <w:r w:rsidR="00FA01FD" w:rsidRPr="00FA01FD">
        <w:t>in the PI</w:t>
      </w:r>
      <w:r w:rsidRPr="007E4DB8">
        <w:t>, as follows:</w:t>
      </w:r>
    </w:p>
    <w:p w:rsidR="007E4DB8" w:rsidRPr="00FA01FD" w:rsidRDefault="007E4DB8" w:rsidP="00FA01FD">
      <w:pPr>
        <w:ind w:left="720"/>
        <w:rPr>
          <w:i/>
          <w:iCs/>
        </w:rPr>
      </w:pPr>
      <w:r w:rsidRPr="00FA01FD">
        <w:rPr>
          <w:i/>
          <w:iCs/>
        </w:rPr>
        <w:t>Metastatic colorectal cancer at sites other than liver</w:t>
      </w:r>
    </w:p>
    <w:p w:rsidR="007E4DB8" w:rsidRPr="00FA01FD" w:rsidRDefault="007E4DB8" w:rsidP="00FA01FD">
      <w:pPr>
        <w:ind w:left="720"/>
        <w:rPr>
          <w:i/>
          <w:iCs/>
        </w:rPr>
      </w:pPr>
      <w:r w:rsidRPr="00FA01FD">
        <w:rPr>
          <w:i/>
          <w:iCs/>
        </w:rPr>
        <w:t>In sub-group analyses of progression-free survival (in studies including OPUS and CRYSTAL), the benefit of cetuximab has been more prominent in those patients with liver-limited</w:t>
      </w:r>
      <w:r w:rsidR="00CA0972">
        <w:rPr>
          <w:i/>
          <w:iCs/>
        </w:rPr>
        <w:t xml:space="preserve"> metastatic colorectal cancer. </w:t>
      </w:r>
      <w:r w:rsidRPr="00FA01FD">
        <w:rPr>
          <w:i/>
          <w:iCs/>
        </w:rPr>
        <w:t>The benefit-risk balance in patients with metastatic CRC that includes sites outside the liver is less well established.</w:t>
      </w:r>
    </w:p>
    <w:p w:rsidR="007E4DB8" w:rsidRPr="007E4DB8" w:rsidRDefault="007E4DB8" w:rsidP="007E4DB8">
      <w:r w:rsidRPr="007E4DB8">
        <w:t>Alternatively, relevant d</w:t>
      </w:r>
      <w:r w:rsidR="00FA01FD">
        <w:t xml:space="preserve">etail could be included in the </w:t>
      </w:r>
      <w:r w:rsidR="00FA01FD" w:rsidRPr="00FA01FD">
        <w:rPr>
          <w:i/>
          <w:iCs/>
        </w:rPr>
        <w:t>C</w:t>
      </w:r>
      <w:r w:rsidRPr="00FA01FD">
        <w:rPr>
          <w:i/>
          <w:iCs/>
        </w:rPr>
        <w:t xml:space="preserve">linical </w:t>
      </w:r>
      <w:r w:rsidR="00FA01FD" w:rsidRPr="00FA01FD">
        <w:rPr>
          <w:i/>
          <w:iCs/>
        </w:rPr>
        <w:t>T</w:t>
      </w:r>
      <w:r w:rsidRPr="00FA01FD">
        <w:rPr>
          <w:i/>
          <w:iCs/>
        </w:rPr>
        <w:t>rials</w:t>
      </w:r>
      <w:r w:rsidRPr="007E4DB8">
        <w:t xml:space="preserve"> section.</w:t>
      </w:r>
    </w:p>
    <w:p w:rsidR="007E4DB8" w:rsidRPr="007E4DB8" w:rsidRDefault="007E4DB8" w:rsidP="00684713">
      <w:pPr>
        <w:pStyle w:val="Heading6"/>
      </w:pPr>
      <w:r w:rsidRPr="007E4DB8">
        <w:t>Proposed action</w:t>
      </w:r>
    </w:p>
    <w:p w:rsidR="007E4DB8" w:rsidRPr="007E4DB8" w:rsidRDefault="00FA01FD" w:rsidP="007E4DB8">
      <w:r>
        <w:t>The Delegate</w:t>
      </w:r>
      <w:r w:rsidR="007E4DB8" w:rsidRPr="007E4DB8">
        <w:t xml:space="preserve"> propose</w:t>
      </w:r>
      <w:r>
        <w:t>d</w:t>
      </w:r>
      <w:r w:rsidR="007E4DB8" w:rsidRPr="007E4DB8">
        <w:t xml:space="preserve"> to </w:t>
      </w:r>
      <w:r>
        <w:t xml:space="preserve">modify </w:t>
      </w:r>
      <w:r w:rsidR="007E4DB8" w:rsidRPr="007E4DB8">
        <w:t>the sponsor’s most recently proposed indication to read:</w:t>
      </w:r>
    </w:p>
    <w:p w:rsidR="007E4DB8" w:rsidRPr="00842383" w:rsidRDefault="007E4DB8" w:rsidP="00842383">
      <w:pPr>
        <w:ind w:left="360"/>
        <w:rPr>
          <w:i/>
          <w:iCs/>
        </w:rPr>
      </w:pPr>
      <w:r w:rsidRPr="00842383">
        <w:rPr>
          <w:i/>
          <w:iCs/>
        </w:rPr>
        <w:t>Erbitux is indicated for the treatment of patients with epidermal growth factor receptor (EGFR)-expressing, K-RAS wild-type metastatic colorectal cancer</w:t>
      </w:r>
    </w:p>
    <w:p w:rsidR="007E4DB8" w:rsidRPr="00842383" w:rsidRDefault="007E4DB8" w:rsidP="00842383">
      <w:pPr>
        <w:pStyle w:val="ListBullet"/>
        <w:ind w:left="720"/>
        <w:rPr>
          <w:i/>
          <w:iCs/>
        </w:rPr>
      </w:pPr>
      <w:r w:rsidRPr="00842383">
        <w:rPr>
          <w:i/>
          <w:iCs/>
        </w:rPr>
        <w:t>In combination with FOLFIRI</w:t>
      </w:r>
    </w:p>
    <w:p w:rsidR="007E4DB8" w:rsidRPr="00842383" w:rsidRDefault="007E4DB8" w:rsidP="00842383">
      <w:pPr>
        <w:pStyle w:val="ListBullet"/>
        <w:ind w:left="720"/>
        <w:rPr>
          <w:i/>
          <w:iCs/>
        </w:rPr>
      </w:pPr>
      <w:r w:rsidRPr="00842383">
        <w:rPr>
          <w:i/>
          <w:iCs/>
        </w:rPr>
        <w:t>In first-line in combination with FOLFOX</w:t>
      </w:r>
    </w:p>
    <w:p w:rsidR="000C2719" w:rsidRDefault="007E4DB8" w:rsidP="00842383">
      <w:pPr>
        <w:pStyle w:val="ListBullet"/>
        <w:ind w:left="720"/>
        <w:rPr>
          <w:i/>
          <w:iCs/>
        </w:rPr>
      </w:pPr>
      <w:r w:rsidRPr="00842383">
        <w:rPr>
          <w:i/>
          <w:iCs/>
        </w:rPr>
        <w:t>As a single agent in patients who have failed or are intolerant to oxaliplatin-based therapy and irinotecan-based therapy</w:t>
      </w:r>
      <w:r w:rsidR="00FA01FD" w:rsidRPr="00842383">
        <w:rPr>
          <w:i/>
          <w:iCs/>
        </w:rPr>
        <w:t xml:space="preserve"> </w:t>
      </w:r>
    </w:p>
    <w:p w:rsidR="007E4DB8" w:rsidRPr="00842383" w:rsidRDefault="007E4DB8" w:rsidP="000C2719">
      <w:pPr>
        <w:pStyle w:val="ListBullet"/>
        <w:numPr>
          <w:ilvl w:val="0"/>
          <w:numId w:val="0"/>
        </w:numPr>
        <w:ind w:left="720"/>
        <w:rPr>
          <w:i/>
          <w:iCs/>
        </w:rPr>
      </w:pPr>
      <w:r w:rsidRPr="00842383">
        <w:rPr>
          <w:i/>
          <w:iCs/>
        </w:rPr>
        <w:t>(</w:t>
      </w:r>
      <w:proofErr w:type="gramStart"/>
      <w:r w:rsidRPr="00842383">
        <w:rPr>
          <w:i/>
          <w:iCs/>
        </w:rPr>
        <w:t>see</w:t>
      </w:r>
      <w:proofErr w:type="gramEnd"/>
      <w:r w:rsidRPr="00842383">
        <w:rPr>
          <w:i/>
          <w:iCs/>
        </w:rPr>
        <w:t xml:space="preserve"> CLINICAL TRIALS).</w:t>
      </w:r>
    </w:p>
    <w:p w:rsidR="001020E5" w:rsidRPr="001020E5" w:rsidRDefault="001020E5" w:rsidP="001020E5">
      <w:pPr>
        <w:pStyle w:val="Heading4"/>
      </w:pPr>
      <w:r w:rsidRPr="001020E5">
        <w:t>Request for ACPM advice</w:t>
      </w:r>
    </w:p>
    <w:p w:rsidR="00067361" w:rsidRPr="00067361" w:rsidRDefault="00067361" w:rsidP="00067361">
      <w:r w:rsidRPr="00067361">
        <w:t xml:space="preserve">This </w:t>
      </w:r>
      <w:r>
        <w:t>wa</w:t>
      </w:r>
      <w:r w:rsidRPr="00067361">
        <w:t xml:space="preserve">s an unusual submission in that it was structured to ‘justify’ an existing indication. The ACPM’s advice was sought </w:t>
      </w:r>
      <w:r>
        <w:t xml:space="preserve">in view of </w:t>
      </w:r>
      <w:r w:rsidRPr="00067361">
        <w:t xml:space="preserve">(a) </w:t>
      </w:r>
      <w:r w:rsidR="0032719A">
        <w:t xml:space="preserve">the </w:t>
      </w:r>
      <w:r w:rsidRPr="00067361">
        <w:t>evident difficulty</w:t>
      </w:r>
      <w:r>
        <w:t>,</w:t>
      </w:r>
      <w:r w:rsidRPr="00067361">
        <w:t xml:space="preserve"> since original registration</w:t>
      </w:r>
      <w:r>
        <w:t>,</w:t>
      </w:r>
      <w:r w:rsidRPr="00067361">
        <w:t xml:space="preserve"> in arriving at a suitable indication for </w:t>
      </w:r>
      <w:proofErr w:type="spellStart"/>
      <w:r w:rsidRPr="00067361">
        <w:t>cetuximab</w:t>
      </w:r>
      <w:proofErr w:type="spellEnd"/>
      <w:r w:rsidRPr="00067361">
        <w:t xml:space="preserve"> in </w:t>
      </w:r>
      <w:proofErr w:type="spellStart"/>
      <w:r w:rsidRPr="00067361">
        <w:t>mCRC</w:t>
      </w:r>
      <w:proofErr w:type="spellEnd"/>
      <w:r w:rsidRPr="00067361">
        <w:t>; and (b) the emergence of new clinical trial data that bear on this question.</w:t>
      </w:r>
    </w:p>
    <w:p w:rsidR="007E4DB8" w:rsidRPr="007E4DB8" w:rsidRDefault="001020E5" w:rsidP="007E4DB8">
      <w:r w:rsidRPr="001020E5">
        <w:t xml:space="preserve">The Delegate proposed to </w:t>
      </w:r>
      <w:r w:rsidR="00067361">
        <w:t xml:space="preserve">seek </w:t>
      </w:r>
      <w:r w:rsidRPr="001020E5">
        <w:t xml:space="preserve">general advice </w:t>
      </w:r>
      <w:r w:rsidR="00CA0972">
        <w:t xml:space="preserve">from the ACPM </w:t>
      </w:r>
      <w:r w:rsidR="00067361" w:rsidRPr="005326A5">
        <w:t xml:space="preserve">with regard to the </w:t>
      </w:r>
      <w:proofErr w:type="spellStart"/>
      <w:r w:rsidR="00067361" w:rsidRPr="005326A5">
        <w:t>mCRC</w:t>
      </w:r>
      <w:proofErr w:type="spellEnd"/>
      <w:r w:rsidR="00067361" w:rsidRPr="005326A5">
        <w:t xml:space="preserve"> indication for </w:t>
      </w:r>
      <w:proofErr w:type="spellStart"/>
      <w:r w:rsidR="00067361" w:rsidRPr="005326A5">
        <w:t>cetuximab</w:t>
      </w:r>
      <w:proofErr w:type="spellEnd"/>
      <w:r w:rsidR="0032719A">
        <w:t xml:space="preserve"> and to request </w:t>
      </w:r>
      <w:r w:rsidR="00CA0972">
        <w:t xml:space="preserve">the Committee </w:t>
      </w:r>
      <w:proofErr w:type="gramStart"/>
      <w:r w:rsidR="00CA0972">
        <w:t>addre</w:t>
      </w:r>
      <w:r w:rsidR="00684713">
        <w:t>ss</w:t>
      </w:r>
      <w:proofErr w:type="gramEnd"/>
      <w:r w:rsidR="00684713">
        <w:t xml:space="preserve"> the following in particular:</w:t>
      </w:r>
    </w:p>
    <w:p w:rsidR="007E4DB8" w:rsidRPr="001020E5" w:rsidRDefault="007E4DB8" w:rsidP="001020E5">
      <w:pPr>
        <w:pStyle w:val="ListBullet"/>
      </w:pPr>
      <w:r w:rsidRPr="001020E5">
        <w:t>Should reference to combination with irinotecan-based chemotherapy be restricted to combination with FOLFI</w:t>
      </w:r>
      <w:r w:rsidR="001020E5" w:rsidRPr="001020E5">
        <w:t xml:space="preserve">RI? </w:t>
      </w:r>
      <w:r w:rsidRPr="001020E5">
        <w:t>Is there a better term to reflect the intent of this change, i.e. so that it is obvious that the modified FOLFIRI regime is also included?</w:t>
      </w:r>
    </w:p>
    <w:p w:rsidR="007E4DB8" w:rsidRPr="001020E5" w:rsidRDefault="007E4DB8" w:rsidP="001020E5">
      <w:pPr>
        <w:pStyle w:val="ListBullet"/>
      </w:pPr>
      <w:r w:rsidRPr="001020E5">
        <w:t xml:space="preserve">Should the indication be narrowed to exclude </w:t>
      </w:r>
      <w:r w:rsidR="00B95D37" w:rsidRPr="001020E5">
        <w:t>first</w:t>
      </w:r>
      <w:r w:rsidRPr="001020E5">
        <w:t xml:space="preserve"> line combination with FOLFOX?</w:t>
      </w:r>
    </w:p>
    <w:p w:rsidR="007E4DB8" w:rsidRDefault="007E4DB8" w:rsidP="001020E5">
      <w:pPr>
        <w:pStyle w:val="ListBullet"/>
      </w:pPr>
      <w:r w:rsidRPr="001020E5">
        <w:t>Is there sufficient evidence to restrict use in any way or include recommendations in the PI with regard to liver-limited metastatic disease?</w:t>
      </w:r>
    </w:p>
    <w:p w:rsidR="008E7846" w:rsidRDefault="008E7846" w:rsidP="008E7846">
      <w:pPr>
        <w:pStyle w:val="Heading4"/>
      </w:pPr>
      <w:r>
        <w:t xml:space="preserve">Response from </w:t>
      </w:r>
      <w:r w:rsidR="00B95D37">
        <w:t>sponsor</w:t>
      </w:r>
    </w:p>
    <w:p w:rsidR="00C93109" w:rsidRPr="00C93109" w:rsidRDefault="00684713" w:rsidP="00C93109">
      <w:pPr>
        <w:pStyle w:val="Heading5"/>
      </w:pPr>
      <w:r>
        <w:t>Introduction</w:t>
      </w:r>
    </w:p>
    <w:p w:rsidR="00C93109" w:rsidRPr="00C93109" w:rsidRDefault="00C93109" w:rsidP="00684713">
      <w:r w:rsidRPr="00C93109">
        <w:t xml:space="preserve">The emergence of new clinical data raised questions on the benefit-risk profile of Erbitux (cetuximab) in combination with certain oxaliplatin-based chemotherapy regimens for the treatment of patients with K-RAS wild-type </w:t>
      </w:r>
      <w:proofErr w:type="spellStart"/>
      <w:r w:rsidRPr="00C93109">
        <w:t>mCRC</w:t>
      </w:r>
      <w:proofErr w:type="spellEnd"/>
      <w:r w:rsidRPr="00C93109">
        <w:t xml:space="preserve">. The </w:t>
      </w:r>
      <w:r w:rsidR="00B95D37">
        <w:t>sponsor</w:t>
      </w:r>
      <w:r w:rsidRPr="00C93109">
        <w:t xml:space="preserve"> proactively moved to restrict the oxaliplatin-based combination to continuous infusional therapies only. This restriction was quickly implemented vi</w:t>
      </w:r>
      <w:r w:rsidR="00D54846">
        <w:t>a a safety-related notification</w:t>
      </w:r>
      <w:r w:rsidRPr="00C93109">
        <w:t xml:space="preserve"> and subsequently complemented by the submission of the clinical data that led to this deci</w:t>
      </w:r>
      <w:r w:rsidR="00D54846">
        <w:t>sion</w:t>
      </w:r>
      <w:r w:rsidR="00684713">
        <w:t xml:space="preserve"> for the TGA’s review.</w:t>
      </w:r>
    </w:p>
    <w:p w:rsidR="00C93109" w:rsidRPr="00C93109" w:rsidRDefault="00C93109" w:rsidP="00684713">
      <w:r w:rsidRPr="00C93109">
        <w:t>This pre-ACPM response focuses on issues ra</w:t>
      </w:r>
      <w:r w:rsidR="00D54846">
        <w:t>ised in the Delegate’s Overview</w:t>
      </w:r>
      <w:r w:rsidRPr="00C93109">
        <w:t xml:space="preserve"> for which the Committee’s advice is sought. The </w:t>
      </w:r>
      <w:r w:rsidR="00B95D37">
        <w:t>sponsor</w:t>
      </w:r>
      <w:r w:rsidRPr="00C93109">
        <w:t>’s proposed indication is now (changes since the origi</w:t>
      </w:r>
      <w:r w:rsidR="00684713">
        <w:t>nal submission are underlined):</w:t>
      </w:r>
    </w:p>
    <w:p w:rsidR="00C93109" w:rsidRPr="00C93109" w:rsidRDefault="00C93109" w:rsidP="00C93109">
      <w:pPr>
        <w:ind w:left="360"/>
        <w:rPr>
          <w:i/>
        </w:rPr>
      </w:pPr>
      <w:r w:rsidRPr="00C93109">
        <w:rPr>
          <w:i/>
        </w:rPr>
        <w:lastRenderedPageBreak/>
        <w:t>Erbitux is indicated for the treatment of patients with epidermal growth factor receptor (EGFR)-expressing, K-RAS wild-ty</w:t>
      </w:r>
      <w:r w:rsidR="00684713">
        <w:rPr>
          <w:i/>
        </w:rPr>
        <w:t>pe metastatic colorectal cancer</w:t>
      </w:r>
    </w:p>
    <w:p w:rsidR="00C93109" w:rsidRPr="00C93109" w:rsidRDefault="00C93109" w:rsidP="00C93109">
      <w:pPr>
        <w:pStyle w:val="ListBullet"/>
        <w:ind w:left="720"/>
        <w:rPr>
          <w:i/>
        </w:rPr>
      </w:pPr>
      <w:r w:rsidRPr="00C93109">
        <w:rPr>
          <w:i/>
        </w:rPr>
        <w:t xml:space="preserve">in combination with irinotecan-based chemotherapy </w:t>
      </w:r>
    </w:p>
    <w:p w:rsidR="00C93109" w:rsidRPr="00C93109" w:rsidRDefault="00C93109" w:rsidP="00C93109">
      <w:pPr>
        <w:pStyle w:val="ListBullet"/>
        <w:ind w:left="720"/>
        <w:rPr>
          <w:i/>
          <w:u w:val="single"/>
        </w:rPr>
      </w:pPr>
      <w:r w:rsidRPr="00C93109">
        <w:rPr>
          <w:i/>
          <w:u w:val="single"/>
        </w:rPr>
        <w:t xml:space="preserve">in first-line in combination with FOLFOX </w:t>
      </w:r>
    </w:p>
    <w:p w:rsidR="000457A1" w:rsidRDefault="00C93109" w:rsidP="00C93109">
      <w:pPr>
        <w:pStyle w:val="ListBullet"/>
        <w:ind w:left="720"/>
        <w:rPr>
          <w:i/>
        </w:rPr>
      </w:pPr>
      <w:proofErr w:type="gramStart"/>
      <w:r w:rsidRPr="00C93109">
        <w:rPr>
          <w:i/>
        </w:rPr>
        <w:t>as</w:t>
      </w:r>
      <w:proofErr w:type="gramEnd"/>
      <w:r w:rsidRPr="00C93109">
        <w:rPr>
          <w:i/>
        </w:rPr>
        <w:t xml:space="preserve"> a single agent in patients who have failed or are intolerant to oxaliplatin-based therapy and </w:t>
      </w:r>
      <w:proofErr w:type="spellStart"/>
      <w:r w:rsidRPr="00C93109">
        <w:rPr>
          <w:i/>
        </w:rPr>
        <w:t>irinote</w:t>
      </w:r>
      <w:r w:rsidR="00684713">
        <w:rPr>
          <w:i/>
        </w:rPr>
        <w:t>can</w:t>
      </w:r>
      <w:proofErr w:type="spellEnd"/>
      <w:r w:rsidR="00684713">
        <w:rPr>
          <w:i/>
        </w:rPr>
        <w:t>-based therapy.</w:t>
      </w:r>
    </w:p>
    <w:p w:rsidR="0047432C" w:rsidRPr="00684713" w:rsidRDefault="00C93109" w:rsidP="00684713">
      <w:pPr>
        <w:ind w:left="426"/>
        <w:rPr>
          <w:i/>
        </w:rPr>
      </w:pPr>
      <w:r w:rsidRPr="00684713">
        <w:rPr>
          <w:i/>
        </w:rPr>
        <w:t>(</w:t>
      </w:r>
      <w:proofErr w:type="gramStart"/>
      <w:r w:rsidRPr="00684713">
        <w:rPr>
          <w:i/>
        </w:rPr>
        <w:t>see</w:t>
      </w:r>
      <w:proofErr w:type="gramEnd"/>
      <w:r w:rsidRPr="00684713">
        <w:rPr>
          <w:i/>
        </w:rPr>
        <w:t xml:space="preserve"> CLINICAL TRIALS </w:t>
      </w:r>
      <w:r w:rsidRPr="00684713">
        <w:rPr>
          <w:i/>
          <w:u w:val="single"/>
        </w:rPr>
        <w:t>and PRECAUTIONS</w:t>
      </w:r>
      <w:r w:rsidR="00684713">
        <w:rPr>
          <w:i/>
        </w:rPr>
        <w:t>)</w:t>
      </w:r>
    </w:p>
    <w:p w:rsidR="00C93109" w:rsidRPr="00C93109" w:rsidRDefault="00C93109" w:rsidP="00C93109">
      <w:pPr>
        <w:pStyle w:val="Heading5"/>
      </w:pPr>
      <w:r w:rsidRPr="00C93109">
        <w:t xml:space="preserve">Combination with irinotecan-based chemotherapy </w:t>
      </w:r>
    </w:p>
    <w:p w:rsidR="00C93109" w:rsidRPr="00C93109" w:rsidRDefault="00C93109" w:rsidP="00C93109">
      <w:r w:rsidRPr="00C93109">
        <w:t>Following review of the data from the Medi</w:t>
      </w:r>
      <w:r w:rsidR="0098638C">
        <w:t>cal Research Council-sponsored P</w:t>
      </w:r>
      <w:r w:rsidRPr="00C93109">
        <w:t xml:space="preserve">hase III COIN </w:t>
      </w:r>
      <w:r w:rsidR="0098638C">
        <w:t>S</w:t>
      </w:r>
      <w:r w:rsidRPr="00C93109">
        <w:t xml:space="preserve">tudy, in particular the results in patients treated with cetuximab and XELOX, the Delegate has raised a concern regarding the possible use of cetuximab with XELIRI. The </w:t>
      </w:r>
      <w:r w:rsidR="00B95D37">
        <w:t>sponsor</w:t>
      </w:r>
      <w:r w:rsidRPr="00C93109">
        <w:t xml:space="preserve"> is aware of two published articles reporting original results from </w:t>
      </w:r>
      <w:r w:rsidR="00B120F5">
        <w:t>P</w:t>
      </w:r>
      <w:r w:rsidRPr="00C93109">
        <w:t>hase II open-label studies relevant to this issue and has summarised th</w:t>
      </w:r>
      <w:r w:rsidR="00684713">
        <w:t>e results below.</w:t>
      </w:r>
    </w:p>
    <w:p w:rsidR="00C93109" w:rsidRPr="00C93109" w:rsidRDefault="00C93109" w:rsidP="00C93109">
      <w:r w:rsidRPr="00C93109">
        <w:t xml:space="preserve">Cartwright </w:t>
      </w:r>
      <w:r w:rsidRPr="00180477">
        <w:rPr>
          <w:i/>
          <w:iCs/>
        </w:rPr>
        <w:t>et al</w:t>
      </w:r>
      <w:r w:rsidRPr="00C93109">
        <w:t>.</w:t>
      </w:r>
      <w:r>
        <w:rPr>
          <w:rStyle w:val="FootnoteReference"/>
        </w:rPr>
        <w:footnoteReference w:id="13"/>
      </w:r>
      <w:r w:rsidRPr="00C93109">
        <w:t xml:space="preserve"> describe a non-randomised study with 69 patients who were treated with cetuximab plus XELIRI (200 mg/m</w:t>
      </w:r>
      <w:r w:rsidRPr="00573571">
        <w:rPr>
          <w:vertAlign w:val="superscript"/>
        </w:rPr>
        <w:t>2</w:t>
      </w:r>
      <w:r w:rsidRPr="00C93109">
        <w:t xml:space="preserve"> irinotecan on Day 1; 1700 mg/m</w:t>
      </w:r>
      <w:r w:rsidRPr="00C93109">
        <w:rPr>
          <w:vertAlign w:val="superscript"/>
        </w:rPr>
        <w:t>2</w:t>
      </w:r>
      <w:r w:rsidRPr="00C93109">
        <w:t xml:space="preserve"> capecitabine per day given on days 1-14 of a 21-day cycle). K-RAS tumour status was not reported and results are thus only availa</w:t>
      </w:r>
      <w:r w:rsidR="00684713">
        <w:t>ble for the overall population.</w:t>
      </w:r>
    </w:p>
    <w:p w:rsidR="00C93109" w:rsidRPr="00C93109" w:rsidRDefault="00C93109" w:rsidP="00C93109">
      <w:proofErr w:type="spellStart"/>
      <w:r w:rsidRPr="00C93109">
        <w:t>Moosmann</w:t>
      </w:r>
      <w:proofErr w:type="spellEnd"/>
      <w:r w:rsidRPr="00C93109">
        <w:t xml:space="preserve"> </w:t>
      </w:r>
      <w:r w:rsidRPr="00C93109">
        <w:rPr>
          <w:i/>
        </w:rPr>
        <w:t>et al</w:t>
      </w:r>
      <w:r>
        <w:t>.</w:t>
      </w:r>
      <w:r>
        <w:rPr>
          <w:rStyle w:val="FootnoteReference"/>
        </w:rPr>
        <w:footnoteReference w:id="14"/>
      </w:r>
      <w:r w:rsidRPr="00C93109">
        <w:t xml:space="preserve"> reported a study comparing cetuximab plus CAPIRI (200 mg/m</w:t>
      </w:r>
      <w:r w:rsidRPr="00C93109">
        <w:rPr>
          <w:vertAlign w:val="superscript"/>
        </w:rPr>
        <w:t>2</w:t>
      </w:r>
      <w:r w:rsidRPr="00C93109">
        <w:t xml:space="preserve"> irinotecan on Day 1; 1600 mg/m</w:t>
      </w:r>
      <w:r w:rsidRPr="00C93109">
        <w:rPr>
          <w:vertAlign w:val="superscript"/>
        </w:rPr>
        <w:t>2</w:t>
      </w:r>
      <w:r w:rsidRPr="00C93109">
        <w:t xml:space="preserve"> capecitabine per day on days 1-14 of a 21-day cycle, Arm A) and cetuximab + CAPOX (130 mg/m² oxaliplatin on Day 1; 2000 mg/m² per day, on days </w:t>
      </w:r>
      <w:r w:rsidR="00684713">
        <w:t>1-14 of a 21-day cycle, Arm B).</w:t>
      </w:r>
    </w:p>
    <w:p w:rsidR="00C93109" w:rsidRDefault="00C93109" w:rsidP="00C93109">
      <w:r w:rsidRPr="00C93109">
        <w:t xml:space="preserve">Efficacy results for patients treated with cetuximab plus CAPIRI/XELIRI are summarised in the table below and compared to the results obtained in </w:t>
      </w:r>
      <w:r w:rsidR="0098638C">
        <w:t>the pivotal P</w:t>
      </w:r>
      <w:r w:rsidRPr="00C93109">
        <w:t xml:space="preserve">hase III CRYSTAL </w:t>
      </w:r>
      <w:r w:rsidR="0098638C">
        <w:t>S</w:t>
      </w:r>
      <w:r w:rsidRPr="00C93109">
        <w:t xml:space="preserve">tudy for cetuximab plus FOLFIRI. The efficacy results for cetuximab plus CAPOX reported in the </w:t>
      </w:r>
      <w:proofErr w:type="spellStart"/>
      <w:r w:rsidRPr="00C93109">
        <w:t>Moosmann</w:t>
      </w:r>
      <w:proofErr w:type="spellEnd"/>
      <w:r w:rsidRPr="00C93109">
        <w:t xml:space="preserve"> study are not described in detail here; they were of similar magnitude to those seen i</w:t>
      </w:r>
      <w:r w:rsidR="00D54846">
        <w:t>n the cetuximab plus CAPIRI arm</w:t>
      </w:r>
      <w:r w:rsidRPr="00C93109">
        <w:t xml:space="preserve"> for the intent-to-treat a</w:t>
      </w:r>
      <w:r w:rsidR="00684713">
        <w:t>nd K-RAS wild-type populations.</w:t>
      </w:r>
    </w:p>
    <w:p w:rsidR="0063739D" w:rsidRPr="00C93109" w:rsidRDefault="009F76C5" w:rsidP="00684713">
      <w:pPr>
        <w:pStyle w:val="TableTitle"/>
      </w:pPr>
      <w:proofErr w:type="gramStart"/>
      <w:r>
        <w:lastRenderedPageBreak/>
        <w:t>Table 8</w:t>
      </w:r>
      <w:r w:rsidR="0063739D">
        <w:t>.</w:t>
      </w:r>
      <w:proofErr w:type="gramEnd"/>
      <w:r w:rsidR="0063739D">
        <w:t xml:space="preserve"> </w:t>
      </w:r>
      <w:r w:rsidR="0063739D" w:rsidRPr="0063739D">
        <w:t>Efficacy results for patients treated with cetuximab plus CAPIRI/XELIRI</w:t>
      </w:r>
      <w:r w:rsidR="0063739D">
        <w:t>/</w:t>
      </w:r>
      <w:r w:rsidR="0063739D" w:rsidRPr="0063739D">
        <w:t xml:space="preserve"> FOLFIRI</w:t>
      </w:r>
    </w:p>
    <w:p w:rsidR="00C93109" w:rsidRPr="00C93109" w:rsidRDefault="00C93109" w:rsidP="0098638C">
      <w:pPr>
        <w:keepNext/>
        <w:spacing w:after="0"/>
      </w:pPr>
      <w:r w:rsidRPr="00C93109">
        <w:rPr>
          <w:noProof/>
          <w:lang w:eastAsia="en-AU"/>
        </w:rPr>
        <w:drawing>
          <wp:inline distT="0" distB="0" distL="0" distR="0">
            <wp:extent cx="4785360" cy="2263338"/>
            <wp:effectExtent l="19050" t="0" r="0" b="0"/>
            <wp:docPr id="2" name="Picture 1" descr="Table 8. Efficacy results for patients treated with cetuximab plus CAPIRI/XELIRI/ FOLF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784235" cy="2262806"/>
                    </a:xfrm>
                    <a:prstGeom prst="rect">
                      <a:avLst/>
                    </a:prstGeom>
                    <a:noFill/>
                    <a:ln w="9525">
                      <a:noFill/>
                      <a:miter lim="800000"/>
                      <a:headEnd/>
                      <a:tailEnd/>
                    </a:ln>
                  </pic:spPr>
                </pic:pic>
              </a:graphicData>
            </a:graphic>
          </wp:inline>
        </w:drawing>
      </w:r>
    </w:p>
    <w:p w:rsidR="00C93109" w:rsidRPr="0063739D" w:rsidRDefault="00F42F51" w:rsidP="00684713">
      <w:pPr>
        <w:pStyle w:val="TableDescription"/>
      </w:pPr>
      <w:proofErr w:type="gramStart"/>
      <w:r w:rsidRPr="00F42F51">
        <w:rPr>
          <w:vertAlign w:val="superscript"/>
        </w:rPr>
        <w:t>a</w:t>
      </w:r>
      <w:proofErr w:type="gramEnd"/>
      <w:r w:rsidR="00C93109" w:rsidRPr="0063739D">
        <w:t xml:space="preserve"> Intent to treat population, unselected for K-RAS status OS=overall survival; PFS=progression-free survival; O</w:t>
      </w:r>
      <w:r w:rsidR="00684713">
        <w:t>RR=overall response rate</w:t>
      </w:r>
    </w:p>
    <w:p w:rsidR="00C93109" w:rsidRPr="00C93109" w:rsidRDefault="0098638C" w:rsidP="00C93109">
      <w:r>
        <w:t>The most frequent G</w:t>
      </w:r>
      <w:r w:rsidR="00C93109" w:rsidRPr="00C93109">
        <w:t>rade 3/4 treatment-related adverse events (AEs) in the Cartwright study included diarrhoea (23%), neutropenia (19%), rash (9%), hand-foot skin reaction (9%) and nausea/vomiting (7/9%); 32% of patients required dose reductions. All patients had left the study at the time of publication primarily because of disease prog</w:t>
      </w:r>
      <w:r w:rsidR="00A37676">
        <w:t>ression (34.3%) or AEs (40.0%).</w:t>
      </w:r>
    </w:p>
    <w:p w:rsidR="00C93109" w:rsidRPr="00C93109" w:rsidRDefault="00C93109" w:rsidP="00A37676">
      <w:r w:rsidRPr="00C93109">
        <w:t xml:space="preserve">In the </w:t>
      </w:r>
      <w:proofErr w:type="spellStart"/>
      <w:r w:rsidRPr="00C93109">
        <w:t>Moo</w:t>
      </w:r>
      <w:r w:rsidR="0098638C">
        <w:t>smann</w:t>
      </w:r>
      <w:proofErr w:type="spellEnd"/>
      <w:r w:rsidR="0098638C">
        <w:t xml:space="preserve"> study, the most frequent G</w:t>
      </w:r>
      <w:r w:rsidRPr="00C93109">
        <w:t>rade 3/4 treatment-related AEs in patients treated with cetuximab plus</w:t>
      </w:r>
      <w:r w:rsidR="0098638C">
        <w:t xml:space="preserve"> CAPIRI (n </w:t>
      </w:r>
      <w:r w:rsidRPr="00C93109">
        <w:t>=</w:t>
      </w:r>
      <w:r w:rsidR="0098638C">
        <w:t xml:space="preserve"> </w:t>
      </w:r>
      <w:r w:rsidRPr="00C93109">
        <w:t>89) include</w:t>
      </w:r>
      <w:r w:rsidR="0063739D">
        <w:t>d diarrhoea (15.7%), exanthema/</w:t>
      </w:r>
      <w:r w:rsidRPr="00C93109">
        <w:t>desquamation (12.4%) and neutropenia (9.0%). Hand-foot syndrome</w:t>
      </w:r>
      <w:r w:rsidR="0098638C">
        <w:t xml:space="preserve"> was also reported frequently: G</w:t>
      </w:r>
      <w:r w:rsidRPr="00C93109">
        <w:t>rade 2/3 events in 12.4% of patients. Dose reduction was necessary in 31.8% of cetuximab plus CAPIRI treatment cycles. For patients trea</w:t>
      </w:r>
      <w:r w:rsidR="0098638C">
        <w:t xml:space="preserve">ted with cetuximab plus CAPOX (n </w:t>
      </w:r>
      <w:r w:rsidRPr="00C93109">
        <w:t>=</w:t>
      </w:r>
      <w:r w:rsidR="0098638C">
        <w:t xml:space="preserve"> </w:t>
      </w:r>
      <w:r w:rsidRPr="00C93109">
        <w:t xml:space="preserve">88), exanthema/desquamation (20.5%), diarrhoea (19.3%), and sensory neurotoxicity (14.8%) were the most frequently reported </w:t>
      </w:r>
      <w:r w:rsidR="00B120F5">
        <w:t>G</w:t>
      </w:r>
      <w:r w:rsidRPr="00C93109">
        <w:t>rade 3/4 treatment-related AEs, while neutropenia was reported in 1.1%</w:t>
      </w:r>
      <w:r w:rsidR="0098638C">
        <w:t xml:space="preserve"> of patients; G</w:t>
      </w:r>
      <w:r w:rsidRPr="00C93109">
        <w:t>rade 2/3 hand-foot syndrome events were seen in 22.7% of patients. Dose reduction was necessary in 44.4% of cetuxim</w:t>
      </w:r>
      <w:r w:rsidR="00A37676">
        <w:t>ab plus CAPOX treatment cycles.</w:t>
      </w:r>
    </w:p>
    <w:p w:rsidR="00C93109" w:rsidRPr="00C93109" w:rsidRDefault="00C93109" w:rsidP="00C93109">
      <w:r w:rsidRPr="00C93109">
        <w:t xml:space="preserve">The patient numbers in both studies are small and do not allow for a decisive interpretation. When comparing the results obtained in the total study populations (not selected for K-RAS status), ORR and OS results are well in line with those reported in the pivotal CRYSTAL </w:t>
      </w:r>
      <w:r w:rsidR="00B120F5">
        <w:t>S</w:t>
      </w:r>
      <w:r w:rsidRPr="00C93109">
        <w:t xml:space="preserve">tudy, for cetuximab plus FOLFIRI. PFS was however shorter than in CRYSTAL, which may be explained by the shorter treatment duration of only 18 weeks (median) in the </w:t>
      </w:r>
      <w:proofErr w:type="spellStart"/>
      <w:r w:rsidRPr="00C93109">
        <w:t>Moosmann</w:t>
      </w:r>
      <w:proofErr w:type="spellEnd"/>
      <w:r w:rsidRPr="00C93109">
        <w:t xml:space="preserve"> and Cartwright studies as compared to about 25 weeks in the CRYSTAL </w:t>
      </w:r>
      <w:r w:rsidR="00B120F5">
        <w:t>S</w:t>
      </w:r>
      <w:r w:rsidRPr="00C93109">
        <w:t xml:space="preserve">tudy. In the K-RAS wild-type subset, a trend towards smaller efficacy for cetuximab plus CAPIRI in the </w:t>
      </w:r>
      <w:proofErr w:type="spellStart"/>
      <w:r w:rsidRPr="00C93109">
        <w:t>Moosmann</w:t>
      </w:r>
      <w:proofErr w:type="spellEnd"/>
      <w:r w:rsidRPr="00C93109">
        <w:t xml:space="preserve"> study, compared to cetuximab plus FOLFIRI investigated in the CRYSTAL </w:t>
      </w:r>
      <w:proofErr w:type="gramStart"/>
      <w:r w:rsidR="00B120F5">
        <w:t>S</w:t>
      </w:r>
      <w:r w:rsidRPr="00C93109">
        <w:t>tudy,</w:t>
      </w:r>
      <w:proofErr w:type="gramEnd"/>
      <w:r w:rsidRPr="00C93109">
        <w:t xml:space="preserve"> is noted. This may be due to the fact that, unexpectedly, no increase in efficacy was seen in the K-RAS wild-type subset of the </w:t>
      </w:r>
      <w:proofErr w:type="spellStart"/>
      <w:r w:rsidRPr="00C93109">
        <w:t>Moosmann</w:t>
      </w:r>
      <w:proofErr w:type="spellEnd"/>
      <w:r w:rsidRPr="00C93109">
        <w:t xml:space="preserve"> study as compared to the total study population. This phenomenon might be explainable by selection bias and confounding with prognostic variables; however, corresponding analyses were not described in the publication. In the absence of a comparator arm without cetuximab, results need </w:t>
      </w:r>
      <w:r w:rsidR="00A37676">
        <w:t>to be interpreted with caution.</w:t>
      </w:r>
    </w:p>
    <w:p w:rsidR="00C93109" w:rsidRPr="00C93109" w:rsidRDefault="00C93109" w:rsidP="00C93109">
      <w:r w:rsidRPr="00C93109">
        <w:t xml:space="preserve">The </w:t>
      </w:r>
      <w:r w:rsidR="00B95D37">
        <w:t>sponsor</w:t>
      </w:r>
      <w:r w:rsidRPr="00C93109">
        <w:t xml:space="preserve"> therefore agrees with the Delegate that suitable data supporting the use of cetuximab in combination with irinotecan and capecitabine are lacking. However, there is no high-level evidence suggesting a negative benefit-risk prof</w:t>
      </w:r>
      <w:r w:rsidR="00A37676">
        <w:t>ile for the association either.</w:t>
      </w:r>
    </w:p>
    <w:p w:rsidR="00C93109" w:rsidRPr="00C93109" w:rsidRDefault="00C93109" w:rsidP="00C93109">
      <w:r w:rsidRPr="00C93109">
        <w:t xml:space="preserve">As to the combination of cetuximab with irinotecan alone, the </w:t>
      </w:r>
      <w:r w:rsidR="00B95D37">
        <w:t>sponsor</w:t>
      </w:r>
      <w:r w:rsidRPr="00C93109">
        <w:t xml:space="preserve"> is not aware of any data suggesting the benefit-risk profile of this regimen should be questioned, and results </w:t>
      </w:r>
      <w:r w:rsidRPr="00C93109">
        <w:lastRenderedPageBreak/>
        <w:t xml:space="preserve">from studies supporting this use are already included in the PI. The </w:t>
      </w:r>
      <w:r w:rsidR="00B95D37">
        <w:t>sponsor</w:t>
      </w:r>
      <w:r w:rsidRPr="00C93109">
        <w:t xml:space="preserve"> is therefore uncertain of the reasons behind its removal from the Delegate’</w:t>
      </w:r>
      <w:r w:rsidR="00A37676">
        <w:t>s proposed modified indication.</w:t>
      </w:r>
    </w:p>
    <w:p w:rsidR="00C93109" w:rsidRPr="00C93109" w:rsidRDefault="00A37676" w:rsidP="0063739D">
      <w:pPr>
        <w:pStyle w:val="Heading6"/>
      </w:pPr>
      <w:r>
        <w:t>Conclusion</w:t>
      </w:r>
    </w:p>
    <w:p w:rsidR="00C93109" w:rsidRPr="00C93109" w:rsidRDefault="00C93109" w:rsidP="00C93109">
      <w:r w:rsidRPr="00C93109">
        <w:t xml:space="preserve">The </w:t>
      </w:r>
      <w:r w:rsidR="00B95D37">
        <w:t>sponsor</w:t>
      </w:r>
      <w:r w:rsidRPr="00C93109">
        <w:t xml:space="preserve"> does not believe a change in indication is warranted for the combination of cetuximab with irinotecan-based chemotherapy. However, in recognition of the Delegate’s concern regarding cetuximab in combination with XELIRI and the scarcity of evidence available at present, the </w:t>
      </w:r>
      <w:r w:rsidR="00B95D37">
        <w:t>sponsor</w:t>
      </w:r>
      <w:r w:rsidRPr="00C93109">
        <w:t xml:space="preserve"> proposes to add a precaution in the PI to ensure adequate disclosure to pres</w:t>
      </w:r>
      <w:r w:rsidR="00A37676">
        <w:t>cribing physicians, as follows:</w:t>
      </w:r>
    </w:p>
    <w:p w:rsidR="00C93109" w:rsidRPr="00085CAD" w:rsidRDefault="00F4467E" w:rsidP="0063739D">
      <w:pPr>
        <w:ind w:left="720"/>
        <w:rPr>
          <w:i/>
          <w:iCs/>
        </w:rPr>
      </w:pPr>
      <w:r w:rsidRPr="00085CAD">
        <w:rPr>
          <w:i/>
          <w:iCs/>
        </w:rPr>
        <w:t>“</w:t>
      </w:r>
      <w:r w:rsidR="00C93109" w:rsidRPr="00085CAD">
        <w:rPr>
          <w:i/>
          <w:iCs/>
        </w:rPr>
        <w:t>Combination w</w:t>
      </w:r>
      <w:r w:rsidR="00A37676">
        <w:rPr>
          <w:i/>
          <w:iCs/>
        </w:rPr>
        <w:t xml:space="preserve">ith </w:t>
      </w:r>
      <w:proofErr w:type="spellStart"/>
      <w:r w:rsidR="00A37676">
        <w:rPr>
          <w:i/>
          <w:iCs/>
        </w:rPr>
        <w:t>Capecitabine</w:t>
      </w:r>
      <w:proofErr w:type="spellEnd"/>
      <w:r w:rsidR="00A37676">
        <w:rPr>
          <w:i/>
          <w:iCs/>
        </w:rPr>
        <w:t xml:space="preserve"> and </w:t>
      </w:r>
      <w:proofErr w:type="spellStart"/>
      <w:r w:rsidR="00A37676">
        <w:rPr>
          <w:i/>
          <w:iCs/>
        </w:rPr>
        <w:t>Irinotecan</w:t>
      </w:r>
      <w:proofErr w:type="spellEnd"/>
    </w:p>
    <w:p w:rsidR="00C93109" w:rsidRPr="00085CAD" w:rsidRDefault="00C93109" w:rsidP="0063739D">
      <w:pPr>
        <w:ind w:left="720"/>
        <w:rPr>
          <w:i/>
          <w:iCs/>
        </w:rPr>
      </w:pPr>
      <w:r w:rsidRPr="00085CAD">
        <w:rPr>
          <w:i/>
          <w:iCs/>
        </w:rPr>
        <w:t>The benefit-risk balance of cetuximab in combination with XELIRI (capecitabine plus irinotecan) has not been established. This combination is therefore not recommended in the treatment of patients with metastatic colorectal cancer.</w:t>
      </w:r>
      <w:r w:rsidR="00F4467E" w:rsidRPr="00085CAD">
        <w:rPr>
          <w:i/>
          <w:iCs/>
        </w:rPr>
        <w:t>”</w:t>
      </w:r>
      <w:r w:rsidRPr="00085CAD">
        <w:rPr>
          <w:i/>
          <w:iCs/>
        </w:rPr>
        <w:t xml:space="preserve"> </w:t>
      </w:r>
    </w:p>
    <w:p w:rsidR="00C93109" w:rsidRPr="00C93109" w:rsidRDefault="00C93109" w:rsidP="00C93109">
      <w:r w:rsidRPr="00C93109">
        <w:t xml:space="preserve">A cross-reference in </w:t>
      </w:r>
      <w:r w:rsidR="00085CAD" w:rsidRPr="00085CAD">
        <w:rPr>
          <w:i/>
          <w:iCs/>
        </w:rPr>
        <w:t>Indications</w:t>
      </w:r>
      <w:r w:rsidR="00085CAD" w:rsidRPr="00C93109">
        <w:t xml:space="preserve"> to the </w:t>
      </w:r>
      <w:r w:rsidR="00085CAD" w:rsidRPr="00085CAD">
        <w:rPr>
          <w:i/>
          <w:iCs/>
        </w:rPr>
        <w:t>Precautions</w:t>
      </w:r>
      <w:r w:rsidR="00085CAD" w:rsidRPr="00C93109">
        <w:t xml:space="preserve"> </w:t>
      </w:r>
      <w:r w:rsidR="00A37676">
        <w:t>section is also proposed.</w:t>
      </w:r>
    </w:p>
    <w:p w:rsidR="00C93109" w:rsidRPr="00C93109" w:rsidRDefault="00A37676" w:rsidP="0063739D">
      <w:pPr>
        <w:pStyle w:val="Heading5"/>
      </w:pPr>
      <w:r>
        <w:t>Combination with FOLFOX</w:t>
      </w:r>
    </w:p>
    <w:p w:rsidR="00C93109" w:rsidRPr="00C93109" w:rsidRDefault="00A37676" w:rsidP="0063739D">
      <w:pPr>
        <w:pStyle w:val="Heading6"/>
      </w:pPr>
      <w:r>
        <w:t>Efficacy and safety</w:t>
      </w:r>
    </w:p>
    <w:p w:rsidR="00C93109" w:rsidRPr="00C93109" w:rsidRDefault="00C93109" w:rsidP="00C93109">
      <w:r w:rsidRPr="00C93109">
        <w:t xml:space="preserve">In this submission, the </w:t>
      </w:r>
      <w:r w:rsidR="00B95D37">
        <w:t>sponsor</w:t>
      </w:r>
      <w:r w:rsidRPr="00C93109">
        <w:t xml:space="preserve"> presented all available data for cetuximab in combination with oxaliplatin-based reg</w:t>
      </w:r>
      <w:r w:rsidR="00A37676">
        <w:t>imens for the TGA’s evaluation.</w:t>
      </w:r>
    </w:p>
    <w:p w:rsidR="00C93109" w:rsidRPr="00C93109" w:rsidRDefault="00C93109" w:rsidP="00C93109">
      <w:r w:rsidRPr="00C93109">
        <w:t>In brief, a positive benefit-risk profile for this combination w</w:t>
      </w:r>
      <w:r w:rsidR="0098638C">
        <w:t>as demonstrated in the pivotal P</w:t>
      </w:r>
      <w:r w:rsidRPr="00C93109">
        <w:t xml:space="preserve">hase II OPUS </w:t>
      </w:r>
      <w:r w:rsidR="0098638C">
        <w:t>S</w:t>
      </w:r>
      <w:r w:rsidRPr="00C93109">
        <w:t xml:space="preserve">tudy, where a significant and meaningful benefit was seen in ORR: 57.3% (95% CI: 45.9, 68.2) for cetuximab plus FOLFOX4 </w:t>
      </w:r>
      <w:r w:rsidR="004F441E">
        <w:t>versus</w:t>
      </w:r>
      <w:r w:rsidRPr="00C93109">
        <w:t xml:space="preserve"> 34.0% (24.7, 44.3) for FOLFOX4 alone, p=0.003 and in PFS: median 8.3 months (95% CI: 7.2, 12.0) </w:t>
      </w:r>
      <w:r w:rsidR="004F441E">
        <w:t>versus</w:t>
      </w:r>
      <w:r w:rsidRPr="00C93109">
        <w:t xml:space="preserve"> 7.2 months (5.6, 7.4) with a HR of 0.57 (0.38, 0.86), p=0.006, in patients with wild-type K-RAS metastatic disease, per the current indication. Benefits were also seen in </w:t>
      </w:r>
      <w:r w:rsidR="00B120F5">
        <w:t>OS</w:t>
      </w:r>
      <w:r w:rsidRPr="00C93109">
        <w:t xml:space="preserve">, even though the study was not powered for the assessment of this endpoint. Indeed, with a median follow-up of about 33 months in both treatment groups, a higher rate of deaths was observed in the group of patients treated with FOLFOX4 compared to those patients who received cetuximab plus FOLFOX4 (73.2% </w:t>
      </w:r>
      <w:r w:rsidR="004F441E">
        <w:t>versus</w:t>
      </w:r>
      <w:r w:rsidRPr="00C93109">
        <w:t xml:space="preserve"> 67.1%). The increase in median OS reached a magnitude of 4.3 months with a </w:t>
      </w:r>
      <w:r w:rsidR="00B120F5">
        <w:t xml:space="preserve">HR </w:t>
      </w:r>
      <w:r w:rsidRPr="00C93109">
        <w:t>of</w:t>
      </w:r>
      <w:r w:rsidR="00A37676">
        <w:t xml:space="preserve"> 0.86 (95% CI: 0.60, 1.22).</w:t>
      </w:r>
    </w:p>
    <w:p w:rsidR="00C93109" w:rsidRPr="00C93109" w:rsidRDefault="00C93109" w:rsidP="00C93109">
      <w:r w:rsidRPr="00C93109">
        <w:t xml:space="preserve">Also, the results observed in the modified de </w:t>
      </w:r>
      <w:proofErr w:type="spellStart"/>
      <w:r w:rsidRPr="00C93109">
        <w:t>Gramont</w:t>
      </w:r>
      <w:proofErr w:type="spellEnd"/>
      <w:r w:rsidRPr="00C93109">
        <w:t xml:space="preserve"> </w:t>
      </w:r>
      <w:proofErr w:type="spellStart"/>
      <w:r w:rsidRPr="00C93109">
        <w:t>oxalipla</w:t>
      </w:r>
      <w:r w:rsidR="00B120F5">
        <w:t>tin</w:t>
      </w:r>
      <w:proofErr w:type="spellEnd"/>
      <w:r w:rsidR="00B120F5">
        <w:t xml:space="preserve"> (</w:t>
      </w:r>
      <w:proofErr w:type="spellStart"/>
      <w:r w:rsidR="00B120F5">
        <w:t>OxMdG</w:t>
      </w:r>
      <w:proofErr w:type="spellEnd"/>
      <w:r w:rsidR="00B120F5">
        <w:t>) subset of the COIN S</w:t>
      </w:r>
      <w:r w:rsidRPr="00C93109">
        <w:t xml:space="preserve">tudy show improved ORR (odds ratio 1.44, 95% CI: 0.85, 2.43) and PFS (HR 0.77, 95% CI: 0.59, 1.01) when cetuximab was added to </w:t>
      </w:r>
      <w:proofErr w:type="spellStart"/>
      <w:r w:rsidRPr="00C93109">
        <w:t>OxMdG</w:t>
      </w:r>
      <w:proofErr w:type="spellEnd"/>
      <w:r w:rsidRPr="00C93109">
        <w:t>,</w:t>
      </w:r>
      <w:r w:rsidR="00A37676">
        <w:t xml:space="preserve"> a FOLFOX-like regimen.</w:t>
      </w:r>
    </w:p>
    <w:p w:rsidR="00C93109" w:rsidRPr="00C93109" w:rsidRDefault="00C93109" w:rsidP="00C93109">
      <w:r w:rsidRPr="00C93109">
        <w:t>The robustness of the OPUS findings is supported by the comparability of r</w:t>
      </w:r>
      <w:r w:rsidR="00B120F5">
        <w:t>esults to those of the pivotal P</w:t>
      </w:r>
      <w:r w:rsidRPr="00C93109">
        <w:t xml:space="preserve">hase III </w:t>
      </w:r>
      <w:r w:rsidR="00B120F5">
        <w:t>S</w:t>
      </w:r>
      <w:r w:rsidRPr="00C93109">
        <w:t xml:space="preserve">tudy CRYSTAL in which cetuximab was added to FOLFIRI and showed significant benefit in PFS, ORR and overall survival compared to FOLFIRI alone. Further support is given by smaller yet relevant studies comparing cetuximab plus FOLFIRI </w:t>
      </w:r>
      <w:r w:rsidR="004F441E">
        <w:t>versus</w:t>
      </w:r>
      <w:r w:rsidRPr="00C93109">
        <w:t xml:space="preserve"> cetuximab plus FOLFOX6 (CECOG CORE 1.2.001 and CELIM), and by the recently concluded open-label </w:t>
      </w:r>
      <w:r w:rsidR="00B120F5">
        <w:t>P</w:t>
      </w:r>
      <w:r w:rsidRPr="00C93109">
        <w:t xml:space="preserve">hase II APEC </w:t>
      </w:r>
      <w:r w:rsidR="00B120F5">
        <w:t>S</w:t>
      </w:r>
      <w:r w:rsidRPr="00C93109">
        <w:t>tudy investigating cetuximab plus FOL</w:t>
      </w:r>
      <w:r w:rsidR="00A37676">
        <w:t xml:space="preserve">FIRI and </w:t>
      </w:r>
      <w:proofErr w:type="spellStart"/>
      <w:r w:rsidR="00A37676">
        <w:t>cetuximab</w:t>
      </w:r>
      <w:proofErr w:type="spellEnd"/>
      <w:r w:rsidR="00A37676">
        <w:t xml:space="preserve"> plus FOLFOX.</w:t>
      </w:r>
    </w:p>
    <w:p w:rsidR="00C93109" w:rsidRPr="00C93109" w:rsidRDefault="00C93109" w:rsidP="00C93109">
      <w:r w:rsidRPr="00C93109">
        <w:t>In addition, as presented in the response to the clinical ev</w:t>
      </w:r>
      <w:r w:rsidR="00B120F5">
        <w:t>aluation, a meta-analysis by Ku </w:t>
      </w:r>
      <w:r w:rsidRPr="0063739D">
        <w:rPr>
          <w:i/>
        </w:rPr>
        <w:t>et al</w:t>
      </w:r>
      <w:r w:rsidRPr="00C93109">
        <w:t>.</w:t>
      </w:r>
      <w:r w:rsidR="0063739D">
        <w:rPr>
          <w:rStyle w:val="FootnoteReference"/>
        </w:rPr>
        <w:footnoteReference w:id="15"/>
      </w:r>
      <w:r w:rsidRPr="00C93109">
        <w:t xml:space="preserve"> and a systematic review by Vale </w:t>
      </w:r>
      <w:r w:rsidRPr="0063739D">
        <w:rPr>
          <w:i/>
        </w:rPr>
        <w:t>et al</w:t>
      </w:r>
      <w:r w:rsidRPr="00C93109">
        <w:t>.</w:t>
      </w:r>
      <w:r w:rsidR="0063739D">
        <w:rPr>
          <w:rStyle w:val="FootnoteReference"/>
        </w:rPr>
        <w:footnoteReference w:id="16"/>
      </w:r>
      <w:r w:rsidRPr="00C93109">
        <w:t xml:space="preserve"> concluded that there was no evidence that the choice of oxaliplatin or irinotecan affected the degree of benefit from cetuximab </w:t>
      </w:r>
      <w:r w:rsidRPr="00C93109">
        <w:lastRenderedPageBreak/>
        <w:t>and no strong evidence that the treatment effect varied by line of tr</w:t>
      </w:r>
      <w:r w:rsidR="00A37676">
        <w:t>eatment (first or second line).</w:t>
      </w:r>
    </w:p>
    <w:p w:rsidR="00C93109" w:rsidRPr="0063739D" w:rsidRDefault="00C93109" w:rsidP="0063739D">
      <w:r w:rsidRPr="0063739D">
        <w:t>Finally, the results from OPUS compare favour</w:t>
      </w:r>
      <w:r w:rsidR="00B120F5">
        <w:t>ably with those of the pivotal P</w:t>
      </w:r>
      <w:r w:rsidRPr="0063739D">
        <w:t xml:space="preserve">hase III </w:t>
      </w:r>
      <w:r w:rsidR="00B120F5">
        <w:t>S</w:t>
      </w:r>
      <w:r w:rsidRPr="0063739D">
        <w:t xml:space="preserve">tudy 20050203 investigating the monoclonal antibody </w:t>
      </w:r>
      <w:proofErr w:type="spellStart"/>
      <w:r w:rsidRPr="0063739D">
        <w:t>panitumumab</w:t>
      </w:r>
      <w:proofErr w:type="spellEnd"/>
      <w:r w:rsidRPr="0063739D">
        <w:t xml:space="preserve"> plus FOLFOX </w:t>
      </w:r>
      <w:r w:rsidR="004F441E">
        <w:t>versus</w:t>
      </w:r>
      <w:r w:rsidRPr="0063739D">
        <w:t xml:space="preserve"> FOLFOX alone, which supported its indication “as first line thera</w:t>
      </w:r>
      <w:r w:rsidR="00A37676">
        <w:t>py in combination with FOLFOX”.</w:t>
      </w:r>
    </w:p>
    <w:p w:rsidR="00C93109" w:rsidRPr="00C93109" w:rsidRDefault="00B120F5" w:rsidP="00C93109">
      <w:r>
        <w:t>The COIN S</w:t>
      </w:r>
      <w:r w:rsidR="00C93109" w:rsidRPr="00C93109">
        <w:t xml:space="preserve">tudy did not support the use of cetuximab in combination with a capecitabine based chemotherapy regimen and, following an assessment of available evidence in such combinations, the </w:t>
      </w:r>
      <w:r w:rsidR="00B95D37">
        <w:t>sponsor</w:t>
      </w:r>
      <w:r w:rsidR="00C93109" w:rsidRPr="00C93109">
        <w:t xml:space="preserve"> proactively restricted the indication to infusional regimens. The significantly higher incidence of </w:t>
      </w:r>
      <w:r>
        <w:t>G</w:t>
      </w:r>
      <w:r w:rsidR="00C93109" w:rsidRPr="00C93109">
        <w:t xml:space="preserve">rade ≥ 3 diarrhoea observed for patients in the cetuximab plus XELOX group </w:t>
      </w:r>
      <w:r w:rsidR="004F441E">
        <w:t>versus</w:t>
      </w:r>
      <w:r w:rsidR="00C93109" w:rsidRPr="00C93109">
        <w:t xml:space="preserve"> the XELOX alone group in COI</w:t>
      </w:r>
      <w:r w:rsidR="00A37676">
        <w:t>N was also reflected in the PI.</w:t>
      </w:r>
    </w:p>
    <w:p w:rsidR="00C93109" w:rsidRPr="00C93109" w:rsidRDefault="00C93109" w:rsidP="00C93109">
      <w:r w:rsidRPr="00C93109">
        <w:t xml:space="preserve">Taking into account the available evidence supporting the various oxaliplatin-based regimens, the </w:t>
      </w:r>
      <w:r w:rsidR="00B95D37">
        <w:t>sponsor</w:t>
      </w:r>
      <w:r w:rsidRPr="00C93109">
        <w:t xml:space="preserve"> has further restricted the indication wording to “in first-li</w:t>
      </w:r>
      <w:r w:rsidR="00A37676">
        <w:t>ne in combination with FOLFOX”.</w:t>
      </w:r>
    </w:p>
    <w:p w:rsidR="00C93109" w:rsidRPr="00C93109" w:rsidRDefault="00F8749A" w:rsidP="00C93109">
      <w:r>
        <w:t>In the submission c</w:t>
      </w:r>
      <w:r w:rsidR="00C93109" w:rsidRPr="00C93109">
        <w:t xml:space="preserve">linical </w:t>
      </w:r>
      <w:r>
        <w:t>o</w:t>
      </w:r>
      <w:r w:rsidR="00C93109" w:rsidRPr="00C93109">
        <w:t xml:space="preserve">verview, the </w:t>
      </w:r>
      <w:r w:rsidR="00B95D37">
        <w:t>sponsor</w:t>
      </w:r>
      <w:r w:rsidR="00C93109" w:rsidRPr="00C93109">
        <w:t xml:space="preserve"> presented an analysis of safety from all studies using FOLFOX-like regimens completed before the end of 2011, which included the abovementioned studies (excluding APEC), CECOG CORE 1.2.002 (investigating once-weekly </w:t>
      </w:r>
      <w:r w:rsidR="004F441E">
        <w:t>versus</w:t>
      </w:r>
      <w:r w:rsidR="00C93109" w:rsidRPr="00C93109">
        <w:t xml:space="preserve"> twice-weekly cetuximab and FOLFOX4) and FUTURE (including a treatment arm with cetuximab and FOLFOX4). In these six studies, 801 patients (safety population) were treated with cetuximab in combination with FOLFOX-like regimens; the AEs observed were consistent with the known safety profiles of cetuximab, oxaliplatin and other chemotherapy agents. The incidences of the most frequent </w:t>
      </w:r>
      <w:r w:rsidR="00B120F5">
        <w:t>G</w:t>
      </w:r>
      <w:r w:rsidR="00C93109" w:rsidRPr="00C93109">
        <w:t xml:space="preserve">rade 3 or 4 events were generally in the same range. The incidence of neutropenia ranged from 24 to 34%. </w:t>
      </w:r>
      <w:proofErr w:type="spellStart"/>
      <w:r w:rsidR="00C93109" w:rsidRPr="00C93109">
        <w:t>Neurotoxicities</w:t>
      </w:r>
      <w:proofErr w:type="spellEnd"/>
      <w:r w:rsidR="00C93109" w:rsidRPr="00C93109">
        <w:t xml:space="preserve"> generally reported as </w:t>
      </w:r>
      <w:r w:rsidR="00B120F5">
        <w:t>G</w:t>
      </w:r>
      <w:r w:rsidR="00C93109" w:rsidRPr="00C93109">
        <w:t xml:space="preserve">rade 3 or 4 peripheral neuropathy or peripheral sensory neuropathy are known side effects of oxaliplatin and had an incidence in the range of 1.2% to 6.3%. In the COIN </w:t>
      </w:r>
      <w:r w:rsidR="00B120F5">
        <w:t>S</w:t>
      </w:r>
      <w:r w:rsidR="00C93109" w:rsidRPr="00C93109">
        <w:t xml:space="preserve">tudy a higher frequency (14.0 %) was reported. The incidence of neurotoxicity was not increased in combination with cetuximab compared to the comparator arms in the randomised controlled studies (OPUS and COIN). The incidence of </w:t>
      </w:r>
      <w:proofErr w:type="spellStart"/>
      <w:r w:rsidR="00C93109" w:rsidRPr="00C93109">
        <w:t>palmar</w:t>
      </w:r>
      <w:proofErr w:type="spellEnd"/>
      <w:r w:rsidR="00C93109" w:rsidRPr="00C93109">
        <w:t xml:space="preserve">-plantar </w:t>
      </w:r>
      <w:proofErr w:type="spellStart"/>
      <w:r w:rsidR="00C93109" w:rsidRPr="00C93109">
        <w:t>erythrodysesthesia</w:t>
      </w:r>
      <w:proofErr w:type="spellEnd"/>
      <w:r w:rsidR="00C93109" w:rsidRPr="00C93109">
        <w:t xml:space="preserve"> (range 0-6%) is known for </w:t>
      </w:r>
      <w:proofErr w:type="spellStart"/>
      <w:r w:rsidR="00C93109" w:rsidRPr="00C93109">
        <w:t>fluoropyrimidines</w:t>
      </w:r>
      <w:proofErr w:type="spellEnd"/>
      <w:r w:rsidR="00C93109" w:rsidRPr="00C93109">
        <w:t xml:space="preserve"> and the increased frequency is a known interaction with cetuximab. This is addressed with precautionary wording in the PI, as is the increased frequency of severe cardiac </w:t>
      </w:r>
      <w:r w:rsidR="00A37676">
        <w:t>events noted by the Delegate.</w:t>
      </w:r>
    </w:p>
    <w:p w:rsidR="00C93109" w:rsidRPr="00C93109" w:rsidRDefault="00C93109" w:rsidP="00C93109">
      <w:r w:rsidRPr="00C93109">
        <w:t xml:space="preserve">Overall the combination of cetuximab with FOLFOX shows acceptable and manageable toxicity in the treatment of first-line </w:t>
      </w:r>
      <w:proofErr w:type="spellStart"/>
      <w:r w:rsidRPr="00C93109">
        <w:t>mCRC</w:t>
      </w:r>
      <w:proofErr w:type="spellEnd"/>
      <w:r w:rsidRPr="00C93109">
        <w:t xml:space="preserve">. The </w:t>
      </w:r>
      <w:r w:rsidR="00B95D37">
        <w:t>sponsor</w:t>
      </w:r>
      <w:r w:rsidRPr="00C93109">
        <w:t xml:space="preserve"> submits that the corresponding safety profile is adequately reflected in the current pro</w:t>
      </w:r>
      <w:r w:rsidR="00A37676">
        <w:t xml:space="preserve">duct information for </w:t>
      </w:r>
      <w:proofErr w:type="spellStart"/>
      <w:r w:rsidR="00A37676">
        <w:t>cetuximab</w:t>
      </w:r>
      <w:proofErr w:type="spellEnd"/>
      <w:r w:rsidR="00A37676">
        <w:t>.</w:t>
      </w:r>
    </w:p>
    <w:p w:rsidR="00C93109" w:rsidRPr="00C93109" w:rsidRDefault="00A37676" w:rsidP="0063739D">
      <w:pPr>
        <w:pStyle w:val="Heading5"/>
      </w:pPr>
      <w:r>
        <w:t>Clinical utility</w:t>
      </w:r>
    </w:p>
    <w:p w:rsidR="00C93109" w:rsidRPr="00C93109" w:rsidRDefault="00C93109" w:rsidP="00C93109">
      <w:r w:rsidRPr="00C93109">
        <w:t xml:space="preserve">There are currently few treatment options for patients suffering from K-RAS wild-type </w:t>
      </w:r>
      <w:proofErr w:type="spellStart"/>
      <w:r w:rsidRPr="00C93109">
        <w:t>mCRC</w:t>
      </w:r>
      <w:proofErr w:type="spellEnd"/>
      <w:r w:rsidRPr="00C93109">
        <w:t xml:space="preserve">. Patients with clearly </w:t>
      </w:r>
      <w:proofErr w:type="spellStart"/>
      <w:r w:rsidRPr="00C93109">
        <w:t>resectable</w:t>
      </w:r>
      <w:proofErr w:type="spellEnd"/>
      <w:r w:rsidRPr="00C93109">
        <w:t xml:space="preserve"> liver-only metastases have the best prognosis. However, the burden of mortality from </w:t>
      </w:r>
      <w:proofErr w:type="spellStart"/>
      <w:r w:rsidRPr="00C93109">
        <w:t>mCRC</w:t>
      </w:r>
      <w:proofErr w:type="spellEnd"/>
      <w:r w:rsidRPr="00C93109">
        <w:t xml:space="preserve"> remains high and patients with non-operable and/or multi-site metastases often require individualised treatment strategies. Clinicians need to be able to personalise therapy according to treatment goals, patient characteristics, tumour characteristics, predictive and prognostic factors and the patient’s wishes, and </w:t>
      </w:r>
      <w:r w:rsidR="00A37676">
        <w:t>to do so, they require options.</w:t>
      </w:r>
    </w:p>
    <w:p w:rsidR="00C93109" w:rsidRPr="00C93109" w:rsidRDefault="00C93109" w:rsidP="00C93109">
      <w:r w:rsidRPr="00C93109">
        <w:t xml:space="preserve">The Delegate has noted that the NCCN and NSW </w:t>
      </w:r>
      <w:proofErr w:type="spellStart"/>
      <w:r w:rsidRPr="00C93109">
        <w:t>EviQ</w:t>
      </w:r>
      <w:proofErr w:type="spellEnd"/>
      <w:r w:rsidRPr="00C93109">
        <w:t xml:space="preserve"> guidelines for </w:t>
      </w:r>
      <w:proofErr w:type="spellStart"/>
      <w:r w:rsidRPr="00C93109">
        <w:t>mCRC</w:t>
      </w:r>
      <w:proofErr w:type="spellEnd"/>
      <w:r w:rsidRPr="00C93109">
        <w:t xml:space="preserve"> do not recommend the use of cetuximab and FOLFOX in first-line treatment. The latest </w:t>
      </w:r>
      <w:r w:rsidR="00C5695F">
        <w:t xml:space="preserve">European </w:t>
      </w:r>
      <w:r w:rsidR="00C5695F">
        <w:lastRenderedPageBreak/>
        <w:t>Society for Medical Oncology (</w:t>
      </w:r>
      <w:r w:rsidRPr="00C93109">
        <w:t>ESMO</w:t>
      </w:r>
      <w:r w:rsidR="00C5695F">
        <w:t>)</w:t>
      </w:r>
      <w:r w:rsidRPr="00C93109">
        <w:t xml:space="preserve"> Consensus guidelines</w:t>
      </w:r>
      <w:r w:rsidR="00823A0E">
        <w:rPr>
          <w:rStyle w:val="FootnoteReference"/>
        </w:rPr>
        <w:footnoteReference w:id="17"/>
      </w:r>
      <w:r w:rsidRPr="00C93109">
        <w:t xml:space="preserve">, however, do include the combination of cetuximab with FOLFOX or FOLFIRI as an option, especially when a high intensity treatment is required to induce downsizing of unresectable liver metastases to convert them to </w:t>
      </w:r>
      <w:proofErr w:type="spellStart"/>
      <w:r w:rsidRPr="00C93109">
        <w:t>resectability</w:t>
      </w:r>
      <w:proofErr w:type="spellEnd"/>
      <w:r w:rsidRPr="00C93109">
        <w:t xml:space="preserve">, or for a rapid induction of a tumour response to reduce symptoms of </w:t>
      </w:r>
      <w:proofErr w:type="spellStart"/>
      <w:r w:rsidRPr="00C93109">
        <w:t>mCRC</w:t>
      </w:r>
      <w:proofErr w:type="spellEnd"/>
      <w:r w:rsidRPr="00C93109">
        <w:t xml:space="preserve">, based on evidence from the OPUS and CRYSTAL studies as well as the CELIM </w:t>
      </w:r>
      <w:r w:rsidR="00B120F5">
        <w:t>S</w:t>
      </w:r>
      <w:r w:rsidRPr="00C93109">
        <w:t xml:space="preserve">tudy. The </w:t>
      </w:r>
      <w:r w:rsidR="00B95D37">
        <w:t>sponsor</w:t>
      </w:r>
      <w:r w:rsidRPr="00C93109">
        <w:t xml:space="preserve"> understands from discussions with local clinicians that this setting is</w:t>
      </w:r>
      <w:r w:rsidR="00A37676">
        <w:t xml:space="preserve"> of relevance in Australia too.</w:t>
      </w:r>
    </w:p>
    <w:p w:rsidR="00C93109" w:rsidRPr="00C93109" w:rsidRDefault="00C93109" w:rsidP="00C93109">
      <w:r w:rsidRPr="00C93109">
        <w:t xml:space="preserve">The </w:t>
      </w:r>
      <w:r w:rsidR="00B95D37">
        <w:t>sponsor</w:t>
      </w:r>
      <w:r w:rsidRPr="00C93109">
        <w:t xml:space="preserve"> wishes to clarify here that the investigator-sponsored New EPOC </w:t>
      </w:r>
      <w:r w:rsidR="00B120F5">
        <w:t>S</w:t>
      </w:r>
      <w:r w:rsidRPr="00C93109">
        <w:t xml:space="preserve">tudy investigated the peri-operative treatment of patients with operable liver metastases. This patient subgroup is usually treated with FOLFOX alone, if </w:t>
      </w:r>
      <w:proofErr w:type="spellStart"/>
      <w:r w:rsidRPr="00C93109">
        <w:t>neoadjuvant</w:t>
      </w:r>
      <w:proofErr w:type="spellEnd"/>
      <w:r w:rsidRPr="00C93109">
        <w:t xml:space="preserve"> or peri-operative treatment is prescribed and the use of cetuximab in this patient subset is not recommended in treatment guidelines. This differentiates New EPOC from other studies with </w:t>
      </w:r>
      <w:proofErr w:type="spellStart"/>
      <w:r w:rsidRPr="00C93109">
        <w:t>neoadjuvant</w:t>
      </w:r>
      <w:proofErr w:type="spellEnd"/>
      <w:r w:rsidRPr="00C93109">
        <w:t xml:space="preserve"> or peri-operative treatment</w:t>
      </w:r>
      <w:r w:rsidR="00B8329A">
        <w:t xml:space="preserve">, for example, </w:t>
      </w:r>
      <w:r w:rsidRPr="00C93109">
        <w:t>CELIM, that have investigated the treatment of patients with primarily non-</w:t>
      </w:r>
      <w:proofErr w:type="spellStart"/>
      <w:r w:rsidRPr="00C93109">
        <w:t>resectable</w:t>
      </w:r>
      <w:proofErr w:type="spellEnd"/>
      <w:r w:rsidRPr="00C93109">
        <w:t xml:space="preserve"> metastases. The results of the New EPOC </w:t>
      </w:r>
      <w:r w:rsidR="00B120F5">
        <w:t>S</w:t>
      </w:r>
      <w:r w:rsidRPr="00C93109">
        <w:t>tudy remain immature with only half of the events required for meaningful statistical analysi</w:t>
      </w:r>
      <w:r w:rsidR="00D54846">
        <w:t>s being available at this point</w:t>
      </w:r>
      <w:r w:rsidRPr="00C93109">
        <w:t xml:space="preserve"> and are not directly relevant to this discussion, although certainly of interest to the </w:t>
      </w:r>
      <w:r w:rsidR="00B95D37">
        <w:t>sponsor</w:t>
      </w:r>
      <w:r w:rsidRPr="00C93109">
        <w:t xml:space="preserve"> in the wider con</w:t>
      </w:r>
      <w:r w:rsidR="00A37676">
        <w:t xml:space="preserve">text of possible </w:t>
      </w:r>
      <w:proofErr w:type="spellStart"/>
      <w:r w:rsidR="00A37676">
        <w:t>cetuximab</w:t>
      </w:r>
      <w:proofErr w:type="spellEnd"/>
      <w:r w:rsidR="00A37676">
        <w:t xml:space="preserve"> use.</w:t>
      </w:r>
    </w:p>
    <w:p w:rsidR="00C93109" w:rsidRPr="00C93109" w:rsidRDefault="00C93109" w:rsidP="00C93109">
      <w:r w:rsidRPr="00C93109">
        <w:t>The option to use FOLFOX in combination with cetuximab remains important for patients for whom treatment with FOLFIRI may not be suitable or where a shorter chemotherapy regimen is preferred to limit liver toxicity; for instance, when attempting to reduce the size of liver meta</w:t>
      </w:r>
      <w:r w:rsidR="00A37676">
        <w:t xml:space="preserve">stases to induce </w:t>
      </w:r>
      <w:proofErr w:type="spellStart"/>
      <w:r w:rsidR="00A37676">
        <w:t>resectability</w:t>
      </w:r>
      <w:proofErr w:type="spellEnd"/>
      <w:r w:rsidR="00A37676">
        <w:t>.</w:t>
      </w:r>
    </w:p>
    <w:p w:rsidR="00C93109" w:rsidRPr="00C93109" w:rsidRDefault="00A37676" w:rsidP="00823A0E">
      <w:pPr>
        <w:pStyle w:val="Heading6"/>
      </w:pPr>
      <w:r>
        <w:t>Conclusion</w:t>
      </w:r>
    </w:p>
    <w:p w:rsidR="00C93109" w:rsidRPr="00C93109" w:rsidRDefault="00C93109" w:rsidP="00C93109">
      <w:r w:rsidRPr="00C93109">
        <w:t xml:space="preserve">The body of evidence available to date and the increasingly acknowledged need for personalised treatment of patients with K-RAS wild-type </w:t>
      </w:r>
      <w:proofErr w:type="spellStart"/>
      <w:r w:rsidRPr="00C93109">
        <w:t>mCRC</w:t>
      </w:r>
      <w:proofErr w:type="spellEnd"/>
      <w:r w:rsidRPr="00C93109">
        <w:t>, continue to justify the role of first-line combination ther</w:t>
      </w:r>
      <w:r w:rsidR="00A37676">
        <w:t xml:space="preserve">apy with </w:t>
      </w:r>
      <w:proofErr w:type="spellStart"/>
      <w:r w:rsidR="00A37676">
        <w:t>cetuximab</w:t>
      </w:r>
      <w:proofErr w:type="spellEnd"/>
      <w:r w:rsidR="00A37676">
        <w:t xml:space="preserve"> plus FOLFOX.</w:t>
      </w:r>
    </w:p>
    <w:p w:rsidR="00C93109" w:rsidRPr="00C93109" w:rsidRDefault="00A37676" w:rsidP="00823A0E">
      <w:pPr>
        <w:pStyle w:val="Heading5"/>
      </w:pPr>
      <w:r>
        <w:t>Influence of metastatic sites</w:t>
      </w:r>
    </w:p>
    <w:p w:rsidR="00C93109" w:rsidRPr="00C93109" w:rsidRDefault="00C93109" w:rsidP="00C93109">
      <w:r w:rsidRPr="00C93109">
        <w:t xml:space="preserve">The Delegate is of the opinion that there is a signal for increased benefit in first-line treatment of </w:t>
      </w:r>
      <w:proofErr w:type="spellStart"/>
      <w:r w:rsidRPr="00C93109">
        <w:t>mCRC</w:t>
      </w:r>
      <w:proofErr w:type="spellEnd"/>
      <w:r w:rsidRPr="00C93109">
        <w:t xml:space="preserve"> patients, in those with liver-limited disease (LLD), and is seeking the Committee’s advice as to whether additional wording should be included in the PI.</w:t>
      </w:r>
    </w:p>
    <w:p w:rsidR="00C93109" w:rsidRDefault="00C93109" w:rsidP="00C93109">
      <w:r w:rsidRPr="00C93109">
        <w:t>The table below displays results from the OPUS and CRYSTAL studies, in patients with K</w:t>
      </w:r>
      <w:r w:rsidR="008E5356">
        <w:noBreakHyphen/>
      </w:r>
      <w:r w:rsidRPr="00C93109">
        <w:t xml:space="preserve">RAS wild-type </w:t>
      </w:r>
      <w:proofErr w:type="spellStart"/>
      <w:r w:rsidRPr="00C93109">
        <w:t>mCRC</w:t>
      </w:r>
      <w:proofErr w:type="spellEnd"/>
      <w:r w:rsidRPr="00C93109">
        <w:t xml:space="preserve">, according to treatment, and grouped by disease status (LLD </w:t>
      </w:r>
      <w:r w:rsidR="004F441E">
        <w:t>versus</w:t>
      </w:r>
      <w:r w:rsidR="00C5695F">
        <w:t xml:space="preserve"> non-</w:t>
      </w:r>
      <w:r w:rsidR="00A37676">
        <w:t>LLD).</w:t>
      </w:r>
    </w:p>
    <w:p w:rsidR="008E5356" w:rsidRPr="00C93109" w:rsidRDefault="008E5356" w:rsidP="001F255A">
      <w:pPr>
        <w:pStyle w:val="TableTitle"/>
      </w:pPr>
      <w:proofErr w:type="gramStart"/>
      <w:r>
        <w:lastRenderedPageBreak/>
        <w:t xml:space="preserve">Table </w:t>
      </w:r>
      <w:r w:rsidR="009F76C5">
        <w:t>9</w:t>
      </w:r>
      <w:r>
        <w:t>.</w:t>
      </w:r>
      <w:proofErr w:type="gramEnd"/>
      <w:r>
        <w:t xml:space="preserve"> Efficacy in </w:t>
      </w:r>
      <w:r w:rsidRPr="008E5356">
        <w:t>patients with K</w:t>
      </w:r>
      <w:r w:rsidRPr="008E5356">
        <w:noBreakHyphen/>
        <w:t xml:space="preserve">RAS wild-type </w:t>
      </w:r>
      <w:proofErr w:type="spellStart"/>
      <w:r w:rsidRPr="008E5356">
        <w:t>mCRC</w:t>
      </w:r>
      <w:proofErr w:type="spellEnd"/>
      <w:r w:rsidRPr="008E5356">
        <w:t xml:space="preserve">, according to treatment and </w:t>
      </w:r>
      <w:r>
        <w:t xml:space="preserve">liver </w:t>
      </w:r>
      <w:r w:rsidRPr="008E5356">
        <w:t xml:space="preserve">disease status (LLD </w:t>
      </w:r>
      <w:r w:rsidR="004F441E">
        <w:t>versus</w:t>
      </w:r>
      <w:r w:rsidRPr="008E5356">
        <w:t xml:space="preserve"> non- LLD)</w:t>
      </w:r>
    </w:p>
    <w:p w:rsidR="00C93109" w:rsidRPr="00C93109" w:rsidRDefault="00C93109" w:rsidP="001F255A">
      <w:r w:rsidRPr="00C93109">
        <w:rPr>
          <w:noProof/>
          <w:lang w:eastAsia="en-AU"/>
        </w:rPr>
        <w:drawing>
          <wp:inline distT="0" distB="0" distL="0" distR="0">
            <wp:extent cx="4364857" cy="2760388"/>
            <wp:effectExtent l="19050" t="0" r="0" b="0"/>
            <wp:docPr id="3" name="Picture 4" descr="Table 9. Efficacy in patients with K RAS wild-type mCRC, according to treatment and liver disease status (LLD versus non- L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367900" cy="2762312"/>
                    </a:xfrm>
                    <a:prstGeom prst="rect">
                      <a:avLst/>
                    </a:prstGeom>
                    <a:noFill/>
                    <a:ln w="9525">
                      <a:noFill/>
                      <a:miter lim="800000"/>
                      <a:headEnd/>
                      <a:tailEnd/>
                    </a:ln>
                  </pic:spPr>
                </pic:pic>
              </a:graphicData>
            </a:graphic>
          </wp:inline>
        </w:drawing>
      </w:r>
    </w:p>
    <w:p w:rsidR="00C93109" w:rsidRPr="008E5356" w:rsidRDefault="00F42F51" w:rsidP="001F255A">
      <w:pPr>
        <w:pStyle w:val="TableDescription"/>
      </w:pPr>
      <w:proofErr w:type="gramStart"/>
      <w:r w:rsidRPr="00F42F51">
        <w:rPr>
          <w:vertAlign w:val="superscript"/>
        </w:rPr>
        <w:t>a</w:t>
      </w:r>
      <w:proofErr w:type="gramEnd"/>
      <w:r w:rsidR="00C93109" w:rsidRPr="008E5356">
        <w:t xml:space="preserve"> Stratified hazard ratios are for chemotherapy + cetuximab versus chemotherapy groups. HR=hazard ratio; LLD=liver-limited disease; ORR=overall response rate; OS=overall survival; PFS=progression-f</w:t>
      </w:r>
      <w:r w:rsidR="001F255A">
        <w:t>ree survival</w:t>
      </w:r>
    </w:p>
    <w:p w:rsidR="00C93109" w:rsidRPr="00C93109" w:rsidRDefault="00C93109" w:rsidP="00C93109">
      <w:r w:rsidRPr="00C93109">
        <w:t xml:space="preserve">When comparing cetuximab plus chemotherapy with chemotherapy alone, hazard ratios for PFS and OS are numerically in favour for patients with non-LLD suggesting a bigger effect of the addition of cetuximab in this patient group. The only exception is PFS in the CRYSTAL </w:t>
      </w:r>
      <w:r w:rsidR="00B120F5">
        <w:t>S</w:t>
      </w:r>
      <w:r w:rsidRPr="00C93109">
        <w:t xml:space="preserve">tudy; however also in this case the reduction of the risk of progression by 26% is very meaningful. Differences in prognosis between patients with LLD and non-LLD and the fact that patients with LLD have less advanced disease account for greater improvements of response rate and longer median PFS and OS times in patients with LLD. However, some of the subgroups in these analyses are small, especially for the patients with LLD in the OPUS </w:t>
      </w:r>
      <w:r w:rsidR="00B120F5">
        <w:t>S</w:t>
      </w:r>
      <w:r w:rsidRPr="00C93109">
        <w:t>tudy; therefore, results need to be interpreted with caution. In general, no clear trend was seen across endpoints, fa</w:t>
      </w:r>
      <w:r w:rsidR="001F255A">
        <w:t>vouring one group or the other.</w:t>
      </w:r>
    </w:p>
    <w:p w:rsidR="00C93109" w:rsidRPr="00C93109" w:rsidRDefault="001F255A" w:rsidP="008E5356">
      <w:pPr>
        <w:pStyle w:val="Heading6"/>
      </w:pPr>
      <w:r>
        <w:t>Conclusion</w:t>
      </w:r>
    </w:p>
    <w:p w:rsidR="00C93109" w:rsidRPr="00C93109" w:rsidRDefault="00C93109" w:rsidP="00C93109">
      <w:r w:rsidRPr="00C93109">
        <w:t>Adding cetuximab to standard first-line combination chemotherapy (FOLFOX or FOLFIRI) improved clinical outcomes across the efficacy endpoints studied in patients with either LLD or non-LLD, with the relative improvement in overall survival being greatest in patients with non-LLD. Thus, the available evidence does not favour patients with LLD and the statement proposed by the Delegate for addition in the PI is cons</w:t>
      </w:r>
      <w:r w:rsidR="001F255A">
        <w:t>idered unsupported by the data.</w:t>
      </w:r>
    </w:p>
    <w:p w:rsidR="00C93109" w:rsidRPr="00C93109" w:rsidRDefault="00C93109" w:rsidP="008E5356">
      <w:pPr>
        <w:pStyle w:val="Heading6"/>
      </w:pPr>
      <w:r w:rsidRPr="00C93109">
        <w:t>Recommended cha</w:t>
      </w:r>
      <w:r w:rsidR="001F255A">
        <w:t>nges to the Product Information</w:t>
      </w:r>
    </w:p>
    <w:p w:rsidR="00C93109" w:rsidRPr="00C93109" w:rsidRDefault="00B8329A" w:rsidP="00C93109">
      <w:r>
        <w:t>These are beyond the scope of the AusPAR.</w:t>
      </w:r>
    </w:p>
    <w:p w:rsidR="00C93109" w:rsidRPr="00C93109" w:rsidRDefault="001F255A" w:rsidP="00B8329A">
      <w:pPr>
        <w:pStyle w:val="Heading5"/>
      </w:pPr>
      <w:r>
        <w:t>Overall conclusion</w:t>
      </w:r>
    </w:p>
    <w:p w:rsidR="008E7846" w:rsidRDefault="00C93109" w:rsidP="00596ECF">
      <w:r w:rsidRPr="00C93109">
        <w:t xml:space="preserve">In conclusion, the </w:t>
      </w:r>
      <w:r w:rsidR="00B95D37">
        <w:t>sponsor</w:t>
      </w:r>
      <w:r w:rsidRPr="00C93109">
        <w:t xml:space="preserve"> believes that the revised indication wording proposed for patients with K-RAS wild-type metastatic colorectal cancer is supported by the body of evidence and that the latest PI</w:t>
      </w:r>
      <w:r w:rsidR="00B8329A">
        <w:t xml:space="preserve"> </w:t>
      </w:r>
      <w:r w:rsidRPr="00C93109">
        <w:t xml:space="preserve">adequately reflects the profile </w:t>
      </w:r>
      <w:r w:rsidR="001F255A">
        <w:t xml:space="preserve">of </w:t>
      </w:r>
      <w:proofErr w:type="spellStart"/>
      <w:r w:rsidR="001F255A">
        <w:t>cetuximab</w:t>
      </w:r>
      <w:proofErr w:type="spellEnd"/>
      <w:r w:rsidR="001F255A">
        <w:t xml:space="preserve"> in these patients.</w:t>
      </w:r>
    </w:p>
    <w:p w:rsidR="008E7846" w:rsidRDefault="001F255A" w:rsidP="008E7846">
      <w:pPr>
        <w:pStyle w:val="Heading4"/>
      </w:pPr>
      <w:r>
        <w:t>Advisory c</w:t>
      </w:r>
      <w:r w:rsidR="008E7846">
        <w:t xml:space="preserve">ommittee </w:t>
      </w:r>
      <w:r>
        <w:t>c</w:t>
      </w:r>
      <w:r w:rsidR="008E7846">
        <w:t>onsiderations</w:t>
      </w:r>
    </w:p>
    <w:p w:rsidR="008E7846" w:rsidRDefault="008E7846" w:rsidP="008E7846">
      <w:pPr>
        <w:rPr>
          <w:bCs/>
        </w:rPr>
      </w:pPr>
      <w:r>
        <w:rPr>
          <w:bCs/>
        </w:rPr>
        <w:t>The Advisory Committee on Prescription Medicines (</w:t>
      </w:r>
      <w:r w:rsidRPr="001C5DFC">
        <w:rPr>
          <w:bCs/>
        </w:rPr>
        <w:t>AC</w:t>
      </w:r>
      <w:r>
        <w:rPr>
          <w:bCs/>
        </w:rPr>
        <w:t>PM) having considered the evaluations and the Delegate’s overview,</w:t>
      </w:r>
      <w:r w:rsidRPr="001C5DFC">
        <w:rPr>
          <w:bCs/>
        </w:rPr>
        <w:t xml:space="preserve"> </w:t>
      </w:r>
      <w:r>
        <w:rPr>
          <w:bCs/>
        </w:rPr>
        <w:t>as well as the sponsor’s response to these documents, advised the following:</w:t>
      </w:r>
    </w:p>
    <w:p w:rsidR="00EF08A7" w:rsidRPr="00EF08A7" w:rsidRDefault="00EF08A7" w:rsidP="00EF08A7">
      <w:pPr>
        <w:rPr>
          <w:bCs/>
          <w:lang w:val="en-GB"/>
        </w:rPr>
      </w:pPr>
      <w:r w:rsidRPr="00EF08A7">
        <w:rPr>
          <w:lang w:val="en-GB"/>
        </w:rPr>
        <w:lastRenderedPageBreak/>
        <w:t>The ACPM, taking into account the submitted evidence of efficacy, safety and quality, considered these products to have an overall positive benefit–risk profile for the amended indication;</w:t>
      </w:r>
    </w:p>
    <w:p w:rsidR="00EF08A7" w:rsidRPr="00EF08A7" w:rsidRDefault="00EF08A7" w:rsidP="00EF08A7">
      <w:pPr>
        <w:ind w:left="360"/>
        <w:rPr>
          <w:i/>
        </w:rPr>
      </w:pPr>
      <w:r w:rsidRPr="00EF08A7">
        <w:rPr>
          <w:i/>
        </w:rPr>
        <w:t>Erbitux is indicated for the treatment of patients with epidermal growth factor receptor (EGFR)-expressing, K-RAS wild-type metastatic colorectal cancer</w:t>
      </w:r>
    </w:p>
    <w:p w:rsidR="00EF08A7" w:rsidRPr="00EF08A7" w:rsidRDefault="00EF08A7" w:rsidP="00EF08A7">
      <w:pPr>
        <w:pStyle w:val="ListBullet"/>
        <w:ind w:left="720"/>
        <w:rPr>
          <w:i/>
        </w:rPr>
      </w:pPr>
      <w:r w:rsidRPr="00EF08A7">
        <w:rPr>
          <w:i/>
        </w:rPr>
        <w:t>In combination with infusional 5-FU</w:t>
      </w:r>
      <w:r w:rsidR="008E5356">
        <w:rPr>
          <w:i/>
        </w:rPr>
        <w:t xml:space="preserve"> / folinic acid plus irinotecan</w:t>
      </w:r>
      <w:r w:rsidRPr="00EF08A7">
        <w:rPr>
          <w:i/>
        </w:rPr>
        <w:t>.</w:t>
      </w:r>
    </w:p>
    <w:p w:rsidR="00EF08A7" w:rsidRPr="00EF08A7" w:rsidRDefault="00EF08A7" w:rsidP="00EF08A7">
      <w:pPr>
        <w:pStyle w:val="ListBullet"/>
        <w:ind w:left="720"/>
        <w:rPr>
          <w:i/>
        </w:rPr>
      </w:pPr>
      <w:r w:rsidRPr="00EF08A7">
        <w:rPr>
          <w:i/>
        </w:rPr>
        <w:t>In combination with irinotecan in patients who are refractory to other irinotecan-based chemotherapy regimens.</w:t>
      </w:r>
    </w:p>
    <w:p w:rsidR="000C2719" w:rsidRDefault="00EF08A7">
      <w:pPr>
        <w:pStyle w:val="ListBullet"/>
        <w:ind w:left="720"/>
        <w:rPr>
          <w:i/>
        </w:rPr>
      </w:pPr>
      <w:r w:rsidRPr="00B120F5">
        <w:rPr>
          <w:i/>
        </w:rPr>
        <w:t>As a single agent in patients who have failed or are intolerant to oxaliplatin-based thera</w:t>
      </w:r>
      <w:r w:rsidR="007D76FE">
        <w:rPr>
          <w:i/>
        </w:rPr>
        <w:t xml:space="preserve">py and </w:t>
      </w:r>
      <w:proofErr w:type="spellStart"/>
      <w:r w:rsidR="007D76FE">
        <w:rPr>
          <w:i/>
        </w:rPr>
        <w:t>irinotecan</w:t>
      </w:r>
      <w:proofErr w:type="spellEnd"/>
      <w:r w:rsidR="007D76FE">
        <w:rPr>
          <w:i/>
        </w:rPr>
        <w:t>-based therapy</w:t>
      </w:r>
    </w:p>
    <w:p w:rsidR="0047432C" w:rsidRPr="007D76FE" w:rsidRDefault="00EF08A7" w:rsidP="007D76FE">
      <w:pPr>
        <w:ind w:left="426"/>
        <w:rPr>
          <w:i/>
        </w:rPr>
      </w:pPr>
      <w:r w:rsidRPr="007D76FE">
        <w:rPr>
          <w:i/>
        </w:rPr>
        <w:t>(</w:t>
      </w:r>
      <w:proofErr w:type="gramStart"/>
      <w:r w:rsidRPr="007D76FE">
        <w:rPr>
          <w:i/>
        </w:rPr>
        <w:t>see</w:t>
      </w:r>
      <w:proofErr w:type="gramEnd"/>
      <w:r w:rsidRPr="007D76FE">
        <w:rPr>
          <w:i/>
        </w:rPr>
        <w:t xml:space="preserve"> CLINICAL TRIALS).</w:t>
      </w:r>
    </w:p>
    <w:p w:rsidR="00EF08A7" w:rsidRPr="00EF08A7" w:rsidRDefault="00EF08A7" w:rsidP="00EF08A7">
      <w:pPr>
        <w:rPr>
          <w:bCs/>
          <w:iCs/>
          <w:lang w:val="en-GB"/>
        </w:rPr>
      </w:pPr>
      <w:r w:rsidRPr="00EF08A7">
        <w:rPr>
          <w:bCs/>
          <w:iCs/>
          <w:lang w:val="en-GB"/>
        </w:rPr>
        <w:t>In making this recommendation the ACPM</w:t>
      </w:r>
      <w:r w:rsidR="00704809">
        <w:rPr>
          <w:bCs/>
          <w:iCs/>
          <w:lang w:val="en-GB"/>
        </w:rPr>
        <w:t>:</w:t>
      </w:r>
    </w:p>
    <w:p w:rsidR="00EF08A7" w:rsidRPr="00EF08A7" w:rsidRDefault="00EF08A7" w:rsidP="00EF08A7">
      <w:pPr>
        <w:pStyle w:val="ListBullet"/>
        <w:rPr>
          <w:lang w:val="en-GB"/>
        </w:rPr>
      </w:pPr>
      <w:proofErr w:type="gramStart"/>
      <w:r w:rsidRPr="00EF08A7">
        <w:rPr>
          <w:lang w:val="en-GB"/>
        </w:rPr>
        <w:t>expressed</w:t>
      </w:r>
      <w:proofErr w:type="gramEnd"/>
      <w:r w:rsidRPr="00EF08A7">
        <w:rPr>
          <w:lang w:val="en-GB"/>
        </w:rPr>
        <w:t xml:space="preserve"> concern that the evidence in support of efficacy of </w:t>
      </w:r>
      <w:proofErr w:type="spellStart"/>
      <w:r w:rsidRPr="00EF08A7">
        <w:rPr>
          <w:lang w:val="en-GB"/>
        </w:rPr>
        <w:t>cetuximab</w:t>
      </w:r>
      <w:proofErr w:type="spellEnd"/>
      <w:r w:rsidRPr="00EF08A7">
        <w:rPr>
          <w:lang w:val="en-GB"/>
        </w:rPr>
        <w:t xml:space="preserve"> treatment with FOLFOX was considered highly unimpressive. There was evidence of limited efficacy in PFS but OS was in fact worse</w:t>
      </w:r>
      <w:r w:rsidR="00704809">
        <w:rPr>
          <w:lang w:val="en-GB"/>
        </w:rPr>
        <w:t>, and</w:t>
      </w:r>
    </w:p>
    <w:p w:rsidR="00EF08A7" w:rsidRPr="00EF08A7" w:rsidRDefault="00EF08A7" w:rsidP="00EF08A7">
      <w:pPr>
        <w:pStyle w:val="ListBullet"/>
        <w:rPr>
          <w:lang w:val="en-GB"/>
        </w:rPr>
      </w:pPr>
      <w:proofErr w:type="gramStart"/>
      <w:r w:rsidRPr="00EF08A7">
        <w:rPr>
          <w:lang w:val="en-GB"/>
        </w:rPr>
        <w:t>was</w:t>
      </w:r>
      <w:proofErr w:type="gramEnd"/>
      <w:r w:rsidRPr="00EF08A7">
        <w:rPr>
          <w:lang w:val="en-GB"/>
        </w:rPr>
        <w:t xml:space="preserve"> of the view that the evidence of greater efficacy for liver-limited metastatic patients may be affected by the ev</w:t>
      </w:r>
      <w:r w:rsidR="00E52791">
        <w:rPr>
          <w:lang w:val="en-GB"/>
        </w:rPr>
        <w:t>ent rate in a small population.</w:t>
      </w:r>
    </w:p>
    <w:p w:rsidR="00EF08A7" w:rsidRPr="00EF08A7" w:rsidRDefault="00EF08A7" w:rsidP="00E52791">
      <w:pPr>
        <w:pStyle w:val="Heading5"/>
        <w:rPr>
          <w:u w:val="single"/>
          <w:lang w:val="en-GB"/>
        </w:rPr>
      </w:pPr>
      <w:r w:rsidRPr="00EF08A7">
        <w:rPr>
          <w:lang w:val="en-GB"/>
        </w:rPr>
        <w:t>Proposed PI/CMI amendments:</w:t>
      </w:r>
    </w:p>
    <w:p w:rsidR="00EF08A7" w:rsidRPr="00EF08A7" w:rsidRDefault="00EF08A7" w:rsidP="00EF08A7">
      <w:r w:rsidRPr="00EF08A7">
        <w:t>Th</w:t>
      </w:r>
      <w:r w:rsidR="00E23E14">
        <w:t>e ACPM agreed with the D</w:t>
      </w:r>
      <w:r w:rsidRPr="00EF08A7">
        <w:t xml:space="preserve">elegate to the proposed amendments to the PI and Consumer Medicine Information (CMI) and specifically advised on </w:t>
      </w:r>
      <w:r w:rsidR="003F6879">
        <w:t>the inclusion of the following:</w:t>
      </w:r>
    </w:p>
    <w:p w:rsidR="00EF08A7" w:rsidRPr="00EF08A7" w:rsidRDefault="00EF08A7" w:rsidP="00EF08A7">
      <w:pPr>
        <w:pStyle w:val="ListBullet"/>
      </w:pPr>
      <w:proofErr w:type="gramStart"/>
      <w:r w:rsidRPr="00EF08A7">
        <w:t>the</w:t>
      </w:r>
      <w:proofErr w:type="gramEnd"/>
      <w:r w:rsidRPr="00EF08A7">
        <w:t xml:space="preserve"> trial results should be incorporated in the a </w:t>
      </w:r>
      <w:r w:rsidRPr="00E23E14">
        <w:rPr>
          <w:i/>
        </w:rPr>
        <w:t>Clinical Trials</w:t>
      </w:r>
      <w:r w:rsidRPr="00EF08A7">
        <w:t xml:space="preserve"> section of the PI to ensure </w:t>
      </w:r>
      <w:r w:rsidR="003F6879">
        <w:t>prescribers are fully informed.</w:t>
      </w:r>
    </w:p>
    <w:p w:rsidR="00EF08A7" w:rsidRPr="00EF08A7" w:rsidRDefault="00EF08A7" w:rsidP="00EF08A7">
      <w:r w:rsidRPr="00EF08A7">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2E238E" w:rsidRDefault="008E7846" w:rsidP="008E7846">
      <w:pPr>
        <w:pStyle w:val="Heading3"/>
      </w:pPr>
      <w:bookmarkStart w:id="110" w:name="_Toc247691532"/>
      <w:bookmarkStart w:id="111" w:name="_Toc314842516"/>
      <w:bookmarkStart w:id="112" w:name="_Toc368388473"/>
      <w:bookmarkEnd w:id="84"/>
      <w:bookmarkEnd w:id="108"/>
      <w:bookmarkEnd w:id="109"/>
      <w:r>
        <w:t>Outcome</w:t>
      </w:r>
      <w:bookmarkEnd w:id="110"/>
      <w:bookmarkEnd w:id="111"/>
      <w:bookmarkEnd w:id="112"/>
    </w:p>
    <w:p w:rsidR="008E7846" w:rsidRPr="00DC708D" w:rsidRDefault="008E7846" w:rsidP="00DC708D">
      <w:r w:rsidRPr="00DC708D">
        <w:t xml:space="preserve">Based on a review of quality, safety and efficacy, TGA approved the </w:t>
      </w:r>
      <w:r w:rsidR="0085210B">
        <w:t xml:space="preserve">revised </w:t>
      </w:r>
      <w:r w:rsidR="000457A1">
        <w:t xml:space="preserve">indications </w:t>
      </w:r>
      <w:r w:rsidR="0085210B">
        <w:t xml:space="preserve">for </w:t>
      </w:r>
      <w:r w:rsidR="00DC708D" w:rsidRPr="00DC708D">
        <w:t>Erbitux cetuximab 100</w:t>
      </w:r>
      <w:r w:rsidR="00DC708D">
        <w:t xml:space="preserve"> </w:t>
      </w:r>
      <w:r w:rsidR="00DC708D" w:rsidRPr="00DC708D">
        <w:t>mg/20</w:t>
      </w:r>
      <w:r w:rsidR="00DC708D">
        <w:t xml:space="preserve"> </w:t>
      </w:r>
      <w:r w:rsidR="00DC708D" w:rsidRPr="00DC708D">
        <w:t xml:space="preserve">mL </w:t>
      </w:r>
      <w:r w:rsidR="00DC708D">
        <w:t xml:space="preserve">and 500 mg/100 mL </w:t>
      </w:r>
      <w:r w:rsidR="00DC708D" w:rsidRPr="00DC708D">
        <w:t>solution for injection vial</w:t>
      </w:r>
      <w:r w:rsidRPr="00DC708D">
        <w:t xml:space="preserve">, </w:t>
      </w:r>
      <w:r w:rsidR="0085210B">
        <w:t>as follows</w:t>
      </w:r>
      <w:r w:rsidRPr="00DC708D">
        <w:t>:</w:t>
      </w:r>
    </w:p>
    <w:p w:rsidR="00DC708D" w:rsidRPr="00DC708D" w:rsidRDefault="00DC708D" w:rsidP="00DC708D">
      <w:pPr>
        <w:ind w:left="360"/>
        <w:rPr>
          <w:i/>
          <w:iCs/>
        </w:rPr>
      </w:pPr>
      <w:r w:rsidRPr="00DC708D">
        <w:rPr>
          <w:i/>
          <w:iCs/>
        </w:rPr>
        <w:t>Erbitux is indicated for the treatment of patients with epidermal growth factor receptor (EGFR)-expressing, K-RAS wild-ty</w:t>
      </w:r>
      <w:r w:rsidR="003F6879">
        <w:rPr>
          <w:i/>
          <w:iCs/>
        </w:rPr>
        <w:t>pe metastatic colorectal cancer</w:t>
      </w:r>
    </w:p>
    <w:p w:rsidR="00DC708D" w:rsidRPr="00DC708D" w:rsidRDefault="00DC708D" w:rsidP="00DC708D">
      <w:pPr>
        <w:pStyle w:val="ListBullet"/>
        <w:ind w:left="720"/>
        <w:rPr>
          <w:i/>
          <w:iCs/>
        </w:rPr>
      </w:pPr>
      <w:r w:rsidRPr="00DC708D">
        <w:rPr>
          <w:i/>
          <w:iCs/>
        </w:rPr>
        <w:t>In combination with infusional 5-fluorouraci</w:t>
      </w:r>
      <w:r w:rsidR="003F6879">
        <w:rPr>
          <w:i/>
          <w:iCs/>
        </w:rPr>
        <w:t>l/</w:t>
      </w:r>
      <w:proofErr w:type="spellStart"/>
      <w:r w:rsidR="003F6879">
        <w:rPr>
          <w:i/>
          <w:iCs/>
        </w:rPr>
        <w:t>folinic</w:t>
      </w:r>
      <w:proofErr w:type="spellEnd"/>
      <w:r w:rsidR="003F6879">
        <w:rPr>
          <w:i/>
          <w:iCs/>
        </w:rPr>
        <w:t xml:space="preserve"> acid plus </w:t>
      </w:r>
      <w:proofErr w:type="spellStart"/>
      <w:r w:rsidR="003F6879">
        <w:rPr>
          <w:i/>
          <w:iCs/>
        </w:rPr>
        <w:t>irinotecan</w:t>
      </w:r>
      <w:proofErr w:type="spellEnd"/>
      <w:r w:rsidR="003F6879">
        <w:rPr>
          <w:i/>
          <w:iCs/>
        </w:rPr>
        <w:t>.</w:t>
      </w:r>
    </w:p>
    <w:p w:rsidR="00DC708D" w:rsidRPr="00DC708D" w:rsidRDefault="00DC708D" w:rsidP="00DC708D">
      <w:pPr>
        <w:pStyle w:val="ListBullet"/>
        <w:ind w:left="720"/>
        <w:rPr>
          <w:i/>
          <w:iCs/>
        </w:rPr>
      </w:pPr>
      <w:r w:rsidRPr="00DC708D">
        <w:rPr>
          <w:i/>
          <w:iCs/>
        </w:rPr>
        <w:t>In combination with irinotecan in patients who are refractory to first-line chemotherapy.</w:t>
      </w:r>
    </w:p>
    <w:p w:rsidR="0085210B" w:rsidRDefault="00DC708D" w:rsidP="00DC708D">
      <w:pPr>
        <w:pStyle w:val="ListBullet"/>
        <w:ind w:left="720"/>
        <w:rPr>
          <w:i/>
          <w:iCs/>
        </w:rPr>
      </w:pPr>
      <w:r w:rsidRPr="00DC708D">
        <w:rPr>
          <w:i/>
          <w:iCs/>
        </w:rPr>
        <w:t>In first-line in com</w:t>
      </w:r>
      <w:r w:rsidR="003F6879">
        <w:rPr>
          <w:i/>
          <w:iCs/>
        </w:rPr>
        <w:t>bination with FOLFOX.</w:t>
      </w:r>
    </w:p>
    <w:p w:rsidR="0085210B" w:rsidRDefault="00DC708D" w:rsidP="00DC708D">
      <w:pPr>
        <w:pStyle w:val="ListBullet"/>
        <w:ind w:left="720"/>
        <w:rPr>
          <w:i/>
          <w:iCs/>
        </w:rPr>
      </w:pPr>
      <w:r w:rsidRPr="00DC708D">
        <w:rPr>
          <w:i/>
          <w:iCs/>
        </w:rPr>
        <w:t>As a single agent in patients who have failed or are intolerant to oxaliplatin-based therap</w:t>
      </w:r>
      <w:r w:rsidR="003F6879">
        <w:rPr>
          <w:i/>
          <w:iCs/>
        </w:rPr>
        <w:t xml:space="preserve">y and </w:t>
      </w:r>
      <w:proofErr w:type="spellStart"/>
      <w:r w:rsidR="003F6879">
        <w:rPr>
          <w:i/>
          <w:iCs/>
        </w:rPr>
        <w:t>irinotecan</w:t>
      </w:r>
      <w:proofErr w:type="spellEnd"/>
      <w:r w:rsidR="003F6879">
        <w:rPr>
          <w:i/>
          <w:iCs/>
        </w:rPr>
        <w:t>-based therapy.</w:t>
      </w:r>
    </w:p>
    <w:p w:rsidR="0047432C" w:rsidRPr="003F6879" w:rsidRDefault="003F6879" w:rsidP="003F6879">
      <w:pPr>
        <w:ind w:left="426"/>
        <w:rPr>
          <w:i/>
        </w:rPr>
      </w:pPr>
      <w:r>
        <w:rPr>
          <w:i/>
        </w:rPr>
        <w:t>(See CLINICAL TRIALS)</w:t>
      </w:r>
    </w:p>
    <w:p w:rsidR="00DC708D" w:rsidRDefault="00DC708D" w:rsidP="00DC708D">
      <w:r>
        <w:t>The full indications are now:</w:t>
      </w:r>
    </w:p>
    <w:p w:rsidR="00DC708D" w:rsidRPr="00DC708D" w:rsidRDefault="00DC708D" w:rsidP="00DC708D">
      <w:pPr>
        <w:ind w:left="360"/>
        <w:rPr>
          <w:i/>
          <w:iCs/>
        </w:rPr>
      </w:pPr>
      <w:r w:rsidRPr="00DC708D">
        <w:rPr>
          <w:i/>
          <w:iCs/>
        </w:rPr>
        <w:t>Erbitux is indicated for the treatment of patients with epidermal growth factor receptor (EGFR)-expressing, K-RAS wild-ty</w:t>
      </w:r>
      <w:r w:rsidR="00EE6AA4">
        <w:rPr>
          <w:i/>
          <w:iCs/>
        </w:rPr>
        <w:t>pe metastatic colorectal cancer</w:t>
      </w:r>
    </w:p>
    <w:p w:rsidR="00DC708D" w:rsidRPr="00DC708D" w:rsidRDefault="00DC708D" w:rsidP="00DC708D">
      <w:pPr>
        <w:pStyle w:val="ListBullet"/>
        <w:ind w:left="720"/>
        <w:rPr>
          <w:i/>
          <w:iCs/>
        </w:rPr>
      </w:pPr>
      <w:r w:rsidRPr="00DC708D">
        <w:rPr>
          <w:i/>
          <w:iCs/>
        </w:rPr>
        <w:t>In combination with infusional 5-fluorouraci</w:t>
      </w:r>
      <w:r w:rsidR="00EE6AA4">
        <w:rPr>
          <w:i/>
          <w:iCs/>
        </w:rPr>
        <w:t>l/</w:t>
      </w:r>
      <w:proofErr w:type="spellStart"/>
      <w:r w:rsidR="00EE6AA4">
        <w:rPr>
          <w:i/>
          <w:iCs/>
        </w:rPr>
        <w:t>folinic</w:t>
      </w:r>
      <w:proofErr w:type="spellEnd"/>
      <w:r w:rsidR="00EE6AA4">
        <w:rPr>
          <w:i/>
          <w:iCs/>
        </w:rPr>
        <w:t xml:space="preserve"> acid plus </w:t>
      </w:r>
      <w:proofErr w:type="spellStart"/>
      <w:r w:rsidR="00EE6AA4">
        <w:rPr>
          <w:i/>
          <w:iCs/>
        </w:rPr>
        <w:t>irinotecan</w:t>
      </w:r>
      <w:proofErr w:type="spellEnd"/>
      <w:r w:rsidR="00EE6AA4">
        <w:rPr>
          <w:i/>
          <w:iCs/>
        </w:rPr>
        <w:t>.</w:t>
      </w:r>
    </w:p>
    <w:p w:rsidR="0085210B" w:rsidRDefault="00DC708D" w:rsidP="00DC708D">
      <w:pPr>
        <w:pStyle w:val="ListBullet"/>
        <w:ind w:left="720"/>
        <w:rPr>
          <w:i/>
          <w:iCs/>
        </w:rPr>
      </w:pPr>
      <w:r w:rsidRPr="00DC708D">
        <w:rPr>
          <w:i/>
          <w:iCs/>
        </w:rPr>
        <w:lastRenderedPageBreak/>
        <w:t>In combination with irinotecan in patients who are refractory to first-line chemo</w:t>
      </w:r>
      <w:r w:rsidR="00EE6AA4">
        <w:rPr>
          <w:i/>
          <w:iCs/>
        </w:rPr>
        <w:t>therapy.</w:t>
      </w:r>
    </w:p>
    <w:p w:rsidR="00DC708D" w:rsidRPr="00DC708D" w:rsidRDefault="00DC708D" w:rsidP="00DC708D">
      <w:pPr>
        <w:pStyle w:val="ListBullet"/>
        <w:ind w:left="720"/>
        <w:rPr>
          <w:i/>
          <w:iCs/>
        </w:rPr>
      </w:pPr>
      <w:r w:rsidRPr="00DC708D">
        <w:rPr>
          <w:i/>
          <w:iCs/>
        </w:rPr>
        <w:t>In first-l</w:t>
      </w:r>
      <w:r w:rsidR="00EE6AA4">
        <w:rPr>
          <w:i/>
          <w:iCs/>
        </w:rPr>
        <w:t>ine in combination with FOLFOX.</w:t>
      </w:r>
    </w:p>
    <w:p w:rsidR="0085210B" w:rsidRDefault="00DC708D" w:rsidP="00DC708D">
      <w:pPr>
        <w:pStyle w:val="ListBullet"/>
        <w:ind w:left="720"/>
        <w:rPr>
          <w:i/>
          <w:iCs/>
        </w:rPr>
      </w:pPr>
      <w:r w:rsidRPr="00DC708D">
        <w:rPr>
          <w:i/>
          <w:iCs/>
        </w:rPr>
        <w:t>As a single agent in patients who have failed or are intolerant to oxaliplatin-based therap</w:t>
      </w:r>
      <w:r w:rsidR="00EE6AA4">
        <w:rPr>
          <w:i/>
          <w:iCs/>
        </w:rPr>
        <w:t xml:space="preserve">y and </w:t>
      </w:r>
      <w:proofErr w:type="spellStart"/>
      <w:r w:rsidR="00EE6AA4">
        <w:rPr>
          <w:i/>
          <w:iCs/>
        </w:rPr>
        <w:t>irinotecan</w:t>
      </w:r>
      <w:proofErr w:type="spellEnd"/>
      <w:r w:rsidR="00EE6AA4">
        <w:rPr>
          <w:i/>
          <w:iCs/>
        </w:rPr>
        <w:t>-based therapy.</w:t>
      </w:r>
    </w:p>
    <w:p w:rsidR="0047432C" w:rsidRPr="00EE6AA4" w:rsidRDefault="00EE6AA4" w:rsidP="00EE6AA4">
      <w:pPr>
        <w:ind w:left="426"/>
        <w:rPr>
          <w:i/>
        </w:rPr>
      </w:pPr>
      <w:r>
        <w:rPr>
          <w:i/>
        </w:rPr>
        <w:t>(See CLINICAL TRIALS)</w:t>
      </w:r>
    </w:p>
    <w:p w:rsidR="00DC708D" w:rsidRPr="00DC708D" w:rsidRDefault="00DC708D" w:rsidP="00DC708D">
      <w:pPr>
        <w:ind w:left="360"/>
        <w:rPr>
          <w:i/>
          <w:iCs/>
        </w:rPr>
      </w:pPr>
      <w:r w:rsidRPr="00DC708D">
        <w:rPr>
          <w:i/>
          <w:iCs/>
        </w:rPr>
        <w:t xml:space="preserve">Erbitux is indicated for the treatment of patients with </w:t>
      </w:r>
      <w:proofErr w:type="spellStart"/>
      <w:r w:rsidRPr="00DC708D">
        <w:rPr>
          <w:i/>
          <w:iCs/>
        </w:rPr>
        <w:t>squamous</w:t>
      </w:r>
      <w:proofErr w:type="spellEnd"/>
      <w:r w:rsidRPr="00DC708D">
        <w:rPr>
          <w:i/>
          <w:iCs/>
        </w:rPr>
        <w:t xml:space="preserve"> ce</w:t>
      </w:r>
      <w:r w:rsidR="00EE6AA4">
        <w:rPr>
          <w:i/>
          <w:iCs/>
        </w:rPr>
        <w:t>ll cancer of the head and neck.</w:t>
      </w:r>
    </w:p>
    <w:p w:rsidR="00DC708D" w:rsidRPr="00DC708D" w:rsidRDefault="00DC708D" w:rsidP="00DC708D">
      <w:pPr>
        <w:pStyle w:val="ListBullet"/>
        <w:ind w:left="720"/>
        <w:rPr>
          <w:i/>
          <w:iCs/>
        </w:rPr>
      </w:pPr>
      <w:r w:rsidRPr="00DC708D">
        <w:rPr>
          <w:i/>
          <w:iCs/>
        </w:rPr>
        <w:t>In combination with radiation therap</w:t>
      </w:r>
      <w:r w:rsidR="00EE6AA4">
        <w:rPr>
          <w:i/>
          <w:iCs/>
        </w:rPr>
        <w:t>y for locally advanced disease.</w:t>
      </w:r>
    </w:p>
    <w:p w:rsidR="008E7846" w:rsidRPr="00DC708D" w:rsidRDefault="00DC708D" w:rsidP="00DC708D">
      <w:pPr>
        <w:pStyle w:val="ListBullet"/>
        <w:ind w:left="720"/>
        <w:rPr>
          <w:i/>
          <w:iCs/>
        </w:rPr>
      </w:pPr>
      <w:r w:rsidRPr="00DC708D">
        <w:rPr>
          <w:i/>
          <w:iCs/>
        </w:rPr>
        <w:t>In combination with platinum-based chemotherapy for recurrent and/or metastatic disease.</w:t>
      </w:r>
    </w:p>
    <w:p w:rsidR="008E7846" w:rsidRDefault="00EE6AA4" w:rsidP="008E7846">
      <w:pPr>
        <w:pStyle w:val="Heading2"/>
      </w:pPr>
      <w:bookmarkStart w:id="113" w:name="_Toc247691533"/>
      <w:bookmarkStart w:id="114" w:name="_Toc314842517"/>
      <w:bookmarkStart w:id="115" w:name="_Toc368388474"/>
      <w:proofErr w:type="gramStart"/>
      <w:r>
        <w:t>Attachment 1.</w:t>
      </w:r>
      <w:proofErr w:type="gramEnd"/>
      <w:r>
        <w:t xml:space="preserve"> </w:t>
      </w:r>
      <w:r w:rsidR="008E7846">
        <w:t xml:space="preserve">Product </w:t>
      </w:r>
      <w:r w:rsidR="00AA0ED0">
        <w:t>I</w:t>
      </w:r>
      <w:r w:rsidR="008E7846">
        <w:t>nformation</w:t>
      </w:r>
      <w:bookmarkEnd w:id="113"/>
      <w:bookmarkEnd w:id="114"/>
      <w:bookmarkEnd w:id="115"/>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2" w:history="1">
        <w:r w:rsidR="00722B57" w:rsidRPr="00625A6E">
          <w:rPr>
            <w:rStyle w:val="Hyperlink"/>
          </w:rPr>
          <w:t>http://www.tga.gov.au/hp/information-medicines-pi.htm</w:t>
        </w:r>
      </w:hyperlink>
      <w:hyperlink w:history="1"/>
      <w:r w:rsidR="008F6943">
        <w:rPr>
          <w:color w:val="000000"/>
          <w:lang w:eastAsia="en-AU"/>
        </w:rPr>
        <w:t>&gt;.</w:t>
      </w:r>
    </w:p>
    <w:p w:rsidR="00291957" w:rsidRDefault="00596ECF" w:rsidP="00EE6AA4">
      <w:pPr>
        <w:pStyle w:val="Heading2"/>
        <w:rPr>
          <w:lang w:eastAsia="en-AU"/>
        </w:rPr>
      </w:pPr>
      <w:bookmarkStart w:id="116" w:name="_Toc368388475"/>
      <w:proofErr w:type="gramStart"/>
      <w:r>
        <w:rPr>
          <w:lang w:eastAsia="en-AU"/>
        </w:rPr>
        <w:t>Attachment 2.</w:t>
      </w:r>
      <w:proofErr w:type="gramEnd"/>
      <w:r>
        <w:rPr>
          <w:lang w:eastAsia="en-AU"/>
        </w:rPr>
        <w:tab/>
      </w:r>
      <w:r w:rsidR="00C80137">
        <w:rPr>
          <w:lang w:eastAsia="en-AU"/>
        </w:rPr>
        <w:t>Extract from the Clinical Evaluation Report</w:t>
      </w:r>
      <w:bookmarkEnd w:id="116"/>
    </w:p>
    <w:p w:rsidR="00C80137" w:rsidRPr="001D043B" w:rsidRDefault="00C80137" w:rsidP="003A7F6C">
      <w:pPr>
        <w:pStyle w:val="TableTitle"/>
        <w:sectPr w:rsidR="00C80137" w:rsidRPr="001D043B" w:rsidSect="00AE2250">
          <w:headerReference w:type="even" r:id="rId23"/>
          <w:headerReference w:type="default" r:id="rId24"/>
          <w:footerReference w:type="default" r:id="rId25"/>
          <w:headerReference w:type="first" r:id="rId26"/>
          <w:footerReference w:type="first" r:id="rId27"/>
          <w:pgSz w:w="11906" w:h="16838" w:code="9"/>
          <w:pgMar w:top="1560"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28"/>
      <w:headerReference w:type="default" r:id="rId29"/>
      <w:footerReference w:type="default" r:id="rId30"/>
      <w:headerReference w:type="first" r:id="rId31"/>
      <w:footerReference w:type="first" r:id="rId32"/>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6FE" w:rsidRDefault="007D76FE" w:rsidP="00C40A36">
      <w:pPr>
        <w:spacing w:after="0"/>
      </w:pPr>
      <w:r>
        <w:separator/>
      </w:r>
    </w:p>
  </w:endnote>
  <w:endnote w:type="continuationSeparator" w:id="0">
    <w:p w:rsidR="007D76FE" w:rsidRDefault="007D76F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7D76FE" w:rsidRPr="00487162" w:rsidTr="0053625B">
      <w:trPr>
        <w:trHeight w:val="269"/>
      </w:trPr>
      <w:tc>
        <w:tcPr>
          <w:tcW w:w="7938" w:type="dxa"/>
          <w:tcMar>
            <w:top w:w="142" w:type="dxa"/>
            <w:bottom w:w="0" w:type="dxa"/>
          </w:tcMar>
        </w:tcPr>
        <w:p w:rsidR="007D76FE" w:rsidRPr="00487162" w:rsidRDefault="007D76FE" w:rsidP="00FF46E9">
          <w:pPr>
            <w:pStyle w:val="Footer"/>
          </w:pPr>
          <w:r w:rsidRPr="00487162">
            <w:t xml:space="preserve">AusPAR </w:t>
          </w:r>
          <w:proofErr w:type="spellStart"/>
          <w:r>
            <w:t>Erbitux</w:t>
          </w:r>
          <w:proofErr w:type="spellEnd"/>
          <w:r>
            <w:t xml:space="preserve">; </w:t>
          </w:r>
          <w:proofErr w:type="spellStart"/>
          <w:r>
            <w:t>cetuximab</w:t>
          </w:r>
          <w:proofErr w:type="spellEnd"/>
          <w:r>
            <w:t xml:space="preserve">; Merck </w:t>
          </w:r>
          <w:proofErr w:type="spellStart"/>
          <w:r>
            <w:t>Serono</w:t>
          </w:r>
          <w:proofErr w:type="spellEnd"/>
          <w:r>
            <w:t xml:space="preserve"> Australia Pty Ltd </w:t>
          </w:r>
          <w:r w:rsidRPr="00487162">
            <w:t>PM-20</w:t>
          </w:r>
          <w:r>
            <w:t>12</w:t>
          </w:r>
          <w:r w:rsidRPr="00487162">
            <w:t>-</w:t>
          </w:r>
          <w:r>
            <w:t>00340</w:t>
          </w:r>
          <w:r w:rsidRPr="00487162">
            <w:t>-</w:t>
          </w:r>
          <w:r>
            <w:t>3</w:t>
          </w:r>
          <w:r w:rsidRPr="00487162">
            <w:t>-</w:t>
          </w:r>
          <w:r>
            <w:t>4</w:t>
          </w:r>
          <w:r>
            <w:br/>
          </w:r>
          <w:r w:rsidRPr="00487162">
            <w:t>Date of Finalisation</w:t>
          </w:r>
          <w:r>
            <w:t>: 1 October 2013</w:t>
          </w:r>
        </w:p>
      </w:tc>
      <w:tc>
        <w:tcPr>
          <w:tcW w:w="923" w:type="dxa"/>
          <w:tcMar>
            <w:top w:w="142" w:type="dxa"/>
            <w:bottom w:w="0" w:type="dxa"/>
          </w:tcMar>
        </w:tcPr>
        <w:p w:rsidR="007D76FE" w:rsidRPr="00487162" w:rsidRDefault="007D76FE" w:rsidP="00D855D4">
          <w:pPr>
            <w:pStyle w:val="Footer"/>
            <w:jc w:val="right"/>
          </w:pPr>
          <w:r w:rsidRPr="00487162">
            <w:t xml:space="preserve">Page </w:t>
          </w:r>
          <w:r>
            <w:t>2</w:t>
          </w:r>
          <w:r w:rsidRPr="00487162">
            <w:t xml:space="preserve"> of </w:t>
          </w:r>
          <w:fldSimple w:instr=" NUMPAGES  \* Arabic ">
            <w:r>
              <w:rPr>
                <w:noProof/>
              </w:rPr>
              <w:t>38</w:t>
            </w:r>
          </w:fldSimple>
        </w:p>
      </w:tc>
    </w:tr>
  </w:tbl>
  <w:p w:rsidR="007D76FE" w:rsidRDefault="007D76FE"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088"/>
      <w:gridCol w:w="1773"/>
    </w:tblGrid>
    <w:tr w:rsidR="007D76FE" w:rsidRPr="00487162" w:rsidTr="0013730F">
      <w:trPr>
        <w:trHeight w:val="269"/>
      </w:trPr>
      <w:tc>
        <w:tcPr>
          <w:tcW w:w="7088" w:type="dxa"/>
          <w:tcMar>
            <w:top w:w="142" w:type="dxa"/>
            <w:bottom w:w="0" w:type="dxa"/>
          </w:tcMar>
        </w:tcPr>
        <w:p w:rsidR="007D76FE" w:rsidRPr="00487162" w:rsidRDefault="007D76FE" w:rsidP="00FF46E9">
          <w:pPr>
            <w:pStyle w:val="Footer"/>
          </w:pPr>
          <w:r w:rsidRPr="0013730F">
            <w:t xml:space="preserve">AusPAR </w:t>
          </w:r>
          <w:proofErr w:type="spellStart"/>
          <w:r w:rsidRPr="0013730F">
            <w:t>Erbitux</w:t>
          </w:r>
          <w:proofErr w:type="spellEnd"/>
          <w:r w:rsidRPr="0013730F">
            <w:t xml:space="preserve">; </w:t>
          </w:r>
          <w:proofErr w:type="spellStart"/>
          <w:r w:rsidRPr="0013730F">
            <w:t>cetuximab</w:t>
          </w:r>
          <w:proofErr w:type="spellEnd"/>
          <w:r w:rsidRPr="0013730F">
            <w:t xml:space="preserve">; Merck </w:t>
          </w:r>
          <w:proofErr w:type="spellStart"/>
          <w:r w:rsidRPr="0013730F">
            <w:t>Serono</w:t>
          </w:r>
          <w:proofErr w:type="spellEnd"/>
          <w:r w:rsidRPr="0013730F">
            <w:t xml:space="preserve"> Australia Pty Ltd PM-2012-003</w:t>
          </w:r>
          <w:r>
            <w:t>40</w:t>
          </w:r>
          <w:r w:rsidRPr="0013730F">
            <w:t>-3-4</w:t>
          </w:r>
          <w:r w:rsidRPr="0013730F">
            <w:br/>
            <w:t>Date of Finalisation</w:t>
          </w:r>
          <w:r>
            <w:t>: 1 October 2013</w:t>
          </w:r>
        </w:p>
      </w:tc>
      <w:tc>
        <w:tcPr>
          <w:tcW w:w="1773" w:type="dxa"/>
          <w:tcMar>
            <w:top w:w="142" w:type="dxa"/>
            <w:bottom w:w="0" w:type="dxa"/>
          </w:tcMar>
        </w:tcPr>
        <w:p w:rsidR="007D76FE" w:rsidRPr="00487162" w:rsidRDefault="007D76FE" w:rsidP="00E45619">
          <w:pPr>
            <w:pStyle w:val="Footer"/>
            <w:jc w:val="right"/>
          </w:pPr>
          <w:r w:rsidRPr="00487162">
            <w:t xml:space="preserve">Page </w:t>
          </w:r>
          <w:fldSimple w:instr="PAGE">
            <w:r w:rsidR="00EE6AA4">
              <w:rPr>
                <w:noProof/>
              </w:rPr>
              <w:t>37</w:t>
            </w:r>
          </w:fldSimple>
          <w:r w:rsidRPr="00487162">
            <w:t xml:space="preserve"> of </w:t>
          </w:r>
          <w:fldSimple w:instr=" NUMPAGES  \* Arabic ">
            <w:r w:rsidR="00EE6AA4">
              <w:rPr>
                <w:noProof/>
              </w:rPr>
              <w:t>38</w:t>
            </w:r>
          </w:fldSimple>
        </w:p>
      </w:tc>
    </w:tr>
  </w:tbl>
  <w:p w:rsidR="007D76FE" w:rsidRDefault="007D76FE"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D76FE" w:rsidRPr="00487162" w:rsidTr="00E45619">
      <w:trPr>
        <w:trHeight w:val="269"/>
      </w:trPr>
      <w:tc>
        <w:tcPr>
          <w:tcW w:w="4519" w:type="dxa"/>
          <w:tcBorders>
            <w:top w:val="single" w:sz="4" w:space="0" w:color="auto"/>
          </w:tcBorders>
          <w:tcMar>
            <w:top w:w="142" w:type="dxa"/>
            <w:bottom w:w="0" w:type="dxa"/>
          </w:tcMar>
        </w:tcPr>
        <w:p w:rsidR="007D76FE" w:rsidRPr="00487162" w:rsidRDefault="007D76FE" w:rsidP="00FE1DEE">
          <w:pPr>
            <w:pStyle w:val="Footer"/>
          </w:pPr>
          <w:r w:rsidRPr="00487162">
            <w:t>Document title, Part #, Section # - Section title</w:t>
          </w:r>
        </w:p>
        <w:p w:rsidR="007D76FE" w:rsidRPr="00487162" w:rsidRDefault="007D76FE" w:rsidP="00FE1DEE">
          <w:pPr>
            <w:pStyle w:val="Footer"/>
          </w:pPr>
          <w:r w:rsidRPr="00487162">
            <w:t>V1.0 October 2010</w:t>
          </w:r>
        </w:p>
      </w:tc>
      <w:tc>
        <w:tcPr>
          <w:tcW w:w="4342" w:type="dxa"/>
          <w:tcBorders>
            <w:top w:val="single" w:sz="4" w:space="0" w:color="auto"/>
          </w:tcBorders>
          <w:tcMar>
            <w:top w:w="142" w:type="dxa"/>
            <w:bottom w:w="0" w:type="dxa"/>
          </w:tcMar>
        </w:tcPr>
        <w:p w:rsidR="007D76FE" w:rsidRPr="00487162" w:rsidRDefault="007D76F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7D76FE" w:rsidRDefault="007D76F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7D76FE" w:rsidRPr="00487162" w:rsidTr="00E45619">
              <w:trPr>
                <w:trHeight w:hRule="exact" w:val="704"/>
              </w:trPr>
              <w:tc>
                <w:tcPr>
                  <w:tcW w:w="9175" w:type="dxa"/>
                </w:tcPr>
                <w:p w:rsidR="007D76FE" w:rsidRPr="00487162" w:rsidRDefault="007D76FE" w:rsidP="008E7846">
                  <w:pPr>
                    <w:pStyle w:val="TGASignoff"/>
                  </w:pPr>
                  <w:r w:rsidRPr="00487162">
                    <w:t>Therapeutic Goods Administration</w:t>
                  </w:r>
                </w:p>
              </w:tc>
            </w:tr>
            <w:tr w:rsidR="007D76FE" w:rsidRPr="00487162" w:rsidTr="00E45619">
              <w:trPr>
                <w:trHeight w:val="1221"/>
              </w:trPr>
              <w:tc>
                <w:tcPr>
                  <w:tcW w:w="9175" w:type="dxa"/>
                  <w:tcMar>
                    <w:top w:w="28" w:type="dxa"/>
                  </w:tcMar>
                </w:tcPr>
                <w:p w:rsidR="007D76FE" w:rsidRPr="00487162" w:rsidRDefault="007D76FE" w:rsidP="00E45619">
                  <w:pPr>
                    <w:pStyle w:val="Address"/>
                  </w:pPr>
                  <w:r w:rsidRPr="00487162">
                    <w:t>PO Box 100 Woden ACT 2606 Australia</w:t>
                  </w:r>
                </w:p>
                <w:p w:rsidR="007D76FE" w:rsidRPr="00487162" w:rsidRDefault="007D76FE"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7D76FE" w:rsidRPr="004C239D" w:rsidRDefault="007D76FE" w:rsidP="004C239D">
                  <w:pPr>
                    <w:pStyle w:val="Address"/>
                    <w:spacing w:line="260" w:lineRule="atLeast"/>
                    <w:rPr>
                      <w:b/>
                      <w:color w:val="0000FF"/>
                      <w:u w:val="single"/>
                    </w:rPr>
                  </w:pPr>
                  <w:hyperlink r:id="rId2" w:history="1">
                    <w:r w:rsidRPr="00607888">
                      <w:rPr>
                        <w:rStyle w:val="Hyperlink"/>
                        <w:b/>
                      </w:rPr>
                      <w:t>http://www.tga.gov.au</w:t>
                    </w:r>
                  </w:hyperlink>
                </w:p>
              </w:tc>
            </w:tr>
          </w:tbl>
          <w:p w:rsidR="007D76FE" w:rsidRDefault="007D76FE"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D76FE" w:rsidTr="0010601F">
      <w:trPr>
        <w:trHeight w:val="108"/>
      </w:trPr>
      <w:tc>
        <w:tcPr>
          <w:tcW w:w="8875" w:type="dxa"/>
          <w:gridSpan w:val="2"/>
          <w:tcBorders>
            <w:bottom w:val="single" w:sz="4" w:space="0" w:color="auto"/>
          </w:tcBorders>
          <w:tcMar>
            <w:right w:w="284" w:type="dxa"/>
          </w:tcMar>
        </w:tcPr>
        <w:p w:rsidR="007D76FE" w:rsidRDefault="007D76FE" w:rsidP="006E08B3">
          <w:pPr>
            <w:pStyle w:val="Heading3"/>
          </w:pPr>
          <w:r>
            <w:t>Copyright</w:t>
          </w:r>
        </w:p>
        <w:p w:rsidR="007D76FE" w:rsidRDefault="007D76FE" w:rsidP="006E08B3">
          <w:r>
            <w:rPr>
              <w:rFonts w:cs="Arial"/>
            </w:rPr>
            <w:t>©</w:t>
          </w:r>
          <w:r>
            <w:t xml:space="preserve"> Commonwealth of Australia [add year]</w:t>
          </w:r>
        </w:p>
        <w:p w:rsidR="007D76FE" w:rsidRDefault="007D76FE" w:rsidP="006E08B3"/>
        <w:p w:rsidR="007D76FE" w:rsidRDefault="007D76F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D76FE" w:rsidRDefault="007D76FE" w:rsidP="006E08B3"/>
        <w:p w:rsidR="007D76FE" w:rsidRDefault="007D76FE" w:rsidP="006E08B3">
          <w:pPr>
            <w:pStyle w:val="Heading3"/>
          </w:pPr>
          <w:r>
            <w:t>Confidentiality</w:t>
          </w:r>
        </w:p>
        <w:p w:rsidR="007D76FE" w:rsidRDefault="007D76F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D76FE" w:rsidRDefault="007D76FE" w:rsidP="006E08B3"/>
        <w:p w:rsidR="007D76FE" w:rsidRDefault="007D76FE" w:rsidP="006E08B3">
          <w:r>
            <w:t>For submission made by individuals, all personal details, other than your name, will be removed from your submission before it is published on the TGA’s Internet site.</w:t>
          </w:r>
        </w:p>
        <w:p w:rsidR="007D76FE" w:rsidRDefault="007D76FE" w:rsidP="006E08B3"/>
        <w:p w:rsidR="007D76FE" w:rsidRDefault="007D76F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D76FE" w:rsidTr="0010601F">
      <w:trPr>
        <w:trHeight w:val="417"/>
      </w:trPr>
      <w:tc>
        <w:tcPr>
          <w:tcW w:w="4519" w:type="dxa"/>
          <w:tcBorders>
            <w:top w:val="single" w:sz="4" w:space="0" w:color="auto"/>
          </w:tcBorders>
          <w:tcMar>
            <w:top w:w="142" w:type="dxa"/>
            <w:bottom w:w="0" w:type="dxa"/>
          </w:tcMar>
        </w:tcPr>
        <w:p w:rsidR="007D76FE" w:rsidRDefault="007D76FE" w:rsidP="006E08B3">
          <w:r>
            <w:t>Document title, Part #, Section # - Section title</w:t>
          </w:r>
        </w:p>
        <w:p w:rsidR="007D76FE" w:rsidRDefault="007D76FE" w:rsidP="006E08B3">
          <w:r>
            <w:t>V1.0 October 2010</w:t>
          </w:r>
        </w:p>
      </w:tc>
      <w:tc>
        <w:tcPr>
          <w:tcW w:w="4356" w:type="dxa"/>
          <w:tcBorders>
            <w:top w:val="single" w:sz="4" w:space="0" w:color="auto"/>
          </w:tcBorders>
          <w:tcMar>
            <w:top w:w="142" w:type="dxa"/>
            <w:bottom w:w="0" w:type="dxa"/>
          </w:tcMar>
        </w:tcPr>
        <w:p w:rsidR="007D76FE" w:rsidRDefault="007D76FE"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7D76FE" w:rsidRDefault="007D76F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6FE" w:rsidRDefault="007D76FE" w:rsidP="00C40A36">
      <w:pPr>
        <w:spacing w:after="0"/>
      </w:pPr>
      <w:r>
        <w:separator/>
      </w:r>
    </w:p>
  </w:footnote>
  <w:footnote w:type="continuationSeparator" w:id="0">
    <w:p w:rsidR="007D76FE" w:rsidRDefault="007D76FE" w:rsidP="00C40A36">
      <w:pPr>
        <w:spacing w:after="0"/>
      </w:pPr>
      <w:r>
        <w:continuationSeparator/>
      </w:r>
    </w:p>
  </w:footnote>
  <w:footnote w:id="1">
    <w:p w:rsidR="007D76FE" w:rsidRPr="008729EC" w:rsidRDefault="007D76FE" w:rsidP="008729EC">
      <w:pPr>
        <w:pStyle w:val="FootnoteText"/>
        <w:rPr>
          <w:sz w:val="18"/>
          <w:szCs w:val="18"/>
        </w:rPr>
      </w:pPr>
      <w:r w:rsidRPr="008729EC">
        <w:rPr>
          <w:rStyle w:val="FootnoteReference"/>
          <w:sz w:val="18"/>
          <w:szCs w:val="18"/>
        </w:rPr>
        <w:footnoteRef/>
      </w:r>
      <w:r w:rsidRPr="008729EC">
        <w:rPr>
          <w:sz w:val="18"/>
          <w:szCs w:val="18"/>
        </w:rPr>
        <w:t xml:space="preserve"> K-RAS: Kirsten rat sarcoma</w:t>
      </w:r>
    </w:p>
  </w:footnote>
  <w:footnote w:id="2">
    <w:p w:rsidR="007D76FE" w:rsidRPr="00C624F5" w:rsidRDefault="007D76FE" w:rsidP="00733C6A">
      <w:pPr>
        <w:pStyle w:val="FootnoteText"/>
        <w:keepNext/>
        <w:rPr>
          <w:sz w:val="18"/>
          <w:szCs w:val="18"/>
        </w:rPr>
      </w:pPr>
      <w:r w:rsidRPr="00C624F5">
        <w:rPr>
          <w:rStyle w:val="FootnoteReference"/>
          <w:sz w:val="18"/>
          <w:szCs w:val="18"/>
        </w:rPr>
        <w:footnoteRef/>
      </w:r>
      <w:r w:rsidRPr="00C624F5">
        <w:rPr>
          <w:sz w:val="18"/>
          <w:szCs w:val="18"/>
        </w:rPr>
        <w:t xml:space="preserve"> K-RAS is a central down-stream transducer of EGFR signalling. Signal transduction through the EGFR results in activation of wild-type (mutation-negative) K-RAS protein. The K-RAS gene can harbour </w:t>
      </w:r>
      <w:proofErr w:type="spellStart"/>
      <w:r w:rsidRPr="00C624F5">
        <w:rPr>
          <w:sz w:val="18"/>
          <w:szCs w:val="18"/>
        </w:rPr>
        <w:t>oncogenic</w:t>
      </w:r>
      <w:proofErr w:type="spellEnd"/>
      <w:r w:rsidRPr="00C624F5">
        <w:rPr>
          <w:sz w:val="18"/>
          <w:szCs w:val="18"/>
        </w:rPr>
        <w:t xml:space="preserve"> mutations that may result in tumour resistance to therapies that target the EGFR. K-RAS is one of the most frequently activated </w:t>
      </w:r>
      <w:proofErr w:type="spellStart"/>
      <w:r w:rsidRPr="00C624F5">
        <w:rPr>
          <w:sz w:val="18"/>
          <w:szCs w:val="18"/>
        </w:rPr>
        <w:t>oncogens</w:t>
      </w:r>
      <w:proofErr w:type="spellEnd"/>
      <w:r w:rsidRPr="00C624F5">
        <w:rPr>
          <w:sz w:val="18"/>
          <w:szCs w:val="18"/>
        </w:rPr>
        <w:t xml:space="preserve"> in human cancers. In cells with activating K-RAS mutations, the mutant K-RAS protein is active independent of EGFR regulation. Approximately 40% of colorectal cancer cells express mutated version of K-RAS gene. The mutant K-RAS protein in these cells is thus constitutively activated and not inhibited by cetuximab.</w:t>
      </w:r>
    </w:p>
  </w:footnote>
  <w:footnote w:id="3">
    <w:p w:rsidR="007D76FE" w:rsidRPr="00C624F5" w:rsidRDefault="007D76FE" w:rsidP="00733C6A">
      <w:pPr>
        <w:pStyle w:val="FootnoteText"/>
        <w:rPr>
          <w:sz w:val="18"/>
          <w:szCs w:val="18"/>
        </w:rPr>
      </w:pPr>
      <w:r w:rsidRPr="00C624F5">
        <w:rPr>
          <w:rStyle w:val="FootnoteReference"/>
          <w:sz w:val="18"/>
          <w:szCs w:val="18"/>
        </w:rPr>
        <w:footnoteRef/>
      </w:r>
      <w:r w:rsidRPr="00C624F5">
        <w:rPr>
          <w:sz w:val="18"/>
          <w:szCs w:val="18"/>
        </w:rPr>
        <w:t xml:space="preserve"> FOLFOX: A chemotherapy comprising continuous infusional folinic acid + 5-fluorouracil + oxaliplatin: A number after the words FOLFOX (</w:t>
      </w:r>
      <w:proofErr w:type="spellStart"/>
      <w:r w:rsidRPr="00C624F5">
        <w:rPr>
          <w:sz w:val="18"/>
          <w:szCs w:val="18"/>
        </w:rPr>
        <w:t>eg</w:t>
      </w:r>
      <w:proofErr w:type="spellEnd"/>
      <w:r w:rsidRPr="00C624F5">
        <w:rPr>
          <w:sz w:val="18"/>
          <w:szCs w:val="18"/>
        </w:rPr>
        <w:t xml:space="preserve">, FOLFOX4, FOLFOX6) indicates the specific doses of these agents. </w:t>
      </w:r>
    </w:p>
  </w:footnote>
  <w:footnote w:id="4">
    <w:p w:rsidR="007D76FE" w:rsidRPr="00FC5A6E" w:rsidRDefault="007D76FE">
      <w:pPr>
        <w:pStyle w:val="FootnoteText"/>
        <w:rPr>
          <w:sz w:val="18"/>
          <w:szCs w:val="18"/>
        </w:rPr>
      </w:pPr>
      <w:r w:rsidRPr="0098545B">
        <w:rPr>
          <w:rStyle w:val="FootnoteReference"/>
          <w:sz w:val="18"/>
          <w:szCs w:val="18"/>
        </w:rPr>
        <w:footnoteRef/>
      </w:r>
      <w:r w:rsidRPr="0098545B">
        <w:rPr>
          <w:sz w:val="18"/>
          <w:szCs w:val="18"/>
        </w:rPr>
        <w:t xml:space="preserve"> A ‘safety related notification’ is a notification </w:t>
      </w:r>
      <w:r>
        <w:rPr>
          <w:sz w:val="18"/>
          <w:szCs w:val="18"/>
        </w:rPr>
        <w:t>by the sponsor (</w:t>
      </w:r>
      <w:r w:rsidRPr="009F76C5">
        <w:rPr>
          <w:sz w:val="18"/>
          <w:szCs w:val="18"/>
        </w:rPr>
        <w:t xml:space="preserve">made under section </w:t>
      </w:r>
      <w:proofErr w:type="gramStart"/>
      <w:r w:rsidRPr="009F76C5">
        <w:rPr>
          <w:sz w:val="18"/>
          <w:szCs w:val="18"/>
        </w:rPr>
        <w:t>9D(</w:t>
      </w:r>
      <w:proofErr w:type="gramEnd"/>
      <w:r w:rsidRPr="009F76C5">
        <w:rPr>
          <w:sz w:val="18"/>
          <w:szCs w:val="18"/>
        </w:rPr>
        <w:t xml:space="preserve">2) of the </w:t>
      </w:r>
      <w:r w:rsidRPr="009F76C5">
        <w:rPr>
          <w:i/>
          <w:sz w:val="18"/>
          <w:szCs w:val="18"/>
        </w:rPr>
        <w:t>Therapeutic Goods Act</w:t>
      </w:r>
      <w:r>
        <w:rPr>
          <w:sz w:val="18"/>
          <w:szCs w:val="18"/>
        </w:rPr>
        <w:t xml:space="preserve"> 1989 ) to TGA</w:t>
      </w:r>
      <w:r w:rsidRPr="0098545B">
        <w:rPr>
          <w:sz w:val="18"/>
          <w:szCs w:val="18"/>
        </w:rPr>
        <w:t xml:space="preserve"> that a variation is made to an ARTG entry of a medicine on the grounds of safety. A variation is safety-</w:t>
      </w:r>
      <w:r w:rsidRPr="00FC5A6E">
        <w:rPr>
          <w:sz w:val="18"/>
          <w:szCs w:val="18"/>
        </w:rPr>
        <w:t>related if it reduces the patient population (such as by removing an indication), or has the effect of adding a warning or precaution (such as an adverse effect or interaction)</w:t>
      </w:r>
      <w:r>
        <w:rPr>
          <w:sz w:val="18"/>
          <w:szCs w:val="18"/>
        </w:rPr>
        <w:t>.</w:t>
      </w:r>
    </w:p>
  </w:footnote>
  <w:footnote w:id="5">
    <w:p w:rsidR="007D76FE" w:rsidRPr="00077EEA" w:rsidRDefault="007D76FE" w:rsidP="00077EEA">
      <w:pPr>
        <w:pStyle w:val="FootnoteText"/>
        <w:rPr>
          <w:sz w:val="18"/>
          <w:szCs w:val="18"/>
        </w:rPr>
      </w:pPr>
      <w:r w:rsidRPr="00077EEA">
        <w:rPr>
          <w:rStyle w:val="FootnoteReference"/>
          <w:sz w:val="18"/>
          <w:szCs w:val="18"/>
        </w:rPr>
        <w:footnoteRef/>
      </w:r>
      <w:r w:rsidRPr="00077EEA">
        <w:rPr>
          <w:sz w:val="18"/>
          <w:szCs w:val="18"/>
        </w:rPr>
        <w:t xml:space="preserve"> </w:t>
      </w:r>
      <w:r>
        <w:rPr>
          <w:sz w:val="18"/>
          <w:szCs w:val="18"/>
        </w:rPr>
        <w:t xml:space="preserve">ECOG </w:t>
      </w:r>
      <w:r w:rsidRPr="00077EEA">
        <w:rPr>
          <w:sz w:val="18"/>
          <w:szCs w:val="18"/>
        </w:rPr>
        <w:t>scales and criteria are used by doctors and researchers to assess how a patient's disease is progressing, assess how the disease affects the daily living abilities of the patient, and determine appropriate treatment and prognosis.</w:t>
      </w:r>
    </w:p>
  </w:footnote>
  <w:footnote w:id="6">
    <w:p w:rsidR="007D76FE" w:rsidRPr="00E142AC" w:rsidRDefault="007D76FE" w:rsidP="00813104">
      <w:pPr>
        <w:pStyle w:val="FootnoteText"/>
        <w:rPr>
          <w:sz w:val="18"/>
          <w:szCs w:val="18"/>
        </w:rPr>
      </w:pPr>
      <w:r w:rsidRPr="00E142AC">
        <w:rPr>
          <w:rStyle w:val="FootnoteReference"/>
          <w:sz w:val="18"/>
          <w:szCs w:val="18"/>
        </w:rPr>
        <w:footnoteRef/>
      </w:r>
      <w:r>
        <w:rPr>
          <w:sz w:val="18"/>
          <w:szCs w:val="18"/>
        </w:rPr>
        <w:t xml:space="preserve"> </w:t>
      </w:r>
      <w:r w:rsidRPr="00E142AC">
        <w:rPr>
          <w:sz w:val="18"/>
          <w:szCs w:val="18"/>
        </w:rPr>
        <w:t>Adjuvant Cetuximab Fails to BOOST FOLFOX in Stage I</w:t>
      </w:r>
      <w:r>
        <w:rPr>
          <w:sz w:val="18"/>
          <w:szCs w:val="18"/>
        </w:rPr>
        <w:t>II Colon Cancer.</w:t>
      </w:r>
      <w:r w:rsidRPr="00E142AC">
        <w:rPr>
          <w:sz w:val="18"/>
          <w:szCs w:val="18"/>
        </w:rPr>
        <w:t xml:space="preserve"> </w:t>
      </w:r>
      <w:proofErr w:type="gramStart"/>
      <w:r w:rsidRPr="00FB579A">
        <w:rPr>
          <w:i/>
          <w:iCs/>
          <w:sz w:val="18"/>
          <w:szCs w:val="18"/>
        </w:rPr>
        <w:t>Oncology STAT</w:t>
      </w:r>
      <w:r w:rsidRPr="00E142AC">
        <w:rPr>
          <w:sz w:val="18"/>
          <w:szCs w:val="18"/>
        </w:rPr>
        <w:t>; July 17, 2012 (online).</w:t>
      </w:r>
      <w:proofErr w:type="gramEnd"/>
    </w:p>
  </w:footnote>
  <w:footnote w:id="7">
    <w:p w:rsidR="007D76FE" w:rsidRPr="00E142AC" w:rsidRDefault="007D76FE" w:rsidP="00813104">
      <w:pPr>
        <w:pStyle w:val="FootnoteText"/>
        <w:rPr>
          <w:sz w:val="18"/>
          <w:szCs w:val="18"/>
        </w:rPr>
      </w:pPr>
      <w:r w:rsidRPr="00E142AC">
        <w:rPr>
          <w:rStyle w:val="FootnoteReference"/>
          <w:sz w:val="18"/>
          <w:szCs w:val="18"/>
        </w:rPr>
        <w:footnoteRef/>
      </w:r>
      <w:r w:rsidRPr="00E142AC">
        <w:rPr>
          <w:sz w:val="18"/>
          <w:szCs w:val="18"/>
        </w:rPr>
        <w:t xml:space="preserve"> Alberts </w:t>
      </w:r>
      <w:r w:rsidRPr="00CE4CA2">
        <w:rPr>
          <w:i/>
          <w:iCs/>
          <w:sz w:val="18"/>
          <w:szCs w:val="18"/>
        </w:rPr>
        <w:t>et al</w:t>
      </w:r>
      <w:r w:rsidRPr="00E142AC">
        <w:rPr>
          <w:sz w:val="18"/>
          <w:szCs w:val="18"/>
        </w:rPr>
        <w:t xml:space="preserve">. Effect of </w:t>
      </w:r>
      <w:proofErr w:type="spellStart"/>
      <w:r w:rsidRPr="00E142AC">
        <w:rPr>
          <w:sz w:val="18"/>
          <w:szCs w:val="18"/>
        </w:rPr>
        <w:t>Oxaliplatin</w:t>
      </w:r>
      <w:proofErr w:type="spellEnd"/>
      <w:r w:rsidRPr="00E142AC">
        <w:rPr>
          <w:sz w:val="18"/>
          <w:szCs w:val="18"/>
        </w:rPr>
        <w:t xml:space="preserve">, Fluorouracil, and </w:t>
      </w:r>
      <w:proofErr w:type="spellStart"/>
      <w:r w:rsidRPr="00E142AC">
        <w:rPr>
          <w:sz w:val="18"/>
          <w:szCs w:val="18"/>
        </w:rPr>
        <w:t>Leucovorin</w:t>
      </w:r>
      <w:proofErr w:type="spellEnd"/>
      <w:r w:rsidRPr="00E142AC">
        <w:rPr>
          <w:sz w:val="18"/>
          <w:szCs w:val="18"/>
        </w:rPr>
        <w:t xml:space="preserve"> With or Without Cetuximab on Survival </w:t>
      </w:r>
      <w:proofErr w:type="gramStart"/>
      <w:r w:rsidRPr="00E142AC">
        <w:rPr>
          <w:sz w:val="18"/>
          <w:szCs w:val="18"/>
        </w:rPr>
        <w:t>Among</w:t>
      </w:r>
      <w:proofErr w:type="gramEnd"/>
      <w:r w:rsidRPr="00E142AC">
        <w:rPr>
          <w:sz w:val="18"/>
          <w:szCs w:val="18"/>
        </w:rPr>
        <w:t xml:space="preserve"> Patients With </w:t>
      </w:r>
      <w:proofErr w:type="spellStart"/>
      <w:r w:rsidRPr="00E142AC">
        <w:rPr>
          <w:sz w:val="18"/>
          <w:szCs w:val="18"/>
        </w:rPr>
        <w:t>Resected</w:t>
      </w:r>
      <w:proofErr w:type="spellEnd"/>
      <w:r w:rsidRPr="00E142AC">
        <w:rPr>
          <w:sz w:val="18"/>
          <w:szCs w:val="18"/>
        </w:rPr>
        <w:t xml:space="preserve"> Stage III Colon Cancer:  A Randomized Trial. </w:t>
      </w:r>
      <w:r w:rsidRPr="00E142AC">
        <w:rPr>
          <w:i/>
          <w:sz w:val="18"/>
          <w:szCs w:val="18"/>
        </w:rPr>
        <w:t>JAMA</w:t>
      </w:r>
      <w:r w:rsidRPr="00E142AC">
        <w:rPr>
          <w:sz w:val="18"/>
          <w:szCs w:val="18"/>
        </w:rPr>
        <w:t xml:space="preserve"> 2012</w:t>
      </w:r>
      <w:proofErr w:type="gramStart"/>
      <w:r w:rsidRPr="00E142AC">
        <w:rPr>
          <w:sz w:val="18"/>
          <w:szCs w:val="18"/>
        </w:rPr>
        <w:t>;13:1383</w:t>
      </w:r>
      <w:proofErr w:type="gramEnd"/>
      <w:r w:rsidRPr="00E142AC">
        <w:rPr>
          <w:sz w:val="18"/>
          <w:szCs w:val="18"/>
        </w:rPr>
        <w:t>-1393</w:t>
      </w:r>
      <w:r>
        <w:rPr>
          <w:sz w:val="18"/>
          <w:szCs w:val="18"/>
        </w:rPr>
        <w:t>.</w:t>
      </w:r>
    </w:p>
  </w:footnote>
  <w:footnote w:id="8">
    <w:p w:rsidR="007D76FE" w:rsidRPr="001B0FD6" w:rsidRDefault="007D76FE" w:rsidP="00FB579A">
      <w:pPr>
        <w:pStyle w:val="FootnoteText"/>
        <w:rPr>
          <w:sz w:val="18"/>
          <w:szCs w:val="18"/>
        </w:rPr>
      </w:pPr>
      <w:r w:rsidRPr="001B0FD6">
        <w:rPr>
          <w:rStyle w:val="FootnoteReference"/>
          <w:sz w:val="18"/>
          <w:szCs w:val="18"/>
        </w:rPr>
        <w:footnoteRef/>
      </w:r>
      <w:r w:rsidRPr="001B0FD6">
        <w:rPr>
          <w:sz w:val="18"/>
          <w:szCs w:val="18"/>
        </w:rPr>
        <w:t xml:space="preserve"> Details of PI revisions are beyond the scope of the AusPAR.</w:t>
      </w:r>
    </w:p>
  </w:footnote>
  <w:footnote w:id="9">
    <w:p w:rsidR="007D76FE" w:rsidRPr="008B5D8A" w:rsidRDefault="007D76FE" w:rsidP="00F819C6">
      <w:pPr>
        <w:spacing w:before="0" w:after="0" w:line="240" w:lineRule="auto"/>
      </w:pPr>
      <w:r w:rsidRPr="008B5D8A">
        <w:rPr>
          <w:sz w:val="18"/>
          <w:szCs w:val="18"/>
          <w:vertAlign w:val="superscript"/>
        </w:rPr>
        <w:footnoteRef/>
      </w:r>
      <w:r w:rsidRPr="008B5D8A">
        <w:rPr>
          <w:sz w:val="18"/>
          <w:szCs w:val="18"/>
          <w:vertAlign w:val="superscript"/>
        </w:rPr>
        <w:t xml:space="preserve"> </w:t>
      </w:r>
      <w:r w:rsidRPr="008B5D8A">
        <w:rPr>
          <w:sz w:val="18"/>
          <w:szCs w:val="18"/>
        </w:rPr>
        <w:t xml:space="preserve">Amado RG, Wolf M, </w:t>
      </w:r>
      <w:proofErr w:type="spellStart"/>
      <w:r w:rsidRPr="008B5D8A">
        <w:rPr>
          <w:sz w:val="18"/>
          <w:szCs w:val="18"/>
        </w:rPr>
        <w:t>Peeters</w:t>
      </w:r>
      <w:proofErr w:type="spellEnd"/>
      <w:r w:rsidRPr="008B5D8A">
        <w:rPr>
          <w:sz w:val="18"/>
          <w:szCs w:val="18"/>
        </w:rPr>
        <w:t xml:space="preserve"> M, </w:t>
      </w:r>
      <w:r w:rsidRPr="008B5D8A">
        <w:rPr>
          <w:i/>
          <w:sz w:val="18"/>
          <w:szCs w:val="18"/>
        </w:rPr>
        <w:t>et al</w:t>
      </w:r>
      <w:r>
        <w:rPr>
          <w:i/>
          <w:sz w:val="18"/>
          <w:szCs w:val="18"/>
        </w:rPr>
        <w:t>.</w:t>
      </w:r>
      <w:r w:rsidRPr="008B5D8A">
        <w:rPr>
          <w:sz w:val="18"/>
          <w:szCs w:val="18"/>
        </w:rPr>
        <w:t xml:space="preserve"> Wild-type KRAS is required for</w:t>
      </w:r>
      <w:r>
        <w:rPr>
          <w:sz w:val="18"/>
          <w:szCs w:val="18"/>
        </w:rPr>
        <w:t xml:space="preserve"> </w:t>
      </w:r>
      <w:proofErr w:type="spellStart"/>
      <w:r w:rsidRPr="008B5D8A">
        <w:rPr>
          <w:sz w:val="18"/>
          <w:szCs w:val="18"/>
        </w:rPr>
        <w:t>panitumumab</w:t>
      </w:r>
      <w:proofErr w:type="spellEnd"/>
      <w:r w:rsidRPr="008B5D8A">
        <w:rPr>
          <w:sz w:val="18"/>
          <w:szCs w:val="18"/>
        </w:rPr>
        <w:t xml:space="preserve"> efficacy in patients with metastatic colorectal cancer</w:t>
      </w:r>
      <w:r w:rsidRPr="0097612F">
        <w:rPr>
          <w:i/>
          <w:sz w:val="18"/>
          <w:szCs w:val="18"/>
        </w:rPr>
        <w:t xml:space="preserve">. J </w:t>
      </w:r>
      <w:proofErr w:type="spellStart"/>
      <w:r w:rsidRPr="0097612F">
        <w:rPr>
          <w:i/>
          <w:sz w:val="18"/>
          <w:szCs w:val="18"/>
        </w:rPr>
        <w:t>Clin</w:t>
      </w:r>
      <w:proofErr w:type="spellEnd"/>
      <w:r w:rsidRPr="0097612F">
        <w:rPr>
          <w:i/>
          <w:sz w:val="18"/>
          <w:szCs w:val="18"/>
        </w:rPr>
        <w:t xml:space="preserve"> </w:t>
      </w:r>
      <w:proofErr w:type="spellStart"/>
      <w:r w:rsidRPr="0097612F">
        <w:rPr>
          <w:i/>
          <w:sz w:val="18"/>
          <w:szCs w:val="18"/>
        </w:rPr>
        <w:t>Oncol</w:t>
      </w:r>
      <w:proofErr w:type="spellEnd"/>
      <w:r>
        <w:rPr>
          <w:sz w:val="18"/>
          <w:szCs w:val="18"/>
        </w:rPr>
        <w:t xml:space="preserve"> 2008:</w:t>
      </w:r>
      <w:r w:rsidRPr="008B5D8A">
        <w:rPr>
          <w:sz w:val="18"/>
          <w:szCs w:val="18"/>
        </w:rPr>
        <w:t>26:1626-1634</w:t>
      </w:r>
      <w:r>
        <w:rPr>
          <w:sz w:val="18"/>
          <w:szCs w:val="18"/>
        </w:rPr>
        <w:t>.</w:t>
      </w:r>
    </w:p>
  </w:footnote>
  <w:footnote w:id="10">
    <w:p w:rsidR="007D76FE" w:rsidRPr="00C404AC" w:rsidRDefault="007D76FE" w:rsidP="00F938E7">
      <w:pPr>
        <w:pStyle w:val="FootnoteText"/>
        <w:rPr>
          <w:sz w:val="18"/>
          <w:szCs w:val="18"/>
        </w:rPr>
      </w:pPr>
      <w:r w:rsidRPr="00C404AC">
        <w:rPr>
          <w:rStyle w:val="FootnoteReference"/>
          <w:sz w:val="18"/>
          <w:szCs w:val="18"/>
        </w:rPr>
        <w:footnoteRef/>
      </w:r>
      <w:r w:rsidRPr="00C404AC">
        <w:rPr>
          <w:sz w:val="18"/>
          <w:szCs w:val="18"/>
        </w:rPr>
        <w:t xml:space="preserve"> XELOX = oxaliplatin + oral capecitabine</w:t>
      </w:r>
      <w:r>
        <w:rPr>
          <w:sz w:val="18"/>
          <w:szCs w:val="18"/>
        </w:rPr>
        <w:t xml:space="preserve">. </w:t>
      </w:r>
      <w:proofErr w:type="spellStart"/>
      <w:r w:rsidRPr="00C404AC">
        <w:rPr>
          <w:sz w:val="18"/>
          <w:szCs w:val="18"/>
        </w:rPr>
        <w:t>OxMdG</w:t>
      </w:r>
      <w:proofErr w:type="spellEnd"/>
      <w:r w:rsidRPr="00C404AC">
        <w:rPr>
          <w:sz w:val="18"/>
          <w:szCs w:val="18"/>
        </w:rPr>
        <w:t xml:space="preserve"> = </w:t>
      </w:r>
      <w:proofErr w:type="spellStart"/>
      <w:r w:rsidRPr="00C404AC">
        <w:rPr>
          <w:sz w:val="18"/>
          <w:szCs w:val="18"/>
        </w:rPr>
        <w:t>oxaliplatin</w:t>
      </w:r>
      <w:proofErr w:type="spellEnd"/>
      <w:r w:rsidRPr="00C404AC">
        <w:rPr>
          <w:sz w:val="18"/>
          <w:szCs w:val="18"/>
        </w:rPr>
        <w:t xml:space="preserve"> + infusional 5-FU/FA</w:t>
      </w:r>
    </w:p>
  </w:footnote>
  <w:footnote w:id="11">
    <w:p w:rsidR="007D76FE" w:rsidRPr="003B6002" w:rsidRDefault="007D76FE" w:rsidP="007E4DB8">
      <w:pPr>
        <w:pStyle w:val="FootnoteText"/>
        <w:rPr>
          <w:sz w:val="18"/>
          <w:szCs w:val="18"/>
        </w:rPr>
      </w:pPr>
      <w:r w:rsidRPr="003B6002">
        <w:rPr>
          <w:rStyle w:val="FootnoteReference"/>
          <w:sz w:val="18"/>
          <w:szCs w:val="18"/>
        </w:rPr>
        <w:footnoteRef/>
      </w:r>
      <w:r w:rsidRPr="003B6002">
        <w:rPr>
          <w:sz w:val="18"/>
          <w:szCs w:val="18"/>
        </w:rPr>
        <w:t xml:space="preserve"> Different from “FOLFOX6 modified” in use of 100 mg/m</w:t>
      </w:r>
      <w:r w:rsidRPr="003B6002">
        <w:rPr>
          <w:sz w:val="18"/>
          <w:szCs w:val="18"/>
          <w:vertAlign w:val="superscript"/>
        </w:rPr>
        <w:t>2</w:t>
      </w:r>
      <w:r w:rsidRPr="003B6002">
        <w:rPr>
          <w:sz w:val="18"/>
          <w:szCs w:val="18"/>
        </w:rPr>
        <w:t xml:space="preserve"> oxaliplatin and higher dose FA</w:t>
      </w:r>
    </w:p>
  </w:footnote>
  <w:footnote w:id="12">
    <w:p w:rsidR="007D76FE" w:rsidRPr="00AF281E" w:rsidRDefault="007D76FE" w:rsidP="00AF281E">
      <w:pPr>
        <w:pStyle w:val="FootnoteText"/>
        <w:rPr>
          <w:sz w:val="18"/>
          <w:szCs w:val="18"/>
        </w:rPr>
      </w:pPr>
      <w:r w:rsidRPr="00AF281E">
        <w:rPr>
          <w:rStyle w:val="FootnoteReference"/>
          <w:sz w:val="18"/>
          <w:szCs w:val="18"/>
        </w:rPr>
        <w:footnoteRef/>
      </w:r>
      <w:r w:rsidRPr="00AF281E">
        <w:rPr>
          <w:sz w:val="18"/>
          <w:szCs w:val="18"/>
        </w:rPr>
        <w:t xml:space="preserve"> Recommend</w:t>
      </w:r>
      <w:r>
        <w:rPr>
          <w:sz w:val="18"/>
          <w:szCs w:val="18"/>
        </w:rPr>
        <w:t xml:space="preserve">ed revisions to the </w:t>
      </w:r>
      <w:r w:rsidRPr="00AF281E">
        <w:rPr>
          <w:sz w:val="18"/>
          <w:szCs w:val="18"/>
        </w:rPr>
        <w:t>PI are beyond the scope of the AusPAR</w:t>
      </w:r>
    </w:p>
  </w:footnote>
  <w:footnote w:id="13">
    <w:p w:rsidR="007D76FE" w:rsidRPr="00C93109" w:rsidRDefault="007D76FE" w:rsidP="00C93109">
      <w:pPr>
        <w:pStyle w:val="FootnoteText"/>
        <w:rPr>
          <w:sz w:val="18"/>
          <w:szCs w:val="18"/>
        </w:rPr>
      </w:pPr>
      <w:r w:rsidRPr="00C93109">
        <w:rPr>
          <w:rStyle w:val="FootnoteReference"/>
          <w:sz w:val="18"/>
          <w:szCs w:val="18"/>
        </w:rPr>
        <w:footnoteRef/>
      </w:r>
      <w:r>
        <w:rPr>
          <w:sz w:val="18"/>
          <w:szCs w:val="18"/>
        </w:rPr>
        <w:t xml:space="preserve"> Cartwright T., </w:t>
      </w:r>
      <w:proofErr w:type="spellStart"/>
      <w:r>
        <w:rPr>
          <w:sz w:val="18"/>
          <w:szCs w:val="18"/>
        </w:rPr>
        <w:t>Kuefler</w:t>
      </w:r>
      <w:proofErr w:type="spellEnd"/>
      <w:r>
        <w:rPr>
          <w:sz w:val="18"/>
          <w:szCs w:val="18"/>
        </w:rPr>
        <w:t xml:space="preserve"> P.</w:t>
      </w:r>
      <w:r w:rsidRPr="00C93109">
        <w:rPr>
          <w:sz w:val="18"/>
          <w:szCs w:val="18"/>
        </w:rPr>
        <w:t xml:space="preserve"> </w:t>
      </w:r>
      <w:r w:rsidRPr="00573571">
        <w:rPr>
          <w:i/>
          <w:iCs/>
          <w:sz w:val="18"/>
          <w:szCs w:val="18"/>
        </w:rPr>
        <w:t>et al</w:t>
      </w:r>
      <w:r w:rsidRPr="00C93109">
        <w:rPr>
          <w:sz w:val="18"/>
          <w:szCs w:val="18"/>
        </w:rPr>
        <w:t xml:space="preserve">. Results of a Phase II Trial of Cetuximab plus Capecitabine/Irinotecan as First-line Therapy for Patients with Advanced and/or Metastatic Colorectal Cancer. </w:t>
      </w:r>
      <w:r w:rsidRPr="00573571">
        <w:rPr>
          <w:i/>
          <w:iCs/>
          <w:sz w:val="18"/>
          <w:szCs w:val="18"/>
        </w:rPr>
        <w:t>Clinical Colorectal Cancer</w:t>
      </w:r>
      <w:r w:rsidRPr="00C93109">
        <w:rPr>
          <w:sz w:val="18"/>
          <w:szCs w:val="18"/>
        </w:rPr>
        <w:t xml:space="preserve"> 2008</w:t>
      </w:r>
      <w:r>
        <w:rPr>
          <w:sz w:val="18"/>
          <w:szCs w:val="18"/>
        </w:rPr>
        <w:t>:</w:t>
      </w:r>
      <w:r w:rsidRPr="00C93109">
        <w:rPr>
          <w:sz w:val="18"/>
          <w:szCs w:val="18"/>
        </w:rPr>
        <w:t xml:space="preserve"> 7:6</w:t>
      </w:r>
      <w:r>
        <w:rPr>
          <w:sz w:val="18"/>
          <w:szCs w:val="18"/>
        </w:rPr>
        <w:t>:</w:t>
      </w:r>
      <w:r w:rsidRPr="00C93109">
        <w:rPr>
          <w:sz w:val="18"/>
          <w:szCs w:val="18"/>
        </w:rPr>
        <w:t xml:space="preserve"> 390-397.</w:t>
      </w:r>
    </w:p>
  </w:footnote>
  <w:footnote w:id="14">
    <w:p w:rsidR="007D76FE" w:rsidRPr="00C93109" w:rsidRDefault="007D76FE" w:rsidP="00C93109">
      <w:pPr>
        <w:pStyle w:val="FootnoteText"/>
        <w:rPr>
          <w:sz w:val="18"/>
          <w:szCs w:val="18"/>
        </w:rPr>
      </w:pPr>
      <w:r w:rsidRPr="00C93109">
        <w:rPr>
          <w:rStyle w:val="FootnoteReference"/>
          <w:sz w:val="18"/>
          <w:szCs w:val="18"/>
        </w:rPr>
        <w:footnoteRef/>
      </w:r>
      <w:r w:rsidRPr="00C93109">
        <w:rPr>
          <w:sz w:val="18"/>
          <w:szCs w:val="18"/>
        </w:rPr>
        <w:t xml:space="preserve"> </w:t>
      </w:r>
      <w:proofErr w:type="spellStart"/>
      <w:r w:rsidRPr="00C93109">
        <w:rPr>
          <w:sz w:val="18"/>
          <w:szCs w:val="18"/>
        </w:rPr>
        <w:t>Moosmann</w:t>
      </w:r>
      <w:proofErr w:type="spellEnd"/>
      <w:r w:rsidRPr="00C93109">
        <w:rPr>
          <w:sz w:val="18"/>
          <w:szCs w:val="18"/>
        </w:rPr>
        <w:t xml:space="preserve"> N., Fischer von </w:t>
      </w:r>
      <w:proofErr w:type="spellStart"/>
      <w:r w:rsidRPr="00C93109">
        <w:rPr>
          <w:sz w:val="18"/>
          <w:szCs w:val="18"/>
        </w:rPr>
        <w:t>Weikersthal</w:t>
      </w:r>
      <w:proofErr w:type="spellEnd"/>
      <w:r w:rsidRPr="00C93109">
        <w:rPr>
          <w:sz w:val="18"/>
          <w:szCs w:val="18"/>
        </w:rPr>
        <w:t xml:space="preserve"> L. </w:t>
      </w:r>
      <w:r w:rsidRPr="00573571">
        <w:rPr>
          <w:i/>
          <w:iCs/>
          <w:sz w:val="18"/>
          <w:szCs w:val="18"/>
        </w:rPr>
        <w:t>et al</w:t>
      </w:r>
      <w:r w:rsidRPr="00C93109">
        <w:rPr>
          <w:sz w:val="18"/>
          <w:szCs w:val="18"/>
        </w:rPr>
        <w:t xml:space="preserve">. Cetuximab Plus Capecitabine and Irinotecan Compared </w:t>
      </w:r>
      <w:proofErr w:type="gramStart"/>
      <w:r w:rsidRPr="00C93109">
        <w:rPr>
          <w:sz w:val="18"/>
          <w:szCs w:val="18"/>
        </w:rPr>
        <w:t>With Cetuximab Plus</w:t>
      </w:r>
      <w:proofErr w:type="gramEnd"/>
      <w:r w:rsidRPr="00C93109">
        <w:rPr>
          <w:sz w:val="18"/>
          <w:szCs w:val="18"/>
        </w:rPr>
        <w:t xml:space="preserve"> Capecitabine and Oxaliplatin As First-Line Treatment for Patients With Metastatic Colorectal Cancer: AIO KRK-0104—A Randomized Trial of the German AIO CRC Study Group. </w:t>
      </w:r>
      <w:r w:rsidRPr="00573571">
        <w:rPr>
          <w:i/>
          <w:iCs/>
          <w:sz w:val="18"/>
          <w:szCs w:val="18"/>
        </w:rPr>
        <w:t>Journal of Clinical Oncology</w:t>
      </w:r>
      <w:r w:rsidRPr="00C93109">
        <w:rPr>
          <w:sz w:val="18"/>
          <w:szCs w:val="18"/>
        </w:rPr>
        <w:t xml:space="preserve"> 2011</w:t>
      </w:r>
      <w:r>
        <w:rPr>
          <w:sz w:val="18"/>
          <w:szCs w:val="18"/>
        </w:rPr>
        <w:t>:29(8):1050-1058.</w:t>
      </w:r>
    </w:p>
  </w:footnote>
  <w:footnote w:id="15">
    <w:p w:rsidR="007D76FE" w:rsidRPr="0063739D" w:rsidRDefault="007D76FE" w:rsidP="0063739D">
      <w:pPr>
        <w:pStyle w:val="FootnoteText"/>
        <w:rPr>
          <w:sz w:val="18"/>
          <w:szCs w:val="18"/>
        </w:rPr>
      </w:pPr>
      <w:r w:rsidRPr="0063739D">
        <w:rPr>
          <w:rStyle w:val="FootnoteReference"/>
          <w:sz w:val="18"/>
          <w:szCs w:val="18"/>
        </w:rPr>
        <w:footnoteRef/>
      </w:r>
      <w:r w:rsidRPr="0063739D">
        <w:rPr>
          <w:sz w:val="18"/>
          <w:szCs w:val="18"/>
        </w:rPr>
        <w:t xml:space="preserve"> Ku GY, </w:t>
      </w:r>
      <w:proofErr w:type="spellStart"/>
      <w:r w:rsidRPr="0063739D">
        <w:rPr>
          <w:sz w:val="18"/>
          <w:szCs w:val="18"/>
        </w:rPr>
        <w:t>Haaland</w:t>
      </w:r>
      <w:proofErr w:type="spellEnd"/>
      <w:r w:rsidRPr="0063739D">
        <w:rPr>
          <w:sz w:val="18"/>
          <w:szCs w:val="18"/>
        </w:rPr>
        <w:t xml:space="preserve"> A, </w:t>
      </w:r>
      <w:proofErr w:type="gramStart"/>
      <w:r w:rsidRPr="0063739D">
        <w:rPr>
          <w:sz w:val="18"/>
          <w:szCs w:val="18"/>
        </w:rPr>
        <w:t>de</w:t>
      </w:r>
      <w:proofErr w:type="gramEnd"/>
      <w:r w:rsidRPr="0063739D">
        <w:rPr>
          <w:sz w:val="18"/>
          <w:szCs w:val="18"/>
        </w:rPr>
        <w:t xml:space="preserve"> Lima Lopes G Jr. Cetuximab in the first-line treatment of K-</w:t>
      </w:r>
      <w:proofErr w:type="spellStart"/>
      <w:r w:rsidRPr="0063739D">
        <w:rPr>
          <w:sz w:val="18"/>
          <w:szCs w:val="18"/>
        </w:rPr>
        <w:t>ras</w:t>
      </w:r>
      <w:proofErr w:type="spellEnd"/>
      <w:r w:rsidRPr="0063739D">
        <w:rPr>
          <w:sz w:val="18"/>
          <w:szCs w:val="18"/>
        </w:rPr>
        <w:t xml:space="preserve"> </w:t>
      </w:r>
      <w:proofErr w:type="spellStart"/>
      <w:r w:rsidRPr="0063739D">
        <w:rPr>
          <w:sz w:val="18"/>
          <w:szCs w:val="18"/>
        </w:rPr>
        <w:t>wildtype</w:t>
      </w:r>
      <w:proofErr w:type="spellEnd"/>
      <w:r w:rsidRPr="0063739D">
        <w:rPr>
          <w:sz w:val="18"/>
          <w:szCs w:val="18"/>
        </w:rPr>
        <w:t xml:space="preserve"> metastatic colorectal cancer: the choice and schedule of fluoropyrimidine matters. </w:t>
      </w:r>
      <w:r w:rsidRPr="00573571">
        <w:rPr>
          <w:i/>
          <w:iCs/>
          <w:sz w:val="18"/>
          <w:szCs w:val="18"/>
        </w:rPr>
        <w:t xml:space="preserve">Cancer </w:t>
      </w:r>
      <w:proofErr w:type="spellStart"/>
      <w:r w:rsidRPr="00573571">
        <w:rPr>
          <w:i/>
          <w:iCs/>
          <w:sz w:val="18"/>
          <w:szCs w:val="18"/>
        </w:rPr>
        <w:t>Chemother</w:t>
      </w:r>
      <w:proofErr w:type="spellEnd"/>
      <w:r w:rsidRPr="00573571">
        <w:rPr>
          <w:i/>
          <w:iCs/>
          <w:sz w:val="18"/>
          <w:szCs w:val="18"/>
        </w:rPr>
        <w:t xml:space="preserve"> </w:t>
      </w:r>
      <w:proofErr w:type="spellStart"/>
      <w:r w:rsidRPr="00573571">
        <w:rPr>
          <w:i/>
          <w:iCs/>
          <w:sz w:val="18"/>
          <w:szCs w:val="18"/>
        </w:rPr>
        <w:t>Pharmacol</w:t>
      </w:r>
      <w:proofErr w:type="spellEnd"/>
      <w:r w:rsidRPr="0063739D">
        <w:rPr>
          <w:sz w:val="18"/>
          <w:szCs w:val="18"/>
        </w:rPr>
        <w:t xml:space="preserve"> 2012</w:t>
      </w:r>
      <w:r>
        <w:rPr>
          <w:sz w:val="18"/>
          <w:szCs w:val="18"/>
        </w:rPr>
        <w:t>:</w:t>
      </w:r>
      <w:r w:rsidRPr="0063739D">
        <w:rPr>
          <w:sz w:val="18"/>
          <w:szCs w:val="18"/>
        </w:rPr>
        <w:t xml:space="preserve">70(2):231-238. </w:t>
      </w:r>
    </w:p>
  </w:footnote>
  <w:footnote w:id="16">
    <w:p w:rsidR="007D76FE" w:rsidRPr="0063739D" w:rsidRDefault="007D76FE" w:rsidP="0063739D">
      <w:pPr>
        <w:pStyle w:val="FootnoteText"/>
        <w:rPr>
          <w:sz w:val="18"/>
          <w:szCs w:val="18"/>
        </w:rPr>
      </w:pPr>
      <w:r w:rsidRPr="0063739D">
        <w:rPr>
          <w:rStyle w:val="FootnoteReference"/>
          <w:sz w:val="18"/>
          <w:szCs w:val="18"/>
        </w:rPr>
        <w:footnoteRef/>
      </w:r>
      <w:r w:rsidRPr="0063739D">
        <w:rPr>
          <w:sz w:val="18"/>
          <w:szCs w:val="18"/>
        </w:rPr>
        <w:t xml:space="preserve"> Vale CL, Tierney JF, Fisher D </w:t>
      </w:r>
      <w:r w:rsidRPr="00573571">
        <w:rPr>
          <w:i/>
          <w:iCs/>
          <w:sz w:val="18"/>
          <w:szCs w:val="18"/>
        </w:rPr>
        <w:t>et al</w:t>
      </w:r>
      <w:r w:rsidRPr="0063739D">
        <w:rPr>
          <w:sz w:val="18"/>
          <w:szCs w:val="18"/>
        </w:rPr>
        <w:t xml:space="preserve">. Does anti-EGFR therapy improve outcome in advanced colorectal cancer? </w:t>
      </w:r>
      <w:proofErr w:type="gramStart"/>
      <w:r w:rsidRPr="0063739D">
        <w:rPr>
          <w:sz w:val="18"/>
          <w:szCs w:val="18"/>
        </w:rPr>
        <w:t>A systematic review and meta-analysis.</w:t>
      </w:r>
      <w:proofErr w:type="gramEnd"/>
      <w:r w:rsidRPr="0063739D">
        <w:rPr>
          <w:sz w:val="18"/>
          <w:szCs w:val="18"/>
        </w:rPr>
        <w:t xml:space="preserve"> </w:t>
      </w:r>
      <w:r w:rsidRPr="00573571">
        <w:rPr>
          <w:i/>
          <w:iCs/>
          <w:sz w:val="18"/>
          <w:szCs w:val="18"/>
        </w:rPr>
        <w:t>Cancer Treatment Reviews</w:t>
      </w:r>
      <w:r w:rsidRPr="0063739D">
        <w:rPr>
          <w:sz w:val="18"/>
          <w:szCs w:val="18"/>
        </w:rPr>
        <w:t xml:space="preserve"> 2012</w:t>
      </w:r>
      <w:r>
        <w:rPr>
          <w:sz w:val="18"/>
          <w:szCs w:val="18"/>
        </w:rPr>
        <w:t>: 38(6):618-625.</w:t>
      </w:r>
    </w:p>
  </w:footnote>
  <w:footnote w:id="17">
    <w:p w:rsidR="007D76FE" w:rsidRPr="00823A0E" w:rsidRDefault="007D76FE" w:rsidP="00823A0E">
      <w:pPr>
        <w:pStyle w:val="FootnoteText"/>
        <w:rPr>
          <w:sz w:val="18"/>
          <w:szCs w:val="18"/>
        </w:rPr>
      </w:pPr>
      <w:r w:rsidRPr="00823A0E">
        <w:rPr>
          <w:rStyle w:val="FootnoteReference"/>
          <w:sz w:val="18"/>
          <w:szCs w:val="18"/>
        </w:rPr>
        <w:footnoteRef/>
      </w:r>
      <w:r w:rsidRPr="00823A0E">
        <w:rPr>
          <w:sz w:val="18"/>
          <w:szCs w:val="18"/>
        </w:rPr>
        <w:t xml:space="preserve"> </w:t>
      </w:r>
      <w:proofErr w:type="spellStart"/>
      <w:r w:rsidRPr="00823A0E">
        <w:rPr>
          <w:sz w:val="18"/>
          <w:szCs w:val="18"/>
        </w:rPr>
        <w:t>Schmoll</w:t>
      </w:r>
      <w:proofErr w:type="spellEnd"/>
      <w:r w:rsidRPr="00823A0E">
        <w:rPr>
          <w:sz w:val="18"/>
          <w:szCs w:val="18"/>
        </w:rPr>
        <w:t xml:space="preserve"> H.J., Van </w:t>
      </w:r>
      <w:proofErr w:type="spellStart"/>
      <w:r w:rsidRPr="00823A0E">
        <w:rPr>
          <w:sz w:val="18"/>
          <w:szCs w:val="18"/>
        </w:rPr>
        <w:t>Cutsem</w:t>
      </w:r>
      <w:proofErr w:type="spellEnd"/>
      <w:r w:rsidRPr="00823A0E">
        <w:rPr>
          <w:sz w:val="18"/>
          <w:szCs w:val="18"/>
        </w:rPr>
        <w:t xml:space="preserve"> E., Stein A. </w:t>
      </w:r>
      <w:r w:rsidRPr="00F8749A">
        <w:rPr>
          <w:i/>
          <w:iCs/>
          <w:sz w:val="18"/>
          <w:szCs w:val="18"/>
        </w:rPr>
        <w:t>et al</w:t>
      </w:r>
      <w:r w:rsidRPr="00823A0E">
        <w:rPr>
          <w:sz w:val="18"/>
          <w:szCs w:val="18"/>
        </w:rPr>
        <w:t>. ESMO Consensus Guidelines for management</w:t>
      </w:r>
      <w:r>
        <w:rPr>
          <w:sz w:val="18"/>
          <w:szCs w:val="18"/>
        </w:rPr>
        <w:t xml:space="preserve"> </w:t>
      </w:r>
      <w:r w:rsidRPr="00823A0E">
        <w:rPr>
          <w:sz w:val="18"/>
          <w:szCs w:val="18"/>
        </w:rPr>
        <w:t xml:space="preserve">of patients with colon and rectal cancer. </w:t>
      </w:r>
      <w:proofErr w:type="gramStart"/>
      <w:r w:rsidRPr="00823A0E">
        <w:rPr>
          <w:sz w:val="18"/>
          <w:szCs w:val="18"/>
        </w:rPr>
        <w:t>A personalized approach to clinical decision making.</w:t>
      </w:r>
      <w:proofErr w:type="gramEnd"/>
      <w:r>
        <w:rPr>
          <w:sz w:val="18"/>
          <w:szCs w:val="18"/>
        </w:rPr>
        <w:t xml:space="preserve"> </w:t>
      </w:r>
      <w:r w:rsidRPr="00B8329A">
        <w:rPr>
          <w:i/>
          <w:iCs/>
          <w:sz w:val="18"/>
          <w:szCs w:val="18"/>
        </w:rPr>
        <w:t>Annals of Oncology</w:t>
      </w:r>
      <w:r w:rsidRPr="00823A0E">
        <w:rPr>
          <w:sz w:val="18"/>
          <w:szCs w:val="18"/>
        </w:rPr>
        <w:t xml:space="preserve"> 2012</w:t>
      </w:r>
      <w:r>
        <w:rPr>
          <w:sz w:val="18"/>
          <w:szCs w:val="18"/>
        </w:rPr>
        <w:t>:</w:t>
      </w:r>
      <w:r w:rsidRPr="00823A0E">
        <w:rPr>
          <w:sz w:val="18"/>
          <w:szCs w:val="18"/>
        </w:rPr>
        <w:t>23:2479–2516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6FE" w:rsidRDefault="007D76F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6FE" w:rsidRDefault="007D76FE">
    <w:pPr>
      <w:rPr>
        <w:noProof/>
        <w:lang w:eastAsia="en-AU"/>
      </w:rPr>
    </w:pPr>
    <w:r w:rsidRPr="00F260EE">
      <w:rPr>
        <w:noProof/>
        <w:lang w:eastAsia="en-AU"/>
      </w:rPr>
      <w:drawing>
        <wp:anchor distT="0" distB="0" distL="114300" distR="114300" simplePos="0" relativeHeight="251659264" behindDoc="1" locked="0" layoutInCell="1" allowOverlap="1">
          <wp:simplePos x="0" y="0"/>
          <wp:positionH relativeFrom="column">
            <wp:posOffset>-1091565</wp:posOffset>
          </wp:positionH>
          <wp:positionV relativeFrom="paragraph">
            <wp:posOffset>-583565</wp:posOffset>
          </wp:positionV>
          <wp:extent cx="7570470"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D76FE" w:rsidRDefault="007D76FE"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4.9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6FE" w:rsidRDefault="007D76F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6FE" w:rsidRDefault="007D76F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6FE" w:rsidRDefault="007D76F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6FE" w:rsidRDefault="007D76F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6FE" w:rsidRDefault="007D76FE"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6FE" w:rsidRDefault="007D76FE" w:rsidP="006E08B3">
    <w:r>
      <w:t>Therapeutic Goods Administration</w:t>
    </w:r>
  </w:p>
  <w:p w:rsidR="007D76FE" w:rsidRDefault="007D76F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B5CD33E"/>
    <w:lvl w:ilvl="0">
      <w:start w:val="1"/>
      <w:numFmt w:val="decimal"/>
      <w:lvlText w:val="%1."/>
      <w:lvlJc w:val="left"/>
      <w:pPr>
        <w:tabs>
          <w:tab w:val="num" w:pos="1492"/>
        </w:tabs>
        <w:ind w:left="1492" w:hanging="360"/>
      </w:pPr>
    </w:lvl>
  </w:abstractNum>
  <w:abstractNum w:abstractNumId="1">
    <w:nsid w:val="FFFFFF7D"/>
    <w:multiLevelType w:val="singleLevel"/>
    <w:tmpl w:val="8F5C6136"/>
    <w:lvl w:ilvl="0">
      <w:start w:val="1"/>
      <w:numFmt w:val="decimal"/>
      <w:lvlText w:val="%1."/>
      <w:lvlJc w:val="left"/>
      <w:pPr>
        <w:tabs>
          <w:tab w:val="num" w:pos="1209"/>
        </w:tabs>
        <w:ind w:left="1209" w:hanging="360"/>
      </w:pPr>
    </w:lvl>
  </w:abstractNum>
  <w:abstractNum w:abstractNumId="2">
    <w:nsid w:val="FFFFFF7E"/>
    <w:multiLevelType w:val="singleLevel"/>
    <w:tmpl w:val="0FE2A04C"/>
    <w:lvl w:ilvl="0">
      <w:start w:val="1"/>
      <w:numFmt w:val="decimal"/>
      <w:lvlText w:val="%1."/>
      <w:lvlJc w:val="left"/>
      <w:pPr>
        <w:tabs>
          <w:tab w:val="num" w:pos="926"/>
        </w:tabs>
        <w:ind w:left="926" w:hanging="360"/>
      </w:pPr>
    </w:lvl>
  </w:abstractNum>
  <w:abstractNum w:abstractNumId="3">
    <w:nsid w:val="FFFFFF7F"/>
    <w:multiLevelType w:val="singleLevel"/>
    <w:tmpl w:val="3258CB66"/>
    <w:lvl w:ilvl="0">
      <w:start w:val="1"/>
      <w:numFmt w:val="decimal"/>
      <w:lvlText w:val="%1."/>
      <w:lvlJc w:val="left"/>
      <w:pPr>
        <w:tabs>
          <w:tab w:val="num" w:pos="643"/>
        </w:tabs>
        <w:ind w:left="643" w:hanging="360"/>
      </w:pPr>
    </w:lvl>
  </w:abstractNum>
  <w:abstractNum w:abstractNumId="4">
    <w:nsid w:val="FFFFFF80"/>
    <w:multiLevelType w:val="singleLevel"/>
    <w:tmpl w:val="139A3F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952DE70"/>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D1AC6B92"/>
    <w:lvl w:ilvl="0">
      <w:start w:val="1"/>
      <w:numFmt w:val="decimal"/>
      <w:lvlText w:val="%1."/>
      <w:lvlJc w:val="left"/>
      <w:pPr>
        <w:tabs>
          <w:tab w:val="num" w:pos="360"/>
        </w:tabs>
        <w:ind w:left="360" w:hanging="360"/>
      </w:pPr>
    </w:lvl>
  </w:abstractNum>
  <w:abstractNum w:abstractNumId="7">
    <w:nsid w:val="0F7108C6"/>
    <w:multiLevelType w:val="hybridMultilevel"/>
    <w:tmpl w:val="7542F658"/>
    <w:lvl w:ilvl="0" w:tplc="579C7EDE">
      <w:start w:val="50"/>
      <w:numFmt w:val="bullet"/>
      <w:lvlText w:val=""/>
      <w:lvlJc w:val="left"/>
      <w:pPr>
        <w:ind w:left="360" w:hanging="360"/>
      </w:pPr>
      <w:rPr>
        <w:rFonts w:ascii="Symbol" w:eastAsiaTheme="minorHAns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AD065E6"/>
    <w:multiLevelType w:val="hybridMultilevel"/>
    <w:tmpl w:val="DE2029AC"/>
    <w:lvl w:ilvl="0" w:tplc="579C7EDE">
      <w:start w:val="50"/>
      <w:numFmt w:val="bullet"/>
      <w:lvlText w:val=""/>
      <w:lvlJc w:val="left"/>
      <w:pPr>
        <w:ind w:left="360" w:hanging="360"/>
      </w:pPr>
      <w:rPr>
        <w:rFonts w:ascii="Symbol" w:eastAsiaTheme="minorHAnsi" w:hAnsi="Symbol" w:cs="Times New Roman"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9"/>
  </w:num>
  <w:num w:numId="2">
    <w:abstractNumId w:val="8"/>
  </w:num>
  <w:num w:numId="3">
    <w:abstractNumId w:val="9"/>
  </w:num>
  <w:num w:numId="4">
    <w:abstractNumId w:val="8"/>
  </w:num>
  <w:num w:numId="5">
    <w:abstractNumId w:val="10"/>
  </w:num>
  <w:num w:numId="6">
    <w:abstractNumId w:val="7"/>
  </w:num>
  <w:num w:numId="7">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6"/>
  </w:num>
  <w:num w:numId="11">
    <w:abstractNumId w:val="3"/>
  </w:num>
  <w:num w:numId="12">
    <w:abstractNumId w:val="2"/>
  </w:num>
  <w:num w:numId="13">
    <w:abstractNumId w:val="1"/>
  </w:num>
  <w:num w:numId="14">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proofState w:spelling="clean" w:grammar="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49154">
      <o:colormenu v:ext="edit" fillcolor="none [3206]"/>
    </o:shapedefaults>
  </w:hdrShapeDefaults>
  <w:footnotePr>
    <w:footnote w:id="-1"/>
    <w:footnote w:id="0"/>
  </w:footnotePr>
  <w:endnotePr>
    <w:endnote w:id="-1"/>
    <w:endnote w:id="0"/>
  </w:endnotePr>
  <w:compat/>
  <w:rsids>
    <w:rsidRoot w:val="00B10291"/>
    <w:rsid w:val="00002031"/>
    <w:rsid w:val="00003C55"/>
    <w:rsid w:val="00004734"/>
    <w:rsid w:val="00006B22"/>
    <w:rsid w:val="0001140C"/>
    <w:rsid w:val="0001276A"/>
    <w:rsid w:val="000246AE"/>
    <w:rsid w:val="00025C67"/>
    <w:rsid w:val="000457A1"/>
    <w:rsid w:val="0005559E"/>
    <w:rsid w:val="0006554B"/>
    <w:rsid w:val="00067361"/>
    <w:rsid w:val="00077775"/>
    <w:rsid w:val="00077EEA"/>
    <w:rsid w:val="00080BE3"/>
    <w:rsid w:val="00085CAD"/>
    <w:rsid w:val="00090471"/>
    <w:rsid w:val="00093850"/>
    <w:rsid w:val="00094A96"/>
    <w:rsid w:val="00096AA7"/>
    <w:rsid w:val="000A3AED"/>
    <w:rsid w:val="000B3532"/>
    <w:rsid w:val="000B3A75"/>
    <w:rsid w:val="000C2719"/>
    <w:rsid w:val="000C690F"/>
    <w:rsid w:val="000D1295"/>
    <w:rsid w:val="000D391B"/>
    <w:rsid w:val="000D3D6D"/>
    <w:rsid w:val="000D4FC7"/>
    <w:rsid w:val="000E1CE8"/>
    <w:rsid w:val="000F15B6"/>
    <w:rsid w:val="000F4869"/>
    <w:rsid w:val="000F5B42"/>
    <w:rsid w:val="000F6E6F"/>
    <w:rsid w:val="001020E5"/>
    <w:rsid w:val="0010601F"/>
    <w:rsid w:val="0010788A"/>
    <w:rsid w:val="00107A31"/>
    <w:rsid w:val="00110EA5"/>
    <w:rsid w:val="00112F56"/>
    <w:rsid w:val="00121B1E"/>
    <w:rsid w:val="00123342"/>
    <w:rsid w:val="00125318"/>
    <w:rsid w:val="001305A2"/>
    <w:rsid w:val="00133238"/>
    <w:rsid w:val="0013730F"/>
    <w:rsid w:val="0014197B"/>
    <w:rsid w:val="001447CD"/>
    <w:rsid w:val="001516B1"/>
    <w:rsid w:val="00154EBB"/>
    <w:rsid w:val="00156316"/>
    <w:rsid w:val="00162D14"/>
    <w:rsid w:val="00165389"/>
    <w:rsid w:val="0017693F"/>
    <w:rsid w:val="00180477"/>
    <w:rsid w:val="0018056E"/>
    <w:rsid w:val="0018110E"/>
    <w:rsid w:val="00181684"/>
    <w:rsid w:val="001843C6"/>
    <w:rsid w:val="001850E0"/>
    <w:rsid w:val="001860C7"/>
    <w:rsid w:val="001A2158"/>
    <w:rsid w:val="001A525F"/>
    <w:rsid w:val="001B09F9"/>
    <w:rsid w:val="001B0FD6"/>
    <w:rsid w:val="001B6448"/>
    <w:rsid w:val="001C5FF9"/>
    <w:rsid w:val="001D0DCE"/>
    <w:rsid w:val="001D16D9"/>
    <w:rsid w:val="001E07CF"/>
    <w:rsid w:val="001E59F1"/>
    <w:rsid w:val="001F255A"/>
    <w:rsid w:val="001F480C"/>
    <w:rsid w:val="001F49EB"/>
    <w:rsid w:val="001F6CBA"/>
    <w:rsid w:val="00201D4E"/>
    <w:rsid w:val="002076C9"/>
    <w:rsid w:val="00210094"/>
    <w:rsid w:val="00220061"/>
    <w:rsid w:val="00220B8A"/>
    <w:rsid w:val="002242F0"/>
    <w:rsid w:val="002257F3"/>
    <w:rsid w:val="00233456"/>
    <w:rsid w:val="002339A5"/>
    <w:rsid w:val="002424E9"/>
    <w:rsid w:val="002571C2"/>
    <w:rsid w:val="00257848"/>
    <w:rsid w:val="0027084A"/>
    <w:rsid w:val="00280221"/>
    <w:rsid w:val="00282750"/>
    <w:rsid w:val="00286434"/>
    <w:rsid w:val="00286C59"/>
    <w:rsid w:val="00291957"/>
    <w:rsid w:val="002942D1"/>
    <w:rsid w:val="0029501A"/>
    <w:rsid w:val="002B1638"/>
    <w:rsid w:val="002D07FD"/>
    <w:rsid w:val="002E4C9A"/>
    <w:rsid w:val="002F11F8"/>
    <w:rsid w:val="002F3F56"/>
    <w:rsid w:val="002F44B5"/>
    <w:rsid w:val="00307105"/>
    <w:rsid w:val="00311AC0"/>
    <w:rsid w:val="0032583B"/>
    <w:rsid w:val="0032719A"/>
    <w:rsid w:val="00327883"/>
    <w:rsid w:val="00335504"/>
    <w:rsid w:val="00345BCB"/>
    <w:rsid w:val="00350E98"/>
    <w:rsid w:val="00351B00"/>
    <w:rsid w:val="003521E8"/>
    <w:rsid w:val="00354C4B"/>
    <w:rsid w:val="003554D8"/>
    <w:rsid w:val="00364C0D"/>
    <w:rsid w:val="003728F3"/>
    <w:rsid w:val="0037496E"/>
    <w:rsid w:val="00386150"/>
    <w:rsid w:val="003874CE"/>
    <w:rsid w:val="00390900"/>
    <w:rsid w:val="003A52E4"/>
    <w:rsid w:val="003A7F6C"/>
    <w:rsid w:val="003B4D60"/>
    <w:rsid w:val="003B6002"/>
    <w:rsid w:val="003B7E39"/>
    <w:rsid w:val="003C58DC"/>
    <w:rsid w:val="003D1E62"/>
    <w:rsid w:val="003E2486"/>
    <w:rsid w:val="003E3208"/>
    <w:rsid w:val="003E400C"/>
    <w:rsid w:val="003E6055"/>
    <w:rsid w:val="003E6B7D"/>
    <w:rsid w:val="003F0B04"/>
    <w:rsid w:val="003F4147"/>
    <w:rsid w:val="003F6879"/>
    <w:rsid w:val="0040134E"/>
    <w:rsid w:val="00404DC6"/>
    <w:rsid w:val="004320FF"/>
    <w:rsid w:val="00440A2D"/>
    <w:rsid w:val="004555DD"/>
    <w:rsid w:val="004564A7"/>
    <w:rsid w:val="004617BF"/>
    <w:rsid w:val="00463658"/>
    <w:rsid w:val="004656AC"/>
    <w:rsid w:val="004722CC"/>
    <w:rsid w:val="0047432C"/>
    <w:rsid w:val="004936E4"/>
    <w:rsid w:val="00494E60"/>
    <w:rsid w:val="00497487"/>
    <w:rsid w:val="004A2C56"/>
    <w:rsid w:val="004B7B76"/>
    <w:rsid w:val="004C239D"/>
    <w:rsid w:val="004C2DCA"/>
    <w:rsid w:val="004D59A7"/>
    <w:rsid w:val="004F044B"/>
    <w:rsid w:val="004F0F38"/>
    <w:rsid w:val="004F441E"/>
    <w:rsid w:val="004F5EB7"/>
    <w:rsid w:val="00501921"/>
    <w:rsid w:val="0051392E"/>
    <w:rsid w:val="005159F7"/>
    <w:rsid w:val="00516B5B"/>
    <w:rsid w:val="00520346"/>
    <w:rsid w:val="005301E5"/>
    <w:rsid w:val="00530354"/>
    <w:rsid w:val="005326A5"/>
    <w:rsid w:val="0053625B"/>
    <w:rsid w:val="005434C6"/>
    <w:rsid w:val="00543B39"/>
    <w:rsid w:val="00550096"/>
    <w:rsid w:val="00557FF9"/>
    <w:rsid w:val="00573571"/>
    <w:rsid w:val="00574EAE"/>
    <w:rsid w:val="00576378"/>
    <w:rsid w:val="00577130"/>
    <w:rsid w:val="00577945"/>
    <w:rsid w:val="00577E38"/>
    <w:rsid w:val="00580AA7"/>
    <w:rsid w:val="00585322"/>
    <w:rsid w:val="005857C6"/>
    <w:rsid w:val="00592F6E"/>
    <w:rsid w:val="00593AD1"/>
    <w:rsid w:val="00596ECF"/>
    <w:rsid w:val="005A68B6"/>
    <w:rsid w:val="005B6698"/>
    <w:rsid w:val="005C5570"/>
    <w:rsid w:val="005C7537"/>
    <w:rsid w:val="005C79A4"/>
    <w:rsid w:val="005D17E8"/>
    <w:rsid w:val="005D5442"/>
    <w:rsid w:val="00600957"/>
    <w:rsid w:val="00603F32"/>
    <w:rsid w:val="006203B4"/>
    <w:rsid w:val="006233C1"/>
    <w:rsid w:val="00625A6E"/>
    <w:rsid w:val="00632398"/>
    <w:rsid w:val="00635D91"/>
    <w:rsid w:val="00637047"/>
    <w:rsid w:val="0063739D"/>
    <w:rsid w:val="00640FC3"/>
    <w:rsid w:val="00642020"/>
    <w:rsid w:val="0065337B"/>
    <w:rsid w:val="0065419D"/>
    <w:rsid w:val="006604D8"/>
    <w:rsid w:val="006624D2"/>
    <w:rsid w:val="00664A5B"/>
    <w:rsid w:val="006743FD"/>
    <w:rsid w:val="00674DD5"/>
    <w:rsid w:val="006763D2"/>
    <w:rsid w:val="00680C08"/>
    <w:rsid w:val="00684713"/>
    <w:rsid w:val="00686629"/>
    <w:rsid w:val="006931B1"/>
    <w:rsid w:val="006A15C0"/>
    <w:rsid w:val="006A44D4"/>
    <w:rsid w:val="006A501E"/>
    <w:rsid w:val="006C192B"/>
    <w:rsid w:val="006C3E2A"/>
    <w:rsid w:val="006C4B8D"/>
    <w:rsid w:val="006C642F"/>
    <w:rsid w:val="006D03E5"/>
    <w:rsid w:val="006D5D3E"/>
    <w:rsid w:val="006E08B3"/>
    <w:rsid w:val="006F17AC"/>
    <w:rsid w:val="006F2D48"/>
    <w:rsid w:val="006F30EF"/>
    <w:rsid w:val="006F572E"/>
    <w:rsid w:val="007046D6"/>
    <w:rsid w:val="00704809"/>
    <w:rsid w:val="00705DB0"/>
    <w:rsid w:val="00722B57"/>
    <w:rsid w:val="00733C6A"/>
    <w:rsid w:val="0074253D"/>
    <w:rsid w:val="00742DE3"/>
    <w:rsid w:val="0074429B"/>
    <w:rsid w:val="00756A68"/>
    <w:rsid w:val="007615BC"/>
    <w:rsid w:val="00762F05"/>
    <w:rsid w:val="007652FF"/>
    <w:rsid w:val="00770EF1"/>
    <w:rsid w:val="00773EF7"/>
    <w:rsid w:val="00774E1D"/>
    <w:rsid w:val="0077675A"/>
    <w:rsid w:val="00780355"/>
    <w:rsid w:val="00782AA8"/>
    <w:rsid w:val="00785721"/>
    <w:rsid w:val="00793A59"/>
    <w:rsid w:val="007A7075"/>
    <w:rsid w:val="007B6E9F"/>
    <w:rsid w:val="007B7E55"/>
    <w:rsid w:val="007C1216"/>
    <w:rsid w:val="007C1AF7"/>
    <w:rsid w:val="007C378C"/>
    <w:rsid w:val="007D76FE"/>
    <w:rsid w:val="007E4DB8"/>
    <w:rsid w:val="00805D27"/>
    <w:rsid w:val="00813104"/>
    <w:rsid w:val="008158C3"/>
    <w:rsid w:val="00821776"/>
    <w:rsid w:val="00823A0E"/>
    <w:rsid w:val="008269C1"/>
    <w:rsid w:val="008321F5"/>
    <w:rsid w:val="00832369"/>
    <w:rsid w:val="00834660"/>
    <w:rsid w:val="00836BC2"/>
    <w:rsid w:val="00836CA0"/>
    <w:rsid w:val="00842383"/>
    <w:rsid w:val="0085210B"/>
    <w:rsid w:val="0085312F"/>
    <w:rsid w:val="0085641B"/>
    <w:rsid w:val="00857136"/>
    <w:rsid w:val="00866057"/>
    <w:rsid w:val="008729EC"/>
    <w:rsid w:val="00885B11"/>
    <w:rsid w:val="00886D15"/>
    <w:rsid w:val="00887DD8"/>
    <w:rsid w:val="00896018"/>
    <w:rsid w:val="008960DD"/>
    <w:rsid w:val="0089635C"/>
    <w:rsid w:val="008A2B9D"/>
    <w:rsid w:val="008A5E0B"/>
    <w:rsid w:val="008A6D59"/>
    <w:rsid w:val="008B4B03"/>
    <w:rsid w:val="008B596F"/>
    <w:rsid w:val="008B5D8A"/>
    <w:rsid w:val="008C159F"/>
    <w:rsid w:val="008C1623"/>
    <w:rsid w:val="008C1850"/>
    <w:rsid w:val="008C46D0"/>
    <w:rsid w:val="008C51A9"/>
    <w:rsid w:val="008C7810"/>
    <w:rsid w:val="008E5356"/>
    <w:rsid w:val="008E7846"/>
    <w:rsid w:val="008F1CCC"/>
    <w:rsid w:val="008F2967"/>
    <w:rsid w:val="008F6943"/>
    <w:rsid w:val="00902A21"/>
    <w:rsid w:val="009122D1"/>
    <w:rsid w:val="0091260B"/>
    <w:rsid w:val="00914ADA"/>
    <w:rsid w:val="00920330"/>
    <w:rsid w:val="009219D7"/>
    <w:rsid w:val="00922D53"/>
    <w:rsid w:val="00923B70"/>
    <w:rsid w:val="00924482"/>
    <w:rsid w:val="00930237"/>
    <w:rsid w:val="009315F3"/>
    <w:rsid w:val="0094137B"/>
    <w:rsid w:val="00946EA5"/>
    <w:rsid w:val="00957BA6"/>
    <w:rsid w:val="0096279F"/>
    <w:rsid w:val="00963C08"/>
    <w:rsid w:val="0097612F"/>
    <w:rsid w:val="0098545B"/>
    <w:rsid w:val="0098585A"/>
    <w:rsid w:val="0098638C"/>
    <w:rsid w:val="009A4CED"/>
    <w:rsid w:val="009A52BA"/>
    <w:rsid w:val="009A690D"/>
    <w:rsid w:val="009B1D12"/>
    <w:rsid w:val="009B416B"/>
    <w:rsid w:val="009B5519"/>
    <w:rsid w:val="009C1118"/>
    <w:rsid w:val="009C4BD5"/>
    <w:rsid w:val="009D7B77"/>
    <w:rsid w:val="009E0BB0"/>
    <w:rsid w:val="009E3FBB"/>
    <w:rsid w:val="009F76C5"/>
    <w:rsid w:val="00A102E4"/>
    <w:rsid w:val="00A12C42"/>
    <w:rsid w:val="00A14DF7"/>
    <w:rsid w:val="00A3246D"/>
    <w:rsid w:val="00A36FA7"/>
    <w:rsid w:val="00A37676"/>
    <w:rsid w:val="00A475B7"/>
    <w:rsid w:val="00A47AF7"/>
    <w:rsid w:val="00A47C3E"/>
    <w:rsid w:val="00A50226"/>
    <w:rsid w:val="00A60BAD"/>
    <w:rsid w:val="00A82ED2"/>
    <w:rsid w:val="00A84A5A"/>
    <w:rsid w:val="00A84E36"/>
    <w:rsid w:val="00A8661A"/>
    <w:rsid w:val="00A95DFB"/>
    <w:rsid w:val="00A964D1"/>
    <w:rsid w:val="00AA0ED0"/>
    <w:rsid w:val="00AA32C7"/>
    <w:rsid w:val="00AC2B40"/>
    <w:rsid w:val="00AC2BB2"/>
    <w:rsid w:val="00AC2C3C"/>
    <w:rsid w:val="00AC512D"/>
    <w:rsid w:val="00AD0083"/>
    <w:rsid w:val="00AE2250"/>
    <w:rsid w:val="00AE65EB"/>
    <w:rsid w:val="00AE67A7"/>
    <w:rsid w:val="00AF1D94"/>
    <w:rsid w:val="00AF281E"/>
    <w:rsid w:val="00AF60C5"/>
    <w:rsid w:val="00B009C6"/>
    <w:rsid w:val="00B01548"/>
    <w:rsid w:val="00B10291"/>
    <w:rsid w:val="00B120F5"/>
    <w:rsid w:val="00B21D29"/>
    <w:rsid w:val="00B25034"/>
    <w:rsid w:val="00B33588"/>
    <w:rsid w:val="00B33863"/>
    <w:rsid w:val="00B37D17"/>
    <w:rsid w:val="00B4175E"/>
    <w:rsid w:val="00B452CE"/>
    <w:rsid w:val="00B50B64"/>
    <w:rsid w:val="00B50F32"/>
    <w:rsid w:val="00B5147B"/>
    <w:rsid w:val="00B54C25"/>
    <w:rsid w:val="00B60715"/>
    <w:rsid w:val="00B727D9"/>
    <w:rsid w:val="00B76B91"/>
    <w:rsid w:val="00B77EB1"/>
    <w:rsid w:val="00B811C6"/>
    <w:rsid w:val="00B8329A"/>
    <w:rsid w:val="00B855B0"/>
    <w:rsid w:val="00B91328"/>
    <w:rsid w:val="00B926AF"/>
    <w:rsid w:val="00B92E08"/>
    <w:rsid w:val="00B95D37"/>
    <w:rsid w:val="00BB1825"/>
    <w:rsid w:val="00BC622A"/>
    <w:rsid w:val="00BE0A78"/>
    <w:rsid w:val="00BE79F0"/>
    <w:rsid w:val="00BF046D"/>
    <w:rsid w:val="00BF1190"/>
    <w:rsid w:val="00BF11E1"/>
    <w:rsid w:val="00BF5D04"/>
    <w:rsid w:val="00C1164D"/>
    <w:rsid w:val="00C16861"/>
    <w:rsid w:val="00C3383E"/>
    <w:rsid w:val="00C404A6"/>
    <w:rsid w:val="00C404AC"/>
    <w:rsid w:val="00C40A36"/>
    <w:rsid w:val="00C44419"/>
    <w:rsid w:val="00C45E7B"/>
    <w:rsid w:val="00C471B1"/>
    <w:rsid w:val="00C5695F"/>
    <w:rsid w:val="00C577ED"/>
    <w:rsid w:val="00C624F5"/>
    <w:rsid w:val="00C6316B"/>
    <w:rsid w:val="00C634A9"/>
    <w:rsid w:val="00C64586"/>
    <w:rsid w:val="00C66AA9"/>
    <w:rsid w:val="00C70D53"/>
    <w:rsid w:val="00C73D0B"/>
    <w:rsid w:val="00C772FF"/>
    <w:rsid w:val="00C800AE"/>
    <w:rsid w:val="00C80137"/>
    <w:rsid w:val="00C801AF"/>
    <w:rsid w:val="00C80256"/>
    <w:rsid w:val="00C8593A"/>
    <w:rsid w:val="00C90575"/>
    <w:rsid w:val="00C93109"/>
    <w:rsid w:val="00CA0972"/>
    <w:rsid w:val="00CB6BC0"/>
    <w:rsid w:val="00CC17EF"/>
    <w:rsid w:val="00CC1B7C"/>
    <w:rsid w:val="00CC727F"/>
    <w:rsid w:val="00CE4CA2"/>
    <w:rsid w:val="00CF15C3"/>
    <w:rsid w:val="00CF2B6F"/>
    <w:rsid w:val="00CF58B6"/>
    <w:rsid w:val="00CF704F"/>
    <w:rsid w:val="00D004C7"/>
    <w:rsid w:val="00D017ED"/>
    <w:rsid w:val="00D040D3"/>
    <w:rsid w:val="00D04C65"/>
    <w:rsid w:val="00D1652C"/>
    <w:rsid w:val="00D218E3"/>
    <w:rsid w:val="00D224FE"/>
    <w:rsid w:val="00D5052A"/>
    <w:rsid w:val="00D54846"/>
    <w:rsid w:val="00D6493E"/>
    <w:rsid w:val="00D7301E"/>
    <w:rsid w:val="00D83AE1"/>
    <w:rsid w:val="00D855D4"/>
    <w:rsid w:val="00D93466"/>
    <w:rsid w:val="00D9565F"/>
    <w:rsid w:val="00DA1124"/>
    <w:rsid w:val="00DB109C"/>
    <w:rsid w:val="00DB18F9"/>
    <w:rsid w:val="00DB2F6C"/>
    <w:rsid w:val="00DB75B7"/>
    <w:rsid w:val="00DC6E02"/>
    <w:rsid w:val="00DC708D"/>
    <w:rsid w:val="00DD6EA2"/>
    <w:rsid w:val="00DE02AE"/>
    <w:rsid w:val="00DF1D7F"/>
    <w:rsid w:val="00DF4BE4"/>
    <w:rsid w:val="00E00A2A"/>
    <w:rsid w:val="00E02FB4"/>
    <w:rsid w:val="00E07252"/>
    <w:rsid w:val="00E10DDB"/>
    <w:rsid w:val="00E20571"/>
    <w:rsid w:val="00E21E29"/>
    <w:rsid w:val="00E235F7"/>
    <w:rsid w:val="00E23659"/>
    <w:rsid w:val="00E239D4"/>
    <w:rsid w:val="00E23E14"/>
    <w:rsid w:val="00E26130"/>
    <w:rsid w:val="00E40B22"/>
    <w:rsid w:val="00E412E0"/>
    <w:rsid w:val="00E45619"/>
    <w:rsid w:val="00E4588F"/>
    <w:rsid w:val="00E46DA3"/>
    <w:rsid w:val="00E51BB1"/>
    <w:rsid w:val="00E52791"/>
    <w:rsid w:val="00E624A5"/>
    <w:rsid w:val="00E62755"/>
    <w:rsid w:val="00E6419B"/>
    <w:rsid w:val="00E65192"/>
    <w:rsid w:val="00E67ABF"/>
    <w:rsid w:val="00E7344E"/>
    <w:rsid w:val="00E758BE"/>
    <w:rsid w:val="00EA54E4"/>
    <w:rsid w:val="00EA614B"/>
    <w:rsid w:val="00EA755F"/>
    <w:rsid w:val="00EB0798"/>
    <w:rsid w:val="00EB40AD"/>
    <w:rsid w:val="00EB586E"/>
    <w:rsid w:val="00EB5FC8"/>
    <w:rsid w:val="00EC65A4"/>
    <w:rsid w:val="00ED3CAD"/>
    <w:rsid w:val="00ED5A41"/>
    <w:rsid w:val="00EE1DE8"/>
    <w:rsid w:val="00EE6AA4"/>
    <w:rsid w:val="00EF08A7"/>
    <w:rsid w:val="00F033EC"/>
    <w:rsid w:val="00F04F68"/>
    <w:rsid w:val="00F0746A"/>
    <w:rsid w:val="00F12670"/>
    <w:rsid w:val="00F14B27"/>
    <w:rsid w:val="00F260EE"/>
    <w:rsid w:val="00F3148D"/>
    <w:rsid w:val="00F325C5"/>
    <w:rsid w:val="00F32FE0"/>
    <w:rsid w:val="00F35298"/>
    <w:rsid w:val="00F42F51"/>
    <w:rsid w:val="00F4467E"/>
    <w:rsid w:val="00F47333"/>
    <w:rsid w:val="00F47E37"/>
    <w:rsid w:val="00F53C07"/>
    <w:rsid w:val="00F54B65"/>
    <w:rsid w:val="00F640B6"/>
    <w:rsid w:val="00F649C2"/>
    <w:rsid w:val="00F6588A"/>
    <w:rsid w:val="00F739C2"/>
    <w:rsid w:val="00F75810"/>
    <w:rsid w:val="00F80E40"/>
    <w:rsid w:val="00F819C6"/>
    <w:rsid w:val="00F848D9"/>
    <w:rsid w:val="00F8749A"/>
    <w:rsid w:val="00F938E7"/>
    <w:rsid w:val="00FA01FD"/>
    <w:rsid w:val="00FA1E1D"/>
    <w:rsid w:val="00FA5B82"/>
    <w:rsid w:val="00FA639E"/>
    <w:rsid w:val="00FB579A"/>
    <w:rsid w:val="00FC25E4"/>
    <w:rsid w:val="00FC4EF7"/>
    <w:rsid w:val="00FC5A6E"/>
    <w:rsid w:val="00FE1DEE"/>
    <w:rsid w:val="00FF2126"/>
    <w:rsid w:val="00FF46E9"/>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B7E5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684713"/>
    <w:pPr>
      <w:spacing w:line="240" w:lineRule="auto"/>
    </w:pPr>
    <w:rPr>
      <w:sz w:val="18"/>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ListParagraph">
    <w:name w:val="List Paragraph"/>
    <w:basedOn w:val="Normal"/>
    <w:uiPriority w:val="34"/>
    <w:rsid w:val="00914ADA"/>
    <w:pPr>
      <w:ind w:left="720"/>
      <w:contextualSpacing/>
    </w:pPr>
  </w:style>
  <w:style w:type="paragraph" w:styleId="FootnoteText">
    <w:name w:val="footnote text"/>
    <w:basedOn w:val="Normal"/>
    <w:link w:val="FootnoteTextChar"/>
    <w:uiPriority w:val="99"/>
    <w:semiHidden/>
    <w:unhideWhenUsed/>
    <w:rsid w:val="00C9310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93109"/>
    <w:rPr>
      <w:rFonts w:ascii="Cambria" w:eastAsia="Cambria" w:hAnsi="Cambria" w:cs="Times New Roman"/>
      <w:sz w:val="20"/>
      <w:szCs w:val="20"/>
    </w:rPr>
  </w:style>
  <w:style w:type="character" w:styleId="FootnoteReference">
    <w:name w:val="footnote reference"/>
    <w:basedOn w:val="DefaultParagraphFont"/>
    <w:semiHidden/>
    <w:unhideWhenUsed/>
    <w:rsid w:val="00C93109"/>
    <w:rPr>
      <w:vertAlign w:val="superscript"/>
    </w:rPr>
  </w:style>
  <w:style w:type="table" w:customStyle="1" w:styleId="LightList-Accent11">
    <w:name w:val="Light List - Accent 11"/>
    <w:basedOn w:val="TableNormal"/>
    <w:uiPriority w:val="61"/>
    <w:rsid w:val="00E00A2A"/>
    <w:pPr>
      <w:spacing w:after="0" w:line="240" w:lineRule="auto"/>
    </w:pPr>
    <w:tblPr>
      <w:tblStyleRowBandSize w:val="1"/>
      <w:tblStyleColBandSize w:val="1"/>
      <w:tblInd w:w="0" w:type="dxa"/>
      <w:tblBorders>
        <w:top w:val="single" w:sz="8" w:space="0" w:color="002C47" w:themeColor="accent1"/>
        <w:left w:val="single" w:sz="8" w:space="0" w:color="002C47" w:themeColor="accent1"/>
        <w:bottom w:val="single" w:sz="8" w:space="0" w:color="002C47" w:themeColor="accent1"/>
        <w:right w:val="single" w:sz="8" w:space="0" w:color="002C4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 w:type="table" w:customStyle="1" w:styleId="LightList-Accent12">
    <w:name w:val="Light List - Accent 12"/>
    <w:basedOn w:val="TableNormal"/>
    <w:uiPriority w:val="61"/>
    <w:rsid w:val="00E00A2A"/>
    <w:pPr>
      <w:spacing w:after="0" w:line="240" w:lineRule="auto"/>
    </w:pPr>
    <w:tblPr>
      <w:tblStyleRowBandSize w:val="1"/>
      <w:tblStyleColBandSize w:val="1"/>
      <w:tblInd w:w="0" w:type="dxa"/>
      <w:tblBorders>
        <w:top w:val="single" w:sz="8" w:space="0" w:color="002C47" w:themeColor="accent1"/>
        <w:left w:val="single" w:sz="8" w:space="0" w:color="002C47" w:themeColor="accent1"/>
        <w:bottom w:val="single" w:sz="8" w:space="0" w:color="002C47" w:themeColor="accent1"/>
        <w:right w:val="single" w:sz="8" w:space="0" w:color="002C47"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2C47" w:themeFill="accent1"/>
      </w:tcPr>
    </w:tblStylePr>
    <w:tblStylePr w:type="lastRow">
      <w:pPr>
        <w:spacing w:beforeLines="0" w:beforeAutospacing="0" w:afterLines="0" w:afterAutospacing="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 w:type="character" w:styleId="CommentReference">
    <w:name w:val="annotation reference"/>
    <w:basedOn w:val="DefaultParagraphFont"/>
    <w:uiPriority w:val="99"/>
    <w:semiHidden/>
    <w:unhideWhenUsed/>
    <w:rsid w:val="00574EAE"/>
    <w:rPr>
      <w:sz w:val="16"/>
      <w:szCs w:val="16"/>
    </w:rPr>
  </w:style>
  <w:style w:type="paragraph" w:styleId="CommentText">
    <w:name w:val="annotation text"/>
    <w:basedOn w:val="Normal"/>
    <w:link w:val="CommentTextChar"/>
    <w:uiPriority w:val="99"/>
    <w:semiHidden/>
    <w:unhideWhenUsed/>
    <w:rsid w:val="00574EAE"/>
    <w:pPr>
      <w:spacing w:line="240" w:lineRule="auto"/>
    </w:pPr>
    <w:rPr>
      <w:sz w:val="20"/>
      <w:szCs w:val="20"/>
    </w:rPr>
  </w:style>
  <w:style w:type="character" w:customStyle="1" w:styleId="CommentTextChar">
    <w:name w:val="Comment Text Char"/>
    <w:basedOn w:val="DefaultParagraphFont"/>
    <w:link w:val="CommentText"/>
    <w:uiPriority w:val="99"/>
    <w:semiHidden/>
    <w:rsid w:val="00574EAE"/>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74EAE"/>
    <w:rPr>
      <w:b/>
      <w:bCs/>
    </w:rPr>
  </w:style>
  <w:style w:type="character" w:customStyle="1" w:styleId="CommentSubjectChar">
    <w:name w:val="Comment Subject Char"/>
    <w:basedOn w:val="CommentTextChar"/>
    <w:link w:val="CommentSubject"/>
    <w:uiPriority w:val="99"/>
    <w:semiHidden/>
    <w:rsid w:val="00574EAE"/>
    <w:rPr>
      <w:b/>
      <w:bCs/>
    </w:rPr>
  </w:style>
</w:styles>
</file>

<file path=word/webSettings.xml><?xml version="1.0" encoding="utf-8"?>
<w:webSettings xmlns:r="http://schemas.openxmlformats.org/officeDocument/2006/relationships" xmlns:w="http://schemas.openxmlformats.org/wordprocessingml/2006/main">
  <w:divs>
    <w:div w:id="20477455">
      <w:bodyDiv w:val="1"/>
      <w:marLeft w:val="0"/>
      <w:marRight w:val="0"/>
      <w:marTop w:val="0"/>
      <w:marBottom w:val="0"/>
      <w:divBdr>
        <w:top w:val="none" w:sz="0" w:space="0" w:color="auto"/>
        <w:left w:val="none" w:sz="0" w:space="0" w:color="auto"/>
        <w:bottom w:val="none" w:sz="0" w:space="0" w:color="auto"/>
        <w:right w:val="none" w:sz="0" w:space="0" w:color="auto"/>
      </w:divBdr>
    </w:div>
    <w:div w:id="25983303">
      <w:bodyDiv w:val="1"/>
      <w:marLeft w:val="0"/>
      <w:marRight w:val="0"/>
      <w:marTop w:val="0"/>
      <w:marBottom w:val="240"/>
      <w:divBdr>
        <w:top w:val="none" w:sz="0" w:space="0" w:color="auto"/>
        <w:left w:val="none" w:sz="0" w:space="0" w:color="auto"/>
        <w:bottom w:val="none" w:sz="0" w:space="0" w:color="auto"/>
        <w:right w:val="none" w:sz="0" w:space="0" w:color="auto"/>
      </w:divBdr>
      <w:divsChild>
        <w:div w:id="388962089">
          <w:marLeft w:val="0"/>
          <w:marRight w:val="0"/>
          <w:marTop w:val="80"/>
          <w:marBottom w:val="160"/>
          <w:divBdr>
            <w:top w:val="none" w:sz="0" w:space="0" w:color="auto"/>
            <w:left w:val="none" w:sz="0" w:space="0" w:color="auto"/>
            <w:bottom w:val="none" w:sz="0" w:space="0" w:color="auto"/>
            <w:right w:val="none" w:sz="0" w:space="0" w:color="auto"/>
          </w:divBdr>
          <w:divsChild>
            <w:div w:id="5766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4388">
      <w:bodyDiv w:val="1"/>
      <w:marLeft w:val="0"/>
      <w:marRight w:val="0"/>
      <w:marTop w:val="0"/>
      <w:marBottom w:val="0"/>
      <w:divBdr>
        <w:top w:val="none" w:sz="0" w:space="0" w:color="auto"/>
        <w:left w:val="none" w:sz="0" w:space="0" w:color="auto"/>
        <w:bottom w:val="none" w:sz="0" w:space="0" w:color="auto"/>
        <w:right w:val="none" w:sz="0" w:space="0" w:color="auto"/>
      </w:divBdr>
    </w:div>
    <w:div w:id="125317854">
      <w:bodyDiv w:val="1"/>
      <w:marLeft w:val="0"/>
      <w:marRight w:val="0"/>
      <w:marTop w:val="0"/>
      <w:marBottom w:val="0"/>
      <w:divBdr>
        <w:top w:val="none" w:sz="0" w:space="0" w:color="auto"/>
        <w:left w:val="none" w:sz="0" w:space="0" w:color="auto"/>
        <w:bottom w:val="none" w:sz="0" w:space="0" w:color="auto"/>
        <w:right w:val="none" w:sz="0" w:space="0" w:color="auto"/>
      </w:divBdr>
    </w:div>
    <w:div w:id="264772124">
      <w:bodyDiv w:val="1"/>
      <w:marLeft w:val="0"/>
      <w:marRight w:val="0"/>
      <w:marTop w:val="0"/>
      <w:marBottom w:val="0"/>
      <w:divBdr>
        <w:top w:val="none" w:sz="0" w:space="0" w:color="auto"/>
        <w:left w:val="none" w:sz="0" w:space="0" w:color="auto"/>
        <w:bottom w:val="none" w:sz="0" w:space="0" w:color="auto"/>
        <w:right w:val="none" w:sz="0" w:space="0" w:color="auto"/>
      </w:divBdr>
    </w:div>
    <w:div w:id="293995471">
      <w:bodyDiv w:val="1"/>
      <w:marLeft w:val="0"/>
      <w:marRight w:val="0"/>
      <w:marTop w:val="0"/>
      <w:marBottom w:val="0"/>
      <w:divBdr>
        <w:top w:val="none" w:sz="0" w:space="0" w:color="auto"/>
        <w:left w:val="none" w:sz="0" w:space="0" w:color="auto"/>
        <w:bottom w:val="none" w:sz="0" w:space="0" w:color="auto"/>
        <w:right w:val="none" w:sz="0" w:space="0" w:color="auto"/>
      </w:divBdr>
    </w:div>
    <w:div w:id="391735356">
      <w:bodyDiv w:val="1"/>
      <w:marLeft w:val="0"/>
      <w:marRight w:val="0"/>
      <w:marTop w:val="0"/>
      <w:marBottom w:val="0"/>
      <w:divBdr>
        <w:top w:val="none" w:sz="0" w:space="0" w:color="auto"/>
        <w:left w:val="none" w:sz="0" w:space="0" w:color="auto"/>
        <w:bottom w:val="none" w:sz="0" w:space="0" w:color="auto"/>
        <w:right w:val="none" w:sz="0" w:space="0" w:color="auto"/>
      </w:divBdr>
    </w:div>
    <w:div w:id="414402344">
      <w:bodyDiv w:val="1"/>
      <w:marLeft w:val="0"/>
      <w:marRight w:val="0"/>
      <w:marTop w:val="0"/>
      <w:marBottom w:val="0"/>
      <w:divBdr>
        <w:top w:val="none" w:sz="0" w:space="0" w:color="auto"/>
        <w:left w:val="none" w:sz="0" w:space="0" w:color="auto"/>
        <w:bottom w:val="none" w:sz="0" w:space="0" w:color="auto"/>
        <w:right w:val="none" w:sz="0" w:space="0" w:color="auto"/>
      </w:divBdr>
    </w:div>
    <w:div w:id="440799842">
      <w:bodyDiv w:val="1"/>
      <w:marLeft w:val="0"/>
      <w:marRight w:val="0"/>
      <w:marTop w:val="0"/>
      <w:marBottom w:val="0"/>
      <w:divBdr>
        <w:top w:val="none" w:sz="0" w:space="0" w:color="auto"/>
        <w:left w:val="none" w:sz="0" w:space="0" w:color="auto"/>
        <w:bottom w:val="none" w:sz="0" w:space="0" w:color="auto"/>
        <w:right w:val="none" w:sz="0" w:space="0" w:color="auto"/>
      </w:divBdr>
    </w:div>
    <w:div w:id="443965121">
      <w:bodyDiv w:val="1"/>
      <w:marLeft w:val="0"/>
      <w:marRight w:val="0"/>
      <w:marTop w:val="0"/>
      <w:marBottom w:val="0"/>
      <w:divBdr>
        <w:top w:val="none" w:sz="0" w:space="0" w:color="auto"/>
        <w:left w:val="none" w:sz="0" w:space="0" w:color="auto"/>
        <w:bottom w:val="none" w:sz="0" w:space="0" w:color="auto"/>
        <w:right w:val="none" w:sz="0" w:space="0" w:color="auto"/>
      </w:divBdr>
    </w:div>
    <w:div w:id="596905089">
      <w:bodyDiv w:val="1"/>
      <w:marLeft w:val="0"/>
      <w:marRight w:val="0"/>
      <w:marTop w:val="0"/>
      <w:marBottom w:val="0"/>
      <w:divBdr>
        <w:top w:val="none" w:sz="0" w:space="0" w:color="auto"/>
        <w:left w:val="none" w:sz="0" w:space="0" w:color="auto"/>
        <w:bottom w:val="none" w:sz="0" w:space="0" w:color="auto"/>
        <w:right w:val="none" w:sz="0" w:space="0" w:color="auto"/>
      </w:divBdr>
    </w:div>
    <w:div w:id="710693804">
      <w:bodyDiv w:val="1"/>
      <w:marLeft w:val="0"/>
      <w:marRight w:val="0"/>
      <w:marTop w:val="0"/>
      <w:marBottom w:val="0"/>
      <w:divBdr>
        <w:top w:val="none" w:sz="0" w:space="0" w:color="auto"/>
        <w:left w:val="none" w:sz="0" w:space="0" w:color="auto"/>
        <w:bottom w:val="none" w:sz="0" w:space="0" w:color="auto"/>
        <w:right w:val="none" w:sz="0" w:space="0" w:color="auto"/>
      </w:divBdr>
    </w:div>
    <w:div w:id="734277548">
      <w:bodyDiv w:val="1"/>
      <w:marLeft w:val="0"/>
      <w:marRight w:val="0"/>
      <w:marTop w:val="0"/>
      <w:marBottom w:val="240"/>
      <w:divBdr>
        <w:top w:val="none" w:sz="0" w:space="0" w:color="auto"/>
        <w:left w:val="none" w:sz="0" w:space="0" w:color="auto"/>
        <w:bottom w:val="none" w:sz="0" w:space="0" w:color="auto"/>
        <w:right w:val="none" w:sz="0" w:space="0" w:color="auto"/>
      </w:divBdr>
      <w:divsChild>
        <w:div w:id="1146437778">
          <w:marLeft w:val="0"/>
          <w:marRight w:val="0"/>
          <w:marTop w:val="120"/>
          <w:marBottom w:val="240"/>
          <w:divBdr>
            <w:top w:val="none" w:sz="0" w:space="0" w:color="auto"/>
            <w:left w:val="none" w:sz="0" w:space="0" w:color="auto"/>
            <w:bottom w:val="none" w:sz="0" w:space="0" w:color="auto"/>
            <w:right w:val="none" w:sz="0" w:space="0" w:color="auto"/>
          </w:divBdr>
          <w:divsChild>
            <w:div w:id="14180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380">
      <w:bodyDiv w:val="1"/>
      <w:marLeft w:val="0"/>
      <w:marRight w:val="0"/>
      <w:marTop w:val="0"/>
      <w:marBottom w:val="0"/>
      <w:divBdr>
        <w:top w:val="none" w:sz="0" w:space="0" w:color="auto"/>
        <w:left w:val="none" w:sz="0" w:space="0" w:color="auto"/>
        <w:bottom w:val="none" w:sz="0" w:space="0" w:color="auto"/>
        <w:right w:val="none" w:sz="0" w:space="0" w:color="auto"/>
      </w:divBdr>
    </w:div>
    <w:div w:id="906501364">
      <w:bodyDiv w:val="1"/>
      <w:marLeft w:val="0"/>
      <w:marRight w:val="0"/>
      <w:marTop w:val="0"/>
      <w:marBottom w:val="0"/>
      <w:divBdr>
        <w:top w:val="none" w:sz="0" w:space="0" w:color="auto"/>
        <w:left w:val="none" w:sz="0" w:space="0" w:color="auto"/>
        <w:bottom w:val="none" w:sz="0" w:space="0" w:color="auto"/>
        <w:right w:val="none" w:sz="0" w:space="0" w:color="auto"/>
      </w:divBdr>
    </w:div>
    <w:div w:id="1021590017">
      <w:bodyDiv w:val="1"/>
      <w:marLeft w:val="0"/>
      <w:marRight w:val="0"/>
      <w:marTop w:val="0"/>
      <w:marBottom w:val="0"/>
      <w:divBdr>
        <w:top w:val="none" w:sz="0" w:space="0" w:color="auto"/>
        <w:left w:val="none" w:sz="0" w:space="0" w:color="auto"/>
        <w:bottom w:val="none" w:sz="0" w:space="0" w:color="auto"/>
        <w:right w:val="none" w:sz="0" w:space="0" w:color="auto"/>
      </w:divBdr>
    </w:div>
    <w:div w:id="1083988191">
      <w:bodyDiv w:val="1"/>
      <w:marLeft w:val="0"/>
      <w:marRight w:val="0"/>
      <w:marTop w:val="0"/>
      <w:marBottom w:val="0"/>
      <w:divBdr>
        <w:top w:val="none" w:sz="0" w:space="0" w:color="auto"/>
        <w:left w:val="none" w:sz="0" w:space="0" w:color="auto"/>
        <w:bottom w:val="none" w:sz="0" w:space="0" w:color="auto"/>
        <w:right w:val="none" w:sz="0" w:space="0" w:color="auto"/>
      </w:divBdr>
    </w:div>
    <w:div w:id="1263760998">
      <w:bodyDiv w:val="1"/>
      <w:marLeft w:val="0"/>
      <w:marRight w:val="0"/>
      <w:marTop w:val="0"/>
      <w:marBottom w:val="0"/>
      <w:divBdr>
        <w:top w:val="none" w:sz="0" w:space="0" w:color="auto"/>
        <w:left w:val="none" w:sz="0" w:space="0" w:color="auto"/>
        <w:bottom w:val="none" w:sz="0" w:space="0" w:color="auto"/>
        <w:right w:val="none" w:sz="0" w:space="0" w:color="auto"/>
      </w:divBdr>
    </w:div>
    <w:div w:id="1491629535">
      <w:bodyDiv w:val="1"/>
      <w:marLeft w:val="0"/>
      <w:marRight w:val="0"/>
      <w:marTop w:val="0"/>
      <w:marBottom w:val="0"/>
      <w:divBdr>
        <w:top w:val="none" w:sz="0" w:space="0" w:color="auto"/>
        <w:left w:val="none" w:sz="0" w:space="0" w:color="auto"/>
        <w:bottom w:val="none" w:sz="0" w:space="0" w:color="auto"/>
        <w:right w:val="none" w:sz="0" w:space="0" w:color="auto"/>
      </w:divBdr>
    </w:div>
    <w:div w:id="1520007022">
      <w:bodyDiv w:val="1"/>
      <w:marLeft w:val="0"/>
      <w:marRight w:val="0"/>
      <w:marTop w:val="0"/>
      <w:marBottom w:val="0"/>
      <w:divBdr>
        <w:top w:val="none" w:sz="0" w:space="0" w:color="auto"/>
        <w:left w:val="none" w:sz="0" w:space="0" w:color="auto"/>
        <w:bottom w:val="none" w:sz="0" w:space="0" w:color="auto"/>
        <w:right w:val="none" w:sz="0" w:space="0" w:color="auto"/>
      </w:divBdr>
    </w:div>
    <w:div w:id="1548906409">
      <w:bodyDiv w:val="1"/>
      <w:marLeft w:val="0"/>
      <w:marRight w:val="0"/>
      <w:marTop w:val="0"/>
      <w:marBottom w:val="0"/>
      <w:divBdr>
        <w:top w:val="none" w:sz="0" w:space="0" w:color="auto"/>
        <w:left w:val="none" w:sz="0" w:space="0" w:color="auto"/>
        <w:bottom w:val="none" w:sz="0" w:space="0" w:color="auto"/>
        <w:right w:val="none" w:sz="0" w:space="0" w:color="auto"/>
      </w:divBdr>
    </w:div>
    <w:div w:id="1605838994">
      <w:bodyDiv w:val="1"/>
      <w:marLeft w:val="0"/>
      <w:marRight w:val="0"/>
      <w:marTop w:val="0"/>
      <w:marBottom w:val="0"/>
      <w:divBdr>
        <w:top w:val="none" w:sz="0" w:space="0" w:color="auto"/>
        <w:left w:val="none" w:sz="0" w:space="0" w:color="auto"/>
        <w:bottom w:val="none" w:sz="0" w:space="0" w:color="auto"/>
        <w:right w:val="none" w:sz="0" w:space="0" w:color="auto"/>
      </w:divBdr>
    </w:div>
    <w:div w:id="1640645030">
      <w:bodyDiv w:val="1"/>
      <w:marLeft w:val="0"/>
      <w:marRight w:val="0"/>
      <w:marTop w:val="0"/>
      <w:marBottom w:val="0"/>
      <w:divBdr>
        <w:top w:val="none" w:sz="0" w:space="0" w:color="auto"/>
        <w:left w:val="none" w:sz="0" w:space="0" w:color="auto"/>
        <w:bottom w:val="none" w:sz="0" w:space="0" w:color="auto"/>
        <w:right w:val="none" w:sz="0" w:space="0" w:color="auto"/>
      </w:divBdr>
    </w:div>
    <w:div w:id="1698193671">
      <w:bodyDiv w:val="1"/>
      <w:marLeft w:val="0"/>
      <w:marRight w:val="0"/>
      <w:marTop w:val="0"/>
      <w:marBottom w:val="0"/>
      <w:divBdr>
        <w:top w:val="none" w:sz="0" w:space="0" w:color="auto"/>
        <w:left w:val="none" w:sz="0" w:space="0" w:color="auto"/>
        <w:bottom w:val="none" w:sz="0" w:space="0" w:color="auto"/>
        <w:right w:val="none" w:sz="0" w:space="0" w:color="auto"/>
      </w:divBdr>
    </w:div>
    <w:div w:id="1884051747">
      <w:bodyDiv w:val="1"/>
      <w:marLeft w:val="0"/>
      <w:marRight w:val="0"/>
      <w:marTop w:val="0"/>
      <w:marBottom w:val="0"/>
      <w:divBdr>
        <w:top w:val="none" w:sz="0" w:space="0" w:color="auto"/>
        <w:left w:val="none" w:sz="0" w:space="0" w:color="auto"/>
        <w:bottom w:val="none" w:sz="0" w:space="0" w:color="auto"/>
        <w:right w:val="none" w:sz="0" w:space="0" w:color="auto"/>
      </w:divBdr>
    </w:div>
    <w:div w:id="1919318158">
      <w:bodyDiv w:val="1"/>
      <w:marLeft w:val="0"/>
      <w:marRight w:val="0"/>
      <w:marTop w:val="0"/>
      <w:marBottom w:val="0"/>
      <w:divBdr>
        <w:top w:val="none" w:sz="0" w:space="0" w:color="auto"/>
        <w:left w:val="none" w:sz="0" w:space="0" w:color="auto"/>
        <w:bottom w:val="none" w:sz="0" w:space="0" w:color="auto"/>
        <w:right w:val="none" w:sz="0" w:space="0" w:color="auto"/>
      </w:divBdr>
    </w:div>
    <w:div w:id="211644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hyperlink" Target="http://www.tga.gov.au/hp/information-medicines-pi.htm" TargetMode="External"/><Relationship Id="rId27" Type="http://schemas.openxmlformats.org/officeDocument/2006/relationships/footer" Target="footer3.xml"/><Relationship Id="rId30"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2828\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0343-9CE1-48E7-B629-D4851C530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85</TotalTime>
  <Pages>38</Pages>
  <Words>13334</Words>
  <Characters>76008</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Australian public assessment report for cetuximab</vt:lpstr>
    </vt:vector>
  </TitlesOfParts>
  <Company>TGA</Company>
  <LinksUpToDate>false</LinksUpToDate>
  <CharactersWithSpaces>89164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cetuximab</dc:title>
  <dc:subject>prescription medicine regulation</dc:subject>
  <dc:creator>Therapeutic Goods Administration</dc:creator>
  <cp:keywords>auspar, prescription, medicine, assessment, regulation, australia, cetuximab, erbitux, merck serono</cp:keywords>
  <cp:lastModifiedBy>Sheppard, Fran</cp:lastModifiedBy>
  <cp:revision>23</cp:revision>
  <cp:lastPrinted>2010-12-20T22:59:00Z</cp:lastPrinted>
  <dcterms:created xsi:type="dcterms:W3CDTF">2013-09-11T05:44:00Z</dcterms:created>
  <dcterms:modified xsi:type="dcterms:W3CDTF">2013-10-25T05:39:00Z</dcterms:modified>
</cp:coreProperties>
</file>