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948" w:rsidRDefault="00AB6948" w:rsidP="00AB6948">
      <w:pPr>
        <w:pStyle w:val="Heading4"/>
        <w:ind w:left="0"/>
        <w:jc w:val="left"/>
        <w:rPr>
          <w:lang w:val="fr-FR"/>
        </w:rPr>
      </w:pPr>
      <w:r w:rsidRPr="0041117C">
        <w:rPr>
          <w:lang w:val="fr-FR"/>
        </w:rPr>
        <w:t>Erbitux</w:t>
      </w:r>
      <w:r w:rsidRPr="0041117C">
        <w:rPr>
          <w:b w:val="0"/>
          <w:bCs/>
          <w:position w:val="24"/>
          <w:sz w:val="32"/>
          <w:lang w:val="fr-FR"/>
        </w:rPr>
        <w:t>®</w:t>
      </w:r>
      <w:r>
        <w:rPr>
          <w:b w:val="0"/>
          <w:bCs/>
          <w:position w:val="24"/>
          <w:sz w:val="32"/>
          <w:lang w:val="fr-FR"/>
        </w:rPr>
        <w:t xml:space="preserve"> </w:t>
      </w:r>
      <w:r w:rsidRPr="0041117C">
        <w:rPr>
          <w:lang w:val="fr-FR"/>
        </w:rPr>
        <w:t>5 mg/mL</w:t>
      </w:r>
    </w:p>
    <w:p w:rsidR="00AB6948" w:rsidRPr="00AB6948" w:rsidRDefault="00AB6948" w:rsidP="00AB6948">
      <w:pPr>
        <w:rPr>
          <w:i/>
          <w:lang w:val="fr-FR"/>
        </w:rPr>
      </w:pPr>
      <w:r w:rsidRPr="00AB6948">
        <w:rPr>
          <w:i/>
          <w:lang w:val="fr-FR"/>
        </w:rPr>
        <w:t>cetuximab (rmc)</w:t>
      </w:r>
    </w:p>
    <w:p w:rsidR="00AB6948" w:rsidRDefault="00AB6948" w:rsidP="00AB6948">
      <w:pPr>
        <w:rPr>
          <w:lang w:val="fr-FR"/>
        </w:rPr>
      </w:pPr>
    </w:p>
    <w:p w:rsidR="00AB6948" w:rsidRPr="00AB6948" w:rsidRDefault="00AB6948" w:rsidP="00AB6948">
      <w:pPr>
        <w:rPr>
          <w:b/>
          <w:bCs/>
          <w:sz w:val="30"/>
          <w:szCs w:val="30"/>
          <w:lang w:val="fr-FR"/>
        </w:rPr>
      </w:pPr>
      <w:r w:rsidRPr="00AB6948">
        <w:rPr>
          <w:b/>
          <w:bCs/>
          <w:sz w:val="30"/>
          <w:szCs w:val="30"/>
          <w:lang w:val="fr-FR"/>
        </w:rPr>
        <w:t>PRODUCT INFORMATION</w:t>
      </w:r>
    </w:p>
    <w:p w:rsidR="00AB6948" w:rsidRDefault="00AB6948" w:rsidP="00AB6948">
      <w:pPr>
        <w:rPr>
          <w:b/>
          <w:bCs/>
          <w:sz w:val="28"/>
          <w:lang w:val="fr-FR"/>
        </w:rPr>
      </w:pPr>
    </w:p>
    <w:p w:rsidR="00AB6948" w:rsidRDefault="00AB6948" w:rsidP="00AB6948">
      <w:pPr>
        <w:rPr>
          <w:b/>
          <w:bCs/>
          <w:sz w:val="28"/>
          <w:lang w:val="fr-FR"/>
        </w:rPr>
      </w:pPr>
    </w:p>
    <w:p w:rsidR="00AB6948" w:rsidRDefault="00AB6948" w:rsidP="00AB6948">
      <w:pPr>
        <w:rPr>
          <w:b/>
          <w:bCs/>
          <w:sz w:val="28"/>
        </w:rPr>
      </w:pPr>
      <w:r w:rsidRPr="0041117C">
        <w:rPr>
          <w:b/>
          <w:bCs/>
          <w:sz w:val="28"/>
        </w:rPr>
        <w:t>NAME OF THE MEDICINE</w:t>
      </w:r>
    </w:p>
    <w:p w:rsidR="00AB6948" w:rsidRDefault="00AB6948" w:rsidP="00AB6948">
      <w:pPr>
        <w:rPr>
          <w:b/>
          <w:bCs/>
          <w:sz w:val="28"/>
        </w:rPr>
      </w:pPr>
    </w:p>
    <w:p w:rsidR="00AB6948" w:rsidRDefault="00AB6948" w:rsidP="00AB6948">
      <w:r w:rsidRPr="0041117C">
        <w:t xml:space="preserve">The active ingredient in </w:t>
      </w:r>
      <w:proofErr w:type="spellStart"/>
      <w:r w:rsidRPr="0041117C">
        <w:t>Erbitux</w:t>
      </w:r>
      <w:proofErr w:type="spellEnd"/>
      <w:r w:rsidRPr="0041117C">
        <w:t xml:space="preserve"> is </w:t>
      </w:r>
      <w:proofErr w:type="spellStart"/>
      <w:r w:rsidRPr="0041117C">
        <w:t>cetuximab</w:t>
      </w:r>
      <w:proofErr w:type="spellEnd"/>
      <w:r w:rsidRPr="0041117C">
        <w:t xml:space="preserve"> (</w:t>
      </w:r>
      <w:proofErr w:type="spellStart"/>
      <w:r w:rsidRPr="0041117C">
        <w:t>rmc</w:t>
      </w:r>
      <w:proofErr w:type="spellEnd"/>
      <w:r w:rsidRPr="0041117C">
        <w:t>).</w:t>
      </w:r>
    </w:p>
    <w:p w:rsidR="00AB6948" w:rsidRDefault="00AB6948" w:rsidP="00AB6948"/>
    <w:p w:rsidR="00AB6948" w:rsidRDefault="00AB6948" w:rsidP="00AB6948">
      <w:pPr>
        <w:rPr>
          <w:b/>
          <w:bCs/>
          <w:sz w:val="28"/>
        </w:rPr>
      </w:pPr>
      <w:r w:rsidRPr="0041117C">
        <w:rPr>
          <w:b/>
          <w:bCs/>
          <w:sz w:val="28"/>
        </w:rPr>
        <w:t>DESCRIPTION</w:t>
      </w:r>
    </w:p>
    <w:p w:rsidR="00AB6948" w:rsidRDefault="00AB6948" w:rsidP="00AB6948">
      <w:pPr>
        <w:rPr>
          <w:b/>
          <w:bCs/>
          <w:sz w:val="28"/>
        </w:rPr>
      </w:pPr>
    </w:p>
    <w:p w:rsidR="00AB6948" w:rsidRDefault="00AB6948" w:rsidP="00AB6948">
      <w:proofErr w:type="spellStart"/>
      <w:r w:rsidRPr="0041117C">
        <w:t>Cetuximab</w:t>
      </w:r>
      <w:proofErr w:type="spellEnd"/>
      <w:r w:rsidRPr="0041117C">
        <w:t xml:space="preserve"> is a </w:t>
      </w:r>
      <w:proofErr w:type="spellStart"/>
      <w:r w:rsidRPr="0041117C">
        <w:t>chimaeric</w:t>
      </w:r>
      <w:proofErr w:type="spellEnd"/>
      <w:r w:rsidRPr="0041117C">
        <w:t xml:space="preserve"> monoclonal antibody of the immunoglobulin G</w:t>
      </w:r>
      <w:r w:rsidRPr="0041117C">
        <w:rPr>
          <w:vertAlign w:val="subscript"/>
        </w:rPr>
        <w:t>1</w:t>
      </w:r>
      <w:r w:rsidRPr="0041117C">
        <w:t xml:space="preserve"> (IgG</w:t>
      </w:r>
      <w:r w:rsidRPr="0041117C">
        <w:rPr>
          <w:vertAlign w:val="subscript"/>
        </w:rPr>
        <w:t>1</w:t>
      </w:r>
      <w:r w:rsidRPr="0041117C">
        <w:t xml:space="preserve">) subclass, produced in mammalian cell culture by mouse myeloma cells (Sp2/0). It is obtained by attaching the variable regions of the </w:t>
      </w:r>
      <w:proofErr w:type="spellStart"/>
      <w:r w:rsidRPr="0041117C">
        <w:t>murine</w:t>
      </w:r>
      <w:proofErr w:type="spellEnd"/>
      <w:r w:rsidRPr="0041117C">
        <w:t xml:space="preserve"> monoclonal antibody M225 against epidermal growth factor receptor (EGFR) to constant regions of the human IgG</w:t>
      </w:r>
      <w:r w:rsidRPr="0041117C">
        <w:rPr>
          <w:vertAlign w:val="subscript"/>
        </w:rPr>
        <w:t>1</w:t>
      </w:r>
      <w:r w:rsidRPr="0041117C">
        <w:t xml:space="preserve">. The molecular weight is approximately 152 </w:t>
      </w:r>
      <w:proofErr w:type="spellStart"/>
      <w:r w:rsidRPr="0041117C">
        <w:t>kDa</w:t>
      </w:r>
      <w:proofErr w:type="spellEnd"/>
      <w:r w:rsidRPr="0041117C">
        <w:t>.</w:t>
      </w:r>
    </w:p>
    <w:p w:rsidR="00AB6948" w:rsidRDefault="00AB6948" w:rsidP="00AB6948"/>
    <w:p w:rsidR="00AB6948" w:rsidRDefault="00AB6948" w:rsidP="00AB6948">
      <w:r w:rsidRPr="0041117C">
        <w:t xml:space="preserve">Erbitux 5 mg/mL is a sterile, preservative-free, colourless solution that is intended for intravenous infusion. The pH of the solution is in the range of 5.3 – 5.7 and the </w:t>
      </w:r>
      <w:proofErr w:type="spellStart"/>
      <w:r w:rsidRPr="0041117C">
        <w:t>osmolality</w:t>
      </w:r>
      <w:proofErr w:type="spellEnd"/>
      <w:r w:rsidRPr="0041117C">
        <w:t xml:space="preserve"> is between 280 and 350 </w:t>
      </w:r>
      <w:proofErr w:type="spellStart"/>
      <w:r w:rsidRPr="0041117C">
        <w:t>mOsm</w:t>
      </w:r>
      <w:proofErr w:type="spellEnd"/>
      <w:r w:rsidRPr="0041117C">
        <w:t>/kg.</w:t>
      </w:r>
    </w:p>
    <w:p w:rsidR="00AB6948" w:rsidRDefault="00AB6948" w:rsidP="00AB6948"/>
    <w:p w:rsidR="00AB6948" w:rsidRDefault="00AB6948" w:rsidP="00AB6948">
      <w:r w:rsidRPr="0041117C">
        <w:t xml:space="preserve">Erbitux 5 mg/mL contains 5 mg cetuximab per millilitre of solution.  The solution also contains the following inactive ingredients: sodium chloride, </w:t>
      </w:r>
      <w:proofErr w:type="spellStart"/>
      <w:r w:rsidRPr="0041117C">
        <w:t>glycine</w:t>
      </w:r>
      <w:proofErr w:type="spellEnd"/>
      <w:r w:rsidRPr="0041117C">
        <w:t xml:space="preserve">, </w:t>
      </w:r>
      <w:proofErr w:type="spellStart"/>
      <w:r w:rsidRPr="0041117C">
        <w:t>polysorbate</w:t>
      </w:r>
      <w:proofErr w:type="spellEnd"/>
      <w:r w:rsidRPr="0041117C">
        <w:t xml:space="preserve"> 80, citric acid monohydrate, sodium hydroxide and water for injections.</w:t>
      </w:r>
    </w:p>
    <w:p w:rsidR="00AB6948" w:rsidRDefault="00AB6948" w:rsidP="00AB6948"/>
    <w:p w:rsidR="00AB6948" w:rsidRDefault="0005417B" w:rsidP="00AB6948">
      <w:proofErr w:type="spellStart"/>
      <w:r w:rsidRPr="0041117C">
        <w:t>Pharmacotherapeutic</w:t>
      </w:r>
      <w:proofErr w:type="spellEnd"/>
      <w:r w:rsidRPr="0041117C">
        <w:t xml:space="preserve"> group: </w:t>
      </w:r>
      <w:proofErr w:type="spellStart"/>
      <w:r w:rsidRPr="0041117C">
        <w:t>Antineoplastic</w:t>
      </w:r>
      <w:proofErr w:type="spellEnd"/>
      <w:r w:rsidRPr="0041117C">
        <w:t xml:space="preserve"> agents, monoclonal antibodies, ATC Code: L01XC06.</w:t>
      </w:r>
    </w:p>
    <w:p w:rsidR="0005417B" w:rsidRDefault="0005417B" w:rsidP="00AB6948"/>
    <w:p w:rsidR="0005417B" w:rsidRPr="0005417B" w:rsidRDefault="0005417B" w:rsidP="00AB6948">
      <w:pPr>
        <w:rPr>
          <w:b/>
          <w:bCs/>
          <w:sz w:val="28"/>
        </w:rPr>
      </w:pPr>
      <w:r w:rsidRPr="0005417B">
        <w:rPr>
          <w:b/>
          <w:bCs/>
          <w:sz w:val="28"/>
        </w:rPr>
        <w:t>PHARMACOLOGY</w:t>
      </w:r>
    </w:p>
    <w:p w:rsidR="0005417B" w:rsidRDefault="0005417B" w:rsidP="00AB6948"/>
    <w:p w:rsidR="0005417B" w:rsidRDefault="0005417B" w:rsidP="00AB6948">
      <w:r w:rsidRPr="0041117C">
        <w:t xml:space="preserve">Cetuximab binds to the EGFR with an affinity that is approximately 5 to 10 fold higher than that of endogenous </w:t>
      </w:r>
      <w:proofErr w:type="spellStart"/>
      <w:r w:rsidRPr="0041117C">
        <w:t>ligands</w:t>
      </w:r>
      <w:proofErr w:type="spellEnd"/>
      <w:r w:rsidRPr="0041117C">
        <w:t xml:space="preserve">. Cetuximab blocks binding of endogenous EGFR </w:t>
      </w:r>
      <w:proofErr w:type="spellStart"/>
      <w:r w:rsidRPr="0041117C">
        <w:t>ligands</w:t>
      </w:r>
      <w:proofErr w:type="spellEnd"/>
      <w:r w:rsidRPr="0041117C">
        <w:t xml:space="preserve"> resulting in inhibition of the function of the receptor. It induces the internalisation of the EGFR, which could lead to down-regulation of EGFR.</w:t>
      </w:r>
    </w:p>
    <w:p w:rsidR="0005417B" w:rsidRDefault="0005417B" w:rsidP="00AB6948"/>
    <w:p w:rsidR="0005417B" w:rsidRDefault="0005417B" w:rsidP="00AB6948">
      <w:r w:rsidRPr="0041117C">
        <w:t>Cetuximab does not bind to other receptors belonging to the HER family (</w:t>
      </w:r>
      <w:proofErr w:type="spellStart"/>
      <w:r w:rsidRPr="0041117C">
        <w:t>Erb</w:t>
      </w:r>
      <w:proofErr w:type="spellEnd"/>
      <w:r w:rsidRPr="0041117C">
        <w:t xml:space="preserve"> B2, </w:t>
      </w:r>
      <w:proofErr w:type="spellStart"/>
      <w:r w:rsidRPr="0041117C">
        <w:t>Erb</w:t>
      </w:r>
      <w:proofErr w:type="spellEnd"/>
      <w:r w:rsidRPr="0041117C">
        <w:t xml:space="preserve"> B3, </w:t>
      </w:r>
      <w:proofErr w:type="spellStart"/>
      <w:r w:rsidRPr="0041117C">
        <w:t>Erb</w:t>
      </w:r>
      <w:proofErr w:type="spellEnd"/>
      <w:r w:rsidRPr="0041117C">
        <w:t xml:space="preserve"> B4).</w:t>
      </w:r>
    </w:p>
    <w:p w:rsidR="0005417B" w:rsidRDefault="0005417B" w:rsidP="00AB6948"/>
    <w:p w:rsidR="0005417B" w:rsidRDefault="0005417B" w:rsidP="00AB6948">
      <w:r w:rsidRPr="0041117C">
        <w:t xml:space="preserve">The EGFR is constitutively expressed in many normal epithelial tissues, including the skin and hair follicles. Over-expression of EGFR is also detected in many human cancers, including those of the colon and rectum. The contribution of the EGFR signalling pathways in the development of malignancy of certain tumours has been extensively documented in </w:t>
      </w:r>
      <w:proofErr w:type="spellStart"/>
      <w:r w:rsidRPr="0041117C">
        <w:rPr>
          <w:i/>
        </w:rPr>
        <w:t>in</w:t>
      </w:r>
      <w:proofErr w:type="spellEnd"/>
      <w:r w:rsidRPr="0041117C">
        <w:rPr>
          <w:i/>
        </w:rPr>
        <w:t xml:space="preserve"> vitro</w:t>
      </w:r>
      <w:r w:rsidRPr="0041117C">
        <w:t xml:space="preserve"> and </w:t>
      </w:r>
      <w:r w:rsidRPr="0041117C">
        <w:rPr>
          <w:i/>
        </w:rPr>
        <w:t>in vivo</w:t>
      </w:r>
      <w:r w:rsidRPr="0041117C">
        <w:t xml:space="preserve"> studies. EGFR signalling pathways are involved in the control of cell survival, cell cycle progression,</w:t>
      </w:r>
      <w:r w:rsidRPr="0041117C">
        <w:rPr>
          <w:position w:val="2"/>
        </w:rPr>
        <w:t xml:space="preserve"> </w:t>
      </w:r>
      <w:r w:rsidRPr="0041117C">
        <w:t xml:space="preserve">angiogenesis, cell migration and cellular invasion/metastasis. </w:t>
      </w:r>
      <w:r w:rsidRPr="0041117C">
        <w:lastRenderedPageBreak/>
        <w:t xml:space="preserve">Expression of EGFR and its cognate </w:t>
      </w:r>
      <w:proofErr w:type="spellStart"/>
      <w:r w:rsidRPr="0041117C">
        <w:t>ligands</w:t>
      </w:r>
      <w:proofErr w:type="spellEnd"/>
      <w:r w:rsidRPr="0041117C">
        <w:t xml:space="preserve"> in tumours has been correlated with poor prognosis, decreased survival, and/or increased metastases.</w:t>
      </w:r>
    </w:p>
    <w:p w:rsidR="0005417B" w:rsidRDefault="0005417B" w:rsidP="00AB6948">
      <w:r w:rsidRPr="0041117C">
        <w:t xml:space="preserve">The protein product of the proto-oncogene </w:t>
      </w:r>
      <w:r w:rsidRPr="0041117C">
        <w:rPr>
          <w:i/>
          <w:iCs/>
        </w:rPr>
        <w:t>K-RAS</w:t>
      </w:r>
      <w:r w:rsidRPr="0041117C">
        <w:t xml:space="preserve"> </w:t>
      </w:r>
      <w:r w:rsidRPr="0041117C">
        <w:rPr>
          <w:szCs w:val="22"/>
        </w:rPr>
        <w:t xml:space="preserve">(Kirsten rat sarcoma 2 viral </w:t>
      </w:r>
      <w:proofErr w:type="spellStart"/>
      <w:r w:rsidRPr="0041117C">
        <w:rPr>
          <w:szCs w:val="22"/>
        </w:rPr>
        <w:t>oncogene</w:t>
      </w:r>
      <w:proofErr w:type="spellEnd"/>
      <w:r w:rsidRPr="0041117C">
        <w:rPr>
          <w:szCs w:val="22"/>
        </w:rPr>
        <w:t xml:space="preserve"> homologue) </w:t>
      </w:r>
      <w:r w:rsidRPr="0041117C">
        <w:t xml:space="preserve">is a central down-stream signal-transducer of EGFR. In tumours, activation of </w:t>
      </w:r>
      <w:r w:rsidRPr="00E268BF">
        <w:rPr>
          <w:i/>
        </w:rPr>
        <w:t>K-RAS</w:t>
      </w:r>
      <w:r w:rsidRPr="0041117C">
        <w:t xml:space="preserve"> by EGFR contributes to EGFR-mediated increased proliferation, survival and the production of pro-</w:t>
      </w:r>
      <w:proofErr w:type="spellStart"/>
      <w:r w:rsidRPr="0041117C">
        <w:t>angiogenic</w:t>
      </w:r>
      <w:proofErr w:type="spellEnd"/>
      <w:r w:rsidRPr="0041117C">
        <w:t xml:space="preserve"> factors.</w:t>
      </w:r>
    </w:p>
    <w:p w:rsidR="0005417B" w:rsidRDefault="0005417B" w:rsidP="00AB6948"/>
    <w:p w:rsidR="0005417B" w:rsidRDefault="0005417B" w:rsidP="00AB6948">
      <w:r w:rsidRPr="0041117C">
        <w:rPr>
          <w:i/>
          <w:iCs/>
        </w:rPr>
        <w:t>K-RAS</w:t>
      </w:r>
      <w:r w:rsidRPr="0041117C">
        <w:t xml:space="preserve"> is one of the most frequently activated </w:t>
      </w:r>
      <w:proofErr w:type="spellStart"/>
      <w:r w:rsidRPr="0041117C">
        <w:t>oncogenes</w:t>
      </w:r>
      <w:proofErr w:type="spellEnd"/>
      <w:r w:rsidRPr="0041117C">
        <w:t xml:space="preserve"> in human cancers. </w:t>
      </w:r>
      <w:proofErr w:type="gramStart"/>
      <w:r w:rsidRPr="0041117C">
        <w:t xml:space="preserve">Mutations of the </w:t>
      </w:r>
      <w:r w:rsidRPr="0041117C">
        <w:rPr>
          <w:i/>
          <w:iCs/>
        </w:rPr>
        <w:t>K-RAS</w:t>
      </w:r>
      <w:r w:rsidRPr="0041117C">
        <w:t xml:space="preserve"> gene at certain hot-spots (mainly </w:t>
      </w:r>
      <w:proofErr w:type="spellStart"/>
      <w:r w:rsidRPr="0041117C">
        <w:t>codons</w:t>
      </w:r>
      <w:proofErr w:type="spellEnd"/>
      <w:r w:rsidRPr="0041117C">
        <w:t xml:space="preserve"> 12 and 13) result in constitutive activation of the </w:t>
      </w:r>
      <w:r w:rsidRPr="00E268BF">
        <w:rPr>
          <w:i/>
        </w:rPr>
        <w:t>K-RAS</w:t>
      </w:r>
      <w:r w:rsidRPr="0041117C">
        <w:t xml:space="preserve"> protein independently of EGFR signalling.</w:t>
      </w:r>
      <w:proofErr w:type="gramEnd"/>
    </w:p>
    <w:p w:rsidR="0005417B" w:rsidRDefault="0005417B" w:rsidP="00AB6948"/>
    <w:p w:rsidR="0005417B" w:rsidRDefault="0005417B" w:rsidP="00AB6948">
      <w:proofErr w:type="spellStart"/>
      <w:r w:rsidRPr="0041117C">
        <w:rPr>
          <w:b/>
          <w:bCs/>
        </w:rPr>
        <w:t>Pharmacodynamics</w:t>
      </w:r>
      <w:proofErr w:type="spellEnd"/>
    </w:p>
    <w:p w:rsidR="0005417B" w:rsidRDefault="0005417B" w:rsidP="00AB6948"/>
    <w:p w:rsidR="0005417B" w:rsidRDefault="0005417B" w:rsidP="00AB6948">
      <w:r w:rsidRPr="0041117C">
        <w:t xml:space="preserve">In both </w:t>
      </w:r>
      <w:r w:rsidRPr="0041117C">
        <w:rPr>
          <w:i/>
        </w:rPr>
        <w:t>in vitro</w:t>
      </w:r>
      <w:r w:rsidRPr="0041117C">
        <w:t xml:space="preserve"> and </w:t>
      </w:r>
      <w:r w:rsidRPr="0041117C">
        <w:rPr>
          <w:i/>
        </w:rPr>
        <w:t xml:space="preserve">in vivo </w:t>
      </w:r>
      <w:r w:rsidRPr="0041117C">
        <w:t xml:space="preserve">assays, cetuximab inhibits the proliferation and induces apoptosis of human tumour cells that express EGFR, but it has no anti-tumour effects in human tumour </w:t>
      </w:r>
      <w:proofErr w:type="spellStart"/>
      <w:r w:rsidRPr="0041117C">
        <w:t>xenografts</w:t>
      </w:r>
      <w:proofErr w:type="spellEnd"/>
      <w:r w:rsidRPr="0041117C">
        <w:t xml:space="preserve"> that do not express EGFR. </w:t>
      </w:r>
      <w:r w:rsidRPr="0041117C">
        <w:rPr>
          <w:i/>
        </w:rPr>
        <w:t xml:space="preserve">In vitro </w:t>
      </w:r>
      <w:r w:rsidRPr="0041117C">
        <w:t xml:space="preserve">cetuximab inhibits the production of </w:t>
      </w:r>
      <w:proofErr w:type="spellStart"/>
      <w:r w:rsidRPr="0041117C">
        <w:t>angiogenic</w:t>
      </w:r>
      <w:proofErr w:type="spellEnd"/>
      <w:r w:rsidRPr="0041117C">
        <w:t xml:space="preserve"> factors by tumour cells and blocks endothelial cell migration. </w:t>
      </w:r>
      <w:r w:rsidRPr="0041117C">
        <w:rPr>
          <w:i/>
        </w:rPr>
        <w:t xml:space="preserve">In vivo </w:t>
      </w:r>
      <w:r w:rsidRPr="0041117C">
        <w:t xml:space="preserve">cetuximab inhibits expression of </w:t>
      </w:r>
      <w:proofErr w:type="spellStart"/>
      <w:r w:rsidRPr="0041117C">
        <w:t>angiogenic</w:t>
      </w:r>
      <w:proofErr w:type="spellEnd"/>
      <w:r w:rsidRPr="0041117C">
        <w:t xml:space="preserve"> factors by tumour cells and causes a reduction in tumour neo-vascularisation and metastasis.</w:t>
      </w:r>
    </w:p>
    <w:p w:rsidR="0005417B" w:rsidRDefault="0005417B" w:rsidP="00AB6948"/>
    <w:p w:rsidR="0005417B" w:rsidRDefault="0005417B" w:rsidP="00AB6948">
      <w:r w:rsidRPr="0041117C">
        <w:t xml:space="preserve">Cetuximab is a mediator of antibody-dependent cellular </w:t>
      </w:r>
      <w:proofErr w:type="spellStart"/>
      <w:r w:rsidRPr="0041117C">
        <w:t>cytotoxicity</w:t>
      </w:r>
      <w:proofErr w:type="spellEnd"/>
      <w:r w:rsidRPr="0041117C">
        <w:t xml:space="preserve"> </w:t>
      </w:r>
      <w:r w:rsidRPr="0041117C">
        <w:rPr>
          <w:i/>
        </w:rPr>
        <w:t>in vitro</w:t>
      </w:r>
      <w:r w:rsidRPr="0041117C">
        <w:rPr>
          <w:iCs/>
        </w:rPr>
        <w:t xml:space="preserve">, eliciting increased </w:t>
      </w:r>
      <w:proofErr w:type="spellStart"/>
      <w:r w:rsidRPr="0041117C">
        <w:rPr>
          <w:iCs/>
        </w:rPr>
        <w:t>cytotoxicity</w:t>
      </w:r>
      <w:proofErr w:type="spellEnd"/>
      <w:r w:rsidRPr="0041117C">
        <w:rPr>
          <w:iCs/>
        </w:rPr>
        <w:t xml:space="preserve"> of EGFR-expressing tumour cells in the presence of</w:t>
      </w:r>
      <w:r w:rsidRPr="0041117C">
        <w:rPr>
          <w:i/>
        </w:rPr>
        <w:t xml:space="preserve"> </w:t>
      </w:r>
      <w:r w:rsidRPr="0041117C">
        <w:rPr>
          <w:iCs/>
        </w:rPr>
        <w:t xml:space="preserve">immune </w:t>
      </w:r>
      <w:proofErr w:type="spellStart"/>
      <w:r w:rsidRPr="0041117C">
        <w:rPr>
          <w:iCs/>
        </w:rPr>
        <w:t>effector</w:t>
      </w:r>
      <w:proofErr w:type="spellEnd"/>
      <w:r w:rsidRPr="0041117C">
        <w:rPr>
          <w:iCs/>
        </w:rPr>
        <w:t xml:space="preserve"> cells.</w:t>
      </w:r>
      <w:r w:rsidRPr="0041117C">
        <w:t xml:space="preserve"> Therefore, in addition to its inhibitory function on receptor signalling, patients with EGFR-expressing tumours may also benefit from this immune stimulatory effect of cetuximab.</w:t>
      </w:r>
    </w:p>
    <w:p w:rsidR="0005417B" w:rsidRDefault="0005417B" w:rsidP="00AB6948"/>
    <w:p w:rsidR="0005417B" w:rsidRDefault="0005417B" w:rsidP="00AB6948">
      <w:pPr>
        <w:rPr>
          <w:b/>
          <w:bCs/>
        </w:rPr>
      </w:pPr>
      <w:r w:rsidRPr="0041117C">
        <w:rPr>
          <w:b/>
          <w:bCs/>
        </w:rPr>
        <w:t>Immunogenicity</w:t>
      </w:r>
    </w:p>
    <w:p w:rsidR="0005417B" w:rsidRDefault="0005417B" w:rsidP="00AB6948">
      <w:pPr>
        <w:rPr>
          <w:b/>
          <w:bCs/>
        </w:rPr>
      </w:pPr>
    </w:p>
    <w:p w:rsidR="0005417B" w:rsidRDefault="0005417B" w:rsidP="00AB6948">
      <w:r w:rsidRPr="0041117C">
        <w:t>The development of human anti-</w:t>
      </w:r>
      <w:proofErr w:type="spellStart"/>
      <w:r w:rsidRPr="0041117C">
        <w:t>chimaeric</w:t>
      </w:r>
      <w:proofErr w:type="spellEnd"/>
      <w:r w:rsidRPr="0041117C">
        <w:t xml:space="preserve"> antibodies (HACA) is a class-specific effect of monoclonal </w:t>
      </w:r>
      <w:proofErr w:type="spellStart"/>
      <w:r w:rsidRPr="0041117C">
        <w:t>chimaeric</w:t>
      </w:r>
      <w:proofErr w:type="spellEnd"/>
      <w:r w:rsidRPr="0041117C">
        <w:t xml:space="preserve"> antibodies. Measurable HACA titres developed in 3.4% of the </w:t>
      </w:r>
      <w:r w:rsidRPr="0041117C">
        <w:rPr>
          <w:snapToGrid w:val="0"/>
          <w:spacing w:val="-3"/>
          <w:lang w:eastAsia="de-DE"/>
        </w:rPr>
        <w:t>patients</w:t>
      </w:r>
      <w:r w:rsidRPr="0041117C">
        <w:t xml:space="preserve"> studied. No conclusive data on the neutralising effect of HACAs on cetuximab is available to date. The appearance of HACA did not correlate with the occurrence of hypersensitivity reactions or any other undesirable effects of cetuximab.</w:t>
      </w:r>
    </w:p>
    <w:p w:rsidR="0005417B" w:rsidRDefault="0005417B" w:rsidP="00AB6948"/>
    <w:p w:rsidR="0005417B" w:rsidRDefault="0005417B" w:rsidP="00AB6948">
      <w:pPr>
        <w:rPr>
          <w:b/>
          <w:bCs/>
        </w:rPr>
      </w:pPr>
      <w:r w:rsidRPr="0041117C">
        <w:rPr>
          <w:b/>
          <w:bCs/>
        </w:rPr>
        <w:t>Pharmacokinetics</w:t>
      </w:r>
    </w:p>
    <w:p w:rsidR="0005417B" w:rsidRDefault="0005417B" w:rsidP="00AB6948">
      <w:pPr>
        <w:rPr>
          <w:b/>
          <w:bCs/>
        </w:rPr>
      </w:pPr>
    </w:p>
    <w:p w:rsidR="0005417B" w:rsidRDefault="0005417B" w:rsidP="00AB6948">
      <w:pPr>
        <w:rPr>
          <w:b/>
          <w:bCs/>
        </w:rPr>
      </w:pPr>
      <w:r w:rsidRPr="0041117C">
        <w:t xml:space="preserve">Cetuximab pharmacokinetics </w:t>
      </w:r>
      <w:proofErr w:type="gramStart"/>
      <w:r w:rsidRPr="0041117C">
        <w:t>were</w:t>
      </w:r>
      <w:proofErr w:type="gramEnd"/>
      <w:r w:rsidRPr="0041117C">
        <w:t xml:space="preserve"> studied in clinical studies where cetuximab was administered as </w:t>
      </w:r>
      <w:proofErr w:type="spellStart"/>
      <w:r w:rsidRPr="0041117C">
        <w:t>monotherapy</w:t>
      </w:r>
      <w:proofErr w:type="spellEnd"/>
      <w:r w:rsidRPr="0041117C">
        <w:t xml:space="preserve"> or in combination with concomitant chemotherapy or radiotherapy. Intravenous infusions of cetuximab exhibited non-linear pharmacokinetics at weekly doses ranging from 5 to 500 mg/m</w:t>
      </w:r>
      <w:r w:rsidRPr="0041117C">
        <w:rPr>
          <w:vertAlign w:val="superscript"/>
        </w:rPr>
        <w:t xml:space="preserve">2 </w:t>
      </w:r>
      <w:r w:rsidRPr="0041117C">
        <w:t>body surface area. Cetuximab clearance decreased with increasing doses to 200 mg/m</w:t>
      </w:r>
      <w:r w:rsidRPr="0041117C">
        <w:rPr>
          <w:vertAlign w:val="superscript"/>
        </w:rPr>
        <w:t>2</w:t>
      </w:r>
      <w:r w:rsidRPr="0041117C">
        <w:t xml:space="preserve"> then appeared to plateau.</w:t>
      </w:r>
    </w:p>
    <w:p w:rsidR="0005417B" w:rsidRDefault="0005417B" w:rsidP="00AB6948">
      <w:pPr>
        <w:rPr>
          <w:b/>
          <w:bCs/>
        </w:rPr>
      </w:pPr>
    </w:p>
    <w:p w:rsidR="0005417B" w:rsidRDefault="0005417B" w:rsidP="00AB6948">
      <w:pPr>
        <w:rPr>
          <w:b/>
          <w:bCs/>
        </w:rPr>
      </w:pPr>
      <w:r w:rsidRPr="0041117C">
        <w:t>When cetuximab was administered at an initial dose of 400 mg/m</w:t>
      </w:r>
      <w:r w:rsidRPr="0041117C">
        <w:rPr>
          <w:vertAlign w:val="superscript"/>
        </w:rPr>
        <w:t>2</w:t>
      </w:r>
      <w:r w:rsidRPr="0041117C">
        <w:t xml:space="preserve"> body surface area, the mean volume of distribution was approximately equivalent to the vascular space (2.9 L/m</w:t>
      </w:r>
      <w:r w:rsidRPr="0041117C">
        <w:rPr>
          <w:vertAlign w:val="superscript"/>
        </w:rPr>
        <w:t>2</w:t>
      </w:r>
      <w:r w:rsidRPr="0041117C">
        <w:t xml:space="preserve"> with a range of 1.5 to 6.2 L/m</w:t>
      </w:r>
      <w:r w:rsidRPr="0041117C">
        <w:rPr>
          <w:vertAlign w:val="superscript"/>
        </w:rPr>
        <w:t>2</w:t>
      </w:r>
      <w:r w:rsidRPr="0041117C">
        <w:t xml:space="preserve">). The mean </w:t>
      </w:r>
      <w:proofErr w:type="spellStart"/>
      <w:r w:rsidRPr="0041117C">
        <w:t>C</w:t>
      </w:r>
      <w:r w:rsidRPr="0041117C">
        <w:rPr>
          <w:vertAlign w:val="subscript"/>
        </w:rPr>
        <w:t>max</w:t>
      </w:r>
      <w:proofErr w:type="spellEnd"/>
      <w:r w:rsidRPr="0041117C">
        <w:t xml:space="preserve"> (</w:t>
      </w:r>
      <w:r w:rsidRPr="0041117C">
        <w:sym w:font="Symbol" w:char="F0B1"/>
      </w:r>
      <w:r w:rsidRPr="0041117C">
        <w:t xml:space="preserve"> SD) was 185</w:t>
      </w:r>
      <w:r w:rsidRPr="0041117C">
        <w:sym w:font="Symbol" w:char="F0B1"/>
      </w:r>
      <w:r w:rsidRPr="0041117C">
        <w:t>55 microgram/</w:t>
      </w:r>
      <w:proofErr w:type="spellStart"/>
      <w:r w:rsidRPr="0041117C">
        <w:t>mL.</w:t>
      </w:r>
      <w:proofErr w:type="spellEnd"/>
      <w:r w:rsidRPr="0041117C">
        <w:t xml:space="preserve"> The mean clearance was 0.022 L/h per m</w:t>
      </w:r>
      <w:r w:rsidRPr="0041117C">
        <w:rPr>
          <w:vertAlign w:val="superscript"/>
        </w:rPr>
        <w:t>2</w:t>
      </w:r>
      <w:r w:rsidRPr="0041117C">
        <w:t xml:space="preserve"> body surface area. Cetuximab has a long elimination half-life with values ranging from 70 to 100 hours at the target dose.</w:t>
      </w:r>
    </w:p>
    <w:p w:rsidR="0005417B" w:rsidRDefault="0005417B" w:rsidP="00AB6948">
      <w:pPr>
        <w:rPr>
          <w:b/>
          <w:bCs/>
        </w:rPr>
      </w:pPr>
    </w:p>
    <w:p w:rsidR="0005417B" w:rsidRDefault="0005417B" w:rsidP="00AB6948">
      <w:r w:rsidRPr="0041117C">
        <w:lastRenderedPageBreak/>
        <w:t xml:space="preserve">Cetuximab serum concentrations reached stable levels after 3 weeks of </w:t>
      </w:r>
      <w:proofErr w:type="spellStart"/>
      <w:r w:rsidRPr="0041117C">
        <w:t>cetuximab</w:t>
      </w:r>
      <w:proofErr w:type="spellEnd"/>
      <w:r w:rsidRPr="0041117C">
        <w:t xml:space="preserve"> </w:t>
      </w:r>
      <w:proofErr w:type="spellStart"/>
      <w:r w:rsidRPr="0041117C">
        <w:t>monotherapy</w:t>
      </w:r>
      <w:proofErr w:type="spellEnd"/>
      <w:r w:rsidRPr="0041117C">
        <w:t>. Mean peak cetuximab concentrations were 155.8 microgram/mL in week 3 and 151.6 microgram/mL in week 8, whereas the corresponding mean trough concentrations were 41.3 and 55.4 microgram/mL, respectively. In a study of cetuximab administered in combination with irinotecan, the mean cetuximab trough levels were 50.0 microgram/mL in week 12 and 49.4 microgram/mL in week 36.</w:t>
      </w:r>
    </w:p>
    <w:p w:rsidR="0005417B" w:rsidRDefault="0005417B" w:rsidP="00AB6948">
      <w:pPr>
        <w:rPr>
          <w:b/>
          <w:bCs/>
        </w:rPr>
      </w:pPr>
    </w:p>
    <w:p w:rsidR="0005417B" w:rsidRDefault="0005417B" w:rsidP="00AB6948">
      <w:r w:rsidRPr="0041117C">
        <w:t>Several pathways have been described that may contribute to the metabolism of antibodies. All of these pathways involve the biodegradation of the antibody to smaller molecules</w:t>
      </w:r>
      <w:r w:rsidRPr="0041117C">
        <w:rPr>
          <w:i/>
          <w:iCs/>
        </w:rPr>
        <w:t>, i.e.,</w:t>
      </w:r>
      <w:r w:rsidRPr="0041117C">
        <w:t xml:space="preserve"> small peptides or amino acids.</w:t>
      </w:r>
    </w:p>
    <w:p w:rsidR="0005417B" w:rsidRDefault="0005417B" w:rsidP="00AB6948"/>
    <w:p w:rsidR="0005417B" w:rsidRDefault="0005417B" w:rsidP="00AB6948">
      <w:r w:rsidRPr="0041117C">
        <w:t xml:space="preserve">An integrated analysis across all clinical studies showed that the pharmacokinetic characteristics of cetuximab are not influenced by race, age, gender, renal or hepatic status. However, only patients with adequate renal and hepatic function have been investigated to date (serum </w:t>
      </w:r>
      <w:proofErr w:type="spellStart"/>
      <w:r w:rsidRPr="0041117C">
        <w:t>creatinine</w:t>
      </w:r>
      <w:proofErr w:type="spellEnd"/>
      <w:r w:rsidRPr="0041117C">
        <w:t xml:space="preserve"> </w:t>
      </w:r>
      <w:r w:rsidRPr="0041117C">
        <w:sym w:font="Symbol" w:char="F0A3"/>
      </w:r>
      <w:r w:rsidRPr="0041117C">
        <w:t xml:space="preserve"> 1.5 fold, </w:t>
      </w:r>
      <w:proofErr w:type="spellStart"/>
      <w:r w:rsidRPr="0041117C">
        <w:t>transaminases</w:t>
      </w:r>
      <w:proofErr w:type="spellEnd"/>
      <w:r w:rsidRPr="0041117C">
        <w:t xml:space="preserve"> </w:t>
      </w:r>
      <w:r w:rsidRPr="0041117C">
        <w:sym w:font="Symbol" w:char="F0A3"/>
      </w:r>
      <w:r w:rsidRPr="0041117C">
        <w:t xml:space="preserve"> 5 fold and </w:t>
      </w:r>
      <w:proofErr w:type="spellStart"/>
      <w:r w:rsidRPr="0041117C">
        <w:t>bilirubin</w:t>
      </w:r>
      <w:proofErr w:type="spellEnd"/>
      <w:r w:rsidRPr="0041117C">
        <w:t xml:space="preserve"> </w:t>
      </w:r>
      <w:r w:rsidRPr="0041117C">
        <w:sym w:font="Symbol" w:char="F0A3"/>
      </w:r>
      <w:r w:rsidRPr="0041117C">
        <w:t xml:space="preserve"> 1.5 fold the upper limit of normal).</w:t>
      </w:r>
    </w:p>
    <w:p w:rsidR="0005417B" w:rsidRDefault="0005417B" w:rsidP="00AB6948"/>
    <w:p w:rsidR="0005417B" w:rsidRDefault="0005417B" w:rsidP="00AB6948">
      <w:r w:rsidRPr="00CF2DF6">
        <w:rPr>
          <w:bCs/>
          <w:szCs w:val="24"/>
          <w:u w:val="single"/>
        </w:rPr>
        <w:t xml:space="preserve">Paediatric </w:t>
      </w:r>
      <w:r>
        <w:rPr>
          <w:bCs/>
          <w:szCs w:val="24"/>
          <w:u w:val="single"/>
        </w:rPr>
        <w:t>Population*</w:t>
      </w:r>
    </w:p>
    <w:p w:rsidR="0005417B" w:rsidRDefault="0005417B" w:rsidP="00AB6948"/>
    <w:p w:rsidR="0005417B" w:rsidRDefault="0005417B" w:rsidP="00AB6948">
      <w:pPr>
        <w:rPr>
          <w:szCs w:val="24"/>
          <w:lang w:eastAsia="sv-SE"/>
        </w:rPr>
      </w:pPr>
      <w:r w:rsidRPr="00CF2DF6">
        <w:rPr>
          <w:szCs w:val="24"/>
          <w:lang w:eastAsia="sv-SE"/>
        </w:rPr>
        <w:t>In a phase</w:t>
      </w:r>
      <w:r>
        <w:rPr>
          <w:szCs w:val="24"/>
          <w:lang w:eastAsia="sv-SE"/>
        </w:rPr>
        <w:t xml:space="preserve"> </w:t>
      </w:r>
      <w:r w:rsidRPr="00CF2DF6">
        <w:rPr>
          <w:szCs w:val="24"/>
          <w:lang w:eastAsia="sv-SE"/>
        </w:rPr>
        <w:t>I study in paediatric patients (1-18 years) with refractory solid tumours, cetuximab was administered in combination with irinotecan. The pharmacokinetic results were comparable to those in adults</w:t>
      </w:r>
      <w:r>
        <w:rPr>
          <w:szCs w:val="24"/>
          <w:lang w:eastAsia="sv-SE"/>
        </w:rPr>
        <w:t>.</w:t>
      </w:r>
    </w:p>
    <w:p w:rsidR="0005417B" w:rsidRDefault="0005417B" w:rsidP="00AB6948">
      <w:pPr>
        <w:rPr>
          <w:szCs w:val="24"/>
          <w:lang w:eastAsia="sv-SE"/>
        </w:rPr>
      </w:pPr>
    </w:p>
    <w:p w:rsidR="0005417B" w:rsidRDefault="006F7F0C" w:rsidP="00AB6948">
      <w:pPr>
        <w:rPr>
          <w:szCs w:val="24"/>
          <w:lang w:eastAsia="sv-SE"/>
        </w:rPr>
      </w:pPr>
      <w:r w:rsidRPr="0041117C">
        <w:rPr>
          <w:b/>
          <w:bCs/>
          <w:sz w:val="28"/>
        </w:rPr>
        <w:t>CLINICAL TRIALS</w:t>
      </w:r>
    </w:p>
    <w:p w:rsidR="0005417B" w:rsidRDefault="0005417B" w:rsidP="00AB6948">
      <w:pPr>
        <w:rPr>
          <w:szCs w:val="24"/>
          <w:lang w:eastAsia="sv-SE"/>
        </w:rPr>
      </w:pPr>
    </w:p>
    <w:p w:rsidR="0005417B" w:rsidRDefault="006F7F0C" w:rsidP="00AB6948">
      <w:pPr>
        <w:rPr>
          <w:b/>
          <w:color w:val="000000"/>
        </w:rPr>
      </w:pPr>
      <w:r w:rsidRPr="00E268BF">
        <w:rPr>
          <w:b/>
          <w:color w:val="000000"/>
        </w:rPr>
        <w:t>Colorectal Cancer</w:t>
      </w:r>
    </w:p>
    <w:p w:rsidR="006F7F0C" w:rsidRDefault="006F7F0C" w:rsidP="00AB6948">
      <w:pPr>
        <w:rPr>
          <w:b/>
          <w:color w:val="000000"/>
        </w:rPr>
      </w:pPr>
    </w:p>
    <w:p w:rsidR="006F7F0C" w:rsidRDefault="006F7F0C" w:rsidP="00AB6948">
      <w:pPr>
        <w:rPr>
          <w:b/>
          <w:color w:val="000000"/>
        </w:rPr>
      </w:pPr>
      <w:r w:rsidRPr="0041117C">
        <w:rPr>
          <w:color w:val="000000"/>
        </w:rPr>
        <w:t xml:space="preserve">A diagnostic assay (EGFR </w:t>
      </w:r>
      <w:proofErr w:type="spellStart"/>
      <w:r w:rsidRPr="0041117C">
        <w:rPr>
          <w:color w:val="000000"/>
        </w:rPr>
        <w:t>pharmDx</w:t>
      </w:r>
      <w:r w:rsidRPr="0041117C">
        <w:rPr>
          <w:color w:val="000000"/>
          <w:vertAlign w:val="superscript"/>
        </w:rPr>
        <w:t>TM</w:t>
      </w:r>
      <w:proofErr w:type="spellEnd"/>
      <w:r w:rsidRPr="0041117C">
        <w:rPr>
          <w:color w:val="000000"/>
        </w:rPr>
        <w:t xml:space="preserve">) was used for </w:t>
      </w:r>
      <w:proofErr w:type="spellStart"/>
      <w:r w:rsidRPr="0041117C">
        <w:rPr>
          <w:color w:val="000000"/>
        </w:rPr>
        <w:t>immunohistochemical</w:t>
      </w:r>
      <w:proofErr w:type="spellEnd"/>
      <w:r w:rsidRPr="0041117C">
        <w:rPr>
          <w:color w:val="000000"/>
        </w:rPr>
        <w:t xml:space="preserve"> detection of EGFR expression in tumour material. Approximately 75% of the patients with metastatic colorectal cancer screened for clinical studies had an EGFR-expressing tumour and were therefore considered eligible for cetuximab treatment.</w:t>
      </w:r>
    </w:p>
    <w:p w:rsidR="006F7F0C" w:rsidRDefault="006F7F0C" w:rsidP="00AB6948">
      <w:pPr>
        <w:rPr>
          <w:b/>
          <w:color w:val="000000"/>
        </w:rPr>
      </w:pPr>
    </w:p>
    <w:p w:rsidR="006F7F0C" w:rsidRDefault="006F7F0C" w:rsidP="00AB6948">
      <w:pPr>
        <w:rPr>
          <w:b/>
          <w:color w:val="000000"/>
        </w:rPr>
      </w:pPr>
      <w:r w:rsidRPr="0041117C">
        <w:rPr>
          <w:bCs/>
        </w:rPr>
        <w:t xml:space="preserve">In metastatic colorectal cancer, </w:t>
      </w:r>
      <w:r w:rsidRPr="0041117C">
        <w:t xml:space="preserve">the incidence of </w:t>
      </w:r>
      <w:r w:rsidRPr="0041117C">
        <w:rPr>
          <w:i/>
          <w:iCs/>
        </w:rPr>
        <w:t>K-RAS</w:t>
      </w:r>
      <w:r w:rsidRPr="0041117C">
        <w:t xml:space="preserve"> mutations is in the range of 30 - 50%. </w:t>
      </w:r>
      <w:r>
        <w:t>Study d</w:t>
      </w:r>
      <w:r w:rsidRPr="0041117C">
        <w:t xml:space="preserve">ata demonstrate that patients with </w:t>
      </w:r>
      <w:r w:rsidRPr="0041117C">
        <w:rPr>
          <w:i/>
          <w:iCs/>
        </w:rPr>
        <w:t>K-RAS</w:t>
      </w:r>
      <w:r w:rsidRPr="0041117C">
        <w:t xml:space="preserve"> wild-type metastatic colorectal cancer have a significantly higher chance of benefiting from treatment with cetuximab or a combination of cetuximab and chemotherapy.</w:t>
      </w:r>
    </w:p>
    <w:p w:rsidR="006F7F0C" w:rsidRDefault="006F7F0C" w:rsidP="00AB6948">
      <w:pPr>
        <w:rPr>
          <w:b/>
          <w:color w:val="000000"/>
        </w:rPr>
      </w:pPr>
    </w:p>
    <w:p w:rsidR="006F7F0C" w:rsidRDefault="006F7F0C" w:rsidP="00AB6948">
      <w:pPr>
        <w:rPr>
          <w:b/>
          <w:color w:val="000000"/>
        </w:rPr>
      </w:pPr>
      <w:r w:rsidRPr="0041117C">
        <w:t>Cetuximab as a single agent or in combination with chemotherapy was investigated in 5 randomised controlled clinical studies and several supportive studies. The 5 randomised studies investigated a total of 3734 patients with metastatic colorectal cancer, in whom EGFR expression was detectable and who had an ECOG performance status of ≤ 2. The majority of patients included had an ECOG performance status of ≤ 1. In all studies, cetuximab was administered as described in DOSAGE AND ADMINISTRATION.</w:t>
      </w:r>
    </w:p>
    <w:p w:rsidR="006F7F0C" w:rsidRDefault="006F7F0C" w:rsidP="00AB6948">
      <w:pPr>
        <w:rPr>
          <w:b/>
          <w:color w:val="000000"/>
        </w:rPr>
      </w:pPr>
    </w:p>
    <w:p w:rsidR="006F7F0C" w:rsidRDefault="006F7F0C" w:rsidP="00AB6948">
      <w:pPr>
        <w:rPr>
          <w:b/>
          <w:color w:val="000000"/>
        </w:rPr>
      </w:pPr>
      <w:r w:rsidRPr="0041117C">
        <w:t xml:space="preserve">The </w:t>
      </w:r>
      <w:r w:rsidRPr="0041117C">
        <w:rPr>
          <w:i/>
          <w:iCs/>
        </w:rPr>
        <w:t>K-RAS</w:t>
      </w:r>
      <w:r w:rsidRPr="0041117C">
        <w:t xml:space="preserve"> status was recognised as a predictive factor for treatment with cetuximab in 4 of the randomised controlled studies. </w:t>
      </w:r>
      <w:r w:rsidRPr="0041117C">
        <w:rPr>
          <w:i/>
          <w:iCs/>
        </w:rPr>
        <w:t>K-RAS</w:t>
      </w:r>
      <w:r w:rsidRPr="0041117C">
        <w:t xml:space="preserve"> mutational status was available for 2072 patients. Only in study EMR 62 202-007 was an analysis not possible.</w:t>
      </w:r>
    </w:p>
    <w:p w:rsidR="006F7F0C" w:rsidRDefault="006F7F0C" w:rsidP="00AB6948">
      <w:pPr>
        <w:rPr>
          <w:b/>
          <w:color w:val="000000"/>
        </w:rPr>
      </w:pPr>
    </w:p>
    <w:p w:rsidR="006F7F0C" w:rsidRDefault="006F7F0C" w:rsidP="00AB6948">
      <w:pPr>
        <w:rPr>
          <w:i/>
          <w:u w:val="single"/>
        </w:rPr>
      </w:pPr>
      <w:r w:rsidRPr="00E268BF">
        <w:rPr>
          <w:i/>
          <w:u w:val="single"/>
        </w:rPr>
        <w:lastRenderedPageBreak/>
        <w:t>Cetuximab in combination with chemotherapy</w:t>
      </w:r>
    </w:p>
    <w:p w:rsidR="006F7F0C" w:rsidRDefault="006F7F0C" w:rsidP="00AB6948">
      <w:pPr>
        <w:rPr>
          <w:b/>
          <w:color w:val="000000"/>
        </w:rPr>
      </w:pPr>
    </w:p>
    <w:p w:rsidR="006F7F0C" w:rsidRPr="006F7F0C" w:rsidRDefault="006F7F0C" w:rsidP="006F7F0C">
      <w:pPr>
        <w:pStyle w:val="ListParagraph"/>
        <w:numPr>
          <w:ilvl w:val="0"/>
          <w:numId w:val="22"/>
        </w:numPr>
        <w:ind w:left="426" w:hanging="426"/>
        <w:rPr>
          <w:b/>
          <w:color w:val="000000"/>
        </w:rPr>
      </w:pPr>
      <w:r w:rsidRPr="0041117C">
        <w:t xml:space="preserve">EMR 62 202-013 (CRYSTAL): This randomised, open-label, Phase III study in patients with metastatic colorectal cancer who had not received prior treatment for metastatic disease compared the combination of </w:t>
      </w:r>
      <w:proofErr w:type="spellStart"/>
      <w:r w:rsidRPr="0041117C">
        <w:t>cetuximab</w:t>
      </w:r>
      <w:proofErr w:type="spellEnd"/>
      <w:r w:rsidRPr="0041117C">
        <w:t xml:space="preserve"> and </w:t>
      </w:r>
      <w:proofErr w:type="spellStart"/>
      <w:r w:rsidRPr="0041117C">
        <w:t>irinotecan</w:t>
      </w:r>
      <w:proofErr w:type="spellEnd"/>
      <w:r w:rsidRPr="0041117C">
        <w:t xml:space="preserve"> plus </w:t>
      </w:r>
      <w:proofErr w:type="spellStart"/>
      <w:r w:rsidRPr="0041117C">
        <w:t>infusional</w:t>
      </w:r>
      <w:proofErr w:type="spellEnd"/>
      <w:r w:rsidRPr="0041117C">
        <w:t xml:space="preserve"> fluorouracil/</w:t>
      </w:r>
      <w:proofErr w:type="spellStart"/>
      <w:r w:rsidRPr="0041117C">
        <w:t>folinic</w:t>
      </w:r>
      <w:proofErr w:type="spellEnd"/>
      <w:r w:rsidRPr="0041117C">
        <w:t xml:space="preserve"> acid (5-FU/FA) (599 patients) to the same chemotherapy alone (599 patients). The chemotherapy regimen was the FOLFIRI regimen.  The median age of subjects was 61 years (range 19-84), with most being male (61%).</w:t>
      </w:r>
    </w:p>
    <w:p w:rsidR="006F7F0C" w:rsidRDefault="006F7F0C" w:rsidP="006F7F0C">
      <w:pPr>
        <w:rPr>
          <w:b/>
          <w:color w:val="000000"/>
        </w:rPr>
      </w:pPr>
    </w:p>
    <w:p w:rsidR="006F7F0C" w:rsidRDefault="006F7F0C" w:rsidP="006F7F0C">
      <w:pPr>
        <w:ind w:left="360"/>
        <w:rPr>
          <w:b/>
          <w:color w:val="000000"/>
        </w:rPr>
      </w:pPr>
      <w:r w:rsidRPr="0041117C">
        <w:t xml:space="preserve">Addition of cetuximab to FOLFIRI increased median progression-free survival by 0.9 months - hazard ratio 0.85, p=0.05 - in the overall population. The impact of </w:t>
      </w:r>
      <w:r w:rsidRPr="0041117C">
        <w:rPr>
          <w:i/>
        </w:rPr>
        <w:t>K-RAS</w:t>
      </w:r>
      <w:r w:rsidRPr="0041117C">
        <w:t xml:space="preserve"> status was evaluated subsequently in 89% of patients. The significant effect in terms of progression-free survival was more pronounced in patients with </w:t>
      </w:r>
      <w:r w:rsidRPr="0041117C">
        <w:rPr>
          <w:i/>
        </w:rPr>
        <w:t>K-RAS</w:t>
      </w:r>
      <w:r w:rsidRPr="0041117C">
        <w:t xml:space="preserve"> wild type tumours (increase by 1.5 months, hazard ratio 0.70; p = 0.001). This effect translated into an increase of median overall survival in the </w:t>
      </w:r>
      <w:r w:rsidRPr="0041117C">
        <w:rPr>
          <w:i/>
        </w:rPr>
        <w:t xml:space="preserve">K-RAS </w:t>
      </w:r>
      <w:r w:rsidRPr="0041117C">
        <w:t xml:space="preserve">wild type population of 3.5 months.  Cetuximab significantly increased objective response rate (see Table 1).  </w:t>
      </w:r>
    </w:p>
    <w:p w:rsidR="006F7F0C" w:rsidRDefault="006F7F0C" w:rsidP="006F7F0C">
      <w:pPr>
        <w:rPr>
          <w:b/>
          <w:color w:val="000000"/>
        </w:rPr>
      </w:pPr>
    </w:p>
    <w:p w:rsidR="006F7F0C" w:rsidRDefault="006F7F0C" w:rsidP="006F7F0C">
      <w:pPr>
        <w:ind w:left="360"/>
        <w:rPr>
          <w:b/>
          <w:bCs/>
        </w:rPr>
      </w:pPr>
      <w:r w:rsidRPr="0041117C">
        <w:rPr>
          <w:b/>
          <w:bCs/>
        </w:rPr>
        <w:t>Table 1:  Study EMR 62 202-013:  Efficacy Results</w:t>
      </w:r>
    </w:p>
    <w:p w:rsidR="006F7F0C" w:rsidRDefault="006F7F0C" w:rsidP="006F7F0C">
      <w:pPr>
        <w:rPr>
          <w:b/>
          <w:bCs/>
        </w:rPr>
      </w:pPr>
    </w:p>
    <w:tbl>
      <w:tblPr>
        <w:tblW w:w="847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126"/>
        <w:gridCol w:w="1560"/>
        <w:gridCol w:w="1559"/>
        <w:gridCol w:w="1701"/>
        <w:gridCol w:w="1525"/>
      </w:tblGrid>
      <w:tr w:rsidR="006F7F0C" w:rsidRPr="0041117C" w:rsidTr="002E3F4C">
        <w:tc>
          <w:tcPr>
            <w:tcW w:w="2126" w:type="dxa"/>
            <w:tcBorders>
              <w:bottom w:val="nil"/>
              <w:right w:val="nil"/>
            </w:tcBorders>
          </w:tcPr>
          <w:p w:rsidR="006F7F0C" w:rsidRPr="0041117C" w:rsidRDefault="006F7F0C" w:rsidP="000F1D54">
            <w:pPr>
              <w:pStyle w:val="SPCTabletitlecenter"/>
              <w:keepLines/>
              <w:rPr>
                <w:lang w:val="en-AU"/>
              </w:rPr>
            </w:pPr>
          </w:p>
        </w:tc>
        <w:tc>
          <w:tcPr>
            <w:tcW w:w="3119" w:type="dxa"/>
            <w:gridSpan w:val="2"/>
            <w:tcBorders>
              <w:left w:val="nil"/>
              <w:bottom w:val="nil"/>
              <w:right w:val="nil"/>
            </w:tcBorders>
          </w:tcPr>
          <w:p w:rsidR="006F7F0C" w:rsidRPr="0041117C" w:rsidRDefault="006F7F0C" w:rsidP="000F1D54">
            <w:pPr>
              <w:pStyle w:val="SPCTabletitlecenter"/>
              <w:keepLines/>
              <w:rPr>
                <w:lang w:val="en-AU"/>
              </w:rPr>
            </w:pPr>
            <w:r w:rsidRPr="0041117C">
              <w:rPr>
                <w:lang w:val="en-AU"/>
              </w:rPr>
              <w:t>Overall population</w:t>
            </w:r>
          </w:p>
        </w:tc>
        <w:tc>
          <w:tcPr>
            <w:tcW w:w="3226" w:type="dxa"/>
            <w:gridSpan w:val="2"/>
            <w:tcBorders>
              <w:left w:val="nil"/>
              <w:bottom w:val="nil"/>
            </w:tcBorders>
          </w:tcPr>
          <w:p w:rsidR="006F7F0C" w:rsidRPr="0041117C" w:rsidRDefault="006F7F0C" w:rsidP="000F1D54">
            <w:pPr>
              <w:pStyle w:val="SPCTabletitlecenter"/>
              <w:keepLines/>
              <w:rPr>
                <w:lang w:val="en-AU"/>
              </w:rPr>
            </w:pPr>
            <w:r w:rsidRPr="0041117C">
              <w:rPr>
                <w:i/>
                <w:iCs/>
                <w:lang w:val="en-AU"/>
              </w:rPr>
              <w:t>K-RAS</w:t>
            </w:r>
            <w:r w:rsidRPr="0041117C">
              <w:rPr>
                <w:lang w:val="en-AU"/>
              </w:rPr>
              <w:t xml:space="preserve"> wild-type population</w:t>
            </w:r>
          </w:p>
        </w:tc>
      </w:tr>
      <w:tr w:rsidR="006F7F0C" w:rsidRPr="0041117C" w:rsidTr="002E3F4C">
        <w:tc>
          <w:tcPr>
            <w:tcW w:w="2126" w:type="dxa"/>
            <w:tcBorders>
              <w:top w:val="nil"/>
              <w:bottom w:val="nil"/>
              <w:right w:val="nil"/>
            </w:tcBorders>
          </w:tcPr>
          <w:p w:rsidR="006F7F0C" w:rsidRPr="0041117C" w:rsidRDefault="006F7F0C" w:rsidP="000F1D54">
            <w:pPr>
              <w:pStyle w:val="SPCTabletitlecenter"/>
              <w:keepLines/>
              <w:rPr>
                <w:lang w:val="en-AU"/>
              </w:rPr>
            </w:pPr>
            <w:r w:rsidRPr="0041117C">
              <w:rPr>
                <w:lang w:val="en-AU"/>
              </w:rPr>
              <w:t>Variable/ statistic</w:t>
            </w:r>
          </w:p>
        </w:tc>
        <w:tc>
          <w:tcPr>
            <w:tcW w:w="1560" w:type="dxa"/>
            <w:tcBorders>
              <w:top w:val="nil"/>
              <w:left w:val="nil"/>
              <w:bottom w:val="nil"/>
              <w:right w:val="nil"/>
            </w:tcBorders>
          </w:tcPr>
          <w:p w:rsidR="006F7F0C" w:rsidRPr="0041117C" w:rsidRDefault="006F7F0C" w:rsidP="000F1D54">
            <w:pPr>
              <w:pStyle w:val="SPCTabletitlecenter"/>
              <w:keepLines/>
              <w:rPr>
                <w:lang w:val="en-AU"/>
              </w:rPr>
            </w:pPr>
            <w:r w:rsidRPr="0041117C">
              <w:rPr>
                <w:lang w:val="en-AU"/>
              </w:rPr>
              <w:t xml:space="preserve">Cetuximab </w:t>
            </w:r>
            <w:r w:rsidRPr="0041117C">
              <w:rPr>
                <w:lang w:val="en-AU"/>
              </w:rPr>
              <w:br/>
              <w:t>plus FOLFIRI</w:t>
            </w:r>
          </w:p>
        </w:tc>
        <w:tc>
          <w:tcPr>
            <w:tcW w:w="1559" w:type="dxa"/>
            <w:tcBorders>
              <w:top w:val="nil"/>
              <w:left w:val="nil"/>
              <w:bottom w:val="nil"/>
              <w:right w:val="nil"/>
            </w:tcBorders>
          </w:tcPr>
          <w:p w:rsidR="006F7F0C" w:rsidRPr="0041117C" w:rsidRDefault="006F7F0C" w:rsidP="000F1D54">
            <w:pPr>
              <w:pStyle w:val="SPCTabletitlecenter"/>
              <w:keepLines/>
              <w:rPr>
                <w:lang w:val="en-AU"/>
              </w:rPr>
            </w:pPr>
            <w:r w:rsidRPr="0041117C">
              <w:rPr>
                <w:lang w:val="en-AU"/>
              </w:rPr>
              <w:t>FOLFIRI</w:t>
            </w:r>
          </w:p>
        </w:tc>
        <w:tc>
          <w:tcPr>
            <w:tcW w:w="1701" w:type="dxa"/>
            <w:tcBorders>
              <w:top w:val="nil"/>
              <w:left w:val="nil"/>
              <w:bottom w:val="nil"/>
              <w:right w:val="nil"/>
            </w:tcBorders>
          </w:tcPr>
          <w:p w:rsidR="006F7F0C" w:rsidRPr="0041117C" w:rsidRDefault="006F7F0C" w:rsidP="000F1D54">
            <w:pPr>
              <w:pStyle w:val="SPCTabletitlecenter"/>
              <w:keepLines/>
              <w:rPr>
                <w:lang w:val="en-AU"/>
              </w:rPr>
            </w:pPr>
            <w:r w:rsidRPr="0041117C">
              <w:rPr>
                <w:lang w:val="en-AU"/>
              </w:rPr>
              <w:t xml:space="preserve">Cetuximab </w:t>
            </w:r>
            <w:r w:rsidRPr="0041117C">
              <w:rPr>
                <w:lang w:val="en-AU"/>
              </w:rPr>
              <w:br/>
              <w:t>plus FOLFIRI</w:t>
            </w:r>
          </w:p>
        </w:tc>
        <w:tc>
          <w:tcPr>
            <w:tcW w:w="1525" w:type="dxa"/>
            <w:tcBorders>
              <w:top w:val="nil"/>
              <w:left w:val="nil"/>
              <w:bottom w:val="nil"/>
            </w:tcBorders>
          </w:tcPr>
          <w:p w:rsidR="006F7F0C" w:rsidRPr="0041117C" w:rsidRDefault="006F7F0C" w:rsidP="000F1D54">
            <w:pPr>
              <w:pStyle w:val="SPCTabletitlecenter"/>
              <w:keepLines/>
              <w:rPr>
                <w:lang w:val="en-AU"/>
              </w:rPr>
            </w:pPr>
            <w:r w:rsidRPr="0041117C">
              <w:rPr>
                <w:lang w:val="en-AU"/>
              </w:rPr>
              <w:t>FOLFIRI</w:t>
            </w: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jc w:val="center"/>
              <w:rPr>
                <w:b w:val="0"/>
                <w:lang w:val="en-AU"/>
              </w:rPr>
            </w:pPr>
          </w:p>
        </w:tc>
        <w:tc>
          <w:tcPr>
            <w:tcW w:w="1560" w:type="dxa"/>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(N=599)</w:t>
            </w:r>
          </w:p>
        </w:tc>
        <w:tc>
          <w:tcPr>
            <w:tcW w:w="1559" w:type="dxa"/>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(N=599)</w:t>
            </w:r>
          </w:p>
        </w:tc>
        <w:tc>
          <w:tcPr>
            <w:tcW w:w="1701" w:type="dxa"/>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(N=316)</w:t>
            </w:r>
          </w:p>
        </w:tc>
        <w:tc>
          <w:tcPr>
            <w:tcW w:w="1525" w:type="dxa"/>
            <w:tcBorders>
              <w:top w:val="nil"/>
              <w:left w:val="nil"/>
              <w:bottom w:val="nil"/>
            </w:tcBorders>
          </w:tcPr>
          <w:p w:rsidR="006F7F0C" w:rsidRPr="0041117C" w:rsidRDefault="006F7F0C" w:rsidP="000F1D54">
            <w:pPr>
              <w:pStyle w:val="SPCTabletitlecenter"/>
              <w:keepLines/>
              <w:rPr>
                <w:b w:val="0"/>
                <w:lang w:val="en-AU"/>
              </w:rPr>
            </w:pPr>
            <w:r w:rsidRPr="0041117C">
              <w:rPr>
                <w:b w:val="0"/>
                <w:lang w:val="en-AU"/>
              </w:rPr>
              <w:t>(N=350)</w:t>
            </w:r>
          </w:p>
        </w:tc>
      </w:tr>
      <w:tr w:rsidR="006F7F0C" w:rsidRPr="0041117C" w:rsidTr="006F7F0C">
        <w:tc>
          <w:tcPr>
            <w:tcW w:w="8471" w:type="dxa"/>
            <w:gridSpan w:val="5"/>
            <w:tcBorders>
              <w:top w:val="nil"/>
              <w:bottom w:val="nil"/>
            </w:tcBorders>
          </w:tcPr>
          <w:p w:rsidR="006F7F0C" w:rsidRPr="0041117C" w:rsidRDefault="006F7F0C" w:rsidP="000F1D54">
            <w:pPr>
              <w:pStyle w:val="SPCTabletitlecenter"/>
              <w:keepLines/>
              <w:jc w:val="left"/>
              <w:rPr>
                <w:lang w:val="en-AU"/>
              </w:rPr>
            </w:pPr>
            <w:r w:rsidRPr="0041117C">
              <w:rPr>
                <w:lang w:val="en-AU"/>
              </w:rPr>
              <w:t>OS</w:t>
            </w: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ind w:left="82"/>
              <w:rPr>
                <w:b w:val="0"/>
                <w:lang w:val="en-AU"/>
              </w:rPr>
            </w:pPr>
            <w:r w:rsidRPr="0041117C">
              <w:rPr>
                <w:b w:val="0"/>
                <w:bCs/>
                <w:lang w:val="en-AU"/>
              </w:rPr>
              <w:t>Hazard Ratio (95% CI)</w:t>
            </w:r>
          </w:p>
        </w:tc>
        <w:tc>
          <w:tcPr>
            <w:tcW w:w="3119" w:type="dxa"/>
            <w:gridSpan w:val="2"/>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0.88 (0.77, 0.10)</w:t>
            </w:r>
          </w:p>
        </w:tc>
        <w:tc>
          <w:tcPr>
            <w:tcW w:w="3226" w:type="dxa"/>
            <w:gridSpan w:val="2"/>
            <w:tcBorders>
              <w:top w:val="nil"/>
              <w:left w:val="nil"/>
              <w:bottom w:val="nil"/>
            </w:tcBorders>
          </w:tcPr>
          <w:p w:rsidR="006F7F0C" w:rsidRPr="0041117C" w:rsidRDefault="006F7F0C" w:rsidP="000F1D54">
            <w:pPr>
              <w:pStyle w:val="SPCTabletitlecenter"/>
              <w:keepLines/>
              <w:rPr>
                <w:b w:val="0"/>
                <w:lang w:val="en-AU"/>
              </w:rPr>
            </w:pPr>
            <w:r w:rsidRPr="0041117C">
              <w:rPr>
                <w:b w:val="0"/>
                <w:lang w:val="en-AU"/>
              </w:rPr>
              <w:t>0.80 (0.67, 0.95)</w:t>
            </w: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ind w:left="82"/>
              <w:rPr>
                <w:b w:val="0"/>
                <w:lang w:val="en-AU"/>
              </w:rPr>
            </w:pPr>
            <w:r w:rsidRPr="0041117C">
              <w:rPr>
                <w:b w:val="0"/>
                <w:bCs/>
                <w:lang w:val="en-AU"/>
              </w:rPr>
              <w:t>p-value</w:t>
            </w:r>
          </w:p>
        </w:tc>
        <w:tc>
          <w:tcPr>
            <w:tcW w:w="3119" w:type="dxa"/>
            <w:gridSpan w:val="2"/>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0.04</w:t>
            </w:r>
          </w:p>
        </w:tc>
        <w:tc>
          <w:tcPr>
            <w:tcW w:w="3226" w:type="dxa"/>
            <w:gridSpan w:val="2"/>
            <w:tcBorders>
              <w:top w:val="nil"/>
              <w:left w:val="nil"/>
              <w:bottom w:val="nil"/>
            </w:tcBorders>
          </w:tcPr>
          <w:p w:rsidR="006F7F0C" w:rsidRPr="0041117C" w:rsidRDefault="006F7F0C" w:rsidP="000F1D54">
            <w:pPr>
              <w:pStyle w:val="SPCTabletitlecenter"/>
              <w:keepLines/>
              <w:rPr>
                <w:b w:val="0"/>
                <w:lang w:val="en-AU"/>
              </w:rPr>
            </w:pPr>
            <w:r w:rsidRPr="0041117C">
              <w:rPr>
                <w:b w:val="0"/>
                <w:lang w:val="en-AU"/>
              </w:rPr>
              <w:t>0.01</w:t>
            </w: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ind w:left="82"/>
              <w:rPr>
                <w:b w:val="0"/>
                <w:lang w:val="en-AU"/>
              </w:rPr>
            </w:pPr>
            <w:r w:rsidRPr="0041117C">
              <w:rPr>
                <w:b w:val="0"/>
                <w:lang w:val="en-AU"/>
              </w:rPr>
              <w:t>Median (months),</w:t>
            </w:r>
            <w:r w:rsidR="002E3F4C">
              <w:rPr>
                <w:b w:val="0"/>
                <w:lang w:val="en-AU"/>
              </w:rPr>
              <w:t xml:space="preserve"> </w:t>
            </w:r>
          </w:p>
          <w:p w:rsidR="006F7F0C" w:rsidRPr="0041117C" w:rsidRDefault="006F7F0C" w:rsidP="000F1D54">
            <w:pPr>
              <w:pStyle w:val="SPCTabletitleleft"/>
              <w:keepNext/>
              <w:keepLines/>
              <w:ind w:left="82"/>
              <w:rPr>
                <w:b w:val="0"/>
                <w:lang w:val="en-AU"/>
              </w:rPr>
            </w:pPr>
            <w:r w:rsidRPr="0041117C">
              <w:rPr>
                <w:b w:val="0"/>
                <w:lang w:val="en-AU"/>
              </w:rPr>
              <w:t xml:space="preserve"> (95% CI)</w:t>
            </w:r>
          </w:p>
        </w:tc>
        <w:tc>
          <w:tcPr>
            <w:tcW w:w="1560" w:type="dxa"/>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19.9 (16.7, 19.8)</w:t>
            </w:r>
          </w:p>
        </w:tc>
        <w:tc>
          <w:tcPr>
            <w:tcW w:w="1559" w:type="dxa"/>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18.6 (18.5, 21.3)</w:t>
            </w:r>
          </w:p>
        </w:tc>
        <w:tc>
          <w:tcPr>
            <w:tcW w:w="1701" w:type="dxa"/>
            <w:tcBorders>
              <w:top w:val="nil"/>
              <w:left w:val="nil"/>
              <w:bottom w:val="nil"/>
              <w:right w:val="nil"/>
            </w:tcBorders>
          </w:tcPr>
          <w:p w:rsidR="006F7F0C" w:rsidRPr="0041117C" w:rsidRDefault="006F7F0C" w:rsidP="000F1D54">
            <w:pPr>
              <w:pStyle w:val="SPCTabletitlecenter"/>
              <w:keepLines/>
              <w:rPr>
                <w:b w:val="0"/>
                <w:lang w:val="en-AU"/>
              </w:rPr>
            </w:pPr>
            <w:r w:rsidRPr="0041117C">
              <w:rPr>
                <w:b w:val="0"/>
                <w:lang w:val="en-AU"/>
              </w:rPr>
              <w:t>23.5 (21.2, 26.3)</w:t>
            </w:r>
          </w:p>
        </w:tc>
        <w:tc>
          <w:tcPr>
            <w:tcW w:w="1525" w:type="dxa"/>
            <w:tcBorders>
              <w:top w:val="nil"/>
              <w:left w:val="nil"/>
              <w:bottom w:val="nil"/>
            </w:tcBorders>
          </w:tcPr>
          <w:p w:rsidR="006F7F0C" w:rsidRPr="0041117C" w:rsidRDefault="006F7F0C" w:rsidP="000F1D54">
            <w:pPr>
              <w:pStyle w:val="SPCTabletitlecenter"/>
              <w:keepLines/>
              <w:rPr>
                <w:b w:val="0"/>
                <w:lang w:val="en-AU"/>
              </w:rPr>
            </w:pPr>
            <w:r w:rsidRPr="0041117C">
              <w:rPr>
                <w:b w:val="0"/>
                <w:lang w:val="en-AU"/>
              </w:rPr>
              <w:t>20.0 (17.4, 21.7)</w:t>
            </w:r>
          </w:p>
        </w:tc>
      </w:tr>
      <w:tr w:rsidR="006F7F0C" w:rsidRPr="0041117C" w:rsidTr="002E3F4C">
        <w:trPr>
          <w:cantSplit/>
        </w:trPr>
        <w:tc>
          <w:tcPr>
            <w:tcW w:w="2126" w:type="dxa"/>
            <w:tcBorders>
              <w:top w:val="nil"/>
              <w:bottom w:val="nil"/>
              <w:right w:val="nil"/>
            </w:tcBorders>
          </w:tcPr>
          <w:p w:rsidR="006F7F0C" w:rsidRPr="0041117C" w:rsidRDefault="006F7F0C" w:rsidP="000F1D54">
            <w:pPr>
              <w:pStyle w:val="SPCTabletitleleft"/>
              <w:keepNext/>
              <w:keepLines/>
              <w:rPr>
                <w:lang w:val="en-AU"/>
              </w:rPr>
            </w:pPr>
            <w:r w:rsidRPr="0041117C">
              <w:rPr>
                <w:lang w:val="en-AU"/>
              </w:rPr>
              <w:t>ORR</w:t>
            </w:r>
          </w:p>
        </w:tc>
        <w:tc>
          <w:tcPr>
            <w:tcW w:w="3119" w:type="dxa"/>
            <w:gridSpan w:val="2"/>
            <w:tcBorders>
              <w:top w:val="nil"/>
              <w:left w:val="nil"/>
              <w:bottom w:val="nil"/>
              <w:right w:val="nil"/>
            </w:tcBorders>
          </w:tcPr>
          <w:p w:rsidR="006F7F0C" w:rsidRPr="0041117C" w:rsidRDefault="006F7F0C" w:rsidP="000F1D54">
            <w:pPr>
              <w:pStyle w:val="SPCTabletextleft"/>
              <w:keepNext/>
              <w:keepLines/>
              <w:rPr>
                <w:lang w:val="en-AU"/>
              </w:rPr>
            </w:pPr>
          </w:p>
        </w:tc>
        <w:tc>
          <w:tcPr>
            <w:tcW w:w="3226" w:type="dxa"/>
            <w:gridSpan w:val="2"/>
            <w:tcBorders>
              <w:top w:val="nil"/>
              <w:left w:val="nil"/>
              <w:bottom w:val="nil"/>
            </w:tcBorders>
          </w:tcPr>
          <w:p w:rsidR="006F7F0C" w:rsidRPr="0041117C" w:rsidRDefault="006F7F0C" w:rsidP="000F1D54">
            <w:pPr>
              <w:pStyle w:val="SPCTabletextleft"/>
              <w:keepNext/>
              <w:keepLines/>
              <w:rPr>
                <w:lang w:val="en-AU"/>
              </w:rPr>
            </w:pP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ind w:left="114"/>
              <w:rPr>
                <w:b w:val="0"/>
                <w:bCs/>
                <w:lang w:val="en-AU"/>
              </w:rPr>
            </w:pPr>
            <w:r w:rsidRPr="0041117C">
              <w:rPr>
                <w:b w:val="0"/>
                <w:bCs/>
                <w:lang w:val="en-AU"/>
              </w:rPr>
              <w:t>% (95% CI)</w:t>
            </w:r>
          </w:p>
        </w:tc>
        <w:tc>
          <w:tcPr>
            <w:tcW w:w="1560" w:type="dxa"/>
            <w:tcBorders>
              <w:top w:val="nil"/>
              <w:left w:val="nil"/>
              <w:bottom w:val="nil"/>
              <w:right w:val="nil"/>
            </w:tcBorders>
          </w:tcPr>
          <w:p w:rsidR="006F7F0C" w:rsidRPr="0041117C" w:rsidRDefault="006F7F0C" w:rsidP="000F1D54">
            <w:pPr>
              <w:pStyle w:val="SPCtabletextcenter"/>
              <w:keepNext/>
              <w:keepLines/>
              <w:rPr>
                <w:lang w:val="en-AU"/>
              </w:rPr>
            </w:pPr>
            <w:r w:rsidRPr="0041117C">
              <w:rPr>
                <w:lang w:val="en-AU"/>
              </w:rPr>
              <w:t>46.9 (42.9, 51.0)</w:t>
            </w:r>
          </w:p>
        </w:tc>
        <w:tc>
          <w:tcPr>
            <w:tcW w:w="1559" w:type="dxa"/>
            <w:tcBorders>
              <w:top w:val="nil"/>
              <w:left w:val="nil"/>
              <w:bottom w:val="nil"/>
              <w:right w:val="nil"/>
            </w:tcBorders>
          </w:tcPr>
          <w:p w:rsidR="006F7F0C" w:rsidRPr="0041117C" w:rsidRDefault="006F7F0C" w:rsidP="000F1D54">
            <w:pPr>
              <w:pStyle w:val="SPCtabletextcenter"/>
              <w:keepNext/>
              <w:keepLines/>
              <w:rPr>
                <w:lang w:val="en-AU"/>
              </w:rPr>
            </w:pPr>
            <w:r w:rsidRPr="0041117C">
              <w:rPr>
                <w:bCs/>
                <w:lang w:val="en-AU"/>
              </w:rPr>
              <w:t xml:space="preserve">38.7 </w:t>
            </w:r>
            <w:r w:rsidRPr="0041117C">
              <w:rPr>
                <w:lang w:val="en-AU"/>
              </w:rPr>
              <w:t>(34.8, 42.8)</w:t>
            </w:r>
          </w:p>
        </w:tc>
        <w:tc>
          <w:tcPr>
            <w:tcW w:w="1701" w:type="dxa"/>
            <w:tcBorders>
              <w:top w:val="nil"/>
              <w:left w:val="nil"/>
              <w:bottom w:val="nil"/>
              <w:right w:val="nil"/>
            </w:tcBorders>
          </w:tcPr>
          <w:p w:rsidR="006F7F0C" w:rsidRPr="0041117C" w:rsidRDefault="006F7F0C" w:rsidP="000F1D54">
            <w:pPr>
              <w:pStyle w:val="SPCtabletextcenter"/>
              <w:keepNext/>
              <w:keepLines/>
              <w:rPr>
                <w:b/>
                <w:bCs/>
                <w:lang w:val="en-AU"/>
              </w:rPr>
            </w:pPr>
            <w:r w:rsidRPr="0041117C">
              <w:rPr>
                <w:lang w:val="en-AU"/>
              </w:rPr>
              <w:t>57.3 (51.6, 62.8)</w:t>
            </w:r>
          </w:p>
        </w:tc>
        <w:tc>
          <w:tcPr>
            <w:tcW w:w="1525" w:type="dxa"/>
            <w:tcBorders>
              <w:top w:val="nil"/>
              <w:left w:val="nil"/>
              <w:bottom w:val="nil"/>
            </w:tcBorders>
          </w:tcPr>
          <w:p w:rsidR="006F7F0C" w:rsidRPr="0041117C" w:rsidRDefault="006F7F0C" w:rsidP="000F1D54">
            <w:pPr>
              <w:pStyle w:val="SPCtabletextcenter"/>
              <w:keepNext/>
              <w:keepLines/>
              <w:rPr>
                <w:b/>
                <w:bCs/>
                <w:lang w:val="en-AU"/>
              </w:rPr>
            </w:pPr>
            <w:r w:rsidRPr="0041117C">
              <w:rPr>
                <w:bCs/>
                <w:lang w:val="en-AU"/>
              </w:rPr>
              <w:t xml:space="preserve">39.7 </w:t>
            </w:r>
            <w:r w:rsidRPr="0041117C">
              <w:rPr>
                <w:lang w:val="en-AU"/>
              </w:rPr>
              <w:t>(34.6, 45.1)</w:t>
            </w: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ind w:left="114"/>
              <w:rPr>
                <w:b w:val="0"/>
                <w:lang w:val="en-AU"/>
              </w:rPr>
            </w:pPr>
            <w:r w:rsidRPr="0041117C">
              <w:rPr>
                <w:b w:val="0"/>
                <w:lang w:val="en-AU"/>
              </w:rPr>
              <w:t>p-value</w:t>
            </w:r>
          </w:p>
        </w:tc>
        <w:tc>
          <w:tcPr>
            <w:tcW w:w="3119" w:type="dxa"/>
            <w:gridSpan w:val="2"/>
            <w:tcBorders>
              <w:top w:val="nil"/>
              <w:left w:val="nil"/>
              <w:bottom w:val="nil"/>
              <w:right w:val="nil"/>
            </w:tcBorders>
          </w:tcPr>
          <w:p w:rsidR="006F7F0C" w:rsidRPr="0041117C" w:rsidRDefault="006F7F0C" w:rsidP="000F1D54">
            <w:pPr>
              <w:pStyle w:val="SPCtabletextcenter"/>
              <w:keepNext/>
              <w:keepLines/>
              <w:rPr>
                <w:lang w:val="en-AU"/>
              </w:rPr>
            </w:pPr>
            <w:r w:rsidRPr="0041117C">
              <w:rPr>
                <w:lang w:val="en-AU"/>
              </w:rPr>
              <w:t>0.004</w:t>
            </w:r>
          </w:p>
        </w:tc>
        <w:tc>
          <w:tcPr>
            <w:tcW w:w="3226" w:type="dxa"/>
            <w:gridSpan w:val="2"/>
            <w:tcBorders>
              <w:top w:val="nil"/>
              <w:left w:val="nil"/>
              <w:bottom w:val="nil"/>
            </w:tcBorders>
          </w:tcPr>
          <w:p w:rsidR="006F7F0C" w:rsidRPr="0041117C" w:rsidRDefault="006F7F0C" w:rsidP="000F1D54">
            <w:pPr>
              <w:pStyle w:val="SPCtabletextcenter"/>
              <w:keepNext/>
              <w:keepLines/>
              <w:rPr>
                <w:lang w:val="en-AU"/>
              </w:rPr>
            </w:pPr>
            <w:r w:rsidRPr="0041117C">
              <w:rPr>
                <w:lang w:val="en-AU"/>
              </w:rPr>
              <w:t>&lt; 0.0001</w:t>
            </w: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rPr>
                <w:lang w:val="en-AU"/>
              </w:rPr>
            </w:pPr>
            <w:r w:rsidRPr="0041117C">
              <w:rPr>
                <w:lang w:val="en-AU"/>
              </w:rPr>
              <w:t>PFS</w:t>
            </w:r>
          </w:p>
        </w:tc>
        <w:tc>
          <w:tcPr>
            <w:tcW w:w="3119" w:type="dxa"/>
            <w:gridSpan w:val="2"/>
            <w:tcBorders>
              <w:top w:val="nil"/>
              <w:left w:val="nil"/>
              <w:bottom w:val="nil"/>
              <w:right w:val="nil"/>
            </w:tcBorders>
          </w:tcPr>
          <w:p w:rsidR="006F7F0C" w:rsidRPr="0041117C" w:rsidRDefault="006F7F0C" w:rsidP="000F1D54">
            <w:pPr>
              <w:pStyle w:val="SPCTabletextleft"/>
              <w:keepNext/>
              <w:keepLines/>
              <w:rPr>
                <w:lang w:val="en-AU"/>
              </w:rPr>
            </w:pPr>
          </w:p>
        </w:tc>
        <w:tc>
          <w:tcPr>
            <w:tcW w:w="3226" w:type="dxa"/>
            <w:gridSpan w:val="2"/>
            <w:tcBorders>
              <w:top w:val="nil"/>
              <w:left w:val="nil"/>
              <w:bottom w:val="nil"/>
            </w:tcBorders>
          </w:tcPr>
          <w:p w:rsidR="006F7F0C" w:rsidRPr="0041117C" w:rsidRDefault="006F7F0C" w:rsidP="000F1D54">
            <w:pPr>
              <w:pStyle w:val="SPCTabletextleft"/>
              <w:keepNext/>
              <w:keepLines/>
              <w:rPr>
                <w:lang w:val="en-AU"/>
              </w:rPr>
            </w:pP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ind w:left="114"/>
              <w:rPr>
                <w:b w:val="0"/>
                <w:bCs/>
                <w:lang w:val="en-AU"/>
              </w:rPr>
            </w:pPr>
            <w:r w:rsidRPr="0041117C">
              <w:rPr>
                <w:b w:val="0"/>
                <w:bCs/>
                <w:lang w:val="en-AU"/>
              </w:rPr>
              <w:t>Hazard Ratio (95% CI)</w:t>
            </w:r>
          </w:p>
        </w:tc>
        <w:tc>
          <w:tcPr>
            <w:tcW w:w="3119" w:type="dxa"/>
            <w:gridSpan w:val="2"/>
            <w:tcBorders>
              <w:top w:val="nil"/>
              <w:left w:val="nil"/>
              <w:bottom w:val="nil"/>
              <w:right w:val="nil"/>
            </w:tcBorders>
          </w:tcPr>
          <w:p w:rsidR="006F7F0C" w:rsidRPr="0041117C" w:rsidRDefault="006F7F0C" w:rsidP="000F1D54">
            <w:pPr>
              <w:pStyle w:val="SPCtabletextcenter"/>
              <w:keepNext/>
              <w:keepLines/>
              <w:rPr>
                <w:lang w:val="en-AU"/>
              </w:rPr>
            </w:pPr>
            <w:r w:rsidRPr="0041117C">
              <w:rPr>
                <w:lang w:val="en-AU"/>
              </w:rPr>
              <w:t>0.85 (0.73, 0.10)</w:t>
            </w:r>
          </w:p>
        </w:tc>
        <w:tc>
          <w:tcPr>
            <w:tcW w:w="3226" w:type="dxa"/>
            <w:gridSpan w:val="2"/>
            <w:tcBorders>
              <w:top w:val="nil"/>
              <w:left w:val="nil"/>
              <w:bottom w:val="nil"/>
            </w:tcBorders>
          </w:tcPr>
          <w:p w:rsidR="006F7F0C" w:rsidRPr="0041117C" w:rsidRDefault="006F7F0C" w:rsidP="000F1D54">
            <w:pPr>
              <w:pStyle w:val="SPCtabletextcenter"/>
              <w:keepNext/>
              <w:keepLines/>
              <w:rPr>
                <w:lang w:val="en-AU"/>
              </w:rPr>
            </w:pPr>
            <w:r w:rsidRPr="0041117C">
              <w:rPr>
                <w:lang w:val="en-AU"/>
              </w:rPr>
              <w:t>0.70 (0.56, 0.87)</w:t>
            </w:r>
          </w:p>
        </w:tc>
      </w:tr>
      <w:tr w:rsidR="006F7F0C" w:rsidRPr="0041117C" w:rsidTr="002E3F4C">
        <w:tc>
          <w:tcPr>
            <w:tcW w:w="2126" w:type="dxa"/>
            <w:tcBorders>
              <w:top w:val="nil"/>
              <w:bottom w:val="nil"/>
              <w:right w:val="nil"/>
            </w:tcBorders>
          </w:tcPr>
          <w:p w:rsidR="006F7F0C" w:rsidRPr="0041117C" w:rsidRDefault="006F7F0C" w:rsidP="000F1D54">
            <w:pPr>
              <w:pStyle w:val="SPCTabletitleleft"/>
              <w:keepNext/>
              <w:keepLines/>
              <w:ind w:left="114"/>
              <w:rPr>
                <w:b w:val="0"/>
                <w:bCs/>
                <w:lang w:val="en-AU"/>
              </w:rPr>
            </w:pPr>
            <w:r w:rsidRPr="0041117C">
              <w:rPr>
                <w:b w:val="0"/>
                <w:bCs/>
                <w:lang w:val="en-AU"/>
              </w:rPr>
              <w:t xml:space="preserve">p-value </w:t>
            </w:r>
          </w:p>
        </w:tc>
        <w:tc>
          <w:tcPr>
            <w:tcW w:w="3119" w:type="dxa"/>
            <w:gridSpan w:val="2"/>
            <w:tcBorders>
              <w:top w:val="nil"/>
              <w:left w:val="nil"/>
              <w:bottom w:val="nil"/>
              <w:right w:val="nil"/>
            </w:tcBorders>
          </w:tcPr>
          <w:p w:rsidR="006F7F0C" w:rsidRPr="0041117C" w:rsidRDefault="006F7F0C" w:rsidP="000F1D54">
            <w:pPr>
              <w:pStyle w:val="SPCtabletextcenter"/>
              <w:keepNext/>
              <w:keepLines/>
              <w:rPr>
                <w:lang w:val="en-AU"/>
              </w:rPr>
            </w:pPr>
            <w:r w:rsidRPr="0041117C">
              <w:rPr>
                <w:lang w:val="en-AU"/>
              </w:rPr>
              <w:t>0.05</w:t>
            </w:r>
          </w:p>
        </w:tc>
        <w:tc>
          <w:tcPr>
            <w:tcW w:w="3226" w:type="dxa"/>
            <w:gridSpan w:val="2"/>
            <w:tcBorders>
              <w:top w:val="nil"/>
              <w:left w:val="nil"/>
              <w:bottom w:val="nil"/>
            </w:tcBorders>
          </w:tcPr>
          <w:p w:rsidR="006F7F0C" w:rsidRPr="0041117C" w:rsidRDefault="006F7F0C" w:rsidP="000F1D54">
            <w:pPr>
              <w:pStyle w:val="SPCtabletextcenter"/>
              <w:keepNext/>
              <w:keepLines/>
              <w:rPr>
                <w:lang w:val="en-AU"/>
              </w:rPr>
            </w:pPr>
            <w:r w:rsidRPr="0041117C">
              <w:rPr>
                <w:lang w:val="en-AU"/>
              </w:rPr>
              <w:t>0.001</w:t>
            </w:r>
          </w:p>
        </w:tc>
      </w:tr>
      <w:tr w:rsidR="006F7F0C" w:rsidRPr="0041117C" w:rsidTr="002E3F4C">
        <w:tc>
          <w:tcPr>
            <w:tcW w:w="2126" w:type="dxa"/>
            <w:tcBorders>
              <w:top w:val="nil"/>
              <w:bottom w:val="single" w:sz="4" w:space="0" w:color="auto"/>
              <w:right w:val="nil"/>
            </w:tcBorders>
          </w:tcPr>
          <w:p w:rsidR="006F7F0C" w:rsidRPr="0041117C" w:rsidRDefault="006F7F0C" w:rsidP="002E3F4C">
            <w:pPr>
              <w:pStyle w:val="SPCTabletitleleft"/>
              <w:keepNext/>
              <w:keepLines/>
              <w:ind w:left="113"/>
              <w:rPr>
                <w:b w:val="0"/>
                <w:lang w:val="en-AU"/>
              </w:rPr>
            </w:pPr>
            <w:r w:rsidRPr="0041117C">
              <w:rPr>
                <w:b w:val="0"/>
                <w:lang w:val="en-AU"/>
              </w:rPr>
              <w:t>Median (months, 95% CI)</w:t>
            </w:r>
          </w:p>
        </w:tc>
        <w:tc>
          <w:tcPr>
            <w:tcW w:w="1560" w:type="dxa"/>
            <w:tcBorders>
              <w:top w:val="nil"/>
              <w:left w:val="nil"/>
              <w:bottom w:val="single" w:sz="4" w:space="0" w:color="auto"/>
              <w:right w:val="nil"/>
            </w:tcBorders>
          </w:tcPr>
          <w:p w:rsidR="006F7F0C" w:rsidRPr="0041117C" w:rsidRDefault="006F7F0C" w:rsidP="000F1D54">
            <w:pPr>
              <w:pStyle w:val="SPCTabletitlecenter"/>
              <w:keepLines/>
              <w:rPr>
                <w:b w:val="0"/>
                <w:lang w:val="en-AU"/>
              </w:rPr>
            </w:pPr>
            <w:r w:rsidRPr="0041117C">
              <w:rPr>
                <w:b w:val="0"/>
                <w:lang w:val="en-AU"/>
              </w:rPr>
              <w:t>8.9 (8.0, 9.5)</w:t>
            </w:r>
          </w:p>
        </w:tc>
        <w:tc>
          <w:tcPr>
            <w:tcW w:w="1559" w:type="dxa"/>
            <w:tcBorders>
              <w:top w:val="nil"/>
              <w:left w:val="nil"/>
              <w:bottom w:val="single" w:sz="4" w:space="0" w:color="auto"/>
              <w:right w:val="nil"/>
            </w:tcBorders>
          </w:tcPr>
          <w:p w:rsidR="006F7F0C" w:rsidRPr="0041117C" w:rsidRDefault="006F7F0C" w:rsidP="000F1D54">
            <w:pPr>
              <w:pStyle w:val="SPCTabletitlecenter"/>
              <w:keepLines/>
              <w:rPr>
                <w:b w:val="0"/>
                <w:lang w:val="en-AU"/>
              </w:rPr>
            </w:pPr>
            <w:r w:rsidRPr="0041117C">
              <w:rPr>
                <w:b w:val="0"/>
                <w:lang w:val="en-AU"/>
              </w:rPr>
              <w:t>8.0 (7.6, 9.0)</w:t>
            </w:r>
          </w:p>
        </w:tc>
        <w:tc>
          <w:tcPr>
            <w:tcW w:w="1701" w:type="dxa"/>
            <w:tcBorders>
              <w:top w:val="nil"/>
              <w:left w:val="nil"/>
              <w:bottom w:val="single" w:sz="4" w:space="0" w:color="auto"/>
              <w:right w:val="nil"/>
            </w:tcBorders>
          </w:tcPr>
          <w:p w:rsidR="006F7F0C" w:rsidRPr="0041117C" w:rsidRDefault="006F7F0C" w:rsidP="000F1D54">
            <w:pPr>
              <w:pStyle w:val="SPCTabletitlecenter"/>
              <w:keepLines/>
              <w:rPr>
                <w:b w:val="0"/>
                <w:lang w:val="en-AU"/>
              </w:rPr>
            </w:pPr>
            <w:r w:rsidRPr="0041117C">
              <w:rPr>
                <w:b w:val="0"/>
                <w:lang w:val="en-AU"/>
              </w:rPr>
              <w:t>9.9 (9.0, 11.3)</w:t>
            </w:r>
          </w:p>
        </w:tc>
        <w:tc>
          <w:tcPr>
            <w:tcW w:w="1525" w:type="dxa"/>
            <w:tcBorders>
              <w:top w:val="nil"/>
              <w:left w:val="nil"/>
              <w:bottom w:val="single" w:sz="4" w:space="0" w:color="auto"/>
            </w:tcBorders>
          </w:tcPr>
          <w:p w:rsidR="006F7F0C" w:rsidRPr="0041117C" w:rsidRDefault="006F7F0C" w:rsidP="000F1D54">
            <w:pPr>
              <w:pStyle w:val="SPCTabletitlecenter"/>
              <w:keepLines/>
              <w:rPr>
                <w:b w:val="0"/>
                <w:lang w:val="en-AU"/>
              </w:rPr>
            </w:pPr>
            <w:r w:rsidRPr="0041117C">
              <w:rPr>
                <w:b w:val="0"/>
                <w:lang w:val="en-AU"/>
              </w:rPr>
              <w:t>8.4 (7.4, 9.2)</w:t>
            </w:r>
          </w:p>
        </w:tc>
      </w:tr>
    </w:tbl>
    <w:p w:rsidR="006F7F0C" w:rsidRDefault="006F7F0C" w:rsidP="006F7F0C">
      <w:pPr>
        <w:ind w:left="426"/>
        <w:rPr>
          <w:sz w:val="18"/>
          <w:szCs w:val="18"/>
        </w:rPr>
      </w:pPr>
      <w:r w:rsidRPr="006F7F0C">
        <w:rPr>
          <w:sz w:val="18"/>
          <w:szCs w:val="18"/>
        </w:rPr>
        <w:t xml:space="preserve">CI = confidence interval, FOLFIRI = </w:t>
      </w:r>
      <w:proofErr w:type="spellStart"/>
      <w:r w:rsidRPr="006F7F0C">
        <w:rPr>
          <w:sz w:val="18"/>
          <w:szCs w:val="18"/>
        </w:rPr>
        <w:t>irinotecan</w:t>
      </w:r>
      <w:proofErr w:type="spellEnd"/>
      <w:r w:rsidRPr="006F7F0C">
        <w:rPr>
          <w:sz w:val="18"/>
          <w:szCs w:val="18"/>
        </w:rPr>
        <w:t xml:space="preserve"> plus </w:t>
      </w:r>
      <w:proofErr w:type="spellStart"/>
      <w:r w:rsidRPr="006F7F0C">
        <w:rPr>
          <w:sz w:val="18"/>
          <w:szCs w:val="18"/>
        </w:rPr>
        <w:t>infusional</w:t>
      </w:r>
      <w:proofErr w:type="spellEnd"/>
      <w:r w:rsidRPr="006F7F0C">
        <w:rPr>
          <w:sz w:val="18"/>
          <w:szCs w:val="18"/>
        </w:rPr>
        <w:t xml:space="preserve"> 5</w:t>
      </w:r>
      <w:r w:rsidRPr="006F7F0C">
        <w:rPr>
          <w:sz w:val="18"/>
          <w:szCs w:val="18"/>
        </w:rPr>
        <w:noBreakHyphen/>
        <w:t>FU/FA, ORR = objective response rate (patients with complete response or partial response), OS = overall survival, PFS = progression-free survival.</w:t>
      </w:r>
    </w:p>
    <w:p w:rsidR="006F7F0C" w:rsidRDefault="006F7F0C" w:rsidP="006F7F0C">
      <w:pPr>
        <w:ind w:left="426"/>
        <w:rPr>
          <w:sz w:val="18"/>
          <w:szCs w:val="18"/>
        </w:rPr>
      </w:pPr>
    </w:p>
    <w:p w:rsidR="006F7F0C" w:rsidRDefault="006F7F0C" w:rsidP="006F7F0C">
      <w:pPr>
        <w:ind w:left="426"/>
        <w:rPr>
          <w:sz w:val="18"/>
          <w:szCs w:val="18"/>
        </w:rPr>
      </w:pPr>
      <w:r w:rsidRPr="0041117C">
        <w:t xml:space="preserve">Patients with </w:t>
      </w:r>
      <w:r w:rsidRPr="0041117C">
        <w:rPr>
          <w:i/>
        </w:rPr>
        <w:t>K-RAS</w:t>
      </w:r>
      <w:r w:rsidRPr="0041117C">
        <w:t xml:space="preserve"> wild-type tumours and an ECOG performance status of &gt; 2 or who were 65 years of age or older, had no benefit in overall survival time, when cetuximab was added to FOLFIRI.</w:t>
      </w:r>
      <w:r w:rsidRPr="0041117C">
        <w:rPr>
          <w:vertAlign w:val="superscript"/>
        </w:rPr>
        <w:t xml:space="preserve"> </w:t>
      </w:r>
    </w:p>
    <w:p w:rsidR="006F7F0C" w:rsidRDefault="006F7F0C" w:rsidP="006F7F0C">
      <w:pPr>
        <w:ind w:left="426"/>
        <w:rPr>
          <w:sz w:val="18"/>
          <w:szCs w:val="18"/>
        </w:rPr>
      </w:pPr>
    </w:p>
    <w:p w:rsidR="006F7F0C" w:rsidRDefault="006F7F0C" w:rsidP="006F7F0C">
      <w:pPr>
        <w:pStyle w:val="ListParagraph"/>
        <w:numPr>
          <w:ilvl w:val="0"/>
          <w:numId w:val="23"/>
        </w:numPr>
        <w:ind w:left="426" w:hanging="426"/>
      </w:pPr>
      <w:r w:rsidRPr="0041117C">
        <w:t xml:space="preserve">EMR 62 202-047 (OPUS): This randomised, open-label study in patients with metastatic colorectal cancer who had not received prior treatment for metastatic disease compared the combination of </w:t>
      </w:r>
      <w:proofErr w:type="spellStart"/>
      <w:r w:rsidRPr="0041117C">
        <w:t>cetuximab</w:t>
      </w:r>
      <w:proofErr w:type="spellEnd"/>
      <w:r w:rsidRPr="0041117C">
        <w:t xml:space="preserve"> and </w:t>
      </w:r>
      <w:proofErr w:type="spellStart"/>
      <w:r w:rsidRPr="0041117C">
        <w:t>oxaliplatin</w:t>
      </w:r>
      <w:proofErr w:type="spellEnd"/>
      <w:r w:rsidRPr="0041117C">
        <w:t xml:space="preserve"> plus</w:t>
      </w:r>
      <w:r>
        <w:t xml:space="preserve"> continuous </w:t>
      </w:r>
      <w:proofErr w:type="spellStart"/>
      <w:r>
        <w:t>infusional</w:t>
      </w:r>
      <w:proofErr w:type="spellEnd"/>
      <w:r>
        <w:t xml:space="preserve"> </w:t>
      </w:r>
      <w:r w:rsidRPr="0041117C">
        <w:t>fluorouracil/</w:t>
      </w:r>
      <w:proofErr w:type="spellStart"/>
      <w:r w:rsidRPr="0041117C">
        <w:t>folinic</w:t>
      </w:r>
      <w:proofErr w:type="spellEnd"/>
      <w:r w:rsidRPr="0041117C">
        <w:t xml:space="preserve"> acid (</w:t>
      </w:r>
      <w:r>
        <w:t>FOLFOX4</w:t>
      </w:r>
      <w:r w:rsidRPr="0041117C">
        <w:t>) (169 patients) to the same chemotherapy alone (168 patients). The chemotherapy regimen was the FOLFOX4 regimen.  The median age of subjects was 61 years (range 24-82), with most being male (54%).</w:t>
      </w:r>
    </w:p>
    <w:p w:rsidR="006F7F0C" w:rsidRDefault="006F7F0C" w:rsidP="006F7F0C"/>
    <w:p w:rsidR="006F7F0C" w:rsidRDefault="006F7F0C" w:rsidP="006F7F0C">
      <w:pPr>
        <w:ind w:left="426"/>
      </w:pPr>
      <w:r w:rsidRPr="0041117C">
        <w:t xml:space="preserve">Addition of cetuximab to FOLFOX4 increased objective response rate as the primary endpoint, but did not reach statistical significance in the overall study population. The </w:t>
      </w:r>
      <w:r w:rsidRPr="0041117C">
        <w:lastRenderedPageBreak/>
        <w:t xml:space="preserve">impact of </w:t>
      </w:r>
      <w:r w:rsidRPr="0041117C">
        <w:rPr>
          <w:i/>
        </w:rPr>
        <w:t>K-RAS</w:t>
      </w:r>
      <w:r w:rsidRPr="0041117C">
        <w:t xml:space="preserve"> status was evaluated subsequently in 93% of patients. In patients with </w:t>
      </w:r>
      <w:r w:rsidRPr="0041117C">
        <w:rPr>
          <w:i/>
        </w:rPr>
        <w:t>K-RAS</w:t>
      </w:r>
      <w:r w:rsidRPr="0041117C">
        <w:t xml:space="preserve"> wild-type tumours (57% of </w:t>
      </w:r>
      <w:r w:rsidRPr="0041117C">
        <w:rPr>
          <w:i/>
        </w:rPr>
        <w:t xml:space="preserve">K-RAS </w:t>
      </w:r>
      <w:r w:rsidRPr="0041117C">
        <w:t>evaluable patients), cetuximab significantly improved overall response rate and progression-free survival.  Overall survival was also improved but not significantly (see Table 2).</w:t>
      </w:r>
    </w:p>
    <w:p w:rsidR="006F7F0C" w:rsidRDefault="006F7F0C" w:rsidP="006F7F0C">
      <w:pPr>
        <w:ind w:left="426"/>
      </w:pPr>
    </w:p>
    <w:p w:rsidR="002E3F4C" w:rsidRDefault="002E3F4C" w:rsidP="006F7F0C">
      <w:pPr>
        <w:ind w:left="426"/>
        <w:rPr>
          <w:b/>
          <w:bCs/>
        </w:rPr>
      </w:pPr>
    </w:p>
    <w:p w:rsidR="006F7F0C" w:rsidRDefault="006F7F0C" w:rsidP="006F7F0C">
      <w:pPr>
        <w:ind w:left="426"/>
      </w:pPr>
      <w:r w:rsidRPr="0041117C">
        <w:rPr>
          <w:b/>
          <w:bCs/>
        </w:rPr>
        <w:t>Table 2:  Study EMR 62 202-047:  Efficacy Results</w:t>
      </w:r>
    </w:p>
    <w:p w:rsidR="006F7F0C" w:rsidRDefault="006F7F0C" w:rsidP="006F7F0C">
      <w:pPr>
        <w:ind w:left="426"/>
      </w:pPr>
    </w:p>
    <w:tbl>
      <w:tblPr>
        <w:tblW w:w="847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127"/>
        <w:gridCol w:w="1559"/>
        <w:gridCol w:w="1559"/>
        <w:gridCol w:w="1701"/>
        <w:gridCol w:w="1525"/>
      </w:tblGrid>
      <w:tr w:rsidR="002E3F4C" w:rsidRPr="0041117C" w:rsidTr="002E3F4C">
        <w:tc>
          <w:tcPr>
            <w:tcW w:w="2127" w:type="dxa"/>
            <w:tcBorders>
              <w:bottom w:val="nil"/>
              <w:right w:val="nil"/>
            </w:tcBorders>
          </w:tcPr>
          <w:p w:rsidR="002E3F4C" w:rsidRPr="0041117C" w:rsidRDefault="002E3F4C" w:rsidP="000F1D54">
            <w:pPr>
              <w:pStyle w:val="SPCTabletitlecenter"/>
              <w:keepLines/>
              <w:rPr>
                <w:lang w:val="en-AU"/>
              </w:rPr>
            </w:pPr>
          </w:p>
        </w:tc>
        <w:tc>
          <w:tcPr>
            <w:tcW w:w="3118" w:type="dxa"/>
            <w:gridSpan w:val="2"/>
            <w:tcBorders>
              <w:left w:val="nil"/>
              <w:bottom w:val="nil"/>
              <w:right w:val="nil"/>
            </w:tcBorders>
          </w:tcPr>
          <w:p w:rsidR="002E3F4C" w:rsidRPr="0041117C" w:rsidRDefault="002E3F4C" w:rsidP="000F1D54">
            <w:pPr>
              <w:pStyle w:val="SPCTabletitlecenter"/>
              <w:keepLines/>
              <w:rPr>
                <w:lang w:val="en-AU"/>
              </w:rPr>
            </w:pPr>
            <w:r w:rsidRPr="0041117C">
              <w:rPr>
                <w:lang w:val="en-AU"/>
              </w:rPr>
              <w:t>Overall population</w:t>
            </w:r>
          </w:p>
        </w:tc>
        <w:tc>
          <w:tcPr>
            <w:tcW w:w="3226" w:type="dxa"/>
            <w:gridSpan w:val="2"/>
            <w:tcBorders>
              <w:left w:val="nil"/>
              <w:bottom w:val="nil"/>
            </w:tcBorders>
          </w:tcPr>
          <w:p w:rsidR="002E3F4C" w:rsidRPr="0041117C" w:rsidRDefault="002E3F4C" w:rsidP="000F1D54">
            <w:pPr>
              <w:pStyle w:val="SPCTabletitlecenter"/>
              <w:keepLines/>
              <w:rPr>
                <w:lang w:val="en-AU"/>
              </w:rPr>
            </w:pPr>
            <w:r w:rsidRPr="0041117C">
              <w:rPr>
                <w:i/>
                <w:iCs/>
                <w:lang w:val="en-AU"/>
              </w:rPr>
              <w:t>K-RAS</w:t>
            </w:r>
            <w:r w:rsidRPr="0041117C">
              <w:rPr>
                <w:lang w:val="en-AU"/>
              </w:rPr>
              <w:t xml:space="preserve"> wild-type population</w:t>
            </w:r>
          </w:p>
        </w:tc>
      </w:tr>
      <w:tr w:rsidR="002E3F4C" w:rsidRPr="0041117C" w:rsidTr="002E3F4C">
        <w:tc>
          <w:tcPr>
            <w:tcW w:w="2127" w:type="dxa"/>
            <w:tcBorders>
              <w:top w:val="nil"/>
              <w:bottom w:val="nil"/>
              <w:right w:val="nil"/>
            </w:tcBorders>
          </w:tcPr>
          <w:p w:rsidR="002E3F4C" w:rsidRPr="0041117C" w:rsidRDefault="002E3F4C" w:rsidP="000F1D54">
            <w:pPr>
              <w:pStyle w:val="SPCTabletitlecenter"/>
              <w:keepLines/>
              <w:rPr>
                <w:lang w:val="en-AU"/>
              </w:rPr>
            </w:pPr>
            <w:r w:rsidRPr="0041117C">
              <w:rPr>
                <w:lang w:val="en-AU"/>
              </w:rPr>
              <w:t>Variable/ statistic</w:t>
            </w:r>
          </w:p>
        </w:tc>
        <w:tc>
          <w:tcPr>
            <w:tcW w:w="1559" w:type="dxa"/>
            <w:tcBorders>
              <w:top w:val="nil"/>
              <w:left w:val="nil"/>
              <w:bottom w:val="nil"/>
              <w:right w:val="nil"/>
            </w:tcBorders>
          </w:tcPr>
          <w:p w:rsidR="002E3F4C" w:rsidRPr="0041117C" w:rsidRDefault="002E3F4C" w:rsidP="000F1D54">
            <w:pPr>
              <w:pStyle w:val="SPCTabletitlecenter"/>
              <w:keepLines/>
              <w:rPr>
                <w:lang w:val="en-AU"/>
              </w:rPr>
            </w:pPr>
            <w:r w:rsidRPr="0041117C">
              <w:rPr>
                <w:lang w:val="en-AU"/>
              </w:rPr>
              <w:t xml:space="preserve">Cetuximab </w:t>
            </w:r>
            <w:r w:rsidRPr="0041117C">
              <w:rPr>
                <w:lang w:val="en-AU"/>
              </w:rPr>
              <w:br/>
              <w:t>plus FOLFOX4</w:t>
            </w:r>
          </w:p>
        </w:tc>
        <w:tc>
          <w:tcPr>
            <w:tcW w:w="1559" w:type="dxa"/>
            <w:tcBorders>
              <w:top w:val="nil"/>
              <w:left w:val="nil"/>
              <w:bottom w:val="nil"/>
              <w:right w:val="nil"/>
            </w:tcBorders>
          </w:tcPr>
          <w:p w:rsidR="002E3F4C" w:rsidRPr="0041117C" w:rsidRDefault="002E3F4C" w:rsidP="000F1D54">
            <w:pPr>
              <w:pStyle w:val="SPCTabletitlecenter"/>
              <w:keepLines/>
              <w:rPr>
                <w:lang w:val="en-AU"/>
              </w:rPr>
            </w:pPr>
            <w:r w:rsidRPr="0041117C">
              <w:rPr>
                <w:lang w:val="en-AU"/>
              </w:rPr>
              <w:t>FOLFOX4</w:t>
            </w:r>
          </w:p>
        </w:tc>
        <w:tc>
          <w:tcPr>
            <w:tcW w:w="1701" w:type="dxa"/>
            <w:tcBorders>
              <w:top w:val="nil"/>
              <w:left w:val="nil"/>
              <w:bottom w:val="nil"/>
              <w:right w:val="nil"/>
            </w:tcBorders>
          </w:tcPr>
          <w:p w:rsidR="002E3F4C" w:rsidRPr="0041117C" w:rsidRDefault="002E3F4C" w:rsidP="000F1D54">
            <w:pPr>
              <w:pStyle w:val="SPCTabletitlecenter"/>
              <w:keepLines/>
              <w:rPr>
                <w:lang w:val="en-AU"/>
              </w:rPr>
            </w:pPr>
            <w:r w:rsidRPr="0041117C">
              <w:rPr>
                <w:lang w:val="en-AU"/>
              </w:rPr>
              <w:t xml:space="preserve">Cetuximab </w:t>
            </w:r>
            <w:r w:rsidRPr="0041117C">
              <w:rPr>
                <w:lang w:val="en-AU"/>
              </w:rPr>
              <w:br/>
              <w:t>plus FOLFOX4</w:t>
            </w:r>
          </w:p>
        </w:tc>
        <w:tc>
          <w:tcPr>
            <w:tcW w:w="1525" w:type="dxa"/>
            <w:tcBorders>
              <w:top w:val="nil"/>
              <w:left w:val="nil"/>
              <w:bottom w:val="nil"/>
            </w:tcBorders>
          </w:tcPr>
          <w:p w:rsidR="002E3F4C" w:rsidRPr="0041117C" w:rsidRDefault="002E3F4C" w:rsidP="000F1D54">
            <w:pPr>
              <w:pStyle w:val="SPCTabletitlecenter"/>
              <w:keepLines/>
              <w:rPr>
                <w:lang w:val="en-AU"/>
              </w:rPr>
            </w:pPr>
            <w:r w:rsidRPr="0041117C">
              <w:rPr>
                <w:lang w:val="en-AU"/>
              </w:rPr>
              <w:t>FOLFOX4</w:t>
            </w: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jc w:val="center"/>
              <w:rPr>
                <w:lang w:val="en-AU"/>
              </w:rPr>
            </w:pPr>
          </w:p>
        </w:tc>
        <w:tc>
          <w:tcPr>
            <w:tcW w:w="1559" w:type="dxa"/>
            <w:tcBorders>
              <w:top w:val="nil"/>
              <w:left w:val="nil"/>
              <w:bottom w:val="nil"/>
              <w:right w:val="nil"/>
            </w:tcBorders>
          </w:tcPr>
          <w:p w:rsidR="002E3F4C" w:rsidRPr="0041117C" w:rsidRDefault="002E3F4C" w:rsidP="000F1D54">
            <w:pPr>
              <w:pStyle w:val="SPCTabletitlecenter"/>
              <w:keepLines/>
              <w:rPr>
                <w:lang w:val="en-AU"/>
              </w:rPr>
            </w:pPr>
            <w:r w:rsidRPr="0041117C">
              <w:rPr>
                <w:lang w:val="en-AU"/>
              </w:rPr>
              <w:t>(N=169)</w:t>
            </w:r>
          </w:p>
        </w:tc>
        <w:tc>
          <w:tcPr>
            <w:tcW w:w="1559" w:type="dxa"/>
            <w:tcBorders>
              <w:top w:val="nil"/>
              <w:left w:val="nil"/>
              <w:bottom w:val="nil"/>
              <w:right w:val="nil"/>
            </w:tcBorders>
          </w:tcPr>
          <w:p w:rsidR="002E3F4C" w:rsidRPr="0041117C" w:rsidRDefault="002E3F4C" w:rsidP="000F1D54">
            <w:pPr>
              <w:pStyle w:val="SPCTabletitlecenter"/>
              <w:keepLines/>
              <w:rPr>
                <w:lang w:val="en-AU"/>
              </w:rPr>
            </w:pPr>
            <w:r w:rsidRPr="0041117C">
              <w:rPr>
                <w:lang w:val="en-AU"/>
              </w:rPr>
              <w:t>(N=168)</w:t>
            </w:r>
          </w:p>
        </w:tc>
        <w:tc>
          <w:tcPr>
            <w:tcW w:w="1701" w:type="dxa"/>
            <w:tcBorders>
              <w:top w:val="nil"/>
              <w:left w:val="nil"/>
              <w:bottom w:val="nil"/>
              <w:right w:val="nil"/>
            </w:tcBorders>
          </w:tcPr>
          <w:p w:rsidR="002E3F4C" w:rsidRPr="0041117C" w:rsidRDefault="002E3F4C" w:rsidP="000F1D54">
            <w:pPr>
              <w:pStyle w:val="SPCTabletitlecenter"/>
              <w:keepLines/>
              <w:rPr>
                <w:lang w:val="en-AU"/>
              </w:rPr>
            </w:pPr>
            <w:r w:rsidRPr="0041117C">
              <w:rPr>
                <w:lang w:val="en-AU"/>
              </w:rPr>
              <w:t>(N=82)</w:t>
            </w:r>
          </w:p>
        </w:tc>
        <w:tc>
          <w:tcPr>
            <w:tcW w:w="1525" w:type="dxa"/>
            <w:tcBorders>
              <w:top w:val="nil"/>
              <w:left w:val="nil"/>
              <w:bottom w:val="nil"/>
            </w:tcBorders>
          </w:tcPr>
          <w:p w:rsidR="002E3F4C" w:rsidRPr="0041117C" w:rsidRDefault="002E3F4C" w:rsidP="000F1D54">
            <w:pPr>
              <w:pStyle w:val="SPCTabletitlecenter"/>
              <w:keepLines/>
              <w:rPr>
                <w:lang w:val="en-AU"/>
              </w:rPr>
            </w:pPr>
            <w:r w:rsidRPr="0041117C">
              <w:rPr>
                <w:lang w:val="en-AU"/>
              </w:rPr>
              <w:t>(N=97)</w:t>
            </w:r>
          </w:p>
        </w:tc>
      </w:tr>
      <w:tr w:rsidR="002E3F4C" w:rsidRPr="0041117C" w:rsidTr="002E3F4C">
        <w:tc>
          <w:tcPr>
            <w:tcW w:w="8471" w:type="dxa"/>
            <w:gridSpan w:val="5"/>
            <w:tcBorders>
              <w:top w:val="nil"/>
              <w:bottom w:val="nil"/>
            </w:tcBorders>
          </w:tcPr>
          <w:p w:rsidR="002E3F4C" w:rsidRPr="0041117C" w:rsidRDefault="002E3F4C" w:rsidP="000F1D54">
            <w:pPr>
              <w:pStyle w:val="SPCTabletitlecenter"/>
              <w:keepLines/>
              <w:jc w:val="left"/>
              <w:rPr>
                <w:lang w:val="en-AU"/>
              </w:rPr>
            </w:pPr>
            <w:r w:rsidRPr="0041117C">
              <w:rPr>
                <w:bCs/>
                <w:lang w:val="en-AU"/>
              </w:rPr>
              <w:t>OS</w:t>
            </w: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ind w:left="82"/>
              <w:rPr>
                <w:lang w:val="en-AU"/>
              </w:rPr>
            </w:pPr>
            <w:r w:rsidRPr="0041117C">
              <w:rPr>
                <w:b w:val="0"/>
                <w:bCs/>
                <w:lang w:val="en-AU"/>
              </w:rPr>
              <w:t>Hazard Ratio (95% CI)</w:t>
            </w:r>
          </w:p>
        </w:tc>
        <w:tc>
          <w:tcPr>
            <w:tcW w:w="3118" w:type="dxa"/>
            <w:gridSpan w:val="2"/>
            <w:tcBorders>
              <w:top w:val="nil"/>
              <w:left w:val="nil"/>
              <w:bottom w:val="nil"/>
              <w:right w:val="nil"/>
            </w:tcBorders>
          </w:tcPr>
          <w:p w:rsidR="002E3F4C" w:rsidRPr="0041117C" w:rsidRDefault="002E3F4C" w:rsidP="000F1D54">
            <w:pPr>
              <w:pStyle w:val="SPCTabletitlecenter"/>
              <w:keepLines/>
              <w:rPr>
                <w:b w:val="0"/>
                <w:lang w:val="en-AU"/>
              </w:rPr>
            </w:pPr>
            <w:r w:rsidRPr="0041117C">
              <w:rPr>
                <w:b w:val="0"/>
                <w:lang w:val="en-AU"/>
              </w:rPr>
              <w:t>1.02 (0.79, 1.30)</w:t>
            </w:r>
          </w:p>
        </w:tc>
        <w:tc>
          <w:tcPr>
            <w:tcW w:w="3226" w:type="dxa"/>
            <w:gridSpan w:val="2"/>
            <w:tcBorders>
              <w:top w:val="nil"/>
              <w:left w:val="nil"/>
              <w:bottom w:val="nil"/>
            </w:tcBorders>
          </w:tcPr>
          <w:p w:rsidR="002E3F4C" w:rsidRPr="0041117C" w:rsidRDefault="002E3F4C" w:rsidP="000F1D54">
            <w:pPr>
              <w:pStyle w:val="SPCTabletitlecenter"/>
              <w:keepLines/>
              <w:rPr>
                <w:b w:val="0"/>
                <w:lang w:val="en-AU"/>
              </w:rPr>
            </w:pPr>
            <w:r w:rsidRPr="0041117C">
              <w:rPr>
                <w:b w:val="0"/>
                <w:lang w:val="en-AU"/>
              </w:rPr>
              <w:t>0.86 (0.60, 1.22)</w:t>
            </w: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ind w:left="82"/>
              <w:rPr>
                <w:lang w:val="en-AU"/>
              </w:rPr>
            </w:pPr>
            <w:r w:rsidRPr="0041117C">
              <w:rPr>
                <w:b w:val="0"/>
                <w:bCs/>
                <w:lang w:val="en-AU"/>
              </w:rPr>
              <w:t>p-value</w:t>
            </w:r>
          </w:p>
        </w:tc>
        <w:tc>
          <w:tcPr>
            <w:tcW w:w="3118" w:type="dxa"/>
            <w:gridSpan w:val="2"/>
            <w:tcBorders>
              <w:top w:val="nil"/>
              <w:left w:val="nil"/>
              <w:bottom w:val="nil"/>
              <w:right w:val="nil"/>
            </w:tcBorders>
          </w:tcPr>
          <w:p w:rsidR="002E3F4C" w:rsidRPr="0041117C" w:rsidRDefault="002E3F4C" w:rsidP="000F1D54">
            <w:pPr>
              <w:pStyle w:val="SPCTabletitlecenter"/>
              <w:keepLines/>
              <w:rPr>
                <w:b w:val="0"/>
                <w:lang w:val="en-AU"/>
              </w:rPr>
            </w:pPr>
            <w:r w:rsidRPr="0041117C">
              <w:rPr>
                <w:b w:val="0"/>
                <w:lang w:val="en-AU"/>
              </w:rPr>
              <w:t>0.91</w:t>
            </w:r>
          </w:p>
        </w:tc>
        <w:tc>
          <w:tcPr>
            <w:tcW w:w="3226" w:type="dxa"/>
            <w:gridSpan w:val="2"/>
            <w:tcBorders>
              <w:top w:val="nil"/>
              <w:left w:val="nil"/>
              <w:bottom w:val="nil"/>
            </w:tcBorders>
          </w:tcPr>
          <w:p w:rsidR="002E3F4C" w:rsidRPr="0041117C" w:rsidRDefault="002E3F4C" w:rsidP="000F1D54">
            <w:pPr>
              <w:pStyle w:val="SPCTabletitlecenter"/>
              <w:keepLines/>
              <w:rPr>
                <w:b w:val="0"/>
                <w:lang w:val="en-AU"/>
              </w:rPr>
            </w:pPr>
            <w:r w:rsidRPr="0041117C">
              <w:rPr>
                <w:b w:val="0"/>
                <w:lang w:val="en-AU"/>
              </w:rPr>
              <w:t>0.39</w:t>
            </w: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ind w:left="82"/>
              <w:rPr>
                <w:lang w:val="en-AU"/>
              </w:rPr>
            </w:pPr>
            <w:r w:rsidRPr="0041117C">
              <w:rPr>
                <w:b w:val="0"/>
                <w:bCs/>
                <w:lang w:val="en-AU"/>
              </w:rPr>
              <w:t>Median (months, 95% CI)</w:t>
            </w:r>
          </w:p>
        </w:tc>
        <w:tc>
          <w:tcPr>
            <w:tcW w:w="1559" w:type="dxa"/>
            <w:tcBorders>
              <w:top w:val="nil"/>
              <w:left w:val="nil"/>
              <w:bottom w:val="nil"/>
              <w:right w:val="nil"/>
            </w:tcBorders>
          </w:tcPr>
          <w:p w:rsidR="002E3F4C" w:rsidRPr="0041117C" w:rsidRDefault="002E3F4C" w:rsidP="000F1D54">
            <w:pPr>
              <w:pStyle w:val="SPCTabletitlecenter"/>
              <w:keepLines/>
              <w:rPr>
                <w:b w:val="0"/>
                <w:lang w:val="en-AU"/>
              </w:rPr>
            </w:pPr>
            <w:r w:rsidRPr="0041117C">
              <w:rPr>
                <w:b w:val="0"/>
                <w:lang w:val="en-AU"/>
              </w:rPr>
              <w:t>18.3 (14.8, 20.4)</w:t>
            </w:r>
          </w:p>
        </w:tc>
        <w:tc>
          <w:tcPr>
            <w:tcW w:w="1559" w:type="dxa"/>
            <w:tcBorders>
              <w:top w:val="nil"/>
              <w:left w:val="nil"/>
              <w:bottom w:val="nil"/>
              <w:right w:val="nil"/>
            </w:tcBorders>
          </w:tcPr>
          <w:p w:rsidR="002E3F4C" w:rsidRPr="0041117C" w:rsidRDefault="002E3F4C" w:rsidP="000F1D54">
            <w:pPr>
              <w:pStyle w:val="SPCTabletitlecenter"/>
              <w:keepLines/>
              <w:rPr>
                <w:b w:val="0"/>
                <w:lang w:val="en-AU"/>
              </w:rPr>
            </w:pPr>
            <w:r w:rsidRPr="0041117C">
              <w:rPr>
                <w:b w:val="0"/>
                <w:lang w:val="en-AU"/>
              </w:rPr>
              <w:t>18.0 (16.7, 21.8)</w:t>
            </w:r>
          </w:p>
        </w:tc>
        <w:tc>
          <w:tcPr>
            <w:tcW w:w="1701" w:type="dxa"/>
            <w:tcBorders>
              <w:top w:val="nil"/>
              <w:left w:val="nil"/>
              <w:bottom w:val="nil"/>
              <w:right w:val="nil"/>
            </w:tcBorders>
          </w:tcPr>
          <w:p w:rsidR="002E3F4C" w:rsidRPr="0041117C" w:rsidRDefault="002E3F4C" w:rsidP="000F1D54">
            <w:pPr>
              <w:pStyle w:val="SPCTabletitlecenter"/>
              <w:keepLines/>
              <w:rPr>
                <w:b w:val="0"/>
                <w:lang w:val="en-AU"/>
              </w:rPr>
            </w:pPr>
            <w:r w:rsidRPr="0041117C">
              <w:rPr>
                <w:b w:val="0"/>
                <w:lang w:val="en-AU"/>
              </w:rPr>
              <w:t>22.8 (19.3, 25.9)</w:t>
            </w:r>
          </w:p>
        </w:tc>
        <w:tc>
          <w:tcPr>
            <w:tcW w:w="1525" w:type="dxa"/>
            <w:tcBorders>
              <w:top w:val="nil"/>
              <w:left w:val="nil"/>
              <w:bottom w:val="nil"/>
            </w:tcBorders>
          </w:tcPr>
          <w:p w:rsidR="002E3F4C" w:rsidRPr="0041117C" w:rsidRDefault="002E3F4C" w:rsidP="000F1D54">
            <w:pPr>
              <w:pStyle w:val="SPCTabletitlecenter"/>
              <w:keepLines/>
              <w:rPr>
                <w:b w:val="0"/>
                <w:lang w:val="en-AU"/>
              </w:rPr>
            </w:pPr>
            <w:r w:rsidRPr="0041117C">
              <w:rPr>
                <w:b w:val="0"/>
                <w:lang w:val="en-AU"/>
              </w:rPr>
              <w:t>18.5 (16.4, 22.6)</w:t>
            </w:r>
          </w:p>
        </w:tc>
      </w:tr>
      <w:tr w:rsidR="002E3F4C" w:rsidRPr="0041117C" w:rsidTr="002E3F4C">
        <w:trPr>
          <w:cantSplit/>
        </w:trPr>
        <w:tc>
          <w:tcPr>
            <w:tcW w:w="2127" w:type="dxa"/>
            <w:tcBorders>
              <w:top w:val="nil"/>
              <w:bottom w:val="nil"/>
              <w:right w:val="nil"/>
            </w:tcBorders>
          </w:tcPr>
          <w:p w:rsidR="002E3F4C" w:rsidRPr="0041117C" w:rsidRDefault="002E3F4C" w:rsidP="000F1D54">
            <w:pPr>
              <w:pStyle w:val="SPCTabletitleleft"/>
              <w:keepNext/>
              <w:keepLines/>
              <w:rPr>
                <w:lang w:val="en-AU"/>
              </w:rPr>
            </w:pPr>
            <w:r w:rsidRPr="0041117C">
              <w:rPr>
                <w:lang w:val="en-AU"/>
              </w:rPr>
              <w:t>ORR</w:t>
            </w:r>
          </w:p>
        </w:tc>
        <w:tc>
          <w:tcPr>
            <w:tcW w:w="3118" w:type="dxa"/>
            <w:gridSpan w:val="2"/>
            <w:tcBorders>
              <w:top w:val="nil"/>
              <w:left w:val="nil"/>
              <w:bottom w:val="nil"/>
              <w:right w:val="nil"/>
            </w:tcBorders>
          </w:tcPr>
          <w:p w:rsidR="002E3F4C" w:rsidRPr="0041117C" w:rsidRDefault="002E3F4C" w:rsidP="000F1D54">
            <w:pPr>
              <w:pStyle w:val="SPCTabletextleft"/>
              <w:keepLines/>
              <w:rPr>
                <w:lang w:val="en-AU"/>
              </w:rPr>
            </w:pPr>
          </w:p>
        </w:tc>
        <w:tc>
          <w:tcPr>
            <w:tcW w:w="3226" w:type="dxa"/>
            <w:gridSpan w:val="2"/>
            <w:tcBorders>
              <w:top w:val="nil"/>
              <w:left w:val="nil"/>
              <w:bottom w:val="nil"/>
            </w:tcBorders>
          </w:tcPr>
          <w:p w:rsidR="002E3F4C" w:rsidRPr="0041117C" w:rsidRDefault="002E3F4C" w:rsidP="000F1D54">
            <w:pPr>
              <w:pStyle w:val="SPCTabletextleft"/>
              <w:keepLines/>
              <w:rPr>
                <w:lang w:val="en-AU"/>
              </w:rPr>
            </w:pP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ind w:left="114"/>
              <w:rPr>
                <w:b w:val="0"/>
                <w:bCs/>
                <w:lang w:val="en-AU"/>
              </w:rPr>
            </w:pPr>
            <w:r w:rsidRPr="0041117C">
              <w:rPr>
                <w:b w:val="0"/>
                <w:bCs/>
                <w:lang w:val="en-AU"/>
              </w:rPr>
              <w:t>% (95% CI)</w:t>
            </w:r>
          </w:p>
        </w:tc>
        <w:tc>
          <w:tcPr>
            <w:tcW w:w="1559" w:type="dxa"/>
            <w:tcBorders>
              <w:top w:val="nil"/>
              <w:left w:val="nil"/>
              <w:bottom w:val="nil"/>
              <w:right w:val="nil"/>
            </w:tcBorders>
          </w:tcPr>
          <w:p w:rsidR="002E3F4C" w:rsidRPr="0041117C" w:rsidRDefault="002E3F4C" w:rsidP="000F1D54">
            <w:pPr>
              <w:pStyle w:val="SPCtabletextcenter"/>
              <w:keepLines/>
              <w:rPr>
                <w:lang w:val="en-AU"/>
              </w:rPr>
            </w:pPr>
            <w:r w:rsidRPr="0041117C">
              <w:rPr>
                <w:lang w:val="en-AU"/>
              </w:rPr>
              <w:t>46.2 (38.5, 54.0)</w:t>
            </w:r>
          </w:p>
        </w:tc>
        <w:tc>
          <w:tcPr>
            <w:tcW w:w="1559" w:type="dxa"/>
            <w:tcBorders>
              <w:top w:val="nil"/>
              <w:left w:val="nil"/>
              <w:bottom w:val="nil"/>
              <w:right w:val="nil"/>
            </w:tcBorders>
          </w:tcPr>
          <w:p w:rsidR="002E3F4C" w:rsidRPr="0041117C" w:rsidRDefault="002E3F4C" w:rsidP="000F1D54">
            <w:pPr>
              <w:pStyle w:val="SPCtabletextcenter"/>
              <w:keepLines/>
              <w:rPr>
                <w:b/>
                <w:bCs/>
                <w:lang w:val="en-AU"/>
              </w:rPr>
            </w:pPr>
            <w:r w:rsidRPr="0041117C">
              <w:rPr>
                <w:bCs/>
                <w:lang w:val="en-AU"/>
              </w:rPr>
              <w:t xml:space="preserve">39.9 </w:t>
            </w:r>
            <w:r w:rsidRPr="0041117C">
              <w:rPr>
                <w:lang w:val="en-AU"/>
              </w:rPr>
              <w:t>(32.4, 47.7)</w:t>
            </w:r>
          </w:p>
        </w:tc>
        <w:tc>
          <w:tcPr>
            <w:tcW w:w="1701" w:type="dxa"/>
            <w:tcBorders>
              <w:top w:val="nil"/>
              <w:left w:val="nil"/>
              <w:bottom w:val="nil"/>
              <w:right w:val="nil"/>
            </w:tcBorders>
          </w:tcPr>
          <w:p w:rsidR="002E3F4C" w:rsidRPr="0041117C" w:rsidRDefault="002E3F4C" w:rsidP="000F1D54">
            <w:pPr>
              <w:pStyle w:val="SPCtabletextcenter"/>
              <w:keepLines/>
              <w:jc w:val="right"/>
              <w:rPr>
                <w:b/>
                <w:bCs/>
                <w:lang w:val="en-AU"/>
              </w:rPr>
            </w:pPr>
            <w:r w:rsidRPr="0041117C">
              <w:rPr>
                <w:lang w:val="en-AU"/>
              </w:rPr>
              <w:t>57.3 (45.9, 68.2)</w:t>
            </w:r>
          </w:p>
        </w:tc>
        <w:tc>
          <w:tcPr>
            <w:tcW w:w="1525" w:type="dxa"/>
            <w:tcBorders>
              <w:top w:val="nil"/>
              <w:left w:val="nil"/>
              <w:bottom w:val="nil"/>
            </w:tcBorders>
          </w:tcPr>
          <w:p w:rsidR="002E3F4C" w:rsidRPr="0041117C" w:rsidRDefault="002E3F4C" w:rsidP="000F1D54">
            <w:pPr>
              <w:pStyle w:val="SPCtabletextcenter"/>
              <w:keepNext/>
              <w:keepLines/>
              <w:rPr>
                <w:b/>
                <w:bCs/>
                <w:lang w:val="en-AU"/>
              </w:rPr>
            </w:pPr>
            <w:r w:rsidRPr="0041117C">
              <w:rPr>
                <w:bCs/>
                <w:lang w:val="en-AU"/>
              </w:rPr>
              <w:t xml:space="preserve">34.0 </w:t>
            </w:r>
            <w:r w:rsidRPr="0041117C">
              <w:rPr>
                <w:lang w:val="en-AU"/>
              </w:rPr>
              <w:t>(24.7, 44.3)</w:t>
            </w: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ind w:left="114"/>
              <w:rPr>
                <w:b w:val="0"/>
                <w:lang w:val="en-AU"/>
              </w:rPr>
            </w:pPr>
            <w:r w:rsidRPr="0041117C">
              <w:rPr>
                <w:b w:val="0"/>
                <w:lang w:val="en-AU"/>
              </w:rPr>
              <w:t>p-value</w:t>
            </w:r>
          </w:p>
        </w:tc>
        <w:tc>
          <w:tcPr>
            <w:tcW w:w="3118" w:type="dxa"/>
            <w:gridSpan w:val="2"/>
            <w:tcBorders>
              <w:top w:val="nil"/>
              <w:left w:val="nil"/>
              <w:bottom w:val="nil"/>
              <w:right w:val="nil"/>
            </w:tcBorders>
          </w:tcPr>
          <w:p w:rsidR="002E3F4C" w:rsidRPr="0041117C" w:rsidRDefault="002E3F4C" w:rsidP="000F1D54">
            <w:pPr>
              <w:pStyle w:val="SPCtabletextcenter"/>
              <w:keepLines/>
              <w:rPr>
                <w:lang w:val="en-AU"/>
              </w:rPr>
            </w:pPr>
            <w:r w:rsidRPr="0041117C">
              <w:rPr>
                <w:lang w:val="en-AU"/>
              </w:rPr>
              <w:t>0.24</w:t>
            </w:r>
          </w:p>
        </w:tc>
        <w:tc>
          <w:tcPr>
            <w:tcW w:w="3226" w:type="dxa"/>
            <w:gridSpan w:val="2"/>
            <w:tcBorders>
              <w:top w:val="nil"/>
              <w:left w:val="nil"/>
              <w:bottom w:val="nil"/>
            </w:tcBorders>
          </w:tcPr>
          <w:p w:rsidR="002E3F4C" w:rsidRPr="0041117C" w:rsidRDefault="002E3F4C" w:rsidP="000F1D54">
            <w:pPr>
              <w:pStyle w:val="SPCtabletextcenter"/>
              <w:keepLines/>
              <w:rPr>
                <w:lang w:val="en-AU"/>
              </w:rPr>
            </w:pPr>
            <w:r w:rsidRPr="0041117C">
              <w:rPr>
                <w:lang w:val="en-AU"/>
              </w:rPr>
              <w:t>0.003</w:t>
            </w: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rPr>
                <w:lang w:val="en-AU"/>
              </w:rPr>
            </w:pPr>
            <w:r w:rsidRPr="0041117C">
              <w:rPr>
                <w:lang w:val="en-AU"/>
              </w:rPr>
              <w:t>PFS</w:t>
            </w:r>
          </w:p>
        </w:tc>
        <w:tc>
          <w:tcPr>
            <w:tcW w:w="3118" w:type="dxa"/>
            <w:gridSpan w:val="2"/>
            <w:tcBorders>
              <w:top w:val="nil"/>
              <w:left w:val="nil"/>
              <w:bottom w:val="nil"/>
              <w:right w:val="nil"/>
            </w:tcBorders>
          </w:tcPr>
          <w:p w:rsidR="002E3F4C" w:rsidRPr="0041117C" w:rsidRDefault="002E3F4C" w:rsidP="000F1D54">
            <w:pPr>
              <w:pStyle w:val="SPCTabletextleft"/>
              <w:keepLines/>
              <w:rPr>
                <w:lang w:val="en-AU"/>
              </w:rPr>
            </w:pPr>
          </w:p>
        </w:tc>
        <w:tc>
          <w:tcPr>
            <w:tcW w:w="3226" w:type="dxa"/>
            <w:gridSpan w:val="2"/>
            <w:tcBorders>
              <w:top w:val="nil"/>
              <w:left w:val="nil"/>
              <w:bottom w:val="nil"/>
            </w:tcBorders>
          </w:tcPr>
          <w:p w:rsidR="002E3F4C" w:rsidRPr="0041117C" w:rsidRDefault="002E3F4C" w:rsidP="000F1D54">
            <w:pPr>
              <w:pStyle w:val="SPCTabletextleft"/>
              <w:keepLines/>
              <w:rPr>
                <w:lang w:val="en-AU"/>
              </w:rPr>
            </w:pP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ind w:left="114"/>
              <w:rPr>
                <w:b w:val="0"/>
                <w:bCs/>
                <w:lang w:val="en-AU"/>
              </w:rPr>
            </w:pPr>
            <w:r w:rsidRPr="0041117C">
              <w:rPr>
                <w:b w:val="0"/>
                <w:bCs/>
                <w:lang w:val="en-AU"/>
              </w:rPr>
              <w:t>Hazard Ratio (95% CI)</w:t>
            </w:r>
          </w:p>
        </w:tc>
        <w:tc>
          <w:tcPr>
            <w:tcW w:w="3118" w:type="dxa"/>
            <w:gridSpan w:val="2"/>
            <w:tcBorders>
              <w:top w:val="nil"/>
              <w:left w:val="nil"/>
              <w:bottom w:val="nil"/>
              <w:right w:val="nil"/>
            </w:tcBorders>
          </w:tcPr>
          <w:p w:rsidR="002E3F4C" w:rsidRPr="0041117C" w:rsidRDefault="002E3F4C" w:rsidP="000F1D54">
            <w:pPr>
              <w:pStyle w:val="SPCtabletextcenter"/>
              <w:keepLines/>
              <w:rPr>
                <w:lang w:val="en-AU"/>
              </w:rPr>
            </w:pPr>
            <w:r w:rsidRPr="0041117C">
              <w:rPr>
                <w:lang w:val="en-AU"/>
              </w:rPr>
              <w:t>0.93 (0.70, 1.23)</w:t>
            </w:r>
          </w:p>
        </w:tc>
        <w:tc>
          <w:tcPr>
            <w:tcW w:w="3226" w:type="dxa"/>
            <w:gridSpan w:val="2"/>
            <w:tcBorders>
              <w:top w:val="nil"/>
              <w:left w:val="nil"/>
              <w:bottom w:val="nil"/>
            </w:tcBorders>
          </w:tcPr>
          <w:p w:rsidR="002E3F4C" w:rsidRPr="0041117C" w:rsidRDefault="002E3F4C" w:rsidP="000F1D54">
            <w:pPr>
              <w:pStyle w:val="SPCtabletextcenter"/>
              <w:keepLines/>
              <w:rPr>
                <w:lang w:val="en-AU"/>
              </w:rPr>
            </w:pPr>
            <w:r w:rsidRPr="0041117C">
              <w:rPr>
                <w:lang w:val="en-AU"/>
              </w:rPr>
              <w:t>0.57 (0.38, 0.86)</w:t>
            </w:r>
          </w:p>
        </w:tc>
      </w:tr>
      <w:tr w:rsidR="002E3F4C" w:rsidRPr="0041117C" w:rsidTr="002E3F4C">
        <w:tc>
          <w:tcPr>
            <w:tcW w:w="2127" w:type="dxa"/>
            <w:tcBorders>
              <w:top w:val="nil"/>
              <w:bottom w:val="nil"/>
              <w:right w:val="nil"/>
            </w:tcBorders>
          </w:tcPr>
          <w:p w:rsidR="002E3F4C" w:rsidRPr="0041117C" w:rsidRDefault="002E3F4C" w:rsidP="000F1D54">
            <w:pPr>
              <w:pStyle w:val="SPCTabletitleleft"/>
              <w:keepNext/>
              <w:keepLines/>
              <w:ind w:left="114"/>
              <w:rPr>
                <w:b w:val="0"/>
                <w:bCs/>
                <w:lang w:val="en-AU"/>
              </w:rPr>
            </w:pPr>
            <w:r w:rsidRPr="0041117C">
              <w:rPr>
                <w:b w:val="0"/>
                <w:bCs/>
                <w:lang w:val="en-AU"/>
              </w:rPr>
              <w:t xml:space="preserve">p-value </w:t>
            </w:r>
          </w:p>
        </w:tc>
        <w:tc>
          <w:tcPr>
            <w:tcW w:w="3118" w:type="dxa"/>
            <w:gridSpan w:val="2"/>
            <w:tcBorders>
              <w:top w:val="nil"/>
              <w:left w:val="nil"/>
              <w:bottom w:val="nil"/>
              <w:right w:val="nil"/>
            </w:tcBorders>
          </w:tcPr>
          <w:p w:rsidR="002E3F4C" w:rsidRPr="0041117C" w:rsidRDefault="002E3F4C" w:rsidP="000F1D54">
            <w:pPr>
              <w:pStyle w:val="SPCtabletextcenter"/>
              <w:keepLines/>
              <w:rPr>
                <w:lang w:val="en-AU"/>
              </w:rPr>
            </w:pPr>
            <w:r w:rsidRPr="0041117C">
              <w:rPr>
                <w:lang w:val="en-AU"/>
              </w:rPr>
              <w:t>0.62</w:t>
            </w:r>
          </w:p>
        </w:tc>
        <w:tc>
          <w:tcPr>
            <w:tcW w:w="3226" w:type="dxa"/>
            <w:gridSpan w:val="2"/>
            <w:tcBorders>
              <w:top w:val="nil"/>
              <w:left w:val="nil"/>
              <w:bottom w:val="nil"/>
            </w:tcBorders>
          </w:tcPr>
          <w:p w:rsidR="002E3F4C" w:rsidRPr="0041117C" w:rsidRDefault="002E3F4C" w:rsidP="000F1D54">
            <w:pPr>
              <w:pStyle w:val="SPCtabletextcenter"/>
              <w:keepLines/>
              <w:rPr>
                <w:lang w:val="en-AU"/>
              </w:rPr>
            </w:pPr>
            <w:r w:rsidRPr="0041117C">
              <w:rPr>
                <w:lang w:val="en-AU"/>
              </w:rPr>
              <w:t>0.006</w:t>
            </w:r>
          </w:p>
        </w:tc>
      </w:tr>
      <w:tr w:rsidR="002E3F4C" w:rsidRPr="0041117C" w:rsidTr="002E3F4C">
        <w:tc>
          <w:tcPr>
            <w:tcW w:w="2127" w:type="dxa"/>
            <w:tcBorders>
              <w:top w:val="nil"/>
              <w:bottom w:val="single" w:sz="4" w:space="0" w:color="auto"/>
              <w:right w:val="nil"/>
            </w:tcBorders>
          </w:tcPr>
          <w:p w:rsidR="002E3F4C" w:rsidRPr="0041117C" w:rsidRDefault="002E3F4C" w:rsidP="000F1D54">
            <w:pPr>
              <w:pStyle w:val="SPCTabletitleleft"/>
              <w:keepNext/>
              <w:keepLines/>
              <w:ind w:left="82"/>
              <w:rPr>
                <w:lang w:val="en-AU"/>
              </w:rPr>
            </w:pPr>
            <w:r w:rsidRPr="0041117C">
              <w:rPr>
                <w:b w:val="0"/>
                <w:bCs/>
                <w:lang w:val="en-AU"/>
              </w:rPr>
              <w:t>Median (months, 95% CI)</w:t>
            </w:r>
          </w:p>
        </w:tc>
        <w:tc>
          <w:tcPr>
            <w:tcW w:w="1559" w:type="dxa"/>
            <w:tcBorders>
              <w:top w:val="nil"/>
              <w:left w:val="nil"/>
              <w:bottom w:val="single" w:sz="4" w:space="0" w:color="auto"/>
              <w:right w:val="nil"/>
            </w:tcBorders>
          </w:tcPr>
          <w:p w:rsidR="002E3F4C" w:rsidRPr="0041117C" w:rsidRDefault="002E3F4C" w:rsidP="000F1D54">
            <w:pPr>
              <w:pStyle w:val="SPCTabletitlecenter"/>
              <w:keepLines/>
              <w:rPr>
                <w:b w:val="0"/>
                <w:lang w:val="en-AU"/>
              </w:rPr>
            </w:pPr>
            <w:r w:rsidRPr="0041117C">
              <w:rPr>
                <w:b w:val="0"/>
                <w:lang w:val="en-AU"/>
              </w:rPr>
              <w:t>7.2 (5.6, 7.7)</w:t>
            </w:r>
          </w:p>
        </w:tc>
        <w:tc>
          <w:tcPr>
            <w:tcW w:w="1559" w:type="dxa"/>
            <w:tcBorders>
              <w:top w:val="nil"/>
              <w:left w:val="nil"/>
              <w:bottom w:val="single" w:sz="4" w:space="0" w:color="auto"/>
              <w:right w:val="nil"/>
            </w:tcBorders>
          </w:tcPr>
          <w:p w:rsidR="002E3F4C" w:rsidRPr="0041117C" w:rsidRDefault="002E3F4C" w:rsidP="000F1D54">
            <w:pPr>
              <w:pStyle w:val="SPCTabletitlecenter"/>
              <w:keepLines/>
              <w:rPr>
                <w:b w:val="0"/>
                <w:lang w:val="en-AU"/>
              </w:rPr>
            </w:pPr>
            <w:r w:rsidRPr="0041117C">
              <w:rPr>
                <w:b w:val="0"/>
                <w:lang w:val="en-AU"/>
              </w:rPr>
              <w:t>7.2 (6.0, 7.8)</w:t>
            </w:r>
          </w:p>
        </w:tc>
        <w:tc>
          <w:tcPr>
            <w:tcW w:w="1701" w:type="dxa"/>
            <w:tcBorders>
              <w:top w:val="nil"/>
              <w:left w:val="nil"/>
              <w:bottom w:val="single" w:sz="4" w:space="0" w:color="auto"/>
              <w:right w:val="nil"/>
            </w:tcBorders>
          </w:tcPr>
          <w:p w:rsidR="002E3F4C" w:rsidRPr="0041117C" w:rsidRDefault="002E3F4C" w:rsidP="000F1D54">
            <w:pPr>
              <w:pStyle w:val="SPCTabletitlecenter"/>
              <w:keepLines/>
              <w:rPr>
                <w:b w:val="0"/>
                <w:lang w:val="en-AU"/>
              </w:rPr>
            </w:pPr>
            <w:r w:rsidRPr="0041117C">
              <w:rPr>
                <w:b w:val="0"/>
                <w:lang w:val="en-AU"/>
              </w:rPr>
              <w:t>8.3 (7.2, 12.0)</w:t>
            </w:r>
          </w:p>
        </w:tc>
        <w:tc>
          <w:tcPr>
            <w:tcW w:w="1525" w:type="dxa"/>
            <w:tcBorders>
              <w:top w:val="nil"/>
              <w:left w:val="nil"/>
              <w:bottom w:val="single" w:sz="4" w:space="0" w:color="auto"/>
            </w:tcBorders>
          </w:tcPr>
          <w:p w:rsidR="002E3F4C" w:rsidRPr="0041117C" w:rsidRDefault="002E3F4C" w:rsidP="000F1D54">
            <w:pPr>
              <w:pStyle w:val="SPCTabletitlecenter"/>
              <w:keepLines/>
              <w:rPr>
                <w:b w:val="0"/>
                <w:lang w:val="en-AU"/>
              </w:rPr>
            </w:pPr>
            <w:r w:rsidRPr="0041117C">
              <w:rPr>
                <w:b w:val="0"/>
                <w:lang w:val="en-AU"/>
              </w:rPr>
              <w:t>7.2 (5.6, 7.4)</w:t>
            </w:r>
          </w:p>
        </w:tc>
      </w:tr>
    </w:tbl>
    <w:p w:rsidR="006F7F0C" w:rsidRPr="002E3F4C" w:rsidRDefault="002E3F4C" w:rsidP="006F7F0C">
      <w:pPr>
        <w:ind w:left="426"/>
        <w:rPr>
          <w:sz w:val="18"/>
          <w:szCs w:val="18"/>
        </w:rPr>
      </w:pPr>
      <w:r w:rsidRPr="002E3F4C">
        <w:rPr>
          <w:sz w:val="18"/>
          <w:szCs w:val="18"/>
        </w:rPr>
        <w:t xml:space="preserve">CI = confidence interval, FOLFOX4 = </w:t>
      </w:r>
      <w:proofErr w:type="spellStart"/>
      <w:r w:rsidRPr="002E3F4C">
        <w:rPr>
          <w:sz w:val="18"/>
          <w:szCs w:val="18"/>
        </w:rPr>
        <w:t>oxaliplatin</w:t>
      </w:r>
      <w:proofErr w:type="spellEnd"/>
      <w:r w:rsidRPr="002E3F4C">
        <w:rPr>
          <w:sz w:val="18"/>
          <w:szCs w:val="18"/>
        </w:rPr>
        <w:t xml:space="preserve"> plus continuous </w:t>
      </w:r>
      <w:proofErr w:type="spellStart"/>
      <w:r w:rsidRPr="002E3F4C">
        <w:rPr>
          <w:sz w:val="18"/>
          <w:szCs w:val="18"/>
        </w:rPr>
        <w:t>infusional</w:t>
      </w:r>
      <w:proofErr w:type="spellEnd"/>
      <w:r w:rsidRPr="002E3F4C">
        <w:rPr>
          <w:sz w:val="18"/>
          <w:szCs w:val="18"/>
        </w:rPr>
        <w:t xml:space="preserve"> 5</w:t>
      </w:r>
      <w:r w:rsidRPr="002E3F4C">
        <w:rPr>
          <w:sz w:val="18"/>
          <w:szCs w:val="18"/>
        </w:rPr>
        <w:noBreakHyphen/>
        <w:t>FU/FA, ORR = objective response rate (patients with complete response or partial response), OS = overall survival, PFS = progression-free survival</w:t>
      </w:r>
      <w:r>
        <w:rPr>
          <w:sz w:val="18"/>
          <w:szCs w:val="18"/>
        </w:rPr>
        <w:t>.</w:t>
      </w:r>
    </w:p>
    <w:p w:rsidR="006F7F0C" w:rsidRDefault="006F7F0C" w:rsidP="006F7F0C">
      <w:pPr>
        <w:ind w:left="426"/>
      </w:pPr>
    </w:p>
    <w:p w:rsidR="006F7F0C" w:rsidRDefault="002E3F4C" w:rsidP="006F7F0C">
      <w:pPr>
        <w:ind w:left="426"/>
        <w:rPr>
          <w:szCs w:val="24"/>
        </w:rPr>
      </w:pPr>
      <w:r w:rsidRPr="006C7198">
        <w:rPr>
          <w:szCs w:val="24"/>
        </w:rPr>
        <w:t xml:space="preserve">In patients with </w:t>
      </w:r>
      <w:r w:rsidRPr="006C7198">
        <w:rPr>
          <w:i/>
        </w:rPr>
        <w:t>K-RAS</w:t>
      </w:r>
      <w:r w:rsidRPr="006C7198">
        <w:rPr>
          <w:szCs w:val="24"/>
        </w:rPr>
        <w:t xml:space="preserve"> mutant tumours, a negative effect of cetuximab add-on to FOLFOX4 (n=77) was observed compared to FOLFOX4 alone (n=59)</w:t>
      </w:r>
      <w:r>
        <w:rPr>
          <w:szCs w:val="24"/>
        </w:rPr>
        <w:t>:</w:t>
      </w:r>
      <w:r w:rsidRPr="006C7198">
        <w:rPr>
          <w:szCs w:val="24"/>
        </w:rPr>
        <w:t xml:space="preserve"> </w:t>
      </w:r>
      <w:r>
        <w:rPr>
          <w:szCs w:val="24"/>
        </w:rPr>
        <w:t>median overall survival time was</w:t>
      </w:r>
      <w:r w:rsidRPr="006D6C0D">
        <w:rPr>
          <w:szCs w:val="24"/>
        </w:rPr>
        <w:t xml:space="preserve"> </w:t>
      </w:r>
      <w:r>
        <w:rPr>
          <w:szCs w:val="24"/>
        </w:rPr>
        <w:t>13.4</w:t>
      </w:r>
      <w:r w:rsidRPr="006D6C0D">
        <w:rPr>
          <w:szCs w:val="24"/>
        </w:rPr>
        <w:t xml:space="preserve"> vs.</w:t>
      </w:r>
      <w:r>
        <w:rPr>
          <w:szCs w:val="24"/>
        </w:rPr>
        <w:t xml:space="preserve"> 17.5 </w:t>
      </w:r>
      <w:r w:rsidRPr="006D6C0D">
        <w:rPr>
          <w:szCs w:val="24"/>
        </w:rPr>
        <w:t>months (HR </w:t>
      </w:r>
      <w:r>
        <w:rPr>
          <w:szCs w:val="24"/>
        </w:rPr>
        <w:t>1.29, p=0.200</w:t>
      </w:r>
      <w:r w:rsidRPr="006D6C0D">
        <w:rPr>
          <w:szCs w:val="24"/>
        </w:rPr>
        <w:t xml:space="preserve">), median </w:t>
      </w:r>
      <w:r>
        <w:rPr>
          <w:szCs w:val="24"/>
        </w:rPr>
        <w:t>progression free survival time was 5.5</w:t>
      </w:r>
      <w:r w:rsidRPr="006D6C0D">
        <w:rPr>
          <w:szCs w:val="24"/>
        </w:rPr>
        <w:t xml:space="preserve"> vs. </w:t>
      </w:r>
      <w:r>
        <w:rPr>
          <w:szCs w:val="24"/>
        </w:rPr>
        <w:t>8.6</w:t>
      </w:r>
      <w:r w:rsidRPr="006D6C0D">
        <w:rPr>
          <w:szCs w:val="24"/>
        </w:rPr>
        <w:t> months (HR </w:t>
      </w:r>
      <w:r>
        <w:rPr>
          <w:szCs w:val="24"/>
        </w:rPr>
        <w:t>1.72, p=0.015) and objective response rate</w:t>
      </w:r>
      <w:r w:rsidRPr="006D6C0D">
        <w:rPr>
          <w:szCs w:val="24"/>
        </w:rPr>
        <w:t xml:space="preserve"> </w:t>
      </w:r>
      <w:r>
        <w:rPr>
          <w:szCs w:val="24"/>
        </w:rPr>
        <w:t>was 33.8</w:t>
      </w:r>
      <w:r w:rsidRPr="006D6C0D">
        <w:rPr>
          <w:szCs w:val="24"/>
        </w:rPr>
        <w:t xml:space="preserve">% vs. </w:t>
      </w:r>
      <w:r>
        <w:rPr>
          <w:szCs w:val="24"/>
        </w:rPr>
        <w:t>52.5</w:t>
      </w:r>
      <w:r w:rsidRPr="006D6C0D">
        <w:rPr>
          <w:szCs w:val="24"/>
        </w:rPr>
        <w:t>%</w:t>
      </w:r>
      <w:r>
        <w:rPr>
          <w:szCs w:val="24"/>
        </w:rPr>
        <w:t xml:space="preserve"> (p=0.029), respectively</w:t>
      </w:r>
      <w:r w:rsidRPr="006D6C0D">
        <w:rPr>
          <w:szCs w:val="24"/>
        </w:rPr>
        <w:t>.</w:t>
      </w:r>
      <w:r>
        <w:rPr>
          <w:szCs w:val="24"/>
        </w:rPr>
        <w:t>*</w:t>
      </w:r>
    </w:p>
    <w:p w:rsidR="002E3F4C" w:rsidRDefault="002E3F4C" w:rsidP="006F7F0C">
      <w:pPr>
        <w:ind w:left="426"/>
        <w:rPr>
          <w:szCs w:val="24"/>
        </w:rPr>
      </w:pPr>
    </w:p>
    <w:p w:rsidR="002E3F4C" w:rsidRPr="002E3F4C" w:rsidRDefault="002E3F4C" w:rsidP="002E3F4C">
      <w:pPr>
        <w:pStyle w:val="ListParagraph"/>
        <w:numPr>
          <w:ilvl w:val="0"/>
          <w:numId w:val="23"/>
        </w:numPr>
        <w:ind w:left="426" w:hanging="426"/>
      </w:pPr>
      <w:r w:rsidRPr="002E3F4C">
        <w:t xml:space="preserve">COIN*: This open-label, randomised, investigator-sponsored study compared the addition of cetuximab to first-line chemotherapy (oxaliplatin plus oral or </w:t>
      </w:r>
      <w:proofErr w:type="spellStart"/>
      <w:r w:rsidRPr="002E3F4C">
        <w:t>infusional</w:t>
      </w:r>
      <w:proofErr w:type="spellEnd"/>
      <w:r w:rsidRPr="002E3F4C">
        <w:t xml:space="preserve"> </w:t>
      </w:r>
      <w:proofErr w:type="spellStart"/>
      <w:r w:rsidRPr="002E3F4C">
        <w:t>fluoropyrimidine</w:t>
      </w:r>
      <w:proofErr w:type="spellEnd"/>
      <w:r w:rsidRPr="002E3F4C">
        <w:t xml:space="preserve">) to the same chemotherapy alone, in patients with advanced colorectal cancer who had not received prior treatment for metastatic disease. Prolonged survival with the addition of cetuximab could not be demonstrated in this study. </w:t>
      </w:r>
    </w:p>
    <w:p w:rsidR="002E3F4C" w:rsidRPr="000D51F3" w:rsidRDefault="002E3F4C" w:rsidP="002E3F4C">
      <w:pPr>
        <w:pStyle w:val="ListParagraph"/>
        <w:ind w:left="426"/>
      </w:pPr>
    </w:p>
    <w:p w:rsidR="002E3F4C" w:rsidRPr="002E3F4C" w:rsidRDefault="002E3F4C" w:rsidP="002E3F4C">
      <w:pPr>
        <w:ind w:left="426"/>
      </w:pPr>
      <w:r w:rsidRPr="002E3F4C">
        <w:t xml:space="preserve">Comparison of outcomes in the subgroup of patients with </w:t>
      </w:r>
      <w:r w:rsidRPr="002E3F4C">
        <w:rPr>
          <w:i/>
        </w:rPr>
        <w:t>K-RAS</w:t>
      </w:r>
      <w:r w:rsidRPr="002E3F4C">
        <w:t xml:space="preserve"> wild-type tumours given cetuximab plus a FOLFOX-like regimen (modified de </w:t>
      </w:r>
      <w:proofErr w:type="spellStart"/>
      <w:r w:rsidRPr="002E3F4C">
        <w:t>Gramont</w:t>
      </w:r>
      <w:proofErr w:type="spellEnd"/>
      <w:r w:rsidRPr="002E3F4C">
        <w:t xml:space="preserve"> plus </w:t>
      </w:r>
      <w:proofErr w:type="spellStart"/>
      <w:r w:rsidRPr="002E3F4C">
        <w:t>oxaliplatin</w:t>
      </w:r>
      <w:proofErr w:type="spellEnd"/>
      <w:r w:rsidRPr="002E3F4C">
        <w:t xml:space="preserve">, </w:t>
      </w:r>
      <w:proofErr w:type="spellStart"/>
      <w:r w:rsidRPr="002E3F4C">
        <w:t>OxMdG</w:t>
      </w:r>
      <w:proofErr w:type="spellEnd"/>
      <w:r w:rsidRPr="002E3F4C">
        <w:t xml:space="preserve">), vs. a group given that chemotherapy alone, was possible. There was no evidence of any survival benefit in the patients given cetuximab. Median overall survival (OS) was 16.3 months in the cetuximab plus chemotherapy group (n=117), vs. 18.2 months in the chemotherapy alone group (n=127), with a hazard ratio of 0.93 (95% CI: 0.72, 1.19), slightly in favour of the </w:t>
      </w:r>
      <w:proofErr w:type="spellStart"/>
      <w:r w:rsidRPr="002E3F4C">
        <w:t>cetuximab</w:t>
      </w:r>
      <w:proofErr w:type="spellEnd"/>
      <w:r w:rsidRPr="002E3F4C">
        <w:t xml:space="preserve"> plus </w:t>
      </w:r>
      <w:proofErr w:type="spellStart"/>
      <w:r w:rsidRPr="002E3F4C">
        <w:t>OxMdG</w:t>
      </w:r>
      <w:proofErr w:type="spellEnd"/>
      <w:r w:rsidRPr="002E3F4C">
        <w:t xml:space="preserve"> combination. OS results may be biased due to imbalances in second-line treatments. Significantly fewer patients treated with cetuximab received second-line therapy. For progression-free survival, a trend towards greater efficacy in the group receiving </w:t>
      </w:r>
      <w:proofErr w:type="spellStart"/>
      <w:r w:rsidRPr="002E3F4C">
        <w:t>cetuximab</w:t>
      </w:r>
      <w:proofErr w:type="spellEnd"/>
      <w:r w:rsidRPr="002E3F4C">
        <w:t xml:space="preserve"> plus </w:t>
      </w:r>
      <w:proofErr w:type="spellStart"/>
      <w:r w:rsidRPr="002E3F4C">
        <w:t>OxMdG</w:t>
      </w:r>
      <w:proofErr w:type="spellEnd"/>
      <w:r w:rsidRPr="002E3F4C">
        <w:t xml:space="preserve"> was suggested based on the hazard ratio of 0.77 (95% CI: 0.59, 1.01), although median progression-free survival was broadly similar across groups: 9.2 months in the </w:t>
      </w:r>
      <w:proofErr w:type="spellStart"/>
      <w:r w:rsidRPr="002E3F4C">
        <w:t>cetuximab</w:t>
      </w:r>
      <w:proofErr w:type="spellEnd"/>
      <w:r w:rsidRPr="002E3F4C">
        <w:t xml:space="preserve"> </w:t>
      </w:r>
      <w:r w:rsidRPr="002E3F4C">
        <w:lastRenderedPageBreak/>
        <w:t xml:space="preserve">plus </w:t>
      </w:r>
      <w:proofErr w:type="spellStart"/>
      <w:r w:rsidRPr="002E3F4C">
        <w:t>OxMdG</w:t>
      </w:r>
      <w:proofErr w:type="spellEnd"/>
      <w:r w:rsidRPr="002E3F4C">
        <w:t xml:space="preserve"> group vs. 9.0 months for this chemotherapy alone. However, unlike in the OPUS study, these results did not reach statistical significance. Best overall response rates were not statistically significantly different (68% for </w:t>
      </w:r>
      <w:proofErr w:type="spellStart"/>
      <w:r w:rsidRPr="002E3F4C">
        <w:t>cetuximab</w:t>
      </w:r>
      <w:proofErr w:type="spellEnd"/>
      <w:r w:rsidRPr="002E3F4C">
        <w:t xml:space="preserve">; 59% for </w:t>
      </w:r>
      <w:proofErr w:type="spellStart"/>
      <w:r w:rsidRPr="002E3F4C">
        <w:t>OxMdG</w:t>
      </w:r>
      <w:proofErr w:type="spellEnd"/>
      <w:r w:rsidRPr="002E3F4C">
        <w:t>; odds ratio, 1.44 [95% CI: 0.85, 2.43]).</w:t>
      </w:r>
    </w:p>
    <w:p w:rsidR="002E3F4C" w:rsidRDefault="002E3F4C" w:rsidP="006F7F0C">
      <w:pPr>
        <w:ind w:left="426"/>
      </w:pPr>
    </w:p>
    <w:p w:rsidR="00911C74" w:rsidRDefault="00911C74" w:rsidP="006F7F0C">
      <w:pPr>
        <w:ind w:left="426"/>
      </w:pPr>
    </w:p>
    <w:p w:rsidR="00911C74" w:rsidRDefault="00911C74" w:rsidP="006F7F0C">
      <w:pPr>
        <w:ind w:left="426"/>
      </w:pPr>
    </w:p>
    <w:p w:rsidR="00911C74" w:rsidRDefault="00911C74" w:rsidP="00911C74">
      <w:pPr>
        <w:pStyle w:val="ListParagraph"/>
        <w:numPr>
          <w:ilvl w:val="0"/>
          <w:numId w:val="23"/>
        </w:numPr>
        <w:ind w:left="426" w:hanging="426"/>
      </w:pPr>
      <w:r w:rsidRPr="00911C74">
        <w:t xml:space="preserve">CA225006 (EPIC): This randomised, open-label study in patients with metastatic colorectal cancer who had received initial combination treatment with </w:t>
      </w:r>
      <w:proofErr w:type="spellStart"/>
      <w:r w:rsidRPr="00911C74">
        <w:t>oxaliplatin</w:t>
      </w:r>
      <w:proofErr w:type="spellEnd"/>
      <w:r w:rsidRPr="00911C74">
        <w:t xml:space="preserve"> plus </w:t>
      </w:r>
      <w:proofErr w:type="spellStart"/>
      <w:r w:rsidRPr="00911C74">
        <w:t>fluoropyrimidine</w:t>
      </w:r>
      <w:proofErr w:type="spellEnd"/>
      <w:r w:rsidRPr="00911C74">
        <w:t xml:space="preserve"> for metastatic disease compared the combination of cetuximab and irinotecan (648 patients) with irinotecan alone (650 patients).</w:t>
      </w:r>
    </w:p>
    <w:p w:rsidR="00911C74" w:rsidRDefault="00911C74" w:rsidP="006F7F0C">
      <w:pPr>
        <w:ind w:left="426"/>
      </w:pPr>
    </w:p>
    <w:p w:rsidR="00911C74" w:rsidRDefault="00911C74" w:rsidP="006F7F0C">
      <w:pPr>
        <w:ind w:left="426"/>
      </w:pPr>
      <w:r w:rsidRPr="0041117C">
        <w:rPr>
          <w:szCs w:val="24"/>
        </w:rPr>
        <w:t xml:space="preserve">A significant difference in overall survival time could not be shown in this study. Following disease progression, treatment with EGFR-targeting agents was initiated in 50% of patients in the irinotecan-alone arm, which most likely impacted survival results. Objective response rate and progression free survival time were significantly improved with cetuximab. However, as no independent review of imaging data was conducted, these results have to be interpreted with caution.  The impact of </w:t>
      </w:r>
      <w:r w:rsidRPr="006D6C0D">
        <w:rPr>
          <w:i/>
          <w:szCs w:val="24"/>
        </w:rPr>
        <w:t>K-RAS</w:t>
      </w:r>
      <w:r w:rsidRPr="0041117C">
        <w:rPr>
          <w:szCs w:val="24"/>
        </w:rPr>
        <w:t xml:space="preserve"> status was evaluated retrospectively in 23% of subjects.  </w:t>
      </w:r>
      <w:r w:rsidRPr="007D71E1">
        <w:rPr>
          <w:szCs w:val="24"/>
        </w:rPr>
        <w:t xml:space="preserve">Unlike in the other trials, cetuximab did not have a significant impact on either progression-free survival or overall survival in wild-type </w:t>
      </w:r>
      <w:r w:rsidRPr="007D71E1">
        <w:rPr>
          <w:i/>
          <w:szCs w:val="24"/>
        </w:rPr>
        <w:t>K-RAS</w:t>
      </w:r>
      <w:r w:rsidRPr="007D71E1">
        <w:rPr>
          <w:szCs w:val="24"/>
        </w:rPr>
        <w:t xml:space="preserve"> disease.  However, the results should be treated with caution due to the small number of subjects.</w:t>
      </w:r>
    </w:p>
    <w:p w:rsidR="00911C74" w:rsidRDefault="00911C74" w:rsidP="006F7F0C">
      <w:pPr>
        <w:ind w:left="426"/>
      </w:pPr>
    </w:p>
    <w:p w:rsidR="00911C74" w:rsidRDefault="00911C74" w:rsidP="00911C74">
      <w:pPr>
        <w:pStyle w:val="ListParagraph"/>
        <w:numPr>
          <w:ilvl w:val="0"/>
          <w:numId w:val="23"/>
        </w:numPr>
        <w:ind w:left="426" w:hanging="426"/>
      </w:pPr>
      <w:r w:rsidRPr="00911C74">
        <w:t xml:space="preserve">EMR 62 202-007 (BOND): This randomised study in patients with metastatic colorectal cancer after failure of irinotecan-based treatment for metastatic disease as the last treatment before study entry compared the combination of cetuximab and irinotecan (218 patients) with </w:t>
      </w:r>
      <w:proofErr w:type="spellStart"/>
      <w:r w:rsidRPr="00911C74">
        <w:t>cetuximab</w:t>
      </w:r>
      <w:proofErr w:type="spellEnd"/>
      <w:r w:rsidRPr="00911C74">
        <w:t xml:space="preserve"> </w:t>
      </w:r>
      <w:proofErr w:type="spellStart"/>
      <w:r w:rsidRPr="00911C74">
        <w:t>monotherapy</w:t>
      </w:r>
      <w:proofErr w:type="spellEnd"/>
      <w:r w:rsidRPr="00911C74">
        <w:t xml:space="preserve"> (111 patients).</w:t>
      </w:r>
    </w:p>
    <w:p w:rsidR="00911C74" w:rsidRDefault="00911C74" w:rsidP="006F7F0C">
      <w:pPr>
        <w:ind w:left="426"/>
      </w:pPr>
    </w:p>
    <w:p w:rsidR="00911C74" w:rsidRDefault="004E042E" w:rsidP="006F7F0C">
      <w:pPr>
        <w:ind w:left="426"/>
      </w:pPr>
      <w:r w:rsidRPr="0041117C">
        <w:t xml:space="preserve">Addition of irinotecan to cetuximab increased median progression-free survival from 1.5 months to 4.1 months – hazard ratio 0.54, 95% CI [0.42, 0.71] </w:t>
      </w:r>
      <w:r w:rsidRPr="0041117C">
        <w:noBreakHyphen/>
        <w:t xml:space="preserve"> and significantly increased the objective response rate. The improvement in overall survival time did not reach statistical significance; however, in the follow-up treatment, nearly 50% of patients in the cetuximab only arm received a combination of cetuximab and irinotecan after progression of disease, which may have influenced overall survival time.</w:t>
      </w:r>
    </w:p>
    <w:p w:rsidR="00911C74" w:rsidRDefault="00911C74" w:rsidP="006F7F0C">
      <w:pPr>
        <w:ind w:left="426"/>
      </w:pPr>
    </w:p>
    <w:p w:rsidR="004E042E" w:rsidRDefault="004E042E" w:rsidP="004E042E">
      <w:r w:rsidRPr="00E268BF">
        <w:rPr>
          <w:iCs/>
          <w:u w:val="single"/>
        </w:rPr>
        <w:t>Cetuximab as a single agent</w:t>
      </w:r>
    </w:p>
    <w:p w:rsidR="004E042E" w:rsidRDefault="004E042E" w:rsidP="006F7F0C">
      <w:pPr>
        <w:ind w:left="426"/>
      </w:pPr>
    </w:p>
    <w:p w:rsidR="004E042E" w:rsidRDefault="004E042E" w:rsidP="004E042E">
      <w:pPr>
        <w:pStyle w:val="ListParagraph"/>
        <w:numPr>
          <w:ilvl w:val="0"/>
          <w:numId w:val="23"/>
        </w:numPr>
        <w:ind w:left="426" w:hanging="426"/>
      </w:pPr>
      <w:r w:rsidRPr="0041117C">
        <w:t>CA225025 (NCIC CTG CO.17):  This randomised, open-label study in patients with metastatic colorectal cancer who</w:t>
      </w:r>
      <w:r>
        <w:t xml:space="preserve"> had received prior </w:t>
      </w:r>
      <w:proofErr w:type="spellStart"/>
      <w:r>
        <w:t>oxaliplatin</w:t>
      </w:r>
      <w:proofErr w:type="spellEnd"/>
      <w:r>
        <w:t>-</w:t>
      </w:r>
      <w:r w:rsidRPr="0041117C">
        <w:t xml:space="preserve">, </w:t>
      </w:r>
      <w:proofErr w:type="spellStart"/>
      <w:r w:rsidRPr="0041117C">
        <w:t>irinotecan</w:t>
      </w:r>
      <w:proofErr w:type="spellEnd"/>
      <w:r w:rsidRPr="0041117C">
        <w:t xml:space="preserve">- and </w:t>
      </w:r>
      <w:proofErr w:type="spellStart"/>
      <w:r w:rsidRPr="0041117C">
        <w:t>fluoropyrimidine</w:t>
      </w:r>
      <w:proofErr w:type="spellEnd"/>
      <w:r w:rsidRPr="0041117C">
        <w:t xml:space="preserve">-based treatment for metastatic disease compared the addition of cetuximab as a single agent to best supportive care (BSC) (287 patients) with BSC alone (285 patients).  The median age of subjects was 63 years (range 29-88), with most being male (64%).  </w:t>
      </w:r>
    </w:p>
    <w:p w:rsidR="004E042E" w:rsidRDefault="004E042E" w:rsidP="004E042E">
      <w:pPr>
        <w:pStyle w:val="ListParagraph"/>
        <w:ind w:left="426"/>
      </w:pPr>
    </w:p>
    <w:p w:rsidR="004E042E" w:rsidRDefault="004E042E" w:rsidP="004E042E">
      <w:pPr>
        <w:pStyle w:val="ListParagraph"/>
        <w:ind w:left="426"/>
      </w:pPr>
      <w:r w:rsidRPr="0041117C">
        <w:t xml:space="preserve">Addition of cetuximab to BSC (best supportive care) increased overall survival time significantly by 1.5 months from 4.6 to 6.1 months </w:t>
      </w:r>
      <w:r w:rsidRPr="0041117C">
        <w:noBreakHyphen/>
        <w:t xml:space="preserve"> hazard ratio 0.77, 95% CI [0.64, 0.92]) </w:t>
      </w:r>
      <w:r w:rsidRPr="0041117C">
        <w:noBreakHyphen/>
        <w:t xml:space="preserve"> while median progression-free survival increased from 1.8 months to 1.9 months </w:t>
      </w:r>
      <w:r w:rsidRPr="0041117C">
        <w:noBreakHyphen/>
        <w:t xml:space="preserve"> hazard ratio 0.676, 95% CI [0.57, 0.80], in the overall population. The impact of </w:t>
      </w:r>
      <w:r w:rsidRPr="0041117C">
        <w:rPr>
          <w:i/>
        </w:rPr>
        <w:t>K-RAS</w:t>
      </w:r>
      <w:r w:rsidRPr="0041117C">
        <w:t xml:space="preserve"> </w:t>
      </w:r>
      <w:r w:rsidRPr="0041117C">
        <w:lastRenderedPageBreak/>
        <w:t xml:space="preserve">status was evaluated subsequently in 69% of patients. The benefits of cetuximab were enhanced in the </w:t>
      </w:r>
      <w:r w:rsidRPr="0041117C">
        <w:rPr>
          <w:i/>
        </w:rPr>
        <w:t>K-RAS</w:t>
      </w:r>
      <w:r w:rsidRPr="0041117C">
        <w:t xml:space="preserve"> wild-type population (Table 3).</w:t>
      </w:r>
    </w:p>
    <w:p w:rsidR="004E042E" w:rsidRDefault="004E042E" w:rsidP="004E042E">
      <w:pPr>
        <w:pStyle w:val="ListParagraph"/>
        <w:ind w:left="426"/>
      </w:pPr>
    </w:p>
    <w:p w:rsidR="004E042E" w:rsidRDefault="004E042E">
      <w:pPr>
        <w:rPr>
          <w:b/>
          <w:bCs/>
        </w:rPr>
      </w:pPr>
      <w:r>
        <w:rPr>
          <w:b/>
          <w:bCs/>
        </w:rPr>
        <w:br w:type="page"/>
      </w:r>
    </w:p>
    <w:p w:rsidR="004E042E" w:rsidRDefault="004E042E" w:rsidP="004E042E">
      <w:pPr>
        <w:pStyle w:val="ListParagraph"/>
        <w:ind w:left="426"/>
        <w:rPr>
          <w:b/>
          <w:bCs/>
        </w:rPr>
      </w:pPr>
      <w:r w:rsidRPr="0041117C">
        <w:rPr>
          <w:b/>
          <w:bCs/>
        </w:rPr>
        <w:lastRenderedPageBreak/>
        <w:t>Table 3:  Study CA225025:  Efficacy Results</w:t>
      </w:r>
    </w:p>
    <w:p w:rsidR="004E042E" w:rsidRDefault="004E042E" w:rsidP="004E042E">
      <w:pPr>
        <w:pStyle w:val="ListParagraph"/>
        <w:ind w:left="426"/>
        <w:rPr>
          <w:b/>
          <w:bCs/>
        </w:rPr>
      </w:pPr>
    </w:p>
    <w:tbl>
      <w:tblPr>
        <w:tblW w:w="847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127"/>
        <w:gridCol w:w="1488"/>
        <w:gridCol w:w="71"/>
        <w:gridCol w:w="1559"/>
        <w:gridCol w:w="1613"/>
        <w:gridCol w:w="88"/>
        <w:gridCol w:w="1525"/>
      </w:tblGrid>
      <w:tr w:rsidR="004E042E" w:rsidRPr="0041117C" w:rsidTr="004E042E">
        <w:tc>
          <w:tcPr>
            <w:tcW w:w="2127" w:type="dxa"/>
            <w:tcBorders>
              <w:bottom w:val="nil"/>
              <w:right w:val="nil"/>
            </w:tcBorders>
          </w:tcPr>
          <w:p w:rsidR="004E042E" w:rsidRPr="0041117C" w:rsidRDefault="004E042E" w:rsidP="000F1D54">
            <w:pPr>
              <w:pStyle w:val="SPCTabletitlecenter"/>
              <w:keepLines/>
              <w:rPr>
                <w:lang w:val="en-AU"/>
              </w:rPr>
            </w:pPr>
          </w:p>
        </w:tc>
        <w:tc>
          <w:tcPr>
            <w:tcW w:w="3118" w:type="dxa"/>
            <w:gridSpan w:val="3"/>
            <w:tcBorders>
              <w:left w:val="nil"/>
              <w:bottom w:val="nil"/>
              <w:right w:val="nil"/>
            </w:tcBorders>
          </w:tcPr>
          <w:p w:rsidR="004E042E" w:rsidRPr="0041117C" w:rsidRDefault="004E042E" w:rsidP="000F1D54">
            <w:pPr>
              <w:pStyle w:val="SPCTabletitlecenter"/>
              <w:keepLines/>
              <w:rPr>
                <w:lang w:val="en-AU"/>
              </w:rPr>
            </w:pPr>
            <w:r w:rsidRPr="0041117C">
              <w:rPr>
                <w:lang w:val="en-AU"/>
              </w:rPr>
              <w:t>Overall population</w:t>
            </w:r>
          </w:p>
        </w:tc>
        <w:tc>
          <w:tcPr>
            <w:tcW w:w="3226" w:type="dxa"/>
            <w:gridSpan w:val="3"/>
            <w:tcBorders>
              <w:left w:val="nil"/>
              <w:bottom w:val="nil"/>
            </w:tcBorders>
          </w:tcPr>
          <w:p w:rsidR="004E042E" w:rsidRPr="0041117C" w:rsidRDefault="004E042E" w:rsidP="000F1D54">
            <w:pPr>
              <w:pStyle w:val="SPCTabletitlecenter"/>
              <w:keepLines/>
              <w:rPr>
                <w:lang w:val="en-AU"/>
              </w:rPr>
            </w:pPr>
            <w:r w:rsidRPr="0041117C">
              <w:rPr>
                <w:i/>
                <w:iCs/>
                <w:lang w:val="en-AU"/>
              </w:rPr>
              <w:t>K-RAS</w:t>
            </w:r>
            <w:r w:rsidRPr="0041117C">
              <w:rPr>
                <w:lang w:val="en-AU"/>
              </w:rPr>
              <w:t xml:space="preserve"> wild-type population</w:t>
            </w:r>
          </w:p>
        </w:tc>
      </w:tr>
      <w:tr w:rsidR="004E042E" w:rsidRPr="0041117C" w:rsidTr="004E042E">
        <w:tc>
          <w:tcPr>
            <w:tcW w:w="2127" w:type="dxa"/>
            <w:tcBorders>
              <w:top w:val="nil"/>
              <w:bottom w:val="nil"/>
              <w:right w:val="nil"/>
            </w:tcBorders>
          </w:tcPr>
          <w:p w:rsidR="004E042E" w:rsidRPr="0041117C" w:rsidRDefault="004E042E" w:rsidP="000F1D54">
            <w:pPr>
              <w:pStyle w:val="SPCTabletitlecenter"/>
              <w:keepLines/>
              <w:rPr>
                <w:lang w:val="en-AU"/>
              </w:rPr>
            </w:pPr>
            <w:r w:rsidRPr="0041117C">
              <w:rPr>
                <w:lang w:val="en-AU"/>
              </w:rPr>
              <w:t>Variable/ statistic</w:t>
            </w:r>
          </w:p>
        </w:tc>
        <w:tc>
          <w:tcPr>
            <w:tcW w:w="1559" w:type="dxa"/>
            <w:gridSpan w:val="2"/>
            <w:tcBorders>
              <w:top w:val="nil"/>
              <w:left w:val="nil"/>
              <w:bottom w:val="nil"/>
              <w:right w:val="nil"/>
            </w:tcBorders>
          </w:tcPr>
          <w:p w:rsidR="004E042E" w:rsidRPr="0041117C" w:rsidRDefault="004E042E" w:rsidP="000F1D54">
            <w:pPr>
              <w:pStyle w:val="SPCTabletitlecenter"/>
              <w:keepLines/>
              <w:rPr>
                <w:lang w:val="en-AU"/>
              </w:rPr>
            </w:pPr>
            <w:r w:rsidRPr="0041117C">
              <w:rPr>
                <w:lang w:val="en-AU"/>
              </w:rPr>
              <w:t xml:space="preserve">Cetuximab </w:t>
            </w:r>
            <w:r w:rsidRPr="0041117C">
              <w:rPr>
                <w:lang w:val="en-AU"/>
              </w:rPr>
              <w:br/>
              <w:t>plus BSC</w:t>
            </w:r>
          </w:p>
        </w:tc>
        <w:tc>
          <w:tcPr>
            <w:tcW w:w="1559" w:type="dxa"/>
            <w:tcBorders>
              <w:top w:val="nil"/>
              <w:left w:val="nil"/>
              <w:bottom w:val="nil"/>
              <w:right w:val="nil"/>
            </w:tcBorders>
          </w:tcPr>
          <w:p w:rsidR="004E042E" w:rsidRPr="0041117C" w:rsidRDefault="004E042E" w:rsidP="000F1D54">
            <w:pPr>
              <w:pStyle w:val="SPCTabletitlecenter"/>
              <w:keepLines/>
              <w:rPr>
                <w:lang w:val="en-AU"/>
              </w:rPr>
            </w:pPr>
            <w:r w:rsidRPr="0041117C">
              <w:rPr>
                <w:lang w:val="en-AU"/>
              </w:rPr>
              <w:t>BSC</w:t>
            </w:r>
          </w:p>
        </w:tc>
        <w:tc>
          <w:tcPr>
            <w:tcW w:w="1701" w:type="dxa"/>
            <w:gridSpan w:val="2"/>
            <w:tcBorders>
              <w:top w:val="nil"/>
              <w:left w:val="nil"/>
              <w:bottom w:val="nil"/>
              <w:right w:val="nil"/>
            </w:tcBorders>
          </w:tcPr>
          <w:p w:rsidR="004E042E" w:rsidRPr="0041117C" w:rsidRDefault="004E042E" w:rsidP="000F1D54">
            <w:pPr>
              <w:pStyle w:val="SPCTabletitlecenter"/>
              <w:keepLines/>
              <w:rPr>
                <w:lang w:val="en-AU"/>
              </w:rPr>
            </w:pPr>
            <w:r w:rsidRPr="0041117C">
              <w:rPr>
                <w:lang w:val="en-AU"/>
              </w:rPr>
              <w:t xml:space="preserve">Cetuximab </w:t>
            </w:r>
            <w:r w:rsidRPr="0041117C">
              <w:rPr>
                <w:lang w:val="en-AU"/>
              </w:rPr>
              <w:br/>
              <w:t>plus BSC</w:t>
            </w:r>
          </w:p>
        </w:tc>
        <w:tc>
          <w:tcPr>
            <w:tcW w:w="1525" w:type="dxa"/>
            <w:tcBorders>
              <w:top w:val="nil"/>
              <w:left w:val="nil"/>
              <w:bottom w:val="nil"/>
            </w:tcBorders>
          </w:tcPr>
          <w:p w:rsidR="004E042E" w:rsidRPr="0041117C" w:rsidRDefault="004E042E" w:rsidP="000F1D54">
            <w:pPr>
              <w:pStyle w:val="SPCTabletitlecenter"/>
              <w:keepLines/>
              <w:rPr>
                <w:lang w:val="en-AU"/>
              </w:rPr>
            </w:pPr>
            <w:r w:rsidRPr="0041117C">
              <w:rPr>
                <w:lang w:val="en-AU"/>
              </w:rPr>
              <w:t>BSC</w:t>
            </w:r>
          </w:p>
        </w:tc>
      </w:tr>
      <w:tr w:rsidR="004E042E" w:rsidRPr="0041117C" w:rsidTr="004E042E">
        <w:tc>
          <w:tcPr>
            <w:tcW w:w="2127" w:type="dxa"/>
            <w:tcBorders>
              <w:top w:val="nil"/>
              <w:bottom w:val="nil"/>
              <w:right w:val="nil"/>
            </w:tcBorders>
          </w:tcPr>
          <w:p w:rsidR="004E042E" w:rsidRPr="0041117C" w:rsidRDefault="004E042E" w:rsidP="000F1D54">
            <w:pPr>
              <w:pStyle w:val="SPCTabletitleleft"/>
              <w:keepNext/>
              <w:keepLines/>
              <w:jc w:val="center"/>
              <w:rPr>
                <w:lang w:val="en-AU"/>
              </w:rPr>
            </w:pPr>
          </w:p>
        </w:tc>
        <w:tc>
          <w:tcPr>
            <w:tcW w:w="1559" w:type="dxa"/>
            <w:gridSpan w:val="2"/>
            <w:tcBorders>
              <w:top w:val="nil"/>
              <w:left w:val="nil"/>
              <w:bottom w:val="nil"/>
              <w:right w:val="nil"/>
            </w:tcBorders>
          </w:tcPr>
          <w:p w:rsidR="004E042E" w:rsidRPr="0041117C" w:rsidRDefault="004E042E" w:rsidP="000F1D54">
            <w:pPr>
              <w:pStyle w:val="SPCTabletitlecenter"/>
              <w:keepLines/>
              <w:rPr>
                <w:lang w:val="en-AU"/>
              </w:rPr>
            </w:pPr>
            <w:r w:rsidRPr="0041117C">
              <w:rPr>
                <w:lang w:val="en-AU"/>
              </w:rPr>
              <w:t>(N=287)</w:t>
            </w:r>
          </w:p>
        </w:tc>
        <w:tc>
          <w:tcPr>
            <w:tcW w:w="1559" w:type="dxa"/>
            <w:tcBorders>
              <w:top w:val="nil"/>
              <w:left w:val="nil"/>
              <w:bottom w:val="nil"/>
              <w:right w:val="nil"/>
            </w:tcBorders>
          </w:tcPr>
          <w:p w:rsidR="004E042E" w:rsidRPr="0041117C" w:rsidRDefault="004E042E" w:rsidP="000F1D54">
            <w:pPr>
              <w:pStyle w:val="SPCTabletitlecenter"/>
              <w:keepLines/>
              <w:rPr>
                <w:lang w:val="en-AU"/>
              </w:rPr>
            </w:pPr>
            <w:r w:rsidRPr="0041117C">
              <w:rPr>
                <w:lang w:val="en-AU"/>
              </w:rPr>
              <w:t>(N=285)</w:t>
            </w:r>
          </w:p>
        </w:tc>
        <w:tc>
          <w:tcPr>
            <w:tcW w:w="1701" w:type="dxa"/>
            <w:gridSpan w:val="2"/>
            <w:tcBorders>
              <w:top w:val="nil"/>
              <w:left w:val="nil"/>
              <w:bottom w:val="nil"/>
              <w:right w:val="nil"/>
            </w:tcBorders>
          </w:tcPr>
          <w:p w:rsidR="004E042E" w:rsidRPr="0041117C" w:rsidRDefault="004E042E" w:rsidP="000F1D54">
            <w:pPr>
              <w:pStyle w:val="SPCTabletitlecenter"/>
              <w:keepLines/>
              <w:rPr>
                <w:lang w:val="en-AU"/>
              </w:rPr>
            </w:pPr>
            <w:r w:rsidRPr="0041117C">
              <w:rPr>
                <w:lang w:val="en-AU"/>
              </w:rPr>
              <w:t>(N=117)</w:t>
            </w:r>
          </w:p>
        </w:tc>
        <w:tc>
          <w:tcPr>
            <w:tcW w:w="1525" w:type="dxa"/>
            <w:tcBorders>
              <w:top w:val="nil"/>
              <w:left w:val="nil"/>
              <w:bottom w:val="nil"/>
            </w:tcBorders>
          </w:tcPr>
          <w:p w:rsidR="004E042E" w:rsidRPr="0041117C" w:rsidRDefault="004E042E" w:rsidP="000F1D54">
            <w:pPr>
              <w:pStyle w:val="SPCTabletitlecenter"/>
              <w:keepLines/>
              <w:rPr>
                <w:lang w:val="en-AU"/>
              </w:rPr>
            </w:pPr>
            <w:r w:rsidRPr="0041117C">
              <w:rPr>
                <w:lang w:val="en-AU"/>
              </w:rPr>
              <w:t>(N=113)</w:t>
            </w:r>
          </w:p>
        </w:tc>
      </w:tr>
      <w:tr w:rsidR="004E042E" w:rsidRPr="0041117C" w:rsidTr="004E042E">
        <w:tc>
          <w:tcPr>
            <w:tcW w:w="8471" w:type="dxa"/>
            <w:gridSpan w:val="7"/>
            <w:tcBorders>
              <w:top w:val="nil"/>
              <w:bottom w:val="nil"/>
            </w:tcBorders>
          </w:tcPr>
          <w:p w:rsidR="004E042E" w:rsidRPr="0041117C" w:rsidRDefault="004E042E" w:rsidP="000F1D54">
            <w:pPr>
              <w:pStyle w:val="SPCTabletitlecenter"/>
              <w:keepLines/>
              <w:jc w:val="left"/>
              <w:rPr>
                <w:lang w:val="en-AU"/>
              </w:rPr>
            </w:pPr>
            <w:r w:rsidRPr="0041117C">
              <w:rPr>
                <w:bCs/>
                <w:lang w:val="en-AU"/>
              </w:rPr>
              <w:t>OS</w:t>
            </w:r>
          </w:p>
        </w:tc>
      </w:tr>
      <w:tr w:rsidR="004E042E" w:rsidRPr="0041117C" w:rsidTr="004E042E">
        <w:tc>
          <w:tcPr>
            <w:tcW w:w="2127" w:type="dxa"/>
            <w:tcBorders>
              <w:top w:val="nil"/>
              <w:bottom w:val="nil"/>
              <w:right w:val="nil"/>
            </w:tcBorders>
          </w:tcPr>
          <w:p w:rsidR="004E042E" w:rsidRPr="0041117C" w:rsidRDefault="004E042E" w:rsidP="000F1D54">
            <w:pPr>
              <w:pStyle w:val="SPCTabletitleleft"/>
              <w:keepNext/>
              <w:keepLines/>
              <w:ind w:left="82"/>
              <w:rPr>
                <w:lang w:val="en-AU"/>
              </w:rPr>
            </w:pPr>
            <w:r w:rsidRPr="0041117C">
              <w:rPr>
                <w:b w:val="0"/>
                <w:bCs/>
                <w:lang w:val="en-AU"/>
              </w:rPr>
              <w:t>Median (months, 95% CI)</w:t>
            </w:r>
          </w:p>
        </w:tc>
        <w:tc>
          <w:tcPr>
            <w:tcW w:w="1559" w:type="dxa"/>
            <w:gridSpan w:val="2"/>
            <w:tcBorders>
              <w:top w:val="nil"/>
              <w:left w:val="nil"/>
              <w:bottom w:val="nil"/>
              <w:right w:val="nil"/>
            </w:tcBorders>
          </w:tcPr>
          <w:p w:rsidR="004E042E" w:rsidRPr="0041117C" w:rsidRDefault="004E042E" w:rsidP="000F1D54">
            <w:pPr>
              <w:pStyle w:val="SPCTabletitlecenter"/>
              <w:keepLines/>
              <w:rPr>
                <w:b w:val="0"/>
                <w:lang w:val="en-AU"/>
              </w:rPr>
            </w:pPr>
            <w:r w:rsidRPr="0041117C">
              <w:rPr>
                <w:b w:val="0"/>
                <w:lang w:val="en-AU"/>
              </w:rPr>
              <w:t>6.1 (5.4, 6.7)</w:t>
            </w:r>
          </w:p>
        </w:tc>
        <w:tc>
          <w:tcPr>
            <w:tcW w:w="1559" w:type="dxa"/>
            <w:tcBorders>
              <w:top w:val="nil"/>
              <w:left w:val="nil"/>
              <w:bottom w:val="nil"/>
              <w:right w:val="nil"/>
            </w:tcBorders>
          </w:tcPr>
          <w:p w:rsidR="004E042E" w:rsidRPr="0041117C" w:rsidRDefault="004E042E" w:rsidP="000F1D54">
            <w:pPr>
              <w:pStyle w:val="SPCTabletitlecenter"/>
              <w:keepLines/>
              <w:rPr>
                <w:b w:val="0"/>
                <w:lang w:val="en-AU"/>
              </w:rPr>
            </w:pPr>
            <w:r w:rsidRPr="0041117C">
              <w:rPr>
                <w:b w:val="0"/>
                <w:lang w:val="en-AU"/>
              </w:rPr>
              <w:t>4.6 (4.2, 4.9)</w:t>
            </w:r>
          </w:p>
        </w:tc>
        <w:tc>
          <w:tcPr>
            <w:tcW w:w="1701" w:type="dxa"/>
            <w:gridSpan w:val="2"/>
            <w:tcBorders>
              <w:top w:val="nil"/>
              <w:left w:val="nil"/>
              <w:bottom w:val="nil"/>
              <w:right w:val="nil"/>
            </w:tcBorders>
          </w:tcPr>
          <w:p w:rsidR="004E042E" w:rsidRPr="0041117C" w:rsidRDefault="004E042E" w:rsidP="000F1D54">
            <w:pPr>
              <w:pStyle w:val="SPCTabletitlecenter"/>
              <w:keepLines/>
              <w:rPr>
                <w:b w:val="0"/>
                <w:lang w:val="en-AU"/>
              </w:rPr>
            </w:pPr>
            <w:r w:rsidRPr="0041117C">
              <w:rPr>
                <w:b w:val="0"/>
                <w:lang w:val="en-AU"/>
              </w:rPr>
              <w:t>9.5 (7.7, 10.3)</w:t>
            </w:r>
          </w:p>
        </w:tc>
        <w:tc>
          <w:tcPr>
            <w:tcW w:w="1525" w:type="dxa"/>
            <w:tcBorders>
              <w:top w:val="nil"/>
              <w:left w:val="nil"/>
              <w:bottom w:val="nil"/>
            </w:tcBorders>
          </w:tcPr>
          <w:p w:rsidR="004E042E" w:rsidRPr="0041117C" w:rsidRDefault="004E042E" w:rsidP="000F1D54">
            <w:pPr>
              <w:pStyle w:val="SPCTabletitlecenter"/>
              <w:keepLines/>
              <w:rPr>
                <w:b w:val="0"/>
                <w:lang w:val="en-AU"/>
              </w:rPr>
            </w:pPr>
            <w:r w:rsidRPr="0041117C">
              <w:rPr>
                <w:b w:val="0"/>
                <w:lang w:val="en-AU"/>
              </w:rPr>
              <w:t>4.8 (4.2, 5.5)</w:t>
            </w:r>
          </w:p>
        </w:tc>
      </w:tr>
      <w:tr w:rsidR="004E042E" w:rsidRPr="0041117C" w:rsidTr="004E042E">
        <w:trPr>
          <w:cantSplit/>
        </w:trPr>
        <w:tc>
          <w:tcPr>
            <w:tcW w:w="2127" w:type="dxa"/>
            <w:tcBorders>
              <w:top w:val="nil"/>
              <w:bottom w:val="nil"/>
              <w:right w:val="nil"/>
            </w:tcBorders>
          </w:tcPr>
          <w:p w:rsidR="004E042E" w:rsidRPr="0041117C" w:rsidRDefault="004E042E" w:rsidP="000F1D54">
            <w:pPr>
              <w:pStyle w:val="SPCTabletitleleft"/>
              <w:keepNext/>
              <w:keepLines/>
              <w:ind w:firstLine="136"/>
              <w:rPr>
                <w:lang w:val="en-AU"/>
              </w:rPr>
            </w:pPr>
            <w:r w:rsidRPr="0041117C">
              <w:rPr>
                <w:b w:val="0"/>
                <w:bCs/>
                <w:lang w:val="en-AU"/>
              </w:rPr>
              <w:t>Hazard Ratio (95% CI)</w:t>
            </w:r>
          </w:p>
        </w:tc>
        <w:tc>
          <w:tcPr>
            <w:tcW w:w="3118" w:type="dxa"/>
            <w:gridSpan w:val="3"/>
            <w:tcBorders>
              <w:top w:val="nil"/>
              <w:left w:val="nil"/>
              <w:bottom w:val="nil"/>
              <w:right w:val="nil"/>
            </w:tcBorders>
          </w:tcPr>
          <w:p w:rsidR="004E042E" w:rsidRPr="0041117C" w:rsidRDefault="004E042E" w:rsidP="000F1D54">
            <w:pPr>
              <w:pStyle w:val="SPCTabletextleft"/>
              <w:keepLines/>
              <w:jc w:val="center"/>
              <w:rPr>
                <w:lang w:val="en-AU"/>
              </w:rPr>
            </w:pPr>
            <w:r w:rsidRPr="0041117C">
              <w:rPr>
                <w:lang w:val="en-AU"/>
              </w:rPr>
              <w:t>0.77 (0.64, 0.92)</w:t>
            </w:r>
          </w:p>
        </w:tc>
        <w:tc>
          <w:tcPr>
            <w:tcW w:w="3226" w:type="dxa"/>
            <w:gridSpan w:val="3"/>
            <w:tcBorders>
              <w:top w:val="nil"/>
              <w:left w:val="nil"/>
              <w:bottom w:val="nil"/>
            </w:tcBorders>
          </w:tcPr>
          <w:p w:rsidR="004E042E" w:rsidRPr="0041117C" w:rsidRDefault="004E042E" w:rsidP="000F1D54">
            <w:pPr>
              <w:pStyle w:val="SPCTabletextleft"/>
              <w:keepLines/>
              <w:jc w:val="center"/>
              <w:rPr>
                <w:lang w:val="en-AU"/>
              </w:rPr>
            </w:pPr>
            <w:r w:rsidRPr="0041117C">
              <w:rPr>
                <w:lang w:val="en-AU"/>
              </w:rPr>
              <w:t>0.55 (0.41, 0.75)</w:t>
            </w:r>
          </w:p>
        </w:tc>
      </w:tr>
      <w:tr w:rsidR="004E042E" w:rsidRPr="0041117C" w:rsidTr="004E042E">
        <w:trPr>
          <w:cantSplit/>
        </w:trPr>
        <w:tc>
          <w:tcPr>
            <w:tcW w:w="2127" w:type="dxa"/>
            <w:tcBorders>
              <w:top w:val="nil"/>
              <w:bottom w:val="nil"/>
              <w:right w:val="nil"/>
            </w:tcBorders>
          </w:tcPr>
          <w:p w:rsidR="004E042E" w:rsidRPr="0041117C" w:rsidRDefault="004E042E" w:rsidP="000F1D54">
            <w:pPr>
              <w:pStyle w:val="SPCTabletitleleft"/>
              <w:keepNext/>
              <w:keepLines/>
              <w:ind w:firstLine="136"/>
              <w:rPr>
                <w:lang w:val="en-AU"/>
              </w:rPr>
            </w:pPr>
            <w:r w:rsidRPr="0041117C">
              <w:rPr>
                <w:b w:val="0"/>
                <w:bCs/>
                <w:lang w:val="en-AU"/>
              </w:rPr>
              <w:t>p-value</w:t>
            </w:r>
          </w:p>
        </w:tc>
        <w:tc>
          <w:tcPr>
            <w:tcW w:w="3118" w:type="dxa"/>
            <w:gridSpan w:val="3"/>
            <w:tcBorders>
              <w:top w:val="nil"/>
              <w:left w:val="nil"/>
              <w:bottom w:val="nil"/>
              <w:right w:val="nil"/>
            </w:tcBorders>
          </w:tcPr>
          <w:p w:rsidR="004E042E" w:rsidRPr="0041117C" w:rsidRDefault="004E042E" w:rsidP="000F1D54">
            <w:pPr>
              <w:pStyle w:val="SPCTabletextleft"/>
              <w:keepLines/>
              <w:jc w:val="center"/>
              <w:rPr>
                <w:lang w:val="en-AU"/>
              </w:rPr>
            </w:pPr>
            <w:r w:rsidRPr="0041117C">
              <w:rPr>
                <w:lang w:val="en-AU"/>
              </w:rPr>
              <w:t>0.005</w:t>
            </w:r>
          </w:p>
        </w:tc>
        <w:tc>
          <w:tcPr>
            <w:tcW w:w="3226" w:type="dxa"/>
            <w:gridSpan w:val="3"/>
            <w:tcBorders>
              <w:top w:val="nil"/>
              <w:left w:val="nil"/>
              <w:bottom w:val="nil"/>
            </w:tcBorders>
          </w:tcPr>
          <w:p w:rsidR="004E042E" w:rsidRPr="0041117C" w:rsidRDefault="004E042E" w:rsidP="000F1D54">
            <w:pPr>
              <w:pStyle w:val="SPCTabletextleft"/>
              <w:keepLines/>
              <w:jc w:val="center"/>
              <w:rPr>
                <w:lang w:val="en-AU"/>
              </w:rPr>
            </w:pPr>
            <w:r w:rsidRPr="0041117C">
              <w:rPr>
                <w:lang w:val="en-AU"/>
              </w:rPr>
              <w:t>&lt;0.0001</w:t>
            </w:r>
          </w:p>
        </w:tc>
      </w:tr>
      <w:tr w:rsidR="004E042E" w:rsidRPr="0041117C" w:rsidTr="004E042E">
        <w:trPr>
          <w:cantSplit/>
        </w:trPr>
        <w:tc>
          <w:tcPr>
            <w:tcW w:w="2127" w:type="dxa"/>
            <w:tcBorders>
              <w:top w:val="nil"/>
              <w:bottom w:val="nil"/>
              <w:right w:val="nil"/>
            </w:tcBorders>
          </w:tcPr>
          <w:p w:rsidR="004E042E" w:rsidRPr="0041117C" w:rsidRDefault="004E042E" w:rsidP="000F1D54">
            <w:pPr>
              <w:pStyle w:val="SPCTabletitleleft"/>
              <w:keepNext/>
              <w:keepLines/>
              <w:rPr>
                <w:lang w:val="en-AU"/>
              </w:rPr>
            </w:pPr>
          </w:p>
        </w:tc>
        <w:tc>
          <w:tcPr>
            <w:tcW w:w="3118" w:type="dxa"/>
            <w:gridSpan w:val="3"/>
            <w:tcBorders>
              <w:top w:val="nil"/>
              <w:left w:val="nil"/>
              <w:bottom w:val="nil"/>
              <w:right w:val="nil"/>
            </w:tcBorders>
          </w:tcPr>
          <w:p w:rsidR="004E042E" w:rsidRPr="0041117C" w:rsidRDefault="004E042E" w:rsidP="000F1D54">
            <w:pPr>
              <w:pStyle w:val="SPCTabletextleft"/>
              <w:keepLines/>
              <w:rPr>
                <w:lang w:val="en-AU"/>
              </w:rPr>
            </w:pPr>
          </w:p>
        </w:tc>
        <w:tc>
          <w:tcPr>
            <w:tcW w:w="3226" w:type="dxa"/>
            <w:gridSpan w:val="3"/>
            <w:tcBorders>
              <w:top w:val="nil"/>
              <w:left w:val="nil"/>
              <w:bottom w:val="nil"/>
            </w:tcBorders>
          </w:tcPr>
          <w:p w:rsidR="004E042E" w:rsidRPr="0041117C" w:rsidRDefault="004E042E" w:rsidP="000F1D54">
            <w:pPr>
              <w:pStyle w:val="SPCTabletextleft"/>
              <w:keepLines/>
              <w:rPr>
                <w:lang w:val="en-AU"/>
              </w:rPr>
            </w:pPr>
          </w:p>
        </w:tc>
      </w:tr>
      <w:tr w:rsidR="004E042E" w:rsidRPr="0041117C" w:rsidTr="004E042E">
        <w:trPr>
          <w:cantSplit/>
        </w:trPr>
        <w:tc>
          <w:tcPr>
            <w:tcW w:w="2127" w:type="dxa"/>
            <w:tcBorders>
              <w:top w:val="nil"/>
              <w:bottom w:val="nil"/>
              <w:right w:val="nil"/>
            </w:tcBorders>
          </w:tcPr>
          <w:p w:rsidR="004E042E" w:rsidRPr="0041117C" w:rsidRDefault="004E042E" w:rsidP="000F1D54">
            <w:pPr>
              <w:pStyle w:val="SPCTabletitleleft"/>
              <w:keepNext/>
              <w:keepLines/>
              <w:rPr>
                <w:lang w:val="en-AU"/>
              </w:rPr>
            </w:pPr>
            <w:r w:rsidRPr="0041117C">
              <w:rPr>
                <w:lang w:val="en-AU"/>
              </w:rPr>
              <w:t>ORR</w:t>
            </w:r>
          </w:p>
        </w:tc>
        <w:tc>
          <w:tcPr>
            <w:tcW w:w="3118" w:type="dxa"/>
            <w:gridSpan w:val="3"/>
            <w:tcBorders>
              <w:top w:val="nil"/>
              <w:left w:val="nil"/>
              <w:bottom w:val="nil"/>
              <w:right w:val="nil"/>
            </w:tcBorders>
          </w:tcPr>
          <w:p w:rsidR="004E042E" w:rsidRPr="0041117C" w:rsidRDefault="004E042E" w:rsidP="000F1D54">
            <w:pPr>
              <w:pStyle w:val="SPCTabletextleft"/>
              <w:keepLines/>
              <w:rPr>
                <w:lang w:val="en-AU"/>
              </w:rPr>
            </w:pPr>
          </w:p>
        </w:tc>
        <w:tc>
          <w:tcPr>
            <w:tcW w:w="3226" w:type="dxa"/>
            <w:gridSpan w:val="3"/>
            <w:tcBorders>
              <w:top w:val="nil"/>
              <w:left w:val="nil"/>
              <w:bottom w:val="nil"/>
            </w:tcBorders>
          </w:tcPr>
          <w:p w:rsidR="004E042E" w:rsidRPr="0041117C" w:rsidRDefault="004E042E" w:rsidP="000F1D54">
            <w:pPr>
              <w:pStyle w:val="SPCTabletextleft"/>
              <w:keepLines/>
              <w:rPr>
                <w:lang w:val="en-AU"/>
              </w:rPr>
            </w:pPr>
          </w:p>
        </w:tc>
      </w:tr>
      <w:tr w:rsidR="004E042E" w:rsidRPr="0041117C" w:rsidTr="004E042E">
        <w:tc>
          <w:tcPr>
            <w:tcW w:w="2127" w:type="dxa"/>
            <w:tcBorders>
              <w:top w:val="nil"/>
              <w:bottom w:val="nil"/>
              <w:right w:val="nil"/>
            </w:tcBorders>
          </w:tcPr>
          <w:p w:rsidR="004E042E" w:rsidRPr="0041117C" w:rsidRDefault="004E042E" w:rsidP="000F1D54">
            <w:pPr>
              <w:pStyle w:val="SPCTabletitleleft"/>
              <w:keepNext/>
              <w:keepLines/>
              <w:ind w:left="114"/>
              <w:rPr>
                <w:b w:val="0"/>
                <w:bCs/>
                <w:lang w:val="en-AU"/>
              </w:rPr>
            </w:pPr>
            <w:r w:rsidRPr="0041117C">
              <w:rPr>
                <w:b w:val="0"/>
                <w:bCs/>
                <w:lang w:val="en-AU"/>
              </w:rPr>
              <w:t>% (95% CI)</w:t>
            </w:r>
          </w:p>
        </w:tc>
        <w:tc>
          <w:tcPr>
            <w:tcW w:w="1559" w:type="dxa"/>
            <w:gridSpan w:val="2"/>
            <w:tcBorders>
              <w:top w:val="nil"/>
              <w:left w:val="nil"/>
              <w:bottom w:val="nil"/>
              <w:right w:val="nil"/>
            </w:tcBorders>
          </w:tcPr>
          <w:p w:rsidR="004E042E" w:rsidRPr="0041117C" w:rsidRDefault="004E042E" w:rsidP="000F1D54">
            <w:pPr>
              <w:pStyle w:val="SPCtabletextcenter"/>
              <w:keepLines/>
              <w:rPr>
                <w:lang w:val="en-AU"/>
              </w:rPr>
            </w:pPr>
            <w:r w:rsidRPr="0041117C">
              <w:rPr>
                <w:lang w:val="en-AU"/>
              </w:rPr>
              <w:t>6.6 (4.0, 10.2)</w:t>
            </w:r>
          </w:p>
        </w:tc>
        <w:tc>
          <w:tcPr>
            <w:tcW w:w="1559" w:type="dxa"/>
            <w:tcBorders>
              <w:top w:val="nil"/>
              <w:left w:val="nil"/>
              <w:bottom w:val="nil"/>
              <w:right w:val="nil"/>
            </w:tcBorders>
          </w:tcPr>
          <w:p w:rsidR="004E042E" w:rsidRPr="0041117C" w:rsidRDefault="004E042E" w:rsidP="000F1D54">
            <w:pPr>
              <w:pStyle w:val="SPCtabletextcenter"/>
              <w:keepLines/>
              <w:rPr>
                <w:bCs/>
                <w:lang w:val="en-AU"/>
              </w:rPr>
            </w:pPr>
            <w:r w:rsidRPr="0041117C">
              <w:rPr>
                <w:bCs/>
                <w:lang w:val="en-AU"/>
              </w:rPr>
              <w:t>0 (-)</w:t>
            </w:r>
          </w:p>
        </w:tc>
        <w:tc>
          <w:tcPr>
            <w:tcW w:w="1701" w:type="dxa"/>
            <w:gridSpan w:val="2"/>
            <w:tcBorders>
              <w:top w:val="nil"/>
              <w:left w:val="nil"/>
              <w:bottom w:val="nil"/>
              <w:right w:val="nil"/>
            </w:tcBorders>
          </w:tcPr>
          <w:p w:rsidR="004E042E" w:rsidRPr="0041117C" w:rsidRDefault="004E042E" w:rsidP="000F1D54">
            <w:pPr>
              <w:pStyle w:val="SPCtabletextcenter"/>
              <w:keepLines/>
              <w:rPr>
                <w:bCs/>
                <w:lang w:val="en-AU"/>
              </w:rPr>
            </w:pPr>
            <w:r w:rsidRPr="0041117C">
              <w:rPr>
                <w:bCs/>
                <w:lang w:val="en-AU"/>
              </w:rPr>
              <w:t>12.8 (7.4, 20.3)</w:t>
            </w:r>
          </w:p>
        </w:tc>
        <w:tc>
          <w:tcPr>
            <w:tcW w:w="1525" w:type="dxa"/>
            <w:tcBorders>
              <w:top w:val="nil"/>
              <w:left w:val="nil"/>
              <w:bottom w:val="nil"/>
            </w:tcBorders>
          </w:tcPr>
          <w:p w:rsidR="004E042E" w:rsidRPr="0041117C" w:rsidRDefault="004E042E" w:rsidP="000F1D54">
            <w:pPr>
              <w:pStyle w:val="SPCtabletextcenter"/>
              <w:keepNext/>
              <w:keepLines/>
              <w:rPr>
                <w:bCs/>
                <w:lang w:val="en-AU"/>
              </w:rPr>
            </w:pPr>
            <w:r w:rsidRPr="0041117C">
              <w:rPr>
                <w:bCs/>
                <w:lang w:val="en-AU"/>
              </w:rPr>
              <w:t>0 (-)</w:t>
            </w:r>
          </w:p>
        </w:tc>
      </w:tr>
      <w:tr w:rsidR="004E042E" w:rsidRPr="0041117C" w:rsidTr="004E042E">
        <w:tc>
          <w:tcPr>
            <w:tcW w:w="2127" w:type="dxa"/>
            <w:tcBorders>
              <w:top w:val="nil"/>
              <w:bottom w:val="nil"/>
              <w:right w:val="nil"/>
            </w:tcBorders>
          </w:tcPr>
          <w:p w:rsidR="004E042E" w:rsidRPr="0041117C" w:rsidRDefault="004E042E" w:rsidP="000F1D54">
            <w:pPr>
              <w:pStyle w:val="SPCTabletitleleft"/>
              <w:keepNext/>
              <w:keepLines/>
              <w:ind w:left="114"/>
              <w:rPr>
                <w:b w:val="0"/>
                <w:lang w:val="en-AU"/>
              </w:rPr>
            </w:pPr>
            <w:r w:rsidRPr="0041117C">
              <w:rPr>
                <w:b w:val="0"/>
                <w:lang w:val="en-AU"/>
              </w:rPr>
              <w:t>p-value</w:t>
            </w:r>
          </w:p>
        </w:tc>
        <w:tc>
          <w:tcPr>
            <w:tcW w:w="3118" w:type="dxa"/>
            <w:gridSpan w:val="3"/>
            <w:tcBorders>
              <w:top w:val="nil"/>
              <w:left w:val="nil"/>
              <w:bottom w:val="nil"/>
              <w:right w:val="nil"/>
            </w:tcBorders>
          </w:tcPr>
          <w:p w:rsidR="004E042E" w:rsidRPr="0041117C" w:rsidRDefault="004E042E" w:rsidP="000F1D54">
            <w:pPr>
              <w:pStyle w:val="SPCtabletextcenter"/>
              <w:keepLines/>
              <w:rPr>
                <w:lang w:val="en-AU"/>
              </w:rPr>
            </w:pPr>
            <w:r w:rsidRPr="0041117C">
              <w:rPr>
                <w:lang w:val="en-AU"/>
              </w:rPr>
              <w:t>&lt;0.0001</w:t>
            </w:r>
          </w:p>
        </w:tc>
        <w:tc>
          <w:tcPr>
            <w:tcW w:w="3226" w:type="dxa"/>
            <w:gridSpan w:val="3"/>
            <w:tcBorders>
              <w:top w:val="nil"/>
              <w:left w:val="nil"/>
              <w:bottom w:val="nil"/>
            </w:tcBorders>
          </w:tcPr>
          <w:p w:rsidR="004E042E" w:rsidRPr="0041117C" w:rsidRDefault="004E042E" w:rsidP="000F1D54">
            <w:pPr>
              <w:pStyle w:val="SPCtabletextcenter"/>
              <w:keepLines/>
              <w:rPr>
                <w:lang w:val="en-AU"/>
              </w:rPr>
            </w:pPr>
            <w:r w:rsidRPr="0041117C">
              <w:rPr>
                <w:lang w:val="en-AU"/>
              </w:rPr>
              <w:t>&lt;0.0001</w:t>
            </w:r>
          </w:p>
        </w:tc>
      </w:tr>
      <w:tr w:rsidR="004E042E" w:rsidRPr="0041117C" w:rsidTr="004E042E">
        <w:tc>
          <w:tcPr>
            <w:tcW w:w="2127" w:type="dxa"/>
            <w:tcBorders>
              <w:top w:val="nil"/>
              <w:bottom w:val="nil"/>
              <w:right w:val="nil"/>
            </w:tcBorders>
          </w:tcPr>
          <w:p w:rsidR="004E042E" w:rsidRPr="0041117C" w:rsidRDefault="004E042E" w:rsidP="000F1D54">
            <w:pPr>
              <w:pStyle w:val="SPCTabletitleleft"/>
              <w:keepNext/>
              <w:keepLines/>
              <w:rPr>
                <w:lang w:val="en-AU"/>
              </w:rPr>
            </w:pPr>
            <w:r w:rsidRPr="0041117C">
              <w:rPr>
                <w:lang w:val="en-AU"/>
              </w:rPr>
              <w:t>PFS</w:t>
            </w:r>
          </w:p>
        </w:tc>
        <w:tc>
          <w:tcPr>
            <w:tcW w:w="3118" w:type="dxa"/>
            <w:gridSpan w:val="3"/>
            <w:tcBorders>
              <w:top w:val="nil"/>
              <w:left w:val="nil"/>
              <w:bottom w:val="nil"/>
              <w:right w:val="nil"/>
            </w:tcBorders>
          </w:tcPr>
          <w:p w:rsidR="004E042E" w:rsidRPr="0041117C" w:rsidRDefault="004E042E" w:rsidP="000F1D54">
            <w:pPr>
              <w:pStyle w:val="SPCTabletextleft"/>
              <w:keepLines/>
              <w:rPr>
                <w:lang w:val="en-AU"/>
              </w:rPr>
            </w:pPr>
          </w:p>
        </w:tc>
        <w:tc>
          <w:tcPr>
            <w:tcW w:w="3226" w:type="dxa"/>
            <w:gridSpan w:val="3"/>
            <w:tcBorders>
              <w:top w:val="nil"/>
              <w:left w:val="nil"/>
              <w:bottom w:val="nil"/>
            </w:tcBorders>
          </w:tcPr>
          <w:p w:rsidR="004E042E" w:rsidRPr="0041117C" w:rsidRDefault="004E042E" w:rsidP="000F1D54">
            <w:pPr>
              <w:pStyle w:val="SPCTabletextleft"/>
              <w:keepLines/>
              <w:rPr>
                <w:lang w:val="en-AU"/>
              </w:rPr>
            </w:pPr>
          </w:p>
        </w:tc>
      </w:tr>
      <w:tr w:rsidR="004E042E" w:rsidRPr="0041117C" w:rsidTr="004E042E">
        <w:tc>
          <w:tcPr>
            <w:tcW w:w="2127" w:type="dxa"/>
            <w:tcBorders>
              <w:top w:val="nil"/>
              <w:bottom w:val="nil"/>
              <w:right w:val="nil"/>
            </w:tcBorders>
          </w:tcPr>
          <w:p w:rsidR="004E042E" w:rsidRPr="0041117C" w:rsidRDefault="004E042E" w:rsidP="000F1D54">
            <w:pPr>
              <w:pStyle w:val="SPCTabletitleleft"/>
              <w:keepNext/>
              <w:keepLines/>
              <w:ind w:left="114"/>
              <w:rPr>
                <w:b w:val="0"/>
                <w:bCs/>
                <w:lang w:val="en-AU"/>
              </w:rPr>
            </w:pPr>
            <w:r w:rsidRPr="0041117C">
              <w:rPr>
                <w:b w:val="0"/>
                <w:bCs/>
                <w:lang w:val="en-AU"/>
              </w:rPr>
              <w:t>Median (months, 95% CI)</w:t>
            </w:r>
          </w:p>
        </w:tc>
        <w:tc>
          <w:tcPr>
            <w:tcW w:w="1488" w:type="dxa"/>
            <w:tcBorders>
              <w:top w:val="nil"/>
              <w:left w:val="nil"/>
              <w:bottom w:val="nil"/>
              <w:right w:val="nil"/>
            </w:tcBorders>
          </w:tcPr>
          <w:p w:rsidR="004E042E" w:rsidRPr="0041117C" w:rsidRDefault="004E042E" w:rsidP="000F1D54">
            <w:pPr>
              <w:pStyle w:val="SPCtabletextcenter"/>
              <w:keepLines/>
              <w:rPr>
                <w:lang w:val="en-AU"/>
              </w:rPr>
            </w:pPr>
            <w:r w:rsidRPr="0041117C">
              <w:rPr>
                <w:lang w:val="en-AU"/>
              </w:rPr>
              <w:t>1.9 (1.8, 2.1)</w:t>
            </w:r>
          </w:p>
        </w:tc>
        <w:tc>
          <w:tcPr>
            <w:tcW w:w="1630" w:type="dxa"/>
            <w:gridSpan w:val="2"/>
            <w:tcBorders>
              <w:top w:val="nil"/>
              <w:left w:val="nil"/>
              <w:bottom w:val="nil"/>
              <w:right w:val="nil"/>
            </w:tcBorders>
          </w:tcPr>
          <w:p w:rsidR="004E042E" w:rsidRPr="0041117C" w:rsidRDefault="004E042E" w:rsidP="000F1D54">
            <w:pPr>
              <w:pStyle w:val="SPCtabletextcenter"/>
              <w:keepLines/>
              <w:rPr>
                <w:lang w:val="en-AU"/>
              </w:rPr>
            </w:pPr>
            <w:r w:rsidRPr="0041117C">
              <w:rPr>
                <w:lang w:val="en-AU"/>
              </w:rPr>
              <w:t>1.8 (1.8, 1.9)</w:t>
            </w:r>
          </w:p>
        </w:tc>
        <w:tc>
          <w:tcPr>
            <w:tcW w:w="1613" w:type="dxa"/>
            <w:tcBorders>
              <w:top w:val="nil"/>
              <w:left w:val="nil"/>
              <w:bottom w:val="nil"/>
              <w:right w:val="nil"/>
            </w:tcBorders>
          </w:tcPr>
          <w:p w:rsidR="004E042E" w:rsidRPr="0041117C" w:rsidRDefault="004E042E" w:rsidP="000F1D54">
            <w:pPr>
              <w:pStyle w:val="SPCtabletextcenter"/>
              <w:keepLines/>
              <w:rPr>
                <w:lang w:val="en-AU"/>
              </w:rPr>
            </w:pPr>
            <w:r w:rsidRPr="0041117C">
              <w:rPr>
                <w:lang w:val="en-AU"/>
              </w:rPr>
              <w:t>3.7 (3.1, 5.1)</w:t>
            </w:r>
          </w:p>
        </w:tc>
        <w:tc>
          <w:tcPr>
            <w:tcW w:w="1613" w:type="dxa"/>
            <w:gridSpan w:val="2"/>
            <w:tcBorders>
              <w:top w:val="nil"/>
              <w:left w:val="nil"/>
              <w:bottom w:val="nil"/>
            </w:tcBorders>
          </w:tcPr>
          <w:p w:rsidR="004E042E" w:rsidRPr="0041117C" w:rsidRDefault="004E042E" w:rsidP="000F1D54">
            <w:pPr>
              <w:pStyle w:val="SPCtabletextcenter"/>
              <w:keepLines/>
              <w:rPr>
                <w:lang w:val="en-AU"/>
              </w:rPr>
            </w:pPr>
            <w:r w:rsidRPr="0041117C">
              <w:rPr>
                <w:lang w:val="en-AU"/>
              </w:rPr>
              <w:t>1.9 (1.8, 2.0)</w:t>
            </w:r>
          </w:p>
        </w:tc>
      </w:tr>
      <w:tr w:rsidR="004E042E" w:rsidRPr="0041117C" w:rsidTr="004E042E">
        <w:tc>
          <w:tcPr>
            <w:tcW w:w="2127" w:type="dxa"/>
            <w:tcBorders>
              <w:top w:val="nil"/>
              <w:bottom w:val="nil"/>
              <w:right w:val="nil"/>
            </w:tcBorders>
          </w:tcPr>
          <w:p w:rsidR="004E042E" w:rsidRPr="0041117C" w:rsidRDefault="004E042E" w:rsidP="000F1D54">
            <w:pPr>
              <w:pStyle w:val="SPCTabletitleleft"/>
              <w:keepNext/>
              <w:keepLines/>
              <w:ind w:left="114"/>
              <w:rPr>
                <w:b w:val="0"/>
                <w:bCs/>
                <w:lang w:val="en-AU"/>
              </w:rPr>
            </w:pPr>
            <w:r w:rsidRPr="0041117C">
              <w:rPr>
                <w:b w:val="0"/>
                <w:bCs/>
                <w:lang w:val="en-AU"/>
              </w:rPr>
              <w:t>Hazard Ratio (95% CI)</w:t>
            </w:r>
          </w:p>
        </w:tc>
        <w:tc>
          <w:tcPr>
            <w:tcW w:w="3118" w:type="dxa"/>
            <w:gridSpan w:val="3"/>
            <w:tcBorders>
              <w:top w:val="nil"/>
              <w:left w:val="nil"/>
              <w:bottom w:val="nil"/>
              <w:right w:val="nil"/>
            </w:tcBorders>
          </w:tcPr>
          <w:p w:rsidR="004E042E" w:rsidRPr="0041117C" w:rsidRDefault="004E042E" w:rsidP="000F1D54">
            <w:pPr>
              <w:pStyle w:val="SPCtabletextcenter"/>
              <w:keepLines/>
              <w:rPr>
                <w:lang w:val="en-AU"/>
              </w:rPr>
            </w:pPr>
            <w:r w:rsidRPr="0041117C">
              <w:rPr>
                <w:lang w:val="en-AU"/>
              </w:rPr>
              <w:t>0.68 (0.57, 0.80)</w:t>
            </w:r>
          </w:p>
        </w:tc>
        <w:tc>
          <w:tcPr>
            <w:tcW w:w="3226" w:type="dxa"/>
            <w:gridSpan w:val="3"/>
            <w:tcBorders>
              <w:top w:val="nil"/>
              <w:left w:val="nil"/>
              <w:bottom w:val="nil"/>
            </w:tcBorders>
          </w:tcPr>
          <w:p w:rsidR="004E042E" w:rsidRPr="0041117C" w:rsidRDefault="004E042E" w:rsidP="000F1D54">
            <w:pPr>
              <w:pStyle w:val="SPCtabletextcenter"/>
              <w:keepLines/>
              <w:rPr>
                <w:lang w:val="en-AU"/>
              </w:rPr>
            </w:pPr>
            <w:r w:rsidRPr="0041117C">
              <w:rPr>
                <w:lang w:val="en-AU"/>
              </w:rPr>
              <w:t>0.40 (0.30, 0.54)</w:t>
            </w:r>
          </w:p>
        </w:tc>
      </w:tr>
      <w:tr w:rsidR="004E042E" w:rsidRPr="0041117C" w:rsidTr="004E042E">
        <w:tc>
          <w:tcPr>
            <w:tcW w:w="2127" w:type="dxa"/>
            <w:tcBorders>
              <w:top w:val="nil"/>
              <w:bottom w:val="single" w:sz="4" w:space="0" w:color="auto"/>
              <w:right w:val="nil"/>
            </w:tcBorders>
          </w:tcPr>
          <w:p w:rsidR="004E042E" w:rsidRPr="0041117C" w:rsidRDefault="004E042E" w:rsidP="000F1D54">
            <w:pPr>
              <w:pStyle w:val="SPCTabletitleleft"/>
              <w:keepNext/>
              <w:keepLines/>
              <w:ind w:left="114"/>
              <w:rPr>
                <w:b w:val="0"/>
                <w:bCs/>
                <w:lang w:val="en-AU"/>
              </w:rPr>
            </w:pPr>
            <w:r w:rsidRPr="0041117C">
              <w:rPr>
                <w:b w:val="0"/>
                <w:bCs/>
                <w:lang w:val="en-AU"/>
              </w:rPr>
              <w:t xml:space="preserve">p-value </w:t>
            </w:r>
          </w:p>
        </w:tc>
        <w:tc>
          <w:tcPr>
            <w:tcW w:w="3118" w:type="dxa"/>
            <w:gridSpan w:val="3"/>
            <w:tcBorders>
              <w:top w:val="nil"/>
              <w:left w:val="nil"/>
              <w:bottom w:val="single" w:sz="4" w:space="0" w:color="auto"/>
              <w:right w:val="nil"/>
            </w:tcBorders>
          </w:tcPr>
          <w:p w:rsidR="004E042E" w:rsidRPr="0041117C" w:rsidRDefault="004E042E" w:rsidP="000F1D54">
            <w:pPr>
              <w:pStyle w:val="SPCtabletextcenter"/>
              <w:keepLines/>
              <w:rPr>
                <w:lang w:val="en-AU"/>
              </w:rPr>
            </w:pPr>
            <w:r w:rsidRPr="0041117C">
              <w:rPr>
                <w:lang w:val="en-AU"/>
              </w:rPr>
              <w:t>&lt;0.0001</w:t>
            </w:r>
          </w:p>
        </w:tc>
        <w:tc>
          <w:tcPr>
            <w:tcW w:w="3226" w:type="dxa"/>
            <w:gridSpan w:val="3"/>
            <w:tcBorders>
              <w:top w:val="nil"/>
              <w:left w:val="nil"/>
              <w:bottom w:val="single" w:sz="4" w:space="0" w:color="auto"/>
            </w:tcBorders>
          </w:tcPr>
          <w:p w:rsidR="004E042E" w:rsidRPr="0041117C" w:rsidRDefault="004E042E" w:rsidP="000F1D54">
            <w:pPr>
              <w:pStyle w:val="SPCtabletextcenter"/>
              <w:keepLines/>
              <w:rPr>
                <w:lang w:val="en-AU"/>
              </w:rPr>
            </w:pPr>
            <w:r w:rsidRPr="0041117C">
              <w:rPr>
                <w:lang w:val="en-AU"/>
              </w:rPr>
              <w:t>&lt;0.0001</w:t>
            </w:r>
          </w:p>
        </w:tc>
      </w:tr>
    </w:tbl>
    <w:p w:rsidR="004E042E" w:rsidRPr="004E042E" w:rsidRDefault="004E042E" w:rsidP="004E042E">
      <w:pPr>
        <w:pStyle w:val="ListParagraph"/>
        <w:ind w:left="426"/>
        <w:rPr>
          <w:b/>
          <w:bCs/>
          <w:sz w:val="18"/>
          <w:szCs w:val="18"/>
        </w:rPr>
      </w:pPr>
      <w:r w:rsidRPr="004E042E">
        <w:rPr>
          <w:sz w:val="18"/>
          <w:szCs w:val="18"/>
        </w:rPr>
        <w:t>CI = confidence interval, BSC = best supportive care, ORR = objective response rate (patients with complete response or partial response), OS = overall survival, PFS = progression-free survival</w:t>
      </w:r>
    </w:p>
    <w:p w:rsidR="004E042E" w:rsidRDefault="004E042E" w:rsidP="004E042E">
      <w:pPr>
        <w:pStyle w:val="ListParagraph"/>
        <w:ind w:left="426"/>
        <w:rPr>
          <w:b/>
          <w:bCs/>
        </w:rPr>
      </w:pPr>
    </w:p>
    <w:p w:rsidR="004E042E" w:rsidRDefault="004E042E" w:rsidP="004E042E">
      <w:pPr>
        <w:pStyle w:val="ListParagraph"/>
        <w:ind w:left="0"/>
        <w:rPr>
          <w:b/>
        </w:rPr>
      </w:pPr>
      <w:proofErr w:type="spellStart"/>
      <w:r w:rsidRPr="00E268BF">
        <w:rPr>
          <w:b/>
        </w:rPr>
        <w:t>Squamous</w:t>
      </w:r>
      <w:proofErr w:type="spellEnd"/>
      <w:r w:rsidRPr="00E268BF">
        <w:rPr>
          <w:b/>
        </w:rPr>
        <w:t xml:space="preserve"> cell cancer of the head and neck</w:t>
      </w:r>
    </w:p>
    <w:p w:rsidR="004E042E" w:rsidRDefault="004E042E" w:rsidP="004E042E">
      <w:pPr>
        <w:pStyle w:val="ListParagraph"/>
        <w:ind w:left="0"/>
        <w:rPr>
          <w:b/>
        </w:rPr>
      </w:pPr>
    </w:p>
    <w:p w:rsidR="004E042E" w:rsidRDefault="004E042E" w:rsidP="004E042E">
      <w:pPr>
        <w:pStyle w:val="ListParagraph"/>
        <w:ind w:left="0"/>
        <w:rPr>
          <w:b/>
        </w:rPr>
      </w:pPr>
      <w:proofErr w:type="spellStart"/>
      <w:r w:rsidRPr="0041117C">
        <w:t>Immunohistochemical</w:t>
      </w:r>
      <w:proofErr w:type="spellEnd"/>
      <w:r w:rsidRPr="0041117C">
        <w:t xml:space="preserve"> detection of EGFR expression was not performed at study entry since more than 90% of patients with </w:t>
      </w:r>
      <w:proofErr w:type="spellStart"/>
      <w:r w:rsidRPr="0041117C">
        <w:t>squamous</w:t>
      </w:r>
      <w:proofErr w:type="spellEnd"/>
      <w:r w:rsidRPr="0041117C">
        <w:t xml:space="preserve"> cell cancer of the head and neck have tumours that express EGFR.</w:t>
      </w:r>
    </w:p>
    <w:p w:rsidR="004E042E" w:rsidRDefault="004E042E" w:rsidP="004E042E">
      <w:pPr>
        <w:pStyle w:val="ListParagraph"/>
        <w:ind w:left="0"/>
        <w:rPr>
          <w:b/>
        </w:rPr>
      </w:pPr>
    </w:p>
    <w:p w:rsidR="004E042E" w:rsidRDefault="004E042E" w:rsidP="004E042E">
      <w:pPr>
        <w:pStyle w:val="ListParagraph"/>
        <w:ind w:left="0"/>
        <w:rPr>
          <w:i/>
          <w:iCs/>
          <w:u w:val="single"/>
        </w:rPr>
      </w:pPr>
      <w:r w:rsidRPr="00E268BF">
        <w:rPr>
          <w:i/>
          <w:iCs/>
          <w:u w:val="single"/>
        </w:rPr>
        <w:t>Cetuximab in combination with radiation therapy for locally advanced disease</w:t>
      </w:r>
    </w:p>
    <w:p w:rsidR="004E042E" w:rsidRPr="004E042E" w:rsidRDefault="004E042E" w:rsidP="004E042E">
      <w:pPr>
        <w:pStyle w:val="ListParagraph"/>
        <w:ind w:left="0"/>
        <w:rPr>
          <w:b/>
        </w:rPr>
      </w:pPr>
    </w:p>
    <w:p w:rsidR="004E042E" w:rsidRDefault="004E042E" w:rsidP="008635E5">
      <w:pPr>
        <w:pStyle w:val="ListParagraph"/>
        <w:numPr>
          <w:ilvl w:val="0"/>
          <w:numId w:val="23"/>
        </w:numPr>
        <w:ind w:left="426" w:hanging="426"/>
      </w:pPr>
      <w:r w:rsidRPr="0041117C">
        <w:t xml:space="preserve">EMR 62 202-006:  This randomised study compared the combination of cetuximab and radiation therapy (211 patients) with radiation therapy alone (213 patients) in patients with locally advanced </w:t>
      </w:r>
      <w:proofErr w:type="spellStart"/>
      <w:r w:rsidRPr="0041117C">
        <w:t>squamous</w:t>
      </w:r>
      <w:proofErr w:type="spellEnd"/>
      <w:r w:rsidRPr="0041117C">
        <w:t xml:space="preserve"> cell carcinoma of the head and neck. Cetuximab was started one week before radiation therapy and administered at the doses described in the DOSAGE AND ADMINISTRATION section until the end of the radiation therapy period.</w:t>
      </w:r>
    </w:p>
    <w:p w:rsidR="008635E5" w:rsidRDefault="008635E5" w:rsidP="008635E5"/>
    <w:p w:rsidR="008635E5" w:rsidRDefault="008635E5" w:rsidP="008635E5">
      <w:pPr>
        <w:ind w:left="426"/>
      </w:pPr>
      <w:r w:rsidRPr="0041117C">
        <w:t>The efficacy data generated in this study are summarised in the table below:</w:t>
      </w:r>
    </w:p>
    <w:p w:rsidR="008635E5" w:rsidRDefault="008635E5" w:rsidP="008635E5"/>
    <w:p w:rsidR="008635E5" w:rsidRDefault="008635E5">
      <w:pPr>
        <w:rPr>
          <w:b/>
          <w:bCs/>
        </w:rPr>
      </w:pPr>
      <w:r>
        <w:rPr>
          <w:b/>
          <w:bCs/>
        </w:rPr>
        <w:br w:type="page"/>
      </w:r>
    </w:p>
    <w:p w:rsidR="008635E5" w:rsidRDefault="008635E5" w:rsidP="008635E5">
      <w:pPr>
        <w:pStyle w:val="ListParagraph"/>
        <w:ind w:left="426"/>
        <w:rPr>
          <w:b/>
          <w:bCs/>
        </w:rPr>
      </w:pPr>
      <w:r w:rsidRPr="008635E5">
        <w:rPr>
          <w:b/>
          <w:bCs/>
        </w:rPr>
        <w:lastRenderedPageBreak/>
        <w:t>Table 4:  Study EMR 62 202-006:  Efficacy Results</w:t>
      </w:r>
    </w:p>
    <w:p w:rsidR="008635E5" w:rsidRDefault="008635E5" w:rsidP="008635E5">
      <w:pPr>
        <w:pStyle w:val="ListParagraph"/>
        <w:ind w:left="426"/>
        <w:rPr>
          <w:b/>
          <w:bCs/>
        </w:rPr>
      </w:pPr>
    </w:p>
    <w:tbl>
      <w:tblPr>
        <w:tblW w:w="7933" w:type="dxa"/>
        <w:tblInd w:w="448" w:type="dxa"/>
        <w:tblBorders>
          <w:top w:val="single" w:sz="4" w:space="0" w:color="auto"/>
          <w:left w:val="single" w:sz="4" w:space="0" w:color="auto"/>
          <w:bottom w:val="single" w:sz="4" w:space="0" w:color="auto"/>
          <w:right w:val="single" w:sz="4" w:space="0" w:color="auto"/>
        </w:tblBorders>
        <w:tblLayout w:type="fixed"/>
        <w:tblCellMar>
          <w:left w:w="22" w:type="dxa"/>
          <w:right w:w="22" w:type="dxa"/>
        </w:tblCellMar>
        <w:tblLook w:val="0000"/>
      </w:tblPr>
      <w:tblGrid>
        <w:gridCol w:w="2061"/>
        <w:gridCol w:w="493"/>
        <w:gridCol w:w="1269"/>
        <w:gridCol w:w="567"/>
        <w:gridCol w:w="1275"/>
        <w:gridCol w:w="709"/>
        <w:gridCol w:w="1559"/>
      </w:tblGrid>
      <w:tr w:rsidR="008635E5" w:rsidRPr="0041117C" w:rsidTr="008635E5">
        <w:tc>
          <w:tcPr>
            <w:tcW w:w="2061" w:type="dxa"/>
          </w:tcPr>
          <w:p w:rsidR="008635E5" w:rsidRPr="0041117C" w:rsidRDefault="008635E5" w:rsidP="000F1D54">
            <w:pPr>
              <w:jc w:val="center"/>
              <w:rPr>
                <w:b/>
                <w:bCs/>
                <w:sz w:val="20"/>
              </w:rPr>
            </w:pPr>
            <w:r w:rsidRPr="0041117C">
              <w:rPr>
                <w:b/>
                <w:bCs/>
                <w:sz w:val="20"/>
              </w:rPr>
              <w:t>Variable/ statistic</w:t>
            </w:r>
          </w:p>
        </w:tc>
        <w:tc>
          <w:tcPr>
            <w:tcW w:w="1762" w:type="dxa"/>
            <w:gridSpan w:val="2"/>
          </w:tcPr>
          <w:p w:rsidR="008635E5" w:rsidRPr="0041117C" w:rsidRDefault="008635E5" w:rsidP="000F1D54">
            <w:pPr>
              <w:jc w:val="center"/>
              <w:rPr>
                <w:b/>
                <w:bCs/>
                <w:sz w:val="20"/>
              </w:rPr>
            </w:pPr>
            <w:r w:rsidRPr="0041117C">
              <w:rPr>
                <w:b/>
                <w:bCs/>
                <w:sz w:val="20"/>
              </w:rPr>
              <w:t>Radiation</w:t>
            </w:r>
          </w:p>
        </w:tc>
        <w:tc>
          <w:tcPr>
            <w:tcW w:w="1842" w:type="dxa"/>
            <w:gridSpan w:val="2"/>
          </w:tcPr>
          <w:p w:rsidR="008635E5" w:rsidRPr="0041117C" w:rsidRDefault="008635E5" w:rsidP="000F1D54">
            <w:pPr>
              <w:jc w:val="center"/>
              <w:rPr>
                <w:b/>
                <w:bCs/>
                <w:sz w:val="20"/>
              </w:rPr>
            </w:pPr>
            <w:r w:rsidRPr="0041117C">
              <w:rPr>
                <w:b/>
                <w:bCs/>
                <w:sz w:val="20"/>
              </w:rPr>
              <w:t>Radiation therapy +</w:t>
            </w:r>
          </w:p>
        </w:tc>
        <w:tc>
          <w:tcPr>
            <w:tcW w:w="2268" w:type="dxa"/>
            <w:gridSpan w:val="2"/>
          </w:tcPr>
          <w:p w:rsidR="008635E5" w:rsidRPr="0041117C" w:rsidRDefault="008635E5" w:rsidP="000F1D54">
            <w:pPr>
              <w:pStyle w:val="Heading5"/>
              <w:rPr>
                <w:b/>
                <w:bCs/>
                <w:lang w:val="en-AU"/>
              </w:rPr>
            </w:pPr>
            <w:r w:rsidRPr="0041117C">
              <w:rPr>
                <w:b/>
                <w:bCs/>
                <w:lang w:val="en-AU"/>
              </w:rPr>
              <w:t>Treatment comparison</w:t>
            </w:r>
          </w:p>
        </w:tc>
      </w:tr>
      <w:tr w:rsidR="008635E5" w:rsidRPr="0041117C" w:rsidTr="008635E5">
        <w:tc>
          <w:tcPr>
            <w:tcW w:w="2061" w:type="dxa"/>
          </w:tcPr>
          <w:p w:rsidR="008635E5" w:rsidRPr="0041117C" w:rsidRDefault="008635E5" w:rsidP="000F1D54">
            <w:pPr>
              <w:rPr>
                <w:b/>
                <w:bCs/>
                <w:sz w:val="20"/>
              </w:rPr>
            </w:pPr>
          </w:p>
        </w:tc>
        <w:tc>
          <w:tcPr>
            <w:tcW w:w="1762" w:type="dxa"/>
            <w:gridSpan w:val="2"/>
          </w:tcPr>
          <w:p w:rsidR="008635E5" w:rsidRPr="0041117C" w:rsidRDefault="008635E5" w:rsidP="000F1D54">
            <w:pPr>
              <w:jc w:val="center"/>
              <w:rPr>
                <w:b/>
                <w:bCs/>
                <w:sz w:val="20"/>
              </w:rPr>
            </w:pPr>
            <w:r w:rsidRPr="0041117C">
              <w:rPr>
                <w:b/>
                <w:bCs/>
                <w:sz w:val="20"/>
              </w:rPr>
              <w:t>therapy alone</w:t>
            </w:r>
          </w:p>
        </w:tc>
        <w:tc>
          <w:tcPr>
            <w:tcW w:w="1842" w:type="dxa"/>
            <w:gridSpan w:val="2"/>
          </w:tcPr>
          <w:p w:rsidR="008635E5" w:rsidRPr="0041117C" w:rsidRDefault="008635E5" w:rsidP="000F1D54">
            <w:pPr>
              <w:jc w:val="center"/>
              <w:rPr>
                <w:b/>
                <w:bCs/>
                <w:sz w:val="20"/>
              </w:rPr>
            </w:pPr>
            <w:r w:rsidRPr="0041117C">
              <w:rPr>
                <w:b/>
                <w:bCs/>
                <w:sz w:val="20"/>
              </w:rPr>
              <w:t>cetuximab</w:t>
            </w:r>
          </w:p>
        </w:tc>
        <w:tc>
          <w:tcPr>
            <w:tcW w:w="2268" w:type="dxa"/>
            <w:gridSpan w:val="2"/>
          </w:tcPr>
          <w:p w:rsidR="008635E5" w:rsidRPr="0041117C" w:rsidRDefault="008635E5" w:rsidP="000F1D54">
            <w:pPr>
              <w:rPr>
                <w:b/>
                <w:bCs/>
                <w:sz w:val="20"/>
              </w:rPr>
            </w:pPr>
          </w:p>
        </w:tc>
      </w:tr>
      <w:tr w:rsidR="008635E5" w:rsidRPr="0041117C" w:rsidTr="008635E5">
        <w:tc>
          <w:tcPr>
            <w:tcW w:w="2061" w:type="dxa"/>
          </w:tcPr>
          <w:p w:rsidR="008635E5" w:rsidRPr="0041117C" w:rsidRDefault="008635E5" w:rsidP="000F1D54">
            <w:pPr>
              <w:rPr>
                <w:sz w:val="20"/>
              </w:rPr>
            </w:pPr>
          </w:p>
        </w:tc>
        <w:tc>
          <w:tcPr>
            <w:tcW w:w="1762" w:type="dxa"/>
            <w:gridSpan w:val="2"/>
          </w:tcPr>
          <w:p w:rsidR="008635E5" w:rsidRPr="0041117C" w:rsidRDefault="008635E5" w:rsidP="000F1D54">
            <w:pPr>
              <w:jc w:val="center"/>
              <w:rPr>
                <w:sz w:val="20"/>
              </w:rPr>
            </w:pPr>
            <w:r w:rsidRPr="0041117C">
              <w:rPr>
                <w:sz w:val="20"/>
              </w:rPr>
              <w:t>(N=213)</w:t>
            </w:r>
          </w:p>
        </w:tc>
        <w:tc>
          <w:tcPr>
            <w:tcW w:w="1842" w:type="dxa"/>
            <w:gridSpan w:val="2"/>
          </w:tcPr>
          <w:p w:rsidR="008635E5" w:rsidRPr="0041117C" w:rsidRDefault="008635E5" w:rsidP="000F1D54">
            <w:pPr>
              <w:jc w:val="center"/>
              <w:rPr>
                <w:sz w:val="20"/>
              </w:rPr>
            </w:pPr>
            <w:r w:rsidRPr="0041117C">
              <w:rPr>
                <w:sz w:val="20"/>
              </w:rPr>
              <w:t>(N=211)</w:t>
            </w:r>
          </w:p>
        </w:tc>
        <w:tc>
          <w:tcPr>
            <w:tcW w:w="709" w:type="dxa"/>
          </w:tcPr>
          <w:p w:rsidR="008635E5" w:rsidRPr="0041117C" w:rsidRDefault="008635E5" w:rsidP="000F1D54">
            <w:pPr>
              <w:rPr>
                <w:sz w:val="20"/>
              </w:rPr>
            </w:pPr>
            <w:r w:rsidRPr="0041117C">
              <w:rPr>
                <w:sz w:val="20"/>
              </w:rPr>
              <w:t>p-value</w:t>
            </w:r>
          </w:p>
        </w:tc>
        <w:tc>
          <w:tcPr>
            <w:tcW w:w="1559" w:type="dxa"/>
          </w:tcPr>
          <w:p w:rsidR="008635E5" w:rsidRPr="0041117C" w:rsidRDefault="008635E5" w:rsidP="000F1D54">
            <w:pPr>
              <w:jc w:val="center"/>
              <w:rPr>
                <w:sz w:val="20"/>
              </w:rPr>
            </w:pPr>
            <w:r w:rsidRPr="0041117C">
              <w:rPr>
                <w:sz w:val="20"/>
              </w:rPr>
              <w:t>Hazard ratio</w:t>
            </w:r>
          </w:p>
        </w:tc>
      </w:tr>
      <w:tr w:rsidR="008635E5" w:rsidRPr="0041117C" w:rsidTr="008635E5">
        <w:tc>
          <w:tcPr>
            <w:tcW w:w="2061" w:type="dxa"/>
          </w:tcPr>
          <w:p w:rsidR="008635E5" w:rsidRPr="0041117C" w:rsidRDefault="008635E5" w:rsidP="000F1D54">
            <w:pPr>
              <w:rPr>
                <w:sz w:val="20"/>
              </w:rPr>
            </w:pPr>
          </w:p>
        </w:tc>
        <w:tc>
          <w:tcPr>
            <w:tcW w:w="1762" w:type="dxa"/>
            <w:gridSpan w:val="2"/>
          </w:tcPr>
          <w:p w:rsidR="008635E5" w:rsidRPr="0041117C" w:rsidRDefault="008635E5" w:rsidP="000F1D54">
            <w:pPr>
              <w:rPr>
                <w:sz w:val="20"/>
              </w:rPr>
            </w:pPr>
          </w:p>
        </w:tc>
        <w:tc>
          <w:tcPr>
            <w:tcW w:w="1842" w:type="dxa"/>
            <w:gridSpan w:val="2"/>
          </w:tcPr>
          <w:p w:rsidR="008635E5" w:rsidRPr="0041117C" w:rsidRDefault="008635E5" w:rsidP="000F1D54">
            <w:pPr>
              <w:rPr>
                <w:sz w:val="20"/>
              </w:rPr>
            </w:pPr>
          </w:p>
        </w:tc>
        <w:tc>
          <w:tcPr>
            <w:tcW w:w="709" w:type="dxa"/>
          </w:tcPr>
          <w:p w:rsidR="008635E5" w:rsidRPr="0041117C" w:rsidRDefault="008635E5" w:rsidP="000F1D54">
            <w:pPr>
              <w:rPr>
                <w:sz w:val="20"/>
              </w:rPr>
            </w:pPr>
          </w:p>
        </w:tc>
        <w:tc>
          <w:tcPr>
            <w:tcW w:w="1559" w:type="dxa"/>
          </w:tcPr>
          <w:p w:rsidR="008635E5" w:rsidRPr="0041117C" w:rsidRDefault="008635E5" w:rsidP="000F1D54">
            <w:pPr>
              <w:jc w:val="center"/>
              <w:rPr>
                <w:sz w:val="20"/>
              </w:rPr>
            </w:pPr>
            <w:r w:rsidRPr="0041117C">
              <w:rPr>
                <w:sz w:val="20"/>
              </w:rPr>
              <w:t>(95% CI)</w:t>
            </w:r>
          </w:p>
        </w:tc>
      </w:tr>
      <w:tr w:rsidR="008635E5" w:rsidRPr="0041117C" w:rsidTr="008635E5">
        <w:tc>
          <w:tcPr>
            <w:tcW w:w="2061" w:type="dxa"/>
          </w:tcPr>
          <w:p w:rsidR="008635E5" w:rsidRPr="0041117C" w:rsidRDefault="008635E5" w:rsidP="000F1D54">
            <w:pPr>
              <w:rPr>
                <w:b/>
                <w:bCs/>
                <w:sz w:val="20"/>
              </w:rPr>
            </w:pPr>
            <w:proofErr w:type="spellStart"/>
            <w:r w:rsidRPr="0041117C">
              <w:rPr>
                <w:b/>
                <w:bCs/>
                <w:sz w:val="20"/>
              </w:rPr>
              <w:t>Locoregional</w:t>
            </w:r>
            <w:proofErr w:type="spellEnd"/>
            <w:r w:rsidRPr="0041117C">
              <w:rPr>
                <w:b/>
                <w:bCs/>
                <w:sz w:val="20"/>
              </w:rPr>
              <w:t xml:space="preserve"> control</w:t>
            </w:r>
            <w:r w:rsidRPr="00FE4163">
              <w:rPr>
                <w:rFonts w:ascii="Times New Roman Bold" w:hAnsi="Times New Roman Bold"/>
                <w:b/>
                <w:bCs/>
                <w:sz w:val="20"/>
                <w:vertAlign w:val="superscript"/>
              </w:rPr>
              <w:t>§</w:t>
            </w:r>
            <w:r w:rsidRPr="0041117C">
              <w:rPr>
                <w:b/>
                <w:bCs/>
                <w:sz w:val="20"/>
              </w:rPr>
              <w:t>,</w:t>
            </w:r>
          </w:p>
        </w:tc>
        <w:tc>
          <w:tcPr>
            <w:tcW w:w="493" w:type="dxa"/>
          </w:tcPr>
          <w:p w:rsidR="008635E5" w:rsidRPr="0041117C" w:rsidRDefault="008635E5" w:rsidP="000F1D54">
            <w:pPr>
              <w:rPr>
                <w:sz w:val="20"/>
              </w:rPr>
            </w:pPr>
          </w:p>
        </w:tc>
        <w:tc>
          <w:tcPr>
            <w:tcW w:w="1269" w:type="dxa"/>
          </w:tcPr>
          <w:p w:rsidR="008635E5" w:rsidRPr="0041117C" w:rsidRDefault="008635E5" w:rsidP="000F1D54">
            <w:pPr>
              <w:rPr>
                <w:sz w:val="20"/>
              </w:rPr>
            </w:pPr>
          </w:p>
        </w:tc>
        <w:tc>
          <w:tcPr>
            <w:tcW w:w="567" w:type="dxa"/>
          </w:tcPr>
          <w:p w:rsidR="008635E5" w:rsidRPr="0041117C" w:rsidRDefault="008635E5" w:rsidP="000F1D54">
            <w:pPr>
              <w:rPr>
                <w:sz w:val="20"/>
              </w:rPr>
            </w:pPr>
          </w:p>
        </w:tc>
        <w:tc>
          <w:tcPr>
            <w:tcW w:w="1275" w:type="dxa"/>
          </w:tcPr>
          <w:p w:rsidR="008635E5" w:rsidRPr="0041117C" w:rsidRDefault="008635E5" w:rsidP="000F1D54">
            <w:pPr>
              <w:rPr>
                <w:sz w:val="20"/>
              </w:rPr>
            </w:pPr>
          </w:p>
        </w:tc>
        <w:tc>
          <w:tcPr>
            <w:tcW w:w="709" w:type="dxa"/>
          </w:tcPr>
          <w:p w:rsidR="008635E5" w:rsidRPr="0041117C" w:rsidRDefault="008635E5" w:rsidP="000F1D54">
            <w:pPr>
              <w:rPr>
                <w:sz w:val="20"/>
              </w:rPr>
            </w:pPr>
          </w:p>
        </w:tc>
        <w:tc>
          <w:tcPr>
            <w:tcW w:w="1559" w:type="dxa"/>
          </w:tcPr>
          <w:p w:rsidR="008635E5" w:rsidRPr="0041117C" w:rsidRDefault="008635E5" w:rsidP="000F1D54">
            <w:pPr>
              <w:rPr>
                <w:sz w:val="20"/>
              </w:rPr>
            </w:pPr>
          </w:p>
        </w:tc>
      </w:tr>
      <w:tr w:rsidR="008635E5" w:rsidRPr="0041117C" w:rsidTr="008635E5">
        <w:tc>
          <w:tcPr>
            <w:tcW w:w="2061" w:type="dxa"/>
          </w:tcPr>
          <w:p w:rsidR="008635E5" w:rsidRPr="0041117C" w:rsidRDefault="008635E5" w:rsidP="000F1D54">
            <w:pPr>
              <w:rPr>
                <w:b/>
                <w:bCs/>
                <w:sz w:val="20"/>
              </w:rPr>
            </w:pPr>
            <w:r w:rsidRPr="0041117C">
              <w:rPr>
                <w:b/>
                <w:bCs/>
                <w:sz w:val="20"/>
              </w:rPr>
              <w:t>months</w:t>
            </w:r>
          </w:p>
        </w:tc>
        <w:tc>
          <w:tcPr>
            <w:tcW w:w="493" w:type="dxa"/>
          </w:tcPr>
          <w:p w:rsidR="008635E5" w:rsidRPr="0041117C" w:rsidRDefault="008635E5" w:rsidP="000F1D54">
            <w:pPr>
              <w:rPr>
                <w:sz w:val="20"/>
              </w:rPr>
            </w:pPr>
          </w:p>
        </w:tc>
        <w:tc>
          <w:tcPr>
            <w:tcW w:w="1269" w:type="dxa"/>
          </w:tcPr>
          <w:p w:rsidR="008635E5" w:rsidRPr="0041117C" w:rsidRDefault="008635E5" w:rsidP="000F1D54">
            <w:pPr>
              <w:rPr>
                <w:sz w:val="20"/>
              </w:rPr>
            </w:pPr>
          </w:p>
        </w:tc>
        <w:tc>
          <w:tcPr>
            <w:tcW w:w="567" w:type="dxa"/>
          </w:tcPr>
          <w:p w:rsidR="008635E5" w:rsidRPr="0041117C" w:rsidRDefault="008635E5" w:rsidP="000F1D54">
            <w:pPr>
              <w:rPr>
                <w:sz w:val="20"/>
              </w:rPr>
            </w:pPr>
          </w:p>
        </w:tc>
        <w:tc>
          <w:tcPr>
            <w:tcW w:w="1275" w:type="dxa"/>
          </w:tcPr>
          <w:p w:rsidR="008635E5" w:rsidRPr="0041117C" w:rsidRDefault="008635E5" w:rsidP="000F1D54">
            <w:pPr>
              <w:rPr>
                <w:sz w:val="20"/>
              </w:rPr>
            </w:pPr>
          </w:p>
        </w:tc>
        <w:tc>
          <w:tcPr>
            <w:tcW w:w="709" w:type="dxa"/>
          </w:tcPr>
          <w:p w:rsidR="008635E5" w:rsidRPr="0041117C" w:rsidRDefault="008635E5" w:rsidP="000F1D54">
            <w:pPr>
              <w:rPr>
                <w:sz w:val="20"/>
              </w:rPr>
            </w:pPr>
          </w:p>
        </w:tc>
        <w:tc>
          <w:tcPr>
            <w:tcW w:w="1559" w:type="dxa"/>
          </w:tcPr>
          <w:p w:rsidR="008635E5" w:rsidRPr="0041117C" w:rsidRDefault="008635E5" w:rsidP="000F1D54">
            <w:pPr>
              <w:rPr>
                <w:sz w:val="20"/>
              </w:rPr>
            </w:pPr>
          </w:p>
        </w:tc>
      </w:tr>
      <w:tr w:rsidR="008635E5" w:rsidRPr="0041117C" w:rsidTr="008635E5">
        <w:tc>
          <w:tcPr>
            <w:tcW w:w="2061" w:type="dxa"/>
          </w:tcPr>
          <w:p w:rsidR="008635E5" w:rsidRPr="0041117C" w:rsidRDefault="008635E5" w:rsidP="000F1D54">
            <w:pPr>
              <w:rPr>
                <w:sz w:val="20"/>
              </w:rPr>
            </w:pPr>
            <w:r w:rsidRPr="0041117C">
              <w:rPr>
                <w:sz w:val="20"/>
              </w:rPr>
              <w:t>Median (95% CI)</w:t>
            </w:r>
          </w:p>
        </w:tc>
        <w:tc>
          <w:tcPr>
            <w:tcW w:w="493" w:type="dxa"/>
          </w:tcPr>
          <w:p w:rsidR="008635E5" w:rsidRPr="0041117C" w:rsidRDefault="008635E5" w:rsidP="000F1D54">
            <w:pPr>
              <w:rPr>
                <w:sz w:val="20"/>
              </w:rPr>
            </w:pPr>
            <w:r w:rsidRPr="0041117C">
              <w:rPr>
                <w:sz w:val="20"/>
              </w:rPr>
              <w:t>14.9</w:t>
            </w:r>
          </w:p>
        </w:tc>
        <w:tc>
          <w:tcPr>
            <w:tcW w:w="1269" w:type="dxa"/>
          </w:tcPr>
          <w:p w:rsidR="008635E5" w:rsidRPr="0041117C" w:rsidRDefault="008635E5" w:rsidP="000F1D54">
            <w:pPr>
              <w:rPr>
                <w:sz w:val="20"/>
              </w:rPr>
            </w:pPr>
            <w:r w:rsidRPr="0041117C">
              <w:rPr>
                <w:sz w:val="20"/>
              </w:rPr>
              <w:t>(11.8, 19.9)</w:t>
            </w:r>
          </w:p>
        </w:tc>
        <w:tc>
          <w:tcPr>
            <w:tcW w:w="567" w:type="dxa"/>
          </w:tcPr>
          <w:p w:rsidR="008635E5" w:rsidRPr="0041117C" w:rsidRDefault="008635E5" w:rsidP="000F1D54">
            <w:pPr>
              <w:jc w:val="center"/>
              <w:rPr>
                <w:sz w:val="20"/>
              </w:rPr>
            </w:pPr>
            <w:r w:rsidRPr="0041117C">
              <w:rPr>
                <w:sz w:val="20"/>
              </w:rPr>
              <w:t>24.4</w:t>
            </w:r>
          </w:p>
        </w:tc>
        <w:tc>
          <w:tcPr>
            <w:tcW w:w="1275" w:type="dxa"/>
          </w:tcPr>
          <w:p w:rsidR="008635E5" w:rsidRPr="0041117C" w:rsidRDefault="008635E5" w:rsidP="000F1D54">
            <w:pPr>
              <w:rPr>
                <w:sz w:val="20"/>
              </w:rPr>
            </w:pPr>
            <w:r w:rsidRPr="0041117C">
              <w:rPr>
                <w:sz w:val="20"/>
              </w:rPr>
              <w:t>(15.7, 45.1)</w:t>
            </w:r>
          </w:p>
        </w:tc>
        <w:tc>
          <w:tcPr>
            <w:tcW w:w="709" w:type="dxa"/>
          </w:tcPr>
          <w:p w:rsidR="008635E5" w:rsidRPr="0041117C" w:rsidRDefault="008635E5" w:rsidP="000F1D54">
            <w:pPr>
              <w:rPr>
                <w:sz w:val="20"/>
              </w:rPr>
            </w:pPr>
            <w:r w:rsidRPr="0041117C">
              <w:rPr>
                <w:sz w:val="20"/>
              </w:rPr>
              <w:t>0.005</w:t>
            </w:r>
          </w:p>
        </w:tc>
        <w:tc>
          <w:tcPr>
            <w:tcW w:w="1559" w:type="dxa"/>
          </w:tcPr>
          <w:p w:rsidR="008635E5" w:rsidRPr="0041117C" w:rsidRDefault="008635E5" w:rsidP="000F1D54">
            <w:pPr>
              <w:rPr>
                <w:sz w:val="20"/>
              </w:rPr>
            </w:pPr>
            <w:r w:rsidRPr="0041117C">
              <w:rPr>
                <w:sz w:val="20"/>
              </w:rPr>
              <w:t>0.68 (0.52, 0.89)</w:t>
            </w:r>
          </w:p>
        </w:tc>
      </w:tr>
      <w:tr w:rsidR="008635E5" w:rsidRPr="0041117C" w:rsidTr="008635E5">
        <w:tc>
          <w:tcPr>
            <w:tcW w:w="2061" w:type="dxa"/>
          </w:tcPr>
          <w:p w:rsidR="008635E5" w:rsidRPr="0041117C" w:rsidRDefault="008635E5" w:rsidP="000F1D54">
            <w:pPr>
              <w:rPr>
                <w:sz w:val="20"/>
              </w:rPr>
            </w:pPr>
          </w:p>
        </w:tc>
        <w:tc>
          <w:tcPr>
            <w:tcW w:w="493" w:type="dxa"/>
          </w:tcPr>
          <w:p w:rsidR="008635E5" w:rsidRPr="0041117C" w:rsidRDefault="008635E5" w:rsidP="000F1D54">
            <w:pPr>
              <w:rPr>
                <w:sz w:val="20"/>
              </w:rPr>
            </w:pPr>
          </w:p>
        </w:tc>
        <w:tc>
          <w:tcPr>
            <w:tcW w:w="1269" w:type="dxa"/>
          </w:tcPr>
          <w:p w:rsidR="008635E5" w:rsidRPr="0041117C" w:rsidRDefault="008635E5" w:rsidP="000F1D54">
            <w:pPr>
              <w:rPr>
                <w:sz w:val="20"/>
              </w:rPr>
            </w:pPr>
          </w:p>
        </w:tc>
        <w:tc>
          <w:tcPr>
            <w:tcW w:w="567" w:type="dxa"/>
          </w:tcPr>
          <w:p w:rsidR="008635E5" w:rsidRPr="0041117C" w:rsidRDefault="008635E5" w:rsidP="000F1D54">
            <w:pPr>
              <w:jc w:val="center"/>
              <w:rPr>
                <w:sz w:val="20"/>
              </w:rPr>
            </w:pPr>
          </w:p>
        </w:tc>
        <w:tc>
          <w:tcPr>
            <w:tcW w:w="1275" w:type="dxa"/>
          </w:tcPr>
          <w:p w:rsidR="008635E5" w:rsidRPr="0041117C" w:rsidRDefault="008635E5" w:rsidP="000F1D54">
            <w:pPr>
              <w:rPr>
                <w:sz w:val="20"/>
              </w:rPr>
            </w:pPr>
          </w:p>
        </w:tc>
        <w:tc>
          <w:tcPr>
            <w:tcW w:w="709" w:type="dxa"/>
          </w:tcPr>
          <w:p w:rsidR="008635E5" w:rsidRPr="0041117C" w:rsidRDefault="008635E5" w:rsidP="000F1D54">
            <w:pPr>
              <w:rPr>
                <w:sz w:val="20"/>
              </w:rPr>
            </w:pPr>
          </w:p>
        </w:tc>
        <w:tc>
          <w:tcPr>
            <w:tcW w:w="1559" w:type="dxa"/>
          </w:tcPr>
          <w:p w:rsidR="008635E5" w:rsidRPr="0041117C" w:rsidRDefault="008635E5" w:rsidP="000F1D54">
            <w:pPr>
              <w:rPr>
                <w:sz w:val="20"/>
              </w:rPr>
            </w:pPr>
          </w:p>
        </w:tc>
      </w:tr>
      <w:tr w:rsidR="008635E5" w:rsidRPr="0041117C" w:rsidTr="008635E5">
        <w:tc>
          <w:tcPr>
            <w:tcW w:w="2061" w:type="dxa"/>
          </w:tcPr>
          <w:p w:rsidR="008635E5" w:rsidRPr="0041117C" w:rsidRDefault="008635E5" w:rsidP="000F1D54">
            <w:pPr>
              <w:rPr>
                <w:b/>
                <w:bCs/>
                <w:sz w:val="20"/>
              </w:rPr>
            </w:pPr>
            <w:r w:rsidRPr="0041117C">
              <w:rPr>
                <w:b/>
                <w:bCs/>
                <w:sz w:val="20"/>
              </w:rPr>
              <w:t>Overall Survival time, months</w:t>
            </w:r>
          </w:p>
        </w:tc>
        <w:tc>
          <w:tcPr>
            <w:tcW w:w="493" w:type="dxa"/>
          </w:tcPr>
          <w:p w:rsidR="008635E5" w:rsidRPr="0041117C" w:rsidRDefault="008635E5" w:rsidP="000F1D54">
            <w:pPr>
              <w:rPr>
                <w:sz w:val="20"/>
              </w:rPr>
            </w:pPr>
          </w:p>
        </w:tc>
        <w:tc>
          <w:tcPr>
            <w:tcW w:w="1269" w:type="dxa"/>
          </w:tcPr>
          <w:p w:rsidR="008635E5" w:rsidRPr="0041117C" w:rsidRDefault="008635E5" w:rsidP="000F1D54">
            <w:pPr>
              <w:rPr>
                <w:sz w:val="20"/>
              </w:rPr>
            </w:pPr>
          </w:p>
        </w:tc>
        <w:tc>
          <w:tcPr>
            <w:tcW w:w="567" w:type="dxa"/>
          </w:tcPr>
          <w:p w:rsidR="008635E5" w:rsidRPr="0041117C" w:rsidRDefault="008635E5" w:rsidP="000F1D54">
            <w:pPr>
              <w:jc w:val="center"/>
              <w:rPr>
                <w:sz w:val="20"/>
              </w:rPr>
            </w:pPr>
          </w:p>
        </w:tc>
        <w:tc>
          <w:tcPr>
            <w:tcW w:w="1275" w:type="dxa"/>
          </w:tcPr>
          <w:p w:rsidR="008635E5" w:rsidRPr="0041117C" w:rsidRDefault="008635E5" w:rsidP="000F1D54">
            <w:pPr>
              <w:rPr>
                <w:sz w:val="20"/>
              </w:rPr>
            </w:pPr>
          </w:p>
        </w:tc>
        <w:tc>
          <w:tcPr>
            <w:tcW w:w="709" w:type="dxa"/>
          </w:tcPr>
          <w:p w:rsidR="008635E5" w:rsidRPr="0041117C" w:rsidRDefault="008635E5" w:rsidP="000F1D54">
            <w:pPr>
              <w:rPr>
                <w:sz w:val="20"/>
              </w:rPr>
            </w:pPr>
          </w:p>
        </w:tc>
        <w:tc>
          <w:tcPr>
            <w:tcW w:w="1559" w:type="dxa"/>
          </w:tcPr>
          <w:p w:rsidR="008635E5" w:rsidRPr="0041117C" w:rsidRDefault="008635E5" w:rsidP="000F1D54">
            <w:pPr>
              <w:rPr>
                <w:sz w:val="20"/>
              </w:rPr>
            </w:pPr>
          </w:p>
        </w:tc>
      </w:tr>
      <w:tr w:rsidR="008635E5" w:rsidRPr="0041117C" w:rsidTr="008635E5">
        <w:tc>
          <w:tcPr>
            <w:tcW w:w="2061" w:type="dxa"/>
          </w:tcPr>
          <w:p w:rsidR="008635E5" w:rsidRPr="0041117C" w:rsidRDefault="008635E5" w:rsidP="000F1D54">
            <w:pPr>
              <w:rPr>
                <w:sz w:val="20"/>
              </w:rPr>
            </w:pPr>
            <w:r w:rsidRPr="0041117C">
              <w:rPr>
                <w:sz w:val="20"/>
              </w:rPr>
              <w:t>Median (95% CI)</w:t>
            </w:r>
          </w:p>
        </w:tc>
        <w:tc>
          <w:tcPr>
            <w:tcW w:w="493" w:type="dxa"/>
          </w:tcPr>
          <w:p w:rsidR="008635E5" w:rsidRPr="0041117C" w:rsidRDefault="008635E5" w:rsidP="000F1D54">
            <w:pPr>
              <w:rPr>
                <w:sz w:val="20"/>
              </w:rPr>
            </w:pPr>
            <w:r w:rsidRPr="0041117C">
              <w:rPr>
                <w:sz w:val="20"/>
              </w:rPr>
              <w:t>29.3</w:t>
            </w:r>
          </w:p>
        </w:tc>
        <w:tc>
          <w:tcPr>
            <w:tcW w:w="1269" w:type="dxa"/>
          </w:tcPr>
          <w:p w:rsidR="008635E5" w:rsidRPr="0041117C" w:rsidRDefault="008635E5" w:rsidP="000F1D54">
            <w:pPr>
              <w:rPr>
                <w:sz w:val="20"/>
              </w:rPr>
            </w:pPr>
            <w:r w:rsidRPr="0041117C">
              <w:rPr>
                <w:sz w:val="20"/>
              </w:rPr>
              <w:t>(20.6, 42.8)</w:t>
            </w:r>
          </w:p>
        </w:tc>
        <w:tc>
          <w:tcPr>
            <w:tcW w:w="567" w:type="dxa"/>
          </w:tcPr>
          <w:p w:rsidR="008635E5" w:rsidRPr="0041117C" w:rsidRDefault="008635E5" w:rsidP="000F1D54">
            <w:pPr>
              <w:jc w:val="center"/>
              <w:rPr>
                <w:sz w:val="20"/>
              </w:rPr>
            </w:pPr>
            <w:r w:rsidRPr="0041117C">
              <w:rPr>
                <w:sz w:val="20"/>
              </w:rPr>
              <w:t>49.0</w:t>
            </w:r>
          </w:p>
        </w:tc>
        <w:tc>
          <w:tcPr>
            <w:tcW w:w="1275" w:type="dxa"/>
          </w:tcPr>
          <w:p w:rsidR="008635E5" w:rsidRPr="0041117C" w:rsidRDefault="008635E5" w:rsidP="000F1D54">
            <w:pPr>
              <w:rPr>
                <w:sz w:val="20"/>
              </w:rPr>
            </w:pPr>
            <w:r w:rsidRPr="0041117C">
              <w:rPr>
                <w:sz w:val="20"/>
              </w:rPr>
              <w:t>(32.8, 62.6+)</w:t>
            </w:r>
          </w:p>
        </w:tc>
        <w:tc>
          <w:tcPr>
            <w:tcW w:w="709" w:type="dxa"/>
            <w:tcBorders>
              <w:bottom w:val="nil"/>
            </w:tcBorders>
          </w:tcPr>
          <w:p w:rsidR="008635E5" w:rsidRPr="0041117C" w:rsidRDefault="008635E5" w:rsidP="000F1D54">
            <w:pPr>
              <w:rPr>
                <w:sz w:val="20"/>
              </w:rPr>
            </w:pPr>
            <w:r w:rsidRPr="0041117C">
              <w:rPr>
                <w:sz w:val="20"/>
              </w:rPr>
              <w:t>0.032</w:t>
            </w:r>
          </w:p>
        </w:tc>
        <w:tc>
          <w:tcPr>
            <w:tcW w:w="1559" w:type="dxa"/>
            <w:tcBorders>
              <w:bottom w:val="nil"/>
            </w:tcBorders>
          </w:tcPr>
          <w:p w:rsidR="008635E5" w:rsidRPr="0041117C" w:rsidRDefault="008635E5" w:rsidP="000F1D54">
            <w:pPr>
              <w:rPr>
                <w:sz w:val="20"/>
              </w:rPr>
            </w:pPr>
            <w:r w:rsidRPr="0041117C">
              <w:rPr>
                <w:sz w:val="20"/>
              </w:rPr>
              <w:t>0.74 (0.56, 0.97)</w:t>
            </w:r>
          </w:p>
        </w:tc>
      </w:tr>
      <w:tr w:rsidR="008635E5" w:rsidRPr="0041117C" w:rsidTr="008635E5">
        <w:tc>
          <w:tcPr>
            <w:tcW w:w="2061" w:type="dxa"/>
          </w:tcPr>
          <w:p w:rsidR="008635E5" w:rsidRPr="0041117C" w:rsidRDefault="008635E5" w:rsidP="000F1D54">
            <w:pPr>
              <w:rPr>
                <w:sz w:val="20"/>
              </w:rPr>
            </w:pPr>
          </w:p>
        </w:tc>
        <w:tc>
          <w:tcPr>
            <w:tcW w:w="2329" w:type="dxa"/>
            <w:gridSpan w:val="3"/>
          </w:tcPr>
          <w:p w:rsidR="008635E5" w:rsidRPr="0041117C" w:rsidRDefault="008635E5" w:rsidP="000F1D54">
            <w:pPr>
              <w:jc w:val="center"/>
              <w:rPr>
                <w:sz w:val="20"/>
              </w:rPr>
            </w:pPr>
          </w:p>
        </w:tc>
        <w:tc>
          <w:tcPr>
            <w:tcW w:w="1275" w:type="dxa"/>
          </w:tcPr>
          <w:p w:rsidR="008635E5" w:rsidRPr="0041117C" w:rsidRDefault="008635E5" w:rsidP="000F1D54">
            <w:pPr>
              <w:jc w:val="center"/>
              <w:rPr>
                <w:sz w:val="20"/>
              </w:rPr>
            </w:pPr>
          </w:p>
        </w:tc>
        <w:tc>
          <w:tcPr>
            <w:tcW w:w="709" w:type="dxa"/>
            <w:tcBorders>
              <w:top w:val="nil"/>
              <w:bottom w:val="single" w:sz="4" w:space="0" w:color="auto"/>
            </w:tcBorders>
            <w:shd w:val="clear" w:color="auto" w:fill="auto"/>
          </w:tcPr>
          <w:p w:rsidR="008635E5" w:rsidRPr="0041117C" w:rsidRDefault="008635E5" w:rsidP="000F1D54">
            <w:pPr>
              <w:rPr>
                <w:sz w:val="20"/>
              </w:rPr>
            </w:pPr>
          </w:p>
        </w:tc>
        <w:tc>
          <w:tcPr>
            <w:tcW w:w="1559" w:type="dxa"/>
            <w:tcBorders>
              <w:top w:val="nil"/>
              <w:bottom w:val="single" w:sz="4" w:space="0" w:color="auto"/>
            </w:tcBorders>
            <w:shd w:val="clear" w:color="auto" w:fill="auto"/>
          </w:tcPr>
          <w:p w:rsidR="008635E5" w:rsidRPr="0041117C" w:rsidRDefault="008635E5" w:rsidP="000F1D54">
            <w:pPr>
              <w:rPr>
                <w:sz w:val="20"/>
              </w:rPr>
            </w:pPr>
          </w:p>
        </w:tc>
      </w:tr>
    </w:tbl>
    <w:p w:rsidR="008635E5" w:rsidRPr="008635E5" w:rsidRDefault="008635E5" w:rsidP="008635E5">
      <w:pPr>
        <w:pStyle w:val="ListParagraph"/>
        <w:ind w:left="426"/>
        <w:rPr>
          <w:b/>
          <w:bCs/>
        </w:rPr>
      </w:pPr>
      <w:r w:rsidRPr="0041117C">
        <w:rPr>
          <w:sz w:val="20"/>
        </w:rPr>
        <w:t>CI = confidence interval</w:t>
      </w:r>
      <w:r>
        <w:rPr>
          <w:sz w:val="20"/>
        </w:rPr>
        <w:t>;</w:t>
      </w:r>
      <w:r w:rsidRPr="0041117C">
        <w:rPr>
          <w:sz w:val="20"/>
        </w:rPr>
        <w:t xml:space="preserve"> a '+' denotes that the upper bound limit had not been reached at cut</w:t>
      </w:r>
      <w:r w:rsidRPr="0041117C">
        <w:rPr>
          <w:sz w:val="20"/>
        </w:rPr>
        <w:noBreakHyphen/>
        <w:t xml:space="preserve">off. </w:t>
      </w:r>
      <w:r w:rsidRPr="00FE4163">
        <w:rPr>
          <w:rFonts w:ascii="Times New Roman Bold" w:hAnsi="Times New Roman Bold"/>
          <w:bCs/>
          <w:sz w:val="20"/>
          <w:vertAlign w:val="superscript"/>
        </w:rPr>
        <w:t>§</w:t>
      </w:r>
      <w:proofErr w:type="spellStart"/>
      <w:r w:rsidRPr="0041117C">
        <w:rPr>
          <w:sz w:val="20"/>
        </w:rPr>
        <w:t>Locoregional</w:t>
      </w:r>
      <w:proofErr w:type="spellEnd"/>
      <w:r w:rsidRPr="0041117C">
        <w:rPr>
          <w:sz w:val="20"/>
        </w:rPr>
        <w:t xml:space="preserve"> control = absence of disease recurrence/progression or death.</w:t>
      </w:r>
    </w:p>
    <w:p w:rsidR="008635E5" w:rsidRDefault="008635E5" w:rsidP="008635E5"/>
    <w:p w:rsidR="008635E5" w:rsidRDefault="008635E5" w:rsidP="008635E5">
      <w:pPr>
        <w:ind w:left="426"/>
      </w:pPr>
      <w:r w:rsidRPr="0041117C">
        <w:t xml:space="preserve">Subgroup analyses indicated that patients with a good prognosis as indicated by tumour stage (stage II/III </w:t>
      </w:r>
      <w:proofErr w:type="spellStart"/>
      <w:r w:rsidRPr="0041117C">
        <w:t>vs</w:t>
      </w:r>
      <w:proofErr w:type="spellEnd"/>
      <w:r w:rsidRPr="0041117C">
        <w:t xml:space="preserve"> stage IV), baseline </w:t>
      </w:r>
      <w:proofErr w:type="spellStart"/>
      <w:r w:rsidRPr="0041117C">
        <w:t>Karnofsky</w:t>
      </w:r>
      <w:proofErr w:type="spellEnd"/>
      <w:r w:rsidRPr="0041117C">
        <w:t xml:space="preserve"> performance status (KPS: 90 – 100% </w:t>
      </w:r>
      <w:proofErr w:type="spellStart"/>
      <w:r w:rsidRPr="0041117C">
        <w:t>vs</w:t>
      </w:r>
      <w:proofErr w:type="spellEnd"/>
      <w:r w:rsidRPr="0041117C">
        <w:t xml:space="preserve"> 50 – 80%) and age (&lt;65 years </w:t>
      </w:r>
      <w:proofErr w:type="spellStart"/>
      <w:r w:rsidRPr="0041117C">
        <w:t>vs</w:t>
      </w:r>
      <w:proofErr w:type="spellEnd"/>
      <w:r w:rsidRPr="0041117C">
        <w:t xml:space="preserve"> </w:t>
      </w:r>
      <w:r w:rsidRPr="0041117C">
        <w:rPr>
          <w:u w:val="single"/>
        </w:rPr>
        <w:t>&gt;</w:t>
      </w:r>
      <w:r w:rsidRPr="0041117C">
        <w:t>65 years) had a more pronounced benefit when cetuximab was added to radiation therapy. No clinical benefit could be demonstrated in patients with KPS ≤ 80 and aged 65 years or older.</w:t>
      </w:r>
    </w:p>
    <w:p w:rsidR="008635E5" w:rsidRDefault="008635E5" w:rsidP="008635E5">
      <w:pPr>
        <w:ind w:left="426"/>
      </w:pPr>
    </w:p>
    <w:p w:rsidR="008635E5" w:rsidRDefault="008635E5" w:rsidP="008635E5">
      <w:pPr>
        <w:ind w:left="426"/>
      </w:pPr>
      <w:r w:rsidRPr="0041117C">
        <w:t>The use of cetuximab in combination with chemo-radiotherapy has so far not been adequately investigated.  Thus, a benefit-risk ratio has not been established.</w:t>
      </w:r>
    </w:p>
    <w:p w:rsidR="008635E5" w:rsidRDefault="008635E5" w:rsidP="008635E5">
      <w:pPr>
        <w:ind w:left="426"/>
      </w:pPr>
    </w:p>
    <w:p w:rsidR="008635E5" w:rsidRDefault="008635E5" w:rsidP="008635E5">
      <w:r w:rsidRPr="00E268BF">
        <w:rPr>
          <w:iCs/>
          <w:u w:val="single"/>
        </w:rPr>
        <w:t>Cetuximab in combination with platinum-based chemotherapy in recurrent and/or metastatic disease</w:t>
      </w:r>
    </w:p>
    <w:p w:rsidR="008635E5" w:rsidRDefault="008635E5" w:rsidP="008635E5">
      <w:pPr>
        <w:ind w:left="426"/>
      </w:pPr>
    </w:p>
    <w:p w:rsidR="008635E5" w:rsidRDefault="008635E5" w:rsidP="008635E5">
      <w:pPr>
        <w:pStyle w:val="ListParagraph"/>
        <w:numPr>
          <w:ilvl w:val="0"/>
          <w:numId w:val="23"/>
        </w:numPr>
        <w:ind w:left="426" w:hanging="426"/>
      </w:pPr>
      <w:r w:rsidRPr="0041117C">
        <w:t>EMR 62 202</w:t>
      </w:r>
      <w:r w:rsidRPr="0041117C">
        <w:noBreakHyphen/>
        <w:t xml:space="preserve">002 (EXTREME):  This randomised, open-label study in patients with recurrent and/or metastatic </w:t>
      </w:r>
      <w:proofErr w:type="spellStart"/>
      <w:r w:rsidRPr="0041117C">
        <w:t>squamous</w:t>
      </w:r>
      <w:proofErr w:type="spellEnd"/>
      <w:r w:rsidRPr="0041117C">
        <w:t xml:space="preserve"> cell cancer of the head and neck who had not received prior chemotherapy for recurrent and/or metastatic disease compared the combination of </w:t>
      </w:r>
      <w:proofErr w:type="spellStart"/>
      <w:r w:rsidRPr="0041117C">
        <w:t>cetuximab</w:t>
      </w:r>
      <w:proofErr w:type="spellEnd"/>
      <w:r w:rsidRPr="0041117C">
        <w:t xml:space="preserve"> and </w:t>
      </w:r>
      <w:proofErr w:type="spellStart"/>
      <w:r w:rsidRPr="0041117C">
        <w:t>cisplatin</w:t>
      </w:r>
      <w:proofErr w:type="spellEnd"/>
      <w:r w:rsidRPr="0041117C">
        <w:t xml:space="preserve"> or </w:t>
      </w:r>
      <w:proofErr w:type="spellStart"/>
      <w:r w:rsidRPr="0041117C">
        <w:t>carboplatin</w:t>
      </w:r>
      <w:proofErr w:type="spellEnd"/>
      <w:r w:rsidRPr="0041117C">
        <w:t xml:space="preserve"> plus </w:t>
      </w:r>
      <w:proofErr w:type="spellStart"/>
      <w:r w:rsidRPr="0041117C">
        <w:t>infusional</w:t>
      </w:r>
      <w:proofErr w:type="spellEnd"/>
      <w:r w:rsidRPr="0041117C">
        <w:t xml:space="preserve"> fluorouracil (222 patients) to the same chemotherapy alone (220 patients). Patients may have received prior chemotherapy for locally advanced disease.  The median age of subjects was 56 years (</w:t>
      </w:r>
      <w:proofErr w:type="spellStart"/>
      <w:r w:rsidRPr="0041117C">
        <w:t>interquartile</w:t>
      </w:r>
      <w:proofErr w:type="spellEnd"/>
      <w:r w:rsidRPr="0041117C">
        <w:t xml:space="preserve"> range 51-62), with most being male (90%).  Treatment in the cetuximab arm consisted of up to 6 cycles of platinum-based chemotherapy in combination with cetuximab followed by cetuximab as maintenance therapy until disease progression.</w:t>
      </w:r>
    </w:p>
    <w:p w:rsidR="008635E5" w:rsidRDefault="008635E5" w:rsidP="008635E5"/>
    <w:p w:rsidR="008635E5" w:rsidRDefault="008635E5" w:rsidP="008635E5">
      <w:pPr>
        <w:ind w:left="426"/>
      </w:pPr>
      <w:r w:rsidRPr="0041117C">
        <w:t>Addition of cetuximab to platinum-based chemotherapy significantly increased progression-free and overall survival by a median 2.3 and 2.7 months, respectively (Table 5).</w:t>
      </w:r>
    </w:p>
    <w:p w:rsidR="008635E5" w:rsidRDefault="008635E5" w:rsidP="008635E5"/>
    <w:p w:rsidR="008635E5" w:rsidRDefault="008635E5">
      <w:pPr>
        <w:rPr>
          <w:b/>
          <w:bCs/>
        </w:rPr>
      </w:pPr>
      <w:r>
        <w:rPr>
          <w:b/>
          <w:bCs/>
        </w:rPr>
        <w:br w:type="page"/>
      </w:r>
    </w:p>
    <w:p w:rsidR="008635E5" w:rsidRDefault="008635E5" w:rsidP="008635E5">
      <w:pPr>
        <w:ind w:left="426"/>
        <w:rPr>
          <w:b/>
          <w:bCs/>
        </w:rPr>
      </w:pPr>
      <w:r w:rsidRPr="0041117C">
        <w:rPr>
          <w:b/>
          <w:bCs/>
        </w:rPr>
        <w:lastRenderedPageBreak/>
        <w:t>Table 5:  Study EMR 62 202-002:  Efficacy Results</w:t>
      </w:r>
    </w:p>
    <w:p w:rsidR="008635E5" w:rsidRDefault="008635E5" w:rsidP="008635E5">
      <w:pPr>
        <w:ind w:left="426"/>
        <w:rPr>
          <w:b/>
          <w:bCs/>
        </w:rPr>
      </w:pPr>
    </w:p>
    <w:tbl>
      <w:tblPr>
        <w:tblW w:w="847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544"/>
        <w:gridCol w:w="3088"/>
        <w:gridCol w:w="2839"/>
      </w:tblGrid>
      <w:tr w:rsidR="008635E5" w:rsidRPr="0041117C" w:rsidTr="008635E5">
        <w:tc>
          <w:tcPr>
            <w:tcW w:w="2544" w:type="dxa"/>
            <w:tcBorders>
              <w:top w:val="single" w:sz="4" w:space="0" w:color="auto"/>
              <w:bottom w:val="nil"/>
              <w:right w:val="nil"/>
            </w:tcBorders>
          </w:tcPr>
          <w:p w:rsidR="008635E5" w:rsidRPr="0041117C" w:rsidRDefault="008635E5" w:rsidP="000F1D54">
            <w:pPr>
              <w:pStyle w:val="SPCTabletitleleft"/>
              <w:keepNext/>
              <w:keepLines/>
              <w:jc w:val="center"/>
              <w:rPr>
                <w:lang w:val="en-AU"/>
              </w:rPr>
            </w:pPr>
            <w:r w:rsidRPr="0041117C">
              <w:rPr>
                <w:lang w:val="en-AU"/>
              </w:rPr>
              <w:t>Variable/ statistic</w:t>
            </w:r>
          </w:p>
        </w:tc>
        <w:tc>
          <w:tcPr>
            <w:tcW w:w="3088" w:type="dxa"/>
            <w:tcBorders>
              <w:top w:val="single" w:sz="4" w:space="0" w:color="auto"/>
              <w:left w:val="nil"/>
              <w:bottom w:val="nil"/>
              <w:right w:val="nil"/>
            </w:tcBorders>
          </w:tcPr>
          <w:p w:rsidR="008635E5" w:rsidRPr="0041117C" w:rsidRDefault="008635E5" w:rsidP="000F1D54">
            <w:pPr>
              <w:pStyle w:val="SPCTabletitlecenter"/>
              <w:keepLines/>
              <w:rPr>
                <w:lang w:val="en-AU"/>
              </w:rPr>
            </w:pPr>
            <w:r w:rsidRPr="0041117C">
              <w:rPr>
                <w:lang w:val="en-AU"/>
              </w:rPr>
              <w:t>Cetuximab + CTX</w:t>
            </w:r>
          </w:p>
          <w:p w:rsidR="008635E5" w:rsidRPr="0041117C" w:rsidRDefault="008635E5" w:rsidP="000F1D54">
            <w:pPr>
              <w:pStyle w:val="SPCTabletitlecenter"/>
              <w:keepLines/>
              <w:rPr>
                <w:lang w:val="en-AU"/>
              </w:rPr>
            </w:pPr>
            <w:r w:rsidRPr="0041117C">
              <w:rPr>
                <w:lang w:val="en-AU"/>
              </w:rPr>
              <w:t>(N=222)</w:t>
            </w:r>
          </w:p>
        </w:tc>
        <w:tc>
          <w:tcPr>
            <w:tcW w:w="2839" w:type="dxa"/>
            <w:tcBorders>
              <w:top w:val="single" w:sz="4" w:space="0" w:color="auto"/>
              <w:left w:val="nil"/>
              <w:bottom w:val="nil"/>
            </w:tcBorders>
          </w:tcPr>
          <w:p w:rsidR="008635E5" w:rsidRPr="0041117C" w:rsidRDefault="008635E5" w:rsidP="000F1D54">
            <w:pPr>
              <w:pStyle w:val="SPCTabletitlecenter"/>
              <w:keepLines/>
              <w:rPr>
                <w:lang w:val="en-AU"/>
              </w:rPr>
            </w:pPr>
            <w:r w:rsidRPr="0041117C">
              <w:rPr>
                <w:lang w:val="en-AU"/>
              </w:rPr>
              <w:t>CTX</w:t>
            </w:r>
          </w:p>
          <w:p w:rsidR="008635E5" w:rsidRPr="0041117C" w:rsidRDefault="008635E5" w:rsidP="000F1D54">
            <w:pPr>
              <w:pStyle w:val="SPCTabletitlecenter"/>
              <w:keepLines/>
              <w:rPr>
                <w:lang w:val="en-AU"/>
              </w:rPr>
            </w:pPr>
            <w:r w:rsidRPr="0041117C">
              <w:rPr>
                <w:lang w:val="en-AU"/>
              </w:rPr>
              <w:t>(N=220)</w:t>
            </w: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rPr>
                <w:lang w:val="en-AU"/>
              </w:rPr>
            </w:pPr>
            <w:r w:rsidRPr="0041117C">
              <w:rPr>
                <w:lang w:val="en-AU"/>
              </w:rPr>
              <w:t>OS</w:t>
            </w:r>
          </w:p>
        </w:tc>
        <w:tc>
          <w:tcPr>
            <w:tcW w:w="3088" w:type="dxa"/>
            <w:tcBorders>
              <w:top w:val="nil"/>
              <w:left w:val="nil"/>
              <w:bottom w:val="nil"/>
              <w:right w:val="nil"/>
            </w:tcBorders>
          </w:tcPr>
          <w:p w:rsidR="008635E5" w:rsidRPr="0041117C" w:rsidRDefault="008635E5" w:rsidP="000F1D54">
            <w:pPr>
              <w:pStyle w:val="SPCTabletextleft"/>
              <w:keepLines/>
              <w:jc w:val="center"/>
              <w:rPr>
                <w:lang w:val="en-AU"/>
              </w:rPr>
            </w:pPr>
          </w:p>
        </w:tc>
        <w:tc>
          <w:tcPr>
            <w:tcW w:w="2839" w:type="dxa"/>
            <w:tcBorders>
              <w:top w:val="nil"/>
              <w:left w:val="nil"/>
              <w:bottom w:val="nil"/>
            </w:tcBorders>
          </w:tcPr>
          <w:p w:rsidR="008635E5" w:rsidRPr="0041117C" w:rsidRDefault="008635E5" w:rsidP="000F1D54">
            <w:pPr>
              <w:pStyle w:val="SPCTabletextleft"/>
              <w:keepLines/>
              <w:jc w:val="center"/>
              <w:rPr>
                <w:lang w:val="en-AU"/>
              </w:rPr>
            </w:pP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rPr>
                <w:lang w:val="en-AU"/>
              </w:rPr>
            </w:pPr>
            <w:r w:rsidRPr="0041117C">
              <w:rPr>
                <w:b w:val="0"/>
                <w:bCs/>
                <w:lang w:val="en-AU"/>
              </w:rPr>
              <w:t>months, median (95% CI)</w:t>
            </w:r>
          </w:p>
        </w:tc>
        <w:tc>
          <w:tcPr>
            <w:tcW w:w="3088" w:type="dxa"/>
            <w:tcBorders>
              <w:top w:val="nil"/>
              <w:left w:val="nil"/>
              <w:bottom w:val="nil"/>
              <w:right w:val="nil"/>
            </w:tcBorders>
          </w:tcPr>
          <w:p w:rsidR="008635E5" w:rsidRPr="0041117C" w:rsidRDefault="008635E5" w:rsidP="000F1D54">
            <w:pPr>
              <w:pStyle w:val="SPCTabletextleft"/>
              <w:keepLines/>
              <w:jc w:val="center"/>
              <w:rPr>
                <w:lang w:val="en-AU"/>
              </w:rPr>
            </w:pPr>
            <w:r w:rsidRPr="0041117C">
              <w:rPr>
                <w:lang w:val="en-AU"/>
              </w:rPr>
              <w:t>10.1 (8.6, 11.2)</w:t>
            </w:r>
          </w:p>
        </w:tc>
        <w:tc>
          <w:tcPr>
            <w:tcW w:w="2839" w:type="dxa"/>
            <w:tcBorders>
              <w:top w:val="nil"/>
              <w:left w:val="nil"/>
              <w:bottom w:val="nil"/>
            </w:tcBorders>
          </w:tcPr>
          <w:p w:rsidR="008635E5" w:rsidRPr="0041117C" w:rsidRDefault="008635E5" w:rsidP="000F1D54">
            <w:pPr>
              <w:pStyle w:val="SPCTabletextleft"/>
              <w:keepLines/>
              <w:jc w:val="center"/>
              <w:rPr>
                <w:lang w:val="en-AU"/>
              </w:rPr>
            </w:pPr>
            <w:r w:rsidRPr="0041117C">
              <w:rPr>
                <w:lang w:val="en-AU"/>
              </w:rPr>
              <w:t>7.4 (6.4, 8.3)</w:t>
            </w: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ind w:firstLine="114"/>
              <w:rPr>
                <w:lang w:val="en-AU"/>
              </w:rPr>
            </w:pPr>
            <w:r w:rsidRPr="0041117C">
              <w:rPr>
                <w:b w:val="0"/>
                <w:bCs/>
                <w:lang w:val="en-AU"/>
              </w:rPr>
              <w:t>Hazard Ratio (95% CI)</w:t>
            </w:r>
          </w:p>
        </w:tc>
        <w:tc>
          <w:tcPr>
            <w:tcW w:w="5927" w:type="dxa"/>
            <w:gridSpan w:val="2"/>
            <w:tcBorders>
              <w:top w:val="nil"/>
              <w:left w:val="nil"/>
              <w:bottom w:val="nil"/>
            </w:tcBorders>
          </w:tcPr>
          <w:p w:rsidR="008635E5" w:rsidRPr="0041117C" w:rsidRDefault="008635E5" w:rsidP="000F1D54">
            <w:pPr>
              <w:pStyle w:val="SPCTabletextleft"/>
              <w:keepLines/>
              <w:jc w:val="center"/>
              <w:rPr>
                <w:lang w:val="en-AU"/>
              </w:rPr>
            </w:pPr>
            <w:r w:rsidRPr="0041117C">
              <w:rPr>
                <w:lang w:val="en-AU"/>
              </w:rPr>
              <w:t>0.80 (0.64, 0.99)</w:t>
            </w: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ind w:firstLine="114"/>
              <w:rPr>
                <w:lang w:val="en-AU"/>
              </w:rPr>
            </w:pPr>
            <w:r w:rsidRPr="0041117C">
              <w:rPr>
                <w:b w:val="0"/>
                <w:bCs/>
                <w:lang w:val="en-AU"/>
              </w:rPr>
              <w:t xml:space="preserve">p-value </w:t>
            </w:r>
          </w:p>
        </w:tc>
        <w:tc>
          <w:tcPr>
            <w:tcW w:w="5927" w:type="dxa"/>
            <w:gridSpan w:val="2"/>
            <w:tcBorders>
              <w:top w:val="nil"/>
              <w:left w:val="nil"/>
              <w:bottom w:val="nil"/>
            </w:tcBorders>
          </w:tcPr>
          <w:p w:rsidR="008635E5" w:rsidRPr="0041117C" w:rsidRDefault="008635E5" w:rsidP="000F1D54">
            <w:pPr>
              <w:pStyle w:val="SPCTabletextleft"/>
              <w:keepLines/>
              <w:jc w:val="center"/>
              <w:rPr>
                <w:lang w:val="en-AU"/>
              </w:rPr>
            </w:pPr>
            <w:r w:rsidRPr="0041117C">
              <w:rPr>
                <w:lang w:val="en-AU"/>
              </w:rPr>
              <w:t>0.036</w:t>
            </w: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rPr>
                <w:lang w:val="en-AU"/>
              </w:rPr>
            </w:pPr>
            <w:r w:rsidRPr="0041117C">
              <w:rPr>
                <w:lang w:val="en-AU"/>
              </w:rPr>
              <w:t>PFS</w:t>
            </w:r>
          </w:p>
        </w:tc>
        <w:tc>
          <w:tcPr>
            <w:tcW w:w="3088" w:type="dxa"/>
            <w:tcBorders>
              <w:top w:val="nil"/>
              <w:left w:val="nil"/>
              <w:bottom w:val="nil"/>
              <w:right w:val="nil"/>
            </w:tcBorders>
          </w:tcPr>
          <w:p w:rsidR="008635E5" w:rsidRPr="0041117C" w:rsidRDefault="008635E5" w:rsidP="000F1D54">
            <w:pPr>
              <w:pStyle w:val="SPCTabletextleft"/>
              <w:keepLines/>
              <w:jc w:val="center"/>
              <w:rPr>
                <w:lang w:val="en-AU"/>
              </w:rPr>
            </w:pPr>
          </w:p>
        </w:tc>
        <w:tc>
          <w:tcPr>
            <w:tcW w:w="2839" w:type="dxa"/>
            <w:tcBorders>
              <w:top w:val="nil"/>
              <w:left w:val="nil"/>
              <w:bottom w:val="nil"/>
            </w:tcBorders>
          </w:tcPr>
          <w:p w:rsidR="008635E5" w:rsidRPr="0041117C" w:rsidRDefault="008635E5" w:rsidP="000F1D54">
            <w:pPr>
              <w:pStyle w:val="SPCTabletextleft"/>
              <w:keepLines/>
              <w:jc w:val="center"/>
              <w:rPr>
                <w:lang w:val="en-AU"/>
              </w:rPr>
            </w:pP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rPr>
                <w:lang w:val="en-AU"/>
              </w:rPr>
            </w:pPr>
            <w:r w:rsidRPr="0041117C">
              <w:rPr>
                <w:b w:val="0"/>
                <w:bCs/>
                <w:lang w:val="en-AU"/>
              </w:rPr>
              <w:t>months, median (95% CI)</w:t>
            </w:r>
          </w:p>
        </w:tc>
        <w:tc>
          <w:tcPr>
            <w:tcW w:w="3088" w:type="dxa"/>
            <w:tcBorders>
              <w:top w:val="nil"/>
              <w:left w:val="nil"/>
              <w:bottom w:val="nil"/>
              <w:right w:val="nil"/>
            </w:tcBorders>
          </w:tcPr>
          <w:p w:rsidR="008635E5" w:rsidRPr="0041117C" w:rsidRDefault="008635E5" w:rsidP="000F1D54">
            <w:pPr>
              <w:pStyle w:val="SPCTabletextleft"/>
              <w:keepLines/>
              <w:jc w:val="center"/>
              <w:rPr>
                <w:lang w:val="en-AU"/>
              </w:rPr>
            </w:pPr>
            <w:r w:rsidRPr="0041117C">
              <w:rPr>
                <w:lang w:val="en-AU"/>
              </w:rPr>
              <w:t>5.6 (5.0, 6.0)</w:t>
            </w:r>
          </w:p>
        </w:tc>
        <w:tc>
          <w:tcPr>
            <w:tcW w:w="2839" w:type="dxa"/>
            <w:tcBorders>
              <w:top w:val="nil"/>
              <w:left w:val="nil"/>
              <w:bottom w:val="nil"/>
            </w:tcBorders>
          </w:tcPr>
          <w:p w:rsidR="008635E5" w:rsidRPr="0041117C" w:rsidRDefault="008635E5" w:rsidP="000F1D54">
            <w:pPr>
              <w:pStyle w:val="SPCTabletextleft"/>
              <w:keepLines/>
              <w:jc w:val="center"/>
              <w:rPr>
                <w:lang w:val="en-AU"/>
              </w:rPr>
            </w:pPr>
            <w:r w:rsidRPr="0041117C">
              <w:rPr>
                <w:lang w:val="en-AU"/>
              </w:rPr>
              <w:t>3.3 (2.9, 4.3)</w:t>
            </w: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ind w:firstLine="114"/>
              <w:rPr>
                <w:b w:val="0"/>
                <w:bCs/>
                <w:lang w:val="en-AU"/>
              </w:rPr>
            </w:pPr>
            <w:r w:rsidRPr="0041117C">
              <w:rPr>
                <w:b w:val="0"/>
                <w:bCs/>
                <w:lang w:val="en-AU"/>
              </w:rPr>
              <w:t>Hazard Ratio (95% CI)</w:t>
            </w:r>
          </w:p>
        </w:tc>
        <w:tc>
          <w:tcPr>
            <w:tcW w:w="5927" w:type="dxa"/>
            <w:gridSpan w:val="2"/>
            <w:tcBorders>
              <w:top w:val="nil"/>
              <w:left w:val="nil"/>
              <w:bottom w:val="nil"/>
            </w:tcBorders>
          </w:tcPr>
          <w:p w:rsidR="008635E5" w:rsidRPr="0041117C" w:rsidRDefault="008635E5" w:rsidP="000F1D54">
            <w:pPr>
              <w:pStyle w:val="SPCtabletextcenter"/>
              <w:keepLines/>
              <w:rPr>
                <w:lang w:val="en-AU"/>
              </w:rPr>
            </w:pPr>
            <w:r w:rsidRPr="0041117C">
              <w:rPr>
                <w:lang w:val="en-AU"/>
              </w:rPr>
              <w:t>0.54 (0.43, 0.67)</w:t>
            </w: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ind w:firstLine="114"/>
              <w:rPr>
                <w:b w:val="0"/>
                <w:bCs/>
                <w:lang w:val="en-AU"/>
              </w:rPr>
            </w:pPr>
            <w:r w:rsidRPr="0041117C">
              <w:rPr>
                <w:b w:val="0"/>
                <w:bCs/>
                <w:lang w:val="en-AU"/>
              </w:rPr>
              <w:t>p-value</w:t>
            </w:r>
          </w:p>
        </w:tc>
        <w:tc>
          <w:tcPr>
            <w:tcW w:w="5927" w:type="dxa"/>
            <w:gridSpan w:val="2"/>
            <w:tcBorders>
              <w:top w:val="nil"/>
              <w:left w:val="nil"/>
              <w:bottom w:val="nil"/>
            </w:tcBorders>
          </w:tcPr>
          <w:p w:rsidR="008635E5" w:rsidRPr="0041117C" w:rsidRDefault="008635E5" w:rsidP="000F1D54">
            <w:pPr>
              <w:pStyle w:val="SPCtabletextcenter"/>
              <w:keepLines/>
              <w:rPr>
                <w:lang w:val="en-AU"/>
              </w:rPr>
            </w:pPr>
            <w:r w:rsidRPr="0041117C">
              <w:rPr>
                <w:lang w:val="en-AU"/>
              </w:rPr>
              <w:t>&lt;0.0001</w:t>
            </w: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rPr>
                <w:lang w:val="en-AU"/>
              </w:rPr>
            </w:pPr>
            <w:r w:rsidRPr="0041117C">
              <w:rPr>
                <w:lang w:val="en-AU"/>
              </w:rPr>
              <w:t>ORR</w:t>
            </w:r>
          </w:p>
        </w:tc>
        <w:tc>
          <w:tcPr>
            <w:tcW w:w="3088" w:type="dxa"/>
            <w:tcBorders>
              <w:top w:val="nil"/>
              <w:left w:val="nil"/>
              <w:bottom w:val="nil"/>
              <w:right w:val="nil"/>
            </w:tcBorders>
          </w:tcPr>
          <w:p w:rsidR="008635E5" w:rsidRPr="0041117C" w:rsidRDefault="008635E5" w:rsidP="000F1D54">
            <w:pPr>
              <w:pStyle w:val="SPCtabletextcenter"/>
              <w:keepLines/>
              <w:rPr>
                <w:rFonts w:ascii="Arial" w:hAnsi="Arial" w:cs="Arial"/>
                <w:szCs w:val="18"/>
                <w:lang w:val="en-AU"/>
              </w:rPr>
            </w:pPr>
          </w:p>
        </w:tc>
        <w:tc>
          <w:tcPr>
            <w:tcW w:w="2839" w:type="dxa"/>
            <w:tcBorders>
              <w:top w:val="nil"/>
              <w:left w:val="nil"/>
              <w:bottom w:val="nil"/>
            </w:tcBorders>
          </w:tcPr>
          <w:p w:rsidR="008635E5" w:rsidRPr="0041117C" w:rsidRDefault="008635E5" w:rsidP="000F1D54">
            <w:pPr>
              <w:pStyle w:val="SPCtabletextcenter"/>
              <w:keepLines/>
              <w:rPr>
                <w:rFonts w:ascii="Arial" w:hAnsi="Arial" w:cs="Arial"/>
                <w:szCs w:val="18"/>
                <w:lang w:val="en-AU"/>
              </w:rPr>
            </w:pPr>
          </w:p>
        </w:tc>
      </w:tr>
      <w:tr w:rsidR="008635E5" w:rsidRPr="0041117C" w:rsidTr="008635E5">
        <w:tc>
          <w:tcPr>
            <w:tcW w:w="2544" w:type="dxa"/>
            <w:tcBorders>
              <w:top w:val="nil"/>
              <w:bottom w:val="nil"/>
              <w:right w:val="nil"/>
            </w:tcBorders>
          </w:tcPr>
          <w:p w:rsidR="008635E5" w:rsidRPr="0041117C" w:rsidRDefault="008635E5" w:rsidP="000F1D54">
            <w:pPr>
              <w:pStyle w:val="SPCTabletitleleft"/>
              <w:keepNext/>
              <w:keepLines/>
              <w:rPr>
                <w:b w:val="0"/>
                <w:bCs/>
                <w:lang w:val="en-AU"/>
              </w:rPr>
            </w:pPr>
            <w:r w:rsidRPr="0041117C">
              <w:rPr>
                <w:b w:val="0"/>
                <w:bCs/>
                <w:lang w:val="en-AU"/>
              </w:rPr>
              <w:t>% (95% CI)</w:t>
            </w:r>
          </w:p>
        </w:tc>
        <w:tc>
          <w:tcPr>
            <w:tcW w:w="3088" w:type="dxa"/>
            <w:tcBorders>
              <w:top w:val="nil"/>
              <w:left w:val="nil"/>
              <w:bottom w:val="nil"/>
              <w:right w:val="nil"/>
            </w:tcBorders>
          </w:tcPr>
          <w:p w:rsidR="008635E5" w:rsidRPr="0041117C" w:rsidRDefault="008635E5" w:rsidP="000F1D54">
            <w:pPr>
              <w:pStyle w:val="SPCtabletextcenter"/>
              <w:keepLines/>
              <w:rPr>
                <w:bCs/>
                <w:szCs w:val="18"/>
                <w:lang w:val="en-AU"/>
              </w:rPr>
            </w:pPr>
            <w:r w:rsidRPr="0041117C">
              <w:rPr>
                <w:bCs/>
                <w:lang w:val="en-AU"/>
              </w:rPr>
              <w:t>35.6</w:t>
            </w:r>
            <w:r w:rsidRPr="0041117C">
              <w:rPr>
                <w:rFonts w:ascii="Arial" w:hAnsi="Arial" w:cs="Arial"/>
                <w:bCs/>
                <w:szCs w:val="18"/>
                <w:lang w:val="en-AU"/>
              </w:rPr>
              <w:t xml:space="preserve"> (</w:t>
            </w:r>
            <w:r w:rsidRPr="0041117C">
              <w:rPr>
                <w:bCs/>
                <w:lang w:val="en-AU"/>
              </w:rPr>
              <w:t>29.3, 42.3</w:t>
            </w:r>
            <w:r w:rsidRPr="0041117C">
              <w:rPr>
                <w:rFonts w:ascii="Arial" w:hAnsi="Arial" w:cs="Arial"/>
                <w:bCs/>
                <w:szCs w:val="18"/>
                <w:lang w:val="en-AU"/>
              </w:rPr>
              <w:t>)</w:t>
            </w:r>
          </w:p>
        </w:tc>
        <w:tc>
          <w:tcPr>
            <w:tcW w:w="2839" w:type="dxa"/>
            <w:tcBorders>
              <w:top w:val="nil"/>
              <w:left w:val="nil"/>
              <w:bottom w:val="nil"/>
            </w:tcBorders>
          </w:tcPr>
          <w:p w:rsidR="008635E5" w:rsidRPr="0041117C" w:rsidRDefault="008635E5" w:rsidP="000F1D54">
            <w:pPr>
              <w:pStyle w:val="SPCtabletextcenter"/>
              <w:keepLines/>
              <w:rPr>
                <w:bCs/>
                <w:szCs w:val="18"/>
                <w:lang w:val="en-AU"/>
              </w:rPr>
            </w:pPr>
            <w:r w:rsidRPr="0041117C">
              <w:rPr>
                <w:bCs/>
                <w:lang w:val="en-AU"/>
              </w:rPr>
              <w:t>19.5</w:t>
            </w:r>
            <w:r w:rsidRPr="0041117C">
              <w:rPr>
                <w:rFonts w:ascii="Arial" w:hAnsi="Arial" w:cs="Arial"/>
                <w:bCs/>
                <w:szCs w:val="18"/>
                <w:lang w:val="en-AU"/>
              </w:rPr>
              <w:t xml:space="preserve"> (</w:t>
            </w:r>
            <w:r w:rsidRPr="0041117C">
              <w:rPr>
                <w:bCs/>
                <w:lang w:val="en-AU"/>
              </w:rPr>
              <w:t>14.5, 25.4</w:t>
            </w:r>
            <w:r w:rsidRPr="0041117C">
              <w:rPr>
                <w:rFonts w:ascii="Arial" w:hAnsi="Arial" w:cs="Arial"/>
                <w:bCs/>
                <w:szCs w:val="18"/>
                <w:lang w:val="en-AU"/>
              </w:rPr>
              <w:t>)</w:t>
            </w:r>
          </w:p>
        </w:tc>
      </w:tr>
      <w:tr w:rsidR="008635E5" w:rsidRPr="0041117C" w:rsidTr="008635E5">
        <w:tc>
          <w:tcPr>
            <w:tcW w:w="2544" w:type="dxa"/>
            <w:tcBorders>
              <w:top w:val="nil"/>
              <w:bottom w:val="single" w:sz="4" w:space="0" w:color="auto"/>
              <w:right w:val="nil"/>
            </w:tcBorders>
          </w:tcPr>
          <w:p w:rsidR="008635E5" w:rsidRPr="0041117C" w:rsidRDefault="008635E5" w:rsidP="000F1D54">
            <w:pPr>
              <w:pStyle w:val="SPCTabletitleleft"/>
              <w:keepNext/>
              <w:keepLines/>
              <w:ind w:firstLine="114"/>
              <w:rPr>
                <w:b w:val="0"/>
                <w:bCs/>
                <w:lang w:val="en-AU"/>
              </w:rPr>
            </w:pPr>
            <w:r w:rsidRPr="0041117C">
              <w:rPr>
                <w:b w:val="0"/>
                <w:bCs/>
                <w:lang w:val="en-AU"/>
              </w:rPr>
              <w:t>p-value</w:t>
            </w:r>
          </w:p>
        </w:tc>
        <w:tc>
          <w:tcPr>
            <w:tcW w:w="5927" w:type="dxa"/>
            <w:gridSpan w:val="2"/>
            <w:tcBorders>
              <w:top w:val="nil"/>
              <w:left w:val="nil"/>
              <w:bottom w:val="single" w:sz="4" w:space="0" w:color="auto"/>
            </w:tcBorders>
          </w:tcPr>
          <w:p w:rsidR="008635E5" w:rsidRPr="0041117C" w:rsidRDefault="008635E5" w:rsidP="000F1D54">
            <w:pPr>
              <w:pStyle w:val="SPCtabletextcenter"/>
              <w:keepLines/>
              <w:rPr>
                <w:bCs/>
                <w:szCs w:val="18"/>
                <w:lang w:val="en-AU"/>
              </w:rPr>
            </w:pPr>
            <w:r w:rsidRPr="0041117C">
              <w:rPr>
                <w:bCs/>
                <w:lang w:val="en-AU"/>
              </w:rPr>
              <w:t>0.0001</w:t>
            </w:r>
          </w:p>
        </w:tc>
      </w:tr>
    </w:tbl>
    <w:p w:rsidR="008635E5" w:rsidRPr="008635E5" w:rsidRDefault="008635E5" w:rsidP="008635E5">
      <w:pPr>
        <w:ind w:left="426"/>
        <w:rPr>
          <w:b/>
          <w:bCs/>
          <w:sz w:val="18"/>
          <w:szCs w:val="18"/>
        </w:rPr>
      </w:pPr>
      <w:r w:rsidRPr="008635E5">
        <w:rPr>
          <w:sz w:val="18"/>
          <w:szCs w:val="18"/>
        </w:rPr>
        <w:t>CI = confidence interval, CTX = platinum-based chemotherapy, ORR = objective response rate, OS = overall survival time, PFS = progression-free survival</w:t>
      </w:r>
    </w:p>
    <w:p w:rsidR="008635E5" w:rsidRDefault="008635E5" w:rsidP="008635E5">
      <w:pPr>
        <w:ind w:left="426"/>
      </w:pPr>
    </w:p>
    <w:p w:rsidR="008635E5" w:rsidRDefault="008635E5" w:rsidP="008635E5">
      <w:pPr>
        <w:ind w:left="426"/>
      </w:pPr>
      <w:r w:rsidRPr="0041117C">
        <w:t xml:space="preserve">Patients with a good prognosis as indicated by tumour stage, baseline </w:t>
      </w:r>
      <w:proofErr w:type="spellStart"/>
      <w:r w:rsidRPr="0041117C">
        <w:t>Karnofsky</w:t>
      </w:r>
      <w:proofErr w:type="spellEnd"/>
      <w:r w:rsidRPr="0041117C">
        <w:t xml:space="preserve"> performance status (KPS) and age (&lt; 65 years </w:t>
      </w:r>
      <w:proofErr w:type="spellStart"/>
      <w:r w:rsidRPr="0041117C">
        <w:t>vs</w:t>
      </w:r>
      <w:proofErr w:type="spellEnd"/>
      <w:r w:rsidRPr="0041117C">
        <w:t xml:space="preserve"> ≥ 65 years) had a more pronounced benefit when cetuximab was added to platinum-based chemotherapy.  In contrast to progression-free survival time, no benefit in overall survival time could be demonstrated in patients with KPS ≤ 80 who were 65 years of age or older.</w:t>
      </w:r>
    </w:p>
    <w:p w:rsidR="008635E5" w:rsidRDefault="008635E5" w:rsidP="008635E5">
      <w:pPr>
        <w:ind w:left="426"/>
      </w:pPr>
    </w:p>
    <w:p w:rsidR="008635E5" w:rsidRDefault="008635E5" w:rsidP="008635E5">
      <w:pPr>
        <w:rPr>
          <w:b/>
          <w:sz w:val="28"/>
          <w:szCs w:val="28"/>
        </w:rPr>
      </w:pPr>
      <w:r w:rsidRPr="005F00B1">
        <w:rPr>
          <w:b/>
          <w:sz w:val="28"/>
          <w:szCs w:val="28"/>
        </w:rPr>
        <w:t>INDICATIONS</w:t>
      </w:r>
    </w:p>
    <w:p w:rsidR="005F00B1" w:rsidRDefault="005F00B1" w:rsidP="008635E5">
      <w:pPr>
        <w:rPr>
          <w:b/>
          <w:sz w:val="28"/>
          <w:szCs w:val="28"/>
        </w:rPr>
      </w:pPr>
    </w:p>
    <w:p w:rsidR="005F00B1" w:rsidRDefault="005F00B1" w:rsidP="008635E5">
      <w:pPr>
        <w:rPr>
          <w:b/>
          <w:sz w:val="28"/>
          <w:szCs w:val="28"/>
        </w:rPr>
      </w:pPr>
      <w:r w:rsidRPr="0041117C">
        <w:t xml:space="preserve">Erbitux is indicated for the treatment of patients with epidermal growth factor receptor (EGFR)-expressing, </w:t>
      </w:r>
      <w:r w:rsidRPr="0041117C">
        <w:rPr>
          <w:i/>
          <w:iCs/>
        </w:rPr>
        <w:t>K-RAS</w:t>
      </w:r>
      <w:r w:rsidRPr="0041117C">
        <w:t xml:space="preserve"> wild-type metastatic colorectal cancer</w:t>
      </w:r>
    </w:p>
    <w:p w:rsidR="005F00B1" w:rsidRPr="005F00B1" w:rsidRDefault="005F00B1" w:rsidP="005F00B1">
      <w:pPr>
        <w:pStyle w:val="SPCnormal"/>
        <w:keepLines/>
        <w:widowControl w:val="0"/>
        <w:numPr>
          <w:ilvl w:val="0"/>
          <w:numId w:val="8"/>
        </w:numPr>
        <w:rPr>
          <w:sz w:val="24"/>
          <w:lang w:val="en-AU"/>
        </w:rPr>
      </w:pPr>
      <w:r w:rsidRPr="005F00B1">
        <w:rPr>
          <w:sz w:val="24"/>
          <w:lang w:val="en-AU"/>
        </w:rPr>
        <w:t xml:space="preserve">in combination with </w:t>
      </w:r>
      <w:proofErr w:type="spellStart"/>
      <w:r w:rsidRPr="005F00B1">
        <w:rPr>
          <w:sz w:val="24"/>
          <w:lang w:val="en-AU"/>
        </w:rPr>
        <w:t>infusional</w:t>
      </w:r>
      <w:proofErr w:type="spellEnd"/>
      <w:r w:rsidRPr="005F00B1">
        <w:rPr>
          <w:sz w:val="24"/>
          <w:lang w:val="en-AU"/>
        </w:rPr>
        <w:t xml:space="preserve"> 5-fluorouracil/</w:t>
      </w:r>
      <w:proofErr w:type="spellStart"/>
      <w:r w:rsidRPr="005F00B1">
        <w:rPr>
          <w:sz w:val="24"/>
          <w:lang w:val="en-AU"/>
        </w:rPr>
        <w:t>folinic</w:t>
      </w:r>
      <w:proofErr w:type="spellEnd"/>
      <w:r w:rsidRPr="005F00B1">
        <w:rPr>
          <w:sz w:val="24"/>
          <w:lang w:val="en-AU"/>
        </w:rPr>
        <w:t xml:space="preserve"> acid plus irinotecan*</w:t>
      </w:r>
    </w:p>
    <w:p w:rsidR="005F00B1" w:rsidRPr="005F00B1" w:rsidRDefault="005F00B1" w:rsidP="005F00B1">
      <w:pPr>
        <w:pStyle w:val="SPCnormal"/>
        <w:keepLines/>
        <w:widowControl w:val="0"/>
        <w:numPr>
          <w:ilvl w:val="0"/>
          <w:numId w:val="8"/>
        </w:numPr>
        <w:rPr>
          <w:sz w:val="24"/>
          <w:lang w:val="en-AU"/>
        </w:rPr>
      </w:pPr>
      <w:r w:rsidRPr="005F00B1">
        <w:rPr>
          <w:sz w:val="24"/>
          <w:lang w:val="en-AU"/>
        </w:rPr>
        <w:t>in combination with irinotecan in patients who are refractory to first-line chemotherapy*</w:t>
      </w:r>
    </w:p>
    <w:p w:rsidR="005F00B1" w:rsidRDefault="005F00B1" w:rsidP="005F00B1">
      <w:pPr>
        <w:pStyle w:val="SPCnormal"/>
        <w:keepLines/>
        <w:widowControl w:val="0"/>
        <w:numPr>
          <w:ilvl w:val="0"/>
          <w:numId w:val="8"/>
        </w:numPr>
        <w:rPr>
          <w:sz w:val="24"/>
          <w:lang w:val="en-AU"/>
        </w:rPr>
      </w:pPr>
      <w:r w:rsidRPr="005F00B1">
        <w:rPr>
          <w:sz w:val="24"/>
          <w:lang w:val="en-AU"/>
        </w:rPr>
        <w:t>in first-line in combination with FOLFOX*</w:t>
      </w:r>
    </w:p>
    <w:p w:rsidR="005F00B1" w:rsidRPr="005F00B1" w:rsidRDefault="005F00B1" w:rsidP="005F00B1">
      <w:pPr>
        <w:pStyle w:val="SPCnormal"/>
        <w:keepLines/>
        <w:widowControl w:val="0"/>
        <w:numPr>
          <w:ilvl w:val="0"/>
          <w:numId w:val="8"/>
        </w:numPr>
        <w:rPr>
          <w:sz w:val="24"/>
          <w:lang w:val="en-AU"/>
        </w:rPr>
      </w:pPr>
      <w:proofErr w:type="gramStart"/>
      <w:r w:rsidRPr="0041117C">
        <w:rPr>
          <w:sz w:val="24"/>
          <w:lang w:val="en-AU"/>
        </w:rPr>
        <w:t>as</w:t>
      </w:r>
      <w:proofErr w:type="gramEnd"/>
      <w:r w:rsidRPr="0041117C">
        <w:rPr>
          <w:sz w:val="24"/>
          <w:lang w:val="en-AU"/>
        </w:rPr>
        <w:t xml:space="preserve"> a single agent in patients who have failed or are intolerant to oxaliplatin-based therapy and irinotecan-based therapy.</w:t>
      </w:r>
    </w:p>
    <w:p w:rsidR="005F00B1" w:rsidRDefault="005F00B1" w:rsidP="005F00B1">
      <w:pPr>
        <w:pStyle w:val="SPCnormal"/>
        <w:keepLines/>
        <w:widowControl w:val="0"/>
        <w:rPr>
          <w:sz w:val="24"/>
          <w:szCs w:val="24"/>
        </w:rPr>
      </w:pPr>
      <w:r>
        <w:rPr>
          <w:sz w:val="24"/>
          <w:lang w:val="en-AU"/>
        </w:rPr>
        <w:t>(S</w:t>
      </w:r>
      <w:r w:rsidRPr="0041117C">
        <w:rPr>
          <w:sz w:val="24"/>
          <w:lang w:val="en-AU"/>
        </w:rPr>
        <w:t>ee CLINICAL TRIALS)</w:t>
      </w:r>
    </w:p>
    <w:p w:rsidR="005F00B1" w:rsidRDefault="005F00B1" w:rsidP="005F00B1">
      <w:pPr>
        <w:pStyle w:val="SPCnormal"/>
        <w:keepLines/>
        <w:widowControl w:val="0"/>
        <w:rPr>
          <w:sz w:val="24"/>
          <w:szCs w:val="24"/>
        </w:rPr>
      </w:pPr>
    </w:p>
    <w:p w:rsidR="005F00B1" w:rsidRDefault="005F00B1" w:rsidP="005F00B1">
      <w:pPr>
        <w:pStyle w:val="SPCnormal"/>
        <w:keepLines/>
        <w:widowControl w:val="0"/>
        <w:rPr>
          <w:sz w:val="24"/>
          <w:lang w:val="en-AU"/>
        </w:rPr>
      </w:pPr>
      <w:r w:rsidRPr="0041117C">
        <w:rPr>
          <w:sz w:val="24"/>
          <w:lang w:val="en-AU"/>
        </w:rPr>
        <w:t xml:space="preserve">Erbitux is indicated for the treatment of patients with </w:t>
      </w:r>
      <w:proofErr w:type="spellStart"/>
      <w:r w:rsidRPr="0041117C">
        <w:rPr>
          <w:sz w:val="24"/>
          <w:lang w:val="en-AU"/>
        </w:rPr>
        <w:t>squamous</w:t>
      </w:r>
      <w:proofErr w:type="spellEnd"/>
      <w:r w:rsidRPr="0041117C">
        <w:rPr>
          <w:sz w:val="24"/>
          <w:lang w:val="en-AU"/>
        </w:rPr>
        <w:t xml:space="preserve"> cell cancer of the head and neck</w:t>
      </w:r>
    </w:p>
    <w:p w:rsidR="005F00B1" w:rsidRDefault="005F00B1" w:rsidP="005F00B1">
      <w:pPr>
        <w:pStyle w:val="SPCnormal"/>
        <w:keepLines/>
        <w:widowControl w:val="0"/>
        <w:numPr>
          <w:ilvl w:val="0"/>
          <w:numId w:val="8"/>
        </w:numPr>
        <w:rPr>
          <w:sz w:val="24"/>
          <w:lang w:val="en-AU"/>
        </w:rPr>
      </w:pPr>
      <w:r w:rsidRPr="0041117C">
        <w:rPr>
          <w:sz w:val="24"/>
          <w:lang w:val="en-AU"/>
        </w:rPr>
        <w:t>in combination with radiation therapy for locally advanced disease</w:t>
      </w:r>
    </w:p>
    <w:p w:rsidR="005F00B1" w:rsidRDefault="005F00B1" w:rsidP="005F00B1">
      <w:pPr>
        <w:pStyle w:val="SPCnormal"/>
        <w:keepLines/>
        <w:widowControl w:val="0"/>
        <w:numPr>
          <w:ilvl w:val="0"/>
          <w:numId w:val="8"/>
        </w:numPr>
        <w:rPr>
          <w:sz w:val="24"/>
          <w:lang w:val="en-AU"/>
        </w:rPr>
      </w:pPr>
      <w:proofErr w:type="gramStart"/>
      <w:r w:rsidRPr="005F00B1">
        <w:rPr>
          <w:sz w:val="24"/>
          <w:lang w:val="en-AU"/>
        </w:rPr>
        <w:t>in</w:t>
      </w:r>
      <w:proofErr w:type="gramEnd"/>
      <w:r w:rsidRPr="005F00B1">
        <w:rPr>
          <w:sz w:val="24"/>
          <w:lang w:val="en-AU"/>
        </w:rPr>
        <w:t xml:space="preserve"> combination with platinum-based chemotherapy for recurrent and/or metastatic disease.</w:t>
      </w:r>
    </w:p>
    <w:p w:rsidR="005F00B1" w:rsidRDefault="005F00B1" w:rsidP="005F00B1">
      <w:pPr>
        <w:pStyle w:val="SPCnormal"/>
        <w:keepLines/>
        <w:widowControl w:val="0"/>
      </w:pPr>
    </w:p>
    <w:p w:rsidR="005F00B1" w:rsidRDefault="005F00B1" w:rsidP="005F00B1">
      <w:pPr>
        <w:rPr>
          <w:b/>
          <w:sz w:val="28"/>
          <w:szCs w:val="28"/>
        </w:rPr>
      </w:pPr>
      <w:r w:rsidRPr="005F00B1">
        <w:rPr>
          <w:b/>
          <w:sz w:val="28"/>
          <w:szCs w:val="28"/>
        </w:rPr>
        <w:t>CONTRAINDICATIONS</w:t>
      </w:r>
    </w:p>
    <w:p w:rsidR="005F00B1" w:rsidRDefault="005F00B1" w:rsidP="005F00B1">
      <w:pPr>
        <w:rPr>
          <w:b/>
          <w:sz w:val="28"/>
          <w:szCs w:val="28"/>
        </w:rPr>
      </w:pPr>
    </w:p>
    <w:p w:rsidR="005F00B1" w:rsidRDefault="005F00B1" w:rsidP="005F00B1">
      <w:r w:rsidRPr="0041117C">
        <w:t>Erbitux is contraindicated in patients with known severe (grade 3 or 4) hypersensitivity reactions to cetuximab.</w:t>
      </w:r>
    </w:p>
    <w:p w:rsidR="005F00B1" w:rsidRDefault="005F00B1" w:rsidP="005F00B1">
      <w:pPr>
        <w:rPr>
          <w:b/>
          <w:sz w:val="28"/>
          <w:szCs w:val="28"/>
        </w:rPr>
      </w:pPr>
    </w:p>
    <w:p w:rsidR="005F00B1" w:rsidRDefault="005F00B1" w:rsidP="005F00B1">
      <w:r w:rsidRPr="00A10636">
        <w:lastRenderedPageBreak/>
        <w:t>The combination of Erbitux with oxalipl</w:t>
      </w:r>
      <w:r>
        <w:t xml:space="preserve">atin-containing chemotherapy is </w:t>
      </w:r>
      <w:r w:rsidRPr="00A10636">
        <w:t xml:space="preserve">contraindicated for patients with mutant </w:t>
      </w:r>
      <w:r w:rsidRPr="00A10636">
        <w:rPr>
          <w:i/>
        </w:rPr>
        <w:t>K-RAS</w:t>
      </w:r>
      <w:r w:rsidRPr="00A10636">
        <w:t xml:space="preserve"> metastatic colorectal cancer </w:t>
      </w:r>
      <w:r>
        <w:t>(</w:t>
      </w:r>
      <w:proofErr w:type="spellStart"/>
      <w:r w:rsidRPr="00A10636">
        <w:t>mCRC</w:t>
      </w:r>
      <w:proofErr w:type="spellEnd"/>
      <w:r w:rsidRPr="00A10636">
        <w:t xml:space="preserve">) or for whom </w:t>
      </w:r>
      <w:r w:rsidRPr="00A10636">
        <w:rPr>
          <w:i/>
        </w:rPr>
        <w:t>K-RAS</w:t>
      </w:r>
      <w:r w:rsidRPr="00A10636">
        <w:t xml:space="preserve"> </w:t>
      </w:r>
      <w:proofErr w:type="spellStart"/>
      <w:r w:rsidRPr="00A10636">
        <w:t>mCRC</w:t>
      </w:r>
      <w:proofErr w:type="spellEnd"/>
      <w:r w:rsidRPr="00A10636">
        <w:t xml:space="preserve"> status is unknown</w:t>
      </w:r>
      <w:r>
        <w:t>.*</w:t>
      </w:r>
    </w:p>
    <w:p w:rsidR="005F00B1" w:rsidRDefault="005F00B1" w:rsidP="005F00B1">
      <w:r w:rsidRPr="0041117C">
        <w:t>Before initiation of combination treatment, contraindications for concomitantly used chemotherapeutic agents (refer to their product information documents) or radiation therapy must be considered.</w:t>
      </w:r>
    </w:p>
    <w:p w:rsidR="005F00B1" w:rsidRDefault="005F00B1" w:rsidP="005F00B1"/>
    <w:p w:rsidR="005F00B1" w:rsidRDefault="005F00B1" w:rsidP="005F00B1">
      <w:pPr>
        <w:rPr>
          <w:b/>
          <w:sz w:val="28"/>
          <w:szCs w:val="28"/>
        </w:rPr>
      </w:pPr>
      <w:r w:rsidRPr="005F00B1">
        <w:rPr>
          <w:b/>
          <w:sz w:val="28"/>
          <w:szCs w:val="28"/>
        </w:rPr>
        <w:t>PRECAUTIONS</w:t>
      </w:r>
    </w:p>
    <w:p w:rsidR="005F00B1" w:rsidRPr="005F00B1" w:rsidRDefault="005F00B1" w:rsidP="005F00B1">
      <w:pPr>
        <w:rPr>
          <w:b/>
          <w:sz w:val="28"/>
          <w:szCs w:val="28"/>
        </w:rPr>
      </w:pPr>
    </w:p>
    <w:p w:rsidR="005F00B1" w:rsidRPr="005F00B1" w:rsidRDefault="005F00B1" w:rsidP="005F00B1">
      <w:pPr>
        <w:rPr>
          <w:b/>
        </w:rPr>
      </w:pPr>
      <w:r w:rsidRPr="005F00B1">
        <w:rPr>
          <w:b/>
        </w:rPr>
        <w:t>Infusion-related Reactions</w:t>
      </w:r>
    </w:p>
    <w:p w:rsidR="005F00B1" w:rsidRDefault="005F00B1" w:rsidP="005F00B1"/>
    <w:p w:rsidR="005F00B1" w:rsidRDefault="00065811" w:rsidP="005F00B1">
      <w:r w:rsidRPr="0041117C">
        <w:t>Prior to the first infusion, p</w:t>
      </w:r>
      <w:r w:rsidRPr="0041117C">
        <w:rPr>
          <w:snapToGrid w:val="0"/>
          <w:spacing w:val="-3"/>
          <w:lang w:eastAsia="de-DE"/>
        </w:rPr>
        <w:t>atients</w:t>
      </w:r>
      <w:r w:rsidRPr="0041117C">
        <w:t xml:space="preserve"> must receive premedication with an antihistamine and a corticosteroid. Similar premedication is recommended for all subsequent infusions. Cetuximab infusion must be carried out in an area where resuscitation equipment and agents are available.</w:t>
      </w:r>
    </w:p>
    <w:p w:rsidR="00065811" w:rsidRDefault="00065811" w:rsidP="005F00B1"/>
    <w:p w:rsidR="00065811" w:rsidRDefault="00065811" w:rsidP="005F00B1">
      <w:r w:rsidRPr="0041117C">
        <w:t>If a patient experiences mild to moderate infusion-related reactions, the infusion rate should be decreased. It is recommended to maintain this lower infusion rate in all subsequent infusions (see DOSAGE AND ADMINISTRATION).</w:t>
      </w:r>
    </w:p>
    <w:p w:rsidR="00065811" w:rsidRDefault="00065811" w:rsidP="005F00B1"/>
    <w:p w:rsidR="00065811" w:rsidRDefault="00065811" w:rsidP="005F00B1">
      <w:r w:rsidRPr="0041117C">
        <w:t>Severe infusion-related reactions have been reported in patients treated with cetuximab (see ADVERSE EFFECTS). Symptoms usually occurred during the initial infusion and up to 1 hour after the end of infusion, but may occur after several hours or with subsequent infusions. It is recommended to warn patients of the possibility of such a late onset and instruct them to contact their physician if symptoms of an infusion-related reaction occur. Occurrence of a severe infusion-related reaction requires immediate and permanent discontinuation of cetuximab therapy and may necessitate emergency treatment.</w:t>
      </w:r>
    </w:p>
    <w:p w:rsidR="00065811" w:rsidRDefault="00065811" w:rsidP="005F00B1"/>
    <w:p w:rsidR="00065811" w:rsidRDefault="00065811" w:rsidP="005F00B1">
      <w:r w:rsidRPr="0041117C">
        <w:t>Special attention is recommended for patients with reduced performance status and pre-existing cardio-pulmonary disease.</w:t>
      </w:r>
    </w:p>
    <w:p w:rsidR="001A4743" w:rsidRDefault="001A4743" w:rsidP="005F00B1"/>
    <w:p w:rsidR="001A4743" w:rsidRDefault="001A4743" w:rsidP="005F00B1">
      <w:r w:rsidRPr="0041117C">
        <w:rPr>
          <w:b/>
          <w:bCs/>
          <w:szCs w:val="24"/>
        </w:rPr>
        <w:t>Respiratory Disorders</w:t>
      </w:r>
    </w:p>
    <w:p w:rsidR="001A4743" w:rsidRDefault="001A4743" w:rsidP="005F00B1"/>
    <w:p w:rsidR="001A4743" w:rsidRDefault="001A4743" w:rsidP="005F00B1">
      <w:r w:rsidRPr="0041117C">
        <w:rPr>
          <w:bCs/>
        </w:rPr>
        <w:t xml:space="preserve">If patients develop dyspnoea during the course of cetuximab treatment, it is recommended to investigate them for signs of progressive pulmonary disorders as appropriate. </w:t>
      </w:r>
      <w:r w:rsidRPr="0041117C">
        <w:t xml:space="preserve">In the event of acute onset or worsening dyspnoea, cetuximab therapy should be interrupted.  </w:t>
      </w:r>
    </w:p>
    <w:p w:rsidR="001A4743" w:rsidRDefault="001A4743" w:rsidP="005F00B1"/>
    <w:p w:rsidR="001A4743" w:rsidRDefault="001A4743" w:rsidP="005F00B1">
      <w:pPr>
        <w:rPr>
          <w:b/>
          <w:sz w:val="28"/>
          <w:szCs w:val="28"/>
        </w:rPr>
      </w:pPr>
      <w:r>
        <w:t>C</w:t>
      </w:r>
      <w:r w:rsidRPr="0041117C">
        <w:t xml:space="preserve">ases of interstitial lung </w:t>
      </w:r>
      <w:r>
        <w:t>disease</w:t>
      </w:r>
      <w:r w:rsidRPr="0041117C">
        <w:t xml:space="preserve"> have been reported</w:t>
      </w:r>
      <w:r w:rsidRPr="00093943">
        <w:t xml:space="preserve">, with the majority of cases arising from a Japanese </w:t>
      </w:r>
      <w:proofErr w:type="spellStart"/>
      <w:r w:rsidRPr="00093943">
        <w:t>postmarketing</w:t>
      </w:r>
      <w:proofErr w:type="spellEnd"/>
      <w:r w:rsidRPr="00093943">
        <w:t xml:space="preserve"> surveillance study in metastatic colorectal cancer*.  Geriatric patients and patients with a history of interstitial lung disease may be at an increased risk of developing this event*.</w:t>
      </w:r>
      <w:r>
        <w:t xml:space="preserve"> </w:t>
      </w:r>
      <w:r w:rsidRPr="0041117C">
        <w:t>If interstitial lung disease is diagnosed, cetuximab must be discontinued and the patient treated appropriately.</w:t>
      </w:r>
    </w:p>
    <w:p w:rsidR="001A4743" w:rsidRDefault="001A4743" w:rsidP="005F00B1">
      <w:pPr>
        <w:rPr>
          <w:b/>
          <w:sz w:val="28"/>
          <w:szCs w:val="28"/>
        </w:rPr>
      </w:pPr>
    </w:p>
    <w:p w:rsidR="001A4743" w:rsidRDefault="006E340A" w:rsidP="005F00B1">
      <w:pPr>
        <w:rPr>
          <w:b/>
        </w:rPr>
      </w:pPr>
      <w:r w:rsidRPr="0041117C">
        <w:rPr>
          <w:b/>
        </w:rPr>
        <w:t>Skin Reactions</w:t>
      </w:r>
    </w:p>
    <w:p w:rsidR="006E340A" w:rsidRDefault="006E340A" w:rsidP="005F00B1">
      <w:pPr>
        <w:rPr>
          <w:b/>
        </w:rPr>
      </w:pPr>
    </w:p>
    <w:p w:rsidR="006E340A" w:rsidRDefault="006E340A" w:rsidP="006E340A">
      <w:pPr>
        <w:pStyle w:val="CommentText"/>
      </w:pPr>
      <w:r w:rsidRPr="005D4F5C">
        <w:t>Skin reactions are very common and treatment interruption or discontinuation may be required.</w:t>
      </w:r>
      <w:r w:rsidRPr="005D4F5C">
        <w:rPr>
          <w:b/>
        </w:rPr>
        <w:t xml:space="preserve"> </w:t>
      </w:r>
      <w:r w:rsidRPr="005D4F5C">
        <w:t xml:space="preserve">According to clinical practice guidelines, prophylactic use of oral </w:t>
      </w:r>
      <w:proofErr w:type="spellStart"/>
      <w:r>
        <w:t>tetracyclines</w:t>
      </w:r>
      <w:proofErr w:type="spellEnd"/>
      <w:r w:rsidRPr="005D4F5C">
        <w:t xml:space="preserve"> (e.g. </w:t>
      </w:r>
      <w:proofErr w:type="spellStart"/>
      <w:r w:rsidRPr="005D4F5C">
        <w:lastRenderedPageBreak/>
        <w:t>doxycycline</w:t>
      </w:r>
      <w:proofErr w:type="spellEnd"/>
      <w:r w:rsidRPr="005D4F5C">
        <w:t xml:space="preserve">) </w:t>
      </w:r>
      <w:r>
        <w:t xml:space="preserve">for 6-8 weeks </w:t>
      </w:r>
      <w:r w:rsidRPr="005D4F5C">
        <w:t xml:space="preserve">and topical application of 1% hydrocortisone cream with moisturiser should be considered. </w:t>
      </w:r>
      <w:r w:rsidRPr="00093943">
        <w:t>Use of sunscreen should also be considered.</w:t>
      </w:r>
      <w:r>
        <w:t xml:space="preserve">* </w:t>
      </w:r>
    </w:p>
    <w:p w:rsidR="006E340A" w:rsidRDefault="006E340A" w:rsidP="006E340A">
      <w:pPr>
        <w:pStyle w:val="CommentText"/>
      </w:pPr>
    </w:p>
    <w:p w:rsidR="00417434" w:rsidRDefault="006E340A" w:rsidP="006E340A">
      <w:pPr>
        <w:pStyle w:val="CommentText"/>
        <w:rPr>
          <w:b/>
        </w:rPr>
      </w:pPr>
      <w:r w:rsidRPr="005D4F5C">
        <w:t xml:space="preserve">Medium to high-potency topical corticosteroids or oral </w:t>
      </w:r>
      <w:proofErr w:type="spellStart"/>
      <w:r>
        <w:t>tetracyclines</w:t>
      </w:r>
      <w:proofErr w:type="spellEnd"/>
      <w:r w:rsidRPr="005D4F5C">
        <w:t xml:space="preserve"> have been used for the treatment of skin reactions.</w:t>
      </w:r>
      <w:r>
        <w:t>*</w:t>
      </w:r>
    </w:p>
    <w:p w:rsidR="00417434" w:rsidRDefault="00417434" w:rsidP="006E340A">
      <w:pPr>
        <w:pStyle w:val="CommentText"/>
        <w:rPr>
          <w:b/>
        </w:rPr>
      </w:pPr>
    </w:p>
    <w:p w:rsidR="006E340A" w:rsidRDefault="00417434" w:rsidP="006E340A">
      <w:pPr>
        <w:pStyle w:val="CommentText"/>
      </w:pPr>
      <w:r w:rsidRPr="0041117C">
        <w:t>If a patient experiences a severe skin reaction (≥ grade 3; US National Cancer Institute – Common Terminology Criteria for Adverse Events, CTCAE), cetuximab therapy must be interrupted.  Treatment may be resumed if the reaction has resolved to grade 2 (see ADVERSE EFFECTS and DOSAGE AND ADMINISTRATION sections for further information on handling skin reactions).</w:t>
      </w:r>
    </w:p>
    <w:p w:rsidR="00417434" w:rsidRDefault="00417434" w:rsidP="006E340A">
      <w:pPr>
        <w:pStyle w:val="CommentText"/>
      </w:pPr>
    </w:p>
    <w:p w:rsidR="00417434" w:rsidRDefault="00417434" w:rsidP="006E340A">
      <w:pPr>
        <w:pStyle w:val="CommentText"/>
      </w:pPr>
      <w:r w:rsidRPr="0041117C">
        <w:rPr>
          <w:b/>
          <w:bCs/>
          <w:noProof/>
        </w:rPr>
        <w:t>Electrolyte Disturbances</w:t>
      </w:r>
    </w:p>
    <w:p w:rsidR="00417434" w:rsidRDefault="00417434" w:rsidP="006E340A">
      <w:pPr>
        <w:pStyle w:val="CommentText"/>
      </w:pPr>
    </w:p>
    <w:p w:rsidR="00417434" w:rsidRDefault="00417434" w:rsidP="006E340A">
      <w:pPr>
        <w:pStyle w:val="CommentText"/>
        <w:rPr>
          <w:b/>
        </w:rPr>
      </w:pPr>
      <w:r w:rsidRPr="0041117C">
        <w:rPr>
          <w:noProof/>
        </w:rPr>
        <w:t>Progressively decreasing serum magnesium levels occur frequently and may lead to severe hypomagnesaemia. Hypomagnesaemia is reversible following discontinuation of cetuximab. In addition, hypokalaemia may develop sometimes as a consequence of diarrhoea. Hypocalcaemia may also occur; in particular, in combination with platinum-based chemotherapy, the frequency of severe hypocalcaemia may be increased.</w:t>
      </w:r>
    </w:p>
    <w:p w:rsidR="006E340A" w:rsidRDefault="006E340A" w:rsidP="005F00B1">
      <w:pPr>
        <w:rPr>
          <w:b/>
          <w:sz w:val="28"/>
          <w:szCs w:val="28"/>
        </w:rPr>
      </w:pPr>
    </w:p>
    <w:p w:rsidR="00417434" w:rsidRDefault="00417434" w:rsidP="005F00B1">
      <w:pPr>
        <w:rPr>
          <w:b/>
          <w:sz w:val="28"/>
          <w:szCs w:val="28"/>
        </w:rPr>
      </w:pPr>
      <w:r w:rsidRPr="0041117C">
        <w:rPr>
          <w:noProof/>
        </w:rPr>
        <w:t>Measurement  of serum electrolyte levels is recommended prior to and periodically during cetuximab treatment. Electrolyte replacement is recommended, as appropriate.</w:t>
      </w:r>
    </w:p>
    <w:p w:rsidR="00417434" w:rsidRDefault="00417434" w:rsidP="005F00B1">
      <w:pPr>
        <w:rPr>
          <w:b/>
          <w:sz w:val="28"/>
          <w:szCs w:val="28"/>
        </w:rPr>
      </w:pPr>
    </w:p>
    <w:p w:rsidR="00417434" w:rsidRDefault="00417434" w:rsidP="005F00B1">
      <w:pPr>
        <w:rPr>
          <w:b/>
          <w:sz w:val="28"/>
          <w:szCs w:val="28"/>
        </w:rPr>
      </w:pPr>
      <w:r w:rsidRPr="0041117C">
        <w:rPr>
          <w:b/>
          <w:bCs/>
          <w:noProof/>
        </w:rPr>
        <w:t>Cardiovascular Disorders</w:t>
      </w:r>
    </w:p>
    <w:p w:rsidR="00417434" w:rsidRDefault="00417434" w:rsidP="005F00B1">
      <w:pPr>
        <w:rPr>
          <w:b/>
          <w:sz w:val="28"/>
          <w:szCs w:val="28"/>
        </w:rPr>
      </w:pPr>
    </w:p>
    <w:p w:rsidR="00417434" w:rsidRDefault="00417434" w:rsidP="005F00B1">
      <w:pPr>
        <w:rPr>
          <w:noProof/>
        </w:rPr>
      </w:pPr>
      <w:r w:rsidRPr="0041117C">
        <w:rPr>
          <w:noProof/>
        </w:rPr>
        <w:t xml:space="preserve">An increased frequency of severe and sometimes fatal cardiovascular events and treatment emergent deaths has been observed in the treatment of non-small cell lung cancer, squamous cell carcinoma of the head and neck and colorectal carcinoma. In some studies association with age </w:t>
      </w:r>
      <w:r w:rsidRPr="0041117C">
        <w:t>≥</w:t>
      </w:r>
      <w:r w:rsidRPr="0041117C">
        <w:rPr>
          <w:noProof/>
        </w:rPr>
        <w:t xml:space="preserve"> 65 years has been observed. When prescribing cetuximab, the cardiovascular and performance status of the patients and concomitant administration of cardiotoxic compounds such as fluoropyrimidines should be taken into account.</w:t>
      </w:r>
    </w:p>
    <w:p w:rsidR="00417434" w:rsidRDefault="00417434" w:rsidP="005F00B1">
      <w:pPr>
        <w:rPr>
          <w:noProof/>
        </w:rPr>
      </w:pPr>
    </w:p>
    <w:p w:rsidR="00417434" w:rsidRDefault="00417434" w:rsidP="005F00B1">
      <w:pPr>
        <w:rPr>
          <w:b/>
          <w:sz w:val="28"/>
          <w:szCs w:val="28"/>
        </w:rPr>
      </w:pPr>
      <w:r w:rsidRPr="0041117C">
        <w:rPr>
          <w:b/>
          <w:bCs/>
          <w:noProof/>
        </w:rPr>
        <w:t>Eye Disorders</w:t>
      </w:r>
    </w:p>
    <w:p w:rsidR="00417434" w:rsidRDefault="00417434" w:rsidP="005F00B1">
      <w:pPr>
        <w:rPr>
          <w:b/>
          <w:sz w:val="28"/>
          <w:szCs w:val="28"/>
        </w:rPr>
      </w:pPr>
    </w:p>
    <w:p w:rsidR="00417434" w:rsidRDefault="00417434" w:rsidP="005F00B1">
      <w:pPr>
        <w:rPr>
          <w:b/>
          <w:sz w:val="28"/>
          <w:szCs w:val="28"/>
        </w:rPr>
      </w:pPr>
      <w:r w:rsidRPr="0041117C">
        <w:rPr>
          <w:noProof/>
        </w:rPr>
        <w:t>Cases of keratitis and ulcerative keratitis have been reported with the use of cetuximab. It is recommended that patients with signs and symptoms suggestive of keratitis consult an ophthalmologist.</w:t>
      </w:r>
    </w:p>
    <w:p w:rsidR="00417434" w:rsidRDefault="00417434" w:rsidP="005F00B1">
      <w:pPr>
        <w:rPr>
          <w:b/>
          <w:sz w:val="28"/>
          <w:szCs w:val="28"/>
        </w:rPr>
      </w:pPr>
    </w:p>
    <w:p w:rsidR="00417434" w:rsidRDefault="00417434" w:rsidP="005F00B1">
      <w:pPr>
        <w:rPr>
          <w:noProof/>
        </w:rPr>
      </w:pPr>
      <w:r w:rsidRPr="0041117C">
        <w:rPr>
          <w:noProof/>
        </w:rPr>
        <w:t>If keratitis is diagnosed, the benefits and risks of continuing treatment should be carefully considered. If a diagnosis of ulcerative keratitis is confirmed, treatment with cetuximab must be interrupted or discontinued.</w:t>
      </w:r>
    </w:p>
    <w:p w:rsidR="00F43A86" w:rsidRDefault="00F43A86" w:rsidP="005F00B1">
      <w:pPr>
        <w:rPr>
          <w:b/>
          <w:sz w:val="28"/>
          <w:szCs w:val="28"/>
        </w:rPr>
      </w:pPr>
    </w:p>
    <w:p w:rsidR="00417434" w:rsidRDefault="00F43A86" w:rsidP="005F00B1">
      <w:pPr>
        <w:rPr>
          <w:noProof/>
        </w:rPr>
      </w:pPr>
      <w:r w:rsidRPr="0041117C">
        <w:rPr>
          <w:noProof/>
        </w:rPr>
        <w:t>Special attention is recommended for patients with a history of keratitis, ulcerative keratitis or severe dry eye</w:t>
      </w:r>
      <w:r w:rsidRPr="004770DF">
        <w:rPr>
          <w:noProof/>
        </w:rPr>
        <w:t>. Contact lens use is also a risk factor for keratitis and ulceration.*</w:t>
      </w:r>
    </w:p>
    <w:p w:rsidR="00F43A86" w:rsidRDefault="00F43A86" w:rsidP="005F00B1">
      <w:pPr>
        <w:rPr>
          <w:noProof/>
        </w:rPr>
      </w:pPr>
    </w:p>
    <w:p w:rsidR="00F43A86" w:rsidRDefault="00F43A86" w:rsidP="005F00B1">
      <w:pPr>
        <w:rPr>
          <w:noProof/>
        </w:rPr>
      </w:pPr>
      <w:r w:rsidRPr="0041117C">
        <w:rPr>
          <w:b/>
          <w:bCs/>
        </w:rPr>
        <w:t xml:space="preserve">Colorectal Cancer Patients with </w:t>
      </w:r>
      <w:r w:rsidRPr="0041117C">
        <w:rPr>
          <w:b/>
          <w:bCs/>
          <w:i/>
        </w:rPr>
        <w:t>K-RAS</w:t>
      </w:r>
      <w:r w:rsidRPr="0041117C">
        <w:rPr>
          <w:b/>
          <w:bCs/>
        </w:rPr>
        <w:t xml:space="preserve"> Mutated Tumours</w:t>
      </w:r>
    </w:p>
    <w:p w:rsidR="00F43A86" w:rsidRDefault="00F43A86" w:rsidP="005F00B1">
      <w:pPr>
        <w:rPr>
          <w:noProof/>
        </w:rPr>
      </w:pPr>
    </w:p>
    <w:p w:rsidR="00F43A86" w:rsidRDefault="00F43A86" w:rsidP="005F00B1">
      <w:pPr>
        <w:rPr>
          <w:noProof/>
        </w:rPr>
      </w:pPr>
      <w:r w:rsidRPr="0041117C">
        <w:lastRenderedPageBreak/>
        <w:t xml:space="preserve">Cetuximab should not be used in the treatment of colorectal cancer patients whose tumours have </w:t>
      </w:r>
      <w:r w:rsidRPr="0041117C">
        <w:rPr>
          <w:i/>
        </w:rPr>
        <w:t>K-RAS</w:t>
      </w:r>
      <w:r w:rsidRPr="0041117C">
        <w:t xml:space="preserve"> mutations or for whom </w:t>
      </w:r>
      <w:r w:rsidRPr="0041117C">
        <w:rPr>
          <w:i/>
        </w:rPr>
        <w:t>K-RAS</w:t>
      </w:r>
      <w:r w:rsidRPr="0041117C">
        <w:t xml:space="preserve"> tumour status is unknown. Results from clinical studies show a negative </w:t>
      </w:r>
      <w:proofErr w:type="spellStart"/>
      <w:r w:rsidRPr="0041117C">
        <w:t>benefit</w:t>
      </w:r>
      <w:proofErr w:type="gramStart"/>
      <w:r w:rsidRPr="0041117C">
        <w:t>:risk</w:t>
      </w:r>
      <w:proofErr w:type="spellEnd"/>
      <w:proofErr w:type="gramEnd"/>
      <w:r w:rsidRPr="0041117C">
        <w:t xml:space="preserve"> balance in tumours with </w:t>
      </w:r>
      <w:r w:rsidRPr="0041117C">
        <w:rPr>
          <w:i/>
        </w:rPr>
        <w:t>K-RAS</w:t>
      </w:r>
      <w:r w:rsidRPr="0041117C">
        <w:t xml:space="preserve"> mutations</w:t>
      </w:r>
      <w:r>
        <w:t xml:space="preserve"> (see CLINICAL TRIALS and CONTRAINDICATIONS)</w:t>
      </w:r>
      <w:r w:rsidRPr="00DE6CE3">
        <w:rPr>
          <w:b/>
        </w:rPr>
        <w:t>.</w:t>
      </w:r>
    </w:p>
    <w:p w:rsidR="00F43A86" w:rsidRDefault="00F43A86" w:rsidP="005F00B1">
      <w:pPr>
        <w:rPr>
          <w:noProof/>
        </w:rPr>
      </w:pPr>
    </w:p>
    <w:p w:rsidR="00F43A86" w:rsidRDefault="00F43A86" w:rsidP="005F00B1">
      <w:pPr>
        <w:rPr>
          <w:b/>
          <w:bCs/>
        </w:rPr>
      </w:pPr>
    </w:p>
    <w:p w:rsidR="00F43A86" w:rsidRDefault="00F43A86" w:rsidP="005F00B1">
      <w:pPr>
        <w:rPr>
          <w:b/>
          <w:bCs/>
        </w:rPr>
      </w:pPr>
    </w:p>
    <w:p w:rsidR="00F43A86" w:rsidRDefault="00F43A86" w:rsidP="005F00B1">
      <w:pPr>
        <w:rPr>
          <w:b/>
          <w:bCs/>
        </w:rPr>
      </w:pPr>
      <w:r>
        <w:rPr>
          <w:b/>
          <w:bCs/>
        </w:rPr>
        <w:t xml:space="preserve">Combination with </w:t>
      </w:r>
      <w:proofErr w:type="spellStart"/>
      <w:r>
        <w:rPr>
          <w:b/>
          <w:bCs/>
        </w:rPr>
        <w:t>Capecitabine</w:t>
      </w:r>
      <w:proofErr w:type="spellEnd"/>
      <w:r>
        <w:rPr>
          <w:b/>
          <w:bCs/>
        </w:rPr>
        <w:t xml:space="preserve"> and </w:t>
      </w:r>
      <w:proofErr w:type="spellStart"/>
      <w:r>
        <w:rPr>
          <w:b/>
          <w:bCs/>
        </w:rPr>
        <w:t>Irinotecan</w:t>
      </w:r>
      <w:proofErr w:type="spellEnd"/>
      <w:r>
        <w:rPr>
          <w:b/>
          <w:bCs/>
        </w:rPr>
        <w:t>*</w:t>
      </w:r>
    </w:p>
    <w:p w:rsidR="00F43A86" w:rsidRDefault="00F43A86" w:rsidP="005F00B1">
      <w:pPr>
        <w:rPr>
          <w:lang w:val="en-GB"/>
        </w:rPr>
      </w:pPr>
    </w:p>
    <w:p w:rsidR="00F43A86" w:rsidRDefault="00F43A86" w:rsidP="005F00B1">
      <w:pPr>
        <w:rPr>
          <w:lang w:val="en-GB"/>
        </w:rPr>
      </w:pPr>
      <w:r w:rsidRPr="00C86876">
        <w:rPr>
          <w:lang w:val="en-GB"/>
        </w:rPr>
        <w:t>The benefit-risk balance of cetuximab in combination with XELIRI (</w:t>
      </w:r>
      <w:proofErr w:type="spellStart"/>
      <w:r w:rsidRPr="00C86876">
        <w:rPr>
          <w:lang w:val="en-GB"/>
        </w:rPr>
        <w:t>capecitabine</w:t>
      </w:r>
      <w:proofErr w:type="spellEnd"/>
      <w:r w:rsidRPr="00C86876">
        <w:rPr>
          <w:lang w:val="en-GB"/>
        </w:rPr>
        <w:t xml:space="preserve"> plus </w:t>
      </w:r>
      <w:proofErr w:type="spellStart"/>
      <w:r w:rsidRPr="00C86876">
        <w:rPr>
          <w:lang w:val="en-GB"/>
        </w:rPr>
        <w:t>irinotecan</w:t>
      </w:r>
      <w:proofErr w:type="spellEnd"/>
      <w:r w:rsidRPr="00C86876">
        <w:rPr>
          <w:lang w:val="en-GB"/>
        </w:rPr>
        <w:t xml:space="preserve">) has not been established. This combination is therefore not recommended in </w:t>
      </w:r>
      <w:r>
        <w:rPr>
          <w:lang w:val="en-GB"/>
        </w:rPr>
        <w:t xml:space="preserve">the </w:t>
      </w:r>
      <w:r w:rsidRPr="00C86876">
        <w:rPr>
          <w:lang w:val="en-GB"/>
        </w:rPr>
        <w:t xml:space="preserve">treatment of patients with </w:t>
      </w:r>
      <w:r>
        <w:rPr>
          <w:lang w:val="en-GB"/>
        </w:rPr>
        <w:t xml:space="preserve">metastatic </w:t>
      </w:r>
      <w:r w:rsidRPr="0041117C">
        <w:t>colorectal cancer</w:t>
      </w:r>
      <w:r w:rsidRPr="00C86876">
        <w:rPr>
          <w:lang w:val="en-GB"/>
        </w:rPr>
        <w:t>.</w:t>
      </w:r>
    </w:p>
    <w:p w:rsidR="00F43A86" w:rsidRDefault="00F43A86" w:rsidP="005F00B1">
      <w:pPr>
        <w:rPr>
          <w:lang w:val="en-GB"/>
        </w:rPr>
      </w:pPr>
    </w:p>
    <w:p w:rsidR="00F43A86" w:rsidRDefault="00F43A86" w:rsidP="005F00B1">
      <w:pPr>
        <w:rPr>
          <w:b/>
          <w:sz w:val="28"/>
          <w:szCs w:val="28"/>
        </w:rPr>
      </w:pPr>
      <w:r w:rsidRPr="0041117C">
        <w:rPr>
          <w:b/>
          <w:bCs/>
        </w:rPr>
        <w:t>Hepatic and Renal Impairment</w:t>
      </w:r>
    </w:p>
    <w:p w:rsidR="00F43A86" w:rsidRDefault="00F43A86" w:rsidP="005F00B1">
      <w:pPr>
        <w:rPr>
          <w:b/>
          <w:sz w:val="28"/>
          <w:szCs w:val="28"/>
        </w:rPr>
      </w:pPr>
    </w:p>
    <w:p w:rsidR="00F43A86" w:rsidRDefault="00F43A86" w:rsidP="005F00B1">
      <w:pPr>
        <w:rPr>
          <w:b/>
          <w:sz w:val="28"/>
          <w:szCs w:val="28"/>
        </w:rPr>
      </w:pPr>
      <w:r w:rsidRPr="0041117C">
        <w:t xml:space="preserve">Only patients with adequate hepatic and renal function have been investigated to date (serum </w:t>
      </w:r>
      <w:proofErr w:type="spellStart"/>
      <w:r w:rsidRPr="0041117C">
        <w:t>creatinine</w:t>
      </w:r>
      <w:proofErr w:type="spellEnd"/>
      <w:r w:rsidRPr="0041117C">
        <w:t xml:space="preserve"> </w:t>
      </w:r>
      <w:r w:rsidRPr="0041117C">
        <w:sym w:font="Symbol" w:char="F0A3"/>
      </w:r>
      <w:r w:rsidRPr="0041117C">
        <w:t xml:space="preserve"> 1.5 fold, </w:t>
      </w:r>
      <w:proofErr w:type="spellStart"/>
      <w:r w:rsidRPr="0041117C">
        <w:t>transaminases</w:t>
      </w:r>
      <w:proofErr w:type="spellEnd"/>
      <w:r w:rsidRPr="0041117C">
        <w:t xml:space="preserve"> </w:t>
      </w:r>
      <w:r w:rsidRPr="0041117C">
        <w:sym w:font="Symbol" w:char="F0A3"/>
      </w:r>
      <w:r w:rsidRPr="0041117C">
        <w:t xml:space="preserve"> 5 fold and </w:t>
      </w:r>
      <w:proofErr w:type="spellStart"/>
      <w:r w:rsidRPr="0041117C">
        <w:t>bilirubin</w:t>
      </w:r>
      <w:proofErr w:type="spellEnd"/>
      <w:r w:rsidRPr="0041117C">
        <w:t xml:space="preserve"> </w:t>
      </w:r>
      <w:r w:rsidRPr="0041117C">
        <w:sym w:font="Symbol" w:char="F0A3"/>
      </w:r>
      <w:r w:rsidRPr="0041117C">
        <w:t xml:space="preserve"> 1.5 fold the upper limit of normal).</w:t>
      </w:r>
    </w:p>
    <w:p w:rsidR="00F43A86" w:rsidRDefault="00F43A86" w:rsidP="005F00B1">
      <w:pPr>
        <w:rPr>
          <w:b/>
          <w:sz w:val="28"/>
          <w:szCs w:val="28"/>
        </w:rPr>
      </w:pPr>
    </w:p>
    <w:p w:rsidR="00F43A86" w:rsidRDefault="00F43A86" w:rsidP="005F00B1">
      <w:pPr>
        <w:rPr>
          <w:b/>
          <w:sz w:val="28"/>
          <w:szCs w:val="28"/>
        </w:rPr>
      </w:pPr>
      <w:r w:rsidRPr="0041117C">
        <w:rPr>
          <w:b/>
          <w:bCs/>
        </w:rPr>
        <w:t>Haematological</w:t>
      </w:r>
    </w:p>
    <w:p w:rsidR="00F43A86" w:rsidRDefault="00F43A86" w:rsidP="005F00B1"/>
    <w:p w:rsidR="00F43A86" w:rsidRDefault="00F43A86" w:rsidP="005F00B1">
      <w:r w:rsidRPr="0041117C">
        <w:t>Cetuximab has not been studied in patients presenting with an abnormal haematological profile as defined by one or more of the following:</w:t>
      </w:r>
    </w:p>
    <w:p w:rsidR="00F43A86" w:rsidRDefault="00F43A86" w:rsidP="005F00B1"/>
    <w:p w:rsidR="00F43A86" w:rsidRPr="00F43A86" w:rsidRDefault="00F43A86" w:rsidP="00F43A86">
      <w:pPr>
        <w:pStyle w:val="SPCnormal"/>
        <w:keepLines/>
        <w:widowControl w:val="0"/>
        <w:numPr>
          <w:ilvl w:val="0"/>
          <w:numId w:val="8"/>
        </w:numPr>
        <w:rPr>
          <w:sz w:val="24"/>
          <w:lang w:val="en-AU"/>
        </w:rPr>
      </w:pPr>
      <w:r w:rsidRPr="0041117C">
        <w:rPr>
          <w:sz w:val="24"/>
          <w:lang w:val="en-AU"/>
        </w:rPr>
        <w:t>haemoglobin &lt; 90 g/L</w:t>
      </w:r>
    </w:p>
    <w:p w:rsidR="00F43A86" w:rsidRPr="00F43A86" w:rsidRDefault="00F43A86" w:rsidP="00F43A86">
      <w:pPr>
        <w:pStyle w:val="SPCnormal"/>
        <w:keepLines/>
        <w:widowControl w:val="0"/>
        <w:numPr>
          <w:ilvl w:val="0"/>
          <w:numId w:val="8"/>
        </w:numPr>
        <w:rPr>
          <w:sz w:val="24"/>
          <w:lang w:val="en-AU"/>
        </w:rPr>
      </w:pPr>
      <w:r w:rsidRPr="0041117C">
        <w:rPr>
          <w:sz w:val="24"/>
          <w:lang w:val="en-AU"/>
        </w:rPr>
        <w:t>leukocyte count &lt; 3 x 10</w:t>
      </w:r>
      <w:r w:rsidRPr="000B417C">
        <w:rPr>
          <w:sz w:val="24"/>
          <w:vertAlign w:val="superscript"/>
          <w:lang w:val="en-AU"/>
        </w:rPr>
        <w:t>9</w:t>
      </w:r>
      <w:r w:rsidRPr="0041117C">
        <w:rPr>
          <w:sz w:val="24"/>
          <w:lang w:val="en-AU"/>
        </w:rPr>
        <w:t>/L</w:t>
      </w:r>
    </w:p>
    <w:p w:rsidR="00F43A86" w:rsidRPr="00F43A86" w:rsidRDefault="00F43A86" w:rsidP="00F43A86">
      <w:pPr>
        <w:pStyle w:val="SPCnormal"/>
        <w:keepLines/>
        <w:widowControl w:val="0"/>
        <w:numPr>
          <w:ilvl w:val="0"/>
          <w:numId w:val="8"/>
        </w:numPr>
        <w:rPr>
          <w:sz w:val="24"/>
          <w:lang w:val="en-AU"/>
        </w:rPr>
      </w:pPr>
      <w:r w:rsidRPr="0041117C">
        <w:rPr>
          <w:sz w:val="24"/>
          <w:lang w:val="en-AU"/>
        </w:rPr>
        <w:t xml:space="preserve">absolute </w:t>
      </w:r>
      <w:proofErr w:type="spellStart"/>
      <w:r w:rsidRPr="0041117C">
        <w:rPr>
          <w:sz w:val="24"/>
          <w:lang w:val="en-AU"/>
        </w:rPr>
        <w:t>neutrophil</w:t>
      </w:r>
      <w:proofErr w:type="spellEnd"/>
      <w:r w:rsidRPr="0041117C">
        <w:rPr>
          <w:sz w:val="24"/>
          <w:lang w:val="en-AU"/>
        </w:rPr>
        <w:t xml:space="preserve"> count &lt; 1.5 x 10</w:t>
      </w:r>
      <w:r w:rsidRPr="000B417C">
        <w:rPr>
          <w:sz w:val="24"/>
          <w:vertAlign w:val="superscript"/>
          <w:lang w:val="en-AU"/>
        </w:rPr>
        <w:t>9</w:t>
      </w:r>
      <w:r w:rsidRPr="0041117C">
        <w:rPr>
          <w:sz w:val="24"/>
          <w:lang w:val="en-AU"/>
        </w:rPr>
        <w:t>/L</w:t>
      </w:r>
    </w:p>
    <w:p w:rsidR="00F43A86" w:rsidRPr="00F43A86" w:rsidRDefault="00F43A86" w:rsidP="00F43A86">
      <w:pPr>
        <w:pStyle w:val="SPCnormal"/>
        <w:keepLines/>
        <w:widowControl w:val="0"/>
        <w:numPr>
          <w:ilvl w:val="0"/>
          <w:numId w:val="8"/>
        </w:numPr>
        <w:rPr>
          <w:sz w:val="24"/>
          <w:lang w:val="en-AU"/>
        </w:rPr>
      </w:pPr>
      <w:r w:rsidRPr="0041117C">
        <w:rPr>
          <w:sz w:val="24"/>
          <w:lang w:val="en-AU"/>
        </w:rPr>
        <w:t>platelet count &lt; 100 x 10</w:t>
      </w:r>
      <w:r w:rsidRPr="000B417C">
        <w:rPr>
          <w:sz w:val="24"/>
          <w:vertAlign w:val="superscript"/>
          <w:lang w:val="en-AU"/>
        </w:rPr>
        <w:t>9</w:t>
      </w:r>
      <w:r w:rsidRPr="0041117C">
        <w:rPr>
          <w:sz w:val="24"/>
          <w:lang w:val="en-AU"/>
        </w:rPr>
        <w:t>/L</w:t>
      </w:r>
    </w:p>
    <w:p w:rsidR="00F43A86" w:rsidRDefault="00F43A86" w:rsidP="005F00B1">
      <w:pPr>
        <w:rPr>
          <w:b/>
          <w:sz w:val="28"/>
          <w:szCs w:val="28"/>
        </w:rPr>
      </w:pPr>
    </w:p>
    <w:p w:rsidR="00F43A86" w:rsidRPr="00F43A86" w:rsidRDefault="00F43A86" w:rsidP="005F00B1">
      <w:pPr>
        <w:rPr>
          <w:b/>
          <w:bCs/>
        </w:rPr>
      </w:pPr>
      <w:r w:rsidRPr="00F43A86">
        <w:rPr>
          <w:b/>
          <w:bCs/>
        </w:rPr>
        <w:t>Carcinogenicity</w:t>
      </w:r>
    </w:p>
    <w:p w:rsidR="00F43A86" w:rsidRDefault="00F43A86" w:rsidP="005F00B1">
      <w:pPr>
        <w:rPr>
          <w:b/>
          <w:sz w:val="28"/>
          <w:szCs w:val="28"/>
        </w:rPr>
      </w:pPr>
    </w:p>
    <w:p w:rsidR="00F43A86" w:rsidRDefault="00F43A86" w:rsidP="005F00B1">
      <w:r w:rsidRPr="0041117C">
        <w:t>No long term animal studies have been performed to establish the carcinogenic potential of cetuximab.</w:t>
      </w:r>
    </w:p>
    <w:p w:rsidR="00F43A86" w:rsidRDefault="00F43A86" w:rsidP="005F00B1"/>
    <w:p w:rsidR="00F43A86" w:rsidRPr="00F43A86" w:rsidRDefault="00F43A86" w:rsidP="005F00B1">
      <w:pPr>
        <w:rPr>
          <w:b/>
        </w:rPr>
      </w:pPr>
      <w:proofErr w:type="spellStart"/>
      <w:r w:rsidRPr="00F43A86">
        <w:rPr>
          <w:b/>
        </w:rPr>
        <w:t>Genotoxicity</w:t>
      </w:r>
      <w:proofErr w:type="spellEnd"/>
    </w:p>
    <w:p w:rsidR="00F43A86" w:rsidRDefault="00F43A86" w:rsidP="005F00B1"/>
    <w:p w:rsidR="00F43A86" w:rsidRDefault="00F43A86" w:rsidP="005F00B1">
      <w:proofErr w:type="spellStart"/>
      <w:r w:rsidRPr="0041117C">
        <w:t>Cetuximab</w:t>
      </w:r>
      <w:proofErr w:type="spellEnd"/>
      <w:r w:rsidRPr="0041117C">
        <w:t xml:space="preserve"> was not </w:t>
      </w:r>
      <w:proofErr w:type="spellStart"/>
      <w:r w:rsidRPr="0041117C">
        <w:t>genotoxic</w:t>
      </w:r>
      <w:proofErr w:type="spellEnd"/>
      <w:r w:rsidRPr="0041117C">
        <w:t xml:space="preserve"> in an </w:t>
      </w:r>
      <w:r w:rsidRPr="0041117C">
        <w:rPr>
          <w:i/>
          <w:iCs/>
        </w:rPr>
        <w:t xml:space="preserve">in vitro </w:t>
      </w:r>
      <w:r w:rsidRPr="0041117C">
        <w:t xml:space="preserve">microbial assay or an </w:t>
      </w:r>
      <w:r w:rsidRPr="0041117C">
        <w:rPr>
          <w:i/>
          <w:iCs/>
        </w:rPr>
        <w:t>in vivo</w:t>
      </w:r>
      <w:r w:rsidRPr="0041117C">
        <w:t xml:space="preserve"> rat micronucleus assay.</w:t>
      </w:r>
    </w:p>
    <w:p w:rsidR="00F43A86" w:rsidRDefault="00F43A86" w:rsidP="005F00B1">
      <w:pPr>
        <w:rPr>
          <w:b/>
          <w:sz w:val="28"/>
          <w:szCs w:val="28"/>
        </w:rPr>
      </w:pPr>
    </w:p>
    <w:p w:rsidR="00F43A86" w:rsidRPr="00B353B6" w:rsidRDefault="00B353B6" w:rsidP="005F00B1">
      <w:pPr>
        <w:rPr>
          <w:b/>
          <w:sz w:val="28"/>
          <w:szCs w:val="28"/>
        </w:rPr>
      </w:pPr>
      <w:r w:rsidRPr="00B353B6">
        <w:rPr>
          <w:b/>
        </w:rPr>
        <w:t>Effects on Fertility</w:t>
      </w:r>
    </w:p>
    <w:p w:rsidR="00F43A86" w:rsidRDefault="00F43A86" w:rsidP="005F00B1">
      <w:pPr>
        <w:rPr>
          <w:b/>
          <w:sz w:val="28"/>
          <w:szCs w:val="28"/>
        </w:rPr>
      </w:pPr>
    </w:p>
    <w:p w:rsidR="00B353B6" w:rsidRDefault="00B353B6" w:rsidP="005F00B1">
      <w:pPr>
        <w:rPr>
          <w:b/>
          <w:sz w:val="28"/>
          <w:szCs w:val="28"/>
        </w:rPr>
      </w:pPr>
      <w:r w:rsidRPr="0041117C">
        <w:t xml:space="preserve">There are no data on the effect of cetuximab on human fertility. Fertility has not been specifically examined in animal studies. However, female </w:t>
      </w:r>
      <w:proofErr w:type="spellStart"/>
      <w:r w:rsidRPr="0041117C">
        <w:t>cynomolgus</w:t>
      </w:r>
      <w:proofErr w:type="spellEnd"/>
      <w:r w:rsidRPr="0041117C">
        <w:t xml:space="preserve"> monkeys given IV maintenance doses of 7.5 - 75 mg/kg/week (approx. 1-17 times the recommended maintenance dose in humans based on serum AUC values) showed impairment of menstrual cycling.</w:t>
      </w:r>
    </w:p>
    <w:p w:rsidR="00B353B6" w:rsidRDefault="00B353B6" w:rsidP="005F00B1">
      <w:pPr>
        <w:rPr>
          <w:b/>
          <w:bCs/>
        </w:rPr>
      </w:pPr>
    </w:p>
    <w:p w:rsidR="00B353B6" w:rsidRDefault="00B353B6" w:rsidP="005F00B1">
      <w:pPr>
        <w:rPr>
          <w:b/>
          <w:sz w:val="28"/>
          <w:szCs w:val="28"/>
        </w:rPr>
      </w:pPr>
      <w:r w:rsidRPr="0041117C">
        <w:rPr>
          <w:b/>
          <w:bCs/>
        </w:rPr>
        <w:lastRenderedPageBreak/>
        <w:t>Wound Healing</w:t>
      </w:r>
    </w:p>
    <w:p w:rsidR="00B353B6" w:rsidRDefault="00B353B6" w:rsidP="005F00B1">
      <w:pPr>
        <w:rPr>
          <w:b/>
          <w:sz w:val="28"/>
          <w:szCs w:val="28"/>
        </w:rPr>
      </w:pPr>
    </w:p>
    <w:p w:rsidR="00B353B6" w:rsidRDefault="00B353B6" w:rsidP="005F00B1">
      <w:r w:rsidRPr="0041117C">
        <w:t xml:space="preserve">To date, no data on the effect of cetuximab on wound healing are available. However, in preclinical wound healing models, EGFR selective tyrosine </w:t>
      </w:r>
      <w:proofErr w:type="spellStart"/>
      <w:r w:rsidRPr="0041117C">
        <w:t>kinase</w:t>
      </w:r>
      <w:proofErr w:type="spellEnd"/>
      <w:r w:rsidRPr="0041117C">
        <w:t xml:space="preserve"> inhibitors were shown to retard wound healing.</w:t>
      </w:r>
    </w:p>
    <w:p w:rsidR="00B353B6" w:rsidRDefault="00B353B6" w:rsidP="005F00B1"/>
    <w:p w:rsidR="000F1D54" w:rsidRDefault="000F1D54">
      <w:pPr>
        <w:rPr>
          <w:b/>
          <w:bCs/>
        </w:rPr>
      </w:pPr>
      <w:r>
        <w:rPr>
          <w:b/>
          <w:bCs/>
        </w:rPr>
        <w:br w:type="page"/>
      </w:r>
    </w:p>
    <w:p w:rsidR="00B353B6" w:rsidRDefault="00B353B6" w:rsidP="005F00B1">
      <w:pPr>
        <w:rPr>
          <w:b/>
          <w:bCs/>
        </w:rPr>
      </w:pPr>
      <w:r w:rsidRPr="0041117C">
        <w:rPr>
          <w:b/>
          <w:bCs/>
        </w:rPr>
        <w:lastRenderedPageBreak/>
        <w:t>Use in Pregnancy</w:t>
      </w:r>
    </w:p>
    <w:p w:rsidR="00B353B6" w:rsidRDefault="00B353B6" w:rsidP="005F00B1">
      <w:pPr>
        <w:rPr>
          <w:b/>
          <w:bCs/>
        </w:rPr>
      </w:pPr>
    </w:p>
    <w:p w:rsidR="00B353B6" w:rsidRDefault="00B353B6" w:rsidP="005F00B1">
      <w:pPr>
        <w:rPr>
          <w:b/>
          <w:bCs/>
        </w:rPr>
      </w:pPr>
      <w:r w:rsidRPr="00B353B6">
        <w:rPr>
          <w:b/>
          <w:bCs/>
        </w:rPr>
        <w:t>Pregnancy Category D</w:t>
      </w:r>
    </w:p>
    <w:p w:rsidR="00B353B6" w:rsidRDefault="00B353B6" w:rsidP="005F00B1">
      <w:pPr>
        <w:rPr>
          <w:b/>
          <w:bCs/>
        </w:rPr>
      </w:pPr>
    </w:p>
    <w:p w:rsidR="00B353B6" w:rsidRDefault="00B353B6" w:rsidP="005F00B1">
      <w:r w:rsidRPr="0041117C">
        <w:t>The epidermal growth factor receptor (EGFR) is involved in foetal development.  Observations in animals are indicative of a placental transfer of cetuximab, and other IgG</w:t>
      </w:r>
      <w:r w:rsidRPr="0041117C">
        <w:rPr>
          <w:vertAlign w:val="subscript"/>
        </w:rPr>
        <w:t>1</w:t>
      </w:r>
      <w:r w:rsidRPr="0041117C">
        <w:t xml:space="preserve"> antibodies have been found to cross the placental barrier. An embryo-foetal toxicity study in </w:t>
      </w:r>
      <w:proofErr w:type="spellStart"/>
      <w:r w:rsidRPr="0041117C">
        <w:t>cynomolgus</w:t>
      </w:r>
      <w:proofErr w:type="spellEnd"/>
      <w:r w:rsidRPr="0041117C">
        <w:t xml:space="preserve"> monkeys revealed no evidence of </w:t>
      </w:r>
      <w:proofErr w:type="spellStart"/>
      <w:r w:rsidRPr="0041117C">
        <w:t>teratogenicity</w:t>
      </w:r>
      <w:proofErr w:type="spellEnd"/>
      <w:r w:rsidRPr="0041117C">
        <w:t xml:space="preserve"> at exposures (AUC) up to 16 times that anticipated clinically.  However, a dose-dependent, increased incidence of abortion was observed, with a NOAEL of 7.5 mg/kg/week (exposure (AUC) similar to clinical exposure).  No data regarding use in pregnant women are available. It is recommended that Erbitux should not be administered during pregnancy. Adequate contraception should be maintained in women of child-bearing potential during treatment with Erbitux and for 2 months after the last dose.</w:t>
      </w:r>
    </w:p>
    <w:p w:rsidR="00B353B6" w:rsidRDefault="00B353B6" w:rsidP="005F00B1"/>
    <w:p w:rsidR="00B353B6" w:rsidRDefault="00B353B6" w:rsidP="005F00B1">
      <w:r w:rsidRPr="0041117C">
        <w:rPr>
          <w:b/>
          <w:bCs/>
        </w:rPr>
        <w:t>Use in Lactation</w:t>
      </w:r>
    </w:p>
    <w:p w:rsidR="00B353B6" w:rsidRDefault="00B353B6" w:rsidP="005F00B1"/>
    <w:p w:rsidR="00B353B6" w:rsidRDefault="00B353B6" w:rsidP="005F00B1">
      <w:r w:rsidRPr="0041117C">
        <w:t>Studies in animals or sufficient data from lactating women are not available. It is recommended that women do not breast-feed during treatment with Erbitux and for 2 months after the last dose.</w:t>
      </w:r>
    </w:p>
    <w:p w:rsidR="00B353B6" w:rsidRDefault="00B353B6" w:rsidP="005F00B1"/>
    <w:p w:rsidR="00B353B6" w:rsidRDefault="00B353B6" w:rsidP="005F00B1">
      <w:r w:rsidRPr="0041117C">
        <w:rPr>
          <w:b/>
          <w:bCs/>
        </w:rPr>
        <w:t>Paediatric Use</w:t>
      </w:r>
    </w:p>
    <w:p w:rsidR="00B353B6" w:rsidRDefault="00B353B6" w:rsidP="005F00B1"/>
    <w:p w:rsidR="00B353B6" w:rsidRDefault="00B353B6" w:rsidP="005F00B1">
      <w:r w:rsidRPr="0041117C">
        <w:t xml:space="preserve">The effectiveness of cetuximab in paediatric patients </w:t>
      </w:r>
      <w:r>
        <w:t xml:space="preserve">below the age of 18 years </w:t>
      </w:r>
      <w:r w:rsidRPr="0041117C">
        <w:t>ha</w:t>
      </w:r>
      <w:r>
        <w:t>s</w:t>
      </w:r>
      <w:r w:rsidRPr="0041117C">
        <w:t xml:space="preserve"> not been established.</w:t>
      </w:r>
      <w:r>
        <w:t xml:space="preserve"> </w:t>
      </w:r>
      <w:r w:rsidRPr="003900C1">
        <w:t>No new safety signals were identified in paediatric patients as reported from a phase</w:t>
      </w:r>
      <w:r>
        <w:t xml:space="preserve"> </w:t>
      </w:r>
      <w:r w:rsidRPr="003900C1">
        <w:t>I study</w:t>
      </w:r>
      <w:r>
        <w:t xml:space="preserve"> (see PHARMACOLOGY, Pharmacokinetics)*</w:t>
      </w:r>
      <w:r w:rsidRPr="003900C1">
        <w:t>.</w:t>
      </w:r>
    </w:p>
    <w:p w:rsidR="00B353B6" w:rsidRDefault="00B353B6" w:rsidP="005F00B1">
      <w:pPr>
        <w:rPr>
          <w:b/>
          <w:sz w:val="28"/>
          <w:szCs w:val="28"/>
        </w:rPr>
      </w:pPr>
    </w:p>
    <w:p w:rsidR="00B353B6" w:rsidRDefault="00B353B6" w:rsidP="005F00B1">
      <w:pPr>
        <w:rPr>
          <w:b/>
          <w:sz w:val="28"/>
          <w:szCs w:val="28"/>
        </w:rPr>
      </w:pPr>
      <w:r w:rsidRPr="0041117C">
        <w:rPr>
          <w:b/>
          <w:bCs/>
        </w:rPr>
        <w:t>Use in the Elderly</w:t>
      </w:r>
    </w:p>
    <w:p w:rsidR="00B353B6" w:rsidRDefault="00B353B6" w:rsidP="005F00B1">
      <w:pPr>
        <w:rPr>
          <w:b/>
          <w:sz w:val="28"/>
          <w:szCs w:val="28"/>
        </w:rPr>
      </w:pPr>
    </w:p>
    <w:p w:rsidR="00B353B6" w:rsidRDefault="00B353B6" w:rsidP="005F00B1">
      <w:r w:rsidRPr="0041117C">
        <w:t>No dose adjustment is required in the elderly but experience is limited in patients 75 years of age and above. However, elderly patients, especially those with a history of cardiac disease, are at greater risk of adverse effects than younger patients and patients without a history of cardiac disease (see ADVERSE EFFECTS).</w:t>
      </w:r>
    </w:p>
    <w:p w:rsidR="00B353B6" w:rsidRDefault="00B353B6" w:rsidP="005F00B1"/>
    <w:p w:rsidR="00B353B6" w:rsidRDefault="00B353B6" w:rsidP="005F00B1">
      <w:r w:rsidRPr="0041117C">
        <w:rPr>
          <w:b/>
          <w:bCs/>
        </w:rPr>
        <w:t>Effects on Ability to Drive and Use Machines</w:t>
      </w:r>
    </w:p>
    <w:p w:rsidR="00B353B6" w:rsidRDefault="00B353B6" w:rsidP="005F00B1"/>
    <w:p w:rsidR="00B353B6" w:rsidRDefault="00B353B6" w:rsidP="005F00B1">
      <w:r w:rsidRPr="0041117C">
        <w:t>No studies on the effects on the ability to drive and use machines have been performed. If patients experience treatment-related symptoms affecting their ability to concentrate and react, it is recommended that they do not drive or use machines until the effect subsides.</w:t>
      </w:r>
    </w:p>
    <w:p w:rsidR="00B353B6" w:rsidRDefault="00B353B6" w:rsidP="005F00B1">
      <w:pPr>
        <w:rPr>
          <w:b/>
          <w:sz w:val="28"/>
          <w:szCs w:val="28"/>
        </w:rPr>
      </w:pPr>
    </w:p>
    <w:p w:rsidR="00B353B6" w:rsidRDefault="00B353B6" w:rsidP="005F00B1">
      <w:pPr>
        <w:rPr>
          <w:b/>
          <w:sz w:val="28"/>
          <w:szCs w:val="28"/>
        </w:rPr>
      </w:pPr>
      <w:r w:rsidRPr="00B353B6">
        <w:rPr>
          <w:b/>
          <w:sz w:val="28"/>
          <w:szCs w:val="28"/>
        </w:rPr>
        <w:t>INTERACTIONS WITH OTHER MEDICINES</w:t>
      </w:r>
    </w:p>
    <w:p w:rsidR="00B353B6" w:rsidRDefault="00B353B6" w:rsidP="005F00B1">
      <w:pPr>
        <w:rPr>
          <w:b/>
          <w:sz w:val="28"/>
          <w:szCs w:val="28"/>
        </w:rPr>
      </w:pPr>
    </w:p>
    <w:p w:rsidR="00B353B6" w:rsidRDefault="00B353B6" w:rsidP="005F00B1">
      <w:r w:rsidRPr="0041117C">
        <w:t>Physicians are advised to consider the toxicities of the individual components of therapy and to monitor patients receiving cetuximab in combination with other therapies closely.</w:t>
      </w:r>
    </w:p>
    <w:p w:rsidR="00B353B6" w:rsidRDefault="00B353B6" w:rsidP="005F00B1"/>
    <w:p w:rsidR="00B353B6" w:rsidRDefault="00B353B6" w:rsidP="005F00B1">
      <w:r w:rsidRPr="0041117C">
        <w:t>When cetuximab is used in combination with chemo- or radiotherapy, patients may experience an increased incidence of specific adverse reactions (see also ADVERSE EFFECTS):</w:t>
      </w:r>
    </w:p>
    <w:p w:rsidR="00B353B6" w:rsidRDefault="00B353B6" w:rsidP="005F00B1">
      <w:pPr>
        <w:rPr>
          <w:b/>
          <w:sz w:val="28"/>
          <w:szCs w:val="28"/>
        </w:rPr>
      </w:pPr>
    </w:p>
    <w:p w:rsidR="00B353B6" w:rsidRDefault="00B353B6" w:rsidP="005F00B1">
      <w:pPr>
        <w:rPr>
          <w:b/>
          <w:sz w:val="28"/>
          <w:szCs w:val="28"/>
        </w:rPr>
      </w:pPr>
      <w:r w:rsidRPr="0041117C">
        <w:t xml:space="preserve">In combination with </w:t>
      </w:r>
      <w:proofErr w:type="spellStart"/>
      <w:r w:rsidRPr="0041117C">
        <w:t>fluoropyrimidines</w:t>
      </w:r>
      <w:proofErr w:type="spellEnd"/>
      <w:r w:rsidRPr="0041117C">
        <w:t xml:space="preserve">, the frequency of cardiac </w:t>
      </w:r>
      <w:proofErr w:type="spellStart"/>
      <w:r w:rsidRPr="0041117C">
        <w:t>ischaemia</w:t>
      </w:r>
      <w:proofErr w:type="spellEnd"/>
      <w:r w:rsidRPr="0041117C">
        <w:t xml:space="preserve"> including myocardial infarction and congestive heart failure as well as the frequency of hand-foot syndrome (</w:t>
      </w:r>
      <w:proofErr w:type="spellStart"/>
      <w:r w:rsidRPr="0041117C">
        <w:t>palmar</w:t>
      </w:r>
      <w:proofErr w:type="spellEnd"/>
      <w:r w:rsidRPr="0041117C">
        <w:t xml:space="preserve">-plantar </w:t>
      </w:r>
      <w:proofErr w:type="spellStart"/>
      <w:r w:rsidRPr="0041117C">
        <w:t>erythrodysaesthesia</w:t>
      </w:r>
      <w:proofErr w:type="spellEnd"/>
      <w:r w:rsidRPr="0041117C">
        <w:t xml:space="preserve">) were increased compared to that with </w:t>
      </w:r>
      <w:proofErr w:type="spellStart"/>
      <w:r w:rsidRPr="0041117C">
        <w:t>fluoropyrimidines</w:t>
      </w:r>
      <w:proofErr w:type="spellEnd"/>
      <w:r w:rsidRPr="0041117C">
        <w:t>.</w:t>
      </w:r>
    </w:p>
    <w:p w:rsidR="00B353B6" w:rsidRDefault="00B353B6" w:rsidP="005F00B1">
      <w:pPr>
        <w:rPr>
          <w:b/>
          <w:sz w:val="28"/>
          <w:szCs w:val="28"/>
        </w:rPr>
      </w:pPr>
    </w:p>
    <w:p w:rsidR="00B353B6" w:rsidRDefault="00B353B6" w:rsidP="005F00B1">
      <w:r w:rsidRPr="0041117C">
        <w:t xml:space="preserve">When used in combination with platinum-based chemotherapy, the frequency of severe </w:t>
      </w:r>
      <w:proofErr w:type="spellStart"/>
      <w:r w:rsidRPr="0041117C">
        <w:t>leukopenia</w:t>
      </w:r>
      <w:proofErr w:type="spellEnd"/>
      <w:r w:rsidRPr="0041117C">
        <w:t xml:space="preserve"> or severe </w:t>
      </w:r>
      <w:proofErr w:type="spellStart"/>
      <w:r w:rsidRPr="0041117C">
        <w:t>neutropenia</w:t>
      </w:r>
      <w:proofErr w:type="spellEnd"/>
      <w:r w:rsidRPr="0041117C">
        <w:t xml:space="preserve"> is increased compared to use of platinum-based chemotherapy alone, and this may lead to a higher rate of infectious complications such as febrile </w:t>
      </w:r>
      <w:proofErr w:type="spellStart"/>
      <w:r w:rsidRPr="0041117C">
        <w:t>neutropenia</w:t>
      </w:r>
      <w:proofErr w:type="spellEnd"/>
      <w:r w:rsidRPr="0041117C">
        <w:t xml:space="preserve">, pneumonia and sepsis. Patients with skin lesions, </w:t>
      </w:r>
      <w:proofErr w:type="spellStart"/>
      <w:r w:rsidRPr="0041117C">
        <w:t>mucositis</w:t>
      </w:r>
      <w:proofErr w:type="spellEnd"/>
      <w:r w:rsidRPr="0041117C">
        <w:t xml:space="preserve"> or diarrhoea that may facilitate the development of infections are at particular risk.</w:t>
      </w:r>
    </w:p>
    <w:p w:rsidR="00B353B6" w:rsidRDefault="00B353B6" w:rsidP="005F00B1"/>
    <w:p w:rsidR="00B353B6" w:rsidRDefault="00B353B6" w:rsidP="005F00B1">
      <w:pPr>
        <w:rPr>
          <w:b/>
          <w:sz w:val="28"/>
          <w:szCs w:val="28"/>
        </w:rPr>
      </w:pPr>
      <w:r w:rsidRPr="0041117C">
        <w:rPr>
          <w:bCs/>
        </w:rPr>
        <w:t xml:space="preserve">In combination with </w:t>
      </w:r>
      <w:proofErr w:type="spellStart"/>
      <w:r w:rsidRPr="0041117C">
        <w:rPr>
          <w:bCs/>
        </w:rPr>
        <w:t>capecitabine</w:t>
      </w:r>
      <w:proofErr w:type="spellEnd"/>
      <w:r w:rsidRPr="0041117C">
        <w:rPr>
          <w:bCs/>
        </w:rPr>
        <w:t xml:space="preserve"> and </w:t>
      </w:r>
      <w:proofErr w:type="spellStart"/>
      <w:r w:rsidRPr="0041117C">
        <w:rPr>
          <w:bCs/>
        </w:rPr>
        <w:t>oxaliplatin</w:t>
      </w:r>
      <w:proofErr w:type="spellEnd"/>
      <w:r w:rsidRPr="0041117C">
        <w:rPr>
          <w:bCs/>
        </w:rPr>
        <w:t xml:space="preserve"> (XELOX) the frequency of severe diarrhoea may be increased.</w:t>
      </w:r>
    </w:p>
    <w:p w:rsidR="00B353B6" w:rsidRDefault="00B353B6" w:rsidP="005F00B1">
      <w:pPr>
        <w:rPr>
          <w:b/>
          <w:sz w:val="28"/>
          <w:szCs w:val="28"/>
        </w:rPr>
      </w:pPr>
    </w:p>
    <w:p w:rsidR="00B353B6" w:rsidRDefault="00B353B6" w:rsidP="005F00B1">
      <w:r w:rsidRPr="0041117C">
        <w:rPr>
          <w:bCs/>
          <w:iCs/>
        </w:rPr>
        <w:t xml:space="preserve">In combination with </w:t>
      </w:r>
      <w:r w:rsidRPr="0041117C">
        <w:t>local radiation therapy of the head and neck area</w:t>
      </w:r>
      <w:r w:rsidRPr="0041117C">
        <w:rPr>
          <w:bCs/>
          <w:iCs/>
        </w:rPr>
        <w:t>, additional u</w:t>
      </w:r>
      <w:r w:rsidRPr="0041117C">
        <w:t xml:space="preserve">ndesirable effects were those typical of radiation therapy (such as </w:t>
      </w:r>
      <w:proofErr w:type="spellStart"/>
      <w:r w:rsidRPr="0041117C">
        <w:t>mucositis</w:t>
      </w:r>
      <w:proofErr w:type="spellEnd"/>
      <w:r w:rsidRPr="0041117C">
        <w:t xml:space="preserve">, radiation dermatitis, </w:t>
      </w:r>
      <w:proofErr w:type="spellStart"/>
      <w:r w:rsidRPr="0041117C">
        <w:t>dysphagia</w:t>
      </w:r>
      <w:proofErr w:type="spellEnd"/>
      <w:r w:rsidRPr="0041117C">
        <w:t xml:space="preserve"> or </w:t>
      </w:r>
      <w:proofErr w:type="spellStart"/>
      <w:r w:rsidRPr="0041117C">
        <w:t>leukopenia</w:t>
      </w:r>
      <w:proofErr w:type="spellEnd"/>
      <w:r w:rsidRPr="0041117C">
        <w:t xml:space="preserve">, mainly presenting as </w:t>
      </w:r>
      <w:proofErr w:type="spellStart"/>
      <w:r w:rsidRPr="0041117C">
        <w:t>lymphocytopenia</w:t>
      </w:r>
      <w:proofErr w:type="spellEnd"/>
      <w:r w:rsidRPr="0041117C">
        <w:t>)</w:t>
      </w:r>
      <w:r>
        <w:t xml:space="preserve">. </w:t>
      </w:r>
      <w:r w:rsidRPr="0041117C">
        <w:t xml:space="preserve">In a randomised controlled clinical study with 424 patients, reporting rates of severe acute radiation dermatitis and </w:t>
      </w:r>
      <w:proofErr w:type="spellStart"/>
      <w:r w:rsidRPr="0041117C">
        <w:t>mucositis</w:t>
      </w:r>
      <w:proofErr w:type="spellEnd"/>
      <w:r w:rsidRPr="0041117C">
        <w:t xml:space="preserve"> as well as of late radiation-therapy-related events were slightly higher in patients receiving radiation therapy in combination with cetuximab th</w:t>
      </w:r>
      <w:r w:rsidR="00430A43">
        <w:t xml:space="preserve">an in </w:t>
      </w:r>
      <w:proofErr w:type="gramStart"/>
      <w:r w:rsidR="00430A43">
        <w:t xml:space="preserve">those receiving radiation </w:t>
      </w:r>
      <w:r w:rsidRPr="0041117C">
        <w:t>therapy</w:t>
      </w:r>
      <w:proofErr w:type="gramEnd"/>
      <w:r w:rsidRPr="0041117C">
        <w:t xml:space="preserve"> alone.</w:t>
      </w:r>
    </w:p>
    <w:p w:rsidR="00430A43" w:rsidRDefault="00430A43" w:rsidP="005F00B1"/>
    <w:p w:rsidR="00430A43" w:rsidRDefault="00430A43" w:rsidP="005F00B1">
      <w:pPr>
        <w:rPr>
          <w:bCs/>
        </w:rPr>
      </w:pPr>
      <w:r w:rsidRPr="0041117C">
        <w:rPr>
          <w:bCs/>
        </w:rPr>
        <w:t xml:space="preserve">In </w:t>
      </w:r>
      <w:proofErr w:type="spellStart"/>
      <w:r w:rsidRPr="0041117C">
        <w:rPr>
          <w:bCs/>
        </w:rPr>
        <w:t>squamous</w:t>
      </w:r>
      <w:proofErr w:type="spellEnd"/>
      <w:r w:rsidRPr="0041117C">
        <w:rPr>
          <w:bCs/>
        </w:rPr>
        <w:t xml:space="preserve"> cell cancer of the head and neck, use of cetuximab in combination with </w:t>
      </w:r>
      <w:proofErr w:type="spellStart"/>
      <w:r w:rsidRPr="0041117C">
        <w:rPr>
          <w:bCs/>
        </w:rPr>
        <w:t>chemoradiotherapy</w:t>
      </w:r>
      <w:proofErr w:type="spellEnd"/>
      <w:r w:rsidRPr="0041117C">
        <w:rPr>
          <w:bCs/>
        </w:rPr>
        <w:t xml:space="preserve"> has not been adequately investigated.  Therefore benefits and risks of this combination are not known.  </w:t>
      </w:r>
    </w:p>
    <w:p w:rsidR="00430A43" w:rsidRDefault="00430A43" w:rsidP="005F00B1">
      <w:pPr>
        <w:rPr>
          <w:bCs/>
        </w:rPr>
      </w:pPr>
    </w:p>
    <w:p w:rsidR="00430A43" w:rsidRDefault="00430A43" w:rsidP="005F00B1">
      <w:pPr>
        <w:rPr>
          <w:bCs/>
        </w:rPr>
      </w:pPr>
      <w:r w:rsidRPr="0041117C">
        <w:t>There is limited experience in the use of cetuximab in combination with radiation therapy in colorectal cancer.</w:t>
      </w:r>
    </w:p>
    <w:p w:rsidR="00430A43" w:rsidRDefault="00430A43" w:rsidP="005F00B1">
      <w:pPr>
        <w:rPr>
          <w:b/>
          <w:sz w:val="28"/>
          <w:szCs w:val="28"/>
        </w:rPr>
      </w:pPr>
    </w:p>
    <w:p w:rsidR="00430A43" w:rsidRDefault="00430A43" w:rsidP="005F00B1">
      <w:pPr>
        <w:rPr>
          <w:b/>
          <w:sz w:val="28"/>
          <w:szCs w:val="28"/>
        </w:rPr>
      </w:pPr>
      <w:r w:rsidRPr="0041117C">
        <w:rPr>
          <w:b/>
          <w:bCs/>
          <w:sz w:val="28"/>
        </w:rPr>
        <w:t>ADVERSE EFFECTS</w:t>
      </w:r>
    </w:p>
    <w:p w:rsidR="00430A43" w:rsidRDefault="00430A43" w:rsidP="005F00B1"/>
    <w:p w:rsidR="00430A43" w:rsidRDefault="00430A43" w:rsidP="005F00B1">
      <w:r w:rsidRPr="0041117C">
        <w:t>The following definitions apply to the frequency terminology used hereafter:</w:t>
      </w:r>
    </w:p>
    <w:p w:rsidR="00430A43" w:rsidRDefault="00430A43" w:rsidP="005F00B1"/>
    <w:p w:rsidR="00430A43" w:rsidRDefault="00430A43" w:rsidP="005F00B1">
      <w:r w:rsidRPr="0041117C">
        <w:rPr>
          <w:noProof/>
        </w:rPr>
        <w:t>Very common (</w:t>
      </w:r>
      <w:r w:rsidRPr="0041117C">
        <w:rPr>
          <w:noProof/>
        </w:rPr>
        <w:sym w:font="Symbol" w:char="F0B3"/>
      </w:r>
      <w:r w:rsidRPr="0041117C">
        <w:rPr>
          <w:noProof/>
        </w:rPr>
        <w:t xml:space="preserve"> 1/10)</w:t>
      </w:r>
    </w:p>
    <w:p w:rsidR="00430A43" w:rsidRDefault="00430A43" w:rsidP="005F00B1">
      <w:pPr>
        <w:rPr>
          <w:noProof/>
        </w:rPr>
      </w:pPr>
      <w:r w:rsidRPr="0041117C">
        <w:rPr>
          <w:noProof/>
        </w:rPr>
        <w:t>Common (</w:t>
      </w:r>
      <w:r w:rsidRPr="0041117C">
        <w:rPr>
          <w:noProof/>
        </w:rPr>
        <w:sym w:font="Symbol" w:char="F0B3"/>
      </w:r>
      <w:r w:rsidRPr="0041117C">
        <w:rPr>
          <w:noProof/>
        </w:rPr>
        <w:t xml:space="preserve"> 1/100 to &lt; 1/10)</w:t>
      </w:r>
    </w:p>
    <w:p w:rsidR="00430A43" w:rsidRDefault="00430A43" w:rsidP="005F00B1">
      <w:pPr>
        <w:rPr>
          <w:noProof/>
        </w:rPr>
      </w:pPr>
      <w:r w:rsidRPr="0041117C">
        <w:rPr>
          <w:noProof/>
        </w:rPr>
        <w:t>Uncommon (</w:t>
      </w:r>
      <w:r w:rsidRPr="0041117C">
        <w:rPr>
          <w:noProof/>
        </w:rPr>
        <w:sym w:font="Symbol" w:char="F0B3"/>
      </w:r>
      <w:r w:rsidRPr="0041117C">
        <w:rPr>
          <w:noProof/>
        </w:rPr>
        <w:t xml:space="preserve"> 1/1,000 to &lt; 1/100)</w:t>
      </w:r>
    </w:p>
    <w:p w:rsidR="00430A43" w:rsidRDefault="00430A43" w:rsidP="005F00B1">
      <w:pPr>
        <w:rPr>
          <w:noProof/>
        </w:rPr>
      </w:pPr>
      <w:r w:rsidRPr="0041117C">
        <w:rPr>
          <w:noProof/>
        </w:rPr>
        <w:t>Rare (</w:t>
      </w:r>
      <w:r w:rsidRPr="0041117C">
        <w:rPr>
          <w:noProof/>
        </w:rPr>
        <w:sym w:font="Symbol" w:char="F0B3"/>
      </w:r>
      <w:r w:rsidRPr="0041117C">
        <w:rPr>
          <w:noProof/>
        </w:rPr>
        <w:t xml:space="preserve"> 1/10,000 to &lt; 1/1,000)</w:t>
      </w:r>
    </w:p>
    <w:p w:rsidR="00430A43" w:rsidRDefault="00430A43" w:rsidP="005F00B1">
      <w:pPr>
        <w:rPr>
          <w:noProof/>
        </w:rPr>
      </w:pPr>
      <w:r w:rsidRPr="0041117C">
        <w:rPr>
          <w:noProof/>
        </w:rPr>
        <w:t>Very rare (&lt; 1/10,000)</w:t>
      </w:r>
    </w:p>
    <w:p w:rsidR="00430A43" w:rsidRDefault="008F213A" w:rsidP="005F00B1">
      <w:pPr>
        <w:rPr>
          <w:noProof/>
        </w:rPr>
      </w:pPr>
      <w:r w:rsidRPr="0041117C">
        <w:rPr>
          <w:noProof/>
        </w:rPr>
        <w:t>Frequency not known (cannot be estimated from the available data)</w:t>
      </w:r>
    </w:p>
    <w:p w:rsidR="008F213A" w:rsidRDefault="008F213A" w:rsidP="005F00B1">
      <w:pPr>
        <w:rPr>
          <w:noProof/>
        </w:rPr>
      </w:pPr>
    </w:p>
    <w:p w:rsidR="008F213A" w:rsidRDefault="008F213A" w:rsidP="005F00B1">
      <w:pPr>
        <w:rPr>
          <w:szCs w:val="18"/>
        </w:rPr>
      </w:pPr>
      <w:r w:rsidRPr="0041117C">
        <w:rPr>
          <w:szCs w:val="18"/>
        </w:rPr>
        <w:t>A</w:t>
      </w:r>
      <w:r>
        <w:rPr>
          <w:szCs w:val="18"/>
        </w:rPr>
        <w:t xml:space="preserve"> hash symbol</w:t>
      </w:r>
      <w:r w:rsidRPr="0041117C">
        <w:rPr>
          <w:szCs w:val="18"/>
        </w:rPr>
        <w:t xml:space="preserve"> (</w:t>
      </w:r>
      <w:r w:rsidRPr="009E5F49">
        <w:rPr>
          <w:szCs w:val="18"/>
          <w:vertAlign w:val="superscript"/>
        </w:rPr>
        <w:t>#</w:t>
      </w:r>
      <w:r w:rsidRPr="0041117C">
        <w:rPr>
          <w:szCs w:val="18"/>
        </w:rPr>
        <w:t>) indicates that additional information on the respective undesirable effect is provided below the table.</w:t>
      </w:r>
    </w:p>
    <w:p w:rsidR="008F213A" w:rsidRDefault="008F213A" w:rsidP="005F00B1">
      <w:pPr>
        <w:rPr>
          <w:szCs w:val="18"/>
        </w:rPr>
      </w:pPr>
    </w:p>
    <w:p w:rsidR="008F213A" w:rsidRPr="008F213A" w:rsidRDefault="008F213A" w:rsidP="005F00B1">
      <w:pPr>
        <w:rPr>
          <w:u w:val="single"/>
        </w:rPr>
      </w:pPr>
      <w:r w:rsidRPr="008F213A">
        <w:rPr>
          <w:u w:val="single"/>
        </w:rPr>
        <w:t>Nervous system disorders</w:t>
      </w:r>
    </w:p>
    <w:p w:rsidR="008F213A" w:rsidRDefault="008F213A" w:rsidP="005F00B1"/>
    <w:p w:rsidR="008F213A" w:rsidRDefault="008F213A" w:rsidP="005F00B1">
      <w:r w:rsidRPr="0041117C">
        <w:t>Common:</w:t>
      </w:r>
      <w:r w:rsidRPr="0041117C">
        <w:tab/>
      </w:r>
      <w:r w:rsidR="00A353D4">
        <w:tab/>
      </w:r>
      <w:r w:rsidRPr="0041117C">
        <w:t>Headache</w:t>
      </w:r>
    </w:p>
    <w:p w:rsidR="00A353D4" w:rsidRDefault="008F213A" w:rsidP="005F00B1">
      <w:r w:rsidRPr="0041117C">
        <w:t>Frequency</w:t>
      </w:r>
    </w:p>
    <w:p w:rsidR="008F213A" w:rsidRDefault="008F213A" w:rsidP="005F00B1">
      <w:proofErr w:type="gramStart"/>
      <w:r w:rsidRPr="0041117C">
        <w:lastRenderedPageBreak/>
        <w:t>not</w:t>
      </w:r>
      <w:proofErr w:type="gramEnd"/>
      <w:r w:rsidRPr="0041117C">
        <w:t xml:space="preserve"> known:</w:t>
      </w:r>
      <w:r w:rsidR="00A353D4">
        <w:tab/>
      </w:r>
      <w:r w:rsidR="00A353D4">
        <w:tab/>
      </w:r>
      <w:r w:rsidRPr="0041117C">
        <w:t>Aseptic meningitis</w:t>
      </w:r>
    </w:p>
    <w:p w:rsidR="00A353D4" w:rsidRDefault="00A353D4" w:rsidP="005F00B1"/>
    <w:p w:rsidR="00A353D4" w:rsidRPr="00A353D4" w:rsidRDefault="00A353D4" w:rsidP="005F00B1">
      <w:pPr>
        <w:rPr>
          <w:noProof/>
          <w:u w:val="single"/>
        </w:rPr>
      </w:pPr>
      <w:r w:rsidRPr="00A353D4">
        <w:rPr>
          <w:noProof/>
          <w:u w:val="single"/>
        </w:rPr>
        <w:t>Eye disorders</w:t>
      </w:r>
    </w:p>
    <w:p w:rsidR="00A353D4" w:rsidRDefault="00A353D4" w:rsidP="005F00B1">
      <w:pPr>
        <w:rPr>
          <w:noProof/>
        </w:rPr>
      </w:pPr>
    </w:p>
    <w:p w:rsidR="00A353D4" w:rsidRDefault="00A353D4" w:rsidP="005F00B1">
      <w:pPr>
        <w:rPr>
          <w:noProof/>
        </w:rPr>
      </w:pPr>
      <w:r w:rsidRPr="0041117C">
        <w:rPr>
          <w:noProof/>
        </w:rPr>
        <w:t>Common:</w:t>
      </w:r>
      <w:r w:rsidRPr="0041117C">
        <w:rPr>
          <w:noProof/>
        </w:rPr>
        <w:tab/>
      </w:r>
      <w:r>
        <w:rPr>
          <w:noProof/>
        </w:rPr>
        <w:tab/>
      </w:r>
      <w:r w:rsidRPr="0041117C">
        <w:t>Conjunctivitis</w:t>
      </w:r>
    </w:p>
    <w:p w:rsidR="00A353D4" w:rsidRDefault="00A353D4" w:rsidP="005F00B1">
      <w:pPr>
        <w:rPr>
          <w:noProof/>
        </w:rPr>
      </w:pPr>
      <w:r w:rsidRPr="0041117C">
        <w:t>Uncommon:</w:t>
      </w:r>
      <w:r w:rsidRPr="0041117C">
        <w:tab/>
      </w:r>
      <w:r>
        <w:tab/>
      </w:r>
      <w:proofErr w:type="spellStart"/>
      <w:r w:rsidRPr="0041117C">
        <w:t>Blepharitis</w:t>
      </w:r>
      <w:proofErr w:type="spellEnd"/>
      <w:r w:rsidRPr="0041117C">
        <w:t xml:space="preserve">, </w:t>
      </w:r>
      <w:proofErr w:type="spellStart"/>
      <w:r w:rsidRPr="0041117C">
        <w:t>keratitis</w:t>
      </w:r>
      <w:proofErr w:type="spellEnd"/>
    </w:p>
    <w:p w:rsidR="00A353D4" w:rsidRDefault="00A353D4" w:rsidP="005F00B1">
      <w:pPr>
        <w:rPr>
          <w:noProof/>
        </w:rPr>
      </w:pPr>
    </w:p>
    <w:p w:rsidR="00A353D4" w:rsidRDefault="00A353D4" w:rsidP="005F00B1">
      <w:pPr>
        <w:rPr>
          <w:noProof/>
          <w:u w:val="single"/>
        </w:rPr>
      </w:pPr>
      <w:r w:rsidRPr="0041117C">
        <w:rPr>
          <w:noProof/>
          <w:u w:val="single"/>
        </w:rPr>
        <w:t>Respiratory, thoracic and mediastinal disorders</w:t>
      </w:r>
    </w:p>
    <w:p w:rsidR="00A353D4" w:rsidRDefault="00A353D4" w:rsidP="005F00B1">
      <w:pPr>
        <w:rPr>
          <w:noProof/>
          <w:u w:val="single"/>
        </w:rPr>
      </w:pPr>
    </w:p>
    <w:p w:rsidR="00A353D4" w:rsidRDefault="00A353D4" w:rsidP="005F00B1">
      <w:pPr>
        <w:rPr>
          <w:noProof/>
          <w:u w:val="single"/>
        </w:rPr>
      </w:pPr>
      <w:r w:rsidRPr="0041117C">
        <w:rPr>
          <w:noProof/>
        </w:rPr>
        <w:t>Uncommon:</w:t>
      </w:r>
      <w:r w:rsidRPr="0041117C">
        <w:rPr>
          <w:noProof/>
        </w:rPr>
        <w:tab/>
      </w:r>
      <w:r>
        <w:rPr>
          <w:noProof/>
        </w:rPr>
        <w:tab/>
      </w:r>
      <w:r w:rsidRPr="0041117C">
        <w:rPr>
          <w:noProof/>
        </w:rPr>
        <w:t>Pulmonary embolism</w:t>
      </w:r>
    </w:p>
    <w:p w:rsidR="00A353D4" w:rsidRDefault="00A353D4" w:rsidP="005F00B1">
      <w:pPr>
        <w:rPr>
          <w:noProof/>
          <w:u w:val="single"/>
        </w:rPr>
      </w:pPr>
      <w:r>
        <w:rPr>
          <w:noProof/>
        </w:rPr>
        <w:t>Rare:</w:t>
      </w:r>
      <w:r>
        <w:rPr>
          <w:noProof/>
        </w:rPr>
        <w:tab/>
      </w:r>
      <w:r>
        <w:rPr>
          <w:noProof/>
        </w:rPr>
        <w:tab/>
      </w:r>
      <w:r>
        <w:rPr>
          <w:noProof/>
        </w:rPr>
        <w:tab/>
      </w:r>
      <w:r w:rsidRPr="0041117C">
        <w:rPr>
          <w:noProof/>
        </w:rPr>
        <w:t>Interstitial lung disease</w:t>
      </w:r>
    </w:p>
    <w:p w:rsidR="00A353D4" w:rsidRDefault="00A353D4" w:rsidP="005F00B1">
      <w:pPr>
        <w:rPr>
          <w:noProof/>
          <w:u w:val="single"/>
        </w:rPr>
      </w:pPr>
    </w:p>
    <w:p w:rsidR="00A353D4" w:rsidRPr="00A353D4" w:rsidRDefault="00A353D4" w:rsidP="005F00B1">
      <w:pPr>
        <w:rPr>
          <w:noProof/>
          <w:u w:val="single"/>
        </w:rPr>
      </w:pPr>
      <w:r w:rsidRPr="00A353D4">
        <w:rPr>
          <w:u w:val="single"/>
        </w:rPr>
        <w:t>Gastrointestinal disorders</w:t>
      </w:r>
    </w:p>
    <w:p w:rsidR="00A353D4" w:rsidRDefault="00A353D4" w:rsidP="005F00B1">
      <w:pPr>
        <w:rPr>
          <w:noProof/>
          <w:u w:val="single"/>
        </w:rPr>
      </w:pPr>
    </w:p>
    <w:p w:rsidR="00A353D4" w:rsidRDefault="00A353D4" w:rsidP="005F00B1">
      <w:r w:rsidRPr="0041117C">
        <w:t>Common:</w:t>
      </w:r>
      <w:r w:rsidRPr="0041117C">
        <w:tab/>
      </w:r>
      <w:r>
        <w:tab/>
      </w:r>
      <w:r w:rsidRPr="0041117C">
        <w:t>Diarrhoea</w:t>
      </w:r>
      <w:r w:rsidRPr="00650BA6">
        <w:t>,</w:t>
      </w:r>
      <w:r w:rsidRPr="00650BA6">
        <w:rPr>
          <w:szCs w:val="16"/>
        </w:rPr>
        <w:t xml:space="preserve"> </w:t>
      </w:r>
      <w:r w:rsidRPr="0041117C">
        <w:t>nausea, vomiting</w:t>
      </w:r>
    </w:p>
    <w:p w:rsidR="00A353D4" w:rsidRDefault="00A353D4" w:rsidP="005F00B1"/>
    <w:p w:rsidR="00A353D4" w:rsidRPr="00A353D4" w:rsidRDefault="00A353D4" w:rsidP="005F00B1">
      <w:pPr>
        <w:rPr>
          <w:u w:val="single"/>
        </w:rPr>
      </w:pPr>
      <w:r w:rsidRPr="00A353D4">
        <w:rPr>
          <w:noProof/>
          <w:u w:val="single"/>
        </w:rPr>
        <w:t>Skin and subcutaneous tissue disorders</w:t>
      </w:r>
    </w:p>
    <w:p w:rsidR="00A353D4" w:rsidRDefault="00A353D4" w:rsidP="005F00B1"/>
    <w:p w:rsidR="00A353D4" w:rsidRDefault="00A353D4" w:rsidP="005F00B1">
      <w:pPr>
        <w:rPr>
          <w:szCs w:val="18"/>
          <w:vertAlign w:val="superscript"/>
        </w:rPr>
      </w:pPr>
      <w:r w:rsidRPr="0041117C">
        <w:rPr>
          <w:noProof/>
        </w:rPr>
        <w:t>Very common:</w:t>
      </w:r>
      <w:r w:rsidRPr="0041117C">
        <w:rPr>
          <w:noProof/>
        </w:rPr>
        <w:tab/>
        <w:t>Skin reactions</w:t>
      </w:r>
      <w:r w:rsidRPr="009E5F49">
        <w:rPr>
          <w:szCs w:val="18"/>
          <w:vertAlign w:val="superscript"/>
        </w:rPr>
        <w:t>#</w:t>
      </w:r>
    </w:p>
    <w:p w:rsidR="00A353D4" w:rsidRDefault="00A353D4" w:rsidP="00A353D4">
      <w:pPr>
        <w:ind w:left="2160" w:hanging="2160"/>
        <w:rPr>
          <w:szCs w:val="18"/>
          <w:vertAlign w:val="superscript"/>
        </w:rPr>
      </w:pPr>
      <w:r w:rsidRPr="0041117C">
        <w:t>Common:</w:t>
      </w:r>
      <w:r w:rsidRPr="0041117C">
        <w:tab/>
        <w:t xml:space="preserve">Hand-foot syndrome in combination with </w:t>
      </w:r>
      <w:proofErr w:type="spellStart"/>
      <w:r>
        <w:t>fluoropyrimidines</w:t>
      </w:r>
      <w:proofErr w:type="spellEnd"/>
      <w:r w:rsidRPr="0041117C">
        <w:t xml:space="preserve"> (see </w:t>
      </w:r>
      <w:r>
        <w:t>INTERACTIONS WITH OTHER MEDICINES</w:t>
      </w:r>
      <w:r w:rsidRPr="0041117C">
        <w:t>)</w:t>
      </w:r>
    </w:p>
    <w:p w:rsidR="00A353D4" w:rsidRDefault="00A353D4" w:rsidP="005F00B1">
      <w:pPr>
        <w:rPr>
          <w:szCs w:val="18"/>
          <w:vertAlign w:val="superscript"/>
        </w:rPr>
      </w:pPr>
      <w:r w:rsidRPr="0041117C">
        <w:t>Very rare:</w:t>
      </w:r>
      <w:r w:rsidRPr="0041117C">
        <w:tab/>
      </w:r>
      <w:r>
        <w:tab/>
      </w:r>
      <w:r w:rsidRPr="0041117C">
        <w:t xml:space="preserve">Stevens-Johnson syndrome/toxic epidermal </w:t>
      </w:r>
      <w:proofErr w:type="spellStart"/>
      <w:r w:rsidRPr="0041117C">
        <w:t>necrolysis</w:t>
      </w:r>
      <w:proofErr w:type="spellEnd"/>
    </w:p>
    <w:p w:rsidR="00A353D4" w:rsidRDefault="00A353D4" w:rsidP="005F00B1">
      <w:r w:rsidRPr="0041117C">
        <w:t>Frequency</w:t>
      </w:r>
    </w:p>
    <w:p w:rsidR="00A353D4" w:rsidRDefault="00A353D4" w:rsidP="005F00B1">
      <w:pPr>
        <w:rPr>
          <w:szCs w:val="18"/>
          <w:vertAlign w:val="superscript"/>
        </w:rPr>
      </w:pPr>
      <w:proofErr w:type="gramStart"/>
      <w:r w:rsidRPr="0041117C">
        <w:t>not</w:t>
      </w:r>
      <w:proofErr w:type="gramEnd"/>
      <w:r w:rsidRPr="0041117C">
        <w:t xml:space="preserve"> known:</w:t>
      </w:r>
      <w:r w:rsidRPr="0041117C">
        <w:tab/>
      </w:r>
      <w:r>
        <w:tab/>
      </w:r>
      <w:proofErr w:type="spellStart"/>
      <w:r w:rsidRPr="0041117C">
        <w:t>Superinfection</w:t>
      </w:r>
      <w:proofErr w:type="spellEnd"/>
      <w:r w:rsidRPr="0041117C">
        <w:t xml:space="preserve"> of skin lesions</w:t>
      </w:r>
      <w:r w:rsidRPr="009E5F49">
        <w:rPr>
          <w:szCs w:val="18"/>
          <w:vertAlign w:val="superscript"/>
        </w:rPr>
        <w:t>#</w:t>
      </w:r>
    </w:p>
    <w:p w:rsidR="00A353D4" w:rsidRPr="00A353D4" w:rsidRDefault="00A353D4" w:rsidP="005F00B1">
      <w:pPr>
        <w:rPr>
          <w:szCs w:val="18"/>
        </w:rPr>
      </w:pPr>
    </w:p>
    <w:p w:rsidR="00A353D4" w:rsidRPr="00A353D4" w:rsidRDefault="00A353D4" w:rsidP="005F00B1">
      <w:pPr>
        <w:rPr>
          <w:szCs w:val="18"/>
        </w:rPr>
      </w:pPr>
    </w:p>
    <w:p w:rsidR="00A353D4" w:rsidRPr="00A353D4" w:rsidRDefault="00A353D4" w:rsidP="005F00B1">
      <w:pPr>
        <w:rPr>
          <w:szCs w:val="18"/>
          <w:u w:val="single"/>
        </w:rPr>
      </w:pPr>
      <w:r w:rsidRPr="00A353D4">
        <w:rPr>
          <w:noProof/>
          <w:u w:val="single"/>
        </w:rPr>
        <w:t>Metabolism and nutrition disorders</w:t>
      </w:r>
    </w:p>
    <w:p w:rsidR="00A353D4" w:rsidRDefault="00A353D4" w:rsidP="005F00B1"/>
    <w:p w:rsidR="00A353D4" w:rsidRDefault="00A353D4" w:rsidP="005F00B1">
      <w:pPr>
        <w:rPr>
          <w:noProof/>
        </w:rPr>
      </w:pPr>
      <w:r w:rsidRPr="0041117C">
        <w:t>Very common:</w:t>
      </w:r>
      <w:r w:rsidRPr="0041117C">
        <w:tab/>
      </w:r>
      <w:r w:rsidRPr="0041117C">
        <w:rPr>
          <w:noProof/>
        </w:rPr>
        <w:t>Hypomagnesaemia (see PRECAUTIONS)</w:t>
      </w:r>
    </w:p>
    <w:p w:rsidR="00A353D4" w:rsidRDefault="00A353D4" w:rsidP="00A353D4">
      <w:pPr>
        <w:ind w:left="2160" w:hanging="2160"/>
        <w:rPr>
          <w:noProof/>
        </w:rPr>
      </w:pPr>
      <w:r w:rsidRPr="0041117C">
        <w:rPr>
          <w:noProof/>
        </w:rPr>
        <w:t>Common:</w:t>
      </w:r>
      <w:r w:rsidRPr="0041117C">
        <w:rPr>
          <w:noProof/>
        </w:rPr>
        <w:tab/>
        <w:t>Dehydration, in particular, secondary to diarrhoea or mucositis; hypocalcaemia (see PRECAUTIONS); anorexia which may lead to weight decrease; hypokalaemia (in combination with irinotecan or platinum/fluorouracil combinations)</w:t>
      </w:r>
    </w:p>
    <w:p w:rsidR="00A353D4" w:rsidRDefault="00A353D4" w:rsidP="005F00B1">
      <w:pPr>
        <w:rPr>
          <w:noProof/>
        </w:rPr>
      </w:pPr>
    </w:p>
    <w:p w:rsidR="00A353D4" w:rsidRPr="00A353D4" w:rsidRDefault="00A353D4" w:rsidP="005F00B1">
      <w:pPr>
        <w:rPr>
          <w:noProof/>
          <w:u w:val="single"/>
        </w:rPr>
      </w:pPr>
      <w:r w:rsidRPr="00A353D4">
        <w:rPr>
          <w:noProof/>
          <w:u w:val="single"/>
        </w:rPr>
        <w:t>Vascular disorders</w:t>
      </w:r>
    </w:p>
    <w:p w:rsidR="00A353D4" w:rsidRDefault="00A353D4" w:rsidP="005F00B1">
      <w:pPr>
        <w:rPr>
          <w:noProof/>
        </w:rPr>
      </w:pPr>
    </w:p>
    <w:p w:rsidR="00A353D4" w:rsidRDefault="00A353D4" w:rsidP="005F00B1">
      <w:pPr>
        <w:rPr>
          <w:noProof/>
        </w:rPr>
      </w:pPr>
      <w:r w:rsidRPr="0041117C">
        <w:rPr>
          <w:noProof/>
        </w:rPr>
        <w:t>Uncommon:</w:t>
      </w:r>
      <w:r w:rsidRPr="0041117C">
        <w:rPr>
          <w:noProof/>
        </w:rPr>
        <w:tab/>
      </w:r>
      <w:r w:rsidR="009F5DFA">
        <w:rPr>
          <w:noProof/>
        </w:rPr>
        <w:tab/>
      </w:r>
      <w:r w:rsidRPr="0041117C">
        <w:rPr>
          <w:noProof/>
        </w:rPr>
        <w:t>Deep vein thrombosis</w:t>
      </w:r>
    </w:p>
    <w:p w:rsidR="009F5DFA" w:rsidRDefault="009F5DFA" w:rsidP="005F00B1">
      <w:pPr>
        <w:rPr>
          <w:noProof/>
        </w:rPr>
      </w:pPr>
    </w:p>
    <w:p w:rsidR="009F5DFA" w:rsidRPr="009F5DFA" w:rsidRDefault="009F5DFA" w:rsidP="005F00B1">
      <w:pPr>
        <w:rPr>
          <w:noProof/>
          <w:u w:val="single"/>
        </w:rPr>
      </w:pPr>
      <w:r w:rsidRPr="009F5DFA">
        <w:rPr>
          <w:noProof/>
          <w:u w:val="single"/>
        </w:rPr>
        <w:t>General disorders and administration site conditions</w:t>
      </w:r>
    </w:p>
    <w:p w:rsidR="009F5DFA" w:rsidRDefault="009F5DFA" w:rsidP="005F00B1">
      <w:pPr>
        <w:rPr>
          <w:noProof/>
        </w:rPr>
      </w:pPr>
    </w:p>
    <w:p w:rsidR="009F5DFA" w:rsidRDefault="009F5DFA" w:rsidP="009F5DFA">
      <w:pPr>
        <w:ind w:left="2160" w:hanging="2160"/>
        <w:rPr>
          <w:noProof/>
        </w:rPr>
      </w:pPr>
      <w:r w:rsidRPr="0041117C">
        <w:t xml:space="preserve">Very </w:t>
      </w:r>
      <w:r>
        <w:t>common:</w:t>
      </w:r>
      <w:r>
        <w:tab/>
      </w:r>
      <w:r w:rsidRPr="0041117C">
        <w:t>Mild or moderate infusion-related reactions</w:t>
      </w:r>
      <w:r w:rsidRPr="009E5F49">
        <w:rPr>
          <w:szCs w:val="18"/>
          <w:vertAlign w:val="superscript"/>
        </w:rPr>
        <w:t>#</w:t>
      </w:r>
      <w:r w:rsidRPr="0041117C">
        <w:t xml:space="preserve">; </w:t>
      </w:r>
      <w:proofErr w:type="spellStart"/>
      <w:r w:rsidRPr="0041117C">
        <w:t>mucositis</w:t>
      </w:r>
      <w:proofErr w:type="spellEnd"/>
      <w:r w:rsidRPr="00D10428">
        <w:t>, in some cases severe*.</w:t>
      </w:r>
      <w:r>
        <w:t xml:space="preserve"> </w:t>
      </w:r>
      <w:proofErr w:type="spellStart"/>
      <w:r>
        <w:t>Mucositis</w:t>
      </w:r>
      <w:proofErr w:type="spellEnd"/>
      <w:r w:rsidRPr="0041117C">
        <w:t xml:space="preserve"> may lead to </w:t>
      </w:r>
      <w:proofErr w:type="spellStart"/>
      <w:r w:rsidRPr="0041117C">
        <w:rPr>
          <w:szCs w:val="18"/>
          <w:lang w:eastAsia="de-DE"/>
        </w:rPr>
        <w:t>epistaxis</w:t>
      </w:r>
      <w:proofErr w:type="spellEnd"/>
      <w:r>
        <w:rPr>
          <w:szCs w:val="18"/>
          <w:lang w:eastAsia="de-DE"/>
        </w:rPr>
        <w:t>.</w:t>
      </w:r>
    </w:p>
    <w:p w:rsidR="009F5DFA" w:rsidRDefault="009F5DFA" w:rsidP="005F00B1">
      <w:pPr>
        <w:rPr>
          <w:noProof/>
        </w:rPr>
      </w:pPr>
    </w:p>
    <w:p w:rsidR="009F5DFA" w:rsidRDefault="009F5DFA" w:rsidP="009F5DFA">
      <w:pPr>
        <w:ind w:left="2160" w:hanging="2160"/>
      </w:pPr>
      <w:r w:rsidRPr="0041117C">
        <w:t>Common:</w:t>
      </w:r>
      <w:r w:rsidRPr="0041117C">
        <w:tab/>
        <w:t>Severe infusion-related reactions</w:t>
      </w:r>
      <w:r w:rsidRPr="009E5F49">
        <w:rPr>
          <w:szCs w:val="18"/>
          <w:vertAlign w:val="superscript"/>
        </w:rPr>
        <w:t>#</w:t>
      </w:r>
      <w:r w:rsidRPr="0041117C">
        <w:t xml:space="preserve">, fatigue; increased infections in combination with platinum-based regimens and increased radiation-related effects in combination with radiotherapy (see </w:t>
      </w:r>
      <w:r>
        <w:t>INTERACTIONS WITH OTHER MEDICINES</w:t>
      </w:r>
      <w:r w:rsidRPr="0041117C">
        <w:t>)</w:t>
      </w:r>
    </w:p>
    <w:p w:rsidR="009F5DFA" w:rsidRDefault="009F5DFA" w:rsidP="009F5DFA">
      <w:pPr>
        <w:ind w:left="2160" w:hanging="2160"/>
      </w:pPr>
    </w:p>
    <w:p w:rsidR="009F5DFA" w:rsidRDefault="009F5DFA" w:rsidP="009F5DFA">
      <w:pPr>
        <w:ind w:left="2160" w:hanging="2160"/>
        <w:rPr>
          <w:noProof/>
          <w:u w:val="single"/>
        </w:rPr>
      </w:pPr>
      <w:r w:rsidRPr="009F5DFA">
        <w:rPr>
          <w:noProof/>
          <w:u w:val="single"/>
        </w:rPr>
        <w:t>Hepatobiliary disorders</w:t>
      </w:r>
    </w:p>
    <w:p w:rsidR="009F5DFA" w:rsidRDefault="009F5DFA" w:rsidP="009F5DFA">
      <w:pPr>
        <w:ind w:left="2160" w:hanging="2160"/>
        <w:rPr>
          <w:noProof/>
          <w:u w:val="single"/>
        </w:rPr>
      </w:pPr>
    </w:p>
    <w:p w:rsidR="009F5DFA" w:rsidRDefault="009F5DFA" w:rsidP="009F5DFA">
      <w:pPr>
        <w:ind w:left="2160" w:hanging="2160"/>
      </w:pPr>
      <w:r w:rsidRPr="0041117C">
        <w:t>Very common:</w:t>
      </w:r>
      <w:r w:rsidRPr="0041117C">
        <w:tab/>
        <w:t xml:space="preserve">Increase in liver enzyme levels (AST, ALT, </w:t>
      </w:r>
      <w:proofErr w:type="gramStart"/>
      <w:r w:rsidRPr="0041117C">
        <w:t>AP</w:t>
      </w:r>
      <w:proofErr w:type="gramEnd"/>
      <w:r w:rsidRPr="0041117C">
        <w:t>)</w:t>
      </w:r>
    </w:p>
    <w:p w:rsidR="00532ACE" w:rsidRDefault="00532ACE" w:rsidP="009F5DFA">
      <w:pPr>
        <w:ind w:left="2160" w:hanging="2160"/>
        <w:rPr>
          <w:u w:val="single"/>
        </w:rPr>
      </w:pPr>
    </w:p>
    <w:p w:rsidR="009F5DFA" w:rsidRDefault="009F5DFA" w:rsidP="009F5DFA">
      <w:pPr>
        <w:ind w:left="2160" w:hanging="2160"/>
        <w:rPr>
          <w:u w:val="single"/>
        </w:rPr>
      </w:pPr>
      <w:r w:rsidRPr="0041117C">
        <w:rPr>
          <w:u w:val="single"/>
        </w:rPr>
        <w:t>Cardiac disorders</w:t>
      </w:r>
    </w:p>
    <w:p w:rsidR="009F5DFA" w:rsidRDefault="009F5DFA" w:rsidP="009F5DFA">
      <w:pPr>
        <w:ind w:left="2160" w:hanging="2160"/>
      </w:pPr>
    </w:p>
    <w:p w:rsidR="009F5DFA" w:rsidRDefault="009F5DFA" w:rsidP="009F5DFA">
      <w:pPr>
        <w:ind w:left="2160" w:hanging="2160"/>
      </w:pPr>
      <w:r w:rsidRPr="0041117C">
        <w:t>Uncommon:</w:t>
      </w:r>
      <w:r w:rsidRPr="0041117C">
        <w:tab/>
      </w:r>
      <w:proofErr w:type="spellStart"/>
      <w:r w:rsidRPr="0041117C">
        <w:t>Ischaemia</w:t>
      </w:r>
      <w:proofErr w:type="spellEnd"/>
      <w:r w:rsidRPr="004770DF">
        <w:t xml:space="preserve"> including myocardial infarction and congestive heart failure </w:t>
      </w:r>
      <w:r w:rsidRPr="0041117C">
        <w:t xml:space="preserve">in combination with </w:t>
      </w:r>
      <w:proofErr w:type="spellStart"/>
      <w:r w:rsidRPr="0041117C">
        <w:t>fluoropyrimidines</w:t>
      </w:r>
      <w:proofErr w:type="spellEnd"/>
      <w:r w:rsidRPr="0041117C">
        <w:t xml:space="preserve">, including </w:t>
      </w:r>
      <w:proofErr w:type="spellStart"/>
      <w:r w:rsidRPr="0041117C">
        <w:t>capecitabine</w:t>
      </w:r>
      <w:proofErr w:type="spellEnd"/>
      <w:r w:rsidRPr="0041117C">
        <w:t xml:space="preserve"> (see </w:t>
      </w:r>
      <w:r>
        <w:t>INTERACTIONS WITH OTHER MEDICINES</w:t>
      </w:r>
      <w:r w:rsidRPr="0041117C">
        <w:t>)</w:t>
      </w:r>
    </w:p>
    <w:p w:rsidR="009F5DFA" w:rsidRDefault="009F5DFA" w:rsidP="009F5DFA">
      <w:pPr>
        <w:ind w:left="2160" w:hanging="2160"/>
      </w:pPr>
    </w:p>
    <w:p w:rsidR="009F5DFA" w:rsidRDefault="00676915" w:rsidP="009F5DFA">
      <w:pPr>
        <w:ind w:left="2160" w:hanging="2160"/>
        <w:rPr>
          <w:u w:val="single"/>
        </w:rPr>
      </w:pPr>
      <w:r w:rsidRPr="0041117C">
        <w:rPr>
          <w:u w:val="single"/>
        </w:rPr>
        <w:t>Haematological disorders</w:t>
      </w:r>
    </w:p>
    <w:p w:rsidR="00676915" w:rsidRDefault="00676915" w:rsidP="009F5DFA">
      <w:pPr>
        <w:ind w:left="2160" w:hanging="2160"/>
        <w:rPr>
          <w:u w:val="single"/>
        </w:rPr>
      </w:pPr>
    </w:p>
    <w:p w:rsidR="00676915" w:rsidRDefault="00676915" w:rsidP="009F5DFA">
      <w:pPr>
        <w:ind w:left="2160" w:hanging="2160"/>
      </w:pPr>
      <w:r w:rsidRPr="0041117C">
        <w:t>Frequency</w:t>
      </w:r>
    </w:p>
    <w:p w:rsidR="00676915" w:rsidRDefault="00676915" w:rsidP="009F5DFA">
      <w:pPr>
        <w:ind w:left="2160" w:hanging="2160"/>
        <w:rPr>
          <w:u w:val="single"/>
        </w:rPr>
      </w:pPr>
      <w:proofErr w:type="gramStart"/>
      <w:r w:rsidRPr="0041117C">
        <w:t>not</w:t>
      </w:r>
      <w:proofErr w:type="gramEnd"/>
      <w:r w:rsidRPr="0041117C">
        <w:t xml:space="preserve"> known:</w:t>
      </w:r>
      <w:r w:rsidRPr="0041117C">
        <w:rPr>
          <w:vertAlign w:val="superscript"/>
        </w:rPr>
        <w:t>1</w:t>
      </w:r>
      <w:r w:rsidRPr="0041117C">
        <w:tab/>
        <w:t xml:space="preserve">Increased severe </w:t>
      </w:r>
      <w:proofErr w:type="spellStart"/>
      <w:r w:rsidRPr="0041117C">
        <w:t>neutropenia</w:t>
      </w:r>
      <w:proofErr w:type="spellEnd"/>
      <w:r w:rsidRPr="0041117C">
        <w:t xml:space="preserve"> and </w:t>
      </w:r>
      <w:proofErr w:type="spellStart"/>
      <w:r w:rsidRPr="0041117C">
        <w:t>leukopenia</w:t>
      </w:r>
      <w:proofErr w:type="spellEnd"/>
      <w:r w:rsidRPr="0041117C">
        <w:t xml:space="preserve"> in combination with platinum-based chemotherapy which may lead to a higher rate of infectious complications such as febrile </w:t>
      </w:r>
      <w:proofErr w:type="spellStart"/>
      <w:r w:rsidRPr="0041117C">
        <w:t>neutropenia</w:t>
      </w:r>
      <w:proofErr w:type="spellEnd"/>
      <w:r w:rsidRPr="0041117C">
        <w:t xml:space="preserve">, pneumonia and sepsis (see </w:t>
      </w:r>
      <w:r>
        <w:t>INTERACTIONS WITH OTHER MEDICINES</w:t>
      </w:r>
      <w:r w:rsidRPr="0041117C">
        <w:t>)</w:t>
      </w:r>
    </w:p>
    <w:p w:rsidR="00676915" w:rsidRDefault="00676915" w:rsidP="009F5DFA">
      <w:pPr>
        <w:ind w:left="2160" w:hanging="2160"/>
        <w:rPr>
          <w:u w:val="single"/>
        </w:rPr>
      </w:pPr>
    </w:p>
    <w:p w:rsidR="00676915" w:rsidRDefault="00676915" w:rsidP="00676915">
      <w:pPr>
        <w:rPr>
          <w:noProof/>
          <w:sz w:val="20"/>
        </w:rPr>
      </w:pPr>
      <w:r w:rsidRPr="00676915">
        <w:rPr>
          <w:noProof/>
          <w:sz w:val="20"/>
          <w:vertAlign w:val="superscript"/>
        </w:rPr>
        <w:t>1</w:t>
      </w:r>
      <w:r w:rsidRPr="00676915">
        <w:rPr>
          <w:noProof/>
          <w:sz w:val="20"/>
        </w:rPr>
        <w:t xml:space="preserve"> Not to be estimated from the available data set in patients with recurrent and/or metastatic squamous cell cancer of the head and neck because patient numbers were too small to provide a meaningful frequency estimation.</w:t>
      </w:r>
    </w:p>
    <w:p w:rsidR="00676915" w:rsidRPr="00676915" w:rsidRDefault="00676915" w:rsidP="00676915">
      <w:pPr>
        <w:rPr>
          <w:noProof/>
        </w:rPr>
      </w:pPr>
    </w:p>
    <w:p w:rsidR="00676915" w:rsidRPr="00676915" w:rsidRDefault="00676915" w:rsidP="00676915">
      <w:pPr>
        <w:rPr>
          <w:b/>
          <w:noProof/>
          <w:sz w:val="20"/>
        </w:rPr>
      </w:pPr>
      <w:r w:rsidRPr="00676915">
        <w:rPr>
          <w:b/>
        </w:rPr>
        <w:t>Additional Information</w:t>
      </w:r>
    </w:p>
    <w:p w:rsidR="00676915" w:rsidRDefault="00676915" w:rsidP="00676915">
      <w:pPr>
        <w:rPr>
          <w:noProof/>
          <w:sz w:val="20"/>
        </w:rPr>
      </w:pPr>
    </w:p>
    <w:p w:rsidR="00676915" w:rsidRDefault="00676915" w:rsidP="00676915">
      <w:r w:rsidRPr="0041117C">
        <w:t>Overall, no clinically relevant difference between genders was observed.</w:t>
      </w:r>
    </w:p>
    <w:p w:rsidR="00676915" w:rsidRDefault="00676915" w:rsidP="00676915"/>
    <w:p w:rsidR="00676915" w:rsidRPr="00676915" w:rsidRDefault="00676915" w:rsidP="00676915">
      <w:pPr>
        <w:rPr>
          <w:u w:val="single"/>
        </w:rPr>
      </w:pPr>
      <w:r w:rsidRPr="00676915">
        <w:rPr>
          <w:u w:val="single"/>
        </w:rPr>
        <w:t>Infusion-related reactions</w:t>
      </w:r>
    </w:p>
    <w:p w:rsidR="00676915" w:rsidRDefault="00676915" w:rsidP="00676915">
      <w:pPr>
        <w:rPr>
          <w:noProof/>
          <w:u w:val="single"/>
        </w:rPr>
      </w:pPr>
    </w:p>
    <w:p w:rsidR="00676915" w:rsidRDefault="00676915" w:rsidP="00676915">
      <w:r w:rsidRPr="0041117C">
        <w:t>Mild or moderate infusion-related reactions are very common comprising symptoms such as fever, chills, dizziness, or dyspnoea that occur in a close temporal relationship mainly to the first cetuximab infusion</w:t>
      </w:r>
      <w:r>
        <w:t>.</w:t>
      </w:r>
    </w:p>
    <w:p w:rsidR="00676915" w:rsidRDefault="00676915" w:rsidP="00676915"/>
    <w:p w:rsidR="00676915" w:rsidRDefault="00676915" w:rsidP="00676915">
      <w:r w:rsidRPr="0041117C">
        <w:t xml:space="preserve">Severe infusion-related reactions may commonly occur, in rare cases with fatal outcome. They usually develop during or within 1 hour of the initial cetuximab infusion, but may occur after several hours or with subsequent infusions. Although the underlying mechanism has not been identified, some of these reactions may be </w:t>
      </w:r>
      <w:proofErr w:type="spellStart"/>
      <w:proofErr w:type="gramStart"/>
      <w:r w:rsidRPr="0041117C">
        <w:t>anaphylactoid</w:t>
      </w:r>
      <w:proofErr w:type="spellEnd"/>
      <w:r w:rsidRPr="0041117C">
        <w:t>/anaphylactic</w:t>
      </w:r>
      <w:proofErr w:type="gramEnd"/>
      <w:r w:rsidRPr="0041117C">
        <w:t xml:space="preserve"> in nature and may include symptoms such as </w:t>
      </w:r>
      <w:proofErr w:type="spellStart"/>
      <w:r w:rsidRPr="0041117C">
        <w:t>bronchospasm</w:t>
      </w:r>
      <w:proofErr w:type="spellEnd"/>
      <w:r w:rsidRPr="0041117C">
        <w:t xml:space="preserve">, </w:t>
      </w:r>
      <w:proofErr w:type="spellStart"/>
      <w:r w:rsidRPr="0041117C">
        <w:t>urticaria</w:t>
      </w:r>
      <w:proofErr w:type="spellEnd"/>
      <w:r w:rsidRPr="0041117C">
        <w:t>, increase or decrease in blood pressure, loss of consciousness or shock. In rare cases, angina pectoris, myocardial infarction or cardiac arrest has been observed.</w:t>
      </w:r>
    </w:p>
    <w:p w:rsidR="00676915" w:rsidRDefault="00676915" w:rsidP="00676915"/>
    <w:p w:rsidR="00676915" w:rsidRDefault="00676915" w:rsidP="00676915">
      <w:r w:rsidRPr="0041117C">
        <w:t>For clinical management of infusion-related reactions, see PRECAUTIONS.</w:t>
      </w:r>
    </w:p>
    <w:p w:rsidR="00676915" w:rsidRDefault="00676915" w:rsidP="00676915"/>
    <w:p w:rsidR="00676915" w:rsidRDefault="00676915" w:rsidP="00676915">
      <w:pPr>
        <w:rPr>
          <w:u w:val="single"/>
        </w:rPr>
      </w:pPr>
      <w:r w:rsidRPr="0041117C">
        <w:rPr>
          <w:u w:val="single"/>
        </w:rPr>
        <w:t>Skin reactions</w:t>
      </w:r>
    </w:p>
    <w:p w:rsidR="00676915" w:rsidRDefault="00676915" w:rsidP="00676915">
      <w:pPr>
        <w:rPr>
          <w:u w:val="single"/>
        </w:rPr>
      </w:pPr>
    </w:p>
    <w:p w:rsidR="00676915" w:rsidRDefault="00FF3501" w:rsidP="00676915">
      <w:pPr>
        <w:rPr>
          <w:u w:val="single"/>
        </w:rPr>
      </w:pPr>
      <w:r w:rsidRPr="0041117C">
        <w:t xml:space="preserve">Skin reactions may develop in more than 80% of patients and mainly present as acne-like rash and/or, less frequently, as </w:t>
      </w:r>
      <w:proofErr w:type="spellStart"/>
      <w:r w:rsidRPr="0041117C">
        <w:t>pruritus</w:t>
      </w:r>
      <w:proofErr w:type="spellEnd"/>
      <w:r w:rsidRPr="0041117C">
        <w:t xml:space="preserve">, dry skin, desquamation, </w:t>
      </w:r>
      <w:proofErr w:type="spellStart"/>
      <w:r w:rsidRPr="0041117C">
        <w:t>hypertrichosis</w:t>
      </w:r>
      <w:proofErr w:type="spellEnd"/>
      <w:r w:rsidRPr="0041117C">
        <w:t xml:space="preserve">, or nail disorders (e.g. </w:t>
      </w:r>
      <w:proofErr w:type="spellStart"/>
      <w:r w:rsidRPr="0041117C">
        <w:t>paronychia</w:t>
      </w:r>
      <w:proofErr w:type="spellEnd"/>
      <w:r w:rsidRPr="0041117C">
        <w:t xml:space="preserve">). Approximately 15% of the skin reactions are severe, including single cases of skin necrosis. The majority of skin reactions develop within the first three weeks of therapy. They generally resolve, without </w:t>
      </w:r>
      <w:proofErr w:type="spellStart"/>
      <w:r w:rsidRPr="0041117C">
        <w:t>sequelae</w:t>
      </w:r>
      <w:proofErr w:type="spellEnd"/>
      <w:r w:rsidRPr="0041117C">
        <w:t xml:space="preserve">, over time following cessation of treatment </w:t>
      </w:r>
      <w:r w:rsidRPr="0041117C">
        <w:lastRenderedPageBreak/>
        <w:t xml:space="preserve">if the recommended adjustments in dose regimen are followed (see DOSAGE AND ADMINISTRATION section). </w:t>
      </w:r>
    </w:p>
    <w:p w:rsidR="00676915" w:rsidRDefault="00676915" w:rsidP="00676915"/>
    <w:p w:rsidR="00676915" w:rsidRDefault="00FF3501" w:rsidP="00676915">
      <w:r w:rsidRPr="0041117C">
        <w:t xml:space="preserve">Skin lesions induced by cetuximab may predispose patients to </w:t>
      </w:r>
      <w:proofErr w:type="spellStart"/>
      <w:r w:rsidRPr="0041117C">
        <w:t>superinfections</w:t>
      </w:r>
      <w:proofErr w:type="spellEnd"/>
      <w:r w:rsidRPr="0041117C">
        <w:t xml:space="preserve"> (e.g. with </w:t>
      </w:r>
      <w:r w:rsidRPr="0041117C">
        <w:rPr>
          <w:i/>
          <w:iCs/>
        </w:rPr>
        <w:t xml:space="preserve">S. </w:t>
      </w:r>
      <w:proofErr w:type="spellStart"/>
      <w:r w:rsidRPr="0041117C">
        <w:rPr>
          <w:i/>
          <w:iCs/>
        </w:rPr>
        <w:t>aureus</w:t>
      </w:r>
      <w:proofErr w:type="spellEnd"/>
      <w:r w:rsidRPr="0041117C">
        <w:t xml:space="preserve">), which may lead to subsequent complications, e.g. </w:t>
      </w:r>
      <w:proofErr w:type="spellStart"/>
      <w:r w:rsidRPr="0041117C">
        <w:t>cellulitis</w:t>
      </w:r>
      <w:proofErr w:type="spellEnd"/>
      <w:r w:rsidRPr="0041117C">
        <w:t>, erysipelas</w:t>
      </w:r>
      <w:r w:rsidRPr="008D1853">
        <w:rPr>
          <w:szCs w:val="24"/>
        </w:rPr>
        <w:t>, or</w:t>
      </w:r>
      <w:r w:rsidRPr="0041117C">
        <w:t>, potentially with fatal outcome, staphylococcal scalded skin syndrome</w:t>
      </w:r>
      <w:r>
        <w:t xml:space="preserve">, </w:t>
      </w:r>
      <w:r w:rsidRPr="008D1853">
        <w:rPr>
          <w:szCs w:val="24"/>
          <w:lang w:eastAsia="en-AU"/>
        </w:rPr>
        <w:t>necrotising fasciitis</w:t>
      </w:r>
      <w:r>
        <w:rPr>
          <w:i/>
        </w:rPr>
        <w:t>*</w:t>
      </w:r>
      <w:r w:rsidRPr="0041117C">
        <w:t xml:space="preserve"> or sepsis.</w:t>
      </w:r>
    </w:p>
    <w:p w:rsidR="00FF3501" w:rsidRDefault="00FF3501" w:rsidP="00676915">
      <w:pPr>
        <w:rPr>
          <w:b/>
          <w:u w:val="single"/>
        </w:rPr>
      </w:pPr>
    </w:p>
    <w:p w:rsidR="00676915" w:rsidRPr="00FF3501" w:rsidRDefault="00FF3501" w:rsidP="00676915">
      <w:pPr>
        <w:rPr>
          <w:u w:val="single"/>
        </w:rPr>
      </w:pPr>
      <w:r w:rsidRPr="00FF3501">
        <w:rPr>
          <w:u w:val="single"/>
        </w:rPr>
        <w:t>Combination treatment</w:t>
      </w:r>
    </w:p>
    <w:p w:rsidR="00FF3501" w:rsidRDefault="00FF3501" w:rsidP="00676915">
      <w:pPr>
        <w:rPr>
          <w:b/>
          <w:u w:val="single"/>
        </w:rPr>
      </w:pPr>
    </w:p>
    <w:p w:rsidR="00FF3501" w:rsidRDefault="00FF3501" w:rsidP="00676915">
      <w:pPr>
        <w:rPr>
          <w:b/>
          <w:u w:val="single"/>
        </w:rPr>
      </w:pPr>
      <w:r w:rsidRPr="0041117C">
        <w:t>When cetuximab is used in combination with chemotherapeutic agents</w:t>
      </w:r>
      <w:r>
        <w:t xml:space="preserve"> or radiation therapy</w:t>
      </w:r>
      <w:r w:rsidRPr="0041117C">
        <w:t xml:space="preserve">, also refer to </w:t>
      </w:r>
      <w:r>
        <w:t>the agents’</w:t>
      </w:r>
      <w:r w:rsidRPr="0041117C">
        <w:t xml:space="preserve"> respective product information</w:t>
      </w:r>
      <w:r>
        <w:t xml:space="preserve"> and to the INTERACTIONS WITH OTHER MEDICINES section</w:t>
      </w:r>
      <w:r w:rsidRPr="0041117C">
        <w:t>.</w:t>
      </w:r>
    </w:p>
    <w:p w:rsidR="00FF3501" w:rsidRDefault="00FF3501" w:rsidP="00676915">
      <w:pPr>
        <w:rPr>
          <w:b/>
          <w:u w:val="single"/>
        </w:rPr>
      </w:pPr>
    </w:p>
    <w:p w:rsidR="00FF3501" w:rsidRDefault="00FF3501" w:rsidP="00676915">
      <w:pPr>
        <w:rPr>
          <w:b/>
          <w:u w:val="single"/>
        </w:rPr>
      </w:pPr>
      <w:r w:rsidRPr="0041117C">
        <w:rPr>
          <w:b/>
          <w:bCs/>
          <w:sz w:val="28"/>
        </w:rPr>
        <w:t>DOSAGE AND ADMINISTRATION</w:t>
      </w:r>
    </w:p>
    <w:p w:rsidR="00FF3501" w:rsidRDefault="00FF3501" w:rsidP="00676915">
      <w:pPr>
        <w:rPr>
          <w:b/>
          <w:u w:val="single"/>
        </w:rPr>
      </w:pPr>
    </w:p>
    <w:p w:rsidR="00FF3501" w:rsidRDefault="00FF3501" w:rsidP="00676915">
      <w:r w:rsidRPr="0041117C">
        <w:t xml:space="preserve">Erbitux must be administered under the supervision of a physician experienced in the use of </w:t>
      </w:r>
      <w:proofErr w:type="spellStart"/>
      <w:r w:rsidRPr="0041117C">
        <w:t>antineoplastic</w:t>
      </w:r>
      <w:proofErr w:type="spellEnd"/>
      <w:r w:rsidRPr="0041117C">
        <w:t xml:space="preserve"> agents. Close monitoring is required during the infusion and for at least 1 hour after the end of the infusion. Availability of resuscitation equipment must be ensured.</w:t>
      </w:r>
    </w:p>
    <w:p w:rsidR="00FF3501" w:rsidRDefault="00FF3501" w:rsidP="00676915"/>
    <w:p w:rsidR="00FF3501" w:rsidRDefault="00FF3501" w:rsidP="00676915">
      <w:r w:rsidRPr="0041117C">
        <w:t>Prior to the first infusion, p</w:t>
      </w:r>
      <w:r w:rsidRPr="0041117C">
        <w:rPr>
          <w:spacing w:val="-3"/>
          <w:lang w:eastAsia="de-DE"/>
        </w:rPr>
        <w:t>atients</w:t>
      </w:r>
      <w:r w:rsidRPr="0041117C">
        <w:t xml:space="preserve"> must receive a premedication with an antihistamine and a corticosteroid. Similar premedication is recommended prior to all subsequent infusions.</w:t>
      </w:r>
    </w:p>
    <w:p w:rsidR="00FF3501" w:rsidRDefault="00FF3501" w:rsidP="00676915"/>
    <w:p w:rsidR="00FF3501" w:rsidRDefault="00FF3501" w:rsidP="00676915">
      <w:r w:rsidRPr="0041117C">
        <w:t>Erbitux is administered once a week for all indications. The initial dose is 400 mg cetuximab per m</w:t>
      </w:r>
      <w:r w:rsidRPr="0041117C">
        <w:rPr>
          <w:vertAlign w:val="superscript"/>
        </w:rPr>
        <w:t>2</w:t>
      </w:r>
      <w:r w:rsidRPr="0041117C">
        <w:t xml:space="preserve"> body surface area. The subsequent weekly doses are 250 mg/m</w:t>
      </w:r>
      <w:r w:rsidRPr="0041117C">
        <w:rPr>
          <w:vertAlign w:val="superscript"/>
        </w:rPr>
        <w:t xml:space="preserve">2 </w:t>
      </w:r>
      <w:r w:rsidRPr="0041117C">
        <w:t>each.</w:t>
      </w:r>
    </w:p>
    <w:p w:rsidR="00FF3501" w:rsidRDefault="00FF3501" w:rsidP="00676915">
      <w:pPr>
        <w:rPr>
          <w:b/>
          <w:u w:val="single"/>
        </w:rPr>
      </w:pPr>
    </w:p>
    <w:p w:rsidR="00FF3501" w:rsidRDefault="00FF3501" w:rsidP="00676915">
      <w:r w:rsidRPr="0041117C">
        <w:t>Chemotherapy must not be administered earlier than 1 hour after the end of the cetuximab infusion.</w:t>
      </w:r>
    </w:p>
    <w:p w:rsidR="00FF3501" w:rsidRDefault="00FF3501" w:rsidP="00676915"/>
    <w:p w:rsidR="00FF3501" w:rsidRDefault="00FF3501" w:rsidP="00676915">
      <w:r w:rsidRPr="0041117C">
        <w:rPr>
          <w:u w:val="single"/>
        </w:rPr>
        <w:t>Colorectal cancer</w:t>
      </w:r>
    </w:p>
    <w:p w:rsidR="00FF3501" w:rsidRDefault="00FF3501" w:rsidP="00676915"/>
    <w:p w:rsidR="00FF3501" w:rsidRDefault="00FF3501" w:rsidP="00676915">
      <w:r w:rsidRPr="0041117C">
        <w:t xml:space="preserve">Detection of </w:t>
      </w:r>
      <w:r w:rsidRPr="0041117C">
        <w:rPr>
          <w:i/>
        </w:rPr>
        <w:t>K-RAS</w:t>
      </w:r>
      <w:r w:rsidRPr="0041117C">
        <w:t xml:space="preserve"> mutational status must be performed prior to the first cetuximab infusion.  It is important that a validated test method is used by an experienced laboratory (see CLINICAL TRIALS and PRECAUTIONS sections for further details).</w:t>
      </w:r>
    </w:p>
    <w:p w:rsidR="00FF3501" w:rsidRDefault="00FF3501" w:rsidP="00676915"/>
    <w:p w:rsidR="00FF3501" w:rsidRDefault="00FF3501" w:rsidP="00676915">
      <w:r w:rsidRPr="0041117C">
        <w:t xml:space="preserve">In patients with metastatic colorectal cancer, cetuximab is used as </w:t>
      </w:r>
      <w:proofErr w:type="spellStart"/>
      <w:r w:rsidRPr="0041117C">
        <w:t>monotherapy</w:t>
      </w:r>
      <w:proofErr w:type="spellEnd"/>
      <w:r w:rsidRPr="0041117C">
        <w:t xml:space="preserve"> or in combination with chemotherapy. It is recommended that cetuximab treatment be continued until progression of the underlying disease.</w:t>
      </w:r>
    </w:p>
    <w:p w:rsidR="00FF3501" w:rsidRDefault="00FF3501" w:rsidP="00676915"/>
    <w:p w:rsidR="00FF3501" w:rsidRDefault="00FF3501" w:rsidP="00676915">
      <w:proofErr w:type="spellStart"/>
      <w:r w:rsidRPr="0041117C">
        <w:rPr>
          <w:u w:val="single"/>
        </w:rPr>
        <w:t>Squamous</w:t>
      </w:r>
      <w:proofErr w:type="spellEnd"/>
      <w:r w:rsidRPr="0041117C">
        <w:rPr>
          <w:u w:val="single"/>
        </w:rPr>
        <w:t xml:space="preserve"> cell cancer of the head and neck</w:t>
      </w:r>
    </w:p>
    <w:p w:rsidR="00FF3501" w:rsidRDefault="00FF3501" w:rsidP="00676915"/>
    <w:p w:rsidR="00FF3501" w:rsidRDefault="00FF3501" w:rsidP="00676915">
      <w:r w:rsidRPr="0041117C">
        <w:t xml:space="preserve">In patients with locally advanced </w:t>
      </w:r>
      <w:proofErr w:type="spellStart"/>
      <w:r w:rsidRPr="0041117C">
        <w:t>squamous</w:t>
      </w:r>
      <w:proofErr w:type="spellEnd"/>
      <w:r w:rsidRPr="0041117C">
        <w:t xml:space="preserve"> cell cancer of the head and neck, cetuximab is used concomitantly with radiation therapy. It is recommended to start cetuximab therapy one week before radiation therapy and to continue cetuximab therapy until the end of the radiation therapy period (see CLINICAL TRIALS section for further details).</w:t>
      </w:r>
    </w:p>
    <w:p w:rsidR="00FF3501" w:rsidRDefault="00FF3501" w:rsidP="00676915"/>
    <w:p w:rsidR="00FF3501" w:rsidRDefault="00FF3501" w:rsidP="00676915">
      <w:r w:rsidRPr="0041117C">
        <w:t xml:space="preserve">In patients with recurrent and/or metastatic </w:t>
      </w:r>
      <w:proofErr w:type="spellStart"/>
      <w:r w:rsidRPr="0041117C">
        <w:t>squamous</w:t>
      </w:r>
      <w:proofErr w:type="spellEnd"/>
      <w:r w:rsidRPr="0041117C">
        <w:t xml:space="preserve"> cell cancer of the head and neck, cetuximab is used in combination with platinum-based chemotherapy followed by cetuximab as maintenance therapy until disease progression. </w:t>
      </w:r>
    </w:p>
    <w:p w:rsidR="00FF3501" w:rsidRDefault="00FF3501">
      <w:pPr>
        <w:rPr>
          <w:b/>
          <w:bCs/>
        </w:rPr>
      </w:pPr>
      <w:r>
        <w:rPr>
          <w:b/>
          <w:bCs/>
        </w:rPr>
        <w:br w:type="page"/>
      </w:r>
    </w:p>
    <w:p w:rsidR="00FF3501" w:rsidRDefault="00FF3501" w:rsidP="00676915">
      <w:r w:rsidRPr="0041117C">
        <w:rPr>
          <w:b/>
          <w:bCs/>
        </w:rPr>
        <w:lastRenderedPageBreak/>
        <w:t>Administration</w:t>
      </w:r>
    </w:p>
    <w:p w:rsidR="00FF3501" w:rsidRDefault="00FF3501" w:rsidP="00676915"/>
    <w:p w:rsidR="00FF3501" w:rsidRDefault="00FF3501" w:rsidP="00676915">
      <w:r w:rsidRPr="0041117C">
        <w:t>Erbitux 5 mg/mL is administered intravenously with an i</w:t>
      </w:r>
      <w:r>
        <w:t xml:space="preserve">nfusion pump, gravity drip or </w:t>
      </w:r>
      <w:proofErr w:type="gramStart"/>
      <w:r>
        <w:t xml:space="preserve">a </w:t>
      </w:r>
      <w:r w:rsidRPr="0041117C">
        <w:t>syringe pump</w:t>
      </w:r>
      <w:proofErr w:type="gramEnd"/>
      <w:r w:rsidRPr="0041117C">
        <w:t xml:space="preserve"> (see Instructions for Use and Handling).</w:t>
      </w:r>
    </w:p>
    <w:p w:rsidR="00FF3501" w:rsidRDefault="00FF3501" w:rsidP="00676915"/>
    <w:p w:rsidR="00FF3501" w:rsidRDefault="00DD1844" w:rsidP="00676915">
      <w:r w:rsidRPr="0041117C">
        <w:t>For the initial dose, the recommended infusion period is 120 minutes. For the subsequent weekly doses the recommended infusion period is 60 minutes. The maximum infusion rate must not exceed 10 mg/min.</w:t>
      </w:r>
    </w:p>
    <w:p w:rsidR="00DD1844" w:rsidRDefault="00DD1844" w:rsidP="00676915"/>
    <w:p w:rsidR="00DD1844" w:rsidRDefault="00DD1844" w:rsidP="00676915">
      <w:r w:rsidRPr="0041117C">
        <w:rPr>
          <w:b/>
          <w:bCs/>
        </w:rPr>
        <w:t>Special Recommendations</w:t>
      </w:r>
    </w:p>
    <w:p w:rsidR="00DD1844" w:rsidRDefault="00DD1844" w:rsidP="00676915"/>
    <w:p w:rsidR="00DD1844" w:rsidRDefault="00DD1844" w:rsidP="00676915">
      <w:r w:rsidRPr="0041117C">
        <w:t>The following measures are to be taken if a patient experiences infusion- related or skin reactions:</w:t>
      </w:r>
    </w:p>
    <w:p w:rsidR="00FF3501" w:rsidRDefault="00FF3501" w:rsidP="00676915"/>
    <w:p w:rsidR="00DD1844" w:rsidRDefault="00DD1844" w:rsidP="00676915">
      <w:r w:rsidRPr="0041117C">
        <w:rPr>
          <w:u w:val="single"/>
        </w:rPr>
        <w:t>Infusion-related reactions</w:t>
      </w:r>
    </w:p>
    <w:p w:rsidR="00DD1844" w:rsidRDefault="00DD1844" w:rsidP="00676915"/>
    <w:p w:rsidR="00DD1844" w:rsidRDefault="00DD1844" w:rsidP="00676915">
      <w:r w:rsidRPr="0041117C">
        <w:t>Mild or moderate (symptoms include fever, chills, dizziness or dyspnoea):  infusion rate should be decreased.  It is recommended that the infusion rate remain at the lower value for all subsequent infusions.</w:t>
      </w:r>
    </w:p>
    <w:p w:rsidR="00DD1844" w:rsidRDefault="00DD1844" w:rsidP="00676915"/>
    <w:p w:rsidR="00DD1844" w:rsidRDefault="00DD1844" w:rsidP="00676915">
      <w:r w:rsidRPr="0041117C">
        <w:t xml:space="preserve">Severe (symptoms include rapid onset of airway obstruction, </w:t>
      </w:r>
      <w:proofErr w:type="spellStart"/>
      <w:r w:rsidRPr="0041117C">
        <w:t>urticaria</w:t>
      </w:r>
      <w:proofErr w:type="spellEnd"/>
      <w:r w:rsidRPr="0041117C">
        <w:t>, increase or decrease of blood pressure, loss of consciousness or shock; in rare cases, angina pectoris, myocardial infarction or cardiac arrest have also been observed):  immediate and permanent discontinuation of cetuximab therapy.  Emergency treatment may be necessary.</w:t>
      </w:r>
    </w:p>
    <w:p w:rsidR="00DD1844" w:rsidRDefault="00DD1844" w:rsidP="00676915"/>
    <w:p w:rsidR="00DD1844" w:rsidRDefault="00DD1844" w:rsidP="00676915">
      <w:r w:rsidRPr="0041117C">
        <w:rPr>
          <w:u w:val="single"/>
        </w:rPr>
        <w:t>Skin reactions</w:t>
      </w:r>
    </w:p>
    <w:p w:rsidR="00DD1844" w:rsidRDefault="00DD1844" w:rsidP="00676915"/>
    <w:p w:rsidR="00DD1844" w:rsidRDefault="00DD1844" w:rsidP="00676915">
      <w:r w:rsidRPr="0041117C">
        <w:t>First occurrence of severe skin reaction (</w:t>
      </w:r>
      <w:r>
        <w:t xml:space="preserve">≥ </w:t>
      </w:r>
      <w:r w:rsidRPr="0041117C">
        <w:t>grade 3</w:t>
      </w:r>
      <w:r w:rsidRPr="00D10428">
        <w:t>; US National Cancer Institute – Common Terminology Criteria for Adverse Events, CTCAE</w:t>
      </w:r>
      <w:r w:rsidRPr="0041117C">
        <w:t>):  cetuximab should be ceased for up to 2 consecutive weeks.  If the reaction has resolved to grade 2 when the next infusion is due, treatment may be resumed without any change in dose level.</w:t>
      </w:r>
    </w:p>
    <w:p w:rsidR="00DD1844" w:rsidRDefault="00DD1844" w:rsidP="00676915"/>
    <w:p w:rsidR="00DD1844" w:rsidRDefault="00DD1844" w:rsidP="00676915">
      <w:r w:rsidRPr="0041117C">
        <w:t xml:space="preserve">If a second </w:t>
      </w:r>
      <w:r>
        <w:t xml:space="preserve">severe </w:t>
      </w:r>
      <w:r w:rsidRPr="0041117C">
        <w:t>skin reaction occurs, cease cetuximab for up to 2 consecutive weeks.  If the skin reaction has resolved to grade 2 when the next infusion is due, treatment may be resumed at a lower dose of 200 mg/m</w:t>
      </w:r>
      <w:r w:rsidRPr="0041117C">
        <w:rPr>
          <w:vertAlign w:val="superscript"/>
        </w:rPr>
        <w:t>2</w:t>
      </w:r>
      <w:r w:rsidRPr="0041117C">
        <w:t xml:space="preserve"> body surface area.</w:t>
      </w:r>
    </w:p>
    <w:p w:rsidR="00DD1844" w:rsidRDefault="00DD1844" w:rsidP="00676915"/>
    <w:p w:rsidR="00DD1844" w:rsidRDefault="00FC6D50" w:rsidP="00676915">
      <w:r w:rsidRPr="0041117C">
        <w:t xml:space="preserve">If a third </w:t>
      </w:r>
      <w:r>
        <w:t>severe</w:t>
      </w:r>
      <w:r w:rsidRPr="0041117C">
        <w:t xml:space="preserve"> skin reaction occurs at the lower dose, cease cetuximab for up to 2 consecutive weeks.  If the skin reaction has resolved to grade 2 when the next infusion is due, treatment may be resumed at a lower dose of 150 mg/m</w:t>
      </w:r>
      <w:r w:rsidRPr="0041117C">
        <w:rPr>
          <w:vertAlign w:val="superscript"/>
        </w:rPr>
        <w:t>2</w:t>
      </w:r>
      <w:r w:rsidRPr="0041117C">
        <w:t xml:space="preserve"> body surface area.</w:t>
      </w:r>
    </w:p>
    <w:p w:rsidR="00DD1844" w:rsidRDefault="00DD1844" w:rsidP="00676915"/>
    <w:p w:rsidR="00DD1844" w:rsidRDefault="00FC6D50" w:rsidP="00676915">
      <w:r w:rsidRPr="0041117C">
        <w:t xml:space="preserve">If a fourth </w:t>
      </w:r>
      <w:r>
        <w:t>severe</w:t>
      </w:r>
      <w:r w:rsidRPr="0041117C">
        <w:t xml:space="preserve"> skin reaction occurs at 150 mg/m</w:t>
      </w:r>
      <w:r w:rsidRPr="0041117C">
        <w:rPr>
          <w:vertAlign w:val="superscript"/>
        </w:rPr>
        <w:t>2</w:t>
      </w:r>
      <w:r w:rsidRPr="0041117C">
        <w:t xml:space="preserve"> body surface area or the skin reaction fails to resolve to grade 2 during interruption of treatment, permanent discontinuation of cetuximab is required.</w:t>
      </w:r>
    </w:p>
    <w:p w:rsidR="00FC6D50" w:rsidRDefault="00FC6D50" w:rsidP="00676915"/>
    <w:p w:rsidR="00FC6D50" w:rsidRDefault="00FC6D50" w:rsidP="00676915">
      <w:r w:rsidRPr="0041117C">
        <w:rPr>
          <w:b/>
          <w:bCs/>
        </w:rPr>
        <w:t>Combination Treatment</w:t>
      </w:r>
    </w:p>
    <w:p w:rsidR="00DD1844" w:rsidRDefault="00DD1844" w:rsidP="00676915"/>
    <w:p w:rsidR="00DD1844" w:rsidRDefault="00FC6D50" w:rsidP="00676915">
      <w:r w:rsidRPr="0041117C">
        <w:t xml:space="preserve">For the dosage or recommended dose modifications of concomitantly used chemotherapeutic agents, refer to the product information for these products. They </w:t>
      </w:r>
      <w:r>
        <w:t>must</w:t>
      </w:r>
      <w:r w:rsidRPr="0041117C">
        <w:t xml:space="preserve"> not be administered earlier than 1 hour after the end of the cetuximab infusion.</w:t>
      </w:r>
    </w:p>
    <w:p w:rsidR="00FC6D50" w:rsidRDefault="00FC6D50" w:rsidP="00676915"/>
    <w:p w:rsidR="00FC6D50" w:rsidRDefault="00FC6D50" w:rsidP="00676915">
      <w:r w:rsidRPr="0041117C">
        <w:rPr>
          <w:b/>
          <w:bCs/>
          <w:sz w:val="28"/>
        </w:rPr>
        <w:t>OVERDOSAGE</w:t>
      </w:r>
    </w:p>
    <w:p w:rsidR="00FC6D50" w:rsidRDefault="00FC6D50" w:rsidP="00676915"/>
    <w:p w:rsidR="00FC6D50" w:rsidRDefault="00FC6D50" w:rsidP="00676915">
      <w:r w:rsidRPr="0041117C">
        <w:t>There is limited experience with single doses higher than 400 mg/m</w:t>
      </w:r>
      <w:r w:rsidRPr="0041117C">
        <w:rPr>
          <w:vertAlign w:val="superscript"/>
        </w:rPr>
        <w:t>2</w:t>
      </w:r>
      <w:r w:rsidRPr="0041117C">
        <w:t xml:space="preserve"> body surface area to date or weekly administration of doses higher than 250 mg/m</w:t>
      </w:r>
      <w:r w:rsidRPr="0041117C">
        <w:rPr>
          <w:vertAlign w:val="superscript"/>
        </w:rPr>
        <w:t>2</w:t>
      </w:r>
      <w:r w:rsidRPr="0041117C">
        <w:t xml:space="preserve"> body surface area. In clinical studies with doses up to 700 mg/m</w:t>
      </w:r>
      <w:r w:rsidRPr="0041117C">
        <w:rPr>
          <w:vertAlign w:val="superscript"/>
        </w:rPr>
        <w:t>2</w:t>
      </w:r>
      <w:r w:rsidRPr="0041117C">
        <w:t xml:space="preserve"> given every two weeks the safety profile was consistent with that described in the ADVERSE EFFECTS section.</w:t>
      </w:r>
    </w:p>
    <w:p w:rsidR="00FC6D50" w:rsidRDefault="00FC6D50" w:rsidP="00676915"/>
    <w:p w:rsidR="00FC6D50" w:rsidRDefault="00FC6D50" w:rsidP="00676915">
      <w:r w:rsidRPr="0041117C">
        <w:t>Contact the Poisons Information Centre in Australia on 131 126 or in New Zealand on 0800 764 766 for advice on management.</w:t>
      </w:r>
    </w:p>
    <w:p w:rsidR="00FC6D50" w:rsidRDefault="00FC6D50" w:rsidP="00676915"/>
    <w:p w:rsidR="00FC6D50" w:rsidRDefault="00FC6D50" w:rsidP="00676915">
      <w:r w:rsidRPr="0041117C">
        <w:rPr>
          <w:b/>
          <w:bCs/>
          <w:sz w:val="28"/>
        </w:rPr>
        <w:t>PRESENTATION AND STORAGE CONDITIONS</w:t>
      </w:r>
    </w:p>
    <w:p w:rsidR="00FC6D50" w:rsidRDefault="00FC6D50" w:rsidP="00676915"/>
    <w:p w:rsidR="00FC6D50" w:rsidRDefault="00FC6D50" w:rsidP="00676915">
      <w:r w:rsidRPr="0041117C">
        <w:t xml:space="preserve">Erbitux 5 mg/mL is a sterile, preservative-free solution for intravenous infusion containing 5 mg/mL of cetuximab. It is supplied in clear, colourless glass vials with a </w:t>
      </w:r>
      <w:proofErr w:type="spellStart"/>
      <w:r w:rsidRPr="0041117C">
        <w:t>flurotec</w:t>
      </w:r>
      <w:proofErr w:type="spellEnd"/>
      <w:r w:rsidRPr="0041117C">
        <w:t xml:space="preserve">-coated </w:t>
      </w:r>
      <w:proofErr w:type="spellStart"/>
      <w:r w:rsidRPr="0041117C">
        <w:t>bromobutyl</w:t>
      </w:r>
      <w:proofErr w:type="spellEnd"/>
      <w:r w:rsidRPr="0041117C">
        <w:t xml:space="preserve"> rubber stopper and aluminium/polypropylene seal containing 20 </w:t>
      </w:r>
      <w:proofErr w:type="spellStart"/>
      <w:r w:rsidRPr="0041117C">
        <w:t>mL</w:t>
      </w:r>
      <w:proofErr w:type="spellEnd"/>
      <w:r>
        <w:t xml:space="preserve"> </w:t>
      </w:r>
      <w:r w:rsidRPr="0041117C">
        <w:t xml:space="preserve">or 100 </w:t>
      </w:r>
      <w:proofErr w:type="spellStart"/>
      <w:r w:rsidRPr="0041117C">
        <w:t>mL.</w:t>
      </w:r>
      <w:proofErr w:type="spellEnd"/>
      <w:r w:rsidRPr="0041117C">
        <w:t xml:space="preserve"> Each pack contains 1 single use vial.</w:t>
      </w:r>
    </w:p>
    <w:p w:rsidR="00FC6D50" w:rsidRDefault="00FC6D50" w:rsidP="00676915"/>
    <w:p w:rsidR="00FC6D50" w:rsidRDefault="00FC6D50" w:rsidP="00676915">
      <w:r>
        <w:t xml:space="preserve">Vials: </w:t>
      </w:r>
      <w:r w:rsidRPr="0041117C">
        <w:t>Store in a refrigerator (2</w:t>
      </w:r>
      <w:r w:rsidRPr="0041117C">
        <w:sym w:font="Symbol" w:char="F0B0"/>
      </w:r>
      <w:r w:rsidRPr="0041117C">
        <w:t>C to 8</w:t>
      </w:r>
      <w:r w:rsidRPr="0041117C">
        <w:sym w:font="Symbol" w:char="F0B0"/>
      </w:r>
      <w:r w:rsidRPr="0041117C">
        <w:t>C). Do not freeze.</w:t>
      </w:r>
    </w:p>
    <w:p w:rsidR="00FC6D50" w:rsidRDefault="00FC6D50" w:rsidP="00676915"/>
    <w:p w:rsidR="00FC6D50" w:rsidRDefault="00FC6D50" w:rsidP="00FC6D50">
      <w:r w:rsidRPr="0041117C">
        <w:t>Chemical and physical in-use stability of Erbitux 5 mg/mL has been demonstrated for 48 hours at 25°C if the solution is prepared as described in the Instructions for Use and Handling section below.</w:t>
      </w:r>
    </w:p>
    <w:p w:rsidR="00FC6D50" w:rsidRDefault="00FC6D50" w:rsidP="00FC6D50"/>
    <w:p w:rsidR="00FC6D50" w:rsidRDefault="00FC6D50" w:rsidP="00FC6D50">
      <w:r w:rsidRPr="0041117C">
        <w:t>In-use storage times and conditions are the responsibility of the user. To reduce microbiological hazard, use as soon as practicable after preparation. If</w:t>
      </w:r>
      <w:r>
        <w:t xml:space="preserve"> not used immediately and</w:t>
      </w:r>
      <w:r w:rsidRPr="0041117C">
        <w:t xml:space="preserve"> storage is necessary, hold at 2</w:t>
      </w:r>
      <w:r w:rsidRPr="0041117C">
        <w:sym w:font="Symbol" w:char="F0B0"/>
      </w:r>
      <w:r w:rsidRPr="0041117C">
        <w:t>C to 8</w:t>
      </w:r>
      <w:r w:rsidRPr="0041117C">
        <w:sym w:font="Symbol" w:char="F0B0"/>
      </w:r>
      <w:r w:rsidRPr="0041117C">
        <w:t xml:space="preserve">C for not more than 24 hours.  </w:t>
      </w:r>
    </w:p>
    <w:p w:rsidR="00FC6D50" w:rsidRDefault="00FC6D50" w:rsidP="00676915"/>
    <w:p w:rsidR="00FC6D50" w:rsidRPr="00626AE4" w:rsidRDefault="00626AE4" w:rsidP="00676915">
      <w:pPr>
        <w:rPr>
          <w:b/>
        </w:rPr>
      </w:pPr>
      <w:r w:rsidRPr="00626AE4">
        <w:rPr>
          <w:b/>
        </w:rPr>
        <w:t>Instructions for Use and Handling</w:t>
      </w:r>
    </w:p>
    <w:p w:rsidR="00FC6D50" w:rsidRDefault="00FC6D50" w:rsidP="00676915"/>
    <w:p w:rsidR="00FC6D50" w:rsidRDefault="00626AE4" w:rsidP="00676915">
      <w:r w:rsidRPr="0041117C">
        <w:t>Erbitux 5 mg/mL may be administered via a gravity drip, an infusion pump or a syringe pump method. A separate infusion line must be used for the infusion, and the line must be flushed with sterile sodium chloride 9 mg/mL (0.9%) solution for injection at the end of infusion.</w:t>
      </w:r>
    </w:p>
    <w:p w:rsidR="00626AE4" w:rsidRDefault="00626AE4" w:rsidP="00676915"/>
    <w:p w:rsidR="00626AE4" w:rsidRDefault="00626AE4" w:rsidP="00676915">
      <w:r w:rsidRPr="0041117C">
        <w:t>Product is for single use in one patient only.  Discard any residue.</w:t>
      </w:r>
    </w:p>
    <w:p w:rsidR="00626AE4" w:rsidRDefault="00626AE4" w:rsidP="00676915"/>
    <w:p w:rsidR="00626AE4" w:rsidRDefault="00626AE4" w:rsidP="00676915">
      <w:r w:rsidRPr="0041117C">
        <w:t>Erbitux 5 mg/mL is compatible with:</w:t>
      </w:r>
    </w:p>
    <w:p w:rsidR="00626AE4" w:rsidRDefault="00626AE4" w:rsidP="00626AE4">
      <w:pPr>
        <w:pStyle w:val="ListParagraph"/>
        <w:numPr>
          <w:ilvl w:val="0"/>
          <w:numId w:val="23"/>
        </w:numPr>
      </w:pPr>
      <w:r w:rsidRPr="0041117C">
        <w:t>Polyethylene (PE), ethyl vinyl acetate (EVA) or polyvinyl chloride (PVC) bags,</w:t>
      </w:r>
    </w:p>
    <w:p w:rsidR="00626AE4" w:rsidRDefault="00626AE4" w:rsidP="00626AE4">
      <w:pPr>
        <w:pStyle w:val="ListParagraph"/>
        <w:numPr>
          <w:ilvl w:val="0"/>
          <w:numId w:val="23"/>
        </w:numPr>
      </w:pPr>
      <w:r w:rsidRPr="0041117C">
        <w:t xml:space="preserve">PE, polyurethane (PUR), EVA,  </w:t>
      </w:r>
      <w:proofErr w:type="spellStart"/>
      <w:r w:rsidRPr="0041117C">
        <w:t>polyolefine</w:t>
      </w:r>
      <w:proofErr w:type="spellEnd"/>
      <w:r w:rsidRPr="0041117C">
        <w:t xml:space="preserve"> thermoplastic (TP) or PVC infusion sets,</w:t>
      </w:r>
    </w:p>
    <w:p w:rsidR="00626AE4" w:rsidRDefault="00626AE4" w:rsidP="00626AE4">
      <w:pPr>
        <w:pStyle w:val="ListParagraph"/>
        <w:numPr>
          <w:ilvl w:val="0"/>
          <w:numId w:val="23"/>
        </w:numPr>
      </w:pPr>
      <w:r w:rsidRPr="00626AE4">
        <w:rPr>
          <w:lang w:val="sv-SE"/>
        </w:rPr>
        <w:t>Polypropylene (PP) syringes for syringe pump.</w:t>
      </w:r>
    </w:p>
    <w:p w:rsidR="00626AE4" w:rsidRDefault="00626AE4" w:rsidP="00676915"/>
    <w:p w:rsidR="00626AE4" w:rsidRDefault="00626AE4" w:rsidP="00676915">
      <w:r w:rsidRPr="0041117C">
        <w:t xml:space="preserve">Since Erbitux does not contain any antimicrobial preservative or </w:t>
      </w:r>
      <w:proofErr w:type="spellStart"/>
      <w:r w:rsidRPr="0041117C">
        <w:t>bacteriostatic</w:t>
      </w:r>
      <w:proofErr w:type="spellEnd"/>
      <w:r w:rsidRPr="0041117C">
        <w:t xml:space="preserve"> agent, care must be taken to ensure aseptic handling when preparing the infusion.</w:t>
      </w:r>
    </w:p>
    <w:p w:rsidR="00626AE4" w:rsidRDefault="00626AE4" w:rsidP="00676915"/>
    <w:p w:rsidR="00626AE4" w:rsidRDefault="00626AE4" w:rsidP="00676915">
      <w:r w:rsidRPr="0041117C">
        <w:t>Erbitux 5 mg/mL must be prepared as follows:</w:t>
      </w:r>
    </w:p>
    <w:p w:rsidR="00626AE4" w:rsidRDefault="00626AE4" w:rsidP="00676915"/>
    <w:p w:rsidR="00626AE4" w:rsidRDefault="00626AE4" w:rsidP="00676915">
      <w:r w:rsidRPr="0041117C">
        <w:rPr>
          <w:u w:val="single"/>
        </w:rPr>
        <w:t xml:space="preserve">For administration with infusion pump or gravity drip (diluted with sterile sodium chloride 9 mg/mL (0.9%) solution): </w:t>
      </w:r>
      <w:r w:rsidRPr="0041117C">
        <w:t xml:space="preserve">Take an infusion bag of adequate size of sterile sodium chloride 9 </w:t>
      </w:r>
      <w:r w:rsidRPr="0041117C">
        <w:lastRenderedPageBreak/>
        <w:t>mg/mL (0.9%) solution. Calculate the required volume of Erbitux. Remove an adequate volume of the sodium chloride solution from the infusion bag, using an appropriate sterile syringe with a suitable needle. Take an appropriate sterile syringe and attach a suitable needle. Draw up the required volume of Erbitux from a vial. Transfer the Erbitux into the prepared infusion bag. Repeat this procedure until the calculated volume has been reached. Connect the infusion line and prime it with the diluted Erbitux before starting the infusion. Use a gravity drip or an infusion pump for administration. Set and control the rate as explained in the DOSAGE AND ADMINISTRATION section.</w:t>
      </w:r>
    </w:p>
    <w:p w:rsidR="00626AE4" w:rsidRDefault="00626AE4" w:rsidP="00676915"/>
    <w:p w:rsidR="00626AE4" w:rsidRDefault="00626AE4" w:rsidP="00676915">
      <w:r w:rsidRPr="0041117C">
        <w:rPr>
          <w:u w:val="single"/>
        </w:rPr>
        <w:t>For administration with infusion pump (undiluted):</w:t>
      </w:r>
      <w:r w:rsidRPr="0041117C">
        <w:t xml:space="preserve">  Calculate the required volume of Erbitux.  Take an appropriate sterile syringe (minimum 50 mL) and attach a suitable needle.  Draw up the required volume of Erbitux from a vial.  Transfer the Erbitux into a sterile evacuated container or bag.  Repeat this procedure until the calculated volume has been reached.  Connect the infusion line and prime it with Erbitux before starting the infusion.  Use an infusion pump for administration.  Set and control the rate as explained in the DOSAGE AND ADMINISTRATION section.</w:t>
      </w:r>
    </w:p>
    <w:p w:rsidR="00626AE4" w:rsidRDefault="00626AE4" w:rsidP="00676915"/>
    <w:p w:rsidR="00626AE4" w:rsidRDefault="00626AE4" w:rsidP="00676915">
      <w:r w:rsidRPr="0041117C">
        <w:rPr>
          <w:u w:val="single"/>
        </w:rPr>
        <w:t xml:space="preserve">For administration with a syringe pump: </w:t>
      </w:r>
      <w:r w:rsidRPr="0041117C">
        <w:t>Calculate the required volume of Erbitux. Take an appropriate sterile syringe and attach a suitable needle. Draw up the required volume of Erbitux from a vial. Remove the needle and put the syringe into the syringe pump. Connect the infusion line to the syringe, set and control the rate as explained in the DOSAGE AND ADMINISTRATION section and start the infusion after priming the line with Erbitux or sterile sodium chloride 9 mg/mL (0.9%) solution. If necessary, repeat this procedure until the calculated volume has been infused.</w:t>
      </w:r>
    </w:p>
    <w:p w:rsidR="00626AE4" w:rsidRDefault="00626AE4" w:rsidP="00676915"/>
    <w:p w:rsidR="00626AE4" w:rsidRDefault="00626AE4" w:rsidP="00676915">
      <w:pPr>
        <w:rPr>
          <w:b/>
          <w:bCs/>
        </w:rPr>
      </w:pPr>
      <w:r w:rsidRPr="0041117C">
        <w:rPr>
          <w:b/>
          <w:bCs/>
        </w:rPr>
        <w:t>Incompatibilities</w:t>
      </w:r>
    </w:p>
    <w:p w:rsidR="00626AE4" w:rsidRDefault="00626AE4" w:rsidP="00676915">
      <w:pPr>
        <w:rPr>
          <w:b/>
          <w:bCs/>
        </w:rPr>
      </w:pPr>
    </w:p>
    <w:p w:rsidR="00626AE4" w:rsidRDefault="00626AE4" w:rsidP="00676915">
      <w:pPr>
        <w:rPr>
          <w:b/>
          <w:bCs/>
        </w:rPr>
      </w:pPr>
      <w:r w:rsidRPr="0041117C">
        <w:t>Erbitux 5 mg/mL must not be mixed with other intravenously administered medicines, except sterile sodium chloride 9 mg/mL (0.9%) solution. A separate infusion line must be used.</w:t>
      </w:r>
    </w:p>
    <w:p w:rsidR="00626AE4" w:rsidRDefault="00626AE4" w:rsidP="00676915">
      <w:pPr>
        <w:rPr>
          <w:b/>
          <w:bCs/>
          <w:sz w:val="28"/>
        </w:rPr>
      </w:pPr>
    </w:p>
    <w:p w:rsidR="00626AE4" w:rsidRDefault="00626AE4" w:rsidP="00676915">
      <w:pPr>
        <w:rPr>
          <w:b/>
          <w:bCs/>
        </w:rPr>
      </w:pPr>
      <w:r w:rsidRPr="0041117C">
        <w:rPr>
          <w:b/>
          <w:bCs/>
          <w:sz w:val="28"/>
        </w:rPr>
        <w:t>NAME AND ADDRESS OF THE SPONSOR</w:t>
      </w:r>
    </w:p>
    <w:p w:rsidR="00626AE4" w:rsidRDefault="00626AE4" w:rsidP="00676915">
      <w:pPr>
        <w:rPr>
          <w:b/>
          <w:bCs/>
        </w:rPr>
      </w:pPr>
    </w:p>
    <w:p w:rsidR="00626AE4" w:rsidRPr="00626AE4" w:rsidRDefault="00626AE4" w:rsidP="00676915">
      <w:pPr>
        <w:rPr>
          <w:b/>
          <w:bCs/>
        </w:rPr>
      </w:pPr>
      <w:r w:rsidRPr="00626AE4">
        <w:t>Supplied in Australia by:</w:t>
      </w:r>
    </w:p>
    <w:p w:rsidR="00626AE4" w:rsidRDefault="00626AE4" w:rsidP="00676915">
      <w:pPr>
        <w:rPr>
          <w:b/>
          <w:bCs/>
        </w:rPr>
      </w:pPr>
    </w:p>
    <w:p w:rsidR="00626AE4" w:rsidRPr="00626AE4" w:rsidRDefault="00626AE4" w:rsidP="00676915">
      <w:pPr>
        <w:rPr>
          <w:b/>
          <w:bCs/>
        </w:rPr>
      </w:pPr>
      <w:r w:rsidRPr="00626AE4">
        <w:rPr>
          <w:lang w:val="en-GB"/>
        </w:rPr>
        <w:t>Merck Serono Australia Pty Ltd</w:t>
      </w:r>
    </w:p>
    <w:p w:rsidR="00626AE4" w:rsidRDefault="00626AE4" w:rsidP="00676915">
      <w:pPr>
        <w:rPr>
          <w:b/>
          <w:bCs/>
        </w:rPr>
      </w:pPr>
      <w:r w:rsidRPr="0041117C">
        <w:t>3-4, 25 Frenchs Forest Road East</w:t>
      </w:r>
    </w:p>
    <w:p w:rsidR="00626AE4" w:rsidRDefault="00976FB2" w:rsidP="00676915">
      <w:pPr>
        <w:rPr>
          <w:b/>
          <w:bCs/>
        </w:rPr>
      </w:pPr>
      <w:r w:rsidRPr="0041117C">
        <w:t xml:space="preserve">Frenchs </w:t>
      </w:r>
      <w:smartTag w:uri="urn:schemas-microsoft-com:office:smarttags" w:element="PlaceType">
        <w:r w:rsidRPr="0041117C">
          <w:t>Forest</w:t>
        </w:r>
      </w:smartTag>
      <w:r w:rsidRPr="0041117C">
        <w:t xml:space="preserve"> NSW 2086</w:t>
      </w:r>
    </w:p>
    <w:p w:rsidR="00626AE4" w:rsidRDefault="00626AE4" w:rsidP="00676915"/>
    <w:p w:rsidR="00626AE4" w:rsidRDefault="00976FB2" w:rsidP="00676915">
      <w:r w:rsidRPr="0041117C">
        <w:t xml:space="preserve">Supplied in </w:t>
      </w:r>
      <w:smartTag w:uri="urn:schemas-microsoft-com:office:smarttags" w:element="place">
        <w:smartTag w:uri="urn:schemas-microsoft-com:office:smarttags" w:element="country-region">
          <w:r w:rsidRPr="0041117C">
            <w:t>New Zealand</w:t>
          </w:r>
        </w:smartTag>
      </w:smartTag>
      <w:r w:rsidRPr="0041117C">
        <w:t xml:space="preserve"> by:</w:t>
      </w:r>
    </w:p>
    <w:p w:rsidR="00976FB2" w:rsidRDefault="00976FB2" w:rsidP="00676915"/>
    <w:p w:rsidR="00976FB2" w:rsidRDefault="00976FB2" w:rsidP="00676915">
      <w:r w:rsidRPr="0041117C">
        <w:t>Healthcare Logistics</w:t>
      </w:r>
    </w:p>
    <w:p w:rsidR="00976FB2" w:rsidRDefault="00976FB2" w:rsidP="00676915">
      <w:r w:rsidRPr="0041117C">
        <w:t xml:space="preserve">58 Richard </w:t>
      </w:r>
      <w:proofErr w:type="spellStart"/>
      <w:r w:rsidRPr="0041117C">
        <w:t>Pearse</w:t>
      </w:r>
      <w:proofErr w:type="spellEnd"/>
      <w:r w:rsidRPr="0041117C">
        <w:t xml:space="preserve"> Drive</w:t>
      </w:r>
    </w:p>
    <w:p w:rsidR="00976FB2" w:rsidRDefault="00976FB2" w:rsidP="00676915">
      <w:r w:rsidRPr="0041117C">
        <w:t>Airport Oaks</w:t>
      </w:r>
    </w:p>
    <w:p w:rsidR="00976FB2" w:rsidRDefault="00976FB2" w:rsidP="00676915">
      <w:r w:rsidRPr="0041117C">
        <w:t>Auckland</w:t>
      </w:r>
    </w:p>
    <w:p w:rsidR="00976FB2" w:rsidRDefault="00976FB2" w:rsidP="00676915"/>
    <w:p w:rsidR="00976FB2" w:rsidRDefault="00976FB2" w:rsidP="00676915"/>
    <w:p w:rsidR="00FF3807" w:rsidRDefault="00FF3807">
      <w:pPr>
        <w:rPr>
          <w:b/>
          <w:bCs/>
          <w:sz w:val="28"/>
        </w:rPr>
      </w:pPr>
      <w:r>
        <w:rPr>
          <w:b/>
          <w:bCs/>
          <w:sz w:val="28"/>
        </w:rPr>
        <w:br w:type="page"/>
      </w:r>
    </w:p>
    <w:p w:rsidR="00976FB2" w:rsidRDefault="00976FB2" w:rsidP="00676915">
      <w:pPr>
        <w:rPr>
          <w:b/>
          <w:bCs/>
          <w:sz w:val="28"/>
        </w:rPr>
      </w:pPr>
      <w:r w:rsidRPr="0041117C">
        <w:rPr>
          <w:b/>
          <w:bCs/>
          <w:sz w:val="28"/>
        </w:rPr>
        <w:lastRenderedPageBreak/>
        <w:t>POISON SCHEDULE OF THE MEDICINE</w:t>
      </w:r>
    </w:p>
    <w:p w:rsidR="00976FB2" w:rsidRDefault="00976FB2" w:rsidP="00676915">
      <w:pPr>
        <w:rPr>
          <w:b/>
          <w:bCs/>
          <w:sz w:val="28"/>
        </w:rPr>
      </w:pPr>
    </w:p>
    <w:p w:rsidR="00976FB2" w:rsidRDefault="00976FB2" w:rsidP="00676915">
      <w:r w:rsidRPr="0041117C">
        <w:t>S4 (Prescription Only Medicine)</w:t>
      </w:r>
    </w:p>
    <w:p w:rsidR="00823445" w:rsidRDefault="00823445" w:rsidP="00676915"/>
    <w:p w:rsidR="00976FB2" w:rsidRDefault="00976FB2" w:rsidP="00676915">
      <w:r w:rsidRPr="0041117C">
        <w:rPr>
          <w:b/>
          <w:bCs/>
          <w:sz w:val="28"/>
        </w:rPr>
        <w:t>DATE OF FIRST INCLUSION IN THE AUSTRALIAN REGISTER OF THERAPEUTIC GOODS (THE ARTG)</w:t>
      </w:r>
    </w:p>
    <w:p w:rsidR="00976FB2" w:rsidRDefault="00976FB2" w:rsidP="00676915"/>
    <w:p w:rsidR="00976FB2" w:rsidRDefault="00976FB2" w:rsidP="00676915">
      <w:r w:rsidRPr="0041117C">
        <w:t>25 September 2007</w:t>
      </w:r>
    </w:p>
    <w:p w:rsidR="00976FB2" w:rsidRDefault="00976FB2" w:rsidP="00676915"/>
    <w:p w:rsidR="00976FB2" w:rsidRDefault="00976FB2" w:rsidP="00676915">
      <w:r w:rsidRPr="0041117C">
        <w:rPr>
          <w:b/>
          <w:bCs/>
          <w:sz w:val="28"/>
        </w:rPr>
        <w:t>DATE OF MOST RECENT AMENDMENT</w:t>
      </w:r>
    </w:p>
    <w:p w:rsidR="00976FB2" w:rsidRDefault="00976FB2" w:rsidP="00676915"/>
    <w:p w:rsidR="00976FB2" w:rsidRDefault="00814A51" w:rsidP="00676915">
      <w:r>
        <w:t>14 May 2013</w:t>
      </w:r>
    </w:p>
    <w:p w:rsidR="00976FB2" w:rsidRDefault="00976FB2" w:rsidP="00676915"/>
    <w:p w:rsidR="00976FB2" w:rsidRDefault="00976FB2" w:rsidP="00676915"/>
    <w:p w:rsidR="00976FB2" w:rsidRDefault="00976FB2" w:rsidP="00676915">
      <w:pPr>
        <w:rPr>
          <w:i/>
        </w:rPr>
      </w:pPr>
      <w:r>
        <w:rPr>
          <w:i/>
        </w:rPr>
        <w:t xml:space="preserve">* </w:t>
      </w:r>
      <w:r w:rsidRPr="0041117C">
        <w:rPr>
          <w:i/>
        </w:rPr>
        <w:t>Please note change in Product Information</w:t>
      </w:r>
    </w:p>
    <w:p w:rsidR="00976FB2" w:rsidRDefault="00976FB2" w:rsidP="00676915">
      <w:pPr>
        <w:rPr>
          <w:i/>
        </w:rPr>
      </w:pPr>
    </w:p>
    <w:p w:rsidR="00976FB2" w:rsidRDefault="00976FB2" w:rsidP="00676915">
      <w:r w:rsidRPr="0041117C">
        <w:rPr>
          <w:i/>
          <w:vertAlign w:val="superscript"/>
        </w:rPr>
        <w:t>®</w:t>
      </w:r>
      <w:r w:rsidRPr="0041117C">
        <w:rPr>
          <w:iCs/>
        </w:rPr>
        <w:t>Registered</w:t>
      </w:r>
      <w:r w:rsidRPr="0041117C">
        <w:rPr>
          <w:i/>
        </w:rPr>
        <w:t xml:space="preserve"> </w:t>
      </w:r>
      <w:r w:rsidRPr="0041117C">
        <w:t xml:space="preserve">Trade Mark of </w:t>
      </w:r>
      <w:proofErr w:type="spellStart"/>
      <w:r w:rsidRPr="0041117C">
        <w:t>ImClone</w:t>
      </w:r>
      <w:proofErr w:type="spellEnd"/>
      <w:r w:rsidRPr="0041117C">
        <w:t xml:space="preserve"> LLC used under licence by Merck </w:t>
      </w:r>
      <w:proofErr w:type="spellStart"/>
      <w:r w:rsidRPr="0041117C">
        <w:t>KGaA</w:t>
      </w:r>
      <w:proofErr w:type="spellEnd"/>
      <w:r w:rsidRPr="0041117C">
        <w:t>, Darmstadt, Germany.</w:t>
      </w:r>
    </w:p>
    <w:p w:rsidR="00976FB2" w:rsidRDefault="00976FB2" w:rsidP="00676915"/>
    <w:p w:rsidR="00976FB2" w:rsidRDefault="00976FB2" w:rsidP="00676915">
      <w:r w:rsidRPr="0041117C">
        <w:t xml:space="preserve">™EGFR </w:t>
      </w:r>
      <w:proofErr w:type="spellStart"/>
      <w:r w:rsidRPr="0041117C">
        <w:t>pharmDX</w:t>
      </w:r>
      <w:proofErr w:type="spellEnd"/>
      <w:r w:rsidRPr="0041117C">
        <w:t xml:space="preserve"> is a Trade Mark of </w:t>
      </w:r>
      <w:proofErr w:type="spellStart"/>
      <w:r w:rsidRPr="0041117C">
        <w:t>DakoCytomation</w:t>
      </w:r>
      <w:proofErr w:type="spellEnd"/>
      <w:r w:rsidRPr="0041117C">
        <w:t xml:space="preserve"> Denmark A/S</w:t>
      </w:r>
    </w:p>
    <w:p w:rsidR="00976FB2" w:rsidRDefault="00976FB2" w:rsidP="00676915"/>
    <w:p w:rsidR="00976FB2" w:rsidRDefault="00976FB2" w:rsidP="00676915"/>
    <w:p w:rsidR="00E979F9" w:rsidRDefault="00E979F9" w:rsidP="0041117C">
      <w:pPr>
        <w:pStyle w:val="BodyText"/>
        <w:jc w:val="left"/>
        <w:rPr>
          <w:strike/>
        </w:rPr>
      </w:pPr>
    </w:p>
    <w:sectPr w:rsidR="00E979F9" w:rsidSect="00EA75AE">
      <w:headerReference w:type="default" r:id="rId8"/>
      <w:footerReference w:type="default" r:id="rId9"/>
      <w:type w:val="continuous"/>
      <w:pgSz w:w="11906" w:h="16838"/>
      <w:pgMar w:top="1588" w:right="1418" w:bottom="1418" w:left="1418" w:header="454" w:footer="45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103" w:rsidRDefault="00876103">
      <w:r>
        <w:separator/>
      </w:r>
    </w:p>
  </w:endnote>
  <w:endnote w:type="continuationSeparator" w:id="0">
    <w:p w:rsidR="00876103" w:rsidRDefault="00876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Helvet">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58" w:rsidRDefault="008F1C58" w:rsidP="0005417B">
    <w:pPr>
      <w:pStyle w:val="Footer"/>
      <w:pBdr>
        <w:top w:val="single" w:sz="4" w:space="1" w:color="auto"/>
      </w:pBdr>
      <w:tabs>
        <w:tab w:val="clear" w:pos="8306"/>
        <w:tab w:val="right" w:pos="9072"/>
      </w:tabs>
      <w:rPr>
        <w:sz w:val="16"/>
      </w:rPr>
    </w:pPr>
    <w:r>
      <w:rPr>
        <w:sz w:val="16"/>
      </w:rPr>
      <w:t xml:space="preserve">Version:  </w:t>
    </w:r>
    <w:r w:rsidR="00814A51">
      <w:rPr>
        <w:sz w:val="16"/>
      </w:rPr>
      <w:t>A</w:t>
    </w:r>
    <w:r>
      <w:rPr>
        <w:sz w:val="16"/>
      </w:rPr>
      <w:t>0</w:t>
    </w:r>
    <w:r w:rsidR="00814A51">
      <w:rPr>
        <w:sz w:val="16"/>
      </w:rPr>
      <w:t>10</w:t>
    </w:r>
    <w:r>
      <w:rPr>
        <w:sz w:val="16"/>
      </w:rPr>
      <w:t>-0513</w:t>
    </w:r>
    <w:r>
      <w:rPr>
        <w:sz w:val="16"/>
      </w:rPr>
      <w:tab/>
      <w:t xml:space="preserve">Page </w:t>
    </w:r>
    <w:r w:rsidR="00CC6AC6">
      <w:rPr>
        <w:sz w:val="16"/>
      </w:rPr>
      <w:fldChar w:fldCharType="begin"/>
    </w:r>
    <w:r>
      <w:rPr>
        <w:sz w:val="16"/>
      </w:rPr>
      <w:instrText xml:space="preserve"> PAGE </w:instrText>
    </w:r>
    <w:r w:rsidR="00CC6AC6">
      <w:rPr>
        <w:sz w:val="16"/>
      </w:rPr>
      <w:fldChar w:fldCharType="separate"/>
    </w:r>
    <w:r w:rsidR="00FF3807">
      <w:rPr>
        <w:noProof/>
        <w:sz w:val="16"/>
      </w:rPr>
      <w:t>23</w:t>
    </w:r>
    <w:r w:rsidR="00CC6AC6">
      <w:rPr>
        <w:sz w:val="16"/>
      </w:rPr>
      <w:fldChar w:fldCharType="end"/>
    </w:r>
    <w:r>
      <w:rPr>
        <w:sz w:val="16"/>
      </w:rPr>
      <w:t xml:space="preserve"> of </w:t>
    </w:r>
    <w:r w:rsidR="00CC6AC6">
      <w:rPr>
        <w:sz w:val="16"/>
      </w:rPr>
      <w:fldChar w:fldCharType="begin"/>
    </w:r>
    <w:r>
      <w:rPr>
        <w:sz w:val="16"/>
      </w:rPr>
      <w:instrText xml:space="preserve"> NUMPAGES </w:instrText>
    </w:r>
    <w:r w:rsidR="00CC6AC6">
      <w:rPr>
        <w:sz w:val="16"/>
      </w:rPr>
      <w:fldChar w:fldCharType="separate"/>
    </w:r>
    <w:r w:rsidR="00FF3807">
      <w:rPr>
        <w:noProof/>
        <w:sz w:val="16"/>
      </w:rPr>
      <w:t>23</w:t>
    </w:r>
    <w:r w:rsidR="00CC6AC6">
      <w:rPr>
        <w:sz w:val="16"/>
      </w:rPr>
      <w:fldChar w:fldCharType="end"/>
    </w:r>
    <w:r>
      <w:rPr>
        <w:sz w:val="16"/>
      </w:rPr>
      <w:tab/>
      <w:t>Supersedes: A00</w:t>
    </w:r>
    <w:r w:rsidR="00814A51">
      <w:rPr>
        <w:sz w:val="16"/>
      </w:rPr>
      <w:t>9</w:t>
    </w:r>
    <w:r>
      <w:rPr>
        <w:sz w:val="16"/>
      </w:rPr>
      <w:t>-0</w:t>
    </w:r>
    <w:r w:rsidR="00814A51">
      <w:rPr>
        <w:sz w:val="16"/>
      </w:rPr>
      <w:t>2</w:t>
    </w:r>
    <w:r>
      <w:rPr>
        <w:sz w:val="16"/>
      </w:rPr>
      <w:t>1</w:t>
    </w:r>
    <w:r w:rsidR="00814A51">
      <w:rPr>
        <w:sz w:val="16"/>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103" w:rsidRDefault="00876103">
      <w:r>
        <w:separator/>
      </w:r>
    </w:p>
  </w:footnote>
  <w:footnote w:type="continuationSeparator" w:id="0">
    <w:p w:rsidR="00876103" w:rsidRDefault="00876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CFC" w:rsidRPr="00CE1CFC" w:rsidRDefault="00CE1CFC" w:rsidP="00CE1CFC">
    <w:pPr>
      <w:pBdr>
        <w:top w:val="single" w:sz="4" w:space="1" w:color="auto"/>
        <w:left w:val="single" w:sz="4" w:space="4" w:color="auto"/>
        <w:bottom w:val="single" w:sz="4" w:space="1" w:color="auto"/>
        <w:right w:val="single" w:sz="4" w:space="4" w:color="auto"/>
      </w:pBdr>
      <w:shd w:val="clear" w:color="auto" w:fill="E4F2E0"/>
      <w:spacing w:before="40" w:after="40"/>
      <w:jc w:val="both"/>
      <w:rPr>
        <w:rFonts w:ascii="Cambria" w:hAnsi="Cambria"/>
        <w:b/>
        <w:sz w:val="20"/>
      </w:rPr>
    </w:pPr>
    <w:r w:rsidRPr="00CE1CFC">
      <w:rPr>
        <w:rFonts w:ascii="Cambria" w:hAnsi="Cambria"/>
        <w:b/>
        <w:sz w:val="20"/>
      </w:rPr>
      <w:t xml:space="preserve">Attachment 1: Product information for </w:t>
    </w:r>
    <w:proofErr w:type="spellStart"/>
    <w:r w:rsidRPr="00CE1CFC">
      <w:rPr>
        <w:rFonts w:ascii="Cambria" w:hAnsi="Cambria"/>
        <w:b/>
        <w:sz w:val="20"/>
      </w:rPr>
      <w:t>AusPAR</w:t>
    </w:r>
    <w:proofErr w:type="spellEnd"/>
    <w:r w:rsidRPr="00CE1CFC">
      <w:rPr>
        <w:rFonts w:ascii="Cambria" w:hAnsi="Cambria"/>
        <w:b/>
        <w:sz w:val="20"/>
      </w:rPr>
      <w:t xml:space="preserve"> </w:t>
    </w:r>
    <w:proofErr w:type="spellStart"/>
    <w:r w:rsidRPr="00CE1CFC">
      <w:rPr>
        <w:rFonts w:ascii="Cambria" w:hAnsi="Cambria"/>
        <w:b/>
        <w:sz w:val="20"/>
      </w:rPr>
      <w:t>Erbitux</w:t>
    </w:r>
    <w:proofErr w:type="spellEnd"/>
    <w:r w:rsidRPr="00CE1CFC">
      <w:rPr>
        <w:rFonts w:ascii="Cambria" w:hAnsi="Cambria"/>
        <w:b/>
        <w:sz w:val="20"/>
      </w:rPr>
      <w:t xml:space="preserve">; </w:t>
    </w:r>
    <w:proofErr w:type="spellStart"/>
    <w:r w:rsidRPr="00CE1CFC">
      <w:rPr>
        <w:rFonts w:ascii="Cambria" w:hAnsi="Cambria"/>
        <w:b/>
        <w:sz w:val="20"/>
      </w:rPr>
      <w:t>cetuximab</w:t>
    </w:r>
    <w:proofErr w:type="spellEnd"/>
    <w:r w:rsidRPr="00CE1CFC">
      <w:rPr>
        <w:rFonts w:ascii="Cambria" w:hAnsi="Cambria"/>
        <w:b/>
        <w:sz w:val="20"/>
      </w:rPr>
      <w:t xml:space="preserve">; Merck </w:t>
    </w:r>
    <w:proofErr w:type="spellStart"/>
    <w:r w:rsidRPr="00CE1CFC">
      <w:rPr>
        <w:rFonts w:ascii="Cambria" w:hAnsi="Cambria"/>
        <w:b/>
        <w:sz w:val="20"/>
      </w:rPr>
      <w:t>Serono</w:t>
    </w:r>
    <w:proofErr w:type="spellEnd"/>
    <w:r w:rsidRPr="00CE1CFC">
      <w:rPr>
        <w:rFonts w:ascii="Cambria" w:hAnsi="Cambria"/>
        <w:b/>
        <w:sz w:val="20"/>
      </w:rPr>
      <w:t xml:space="preserve"> Australia Pty Ltd PM-2012-00340-3-4 Date of Finalisation: 1 October 2013. This Product Information was approved at the time this </w:t>
    </w:r>
    <w:proofErr w:type="spellStart"/>
    <w:r w:rsidRPr="00CE1CFC">
      <w:rPr>
        <w:rFonts w:ascii="Cambria" w:hAnsi="Cambria"/>
        <w:b/>
        <w:sz w:val="20"/>
      </w:rPr>
      <w:t>AusPAR</w:t>
    </w:r>
    <w:proofErr w:type="spellEnd"/>
    <w:r w:rsidRPr="00CE1CFC">
      <w:rPr>
        <w:rFonts w:ascii="Cambria" w:hAnsi="Cambria"/>
        <w:b/>
        <w:sz w:val="20"/>
      </w:rPr>
      <w:t xml:space="preserve"> was published.</w:t>
    </w:r>
  </w:p>
  <w:p w:rsidR="00CE1CFC" w:rsidRPr="00CE1CFC" w:rsidRDefault="00CE1CFC">
    <w:pPr>
      <w:tabs>
        <w:tab w:val="right" w:pos="9638"/>
      </w:tabs>
      <w:jc w:val="both"/>
      <w:rPr>
        <w:lang w:val="fr-FR"/>
      </w:rPr>
    </w:pPr>
  </w:p>
  <w:p w:rsidR="008F1C58" w:rsidRDefault="00CC6AC6">
    <w:pPr>
      <w:tabs>
        <w:tab w:val="right" w:pos="9638"/>
      </w:tabs>
      <w:jc w:val="both"/>
      <w:rPr>
        <w:rFonts w:ascii="Helvet" w:hAnsi="Helvet"/>
        <w:lang w:val="fr-FR"/>
      </w:rPr>
    </w:pPr>
    <w:r w:rsidRPr="00CC6AC6">
      <w:rPr>
        <w:b/>
        <w:noProof/>
        <w:lang w:val="en-US"/>
      </w:rPr>
      <w:pict>
        <v:line id="_x0000_s2052" style="position:absolute;left:0;text-align:left;z-index:251657728" from="-3.85pt,13.5pt" to="482.15pt,13.5pt"/>
      </w:pict>
    </w:r>
    <w:r w:rsidR="008F1C58">
      <w:rPr>
        <w:b/>
        <w:lang w:val="fr-FR"/>
      </w:rPr>
      <w:t>Erbitux 5 mg/mL</w:t>
    </w:r>
    <w:r w:rsidR="008F1C58">
      <w:rPr>
        <w:lang w:val="fr-FR"/>
      </w:rPr>
      <w:t xml:space="preserve"> – Product Information</w:t>
    </w:r>
    <w:r w:rsidR="008F1C58">
      <w:rPr>
        <w:rFonts w:cs="Arial"/>
        <w:lang w:val="fr-F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B2E4A2"/>
    <w:lvl w:ilvl="0">
      <w:numFmt w:val="bullet"/>
      <w:lvlText w:val="*"/>
      <w:lvlJc w:val="left"/>
    </w:lvl>
  </w:abstractNum>
  <w:abstractNum w:abstractNumId="1">
    <w:nsid w:val="042C36DE"/>
    <w:multiLevelType w:val="hybridMultilevel"/>
    <w:tmpl w:val="22EE5872"/>
    <w:lvl w:ilvl="0" w:tplc="0DCA6EE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93786"/>
    <w:multiLevelType w:val="hybridMultilevel"/>
    <w:tmpl w:val="886E5026"/>
    <w:lvl w:ilvl="0" w:tplc="060687A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696376"/>
    <w:multiLevelType w:val="hybridMultilevel"/>
    <w:tmpl w:val="F08A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FA1DBA"/>
    <w:multiLevelType w:val="hybridMultilevel"/>
    <w:tmpl w:val="4D7A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A24CED"/>
    <w:multiLevelType w:val="hybridMultilevel"/>
    <w:tmpl w:val="96ACBAA4"/>
    <w:lvl w:ilvl="0" w:tplc="060687A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684F6F"/>
    <w:multiLevelType w:val="hybridMultilevel"/>
    <w:tmpl w:val="D0D86640"/>
    <w:lvl w:ilvl="0" w:tplc="F9304CEC">
      <w:start w:val="1"/>
      <w:numFmt w:val="bullet"/>
      <w:pStyle w:val="SPCListbulleted"/>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F82FB3"/>
    <w:multiLevelType w:val="hybridMultilevel"/>
    <w:tmpl w:val="4AD8C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BA4790"/>
    <w:multiLevelType w:val="hybridMultilevel"/>
    <w:tmpl w:val="60C4B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0F42C1"/>
    <w:multiLevelType w:val="hybridMultilevel"/>
    <w:tmpl w:val="3AF4170A"/>
    <w:lvl w:ilvl="0" w:tplc="0C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E63CD3"/>
    <w:multiLevelType w:val="hybridMultilevel"/>
    <w:tmpl w:val="72EA077E"/>
    <w:lvl w:ilvl="0" w:tplc="87CAF8C4">
      <w:start w:val="1"/>
      <w:numFmt w:val="bullet"/>
      <w:lvlText w:val=""/>
      <w:lvlJc w:val="left"/>
      <w:pPr>
        <w:tabs>
          <w:tab w:val="num" w:pos="541"/>
        </w:tabs>
        <w:ind w:left="541"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F31FC9"/>
    <w:multiLevelType w:val="hybridMultilevel"/>
    <w:tmpl w:val="36188FA2"/>
    <w:lvl w:ilvl="0" w:tplc="87CAF8C4">
      <w:start w:val="1"/>
      <w:numFmt w:val="bullet"/>
      <w:lvlText w:val=""/>
      <w:lvlJc w:val="left"/>
      <w:pPr>
        <w:tabs>
          <w:tab w:val="num" w:pos="541"/>
        </w:tabs>
        <w:ind w:left="541"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F24B6A"/>
    <w:multiLevelType w:val="hybridMultilevel"/>
    <w:tmpl w:val="DF58D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677E1F"/>
    <w:multiLevelType w:val="hybridMultilevel"/>
    <w:tmpl w:val="A0A09EB8"/>
    <w:lvl w:ilvl="0" w:tplc="87CAF8C4">
      <w:start w:val="1"/>
      <w:numFmt w:val="bullet"/>
      <w:lvlText w:val=""/>
      <w:lvlJc w:val="left"/>
      <w:pPr>
        <w:tabs>
          <w:tab w:val="num" w:pos="541"/>
        </w:tabs>
        <w:ind w:left="541"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1B1E41"/>
    <w:multiLevelType w:val="hybridMultilevel"/>
    <w:tmpl w:val="C2688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D50FC7"/>
    <w:multiLevelType w:val="hybridMultilevel"/>
    <w:tmpl w:val="CE5C2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DC5BE1"/>
    <w:multiLevelType w:val="hybridMultilevel"/>
    <w:tmpl w:val="2DE03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1547256"/>
    <w:multiLevelType w:val="hybridMultilevel"/>
    <w:tmpl w:val="1FEE3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CC3448"/>
    <w:multiLevelType w:val="hybridMultilevel"/>
    <w:tmpl w:val="B6DA4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4B76F54"/>
    <w:multiLevelType w:val="hybridMultilevel"/>
    <w:tmpl w:val="8BC8F4B0"/>
    <w:lvl w:ilvl="0" w:tplc="FFFFFFFF">
      <w:start w:val="1"/>
      <w:numFmt w:val="bullet"/>
      <w:lvlText w:val=""/>
      <w:lvlJc w:val="left"/>
      <w:pPr>
        <w:tabs>
          <w:tab w:val="num" w:pos="966"/>
        </w:tabs>
        <w:ind w:left="96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79C7561"/>
    <w:multiLevelType w:val="hybridMultilevel"/>
    <w:tmpl w:val="A0883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86042A2"/>
    <w:multiLevelType w:val="multilevel"/>
    <w:tmpl w:val="0B840D72"/>
    <w:lvl w:ilvl="0">
      <w:start w:val="1"/>
      <w:numFmt w:val="decimal"/>
      <w:pStyle w:val="SPC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
  </w:num>
  <w:num w:numId="3">
    <w:abstractNumId w:val="10"/>
  </w:num>
  <w:num w:numId="4">
    <w:abstractNumId w:val="13"/>
  </w:num>
  <w:num w:numId="5">
    <w:abstractNumId w:val="11"/>
  </w:num>
  <w:num w:numId="6">
    <w:abstractNumId w:val="7"/>
  </w:num>
  <w:num w:numId="7">
    <w:abstractNumId w:val="5"/>
  </w:num>
  <w:num w:numId="8">
    <w:abstractNumId w:val="2"/>
  </w:num>
  <w:num w:numId="9">
    <w:abstractNumId w:val="6"/>
  </w:num>
  <w:num w:numId="10">
    <w:abstractNumId w:val="12"/>
  </w:num>
  <w:num w:numId="11">
    <w:abstractNumId w:val="17"/>
  </w:num>
  <w:num w:numId="12">
    <w:abstractNumId w:val="15"/>
  </w:num>
  <w:num w:numId="13">
    <w:abstractNumId w:val="16"/>
  </w:num>
  <w:num w:numId="14">
    <w:abstractNumId w:val="4"/>
  </w:num>
  <w:num w:numId="15">
    <w:abstractNumId w:val="21"/>
  </w:num>
  <w:num w:numId="16">
    <w:abstractNumId w:val="14"/>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3"/>
  </w:num>
  <w:num w:numId="19">
    <w:abstractNumId w:val="6"/>
  </w:num>
  <w:num w:numId="20">
    <w:abstractNumId w:val="8"/>
  </w:num>
  <w:num w:numId="21">
    <w:abstractNumId w:val="6"/>
  </w:num>
  <w:num w:numId="22">
    <w:abstractNumId w:val="20"/>
  </w:num>
  <w:num w:numId="23">
    <w:abstractNumId w:val="18"/>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proofState w:spelling="clean" w:grammar="clean"/>
  <w:stylePaneFormatFilter w:val="3F01"/>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540E1C"/>
    <w:rsid w:val="000059C7"/>
    <w:rsid w:val="00005BB1"/>
    <w:rsid w:val="00006FF4"/>
    <w:rsid w:val="00035B35"/>
    <w:rsid w:val="00040E4F"/>
    <w:rsid w:val="0004212B"/>
    <w:rsid w:val="00043067"/>
    <w:rsid w:val="000519D9"/>
    <w:rsid w:val="00051F19"/>
    <w:rsid w:val="00053555"/>
    <w:rsid w:val="000538B9"/>
    <w:rsid w:val="0005417B"/>
    <w:rsid w:val="00054DDB"/>
    <w:rsid w:val="000564EE"/>
    <w:rsid w:val="00065811"/>
    <w:rsid w:val="00067337"/>
    <w:rsid w:val="00067A30"/>
    <w:rsid w:val="00072279"/>
    <w:rsid w:val="00093943"/>
    <w:rsid w:val="000972B0"/>
    <w:rsid w:val="000A10A8"/>
    <w:rsid w:val="000B417C"/>
    <w:rsid w:val="000B4FC5"/>
    <w:rsid w:val="000C04FB"/>
    <w:rsid w:val="000C2219"/>
    <w:rsid w:val="000C49FB"/>
    <w:rsid w:val="000D51F3"/>
    <w:rsid w:val="000E0E04"/>
    <w:rsid w:val="000E2642"/>
    <w:rsid w:val="000E6B45"/>
    <w:rsid w:val="000F1D54"/>
    <w:rsid w:val="000F4129"/>
    <w:rsid w:val="000F6CC3"/>
    <w:rsid w:val="00113A81"/>
    <w:rsid w:val="00137B7D"/>
    <w:rsid w:val="0014296B"/>
    <w:rsid w:val="00145626"/>
    <w:rsid w:val="00145D5D"/>
    <w:rsid w:val="00156030"/>
    <w:rsid w:val="0018577B"/>
    <w:rsid w:val="00185D19"/>
    <w:rsid w:val="00191BB0"/>
    <w:rsid w:val="001A4743"/>
    <w:rsid w:val="001A6F4E"/>
    <w:rsid w:val="001B047C"/>
    <w:rsid w:val="001B7D9D"/>
    <w:rsid w:val="001C2C96"/>
    <w:rsid w:val="00202AFF"/>
    <w:rsid w:val="00223E43"/>
    <w:rsid w:val="002252FA"/>
    <w:rsid w:val="002513CE"/>
    <w:rsid w:val="0026375D"/>
    <w:rsid w:val="002734C7"/>
    <w:rsid w:val="0027512B"/>
    <w:rsid w:val="002B022B"/>
    <w:rsid w:val="002B2807"/>
    <w:rsid w:val="002B5858"/>
    <w:rsid w:val="002C6851"/>
    <w:rsid w:val="002E0955"/>
    <w:rsid w:val="002E2569"/>
    <w:rsid w:val="002E3F4C"/>
    <w:rsid w:val="002E520D"/>
    <w:rsid w:val="002E5493"/>
    <w:rsid w:val="002F2DE9"/>
    <w:rsid w:val="002F7321"/>
    <w:rsid w:val="003050F5"/>
    <w:rsid w:val="00335372"/>
    <w:rsid w:val="00342AEB"/>
    <w:rsid w:val="00342CDC"/>
    <w:rsid w:val="00345140"/>
    <w:rsid w:val="003500A7"/>
    <w:rsid w:val="00355DEA"/>
    <w:rsid w:val="00367C15"/>
    <w:rsid w:val="00375836"/>
    <w:rsid w:val="00380F12"/>
    <w:rsid w:val="003855E1"/>
    <w:rsid w:val="003900C1"/>
    <w:rsid w:val="003A0959"/>
    <w:rsid w:val="003B2B42"/>
    <w:rsid w:val="003B509C"/>
    <w:rsid w:val="003B7519"/>
    <w:rsid w:val="003C7018"/>
    <w:rsid w:val="003D070E"/>
    <w:rsid w:val="003D38BF"/>
    <w:rsid w:val="003E56CA"/>
    <w:rsid w:val="004045AA"/>
    <w:rsid w:val="0041117C"/>
    <w:rsid w:val="0041276B"/>
    <w:rsid w:val="00417434"/>
    <w:rsid w:val="00421B76"/>
    <w:rsid w:val="00430A43"/>
    <w:rsid w:val="00455FEE"/>
    <w:rsid w:val="004574DA"/>
    <w:rsid w:val="00472F14"/>
    <w:rsid w:val="0047359D"/>
    <w:rsid w:val="00477074"/>
    <w:rsid w:val="004770DF"/>
    <w:rsid w:val="00483964"/>
    <w:rsid w:val="00486922"/>
    <w:rsid w:val="004B142D"/>
    <w:rsid w:val="004B4875"/>
    <w:rsid w:val="004B5EF6"/>
    <w:rsid w:val="004B61B2"/>
    <w:rsid w:val="004C5163"/>
    <w:rsid w:val="004C7EF1"/>
    <w:rsid w:val="004E042E"/>
    <w:rsid w:val="004E7BA8"/>
    <w:rsid w:val="004F15D3"/>
    <w:rsid w:val="004F3C54"/>
    <w:rsid w:val="005030AB"/>
    <w:rsid w:val="00521738"/>
    <w:rsid w:val="00532ACE"/>
    <w:rsid w:val="00537E92"/>
    <w:rsid w:val="00540E1C"/>
    <w:rsid w:val="00552DBC"/>
    <w:rsid w:val="005626B1"/>
    <w:rsid w:val="00565C83"/>
    <w:rsid w:val="00573539"/>
    <w:rsid w:val="00592323"/>
    <w:rsid w:val="005A62BB"/>
    <w:rsid w:val="005B60E7"/>
    <w:rsid w:val="005B7BA0"/>
    <w:rsid w:val="005C571E"/>
    <w:rsid w:val="005D36D0"/>
    <w:rsid w:val="005E1D5E"/>
    <w:rsid w:val="005F00B1"/>
    <w:rsid w:val="005F0256"/>
    <w:rsid w:val="00610A3D"/>
    <w:rsid w:val="006116DF"/>
    <w:rsid w:val="006239A1"/>
    <w:rsid w:val="00626AE4"/>
    <w:rsid w:val="0063231A"/>
    <w:rsid w:val="006407AD"/>
    <w:rsid w:val="00642C6B"/>
    <w:rsid w:val="00650859"/>
    <w:rsid w:val="00650BA6"/>
    <w:rsid w:val="0065789B"/>
    <w:rsid w:val="00661882"/>
    <w:rsid w:val="006624CC"/>
    <w:rsid w:val="00676915"/>
    <w:rsid w:val="00680991"/>
    <w:rsid w:val="00697266"/>
    <w:rsid w:val="006A27D9"/>
    <w:rsid w:val="006A7619"/>
    <w:rsid w:val="006B176A"/>
    <w:rsid w:val="006B1BF8"/>
    <w:rsid w:val="006C7198"/>
    <w:rsid w:val="006D0E88"/>
    <w:rsid w:val="006D640A"/>
    <w:rsid w:val="006D6C0D"/>
    <w:rsid w:val="006E340A"/>
    <w:rsid w:val="006F7F0C"/>
    <w:rsid w:val="007042C1"/>
    <w:rsid w:val="00710228"/>
    <w:rsid w:val="007107B8"/>
    <w:rsid w:val="00711181"/>
    <w:rsid w:val="00715FB1"/>
    <w:rsid w:val="00720C66"/>
    <w:rsid w:val="00731443"/>
    <w:rsid w:val="00764226"/>
    <w:rsid w:val="0077328C"/>
    <w:rsid w:val="00777168"/>
    <w:rsid w:val="007926DD"/>
    <w:rsid w:val="00797286"/>
    <w:rsid w:val="007A5D0B"/>
    <w:rsid w:val="007B552D"/>
    <w:rsid w:val="007D71E1"/>
    <w:rsid w:val="007E1382"/>
    <w:rsid w:val="007F2D26"/>
    <w:rsid w:val="007F53F6"/>
    <w:rsid w:val="008028A1"/>
    <w:rsid w:val="00810E0B"/>
    <w:rsid w:val="00814A51"/>
    <w:rsid w:val="00823445"/>
    <w:rsid w:val="00826125"/>
    <w:rsid w:val="00842D97"/>
    <w:rsid w:val="00862693"/>
    <w:rsid w:val="008635E5"/>
    <w:rsid w:val="008748A1"/>
    <w:rsid w:val="00876103"/>
    <w:rsid w:val="00877A5B"/>
    <w:rsid w:val="00895451"/>
    <w:rsid w:val="008A56A0"/>
    <w:rsid w:val="008C2756"/>
    <w:rsid w:val="008C5A60"/>
    <w:rsid w:val="008D1853"/>
    <w:rsid w:val="008E39AC"/>
    <w:rsid w:val="008F1C58"/>
    <w:rsid w:val="008F213A"/>
    <w:rsid w:val="009049BB"/>
    <w:rsid w:val="00911C74"/>
    <w:rsid w:val="0091555C"/>
    <w:rsid w:val="009162D8"/>
    <w:rsid w:val="00927647"/>
    <w:rsid w:val="00932D5D"/>
    <w:rsid w:val="009330E8"/>
    <w:rsid w:val="00934F7D"/>
    <w:rsid w:val="00936466"/>
    <w:rsid w:val="00942A83"/>
    <w:rsid w:val="00962A60"/>
    <w:rsid w:val="00963C0A"/>
    <w:rsid w:val="00976FB2"/>
    <w:rsid w:val="00994C7C"/>
    <w:rsid w:val="009969C0"/>
    <w:rsid w:val="009A1F8C"/>
    <w:rsid w:val="009E5F49"/>
    <w:rsid w:val="009E7CD7"/>
    <w:rsid w:val="009E7DCC"/>
    <w:rsid w:val="009F5DFA"/>
    <w:rsid w:val="009F7CE8"/>
    <w:rsid w:val="00A10636"/>
    <w:rsid w:val="00A22E7D"/>
    <w:rsid w:val="00A317D5"/>
    <w:rsid w:val="00A31B3C"/>
    <w:rsid w:val="00A33A8E"/>
    <w:rsid w:val="00A353D4"/>
    <w:rsid w:val="00A4088C"/>
    <w:rsid w:val="00A4348D"/>
    <w:rsid w:val="00A46F17"/>
    <w:rsid w:val="00A57034"/>
    <w:rsid w:val="00A76CC7"/>
    <w:rsid w:val="00A93068"/>
    <w:rsid w:val="00AB16A2"/>
    <w:rsid w:val="00AB3CE5"/>
    <w:rsid w:val="00AB6948"/>
    <w:rsid w:val="00AE257F"/>
    <w:rsid w:val="00B003D7"/>
    <w:rsid w:val="00B032C4"/>
    <w:rsid w:val="00B03388"/>
    <w:rsid w:val="00B03487"/>
    <w:rsid w:val="00B12F13"/>
    <w:rsid w:val="00B15495"/>
    <w:rsid w:val="00B171EE"/>
    <w:rsid w:val="00B17F01"/>
    <w:rsid w:val="00B3500C"/>
    <w:rsid w:val="00B353B6"/>
    <w:rsid w:val="00B620CD"/>
    <w:rsid w:val="00B754DF"/>
    <w:rsid w:val="00B76C3B"/>
    <w:rsid w:val="00B77DB5"/>
    <w:rsid w:val="00B84CBE"/>
    <w:rsid w:val="00B95016"/>
    <w:rsid w:val="00B95235"/>
    <w:rsid w:val="00BC6DA1"/>
    <w:rsid w:val="00BE55AF"/>
    <w:rsid w:val="00C013D8"/>
    <w:rsid w:val="00C201AF"/>
    <w:rsid w:val="00C23434"/>
    <w:rsid w:val="00C24709"/>
    <w:rsid w:val="00C27199"/>
    <w:rsid w:val="00C33C9B"/>
    <w:rsid w:val="00C35778"/>
    <w:rsid w:val="00C419F3"/>
    <w:rsid w:val="00C422E7"/>
    <w:rsid w:val="00C66294"/>
    <w:rsid w:val="00C80138"/>
    <w:rsid w:val="00CA5925"/>
    <w:rsid w:val="00CB71AC"/>
    <w:rsid w:val="00CC6AC6"/>
    <w:rsid w:val="00CD12B6"/>
    <w:rsid w:val="00CD519C"/>
    <w:rsid w:val="00CE1CFC"/>
    <w:rsid w:val="00CE31C8"/>
    <w:rsid w:val="00CF2DF6"/>
    <w:rsid w:val="00CF6B25"/>
    <w:rsid w:val="00D048E5"/>
    <w:rsid w:val="00D10428"/>
    <w:rsid w:val="00D11D57"/>
    <w:rsid w:val="00D2033C"/>
    <w:rsid w:val="00D25E1F"/>
    <w:rsid w:val="00D37881"/>
    <w:rsid w:val="00D40E62"/>
    <w:rsid w:val="00D41E2E"/>
    <w:rsid w:val="00D44F27"/>
    <w:rsid w:val="00D50147"/>
    <w:rsid w:val="00D51541"/>
    <w:rsid w:val="00D5360F"/>
    <w:rsid w:val="00D53843"/>
    <w:rsid w:val="00D551BE"/>
    <w:rsid w:val="00DA7666"/>
    <w:rsid w:val="00DD1844"/>
    <w:rsid w:val="00DE0BB3"/>
    <w:rsid w:val="00DE6CE3"/>
    <w:rsid w:val="00DF61D5"/>
    <w:rsid w:val="00E044D7"/>
    <w:rsid w:val="00E14674"/>
    <w:rsid w:val="00E268BF"/>
    <w:rsid w:val="00E33E62"/>
    <w:rsid w:val="00E4262D"/>
    <w:rsid w:val="00E72FB0"/>
    <w:rsid w:val="00E741EF"/>
    <w:rsid w:val="00E95B19"/>
    <w:rsid w:val="00E979F9"/>
    <w:rsid w:val="00EA37FD"/>
    <w:rsid w:val="00EA4428"/>
    <w:rsid w:val="00EA75AE"/>
    <w:rsid w:val="00EB22E3"/>
    <w:rsid w:val="00EB567A"/>
    <w:rsid w:val="00EB5882"/>
    <w:rsid w:val="00EC7FF9"/>
    <w:rsid w:val="00ED04BF"/>
    <w:rsid w:val="00ED2DFA"/>
    <w:rsid w:val="00ED5AC2"/>
    <w:rsid w:val="00EE1F31"/>
    <w:rsid w:val="00EE27B6"/>
    <w:rsid w:val="00EF08CD"/>
    <w:rsid w:val="00F0361E"/>
    <w:rsid w:val="00F11751"/>
    <w:rsid w:val="00F11A0A"/>
    <w:rsid w:val="00F20B71"/>
    <w:rsid w:val="00F23FA6"/>
    <w:rsid w:val="00F34F55"/>
    <w:rsid w:val="00F3559A"/>
    <w:rsid w:val="00F37AC4"/>
    <w:rsid w:val="00F43418"/>
    <w:rsid w:val="00F43A86"/>
    <w:rsid w:val="00F453AA"/>
    <w:rsid w:val="00F64176"/>
    <w:rsid w:val="00F77B61"/>
    <w:rsid w:val="00F86F9E"/>
    <w:rsid w:val="00FA12FA"/>
    <w:rsid w:val="00FA4EA7"/>
    <w:rsid w:val="00FB1858"/>
    <w:rsid w:val="00FC1267"/>
    <w:rsid w:val="00FC1591"/>
    <w:rsid w:val="00FC6D50"/>
    <w:rsid w:val="00FD195E"/>
    <w:rsid w:val="00FD6573"/>
    <w:rsid w:val="00FE4163"/>
    <w:rsid w:val="00FE6946"/>
    <w:rsid w:val="00FF3501"/>
    <w:rsid w:val="00FF380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964"/>
    <w:rPr>
      <w:sz w:val="24"/>
      <w:lang w:eastAsia="en-US"/>
    </w:rPr>
  </w:style>
  <w:style w:type="paragraph" w:styleId="Heading1">
    <w:name w:val="heading 1"/>
    <w:basedOn w:val="Normal"/>
    <w:next w:val="Normal"/>
    <w:qFormat/>
    <w:rsid w:val="00483964"/>
    <w:pPr>
      <w:keepNext/>
      <w:spacing w:before="240" w:after="60"/>
      <w:outlineLvl w:val="0"/>
    </w:pPr>
    <w:rPr>
      <w:rFonts w:ascii="Arial" w:hAnsi="Arial"/>
      <w:b/>
      <w:kern w:val="28"/>
      <w:sz w:val="28"/>
    </w:rPr>
  </w:style>
  <w:style w:type="paragraph" w:styleId="Heading2">
    <w:name w:val="heading 2"/>
    <w:basedOn w:val="Normal"/>
    <w:next w:val="Normal"/>
    <w:qFormat/>
    <w:rsid w:val="00483964"/>
    <w:pPr>
      <w:keepNext/>
      <w:outlineLvl w:val="1"/>
    </w:pPr>
    <w:rPr>
      <w:rFonts w:ascii="Arial" w:hAnsi="Arial"/>
      <w:i/>
    </w:rPr>
  </w:style>
  <w:style w:type="paragraph" w:styleId="Heading3">
    <w:name w:val="heading 3"/>
    <w:basedOn w:val="Normal"/>
    <w:next w:val="Normal"/>
    <w:qFormat/>
    <w:rsid w:val="00483964"/>
    <w:pPr>
      <w:keepNext/>
      <w:tabs>
        <w:tab w:val="left" w:pos="-720"/>
        <w:tab w:val="left" w:pos="0"/>
        <w:tab w:val="left" w:pos="963"/>
      </w:tabs>
      <w:spacing w:line="260" w:lineRule="atLeast"/>
      <w:jc w:val="both"/>
      <w:outlineLvl w:val="2"/>
    </w:pPr>
    <w:rPr>
      <w:color w:val="000000"/>
    </w:rPr>
  </w:style>
  <w:style w:type="paragraph" w:styleId="Heading4">
    <w:name w:val="heading 4"/>
    <w:basedOn w:val="Normal"/>
    <w:next w:val="Normal"/>
    <w:qFormat/>
    <w:rsid w:val="00483964"/>
    <w:pPr>
      <w:keepNext/>
      <w:spacing w:line="260" w:lineRule="atLeast"/>
      <w:ind w:left="-284"/>
      <w:jc w:val="both"/>
      <w:outlineLvl w:val="3"/>
    </w:pPr>
    <w:rPr>
      <w:b/>
      <w:sz w:val="60"/>
    </w:rPr>
  </w:style>
  <w:style w:type="paragraph" w:styleId="Heading5">
    <w:name w:val="heading 5"/>
    <w:basedOn w:val="Normal"/>
    <w:next w:val="Normal"/>
    <w:qFormat/>
    <w:rsid w:val="00483964"/>
    <w:pPr>
      <w:keepNext/>
      <w:jc w:val="center"/>
      <w:outlineLvl w:val="4"/>
    </w:pPr>
    <w:rPr>
      <w:sz w:val="20"/>
      <w:lang w:val="en-US"/>
    </w:rPr>
  </w:style>
  <w:style w:type="paragraph" w:styleId="Heading6">
    <w:name w:val="heading 6"/>
    <w:basedOn w:val="Normal"/>
    <w:next w:val="Normal"/>
    <w:qFormat/>
    <w:rsid w:val="00483964"/>
    <w:pPr>
      <w:keepNext/>
      <w:widowControl w:val="0"/>
      <w:tabs>
        <w:tab w:val="left" w:pos="1530"/>
      </w:tabs>
      <w:jc w:val="both"/>
      <w:outlineLvl w:val="5"/>
    </w:pPr>
    <w:rPr>
      <w:rFonts w:ascii="Arial" w:hAnsi="Arial" w:cs="Arial"/>
      <w:b/>
      <w:bCs/>
      <w:snapToGrid w:val="0"/>
      <w:sz w:val="20"/>
    </w:rPr>
  </w:style>
  <w:style w:type="paragraph" w:styleId="Heading7">
    <w:name w:val="heading 7"/>
    <w:basedOn w:val="Normal"/>
    <w:next w:val="Normal"/>
    <w:qFormat/>
    <w:rsid w:val="00483964"/>
    <w:pPr>
      <w:keepNext/>
      <w:outlineLvl w:val="6"/>
    </w:pPr>
    <w:rPr>
      <w:b/>
      <w:bCs/>
    </w:rPr>
  </w:style>
  <w:style w:type="paragraph" w:styleId="Heading8">
    <w:name w:val="heading 8"/>
    <w:basedOn w:val="Normal"/>
    <w:next w:val="Normal"/>
    <w:qFormat/>
    <w:rsid w:val="00483964"/>
    <w:pPr>
      <w:keepNext/>
      <w:outlineLvl w:val="7"/>
    </w:pPr>
    <w:rPr>
      <w:strike/>
    </w:rPr>
  </w:style>
  <w:style w:type="paragraph" w:styleId="Heading9">
    <w:name w:val="heading 9"/>
    <w:basedOn w:val="Normal"/>
    <w:next w:val="Normal"/>
    <w:qFormat/>
    <w:rsid w:val="00483964"/>
    <w:pPr>
      <w:keepNext/>
      <w:jc w:val="center"/>
      <w:outlineLvl w:val="8"/>
    </w:pPr>
    <w:rPr>
      <w:rFonts w:ascii="Arial" w:hAnsi="Arial"/>
      <w:b/>
      <w:bCs/>
      <w:color w:val="FF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eading">
    <w:name w:val="Major heading"/>
    <w:basedOn w:val="Heading1"/>
    <w:next w:val="Normal"/>
    <w:rsid w:val="00483964"/>
    <w:pPr>
      <w:widowControl w:val="0"/>
      <w:spacing w:before="120"/>
      <w:jc w:val="both"/>
    </w:pPr>
    <w:rPr>
      <w:snapToGrid w:val="0"/>
      <w:kern w:val="0"/>
    </w:rPr>
  </w:style>
  <w:style w:type="paragraph" w:customStyle="1" w:styleId="Minorheading">
    <w:name w:val="Minor heading"/>
    <w:basedOn w:val="Normal"/>
    <w:next w:val="Normal"/>
    <w:rsid w:val="00483964"/>
    <w:pPr>
      <w:widowControl w:val="0"/>
      <w:spacing w:after="120"/>
      <w:jc w:val="both"/>
    </w:pPr>
    <w:rPr>
      <w:b/>
      <w:snapToGrid w:val="0"/>
      <w:sz w:val="22"/>
    </w:rPr>
  </w:style>
  <w:style w:type="paragraph" w:styleId="BodyText">
    <w:name w:val="Body Text"/>
    <w:basedOn w:val="Normal"/>
    <w:rsid w:val="00483964"/>
    <w:pPr>
      <w:widowControl w:val="0"/>
      <w:tabs>
        <w:tab w:val="left" w:pos="2097"/>
        <w:tab w:val="left" w:pos="2522"/>
      </w:tabs>
      <w:spacing w:line="218" w:lineRule="auto"/>
      <w:jc w:val="both"/>
    </w:pPr>
    <w:rPr>
      <w:snapToGrid w:val="0"/>
      <w:sz w:val="22"/>
    </w:rPr>
  </w:style>
  <w:style w:type="paragraph" w:styleId="Header">
    <w:name w:val="header"/>
    <w:basedOn w:val="Normal"/>
    <w:rsid w:val="00483964"/>
    <w:pPr>
      <w:tabs>
        <w:tab w:val="center" w:pos="4153"/>
        <w:tab w:val="right" w:pos="8306"/>
      </w:tabs>
    </w:pPr>
  </w:style>
  <w:style w:type="paragraph" w:styleId="Footer">
    <w:name w:val="footer"/>
    <w:basedOn w:val="Normal"/>
    <w:rsid w:val="00483964"/>
    <w:pPr>
      <w:tabs>
        <w:tab w:val="center" w:pos="4153"/>
        <w:tab w:val="right" w:pos="8306"/>
      </w:tabs>
    </w:pPr>
  </w:style>
  <w:style w:type="paragraph" w:styleId="FootnoteText">
    <w:name w:val="footnote text"/>
    <w:basedOn w:val="Normal"/>
    <w:semiHidden/>
    <w:rsid w:val="00483964"/>
    <w:pPr>
      <w:widowControl w:val="0"/>
    </w:pPr>
    <w:rPr>
      <w:rFonts w:ascii="CG Times" w:hAnsi="CG Times"/>
      <w:snapToGrid w:val="0"/>
      <w:lang w:val="en-US"/>
    </w:rPr>
  </w:style>
  <w:style w:type="paragraph" w:customStyle="1" w:styleId="SPCnormal">
    <w:name w:val="SPC_normal"/>
    <w:link w:val="SPCnormalChar"/>
    <w:rsid w:val="00483964"/>
    <w:rPr>
      <w:sz w:val="22"/>
      <w:lang w:val="en-GB" w:eastAsia="en-US"/>
    </w:rPr>
  </w:style>
  <w:style w:type="paragraph" w:customStyle="1" w:styleId="SPCHeading3">
    <w:name w:val="SPC_Heading3"/>
    <w:basedOn w:val="SPCnormal"/>
    <w:rsid w:val="00483964"/>
    <w:pPr>
      <w:keepNext/>
    </w:pPr>
    <w:rPr>
      <w:b/>
    </w:rPr>
  </w:style>
  <w:style w:type="paragraph" w:customStyle="1" w:styleId="SPCList">
    <w:name w:val="SPC_List"/>
    <w:basedOn w:val="SPCnormal"/>
    <w:next w:val="SPCnormal"/>
    <w:rsid w:val="00483964"/>
    <w:pPr>
      <w:numPr>
        <w:numId w:val="15"/>
      </w:numPr>
    </w:pPr>
  </w:style>
  <w:style w:type="paragraph" w:customStyle="1" w:styleId="SPCTabletitleleft">
    <w:name w:val="SPC_Tabletitle_left"/>
    <w:basedOn w:val="SPCnormal"/>
    <w:rsid w:val="00483964"/>
    <w:rPr>
      <w:b/>
      <w:sz w:val="18"/>
    </w:rPr>
  </w:style>
  <w:style w:type="paragraph" w:customStyle="1" w:styleId="SPCTabletitlecenter">
    <w:name w:val="SPC_Tabletitle_center"/>
    <w:basedOn w:val="SPCnormal"/>
    <w:next w:val="SPCnormal"/>
    <w:rsid w:val="00483964"/>
    <w:pPr>
      <w:keepNext/>
      <w:jc w:val="center"/>
    </w:pPr>
    <w:rPr>
      <w:b/>
      <w:sz w:val="18"/>
    </w:rPr>
  </w:style>
  <w:style w:type="paragraph" w:customStyle="1" w:styleId="SPCTabletextleft">
    <w:name w:val="SPC_Tabletext_left"/>
    <w:basedOn w:val="SPCnormal"/>
    <w:rsid w:val="00483964"/>
    <w:rPr>
      <w:sz w:val="18"/>
    </w:rPr>
  </w:style>
  <w:style w:type="paragraph" w:customStyle="1" w:styleId="SPCTabletextright">
    <w:name w:val="SPC_Tabletext_right"/>
    <w:basedOn w:val="SPCnormal"/>
    <w:rsid w:val="00483964"/>
    <w:pPr>
      <w:jc w:val="right"/>
    </w:pPr>
    <w:rPr>
      <w:sz w:val="18"/>
    </w:rPr>
  </w:style>
  <w:style w:type="paragraph" w:customStyle="1" w:styleId="SPCtablefootnote">
    <w:name w:val="SPC_tablefootnote"/>
    <w:basedOn w:val="SPCnormal"/>
    <w:rsid w:val="00483964"/>
    <w:rPr>
      <w:sz w:val="18"/>
    </w:rPr>
  </w:style>
  <w:style w:type="paragraph" w:customStyle="1" w:styleId="SPCHeading2">
    <w:name w:val="SPC_Heading2"/>
    <w:basedOn w:val="SPCnormal"/>
    <w:rsid w:val="00483964"/>
    <w:pPr>
      <w:keepNext/>
      <w:ind w:left="567" w:hanging="567"/>
    </w:pPr>
    <w:rPr>
      <w:b/>
    </w:rPr>
  </w:style>
  <w:style w:type="paragraph" w:customStyle="1" w:styleId="SPCHeading1">
    <w:name w:val="SPC_Heading1"/>
    <w:basedOn w:val="SPCnormal"/>
    <w:rsid w:val="00483964"/>
    <w:pPr>
      <w:keepNext/>
      <w:ind w:left="567" w:hanging="567"/>
    </w:pPr>
    <w:rPr>
      <w:b/>
      <w:caps/>
    </w:rPr>
  </w:style>
  <w:style w:type="paragraph" w:customStyle="1" w:styleId="Bodytextlinked">
    <w:name w:val="Body text linked"/>
    <w:basedOn w:val="BodyText"/>
    <w:next w:val="List"/>
    <w:rsid w:val="00483964"/>
    <w:pPr>
      <w:keepNext/>
      <w:widowControl/>
      <w:tabs>
        <w:tab w:val="clear" w:pos="2097"/>
        <w:tab w:val="clear" w:pos="2522"/>
      </w:tabs>
      <w:spacing w:before="240" w:line="240" w:lineRule="auto"/>
    </w:pPr>
    <w:rPr>
      <w:snapToGrid/>
      <w:sz w:val="24"/>
      <w:lang w:val="en-US"/>
    </w:rPr>
  </w:style>
  <w:style w:type="paragraph" w:styleId="List">
    <w:name w:val="List"/>
    <w:basedOn w:val="Normal"/>
    <w:rsid w:val="00483964"/>
    <w:pPr>
      <w:ind w:left="283" w:hanging="283"/>
    </w:pPr>
  </w:style>
  <w:style w:type="paragraph" w:styleId="BodyText2">
    <w:name w:val="Body Text 2"/>
    <w:basedOn w:val="Normal"/>
    <w:rsid w:val="00483964"/>
    <w:rPr>
      <w:rFonts w:cs="Arial"/>
      <w:b/>
      <w:bCs/>
    </w:rPr>
  </w:style>
  <w:style w:type="paragraph" w:styleId="BodyText3">
    <w:name w:val="Body Text 3"/>
    <w:basedOn w:val="Normal"/>
    <w:rsid w:val="00483964"/>
    <w:pPr>
      <w:autoSpaceDE w:val="0"/>
      <w:autoSpaceDN w:val="0"/>
      <w:adjustRightInd w:val="0"/>
    </w:pPr>
    <w:rPr>
      <w:lang w:val="en-US"/>
    </w:rPr>
  </w:style>
  <w:style w:type="character" w:styleId="CommentReference">
    <w:name w:val="annotation reference"/>
    <w:basedOn w:val="DefaultParagraphFont"/>
    <w:semiHidden/>
    <w:rsid w:val="00483964"/>
    <w:rPr>
      <w:sz w:val="16"/>
      <w:szCs w:val="16"/>
    </w:rPr>
  </w:style>
  <w:style w:type="paragraph" w:styleId="CommentText">
    <w:name w:val="annotation text"/>
    <w:basedOn w:val="Normal"/>
    <w:link w:val="CommentTextChar"/>
    <w:semiHidden/>
    <w:rsid w:val="00483964"/>
  </w:style>
  <w:style w:type="paragraph" w:customStyle="1" w:styleId="SPCHeading4">
    <w:name w:val="SPC_Heading4"/>
    <w:basedOn w:val="SPCnormal"/>
    <w:next w:val="SPCnormal"/>
    <w:rsid w:val="00483964"/>
    <w:pPr>
      <w:keepNext/>
    </w:pPr>
    <w:rPr>
      <w:u w:val="single"/>
    </w:rPr>
  </w:style>
  <w:style w:type="paragraph" w:customStyle="1" w:styleId="Tabletext">
    <w:name w:val="Table text"/>
    <w:basedOn w:val="BodyText"/>
    <w:rsid w:val="00483964"/>
    <w:pPr>
      <w:keepLines/>
      <w:widowControl/>
      <w:tabs>
        <w:tab w:val="clear" w:pos="2097"/>
        <w:tab w:val="clear" w:pos="2522"/>
      </w:tabs>
      <w:spacing w:before="40" w:after="40" w:line="240" w:lineRule="auto"/>
      <w:jc w:val="left"/>
    </w:pPr>
    <w:rPr>
      <w:rFonts w:ascii="Arial" w:hAnsi="Arial"/>
      <w:snapToGrid/>
      <w:sz w:val="18"/>
      <w:lang w:val="en-US"/>
    </w:rPr>
  </w:style>
  <w:style w:type="paragraph" w:customStyle="1" w:styleId="Tableheading">
    <w:name w:val="Table heading"/>
    <w:basedOn w:val="Normal"/>
    <w:next w:val="Tabletext"/>
    <w:rsid w:val="00483964"/>
    <w:pPr>
      <w:keepNext/>
      <w:keepLines/>
      <w:spacing w:before="80" w:after="80"/>
      <w:jc w:val="center"/>
    </w:pPr>
    <w:rPr>
      <w:rFonts w:ascii="Arial" w:hAnsi="Arial"/>
      <w:b/>
      <w:sz w:val="18"/>
      <w:lang w:val="en-US"/>
    </w:rPr>
  </w:style>
  <w:style w:type="paragraph" w:customStyle="1" w:styleId="SPCListbulleted">
    <w:name w:val="SPC_List_bulleted"/>
    <w:basedOn w:val="SPCnormal"/>
    <w:next w:val="SPCnormal"/>
    <w:rsid w:val="00483964"/>
    <w:pPr>
      <w:numPr>
        <w:numId w:val="9"/>
      </w:numPr>
    </w:pPr>
  </w:style>
  <w:style w:type="paragraph" w:customStyle="1" w:styleId="SPCindent">
    <w:name w:val="SPC_indent"/>
    <w:basedOn w:val="SPCnormal"/>
    <w:next w:val="SPCnormal"/>
    <w:rsid w:val="00483964"/>
    <w:pPr>
      <w:ind w:left="567"/>
    </w:pPr>
    <w:rPr>
      <w:lang w:eastAsia="sv-SE"/>
    </w:rPr>
  </w:style>
  <w:style w:type="paragraph" w:customStyle="1" w:styleId="SPCHeading5">
    <w:name w:val="SPC_Heading5"/>
    <w:basedOn w:val="SPCnormal"/>
    <w:next w:val="SPCnormal"/>
    <w:rsid w:val="00483964"/>
    <w:pPr>
      <w:keepNext/>
    </w:pPr>
    <w:rPr>
      <w:i/>
      <w:iCs/>
      <w:lang w:eastAsia="sv-SE"/>
    </w:rPr>
  </w:style>
  <w:style w:type="paragraph" w:customStyle="1" w:styleId="SPCtabletextcenter">
    <w:name w:val="SPC_tabletext_center"/>
    <w:basedOn w:val="SPCnormal"/>
    <w:next w:val="SPCnormal"/>
    <w:rsid w:val="00483964"/>
    <w:pPr>
      <w:jc w:val="center"/>
    </w:pPr>
    <w:rPr>
      <w:sz w:val="18"/>
      <w:lang w:eastAsia="sv-SE"/>
    </w:rPr>
  </w:style>
  <w:style w:type="paragraph" w:styleId="BalloonText">
    <w:name w:val="Balloon Text"/>
    <w:basedOn w:val="Normal"/>
    <w:semiHidden/>
    <w:rsid w:val="00483964"/>
    <w:rPr>
      <w:rFonts w:ascii="Tahoma" w:hAnsi="Tahoma" w:cs="Tahoma"/>
      <w:sz w:val="16"/>
      <w:szCs w:val="16"/>
    </w:rPr>
  </w:style>
  <w:style w:type="paragraph" w:styleId="BodyTextIndent">
    <w:name w:val="Body Text Indent"/>
    <w:basedOn w:val="Normal"/>
    <w:rsid w:val="00483964"/>
    <w:pPr>
      <w:ind w:left="764"/>
    </w:pPr>
    <w:rPr>
      <w:rFonts w:cs="Arial"/>
      <w:szCs w:val="24"/>
    </w:rPr>
  </w:style>
  <w:style w:type="paragraph" w:styleId="CommentSubject">
    <w:name w:val="annotation subject"/>
    <w:basedOn w:val="CommentText"/>
    <w:next w:val="CommentText"/>
    <w:semiHidden/>
    <w:rsid w:val="00483964"/>
    <w:rPr>
      <w:b/>
      <w:bCs/>
      <w:sz w:val="20"/>
    </w:rPr>
  </w:style>
  <w:style w:type="paragraph" w:customStyle="1" w:styleId="MDSitalic">
    <w:name w:val="MDS_italic"/>
    <w:basedOn w:val="SPCnormal"/>
    <w:next w:val="SPCnormal"/>
    <w:rsid w:val="00BC6DA1"/>
    <w:pPr>
      <w:keepLines/>
    </w:pPr>
    <w:rPr>
      <w:i/>
      <w:iCs/>
      <w:lang w:eastAsia="sv-SE"/>
    </w:rPr>
  </w:style>
  <w:style w:type="character" w:customStyle="1" w:styleId="SPCnormalChar">
    <w:name w:val="SPC_normal Char"/>
    <w:basedOn w:val="DefaultParagraphFont"/>
    <w:link w:val="SPCnormal"/>
    <w:rsid w:val="00BC6DA1"/>
    <w:rPr>
      <w:sz w:val="22"/>
      <w:lang w:val="en-GB" w:eastAsia="en-US"/>
    </w:rPr>
  </w:style>
  <w:style w:type="paragraph" w:styleId="ListParagraph">
    <w:name w:val="List Paragraph"/>
    <w:basedOn w:val="Normal"/>
    <w:uiPriority w:val="34"/>
    <w:qFormat/>
    <w:rsid w:val="00BC6DA1"/>
    <w:pPr>
      <w:ind w:left="720"/>
      <w:contextualSpacing/>
    </w:pPr>
  </w:style>
  <w:style w:type="paragraph" w:customStyle="1" w:styleId="Default">
    <w:name w:val="Default"/>
    <w:rsid w:val="00ED04BF"/>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411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367C15"/>
    <w:rPr>
      <w:sz w:val="24"/>
      <w:lang w:eastAsia="en-US"/>
    </w:rPr>
  </w:style>
  <w:style w:type="paragraph" w:styleId="NormalWeb">
    <w:name w:val="Normal (Web)"/>
    <w:basedOn w:val="Normal"/>
    <w:uiPriority w:val="99"/>
    <w:unhideWhenUsed/>
    <w:rsid w:val="00962A60"/>
    <w:pPr>
      <w:spacing w:before="100" w:beforeAutospacing="1" w:after="75"/>
    </w:pPr>
    <w:rPr>
      <w:color w:val="000000"/>
      <w:szCs w:val="24"/>
      <w:lang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B4F8-B11C-4966-98E6-1205BD17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23</Pages>
  <Words>6995</Words>
  <Characters>40366</Characters>
  <Application>Microsoft Office Word</Application>
  <DocSecurity>0</DocSecurity>
  <Lines>1187</Lines>
  <Paragraphs>544</Paragraphs>
  <ScaleCrop>false</ScaleCrop>
  <HeadingPairs>
    <vt:vector size="2" baseType="variant">
      <vt:variant>
        <vt:lpstr>Title</vt:lpstr>
      </vt:variant>
      <vt:variant>
        <vt:i4>1</vt:i4>
      </vt:variant>
    </vt:vector>
  </HeadingPairs>
  <TitlesOfParts>
    <vt:vector size="1" baseType="lpstr">
      <vt:lpstr>PI</vt:lpstr>
    </vt:vector>
  </TitlesOfParts>
  <Company>Alphapharm</Company>
  <LinksUpToDate>false</LinksUpToDate>
  <CharactersWithSpaces>46817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Erbitux</dc:title>
  <dc:subject>prescription medicine regulation</dc:subject>
  <dc:creator>Alphapharm</dc:creator>
  <cp:keywords>pi, product information, prescription, medicine, regulation, erbitux, cetuximab, alphapharm</cp:keywords>
  <cp:lastModifiedBy>Sheppard, Fran</cp:lastModifiedBy>
  <cp:revision>23</cp:revision>
  <cp:lastPrinted>2013-05-23T06:54:00Z</cp:lastPrinted>
  <dcterms:created xsi:type="dcterms:W3CDTF">2013-05-08T21:18:00Z</dcterms:created>
  <dcterms:modified xsi:type="dcterms:W3CDTF">2013-10-25T05:57:00Z</dcterms:modified>
</cp:coreProperties>
</file>