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4A0FFB" w:rsidP="00096AA7">
            <w:pPr>
              <w:rPr>
                <w:rFonts w:ascii="Arial" w:hAnsi="Arial" w:cs="Arial"/>
                <w:b/>
                <w:color w:val="002C47"/>
                <w:sz w:val="36"/>
                <w:szCs w:val="36"/>
              </w:rPr>
            </w:pPr>
            <w:r>
              <w:rPr>
                <w:rFonts w:ascii="Arial" w:hAnsi="Arial" w:cs="Arial"/>
                <w:b/>
                <w:color w:val="002C47"/>
                <w:sz w:val="36"/>
                <w:szCs w:val="36"/>
              </w:rPr>
              <w:t xml:space="preserve">February </w:t>
            </w:r>
            <w:r w:rsidR="00AA0DEE">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AA0DEE" w:rsidRPr="00AA0DEE">
              <w:rPr>
                <w:color w:val="FFFFFF" w:themeColor="background1"/>
              </w:rPr>
              <w:t>Certolizumab pegol (rbe)</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r w:rsidR="00AA0DEE" w:rsidRPr="00AA0DEE">
              <w:rPr>
                <w:color w:val="FFFFFF" w:themeColor="background1"/>
              </w:rPr>
              <w:t>Cimzia</w:t>
            </w:r>
          </w:p>
        </w:tc>
      </w:tr>
      <w:tr w:rsidR="0032583B" w:rsidRPr="00B64760" w:rsidTr="0032583B">
        <w:trPr>
          <w:trHeight w:val="486"/>
        </w:trPr>
        <w:tc>
          <w:tcPr>
            <w:tcW w:w="9079" w:type="dxa"/>
          </w:tcPr>
          <w:p w:rsidR="0032583B" w:rsidRPr="008E7846" w:rsidRDefault="00AA0DEE" w:rsidP="0032583B">
            <w:pPr>
              <w:pStyle w:val="Subtitle"/>
              <w:rPr>
                <w:color w:val="FFFFFF" w:themeColor="background1"/>
              </w:rPr>
            </w:pPr>
            <w:r>
              <w:rPr>
                <w:color w:val="FFFFFF" w:themeColor="background1"/>
              </w:rPr>
              <w:t xml:space="preserve">Sponsor: </w:t>
            </w:r>
            <w:r w:rsidRPr="00AA0DEE">
              <w:rPr>
                <w:color w:val="FFFFFF" w:themeColor="background1"/>
              </w:rPr>
              <w:t>UCB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sidR="00AA0DEE">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w:t>
          </w:r>
          <w:bookmarkStart w:id="2" w:name="_GoBack"/>
          <w:bookmarkEnd w:id="2"/>
          <w:r w:rsidRPr="0010788A">
            <w:t>ntents</w:t>
          </w:r>
        </w:p>
        <w:p w:rsidR="003B5CAA"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2924715" w:history="1">
            <w:r w:rsidR="003B5CAA" w:rsidRPr="000616BC">
              <w:rPr>
                <w:rStyle w:val="Hyperlink"/>
                <w:noProof/>
              </w:rPr>
              <w:t>Common abbreviations</w:t>
            </w:r>
            <w:r w:rsidR="003B5CAA">
              <w:rPr>
                <w:noProof/>
                <w:webHidden/>
              </w:rPr>
              <w:tab/>
            </w:r>
            <w:r w:rsidR="003B5CAA">
              <w:rPr>
                <w:noProof/>
                <w:webHidden/>
              </w:rPr>
              <w:fldChar w:fldCharType="begin"/>
            </w:r>
            <w:r w:rsidR="003B5CAA">
              <w:rPr>
                <w:noProof/>
                <w:webHidden/>
              </w:rPr>
              <w:instrText xml:space="preserve"> PAGEREF _Toc32924715 \h </w:instrText>
            </w:r>
            <w:r w:rsidR="003B5CAA">
              <w:rPr>
                <w:noProof/>
                <w:webHidden/>
              </w:rPr>
            </w:r>
            <w:r w:rsidR="003B5CAA">
              <w:rPr>
                <w:noProof/>
                <w:webHidden/>
              </w:rPr>
              <w:fldChar w:fldCharType="separate"/>
            </w:r>
            <w:r w:rsidR="003B5CAA">
              <w:rPr>
                <w:noProof/>
                <w:webHidden/>
              </w:rPr>
              <w:t>4</w:t>
            </w:r>
            <w:r w:rsidR="003B5CAA">
              <w:rPr>
                <w:noProof/>
                <w:webHidden/>
              </w:rPr>
              <w:fldChar w:fldCharType="end"/>
            </w:r>
          </w:hyperlink>
        </w:p>
        <w:p w:rsidR="003B5CAA" w:rsidRDefault="003B5CAA">
          <w:pPr>
            <w:pStyle w:val="TOC2"/>
            <w:rPr>
              <w:rFonts w:asciiTheme="minorHAnsi" w:eastAsiaTheme="minorEastAsia" w:hAnsiTheme="minorHAnsi" w:cstheme="minorBidi"/>
              <w:b w:val="0"/>
              <w:noProof/>
              <w:sz w:val="22"/>
              <w:lang w:eastAsia="en-AU"/>
            </w:rPr>
          </w:pPr>
          <w:hyperlink w:anchor="_Toc32924716" w:history="1">
            <w:r w:rsidRPr="000616BC">
              <w:rPr>
                <w:rStyle w:val="Hyperlink"/>
                <w:noProof/>
              </w:rPr>
              <w:t>I. Introduction to product submission</w:t>
            </w:r>
            <w:r>
              <w:rPr>
                <w:noProof/>
                <w:webHidden/>
              </w:rPr>
              <w:tab/>
            </w:r>
            <w:r>
              <w:rPr>
                <w:noProof/>
                <w:webHidden/>
              </w:rPr>
              <w:fldChar w:fldCharType="begin"/>
            </w:r>
            <w:r>
              <w:rPr>
                <w:noProof/>
                <w:webHidden/>
              </w:rPr>
              <w:instrText xml:space="preserve"> PAGEREF _Toc32924716 \h </w:instrText>
            </w:r>
            <w:r>
              <w:rPr>
                <w:noProof/>
                <w:webHidden/>
              </w:rPr>
            </w:r>
            <w:r>
              <w:rPr>
                <w:noProof/>
                <w:webHidden/>
              </w:rPr>
              <w:fldChar w:fldCharType="separate"/>
            </w:r>
            <w:r>
              <w:rPr>
                <w:noProof/>
                <w:webHidden/>
              </w:rPr>
              <w:t>6</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17" w:history="1">
            <w:r w:rsidRPr="000616BC">
              <w:rPr>
                <w:rStyle w:val="Hyperlink"/>
                <w:noProof/>
                <w:lang w:eastAsia="en-AU"/>
              </w:rPr>
              <w:t>Submission details</w:t>
            </w:r>
            <w:r>
              <w:rPr>
                <w:noProof/>
                <w:webHidden/>
              </w:rPr>
              <w:tab/>
            </w:r>
            <w:r>
              <w:rPr>
                <w:noProof/>
                <w:webHidden/>
              </w:rPr>
              <w:fldChar w:fldCharType="begin"/>
            </w:r>
            <w:r>
              <w:rPr>
                <w:noProof/>
                <w:webHidden/>
              </w:rPr>
              <w:instrText xml:space="preserve"> PAGEREF _Toc32924717 \h </w:instrText>
            </w:r>
            <w:r>
              <w:rPr>
                <w:noProof/>
                <w:webHidden/>
              </w:rPr>
            </w:r>
            <w:r>
              <w:rPr>
                <w:noProof/>
                <w:webHidden/>
              </w:rPr>
              <w:fldChar w:fldCharType="separate"/>
            </w:r>
            <w:r>
              <w:rPr>
                <w:noProof/>
                <w:webHidden/>
              </w:rPr>
              <w:t>6</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18" w:history="1">
            <w:r w:rsidRPr="000616BC">
              <w:rPr>
                <w:rStyle w:val="Hyperlink"/>
                <w:noProof/>
              </w:rPr>
              <w:t>Product background</w:t>
            </w:r>
            <w:r>
              <w:rPr>
                <w:noProof/>
                <w:webHidden/>
              </w:rPr>
              <w:tab/>
            </w:r>
            <w:r>
              <w:rPr>
                <w:noProof/>
                <w:webHidden/>
              </w:rPr>
              <w:fldChar w:fldCharType="begin"/>
            </w:r>
            <w:r>
              <w:rPr>
                <w:noProof/>
                <w:webHidden/>
              </w:rPr>
              <w:instrText xml:space="preserve"> PAGEREF _Toc32924718 \h </w:instrText>
            </w:r>
            <w:r>
              <w:rPr>
                <w:noProof/>
                <w:webHidden/>
              </w:rPr>
            </w:r>
            <w:r>
              <w:rPr>
                <w:noProof/>
                <w:webHidden/>
              </w:rPr>
              <w:fldChar w:fldCharType="separate"/>
            </w:r>
            <w:r>
              <w:rPr>
                <w:noProof/>
                <w:webHidden/>
              </w:rPr>
              <w:t>7</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19" w:history="1">
            <w:r w:rsidRPr="000616BC">
              <w:rPr>
                <w:rStyle w:val="Hyperlink"/>
                <w:noProof/>
              </w:rPr>
              <w:t>Regulatory status</w:t>
            </w:r>
            <w:r>
              <w:rPr>
                <w:noProof/>
                <w:webHidden/>
              </w:rPr>
              <w:tab/>
            </w:r>
            <w:r>
              <w:rPr>
                <w:noProof/>
                <w:webHidden/>
              </w:rPr>
              <w:fldChar w:fldCharType="begin"/>
            </w:r>
            <w:r>
              <w:rPr>
                <w:noProof/>
                <w:webHidden/>
              </w:rPr>
              <w:instrText xml:space="preserve"> PAGEREF _Toc32924719 \h </w:instrText>
            </w:r>
            <w:r>
              <w:rPr>
                <w:noProof/>
                <w:webHidden/>
              </w:rPr>
            </w:r>
            <w:r>
              <w:rPr>
                <w:noProof/>
                <w:webHidden/>
              </w:rPr>
              <w:fldChar w:fldCharType="separate"/>
            </w:r>
            <w:r>
              <w:rPr>
                <w:noProof/>
                <w:webHidden/>
              </w:rPr>
              <w:t>7</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20" w:history="1">
            <w:r w:rsidRPr="000616BC">
              <w:rPr>
                <w:rStyle w:val="Hyperlink"/>
                <w:noProof/>
              </w:rPr>
              <w:t>Product Information</w:t>
            </w:r>
            <w:r>
              <w:rPr>
                <w:noProof/>
                <w:webHidden/>
              </w:rPr>
              <w:tab/>
            </w:r>
            <w:r>
              <w:rPr>
                <w:noProof/>
                <w:webHidden/>
              </w:rPr>
              <w:fldChar w:fldCharType="begin"/>
            </w:r>
            <w:r>
              <w:rPr>
                <w:noProof/>
                <w:webHidden/>
              </w:rPr>
              <w:instrText xml:space="preserve"> PAGEREF _Toc32924720 \h </w:instrText>
            </w:r>
            <w:r>
              <w:rPr>
                <w:noProof/>
                <w:webHidden/>
              </w:rPr>
            </w:r>
            <w:r>
              <w:rPr>
                <w:noProof/>
                <w:webHidden/>
              </w:rPr>
              <w:fldChar w:fldCharType="separate"/>
            </w:r>
            <w:r>
              <w:rPr>
                <w:noProof/>
                <w:webHidden/>
              </w:rPr>
              <w:t>8</w:t>
            </w:r>
            <w:r>
              <w:rPr>
                <w:noProof/>
                <w:webHidden/>
              </w:rPr>
              <w:fldChar w:fldCharType="end"/>
            </w:r>
          </w:hyperlink>
        </w:p>
        <w:p w:rsidR="003B5CAA" w:rsidRDefault="003B5CAA">
          <w:pPr>
            <w:pStyle w:val="TOC2"/>
            <w:rPr>
              <w:rFonts w:asciiTheme="minorHAnsi" w:eastAsiaTheme="minorEastAsia" w:hAnsiTheme="minorHAnsi" w:cstheme="minorBidi"/>
              <w:b w:val="0"/>
              <w:noProof/>
              <w:sz w:val="22"/>
              <w:lang w:eastAsia="en-AU"/>
            </w:rPr>
          </w:pPr>
          <w:hyperlink w:anchor="_Toc32924721" w:history="1">
            <w:r w:rsidRPr="000616BC">
              <w:rPr>
                <w:rStyle w:val="Hyperlink"/>
                <w:noProof/>
              </w:rPr>
              <w:t>II. Registration timeline</w:t>
            </w:r>
            <w:r>
              <w:rPr>
                <w:noProof/>
                <w:webHidden/>
              </w:rPr>
              <w:tab/>
            </w:r>
            <w:r>
              <w:rPr>
                <w:noProof/>
                <w:webHidden/>
              </w:rPr>
              <w:fldChar w:fldCharType="begin"/>
            </w:r>
            <w:r>
              <w:rPr>
                <w:noProof/>
                <w:webHidden/>
              </w:rPr>
              <w:instrText xml:space="preserve"> PAGEREF _Toc32924721 \h </w:instrText>
            </w:r>
            <w:r>
              <w:rPr>
                <w:noProof/>
                <w:webHidden/>
              </w:rPr>
            </w:r>
            <w:r>
              <w:rPr>
                <w:noProof/>
                <w:webHidden/>
              </w:rPr>
              <w:fldChar w:fldCharType="separate"/>
            </w:r>
            <w:r>
              <w:rPr>
                <w:noProof/>
                <w:webHidden/>
              </w:rPr>
              <w:t>9</w:t>
            </w:r>
            <w:r>
              <w:rPr>
                <w:noProof/>
                <w:webHidden/>
              </w:rPr>
              <w:fldChar w:fldCharType="end"/>
            </w:r>
          </w:hyperlink>
        </w:p>
        <w:p w:rsidR="003B5CAA" w:rsidRDefault="003B5CAA">
          <w:pPr>
            <w:pStyle w:val="TOC2"/>
            <w:rPr>
              <w:rFonts w:asciiTheme="minorHAnsi" w:eastAsiaTheme="minorEastAsia" w:hAnsiTheme="minorHAnsi" w:cstheme="minorBidi"/>
              <w:b w:val="0"/>
              <w:noProof/>
              <w:sz w:val="22"/>
              <w:lang w:eastAsia="en-AU"/>
            </w:rPr>
          </w:pPr>
          <w:hyperlink w:anchor="_Toc32924722" w:history="1">
            <w:r w:rsidRPr="000616BC">
              <w:rPr>
                <w:rStyle w:val="Hyperlink"/>
                <w:noProof/>
              </w:rPr>
              <w:t>III. Submission overview and risk/benefit assessment</w:t>
            </w:r>
            <w:r>
              <w:rPr>
                <w:noProof/>
                <w:webHidden/>
              </w:rPr>
              <w:tab/>
            </w:r>
            <w:r>
              <w:rPr>
                <w:noProof/>
                <w:webHidden/>
              </w:rPr>
              <w:fldChar w:fldCharType="begin"/>
            </w:r>
            <w:r>
              <w:rPr>
                <w:noProof/>
                <w:webHidden/>
              </w:rPr>
              <w:instrText xml:space="preserve"> PAGEREF _Toc32924722 \h </w:instrText>
            </w:r>
            <w:r>
              <w:rPr>
                <w:noProof/>
                <w:webHidden/>
              </w:rPr>
            </w:r>
            <w:r>
              <w:rPr>
                <w:noProof/>
                <w:webHidden/>
              </w:rPr>
              <w:fldChar w:fldCharType="separate"/>
            </w:r>
            <w:r>
              <w:rPr>
                <w:noProof/>
                <w:webHidden/>
              </w:rPr>
              <w:t>9</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23" w:history="1">
            <w:r w:rsidRPr="000616BC">
              <w:rPr>
                <w:rStyle w:val="Hyperlink"/>
                <w:noProof/>
              </w:rPr>
              <w:t>Quality</w:t>
            </w:r>
            <w:r>
              <w:rPr>
                <w:noProof/>
                <w:webHidden/>
              </w:rPr>
              <w:tab/>
            </w:r>
            <w:r>
              <w:rPr>
                <w:noProof/>
                <w:webHidden/>
              </w:rPr>
              <w:fldChar w:fldCharType="begin"/>
            </w:r>
            <w:r>
              <w:rPr>
                <w:noProof/>
                <w:webHidden/>
              </w:rPr>
              <w:instrText xml:space="preserve"> PAGEREF _Toc32924723 \h </w:instrText>
            </w:r>
            <w:r>
              <w:rPr>
                <w:noProof/>
                <w:webHidden/>
              </w:rPr>
            </w:r>
            <w:r>
              <w:rPr>
                <w:noProof/>
                <w:webHidden/>
              </w:rPr>
              <w:fldChar w:fldCharType="separate"/>
            </w:r>
            <w:r>
              <w:rPr>
                <w:noProof/>
                <w:webHidden/>
              </w:rPr>
              <w:t>9</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24" w:history="1">
            <w:r w:rsidRPr="000616BC">
              <w:rPr>
                <w:rStyle w:val="Hyperlink"/>
                <w:noProof/>
              </w:rPr>
              <w:t>Nonclinical</w:t>
            </w:r>
            <w:r>
              <w:rPr>
                <w:noProof/>
                <w:webHidden/>
              </w:rPr>
              <w:tab/>
            </w:r>
            <w:r>
              <w:rPr>
                <w:noProof/>
                <w:webHidden/>
              </w:rPr>
              <w:fldChar w:fldCharType="begin"/>
            </w:r>
            <w:r>
              <w:rPr>
                <w:noProof/>
                <w:webHidden/>
              </w:rPr>
              <w:instrText xml:space="preserve"> PAGEREF _Toc32924724 \h </w:instrText>
            </w:r>
            <w:r>
              <w:rPr>
                <w:noProof/>
                <w:webHidden/>
              </w:rPr>
            </w:r>
            <w:r>
              <w:rPr>
                <w:noProof/>
                <w:webHidden/>
              </w:rPr>
              <w:fldChar w:fldCharType="separate"/>
            </w:r>
            <w:r>
              <w:rPr>
                <w:noProof/>
                <w:webHidden/>
              </w:rPr>
              <w:t>9</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25" w:history="1">
            <w:r w:rsidRPr="000616BC">
              <w:rPr>
                <w:rStyle w:val="Hyperlink"/>
                <w:noProof/>
              </w:rPr>
              <w:t>Clinical</w:t>
            </w:r>
            <w:r>
              <w:rPr>
                <w:noProof/>
                <w:webHidden/>
              </w:rPr>
              <w:tab/>
            </w:r>
            <w:r>
              <w:rPr>
                <w:noProof/>
                <w:webHidden/>
              </w:rPr>
              <w:fldChar w:fldCharType="begin"/>
            </w:r>
            <w:r>
              <w:rPr>
                <w:noProof/>
                <w:webHidden/>
              </w:rPr>
              <w:instrText xml:space="preserve"> PAGEREF _Toc32924725 \h </w:instrText>
            </w:r>
            <w:r>
              <w:rPr>
                <w:noProof/>
                <w:webHidden/>
              </w:rPr>
            </w:r>
            <w:r>
              <w:rPr>
                <w:noProof/>
                <w:webHidden/>
              </w:rPr>
              <w:fldChar w:fldCharType="separate"/>
            </w:r>
            <w:r>
              <w:rPr>
                <w:noProof/>
                <w:webHidden/>
              </w:rPr>
              <w:t>10</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26" w:history="1">
            <w:r w:rsidRPr="000616BC">
              <w:rPr>
                <w:rStyle w:val="Hyperlink"/>
                <w:noProof/>
                <w:lang w:eastAsia="en-AU"/>
              </w:rPr>
              <w:t>Risk management plan</w:t>
            </w:r>
            <w:r>
              <w:rPr>
                <w:noProof/>
                <w:webHidden/>
              </w:rPr>
              <w:tab/>
            </w:r>
            <w:r>
              <w:rPr>
                <w:noProof/>
                <w:webHidden/>
              </w:rPr>
              <w:fldChar w:fldCharType="begin"/>
            </w:r>
            <w:r>
              <w:rPr>
                <w:noProof/>
                <w:webHidden/>
              </w:rPr>
              <w:instrText xml:space="preserve"> PAGEREF _Toc32924726 \h </w:instrText>
            </w:r>
            <w:r>
              <w:rPr>
                <w:noProof/>
                <w:webHidden/>
              </w:rPr>
            </w:r>
            <w:r>
              <w:rPr>
                <w:noProof/>
                <w:webHidden/>
              </w:rPr>
              <w:fldChar w:fldCharType="separate"/>
            </w:r>
            <w:r>
              <w:rPr>
                <w:noProof/>
                <w:webHidden/>
              </w:rPr>
              <w:t>13</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27" w:history="1">
            <w:r w:rsidRPr="000616BC">
              <w:rPr>
                <w:rStyle w:val="Hyperlink"/>
                <w:noProof/>
              </w:rPr>
              <w:t>Risk-benefit analysis</w:t>
            </w:r>
            <w:r>
              <w:rPr>
                <w:noProof/>
                <w:webHidden/>
              </w:rPr>
              <w:tab/>
            </w:r>
            <w:r>
              <w:rPr>
                <w:noProof/>
                <w:webHidden/>
              </w:rPr>
              <w:fldChar w:fldCharType="begin"/>
            </w:r>
            <w:r>
              <w:rPr>
                <w:noProof/>
                <w:webHidden/>
              </w:rPr>
              <w:instrText xml:space="preserve"> PAGEREF _Toc32924727 \h </w:instrText>
            </w:r>
            <w:r>
              <w:rPr>
                <w:noProof/>
                <w:webHidden/>
              </w:rPr>
            </w:r>
            <w:r>
              <w:rPr>
                <w:noProof/>
                <w:webHidden/>
              </w:rPr>
              <w:fldChar w:fldCharType="separate"/>
            </w:r>
            <w:r>
              <w:rPr>
                <w:noProof/>
                <w:webHidden/>
              </w:rPr>
              <w:t>13</w:t>
            </w:r>
            <w:r>
              <w:rPr>
                <w:noProof/>
                <w:webHidden/>
              </w:rPr>
              <w:fldChar w:fldCharType="end"/>
            </w:r>
          </w:hyperlink>
        </w:p>
        <w:p w:rsidR="003B5CAA" w:rsidRDefault="003B5CAA">
          <w:pPr>
            <w:pStyle w:val="TOC3"/>
            <w:rPr>
              <w:rFonts w:asciiTheme="minorHAnsi" w:eastAsiaTheme="minorEastAsia" w:hAnsiTheme="minorHAnsi" w:cstheme="minorBidi"/>
              <w:noProof/>
              <w:lang w:eastAsia="en-AU"/>
            </w:rPr>
          </w:pPr>
          <w:hyperlink w:anchor="_Toc32924728" w:history="1">
            <w:r w:rsidRPr="000616BC">
              <w:rPr>
                <w:rStyle w:val="Hyperlink"/>
                <w:noProof/>
              </w:rPr>
              <w:t>Outcome</w:t>
            </w:r>
            <w:r>
              <w:rPr>
                <w:noProof/>
                <w:webHidden/>
              </w:rPr>
              <w:tab/>
            </w:r>
            <w:r>
              <w:rPr>
                <w:noProof/>
                <w:webHidden/>
              </w:rPr>
              <w:fldChar w:fldCharType="begin"/>
            </w:r>
            <w:r>
              <w:rPr>
                <w:noProof/>
                <w:webHidden/>
              </w:rPr>
              <w:instrText xml:space="preserve"> PAGEREF _Toc32924728 \h </w:instrText>
            </w:r>
            <w:r>
              <w:rPr>
                <w:noProof/>
                <w:webHidden/>
              </w:rPr>
            </w:r>
            <w:r>
              <w:rPr>
                <w:noProof/>
                <w:webHidden/>
              </w:rPr>
              <w:fldChar w:fldCharType="separate"/>
            </w:r>
            <w:r>
              <w:rPr>
                <w:noProof/>
                <w:webHidden/>
              </w:rPr>
              <w:t>17</w:t>
            </w:r>
            <w:r>
              <w:rPr>
                <w:noProof/>
                <w:webHidden/>
              </w:rPr>
              <w:fldChar w:fldCharType="end"/>
            </w:r>
          </w:hyperlink>
        </w:p>
        <w:p w:rsidR="003B5CAA" w:rsidRDefault="003B5CAA">
          <w:pPr>
            <w:pStyle w:val="TOC2"/>
            <w:rPr>
              <w:rFonts w:asciiTheme="minorHAnsi" w:eastAsiaTheme="minorEastAsia" w:hAnsiTheme="minorHAnsi" w:cstheme="minorBidi"/>
              <w:b w:val="0"/>
              <w:noProof/>
              <w:sz w:val="22"/>
              <w:lang w:eastAsia="en-AU"/>
            </w:rPr>
          </w:pPr>
          <w:hyperlink w:anchor="_Toc32924729" w:history="1">
            <w:r w:rsidRPr="000616BC">
              <w:rPr>
                <w:rStyle w:val="Hyperlink"/>
                <w:noProof/>
              </w:rPr>
              <w:t>Attachment 1. Product Information</w:t>
            </w:r>
            <w:r>
              <w:rPr>
                <w:noProof/>
                <w:webHidden/>
              </w:rPr>
              <w:tab/>
            </w:r>
            <w:r>
              <w:rPr>
                <w:noProof/>
                <w:webHidden/>
              </w:rPr>
              <w:fldChar w:fldCharType="begin"/>
            </w:r>
            <w:r>
              <w:rPr>
                <w:noProof/>
                <w:webHidden/>
              </w:rPr>
              <w:instrText xml:space="preserve"> PAGEREF _Toc32924729 \h </w:instrText>
            </w:r>
            <w:r>
              <w:rPr>
                <w:noProof/>
                <w:webHidden/>
              </w:rPr>
            </w:r>
            <w:r>
              <w:rPr>
                <w:noProof/>
                <w:webHidden/>
              </w:rPr>
              <w:fldChar w:fldCharType="separate"/>
            </w:r>
            <w:r>
              <w:rPr>
                <w:noProof/>
                <w:webHidden/>
              </w:rPr>
              <w:t>18</w:t>
            </w:r>
            <w:r>
              <w:rPr>
                <w:noProof/>
                <w:webHidden/>
              </w:rPr>
              <w:fldChar w:fldCharType="end"/>
            </w:r>
          </w:hyperlink>
        </w:p>
        <w:p w:rsidR="003A7F6C" w:rsidRPr="00B811C6" w:rsidRDefault="00960520"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C52E24" w:rsidRPr="00C52E24" w:rsidRDefault="00441C3F" w:rsidP="003D6D15">
      <w:pPr>
        <w:pStyle w:val="Heading2"/>
      </w:pPr>
      <w:bookmarkStart w:id="4" w:name="_Toc351716269"/>
      <w:bookmarkStart w:id="5" w:name="_Toc351718881"/>
      <w:bookmarkStart w:id="6" w:name="_Toc355338616"/>
      <w:bookmarkStart w:id="7" w:name="_Toc356306144"/>
      <w:bookmarkStart w:id="8" w:name="_Toc32924715"/>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070D95" w:rsidRPr="00FD119B" w:rsidTr="003D6D15">
        <w:tc>
          <w:tcPr>
            <w:tcW w:w="1809" w:type="dxa"/>
            <w:vAlign w:val="bottom"/>
          </w:tcPr>
          <w:p w:rsidR="00070D95" w:rsidRDefault="00070D95" w:rsidP="003D6D15">
            <w:r>
              <w:t>ACM</w:t>
            </w:r>
          </w:p>
        </w:tc>
        <w:tc>
          <w:tcPr>
            <w:tcW w:w="6911" w:type="dxa"/>
            <w:vAlign w:val="bottom"/>
          </w:tcPr>
          <w:p w:rsidR="00070D95" w:rsidRDefault="00070D95" w:rsidP="003D6D15">
            <w:r>
              <w:t>Advisory Committee on Medicines</w:t>
            </w:r>
          </w:p>
        </w:tc>
      </w:tr>
      <w:tr w:rsidR="003D6D15" w:rsidRPr="00FD119B" w:rsidTr="003D6D15">
        <w:tc>
          <w:tcPr>
            <w:tcW w:w="1809" w:type="dxa"/>
            <w:vAlign w:val="bottom"/>
          </w:tcPr>
          <w:p w:rsidR="003D6D15" w:rsidRDefault="003D6D15" w:rsidP="003D6D15">
            <w:r>
              <w:t>ADA</w:t>
            </w:r>
          </w:p>
        </w:tc>
        <w:tc>
          <w:tcPr>
            <w:tcW w:w="6911" w:type="dxa"/>
            <w:vAlign w:val="bottom"/>
          </w:tcPr>
          <w:p w:rsidR="003D6D15" w:rsidRDefault="003D6D15" w:rsidP="003D6D15">
            <w:r>
              <w:t>Anti-</w:t>
            </w:r>
            <w:r w:rsidR="004A0FFB">
              <w:t>d</w:t>
            </w:r>
            <w:r>
              <w:t xml:space="preserve">rug </w:t>
            </w:r>
            <w:r w:rsidR="004A0FFB">
              <w:t>a</w:t>
            </w:r>
            <w:r>
              <w:t>ntibody</w:t>
            </w:r>
          </w:p>
        </w:tc>
      </w:tr>
      <w:tr w:rsidR="003D6D15" w:rsidRPr="00FD119B" w:rsidTr="003D6D15">
        <w:tc>
          <w:tcPr>
            <w:tcW w:w="1809" w:type="dxa"/>
            <w:vAlign w:val="bottom"/>
          </w:tcPr>
          <w:p w:rsidR="003D6D15" w:rsidRDefault="003D6D15" w:rsidP="003D6D15">
            <w:r>
              <w:rPr>
                <w:szCs w:val="22"/>
              </w:rPr>
              <w:t>A</w:t>
            </w:r>
            <w:r>
              <w:t>E</w:t>
            </w:r>
          </w:p>
        </w:tc>
        <w:tc>
          <w:tcPr>
            <w:tcW w:w="6911" w:type="dxa"/>
            <w:vAlign w:val="bottom"/>
          </w:tcPr>
          <w:p w:rsidR="003D6D15" w:rsidRDefault="003D6D15" w:rsidP="003D6D15">
            <w:r>
              <w:rPr>
                <w:szCs w:val="22"/>
              </w:rPr>
              <w:t xml:space="preserve">Adverse </w:t>
            </w:r>
            <w:r w:rsidR="004A0FFB">
              <w:rPr>
                <w:szCs w:val="22"/>
              </w:rPr>
              <w:t>e</w:t>
            </w:r>
            <w:r>
              <w:rPr>
                <w:szCs w:val="22"/>
              </w:rPr>
              <w:t>vent</w:t>
            </w:r>
          </w:p>
        </w:tc>
      </w:tr>
      <w:tr w:rsidR="004D2801" w:rsidRPr="00FD119B" w:rsidTr="003D6D15">
        <w:tc>
          <w:tcPr>
            <w:tcW w:w="1809" w:type="dxa"/>
            <w:vAlign w:val="bottom"/>
          </w:tcPr>
          <w:p w:rsidR="004D2801" w:rsidRDefault="004D2801" w:rsidP="003D6D15">
            <w:r>
              <w:t>ALT</w:t>
            </w:r>
          </w:p>
        </w:tc>
        <w:tc>
          <w:tcPr>
            <w:tcW w:w="6911" w:type="dxa"/>
            <w:vAlign w:val="bottom"/>
          </w:tcPr>
          <w:p w:rsidR="004D2801" w:rsidRDefault="004D2801" w:rsidP="004D2801">
            <w:r>
              <w:t>Alanine aminotransferase</w:t>
            </w:r>
          </w:p>
        </w:tc>
      </w:tr>
      <w:tr w:rsidR="003D6D15" w:rsidRPr="00FD119B" w:rsidTr="003D6D15">
        <w:tc>
          <w:tcPr>
            <w:tcW w:w="1809" w:type="dxa"/>
            <w:vAlign w:val="bottom"/>
          </w:tcPr>
          <w:p w:rsidR="003D6D15" w:rsidRDefault="003D6D15" w:rsidP="003D6D15">
            <w:r>
              <w:t>ARTG</w:t>
            </w:r>
          </w:p>
        </w:tc>
        <w:tc>
          <w:tcPr>
            <w:tcW w:w="6911" w:type="dxa"/>
            <w:vAlign w:val="bottom"/>
          </w:tcPr>
          <w:p w:rsidR="003D6D15" w:rsidRDefault="003D6D15" w:rsidP="003D6D15">
            <w:r w:rsidRPr="00940A89">
              <w:t>Australian Register of</w:t>
            </w:r>
            <w:r>
              <w:t xml:space="preserve"> Therapeutic Goods</w:t>
            </w:r>
          </w:p>
        </w:tc>
      </w:tr>
      <w:tr w:rsidR="003D6D15" w:rsidRPr="00FD119B" w:rsidTr="003D6D15">
        <w:tc>
          <w:tcPr>
            <w:tcW w:w="1809" w:type="dxa"/>
            <w:vAlign w:val="bottom"/>
          </w:tcPr>
          <w:p w:rsidR="003D6D15" w:rsidRDefault="003D6D15" w:rsidP="003D6D15">
            <w:r>
              <w:t>AS</w:t>
            </w:r>
          </w:p>
        </w:tc>
        <w:tc>
          <w:tcPr>
            <w:tcW w:w="6911" w:type="dxa"/>
            <w:vAlign w:val="bottom"/>
          </w:tcPr>
          <w:p w:rsidR="003D6D15" w:rsidRDefault="003D6D15" w:rsidP="003D6D15">
            <w:r>
              <w:t xml:space="preserve">Ankylosing </w:t>
            </w:r>
            <w:r w:rsidR="004A0FFB">
              <w:t>s</w:t>
            </w:r>
            <w:r>
              <w:t>pondylitis</w:t>
            </w:r>
          </w:p>
        </w:tc>
      </w:tr>
      <w:tr w:rsidR="003D6D15" w:rsidRPr="00FD119B" w:rsidTr="003D6D15">
        <w:tc>
          <w:tcPr>
            <w:tcW w:w="1809" w:type="dxa"/>
            <w:vAlign w:val="bottom"/>
          </w:tcPr>
          <w:p w:rsidR="003D6D15" w:rsidRDefault="003D6D15" w:rsidP="003D6D15">
            <w:r>
              <w:t>ASAS</w:t>
            </w:r>
          </w:p>
        </w:tc>
        <w:tc>
          <w:tcPr>
            <w:tcW w:w="6911" w:type="dxa"/>
            <w:vAlign w:val="bottom"/>
          </w:tcPr>
          <w:p w:rsidR="003D6D15" w:rsidRDefault="003D6D15" w:rsidP="003D6D15">
            <w:r>
              <w:t xml:space="preserve">Assessment of </w:t>
            </w:r>
            <w:proofErr w:type="spellStart"/>
            <w:r>
              <w:t>Spondylo</w:t>
            </w:r>
            <w:r w:rsidR="008354EE">
              <w:t>Arthritis</w:t>
            </w:r>
            <w:proofErr w:type="spellEnd"/>
            <w:r w:rsidR="008354EE">
              <w:t xml:space="preserve"> International Society</w:t>
            </w:r>
          </w:p>
        </w:tc>
      </w:tr>
      <w:tr w:rsidR="008354EE" w:rsidRPr="00FD119B" w:rsidTr="008354EE">
        <w:tc>
          <w:tcPr>
            <w:tcW w:w="1809" w:type="dxa"/>
            <w:vAlign w:val="center"/>
          </w:tcPr>
          <w:p w:rsidR="008354EE" w:rsidRDefault="008354EE" w:rsidP="008354EE">
            <w:r>
              <w:t>ASAS40</w:t>
            </w:r>
          </w:p>
        </w:tc>
        <w:tc>
          <w:tcPr>
            <w:tcW w:w="6911" w:type="dxa"/>
            <w:vAlign w:val="center"/>
          </w:tcPr>
          <w:p w:rsidR="008354EE" w:rsidRDefault="008354EE" w:rsidP="008354EE">
            <w:r>
              <w:t xml:space="preserve">Assessment of </w:t>
            </w:r>
            <w:proofErr w:type="spellStart"/>
            <w:r>
              <w:t>SpondyloArthritis</w:t>
            </w:r>
            <w:proofErr w:type="spellEnd"/>
            <w:r>
              <w:t xml:space="preserve"> International Society 40% response</w:t>
            </w:r>
          </w:p>
        </w:tc>
      </w:tr>
      <w:tr w:rsidR="003D6D15" w:rsidRPr="00FD119B" w:rsidTr="003D6D15">
        <w:tc>
          <w:tcPr>
            <w:tcW w:w="1809" w:type="dxa"/>
            <w:vAlign w:val="bottom"/>
          </w:tcPr>
          <w:p w:rsidR="003D6D15" w:rsidRDefault="003D6D15" w:rsidP="003D6D15">
            <w:r>
              <w:t>ASDAS</w:t>
            </w:r>
          </w:p>
        </w:tc>
        <w:tc>
          <w:tcPr>
            <w:tcW w:w="6911" w:type="dxa"/>
            <w:vAlign w:val="bottom"/>
          </w:tcPr>
          <w:p w:rsidR="003D6D15" w:rsidRDefault="003D6D15" w:rsidP="003D6D15">
            <w:r>
              <w:t>Ankylosing Spondylitis Disease Activity Score</w:t>
            </w:r>
          </w:p>
        </w:tc>
      </w:tr>
      <w:tr w:rsidR="008354EE" w:rsidRPr="00FD119B" w:rsidTr="003D6D15">
        <w:tc>
          <w:tcPr>
            <w:tcW w:w="1809" w:type="dxa"/>
            <w:vAlign w:val="bottom"/>
          </w:tcPr>
          <w:p w:rsidR="008354EE" w:rsidRDefault="008354EE" w:rsidP="003D6D15">
            <w:r>
              <w:t>ASDAS-MI</w:t>
            </w:r>
          </w:p>
        </w:tc>
        <w:tc>
          <w:tcPr>
            <w:tcW w:w="6911" w:type="dxa"/>
            <w:vAlign w:val="bottom"/>
          </w:tcPr>
          <w:p w:rsidR="008354EE" w:rsidRDefault="008354EE" w:rsidP="008354EE">
            <w:r>
              <w:t>Ankylosing Spondylitis Disease Activity Score - Major Improvement</w:t>
            </w:r>
          </w:p>
        </w:tc>
      </w:tr>
      <w:tr w:rsidR="003D6D15" w:rsidRPr="00FD119B" w:rsidTr="003D6D15">
        <w:tc>
          <w:tcPr>
            <w:tcW w:w="1809" w:type="dxa"/>
            <w:vAlign w:val="bottom"/>
          </w:tcPr>
          <w:p w:rsidR="003D6D15" w:rsidRDefault="003D6D15" w:rsidP="003D6D15">
            <w:proofErr w:type="spellStart"/>
            <w:r>
              <w:t>ASQoL</w:t>
            </w:r>
            <w:proofErr w:type="spellEnd"/>
          </w:p>
        </w:tc>
        <w:tc>
          <w:tcPr>
            <w:tcW w:w="6911" w:type="dxa"/>
            <w:vAlign w:val="bottom"/>
          </w:tcPr>
          <w:p w:rsidR="003D6D15" w:rsidRDefault="003D6D15" w:rsidP="003D6D15">
            <w:r>
              <w:t>Ankylosing Spondylitis Quality of Life</w:t>
            </w:r>
          </w:p>
        </w:tc>
      </w:tr>
      <w:tr w:rsidR="003D6D15" w:rsidRPr="00FD119B" w:rsidTr="003D6D15">
        <w:tc>
          <w:tcPr>
            <w:tcW w:w="1809" w:type="dxa"/>
            <w:vAlign w:val="bottom"/>
          </w:tcPr>
          <w:p w:rsidR="003D6D15" w:rsidRDefault="003D6D15" w:rsidP="003D6D15">
            <w:r>
              <w:t xml:space="preserve">Axial </w:t>
            </w:r>
            <w:proofErr w:type="spellStart"/>
            <w:r>
              <w:t>SpA</w:t>
            </w:r>
            <w:proofErr w:type="spellEnd"/>
          </w:p>
        </w:tc>
        <w:tc>
          <w:tcPr>
            <w:tcW w:w="6911" w:type="dxa"/>
            <w:vAlign w:val="bottom"/>
          </w:tcPr>
          <w:p w:rsidR="003D6D15" w:rsidRDefault="003D6D15" w:rsidP="003D6D15">
            <w:r>
              <w:t xml:space="preserve">Axial </w:t>
            </w:r>
            <w:proofErr w:type="spellStart"/>
            <w:r w:rsidR="004A0FFB">
              <w:t>s</w:t>
            </w:r>
            <w:r>
              <w:t>pondyloarthritis</w:t>
            </w:r>
            <w:proofErr w:type="spellEnd"/>
          </w:p>
        </w:tc>
      </w:tr>
      <w:tr w:rsidR="003D6D15" w:rsidRPr="00FD119B" w:rsidTr="003D6D15">
        <w:tc>
          <w:tcPr>
            <w:tcW w:w="1809" w:type="dxa"/>
            <w:vAlign w:val="bottom"/>
          </w:tcPr>
          <w:p w:rsidR="003D6D15" w:rsidRDefault="003D6D15" w:rsidP="003D6D15">
            <w:r>
              <w:t>BASDAI</w:t>
            </w:r>
          </w:p>
        </w:tc>
        <w:tc>
          <w:tcPr>
            <w:tcW w:w="6911" w:type="dxa"/>
            <w:vAlign w:val="bottom"/>
          </w:tcPr>
          <w:p w:rsidR="003D6D15" w:rsidRDefault="003D6D15" w:rsidP="003D6D15">
            <w:r>
              <w:t>Bath Ankylosing Spo</w:t>
            </w:r>
            <w:r w:rsidR="00EC7157">
              <w:t>ndylitis Disease Activity Index</w:t>
            </w:r>
          </w:p>
        </w:tc>
      </w:tr>
      <w:tr w:rsidR="003D6D15" w:rsidRPr="00FD119B" w:rsidTr="003D6D15">
        <w:tc>
          <w:tcPr>
            <w:tcW w:w="1809" w:type="dxa"/>
            <w:vAlign w:val="bottom"/>
          </w:tcPr>
          <w:p w:rsidR="003D6D15" w:rsidRDefault="003D6D15" w:rsidP="003D6D15">
            <w:r>
              <w:t>BASFI</w:t>
            </w:r>
          </w:p>
        </w:tc>
        <w:tc>
          <w:tcPr>
            <w:tcW w:w="6911" w:type="dxa"/>
            <w:vAlign w:val="bottom"/>
          </w:tcPr>
          <w:p w:rsidR="003D6D15" w:rsidRDefault="003D6D15" w:rsidP="003D6D15">
            <w:r>
              <w:t>Bath Ankylosing Spondylitis Functional Index</w:t>
            </w:r>
          </w:p>
        </w:tc>
      </w:tr>
      <w:tr w:rsidR="003D6D15" w:rsidRPr="00FD119B" w:rsidTr="003D6D15">
        <w:tc>
          <w:tcPr>
            <w:tcW w:w="1809" w:type="dxa"/>
            <w:vAlign w:val="bottom"/>
          </w:tcPr>
          <w:p w:rsidR="003D6D15" w:rsidRDefault="008354EE" w:rsidP="003D6D15">
            <w:r>
              <w:rPr>
                <w:szCs w:val="22"/>
              </w:rPr>
              <w:t>CI</w:t>
            </w:r>
          </w:p>
        </w:tc>
        <w:tc>
          <w:tcPr>
            <w:tcW w:w="6911" w:type="dxa"/>
            <w:vAlign w:val="bottom"/>
          </w:tcPr>
          <w:p w:rsidR="003D6D15" w:rsidRDefault="003D6D15" w:rsidP="003D6D15">
            <w:r w:rsidRPr="002F2961">
              <w:rPr>
                <w:szCs w:val="22"/>
              </w:rPr>
              <w:t>Confidence interval</w:t>
            </w:r>
          </w:p>
        </w:tc>
      </w:tr>
      <w:tr w:rsidR="008354EE" w:rsidRPr="00FD119B" w:rsidTr="003D6D15">
        <w:tc>
          <w:tcPr>
            <w:tcW w:w="1809" w:type="dxa"/>
            <w:vAlign w:val="bottom"/>
          </w:tcPr>
          <w:p w:rsidR="008354EE" w:rsidRPr="002F2961" w:rsidRDefault="008354EE" w:rsidP="003D6D15">
            <w:r>
              <w:t>CRP</w:t>
            </w:r>
          </w:p>
        </w:tc>
        <w:tc>
          <w:tcPr>
            <w:tcW w:w="6911" w:type="dxa"/>
            <w:vAlign w:val="bottom"/>
          </w:tcPr>
          <w:p w:rsidR="008354EE" w:rsidRPr="002F2961" w:rsidRDefault="008354EE" w:rsidP="008354EE">
            <w:r>
              <w:t>C-reactive protein</w:t>
            </w:r>
          </w:p>
        </w:tc>
      </w:tr>
      <w:tr w:rsidR="004D2801" w:rsidRPr="00FD119B" w:rsidTr="003D6D15">
        <w:tc>
          <w:tcPr>
            <w:tcW w:w="1809" w:type="dxa"/>
            <w:vAlign w:val="bottom"/>
          </w:tcPr>
          <w:p w:rsidR="004D2801" w:rsidRDefault="004D2801" w:rsidP="003D6D15">
            <w:r>
              <w:t>DMARD</w:t>
            </w:r>
          </w:p>
        </w:tc>
        <w:tc>
          <w:tcPr>
            <w:tcW w:w="6911" w:type="dxa"/>
            <w:vAlign w:val="bottom"/>
          </w:tcPr>
          <w:p w:rsidR="004D2801" w:rsidRDefault="004D2801" w:rsidP="004D2801">
            <w:r>
              <w:t>D</w:t>
            </w:r>
            <w:r w:rsidRPr="004D2801">
              <w:t>isease</w:t>
            </w:r>
            <w:r>
              <w:t>-modifying anti-rheumatic drug</w:t>
            </w:r>
          </w:p>
        </w:tc>
      </w:tr>
      <w:tr w:rsidR="00311DAF" w:rsidRPr="00FD119B" w:rsidTr="003D6D15">
        <w:tc>
          <w:tcPr>
            <w:tcW w:w="1809" w:type="dxa"/>
            <w:vAlign w:val="bottom"/>
          </w:tcPr>
          <w:p w:rsidR="00311DAF" w:rsidRDefault="00311DAF" w:rsidP="003D6D15">
            <w:r>
              <w:rPr>
                <w:rFonts w:cs="Cambria"/>
              </w:rPr>
              <w:t>HIV</w:t>
            </w:r>
          </w:p>
        </w:tc>
        <w:tc>
          <w:tcPr>
            <w:tcW w:w="6911" w:type="dxa"/>
            <w:vAlign w:val="bottom"/>
          </w:tcPr>
          <w:p w:rsidR="00311DAF" w:rsidRDefault="00311DAF" w:rsidP="00311DAF">
            <w:r>
              <w:rPr>
                <w:rFonts w:cs="Cambria"/>
              </w:rPr>
              <w:t>Human immunodeficiency virus</w:t>
            </w:r>
          </w:p>
        </w:tc>
      </w:tr>
      <w:tr w:rsidR="003D6D15" w:rsidRPr="00FD119B" w:rsidTr="003D6D15">
        <w:tc>
          <w:tcPr>
            <w:tcW w:w="1809" w:type="dxa"/>
            <w:vAlign w:val="bottom"/>
          </w:tcPr>
          <w:p w:rsidR="003D6D15" w:rsidRDefault="003D6D15" w:rsidP="003D6D15">
            <w:r>
              <w:t>ISR</w:t>
            </w:r>
          </w:p>
        </w:tc>
        <w:tc>
          <w:tcPr>
            <w:tcW w:w="6911" w:type="dxa"/>
            <w:vAlign w:val="bottom"/>
          </w:tcPr>
          <w:p w:rsidR="003D6D15" w:rsidRDefault="003D6D15" w:rsidP="003D6D15">
            <w:r>
              <w:t xml:space="preserve">Injection </w:t>
            </w:r>
            <w:r w:rsidR="004A0FFB">
              <w:t>s</w:t>
            </w:r>
            <w:r>
              <w:t xml:space="preserve">ite </w:t>
            </w:r>
            <w:r w:rsidR="004A0FFB">
              <w:t>r</w:t>
            </w:r>
            <w:r>
              <w:t>eaction</w:t>
            </w:r>
          </w:p>
        </w:tc>
      </w:tr>
      <w:tr w:rsidR="003D6D15" w:rsidRPr="00FD119B" w:rsidTr="003D6D15">
        <w:tc>
          <w:tcPr>
            <w:tcW w:w="1809" w:type="dxa"/>
            <w:vAlign w:val="bottom"/>
          </w:tcPr>
          <w:p w:rsidR="003D6D15" w:rsidRDefault="003D6D15" w:rsidP="003D6D15">
            <w:proofErr w:type="spellStart"/>
            <w:r w:rsidRPr="00ED4EAE">
              <w:t>mNY</w:t>
            </w:r>
            <w:proofErr w:type="spellEnd"/>
          </w:p>
        </w:tc>
        <w:tc>
          <w:tcPr>
            <w:tcW w:w="6911" w:type="dxa"/>
            <w:vAlign w:val="bottom"/>
          </w:tcPr>
          <w:p w:rsidR="003D6D15" w:rsidRDefault="003D6D15" w:rsidP="003D6D15">
            <w:r>
              <w:t>Modified New York</w:t>
            </w:r>
            <w:r w:rsidR="004A0FFB">
              <w:t xml:space="preserve"> (diagnostic criteria)</w:t>
            </w:r>
          </w:p>
        </w:tc>
      </w:tr>
      <w:tr w:rsidR="003D6D15" w:rsidRPr="00FD119B" w:rsidTr="003D6D15">
        <w:tc>
          <w:tcPr>
            <w:tcW w:w="1809" w:type="dxa"/>
            <w:vAlign w:val="bottom"/>
          </w:tcPr>
          <w:p w:rsidR="003D6D15" w:rsidRPr="00ED4EAE" w:rsidRDefault="003D6D15" w:rsidP="003D6D15">
            <w:r w:rsidRPr="00ED4EAE">
              <w:t>MRI</w:t>
            </w:r>
          </w:p>
        </w:tc>
        <w:tc>
          <w:tcPr>
            <w:tcW w:w="6911" w:type="dxa"/>
            <w:vAlign w:val="bottom"/>
          </w:tcPr>
          <w:p w:rsidR="003D6D15" w:rsidRDefault="003D6D15" w:rsidP="003D6D15">
            <w:r>
              <w:t>Magnetic resonance imaging</w:t>
            </w:r>
          </w:p>
        </w:tc>
      </w:tr>
      <w:tr w:rsidR="003D6D15" w:rsidRPr="00FD119B" w:rsidTr="003D6D15">
        <w:tc>
          <w:tcPr>
            <w:tcW w:w="1809" w:type="dxa"/>
            <w:vAlign w:val="bottom"/>
          </w:tcPr>
          <w:p w:rsidR="003D6D15" w:rsidRDefault="003D6D15" w:rsidP="003D6D15">
            <w:proofErr w:type="spellStart"/>
            <w:r>
              <w:t>Nr</w:t>
            </w:r>
            <w:proofErr w:type="spellEnd"/>
            <w:r>
              <w:t xml:space="preserve">-axial </w:t>
            </w:r>
            <w:proofErr w:type="spellStart"/>
            <w:r>
              <w:t>SpA</w:t>
            </w:r>
            <w:proofErr w:type="spellEnd"/>
          </w:p>
        </w:tc>
        <w:tc>
          <w:tcPr>
            <w:tcW w:w="6911" w:type="dxa"/>
            <w:vAlign w:val="bottom"/>
          </w:tcPr>
          <w:p w:rsidR="003D6D15" w:rsidRDefault="003D6D15" w:rsidP="003D6D15">
            <w:r>
              <w:t xml:space="preserve">Non-radiographic axial </w:t>
            </w:r>
            <w:proofErr w:type="spellStart"/>
            <w:r w:rsidR="004A0FFB">
              <w:t>s</w:t>
            </w:r>
            <w:r>
              <w:t>pondyloarthritis</w:t>
            </w:r>
            <w:proofErr w:type="spellEnd"/>
          </w:p>
        </w:tc>
      </w:tr>
      <w:tr w:rsidR="003D6D15" w:rsidRPr="00FD119B" w:rsidTr="003D6D15">
        <w:tc>
          <w:tcPr>
            <w:tcW w:w="1809" w:type="dxa"/>
            <w:vAlign w:val="bottom"/>
          </w:tcPr>
          <w:p w:rsidR="003D6D15" w:rsidRDefault="003D6D15" w:rsidP="003D6D15">
            <w:r>
              <w:t>NSAIDs</w:t>
            </w:r>
          </w:p>
        </w:tc>
        <w:tc>
          <w:tcPr>
            <w:tcW w:w="6911" w:type="dxa"/>
            <w:vAlign w:val="bottom"/>
          </w:tcPr>
          <w:p w:rsidR="003D6D15" w:rsidRDefault="003D6D15" w:rsidP="003D6D15">
            <w:r>
              <w:t>N</w:t>
            </w:r>
            <w:r w:rsidRPr="003D6D15">
              <w:t>onst</w:t>
            </w:r>
            <w:r>
              <w:t>eroidal anti-inflammatory drugs</w:t>
            </w:r>
          </w:p>
        </w:tc>
      </w:tr>
      <w:tr w:rsidR="003D6D15" w:rsidRPr="00FD119B" w:rsidTr="003D6D15">
        <w:tc>
          <w:tcPr>
            <w:tcW w:w="1809" w:type="dxa"/>
            <w:vAlign w:val="bottom"/>
          </w:tcPr>
          <w:p w:rsidR="003D6D15" w:rsidRDefault="003D6D15" w:rsidP="003D6D15">
            <w:r>
              <w:t>OR</w:t>
            </w:r>
          </w:p>
        </w:tc>
        <w:tc>
          <w:tcPr>
            <w:tcW w:w="6911" w:type="dxa"/>
            <w:vAlign w:val="bottom"/>
          </w:tcPr>
          <w:p w:rsidR="003D6D15" w:rsidRDefault="003D6D15" w:rsidP="003D6D15">
            <w:r>
              <w:t>Odds Ratio</w:t>
            </w:r>
          </w:p>
        </w:tc>
      </w:tr>
      <w:tr w:rsidR="003D6D15" w:rsidRPr="00FD119B" w:rsidTr="003D6D15">
        <w:tc>
          <w:tcPr>
            <w:tcW w:w="1809" w:type="dxa"/>
            <w:vAlign w:val="bottom"/>
          </w:tcPr>
          <w:p w:rsidR="003D6D15" w:rsidRDefault="008354EE" w:rsidP="003D6D15">
            <w:r>
              <w:rPr>
                <w:szCs w:val="22"/>
              </w:rPr>
              <w:lastRenderedPageBreak/>
              <w:t>PD</w:t>
            </w:r>
          </w:p>
        </w:tc>
        <w:tc>
          <w:tcPr>
            <w:tcW w:w="6911" w:type="dxa"/>
            <w:vAlign w:val="bottom"/>
          </w:tcPr>
          <w:p w:rsidR="003D6D15" w:rsidRDefault="003D6D15" w:rsidP="003D6D15">
            <w:proofErr w:type="spellStart"/>
            <w:r w:rsidRPr="002F2961">
              <w:rPr>
                <w:szCs w:val="22"/>
              </w:rPr>
              <w:t>Pharmacodynamic</w:t>
            </w:r>
            <w:proofErr w:type="spellEnd"/>
            <w:r w:rsidR="008354EE">
              <w:rPr>
                <w:szCs w:val="22"/>
              </w:rPr>
              <w:t>(s)</w:t>
            </w:r>
          </w:p>
        </w:tc>
      </w:tr>
      <w:tr w:rsidR="003D6D15" w:rsidRPr="00FD119B" w:rsidTr="003D6D15">
        <w:tc>
          <w:tcPr>
            <w:tcW w:w="1809" w:type="dxa"/>
            <w:vAlign w:val="bottom"/>
          </w:tcPr>
          <w:p w:rsidR="003D6D15" w:rsidRDefault="003D6D15" w:rsidP="003D6D15">
            <w:r>
              <w:rPr>
                <w:szCs w:val="22"/>
              </w:rPr>
              <w:t>PK</w:t>
            </w:r>
          </w:p>
        </w:tc>
        <w:tc>
          <w:tcPr>
            <w:tcW w:w="6911" w:type="dxa"/>
            <w:vAlign w:val="bottom"/>
          </w:tcPr>
          <w:p w:rsidR="003D6D15" w:rsidRDefault="003D6D15" w:rsidP="003D6D15">
            <w:r>
              <w:rPr>
                <w:szCs w:val="22"/>
              </w:rPr>
              <w:t>Pharmacokinetic</w:t>
            </w:r>
            <w:r w:rsidR="008354EE">
              <w:rPr>
                <w:szCs w:val="22"/>
              </w:rPr>
              <w:t>(s)</w:t>
            </w:r>
          </w:p>
        </w:tc>
      </w:tr>
      <w:tr w:rsidR="003D6D15" w:rsidRPr="00FD119B" w:rsidTr="003D6D15">
        <w:tc>
          <w:tcPr>
            <w:tcW w:w="1809" w:type="dxa"/>
            <w:vAlign w:val="bottom"/>
          </w:tcPr>
          <w:p w:rsidR="003D6D15" w:rsidRDefault="003D6D15" w:rsidP="003D6D15">
            <w:r>
              <w:t>Q2W</w:t>
            </w:r>
          </w:p>
        </w:tc>
        <w:tc>
          <w:tcPr>
            <w:tcW w:w="6911" w:type="dxa"/>
            <w:vAlign w:val="bottom"/>
          </w:tcPr>
          <w:p w:rsidR="003D6D15" w:rsidRDefault="003D6D15" w:rsidP="003D6D15">
            <w:r>
              <w:t>Every 2 weeks</w:t>
            </w:r>
          </w:p>
        </w:tc>
      </w:tr>
      <w:tr w:rsidR="003D6D15" w:rsidRPr="00FD119B" w:rsidTr="003D6D15">
        <w:tc>
          <w:tcPr>
            <w:tcW w:w="1809" w:type="dxa"/>
            <w:vAlign w:val="bottom"/>
          </w:tcPr>
          <w:p w:rsidR="003D6D15" w:rsidRDefault="003D6D15" w:rsidP="003D6D15">
            <w:r>
              <w:t>Q4W</w:t>
            </w:r>
          </w:p>
        </w:tc>
        <w:tc>
          <w:tcPr>
            <w:tcW w:w="6911" w:type="dxa"/>
            <w:vAlign w:val="bottom"/>
          </w:tcPr>
          <w:p w:rsidR="003D6D15" w:rsidRDefault="003D6D15" w:rsidP="003D6D15">
            <w:r>
              <w:t>Every 4 weeks</w:t>
            </w:r>
          </w:p>
        </w:tc>
      </w:tr>
      <w:tr w:rsidR="00311DAF" w:rsidRPr="00FD119B" w:rsidTr="003D6D15">
        <w:tc>
          <w:tcPr>
            <w:tcW w:w="1809" w:type="dxa"/>
            <w:vAlign w:val="bottom"/>
          </w:tcPr>
          <w:p w:rsidR="00311DAF" w:rsidRDefault="00311DAF" w:rsidP="003D6D15">
            <w:r>
              <w:t>RMP</w:t>
            </w:r>
          </w:p>
        </w:tc>
        <w:tc>
          <w:tcPr>
            <w:tcW w:w="6911" w:type="dxa"/>
            <w:vAlign w:val="bottom"/>
          </w:tcPr>
          <w:p w:rsidR="00311DAF" w:rsidRDefault="00311DAF" w:rsidP="00311DAF">
            <w:r>
              <w:t>Risk management plan</w:t>
            </w:r>
          </w:p>
        </w:tc>
      </w:tr>
      <w:tr w:rsidR="003D6D15" w:rsidRPr="00FD119B" w:rsidTr="003D6D15">
        <w:tc>
          <w:tcPr>
            <w:tcW w:w="1809" w:type="dxa"/>
            <w:vAlign w:val="bottom"/>
          </w:tcPr>
          <w:p w:rsidR="003D6D15" w:rsidRDefault="003D6D15" w:rsidP="003D6D15">
            <w:r w:rsidRPr="002F2961">
              <w:rPr>
                <w:szCs w:val="22"/>
              </w:rPr>
              <w:t>SAE</w:t>
            </w:r>
          </w:p>
        </w:tc>
        <w:tc>
          <w:tcPr>
            <w:tcW w:w="6911" w:type="dxa"/>
            <w:vAlign w:val="bottom"/>
          </w:tcPr>
          <w:p w:rsidR="003D6D15" w:rsidRDefault="003D6D15" w:rsidP="003D6D15">
            <w:r w:rsidRPr="002F2961">
              <w:rPr>
                <w:szCs w:val="22"/>
              </w:rPr>
              <w:t>Serious adverse event</w:t>
            </w:r>
          </w:p>
        </w:tc>
      </w:tr>
      <w:tr w:rsidR="003D6D15" w:rsidRPr="00FD119B" w:rsidTr="003D6D15">
        <w:tc>
          <w:tcPr>
            <w:tcW w:w="1809" w:type="dxa"/>
            <w:vAlign w:val="bottom"/>
          </w:tcPr>
          <w:p w:rsidR="003D6D15" w:rsidRDefault="003D6D15" w:rsidP="003D6D15">
            <w:r>
              <w:t>SC</w:t>
            </w:r>
          </w:p>
        </w:tc>
        <w:tc>
          <w:tcPr>
            <w:tcW w:w="6911" w:type="dxa"/>
            <w:vAlign w:val="bottom"/>
          </w:tcPr>
          <w:p w:rsidR="003D6D15" w:rsidRDefault="003D6D15" w:rsidP="003D6D15">
            <w:r>
              <w:t>Subcutaneous</w:t>
            </w:r>
          </w:p>
        </w:tc>
      </w:tr>
      <w:tr w:rsidR="003D6D15" w:rsidRPr="00FD119B" w:rsidTr="003D6D15">
        <w:tc>
          <w:tcPr>
            <w:tcW w:w="1809" w:type="dxa"/>
            <w:vAlign w:val="bottom"/>
          </w:tcPr>
          <w:p w:rsidR="003D6D15" w:rsidRDefault="003D6D15" w:rsidP="003D6D15">
            <w:r w:rsidRPr="00ED4EAE">
              <w:t>SI</w:t>
            </w:r>
          </w:p>
        </w:tc>
        <w:tc>
          <w:tcPr>
            <w:tcW w:w="6911" w:type="dxa"/>
            <w:vAlign w:val="bottom"/>
          </w:tcPr>
          <w:p w:rsidR="003D6D15" w:rsidRDefault="003D6D15" w:rsidP="003D6D15">
            <w:r>
              <w:t>Sacroiliac</w:t>
            </w:r>
          </w:p>
        </w:tc>
      </w:tr>
      <w:tr w:rsidR="00EC7157" w:rsidRPr="00FD119B" w:rsidTr="003D6D15">
        <w:tc>
          <w:tcPr>
            <w:tcW w:w="1809" w:type="dxa"/>
            <w:vAlign w:val="bottom"/>
          </w:tcPr>
          <w:p w:rsidR="00EC7157" w:rsidRPr="002F2961" w:rsidRDefault="00EC7157" w:rsidP="003D6D15">
            <w:r>
              <w:t>SPARCC</w:t>
            </w:r>
          </w:p>
        </w:tc>
        <w:tc>
          <w:tcPr>
            <w:tcW w:w="6911" w:type="dxa"/>
            <w:vAlign w:val="bottom"/>
          </w:tcPr>
          <w:p w:rsidR="00EC7157" w:rsidRPr="002F2961" w:rsidRDefault="00EC7157" w:rsidP="00EC7157">
            <w:proofErr w:type="spellStart"/>
            <w:r w:rsidRPr="00EC7157">
              <w:t>Spondyl</w:t>
            </w:r>
            <w:r>
              <w:t>oarthritis</w:t>
            </w:r>
            <w:proofErr w:type="spellEnd"/>
            <w:r>
              <w:t xml:space="preserve"> Research Consortium of Canada</w:t>
            </w:r>
          </w:p>
        </w:tc>
      </w:tr>
      <w:tr w:rsidR="003D6D15" w:rsidRPr="00FD119B" w:rsidTr="003D6D15">
        <w:tc>
          <w:tcPr>
            <w:tcW w:w="1809" w:type="dxa"/>
            <w:vAlign w:val="bottom"/>
          </w:tcPr>
          <w:p w:rsidR="003D6D15" w:rsidRPr="002F2961" w:rsidRDefault="003D6D15" w:rsidP="003D6D15">
            <w:r>
              <w:t>TB</w:t>
            </w:r>
          </w:p>
        </w:tc>
        <w:tc>
          <w:tcPr>
            <w:tcW w:w="6911" w:type="dxa"/>
            <w:vAlign w:val="bottom"/>
          </w:tcPr>
          <w:p w:rsidR="003D6D15" w:rsidRDefault="003D6D15" w:rsidP="003D6D15">
            <w:r>
              <w:t>Tuberculosis</w:t>
            </w:r>
          </w:p>
        </w:tc>
      </w:tr>
      <w:tr w:rsidR="003D6D15" w:rsidRPr="00FD119B" w:rsidTr="003D6D15">
        <w:tc>
          <w:tcPr>
            <w:tcW w:w="1809" w:type="dxa"/>
            <w:vAlign w:val="bottom"/>
          </w:tcPr>
          <w:p w:rsidR="003D6D15" w:rsidRDefault="003D6D15" w:rsidP="003D6D15">
            <w:r w:rsidRPr="002F2961">
              <w:rPr>
                <w:szCs w:val="22"/>
              </w:rPr>
              <w:t>TNF</w:t>
            </w:r>
          </w:p>
        </w:tc>
        <w:tc>
          <w:tcPr>
            <w:tcW w:w="6911" w:type="dxa"/>
            <w:vAlign w:val="bottom"/>
          </w:tcPr>
          <w:p w:rsidR="003D6D15" w:rsidRDefault="003D6D15" w:rsidP="003D6D15">
            <w:r>
              <w:rPr>
                <w:szCs w:val="22"/>
              </w:rPr>
              <w:t>Tumour</w:t>
            </w:r>
            <w:r w:rsidRPr="002F2961">
              <w:rPr>
                <w:szCs w:val="22"/>
              </w:rPr>
              <w:t xml:space="preserve"> necrosis factor</w:t>
            </w:r>
          </w:p>
        </w:tc>
      </w:tr>
      <w:tr w:rsidR="003D6D15" w:rsidRPr="00FD119B" w:rsidTr="003D6D15">
        <w:tc>
          <w:tcPr>
            <w:tcW w:w="1809" w:type="dxa"/>
            <w:vAlign w:val="bottom"/>
          </w:tcPr>
          <w:p w:rsidR="003D6D15" w:rsidRDefault="003D6D15" w:rsidP="003D6D15">
            <w:r>
              <w:t>ULN</w:t>
            </w:r>
          </w:p>
        </w:tc>
        <w:tc>
          <w:tcPr>
            <w:tcW w:w="6911" w:type="dxa"/>
            <w:vAlign w:val="bottom"/>
          </w:tcPr>
          <w:p w:rsidR="003D6D15" w:rsidRDefault="003D6D15" w:rsidP="003D6D15">
            <w:r>
              <w:t xml:space="preserve">Upper </w:t>
            </w:r>
            <w:r w:rsidR="004A0FFB">
              <w:t>l</w:t>
            </w:r>
            <w:r>
              <w:t xml:space="preserve">imit of </w:t>
            </w:r>
            <w:r w:rsidR="004A0FFB">
              <w:t>n</w:t>
            </w:r>
            <w:r>
              <w:t>ormal</w:t>
            </w:r>
          </w:p>
        </w:tc>
      </w:tr>
      <w:tr w:rsidR="004D2801" w:rsidRPr="00FD119B" w:rsidTr="003D6D15">
        <w:tc>
          <w:tcPr>
            <w:tcW w:w="1809" w:type="dxa"/>
            <w:vAlign w:val="bottom"/>
          </w:tcPr>
          <w:p w:rsidR="004D2801" w:rsidRDefault="004D2801" w:rsidP="003D6D15">
            <w:r>
              <w:t>URTI</w:t>
            </w:r>
          </w:p>
        </w:tc>
        <w:tc>
          <w:tcPr>
            <w:tcW w:w="6911" w:type="dxa"/>
            <w:vAlign w:val="bottom"/>
          </w:tcPr>
          <w:p w:rsidR="004D2801" w:rsidRDefault="004D2801" w:rsidP="004D2801">
            <w:r>
              <w:t>Upper respiratory tract infection</w:t>
            </w:r>
          </w:p>
        </w:tc>
      </w:tr>
      <w:tr w:rsidR="00EC7157" w:rsidRPr="00FD119B" w:rsidTr="003D6D15">
        <w:tc>
          <w:tcPr>
            <w:tcW w:w="1809" w:type="dxa"/>
            <w:vAlign w:val="bottom"/>
          </w:tcPr>
          <w:p w:rsidR="00EC7157" w:rsidRDefault="00EC7157" w:rsidP="003D6D15">
            <w:r>
              <w:t>VAS</w:t>
            </w:r>
          </w:p>
        </w:tc>
        <w:tc>
          <w:tcPr>
            <w:tcW w:w="6911" w:type="dxa"/>
            <w:vAlign w:val="bottom"/>
          </w:tcPr>
          <w:p w:rsidR="00EC7157" w:rsidRDefault="00EC7157" w:rsidP="00EC7157">
            <w:r>
              <w:t xml:space="preserve">Visual </w:t>
            </w:r>
            <w:r w:rsidR="004A0FFB">
              <w:t>A</w:t>
            </w:r>
            <w:r>
              <w:t xml:space="preserve">nalogue </w:t>
            </w:r>
            <w:r w:rsidR="004A0FFB">
              <w:t>S</w:t>
            </w:r>
            <w:r>
              <w:t>cale</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32924716"/>
      <w:r>
        <w:lastRenderedPageBreak/>
        <w:t>I.</w:t>
      </w:r>
      <w:r w:rsidR="008E7846">
        <w:t xml:space="preserve"> Introduction to product submission</w:t>
      </w:r>
      <w:bookmarkEnd w:id="3"/>
      <w:bookmarkEnd w:id="0"/>
      <w:bookmarkEnd w:id="9"/>
    </w:p>
    <w:p w:rsidR="008E7846" w:rsidRDefault="008E7846" w:rsidP="008E7846">
      <w:pPr>
        <w:pStyle w:val="Heading3"/>
        <w:rPr>
          <w:lang w:eastAsia="en-AU"/>
        </w:rPr>
      </w:pPr>
      <w:bookmarkStart w:id="10" w:name="_Toc247691502"/>
      <w:bookmarkStart w:id="11" w:name="_Toc314842483"/>
      <w:bookmarkStart w:id="12" w:name="_Toc32924717"/>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3735BC">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AA0DEE" w:rsidP="001B5C90">
            <w:r>
              <w:t>Extension of indications</w:t>
            </w:r>
          </w:p>
        </w:tc>
      </w:tr>
      <w:tr w:rsidR="008E7846" w:rsidRPr="003D1E62" w:rsidTr="003735BC">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AA0DEE" w:rsidP="00AA0DEE">
            <w:r>
              <w:t>Approved</w:t>
            </w:r>
          </w:p>
        </w:tc>
      </w:tr>
      <w:tr w:rsidR="008E7846" w:rsidRPr="003D1E62" w:rsidTr="003735BC">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AA0DEE" w:rsidP="001B5C90">
            <w:r>
              <w:t>13 November 2019</w:t>
            </w:r>
          </w:p>
        </w:tc>
      </w:tr>
      <w:tr w:rsidR="00ED2922" w:rsidRPr="003D1E62" w:rsidTr="003735BC">
        <w:tc>
          <w:tcPr>
            <w:tcW w:w="2907" w:type="dxa"/>
          </w:tcPr>
          <w:p w:rsidR="00ED2922" w:rsidRPr="00441C3F" w:rsidRDefault="00ED2922" w:rsidP="001B5C90">
            <w:pPr>
              <w:rPr>
                <w:i/>
              </w:rPr>
            </w:pPr>
            <w:r w:rsidRPr="00441C3F">
              <w:rPr>
                <w:i/>
              </w:rPr>
              <w:t>Date of entry onto ARTG</w:t>
            </w:r>
            <w:r w:rsidR="00500337">
              <w:rPr>
                <w:i/>
              </w:rPr>
              <w:t>:</w:t>
            </w:r>
          </w:p>
        </w:tc>
        <w:tc>
          <w:tcPr>
            <w:tcW w:w="6307" w:type="dxa"/>
          </w:tcPr>
          <w:p w:rsidR="00ED2922" w:rsidRPr="00441C3F" w:rsidRDefault="00AA0DEE" w:rsidP="00D153D8">
            <w:pPr>
              <w:rPr>
                <w:i/>
              </w:rPr>
            </w:pPr>
            <w:r>
              <w:t>18 November 2019</w:t>
            </w:r>
          </w:p>
        </w:tc>
      </w:tr>
      <w:tr w:rsidR="00500337" w:rsidRPr="003D1E62" w:rsidTr="003735BC">
        <w:tc>
          <w:tcPr>
            <w:tcW w:w="2907" w:type="dxa"/>
          </w:tcPr>
          <w:p w:rsidR="00500337" w:rsidRPr="00441C3F" w:rsidRDefault="00AA0DEE" w:rsidP="001B5C90">
            <w:pPr>
              <w:rPr>
                <w:i/>
              </w:rPr>
            </w:pPr>
            <w:r>
              <w:rPr>
                <w:i/>
              </w:rPr>
              <w:t>ARTG numbers</w:t>
            </w:r>
            <w:r w:rsidR="00500337">
              <w:rPr>
                <w:i/>
              </w:rPr>
              <w:t>:</w:t>
            </w:r>
          </w:p>
        </w:tc>
        <w:tc>
          <w:tcPr>
            <w:tcW w:w="6307" w:type="dxa"/>
          </w:tcPr>
          <w:p w:rsidR="00500337" w:rsidRPr="00441C3F" w:rsidRDefault="00AA0DEE" w:rsidP="00EC463D">
            <w:r>
              <w:rPr>
                <w:rFonts w:eastAsiaTheme="minorHAnsi" w:cs="Cambria"/>
              </w:rPr>
              <w:t>154726, 281317</w:t>
            </w:r>
          </w:p>
        </w:tc>
      </w:tr>
      <w:tr w:rsidR="003735BC" w:rsidRPr="003D1E62" w:rsidTr="003735BC">
        <w:tc>
          <w:tcPr>
            <w:tcW w:w="2907" w:type="dxa"/>
          </w:tcPr>
          <w:p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rsidR="003735BC" w:rsidRPr="00487162" w:rsidRDefault="002011EA" w:rsidP="003735BC">
            <w:r>
              <w:t>No</w:t>
            </w:r>
          </w:p>
        </w:tc>
      </w:tr>
      <w:tr w:rsidR="008E7846" w:rsidRPr="00487162" w:rsidTr="00BF1190">
        <w:tc>
          <w:tcPr>
            <w:tcW w:w="2907" w:type="dxa"/>
          </w:tcPr>
          <w:p w:rsidR="008E7846" w:rsidRPr="00487162" w:rsidRDefault="00AA0DEE" w:rsidP="00E45619">
            <w:pPr>
              <w:rPr>
                <w:i/>
              </w:rPr>
            </w:pPr>
            <w:r>
              <w:rPr>
                <w:i/>
              </w:rPr>
              <w:t>Active ingredient</w:t>
            </w:r>
            <w:r w:rsidR="001B5C90">
              <w:rPr>
                <w:i/>
              </w:rPr>
              <w:t>:</w:t>
            </w:r>
          </w:p>
        </w:tc>
        <w:tc>
          <w:tcPr>
            <w:tcW w:w="6307" w:type="dxa"/>
          </w:tcPr>
          <w:p w:rsidR="008E7846" w:rsidRPr="00487162" w:rsidRDefault="00AA0DEE" w:rsidP="00E55CB0">
            <w:r>
              <w:t>C</w:t>
            </w:r>
            <w:r w:rsidRPr="00AA0DEE">
              <w:t>ertolizumab pegol (rbe)</w:t>
            </w:r>
          </w:p>
        </w:tc>
      </w:tr>
      <w:tr w:rsidR="008E7846" w:rsidRPr="00487162" w:rsidTr="00BF1190">
        <w:tc>
          <w:tcPr>
            <w:tcW w:w="2907" w:type="dxa"/>
          </w:tcPr>
          <w:p w:rsidR="008E7846" w:rsidRPr="00487162" w:rsidRDefault="008E7846" w:rsidP="001B5C90">
            <w:pPr>
              <w:rPr>
                <w:i/>
              </w:rPr>
            </w:pPr>
            <w:r w:rsidRPr="00487162">
              <w:rPr>
                <w:i/>
              </w:rPr>
              <w:t>Product</w:t>
            </w:r>
            <w:r w:rsidR="00AA0DEE">
              <w:rPr>
                <w:i/>
              </w:rPr>
              <w:t xml:space="preserve"> name</w:t>
            </w:r>
            <w:r w:rsidR="001B5C90">
              <w:rPr>
                <w:i/>
              </w:rPr>
              <w:t>:</w:t>
            </w:r>
          </w:p>
        </w:tc>
        <w:tc>
          <w:tcPr>
            <w:tcW w:w="6307" w:type="dxa"/>
          </w:tcPr>
          <w:p w:rsidR="008E7846" w:rsidRPr="00487162" w:rsidRDefault="00AA0DEE" w:rsidP="00E45619">
            <w:r w:rsidRPr="00AA0DEE">
              <w:t>Cimzia</w:t>
            </w:r>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A01636" w:rsidRDefault="00A01636" w:rsidP="00A01636">
            <w:r>
              <w:t>UCB Australia Pty Ltd</w:t>
            </w:r>
          </w:p>
          <w:p w:rsidR="00A01636" w:rsidRDefault="00A01636" w:rsidP="00A01636">
            <w:r>
              <w:t>Level 1, 1155 Malvern Road</w:t>
            </w:r>
          </w:p>
          <w:p w:rsidR="008E7846" w:rsidRPr="00487162" w:rsidRDefault="00A01636" w:rsidP="00A01636">
            <w:r>
              <w:t>Malvern VIC 3144</w:t>
            </w:r>
          </w:p>
        </w:tc>
      </w:tr>
      <w:tr w:rsidR="008E7846" w:rsidRPr="00487162" w:rsidTr="00BF1190">
        <w:tc>
          <w:tcPr>
            <w:tcW w:w="2907" w:type="dxa"/>
          </w:tcPr>
          <w:p w:rsidR="008E7846" w:rsidRPr="00487162" w:rsidRDefault="002011EA" w:rsidP="00E45619">
            <w:pPr>
              <w:rPr>
                <w:i/>
              </w:rPr>
            </w:pPr>
            <w:r>
              <w:rPr>
                <w:i/>
              </w:rPr>
              <w:t>Dose form</w:t>
            </w:r>
            <w:r w:rsidR="001B5C90">
              <w:rPr>
                <w:i/>
              </w:rPr>
              <w:t>:</w:t>
            </w:r>
          </w:p>
        </w:tc>
        <w:tc>
          <w:tcPr>
            <w:tcW w:w="6307" w:type="dxa"/>
          </w:tcPr>
          <w:p w:rsidR="008E7846" w:rsidRPr="00487162" w:rsidRDefault="00AA0DEE" w:rsidP="00E45619">
            <w:r>
              <w:t>Solution for injection</w:t>
            </w:r>
          </w:p>
        </w:tc>
      </w:tr>
      <w:tr w:rsidR="008E7846" w:rsidRPr="00487162" w:rsidTr="00BF1190">
        <w:tc>
          <w:tcPr>
            <w:tcW w:w="2907" w:type="dxa"/>
          </w:tcPr>
          <w:p w:rsidR="008E7846" w:rsidRPr="00487162" w:rsidRDefault="002011EA" w:rsidP="00E45619">
            <w:pPr>
              <w:rPr>
                <w:i/>
              </w:rPr>
            </w:pPr>
            <w:r>
              <w:rPr>
                <w:i/>
              </w:rPr>
              <w:t>Strength</w:t>
            </w:r>
            <w:r w:rsidR="008E7846" w:rsidRPr="00487162">
              <w:rPr>
                <w:i/>
              </w:rPr>
              <w:t xml:space="preserve">: </w:t>
            </w:r>
          </w:p>
        </w:tc>
        <w:tc>
          <w:tcPr>
            <w:tcW w:w="6307" w:type="dxa"/>
          </w:tcPr>
          <w:p w:rsidR="008E7846" w:rsidRPr="00487162" w:rsidRDefault="00AA0DEE" w:rsidP="00E45619">
            <w:r>
              <w:t>200 mg/mL</w:t>
            </w:r>
          </w:p>
        </w:tc>
      </w:tr>
      <w:tr w:rsidR="008E7846" w:rsidRPr="00487162" w:rsidTr="00BF1190">
        <w:tc>
          <w:tcPr>
            <w:tcW w:w="2907" w:type="dxa"/>
          </w:tcPr>
          <w:p w:rsidR="008E7846" w:rsidRPr="00487162" w:rsidRDefault="002011EA" w:rsidP="00E45619">
            <w:pPr>
              <w:rPr>
                <w:i/>
              </w:rPr>
            </w:pPr>
            <w:r>
              <w:rPr>
                <w:i/>
              </w:rPr>
              <w:t>Container</w:t>
            </w:r>
            <w:r w:rsidR="008E7846" w:rsidRPr="00487162">
              <w:rPr>
                <w:i/>
              </w:rPr>
              <w:t>:</w:t>
            </w:r>
          </w:p>
        </w:tc>
        <w:tc>
          <w:tcPr>
            <w:tcW w:w="6307" w:type="dxa"/>
          </w:tcPr>
          <w:p w:rsidR="008E7846" w:rsidRPr="00487162" w:rsidRDefault="00AA0DEE" w:rsidP="00E45619">
            <w:r>
              <w:t>Prefilled syringe or prefilled pen</w:t>
            </w:r>
          </w:p>
        </w:tc>
      </w:tr>
      <w:tr w:rsidR="008E7846" w:rsidRPr="00487162" w:rsidTr="00BF1190">
        <w:tc>
          <w:tcPr>
            <w:tcW w:w="2907" w:type="dxa"/>
          </w:tcPr>
          <w:p w:rsidR="008E7846" w:rsidRPr="00487162" w:rsidRDefault="002011EA" w:rsidP="00E45619">
            <w:pPr>
              <w:rPr>
                <w:i/>
              </w:rPr>
            </w:pPr>
            <w:r>
              <w:rPr>
                <w:i/>
              </w:rPr>
              <w:t>Pack size</w:t>
            </w:r>
            <w:r w:rsidR="008E7846" w:rsidRPr="00487162">
              <w:rPr>
                <w:i/>
              </w:rPr>
              <w:t>:</w:t>
            </w:r>
          </w:p>
        </w:tc>
        <w:tc>
          <w:tcPr>
            <w:tcW w:w="6307" w:type="dxa"/>
          </w:tcPr>
          <w:p w:rsidR="00A01636" w:rsidRPr="00487162" w:rsidRDefault="00A01636" w:rsidP="00E45619">
            <w:r>
              <w:t>2</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A01636" w:rsidRPr="00A01636" w:rsidRDefault="00A01636" w:rsidP="00A01636">
            <w:pPr>
              <w:rPr>
                <w:i/>
              </w:rPr>
            </w:pPr>
            <w:r w:rsidRPr="00A01636">
              <w:rPr>
                <w:i/>
              </w:rPr>
              <w:t xml:space="preserve">Non-radiographic Axial </w:t>
            </w:r>
            <w:proofErr w:type="spellStart"/>
            <w:r w:rsidRPr="00A01636">
              <w:rPr>
                <w:i/>
              </w:rPr>
              <w:t>Spondyloarthritis</w:t>
            </w:r>
            <w:proofErr w:type="spellEnd"/>
          </w:p>
          <w:p w:rsidR="008E7846" w:rsidRPr="00A01636" w:rsidRDefault="00A01636" w:rsidP="00A01636">
            <w:r w:rsidRPr="00A01636">
              <w:rPr>
                <w:i/>
              </w:rPr>
              <w:t xml:space="preserve">Cimzia is indicated for the treatment of adults with active non-radiographic axial </w:t>
            </w:r>
            <w:proofErr w:type="spellStart"/>
            <w:r w:rsidRPr="00A01636">
              <w:rPr>
                <w:i/>
              </w:rPr>
              <w:t>spondyloarthritis</w:t>
            </w:r>
            <w:proofErr w:type="spellEnd"/>
            <w:r w:rsidRPr="00A01636">
              <w:rPr>
                <w:i/>
              </w:rPr>
              <w:t xml:space="preserve"> (</w:t>
            </w:r>
            <w:proofErr w:type="spellStart"/>
            <w:r w:rsidRPr="00A01636">
              <w:rPr>
                <w:i/>
              </w:rPr>
              <w:t>nr-axSpA</w:t>
            </w:r>
            <w:proofErr w:type="spellEnd"/>
            <w:r w:rsidRPr="00A01636">
              <w:rPr>
                <w:i/>
              </w:rPr>
              <w:t>) with objective signs of inflammation as indicated by elevated C reactive protein (CRP) and/ or magnetic resonance imaging (MRI) change, who have had an inadequate response to, or are intolerant to, nonsteroidal anti-inflammatory drugs (NSAIDs).</w:t>
            </w:r>
          </w:p>
        </w:tc>
      </w:tr>
      <w:tr w:rsidR="008E7846" w:rsidRPr="00487162" w:rsidTr="00BF1190">
        <w:tc>
          <w:tcPr>
            <w:tcW w:w="2907" w:type="dxa"/>
          </w:tcPr>
          <w:p w:rsidR="008E7846" w:rsidRPr="00487162" w:rsidRDefault="002011EA" w:rsidP="00E45619">
            <w:pPr>
              <w:rPr>
                <w:i/>
              </w:rPr>
            </w:pPr>
            <w:r>
              <w:rPr>
                <w:i/>
              </w:rPr>
              <w:t>Route</w:t>
            </w:r>
            <w:r w:rsidR="008E7846" w:rsidRPr="00487162">
              <w:rPr>
                <w:i/>
              </w:rPr>
              <w:t xml:space="preserve"> of administration:</w:t>
            </w:r>
          </w:p>
        </w:tc>
        <w:tc>
          <w:tcPr>
            <w:tcW w:w="6307" w:type="dxa"/>
          </w:tcPr>
          <w:p w:rsidR="008E7846" w:rsidRPr="00487162" w:rsidRDefault="00A01636" w:rsidP="00E45619">
            <w:r>
              <w:t>Subcutaneous</w:t>
            </w:r>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A01636" w:rsidRDefault="00A01636" w:rsidP="00A01636">
            <w:r>
              <w:t xml:space="preserve">Cimzia treatment should be initiated and supervised by specialist physicians experienced in the diagnosis and treatment of rheumatoid arthritis, psoriatic arthritis, ankylosing spondylitis, </w:t>
            </w:r>
            <w:proofErr w:type="spellStart"/>
            <w:r>
              <w:t>nonradiographic</w:t>
            </w:r>
            <w:proofErr w:type="spellEnd"/>
            <w:r>
              <w:t xml:space="preserve"> axial </w:t>
            </w:r>
            <w:proofErr w:type="spellStart"/>
            <w:r>
              <w:t>spondyloarthritis</w:t>
            </w:r>
            <w:proofErr w:type="spellEnd"/>
            <w:r>
              <w:t xml:space="preserve"> and plaque psoriasis. After proper training in injection technique, patients may </w:t>
            </w:r>
            <w:proofErr w:type="spellStart"/>
            <w:r>
              <w:t>self inject</w:t>
            </w:r>
            <w:proofErr w:type="spellEnd"/>
            <w:r>
              <w:t xml:space="preserve"> with Cimzia if their physician determines that it is appropriate and with medical follow-up as necessary.</w:t>
            </w:r>
          </w:p>
          <w:p w:rsidR="00A01636" w:rsidRPr="00A01636" w:rsidRDefault="00A01636" w:rsidP="00A01636">
            <w:pPr>
              <w:rPr>
                <w:i/>
              </w:rPr>
            </w:pPr>
            <w:r w:rsidRPr="00A01636">
              <w:rPr>
                <w:i/>
              </w:rPr>
              <w:t>Loading dose</w:t>
            </w:r>
          </w:p>
          <w:p w:rsidR="00A01636" w:rsidRDefault="00A01636" w:rsidP="00A01636">
            <w:r>
              <w:t xml:space="preserve">The recommended loading dose of Cimzia for adult patients is 400 mg (given as 2 subcutaneous injections of 200 mg each) </w:t>
            </w:r>
            <w:r>
              <w:lastRenderedPageBreak/>
              <w:t>initially (Week 0) and at Weeks 2 and 4.</w:t>
            </w:r>
          </w:p>
          <w:p w:rsidR="00A01636" w:rsidRPr="00A01636" w:rsidRDefault="00A01636" w:rsidP="00A01636">
            <w:pPr>
              <w:rPr>
                <w:i/>
              </w:rPr>
            </w:pPr>
            <w:r w:rsidRPr="00A01636">
              <w:rPr>
                <w:i/>
              </w:rPr>
              <w:t>Maintenance dose</w:t>
            </w:r>
          </w:p>
          <w:p w:rsidR="00A01636" w:rsidRDefault="00A01636" w:rsidP="00A01636">
            <w:r>
              <w:t xml:space="preserve">Non-radiographic Axial </w:t>
            </w:r>
            <w:proofErr w:type="spellStart"/>
            <w:r>
              <w:t>Spondyloarthritis</w:t>
            </w:r>
            <w:proofErr w:type="spellEnd"/>
          </w:p>
          <w:p w:rsidR="008E7846" w:rsidRDefault="00A01636" w:rsidP="00A01636">
            <w:r>
              <w:t xml:space="preserve">After the loading dose, the recommended dose of Cimzia for adult patients with non-radiographic axial </w:t>
            </w:r>
            <w:proofErr w:type="spellStart"/>
            <w:r>
              <w:t>spondyloarthritis</w:t>
            </w:r>
            <w:proofErr w:type="spellEnd"/>
            <w:r>
              <w:t xml:space="preserve"> is 200 mg every 2 weeks or 400 mg every 4 weeks.</w:t>
            </w:r>
          </w:p>
          <w:p w:rsidR="00A01636" w:rsidRPr="00487162" w:rsidRDefault="00A01636" w:rsidP="00A01636">
            <w:r>
              <w:t>For further information refer to the Product Information.</w:t>
            </w:r>
          </w:p>
        </w:tc>
      </w:tr>
    </w:tbl>
    <w:p w:rsidR="008E7846" w:rsidRDefault="008E7846" w:rsidP="008E7846">
      <w:pPr>
        <w:pStyle w:val="Heading3"/>
      </w:pPr>
      <w:bookmarkStart w:id="13" w:name="_Toc247691503"/>
      <w:bookmarkStart w:id="14" w:name="_Toc314842484"/>
      <w:bookmarkStart w:id="15" w:name="_Toc32924718"/>
      <w:r>
        <w:lastRenderedPageBreak/>
        <w:t>Product background</w:t>
      </w:r>
      <w:bookmarkEnd w:id="13"/>
      <w:bookmarkEnd w:id="14"/>
      <w:bookmarkEnd w:id="15"/>
    </w:p>
    <w:p w:rsidR="008E7846" w:rsidRDefault="00940A89" w:rsidP="00940A89">
      <w:r w:rsidRPr="00940A89">
        <w:t xml:space="preserve">This AusPAR describes the application by </w:t>
      </w:r>
      <w:r w:rsidR="002011EA">
        <w:t>UCB Australia Pty Ltd</w:t>
      </w:r>
      <w:r w:rsidR="002011EA" w:rsidRPr="00940A89">
        <w:t xml:space="preserve"> </w:t>
      </w:r>
      <w:r w:rsidR="002011EA">
        <w:t>(</w:t>
      </w:r>
      <w:r w:rsidRPr="00940A89">
        <w:t>the sponsor</w:t>
      </w:r>
      <w:r w:rsidR="002011EA">
        <w:t>)</w:t>
      </w:r>
      <w:r w:rsidRPr="00940A89">
        <w:t xml:space="preserve"> to </w:t>
      </w:r>
      <w:r w:rsidR="002011EA">
        <w:t xml:space="preserve">extend the indications of </w:t>
      </w:r>
      <w:r w:rsidR="002011EA" w:rsidRPr="002011EA">
        <w:t>Cimzia (</w:t>
      </w:r>
      <w:proofErr w:type="spellStart"/>
      <w:r w:rsidR="002011EA" w:rsidRPr="002011EA">
        <w:t>certolizumab</w:t>
      </w:r>
      <w:proofErr w:type="spellEnd"/>
      <w:r w:rsidR="002011EA" w:rsidRPr="002011EA">
        <w:t xml:space="preserve"> pegol (rbe)</w:t>
      </w:r>
      <w:r w:rsidR="002011EA">
        <w:t>) solution for injection</w:t>
      </w:r>
      <w:r w:rsidRPr="00940A89">
        <w:t xml:space="preserve"> f</w:t>
      </w:r>
      <w:r w:rsidR="002011EA">
        <w:t xml:space="preserve">or the following </w:t>
      </w:r>
      <w:r w:rsidR="00D06132">
        <w:t xml:space="preserve">proposed </w:t>
      </w:r>
      <w:r w:rsidR="002011EA">
        <w:t>indication:</w:t>
      </w:r>
    </w:p>
    <w:p w:rsidR="002011EA" w:rsidRPr="00ED4EAE" w:rsidRDefault="00ED4EAE" w:rsidP="00ED4EAE">
      <w:pPr>
        <w:ind w:left="720"/>
        <w:rPr>
          <w:i/>
        </w:rPr>
      </w:pPr>
      <w:r w:rsidRPr="00ED4EAE">
        <w:rPr>
          <w:i/>
        </w:rPr>
        <w:t xml:space="preserve">[…] </w:t>
      </w:r>
      <w:r w:rsidR="002011EA" w:rsidRPr="00ED4EAE">
        <w:rPr>
          <w:i/>
        </w:rPr>
        <w:t xml:space="preserve">the treatment of adult patients with active non-radiographic axial </w:t>
      </w:r>
      <w:proofErr w:type="spellStart"/>
      <w:r w:rsidR="002011EA" w:rsidRPr="00ED4EAE">
        <w:rPr>
          <w:i/>
        </w:rPr>
        <w:t>spondyloarthritis</w:t>
      </w:r>
      <w:proofErr w:type="spellEnd"/>
      <w:r w:rsidR="002011EA" w:rsidRPr="00ED4EAE">
        <w:rPr>
          <w:i/>
        </w:rPr>
        <w:t xml:space="preserve"> (</w:t>
      </w:r>
      <w:proofErr w:type="spellStart"/>
      <w:r w:rsidR="002011EA" w:rsidRPr="00ED4EAE">
        <w:rPr>
          <w:i/>
        </w:rPr>
        <w:t>nr-axSpA</w:t>
      </w:r>
      <w:proofErr w:type="spellEnd"/>
      <w:r w:rsidR="002011EA" w:rsidRPr="00ED4EAE">
        <w:rPr>
          <w:i/>
        </w:rPr>
        <w:t>) with objective signs of inflammation.</w:t>
      </w:r>
    </w:p>
    <w:p w:rsidR="00940A89" w:rsidRDefault="00ED4EAE" w:rsidP="003D6D15">
      <w:r w:rsidRPr="00ED4EAE">
        <w:t xml:space="preserve">Axial </w:t>
      </w:r>
      <w:proofErr w:type="spellStart"/>
      <w:r w:rsidRPr="00ED4EAE">
        <w:t>spondyloarthritis</w:t>
      </w:r>
      <w:proofErr w:type="spellEnd"/>
      <w:r w:rsidRPr="00ED4EAE">
        <w:t xml:space="preserve"> (axial </w:t>
      </w:r>
      <w:proofErr w:type="spellStart"/>
      <w:r w:rsidRPr="00ED4EAE">
        <w:t>SpA</w:t>
      </w:r>
      <w:proofErr w:type="spellEnd"/>
      <w:r w:rsidRPr="00ED4EAE">
        <w:t xml:space="preserve">) is a chronic inflammatory disease of the axial skeleton characterised by inflammation of the sacroiliac (SI) joints and spine. Patients with axial </w:t>
      </w:r>
      <w:proofErr w:type="spellStart"/>
      <w:r w:rsidRPr="00ED4EAE">
        <w:t>SpA</w:t>
      </w:r>
      <w:proofErr w:type="spellEnd"/>
      <w:r w:rsidRPr="00ED4EAE">
        <w:t xml:space="preserve"> report persistent back pain and spinal stiffness, as well as a reduction in</w:t>
      </w:r>
      <w:r w:rsidR="003D6D15">
        <w:t xml:space="preserve"> mobility and quality of life. </w:t>
      </w:r>
      <w:r w:rsidRPr="00ED4EAE">
        <w:t xml:space="preserve">Axial </w:t>
      </w:r>
      <w:proofErr w:type="spellStart"/>
      <w:r w:rsidRPr="00ED4EAE">
        <w:t>SpA</w:t>
      </w:r>
      <w:proofErr w:type="spellEnd"/>
      <w:r w:rsidRPr="00ED4EAE">
        <w:t xml:space="preserve"> encompasses both ankylosing spondylitis and </w:t>
      </w:r>
      <w:r w:rsidR="003D6D15">
        <w:t xml:space="preserve">non-radiographic axial </w:t>
      </w:r>
      <w:proofErr w:type="spellStart"/>
      <w:r w:rsidR="003D6D15">
        <w:t>spondyloarthritis</w:t>
      </w:r>
      <w:proofErr w:type="spellEnd"/>
      <w:r w:rsidR="003D6D15" w:rsidRPr="00ED4EAE">
        <w:t xml:space="preserve"> </w:t>
      </w:r>
      <w:r w:rsidR="003D6D15">
        <w:t>(</w:t>
      </w:r>
      <w:proofErr w:type="spellStart"/>
      <w:r w:rsidRPr="00ED4EAE">
        <w:t>nr</w:t>
      </w:r>
      <w:proofErr w:type="spellEnd"/>
      <w:r w:rsidRPr="00ED4EAE">
        <w:t xml:space="preserve">-axial </w:t>
      </w:r>
      <w:proofErr w:type="spellStart"/>
      <w:r w:rsidRPr="00ED4EAE">
        <w:t>SpA</w:t>
      </w:r>
      <w:proofErr w:type="spellEnd"/>
      <w:r w:rsidR="003D6D15">
        <w:t xml:space="preserve">). </w:t>
      </w:r>
      <w:r w:rsidRPr="00ED4EAE">
        <w:t xml:space="preserve">Patients with </w:t>
      </w:r>
      <w:proofErr w:type="spellStart"/>
      <w:r w:rsidRPr="00ED4EAE">
        <w:t>nr</w:t>
      </w:r>
      <w:proofErr w:type="spellEnd"/>
      <w:r w:rsidRPr="00ED4EAE">
        <w:t xml:space="preserve">-axial </w:t>
      </w:r>
      <w:proofErr w:type="spellStart"/>
      <w:r w:rsidRPr="00ED4EAE">
        <w:t>SpA</w:t>
      </w:r>
      <w:proofErr w:type="spellEnd"/>
      <w:r w:rsidRPr="00ED4EAE">
        <w:t xml:space="preserve"> have little to no changes in the SI joints on plain radiographs and thus do not meet modified New York (</w:t>
      </w:r>
      <w:proofErr w:type="spellStart"/>
      <w:r w:rsidRPr="00ED4EAE">
        <w:t>mNY</w:t>
      </w:r>
      <w:proofErr w:type="spellEnd"/>
      <w:r w:rsidRPr="00ED4EAE">
        <w:t>) criteria for a diagno</w:t>
      </w:r>
      <w:r w:rsidR="003D6D15">
        <w:t xml:space="preserve">sis of ankylosing spondylitis. </w:t>
      </w:r>
      <w:r w:rsidRPr="00ED4EAE">
        <w:t>Magnetic resonance imaging (MRI) enables the visualisation of active SI joint and spinal inflammation that is not evi</w:t>
      </w:r>
      <w:r>
        <w:t xml:space="preserve">dent with conventional X-rays. </w:t>
      </w:r>
      <w:r w:rsidRPr="00ED4EAE">
        <w:t xml:space="preserve">While ankylosing spondylitis and </w:t>
      </w:r>
      <w:proofErr w:type="spellStart"/>
      <w:r w:rsidRPr="00ED4EAE">
        <w:t>nr</w:t>
      </w:r>
      <w:proofErr w:type="spellEnd"/>
      <w:r w:rsidRPr="00ED4EAE">
        <w:t xml:space="preserve">-axial </w:t>
      </w:r>
      <w:proofErr w:type="spellStart"/>
      <w:r w:rsidRPr="00ED4EAE">
        <w:t>SpA</w:t>
      </w:r>
      <w:proofErr w:type="spellEnd"/>
      <w:r w:rsidRPr="00ED4EAE">
        <w:t xml:space="preserve"> are often considered together, there remains uncertainty around whether they represent distinct but overlapping disorders, or just different subgroups along a single axial </w:t>
      </w:r>
      <w:proofErr w:type="spellStart"/>
      <w:r w:rsidRPr="00ED4EAE">
        <w:t>SpA</w:t>
      </w:r>
      <w:proofErr w:type="spellEnd"/>
      <w:r w:rsidRPr="00ED4EAE">
        <w:t xml:space="preserve"> spectrum differing by severity</w:t>
      </w:r>
      <w:r w:rsidR="003D6D15">
        <w:t xml:space="preserve"> or chronology of the illness. </w:t>
      </w:r>
      <w:r w:rsidRPr="00ED4EAE">
        <w:t xml:space="preserve">Patients with ankylosing spondylitis and </w:t>
      </w:r>
      <w:proofErr w:type="spellStart"/>
      <w:r w:rsidRPr="00ED4EAE">
        <w:t>nr</w:t>
      </w:r>
      <w:proofErr w:type="spellEnd"/>
      <w:r w:rsidRPr="00ED4EAE">
        <w:t xml:space="preserve">-axial </w:t>
      </w:r>
      <w:proofErr w:type="spellStart"/>
      <w:r w:rsidRPr="00ED4EAE">
        <w:t>SpA</w:t>
      </w:r>
      <w:proofErr w:type="spellEnd"/>
      <w:r w:rsidRPr="00ED4EAE">
        <w:t xml:space="preserve"> report similar disease burden and symptoms.</w:t>
      </w:r>
    </w:p>
    <w:p w:rsidR="00ED4EAE" w:rsidRDefault="00ED4EAE" w:rsidP="00ED4EAE">
      <w:r>
        <w:t xml:space="preserve">Current treatment options in Australia for </w:t>
      </w:r>
      <w:proofErr w:type="spellStart"/>
      <w:r>
        <w:t>nr</w:t>
      </w:r>
      <w:proofErr w:type="spellEnd"/>
      <w:r>
        <w:t>-ax</w:t>
      </w:r>
      <w:r w:rsidR="009F5A85">
        <w:t xml:space="preserve">ial </w:t>
      </w:r>
      <w:proofErr w:type="spellStart"/>
      <w:r>
        <w:t>SpA</w:t>
      </w:r>
      <w:proofErr w:type="spellEnd"/>
      <w:r>
        <w:t xml:space="preserve"> include </w:t>
      </w:r>
      <w:r w:rsidR="003D6D15">
        <w:t>n</w:t>
      </w:r>
      <w:r w:rsidR="003D6D15" w:rsidRPr="003D6D15">
        <w:t xml:space="preserve">onsteroidal anti-inflammatory drugs </w:t>
      </w:r>
      <w:r w:rsidR="003D6D15">
        <w:t>(</w:t>
      </w:r>
      <w:r>
        <w:t>NSAIDs</w:t>
      </w:r>
      <w:r w:rsidR="003D6D15">
        <w:t>)</w:t>
      </w:r>
      <w:r>
        <w:t xml:space="preserve"> and the two approved anti-</w:t>
      </w:r>
      <w:r w:rsidR="003D6D15">
        <w:t>tumour</w:t>
      </w:r>
      <w:r w:rsidR="003D6D15" w:rsidRPr="002F2961">
        <w:t xml:space="preserve"> necrosis factor</w:t>
      </w:r>
      <w:r w:rsidR="003D6D15">
        <w:t xml:space="preserve"> (</w:t>
      </w:r>
      <w:r>
        <w:t>TNF</w:t>
      </w:r>
      <w:r w:rsidR="003D6D15">
        <w:t>)</w:t>
      </w:r>
      <w:r>
        <w:t xml:space="preserve"> dr</w:t>
      </w:r>
      <w:r w:rsidR="003D6D15">
        <w:t>ugs (</w:t>
      </w:r>
      <w:proofErr w:type="spellStart"/>
      <w:r w:rsidR="003D6D15">
        <w:t>golimumab</w:t>
      </w:r>
      <w:proofErr w:type="spellEnd"/>
      <w:r w:rsidR="003D6D15">
        <w:t xml:space="preserve"> and </w:t>
      </w:r>
      <w:proofErr w:type="spellStart"/>
      <w:r w:rsidR="003D6D15">
        <w:t>etanercept</w:t>
      </w:r>
      <w:proofErr w:type="spellEnd"/>
      <w:r w:rsidR="003D6D15">
        <w:t>).</w:t>
      </w:r>
    </w:p>
    <w:p w:rsidR="00ED4EAE" w:rsidRDefault="00ED4EAE" w:rsidP="00ED4EAE">
      <w:r w:rsidRPr="00ED4EAE">
        <w:t xml:space="preserve">Certolizumab </w:t>
      </w:r>
      <w:r w:rsidR="003D6D15">
        <w:t xml:space="preserve">pegol (Cimzia) </w:t>
      </w:r>
      <w:r w:rsidRPr="00ED4EAE">
        <w:t>is a recombinant, humanised monoclonal antibody fragment that is conjugated to polyethylene glycol which bin</w:t>
      </w:r>
      <w:r w:rsidR="003D6D15">
        <w:t xml:space="preserve">ds with high specificity to TNF </w:t>
      </w:r>
      <w:r>
        <w:t xml:space="preserve">alpha. </w:t>
      </w:r>
      <w:r w:rsidR="00D06132">
        <w:t>At the time the submission described in this AusPAR was under consideration, Cimzia was</w:t>
      </w:r>
      <w:r w:rsidRPr="00ED4EAE">
        <w:t xml:space="preserve"> approved in specific adult populations with rheumatoid arthritis, psoriatic arthritis, ankylosing spo</w:t>
      </w:r>
      <w:r>
        <w:t xml:space="preserve">ndylitis and plaque psoriasis. </w:t>
      </w:r>
      <w:r w:rsidRPr="00ED4EAE">
        <w:t>The submis</w:t>
      </w:r>
      <w:r w:rsidR="003D6D15">
        <w:t>sion is supported by a pivotal Phase III</w:t>
      </w:r>
      <w:r w:rsidRPr="00ED4EAE">
        <w:t xml:space="preserve"> clinical trial along with s</w:t>
      </w:r>
      <w:r w:rsidR="003D6D15">
        <w:t>upportive data from a previous Phase III</w:t>
      </w:r>
      <w:r w:rsidRPr="00ED4EAE">
        <w:t xml:space="preserve"> clinical trial and other studies.</w:t>
      </w:r>
    </w:p>
    <w:p w:rsidR="00ED4EAE" w:rsidRDefault="00ED4EAE" w:rsidP="00ED4EAE">
      <w:r w:rsidRPr="00D152D7">
        <w:rPr>
          <w:lang w:val="en-US"/>
        </w:rPr>
        <w:t xml:space="preserve">This is a </w:t>
      </w:r>
      <w:r>
        <w:rPr>
          <w:lang w:val="en-US"/>
        </w:rPr>
        <w:t>re-</w:t>
      </w:r>
      <w:r w:rsidRPr="00D152D7">
        <w:rPr>
          <w:lang w:val="en-US"/>
        </w:rPr>
        <w:t xml:space="preserve">submission from </w:t>
      </w:r>
      <w:r>
        <w:rPr>
          <w:lang w:val="en-US"/>
        </w:rPr>
        <w:t>the sponsor</w:t>
      </w:r>
      <w:r w:rsidRPr="00D152D7">
        <w:rPr>
          <w:lang w:val="en-US"/>
        </w:rPr>
        <w:t xml:space="preserve"> to extend the indications for </w:t>
      </w:r>
      <w:r w:rsidR="003D6D15">
        <w:rPr>
          <w:lang w:val="en-US"/>
        </w:rPr>
        <w:t>Cimzia</w:t>
      </w:r>
      <w:r w:rsidRPr="00D152D7">
        <w:rPr>
          <w:lang w:val="en-US"/>
        </w:rPr>
        <w:t xml:space="preserve"> to include the treatment of adult patients with </w:t>
      </w:r>
      <w:proofErr w:type="spellStart"/>
      <w:r w:rsidR="003D6D15">
        <w:rPr>
          <w:lang w:val="en-US"/>
        </w:rPr>
        <w:t>nr</w:t>
      </w:r>
      <w:proofErr w:type="spellEnd"/>
      <w:r w:rsidR="003D6D15">
        <w:rPr>
          <w:lang w:val="en-US"/>
        </w:rPr>
        <w:t xml:space="preserve">-axial </w:t>
      </w:r>
      <w:proofErr w:type="spellStart"/>
      <w:r w:rsidR="003D6D15">
        <w:rPr>
          <w:lang w:val="en-US"/>
        </w:rPr>
        <w:t>SpA</w:t>
      </w:r>
      <w:proofErr w:type="spellEnd"/>
      <w:r>
        <w:rPr>
          <w:lang w:val="en-US"/>
        </w:rPr>
        <w:t xml:space="preserve">. The previous submission is discussed in the AusPAR for submission </w:t>
      </w:r>
      <w:r w:rsidRPr="007C2A1C">
        <w:t>PM-2013-00286-2-3</w:t>
      </w:r>
      <w:r>
        <w:t>.</w:t>
      </w:r>
    </w:p>
    <w:p w:rsidR="008E7846" w:rsidRPr="003F31A2" w:rsidRDefault="00386150" w:rsidP="008E7846">
      <w:pPr>
        <w:pStyle w:val="Heading3"/>
      </w:pPr>
      <w:bookmarkStart w:id="16" w:name="_Toc314842485"/>
      <w:bookmarkStart w:id="17" w:name="_Toc247691504"/>
      <w:bookmarkStart w:id="18" w:name="_Toc32924719"/>
      <w:r>
        <w:t>Regulatory s</w:t>
      </w:r>
      <w:r w:rsidR="008E7846">
        <w:t>tatus</w:t>
      </w:r>
      <w:bookmarkEnd w:id="16"/>
      <w:bookmarkEnd w:id="17"/>
      <w:bookmarkEnd w:id="18"/>
    </w:p>
    <w:p w:rsidR="001540CA" w:rsidRDefault="001540CA" w:rsidP="001540CA">
      <w:bookmarkStart w:id="19" w:name="_Toc247691505"/>
      <w:bookmarkStart w:id="20" w:name="_Toc314842486"/>
      <w:r w:rsidRPr="002011EA">
        <w:t>Cimzia (</w:t>
      </w:r>
      <w:proofErr w:type="spellStart"/>
      <w:r w:rsidRPr="002011EA">
        <w:t>certolizumab</w:t>
      </w:r>
      <w:proofErr w:type="spellEnd"/>
      <w:r w:rsidRPr="002011EA">
        <w:t xml:space="preserve"> pegol (rbe)</w:t>
      </w:r>
      <w:r>
        <w:t>) solution for injection</w:t>
      </w:r>
      <w:r w:rsidRPr="00940A89">
        <w:t xml:space="preserve"> </w:t>
      </w:r>
      <w:r>
        <w:t xml:space="preserve">in a prefilled syringe </w:t>
      </w:r>
      <w:r w:rsidR="00940A89" w:rsidRPr="00940A89">
        <w:t>received initial registration on the Australian Register of</w:t>
      </w:r>
      <w:r>
        <w:t xml:space="preserve"> Therapeutic Goods (ARTG) on 20</w:t>
      </w:r>
      <w:r w:rsidR="004F5720">
        <w:t> </w:t>
      </w:r>
      <w:r>
        <w:t>January</w:t>
      </w:r>
      <w:r w:rsidR="004F5720">
        <w:t> </w:t>
      </w:r>
      <w:r>
        <w:t>2010 for the treatment of rheumatoid arthritis, psoriatic arthritis and ankylosing spondylitis on 20 January 2010 and a 200 mg/mL prefill</w:t>
      </w:r>
      <w:r w:rsidR="003D6D15">
        <w:t>ed syringe was registered on 10 </w:t>
      </w:r>
      <w:r>
        <w:t>February 2017.</w:t>
      </w:r>
    </w:p>
    <w:p w:rsidR="00940A89" w:rsidRDefault="00940A89" w:rsidP="00940A89">
      <w:r w:rsidRPr="00940A89">
        <w:lastRenderedPageBreak/>
        <w:t xml:space="preserve">At the time the TGA considered this application, a similar application </w:t>
      </w:r>
      <w:r w:rsidR="00F03A4F">
        <w:t xml:space="preserve">for the </w:t>
      </w:r>
      <w:proofErr w:type="spellStart"/>
      <w:r w:rsidR="00F03A4F">
        <w:rPr>
          <w:lang w:val="en-US"/>
        </w:rPr>
        <w:t>nr</w:t>
      </w:r>
      <w:proofErr w:type="spellEnd"/>
      <w:r w:rsidR="00F03A4F">
        <w:rPr>
          <w:lang w:val="en-US"/>
        </w:rPr>
        <w:t xml:space="preserve">-axial </w:t>
      </w:r>
      <w:proofErr w:type="spellStart"/>
      <w:r w:rsidR="00F03A4F">
        <w:rPr>
          <w:lang w:val="en-US"/>
        </w:rPr>
        <w:t>SpA</w:t>
      </w:r>
      <w:proofErr w:type="spellEnd"/>
      <w:r w:rsidR="00F03A4F">
        <w:rPr>
          <w:lang w:val="en-US"/>
        </w:rPr>
        <w:t xml:space="preserve"> indication</w:t>
      </w:r>
      <w:r w:rsidR="00F03A4F">
        <w:t xml:space="preserve"> had been approved in </w:t>
      </w:r>
      <w:r w:rsidR="00027F02">
        <w:t xml:space="preserve">the </w:t>
      </w:r>
      <w:r w:rsidR="00027F02">
        <w:rPr>
          <w:lang w:val="en-US"/>
        </w:rPr>
        <w:t xml:space="preserve">European Union (EU; </w:t>
      </w:r>
      <w:r w:rsidR="00F03A4F">
        <w:rPr>
          <w:lang w:val="en-US"/>
        </w:rPr>
        <w:t>2013</w:t>
      </w:r>
      <w:r w:rsidR="00027F02">
        <w:rPr>
          <w:lang w:val="en-US"/>
        </w:rPr>
        <w:t>), Switzerland (</w:t>
      </w:r>
      <w:r w:rsidR="00F03A4F">
        <w:rPr>
          <w:lang w:val="en-US"/>
        </w:rPr>
        <w:t>2014</w:t>
      </w:r>
      <w:r w:rsidR="00027F02">
        <w:rPr>
          <w:lang w:val="en-US"/>
        </w:rPr>
        <w:t>)</w:t>
      </w:r>
      <w:r w:rsidRPr="00940A89">
        <w:t xml:space="preserve"> </w:t>
      </w:r>
      <w:r w:rsidR="00027F02">
        <w:t>and</w:t>
      </w:r>
      <w:r w:rsidR="003D6D15">
        <w:t xml:space="preserve"> United States of America (USA), and </w:t>
      </w:r>
      <w:r w:rsidRPr="00940A89">
        <w:t>was under co</w:t>
      </w:r>
      <w:r>
        <w:t xml:space="preserve">nsideration in </w:t>
      </w:r>
      <w:r w:rsidR="00027F02">
        <w:t xml:space="preserve">Canada (see </w:t>
      </w:r>
      <w:r w:rsidR="00027F02">
        <w:fldChar w:fldCharType="begin"/>
      </w:r>
      <w:r w:rsidR="00027F02">
        <w:instrText xml:space="preserve"> REF _Ref30599437 \h </w:instrText>
      </w:r>
      <w:r w:rsidR="00027F02">
        <w:fldChar w:fldCharType="separate"/>
      </w:r>
      <w:r w:rsidR="00027F02">
        <w:t xml:space="preserve">Table </w:t>
      </w:r>
      <w:r w:rsidR="00027F02">
        <w:rPr>
          <w:noProof/>
        </w:rPr>
        <w:t>1</w:t>
      </w:r>
      <w:r w:rsidR="00027F02">
        <w:fldChar w:fldCharType="end"/>
      </w:r>
      <w:r w:rsidR="00027F02">
        <w:t>)</w:t>
      </w:r>
      <w:r>
        <w:t>.</w:t>
      </w:r>
    </w:p>
    <w:p w:rsidR="00027F02" w:rsidRDefault="00027F02" w:rsidP="00027F02">
      <w:pPr>
        <w:pStyle w:val="TableTitle"/>
      </w:pPr>
      <w:bookmarkStart w:id="21" w:name="_Ref30599437"/>
      <w:r>
        <w:t xml:space="preserve">Table </w:t>
      </w:r>
      <w:fldSimple w:instr=" SEQ Table \* ARABIC ">
        <w:r w:rsidR="003D6D15">
          <w:rPr>
            <w:noProof/>
          </w:rPr>
          <w:t>1</w:t>
        </w:r>
      </w:fldSimple>
      <w:bookmarkEnd w:id="21"/>
      <w:r>
        <w:t xml:space="preserve">: International regulatory status of </w:t>
      </w:r>
      <w:r w:rsidRPr="002011EA">
        <w:t>Cimzia (</w:t>
      </w:r>
      <w:proofErr w:type="spellStart"/>
      <w:r w:rsidRPr="002011EA">
        <w:t>certolizumab</w:t>
      </w:r>
      <w:proofErr w:type="spellEnd"/>
      <w:r w:rsidRPr="002011EA">
        <w:t xml:space="preserve"> pegol (rbe)</w:t>
      </w:r>
      <w:r>
        <w:t>)</w:t>
      </w:r>
      <w:r w:rsidR="003D6D15">
        <w:t xml:space="preserve">, </w:t>
      </w:r>
      <w:proofErr w:type="spellStart"/>
      <w:r w:rsidRPr="00027F02">
        <w:t>nonradiographic</w:t>
      </w:r>
      <w:proofErr w:type="spellEnd"/>
      <w:r w:rsidRPr="00027F02">
        <w:t xml:space="preserve"> axial </w:t>
      </w:r>
      <w:proofErr w:type="spellStart"/>
      <w:r w:rsidRPr="00027F02">
        <w:t>spondyloarthritis</w:t>
      </w:r>
      <w:proofErr w:type="spellEnd"/>
      <w:r>
        <w:t xml:space="preserve"> indication</w:t>
      </w:r>
    </w:p>
    <w:tbl>
      <w:tblPr>
        <w:tblStyle w:val="TableTGAblue"/>
        <w:tblW w:w="0" w:type="auto"/>
        <w:tblLook w:val="04A0" w:firstRow="1" w:lastRow="0" w:firstColumn="1" w:lastColumn="0" w:noHBand="0" w:noVBand="1"/>
      </w:tblPr>
      <w:tblGrid>
        <w:gridCol w:w="1683"/>
        <w:gridCol w:w="1722"/>
        <w:gridCol w:w="1394"/>
        <w:gridCol w:w="3921"/>
      </w:tblGrid>
      <w:tr w:rsidR="003D6D15" w:rsidRPr="00027F02" w:rsidTr="00F03A4F">
        <w:trPr>
          <w:cnfStyle w:val="100000000000" w:firstRow="1" w:lastRow="0" w:firstColumn="0" w:lastColumn="0" w:oddVBand="0" w:evenVBand="0" w:oddHBand="0" w:evenHBand="0" w:firstRowFirstColumn="0" w:firstRowLastColumn="0" w:lastRowFirstColumn="0" w:lastRowLastColumn="0"/>
        </w:trPr>
        <w:tc>
          <w:tcPr>
            <w:tcW w:w="1685" w:type="dxa"/>
          </w:tcPr>
          <w:p w:rsidR="00F03A4F" w:rsidRPr="00027F02" w:rsidRDefault="00F03A4F" w:rsidP="00027F02">
            <w:pPr>
              <w:ind w:left="0" w:right="0"/>
              <w:rPr>
                <w:sz w:val="20"/>
                <w:szCs w:val="20"/>
              </w:rPr>
            </w:pPr>
            <w:r w:rsidRPr="00027F02">
              <w:rPr>
                <w:sz w:val="20"/>
                <w:szCs w:val="20"/>
              </w:rPr>
              <w:t>Region</w:t>
            </w:r>
          </w:p>
        </w:tc>
        <w:tc>
          <w:tcPr>
            <w:tcW w:w="1725" w:type="dxa"/>
          </w:tcPr>
          <w:p w:rsidR="00F03A4F" w:rsidRPr="00027F02" w:rsidRDefault="00F03A4F" w:rsidP="00027F02">
            <w:pPr>
              <w:ind w:left="0" w:right="0"/>
              <w:rPr>
                <w:sz w:val="20"/>
                <w:szCs w:val="20"/>
              </w:rPr>
            </w:pPr>
            <w:r w:rsidRPr="00027F02">
              <w:rPr>
                <w:sz w:val="20"/>
                <w:szCs w:val="20"/>
              </w:rPr>
              <w:t>Submission date</w:t>
            </w:r>
          </w:p>
        </w:tc>
        <w:tc>
          <w:tcPr>
            <w:tcW w:w="1376" w:type="dxa"/>
          </w:tcPr>
          <w:p w:rsidR="00F03A4F" w:rsidRPr="00027F02" w:rsidRDefault="00F03A4F" w:rsidP="00027F02">
            <w:pPr>
              <w:ind w:left="0" w:right="0"/>
              <w:rPr>
                <w:sz w:val="20"/>
                <w:szCs w:val="20"/>
              </w:rPr>
            </w:pPr>
            <w:r w:rsidRPr="00027F02">
              <w:rPr>
                <w:sz w:val="20"/>
                <w:szCs w:val="20"/>
              </w:rPr>
              <w:t>Status</w:t>
            </w:r>
          </w:p>
        </w:tc>
        <w:tc>
          <w:tcPr>
            <w:tcW w:w="3934" w:type="dxa"/>
          </w:tcPr>
          <w:p w:rsidR="00F03A4F" w:rsidRPr="00027F02" w:rsidRDefault="00F03A4F" w:rsidP="00027F02">
            <w:pPr>
              <w:ind w:left="0" w:right="0"/>
              <w:rPr>
                <w:sz w:val="20"/>
                <w:szCs w:val="20"/>
              </w:rPr>
            </w:pPr>
            <w:r w:rsidRPr="00027F02">
              <w:rPr>
                <w:sz w:val="20"/>
                <w:szCs w:val="20"/>
              </w:rPr>
              <w:t>Indications</w:t>
            </w:r>
          </w:p>
        </w:tc>
      </w:tr>
      <w:tr w:rsidR="003D6D15" w:rsidRPr="00027F02" w:rsidTr="00F03A4F">
        <w:tc>
          <w:tcPr>
            <w:tcW w:w="1685" w:type="dxa"/>
          </w:tcPr>
          <w:p w:rsidR="00F03A4F" w:rsidRPr="00027F02" w:rsidRDefault="00F03A4F" w:rsidP="00027F02">
            <w:pPr>
              <w:ind w:left="0" w:right="0"/>
              <w:rPr>
                <w:sz w:val="20"/>
                <w:szCs w:val="20"/>
              </w:rPr>
            </w:pPr>
            <w:r w:rsidRPr="00027F02">
              <w:rPr>
                <w:sz w:val="20"/>
                <w:szCs w:val="20"/>
              </w:rPr>
              <w:t>EU (centralised procedure)</w:t>
            </w:r>
          </w:p>
        </w:tc>
        <w:tc>
          <w:tcPr>
            <w:tcW w:w="1725" w:type="dxa"/>
          </w:tcPr>
          <w:p w:rsidR="00F03A4F" w:rsidRPr="00027F02" w:rsidRDefault="00F03A4F" w:rsidP="00027F02">
            <w:pPr>
              <w:ind w:left="0" w:right="0"/>
              <w:rPr>
                <w:sz w:val="20"/>
                <w:szCs w:val="20"/>
              </w:rPr>
            </w:pPr>
            <w:r w:rsidRPr="00027F02">
              <w:rPr>
                <w:sz w:val="20"/>
                <w:szCs w:val="20"/>
              </w:rPr>
              <w:t>May 2013</w:t>
            </w:r>
          </w:p>
        </w:tc>
        <w:tc>
          <w:tcPr>
            <w:tcW w:w="1376" w:type="dxa"/>
          </w:tcPr>
          <w:p w:rsidR="00F03A4F" w:rsidRPr="00027F02" w:rsidRDefault="00F03A4F" w:rsidP="00027F02">
            <w:pPr>
              <w:ind w:left="0" w:right="0"/>
              <w:rPr>
                <w:sz w:val="20"/>
                <w:szCs w:val="20"/>
              </w:rPr>
            </w:pPr>
            <w:r w:rsidRPr="00027F02">
              <w:rPr>
                <w:sz w:val="20"/>
                <w:szCs w:val="20"/>
              </w:rPr>
              <w:t>Approved October 2013</w:t>
            </w:r>
          </w:p>
        </w:tc>
        <w:tc>
          <w:tcPr>
            <w:tcW w:w="3934" w:type="dxa"/>
          </w:tcPr>
          <w:p w:rsidR="00F03A4F" w:rsidRPr="00027F02" w:rsidRDefault="00F03A4F" w:rsidP="00027F02">
            <w:pPr>
              <w:ind w:left="0" w:right="0"/>
              <w:rPr>
                <w:i/>
                <w:sz w:val="20"/>
                <w:szCs w:val="20"/>
              </w:rPr>
            </w:pPr>
            <w:r w:rsidRPr="00027F02">
              <w:rPr>
                <w:i/>
                <w:sz w:val="20"/>
                <w:szCs w:val="20"/>
              </w:rPr>
              <w:t xml:space="preserve">Axial </w:t>
            </w:r>
            <w:proofErr w:type="spellStart"/>
            <w:r w:rsidRPr="00027F02">
              <w:rPr>
                <w:i/>
                <w:sz w:val="20"/>
                <w:szCs w:val="20"/>
              </w:rPr>
              <w:t>spondyloarthritis</w:t>
            </w:r>
            <w:proofErr w:type="spellEnd"/>
          </w:p>
          <w:p w:rsidR="00F03A4F" w:rsidRPr="00027F02" w:rsidRDefault="00F03A4F" w:rsidP="00027F02">
            <w:pPr>
              <w:ind w:left="0" w:right="0"/>
              <w:rPr>
                <w:i/>
                <w:sz w:val="20"/>
                <w:szCs w:val="20"/>
              </w:rPr>
            </w:pPr>
            <w:r w:rsidRPr="00027F02">
              <w:rPr>
                <w:i/>
                <w:sz w:val="20"/>
                <w:szCs w:val="20"/>
              </w:rPr>
              <w:t xml:space="preserve">Cimzia is indicated for the treatment of adult patients with severe active axial </w:t>
            </w:r>
            <w:proofErr w:type="spellStart"/>
            <w:r w:rsidRPr="00027F02">
              <w:rPr>
                <w:i/>
                <w:sz w:val="20"/>
                <w:szCs w:val="20"/>
              </w:rPr>
              <w:t>spondyloarthritis</w:t>
            </w:r>
            <w:proofErr w:type="spellEnd"/>
            <w:r w:rsidRPr="00027F02">
              <w:rPr>
                <w:i/>
                <w:sz w:val="20"/>
                <w:szCs w:val="20"/>
              </w:rPr>
              <w:t>, comprising:</w:t>
            </w:r>
          </w:p>
          <w:p w:rsidR="00F03A4F" w:rsidRPr="00027F02" w:rsidRDefault="00F03A4F" w:rsidP="00027F02">
            <w:pPr>
              <w:ind w:left="0" w:right="0"/>
              <w:rPr>
                <w:i/>
                <w:sz w:val="20"/>
                <w:szCs w:val="20"/>
              </w:rPr>
            </w:pPr>
            <w:r w:rsidRPr="00027F02">
              <w:rPr>
                <w:i/>
                <w:sz w:val="20"/>
                <w:szCs w:val="20"/>
              </w:rPr>
              <w:t xml:space="preserve">Ankylosing spondylitis (AS) (also known as radiographic axial </w:t>
            </w:r>
            <w:proofErr w:type="spellStart"/>
            <w:r w:rsidRPr="00027F02">
              <w:rPr>
                <w:i/>
                <w:sz w:val="20"/>
                <w:szCs w:val="20"/>
              </w:rPr>
              <w:t>spondyloarthritis</w:t>
            </w:r>
            <w:proofErr w:type="spellEnd"/>
            <w:r w:rsidRPr="00027F02">
              <w:rPr>
                <w:i/>
                <w:sz w:val="20"/>
                <w:szCs w:val="20"/>
              </w:rPr>
              <w:t>)</w:t>
            </w:r>
          </w:p>
          <w:p w:rsidR="00F03A4F" w:rsidRPr="00027F02" w:rsidRDefault="00F03A4F" w:rsidP="00027F02">
            <w:pPr>
              <w:ind w:left="0" w:right="0"/>
              <w:rPr>
                <w:i/>
                <w:sz w:val="20"/>
                <w:szCs w:val="20"/>
              </w:rPr>
            </w:pPr>
            <w:r w:rsidRPr="00027F02">
              <w:rPr>
                <w:i/>
                <w:sz w:val="20"/>
                <w:szCs w:val="20"/>
              </w:rPr>
              <w:t>Adults with severe active ankylosing spondylitis who have had an inadequate response to, or are intolerant to nonsteroidal anti-inflammatory drugs (NSAIDs).</w:t>
            </w:r>
          </w:p>
          <w:p w:rsidR="00F03A4F" w:rsidRPr="00027F02" w:rsidRDefault="00F03A4F" w:rsidP="00027F02">
            <w:pPr>
              <w:ind w:left="0" w:right="0"/>
              <w:rPr>
                <w:i/>
                <w:sz w:val="20"/>
                <w:szCs w:val="20"/>
              </w:rPr>
            </w:pPr>
            <w:r w:rsidRPr="00027F02">
              <w:rPr>
                <w:i/>
                <w:sz w:val="20"/>
                <w:szCs w:val="20"/>
              </w:rPr>
              <w:t xml:space="preserve">Axial </w:t>
            </w:r>
            <w:proofErr w:type="spellStart"/>
            <w:r w:rsidRPr="00027F02">
              <w:rPr>
                <w:i/>
                <w:sz w:val="20"/>
                <w:szCs w:val="20"/>
              </w:rPr>
              <w:t>spondyloarthritis</w:t>
            </w:r>
            <w:proofErr w:type="spellEnd"/>
            <w:r w:rsidRPr="00027F02">
              <w:rPr>
                <w:i/>
                <w:sz w:val="20"/>
                <w:szCs w:val="20"/>
              </w:rPr>
              <w:t xml:space="preserve"> without radiographic evidence of AS (also known as non-radiographic axial </w:t>
            </w:r>
            <w:proofErr w:type="spellStart"/>
            <w:r w:rsidRPr="00027F02">
              <w:rPr>
                <w:i/>
                <w:sz w:val="20"/>
                <w:szCs w:val="20"/>
              </w:rPr>
              <w:t>spondyloarthritis</w:t>
            </w:r>
            <w:proofErr w:type="spellEnd"/>
            <w:r w:rsidRPr="00027F02">
              <w:rPr>
                <w:i/>
                <w:sz w:val="20"/>
                <w:szCs w:val="20"/>
              </w:rPr>
              <w:t>)</w:t>
            </w:r>
          </w:p>
          <w:p w:rsidR="00F03A4F" w:rsidRPr="00027F02" w:rsidRDefault="00F03A4F" w:rsidP="00027F02">
            <w:pPr>
              <w:ind w:left="0" w:right="0"/>
              <w:rPr>
                <w:i/>
                <w:sz w:val="20"/>
                <w:szCs w:val="20"/>
              </w:rPr>
            </w:pPr>
            <w:r w:rsidRPr="00027F02">
              <w:rPr>
                <w:i/>
                <w:sz w:val="20"/>
                <w:szCs w:val="20"/>
              </w:rPr>
              <w:t xml:space="preserve">Adults with severe active axial </w:t>
            </w:r>
            <w:proofErr w:type="spellStart"/>
            <w:r w:rsidRPr="00027F02">
              <w:rPr>
                <w:i/>
                <w:sz w:val="20"/>
                <w:szCs w:val="20"/>
              </w:rPr>
              <w:t>spondyloarthritis</w:t>
            </w:r>
            <w:proofErr w:type="spellEnd"/>
            <w:r w:rsidRPr="00027F02">
              <w:rPr>
                <w:i/>
                <w:sz w:val="20"/>
                <w:szCs w:val="20"/>
              </w:rPr>
              <w:t xml:space="preserve"> without radiographic evidence of AS but with objective signs of inflammation by elevated C-reactive protein (CRP) and /or magnetic resonance imaging (MRI), who have had an inadequate response to, or are intolerant to NSAIDs</w:t>
            </w:r>
          </w:p>
        </w:tc>
      </w:tr>
      <w:tr w:rsidR="003D6D15" w:rsidRPr="00027F02" w:rsidTr="00F03A4F">
        <w:tc>
          <w:tcPr>
            <w:tcW w:w="1685" w:type="dxa"/>
          </w:tcPr>
          <w:p w:rsidR="00F03A4F" w:rsidRPr="00027F02" w:rsidRDefault="00F03A4F" w:rsidP="00027F02">
            <w:pPr>
              <w:ind w:left="0" w:right="0"/>
              <w:rPr>
                <w:sz w:val="20"/>
                <w:szCs w:val="20"/>
              </w:rPr>
            </w:pPr>
            <w:r w:rsidRPr="00027F02">
              <w:rPr>
                <w:sz w:val="20"/>
                <w:szCs w:val="20"/>
              </w:rPr>
              <w:t>Switzerland</w:t>
            </w:r>
          </w:p>
        </w:tc>
        <w:tc>
          <w:tcPr>
            <w:tcW w:w="1725" w:type="dxa"/>
          </w:tcPr>
          <w:p w:rsidR="00F03A4F" w:rsidRPr="00027F02" w:rsidRDefault="00F03A4F" w:rsidP="00027F02">
            <w:pPr>
              <w:ind w:left="0" w:right="0"/>
              <w:rPr>
                <w:sz w:val="20"/>
                <w:szCs w:val="20"/>
              </w:rPr>
            </w:pPr>
            <w:r w:rsidRPr="00027F02">
              <w:rPr>
                <w:sz w:val="20"/>
                <w:szCs w:val="20"/>
              </w:rPr>
              <w:t>April 2013</w:t>
            </w:r>
          </w:p>
        </w:tc>
        <w:tc>
          <w:tcPr>
            <w:tcW w:w="1376" w:type="dxa"/>
          </w:tcPr>
          <w:p w:rsidR="00F03A4F" w:rsidRPr="00027F02" w:rsidRDefault="003D6D15" w:rsidP="00027F02">
            <w:pPr>
              <w:ind w:left="0" w:right="0"/>
              <w:rPr>
                <w:sz w:val="20"/>
                <w:szCs w:val="20"/>
              </w:rPr>
            </w:pPr>
            <w:r>
              <w:rPr>
                <w:sz w:val="20"/>
                <w:szCs w:val="20"/>
              </w:rPr>
              <w:t xml:space="preserve">Approved </w:t>
            </w:r>
            <w:r w:rsidR="00F03A4F" w:rsidRPr="00027F02">
              <w:rPr>
                <w:sz w:val="20"/>
                <w:szCs w:val="20"/>
              </w:rPr>
              <w:t>November 2014</w:t>
            </w:r>
          </w:p>
        </w:tc>
        <w:tc>
          <w:tcPr>
            <w:tcW w:w="3934" w:type="dxa"/>
          </w:tcPr>
          <w:p w:rsidR="00F03A4F" w:rsidRPr="00027F02" w:rsidRDefault="00F03A4F" w:rsidP="00027F02">
            <w:pPr>
              <w:ind w:left="0" w:right="0"/>
              <w:rPr>
                <w:sz w:val="20"/>
                <w:szCs w:val="20"/>
              </w:rPr>
            </w:pPr>
            <w:proofErr w:type="spellStart"/>
            <w:r w:rsidRPr="00027F02">
              <w:rPr>
                <w:sz w:val="20"/>
                <w:szCs w:val="20"/>
              </w:rPr>
              <w:t>Nonradiographic</w:t>
            </w:r>
            <w:proofErr w:type="spellEnd"/>
            <w:r w:rsidRPr="00027F02">
              <w:rPr>
                <w:sz w:val="20"/>
                <w:szCs w:val="20"/>
              </w:rPr>
              <w:t xml:space="preserve"> Axial </w:t>
            </w:r>
            <w:proofErr w:type="spellStart"/>
            <w:r w:rsidRPr="00027F02">
              <w:rPr>
                <w:sz w:val="20"/>
                <w:szCs w:val="20"/>
              </w:rPr>
              <w:t>Spondyloarthritis</w:t>
            </w:r>
            <w:proofErr w:type="spellEnd"/>
            <w:r w:rsidRPr="00027F02">
              <w:rPr>
                <w:sz w:val="20"/>
                <w:szCs w:val="20"/>
              </w:rPr>
              <w:t xml:space="preserve"> was approved as a subset of the Ankylosing Spondylitis indication</w:t>
            </w:r>
          </w:p>
        </w:tc>
      </w:tr>
      <w:tr w:rsidR="003D6D15" w:rsidRPr="00027F02" w:rsidTr="00F03A4F">
        <w:tc>
          <w:tcPr>
            <w:tcW w:w="1685" w:type="dxa"/>
          </w:tcPr>
          <w:p w:rsidR="00F03A4F" w:rsidRPr="00027F02" w:rsidRDefault="00F03A4F" w:rsidP="00027F02">
            <w:pPr>
              <w:ind w:left="0" w:right="0"/>
              <w:rPr>
                <w:sz w:val="20"/>
                <w:szCs w:val="20"/>
              </w:rPr>
            </w:pPr>
            <w:r w:rsidRPr="00027F02">
              <w:rPr>
                <w:sz w:val="20"/>
                <w:szCs w:val="20"/>
              </w:rPr>
              <w:t>USA</w:t>
            </w:r>
          </w:p>
        </w:tc>
        <w:tc>
          <w:tcPr>
            <w:tcW w:w="1725" w:type="dxa"/>
          </w:tcPr>
          <w:p w:rsidR="00F03A4F" w:rsidRPr="00027F02" w:rsidRDefault="00F03A4F" w:rsidP="00027F02">
            <w:pPr>
              <w:ind w:left="0" w:right="0"/>
              <w:rPr>
                <w:sz w:val="20"/>
                <w:szCs w:val="20"/>
              </w:rPr>
            </w:pPr>
            <w:r w:rsidRPr="00027F02">
              <w:rPr>
                <w:sz w:val="20"/>
                <w:szCs w:val="20"/>
              </w:rPr>
              <w:t>September 2018</w:t>
            </w:r>
          </w:p>
        </w:tc>
        <w:tc>
          <w:tcPr>
            <w:tcW w:w="1376" w:type="dxa"/>
          </w:tcPr>
          <w:p w:rsidR="00F03A4F" w:rsidRPr="00027F02" w:rsidRDefault="003D6D15" w:rsidP="00027F02">
            <w:pPr>
              <w:ind w:left="0" w:right="0"/>
              <w:rPr>
                <w:sz w:val="20"/>
                <w:szCs w:val="20"/>
              </w:rPr>
            </w:pPr>
            <w:r>
              <w:rPr>
                <w:sz w:val="20"/>
                <w:szCs w:val="20"/>
              </w:rPr>
              <w:t xml:space="preserve">Approved </w:t>
            </w:r>
            <w:r w:rsidR="00F03A4F" w:rsidRPr="00027F02">
              <w:rPr>
                <w:sz w:val="20"/>
                <w:szCs w:val="20"/>
              </w:rPr>
              <w:t>March 2019</w:t>
            </w:r>
          </w:p>
        </w:tc>
        <w:tc>
          <w:tcPr>
            <w:tcW w:w="3934" w:type="dxa"/>
          </w:tcPr>
          <w:p w:rsidR="00F03A4F" w:rsidRPr="00027F02" w:rsidRDefault="00F03A4F" w:rsidP="00027F02">
            <w:pPr>
              <w:ind w:left="0" w:right="0"/>
              <w:rPr>
                <w:i/>
                <w:sz w:val="20"/>
                <w:szCs w:val="20"/>
              </w:rPr>
            </w:pPr>
            <w:r w:rsidRPr="00027F02">
              <w:rPr>
                <w:i/>
                <w:sz w:val="20"/>
                <w:szCs w:val="20"/>
              </w:rPr>
              <w:t xml:space="preserve">Non-radiographic Axial </w:t>
            </w:r>
            <w:proofErr w:type="spellStart"/>
            <w:r w:rsidRPr="00027F02">
              <w:rPr>
                <w:i/>
                <w:sz w:val="20"/>
                <w:szCs w:val="20"/>
              </w:rPr>
              <w:t>Spondyloarthritis</w:t>
            </w:r>
            <w:proofErr w:type="spellEnd"/>
          </w:p>
          <w:p w:rsidR="00F03A4F" w:rsidRPr="00027F02" w:rsidRDefault="00027F02" w:rsidP="00027F02">
            <w:pPr>
              <w:ind w:left="0" w:right="0"/>
              <w:rPr>
                <w:sz w:val="20"/>
                <w:szCs w:val="20"/>
              </w:rPr>
            </w:pPr>
            <w:r w:rsidRPr="00027F02">
              <w:rPr>
                <w:i/>
                <w:sz w:val="20"/>
                <w:szCs w:val="20"/>
              </w:rPr>
              <w:t>Cimzia</w:t>
            </w:r>
            <w:r w:rsidR="00F03A4F" w:rsidRPr="00027F02">
              <w:rPr>
                <w:i/>
                <w:sz w:val="20"/>
                <w:szCs w:val="20"/>
              </w:rPr>
              <w:t xml:space="preserve"> is indicated for the treatment of adults with active non-radiographic axial </w:t>
            </w:r>
            <w:proofErr w:type="spellStart"/>
            <w:r w:rsidR="00F03A4F" w:rsidRPr="00027F02">
              <w:rPr>
                <w:i/>
                <w:sz w:val="20"/>
                <w:szCs w:val="20"/>
              </w:rPr>
              <w:t>spondyloarthritis</w:t>
            </w:r>
            <w:proofErr w:type="spellEnd"/>
            <w:r w:rsidR="00F03A4F" w:rsidRPr="00027F02">
              <w:rPr>
                <w:i/>
                <w:sz w:val="20"/>
                <w:szCs w:val="20"/>
              </w:rPr>
              <w:t xml:space="preserve"> (</w:t>
            </w:r>
            <w:proofErr w:type="spellStart"/>
            <w:r w:rsidR="00F03A4F" w:rsidRPr="00027F02">
              <w:rPr>
                <w:i/>
                <w:sz w:val="20"/>
                <w:szCs w:val="20"/>
              </w:rPr>
              <w:t>nr-axSpA</w:t>
            </w:r>
            <w:proofErr w:type="spellEnd"/>
            <w:r w:rsidR="00F03A4F" w:rsidRPr="00027F02">
              <w:rPr>
                <w:i/>
                <w:sz w:val="20"/>
                <w:szCs w:val="20"/>
              </w:rPr>
              <w:t>) with objective signs of inflammation [see Clinical Studies (14.5)].</w:t>
            </w:r>
          </w:p>
        </w:tc>
      </w:tr>
      <w:tr w:rsidR="00F03A4F" w:rsidRPr="00027F02" w:rsidTr="00F03A4F">
        <w:tc>
          <w:tcPr>
            <w:tcW w:w="1685" w:type="dxa"/>
          </w:tcPr>
          <w:p w:rsidR="00F03A4F" w:rsidRPr="00027F02" w:rsidRDefault="00F03A4F" w:rsidP="00027F02">
            <w:pPr>
              <w:ind w:left="0" w:right="0"/>
              <w:rPr>
                <w:sz w:val="20"/>
                <w:szCs w:val="20"/>
              </w:rPr>
            </w:pPr>
            <w:r w:rsidRPr="00027F02">
              <w:rPr>
                <w:sz w:val="20"/>
                <w:szCs w:val="20"/>
              </w:rPr>
              <w:t>Canada</w:t>
            </w:r>
          </w:p>
        </w:tc>
        <w:tc>
          <w:tcPr>
            <w:tcW w:w="1725" w:type="dxa"/>
          </w:tcPr>
          <w:p w:rsidR="00F03A4F" w:rsidRPr="00027F02" w:rsidRDefault="00F03A4F" w:rsidP="00027F02">
            <w:pPr>
              <w:ind w:left="0" w:right="0"/>
              <w:rPr>
                <w:sz w:val="20"/>
                <w:szCs w:val="20"/>
              </w:rPr>
            </w:pPr>
            <w:r w:rsidRPr="00027F02">
              <w:rPr>
                <w:sz w:val="20"/>
                <w:szCs w:val="20"/>
              </w:rPr>
              <w:t>November 2018</w:t>
            </w:r>
          </w:p>
        </w:tc>
        <w:tc>
          <w:tcPr>
            <w:tcW w:w="1376" w:type="dxa"/>
          </w:tcPr>
          <w:p w:rsidR="00F03A4F" w:rsidRPr="00027F02" w:rsidRDefault="00F03A4F" w:rsidP="00027F02">
            <w:pPr>
              <w:ind w:left="0" w:right="0"/>
              <w:rPr>
                <w:sz w:val="20"/>
                <w:szCs w:val="20"/>
              </w:rPr>
            </w:pPr>
            <w:r w:rsidRPr="00027F02">
              <w:rPr>
                <w:sz w:val="20"/>
                <w:szCs w:val="20"/>
              </w:rPr>
              <w:t>Under consideration</w:t>
            </w:r>
          </w:p>
        </w:tc>
        <w:tc>
          <w:tcPr>
            <w:tcW w:w="3934" w:type="dxa"/>
          </w:tcPr>
          <w:p w:rsidR="00F03A4F" w:rsidRPr="00027F02" w:rsidRDefault="00F03A4F" w:rsidP="00027F02">
            <w:pPr>
              <w:ind w:left="0" w:right="0"/>
              <w:rPr>
                <w:sz w:val="20"/>
                <w:szCs w:val="20"/>
              </w:rPr>
            </w:pPr>
            <w:r w:rsidRPr="00027F02">
              <w:rPr>
                <w:sz w:val="20"/>
                <w:szCs w:val="20"/>
              </w:rPr>
              <w:t>Under consideration</w:t>
            </w:r>
          </w:p>
        </w:tc>
      </w:tr>
    </w:tbl>
    <w:p w:rsidR="008E7846" w:rsidRDefault="008E7846" w:rsidP="00940A89">
      <w:pPr>
        <w:pStyle w:val="Heading3"/>
      </w:pPr>
      <w:bookmarkStart w:id="22" w:name="_Toc32924720"/>
      <w:r>
        <w:t>Product Information</w:t>
      </w:r>
      <w:bookmarkEnd w:id="19"/>
      <w:bookmarkEnd w:id="20"/>
      <w:bookmarkEnd w:id="22"/>
    </w:p>
    <w:p w:rsidR="00940A89" w:rsidRDefault="006136D7" w:rsidP="00940A89">
      <w:bookmarkStart w:id="23" w:name="_Toc247691506"/>
      <w:bookmarkStart w:id="24"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rsidR="00500337" w:rsidRDefault="00027F02" w:rsidP="00500337">
      <w:pPr>
        <w:pStyle w:val="Heading2"/>
      </w:pPr>
      <w:bookmarkStart w:id="25" w:name="_Toc504480011"/>
      <w:bookmarkStart w:id="26" w:name="_Toc32924721"/>
      <w:r>
        <w:lastRenderedPageBreak/>
        <w:t>II. Registration time</w:t>
      </w:r>
      <w:r w:rsidR="00500337">
        <w:t>line</w:t>
      </w:r>
      <w:bookmarkEnd w:id="25"/>
      <w:bookmarkEnd w:id="26"/>
    </w:p>
    <w:p w:rsidR="00500337" w:rsidRDefault="00500337" w:rsidP="00500337">
      <w:r>
        <w:t>The following table captures the key steps and dates for this application and which are detailed and discussed in this AusPAR.</w:t>
      </w:r>
    </w:p>
    <w:p w:rsidR="00500337" w:rsidRPr="00377BD4" w:rsidRDefault="003D6D15" w:rsidP="003D6D15">
      <w:pPr>
        <w:pStyle w:val="TableTitle"/>
      </w:pPr>
      <w:r>
        <w:t xml:space="preserve">Table </w:t>
      </w:r>
      <w:fldSimple w:instr=" SEQ Table \* ARABIC ">
        <w:r>
          <w:rPr>
            <w:noProof/>
          </w:rPr>
          <w:t>2</w:t>
        </w:r>
      </w:fldSimple>
      <w:r>
        <w:t xml:space="preserve">: </w:t>
      </w:r>
      <w:r w:rsidR="006A58A8" w:rsidRPr="006A58A8">
        <w:t xml:space="preserve">Timeline for Submission </w:t>
      </w:r>
      <w:r w:rsidR="00027F02" w:rsidRPr="00AA0DEE">
        <w:t>PM-2018-04256-1-3</w:t>
      </w:r>
    </w:p>
    <w:tbl>
      <w:tblPr>
        <w:tblStyle w:val="TableTGAblue"/>
        <w:tblW w:w="0" w:type="auto"/>
        <w:tblLook w:val="04A0" w:firstRow="1" w:lastRow="0" w:firstColumn="1" w:lastColumn="0" w:noHBand="0" w:noVBand="1"/>
      </w:tblPr>
      <w:tblGrid>
        <w:gridCol w:w="4360"/>
        <w:gridCol w:w="4360"/>
      </w:tblGrid>
      <w:tr w:rsidR="0050033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rsidR="00500337" w:rsidRDefault="00500337" w:rsidP="00500337">
            <w:pPr>
              <w:ind w:left="0" w:right="0"/>
            </w:pPr>
            <w:r>
              <w:t>Description</w:t>
            </w:r>
          </w:p>
        </w:tc>
        <w:tc>
          <w:tcPr>
            <w:tcW w:w="4360" w:type="dxa"/>
          </w:tcPr>
          <w:p w:rsidR="00500337" w:rsidRDefault="00500337" w:rsidP="00500337">
            <w:pPr>
              <w:ind w:left="0" w:right="0"/>
            </w:pPr>
            <w:r>
              <w:t>Date</w:t>
            </w:r>
          </w:p>
        </w:tc>
      </w:tr>
      <w:tr w:rsidR="00500337" w:rsidTr="00500337">
        <w:tc>
          <w:tcPr>
            <w:tcW w:w="4360" w:type="dxa"/>
          </w:tcPr>
          <w:p w:rsidR="00500337" w:rsidRDefault="00500337" w:rsidP="00500337">
            <w:pPr>
              <w:ind w:left="0" w:right="0"/>
            </w:pPr>
            <w:r>
              <w:t>Submission dossier accepted and first round evaluation commenced</w:t>
            </w:r>
          </w:p>
        </w:tc>
        <w:tc>
          <w:tcPr>
            <w:tcW w:w="4360" w:type="dxa"/>
          </w:tcPr>
          <w:p w:rsidR="00500337" w:rsidRDefault="00AC3CEE" w:rsidP="00500337">
            <w:pPr>
              <w:ind w:left="0" w:right="0"/>
            </w:pPr>
            <w:r>
              <w:t>31 December 2018</w:t>
            </w:r>
          </w:p>
        </w:tc>
      </w:tr>
      <w:tr w:rsidR="00500337" w:rsidTr="00500337">
        <w:tc>
          <w:tcPr>
            <w:tcW w:w="4360" w:type="dxa"/>
          </w:tcPr>
          <w:p w:rsidR="00500337" w:rsidRDefault="00500337" w:rsidP="00500337">
            <w:pPr>
              <w:ind w:left="0" w:right="0"/>
            </w:pPr>
            <w:r>
              <w:t>First round evaluation completed</w:t>
            </w:r>
          </w:p>
        </w:tc>
        <w:tc>
          <w:tcPr>
            <w:tcW w:w="4360" w:type="dxa"/>
          </w:tcPr>
          <w:p w:rsidR="00500337" w:rsidRDefault="00AC3CEE" w:rsidP="00500337">
            <w:pPr>
              <w:ind w:left="0" w:right="0"/>
            </w:pPr>
            <w:r>
              <w:t>31 May 2019</w:t>
            </w:r>
          </w:p>
        </w:tc>
      </w:tr>
      <w:tr w:rsidR="00500337" w:rsidTr="00500337">
        <w:tc>
          <w:tcPr>
            <w:tcW w:w="4360" w:type="dxa"/>
          </w:tcPr>
          <w:p w:rsidR="00500337" w:rsidRDefault="00500337" w:rsidP="00500337">
            <w:pPr>
              <w:ind w:left="0" w:right="0"/>
            </w:pPr>
            <w:r>
              <w:t>Sponsor provides responses on questions raised in first round evaluation</w:t>
            </w:r>
          </w:p>
        </w:tc>
        <w:tc>
          <w:tcPr>
            <w:tcW w:w="4360" w:type="dxa"/>
          </w:tcPr>
          <w:p w:rsidR="00500337" w:rsidRDefault="00AC3CEE" w:rsidP="00500337">
            <w:pPr>
              <w:ind w:left="0" w:right="0"/>
            </w:pPr>
            <w:r>
              <w:t>1 July 2019</w:t>
            </w:r>
          </w:p>
        </w:tc>
      </w:tr>
      <w:tr w:rsidR="00500337" w:rsidTr="00500337">
        <w:tc>
          <w:tcPr>
            <w:tcW w:w="4360" w:type="dxa"/>
          </w:tcPr>
          <w:p w:rsidR="00500337" w:rsidRDefault="00500337" w:rsidP="00500337">
            <w:pPr>
              <w:ind w:left="0" w:right="0"/>
            </w:pPr>
            <w:r>
              <w:t>Second round evaluation completed</w:t>
            </w:r>
          </w:p>
        </w:tc>
        <w:tc>
          <w:tcPr>
            <w:tcW w:w="4360" w:type="dxa"/>
          </w:tcPr>
          <w:p w:rsidR="00500337" w:rsidRDefault="00AC3CEE" w:rsidP="00500337">
            <w:pPr>
              <w:ind w:left="0" w:right="0"/>
            </w:pPr>
            <w:r>
              <w:t>30 July 2019</w:t>
            </w:r>
          </w:p>
        </w:tc>
      </w:tr>
      <w:tr w:rsidR="00500337" w:rsidTr="00500337">
        <w:tc>
          <w:tcPr>
            <w:tcW w:w="4360" w:type="dxa"/>
          </w:tcPr>
          <w:p w:rsidR="00500337" w:rsidRDefault="00500337" w:rsidP="00500337">
            <w:pPr>
              <w:ind w:left="0" w:right="0"/>
            </w:pPr>
            <w:r>
              <w:t>Delegate’s Overall benefit-risk assessment and request for Advisory Committee advice</w:t>
            </w:r>
          </w:p>
        </w:tc>
        <w:tc>
          <w:tcPr>
            <w:tcW w:w="4360" w:type="dxa"/>
          </w:tcPr>
          <w:p w:rsidR="00500337" w:rsidRDefault="00AC3CEE" w:rsidP="00500337">
            <w:pPr>
              <w:ind w:left="0" w:right="0"/>
            </w:pPr>
            <w:r>
              <w:t>30 August 2019</w:t>
            </w:r>
          </w:p>
        </w:tc>
      </w:tr>
      <w:tr w:rsidR="00500337" w:rsidTr="00500337">
        <w:tc>
          <w:tcPr>
            <w:tcW w:w="4360" w:type="dxa"/>
          </w:tcPr>
          <w:p w:rsidR="00500337" w:rsidRDefault="00500337" w:rsidP="00500337">
            <w:pPr>
              <w:ind w:left="0" w:right="0"/>
            </w:pPr>
            <w:r>
              <w:t>Sponsor’s pre-Advisory Committee response</w:t>
            </w:r>
          </w:p>
        </w:tc>
        <w:tc>
          <w:tcPr>
            <w:tcW w:w="4360" w:type="dxa"/>
          </w:tcPr>
          <w:p w:rsidR="00500337" w:rsidRDefault="00AC3CEE" w:rsidP="00500337">
            <w:pPr>
              <w:ind w:left="0" w:right="0"/>
            </w:pPr>
            <w:r>
              <w:t>10 September 2019</w:t>
            </w:r>
          </w:p>
        </w:tc>
      </w:tr>
      <w:tr w:rsidR="00500337" w:rsidTr="00500337">
        <w:tc>
          <w:tcPr>
            <w:tcW w:w="4360" w:type="dxa"/>
          </w:tcPr>
          <w:p w:rsidR="00500337" w:rsidRDefault="00500337" w:rsidP="00500337">
            <w:pPr>
              <w:ind w:left="0" w:right="0"/>
            </w:pPr>
            <w:r>
              <w:t>Advisory Committee meeting</w:t>
            </w:r>
          </w:p>
        </w:tc>
        <w:tc>
          <w:tcPr>
            <w:tcW w:w="4360" w:type="dxa"/>
          </w:tcPr>
          <w:p w:rsidR="00500337" w:rsidRDefault="00AC3CEE" w:rsidP="00500337">
            <w:pPr>
              <w:ind w:left="0" w:right="0"/>
            </w:pPr>
            <w:r>
              <w:t>4 October 2019</w:t>
            </w:r>
          </w:p>
        </w:tc>
      </w:tr>
      <w:tr w:rsidR="00500337" w:rsidTr="00500337">
        <w:tc>
          <w:tcPr>
            <w:tcW w:w="4360" w:type="dxa"/>
          </w:tcPr>
          <w:p w:rsidR="00500337" w:rsidRDefault="00500337" w:rsidP="00500337">
            <w:pPr>
              <w:ind w:left="0" w:right="0"/>
            </w:pPr>
            <w:r>
              <w:t>Registration decision (Outcome)</w:t>
            </w:r>
          </w:p>
        </w:tc>
        <w:tc>
          <w:tcPr>
            <w:tcW w:w="4360" w:type="dxa"/>
          </w:tcPr>
          <w:p w:rsidR="00500337" w:rsidRDefault="00AA0DEE" w:rsidP="00500337">
            <w:pPr>
              <w:ind w:left="0" w:right="0"/>
            </w:pPr>
            <w:r>
              <w:t>13 November 2019</w:t>
            </w:r>
          </w:p>
        </w:tc>
      </w:tr>
      <w:tr w:rsidR="00500337" w:rsidTr="00500337">
        <w:tc>
          <w:tcPr>
            <w:tcW w:w="4360" w:type="dxa"/>
          </w:tcPr>
          <w:p w:rsidR="00500337" w:rsidRDefault="00500337" w:rsidP="00500337">
            <w:pPr>
              <w:ind w:left="0" w:right="0"/>
            </w:pPr>
            <w:r>
              <w:t>Completion of administrative activities and registration on ARTG</w:t>
            </w:r>
          </w:p>
        </w:tc>
        <w:tc>
          <w:tcPr>
            <w:tcW w:w="4360" w:type="dxa"/>
          </w:tcPr>
          <w:p w:rsidR="00500337" w:rsidRDefault="00AA0DEE" w:rsidP="00500337">
            <w:pPr>
              <w:ind w:left="0" w:right="0"/>
            </w:pPr>
            <w:r>
              <w:t>18 November 2019</w:t>
            </w:r>
          </w:p>
        </w:tc>
      </w:tr>
      <w:tr w:rsidR="00500337" w:rsidTr="00500337">
        <w:tc>
          <w:tcPr>
            <w:tcW w:w="4360" w:type="dxa"/>
          </w:tcPr>
          <w:p w:rsidR="00500337" w:rsidRDefault="00500337" w:rsidP="00500337">
            <w:pPr>
              <w:ind w:left="0" w:right="0"/>
            </w:pPr>
            <w:r>
              <w:t>Number of working days from submission dossier acceptance to registration decision*</w:t>
            </w:r>
          </w:p>
        </w:tc>
        <w:tc>
          <w:tcPr>
            <w:tcW w:w="4360" w:type="dxa"/>
          </w:tcPr>
          <w:p w:rsidR="00500337" w:rsidRDefault="00AC3CEE" w:rsidP="00500337">
            <w:pPr>
              <w:ind w:left="0" w:right="0"/>
            </w:pPr>
            <w:r>
              <w:t>193</w:t>
            </w:r>
          </w:p>
        </w:tc>
      </w:tr>
    </w:tbl>
    <w:p w:rsidR="00500337" w:rsidRDefault="00500337" w:rsidP="00612EB9">
      <w:pPr>
        <w:pStyle w:val="TableDescription"/>
      </w:pPr>
      <w:r>
        <w:t>*</w:t>
      </w:r>
      <w:r w:rsidR="00BF3774" w:rsidRPr="00BF3774">
        <w:t xml:space="preserve">Statutory </w:t>
      </w:r>
      <w:r>
        <w:t>timeframe for standard applications is 2</w:t>
      </w:r>
      <w:r w:rsidR="00BF3774">
        <w:t>55</w:t>
      </w:r>
      <w:r w:rsidR="00612EB9">
        <w:t xml:space="preserve"> working days</w:t>
      </w:r>
    </w:p>
    <w:p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32924722"/>
      <w:bookmarkEnd w:id="23"/>
      <w:bookmarkEnd w:id="24"/>
      <w:bookmarkEnd w:id="1"/>
      <w:r>
        <w:t>I</w:t>
      </w:r>
      <w:r w:rsidR="00DA64CB">
        <w:t>I</w:t>
      </w:r>
      <w:r w:rsidR="008E7846">
        <w:t xml:space="preserve">I. </w:t>
      </w:r>
      <w:r w:rsidR="00612EB9">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D06132">
        <w:t>s.</w:t>
      </w:r>
    </w:p>
    <w:p w:rsidR="008E7846" w:rsidRDefault="008E7846" w:rsidP="008E7846">
      <w:pPr>
        <w:pStyle w:val="Heading3"/>
      </w:pPr>
      <w:bookmarkStart w:id="33" w:name="_Toc314842511"/>
      <w:bookmarkStart w:id="34" w:name="_Toc32924723"/>
      <w:r>
        <w:t>Quality</w:t>
      </w:r>
      <w:bookmarkEnd w:id="32"/>
      <w:bookmarkEnd w:id="33"/>
      <w:bookmarkEnd w:id="34"/>
    </w:p>
    <w:p w:rsidR="00E45619" w:rsidRDefault="008E7846" w:rsidP="00AC3CEE">
      <w:r>
        <w:t>There was no requirement for a quality evaluation in a submission of this type.</w:t>
      </w:r>
    </w:p>
    <w:p w:rsidR="008E7846" w:rsidRDefault="008E7846" w:rsidP="008E7846">
      <w:pPr>
        <w:pStyle w:val="Heading3"/>
      </w:pPr>
      <w:bookmarkStart w:id="35" w:name="_Toc314842512"/>
      <w:bookmarkStart w:id="36" w:name="_Toc32924724"/>
      <w:r>
        <w:t>Nonclinical</w:t>
      </w:r>
      <w:bookmarkEnd w:id="35"/>
      <w:bookmarkEnd w:id="36"/>
    </w:p>
    <w:p w:rsidR="008E7846" w:rsidRDefault="00AC3CEE" w:rsidP="008E7846">
      <w:r>
        <w:t>No nonclinical data specific to the extension of indication</w:t>
      </w:r>
      <w:r w:rsidR="003D6D15">
        <w:t>s was</w:t>
      </w:r>
      <w:r>
        <w:t xml:space="preserve"> submitted, but several updated pharmacokinetic</w:t>
      </w:r>
      <w:r w:rsidR="004F5720">
        <w:t xml:space="preserve"> (PK)</w:t>
      </w:r>
      <w:r>
        <w:t xml:space="preserve"> analytical validation studies were submitted as further regulatory information. The nonclinical evaluator has advised t</w:t>
      </w:r>
      <w:r w:rsidRPr="00910AEC">
        <w:t>here are no changes to any previous nonclinical conclusions arising from the present data</w:t>
      </w:r>
      <w:r>
        <w:t>.</w:t>
      </w:r>
    </w:p>
    <w:p w:rsidR="008E7846" w:rsidRDefault="008E7846" w:rsidP="008E7846">
      <w:pPr>
        <w:pStyle w:val="Heading3"/>
      </w:pPr>
      <w:bookmarkStart w:id="37" w:name="_Toc247691530"/>
      <w:bookmarkStart w:id="38" w:name="_Toc314842513"/>
      <w:bookmarkStart w:id="39" w:name="_Toc32924725"/>
      <w:r>
        <w:lastRenderedPageBreak/>
        <w:t>Clinical</w:t>
      </w:r>
      <w:bookmarkEnd w:id="37"/>
      <w:bookmarkEnd w:id="38"/>
      <w:bookmarkEnd w:id="39"/>
    </w:p>
    <w:p w:rsidR="00AC3CEE" w:rsidRDefault="00AC3CEE" w:rsidP="00AC3CEE">
      <w:pPr>
        <w:rPr>
          <w:rFonts w:asciiTheme="minorHAnsi" w:hAnsiTheme="minorHAnsi"/>
        </w:rPr>
      </w:pPr>
      <w:bookmarkStart w:id="40" w:name="_Toc314842514"/>
      <w:r>
        <w:rPr>
          <w:rFonts w:asciiTheme="minorHAnsi" w:hAnsiTheme="minorHAnsi"/>
        </w:rPr>
        <w:t>The clinical dossier includes two</w:t>
      </w:r>
      <w:r w:rsidR="007B5663">
        <w:rPr>
          <w:rFonts w:asciiTheme="minorHAnsi" w:hAnsiTheme="minorHAnsi"/>
        </w:rPr>
        <w:t xml:space="preserve"> Phase III</w:t>
      </w:r>
      <w:r>
        <w:rPr>
          <w:rFonts w:asciiTheme="minorHAnsi" w:hAnsiTheme="minorHAnsi"/>
        </w:rPr>
        <w:t xml:space="preserve"> studies:</w:t>
      </w:r>
    </w:p>
    <w:p w:rsidR="00AC3CEE" w:rsidRPr="00853E9B" w:rsidRDefault="007B5663" w:rsidP="007B5663">
      <w:pPr>
        <w:pStyle w:val="ListBullet"/>
      </w:pPr>
      <w:r>
        <w:t xml:space="preserve">Study </w:t>
      </w:r>
      <w:r w:rsidR="003D6D15">
        <w:t>AS0006; a</w:t>
      </w:r>
      <w:r w:rsidR="00AC3CEE">
        <w:t xml:space="preserve"> new pivotal 52 week study in </w:t>
      </w:r>
      <w:proofErr w:type="spellStart"/>
      <w:r w:rsidR="00AC3CEE" w:rsidRPr="00853E9B">
        <w:rPr>
          <w:rFonts w:cs="TimesNewRomanPSMT"/>
        </w:rPr>
        <w:t>nr</w:t>
      </w:r>
      <w:proofErr w:type="spellEnd"/>
      <w:r w:rsidR="00AC3CEE" w:rsidRPr="00853E9B">
        <w:rPr>
          <w:rFonts w:cs="TimesNewRomanPSMT"/>
        </w:rPr>
        <w:t xml:space="preserve">-axial </w:t>
      </w:r>
      <w:proofErr w:type="spellStart"/>
      <w:r w:rsidR="00AC3CEE" w:rsidRPr="00853E9B">
        <w:rPr>
          <w:rFonts w:cs="TimesNewRomanPSMT"/>
        </w:rPr>
        <w:t>SpA</w:t>
      </w:r>
      <w:proofErr w:type="spellEnd"/>
      <w:r w:rsidR="00AC3CEE" w:rsidRPr="00853E9B">
        <w:rPr>
          <w:rFonts w:cs="TimesNewRomanPSMT"/>
        </w:rPr>
        <w:t xml:space="preserve"> which is ongoing</w:t>
      </w:r>
      <w:r w:rsidR="008354EE">
        <w:rPr>
          <w:rFonts w:cs="TimesNewRomanPSMT"/>
        </w:rPr>
        <w:t>; and</w:t>
      </w:r>
    </w:p>
    <w:p w:rsidR="00AC3CEE" w:rsidRDefault="007B5663" w:rsidP="007B5663">
      <w:pPr>
        <w:pStyle w:val="ListBullet"/>
      </w:pPr>
      <w:r>
        <w:t xml:space="preserve">Study </w:t>
      </w:r>
      <w:r w:rsidR="008354EE">
        <w:t xml:space="preserve">AS001; a </w:t>
      </w:r>
      <w:r w:rsidR="00AC3CEE">
        <w:t>previously su</w:t>
      </w:r>
      <w:r w:rsidR="008354EE">
        <w:t xml:space="preserve">bmitted study in axial </w:t>
      </w:r>
      <w:proofErr w:type="spellStart"/>
      <w:r w:rsidR="008354EE">
        <w:t>SpA</w:t>
      </w:r>
      <w:proofErr w:type="spellEnd"/>
      <w:r w:rsidR="008354EE">
        <w:t xml:space="preserve"> (that is,</w:t>
      </w:r>
      <w:r w:rsidR="00AC3CEE">
        <w:t xml:space="preserve"> both </w:t>
      </w:r>
      <w:proofErr w:type="spellStart"/>
      <w:r w:rsidR="00AC3CEE" w:rsidRPr="00853E9B">
        <w:rPr>
          <w:rFonts w:cs="TimesNewRomanPSMT"/>
        </w:rPr>
        <w:t>nr</w:t>
      </w:r>
      <w:proofErr w:type="spellEnd"/>
      <w:r w:rsidR="00AC3CEE" w:rsidRPr="00853E9B">
        <w:rPr>
          <w:rFonts w:cs="TimesNewRomanPSMT"/>
        </w:rPr>
        <w:t xml:space="preserve">-axial </w:t>
      </w:r>
      <w:proofErr w:type="spellStart"/>
      <w:r w:rsidR="00AC3CEE" w:rsidRPr="00853E9B">
        <w:rPr>
          <w:rFonts w:cs="TimesNewRomanPSMT"/>
        </w:rPr>
        <w:t>SpA</w:t>
      </w:r>
      <w:proofErr w:type="spellEnd"/>
      <w:r w:rsidR="00AC3CEE" w:rsidRPr="00853E9B">
        <w:rPr>
          <w:rFonts w:cs="TimesNewRomanPSMT"/>
        </w:rPr>
        <w:t xml:space="preserve"> and ankylosing spondylitis</w:t>
      </w:r>
      <w:r w:rsidR="008354EE">
        <w:t>).</w:t>
      </w:r>
    </w:p>
    <w:p w:rsidR="007B6132" w:rsidRDefault="00AC3CEE" w:rsidP="007B5663">
      <w:r>
        <w:t xml:space="preserve">Integrated safety datasets of subjects with axial </w:t>
      </w:r>
      <w:proofErr w:type="spellStart"/>
      <w:r>
        <w:t>SpA</w:t>
      </w:r>
      <w:proofErr w:type="spellEnd"/>
      <w:r>
        <w:t xml:space="preserve"> in 4 clinical studies</w:t>
      </w:r>
      <w:r w:rsidR="007B5663">
        <w:t xml:space="preserve"> were also provided</w:t>
      </w:r>
      <w:r>
        <w:t>.</w:t>
      </w:r>
    </w:p>
    <w:p w:rsidR="007B5663" w:rsidRDefault="007B5663" w:rsidP="00612EB9">
      <w:pPr>
        <w:pStyle w:val="Heading4"/>
      </w:pPr>
      <w:r>
        <w:t>Pharmacology</w:t>
      </w:r>
    </w:p>
    <w:p w:rsidR="007B5663" w:rsidRDefault="007B5663" w:rsidP="00612EB9">
      <w:r>
        <w:t xml:space="preserve">The </w:t>
      </w:r>
      <w:r w:rsidR="008354EE">
        <w:t>pharmacokinetic (</w:t>
      </w:r>
      <w:r>
        <w:t>PK</w:t>
      </w:r>
      <w:r w:rsidR="008354EE">
        <w:t>)</w:t>
      </w:r>
      <w:r>
        <w:t xml:space="preserve"> characteristics of </w:t>
      </w:r>
      <w:proofErr w:type="spellStart"/>
      <w:r>
        <w:t>certolizumab</w:t>
      </w:r>
      <w:proofErr w:type="spellEnd"/>
      <w:r>
        <w:t xml:space="preserve"> in adult patients with ankylosing spondylitis and patients with </w:t>
      </w:r>
      <w:proofErr w:type="spellStart"/>
      <w:r>
        <w:t>nr</w:t>
      </w:r>
      <w:proofErr w:type="spellEnd"/>
      <w:r>
        <w:t xml:space="preserve">-axial </w:t>
      </w:r>
      <w:proofErr w:type="spellStart"/>
      <w:r>
        <w:t>SpA</w:t>
      </w:r>
      <w:proofErr w:type="spellEnd"/>
      <w:r>
        <w:t xml:space="preserve"> have similar PK respo</w:t>
      </w:r>
      <w:r w:rsidR="008354EE">
        <w:t xml:space="preserve">nses to </w:t>
      </w:r>
      <w:proofErr w:type="spellStart"/>
      <w:r w:rsidR="008354EE">
        <w:t>certolizumab</w:t>
      </w:r>
      <w:proofErr w:type="spellEnd"/>
      <w:r w:rsidR="008354EE">
        <w:t xml:space="preserve"> exposure. </w:t>
      </w:r>
      <w:r>
        <w:t xml:space="preserve">In Study AS0006, steady state drug </w:t>
      </w:r>
      <w:r w:rsidR="008354EE">
        <w:t>concentrations were reached by W</w:t>
      </w:r>
      <w:r>
        <w:t xml:space="preserve">eek 12 following multiple </w:t>
      </w:r>
      <w:r w:rsidR="008354EE">
        <w:t>subcutaneous (</w:t>
      </w:r>
      <w:r>
        <w:t>SC</w:t>
      </w:r>
      <w:r w:rsidR="008354EE">
        <w:t>)</w:t>
      </w:r>
      <w:r>
        <w:t xml:space="preserve"> doses of 200</w:t>
      </w:r>
      <w:r w:rsidR="008354EE">
        <w:t xml:space="preserve"> </w:t>
      </w:r>
      <w:r>
        <w:t xml:space="preserve">mg </w:t>
      </w:r>
      <w:r w:rsidR="008354EE">
        <w:t>every two weeks (</w:t>
      </w:r>
      <w:r>
        <w:t>Q2W</w:t>
      </w:r>
      <w:r w:rsidR="008354EE">
        <w:t>)</w:t>
      </w:r>
      <w:r>
        <w:t xml:space="preserve"> and remaine</w:t>
      </w:r>
      <w:r w:rsidR="008354EE">
        <w:t>d relatively stable through to W</w:t>
      </w:r>
      <w:r>
        <w:t xml:space="preserve">eek 52. Both studies showed that trough serum concentrations were lower in those with high </w:t>
      </w:r>
      <w:r w:rsidR="008354EE">
        <w:t>anti-drug antibody (</w:t>
      </w:r>
      <w:r>
        <w:t>ADA</w:t>
      </w:r>
      <w:r w:rsidR="008354EE">
        <w:t>)</w:t>
      </w:r>
      <w:r>
        <w:t xml:space="preserve"> titres (Study AS0006) or in those who developed treatment </w:t>
      </w:r>
      <w:r w:rsidR="008354EE">
        <w:t>emergent ADA</w:t>
      </w:r>
      <w:r w:rsidR="004F5720">
        <w:t>s</w:t>
      </w:r>
      <w:r w:rsidR="008354EE">
        <w:t xml:space="preserve"> (Study</w:t>
      </w:r>
      <w:r w:rsidR="004F5720">
        <w:t> </w:t>
      </w:r>
      <w:r w:rsidR="008354EE">
        <w:t>AS001). In S</w:t>
      </w:r>
      <w:r>
        <w:t>tudy AS001, positive ADA status was associated with a reduced rate of clinical efficacy response c</w:t>
      </w:r>
      <w:r w:rsidR="008354EE">
        <w:t>ompared to ADA negative status. In S</w:t>
      </w:r>
      <w:r>
        <w:t xml:space="preserve">tudy AS0006, a </w:t>
      </w:r>
      <w:r w:rsidRPr="00415AC1">
        <w:rPr>
          <w:i/>
        </w:rPr>
        <w:t>post-hoc</w:t>
      </w:r>
      <w:r>
        <w:t xml:space="preserve"> analysis showed no discernible relationship between the achievement of the clinical efficacy outcomes and ADA titre.</w:t>
      </w:r>
    </w:p>
    <w:p w:rsidR="007B5663" w:rsidRDefault="009111C2" w:rsidP="00612EB9">
      <w:r>
        <w:t xml:space="preserve">The two </w:t>
      </w:r>
      <w:r w:rsidR="007B5663">
        <w:t xml:space="preserve">main sources of PK variability identified in </w:t>
      </w:r>
      <w:proofErr w:type="spellStart"/>
      <w:r w:rsidR="007B5663">
        <w:t>certolizumab</w:t>
      </w:r>
      <w:proofErr w:type="spellEnd"/>
      <w:r w:rsidR="007B5663">
        <w:t xml:space="preserve"> treated patients are subject body weight and the presence of ADA. The dossier did not include a population PK an</w:t>
      </w:r>
      <w:r w:rsidR="008354EE">
        <w:t>alysis to examine this effect. In the pivotal study, between W</w:t>
      </w:r>
      <w:r w:rsidR="007B5663">
        <w:t xml:space="preserve">eeks 24 and 52, the geometric mean plasma </w:t>
      </w:r>
      <w:proofErr w:type="spellStart"/>
      <w:r w:rsidR="007B5663">
        <w:t>certolizumab</w:t>
      </w:r>
      <w:proofErr w:type="spellEnd"/>
      <w:r w:rsidR="007B5663">
        <w:t xml:space="preserve"> levels in heavier</w:t>
      </w:r>
      <w:r w:rsidR="008354EE">
        <w:t xml:space="preserve"> subjects were approximately 30 to </w:t>
      </w:r>
      <w:r w:rsidR="007B5663">
        <w:t>50% lower than lighter weighted subjects, however there is a lack of data on clinical response.</w:t>
      </w:r>
    </w:p>
    <w:p w:rsidR="007B5663" w:rsidRDefault="007B5663" w:rsidP="00612EB9">
      <w:pPr>
        <w:pStyle w:val="Heading4"/>
      </w:pPr>
      <w:r>
        <w:t>Efficacy</w:t>
      </w:r>
    </w:p>
    <w:p w:rsidR="00D06132" w:rsidRDefault="00D06132" w:rsidP="00D06132">
      <w:pPr>
        <w:pStyle w:val="Heading5"/>
      </w:pPr>
      <w:r>
        <w:t>Study AS0006</w:t>
      </w:r>
    </w:p>
    <w:p w:rsidR="007B5663" w:rsidRDefault="008354EE" w:rsidP="00612EB9">
      <w:r>
        <w:t>The single pivotal Phase III study, Study AS0006,</w:t>
      </w:r>
      <w:r w:rsidR="007B5663">
        <w:t xml:space="preserve"> included in this submission examined the effect of one dose regimen compared to placebo, w</w:t>
      </w:r>
      <w:r>
        <w:t>hich was chosen based on the 24 week data from the preceding S</w:t>
      </w:r>
      <w:r w:rsidR="007B5663">
        <w:t xml:space="preserve">tudy AS001. In that trial, 2 dose regimens were evaluated in an axial </w:t>
      </w:r>
      <w:proofErr w:type="spellStart"/>
      <w:r w:rsidR="007B5663">
        <w:t>SpA</w:t>
      </w:r>
      <w:proofErr w:type="spellEnd"/>
      <w:r w:rsidR="007B5663">
        <w:t xml:space="preserve"> population (same loading dose but maintenance doses of 200</w:t>
      </w:r>
      <w:r>
        <w:t xml:space="preserve"> </w:t>
      </w:r>
      <w:r w:rsidR="007B5663">
        <w:t xml:space="preserve">mg Q2W or 400mg </w:t>
      </w:r>
      <w:r>
        <w:t>every 4 weeks (</w:t>
      </w:r>
      <w:r w:rsidR="007B5663">
        <w:t>Q4W</w:t>
      </w:r>
      <w:r>
        <w:t>)</w:t>
      </w:r>
      <w:r w:rsidR="007B5663">
        <w:t>) which demonstrated that both dose regimens were similarly efficacious.</w:t>
      </w:r>
    </w:p>
    <w:p w:rsidR="007B5663" w:rsidRDefault="007B5663" w:rsidP="00612EB9">
      <w:r>
        <w:t>Study AS0006 is an ongoing, randomised, double blind, multicentre, multinational, para</w:t>
      </w:r>
      <w:r w:rsidR="008354EE">
        <w:t>llel group, placebo controlled Phase III</w:t>
      </w:r>
      <w:r>
        <w:t xml:space="preserve"> trial that was primarily designed to demonstrate the efficacy of </w:t>
      </w:r>
      <w:proofErr w:type="spellStart"/>
      <w:r>
        <w:t>certolizumab</w:t>
      </w:r>
      <w:proofErr w:type="spellEnd"/>
      <w:r>
        <w:t xml:space="preserve"> pegol 200</w:t>
      </w:r>
      <w:r w:rsidR="008354EE">
        <w:t xml:space="preserve"> mg Q2W in pre</w:t>
      </w:r>
      <w:r>
        <w:t>filled syringe (after a loading dose of 400</w:t>
      </w:r>
      <w:r w:rsidR="008354EE">
        <w:t xml:space="preserve"> mg at W</w:t>
      </w:r>
      <w:r>
        <w:t>eeks 0, 2 and 4) versus placebo on the signs and symptoms in 317 adult subjects with acti</w:t>
      </w:r>
      <w:r w:rsidR="008354EE">
        <w:t xml:space="preserve">ve </w:t>
      </w:r>
      <w:proofErr w:type="spellStart"/>
      <w:r w:rsidR="008354EE">
        <w:t>nr</w:t>
      </w:r>
      <w:proofErr w:type="spellEnd"/>
      <w:r w:rsidR="008354EE">
        <w:t xml:space="preserve">-axial </w:t>
      </w:r>
      <w:proofErr w:type="spellStart"/>
      <w:r w:rsidR="008354EE">
        <w:t>SpA</w:t>
      </w:r>
      <w:proofErr w:type="spellEnd"/>
      <w:r w:rsidR="008354EE">
        <w:t xml:space="preserve"> over 52 weeks. </w:t>
      </w:r>
      <w:r>
        <w:t>The interim study report was provided and the</w:t>
      </w:r>
      <w:r w:rsidR="008354EE">
        <w:t xml:space="preserve"> open label period is ongoing (Weeks 52 to 156). </w:t>
      </w:r>
      <w:r>
        <w:t xml:space="preserve">The study included a protocol amendment that involved changing the primary efficacy endpoint from </w:t>
      </w:r>
      <w:r w:rsidR="009111C2">
        <w:t xml:space="preserve">an </w:t>
      </w:r>
      <w:r w:rsidR="008354EE">
        <w:t>Ankylosing Spondylitis Disease Activity Score - Major Improvement (ASDAS-</w:t>
      </w:r>
      <w:r>
        <w:t>MI</w:t>
      </w:r>
      <w:r w:rsidR="008354EE">
        <w:t>)</w:t>
      </w:r>
      <w:r>
        <w:t xml:space="preserve"> response </w:t>
      </w:r>
      <w:r w:rsidR="008354EE">
        <w:t>at W</w:t>
      </w:r>
      <w:r>
        <w:t>eek 52</w:t>
      </w:r>
      <w:r w:rsidR="009111C2">
        <w:t>;</w:t>
      </w:r>
      <w:r w:rsidR="009111C2">
        <w:rPr>
          <w:rStyle w:val="FootnoteReference"/>
        </w:rPr>
        <w:footnoteReference w:id="1"/>
      </w:r>
      <w:r>
        <w:t xml:space="preserve"> to </w:t>
      </w:r>
      <w:r w:rsidR="009111C2">
        <w:t xml:space="preserve">an </w:t>
      </w:r>
      <w:r w:rsidR="008354EE">
        <w:t xml:space="preserve">Assessment of </w:t>
      </w:r>
      <w:proofErr w:type="spellStart"/>
      <w:r w:rsidR="008354EE">
        <w:t>SpondyloArthritis</w:t>
      </w:r>
      <w:proofErr w:type="spellEnd"/>
      <w:r w:rsidR="008354EE">
        <w:t xml:space="preserve"> International Society 40% response (</w:t>
      </w:r>
      <w:r>
        <w:t>ASAS</w:t>
      </w:r>
      <w:r w:rsidR="00A91D23">
        <w:t> </w:t>
      </w:r>
      <w:r>
        <w:t>40</w:t>
      </w:r>
      <w:r w:rsidR="008354EE">
        <w:t xml:space="preserve">) </w:t>
      </w:r>
      <w:r w:rsidR="008354EE">
        <w:lastRenderedPageBreak/>
        <w:t>at Week 12.</w:t>
      </w:r>
      <w:r w:rsidR="00A91D23">
        <w:rPr>
          <w:rStyle w:val="FootnoteReference"/>
        </w:rPr>
        <w:footnoteReference w:id="2"/>
      </w:r>
      <w:r w:rsidR="008354EE">
        <w:t xml:space="preserve"> </w:t>
      </w:r>
      <w:r>
        <w:t xml:space="preserve">Patients in the study had adult onset axial </w:t>
      </w:r>
      <w:proofErr w:type="spellStart"/>
      <w:r>
        <w:t>SpA</w:t>
      </w:r>
      <w:proofErr w:type="spellEnd"/>
      <w:r>
        <w:t xml:space="preserve"> according to ASAS criteria (not including family history and good response to NSAIDs) and must not have had evidence of </w:t>
      </w:r>
      <w:proofErr w:type="spellStart"/>
      <w:r>
        <w:t>sacroiliitis</w:t>
      </w:r>
      <w:proofErr w:type="spellEnd"/>
      <w:r>
        <w:t xml:space="preserve"> on plain X-rays (bilateral grade &gt;</w:t>
      </w:r>
      <w:r w:rsidR="008354EE">
        <w:t xml:space="preserve"> </w:t>
      </w:r>
      <w:r>
        <w:t>2 or unilateral grade &gt;</w:t>
      </w:r>
      <w:r w:rsidR="008354EE">
        <w:t xml:space="preserve"> </w:t>
      </w:r>
      <w:r>
        <w:t xml:space="preserve">3; based on central reading of X-rays) as defined by the </w:t>
      </w:r>
      <w:proofErr w:type="spellStart"/>
      <w:r>
        <w:t>mNY</w:t>
      </w:r>
      <w:proofErr w:type="spellEnd"/>
      <w:r>
        <w:t xml:space="preserve"> criteria. Subjects were required to have experienced back pain for at least</w:t>
      </w:r>
      <w:r w:rsidR="008354EE">
        <w:t xml:space="preserve"> 12 months prior to screening. </w:t>
      </w:r>
      <w:r>
        <w:t xml:space="preserve">Patients also had active disease and a combination of current evidence for </w:t>
      </w:r>
      <w:proofErr w:type="spellStart"/>
      <w:r>
        <w:t>sacroiliitis</w:t>
      </w:r>
      <w:proofErr w:type="spellEnd"/>
      <w:r>
        <w:t xml:space="preserve"> on screening MRI and </w:t>
      </w:r>
      <w:r w:rsidR="00EC7157">
        <w:t>C</w:t>
      </w:r>
      <w:r w:rsidR="00EC7157">
        <w:noBreakHyphen/>
      </w:r>
      <w:r w:rsidR="008354EE">
        <w:t>reactive protein (</w:t>
      </w:r>
      <w:r>
        <w:t>CRP</w:t>
      </w:r>
      <w:r w:rsidR="008354EE">
        <w:t>)</w:t>
      </w:r>
      <w:r>
        <w:t xml:space="preserve"> reading to produce 3 stratified groups: MRI+</w:t>
      </w:r>
      <w:r w:rsidR="00EC7157">
        <w:t xml:space="preserve">/CRP+, MRI+/CRP- or MRI-/CRP+. </w:t>
      </w:r>
      <w:r>
        <w:t>Patients must have had an inadequate response to, had a contraindication to, or been in</w:t>
      </w:r>
      <w:r w:rsidR="00EC7157">
        <w:t xml:space="preserve">tolerant to at least 2 NSAIDs. </w:t>
      </w:r>
      <w:r>
        <w:t>The exclusion criteria (n</w:t>
      </w:r>
      <w:r w:rsidR="00EC7157">
        <w:t xml:space="preserve"> </w:t>
      </w:r>
      <w:r>
        <w:t>=</w:t>
      </w:r>
      <w:r w:rsidR="00EC7157">
        <w:t xml:space="preserve"> </w:t>
      </w:r>
      <w:r>
        <w:t xml:space="preserve">30) were comprehensive and similar to other Phase </w:t>
      </w:r>
      <w:r w:rsidR="00EC7157">
        <w:t xml:space="preserve">III studies in axial </w:t>
      </w:r>
      <w:proofErr w:type="spellStart"/>
      <w:r w:rsidR="00EC7157">
        <w:t>SpA</w:t>
      </w:r>
      <w:proofErr w:type="spellEnd"/>
      <w:r w:rsidR="00EC7157">
        <w:t xml:space="preserve">. </w:t>
      </w:r>
      <w:r>
        <w:t xml:space="preserve">Subjects with known </w:t>
      </w:r>
      <w:r w:rsidR="00EC7157">
        <w:t>tuberculosis (</w:t>
      </w:r>
      <w:r>
        <w:t>TB</w:t>
      </w:r>
      <w:r w:rsidR="00EC7157">
        <w:t>)</w:t>
      </w:r>
      <w:r>
        <w:t xml:space="preserve"> exposure (present or past) were excluded, but those with latent TB could be included after treatment according to local country guidelines.</w:t>
      </w:r>
    </w:p>
    <w:p w:rsidR="007B5663" w:rsidRDefault="007B5663" w:rsidP="00612EB9">
      <w:r>
        <w:t>The primary efficacy e</w:t>
      </w:r>
      <w:r w:rsidR="00EC7157">
        <w:t>ndpoint was ASAS</w:t>
      </w:r>
      <w:r w:rsidR="00A91D23">
        <w:t xml:space="preserve"> </w:t>
      </w:r>
      <w:r w:rsidR="00EC7157">
        <w:t>40 response at W</w:t>
      </w:r>
      <w:r>
        <w:t>eek 12, defined as a ≥</w:t>
      </w:r>
      <w:r w:rsidR="00EC7157">
        <w:t xml:space="preserve"> </w:t>
      </w:r>
      <w:r>
        <w:t xml:space="preserve">40% improvement and an absolute improvement from </w:t>
      </w:r>
      <w:r w:rsidR="009111C2">
        <w:t>B</w:t>
      </w:r>
      <w:r>
        <w:t>aseline of ≥</w:t>
      </w:r>
      <w:r w:rsidR="00EC7157">
        <w:t xml:space="preserve"> 2 units (range: 0 to </w:t>
      </w:r>
      <w:r>
        <w:t>10) in at least 3 of the following 4 domains: back pain (10</w:t>
      </w:r>
      <w:r w:rsidR="00EC7157">
        <w:t xml:space="preserve"> </w:t>
      </w:r>
      <w:r>
        <w:t xml:space="preserve">cm </w:t>
      </w:r>
      <w:r w:rsidR="00A91D23">
        <w:t>Visual A</w:t>
      </w:r>
      <w:r w:rsidR="00EC7157">
        <w:t xml:space="preserve">nalogue </w:t>
      </w:r>
      <w:r w:rsidR="00A91D23">
        <w:t>S</w:t>
      </w:r>
      <w:r w:rsidR="00EC7157">
        <w:t>cale (</w:t>
      </w:r>
      <w:r>
        <w:t>VAS</w:t>
      </w:r>
      <w:r w:rsidR="00EC7157">
        <w:t>)</w:t>
      </w:r>
      <w:r>
        <w:t>), patient global assessment of disease activity (10</w:t>
      </w:r>
      <w:r w:rsidR="00A91D23">
        <w:t xml:space="preserve"> </w:t>
      </w:r>
      <w:r>
        <w:t>cm VAS), physical function (</w:t>
      </w:r>
      <w:r w:rsidR="00EC7157">
        <w:rPr>
          <w:rFonts w:eastAsia="SymbolMT" w:cs="ArialMT"/>
        </w:rPr>
        <w:t>Bath Ankylosing Spondylitis Functional Index</w:t>
      </w:r>
      <w:r w:rsidR="00EC7157">
        <w:t xml:space="preserve"> (</w:t>
      </w:r>
      <w:r>
        <w:t>BASFI</w:t>
      </w:r>
      <w:r w:rsidR="00EC7157">
        <w:t xml:space="preserve">); range 0 to </w:t>
      </w:r>
      <w:r>
        <w:t xml:space="preserve">10) and inflammation (mean score of items 5 and 6 of the </w:t>
      </w:r>
      <w:r w:rsidR="00EC7157">
        <w:t>Bath Ankylosing Spondylitis Disease Activity Index (</w:t>
      </w:r>
      <w:r>
        <w:t>BASDAI</w:t>
      </w:r>
      <w:r w:rsidR="00EC7157">
        <w:t>)</w:t>
      </w:r>
      <w:r>
        <w:t>; both 10</w:t>
      </w:r>
      <w:r w:rsidR="00A91D23">
        <w:t xml:space="preserve"> </w:t>
      </w:r>
      <w:r>
        <w:t>cm VAS) without any worsening in the remaining domain. An ASAS</w:t>
      </w:r>
      <w:r w:rsidR="00A91D23">
        <w:t xml:space="preserve"> </w:t>
      </w:r>
      <w:r>
        <w:t>40 response is considered to be of</w:t>
      </w:r>
      <w:r w:rsidR="00EC7157">
        <w:t xml:space="preserve"> significant clinical benefit. </w:t>
      </w:r>
      <w:r>
        <w:t xml:space="preserve">Key endpoints used validated metrics and secondary endpoints were adjusted for multiplicity. Study completion was 78.6% for </w:t>
      </w:r>
      <w:proofErr w:type="spellStart"/>
      <w:r>
        <w:t>certo</w:t>
      </w:r>
      <w:r w:rsidR="00EC7157">
        <w:t>lizumab</w:t>
      </w:r>
      <w:proofErr w:type="spellEnd"/>
      <w:r w:rsidR="00EC7157">
        <w:t xml:space="preserve"> and 34.1% for placebo. </w:t>
      </w:r>
      <w:r>
        <w:t>There were no clinically significant differences betwe</w:t>
      </w:r>
      <w:r w:rsidR="00EC7157">
        <w:t>en the two treatment groups at B</w:t>
      </w:r>
      <w:r>
        <w:t>aseline with respect to demographic characteristics and both were also reasonably well balanced with respect</w:t>
      </w:r>
      <w:r w:rsidR="00EC7157">
        <w:t xml:space="preserve"> to baseline disease features. </w:t>
      </w:r>
      <w:r>
        <w:t xml:space="preserve">The baseline characteristics were representative for patients with active </w:t>
      </w:r>
      <w:proofErr w:type="spellStart"/>
      <w:r>
        <w:t>nr</w:t>
      </w:r>
      <w:proofErr w:type="spellEnd"/>
      <w:r>
        <w:t xml:space="preserve">-axial </w:t>
      </w:r>
      <w:proofErr w:type="spellStart"/>
      <w:r>
        <w:t>SpA</w:t>
      </w:r>
      <w:proofErr w:type="spellEnd"/>
      <w:r>
        <w:t xml:space="preserve"> and the disease activity scores at baseli</w:t>
      </w:r>
      <w:r w:rsidR="00EC7157">
        <w:t xml:space="preserve">ne are consistent with moderate to severe axial </w:t>
      </w:r>
      <w:proofErr w:type="spellStart"/>
      <w:r w:rsidR="00EC7157">
        <w:t>SpA</w:t>
      </w:r>
      <w:proofErr w:type="spellEnd"/>
      <w:r w:rsidR="00EC7157">
        <w:t xml:space="preserve"> activity. </w:t>
      </w:r>
      <w:r>
        <w:t xml:space="preserve">At least 20% of the randomised subjects, as designed, belonged to each of the 3 clinical subgroups stratified by objective signs of inflammation (MRI and CRP) at </w:t>
      </w:r>
      <w:r w:rsidR="00A91D23">
        <w:t>B</w:t>
      </w:r>
      <w:r>
        <w:t>aseline.</w:t>
      </w:r>
    </w:p>
    <w:p w:rsidR="007B5663" w:rsidRDefault="007B5663" w:rsidP="00612EB9">
      <w:r>
        <w:t>The primary efficacy outc</w:t>
      </w:r>
      <w:r w:rsidR="00EC7157">
        <w:t>ome of ASAS</w:t>
      </w:r>
      <w:r w:rsidR="00A91D23">
        <w:t xml:space="preserve"> </w:t>
      </w:r>
      <w:r w:rsidR="00EC7157">
        <w:t>40 response rate at W</w:t>
      </w:r>
      <w:r>
        <w:t>eek 12 was significantly hig</w:t>
      </w:r>
      <w:r w:rsidR="00EC7157">
        <w:t xml:space="preserve">her in the </w:t>
      </w:r>
      <w:proofErr w:type="spellStart"/>
      <w:r w:rsidR="00EC7157">
        <w:t>certolizumab</w:t>
      </w:r>
      <w:proofErr w:type="spellEnd"/>
      <w:r w:rsidR="00EC7157">
        <w:t xml:space="preserve"> versus placebo groups (47.8% versus</w:t>
      </w:r>
      <w:r>
        <w:t xml:space="preserve"> 11.4%; </w:t>
      </w:r>
      <w:r w:rsidR="00EC7157">
        <w:t>odds ratio (</w:t>
      </w:r>
      <w:r>
        <w:t>OR</w:t>
      </w:r>
      <w:r w:rsidR="00EC7157">
        <w:t>)</w:t>
      </w:r>
      <w:r>
        <w:t xml:space="preserve"> 7.436 (95% </w:t>
      </w:r>
      <w:r w:rsidR="00EC7157">
        <w:t>confidence interval (</w:t>
      </w:r>
      <w:r>
        <w:t>CI</w:t>
      </w:r>
      <w:r w:rsidR="00EC7157">
        <w:t>)</w:t>
      </w:r>
      <w:r>
        <w:t xml:space="preserve"> 4.127, 13.401); p</w:t>
      </w:r>
      <w:r w:rsidR="00EC7157">
        <w:t xml:space="preserve"> </w:t>
      </w:r>
      <w:r>
        <w:t>&lt;</w:t>
      </w:r>
      <w:r w:rsidR="00EC7157">
        <w:t xml:space="preserve"> </w:t>
      </w:r>
      <w:r>
        <w:t>0.001). The main secondary o</w:t>
      </w:r>
      <w:r w:rsidR="00EC7157">
        <w:t>utcome of ASDAS-MI response at W</w:t>
      </w:r>
      <w:r>
        <w:t>eek 52 was significa</w:t>
      </w:r>
      <w:r w:rsidR="00EC7157">
        <w:t xml:space="preserve">ntly higher with </w:t>
      </w:r>
      <w:proofErr w:type="spellStart"/>
      <w:r w:rsidR="00EC7157">
        <w:t>certolizumab</w:t>
      </w:r>
      <w:proofErr w:type="spellEnd"/>
      <w:r w:rsidR="00EC7157">
        <w:t xml:space="preserve"> versus placebo (47.2% versus</w:t>
      </w:r>
      <w:r>
        <w:t xml:space="preserve"> 7.0%; OR 15.231 (95% CI 7.336, 31.623); p</w:t>
      </w:r>
      <w:r w:rsidR="00EC7157">
        <w:t xml:space="preserve"> </w:t>
      </w:r>
      <w:r>
        <w:t>&lt;</w:t>
      </w:r>
      <w:r w:rsidR="00EC7157">
        <w:t xml:space="preserve"> </w:t>
      </w:r>
      <w:r>
        <w:t>0.001). The primary analysis result</w:t>
      </w:r>
      <w:r w:rsidR="00EC7157">
        <w:t>s for both ASAS40 responses at Week 12 and ASDAS-MI at W</w:t>
      </w:r>
      <w:r>
        <w:t>eek 52 were supported by similar findings from sensitivity analyses. Improvements, although not statistically powered, in ASAS</w:t>
      </w:r>
      <w:r w:rsidR="00A91D23">
        <w:t xml:space="preserve"> </w:t>
      </w:r>
      <w:r>
        <w:t xml:space="preserve">40 response were observed for the </w:t>
      </w:r>
      <w:proofErr w:type="spellStart"/>
      <w:r>
        <w:t>certolizumab</w:t>
      </w:r>
      <w:proofErr w:type="spellEnd"/>
      <w:r>
        <w:t xml:space="preserve"> group compared to place</w:t>
      </w:r>
      <w:r w:rsidR="00EC7157">
        <w:t xml:space="preserve">bo for all subgroups analysed. </w:t>
      </w:r>
      <w:r>
        <w:t xml:space="preserve">Response to </w:t>
      </w:r>
      <w:proofErr w:type="spellStart"/>
      <w:r>
        <w:t>certolizumab</w:t>
      </w:r>
      <w:proofErr w:type="spellEnd"/>
      <w:r>
        <w:t xml:space="preserve"> was numerically higher in certain subgroups of interest including younger subjects (&lt;</w:t>
      </w:r>
      <w:r w:rsidR="00EC7157">
        <w:t xml:space="preserve"> </w:t>
      </w:r>
      <w:r>
        <w:t>45 years of age), male patients, those with shorter symptom duration (&lt;</w:t>
      </w:r>
      <w:r w:rsidR="00EC7157">
        <w:t xml:space="preserve"> </w:t>
      </w:r>
      <w:r>
        <w:t xml:space="preserve">5 years), those who were both MRI and CRP positive (compared to only 1 of those variables being positive) and subjects with higher baseline SI joint </w:t>
      </w:r>
      <w:proofErr w:type="spellStart"/>
      <w:r w:rsidR="00EC7157" w:rsidRPr="00EC7157">
        <w:t>Spondyl</w:t>
      </w:r>
      <w:r w:rsidR="00EC7157">
        <w:t>oarthritis</w:t>
      </w:r>
      <w:proofErr w:type="spellEnd"/>
      <w:r w:rsidR="00EC7157">
        <w:t xml:space="preserve"> Research Consortium o</w:t>
      </w:r>
      <w:r w:rsidR="00EC7157" w:rsidRPr="00EC7157">
        <w:t xml:space="preserve">f Canada </w:t>
      </w:r>
      <w:r w:rsidR="00EC7157">
        <w:t>(</w:t>
      </w:r>
      <w:r>
        <w:t>SPARCC</w:t>
      </w:r>
      <w:r w:rsidR="00EC7157">
        <w:t>) scores (&gt; 5).</w:t>
      </w:r>
    </w:p>
    <w:p w:rsidR="007B5663" w:rsidRDefault="007B5663" w:rsidP="00612EB9">
      <w:r>
        <w:t xml:space="preserve">Secondary efficacy endpoints were all statistically in favour of </w:t>
      </w:r>
      <w:proofErr w:type="spellStart"/>
      <w:r>
        <w:t>certolizumab</w:t>
      </w:r>
      <w:proofErr w:type="spellEnd"/>
      <w:r>
        <w:t xml:space="preserve"> compared with placebo, apart from the final outcome, including changes from baseline in BASDAI, BASFI, </w:t>
      </w:r>
      <w:r w:rsidR="00EC7157">
        <w:t>Ankylosing Spondylitis Quality of Life (</w:t>
      </w:r>
      <w:proofErr w:type="spellStart"/>
      <w:r>
        <w:t>ASQoL</w:t>
      </w:r>
      <w:proofErr w:type="spellEnd"/>
      <w:r w:rsidR="00EC7157">
        <w:t>)</w:t>
      </w:r>
      <w:r>
        <w:t xml:space="preserve"> an</w:t>
      </w:r>
      <w:r w:rsidR="00EC7157">
        <w:t>d nocturnal spinal pain at Week 52 and ASAS40 at Week 52 (56.6% versus</w:t>
      </w:r>
      <w:r>
        <w:t xml:space="preserve"> 15.8%; OR 7.359 (95% CI 4.286, 12.636); p</w:t>
      </w:r>
      <w:r w:rsidR="00EC7157">
        <w:t> </w:t>
      </w:r>
      <w:r>
        <w:t>&lt;</w:t>
      </w:r>
      <w:r w:rsidR="00EC7157">
        <w:t> </w:t>
      </w:r>
      <w:r>
        <w:t>0.001). The supporting MRI evaluation showed statistically significant improvements in SI joint inflammation.</w:t>
      </w:r>
    </w:p>
    <w:p w:rsidR="00D06132" w:rsidRDefault="00D06132" w:rsidP="00D06132">
      <w:pPr>
        <w:pStyle w:val="Heading5"/>
      </w:pPr>
      <w:r>
        <w:lastRenderedPageBreak/>
        <w:t>Study AS001</w:t>
      </w:r>
    </w:p>
    <w:p w:rsidR="007B5663" w:rsidRDefault="00EC7157" w:rsidP="00612EB9">
      <w:r>
        <w:t xml:space="preserve">Study AS001 was a Phase III randomised, double </w:t>
      </w:r>
      <w:r w:rsidR="007B5663">
        <w:t>blind, multic</w:t>
      </w:r>
      <w:r>
        <w:t xml:space="preserve">entre, multinational, parallel group, placebo </w:t>
      </w:r>
      <w:r w:rsidR="007B5663">
        <w:t xml:space="preserve">controlled trial which evaluated the efficacy and safety of </w:t>
      </w:r>
      <w:proofErr w:type="spellStart"/>
      <w:r w:rsidR="007B5663">
        <w:t>certolizumab</w:t>
      </w:r>
      <w:proofErr w:type="spellEnd"/>
      <w:r w:rsidR="007B5663">
        <w:t xml:space="preserve"> in 325 adul</w:t>
      </w:r>
      <w:r>
        <w:t xml:space="preserve">ts with active axial </w:t>
      </w:r>
      <w:proofErr w:type="spellStart"/>
      <w:r>
        <w:t>SpA</w:t>
      </w:r>
      <w:proofErr w:type="spellEnd"/>
      <w:r>
        <w:t xml:space="preserve"> (that is,</w:t>
      </w:r>
      <w:r w:rsidR="007B5663">
        <w:t xml:space="preserve"> both </w:t>
      </w:r>
      <w:proofErr w:type="spellStart"/>
      <w:r w:rsidR="007B5663">
        <w:t>nr</w:t>
      </w:r>
      <w:proofErr w:type="spellEnd"/>
      <w:r w:rsidR="007B5663">
        <w:t xml:space="preserve">-axial </w:t>
      </w:r>
      <w:proofErr w:type="spellStart"/>
      <w:r w:rsidR="007B5663">
        <w:t>SpA</w:t>
      </w:r>
      <w:proofErr w:type="spellEnd"/>
      <w:r w:rsidR="007B5663">
        <w:t xml:space="preserve"> (n</w:t>
      </w:r>
      <w:r>
        <w:t xml:space="preserve"> </w:t>
      </w:r>
      <w:r w:rsidR="007B5663">
        <w:t>=</w:t>
      </w:r>
      <w:r>
        <w:t xml:space="preserve"> </w:t>
      </w:r>
      <w:r w:rsidR="007B5663">
        <w:t>141) and ankylosing spondylitis). It was previously submitted in 2013 with 24 week double blind data but longer ter</w:t>
      </w:r>
      <w:r>
        <w:t xml:space="preserve">m data are now available up to Week 204. </w:t>
      </w:r>
      <w:r w:rsidR="007B5663">
        <w:t>It examined two dosage regimens that included the same loading dose of 400</w:t>
      </w:r>
      <w:r>
        <w:t xml:space="preserve"> mg at W</w:t>
      </w:r>
      <w:r w:rsidR="007B5663">
        <w:t>eeks 0, 2 and 4 and then either 200</w:t>
      </w:r>
      <w:r>
        <w:t xml:space="preserve"> </w:t>
      </w:r>
      <w:r w:rsidR="007B5663">
        <w:t>mg Q2W or 400</w:t>
      </w:r>
      <w:r w:rsidR="003657F7">
        <w:t xml:space="preserve"> </w:t>
      </w:r>
      <w:r w:rsidR="007B5663">
        <w:t>mg Q4W compared to placebo as proposed by t</w:t>
      </w:r>
      <w:r>
        <w:t xml:space="preserve">he sponsor in this submission. </w:t>
      </w:r>
      <w:r w:rsidR="007B5663">
        <w:t xml:space="preserve">Half the study population had to fulfil both the </w:t>
      </w:r>
      <w:proofErr w:type="spellStart"/>
      <w:r w:rsidR="007B5663">
        <w:t>mNY</w:t>
      </w:r>
      <w:proofErr w:type="spellEnd"/>
      <w:r w:rsidR="007B5663">
        <w:t xml:space="preserve"> criteria for a definite diagnosis of AS and the ASAS criteria. The other half should not have met the </w:t>
      </w:r>
      <w:proofErr w:type="spellStart"/>
      <w:r w:rsidR="007B5663">
        <w:t>mNY</w:t>
      </w:r>
      <w:proofErr w:type="spellEnd"/>
      <w:r w:rsidR="007B5663">
        <w:t xml:space="preserve"> criteria but at least 50% of those patients had to meet the new ASAS imaging criteria, and the remainder could be enrolled based on meeting th</w:t>
      </w:r>
      <w:r w:rsidR="004D2801">
        <w:t xml:space="preserve">e ASAS clinical criteria only. </w:t>
      </w:r>
      <w:r w:rsidR="007B5663">
        <w:t xml:space="preserve">Subjects were to be intolerant to, or have had an inadequate response to at least 1 NSAID (30 days at maximum dose or 2 weeks </w:t>
      </w:r>
      <w:r w:rsidR="004D2801">
        <w:t xml:space="preserve">at maximum dose for 2 NSAIDs). </w:t>
      </w:r>
      <w:r w:rsidR="007B5663">
        <w:t>The treatment groups and patient subsets were well balanced with respect to demographic and baseline disease characteristics with some expected differences noted between the</w:t>
      </w:r>
      <w:r w:rsidR="00612EB9">
        <w:t xml:space="preserve"> AS and </w:t>
      </w:r>
      <w:proofErr w:type="spellStart"/>
      <w:r w:rsidR="00612EB9">
        <w:t>nr</w:t>
      </w:r>
      <w:proofErr w:type="spellEnd"/>
      <w:r w:rsidR="00612EB9">
        <w:t xml:space="preserve">-axial </w:t>
      </w:r>
      <w:proofErr w:type="spellStart"/>
      <w:r w:rsidR="00612EB9">
        <w:t>SpA</w:t>
      </w:r>
      <w:proofErr w:type="spellEnd"/>
      <w:r w:rsidR="00612EB9">
        <w:t xml:space="preserve"> subgroups.</w:t>
      </w:r>
    </w:p>
    <w:p w:rsidR="007B5663" w:rsidRDefault="007B5663" w:rsidP="00612EB9">
      <w:r>
        <w:t>The primary efficacy varia</w:t>
      </w:r>
      <w:r w:rsidR="004D2801">
        <w:t>ble of ASAS</w:t>
      </w:r>
      <w:r w:rsidR="00A91D23">
        <w:t xml:space="preserve"> </w:t>
      </w:r>
      <w:r w:rsidR="004D2801">
        <w:t>20 response rate</w:t>
      </w:r>
      <w:r w:rsidR="00A91D23">
        <w:t>;</w:t>
      </w:r>
      <w:r w:rsidR="00A91D23">
        <w:rPr>
          <w:rStyle w:val="FootnoteReference"/>
        </w:rPr>
        <w:footnoteReference w:id="3"/>
      </w:r>
      <w:r w:rsidR="004D2801">
        <w:t xml:space="preserve"> at W</w:t>
      </w:r>
      <w:r>
        <w:t xml:space="preserve">eek 12 in the overall axial </w:t>
      </w:r>
      <w:proofErr w:type="spellStart"/>
      <w:r>
        <w:t>SpA</w:t>
      </w:r>
      <w:proofErr w:type="spellEnd"/>
      <w:r>
        <w:t xml:space="preserve"> population was statistically significantly greater (p</w:t>
      </w:r>
      <w:r w:rsidR="004D2801">
        <w:t xml:space="preserve"> </w:t>
      </w:r>
      <w:r>
        <w:t>&lt;</w:t>
      </w:r>
      <w:r w:rsidR="004D2801">
        <w:t xml:space="preserve"> </w:t>
      </w:r>
      <w:r>
        <w:t>0.004 and p</w:t>
      </w:r>
      <w:r w:rsidR="004D2801">
        <w:t xml:space="preserve"> </w:t>
      </w:r>
      <w:r>
        <w:t>&lt;</w:t>
      </w:r>
      <w:r w:rsidR="004D2801">
        <w:t xml:space="preserve"> </w:t>
      </w:r>
      <w:r>
        <w:t xml:space="preserve">0.001) in both </w:t>
      </w:r>
      <w:proofErr w:type="spellStart"/>
      <w:r>
        <w:t>certolizumab</w:t>
      </w:r>
      <w:proofErr w:type="spellEnd"/>
      <w:r>
        <w:t xml:space="preserve"> groups (57.7% with 200</w:t>
      </w:r>
      <w:r w:rsidR="004D2801">
        <w:t xml:space="preserve"> </w:t>
      </w:r>
      <w:r>
        <w:t>mg Q2W and 63.6% with 400</w:t>
      </w:r>
      <w:r w:rsidR="004D2801">
        <w:t xml:space="preserve"> </w:t>
      </w:r>
      <w:r>
        <w:t>mg Q4W</w:t>
      </w:r>
      <w:r w:rsidR="004D2801">
        <w:t xml:space="preserve">) compared to placebo (38.3%). </w:t>
      </w:r>
      <w:r>
        <w:t xml:space="preserve">In the </w:t>
      </w:r>
      <w:proofErr w:type="spellStart"/>
      <w:r>
        <w:t>nr</w:t>
      </w:r>
      <w:proofErr w:type="spellEnd"/>
      <w:r>
        <w:t xml:space="preserve">-axial </w:t>
      </w:r>
      <w:proofErr w:type="spellStart"/>
      <w:r>
        <w:t>SpA</w:t>
      </w:r>
      <w:proofErr w:type="spellEnd"/>
      <w:r>
        <w:t xml:space="preserve"> sub-population, the percentages of subje</w:t>
      </w:r>
      <w:r w:rsidR="004D2801">
        <w:t>cts with an ASAS</w:t>
      </w:r>
      <w:r w:rsidR="00A91D23">
        <w:t> </w:t>
      </w:r>
      <w:r w:rsidR="004D2801">
        <w:t>20 response at W</w:t>
      </w:r>
      <w:r>
        <w:t xml:space="preserve">eek 12 was higher with </w:t>
      </w:r>
      <w:proofErr w:type="spellStart"/>
      <w:r>
        <w:t>certolizumab</w:t>
      </w:r>
      <w:proofErr w:type="spellEnd"/>
      <w:r>
        <w:t xml:space="preserve"> 200</w:t>
      </w:r>
      <w:r w:rsidR="004D2801">
        <w:t xml:space="preserve"> </w:t>
      </w:r>
      <w:r>
        <w:t>mg Q2W (58.7%) and 400</w:t>
      </w:r>
      <w:r w:rsidR="004D2801">
        <w:t> </w:t>
      </w:r>
      <w:r>
        <w:t>mg Q4W (62.7%</w:t>
      </w:r>
      <w:r w:rsidR="004D2801">
        <w:t>) compared to placebo (40.0%). At W</w:t>
      </w:r>
      <w:r>
        <w:t>eek 24, the ASAS20 response was also greater with 200</w:t>
      </w:r>
      <w:r w:rsidR="004D2801">
        <w:t xml:space="preserve"> </w:t>
      </w:r>
      <w:r>
        <w:t>mg Q2W (65.2%) and 400</w:t>
      </w:r>
      <w:r w:rsidR="004D2801">
        <w:t xml:space="preserve"> </w:t>
      </w:r>
      <w:r>
        <w:t>mg Q4W (70.6%</w:t>
      </w:r>
      <w:r w:rsidR="004D2801">
        <w:t xml:space="preserve">) compared to placebo (24.0%). </w:t>
      </w:r>
      <w:r>
        <w:t xml:space="preserve">Other efficacy endpoints are discussed in the </w:t>
      </w:r>
      <w:r w:rsidR="004D2801">
        <w:t xml:space="preserve">clinical evaluation report. </w:t>
      </w:r>
      <w:r>
        <w:t xml:space="preserve">No consistent, clinically relevant differences in efficacy between the two </w:t>
      </w:r>
      <w:proofErr w:type="spellStart"/>
      <w:r>
        <w:t>certolizumab</w:t>
      </w:r>
      <w:proofErr w:type="spellEnd"/>
      <w:r>
        <w:t xml:space="preserve"> </w:t>
      </w:r>
      <w:r w:rsidR="004D2801">
        <w:t xml:space="preserve">dosing regimens were observed. </w:t>
      </w:r>
      <w:r>
        <w:t>The open label period s</w:t>
      </w:r>
      <w:r w:rsidR="004D2801">
        <w:t>howed some efficacy data up to W</w:t>
      </w:r>
      <w:r>
        <w:t>eek 204 however</w:t>
      </w:r>
      <w:r w:rsidR="004D2801">
        <w:t>,</w:t>
      </w:r>
      <w:r>
        <w:t xml:space="preserve"> a post-hoc analysis of ASAS</w:t>
      </w:r>
      <w:r w:rsidR="00A91D23">
        <w:t> </w:t>
      </w:r>
      <w:r>
        <w:t xml:space="preserve">20 response showed a reduced response at the end (all </w:t>
      </w:r>
      <w:proofErr w:type="spellStart"/>
      <w:r>
        <w:t>certolizumab</w:t>
      </w:r>
      <w:proofErr w:type="spellEnd"/>
      <w:r>
        <w:t xml:space="preserve"> treated </w:t>
      </w:r>
      <w:proofErr w:type="spellStart"/>
      <w:r>
        <w:t>nr</w:t>
      </w:r>
      <w:proofErr w:type="spellEnd"/>
      <w:r>
        <w:t>-axi</w:t>
      </w:r>
      <w:r w:rsidR="004D2801">
        <w:t xml:space="preserve">al </w:t>
      </w:r>
      <w:proofErr w:type="spellStart"/>
      <w:r w:rsidR="004D2801">
        <w:t>SpA</w:t>
      </w:r>
      <w:proofErr w:type="spellEnd"/>
      <w:r w:rsidR="004D2801">
        <w:t xml:space="preserve"> population was 63.4% at Week 24, 69.5% at Week 48 and 49.6% at W</w:t>
      </w:r>
      <w:r>
        <w:t>eek 204).</w:t>
      </w:r>
    </w:p>
    <w:p w:rsidR="007B5663" w:rsidRDefault="007B5663" w:rsidP="00612EB9">
      <w:pPr>
        <w:pStyle w:val="Heading4"/>
      </w:pPr>
      <w:r>
        <w:t>Safety</w:t>
      </w:r>
    </w:p>
    <w:p w:rsidR="007B5663" w:rsidRDefault="004D2801" w:rsidP="00612EB9">
      <w:r>
        <w:t>Safety is derived from the two Phase III</w:t>
      </w:r>
      <w:r w:rsidR="007B5663">
        <w:t xml:space="preserve"> studies and two supportive ongoing studies in axial </w:t>
      </w:r>
      <w:proofErr w:type="spellStart"/>
      <w:r w:rsidR="007B5663">
        <w:t>SpA</w:t>
      </w:r>
      <w:proofErr w:type="spellEnd"/>
      <w:r w:rsidR="007B5663">
        <w:t xml:space="preserve">, including 182 </w:t>
      </w:r>
      <w:proofErr w:type="spellStart"/>
      <w:r w:rsidR="007B5663">
        <w:t>nr</w:t>
      </w:r>
      <w:proofErr w:type="spellEnd"/>
      <w:r w:rsidR="007B5663">
        <w:t xml:space="preserve">-axial </w:t>
      </w:r>
      <w:proofErr w:type="spellStart"/>
      <w:r w:rsidR="007B5663">
        <w:t>SpA</w:t>
      </w:r>
      <w:proofErr w:type="spellEnd"/>
      <w:r w:rsidR="007B5663">
        <w:t xml:space="preserve"> subjects who received the 200</w:t>
      </w:r>
      <w:r>
        <w:t xml:space="preserve"> </w:t>
      </w:r>
      <w:r w:rsidR="007B5663">
        <w:t>mg Q2W dose regimen for a mean 42.7 weeks in placebo controlled studies (Pool S1</w:t>
      </w:r>
      <w:r w:rsidR="00A91D23">
        <w:t xml:space="preserve"> of</w:t>
      </w:r>
      <w:r w:rsidR="007B5663">
        <w:t xml:space="preserve"> </w:t>
      </w:r>
      <w:r>
        <w:t xml:space="preserve">Study AS001; </w:t>
      </w:r>
      <w:r w:rsidR="007B5663">
        <w:t>24</w:t>
      </w:r>
      <w:r w:rsidR="00A91D23">
        <w:t> </w:t>
      </w:r>
      <w:r w:rsidR="007B5663">
        <w:t xml:space="preserve">weeks and </w:t>
      </w:r>
      <w:r>
        <w:t xml:space="preserve">Study AS0006; </w:t>
      </w:r>
      <w:r w:rsidR="007B5663">
        <w:t xml:space="preserve">52 weeks). In the Pool S2 dataset (ankylosing spondylitis and </w:t>
      </w:r>
      <w:proofErr w:type="spellStart"/>
      <w:r w:rsidR="007B5663">
        <w:t>nr</w:t>
      </w:r>
      <w:proofErr w:type="spellEnd"/>
      <w:r w:rsidR="007B5663">
        <w:t xml:space="preserve">-axial </w:t>
      </w:r>
      <w:proofErr w:type="spellStart"/>
      <w:r w:rsidR="007B5663">
        <w:t>SpA</w:t>
      </w:r>
      <w:proofErr w:type="spellEnd"/>
      <w:r w:rsidR="007B5663">
        <w:t xml:space="preserve">), a total of 680 subjects have been exposed to </w:t>
      </w:r>
      <w:proofErr w:type="spellStart"/>
      <w:r w:rsidR="007B5663">
        <w:t>certolizumab</w:t>
      </w:r>
      <w:proofErr w:type="spellEnd"/>
      <w:r w:rsidR="007B5663">
        <w:t xml:space="preserve"> 200</w:t>
      </w:r>
      <w:r>
        <w:t xml:space="preserve"> </w:t>
      </w:r>
      <w:r w:rsidR="007B5663">
        <w:t xml:space="preserve">mg Q2W for a mean </w:t>
      </w:r>
      <w:r>
        <w:t xml:space="preserve">of 56.4 weeks. </w:t>
      </w:r>
      <w:r w:rsidR="007B5663">
        <w:t xml:space="preserve">Approximately half of the patients in the dataset received concurrent </w:t>
      </w:r>
      <w:r>
        <w:t>d</w:t>
      </w:r>
      <w:r w:rsidRPr="004D2801">
        <w:t xml:space="preserve">isease-modifying anti-rheumatic drugs </w:t>
      </w:r>
      <w:r>
        <w:t>(</w:t>
      </w:r>
      <w:r w:rsidR="007B5663">
        <w:t>DMARD</w:t>
      </w:r>
      <w:r>
        <w:t>)</w:t>
      </w:r>
      <w:r w:rsidR="007B5663">
        <w:t>, more than 75% were taking concomitant NSAIDs, and approximately 5% of all subjects had rec</w:t>
      </w:r>
      <w:r>
        <w:t>eived prior anti</w:t>
      </w:r>
      <w:r w:rsidR="00A91D23">
        <w:noBreakHyphen/>
      </w:r>
      <w:r>
        <w:t>TNF treatment.</w:t>
      </w:r>
      <w:r w:rsidR="007B5663">
        <w:t xml:space="preserve"> The safety profile in adult patients with active </w:t>
      </w:r>
      <w:proofErr w:type="spellStart"/>
      <w:r w:rsidR="007B5663">
        <w:t>nr</w:t>
      </w:r>
      <w:proofErr w:type="spellEnd"/>
      <w:r w:rsidR="007B5663">
        <w:t xml:space="preserve">-axial </w:t>
      </w:r>
      <w:proofErr w:type="spellStart"/>
      <w:r w:rsidR="007B5663">
        <w:t>SpA</w:t>
      </w:r>
      <w:proofErr w:type="spellEnd"/>
      <w:r w:rsidR="007B5663">
        <w:t xml:space="preserve"> was as expected for an anti-TNF therapy and was consistent with previous experience. Treatment emergent </w:t>
      </w:r>
      <w:r>
        <w:t>adverse events (</w:t>
      </w:r>
      <w:r w:rsidR="007B5663">
        <w:t>AE</w:t>
      </w:r>
      <w:r>
        <w:t>)</w:t>
      </w:r>
      <w:r w:rsidR="007B5663">
        <w:t xml:space="preserve"> were higher on </w:t>
      </w:r>
      <w:proofErr w:type="spellStart"/>
      <w:r w:rsidR="007B5663">
        <w:t>certolizumab</w:t>
      </w:r>
      <w:proofErr w:type="spellEnd"/>
      <w:r w:rsidR="007B5663">
        <w:t xml:space="preserve"> than</w:t>
      </w:r>
      <w:r>
        <w:t xml:space="preserve"> placebo in Pool S1 at 76.9% versus</w:t>
      </w:r>
      <w:r w:rsidR="007B5663">
        <w:t xml:space="preserve"> 64.7% and similar in Pool S2 at 69.7% of subjects in the all </w:t>
      </w:r>
      <w:proofErr w:type="spellStart"/>
      <w:r w:rsidR="007B5663">
        <w:t>certolizumab</w:t>
      </w:r>
      <w:proofErr w:type="spellEnd"/>
      <w:r w:rsidR="007B5663">
        <w:t xml:space="preserve"> 200</w:t>
      </w:r>
      <w:r>
        <w:t xml:space="preserve"> </w:t>
      </w:r>
      <w:r w:rsidR="007B5663">
        <w:t xml:space="preserve">mg Q2W group and 70.9% of subjects in the all </w:t>
      </w:r>
      <w:proofErr w:type="spellStart"/>
      <w:r w:rsidR="007B5663">
        <w:t>certolizumab</w:t>
      </w:r>
      <w:proofErr w:type="spellEnd"/>
      <w:r w:rsidR="007B5663">
        <w:t xml:space="preserve"> group (200</w:t>
      </w:r>
      <w:r>
        <w:t xml:space="preserve"> </w:t>
      </w:r>
      <w:r w:rsidR="007B5663">
        <w:t>mg Q2W and 400</w:t>
      </w:r>
      <w:r>
        <w:t xml:space="preserve"> mg Q4W). </w:t>
      </w:r>
      <w:r w:rsidR="007B5663">
        <w:t xml:space="preserve">Infections were the most common AE recognised in the axial </w:t>
      </w:r>
      <w:proofErr w:type="spellStart"/>
      <w:r w:rsidR="007B5663">
        <w:t>SpA</w:t>
      </w:r>
      <w:proofErr w:type="spellEnd"/>
      <w:r w:rsidR="007B5663">
        <w:t xml:space="preserve"> studies, and these occurred at a higher frequency on </w:t>
      </w:r>
      <w:proofErr w:type="spellStart"/>
      <w:r w:rsidR="007B5663">
        <w:t>certolizumab</w:t>
      </w:r>
      <w:proofErr w:type="spellEnd"/>
      <w:r w:rsidR="007B5663">
        <w:t xml:space="preserve"> </w:t>
      </w:r>
      <w:r>
        <w:t xml:space="preserve">versus placebo (Pool S1; </w:t>
      </w:r>
      <w:r w:rsidR="007B5663">
        <w:t xml:space="preserve">51.6% versus 32.6% for infections and infestations). Most infections were mild in severity, self-limiting, and were predominately either </w:t>
      </w:r>
      <w:r>
        <w:t>upper respiratory tract infection (</w:t>
      </w:r>
      <w:r w:rsidR="007B5663">
        <w:t>URTI</w:t>
      </w:r>
      <w:r>
        <w:t>)</w:t>
      </w:r>
      <w:r w:rsidR="007B5663">
        <w:t xml:space="preserve"> or </w:t>
      </w:r>
      <w:proofErr w:type="spellStart"/>
      <w:r w:rsidR="007B5663">
        <w:lastRenderedPageBreak/>
        <w:t>nasopharyngitis</w:t>
      </w:r>
      <w:proofErr w:type="spellEnd"/>
      <w:r w:rsidR="007B5663">
        <w:t xml:space="preserve">. Gastrointestinal AEs were also more </w:t>
      </w:r>
      <w:r>
        <w:t xml:space="preserve">common on </w:t>
      </w:r>
      <w:proofErr w:type="spellStart"/>
      <w:r>
        <w:t>certolizumab</w:t>
      </w:r>
      <w:proofErr w:type="spellEnd"/>
      <w:r>
        <w:t xml:space="preserve"> (Pool S1; 20.3% versus 10.2%). </w:t>
      </w:r>
      <w:r w:rsidR="007B5663">
        <w:t xml:space="preserve">Treatment related AEs were higher on </w:t>
      </w:r>
      <w:proofErr w:type="spellStart"/>
      <w:r w:rsidR="007B5663">
        <w:t>certolizumab</w:t>
      </w:r>
      <w:proofErr w:type="spellEnd"/>
      <w:r>
        <w:t xml:space="preserve"> compared with placebo (Pool S1; 30.8% versus</w:t>
      </w:r>
      <w:r w:rsidR="007B5663">
        <w:t xml:space="preserve"> 15.0%) with in</w:t>
      </w:r>
      <w:r>
        <w:t xml:space="preserve">fection being the most common. </w:t>
      </w:r>
      <w:r w:rsidR="007B5663">
        <w:t xml:space="preserve">The three most common types of infections (URTI, </w:t>
      </w:r>
      <w:proofErr w:type="spellStart"/>
      <w:r w:rsidR="007B5663">
        <w:t>nasopharyngitis</w:t>
      </w:r>
      <w:proofErr w:type="spellEnd"/>
      <w:r w:rsidR="007B5663">
        <w:t xml:space="preserve"> and oral herpes) occurred at </w:t>
      </w:r>
      <w:r>
        <w:t>2 to 3 </w:t>
      </w:r>
      <w:r w:rsidR="007B5663">
        <w:t>fold highe</w:t>
      </w:r>
      <w:r>
        <w:t xml:space="preserve">r incidence with </w:t>
      </w:r>
      <w:proofErr w:type="spellStart"/>
      <w:r>
        <w:t>certolizumab</w:t>
      </w:r>
      <w:proofErr w:type="spellEnd"/>
      <w:r>
        <w:t xml:space="preserve">. </w:t>
      </w:r>
      <w:r w:rsidR="007B5663">
        <w:t>General disorders and administration site conditions were m</w:t>
      </w:r>
      <w:r>
        <w:t xml:space="preserve">ore common with </w:t>
      </w:r>
      <w:proofErr w:type="spellStart"/>
      <w:r>
        <w:t>certolizumab</w:t>
      </w:r>
      <w:proofErr w:type="spellEnd"/>
      <w:r>
        <w:t xml:space="preserve"> versus placebo (7.1% versus</w:t>
      </w:r>
      <w:r w:rsidR="007B5663">
        <w:t xml:space="preserve"> 2.1%), and this was mainly explained by the higher frequency of injection site reactions. Skin and subcutaneous tissue diso</w:t>
      </w:r>
      <w:r>
        <w:t xml:space="preserve">rders were also more frequent. </w:t>
      </w:r>
      <w:r w:rsidR="007B5663">
        <w:t xml:space="preserve">Injection site reactions (ISR) affected about 5% of </w:t>
      </w:r>
      <w:proofErr w:type="spellStart"/>
      <w:r w:rsidR="007B5663">
        <w:t>certolizumab</w:t>
      </w:r>
      <w:proofErr w:type="spellEnd"/>
      <w:r w:rsidR="007B5663">
        <w:t xml:space="preserve"> treated subj</w:t>
      </w:r>
      <w:r>
        <w:t xml:space="preserve">ects in the axial </w:t>
      </w:r>
      <w:proofErr w:type="spellStart"/>
      <w:r>
        <w:t>SpA</w:t>
      </w:r>
      <w:proofErr w:type="spellEnd"/>
      <w:r>
        <w:t xml:space="preserve"> studies. </w:t>
      </w:r>
      <w:r w:rsidR="007B5663">
        <w:t>Most ISRs were mild, resolved without specific intervention and did not result in permanent</w:t>
      </w:r>
      <w:r>
        <w:t xml:space="preserve"> discontinuation. </w:t>
      </w:r>
      <w:r w:rsidR="007B5663">
        <w:t>Five acute hypersensitivity reactions we</w:t>
      </w:r>
      <w:r w:rsidR="00612EB9">
        <w:t xml:space="preserve">re reported with </w:t>
      </w:r>
      <w:proofErr w:type="spellStart"/>
      <w:r w:rsidR="00612EB9">
        <w:t>certolizumab</w:t>
      </w:r>
      <w:proofErr w:type="spellEnd"/>
      <w:r w:rsidR="00612EB9">
        <w:t>.</w:t>
      </w:r>
    </w:p>
    <w:p w:rsidR="007B5663" w:rsidRPr="007B6132" w:rsidRDefault="007B5663" w:rsidP="00612EB9">
      <w:r>
        <w:t>Discontinuations due to AEs occurred at a</w:t>
      </w:r>
      <w:r w:rsidR="004D2801">
        <w:t xml:space="preserve"> low and similar frequency (1.6 to 5.0% versus 2.1%). During the 52 </w:t>
      </w:r>
      <w:r>
        <w:t xml:space="preserve">week reporting period of Pool S1, the incidence of </w:t>
      </w:r>
      <w:r w:rsidR="009E0E13">
        <w:t>serious adverse events (</w:t>
      </w:r>
      <w:r>
        <w:t>SAE</w:t>
      </w:r>
      <w:r w:rsidR="009E0E13">
        <w:t>)</w:t>
      </w:r>
      <w:r>
        <w:t xml:space="preserve"> was</w:t>
      </w:r>
      <w:r w:rsidR="004D2801">
        <w:t xml:space="preserve"> low overall, but almost 2 </w:t>
      </w:r>
      <w:r>
        <w:t xml:space="preserve">fold higher with </w:t>
      </w:r>
      <w:proofErr w:type="spellStart"/>
      <w:r>
        <w:t>certolizumab</w:t>
      </w:r>
      <w:proofErr w:type="spellEnd"/>
      <w:r w:rsidR="004D2801">
        <w:t xml:space="preserve"> (4.4%) versus placebo (2.7%). </w:t>
      </w:r>
      <w:r>
        <w:t xml:space="preserve">Two patients developed reactivation of latent </w:t>
      </w:r>
      <w:r w:rsidR="004D2801">
        <w:t xml:space="preserve">TB, which had onset of about 4 to </w:t>
      </w:r>
      <w:r>
        <w:t xml:space="preserve">5 months after commencing </w:t>
      </w:r>
      <w:proofErr w:type="spellStart"/>
      <w:r>
        <w:t>certolizumab</w:t>
      </w:r>
      <w:proofErr w:type="spellEnd"/>
      <w:r>
        <w:t xml:space="preserve"> and a patient experienced Legionella pneumonia and one patient deve</w:t>
      </w:r>
      <w:r w:rsidR="004D2801">
        <w:t xml:space="preserve">loped oesophageal candidiasis. </w:t>
      </w:r>
      <w:r>
        <w:t xml:space="preserve">No deaths, major adverse cardiovascular events or cases meeting </w:t>
      </w:r>
      <w:proofErr w:type="spellStart"/>
      <w:r>
        <w:t>Hy’s</w:t>
      </w:r>
      <w:proofErr w:type="spellEnd"/>
      <w:r>
        <w:t xml:space="preserve"> law</w:t>
      </w:r>
      <w:r w:rsidR="004D2801">
        <w:t>;</w:t>
      </w:r>
      <w:r w:rsidR="004D2801">
        <w:rPr>
          <w:rStyle w:val="FootnoteReference"/>
        </w:rPr>
        <w:footnoteReference w:id="4"/>
      </w:r>
      <w:r>
        <w:t xml:space="preserve"> were reported in the axial </w:t>
      </w:r>
      <w:proofErr w:type="spellStart"/>
      <w:r>
        <w:t>SpA</w:t>
      </w:r>
      <w:proofErr w:type="spellEnd"/>
      <w:r>
        <w:t xml:space="preserve"> studies. Two </w:t>
      </w:r>
      <w:proofErr w:type="spellStart"/>
      <w:r>
        <w:t>certolizumab</w:t>
      </w:r>
      <w:proofErr w:type="spellEnd"/>
      <w:r>
        <w:t xml:space="preserve"> subjects recorded optic neuritis in the axial </w:t>
      </w:r>
      <w:proofErr w:type="spellStart"/>
      <w:r>
        <w:t>SpA</w:t>
      </w:r>
      <w:proofErr w:type="spellEnd"/>
      <w:r>
        <w:t xml:space="preserve"> program. Four </w:t>
      </w:r>
      <w:proofErr w:type="spellStart"/>
      <w:r>
        <w:t>certolizumab</w:t>
      </w:r>
      <w:proofErr w:type="spellEnd"/>
      <w:r>
        <w:t xml:space="preserve"> patients developed malignancies in the axial </w:t>
      </w:r>
      <w:proofErr w:type="spellStart"/>
      <w:r>
        <w:t>SpA</w:t>
      </w:r>
      <w:proofErr w:type="spellEnd"/>
      <w:r>
        <w:t xml:space="preserve"> studies (versus </w:t>
      </w:r>
      <w:r w:rsidR="00311DAF">
        <w:t xml:space="preserve">1 on placebo in Study AS0006). </w:t>
      </w:r>
      <w:r>
        <w:t xml:space="preserve">In Pool S1, hepatic AEs were higher on </w:t>
      </w:r>
      <w:proofErr w:type="spellStart"/>
      <w:r>
        <w:t>cer</w:t>
      </w:r>
      <w:r w:rsidR="00311DAF">
        <w:t>tolizumab</w:t>
      </w:r>
      <w:proofErr w:type="spellEnd"/>
      <w:r w:rsidR="00311DAF">
        <w:t xml:space="preserve"> than placebo (5.5% versus</w:t>
      </w:r>
      <w:r>
        <w:t xml:space="preserve"> 2.7%) with most being increased </w:t>
      </w:r>
      <w:r w:rsidR="00311DAF" w:rsidRPr="00311DAF">
        <w:t xml:space="preserve">alanine aminotransferase </w:t>
      </w:r>
      <w:r w:rsidR="00311DAF">
        <w:t>(</w:t>
      </w:r>
      <w:r>
        <w:t>ALT</w:t>
      </w:r>
      <w:r w:rsidR="00311DAF">
        <w:t>)</w:t>
      </w:r>
      <w:r>
        <w:t xml:space="preserve"> and one patient who was reported as experiencing toxic hepatitis. Most patients with increases in liver function tests recorded mild to moderate severity changes, without ass</w:t>
      </w:r>
      <w:r w:rsidR="00311DAF">
        <w:t xml:space="preserve">ociated clinical implications. </w:t>
      </w:r>
      <w:r>
        <w:t>Certolizumab treated subjects also recorded a higher freq</w:t>
      </w:r>
      <w:r w:rsidR="00311DAF">
        <w:t xml:space="preserve">uency of new onset </w:t>
      </w:r>
      <w:proofErr w:type="spellStart"/>
      <w:r w:rsidR="00311DAF">
        <w:t>leu</w:t>
      </w:r>
      <w:r w:rsidR="00A91D23">
        <w:t>k</w:t>
      </w:r>
      <w:r w:rsidR="00311DAF">
        <w:t>op</w:t>
      </w:r>
      <w:r w:rsidR="00A91D23">
        <w:t>a</w:t>
      </w:r>
      <w:r w:rsidR="00311DAF">
        <w:t>enia</w:t>
      </w:r>
      <w:proofErr w:type="spellEnd"/>
      <w:r w:rsidR="00311DAF">
        <w:t xml:space="preserve">. </w:t>
      </w:r>
      <w:r>
        <w:t xml:space="preserve">Almost all </w:t>
      </w:r>
      <w:proofErr w:type="spellStart"/>
      <w:r>
        <w:t>certolizumab</w:t>
      </w:r>
      <w:proofErr w:type="spellEnd"/>
      <w:r>
        <w:t xml:space="preserve"> subjects in the new pivotal study recorded treatment emergent positive ADA results and neutralising activity was observed in 2</w:t>
      </w:r>
      <w:r w:rsidR="00311DAF">
        <w:t>1.8% of ADA positive subjects. In the previous Phase III</w:t>
      </w:r>
      <w:r>
        <w:t xml:space="preserve"> study, using a different, less sensitive assay methodology, the incidence of positi</w:t>
      </w:r>
      <w:r w:rsidR="00311DAF">
        <w:t>ve ADA was much lower at 9.6%.</w:t>
      </w:r>
    </w:p>
    <w:p w:rsidR="007B6132" w:rsidRDefault="007B6132" w:rsidP="00555280">
      <w:pPr>
        <w:pStyle w:val="Heading4"/>
      </w:pPr>
      <w:r w:rsidRPr="007B6132">
        <w:t>Clin</w:t>
      </w:r>
      <w:r w:rsidR="007B5663">
        <w:t>ical evaluator’s recommendation</w:t>
      </w:r>
    </w:p>
    <w:p w:rsidR="00456765" w:rsidRPr="00456765" w:rsidRDefault="007B5663" w:rsidP="00456765">
      <w:r>
        <w:rPr>
          <w:rFonts w:asciiTheme="minorHAnsi" w:hAnsiTheme="minorHAnsi"/>
        </w:rPr>
        <w:t>The clinical evaluator has recommended approval.</w:t>
      </w:r>
    </w:p>
    <w:p w:rsidR="008E7846" w:rsidRDefault="00386150" w:rsidP="007B6132">
      <w:pPr>
        <w:pStyle w:val="Heading3"/>
        <w:rPr>
          <w:lang w:eastAsia="en-AU"/>
        </w:rPr>
      </w:pPr>
      <w:bookmarkStart w:id="41" w:name="_Toc32924726"/>
      <w:r>
        <w:rPr>
          <w:lang w:eastAsia="en-AU"/>
        </w:rPr>
        <w:t>Risk m</w:t>
      </w:r>
      <w:r w:rsidR="008E7846">
        <w:rPr>
          <w:lang w:eastAsia="en-AU"/>
        </w:rPr>
        <w:t xml:space="preserve">anagement </w:t>
      </w:r>
      <w:r>
        <w:rPr>
          <w:lang w:eastAsia="en-AU"/>
        </w:rPr>
        <w:t>p</w:t>
      </w:r>
      <w:r w:rsidR="008E7846">
        <w:rPr>
          <w:lang w:eastAsia="en-AU"/>
        </w:rPr>
        <w:t>lan</w:t>
      </w:r>
      <w:bookmarkEnd w:id="40"/>
      <w:bookmarkEnd w:id="41"/>
    </w:p>
    <w:p w:rsidR="008E7846" w:rsidRDefault="007B5663" w:rsidP="008E7846">
      <w:r>
        <w:t xml:space="preserve">There was no requirement for a risk management plan </w:t>
      </w:r>
      <w:r w:rsidR="00311DAF">
        <w:t xml:space="preserve">(RMP) </w:t>
      </w:r>
      <w:r>
        <w:t>evaluation for a submission of this type.</w:t>
      </w:r>
      <w:r>
        <w:rPr>
          <w:rStyle w:val="FootnoteReference"/>
        </w:rPr>
        <w:footnoteReference w:id="5"/>
      </w:r>
    </w:p>
    <w:p w:rsidR="008E7846" w:rsidRDefault="00AA0ED0" w:rsidP="008E7846">
      <w:pPr>
        <w:pStyle w:val="Heading3"/>
      </w:pPr>
      <w:bookmarkStart w:id="42" w:name="_Toc247691531"/>
      <w:bookmarkStart w:id="43" w:name="_Toc314842515"/>
      <w:bookmarkStart w:id="44" w:name="_Toc196046505"/>
      <w:bookmarkStart w:id="45" w:name="_Toc196046949"/>
      <w:bookmarkStart w:id="46" w:name="_Toc32924727"/>
      <w:r>
        <w:t>Risk-benefit a</w:t>
      </w:r>
      <w:r w:rsidR="008E7846">
        <w:t>nalysis</w:t>
      </w:r>
      <w:bookmarkEnd w:id="42"/>
      <w:bookmarkEnd w:id="43"/>
      <w:bookmarkEnd w:id="46"/>
    </w:p>
    <w:p w:rsidR="00D23139" w:rsidRDefault="00D23139" w:rsidP="00D23139">
      <w:pPr>
        <w:pStyle w:val="Heading4"/>
      </w:pPr>
      <w:r w:rsidRPr="00D23139">
        <w:t>Dele</w:t>
      </w:r>
      <w:r w:rsidR="007B5663">
        <w:t>gate’s considerations</w:t>
      </w:r>
    </w:p>
    <w:p w:rsidR="007B5663" w:rsidRDefault="007B5663" w:rsidP="007B5663">
      <w:pPr>
        <w:pStyle w:val="Heading5"/>
      </w:pPr>
      <w:r>
        <w:t>Benefit/risk</w:t>
      </w:r>
    </w:p>
    <w:p w:rsidR="007B5663" w:rsidRDefault="007B5663" w:rsidP="007B5663">
      <w:pPr>
        <w:rPr>
          <w:lang w:val="en-US"/>
        </w:rPr>
      </w:pPr>
      <w:r>
        <w:rPr>
          <w:lang w:val="en-US"/>
        </w:rPr>
        <w:t xml:space="preserve">The ongoing pivotal study has demonstrated </w:t>
      </w:r>
      <w:r>
        <w:rPr>
          <w:lang w:eastAsia="ja-JP"/>
        </w:rPr>
        <w:t>statistically significant and clinically meaningful improvements in efficacy in a dedicated popul</w:t>
      </w:r>
      <w:r w:rsidR="00311DAF">
        <w:rPr>
          <w:lang w:eastAsia="ja-JP"/>
        </w:rPr>
        <w:t xml:space="preserve">ation of patients with </w:t>
      </w:r>
      <w:proofErr w:type="spellStart"/>
      <w:r w:rsidR="00311DAF">
        <w:rPr>
          <w:lang w:eastAsia="ja-JP"/>
        </w:rPr>
        <w:t>nr</w:t>
      </w:r>
      <w:proofErr w:type="spellEnd"/>
      <w:r w:rsidR="00311DAF">
        <w:rPr>
          <w:lang w:eastAsia="ja-JP"/>
        </w:rPr>
        <w:noBreakHyphen/>
        <w:t>axial </w:t>
      </w:r>
      <w:proofErr w:type="spellStart"/>
      <w:r>
        <w:rPr>
          <w:lang w:eastAsia="ja-JP"/>
        </w:rPr>
        <w:t>SpA</w:t>
      </w:r>
      <w:proofErr w:type="spellEnd"/>
      <w:r>
        <w:rPr>
          <w:lang w:eastAsia="ja-JP"/>
        </w:rPr>
        <w:t xml:space="preserve"> </w:t>
      </w:r>
      <w:r>
        <w:rPr>
          <w:lang w:val="en-US"/>
        </w:rPr>
        <w:t xml:space="preserve">according to </w:t>
      </w:r>
      <w:r w:rsidR="00311DAF">
        <w:rPr>
          <w:lang w:eastAsia="ja-JP"/>
        </w:rPr>
        <w:t>ASAS c</w:t>
      </w:r>
      <w:r>
        <w:rPr>
          <w:lang w:eastAsia="ja-JP"/>
        </w:rPr>
        <w:t xml:space="preserve">lassification </w:t>
      </w:r>
      <w:r>
        <w:rPr>
          <w:lang w:val="en-US"/>
        </w:rPr>
        <w:t xml:space="preserve">criteria for </w:t>
      </w:r>
      <w:proofErr w:type="spellStart"/>
      <w:r>
        <w:rPr>
          <w:lang w:val="en-US"/>
        </w:rPr>
        <w:t>certolizumab</w:t>
      </w:r>
      <w:proofErr w:type="spellEnd"/>
      <w:r>
        <w:rPr>
          <w:lang w:val="en-US"/>
        </w:rPr>
        <w:t xml:space="preserve"> 200</w:t>
      </w:r>
      <w:r w:rsidR="00311DAF">
        <w:rPr>
          <w:lang w:val="en-US"/>
        </w:rPr>
        <w:t xml:space="preserve"> </w:t>
      </w:r>
      <w:r>
        <w:rPr>
          <w:lang w:val="en-US"/>
        </w:rPr>
        <w:t xml:space="preserve">mg Q2W and with an acceptable safety profile up to 52 weeks of treatment that is consistent with the </w:t>
      </w:r>
      <w:r>
        <w:rPr>
          <w:lang w:val="en-US"/>
        </w:rPr>
        <w:lastRenderedPageBreak/>
        <w:t>known s</w:t>
      </w:r>
      <w:r w:rsidR="00311DAF">
        <w:rPr>
          <w:lang w:val="en-US"/>
        </w:rPr>
        <w:t xml:space="preserve">afety profile of </w:t>
      </w:r>
      <w:proofErr w:type="spellStart"/>
      <w:r w:rsidR="00311DAF">
        <w:rPr>
          <w:lang w:val="en-US"/>
        </w:rPr>
        <w:t>certolizumab</w:t>
      </w:r>
      <w:proofErr w:type="spellEnd"/>
      <w:r w:rsidR="00311DAF">
        <w:rPr>
          <w:lang w:val="en-US"/>
        </w:rPr>
        <w:t xml:space="preserve">. </w:t>
      </w:r>
      <w:r>
        <w:t>There is however</w:t>
      </w:r>
      <w:r w:rsidR="00311DAF">
        <w:t>,</w:t>
      </w:r>
      <w:r>
        <w:t xml:space="preserve"> limited long-term safety data in the current submission to assess the risk of some types of AEs such as malignancy and adverse cardiovascular events, wh</w:t>
      </w:r>
      <w:r w:rsidR="00311DAF">
        <w:t xml:space="preserve">ich will require further data. </w:t>
      </w:r>
      <w:r>
        <w:t xml:space="preserve">There are some significant identified safety concerns including the risk of serious infection, opportunistic infection (including cases of reactivated </w:t>
      </w:r>
      <w:r w:rsidR="00173332">
        <w:t>TB</w:t>
      </w:r>
      <w:r>
        <w:t xml:space="preserve">), injection related reactions, hypersensitivity reactions and neurological disorders such as optic neuritis. These safety concerns are consistent with the known profile of </w:t>
      </w:r>
      <w:proofErr w:type="spellStart"/>
      <w:r>
        <w:t>certolizumab</w:t>
      </w:r>
      <w:proofErr w:type="spellEnd"/>
      <w:r>
        <w:t xml:space="preserve"> in other approved treatme</w:t>
      </w:r>
      <w:r w:rsidR="00311DAF">
        <w:t>nt indications.</w:t>
      </w:r>
      <w:r>
        <w:t xml:space="preserve"> </w:t>
      </w:r>
      <w:r>
        <w:rPr>
          <w:lang w:val="en-US"/>
        </w:rPr>
        <w:t xml:space="preserve">The submission appears to generally </w:t>
      </w:r>
      <w:r w:rsidR="00311DAF">
        <w:rPr>
          <w:lang w:val="en-US"/>
        </w:rPr>
        <w:t>adhere with the EU guidelines.</w:t>
      </w:r>
    </w:p>
    <w:p w:rsidR="007B5663" w:rsidRPr="001E61A1" w:rsidRDefault="007B5663" w:rsidP="007B5663">
      <w:pPr>
        <w:rPr>
          <w:lang w:val="en-US"/>
        </w:rPr>
      </w:pPr>
      <w:r>
        <w:rPr>
          <w:lang w:val="en-US"/>
        </w:rPr>
        <w:t>The pivotal study is supported by the previously submitted study in both ankylosing</w:t>
      </w:r>
      <w:r w:rsidR="00311DAF">
        <w:rPr>
          <w:lang w:val="en-US"/>
        </w:rPr>
        <w:t xml:space="preserve"> spondylitis and </w:t>
      </w:r>
      <w:proofErr w:type="spellStart"/>
      <w:r w:rsidR="00311DAF">
        <w:rPr>
          <w:lang w:val="en-US"/>
        </w:rPr>
        <w:t>nr</w:t>
      </w:r>
      <w:proofErr w:type="spellEnd"/>
      <w:r w:rsidR="00311DAF">
        <w:rPr>
          <w:lang w:val="en-US"/>
        </w:rPr>
        <w:t xml:space="preserve">-axial </w:t>
      </w:r>
      <w:proofErr w:type="spellStart"/>
      <w:r w:rsidR="00311DAF">
        <w:rPr>
          <w:lang w:val="en-US"/>
        </w:rPr>
        <w:t>SpA</w:t>
      </w:r>
      <w:proofErr w:type="spellEnd"/>
      <w:r w:rsidR="00311DAF">
        <w:rPr>
          <w:lang w:val="en-US"/>
        </w:rPr>
        <w:t xml:space="preserve">. </w:t>
      </w:r>
      <w:r>
        <w:t>The baseline demographic and disease related characteri</w:t>
      </w:r>
      <w:r w:rsidR="00311DAF">
        <w:t>stics of patients in the Phase III</w:t>
      </w:r>
      <w:r>
        <w:t xml:space="preserve"> studies are similar to those in the anticipated Australian patient cohort, and are therefore </w:t>
      </w:r>
      <w:proofErr w:type="spellStart"/>
      <w:r>
        <w:t>generalisa</w:t>
      </w:r>
      <w:r w:rsidR="00311DAF">
        <w:t>ble</w:t>
      </w:r>
      <w:proofErr w:type="spellEnd"/>
      <w:r w:rsidR="00311DAF">
        <w:t xml:space="preserve"> to the Australian context. </w:t>
      </w:r>
      <w:r>
        <w:rPr>
          <w:lang w:val="en-US"/>
        </w:rPr>
        <w:t>The proposed indication includes objective signs of inflammation along with more detail in the Clinical Trials section, cons</w:t>
      </w:r>
      <w:r w:rsidR="00311DAF">
        <w:rPr>
          <w:lang w:val="en-US"/>
        </w:rPr>
        <w:t xml:space="preserve">istent with the EU indication. </w:t>
      </w:r>
      <w:r>
        <w:rPr>
          <w:lang w:val="en-US"/>
        </w:rPr>
        <w:t>The Clinical Trials section also includes a</w:t>
      </w:r>
      <w:r w:rsidR="00311DAF">
        <w:rPr>
          <w:lang w:val="en-US"/>
        </w:rPr>
        <w:t xml:space="preserve"> definition of active disease. </w:t>
      </w:r>
      <w:r>
        <w:rPr>
          <w:lang w:val="en-US"/>
        </w:rPr>
        <w:t>The proposed dosage includes a loading dose and maintenance dose which is supported by the pivotal study (200</w:t>
      </w:r>
      <w:r w:rsidR="00311DAF">
        <w:rPr>
          <w:lang w:val="en-US"/>
        </w:rPr>
        <w:t xml:space="preserve"> </w:t>
      </w:r>
      <w:r>
        <w:rPr>
          <w:lang w:val="en-US"/>
        </w:rPr>
        <w:t>mg Q2W), the currently approved indications of ankylosing spondylitis, rheumatoid arthritis and psoriatic arthritis and consisten</w:t>
      </w:r>
      <w:r w:rsidR="00311DAF">
        <w:rPr>
          <w:lang w:val="en-US"/>
        </w:rPr>
        <w:t xml:space="preserve">t with the EU approved dosage. </w:t>
      </w:r>
      <w:r>
        <w:rPr>
          <w:lang w:val="en-US"/>
        </w:rPr>
        <w:t>The clinical evaluator has recommended approval.</w:t>
      </w:r>
    </w:p>
    <w:p w:rsidR="007B5663" w:rsidRDefault="007B5663" w:rsidP="007B5663">
      <w:pPr>
        <w:pStyle w:val="Heading5"/>
      </w:pPr>
      <w:r>
        <w:t>Data deficiencies and outstanding issues</w:t>
      </w:r>
    </w:p>
    <w:p w:rsidR="007B5663" w:rsidRDefault="007B5663" w:rsidP="007B5663">
      <w:pPr>
        <w:rPr>
          <w:lang w:eastAsia="ja-JP"/>
        </w:rPr>
      </w:pPr>
      <w:r>
        <w:t>The new pivotal study did not include the optional dosage regimen of 400</w:t>
      </w:r>
      <w:r w:rsidR="00311DAF">
        <w:t xml:space="preserve"> </w:t>
      </w:r>
      <w:r>
        <w:t xml:space="preserve">mg Q4W as requested by the sponsor, however this is supported by a small </w:t>
      </w:r>
      <w:r w:rsidR="00311DAF">
        <w:t>amount of data in the previous Phase III</w:t>
      </w:r>
      <w:r>
        <w:t xml:space="preserve"> study that included </w:t>
      </w:r>
      <w:proofErr w:type="spellStart"/>
      <w:r>
        <w:rPr>
          <w:lang w:eastAsia="ja-JP"/>
        </w:rPr>
        <w:t>nr</w:t>
      </w:r>
      <w:proofErr w:type="spellEnd"/>
      <w:r>
        <w:rPr>
          <w:lang w:eastAsia="ja-JP"/>
        </w:rPr>
        <w:t xml:space="preserve">-axial </w:t>
      </w:r>
      <w:proofErr w:type="spellStart"/>
      <w:r>
        <w:rPr>
          <w:lang w:eastAsia="ja-JP"/>
        </w:rPr>
        <w:t>SpA</w:t>
      </w:r>
      <w:proofErr w:type="spellEnd"/>
      <w:r>
        <w:rPr>
          <w:lang w:eastAsia="ja-JP"/>
        </w:rPr>
        <w:t xml:space="preserve"> (n</w:t>
      </w:r>
      <w:r w:rsidR="00311DAF">
        <w:rPr>
          <w:lang w:eastAsia="ja-JP"/>
        </w:rPr>
        <w:t xml:space="preserve"> </w:t>
      </w:r>
      <w:r>
        <w:rPr>
          <w:lang w:eastAsia="ja-JP"/>
        </w:rPr>
        <w:t>=</w:t>
      </w:r>
      <w:r w:rsidR="00311DAF">
        <w:rPr>
          <w:lang w:eastAsia="ja-JP"/>
        </w:rPr>
        <w:t xml:space="preserve"> </w:t>
      </w:r>
      <w:r>
        <w:rPr>
          <w:lang w:eastAsia="ja-JP"/>
        </w:rPr>
        <w:t xml:space="preserve">51) and ankylosing spondylitis patients but </w:t>
      </w:r>
      <w:r>
        <w:t>examined two maintenance dose regimens (200</w:t>
      </w:r>
      <w:r w:rsidR="00311DAF">
        <w:t xml:space="preserve"> </w:t>
      </w:r>
      <w:r>
        <w:t>mg Q2W and 400</w:t>
      </w:r>
      <w:r w:rsidR="00311DAF">
        <w:t xml:space="preserve"> mg Q4W). </w:t>
      </w:r>
      <w:r>
        <w:t>This is also</w:t>
      </w:r>
      <w:r>
        <w:rPr>
          <w:lang w:eastAsia="ja-JP"/>
        </w:rPr>
        <w:t xml:space="preserve"> consistent with the current dosage regimen for other Cimzia indications and as approved in the EU for </w:t>
      </w:r>
      <w:proofErr w:type="spellStart"/>
      <w:r>
        <w:rPr>
          <w:lang w:eastAsia="ja-JP"/>
        </w:rPr>
        <w:t>nr</w:t>
      </w:r>
      <w:proofErr w:type="spellEnd"/>
      <w:r>
        <w:rPr>
          <w:lang w:eastAsia="ja-JP"/>
        </w:rPr>
        <w:t xml:space="preserve">-axial </w:t>
      </w:r>
      <w:proofErr w:type="spellStart"/>
      <w:r>
        <w:rPr>
          <w:lang w:eastAsia="ja-JP"/>
        </w:rPr>
        <w:t>SpA</w:t>
      </w:r>
      <w:proofErr w:type="spellEnd"/>
      <w:r>
        <w:rPr>
          <w:lang w:eastAsia="ja-JP"/>
        </w:rPr>
        <w:t>.</w:t>
      </w:r>
    </w:p>
    <w:p w:rsidR="007B5663" w:rsidRDefault="007B5663" w:rsidP="007B5663">
      <w:pPr>
        <w:rPr>
          <w:i/>
        </w:rPr>
      </w:pPr>
      <w:r>
        <w:rPr>
          <w:lang w:eastAsia="ja-JP"/>
        </w:rPr>
        <w:t xml:space="preserve">The new pivotal study required patients to </w:t>
      </w:r>
      <w:r>
        <w:t xml:space="preserve">have had an inadequate response to, had a contraindication to, or been intolerant to at least 2 NSAIDs, whereas the sponsor is requesting an indication for patients </w:t>
      </w:r>
      <w:r w:rsidRPr="004A08DE">
        <w:t>who have been intolerant or have had an inadequate response to at least one NSAID</w:t>
      </w:r>
      <w:r w:rsidR="00311DAF">
        <w:t xml:space="preserve">. </w:t>
      </w:r>
      <w:r>
        <w:t xml:space="preserve">For consistency with the EU indication and medicines approved in Australia for </w:t>
      </w:r>
      <w:proofErr w:type="spellStart"/>
      <w:r>
        <w:t>nr</w:t>
      </w:r>
      <w:proofErr w:type="spellEnd"/>
      <w:r>
        <w:t xml:space="preserve">-axial </w:t>
      </w:r>
      <w:proofErr w:type="spellStart"/>
      <w:r>
        <w:t>SpA</w:t>
      </w:r>
      <w:proofErr w:type="spellEnd"/>
      <w:r>
        <w:t xml:space="preserve">, it is recommended the indication be amended to patients </w:t>
      </w:r>
      <w:r w:rsidR="00311DAF">
        <w:t>‘</w:t>
      </w:r>
      <w:r w:rsidRPr="009C77D9">
        <w:rPr>
          <w:i/>
        </w:rPr>
        <w:t>who have had an inadequate response to, or are intolerant to</w:t>
      </w:r>
      <w:r>
        <w:rPr>
          <w:i/>
        </w:rPr>
        <w:t>,</w:t>
      </w:r>
      <w:r w:rsidRPr="009C77D9">
        <w:rPr>
          <w:i/>
        </w:rPr>
        <w:t xml:space="preserve"> </w:t>
      </w:r>
      <w:r w:rsidRPr="00B41342">
        <w:rPr>
          <w:i/>
        </w:rPr>
        <w:t>nonsteroidal a</w:t>
      </w:r>
      <w:r>
        <w:rPr>
          <w:i/>
        </w:rPr>
        <w:t>nti-inflammatory drugs (NSAIDs)</w:t>
      </w:r>
      <w:r w:rsidR="00311DAF">
        <w:rPr>
          <w:i/>
        </w:rPr>
        <w:t>’</w:t>
      </w:r>
      <w:r>
        <w:rPr>
          <w:i/>
        </w:rPr>
        <w:t>.</w:t>
      </w:r>
    </w:p>
    <w:p w:rsidR="007B5663" w:rsidRDefault="007B5663" w:rsidP="00311DAF">
      <w:pPr>
        <w:rPr>
          <w:i/>
        </w:rPr>
      </w:pPr>
      <w:r>
        <w:rPr>
          <w:lang w:val="en-US"/>
        </w:rPr>
        <w:t xml:space="preserve">The pivotal study included patients with </w:t>
      </w:r>
      <w:r>
        <w:t xml:space="preserve">moderate-severe axial </w:t>
      </w:r>
      <w:proofErr w:type="spellStart"/>
      <w:r>
        <w:t>SpA</w:t>
      </w:r>
      <w:proofErr w:type="spellEnd"/>
      <w:r>
        <w:t xml:space="preserve"> activity however</w:t>
      </w:r>
      <w:r w:rsidR="00311DAF">
        <w:t>,</w:t>
      </w:r>
      <w:r>
        <w:t xml:space="preserve"> the EU indication is rest</w:t>
      </w:r>
      <w:r w:rsidR="00311DAF">
        <w:t xml:space="preserve">ricted to severe disease only. </w:t>
      </w:r>
      <w:r>
        <w:t>The US indication has not been restricted by severity and the sponsor has also n</w:t>
      </w:r>
      <w:r w:rsidR="00311DAF">
        <w:t xml:space="preserve">ot requested it be restricted. </w:t>
      </w:r>
      <w:r>
        <w:t xml:space="preserve">Both </w:t>
      </w:r>
      <w:proofErr w:type="spellStart"/>
      <w:r>
        <w:t>golimumab</w:t>
      </w:r>
      <w:proofErr w:type="spellEnd"/>
      <w:r>
        <w:t xml:space="preserve"> and </w:t>
      </w:r>
      <w:proofErr w:type="spellStart"/>
      <w:r>
        <w:t>etanercept</w:t>
      </w:r>
      <w:proofErr w:type="spellEnd"/>
      <w:r>
        <w:t xml:space="preserve"> registered here are not r</w:t>
      </w:r>
      <w:r w:rsidR="00311DAF">
        <w:t xml:space="preserve">estricted by disease severity. </w:t>
      </w:r>
      <w:r>
        <w:t>The clinical evaluator has not recommended it be restricted.</w:t>
      </w:r>
    </w:p>
    <w:p w:rsidR="007B5663" w:rsidRDefault="007B5663" w:rsidP="007B5663">
      <w:r>
        <w:t xml:space="preserve">For subjects who developed ADA positive results in both axial </w:t>
      </w:r>
      <w:proofErr w:type="spellStart"/>
      <w:r>
        <w:t>SpA</w:t>
      </w:r>
      <w:proofErr w:type="spellEnd"/>
      <w:r>
        <w:t xml:space="preserve"> trials, the clinical relevance for safety outcomes is unclear. However, the development of anti-</w:t>
      </w:r>
      <w:proofErr w:type="spellStart"/>
      <w:r>
        <w:rPr>
          <w:rFonts w:cs="TimesNewRomanPSMT"/>
        </w:rPr>
        <w:t>certolizumab</w:t>
      </w:r>
      <w:proofErr w:type="spellEnd"/>
      <w:r>
        <w:rPr>
          <w:rFonts w:cs="TimesNewRomanPSMT"/>
        </w:rPr>
        <w:t xml:space="preserve"> </w:t>
      </w:r>
      <w:r>
        <w:t>antibodies may be associated wi</w:t>
      </w:r>
      <w:r w:rsidR="00311DAF">
        <w:t xml:space="preserve">th a lack or loss of efficacy. </w:t>
      </w:r>
      <w:r>
        <w:t xml:space="preserve">No population PK analysis was provided but the sponsor provided </w:t>
      </w:r>
      <w:r>
        <w:rPr>
          <w:lang w:eastAsia="ja-JP"/>
        </w:rPr>
        <w:t>a</w:t>
      </w:r>
      <w:r w:rsidRPr="001D4249">
        <w:rPr>
          <w:lang w:eastAsia="ja-JP"/>
        </w:rPr>
        <w:t xml:space="preserve"> graphical evaluation of the degree to which ADA titr</w:t>
      </w:r>
      <w:r>
        <w:rPr>
          <w:lang w:eastAsia="ja-JP"/>
        </w:rPr>
        <w:t>e</w:t>
      </w:r>
      <w:r w:rsidRPr="001D4249">
        <w:rPr>
          <w:lang w:eastAsia="ja-JP"/>
        </w:rPr>
        <w:t xml:space="preserve"> </w:t>
      </w:r>
      <w:r>
        <w:rPr>
          <w:lang w:eastAsia="ja-JP"/>
        </w:rPr>
        <w:t>and subject</w:t>
      </w:r>
      <w:r w:rsidRPr="001D4249">
        <w:rPr>
          <w:lang w:eastAsia="ja-JP"/>
        </w:rPr>
        <w:t xml:space="preserve"> </w:t>
      </w:r>
      <w:r>
        <w:rPr>
          <w:lang w:eastAsia="ja-JP"/>
        </w:rPr>
        <w:t xml:space="preserve">weight </w:t>
      </w:r>
      <w:r w:rsidRPr="001D4249">
        <w:rPr>
          <w:lang w:eastAsia="ja-JP"/>
        </w:rPr>
        <w:t>influence</w:t>
      </w:r>
      <w:r>
        <w:rPr>
          <w:lang w:eastAsia="ja-JP"/>
        </w:rPr>
        <w:t>s</w:t>
      </w:r>
      <w:r w:rsidRPr="001D4249">
        <w:rPr>
          <w:lang w:eastAsia="ja-JP"/>
        </w:rPr>
        <w:t xml:space="preserve"> </w:t>
      </w:r>
      <w:proofErr w:type="spellStart"/>
      <w:r>
        <w:rPr>
          <w:rFonts w:cs="TimesNewRomanPSMT"/>
        </w:rPr>
        <w:t>certolizumab</w:t>
      </w:r>
      <w:proofErr w:type="spellEnd"/>
      <w:r>
        <w:rPr>
          <w:rFonts w:cs="TimesNewRomanPSMT"/>
        </w:rPr>
        <w:t xml:space="preserve"> </w:t>
      </w:r>
      <w:r w:rsidRPr="001D4249">
        <w:rPr>
          <w:lang w:eastAsia="ja-JP"/>
        </w:rPr>
        <w:t xml:space="preserve">concentrations in </w:t>
      </w:r>
      <w:r>
        <w:rPr>
          <w:lang w:eastAsia="ja-JP"/>
        </w:rPr>
        <w:t xml:space="preserve">Study </w:t>
      </w:r>
      <w:r w:rsidRPr="001D4249">
        <w:rPr>
          <w:lang w:eastAsia="ja-JP"/>
        </w:rPr>
        <w:t>AS0006</w:t>
      </w:r>
      <w:r>
        <w:rPr>
          <w:lang w:eastAsia="ja-JP"/>
        </w:rPr>
        <w:t xml:space="preserve">, showing significantly lower </w:t>
      </w:r>
      <w:proofErr w:type="spellStart"/>
      <w:r>
        <w:rPr>
          <w:lang w:eastAsia="ja-JP"/>
        </w:rPr>
        <w:t>certolizumab</w:t>
      </w:r>
      <w:proofErr w:type="spellEnd"/>
      <w:r>
        <w:rPr>
          <w:lang w:eastAsia="ja-JP"/>
        </w:rPr>
        <w:t xml:space="preserve"> concentrations in the heaviest weight quartile and subjects with high titre ADA.</w:t>
      </w:r>
    </w:p>
    <w:p w:rsidR="007B5663" w:rsidRDefault="007B5663" w:rsidP="007B5663">
      <w:r>
        <w:rPr>
          <w:rFonts w:cs="Cambria"/>
        </w:rPr>
        <w:t>Certolizumab has not been studied in patients &lt;</w:t>
      </w:r>
      <w:r w:rsidR="00311DAF">
        <w:rPr>
          <w:rFonts w:cs="Cambria"/>
        </w:rPr>
        <w:t xml:space="preserve"> </w:t>
      </w:r>
      <w:r>
        <w:rPr>
          <w:rFonts w:cs="Cambria"/>
        </w:rPr>
        <w:t xml:space="preserve">18 years of age, in subjects with significant organ dysfunction, and in those with concurrent </w:t>
      </w:r>
      <w:r w:rsidR="00173332">
        <w:rPr>
          <w:rFonts w:cs="Cambria"/>
        </w:rPr>
        <w:t xml:space="preserve">hepatitis </w:t>
      </w:r>
      <w:r>
        <w:rPr>
          <w:rFonts w:cs="Cambria"/>
        </w:rPr>
        <w:t xml:space="preserve">B or C virus or </w:t>
      </w:r>
      <w:r w:rsidR="00311DAF">
        <w:rPr>
          <w:rFonts w:cs="Cambria"/>
        </w:rPr>
        <w:t>human immunodeficiency virus (</w:t>
      </w:r>
      <w:r>
        <w:rPr>
          <w:rFonts w:cs="Cambria"/>
        </w:rPr>
        <w:t>HIV</w:t>
      </w:r>
      <w:r w:rsidR="00311DAF">
        <w:rPr>
          <w:rFonts w:cs="Cambria"/>
        </w:rPr>
        <w:t>).</w:t>
      </w:r>
      <w:r>
        <w:rPr>
          <w:rFonts w:cs="Cambria"/>
        </w:rPr>
        <w:t xml:space="preserve"> Populations with inadequate clinical data regarding </w:t>
      </w:r>
      <w:proofErr w:type="spellStart"/>
      <w:r>
        <w:rPr>
          <w:rFonts w:cs="TimesNewRomanPSMT"/>
        </w:rPr>
        <w:t>certolizumab</w:t>
      </w:r>
      <w:proofErr w:type="spellEnd"/>
      <w:r>
        <w:rPr>
          <w:rFonts w:cs="TimesNewRomanPSMT"/>
        </w:rPr>
        <w:t xml:space="preserve"> </w:t>
      </w:r>
      <w:r>
        <w:rPr>
          <w:rFonts w:cs="Cambria"/>
        </w:rPr>
        <w:t xml:space="preserve">therapy are </w:t>
      </w:r>
      <w:r w:rsidR="00311DAF">
        <w:rPr>
          <w:rFonts w:cs="Cambria"/>
        </w:rPr>
        <w:t xml:space="preserve">identified in the current RMP. </w:t>
      </w:r>
      <w:r>
        <w:rPr>
          <w:rFonts w:cs="Cambria"/>
        </w:rPr>
        <w:t>There is also limited data in patients with prior anti-TNF exposure.</w:t>
      </w:r>
    </w:p>
    <w:p w:rsidR="007B5663" w:rsidRPr="00F26B3E" w:rsidRDefault="007B5663" w:rsidP="007B5663">
      <w:r>
        <w:lastRenderedPageBreak/>
        <w:t>There is limited long-term safety data in the current submission to assess the risk of some types of AEs such as malignancy and adverse cardiovascular events.</w:t>
      </w:r>
    </w:p>
    <w:p w:rsidR="007B5663" w:rsidRDefault="007B5663" w:rsidP="007B5663">
      <w:pPr>
        <w:pStyle w:val="Heading5"/>
      </w:pPr>
      <w:r>
        <w:t>Proposed regulatory action</w:t>
      </w:r>
    </w:p>
    <w:p w:rsidR="007B5663" w:rsidRDefault="007B5663" w:rsidP="007B5663">
      <w:pPr>
        <w:rPr>
          <w:lang w:val="en-US"/>
        </w:rPr>
      </w:pPr>
      <w:r>
        <w:t xml:space="preserve">Pending advice from </w:t>
      </w:r>
      <w:r w:rsidR="003657F7">
        <w:t>the Advisory Committee on Medicines (</w:t>
      </w:r>
      <w:r>
        <w:t>ACM</w:t>
      </w:r>
      <w:r w:rsidR="003657F7">
        <w:t>)</w:t>
      </w:r>
      <w:r>
        <w:t xml:space="preserve"> and the s</w:t>
      </w:r>
      <w:r w:rsidR="003657F7">
        <w:t>ponsor’s pre</w:t>
      </w:r>
      <w:r w:rsidR="00173332">
        <w:noBreakHyphen/>
      </w:r>
      <w:r w:rsidR="003657F7">
        <w:t>ACM response, the D</w:t>
      </w:r>
      <w:r>
        <w:t xml:space="preserve">elegate </w:t>
      </w:r>
      <w:r>
        <w:rPr>
          <w:lang w:val="en-US"/>
        </w:rPr>
        <w:t>considers the benefit/risk profile to be positive and recommends approval for the indication:</w:t>
      </w:r>
    </w:p>
    <w:p w:rsidR="007B5663" w:rsidRPr="001E61A1" w:rsidRDefault="007B5663" w:rsidP="007B5663">
      <w:pPr>
        <w:ind w:left="720"/>
        <w:rPr>
          <w:bCs/>
          <w:i/>
        </w:rPr>
      </w:pPr>
      <w:r w:rsidRPr="001E61A1">
        <w:rPr>
          <w:bCs/>
          <w:i/>
        </w:rPr>
        <w:t xml:space="preserve">Non-radiographic Axial </w:t>
      </w:r>
      <w:proofErr w:type="spellStart"/>
      <w:r w:rsidRPr="001E61A1">
        <w:rPr>
          <w:bCs/>
          <w:i/>
        </w:rPr>
        <w:t>Spondyloarthritis</w:t>
      </w:r>
      <w:proofErr w:type="spellEnd"/>
    </w:p>
    <w:p w:rsidR="007B5663" w:rsidRPr="001E61A1" w:rsidRDefault="007B5663" w:rsidP="007B5663">
      <w:pPr>
        <w:ind w:left="720"/>
        <w:rPr>
          <w:i/>
        </w:rPr>
      </w:pPr>
      <w:r w:rsidRPr="001E61A1">
        <w:rPr>
          <w:i/>
        </w:rPr>
        <w:t xml:space="preserve">Cimzia is indicated for the treatment of adults with active non-radiographic axial </w:t>
      </w:r>
      <w:proofErr w:type="spellStart"/>
      <w:r w:rsidRPr="001E61A1">
        <w:rPr>
          <w:i/>
        </w:rPr>
        <w:t>spondyloarthritis</w:t>
      </w:r>
      <w:proofErr w:type="spellEnd"/>
      <w:r w:rsidRPr="001E61A1">
        <w:rPr>
          <w:i/>
        </w:rPr>
        <w:t xml:space="preserve"> (</w:t>
      </w:r>
      <w:proofErr w:type="spellStart"/>
      <w:r w:rsidRPr="001E61A1">
        <w:rPr>
          <w:i/>
        </w:rPr>
        <w:t>nr-axSpA</w:t>
      </w:r>
      <w:proofErr w:type="spellEnd"/>
      <w:r w:rsidRPr="001E61A1">
        <w:rPr>
          <w:i/>
        </w:rPr>
        <w:t>) with objective signs of inflammation as indicated by elevated C reactive protein (CRP) and /or magnetic resonance imaging (MRI)</w:t>
      </w:r>
      <w:r>
        <w:rPr>
          <w:i/>
        </w:rPr>
        <w:t xml:space="preserve"> change</w:t>
      </w:r>
      <w:r w:rsidRPr="001E61A1">
        <w:rPr>
          <w:i/>
        </w:rPr>
        <w:t>, who have had an inadequate response to, or are intolerant to, nonsteroidal anti-inflammatory drugs (NSAIDs).</w:t>
      </w:r>
    </w:p>
    <w:p w:rsidR="007B5663" w:rsidRDefault="007B5663" w:rsidP="007B5663">
      <w:pPr>
        <w:pStyle w:val="Heading5"/>
      </w:pPr>
      <w:r>
        <w:t>Conditions of registration</w:t>
      </w:r>
    </w:p>
    <w:p w:rsidR="007B5663" w:rsidRDefault="007B5663" w:rsidP="007B5663">
      <w:pPr>
        <w:jc w:val="both"/>
      </w:pPr>
      <w:r>
        <w:t>The following studies must be submitted to the TGA, as soon as possible after completion, for evaluation as a Category 1 submission:</w:t>
      </w:r>
    </w:p>
    <w:p w:rsidR="007B5663" w:rsidRPr="001E61A1" w:rsidRDefault="007B5663" w:rsidP="007B5663">
      <w:pPr>
        <w:pStyle w:val="ListParagraph"/>
        <w:numPr>
          <w:ilvl w:val="0"/>
          <w:numId w:val="30"/>
        </w:numPr>
        <w:jc w:val="both"/>
      </w:pPr>
      <w:r>
        <w:t>The final study report for Study AS0006.</w:t>
      </w:r>
    </w:p>
    <w:p w:rsidR="007B5663" w:rsidRDefault="007B5663" w:rsidP="007B5663">
      <w:pPr>
        <w:pStyle w:val="Heading5"/>
      </w:pPr>
      <w:r>
        <w:t>Summary of issues</w:t>
      </w:r>
    </w:p>
    <w:p w:rsidR="007B5663" w:rsidRPr="00310C12" w:rsidRDefault="007B5663" w:rsidP="007B5663">
      <w:r w:rsidRPr="00310C12">
        <w:t>The primary issues with this submission are as follows:</w:t>
      </w:r>
    </w:p>
    <w:p w:rsidR="007B5663" w:rsidRPr="00310C12" w:rsidRDefault="00311DAF" w:rsidP="00311DAF">
      <w:pPr>
        <w:pStyle w:val="Numberbullet0"/>
      </w:pPr>
      <w:r w:rsidRPr="00310C12">
        <w:t>The Advisory Committee on Prescription Medicines (</w:t>
      </w:r>
      <w:r w:rsidR="007B5663" w:rsidRPr="00310C12">
        <w:t>ACPM</w:t>
      </w:r>
      <w:r w:rsidRPr="00310C12">
        <w:t>)</w:t>
      </w:r>
      <w:r w:rsidR="00173332">
        <w:t>;</w:t>
      </w:r>
      <w:r w:rsidR="00173332">
        <w:rPr>
          <w:rStyle w:val="FootnoteReference"/>
        </w:rPr>
        <w:footnoteReference w:id="6"/>
      </w:r>
      <w:r w:rsidR="007B5663" w:rsidRPr="00310C12">
        <w:t xml:space="preserve"> identified concerns with the previous submission for </w:t>
      </w:r>
      <w:proofErr w:type="spellStart"/>
      <w:r w:rsidR="007B5663" w:rsidRPr="00310C12">
        <w:t>nr</w:t>
      </w:r>
      <w:proofErr w:type="spellEnd"/>
      <w:r w:rsidR="007B5663" w:rsidRPr="00310C12">
        <w:t xml:space="preserve">-axial </w:t>
      </w:r>
      <w:proofErr w:type="spellStart"/>
      <w:r w:rsidR="007B5663" w:rsidRPr="00310C12">
        <w:t>SpA</w:t>
      </w:r>
      <w:proofErr w:type="spellEnd"/>
      <w:r w:rsidR="007B5663" w:rsidRPr="00310C12">
        <w:t xml:space="preserve"> that primarily related to diagnostic criteria and objective signs of inflammation.</w:t>
      </w:r>
    </w:p>
    <w:p w:rsidR="007B5663" w:rsidRPr="00310C12" w:rsidRDefault="007B5663" w:rsidP="00311DAF">
      <w:pPr>
        <w:pStyle w:val="Numberbullet0"/>
      </w:pPr>
      <w:r w:rsidRPr="00310C12">
        <w:t>The approved EU indication is restricted to patients with severe disease however the sponsor is not requesting this restriction here. The US indication does not include this restriction.</w:t>
      </w:r>
    </w:p>
    <w:p w:rsidR="00456765" w:rsidRPr="00310C12" w:rsidRDefault="007B5663" w:rsidP="00311DAF">
      <w:pPr>
        <w:pStyle w:val="Numberbullet0"/>
      </w:pPr>
      <w:r w:rsidRPr="00310C12">
        <w:t>The sponsor has proposed specific objective signs of inflammation to be included in the indication, consistent wi</w:t>
      </w:r>
      <w:r w:rsidR="00311DAF" w:rsidRPr="00310C12">
        <w:t xml:space="preserve">th the EU approved indication. </w:t>
      </w:r>
      <w:r w:rsidRPr="00310C12">
        <w:t>The US indication does not specify them in the indication but refers to them i</w:t>
      </w:r>
      <w:r w:rsidR="00311DAF" w:rsidRPr="00310C12">
        <w:t xml:space="preserve">n the Clinical Trials section. </w:t>
      </w:r>
      <w:r w:rsidRPr="00310C12">
        <w:t>The same detail is also proposed for inclusion in the Australian PI Clinical Trials section.</w:t>
      </w:r>
    </w:p>
    <w:p w:rsidR="00D23139" w:rsidRPr="00310C12" w:rsidRDefault="00D23139" w:rsidP="00D23139">
      <w:pPr>
        <w:pStyle w:val="Heading4"/>
      </w:pPr>
      <w:r w:rsidRPr="00310C12">
        <w:t>Proposed action</w:t>
      </w:r>
    </w:p>
    <w:p w:rsidR="00456765" w:rsidRPr="00456765" w:rsidRDefault="00311DAF" w:rsidP="00456765">
      <w:r w:rsidRPr="00310C12">
        <w:t>The Delegate has</w:t>
      </w:r>
      <w:r w:rsidR="007B5663" w:rsidRPr="00310C12">
        <w:t xml:space="preserve"> no reason to say, at this time, that the application for Cimzia should not be approved for registration, pending further advice from ACM.</w:t>
      </w:r>
    </w:p>
    <w:p w:rsidR="00D23139" w:rsidRDefault="00A22D57" w:rsidP="00D23139">
      <w:pPr>
        <w:pStyle w:val="Heading4"/>
      </w:pPr>
      <w:r>
        <w:t xml:space="preserve">Request for </w:t>
      </w:r>
      <w:r w:rsidR="00310C12">
        <w:t>Advisory Committee on Medicines</w:t>
      </w:r>
      <w:r w:rsidR="00D23139" w:rsidRPr="00D23139">
        <w:t xml:space="preserve"> advice</w:t>
      </w:r>
    </w:p>
    <w:p w:rsidR="007B5663" w:rsidRDefault="007B5663" w:rsidP="007B5663">
      <w:pPr>
        <w:jc w:val="both"/>
        <w:rPr>
          <w:rFonts w:asciiTheme="minorHAnsi" w:hAnsiTheme="minorHAnsi"/>
        </w:rPr>
      </w:pPr>
      <w:r w:rsidRPr="00413B71">
        <w:rPr>
          <w:rFonts w:asciiTheme="minorHAnsi" w:hAnsiTheme="minorHAnsi"/>
        </w:rPr>
        <w:t>The committee is requested to provide advice on the following specific issues:</w:t>
      </w:r>
    </w:p>
    <w:p w:rsidR="007B5663" w:rsidRDefault="007B5663" w:rsidP="00310C12">
      <w:pPr>
        <w:pStyle w:val="Numberbullet0"/>
        <w:numPr>
          <w:ilvl w:val="0"/>
          <w:numId w:val="32"/>
        </w:numPr>
        <w:rPr>
          <w:lang w:eastAsia="en-AU"/>
        </w:rPr>
      </w:pPr>
      <w:r>
        <w:rPr>
          <w:lang w:eastAsia="en-AU"/>
        </w:rPr>
        <w:t>Have the concerns previously identified by the committee been adequately addressed in this re-submission?</w:t>
      </w:r>
    </w:p>
    <w:p w:rsidR="007B5663" w:rsidRDefault="007B5663" w:rsidP="00310C12">
      <w:pPr>
        <w:pStyle w:val="Numberbullet0"/>
        <w:numPr>
          <w:ilvl w:val="0"/>
          <w:numId w:val="32"/>
        </w:numPr>
        <w:rPr>
          <w:lang w:eastAsia="en-AU"/>
        </w:rPr>
      </w:pPr>
      <w:r>
        <w:rPr>
          <w:lang w:eastAsia="en-AU"/>
        </w:rPr>
        <w:t>What are the committee’s views on whether the proposed indication should only be for patients with severe disease?</w:t>
      </w:r>
    </w:p>
    <w:p w:rsidR="007B5663" w:rsidRPr="00B746A4" w:rsidRDefault="007B5663" w:rsidP="00310C12">
      <w:pPr>
        <w:pStyle w:val="Numberbullet0"/>
        <w:numPr>
          <w:ilvl w:val="0"/>
          <w:numId w:val="32"/>
        </w:numPr>
        <w:rPr>
          <w:lang w:eastAsia="en-AU"/>
        </w:rPr>
      </w:pPr>
      <w:r>
        <w:rPr>
          <w:lang w:eastAsia="en-AU"/>
        </w:rPr>
        <w:t>What are the committee’s views on the description of the objective signs of inflammation?</w:t>
      </w:r>
    </w:p>
    <w:p w:rsidR="00456765" w:rsidRPr="00456765" w:rsidRDefault="007B5663" w:rsidP="007B5663">
      <w:r w:rsidRPr="00413B71">
        <w:rPr>
          <w:rFonts w:asciiTheme="minorHAnsi" w:hAnsiTheme="minorHAnsi"/>
        </w:rPr>
        <w:lastRenderedPageBreak/>
        <w:t>The committee is also requested to provide advice on any other issues that it thinks may be relevant to a decision on whether or not to approve this application</w:t>
      </w:r>
      <w:r>
        <w:rPr>
          <w:rFonts w:asciiTheme="minorHAnsi" w:hAnsiTheme="minorHAnsi"/>
        </w:rPr>
        <w:t>.</w:t>
      </w:r>
    </w:p>
    <w:p w:rsidR="008E7846" w:rsidRDefault="008E7846" w:rsidP="008E7846">
      <w:pPr>
        <w:pStyle w:val="Heading4"/>
      </w:pPr>
      <w:r>
        <w:t>Advisory Committee Considerations</w:t>
      </w:r>
      <w:r w:rsidR="00456765">
        <w:rPr>
          <w:rStyle w:val="FootnoteReference"/>
        </w:rPr>
        <w:footnoteReference w:id="7"/>
      </w:r>
    </w:p>
    <w:p w:rsidR="008E7846" w:rsidRDefault="00456765" w:rsidP="008E7846">
      <w:pPr>
        <w:rPr>
          <w:bCs/>
        </w:rPr>
      </w:pPr>
      <w:r w:rsidRPr="00456765">
        <w:rPr>
          <w:bCs/>
        </w:rPr>
        <w:t xml:space="preserve">The </w:t>
      </w:r>
      <w:r w:rsidR="003657F7">
        <w:rPr>
          <w:bCs/>
        </w:rPr>
        <w:t>ACM</w:t>
      </w:r>
      <w:r w:rsidRPr="00456765">
        <w:rPr>
          <w:bCs/>
        </w:rPr>
        <w:t>, having considered the evaluations and the Delegate’s overview, as well as the sponsor’s response to these documen</w:t>
      </w:r>
      <w:r w:rsidR="007B5663">
        <w:rPr>
          <w:bCs/>
        </w:rPr>
        <w:t>ts, advised the following.</w:t>
      </w:r>
    </w:p>
    <w:p w:rsidR="007B5663" w:rsidRDefault="007B5663" w:rsidP="007B5663">
      <w:r>
        <w:t xml:space="preserve">The ACM considered the referral for advice from the TGA Delegate in relation to the submission to register </w:t>
      </w:r>
      <w:r w:rsidR="00310C12">
        <w:t>Cimzia</w:t>
      </w:r>
      <w:r>
        <w:t xml:space="preserve"> single use, pre-filled </w:t>
      </w:r>
      <w:r w:rsidR="00310C12">
        <w:t>syringe and pen, containing 200 </w:t>
      </w:r>
      <w:r>
        <w:t xml:space="preserve">mg/mL of 1 mL volume of </w:t>
      </w:r>
      <w:proofErr w:type="spellStart"/>
      <w:r>
        <w:t>certolizumab</w:t>
      </w:r>
      <w:proofErr w:type="spellEnd"/>
      <w:r>
        <w:t xml:space="preserve"> pegol.</w:t>
      </w:r>
    </w:p>
    <w:p w:rsidR="007B5663" w:rsidRDefault="007B5663" w:rsidP="007B5663">
      <w:r>
        <w:t>The ACM considered this product to have an overall positive benefit-risk profile for the revised indication:</w:t>
      </w:r>
    </w:p>
    <w:p w:rsidR="007B5663" w:rsidRPr="00310C12" w:rsidRDefault="007B5663" w:rsidP="00310C12">
      <w:pPr>
        <w:ind w:left="720"/>
        <w:rPr>
          <w:i/>
        </w:rPr>
      </w:pPr>
      <w:r w:rsidRPr="00310C12">
        <w:rPr>
          <w:i/>
        </w:rPr>
        <w:t xml:space="preserve">Non-radiographic Axial </w:t>
      </w:r>
      <w:proofErr w:type="spellStart"/>
      <w:r w:rsidRPr="00310C12">
        <w:rPr>
          <w:i/>
        </w:rPr>
        <w:t>Spondyloarthritis</w:t>
      </w:r>
      <w:proofErr w:type="spellEnd"/>
    </w:p>
    <w:p w:rsidR="00456765" w:rsidRPr="00310C12" w:rsidRDefault="007B5663" w:rsidP="00310C12">
      <w:pPr>
        <w:ind w:left="720"/>
        <w:rPr>
          <w:i/>
        </w:rPr>
      </w:pPr>
      <w:r w:rsidRPr="00310C12">
        <w:rPr>
          <w:i/>
        </w:rPr>
        <w:t xml:space="preserve">Cimzia is indicated for the treatment of adults with active non-radiographic axial </w:t>
      </w:r>
      <w:proofErr w:type="spellStart"/>
      <w:r w:rsidRPr="00310C12">
        <w:rPr>
          <w:i/>
        </w:rPr>
        <w:t>spondyloarthritis</w:t>
      </w:r>
      <w:proofErr w:type="spellEnd"/>
      <w:r w:rsidRPr="00310C12">
        <w:rPr>
          <w:i/>
        </w:rPr>
        <w:t xml:space="preserve"> (</w:t>
      </w:r>
      <w:proofErr w:type="spellStart"/>
      <w:r w:rsidRPr="00310C12">
        <w:rPr>
          <w:i/>
        </w:rPr>
        <w:t>nr-axSpA</w:t>
      </w:r>
      <w:proofErr w:type="spellEnd"/>
      <w:r w:rsidRPr="00310C12">
        <w:rPr>
          <w:i/>
        </w:rPr>
        <w:t>) with objective signs of inflammation as indicated by elevated C reactive protein (CRP) and /or magnetic resonance imaging (MRI), change, who have had an inadequate response to, or are intolerant to, nonsteroidal an</w:t>
      </w:r>
      <w:r w:rsidR="00310C12" w:rsidRPr="00310C12">
        <w:rPr>
          <w:i/>
        </w:rPr>
        <w:t>ti-inflammatory drugs (NSAIDs).</w:t>
      </w:r>
    </w:p>
    <w:p w:rsidR="007B5663" w:rsidRDefault="007B5663" w:rsidP="00310C12">
      <w:pPr>
        <w:pStyle w:val="Heading5"/>
      </w:pPr>
      <w:r>
        <w:t>Specific advice</w:t>
      </w:r>
    </w:p>
    <w:p w:rsidR="007B5663" w:rsidRDefault="007B5663" w:rsidP="007B5663">
      <w:r>
        <w:t>The ACM advised the following in response to the Delegate’s specific request for advice:</w:t>
      </w:r>
    </w:p>
    <w:p w:rsidR="00310C12" w:rsidRPr="00310C12" w:rsidRDefault="007B5663" w:rsidP="00310C12">
      <w:pPr>
        <w:pStyle w:val="Numberbullet0"/>
        <w:numPr>
          <w:ilvl w:val="0"/>
          <w:numId w:val="33"/>
        </w:numPr>
        <w:rPr>
          <w:b/>
          <w:i/>
        </w:rPr>
      </w:pPr>
      <w:r w:rsidRPr="00310C12">
        <w:rPr>
          <w:b/>
          <w:i/>
        </w:rPr>
        <w:t>Have the concerns previously identified by the committee been adequately a</w:t>
      </w:r>
      <w:r w:rsidR="00310C12" w:rsidRPr="00310C12">
        <w:rPr>
          <w:b/>
          <w:i/>
        </w:rPr>
        <w:t>ddressed in this re-submission?</w:t>
      </w:r>
    </w:p>
    <w:p w:rsidR="007B5663" w:rsidRDefault="007B5663" w:rsidP="007B5663">
      <w:r>
        <w:t xml:space="preserve">The ACM was of the opinion that Study AS0006 has provided clear evidence of the efficacy of </w:t>
      </w:r>
      <w:r w:rsidR="00310C12">
        <w:t>Cimzia</w:t>
      </w:r>
      <w:r>
        <w:t xml:space="preserve"> in a cohort of patients more clearly defined by MRI and CRP. Although this study is ongoing, the ACM agreed that the evidence from this study was sufficient to allay previous concerns.</w:t>
      </w:r>
    </w:p>
    <w:p w:rsidR="00310C12" w:rsidRPr="00310C12" w:rsidRDefault="007B5663" w:rsidP="00310C12">
      <w:pPr>
        <w:pStyle w:val="Numberbullet0"/>
        <w:rPr>
          <w:b/>
          <w:i/>
        </w:rPr>
      </w:pPr>
      <w:r w:rsidRPr="00310C12">
        <w:rPr>
          <w:b/>
          <w:i/>
        </w:rPr>
        <w:t>What are the committee’s views on whether the proposed indication should only be fo</w:t>
      </w:r>
      <w:r w:rsidR="00310C12" w:rsidRPr="00310C12">
        <w:rPr>
          <w:b/>
          <w:i/>
        </w:rPr>
        <w:t>r patients with severe disease?</w:t>
      </w:r>
    </w:p>
    <w:p w:rsidR="007B5663" w:rsidRDefault="007B5663" w:rsidP="007B5663">
      <w:r>
        <w:t xml:space="preserve">The ACM noted that Study AS0006 includes patients with moderate to severe </w:t>
      </w:r>
      <w:proofErr w:type="spellStart"/>
      <w:r>
        <w:t>nr-axSpA</w:t>
      </w:r>
      <w:proofErr w:type="spellEnd"/>
      <w:r>
        <w:t xml:space="preserve"> and that there is evidence that the efficacy of </w:t>
      </w:r>
      <w:r w:rsidR="00310C12">
        <w:t>Cimzia</w:t>
      </w:r>
      <w:r>
        <w:t xml:space="preserve"> is better in patients with less severe disease. Thus, the ACM was of the view that the proposed indication should not be limited by the severity of the disease.</w:t>
      </w:r>
    </w:p>
    <w:p w:rsidR="00310C12" w:rsidRPr="00310C12" w:rsidRDefault="007B5663" w:rsidP="00310C12">
      <w:pPr>
        <w:pStyle w:val="Numberbullet0"/>
        <w:rPr>
          <w:b/>
          <w:i/>
        </w:rPr>
      </w:pPr>
      <w:r w:rsidRPr="00310C12">
        <w:rPr>
          <w:b/>
          <w:i/>
        </w:rPr>
        <w:t>What are the committee’s views on the description of the o</w:t>
      </w:r>
      <w:r w:rsidR="00310C12" w:rsidRPr="00310C12">
        <w:rPr>
          <w:b/>
          <w:i/>
        </w:rPr>
        <w:t>bjective signs of inflammation?</w:t>
      </w:r>
    </w:p>
    <w:p w:rsidR="007B5663" w:rsidRDefault="007B5663" w:rsidP="007B5663">
      <w:r>
        <w:t xml:space="preserve">The ACM was of the view that the description of the objective signs of inflammation in the proposed indication are sufficient and that further specification is not required, particularly for MRI criteria as this is a rapidly evolving field. The ACM advised that details regarding objective signs of inflammation (for example, the definition of ‘elevated’ CRP levels) could be included in the </w:t>
      </w:r>
      <w:r w:rsidR="00310C12">
        <w:t>PI</w:t>
      </w:r>
      <w:r>
        <w:t>.</w:t>
      </w:r>
    </w:p>
    <w:p w:rsidR="007B5663" w:rsidRDefault="007B5663" w:rsidP="00310C12">
      <w:pPr>
        <w:pStyle w:val="Heading5"/>
      </w:pPr>
      <w:r>
        <w:lastRenderedPageBreak/>
        <w:t>General advice</w:t>
      </w:r>
    </w:p>
    <w:p w:rsidR="007B5663" w:rsidRPr="00A322B3" w:rsidRDefault="007B5663" w:rsidP="007B5663">
      <w:r>
        <w:t xml:space="preserve">The ACM advised that the indications should be restricted to patients that have failed at least two NSAIDs, rather than one as initially proposed. This is consistent with the inclusion criteria for Study AS0006, and indications for other drugs for </w:t>
      </w:r>
      <w:proofErr w:type="spellStart"/>
      <w:r>
        <w:t>nr-axSpA</w:t>
      </w:r>
      <w:proofErr w:type="spellEnd"/>
      <w:r>
        <w:t>.</w:t>
      </w:r>
    </w:p>
    <w:p w:rsidR="008E7846" w:rsidRPr="002E238E" w:rsidRDefault="008E7846" w:rsidP="008E7846">
      <w:pPr>
        <w:pStyle w:val="Heading3"/>
      </w:pPr>
      <w:bookmarkStart w:id="47" w:name="_Toc247691532"/>
      <w:bookmarkStart w:id="48" w:name="_Toc314842516"/>
      <w:bookmarkStart w:id="49" w:name="_Toc32924728"/>
      <w:bookmarkEnd w:id="30"/>
      <w:bookmarkEnd w:id="44"/>
      <w:bookmarkEnd w:id="45"/>
      <w:r>
        <w:t>Outcome</w:t>
      </w:r>
      <w:bookmarkEnd w:id="47"/>
      <w:bookmarkEnd w:id="48"/>
      <w:bookmarkEnd w:id="49"/>
    </w:p>
    <w:p w:rsidR="00D23139" w:rsidRPr="00D23139" w:rsidRDefault="00D23139" w:rsidP="00D23139">
      <w:bookmarkStart w:id="50" w:name="_Toc247691533"/>
      <w:bookmarkStart w:id="51" w:name="_Toc314842517"/>
      <w:r w:rsidRPr="00D23139">
        <w:t xml:space="preserve">Based on a review of quality, safety and efficacy, </w:t>
      </w:r>
      <w:r w:rsidR="00173332">
        <w:t xml:space="preserve">the </w:t>
      </w:r>
      <w:r w:rsidRPr="00D23139">
        <w:t xml:space="preserve">TGA approved the registration of </w:t>
      </w:r>
      <w:r w:rsidR="007B5663" w:rsidRPr="002011EA">
        <w:t>Cimzia (</w:t>
      </w:r>
      <w:proofErr w:type="spellStart"/>
      <w:r w:rsidR="007B5663" w:rsidRPr="002011EA">
        <w:t>certolizumab</w:t>
      </w:r>
      <w:proofErr w:type="spellEnd"/>
      <w:r w:rsidR="007B5663" w:rsidRPr="002011EA">
        <w:t xml:space="preserve"> pegol (rbe)</w:t>
      </w:r>
      <w:r w:rsidR="007B5663">
        <w:t>) solution for injection</w:t>
      </w:r>
      <w:r w:rsidRPr="00D23139">
        <w:t xml:space="preserve">, </w:t>
      </w:r>
      <w:r w:rsidR="007B5663">
        <w:t>for the following extension of indications</w:t>
      </w:r>
      <w:r w:rsidRPr="00D23139">
        <w:t>:</w:t>
      </w:r>
    </w:p>
    <w:p w:rsidR="00A01636" w:rsidRPr="00A01636" w:rsidRDefault="00A01636" w:rsidP="00A01636">
      <w:pPr>
        <w:ind w:left="720"/>
        <w:rPr>
          <w:i/>
        </w:rPr>
      </w:pPr>
      <w:r w:rsidRPr="00A01636">
        <w:rPr>
          <w:i/>
        </w:rPr>
        <w:t xml:space="preserve">Non-radiographic Axial </w:t>
      </w:r>
      <w:proofErr w:type="spellStart"/>
      <w:r w:rsidRPr="00A01636">
        <w:rPr>
          <w:i/>
        </w:rPr>
        <w:t>Spondyloarthritis</w:t>
      </w:r>
      <w:proofErr w:type="spellEnd"/>
    </w:p>
    <w:p w:rsidR="00D23139" w:rsidRPr="00A01636" w:rsidRDefault="00A01636" w:rsidP="00A01636">
      <w:pPr>
        <w:ind w:left="720"/>
        <w:rPr>
          <w:i/>
        </w:rPr>
      </w:pPr>
      <w:r w:rsidRPr="00A01636">
        <w:rPr>
          <w:i/>
        </w:rPr>
        <w:t xml:space="preserve">Cimzia is indicated for the treatment of adults with active non-radiographic axial </w:t>
      </w:r>
      <w:proofErr w:type="spellStart"/>
      <w:r w:rsidRPr="00A01636">
        <w:rPr>
          <w:i/>
        </w:rPr>
        <w:t>spondyloarthritis</w:t>
      </w:r>
      <w:proofErr w:type="spellEnd"/>
      <w:r w:rsidRPr="00A01636">
        <w:rPr>
          <w:i/>
        </w:rPr>
        <w:t xml:space="preserve"> (</w:t>
      </w:r>
      <w:proofErr w:type="spellStart"/>
      <w:r w:rsidRPr="00A01636">
        <w:rPr>
          <w:i/>
        </w:rPr>
        <w:t>nr-axSpA</w:t>
      </w:r>
      <w:proofErr w:type="spellEnd"/>
      <w:r w:rsidRPr="00A01636">
        <w:rPr>
          <w:i/>
        </w:rPr>
        <w:t>) with objective signs of inflammation as indicated by elevated C reactive protein (CRP) and/ or magnetic resonance imaging (MRI) change, who have had an inadequate response to, or are intolerant to, nonsteroidal anti-inflammatory drugs (NSAIDs).</w:t>
      </w:r>
    </w:p>
    <w:p w:rsidR="00D23139" w:rsidRDefault="00A01636" w:rsidP="00D23139">
      <w:r>
        <w:t>As such, the full indications at this time were:</w:t>
      </w:r>
    </w:p>
    <w:p w:rsidR="00A01636" w:rsidRPr="002011EA" w:rsidRDefault="00A01636" w:rsidP="002011EA">
      <w:pPr>
        <w:ind w:left="720"/>
        <w:rPr>
          <w:b/>
          <w:i/>
        </w:rPr>
      </w:pPr>
      <w:r w:rsidRPr="002011EA">
        <w:rPr>
          <w:b/>
          <w:i/>
        </w:rPr>
        <w:t>Rheumatoid arthritis</w:t>
      </w:r>
    </w:p>
    <w:p w:rsidR="00A01636" w:rsidRPr="002011EA" w:rsidRDefault="00A01636" w:rsidP="002011EA">
      <w:pPr>
        <w:ind w:left="720"/>
        <w:rPr>
          <w:i/>
        </w:rPr>
      </w:pPr>
      <w:r w:rsidRPr="002011EA">
        <w:rPr>
          <w:i/>
        </w:rPr>
        <w:t>Cimzia is indicated for the treatment of moderate to severe acti</w:t>
      </w:r>
      <w:r w:rsidR="002011EA" w:rsidRPr="002011EA">
        <w:rPr>
          <w:i/>
        </w:rPr>
        <w:t xml:space="preserve">ve rheumatoid arthritis (RA) in </w:t>
      </w:r>
      <w:r w:rsidRPr="002011EA">
        <w:rPr>
          <w:i/>
        </w:rPr>
        <w:t>adult patients.</w:t>
      </w:r>
    </w:p>
    <w:p w:rsidR="00A01636" w:rsidRPr="002011EA" w:rsidRDefault="00A01636" w:rsidP="002011EA">
      <w:pPr>
        <w:pStyle w:val="ListBullet"/>
        <w:ind w:left="1080"/>
        <w:rPr>
          <w:i/>
        </w:rPr>
      </w:pPr>
      <w:r w:rsidRPr="002011EA">
        <w:rPr>
          <w:i/>
        </w:rPr>
        <w:t>Combined with MTX in case of either an inadequate resp</w:t>
      </w:r>
      <w:r w:rsidR="002011EA" w:rsidRPr="002011EA">
        <w:rPr>
          <w:i/>
        </w:rPr>
        <w:t xml:space="preserve">onse or intolerance to previous </w:t>
      </w:r>
      <w:r w:rsidRPr="002011EA">
        <w:rPr>
          <w:i/>
        </w:rPr>
        <w:t xml:space="preserve">therapy with one or more disease modifying </w:t>
      </w:r>
      <w:proofErr w:type="spellStart"/>
      <w:r w:rsidRPr="002011EA">
        <w:rPr>
          <w:i/>
        </w:rPr>
        <w:t>antirheumatic</w:t>
      </w:r>
      <w:proofErr w:type="spellEnd"/>
      <w:r w:rsidRPr="002011EA">
        <w:rPr>
          <w:i/>
        </w:rPr>
        <w:t xml:space="preserve"> drugs (DMARDs) or</w:t>
      </w:r>
    </w:p>
    <w:p w:rsidR="00A01636" w:rsidRPr="002011EA" w:rsidRDefault="00A01636" w:rsidP="002011EA">
      <w:pPr>
        <w:pStyle w:val="ListBullet"/>
        <w:ind w:left="1080"/>
        <w:rPr>
          <w:i/>
        </w:rPr>
      </w:pPr>
      <w:r w:rsidRPr="002011EA">
        <w:rPr>
          <w:i/>
        </w:rPr>
        <w:t>As monotherapy in case of a contraindication or into</w:t>
      </w:r>
      <w:r w:rsidR="002011EA" w:rsidRPr="002011EA">
        <w:rPr>
          <w:i/>
        </w:rPr>
        <w:t xml:space="preserve">lerance to MTX (see Section 4.2 </w:t>
      </w:r>
      <w:r w:rsidRPr="002011EA">
        <w:rPr>
          <w:i/>
        </w:rPr>
        <w:t>Dose and Method of Administration).</w:t>
      </w:r>
    </w:p>
    <w:p w:rsidR="00A01636" w:rsidRPr="002011EA" w:rsidRDefault="00A01636" w:rsidP="002011EA">
      <w:pPr>
        <w:ind w:left="720"/>
        <w:rPr>
          <w:i/>
        </w:rPr>
      </w:pPr>
      <w:r w:rsidRPr="002011EA">
        <w:rPr>
          <w:i/>
        </w:rPr>
        <w:t>Cimzia has been shown to reduce the rate of progression of joi</w:t>
      </w:r>
      <w:r w:rsidR="002011EA" w:rsidRPr="002011EA">
        <w:rPr>
          <w:i/>
        </w:rPr>
        <w:t xml:space="preserve">nt damage as measured by X-ray, </w:t>
      </w:r>
      <w:r w:rsidRPr="002011EA">
        <w:rPr>
          <w:i/>
        </w:rPr>
        <w:t>when given in combination with MTX.</w:t>
      </w:r>
    </w:p>
    <w:p w:rsidR="00A01636" w:rsidRPr="002011EA" w:rsidRDefault="00A01636" w:rsidP="002011EA">
      <w:pPr>
        <w:ind w:left="720"/>
        <w:rPr>
          <w:i/>
        </w:rPr>
      </w:pPr>
      <w:r w:rsidRPr="002011EA">
        <w:rPr>
          <w:i/>
        </w:rPr>
        <w:t>Cimzia in combination with MTX is indicated for the treatment of</w:t>
      </w:r>
      <w:r w:rsidR="002011EA" w:rsidRPr="002011EA">
        <w:rPr>
          <w:i/>
        </w:rPr>
        <w:t xml:space="preserve"> severe, active and progressive </w:t>
      </w:r>
      <w:r w:rsidRPr="002011EA">
        <w:rPr>
          <w:i/>
        </w:rPr>
        <w:t>rheumatoid arthritis in adults not previously treated with MTX or other DMARDs.</w:t>
      </w:r>
    </w:p>
    <w:p w:rsidR="00A01636" w:rsidRPr="002011EA" w:rsidRDefault="00A01636" w:rsidP="002011EA">
      <w:pPr>
        <w:ind w:left="720"/>
        <w:rPr>
          <w:b/>
          <w:i/>
        </w:rPr>
      </w:pPr>
      <w:r w:rsidRPr="002011EA">
        <w:rPr>
          <w:b/>
          <w:i/>
        </w:rPr>
        <w:t>Psoriatic arthritis</w:t>
      </w:r>
    </w:p>
    <w:p w:rsidR="00A01636" w:rsidRPr="002011EA" w:rsidRDefault="00A01636" w:rsidP="002011EA">
      <w:pPr>
        <w:ind w:left="720"/>
        <w:rPr>
          <w:i/>
        </w:rPr>
      </w:pPr>
      <w:r w:rsidRPr="002011EA">
        <w:rPr>
          <w:i/>
        </w:rPr>
        <w:t>Cimzia is indicated for the treatment of adult patients with act</w:t>
      </w:r>
      <w:r w:rsidR="002011EA" w:rsidRPr="002011EA">
        <w:rPr>
          <w:i/>
        </w:rPr>
        <w:t xml:space="preserve">ive psoriatic arthritis where </w:t>
      </w:r>
      <w:r w:rsidRPr="002011EA">
        <w:rPr>
          <w:i/>
        </w:rPr>
        <w:t xml:space="preserve">response to previous disease modifying </w:t>
      </w:r>
      <w:proofErr w:type="spellStart"/>
      <w:r w:rsidRPr="002011EA">
        <w:rPr>
          <w:i/>
        </w:rPr>
        <w:t>antirheumatic</w:t>
      </w:r>
      <w:proofErr w:type="spellEnd"/>
      <w:r w:rsidR="002011EA" w:rsidRPr="002011EA">
        <w:rPr>
          <w:i/>
        </w:rPr>
        <w:t xml:space="preserve"> drug therapy (DMARDs) has been </w:t>
      </w:r>
      <w:r w:rsidRPr="002011EA">
        <w:rPr>
          <w:i/>
        </w:rPr>
        <w:t>inadequate. Cimzia has been shown to improve physical function.</w:t>
      </w:r>
    </w:p>
    <w:p w:rsidR="00A01636" w:rsidRPr="002011EA" w:rsidRDefault="00A01636" w:rsidP="002011EA">
      <w:pPr>
        <w:ind w:left="720"/>
        <w:rPr>
          <w:b/>
          <w:i/>
        </w:rPr>
      </w:pPr>
      <w:r w:rsidRPr="002011EA">
        <w:rPr>
          <w:b/>
          <w:i/>
        </w:rPr>
        <w:t>Ankylosing spondylitis</w:t>
      </w:r>
    </w:p>
    <w:p w:rsidR="00A01636" w:rsidRPr="002011EA" w:rsidRDefault="00A01636" w:rsidP="002011EA">
      <w:pPr>
        <w:ind w:left="720"/>
        <w:rPr>
          <w:i/>
        </w:rPr>
      </w:pPr>
      <w:r w:rsidRPr="002011EA">
        <w:rPr>
          <w:i/>
        </w:rPr>
        <w:t>Cimzia is indicated for the treatment of adult patients with act</w:t>
      </w:r>
      <w:r w:rsidR="002011EA" w:rsidRPr="002011EA">
        <w:rPr>
          <w:i/>
        </w:rPr>
        <w:t xml:space="preserve">ive, ankylosing spondylitis who </w:t>
      </w:r>
      <w:r w:rsidRPr="002011EA">
        <w:rPr>
          <w:i/>
        </w:rPr>
        <w:t>have been intolerant to or have had inadequate response to at least on</w:t>
      </w:r>
      <w:r w:rsidR="002011EA" w:rsidRPr="002011EA">
        <w:rPr>
          <w:i/>
        </w:rPr>
        <w:t xml:space="preserve">e nonsteroidal anti-inflammatory </w:t>
      </w:r>
      <w:r w:rsidRPr="002011EA">
        <w:rPr>
          <w:i/>
        </w:rPr>
        <w:t>drug (NSAID).</w:t>
      </w:r>
    </w:p>
    <w:p w:rsidR="00A01636" w:rsidRPr="002011EA" w:rsidRDefault="00A01636" w:rsidP="002011EA">
      <w:pPr>
        <w:ind w:left="720"/>
        <w:rPr>
          <w:b/>
          <w:i/>
        </w:rPr>
      </w:pPr>
      <w:r w:rsidRPr="002011EA">
        <w:rPr>
          <w:b/>
          <w:i/>
        </w:rPr>
        <w:t xml:space="preserve">Non-radiographic Axial </w:t>
      </w:r>
      <w:proofErr w:type="spellStart"/>
      <w:r w:rsidRPr="002011EA">
        <w:rPr>
          <w:b/>
          <w:i/>
        </w:rPr>
        <w:t>Spondyloarthritis</w:t>
      </w:r>
      <w:proofErr w:type="spellEnd"/>
    </w:p>
    <w:p w:rsidR="00A01636" w:rsidRPr="002011EA" w:rsidRDefault="00A01636" w:rsidP="002011EA">
      <w:pPr>
        <w:ind w:left="720"/>
        <w:rPr>
          <w:i/>
        </w:rPr>
      </w:pPr>
      <w:r w:rsidRPr="002011EA">
        <w:rPr>
          <w:i/>
        </w:rPr>
        <w:t>Cimzia is indicated for the treatment of adults wit</w:t>
      </w:r>
      <w:r w:rsidR="002011EA" w:rsidRPr="002011EA">
        <w:rPr>
          <w:i/>
        </w:rPr>
        <w:t xml:space="preserve">h active non-radiographic axial </w:t>
      </w:r>
      <w:proofErr w:type="spellStart"/>
      <w:r w:rsidRPr="002011EA">
        <w:rPr>
          <w:i/>
        </w:rPr>
        <w:t>spondyloarthritis</w:t>
      </w:r>
      <w:proofErr w:type="spellEnd"/>
      <w:r w:rsidRPr="002011EA">
        <w:rPr>
          <w:i/>
        </w:rPr>
        <w:t xml:space="preserve"> (</w:t>
      </w:r>
      <w:proofErr w:type="spellStart"/>
      <w:r w:rsidRPr="002011EA">
        <w:rPr>
          <w:i/>
        </w:rPr>
        <w:t>nr-axSpA</w:t>
      </w:r>
      <w:proofErr w:type="spellEnd"/>
      <w:r w:rsidRPr="002011EA">
        <w:rPr>
          <w:i/>
        </w:rPr>
        <w:t>) with objective signs of inflamma</w:t>
      </w:r>
      <w:r w:rsidR="002011EA" w:rsidRPr="002011EA">
        <w:rPr>
          <w:i/>
        </w:rPr>
        <w:t xml:space="preserve">tion as indicated by elevated C </w:t>
      </w:r>
      <w:r w:rsidRPr="002011EA">
        <w:rPr>
          <w:i/>
        </w:rPr>
        <w:t>reactive protein (CRP) and/ or magnetic resonance imagin</w:t>
      </w:r>
      <w:r w:rsidR="002011EA" w:rsidRPr="002011EA">
        <w:rPr>
          <w:i/>
        </w:rPr>
        <w:t xml:space="preserve">g (MRI) change, who have had an </w:t>
      </w:r>
      <w:r w:rsidRPr="002011EA">
        <w:rPr>
          <w:i/>
        </w:rPr>
        <w:t>inadequate response to, or are intolerant to, nonsteroidal anti-inflammatory drugs (NSAIDs).</w:t>
      </w:r>
    </w:p>
    <w:p w:rsidR="00A01636" w:rsidRPr="002011EA" w:rsidRDefault="00A01636" w:rsidP="002011EA">
      <w:pPr>
        <w:ind w:left="720"/>
        <w:rPr>
          <w:b/>
          <w:i/>
        </w:rPr>
      </w:pPr>
      <w:r w:rsidRPr="002011EA">
        <w:rPr>
          <w:b/>
          <w:i/>
        </w:rPr>
        <w:t>Plaque psoriasis</w:t>
      </w:r>
    </w:p>
    <w:p w:rsidR="00A01636" w:rsidRPr="002011EA" w:rsidRDefault="00A01636" w:rsidP="002011EA">
      <w:pPr>
        <w:ind w:left="720"/>
        <w:rPr>
          <w:i/>
        </w:rPr>
      </w:pPr>
      <w:r w:rsidRPr="002011EA">
        <w:rPr>
          <w:i/>
        </w:rPr>
        <w:lastRenderedPageBreak/>
        <w:t>Cimzia is indicated for the treatment of adult patients with mo</w:t>
      </w:r>
      <w:r w:rsidR="002011EA" w:rsidRPr="002011EA">
        <w:rPr>
          <w:i/>
        </w:rPr>
        <w:t xml:space="preserve">derate to severe chronic plaque </w:t>
      </w:r>
      <w:r w:rsidRPr="002011EA">
        <w:rPr>
          <w:i/>
        </w:rPr>
        <w:t>psoriasis who are candidates for systemic therapy o</w:t>
      </w:r>
      <w:r w:rsidR="002011EA" w:rsidRPr="002011EA">
        <w:rPr>
          <w:i/>
        </w:rPr>
        <w:t>r phototherapy.</w:t>
      </w:r>
    </w:p>
    <w:p w:rsidR="00D23139" w:rsidRPr="00D23139" w:rsidRDefault="00D23139" w:rsidP="00D23139">
      <w:pPr>
        <w:pStyle w:val="Heading4"/>
      </w:pPr>
      <w:r w:rsidRPr="00D23139">
        <w:t>Specific conditions of registration applying to these goods</w:t>
      </w:r>
    </w:p>
    <w:p w:rsidR="009752A5" w:rsidRDefault="002011EA" w:rsidP="002011EA">
      <w:pPr>
        <w:pStyle w:val="ListBullet"/>
      </w:pPr>
      <w:r>
        <w:t>This approval does not impose any requirement for the submis</w:t>
      </w:r>
      <w:r w:rsidR="00310C12">
        <w:t>sion of Periodic Safety Update R</w:t>
      </w:r>
      <w:r>
        <w:t>eports</w:t>
      </w:r>
      <w:r w:rsidR="00310C12">
        <w:t xml:space="preserve"> (PSURs)</w:t>
      </w:r>
      <w:r>
        <w:t>. You should note that it is a requirement that all existing requirements for the submission of PSURs as a consequence of the initial registration or subsequent changes must be completed.</w:t>
      </w:r>
    </w:p>
    <w:p w:rsidR="002011EA" w:rsidRDefault="002011EA" w:rsidP="002011EA">
      <w:pPr>
        <w:pStyle w:val="ListBullet"/>
      </w:pPr>
      <w:r>
        <w:t>The following study report must be submitted to the TGA as soon as possible after completion, for evaluation as a Category 1 submission:</w:t>
      </w:r>
    </w:p>
    <w:p w:rsidR="002011EA" w:rsidRDefault="002011EA" w:rsidP="002011EA">
      <w:pPr>
        <w:pStyle w:val="ListBullet2"/>
      </w:pPr>
      <w:r>
        <w:t>The final study report for Study AS0006.</w:t>
      </w:r>
    </w:p>
    <w:p w:rsidR="002011EA" w:rsidRDefault="002011EA" w:rsidP="002011EA">
      <w:pPr>
        <w:pStyle w:val="ListBullet"/>
      </w:pPr>
      <w:r>
        <w:t>For all injectable products the Product Information must be included with the product as a package insert.</w:t>
      </w:r>
    </w:p>
    <w:p w:rsidR="008E7846" w:rsidRDefault="00A80B5B" w:rsidP="00D23139">
      <w:pPr>
        <w:pStyle w:val="Heading2"/>
      </w:pPr>
      <w:bookmarkStart w:id="52" w:name="_Toc32924729"/>
      <w:r>
        <w:t xml:space="preserve">Attachment 1. </w:t>
      </w:r>
      <w:r w:rsidR="008E7846">
        <w:t xml:space="preserve">Product </w:t>
      </w:r>
      <w:r w:rsidR="00AA0ED0">
        <w:t>I</w:t>
      </w:r>
      <w:r w:rsidR="008E7846">
        <w:t>nformation</w:t>
      </w:r>
      <w:bookmarkEnd w:id="50"/>
      <w:bookmarkEnd w:id="51"/>
      <w:bookmarkEnd w:id="52"/>
    </w:p>
    <w:p w:rsidR="00770CAC" w:rsidRPr="007B5663" w:rsidRDefault="006136D7" w:rsidP="007B5663">
      <w:pPr>
        <w:rPr>
          <w:color w:val="000000"/>
          <w:lang w:eastAsia="en-AU"/>
        </w:rPr>
      </w:pPr>
      <w:r w:rsidRPr="002B3624">
        <w:t xml:space="preserve">The </w:t>
      </w:r>
      <w:r>
        <w:t>PI</w:t>
      </w:r>
      <w:r w:rsidRPr="002B3624">
        <w:t xml:space="preserve"> for </w:t>
      </w:r>
      <w:r w:rsidR="007B5663">
        <w:t>Cimzia</w:t>
      </w:r>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7" w:history="1">
        <w:r w:rsidR="007C6B9B" w:rsidRPr="007C6B9B">
          <w:rPr>
            <w:rStyle w:val="Hyperlink"/>
          </w:rPr>
          <w:t>https://www.tga.gov.au/product-information-pi</w:t>
        </w:r>
      </w:hyperlink>
      <w:r w:rsidR="007B5663">
        <w:t>&gt;.</w:t>
      </w:r>
    </w:p>
    <w:p w:rsidR="00291957" w:rsidRDefault="00291957" w:rsidP="00291957">
      <w:pPr>
        <w:rPr>
          <w:lang w:eastAsia="ja-JP"/>
        </w:rPr>
      </w:pPr>
    </w:p>
    <w:p w:rsidR="00C80137" w:rsidRPr="001D043B" w:rsidRDefault="00C80137" w:rsidP="003A7F6C">
      <w:pPr>
        <w:pStyle w:val="TableTitle"/>
        <w:sectPr w:rsidR="00C80137" w:rsidRPr="001D043B"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2" w:history="1">
              <w:r w:rsidRPr="004C239D">
                <w:rPr>
                  <w:rStyle w:val="Hyperlink"/>
                </w:rPr>
                <w:t>info@tga.gov.au</w:t>
              </w:r>
            </w:hyperlink>
            <w:r w:rsidRPr="00487162">
              <w:t xml:space="preserve">  Phone: 1800 020 653  Fax: 02 6232 8605</w:t>
            </w:r>
          </w:p>
          <w:p w:rsidR="001C32CD" w:rsidRPr="004C239D" w:rsidRDefault="003B5CAA" w:rsidP="00A05FA4">
            <w:pPr>
              <w:pStyle w:val="Address"/>
              <w:spacing w:line="260" w:lineRule="atLeast"/>
              <w:rPr>
                <w:b/>
                <w:color w:val="0000FF"/>
                <w:u w:val="single"/>
              </w:rPr>
            </w:pPr>
            <w:hyperlink r:id="rId23"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FFB" w:rsidRDefault="004A0FFB" w:rsidP="00C40A36">
      <w:pPr>
        <w:spacing w:after="0"/>
      </w:pPr>
      <w:r>
        <w:separator/>
      </w:r>
    </w:p>
  </w:endnote>
  <w:endnote w:type="continuationSeparator" w:id="0">
    <w:p w:rsidR="004A0FFB" w:rsidRDefault="004A0FF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8070000" w:usb2="00000010" w:usb3="00000000" w:csb0="00020001" w:csb1="00000000"/>
  </w:font>
  <w:font w:name="SymbolMT">
    <w:altName w:val="Arial Unicode MS"/>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8070000" w:usb2="00000010" w:usb3="00000000" w:csb0="0002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5BF" w:rsidRDefault="00601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4A0FFB" w:rsidRPr="00487162" w:rsidTr="00DB750B">
      <w:trPr>
        <w:trHeight w:val="269"/>
      </w:trPr>
      <w:tc>
        <w:tcPr>
          <w:tcW w:w="7371" w:type="dxa"/>
          <w:tcMar>
            <w:top w:w="142" w:type="dxa"/>
            <w:bottom w:w="0" w:type="dxa"/>
          </w:tcMar>
        </w:tcPr>
        <w:p w:rsidR="004A0FFB" w:rsidRPr="00487162" w:rsidRDefault="004A0FFB" w:rsidP="00415AC1">
          <w:pPr>
            <w:pStyle w:val="Footer"/>
          </w:pPr>
          <w:r w:rsidRPr="00487162">
            <w:t>AusPA</w:t>
          </w:r>
          <w:r>
            <w:t xml:space="preserve">R - </w:t>
          </w:r>
          <w:r w:rsidRPr="00AA0DEE">
            <w:t>CIMZIA - Certolizumab pegol - UCB Australia Pty Ltd - PM-2018-04256-1-3</w:t>
          </w:r>
          <w:r>
            <w:br/>
          </w:r>
          <w:r w:rsidR="00415AC1">
            <w:t xml:space="preserve">FINAL 13 February </w:t>
          </w:r>
          <w:r>
            <w:t>2020</w:t>
          </w:r>
        </w:p>
      </w:tc>
      <w:tc>
        <w:tcPr>
          <w:tcW w:w="1490" w:type="dxa"/>
          <w:tcMar>
            <w:top w:w="142" w:type="dxa"/>
            <w:bottom w:w="0" w:type="dxa"/>
          </w:tcMar>
        </w:tcPr>
        <w:p w:rsidR="004A0FFB" w:rsidRPr="00487162" w:rsidRDefault="004A0FFB" w:rsidP="00DB750B">
          <w:pPr>
            <w:pStyle w:val="Footer"/>
            <w:jc w:val="right"/>
          </w:pPr>
          <w:r w:rsidRPr="00487162">
            <w:t xml:space="preserve">Page </w:t>
          </w:r>
          <w:r>
            <w:fldChar w:fldCharType="begin"/>
          </w:r>
          <w:r>
            <w:instrText xml:space="preserve"> PAGE  \* Arabic </w:instrText>
          </w:r>
          <w:r>
            <w:fldChar w:fldCharType="separate"/>
          </w:r>
          <w:r w:rsidR="003B5CAA">
            <w:rPr>
              <w:noProof/>
            </w:rPr>
            <w:t>18</w:t>
          </w:r>
          <w:r>
            <w:fldChar w:fldCharType="end"/>
          </w:r>
          <w:r w:rsidRPr="00487162">
            <w:t xml:space="preserve"> of </w:t>
          </w:r>
          <w:fldSimple w:instr=" NUMPAGES  \* Arabic ">
            <w:r w:rsidR="003B5CAA">
              <w:rPr>
                <w:noProof/>
              </w:rPr>
              <w:t>19</w:t>
            </w:r>
          </w:fldSimple>
        </w:p>
      </w:tc>
    </w:tr>
  </w:tbl>
  <w:p w:rsidR="004A0FFB" w:rsidRDefault="004A0FFB"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5BF" w:rsidRDefault="006015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4A0FFB" w:rsidRPr="00487162" w:rsidTr="00E45619">
      <w:trPr>
        <w:trHeight w:val="269"/>
      </w:trPr>
      <w:tc>
        <w:tcPr>
          <w:tcW w:w="4519" w:type="dxa"/>
          <w:tcBorders>
            <w:top w:val="single" w:sz="4" w:space="0" w:color="auto"/>
          </w:tcBorders>
          <w:tcMar>
            <w:top w:w="142" w:type="dxa"/>
            <w:bottom w:w="0" w:type="dxa"/>
          </w:tcMar>
        </w:tcPr>
        <w:p w:rsidR="004A0FFB" w:rsidRPr="00487162" w:rsidRDefault="004A0FFB" w:rsidP="00FE1DEE">
          <w:pPr>
            <w:pStyle w:val="Footer"/>
          </w:pPr>
          <w:r w:rsidRPr="00487162">
            <w:t>Document title, Part #, Section # - Section title</w:t>
          </w:r>
        </w:p>
        <w:p w:rsidR="004A0FFB" w:rsidRPr="00487162" w:rsidRDefault="004A0FFB" w:rsidP="00FE1DEE">
          <w:pPr>
            <w:pStyle w:val="Footer"/>
          </w:pPr>
          <w:r w:rsidRPr="00487162">
            <w:t>V1.0 October 2010</w:t>
          </w:r>
        </w:p>
      </w:tc>
      <w:tc>
        <w:tcPr>
          <w:tcW w:w="4342" w:type="dxa"/>
          <w:tcBorders>
            <w:top w:val="single" w:sz="4" w:space="0" w:color="auto"/>
          </w:tcBorders>
          <w:tcMar>
            <w:top w:w="142" w:type="dxa"/>
            <w:bottom w:w="0" w:type="dxa"/>
          </w:tcMar>
        </w:tcPr>
        <w:p w:rsidR="004A0FFB" w:rsidRPr="00487162" w:rsidRDefault="004A0FFB"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rsidR="004A0FFB" w:rsidRDefault="004A0F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FB" w:rsidRPr="001C32CD" w:rsidRDefault="004A0FFB"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4A0FFB" w:rsidTr="0010601F">
      <w:trPr>
        <w:trHeight w:val="108"/>
      </w:trPr>
      <w:tc>
        <w:tcPr>
          <w:tcW w:w="8875" w:type="dxa"/>
          <w:gridSpan w:val="2"/>
          <w:tcBorders>
            <w:bottom w:val="single" w:sz="4" w:space="0" w:color="auto"/>
          </w:tcBorders>
          <w:tcMar>
            <w:right w:w="284" w:type="dxa"/>
          </w:tcMar>
        </w:tcPr>
        <w:p w:rsidR="004A0FFB" w:rsidRDefault="004A0FFB" w:rsidP="006E08B3">
          <w:pPr>
            <w:pStyle w:val="Heading3"/>
          </w:pPr>
          <w:r>
            <w:t>Copyright</w:t>
          </w:r>
        </w:p>
        <w:p w:rsidR="004A0FFB" w:rsidRDefault="004A0FFB" w:rsidP="006E08B3">
          <w:r>
            <w:rPr>
              <w:rFonts w:cs="Arial"/>
            </w:rPr>
            <w:t>©</w:t>
          </w:r>
          <w:r>
            <w:t xml:space="preserve"> Commonwealth of Australia [add year]</w:t>
          </w:r>
        </w:p>
        <w:p w:rsidR="004A0FFB" w:rsidRDefault="004A0FFB" w:rsidP="006E08B3"/>
        <w:p w:rsidR="004A0FFB" w:rsidRDefault="004A0FFB"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4A0FFB" w:rsidRDefault="004A0FFB" w:rsidP="006E08B3"/>
        <w:p w:rsidR="004A0FFB" w:rsidRDefault="004A0FFB" w:rsidP="006E08B3">
          <w:pPr>
            <w:pStyle w:val="Heading3"/>
          </w:pPr>
          <w:r>
            <w:t>Confidentiality</w:t>
          </w:r>
        </w:p>
        <w:p w:rsidR="004A0FFB" w:rsidRDefault="004A0FFB"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4A0FFB" w:rsidRDefault="004A0FFB" w:rsidP="006E08B3"/>
        <w:p w:rsidR="004A0FFB" w:rsidRDefault="004A0FFB" w:rsidP="006E08B3">
          <w:r>
            <w:t>For submission made by individuals, all personal details, other than your name, will be removed from your submission before it is published on the TGA’s Internet site.</w:t>
          </w:r>
        </w:p>
        <w:p w:rsidR="004A0FFB" w:rsidRDefault="004A0FFB" w:rsidP="006E08B3"/>
        <w:p w:rsidR="004A0FFB" w:rsidRDefault="004A0FFB"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4A0FFB" w:rsidTr="0010601F">
      <w:trPr>
        <w:trHeight w:val="417"/>
      </w:trPr>
      <w:tc>
        <w:tcPr>
          <w:tcW w:w="4519" w:type="dxa"/>
          <w:tcBorders>
            <w:top w:val="single" w:sz="4" w:space="0" w:color="auto"/>
          </w:tcBorders>
          <w:tcMar>
            <w:top w:w="142" w:type="dxa"/>
            <w:bottom w:w="0" w:type="dxa"/>
          </w:tcMar>
        </w:tcPr>
        <w:p w:rsidR="004A0FFB" w:rsidRDefault="004A0FFB" w:rsidP="006E08B3">
          <w:r>
            <w:t>Document title, Part #, Section # - Section title</w:t>
          </w:r>
        </w:p>
        <w:p w:rsidR="004A0FFB" w:rsidRDefault="004A0FFB" w:rsidP="006E08B3">
          <w:r>
            <w:t>V1.0 October 2010</w:t>
          </w:r>
        </w:p>
      </w:tc>
      <w:tc>
        <w:tcPr>
          <w:tcW w:w="4356" w:type="dxa"/>
          <w:tcBorders>
            <w:top w:val="single" w:sz="4" w:space="0" w:color="auto"/>
          </w:tcBorders>
          <w:tcMar>
            <w:top w:w="142" w:type="dxa"/>
            <w:bottom w:w="0" w:type="dxa"/>
          </w:tcMar>
        </w:tcPr>
        <w:p w:rsidR="004A0FFB" w:rsidRDefault="004A0FFB"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rsidR="004A0FFB" w:rsidRDefault="004A0FF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FFB" w:rsidRDefault="004A0FFB" w:rsidP="00C40A36">
      <w:pPr>
        <w:spacing w:after="0"/>
      </w:pPr>
      <w:r>
        <w:separator/>
      </w:r>
    </w:p>
  </w:footnote>
  <w:footnote w:type="continuationSeparator" w:id="0">
    <w:p w:rsidR="004A0FFB" w:rsidRDefault="004A0FFB" w:rsidP="00C40A36">
      <w:pPr>
        <w:spacing w:after="0"/>
      </w:pPr>
      <w:r>
        <w:continuationSeparator/>
      </w:r>
    </w:p>
  </w:footnote>
  <w:footnote w:id="1">
    <w:p w:rsidR="009111C2" w:rsidRPr="00415AC1" w:rsidRDefault="009111C2">
      <w:pPr>
        <w:pStyle w:val="FootnoteText"/>
        <w:rPr>
          <w:lang w:val="en-GB"/>
        </w:rPr>
      </w:pPr>
      <w:r>
        <w:rPr>
          <w:rStyle w:val="FootnoteReference"/>
        </w:rPr>
        <w:footnoteRef/>
      </w:r>
      <w:r>
        <w:t xml:space="preserve"> </w:t>
      </w:r>
      <w:r w:rsidRPr="009111C2">
        <w:t>The Ankylosing Spondylitis Disease Activity Score (ASDAS) is a composite index</w:t>
      </w:r>
      <w:r>
        <w:t xml:space="preserve"> to assess disease activity in ankylosing s</w:t>
      </w:r>
      <w:r w:rsidRPr="009111C2">
        <w:t>pondylitis</w:t>
      </w:r>
      <w:r>
        <w:t xml:space="preserve">. </w:t>
      </w:r>
      <w:r w:rsidRPr="009111C2">
        <w:t xml:space="preserve">3 cut-offs separate </w:t>
      </w:r>
      <w:r>
        <w:t>the degree of disease intensity</w:t>
      </w:r>
      <w:r w:rsidRPr="009111C2">
        <w:t>: &lt;</w:t>
      </w:r>
      <w:r>
        <w:t xml:space="preserve"> 1.3 between ‘inactive disease’ and ‘low disease activity’, &lt; 2.1 between ‘moderate disease activity’ and ‘high disease activity’</w:t>
      </w:r>
      <w:r w:rsidRPr="009111C2">
        <w:t>, and &gt;</w:t>
      </w:r>
      <w:r>
        <w:t xml:space="preserve"> 3.5 between ‘high disease activity’ and ‘</w:t>
      </w:r>
      <w:r w:rsidRPr="009111C2">
        <w:t>very high dise</w:t>
      </w:r>
      <w:r>
        <w:t>ase activity’. A</w:t>
      </w:r>
      <w:r w:rsidRPr="009111C2">
        <w:t xml:space="preserve"> change ≥</w:t>
      </w:r>
      <w:r>
        <w:t xml:space="preserve"> </w:t>
      </w:r>
      <w:r w:rsidR="00A91D23">
        <w:t>1.1 units defines a</w:t>
      </w:r>
      <w:r>
        <w:t xml:space="preserve"> ‘</w:t>
      </w:r>
      <w:r w:rsidRPr="009111C2">
        <w:t>c</w:t>
      </w:r>
      <w:r>
        <w:t>linically important improvement’</w:t>
      </w:r>
      <w:r w:rsidRPr="009111C2">
        <w:t xml:space="preserve"> and a change ≥</w:t>
      </w:r>
      <w:r>
        <w:t xml:space="preserve"> 2.0 units for ‘</w:t>
      </w:r>
      <w:r w:rsidRPr="009111C2">
        <w:t>major improvement</w:t>
      </w:r>
      <w:r w:rsidR="00A91D23">
        <w:t>’.</w:t>
      </w:r>
    </w:p>
  </w:footnote>
  <w:footnote w:id="2">
    <w:p w:rsidR="00A91D23" w:rsidRPr="00415AC1" w:rsidRDefault="00A91D23">
      <w:pPr>
        <w:pStyle w:val="FootnoteText"/>
        <w:rPr>
          <w:lang w:val="en-GB"/>
        </w:rPr>
      </w:pPr>
      <w:r>
        <w:rPr>
          <w:rStyle w:val="FootnoteReference"/>
        </w:rPr>
        <w:footnoteRef/>
      </w:r>
      <w:r>
        <w:t xml:space="preserve"> </w:t>
      </w:r>
      <w:r w:rsidRPr="00A91D23">
        <w:t>The</w:t>
      </w:r>
      <w:r>
        <w:t xml:space="preserve"> ASAS Response Criteria (ASAS 40</w:t>
      </w:r>
      <w:r w:rsidRPr="00A91D23">
        <w:t>) is defined</w:t>
      </w:r>
      <w:r>
        <w:t xml:space="preserve"> as an improvement of at least 4</w:t>
      </w:r>
      <w:r w:rsidRPr="00A91D23">
        <w:t xml:space="preserve">0% and an absolute improvement of at least 10 units on a </w:t>
      </w:r>
      <w:r>
        <w:t xml:space="preserve">0 to </w:t>
      </w:r>
      <w:r w:rsidRPr="00A91D23">
        <w:t>100 scale in at least three of the following domains: Patient global assessment, Pain assessment, Function (BASFI), and Inflammation (last 2 questions of BASDAI).</w:t>
      </w:r>
    </w:p>
  </w:footnote>
  <w:footnote w:id="3">
    <w:p w:rsidR="00A91D23" w:rsidRPr="00415AC1" w:rsidRDefault="00A91D23">
      <w:pPr>
        <w:pStyle w:val="FootnoteText"/>
        <w:rPr>
          <w:lang w:val="en-GB"/>
        </w:rPr>
      </w:pPr>
      <w:r>
        <w:rPr>
          <w:rStyle w:val="FootnoteReference"/>
        </w:rPr>
        <w:footnoteRef/>
      </w:r>
      <w:r>
        <w:t xml:space="preserve"> </w:t>
      </w:r>
      <w:r w:rsidRPr="00A91D23">
        <w:t>Th</w:t>
      </w:r>
      <w:r>
        <w:t>e ASAS Response Criteria 20 (ASAS 2</w:t>
      </w:r>
      <w:r w:rsidRPr="00A91D23">
        <w:t>0) is defined</w:t>
      </w:r>
      <w:r>
        <w:t xml:space="preserve"> as an improvement of at least 2</w:t>
      </w:r>
      <w:r w:rsidRPr="00A91D23">
        <w:t>0% and an absolute improvement of at least 10 units on a 0 to 100 scale in at least three of the following domains: Patient global assessment, Pain assessment, Function (BASFI), and Inflammation (last 2 questions of BASDAI).</w:t>
      </w:r>
    </w:p>
  </w:footnote>
  <w:footnote w:id="4">
    <w:p w:rsidR="004A0FFB" w:rsidRDefault="004A0FFB">
      <w:pPr>
        <w:pStyle w:val="FootnoteText"/>
      </w:pPr>
      <w:r>
        <w:rPr>
          <w:rStyle w:val="FootnoteReference"/>
        </w:rPr>
        <w:footnoteRef/>
      </w:r>
      <w:r>
        <w:t xml:space="preserve"> </w:t>
      </w:r>
      <w:proofErr w:type="spellStart"/>
      <w:r>
        <w:t>Hy’s</w:t>
      </w:r>
      <w:proofErr w:type="spellEnd"/>
      <w:r>
        <w:t xml:space="preserve"> Law: </w:t>
      </w:r>
      <w:r w:rsidRPr="004D2801">
        <w:t xml:space="preserve">alanine aminotransferase </w:t>
      </w:r>
      <w:r>
        <w:t>(ALT) &gt; 3 x upper limit of normal (ULN) and total bilirubin &gt; 2 x ULN.</w:t>
      </w:r>
    </w:p>
  </w:footnote>
  <w:footnote w:id="5">
    <w:p w:rsidR="004A0FFB" w:rsidRDefault="004A0FFB" w:rsidP="007B5663">
      <w:pPr>
        <w:pStyle w:val="FootnoteText"/>
      </w:pPr>
      <w:r>
        <w:rPr>
          <w:rStyle w:val="FootnoteReference"/>
        </w:rPr>
        <w:footnoteRef/>
      </w:r>
      <w:r>
        <w:t xml:space="preserve"> The sponsor </w:t>
      </w:r>
      <w:r w:rsidRPr="006B481F">
        <w:t>must still comply with routine product vigilance and risk minimisation requirements.</w:t>
      </w:r>
    </w:p>
  </w:footnote>
  <w:footnote w:id="6">
    <w:p w:rsidR="00173332" w:rsidRPr="00415AC1" w:rsidRDefault="00173332">
      <w:pPr>
        <w:pStyle w:val="FootnoteText"/>
        <w:rPr>
          <w:lang w:val="en-GB"/>
        </w:rPr>
      </w:pPr>
      <w:r>
        <w:rPr>
          <w:rStyle w:val="FootnoteReference"/>
        </w:rPr>
        <w:footnoteRef/>
      </w:r>
      <w:r>
        <w:t xml:space="preserve"> </w:t>
      </w:r>
      <w:r>
        <w:rPr>
          <w:lang w:val="en-GB"/>
        </w:rPr>
        <w:t>The ACPM is the precursor committee to the ACM; see footnote 7 (below) for further details.</w:t>
      </w:r>
    </w:p>
  </w:footnote>
  <w:footnote w:id="7">
    <w:p w:rsidR="004A0FFB" w:rsidRDefault="004A0FFB"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rsidR="004A0FFB" w:rsidRPr="00456765" w:rsidRDefault="004A0FFB"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5BF" w:rsidRDefault="00601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FB" w:rsidRDefault="004A0FFB"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FB" w:rsidRDefault="004A0FFB">
    <w:pPr>
      <w:rPr>
        <w:noProof/>
        <w:lang w:eastAsia="en-AU"/>
      </w:rPr>
    </w:pPr>
    <w:r w:rsidRPr="00347824">
      <w:rPr>
        <w:noProof/>
        <w:lang w:eastAsia="en-AU"/>
      </w:rPr>
      <w:drawing>
        <wp:anchor distT="0" distB="0" distL="114300" distR="114300" simplePos="0" relativeHeight="251659264" behindDoc="1" locked="0" layoutInCell="1" allowOverlap="1" wp14:anchorId="7ED9F9D0" wp14:editId="0B51929B">
          <wp:simplePos x="0" y="0"/>
          <wp:positionH relativeFrom="column">
            <wp:posOffset>-1089660</wp:posOffset>
          </wp:positionH>
          <wp:positionV relativeFrom="paragraph">
            <wp:posOffset>-585470</wp:posOffset>
          </wp:positionV>
          <wp:extent cx="7572375" cy="10706100"/>
          <wp:effectExtent l="19050" t="0" r="0" b="0"/>
          <wp:wrapNone/>
          <wp:docPr id="9"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4A0FFB" w:rsidRDefault="004A0FFB" w:rsidP="00593AD1">
    <w:pPr>
      <w:pStyle w:val="HeaderNoLine"/>
    </w:pPr>
    <w:r>
      <w:rPr>
        <w:noProof/>
        <w:lang w:eastAsia="en-AU"/>
      </w:rPr>
      <w:drawing>
        <wp:inline distT="0" distB="0" distL="0" distR="0" wp14:anchorId="53720951" wp14:editId="58DC4D6E">
          <wp:extent cx="5400675" cy="7639050"/>
          <wp:effectExtent l="0" t="0" r="9525" b="0"/>
          <wp:docPr id="10" name="Picture 10"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FB" w:rsidRDefault="004A0F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FB" w:rsidRDefault="004A0FFB">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FB" w:rsidRDefault="004A0FFB">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FB" w:rsidRDefault="004A0F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FB" w:rsidRDefault="004A0FFB"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FFB" w:rsidRDefault="004A0FFB" w:rsidP="006E08B3">
    <w:r>
      <w:t>Therapeutic Goods Administration</w:t>
    </w:r>
  </w:p>
  <w:p w:rsidR="004A0FFB" w:rsidRDefault="004A0FFB"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686C8FB0"/>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9C916D7"/>
    <w:multiLevelType w:val="hybridMultilevel"/>
    <w:tmpl w:val="61404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FF47B3"/>
    <w:multiLevelType w:val="hybridMultilevel"/>
    <w:tmpl w:val="4A5AF5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3D6836"/>
    <w:multiLevelType w:val="hybridMultilevel"/>
    <w:tmpl w:val="42E84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8"/>
  </w:num>
  <w:num w:numId="28">
    <w:abstractNumId w:val="10"/>
  </w:num>
  <w:num w:numId="29">
    <w:abstractNumId w:val="6"/>
  </w:num>
  <w:num w:numId="30">
    <w:abstractNumId w:val="9"/>
  </w:num>
  <w:num w:numId="31">
    <w:abstractNumId w:val="7"/>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52"/>
    <w:rsid w:val="00002031"/>
    <w:rsid w:val="00004734"/>
    <w:rsid w:val="00006B22"/>
    <w:rsid w:val="0001276A"/>
    <w:rsid w:val="000246AE"/>
    <w:rsid w:val="00025C67"/>
    <w:rsid w:val="00027F02"/>
    <w:rsid w:val="00044772"/>
    <w:rsid w:val="0004541C"/>
    <w:rsid w:val="0005559E"/>
    <w:rsid w:val="000604D6"/>
    <w:rsid w:val="00070D95"/>
    <w:rsid w:val="000734D8"/>
    <w:rsid w:val="00077775"/>
    <w:rsid w:val="00090471"/>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516B1"/>
    <w:rsid w:val="001540CA"/>
    <w:rsid w:val="00154EBB"/>
    <w:rsid w:val="00156316"/>
    <w:rsid w:val="00161181"/>
    <w:rsid w:val="00162D14"/>
    <w:rsid w:val="00163780"/>
    <w:rsid w:val="00165389"/>
    <w:rsid w:val="00173332"/>
    <w:rsid w:val="0017693F"/>
    <w:rsid w:val="0018110E"/>
    <w:rsid w:val="00181684"/>
    <w:rsid w:val="001843C6"/>
    <w:rsid w:val="001850E0"/>
    <w:rsid w:val="001A03AF"/>
    <w:rsid w:val="001A2158"/>
    <w:rsid w:val="001A525F"/>
    <w:rsid w:val="001B09F9"/>
    <w:rsid w:val="001B5C90"/>
    <w:rsid w:val="001B6448"/>
    <w:rsid w:val="001C32CD"/>
    <w:rsid w:val="001D2984"/>
    <w:rsid w:val="001E07CF"/>
    <w:rsid w:val="001E59F1"/>
    <w:rsid w:val="001F2CEE"/>
    <w:rsid w:val="001F49EB"/>
    <w:rsid w:val="001F6CBA"/>
    <w:rsid w:val="002011EA"/>
    <w:rsid w:val="00201D4E"/>
    <w:rsid w:val="002076C9"/>
    <w:rsid w:val="00220B8A"/>
    <w:rsid w:val="002257F3"/>
    <w:rsid w:val="00233456"/>
    <w:rsid w:val="002339A5"/>
    <w:rsid w:val="00257848"/>
    <w:rsid w:val="002578E8"/>
    <w:rsid w:val="0027084A"/>
    <w:rsid w:val="00280265"/>
    <w:rsid w:val="00286434"/>
    <w:rsid w:val="00286C59"/>
    <w:rsid w:val="00291957"/>
    <w:rsid w:val="002942D1"/>
    <w:rsid w:val="0029501A"/>
    <w:rsid w:val="002A3721"/>
    <w:rsid w:val="002B1638"/>
    <w:rsid w:val="002B3624"/>
    <w:rsid w:val="002D0952"/>
    <w:rsid w:val="002E40B3"/>
    <w:rsid w:val="002E4C9A"/>
    <w:rsid w:val="002F11F8"/>
    <w:rsid w:val="002F3F56"/>
    <w:rsid w:val="002F44B5"/>
    <w:rsid w:val="002F5122"/>
    <w:rsid w:val="00310C12"/>
    <w:rsid w:val="00311AC0"/>
    <w:rsid w:val="00311DAF"/>
    <w:rsid w:val="003176FC"/>
    <w:rsid w:val="0032583B"/>
    <w:rsid w:val="00327883"/>
    <w:rsid w:val="00335504"/>
    <w:rsid w:val="00340C18"/>
    <w:rsid w:val="003442FD"/>
    <w:rsid w:val="00347824"/>
    <w:rsid w:val="00350567"/>
    <w:rsid w:val="003521E8"/>
    <w:rsid w:val="003657F7"/>
    <w:rsid w:val="00370CE3"/>
    <w:rsid w:val="003728F3"/>
    <w:rsid w:val="003735BC"/>
    <w:rsid w:val="0037496E"/>
    <w:rsid w:val="00383221"/>
    <w:rsid w:val="00386150"/>
    <w:rsid w:val="003874CE"/>
    <w:rsid w:val="00390900"/>
    <w:rsid w:val="003A7F6C"/>
    <w:rsid w:val="003B4D60"/>
    <w:rsid w:val="003B5CAA"/>
    <w:rsid w:val="003B7E39"/>
    <w:rsid w:val="003C58DC"/>
    <w:rsid w:val="003D1E62"/>
    <w:rsid w:val="003D6D15"/>
    <w:rsid w:val="003E0B99"/>
    <w:rsid w:val="003E2486"/>
    <w:rsid w:val="003E3208"/>
    <w:rsid w:val="003F0B04"/>
    <w:rsid w:val="0040134E"/>
    <w:rsid w:val="00415AC1"/>
    <w:rsid w:val="004334C7"/>
    <w:rsid w:val="00440A2D"/>
    <w:rsid w:val="00441C3F"/>
    <w:rsid w:val="00444D1A"/>
    <w:rsid w:val="0045186A"/>
    <w:rsid w:val="004564A7"/>
    <w:rsid w:val="00456765"/>
    <w:rsid w:val="004617BF"/>
    <w:rsid w:val="00463658"/>
    <w:rsid w:val="004637A0"/>
    <w:rsid w:val="004722CC"/>
    <w:rsid w:val="00490483"/>
    <w:rsid w:val="004936E4"/>
    <w:rsid w:val="00494E60"/>
    <w:rsid w:val="00497487"/>
    <w:rsid w:val="004A0FFB"/>
    <w:rsid w:val="004A2771"/>
    <w:rsid w:val="004A6189"/>
    <w:rsid w:val="004A7390"/>
    <w:rsid w:val="004B7B76"/>
    <w:rsid w:val="004C239D"/>
    <w:rsid w:val="004C2DCA"/>
    <w:rsid w:val="004C61D2"/>
    <w:rsid w:val="004D2801"/>
    <w:rsid w:val="004F0C4A"/>
    <w:rsid w:val="004F0F38"/>
    <w:rsid w:val="004F47D6"/>
    <w:rsid w:val="004F5720"/>
    <w:rsid w:val="00500337"/>
    <w:rsid w:val="00501921"/>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5570"/>
    <w:rsid w:val="005C79A4"/>
    <w:rsid w:val="005D5442"/>
    <w:rsid w:val="006015BF"/>
    <w:rsid w:val="00603F32"/>
    <w:rsid w:val="00605AD4"/>
    <w:rsid w:val="00612EB9"/>
    <w:rsid w:val="006136D7"/>
    <w:rsid w:val="00625A6E"/>
    <w:rsid w:val="00632398"/>
    <w:rsid w:val="00640FC3"/>
    <w:rsid w:val="00642020"/>
    <w:rsid w:val="006430EE"/>
    <w:rsid w:val="0065337B"/>
    <w:rsid w:val="0065419D"/>
    <w:rsid w:val="006603BC"/>
    <w:rsid w:val="006604D8"/>
    <w:rsid w:val="00664A5B"/>
    <w:rsid w:val="0066735C"/>
    <w:rsid w:val="006763D2"/>
    <w:rsid w:val="0067715A"/>
    <w:rsid w:val="00680C08"/>
    <w:rsid w:val="006916A0"/>
    <w:rsid w:val="006931B1"/>
    <w:rsid w:val="006A15C0"/>
    <w:rsid w:val="006A58A8"/>
    <w:rsid w:val="006C3E2A"/>
    <w:rsid w:val="006C642F"/>
    <w:rsid w:val="006D03E5"/>
    <w:rsid w:val="006D5D3E"/>
    <w:rsid w:val="006E08B3"/>
    <w:rsid w:val="006F17AC"/>
    <w:rsid w:val="006F25B8"/>
    <w:rsid w:val="006F572E"/>
    <w:rsid w:val="007046D6"/>
    <w:rsid w:val="00705DB0"/>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5663"/>
    <w:rsid w:val="007B6132"/>
    <w:rsid w:val="007B6E9F"/>
    <w:rsid w:val="007C1216"/>
    <w:rsid w:val="007C1AF7"/>
    <w:rsid w:val="007C6B9B"/>
    <w:rsid w:val="00805D27"/>
    <w:rsid w:val="00806DCB"/>
    <w:rsid w:val="00821776"/>
    <w:rsid w:val="008321F5"/>
    <w:rsid w:val="00832369"/>
    <w:rsid w:val="00834660"/>
    <w:rsid w:val="008354EE"/>
    <w:rsid w:val="00836BC2"/>
    <w:rsid w:val="0085156D"/>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902A21"/>
    <w:rsid w:val="009111C2"/>
    <w:rsid w:val="0091523F"/>
    <w:rsid w:val="00920330"/>
    <w:rsid w:val="009219D7"/>
    <w:rsid w:val="00922D53"/>
    <w:rsid w:val="00923B70"/>
    <w:rsid w:val="00924482"/>
    <w:rsid w:val="00930237"/>
    <w:rsid w:val="00937C17"/>
    <w:rsid w:val="00940A89"/>
    <w:rsid w:val="00941F77"/>
    <w:rsid w:val="00946EA5"/>
    <w:rsid w:val="00960520"/>
    <w:rsid w:val="00963C08"/>
    <w:rsid w:val="009752A5"/>
    <w:rsid w:val="0098585A"/>
    <w:rsid w:val="009A4CED"/>
    <w:rsid w:val="009A690D"/>
    <w:rsid w:val="009B1D12"/>
    <w:rsid w:val="009B416B"/>
    <w:rsid w:val="009C4BD5"/>
    <w:rsid w:val="009D7B77"/>
    <w:rsid w:val="009E0BB0"/>
    <w:rsid w:val="009E0E13"/>
    <w:rsid w:val="009E3FBB"/>
    <w:rsid w:val="009F5A85"/>
    <w:rsid w:val="009F7353"/>
    <w:rsid w:val="00A01636"/>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77F87"/>
    <w:rsid w:val="00A80B5B"/>
    <w:rsid w:val="00A84E36"/>
    <w:rsid w:val="00A91D23"/>
    <w:rsid w:val="00A964D1"/>
    <w:rsid w:val="00AA0DEE"/>
    <w:rsid w:val="00AA0ED0"/>
    <w:rsid w:val="00AC2B40"/>
    <w:rsid w:val="00AC2BB2"/>
    <w:rsid w:val="00AC2C3C"/>
    <w:rsid w:val="00AC3CEE"/>
    <w:rsid w:val="00AC512D"/>
    <w:rsid w:val="00AD0083"/>
    <w:rsid w:val="00AD3935"/>
    <w:rsid w:val="00AE65EB"/>
    <w:rsid w:val="00AE67A7"/>
    <w:rsid w:val="00AF1D94"/>
    <w:rsid w:val="00AF5C52"/>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76B91"/>
    <w:rsid w:val="00B77EB1"/>
    <w:rsid w:val="00B811C6"/>
    <w:rsid w:val="00B855B0"/>
    <w:rsid w:val="00B92E08"/>
    <w:rsid w:val="00BC622A"/>
    <w:rsid w:val="00BE0A78"/>
    <w:rsid w:val="00BE79F0"/>
    <w:rsid w:val="00BF046D"/>
    <w:rsid w:val="00BF1190"/>
    <w:rsid w:val="00BF3774"/>
    <w:rsid w:val="00BF5D04"/>
    <w:rsid w:val="00C009AA"/>
    <w:rsid w:val="00C1164D"/>
    <w:rsid w:val="00C16861"/>
    <w:rsid w:val="00C346AB"/>
    <w:rsid w:val="00C404A6"/>
    <w:rsid w:val="00C40A36"/>
    <w:rsid w:val="00C44419"/>
    <w:rsid w:val="00C45E7B"/>
    <w:rsid w:val="00C471B1"/>
    <w:rsid w:val="00C52E24"/>
    <w:rsid w:val="00C6316B"/>
    <w:rsid w:val="00C634A9"/>
    <w:rsid w:val="00C64586"/>
    <w:rsid w:val="00C70D53"/>
    <w:rsid w:val="00C73D0B"/>
    <w:rsid w:val="00C74F5C"/>
    <w:rsid w:val="00C772FF"/>
    <w:rsid w:val="00C80137"/>
    <w:rsid w:val="00C801AF"/>
    <w:rsid w:val="00C80256"/>
    <w:rsid w:val="00C94CD4"/>
    <w:rsid w:val="00C9747E"/>
    <w:rsid w:val="00CB6BC0"/>
    <w:rsid w:val="00CC1B7C"/>
    <w:rsid w:val="00CC727F"/>
    <w:rsid w:val="00CF15C3"/>
    <w:rsid w:val="00CF2B6F"/>
    <w:rsid w:val="00CF2F3E"/>
    <w:rsid w:val="00CF58B6"/>
    <w:rsid w:val="00D0062D"/>
    <w:rsid w:val="00D017ED"/>
    <w:rsid w:val="00D040D3"/>
    <w:rsid w:val="00D04C65"/>
    <w:rsid w:val="00D06132"/>
    <w:rsid w:val="00D153D8"/>
    <w:rsid w:val="00D201D2"/>
    <w:rsid w:val="00D224FE"/>
    <w:rsid w:val="00D23139"/>
    <w:rsid w:val="00D425BB"/>
    <w:rsid w:val="00D4340D"/>
    <w:rsid w:val="00D453FA"/>
    <w:rsid w:val="00D6493E"/>
    <w:rsid w:val="00D7195D"/>
    <w:rsid w:val="00D7301E"/>
    <w:rsid w:val="00D83AE1"/>
    <w:rsid w:val="00D855D4"/>
    <w:rsid w:val="00D902C9"/>
    <w:rsid w:val="00D93466"/>
    <w:rsid w:val="00DA1124"/>
    <w:rsid w:val="00DA64CB"/>
    <w:rsid w:val="00DB06B8"/>
    <w:rsid w:val="00DB6124"/>
    <w:rsid w:val="00DB750B"/>
    <w:rsid w:val="00DB75B7"/>
    <w:rsid w:val="00DC0A2F"/>
    <w:rsid w:val="00DC1948"/>
    <w:rsid w:val="00DC6E02"/>
    <w:rsid w:val="00DD28CD"/>
    <w:rsid w:val="00DE02AE"/>
    <w:rsid w:val="00DE39D1"/>
    <w:rsid w:val="00DF1D7F"/>
    <w:rsid w:val="00DF4BE4"/>
    <w:rsid w:val="00E02382"/>
    <w:rsid w:val="00E02FB4"/>
    <w:rsid w:val="00E13FC7"/>
    <w:rsid w:val="00E20571"/>
    <w:rsid w:val="00E235F7"/>
    <w:rsid w:val="00E23659"/>
    <w:rsid w:val="00E239D4"/>
    <w:rsid w:val="00E26130"/>
    <w:rsid w:val="00E40B22"/>
    <w:rsid w:val="00E44ED1"/>
    <w:rsid w:val="00E45619"/>
    <w:rsid w:val="00E4588F"/>
    <w:rsid w:val="00E46DA3"/>
    <w:rsid w:val="00E51BB1"/>
    <w:rsid w:val="00E55CB0"/>
    <w:rsid w:val="00E624A5"/>
    <w:rsid w:val="00E64BA4"/>
    <w:rsid w:val="00E7344E"/>
    <w:rsid w:val="00E82665"/>
    <w:rsid w:val="00EB0798"/>
    <w:rsid w:val="00EB40AD"/>
    <w:rsid w:val="00EB586E"/>
    <w:rsid w:val="00EB5FC8"/>
    <w:rsid w:val="00EC463D"/>
    <w:rsid w:val="00EC7157"/>
    <w:rsid w:val="00EC7A85"/>
    <w:rsid w:val="00ED2922"/>
    <w:rsid w:val="00ED3CAD"/>
    <w:rsid w:val="00ED4EAE"/>
    <w:rsid w:val="00ED5A41"/>
    <w:rsid w:val="00EE1DE8"/>
    <w:rsid w:val="00EE27C2"/>
    <w:rsid w:val="00EF4BAD"/>
    <w:rsid w:val="00EF59DC"/>
    <w:rsid w:val="00F033EC"/>
    <w:rsid w:val="00F03A4F"/>
    <w:rsid w:val="00F04F68"/>
    <w:rsid w:val="00F12670"/>
    <w:rsid w:val="00F14B27"/>
    <w:rsid w:val="00F3148D"/>
    <w:rsid w:val="00F325C5"/>
    <w:rsid w:val="00F32FE0"/>
    <w:rsid w:val="00F35298"/>
    <w:rsid w:val="00F47333"/>
    <w:rsid w:val="00F47E37"/>
    <w:rsid w:val="00F53C07"/>
    <w:rsid w:val="00F54B65"/>
    <w:rsid w:val="00F640B6"/>
    <w:rsid w:val="00F66DF2"/>
    <w:rsid w:val="00F80E40"/>
    <w:rsid w:val="00F848D9"/>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EB3609C4-9AA7-4036-854F-03458636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3B5CA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AC3CEE"/>
    <w:pPr>
      <w:adjustRightInd w:val="0"/>
      <w:snapToGrid w:val="0"/>
      <w:spacing w:before="180" w:after="180"/>
      <w:ind w:left="720"/>
      <w:contextualSpacing/>
    </w:pPr>
    <w:rPr>
      <w:rFonts w:eastAsia="MS Mincho"/>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 TargetMode="Externa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yperlink" Target="mailto:info@tga.gov.au" TargetMode="External"/><Relationship Id="rId27" Type="http://schemas.openxmlformats.org/officeDocument/2006/relationships/header" Target="header9.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11780\t0Q6ZT34.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EDDDD-EF4C-41B9-A084-E84BDAB3D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t0Q6ZT34</Template>
  <TotalTime>4</TotalTime>
  <Pages>19</Pages>
  <Words>6158</Words>
  <Characters>34491</Characters>
  <Application>Microsoft Office Word</Application>
  <DocSecurity>0</DocSecurity>
  <Lines>1149</Lines>
  <Paragraphs>752</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39897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Certolizumab pegol (rbe)</dc:title>
  <dc:subject>prescription medicines</dc:subject>
  <dc:creator>Therapeutic Goods Administration</dc:creator>
  <cp:lastPrinted>2019-08-14T04:30:00Z</cp:lastPrinted>
  <dcterms:created xsi:type="dcterms:W3CDTF">2020-02-18T02:21:00Z</dcterms:created>
  <dcterms:modified xsi:type="dcterms:W3CDTF">2020-02-18T02:25:00Z</dcterms:modified>
</cp:coreProperties>
</file>