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B4075" w:rsidP="00096AA7">
            <w:pPr>
              <w:rPr>
                <w:rFonts w:ascii="Arial" w:hAnsi="Arial" w:cs="Arial"/>
                <w:b/>
                <w:color w:val="002C47"/>
                <w:sz w:val="36"/>
                <w:szCs w:val="36"/>
              </w:rPr>
            </w:pPr>
            <w:r>
              <w:rPr>
                <w:rFonts w:ascii="Arial" w:hAnsi="Arial" w:cs="Arial"/>
                <w:b/>
                <w:color w:val="002C47"/>
                <w:sz w:val="36"/>
                <w:szCs w:val="36"/>
              </w:rPr>
              <w:t>November</w:t>
            </w:r>
            <w:r w:rsidR="00797902">
              <w:rPr>
                <w:rFonts w:ascii="Arial" w:hAnsi="Arial" w:cs="Arial"/>
                <w:b/>
                <w:color w:val="002C47"/>
                <w:sz w:val="36"/>
                <w:szCs w:val="36"/>
              </w:rPr>
              <w:t>2015</w:t>
            </w:r>
          </w:p>
        </w:tc>
      </w:tr>
    </w:tbl>
    <w:p w:rsidR="00AE4E0A" w:rsidRPr="00AE4E0A" w:rsidRDefault="00AE4E0A" w:rsidP="00AE4E0A">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E4E0A" w:rsidRDefault="0032583B" w:rsidP="00F762D2">
            <w:pPr>
              <w:pStyle w:val="Title"/>
              <w:rPr>
                <w:color w:val="FFFFFF"/>
              </w:rPr>
            </w:pPr>
            <w:r w:rsidRPr="00AE4E0A">
              <w:rPr>
                <w:color w:val="FFFFFF"/>
              </w:rPr>
              <w:t xml:space="preserve">Australian Public Assessment Report for </w:t>
            </w:r>
            <w:proofErr w:type="spellStart"/>
            <w:r w:rsidR="00476ED5" w:rsidRPr="00476ED5">
              <w:rPr>
                <w:rFonts w:cs="Arial"/>
                <w:color w:val="FFFFFF"/>
                <w:lang w:eastAsia="en-AU"/>
              </w:rPr>
              <w:t>Certolizumab</w:t>
            </w:r>
            <w:proofErr w:type="spellEnd"/>
            <w:r w:rsidR="00476ED5" w:rsidRPr="00476ED5">
              <w:rPr>
                <w:rFonts w:cs="Arial"/>
                <w:color w:val="FFFFFF"/>
                <w:lang w:eastAsia="en-AU"/>
              </w:rPr>
              <w:t xml:space="preserve"> </w:t>
            </w:r>
            <w:proofErr w:type="spellStart"/>
            <w:r w:rsidR="00476ED5" w:rsidRPr="00476ED5">
              <w:rPr>
                <w:rFonts w:cs="Arial"/>
                <w:color w:val="FFFFFF"/>
                <w:lang w:eastAsia="en-AU"/>
              </w:rPr>
              <w:t>pegol</w:t>
            </w:r>
            <w:proofErr w:type="spellEnd"/>
            <w:r w:rsidR="00476ED5" w:rsidRPr="00476ED5">
              <w:rPr>
                <w:rFonts w:cs="Arial"/>
                <w:color w:val="FFFFFF"/>
                <w:lang w:eastAsia="en-AU"/>
              </w:rPr>
              <w:t xml:space="preserve"> (</w:t>
            </w:r>
            <w:proofErr w:type="spellStart"/>
            <w:proofErr w:type="gramStart"/>
            <w:r w:rsidR="00476ED5" w:rsidRPr="00476ED5">
              <w:rPr>
                <w:rFonts w:cs="Arial"/>
                <w:color w:val="FFFFFF"/>
                <w:lang w:eastAsia="en-AU"/>
              </w:rPr>
              <w:t>rbe</w:t>
            </w:r>
            <w:proofErr w:type="spellEnd"/>
            <w:proofErr w:type="gramEnd"/>
            <w:r w:rsidR="00476ED5" w:rsidRPr="00476ED5">
              <w:rPr>
                <w:rFonts w:cs="Arial"/>
                <w:color w:val="FFFFFF"/>
                <w:lang w:eastAsia="en-AU"/>
              </w:rPr>
              <w:t>)</w:t>
            </w:r>
          </w:p>
        </w:tc>
      </w:tr>
      <w:tr w:rsidR="0032583B" w:rsidRPr="00B64760" w:rsidTr="0032583B">
        <w:tc>
          <w:tcPr>
            <w:tcW w:w="9079" w:type="dxa"/>
          </w:tcPr>
          <w:p w:rsidR="0032583B" w:rsidRPr="00AE4E0A" w:rsidRDefault="0032583B" w:rsidP="00F762D2">
            <w:pPr>
              <w:pStyle w:val="Subtitle"/>
              <w:rPr>
                <w:color w:val="FFFFFF"/>
              </w:rPr>
            </w:pPr>
            <w:r w:rsidRPr="00AE4E0A">
              <w:rPr>
                <w:color w:val="FFFFFF"/>
              </w:rPr>
              <w:t xml:space="preserve">Proprietary Product Name: </w:t>
            </w:r>
            <w:proofErr w:type="spellStart"/>
            <w:r w:rsidR="00F762D2">
              <w:rPr>
                <w:color w:val="FFFFFF"/>
              </w:rPr>
              <w:t>Cimzia</w:t>
            </w:r>
            <w:proofErr w:type="spellEnd"/>
          </w:p>
        </w:tc>
      </w:tr>
      <w:tr w:rsidR="0032583B" w:rsidRPr="00B64760" w:rsidTr="0032583B">
        <w:trPr>
          <w:trHeight w:val="486"/>
        </w:trPr>
        <w:tc>
          <w:tcPr>
            <w:tcW w:w="9079" w:type="dxa"/>
          </w:tcPr>
          <w:p w:rsidR="0032583B" w:rsidRPr="00AE4E0A" w:rsidRDefault="0032583B" w:rsidP="0032583B">
            <w:pPr>
              <w:pStyle w:val="Subtitle"/>
              <w:rPr>
                <w:color w:val="FFFFFF"/>
              </w:rPr>
            </w:pPr>
            <w:r w:rsidRPr="00AE4E0A">
              <w:rPr>
                <w:color w:val="FFFFFF"/>
              </w:rPr>
              <w:t xml:space="preserve">Sponsor: </w:t>
            </w:r>
            <w:r w:rsidR="00F762D2">
              <w:rPr>
                <w:rFonts w:cs="Arial"/>
                <w:color w:val="FFFFFF"/>
                <w:szCs w:val="40"/>
                <w:lang w:eastAsia="en-AU"/>
              </w:rPr>
              <w:t>UCB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B6ED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B6ED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B6ED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B6ED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B6ED6">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B6ED6">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B6ED6">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8B6ED6">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8B6ED6">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8B6ED6">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72391">
      <w:pPr>
        <w:pStyle w:val="LegalSubheading"/>
        <w:spacing w:before="28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314842482"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CB6B67" w:rsidRPr="0089635C" w:rsidRDefault="00CB6B67" w:rsidP="00CB6B67">
          <w:pPr>
            <w:pStyle w:val="Contents"/>
          </w:pPr>
          <w:r w:rsidRPr="0010788A">
            <w:t>Conten</w:t>
          </w:r>
          <w:bookmarkStart w:id="3" w:name="_GoBack"/>
          <w:bookmarkEnd w:id="3"/>
          <w:r w:rsidRPr="0010788A">
            <w:t>ts</w:t>
          </w:r>
        </w:p>
        <w:p w:rsidR="001E0663" w:rsidRDefault="00CB6B67">
          <w:pPr>
            <w:pStyle w:val="TOC2"/>
            <w:rPr>
              <w:rFonts w:asciiTheme="minorHAnsi" w:eastAsiaTheme="minorEastAsia" w:hAnsiTheme="minorHAnsi" w:cstheme="minorBidi"/>
              <w:b w:val="0"/>
              <w:noProof/>
              <w:sz w:val="22"/>
              <w:lang w:eastAsia="en-AU"/>
            </w:rPr>
          </w:pPr>
          <w:r>
            <w:fldChar w:fldCharType="begin"/>
          </w:r>
          <w:r>
            <w:instrText xml:space="preserve"> TOC \o "1-3" \h \z \u </w:instrText>
          </w:r>
          <w:r>
            <w:fldChar w:fldCharType="separate"/>
          </w:r>
          <w:hyperlink w:anchor="_Toc435781387" w:history="1">
            <w:r w:rsidR="001E0663" w:rsidRPr="00AF0531">
              <w:rPr>
                <w:rStyle w:val="Hyperlink"/>
                <w:noProof/>
              </w:rPr>
              <w:t>List of the most common abbreviations used in this AusPAR</w:t>
            </w:r>
            <w:r w:rsidR="001E0663">
              <w:rPr>
                <w:noProof/>
                <w:webHidden/>
              </w:rPr>
              <w:tab/>
            </w:r>
            <w:r w:rsidR="001E0663">
              <w:rPr>
                <w:noProof/>
                <w:webHidden/>
              </w:rPr>
              <w:fldChar w:fldCharType="begin"/>
            </w:r>
            <w:r w:rsidR="001E0663">
              <w:rPr>
                <w:noProof/>
                <w:webHidden/>
              </w:rPr>
              <w:instrText xml:space="preserve"> PAGEREF _Toc435781387 \h </w:instrText>
            </w:r>
            <w:r w:rsidR="001E0663">
              <w:rPr>
                <w:noProof/>
                <w:webHidden/>
              </w:rPr>
            </w:r>
            <w:r w:rsidR="001E0663">
              <w:rPr>
                <w:noProof/>
                <w:webHidden/>
              </w:rPr>
              <w:fldChar w:fldCharType="separate"/>
            </w:r>
            <w:r w:rsidR="001E0663">
              <w:rPr>
                <w:noProof/>
                <w:webHidden/>
              </w:rPr>
              <w:t>4</w:t>
            </w:r>
            <w:r w:rsidR="001E0663">
              <w:rPr>
                <w:noProof/>
                <w:webHidden/>
              </w:rPr>
              <w:fldChar w:fldCharType="end"/>
            </w:r>
          </w:hyperlink>
        </w:p>
        <w:p w:rsidR="001E0663" w:rsidRDefault="001E0663">
          <w:pPr>
            <w:pStyle w:val="TOC2"/>
            <w:rPr>
              <w:rFonts w:asciiTheme="minorHAnsi" w:eastAsiaTheme="minorEastAsia" w:hAnsiTheme="minorHAnsi" w:cstheme="minorBidi"/>
              <w:b w:val="0"/>
              <w:noProof/>
              <w:sz w:val="22"/>
              <w:lang w:eastAsia="en-AU"/>
            </w:rPr>
          </w:pPr>
          <w:hyperlink w:anchor="_Toc435781388" w:history="1">
            <w:r w:rsidRPr="00AF0531">
              <w:rPr>
                <w:rStyle w:val="Hyperlink"/>
                <w:noProof/>
              </w:rPr>
              <w:t>I. Introduction to product submission</w:t>
            </w:r>
            <w:r>
              <w:rPr>
                <w:noProof/>
                <w:webHidden/>
              </w:rPr>
              <w:tab/>
            </w:r>
            <w:r>
              <w:rPr>
                <w:noProof/>
                <w:webHidden/>
              </w:rPr>
              <w:fldChar w:fldCharType="begin"/>
            </w:r>
            <w:r>
              <w:rPr>
                <w:noProof/>
                <w:webHidden/>
              </w:rPr>
              <w:instrText xml:space="preserve"> PAGEREF _Toc435781388 \h </w:instrText>
            </w:r>
            <w:r>
              <w:rPr>
                <w:noProof/>
                <w:webHidden/>
              </w:rPr>
            </w:r>
            <w:r>
              <w:rPr>
                <w:noProof/>
                <w:webHidden/>
              </w:rPr>
              <w:fldChar w:fldCharType="separate"/>
            </w:r>
            <w:r>
              <w:rPr>
                <w:noProof/>
                <w:webHidden/>
              </w:rPr>
              <w:t>6</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389" w:history="1">
            <w:r w:rsidRPr="00AF0531">
              <w:rPr>
                <w:rStyle w:val="Hyperlink"/>
                <w:noProof/>
                <w:lang w:eastAsia="en-AU"/>
              </w:rPr>
              <w:t xml:space="preserve">Submission </w:t>
            </w:r>
            <w:r w:rsidRPr="00AF0531">
              <w:rPr>
                <w:rStyle w:val="Hyperlink"/>
                <w:noProof/>
              </w:rPr>
              <w:t>details</w:t>
            </w:r>
            <w:r>
              <w:rPr>
                <w:noProof/>
                <w:webHidden/>
              </w:rPr>
              <w:tab/>
            </w:r>
            <w:r>
              <w:rPr>
                <w:noProof/>
                <w:webHidden/>
              </w:rPr>
              <w:fldChar w:fldCharType="begin"/>
            </w:r>
            <w:r>
              <w:rPr>
                <w:noProof/>
                <w:webHidden/>
              </w:rPr>
              <w:instrText xml:space="preserve"> PAGEREF _Toc435781389 \h </w:instrText>
            </w:r>
            <w:r>
              <w:rPr>
                <w:noProof/>
                <w:webHidden/>
              </w:rPr>
            </w:r>
            <w:r>
              <w:rPr>
                <w:noProof/>
                <w:webHidden/>
              </w:rPr>
              <w:fldChar w:fldCharType="separate"/>
            </w:r>
            <w:r>
              <w:rPr>
                <w:noProof/>
                <w:webHidden/>
              </w:rPr>
              <w:t>6</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390" w:history="1">
            <w:r w:rsidRPr="00AF0531">
              <w:rPr>
                <w:rStyle w:val="Hyperlink"/>
                <w:noProof/>
              </w:rPr>
              <w:t>Product background</w:t>
            </w:r>
            <w:r>
              <w:rPr>
                <w:noProof/>
                <w:webHidden/>
              </w:rPr>
              <w:tab/>
            </w:r>
            <w:r>
              <w:rPr>
                <w:noProof/>
                <w:webHidden/>
              </w:rPr>
              <w:fldChar w:fldCharType="begin"/>
            </w:r>
            <w:r>
              <w:rPr>
                <w:noProof/>
                <w:webHidden/>
              </w:rPr>
              <w:instrText xml:space="preserve"> PAGEREF _Toc435781390 \h </w:instrText>
            </w:r>
            <w:r>
              <w:rPr>
                <w:noProof/>
                <w:webHidden/>
              </w:rPr>
            </w:r>
            <w:r>
              <w:rPr>
                <w:noProof/>
                <w:webHidden/>
              </w:rPr>
              <w:fldChar w:fldCharType="separate"/>
            </w:r>
            <w:r>
              <w:rPr>
                <w:noProof/>
                <w:webHidden/>
              </w:rPr>
              <w:t>6</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391" w:history="1">
            <w:r w:rsidRPr="00AF0531">
              <w:rPr>
                <w:rStyle w:val="Hyperlink"/>
                <w:noProof/>
              </w:rPr>
              <w:t>Regulatory status</w:t>
            </w:r>
            <w:r>
              <w:rPr>
                <w:noProof/>
                <w:webHidden/>
              </w:rPr>
              <w:tab/>
            </w:r>
            <w:r>
              <w:rPr>
                <w:noProof/>
                <w:webHidden/>
              </w:rPr>
              <w:fldChar w:fldCharType="begin"/>
            </w:r>
            <w:r>
              <w:rPr>
                <w:noProof/>
                <w:webHidden/>
              </w:rPr>
              <w:instrText xml:space="preserve"> PAGEREF _Toc435781391 \h </w:instrText>
            </w:r>
            <w:r>
              <w:rPr>
                <w:noProof/>
                <w:webHidden/>
              </w:rPr>
            </w:r>
            <w:r>
              <w:rPr>
                <w:noProof/>
                <w:webHidden/>
              </w:rPr>
              <w:fldChar w:fldCharType="separate"/>
            </w:r>
            <w:r>
              <w:rPr>
                <w:noProof/>
                <w:webHidden/>
              </w:rPr>
              <w:t>7</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392" w:history="1">
            <w:r w:rsidRPr="00AF0531">
              <w:rPr>
                <w:rStyle w:val="Hyperlink"/>
                <w:noProof/>
              </w:rPr>
              <w:t>Product Information</w:t>
            </w:r>
            <w:r>
              <w:rPr>
                <w:noProof/>
                <w:webHidden/>
              </w:rPr>
              <w:tab/>
            </w:r>
            <w:r>
              <w:rPr>
                <w:noProof/>
                <w:webHidden/>
              </w:rPr>
              <w:fldChar w:fldCharType="begin"/>
            </w:r>
            <w:r>
              <w:rPr>
                <w:noProof/>
                <w:webHidden/>
              </w:rPr>
              <w:instrText xml:space="preserve"> PAGEREF _Toc435781392 \h </w:instrText>
            </w:r>
            <w:r>
              <w:rPr>
                <w:noProof/>
                <w:webHidden/>
              </w:rPr>
            </w:r>
            <w:r>
              <w:rPr>
                <w:noProof/>
                <w:webHidden/>
              </w:rPr>
              <w:fldChar w:fldCharType="separate"/>
            </w:r>
            <w:r>
              <w:rPr>
                <w:noProof/>
                <w:webHidden/>
              </w:rPr>
              <w:t>11</w:t>
            </w:r>
            <w:r>
              <w:rPr>
                <w:noProof/>
                <w:webHidden/>
              </w:rPr>
              <w:fldChar w:fldCharType="end"/>
            </w:r>
          </w:hyperlink>
        </w:p>
        <w:p w:rsidR="001E0663" w:rsidRDefault="001E0663">
          <w:pPr>
            <w:pStyle w:val="TOC2"/>
            <w:rPr>
              <w:rFonts w:asciiTheme="minorHAnsi" w:eastAsiaTheme="minorEastAsia" w:hAnsiTheme="minorHAnsi" w:cstheme="minorBidi"/>
              <w:b w:val="0"/>
              <w:noProof/>
              <w:sz w:val="22"/>
              <w:lang w:eastAsia="en-AU"/>
            </w:rPr>
          </w:pPr>
          <w:hyperlink w:anchor="_Toc435781393" w:history="1">
            <w:r w:rsidRPr="00AF0531">
              <w:rPr>
                <w:rStyle w:val="Hyperlink"/>
                <w:noProof/>
              </w:rPr>
              <w:t>II. Quality findings</w:t>
            </w:r>
            <w:r>
              <w:rPr>
                <w:noProof/>
                <w:webHidden/>
              </w:rPr>
              <w:tab/>
            </w:r>
            <w:r>
              <w:rPr>
                <w:noProof/>
                <w:webHidden/>
              </w:rPr>
              <w:fldChar w:fldCharType="begin"/>
            </w:r>
            <w:r>
              <w:rPr>
                <w:noProof/>
                <w:webHidden/>
              </w:rPr>
              <w:instrText xml:space="preserve"> PAGEREF _Toc435781393 \h </w:instrText>
            </w:r>
            <w:r>
              <w:rPr>
                <w:noProof/>
                <w:webHidden/>
              </w:rPr>
            </w:r>
            <w:r>
              <w:rPr>
                <w:noProof/>
                <w:webHidden/>
              </w:rPr>
              <w:fldChar w:fldCharType="separate"/>
            </w:r>
            <w:r>
              <w:rPr>
                <w:noProof/>
                <w:webHidden/>
              </w:rPr>
              <w:t>11</w:t>
            </w:r>
            <w:r>
              <w:rPr>
                <w:noProof/>
                <w:webHidden/>
              </w:rPr>
              <w:fldChar w:fldCharType="end"/>
            </w:r>
          </w:hyperlink>
        </w:p>
        <w:p w:rsidR="001E0663" w:rsidRDefault="001E0663">
          <w:pPr>
            <w:pStyle w:val="TOC2"/>
            <w:rPr>
              <w:rFonts w:asciiTheme="minorHAnsi" w:eastAsiaTheme="minorEastAsia" w:hAnsiTheme="minorHAnsi" w:cstheme="minorBidi"/>
              <w:b w:val="0"/>
              <w:noProof/>
              <w:sz w:val="22"/>
              <w:lang w:eastAsia="en-AU"/>
            </w:rPr>
          </w:pPr>
          <w:hyperlink w:anchor="_Toc435781394" w:history="1">
            <w:r w:rsidRPr="00AF0531">
              <w:rPr>
                <w:rStyle w:val="Hyperlink"/>
                <w:noProof/>
              </w:rPr>
              <w:t>III. Nonclinical findings</w:t>
            </w:r>
            <w:r>
              <w:rPr>
                <w:noProof/>
                <w:webHidden/>
              </w:rPr>
              <w:tab/>
            </w:r>
            <w:r>
              <w:rPr>
                <w:noProof/>
                <w:webHidden/>
              </w:rPr>
              <w:fldChar w:fldCharType="begin"/>
            </w:r>
            <w:r>
              <w:rPr>
                <w:noProof/>
                <w:webHidden/>
              </w:rPr>
              <w:instrText xml:space="preserve"> PAGEREF _Toc435781394 \h </w:instrText>
            </w:r>
            <w:r>
              <w:rPr>
                <w:noProof/>
                <w:webHidden/>
              </w:rPr>
            </w:r>
            <w:r>
              <w:rPr>
                <w:noProof/>
                <w:webHidden/>
              </w:rPr>
              <w:fldChar w:fldCharType="separate"/>
            </w:r>
            <w:r>
              <w:rPr>
                <w:noProof/>
                <w:webHidden/>
              </w:rPr>
              <w:t>11</w:t>
            </w:r>
            <w:r>
              <w:rPr>
                <w:noProof/>
                <w:webHidden/>
              </w:rPr>
              <w:fldChar w:fldCharType="end"/>
            </w:r>
          </w:hyperlink>
        </w:p>
        <w:p w:rsidR="001E0663" w:rsidRDefault="001E0663">
          <w:pPr>
            <w:pStyle w:val="TOC2"/>
            <w:rPr>
              <w:rFonts w:asciiTheme="minorHAnsi" w:eastAsiaTheme="minorEastAsia" w:hAnsiTheme="minorHAnsi" w:cstheme="minorBidi"/>
              <w:b w:val="0"/>
              <w:noProof/>
              <w:sz w:val="22"/>
              <w:lang w:eastAsia="en-AU"/>
            </w:rPr>
          </w:pPr>
          <w:hyperlink w:anchor="_Toc435781395" w:history="1">
            <w:r w:rsidRPr="00AF0531">
              <w:rPr>
                <w:rStyle w:val="Hyperlink"/>
                <w:noProof/>
              </w:rPr>
              <w:t>IV. Clinical findings</w:t>
            </w:r>
            <w:r>
              <w:rPr>
                <w:noProof/>
                <w:webHidden/>
              </w:rPr>
              <w:tab/>
            </w:r>
            <w:r>
              <w:rPr>
                <w:noProof/>
                <w:webHidden/>
              </w:rPr>
              <w:fldChar w:fldCharType="begin"/>
            </w:r>
            <w:r>
              <w:rPr>
                <w:noProof/>
                <w:webHidden/>
              </w:rPr>
              <w:instrText xml:space="preserve"> PAGEREF _Toc435781395 \h </w:instrText>
            </w:r>
            <w:r>
              <w:rPr>
                <w:noProof/>
                <w:webHidden/>
              </w:rPr>
            </w:r>
            <w:r>
              <w:rPr>
                <w:noProof/>
                <w:webHidden/>
              </w:rPr>
              <w:fldChar w:fldCharType="separate"/>
            </w:r>
            <w:r>
              <w:rPr>
                <w:noProof/>
                <w:webHidden/>
              </w:rPr>
              <w:t>11</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396" w:history="1">
            <w:r w:rsidRPr="00AF0531">
              <w:rPr>
                <w:rStyle w:val="Hyperlink"/>
                <w:noProof/>
              </w:rPr>
              <w:t>Introduction</w:t>
            </w:r>
            <w:r>
              <w:rPr>
                <w:noProof/>
                <w:webHidden/>
              </w:rPr>
              <w:tab/>
            </w:r>
            <w:r>
              <w:rPr>
                <w:noProof/>
                <w:webHidden/>
              </w:rPr>
              <w:fldChar w:fldCharType="begin"/>
            </w:r>
            <w:r>
              <w:rPr>
                <w:noProof/>
                <w:webHidden/>
              </w:rPr>
              <w:instrText xml:space="preserve"> PAGEREF _Toc435781396 \h </w:instrText>
            </w:r>
            <w:r>
              <w:rPr>
                <w:noProof/>
                <w:webHidden/>
              </w:rPr>
            </w:r>
            <w:r>
              <w:rPr>
                <w:noProof/>
                <w:webHidden/>
              </w:rPr>
              <w:fldChar w:fldCharType="separate"/>
            </w:r>
            <w:r>
              <w:rPr>
                <w:noProof/>
                <w:webHidden/>
              </w:rPr>
              <w:t>11</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397" w:history="1">
            <w:r w:rsidRPr="00AF0531">
              <w:rPr>
                <w:rStyle w:val="Hyperlink"/>
                <w:noProof/>
              </w:rPr>
              <w:t>Pharmacokinetics</w:t>
            </w:r>
            <w:r>
              <w:rPr>
                <w:noProof/>
                <w:webHidden/>
              </w:rPr>
              <w:tab/>
            </w:r>
            <w:r>
              <w:rPr>
                <w:noProof/>
                <w:webHidden/>
              </w:rPr>
              <w:fldChar w:fldCharType="begin"/>
            </w:r>
            <w:r>
              <w:rPr>
                <w:noProof/>
                <w:webHidden/>
              </w:rPr>
              <w:instrText xml:space="preserve"> PAGEREF _Toc435781397 \h </w:instrText>
            </w:r>
            <w:r>
              <w:rPr>
                <w:noProof/>
                <w:webHidden/>
              </w:rPr>
            </w:r>
            <w:r>
              <w:rPr>
                <w:noProof/>
                <w:webHidden/>
              </w:rPr>
              <w:fldChar w:fldCharType="separate"/>
            </w:r>
            <w:r>
              <w:rPr>
                <w:noProof/>
                <w:webHidden/>
              </w:rPr>
              <w:t>13</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398" w:history="1">
            <w:r w:rsidRPr="00AF0531">
              <w:rPr>
                <w:rStyle w:val="Hyperlink"/>
                <w:noProof/>
              </w:rPr>
              <w:t>Pharmacodynamics</w:t>
            </w:r>
            <w:r>
              <w:rPr>
                <w:noProof/>
                <w:webHidden/>
              </w:rPr>
              <w:tab/>
            </w:r>
            <w:r>
              <w:rPr>
                <w:noProof/>
                <w:webHidden/>
              </w:rPr>
              <w:fldChar w:fldCharType="begin"/>
            </w:r>
            <w:r>
              <w:rPr>
                <w:noProof/>
                <w:webHidden/>
              </w:rPr>
              <w:instrText xml:space="preserve"> PAGEREF _Toc435781398 \h </w:instrText>
            </w:r>
            <w:r>
              <w:rPr>
                <w:noProof/>
                <w:webHidden/>
              </w:rPr>
            </w:r>
            <w:r>
              <w:rPr>
                <w:noProof/>
                <w:webHidden/>
              </w:rPr>
              <w:fldChar w:fldCharType="separate"/>
            </w:r>
            <w:r>
              <w:rPr>
                <w:noProof/>
                <w:webHidden/>
              </w:rPr>
              <w:t>13</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399" w:history="1">
            <w:r w:rsidRPr="00AF0531">
              <w:rPr>
                <w:rStyle w:val="Hyperlink"/>
                <w:noProof/>
              </w:rPr>
              <w:t>Dosage selection for the pivotal studies</w:t>
            </w:r>
            <w:r>
              <w:rPr>
                <w:noProof/>
                <w:webHidden/>
              </w:rPr>
              <w:tab/>
            </w:r>
            <w:r>
              <w:rPr>
                <w:noProof/>
                <w:webHidden/>
              </w:rPr>
              <w:fldChar w:fldCharType="begin"/>
            </w:r>
            <w:r>
              <w:rPr>
                <w:noProof/>
                <w:webHidden/>
              </w:rPr>
              <w:instrText xml:space="preserve"> PAGEREF _Toc435781399 \h </w:instrText>
            </w:r>
            <w:r>
              <w:rPr>
                <w:noProof/>
                <w:webHidden/>
              </w:rPr>
            </w:r>
            <w:r>
              <w:rPr>
                <w:noProof/>
                <w:webHidden/>
              </w:rPr>
              <w:fldChar w:fldCharType="separate"/>
            </w:r>
            <w:r>
              <w:rPr>
                <w:noProof/>
                <w:webHidden/>
              </w:rPr>
              <w:t>13</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00" w:history="1">
            <w:r w:rsidRPr="00AF0531">
              <w:rPr>
                <w:rStyle w:val="Hyperlink"/>
                <w:noProof/>
              </w:rPr>
              <w:t>Efficacy</w:t>
            </w:r>
            <w:r>
              <w:rPr>
                <w:noProof/>
                <w:webHidden/>
              </w:rPr>
              <w:tab/>
            </w:r>
            <w:r>
              <w:rPr>
                <w:noProof/>
                <w:webHidden/>
              </w:rPr>
              <w:fldChar w:fldCharType="begin"/>
            </w:r>
            <w:r>
              <w:rPr>
                <w:noProof/>
                <w:webHidden/>
              </w:rPr>
              <w:instrText xml:space="preserve"> PAGEREF _Toc435781400 \h </w:instrText>
            </w:r>
            <w:r>
              <w:rPr>
                <w:noProof/>
                <w:webHidden/>
              </w:rPr>
            </w:r>
            <w:r>
              <w:rPr>
                <w:noProof/>
                <w:webHidden/>
              </w:rPr>
              <w:fldChar w:fldCharType="separate"/>
            </w:r>
            <w:r>
              <w:rPr>
                <w:noProof/>
                <w:webHidden/>
              </w:rPr>
              <w:t>13</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01" w:history="1">
            <w:r w:rsidRPr="00AF0531">
              <w:rPr>
                <w:rStyle w:val="Hyperlink"/>
                <w:noProof/>
              </w:rPr>
              <w:t>Safety</w:t>
            </w:r>
            <w:r>
              <w:rPr>
                <w:noProof/>
                <w:webHidden/>
              </w:rPr>
              <w:tab/>
            </w:r>
            <w:r>
              <w:rPr>
                <w:noProof/>
                <w:webHidden/>
              </w:rPr>
              <w:fldChar w:fldCharType="begin"/>
            </w:r>
            <w:r>
              <w:rPr>
                <w:noProof/>
                <w:webHidden/>
              </w:rPr>
              <w:instrText xml:space="preserve"> PAGEREF _Toc435781401 \h </w:instrText>
            </w:r>
            <w:r>
              <w:rPr>
                <w:noProof/>
                <w:webHidden/>
              </w:rPr>
            </w:r>
            <w:r>
              <w:rPr>
                <w:noProof/>
                <w:webHidden/>
              </w:rPr>
              <w:fldChar w:fldCharType="separate"/>
            </w:r>
            <w:r>
              <w:rPr>
                <w:noProof/>
                <w:webHidden/>
              </w:rPr>
              <w:t>15</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02" w:history="1">
            <w:r w:rsidRPr="00AF0531">
              <w:rPr>
                <w:rStyle w:val="Hyperlink"/>
                <w:noProof/>
              </w:rPr>
              <w:t>First round benefit-risk assessment</w:t>
            </w:r>
            <w:r>
              <w:rPr>
                <w:noProof/>
                <w:webHidden/>
              </w:rPr>
              <w:tab/>
            </w:r>
            <w:r>
              <w:rPr>
                <w:noProof/>
                <w:webHidden/>
              </w:rPr>
              <w:fldChar w:fldCharType="begin"/>
            </w:r>
            <w:r>
              <w:rPr>
                <w:noProof/>
                <w:webHidden/>
              </w:rPr>
              <w:instrText xml:space="preserve"> PAGEREF _Toc435781402 \h </w:instrText>
            </w:r>
            <w:r>
              <w:rPr>
                <w:noProof/>
                <w:webHidden/>
              </w:rPr>
            </w:r>
            <w:r>
              <w:rPr>
                <w:noProof/>
                <w:webHidden/>
              </w:rPr>
              <w:fldChar w:fldCharType="separate"/>
            </w:r>
            <w:r>
              <w:rPr>
                <w:noProof/>
                <w:webHidden/>
              </w:rPr>
              <w:t>18</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03" w:history="1">
            <w:r w:rsidRPr="00AF0531">
              <w:rPr>
                <w:rStyle w:val="Hyperlink"/>
                <w:noProof/>
              </w:rPr>
              <w:t>First round recommendation regarding authorisation</w:t>
            </w:r>
            <w:r>
              <w:rPr>
                <w:noProof/>
                <w:webHidden/>
              </w:rPr>
              <w:tab/>
            </w:r>
            <w:r>
              <w:rPr>
                <w:noProof/>
                <w:webHidden/>
              </w:rPr>
              <w:fldChar w:fldCharType="begin"/>
            </w:r>
            <w:r>
              <w:rPr>
                <w:noProof/>
                <w:webHidden/>
              </w:rPr>
              <w:instrText xml:space="preserve"> PAGEREF _Toc435781403 \h </w:instrText>
            </w:r>
            <w:r>
              <w:rPr>
                <w:noProof/>
                <w:webHidden/>
              </w:rPr>
            </w:r>
            <w:r>
              <w:rPr>
                <w:noProof/>
                <w:webHidden/>
              </w:rPr>
              <w:fldChar w:fldCharType="separate"/>
            </w:r>
            <w:r>
              <w:rPr>
                <w:noProof/>
                <w:webHidden/>
              </w:rPr>
              <w:t>19</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04" w:history="1">
            <w:r w:rsidRPr="00AF0531">
              <w:rPr>
                <w:rStyle w:val="Hyperlink"/>
                <w:noProof/>
              </w:rPr>
              <w:t>Clinical questions</w:t>
            </w:r>
            <w:r>
              <w:rPr>
                <w:noProof/>
                <w:webHidden/>
              </w:rPr>
              <w:tab/>
            </w:r>
            <w:r>
              <w:rPr>
                <w:noProof/>
                <w:webHidden/>
              </w:rPr>
              <w:fldChar w:fldCharType="begin"/>
            </w:r>
            <w:r>
              <w:rPr>
                <w:noProof/>
                <w:webHidden/>
              </w:rPr>
              <w:instrText xml:space="preserve"> PAGEREF _Toc435781404 \h </w:instrText>
            </w:r>
            <w:r>
              <w:rPr>
                <w:noProof/>
                <w:webHidden/>
              </w:rPr>
            </w:r>
            <w:r>
              <w:rPr>
                <w:noProof/>
                <w:webHidden/>
              </w:rPr>
              <w:fldChar w:fldCharType="separate"/>
            </w:r>
            <w:r>
              <w:rPr>
                <w:noProof/>
                <w:webHidden/>
              </w:rPr>
              <w:t>19</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05" w:history="1">
            <w:r w:rsidRPr="00AF053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_Toc435781405 \h </w:instrText>
            </w:r>
            <w:r>
              <w:rPr>
                <w:noProof/>
                <w:webHidden/>
              </w:rPr>
            </w:r>
            <w:r>
              <w:rPr>
                <w:noProof/>
                <w:webHidden/>
              </w:rPr>
              <w:fldChar w:fldCharType="separate"/>
            </w:r>
            <w:r>
              <w:rPr>
                <w:noProof/>
                <w:webHidden/>
              </w:rPr>
              <w:t>20</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06" w:history="1">
            <w:r w:rsidRPr="00AF0531">
              <w:rPr>
                <w:rStyle w:val="Hyperlink"/>
                <w:noProof/>
              </w:rPr>
              <w:t>Second round benefit-risk assessment</w:t>
            </w:r>
            <w:r>
              <w:rPr>
                <w:noProof/>
                <w:webHidden/>
              </w:rPr>
              <w:tab/>
            </w:r>
            <w:r>
              <w:rPr>
                <w:noProof/>
                <w:webHidden/>
              </w:rPr>
              <w:fldChar w:fldCharType="begin"/>
            </w:r>
            <w:r>
              <w:rPr>
                <w:noProof/>
                <w:webHidden/>
              </w:rPr>
              <w:instrText xml:space="preserve"> PAGEREF _Toc435781406 \h </w:instrText>
            </w:r>
            <w:r>
              <w:rPr>
                <w:noProof/>
                <w:webHidden/>
              </w:rPr>
            </w:r>
            <w:r>
              <w:rPr>
                <w:noProof/>
                <w:webHidden/>
              </w:rPr>
              <w:fldChar w:fldCharType="separate"/>
            </w:r>
            <w:r>
              <w:rPr>
                <w:noProof/>
                <w:webHidden/>
              </w:rPr>
              <w:t>20</w:t>
            </w:r>
            <w:r>
              <w:rPr>
                <w:noProof/>
                <w:webHidden/>
              </w:rPr>
              <w:fldChar w:fldCharType="end"/>
            </w:r>
          </w:hyperlink>
        </w:p>
        <w:p w:rsidR="001E0663" w:rsidRDefault="001E0663">
          <w:pPr>
            <w:pStyle w:val="TOC2"/>
            <w:rPr>
              <w:rFonts w:asciiTheme="minorHAnsi" w:eastAsiaTheme="minorEastAsia" w:hAnsiTheme="minorHAnsi" w:cstheme="minorBidi"/>
              <w:b w:val="0"/>
              <w:noProof/>
              <w:sz w:val="22"/>
              <w:lang w:eastAsia="en-AU"/>
            </w:rPr>
          </w:pPr>
          <w:hyperlink w:anchor="_Toc435781407" w:history="1">
            <w:r w:rsidRPr="00AF0531">
              <w:rPr>
                <w:rStyle w:val="Hyperlink"/>
                <w:noProof/>
              </w:rPr>
              <w:t>V. Pharmacovigilance findings</w:t>
            </w:r>
            <w:r>
              <w:rPr>
                <w:noProof/>
                <w:webHidden/>
              </w:rPr>
              <w:tab/>
            </w:r>
            <w:r>
              <w:rPr>
                <w:noProof/>
                <w:webHidden/>
              </w:rPr>
              <w:fldChar w:fldCharType="begin"/>
            </w:r>
            <w:r>
              <w:rPr>
                <w:noProof/>
                <w:webHidden/>
              </w:rPr>
              <w:instrText xml:space="preserve"> PAGEREF _Toc435781407 \h </w:instrText>
            </w:r>
            <w:r>
              <w:rPr>
                <w:noProof/>
                <w:webHidden/>
              </w:rPr>
            </w:r>
            <w:r>
              <w:rPr>
                <w:noProof/>
                <w:webHidden/>
              </w:rPr>
              <w:fldChar w:fldCharType="separate"/>
            </w:r>
            <w:r>
              <w:rPr>
                <w:noProof/>
                <w:webHidden/>
              </w:rPr>
              <w:t>21</w:t>
            </w:r>
            <w:r>
              <w:rPr>
                <w:noProof/>
                <w:webHidden/>
              </w:rPr>
              <w:fldChar w:fldCharType="end"/>
            </w:r>
          </w:hyperlink>
        </w:p>
        <w:p w:rsidR="001E0663" w:rsidRDefault="001E0663">
          <w:pPr>
            <w:pStyle w:val="TOC2"/>
            <w:rPr>
              <w:rFonts w:asciiTheme="minorHAnsi" w:eastAsiaTheme="minorEastAsia" w:hAnsiTheme="minorHAnsi" w:cstheme="minorBidi"/>
              <w:b w:val="0"/>
              <w:noProof/>
              <w:sz w:val="22"/>
              <w:lang w:eastAsia="en-AU"/>
            </w:rPr>
          </w:pPr>
          <w:hyperlink w:anchor="_Toc435781408" w:history="1">
            <w:r w:rsidRPr="00AF0531">
              <w:rPr>
                <w:rStyle w:val="Hyperlink"/>
                <w:noProof/>
              </w:rPr>
              <w:t>VI. Overall conclusion and risk/benefit assessment</w:t>
            </w:r>
            <w:r>
              <w:rPr>
                <w:noProof/>
                <w:webHidden/>
              </w:rPr>
              <w:tab/>
            </w:r>
            <w:r>
              <w:rPr>
                <w:noProof/>
                <w:webHidden/>
              </w:rPr>
              <w:fldChar w:fldCharType="begin"/>
            </w:r>
            <w:r>
              <w:rPr>
                <w:noProof/>
                <w:webHidden/>
              </w:rPr>
              <w:instrText xml:space="preserve"> PAGEREF _Toc435781408 \h </w:instrText>
            </w:r>
            <w:r>
              <w:rPr>
                <w:noProof/>
                <w:webHidden/>
              </w:rPr>
            </w:r>
            <w:r>
              <w:rPr>
                <w:noProof/>
                <w:webHidden/>
              </w:rPr>
              <w:fldChar w:fldCharType="separate"/>
            </w:r>
            <w:r>
              <w:rPr>
                <w:noProof/>
                <w:webHidden/>
              </w:rPr>
              <w:t>21</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09" w:history="1">
            <w:r w:rsidRPr="00AF0531">
              <w:rPr>
                <w:rStyle w:val="Hyperlink"/>
                <w:noProof/>
              </w:rPr>
              <w:t>Quality</w:t>
            </w:r>
            <w:r>
              <w:rPr>
                <w:noProof/>
                <w:webHidden/>
              </w:rPr>
              <w:tab/>
            </w:r>
            <w:r>
              <w:rPr>
                <w:noProof/>
                <w:webHidden/>
              </w:rPr>
              <w:fldChar w:fldCharType="begin"/>
            </w:r>
            <w:r>
              <w:rPr>
                <w:noProof/>
                <w:webHidden/>
              </w:rPr>
              <w:instrText xml:space="preserve"> PAGEREF _Toc435781409 \h </w:instrText>
            </w:r>
            <w:r>
              <w:rPr>
                <w:noProof/>
                <w:webHidden/>
              </w:rPr>
            </w:r>
            <w:r>
              <w:rPr>
                <w:noProof/>
                <w:webHidden/>
              </w:rPr>
              <w:fldChar w:fldCharType="separate"/>
            </w:r>
            <w:r>
              <w:rPr>
                <w:noProof/>
                <w:webHidden/>
              </w:rPr>
              <w:t>22</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10" w:history="1">
            <w:r w:rsidRPr="00AF0531">
              <w:rPr>
                <w:rStyle w:val="Hyperlink"/>
                <w:noProof/>
              </w:rPr>
              <w:t>Nonclinical</w:t>
            </w:r>
            <w:r>
              <w:rPr>
                <w:noProof/>
                <w:webHidden/>
              </w:rPr>
              <w:tab/>
            </w:r>
            <w:r>
              <w:rPr>
                <w:noProof/>
                <w:webHidden/>
              </w:rPr>
              <w:fldChar w:fldCharType="begin"/>
            </w:r>
            <w:r>
              <w:rPr>
                <w:noProof/>
                <w:webHidden/>
              </w:rPr>
              <w:instrText xml:space="preserve"> PAGEREF _Toc435781410 \h </w:instrText>
            </w:r>
            <w:r>
              <w:rPr>
                <w:noProof/>
                <w:webHidden/>
              </w:rPr>
            </w:r>
            <w:r>
              <w:rPr>
                <w:noProof/>
                <w:webHidden/>
              </w:rPr>
              <w:fldChar w:fldCharType="separate"/>
            </w:r>
            <w:r>
              <w:rPr>
                <w:noProof/>
                <w:webHidden/>
              </w:rPr>
              <w:t>22</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11" w:history="1">
            <w:r w:rsidRPr="00AF0531">
              <w:rPr>
                <w:rStyle w:val="Hyperlink"/>
                <w:noProof/>
              </w:rPr>
              <w:t>Clinical</w:t>
            </w:r>
            <w:r>
              <w:rPr>
                <w:noProof/>
                <w:webHidden/>
              </w:rPr>
              <w:tab/>
            </w:r>
            <w:r>
              <w:rPr>
                <w:noProof/>
                <w:webHidden/>
              </w:rPr>
              <w:fldChar w:fldCharType="begin"/>
            </w:r>
            <w:r>
              <w:rPr>
                <w:noProof/>
                <w:webHidden/>
              </w:rPr>
              <w:instrText xml:space="preserve"> PAGEREF _Toc435781411 \h </w:instrText>
            </w:r>
            <w:r>
              <w:rPr>
                <w:noProof/>
                <w:webHidden/>
              </w:rPr>
            </w:r>
            <w:r>
              <w:rPr>
                <w:noProof/>
                <w:webHidden/>
              </w:rPr>
              <w:fldChar w:fldCharType="separate"/>
            </w:r>
            <w:r>
              <w:rPr>
                <w:noProof/>
                <w:webHidden/>
              </w:rPr>
              <w:t>22</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12" w:history="1">
            <w:r w:rsidRPr="00AF0531">
              <w:rPr>
                <w:rStyle w:val="Hyperlink"/>
                <w:noProof/>
              </w:rPr>
              <w:t>Risk management plan</w:t>
            </w:r>
            <w:r>
              <w:rPr>
                <w:noProof/>
                <w:webHidden/>
              </w:rPr>
              <w:tab/>
            </w:r>
            <w:r>
              <w:rPr>
                <w:noProof/>
                <w:webHidden/>
              </w:rPr>
              <w:fldChar w:fldCharType="begin"/>
            </w:r>
            <w:r>
              <w:rPr>
                <w:noProof/>
                <w:webHidden/>
              </w:rPr>
              <w:instrText xml:space="preserve"> PAGEREF _Toc435781412 \h </w:instrText>
            </w:r>
            <w:r>
              <w:rPr>
                <w:noProof/>
                <w:webHidden/>
              </w:rPr>
            </w:r>
            <w:r>
              <w:rPr>
                <w:noProof/>
                <w:webHidden/>
              </w:rPr>
              <w:fldChar w:fldCharType="separate"/>
            </w:r>
            <w:r>
              <w:rPr>
                <w:noProof/>
                <w:webHidden/>
              </w:rPr>
              <w:t>30</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13" w:history="1">
            <w:r w:rsidRPr="00AF0531">
              <w:rPr>
                <w:rStyle w:val="Hyperlink"/>
                <w:noProof/>
              </w:rPr>
              <w:t>Summary</w:t>
            </w:r>
            <w:r>
              <w:rPr>
                <w:noProof/>
                <w:webHidden/>
              </w:rPr>
              <w:tab/>
            </w:r>
            <w:r>
              <w:rPr>
                <w:noProof/>
                <w:webHidden/>
              </w:rPr>
              <w:fldChar w:fldCharType="begin"/>
            </w:r>
            <w:r>
              <w:rPr>
                <w:noProof/>
                <w:webHidden/>
              </w:rPr>
              <w:instrText xml:space="preserve"> PAGEREF _Toc435781413 \h </w:instrText>
            </w:r>
            <w:r>
              <w:rPr>
                <w:noProof/>
                <w:webHidden/>
              </w:rPr>
            </w:r>
            <w:r>
              <w:rPr>
                <w:noProof/>
                <w:webHidden/>
              </w:rPr>
              <w:fldChar w:fldCharType="separate"/>
            </w:r>
            <w:r>
              <w:rPr>
                <w:noProof/>
                <w:webHidden/>
              </w:rPr>
              <w:t>31</w:t>
            </w:r>
            <w:r>
              <w:rPr>
                <w:noProof/>
                <w:webHidden/>
              </w:rPr>
              <w:fldChar w:fldCharType="end"/>
            </w:r>
          </w:hyperlink>
        </w:p>
        <w:p w:rsidR="001E0663" w:rsidRDefault="001E0663">
          <w:pPr>
            <w:pStyle w:val="TOC3"/>
            <w:rPr>
              <w:rFonts w:asciiTheme="minorHAnsi" w:eastAsiaTheme="minorEastAsia" w:hAnsiTheme="minorHAnsi" w:cstheme="minorBidi"/>
              <w:noProof/>
              <w:lang w:eastAsia="en-AU"/>
            </w:rPr>
          </w:pPr>
          <w:hyperlink w:anchor="_Toc435781414" w:history="1">
            <w:r w:rsidRPr="00AF0531">
              <w:rPr>
                <w:rStyle w:val="Hyperlink"/>
                <w:noProof/>
              </w:rPr>
              <w:t>Outcome</w:t>
            </w:r>
            <w:r>
              <w:rPr>
                <w:noProof/>
                <w:webHidden/>
              </w:rPr>
              <w:tab/>
            </w:r>
            <w:r>
              <w:rPr>
                <w:noProof/>
                <w:webHidden/>
              </w:rPr>
              <w:fldChar w:fldCharType="begin"/>
            </w:r>
            <w:r>
              <w:rPr>
                <w:noProof/>
                <w:webHidden/>
              </w:rPr>
              <w:instrText xml:space="preserve"> PAGEREF _Toc435781414 \h </w:instrText>
            </w:r>
            <w:r>
              <w:rPr>
                <w:noProof/>
                <w:webHidden/>
              </w:rPr>
            </w:r>
            <w:r>
              <w:rPr>
                <w:noProof/>
                <w:webHidden/>
              </w:rPr>
              <w:fldChar w:fldCharType="separate"/>
            </w:r>
            <w:r>
              <w:rPr>
                <w:noProof/>
                <w:webHidden/>
              </w:rPr>
              <w:t>37</w:t>
            </w:r>
            <w:r>
              <w:rPr>
                <w:noProof/>
                <w:webHidden/>
              </w:rPr>
              <w:fldChar w:fldCharType="end"/>
            </w:r>
          </w:hyperlink>
        </w:p>
        <w:p w:rsidR="001E0663" w:rsidRDefault="001E0663">
          <w:pPr>
            <w:pStyle w:val="TOC2"/>
            <w:rPr>
              <w:rFonts w:asciiTheme="minorHAnsi" w:eastAsiaTheme="minorEastAsia" w:hAnsiTheme="minorHAnsi" w:cstheme="minorBidi"/>
              <w:b w:val="0"/>
              <w:noProof/>
              <w:sz w:val="22"/>
              <w:lang w:eastAsia="en-AU"/>
            </w:rPr>
          </w:pPr>
          <w:hyperlink w:anchor="_Toc435781415" w:history="1">
            <w:r w:rsidRPr="00AF0531">
              <w:rPr>
                <w:rStyle w:val="Hyperlink"/>
                <w:noProof/>
              </w:rPr>
              <w:t>Attachment 1. Product Information</w:t>
            </w:r>
            <w:r>
              <w:rPr>
                <w:noProof/>
                <w:webHidden/>
              </w:rPr>
              <w:tab/>
            </w:r>
            <w:r>
              <w:rPr>
                <w:noProof/>
                <w:webHidden/>
              </w:rPr>
              <w:fldChar w:fldCharType="begin"/>
            </w:r>
            <w:r>
              <w:rPr>
                <w:noProof/>
                <w:webHidden/>
              </w:rPr>
              <w:instrText xml:space="preserve"> PAGEREF _Toc435781415 \h </w:instrText>
            </w:r>
            <w:r>
              <w:rPr>
                <w:noProof/>
                <w:webHidden/>
              </w:rPr>
            </w:r>
            <w:r>
              <w:rPr>
                <w:noProof/>
                <w:webHidden/>
              </w:rPr>
              <w:fldChar w:fldCharType="separate"/>
            </w:r>
            <w:r>
              <w:rPr>
                <w:noProof/>
                <w:webHidden/>
              </w:rPr>
              <w:t>38</w:t>
            </w:r>
            <w:r>
              <w:rPr>
                <w:noProof/>
                <w:webHidden/>
              </w:rPr>
              <w:fldChar w:fldCharType="end"/>
            </w:r>
          </w:hyperlink>
        </w:p>
        <w:p w:rsidR="001E0663" w:rsidRDefault="001E0663">
          <w:pPr>
            <w:pStyle w:val="TOC2"/>
            <w:rPr>
              <w:rFonts w:asciiTheme="minorHAnsi" w:eastAsiaTheme="minorEastAsia" w:hAnsiTheme="minorHAnsi" w:cstheme="minorBidi"/>
              <w:b w:val="0"/>
              <w:noProof/>
              <w:sz w:val="22"/>
              <w:lang w:eastAsia="en-AU"/>
            </w:rPr>
          </w:pPr>
          <w:hyperlink w:anchor="_Toc435781416" w:history="1">
            <w:r w:rsidRPr="00AF0531">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_Toc435781416 \h </w:instrText>
            </w:r>
            <w:r>
              <w:rPr>
                <w:noProof/>
                <w:webHidden/>
              </w:rPr>
            </w:r>
            <w:r>
              <w:rPr>
                <w:noProof/>
                <w:webHidden/>
              </w:rPr>
              <w:fldChar w:fldCharType="separate"/>
            </w:r>
            <w:r>
              <w:rPr>
                <w:noProof/>
                <w:webHidden/>
              </w:rPr>
              <w:t>38</w:t>
            </w:r>
            <w:r>
              <w:rPr>
                <w:noProof/>
                <w:webHidden/>
              </w:rPr>
              <w:fldChar w:fldCharType="end"/>
            </w:r>
          </w:hyperlink>
        </w:p>
        <w:p w:rsidR="00CB6B67" w:rsidRPr="00B811C6" w:rsidRDefault="00CB6B67" w:rsidP="00CB6B67">
          <w:pPr>
            <w:pStyle w:val="TOC2"/>
          </w:pPr>
          <w:r>
            <w:fldChar w:fldCharType="end"/>
          </w:r>
        </w:p>
      </w:sdtContent>
    </w:sdt>
    <w:p w:rsidR="00FD119B" w:rsidRDefault="00FD119B" w:rsidP="00476ED5">
      <w:r>
        <w:br w:type="page"/>
      </w:r>
    </w:p>
    <w:p w:rsidR="00FD119B" w:rsidRPr="000234E6" w:rsidRDefault="00FD119B" w:rsidP="000234E6">
      <w:pPr>
        <w:pStyle w:val="Heading2"/>
      </w:pPr>
      <w:bookmarkStart w:id="4" w:name="_Toc351716269"/>
      <w:bookmarkStart w:id="5" w:name="_Toc351718881"/>
      <w:bookmarkStart w:id="6" w:name="_Toc355338616"/>
      <w:bookmarkStart w:id="7" w:name="_Toc356306144"/>
      <w:bookmarkStart w:id="8" w:name="_Toc434223842"/>
      <w:bookmarkStart w:id="9" w:name="_Toc435781387"/>
      <w:r w:rsidRPr="00FD119B">
        <w:lastRenderedPageBreak/>
        <w:t>List of the most common abbreviations</w:t>
      </w:r>
      <w:bookmarkEnd w:id="4"/>
      <w:bookmarkEnd w:id="5"/>
      <w:bookmarkEnd w:id="6"/>
      <w:bookmarkEnd w:id="7"/>
      <w:r w:rsidRPr="00FD119B">
        <w:t xml:space="preserve"> used in this </w:t>
      </w:r>
      <w:proofErr w:type="spellStart"/>
      <w:r w:rsidRPr="004F0C4A">
        <w:t>AusPAR</w:t>
      </w:r>
      <w:bookmarkEnd w:id="8"/>
      <w:bookmarkEnd w:id="9"/>
      <w:proofErr w:type="spellEnd"/>
    </w:p>
    <w:tbl>
      <w:tblPr>
        <w:tblStyle w:val="TableTGAblue"/>
        <w:tblW w:w="8801" w:type="dxa"/>
        <w:tblLook w:val="04A0" w:firstRow="1" w:lastRow="0" w:firstColumn="1" w:lastColumn="0" w:noHBand="0" w:noVBand="1"/>
      </w:tblPr>
      <w:tblGrid>
        <w:gridCol w:w="1970"/>
        <w:gridCol w:w="6831"/>
      </w:tblGrid>
      <w:tr w:rsidR="00F72391" w:rsidRPr="00BB3345" w:rsidTr="000234E6">
        <w:trPr>
          <w:cnfStyle w:val="100000000000" w:firstRow="1" w:lastRow="0" w:firstColumn="0" w:lastColumn="0" w:oddVBand="0" w:evenVBand="0" w:oddHBand="0" w:evenHBand="0" w:firstRowFirstColumn="0" w:firstRowLastColumn="0" w:lastRowFirstColumn="0" w:lastRowLastColumn="0"/>
        </w:trPr>
        <w:tc>
          <w:tcPr>
            <w:tcW w:w="1970" w:type="dxa"/>
          </w:tcPr>
          <w:p w:rsidR="00F72391" w:rsidRPr="00E63828" w:rsidRDefault="00F72391" w:rsidP="000234E6">
            <w:pPr>
              <w:rPr>
                <w:b w:val="0"/>
              </w:rPr>
            </w:pPr>
            <w:r w:rsidRPr="00E63828">
              <w:t>Abbreviation</w:t>
            </w:r>
          </w:p>
        </w:tc>
        <w:tc>
          <w:tcPr>
            <w:tcW w:w="6831" w:type="dxa"/>
          </w:tcPr>
          <w:p w:rsidR="00F72391" w:rsidRPr="00E63828" w:rsidRDefault="00F72391" w:rsidP="000234E6">
            <w:pPr>
              <w:rPr>
                <w:b w:val="0"/>
              </w:rPr>
            </w:pPr>
            <w:r w:rsidRPr="00E63828">
              <w:t>Meaning</w:t>
            </w:r>
          </w:p>
        </w:tc>
      </w:tr>
      <w:tr w:rsidR="00F72391" w:rsidRPr="00BB3345" w:rsidTr="000234E6">
        <w:tc>
          <w:tcPr>
            <w:tcW w:w="1970" w:type="dxa"/>
          </w:tcPr>
          <w:p w:rsidR="00F72391" w:rsidRPr="00BB3345" w:rsidRDefault="00F72391" w:rsidP="000234E6">
            <w:r w:rsidRPr="00BB3345">
              <w:t>ACR</w:t>
            </w:r>
          </w:p>
        </w:tc>
        <w:tc>
          <w:tcPr>
            <w:tcW w:w="6831" w:type="dxa"/>
          </w:tcPr>
          <w:p w:rsidR="00F72391" w:rsidRPr="00E63828" w:rsidRDefault="00F72391" w:rsidP="000234E6">
            <w:r w:rsidRPr="00E63828">
              <w:t>American College of Rheumatology</w:t>
            </w:r>
          </w:p>
        </w:tc>
      </w:tr>
      <w:tr w:rsidR="00F72391" w:rsidRPr="00BB3345" w:rsidTr="000234E6">
        <w:tc>
          <w:tcPr>
            <w:tcW w:w="1970" w:type="dxa"/>
          </w:tcPr>
          <w:p w:rsidR="00F72391" w:rsidRPr="00BB3345" w:rsidRDefault="00F72391" w:rsidP="000234E6">
            <w:r w:rsidRPr="00BB3345">
              <w:t>AE</w:t>
            </w:r>
          </w:p>
        </w:tc>
        <w:tc>
          <w:tcPr>
            <w:tcW w:w="6831" w:type="dxa"/>
          </w:tcPr>
          <w:p w:rsidR="00F72391" w:rsidRPr="00BB3345" w:rsidRDefault="00F72391" w:rsidP="000234E6">
            <w:r w:rsidRPr="00BB3345">
              <w:t>adverse event</w:t>
            </w:r>
          </w:p>
        </w:tc>
      </w:tr>
      <w:tr w:rsidR="00F72391" w:rsidRPr="00BB3345" w:rsidTr="000234E6">
        <w:tc>
          <w:tcPr>
            <w:tcW w:w="1970" w:type="dxa"/>
          </w:tcPr>
          <w:p w:rsidR="00F72391" w:rsidRPr="00BB3345" w:rsidRDefault="00F72391" w:rsidP="000234E6">
            <w:r w:rsidRPr="00BB3345">
              <w:t>ALT</w:t>
            </w:r>
          </w:p>
        </w:tc>
        <w:tc>
          <w:tcPr>
            <w:tcW w:w="6831" w:type="dxa"/>
          </w:tcPr>
          <w:p w:rsidR="00F72391" w:rsidRPr="00BB3345" w:rsidRDefault="00F72391" w:rsidP="000234E6">
            <w:r w:rsidRPr="00BB3345">
              <w:t>alanine aminotransferase</w:t>
            </w:r>
          </w:p>
        </w:tc>
      </w:tr>
      <w:tr w:rsidR="00A06665" w:rsidRPr="00BB3345" w:rsidTr="000234E6">
        <w:tc>
          <w:tcPr>
            <w:tcW w:w="1970" w:type="dxa"/>
          </w:tcPr>
          <w:p w:rsidR="00A06665" w:rsidRPr="00BB3345" w:rsidRDefault="00A06665" w:rsidP="000234E6">
            <w:r>
              <w:t>CER</w:t>
            </w:r>
          </w:p>
        </w:tc>
        <w:tc>
          <w:tcPr>
            <w:tcW w:w="6831" w:type="dxa"/>
          </w:tcPr>
          <w:p w:rsidR="00A06665" w:rsidRPr="00BB3345" w:rsidRDefault="00F204B7" w:rsidP="000234E6">
            <w:r>
              <w:t>c</w:t>
            </w:r>
            <w:r w:rsidR="00A06665">
              <w:t>linical evaluation report</w:t>
            </w:r>
          </w:p>
        </w:tc>
      </w:tr>
      <w:tr w:rsidR="00F72391" w:rsidRPr="00BB3345" w:rsidTr="000234E6">
        <w:tc>
          <w:tcPr>
            <w:tcW w:w="1970" w:type="dxa"/>
          </w:tcPr>
          <w:p w:rsidR="00F72391" w:rsidRPr="00BB3345" w:rsidRDefault="00F72391" w:rsidP="000234E6">
            <w:r w:rsidRPr="00BB3345">
              <w:t>CI</w:t>
            </w:r>
          </w:p>
        </w:tc>
        <w:tc>
          <w:tcPr>
            <w:tcW w:w="6831" w:type="dxa"/>
          </w:tcPr>
          <w:p w:rsidR="00F72391" w:rsidRPr="00BB3345" w:rsidRDefault="00F72391" w:rsidP="000234E6">
            <w:r w:rsidRPr="00BB3345">
              <w:t>confidence interval</w:t>
            </w:r>
          </w:p>
        </w:tc>
      </w:tr>
      <w:tr w:rsidR="00F72391" w:rsidRPr="00BB3345" w:rsidTr="000234E6">
        <w:tc>
          <w:tcPr>
            <w:tcW w:w="1970" w:type="dxa"/>
          </w:tcPr>
          <w:p w:rsidR="00F72391" w:rsidRPr="00BB3345" w:rsidRDefault="00F72391" w:rsidP="000234E6">
            <w:r w:rsidRPr="00BB3345">
              <w:t>CRP</w:t>
            </w:r>
          </w:p>
        </w:tc>
        <w:tc>
          <w:tcPr>
            <w:tcW w:w="6831" w:type="dxa"/>
          </w:tcPr>
          <w:p w:rsidR="00F72391" w:rsidRPr="00BB3345" w:rsidRDefault="00F72391" w:rsidP="000234E6">
            <w:r w:rsidRPr="00BB3345">
              <w:t>c-reactive protein</w:t>
            </w:r>
          </w:p>
        </w:tc>
      </w:tr>
      <w:tr w:rsidR="00C97967" w:rsidRPr="00BB3345" w:rsidTr="000234E6">
        <w:tc>
          <w:tcPr>
            <w:tcW w:w="1970" w:type="dxa"/>
          </w:tcPr>
          <w:p w:rsidR="00C97967" w:rsidRPr="00BB3345" w:rsidRDefault="00C97967" w:rsidP="000234E6">
            <w:r>
              <w:t>CS</w:t>
            </w:r>
          </w:p>
        </w:tc>
        <w:tc>
          <w:tcPr>
            <w:tcW w:w="6831" w:type="dxa"/>
          </w:tcPr>
          <w:p w:rsidR="00C97967" w:rsidRPr="00BB3345" w:rsidRDefault="00F204B7" w:rsidP="000234E6">
            <w:r>
              <w:t>corticosteroids</w:t>
            </w:r>
          </w:p>
        </w:tc>
      </w:tr>
      <w:tr w:rsidR="000F06F8" w:rsidRPr="00BB3345" w:rsidTr="000234E6">
        <w:tc>
          <w:tcPr>
            <w:tcW w:w="1970" w:type="dxa"/>
          </w:tcPr>
          <w:p w:rsidR="000F06F8" w:rsidRPr="00BB3345" w:rsidRDefault="000F06F8" w:rsidP="000234E6">
            <w:r>
              <w:t>CXR</w:t>
            </w:r>
          </w:p>
        </w:tc>
        <w:tc>
          <w:tcPr>
            <w:tcW w:w="6831" w:type="dxa"/>
          </w:tcPr>
          <w:p w:rsidR="000F06F8" w:rsidRPr="00BB3345" w:rsidRDefault="000F06F8" w:rsidP="000234E6">
            <w:r>
              <w:t>chest X-ray</w:t>
            </w:r>
          </w:p>
        </w:tc>
      </w:tr>
      <w:tr w:rsidR="00F72391" w:rsidRPr="00BB3345" w:rsidTr="000234E6">
        <w:tc>
          <w:tcPr>
            <w:tcW w:w="1970" w:type="dxa"/>
          </w:tcPr>
          <w:p w:rsidR="00F72391" w:rsidRPr="00BB3345" w:rsidRDefault="00F72391" w:rsidP="000234E6">
            <w:r w:rsidRPr="00BB3345">
              <w:t>CZP</w:t>
            </w:r>
          </w:p>
        </w:tc>
        <w:tc>
          <w:tcPr>
            <w:tcW w:w="6831" w:type="dxa"/>
          </w:tcPr>
          <w:p w:rsidR="00F72391" w:rsidRPr="00BB3345" w:rsidRDefault="00F72391" w:rsidP="000234E6">
            <w:r w:rsidRPr="00BB3345">
              <w:t>certolizumab pegol</w:t>
            </w:r>
          </w:p>
        </w:tc>
      </w:tr>
      <w:tr w:rsidR="00F72391" w:rsidRPr="00BB3345" w:rsidTr="000234E6">
        <w:tc>
          <w:tcPr>
            <w:tcW w:w="1970" w:type="dxa"/>
          </w:tcPr>
          <w:p w:rsidR="00F72391" w:rsidRPr="00BB3345" w:rsidRDefault="00814449" w:rsidP="000234E6">
            <w:r>
              <w:t>DAS28</w:t>
            </w:r>
          </w:p>
        </w:tc>
        <w:tc>
          <w:tcPr>
            <w:tcW w:w="6831" w:type="dxa"/>
          </w:tcPr>
          <w:p w:rsidR="00F72391" w:rsidRPr="00BB3345" w:rsidRDefault="00F72391" w:rsidP="000234E6">
            <w:r w:rsidRPr="00BB3345">
              <w:t>disease activity s</w:t>
            </w:r>
            <w:r w:rsidR="00814449">
              <w:t>core for 28 joints</w:t>
            </w:r>
          </w:p>
        </w:tc>
      </w:tr>
      <w:tr w:rsidR="00814449" w:rsidRPr="00BB3345" w:rsidTr="000234E6">
        <w:tc>
          <w:tcPr>
            <w:tcW w:w="1970" w:type="dxa"/>
          </w:tcPr>
          <w:p w:rsidR="00814449" w:rsidRDefault="00814449" w:rsidP="000234E6">
            <w:r>
              <w:t>DAS28(ESR)</w:t>
            </w:r>
          </w:p>
        </w:tc>
        <w:tc>
          <w:tcPr>
            <w:tcW w:w="6831" w:type="dxa"/>
          </w:tcPr>
          <w:p w:rsidR="00814449" w:rsidRPr="00BB3345" w:rsidRDefault="00814449" w:rsidP="000234E6">
            <w:r w:rsidRPr="00814449">
              <w:t>disease activity score for 28</w:t>
            </w:r>
            <w:r>
              <w:t xml:space="preserve"> joints, including erythrocyte sedimentation rate (as one of the measures of disease activity)</w:t>
            </w:r>
          </w:p>
        </w:tc>
      </w:tr>
      <w:tr w:rsidR="00F72391" w:rsidRPr="00BB3345" w:rsidTr="000234E6">
        <w:tc>
          <w:tcPr>
            <w:tcW w:w="1970" w:type="dxa"/>
          </w:tcPr>
          <w:p w:rsidR="00F72391" w:rsidRPr="00BB3345" w:rsidRDefault="00F72391" w:rsidP="000234E6">
            <w:r w:rsidRPr="00BB3345">
              <w:t>DMARD</w:t>
            </w:r>
          </w:p>
        </w:tc>
        <w:tc>
          <w:tcPr>
            <w:tcW w:w="6831" w:type="dxa"/>
          </w:tcPr>
          <w:p w:rsidR="00F72391" w:rsidRPr="00BB3345" w:rsidRDefault="00F72391" w:rsidP="000234E6">
            <w:r w:rsidRPr="00BB3345">
              <w:t>disease modifying anti-rheumatic drug</w:t>
            </w:r>
          </w:p>
        </w:tc>
      </w:tr>
      <w:tr w:rsidR="002B53B0" w:rsidRPr="00BB3345" w:rsidTr="000234E6">
        <w:tc>
          <w:tcPr>
            <w:tcW w:w="1970" w:type="dxa"/>
          </w:tcPr>
          <w:p w:rsidR="002B53B0" w:rsidRPr="00BB3345" w:rsidRDefault="002B53B0" w:rsidP="000234E6">
            <w:r>
              <w:t>ES</w:t>
            </w:r>
          </w:p>
        </w:tc>
        <w:tc>
          <w:tcPr>
            <w:tcW w:w="6831" w:type="dxa"/>
          </w:tcPr>
          <w:p w:rsidR="002B53B0" w:rsidRPr="00BB3345" w:rsidRDefault="002B53B0" w:rsidP="000234E6">
            <w:r>
              <w:t>erosion score</w:t>
            </w:r>
          </w:p>
        </w:tc>
      </w:tr>
      <w:tr w:rsidR="00F72391" w:rsidRPr="00BB3345" w:rsidTr="000234E6">
        <w:tc>
          <w:tcPr>
            <w:tcW w:w="1970" w:type="dxa"/>
          </w:tcPr>
          <w:p w:rsidR="00F72391" w:rsidRPr="00BB3345" w:rsidRDefault="00F72391" w:rsidP="000234E6">
            <w:r w:rsidRPr="00BB3345">
              <w:t>ESR</w:t>
            </w:r>
          </w:p>
        </w:tc>
        <w:tc>
          <w:tcPr>
            <w:tcW w:w="6831" w:type="dxa"/>
          </w:tcPr>
          <w:p w:rsidR="00F72391" w:rsidRPr="00BB3345" w:rsidRDefault="00F72391" w:rsidP="000234E6">
            <w:r w:rsidRPr="00BB3345">
              <w:t>erythrocyte sedimentation rate</w:t>
            </w:r>
          </w:p>
        </w:tc>
      </w:tr>
      <w:tr w:rsidR="00D87579" w:rsidRPr="00BB3345" w:rsidTr="000234E6">
        <w:tc>
          <w:tcPr>
            <w:tcW w:w="1970" w:type="dxa"/>
          </w:tcPr>
          <w:p w:rsidR="00D87579" w:rsidRPr="00BB3345" w:rsidRDefault="00D87579" w:rsidP="000234E6">
            <w:r>
              <w:t>EU</w:t>
            </w:r>
          </w:p>
        </w:tc>
        <w:tc>
          <w:tcPr>
            <w:tcW w:w="6831" w:type="dxa"/>
          </w:tcPr>
          <w:p w:rsidR="00D87579" w:rsidRPr="00BB3345" w:rsidRDefault="00D87579" w:rsidP="000234E6">
            <w:r>
              <w:t>European Union</w:t>
            </w:r>
          </w:p>
        </w:tc>
      </w:tr>
      <w:tr w:rsidR="00712B3A" w:rsidRPr="00BB3345" w:rsidTr="000234E6">
        <w:tc>
          <w:tcPr>
            <w:tcW w:w="1970" w:type="dxa"/>
          </w:tcPr>
          <w:p w:rsidR="00712B3A" w:rsidRPr="00BB3345" w:rsidRDefault="00712B3A" w:rsidP="000234E6">
            <w:r w:rsidRPr="00712B3A">
              <w:t>Fab</w:t>
            </w:r>
          </w:p>
        </w:tc>
        <w:tc>
          <w:tcPr>
            <w:tcW w:w="6831" w:type="dxa"/>
          </w:tcPr>
          <w:p w:rsidR="00712B3A" w:rsidRPr="00BB3345" w:rsidRDefault="00712B3A" w:rsidP="000234E6">
            <w:r w:rsidRPr="00712B3A">
              <w:t>fragment antigen binding</w:t>
            </w:r>
            <w:r>
              <w:t xml:space="preserve"> </w:t>
            </w:r>
          </w:p>
        </w:tc>
      </w:tr>
      <w:tr w:rsidR="00712B3A" w:rsidRPr="00BB3345" w:rsidTr="000234E6">
        <w:tc>
          <w:tcPr>
            <w:tcW w:w="1970" w:type="dxa"/>
          </w:tcPr>
          <w:p w:rsidR="00712B3A" w:rsidRPr="00712B3A" w:rsidRDefault="00712B3A" w:rsidP="000234E6">
            <w:r>
              <w:t>Fc</w:t>
            </w:r>
          </w:p>
        </w:tc>
        <w:tc>
          <w:tcPr>
            <w:tcW w:w="6831" w:type="dxa"/>
          </w:tcPr>
          <w:p w:rsidR="00712B3A" w:rsidRPr="00712B3A" w:rsidRDefault="00712B3A" w:rsidP="000234E6">
            <w:r>
              <w:t xml:space="preserve">fragment crystallisable </w:t>
            </w:r>
          </w:p>
        </w:tc>
      </w:tr>
      <w:tr w:rsidR="00F72391" w:rsidRPr="00BB3345" w:rsidTr="000234E6">
        <w:tc>
          <w:tcPr>
            <w:tcW w:w="1970" w:type="dxa"/>
          </w:tcPr>
          <w:p w:rsidR="00F72391" w:rsidRPr="00BB3345" w:rsidRDefault="00F72391" w:rsidP="000234E6">
            <w:r w:rsidRPr="00BB3345">
              <w:t>GCP</w:t>
            </w:r>
          </w:p>
        </w:tc>
        <w:tc>
          <w:tcPr>
            <w:tcW w:w="6831" w:type="dxa"/>
          </w:tcPr>
          <w:p w:rsidR="00F72391" w:rsidRPr="00BB3345" w:rsidRDefault="00F72391" w:rsidP="000234E6">
            <w:r w:rsidRPr="00BB3345">
              <w:t>Good Clinical Practice</w:t>
            </w:r>
          </w:p>
        </w:tc>
      </w:tr>
      <w:tr w:rsidR="00F72391" w:rsidRPr="00BB3345" w:rsidTr="000234E6">
        <w:tc>
          <w:tcPr>
            <w:tcW w:w="1970" w:type="dxa"/>
          </w:tcPr>
          <w:p w:rsidR="00F72391" w:rsidRPr="00BB3345" w:rsidRDefault="00F72391" w:rsidP="000234E6">
            <w:r w:rsidRPr="00BB3345">
              <w:t>GI</w:t>
            </w:r>
          </w:p>
        </w:tc>
        <w:tc>
          <w:tcPr>
            <w:tcW w:w="6831" w:type="dxa"/>
          </w:tcPr>
          <w:p w:rsidR="00F72391" w:rsidRPr="00BB3345" w:rsidRDefault="00F72391" w:rsidP="000234E6">
            <w:r w:rsidRPr="00BB3345">
              <w:t>gastro-intestinal</w:t>
            </w:r>
          </w:p>
        </w:tc>
      </w:tr>
      <w:tr w:rsidR="00F72391" w:rsidRPr="00BB3345" w:rsidTr="000234E6">
        <w:tc>
          <w:tcPr>
            <w:tcW w:w="1970" w:type="dxa"/>
          </w:tcPr>
          <w:p w:rsidR="00F72391" w:rsidRPr="00BB3345" w:rsidRDefault="00F72391" w:rsidP="000234E6">
            <w:r w:rsidRPr="00BB3345">
              <w:t>HIV</w:t>
            </w:r>
          </w:p>
        </w:tc>
        <w:tc>
          <w:tcPr>
            <w:tcW w:w="6831" w:type="dxa"/>
          </w:tcPr>
          <w:p w:rsidR="00F72391" w:rsidRPr="00BB3345" w:rsidRDefault="00F72391" w:rsidP="000234E6">
            <w:r w:rsidRPr="00BB3345">
              <w:t>human immunodeficiency virus</w:t>
            </w:r>
          </w:p>
        </w:tc>
      </w:tr>
      <w:tr w:rsidR="00F72391" w:rsidRPr="00BB3345" w:rsidTr="000234E6">
        <w:tc>
          <w:tcPr>
            <w:tcW w:w="1970" w:type="dxa"/>
          </w:tcPr>
          <w:p w:rsidR="00F72391" w:rsidRPr="00BB3345" w:rsidRDefault="00F72391" w:rsidP="000234E6">
            <w:r w:rsidRPr="00BB3345">
              <w:t>ICH</w:t>
            </w:r>
          </w:p>
        </w:tc>
        <w:tc>
          <w:tcPr>
            <w:tcW w:w="6831" w:type="dxa"/>
          </w:tcPr>
          <w:p w:rsidR="00F72391" w:rsidRPr="00BB3345" w:rsidRDefault="00F72391" w:rsidP="000234E6">
            <w:r w:rsidRPr="00BB3345">
              <w:t>International Conference on Harmonisation</w:t>
            </w:r>
          </w:p>
        </w:tc>
      </w:tr>
      <w:tr w:rsidR="000E2556" w:rsidRPr="00BB3345" w:rsidTr="000234E6">
        <w:tc>
          <w:tcPr>
            <w:tcW w:w="1970" w:type="dxa"/>
          </w:tcPr>
          <w:p w:rsidR="000E2556" w:rsidRPr="00BB3345" w:rsidRDefault="000E2556" w:rsidP="000234E6">
            <w:r>
              <w:t>ITT</w:t>
            </w:r>
          </w:p>
        </w:tc>
        <w:tc>
          <w:tcPr>
            <w:tcW w:w="6831" w:type="dxa"/>
          </w:tcPr>
          <w:p w:rsidR="000E2556" w:rsidRPr="00BB3345" w:rsidRDefault="000E2556" w:rsidP="000234E6">
            <w:r>
              <w:t>intend to treat</w:t>
            </w:r>
          </w:p>
        </w:tc>
      </w:tr>
      <w:tr w:rsidR="002B53B0" w:rsidRPr="00BB3345" w:rsidTr="000234E6">
        <w:tc>
          <w:tcPr>
            <w:tcW w:w="1970" w:type="dxa"/>
          </w:tcPr>
          <w:p w:rsidR="002B53B0" w:rsidRDefault="002B53B0" w:rsidP="000234E6">
            <w:r>
              <w:t>JSN</w:t>
            </w:r>
          </w:p>
        </w:tc>
        <w:tc>
          <w:tcPr>
            <w:tcW w:w="6831" w:type="dxa"/>
          </w:tcPr>
          <w:p w:rsidR="002B53B0" w:rsidRDefault="002B53B0" w:rsidP="000234E6">
            <w:r>
              <w:t>joint space narrowing</w:t>
            </w:r>
          </w:p>
        </w:tc>
      </w:tr>
      <w:tr w:rsidR="00C97967" w:rsidRPr="00BB3345" w:rsidTr="000234E6">
        <w:tc>
          <w:tcPr>
            <w:tcW w:w="1970" w:type="dxa"/>
          </w:tcPr>
          <w:p w:rsidR="00C97967" w:rsidRPr="00BB3345" w:rsidRDefault="00C97967" w:rsidP="000234E6">
            <w:r>
              <w:t>LEF</w:t>
            </w:r>
          </w:p>
        </w:tc>
        <w:tc>
          <w:tcPr>
            <w:tcW w:w="6831" w:type="dxa"/>
          </w:tcPr>
          <w:p w:rsidR="00C97967" w:rsidRPr="00BB3345" w:rsidRDefault="00C97967" w:rsidP="000234E6">
            <w:proofErr w:type="spellStart"/>
            <w:r>
              <w:t>leflunomide</w:t>
            </w:r>
            <w:proofErr w:type="spellEnd"/>
          </w:p>
        </w:tc>
      </w:tr>
      <w:tr w:rsidR="00F72391" w:rsidRPr="00BB3345" w:rsidTr="000234E6">
        <w:tc>
          <w:tcPr>
            <w:tcW w:w="1970" w:type="dxa"/>
          </w:tcPr>
          <w:p w:rsidR="00F72391" w:rsidRPr="00BB3345" w:rsidRDefault="00F72391" w:rsidP="000234E6">
            <w:r w:rsidRPr="00BB3345">
              <w:lastRenderedPageBreak/>
              <w:t>LOCF</w:t>
            </w:r>
          </w:p>
        </w:tc>
        <w:tc>
          <w:tcPr>
            <w:tcW w:w="6831" w:type="dxa"/>
          </w:tcPr>
          <w:p w:rsidR="00F72391" w:rsidRPr="00BB3345" w:rsidRDefault="00F72391" w:rsidP="000234E6">
            <w:r w:rsidRPr="00BB3345">
              <w:t>last observation carried forward</w:t>
            </w:r>
          </w:p>
        </w:tc>
      </w:tr>
      <w:tr w:rsidR="00F72391" w:rsidRPr="00BB3345" w:rsidTr="000234E6">
        <w:tc>
          <w:tcPr>
            <w:tcW w:w="1970" w:type="dxa"/>
          </w:tcPr>
          <w:p w:rsidR="00F72391" w:rsidRPr="00BB3345" w:rsidRDefault="00F72391" w:rsidP="000234E6">
            <w:proofErr w:type="spellStart"/>
            <w:r w:rsidRPr="00BB3345">
              <w:t>MedDRA</w:t>
            </w:r>
            <w:proofErr w:type="spellEnd"/>
          </w:p>
        </w:tc>
        <w:tc>
          <w:tcPr>
            <w:tcW w:w="6831" w:type="dxa"/>
          </w:tcPr>
          <w:p w:rsidR="00F72391" w:rsidRPr="00BB3345" w:rsidRDefault="00F72391" w:rsidP="000234E6">
            <w:r w:rsidRPr="00BB3345">
              <w:t>Medical dictionary for Drug Regulatory Affairs</w:t>
            </w:r>
          </w:p>
        </w:tc>
      </w:tr>
      <w:tr w:rsidR="00F72391" w:rsidRPr="00BB3345" w:rsidTr="000234E6">
        <w:tc>
          <w:tcPr>
            <w:tcW w:w="1970" w:type="dxa"/>
          </w:tcPr>
          <w:p w:rsidR="00F72391" w:rsidRPr="00BB3345" w:rsidRDefault="00F72391" w:rsidP="000234E6">
            <w:proofErr w:type="spellStart"/>
            <w:r w:rsidRPr="00BB3345">
              <w:t>mTSS</w:t>
            </w:r>
            <w:proofErr w:type="spellEnd"/>
          </w:p>
        </w:tc>
        <w:tc>
          <w:tcPr>
            <w:tcW w:w="6831" w:type="dxa"/>
          </w:tcPr>
          <w:p w:rsidR="00F72391" w:rsidRPr="00BB3345" w:rsidRDefault="00F72391" w:rsidP="000234E6">
            <w:r w:rsidRPr="00BB3345">
              <w:t>modified total Sharp score</w:t>
            </w:r>
          </w:p>
        </w:tc>
      </w:tr>
      <w:tr w:rsidR="00F72391" w:rsidRPr="00BB3345" w:rsidTr="000234E6">
        <w:tc>
          <w:tcPr>
            <w:tcW w:w="1970" w:type="dxa"/>
          </w:tcPr>
          <w:p w:rsidR="00F72391" w:rsidRPr="00BB3345" w:rsidRDefault="00F72391" w:rsidP="000234E6">
            <w:r w:rsidRPr="00BB3345">
              <w:t>MTX</w:t>
            </w:r>
          </w:p>
        </w:tc>
        <w:tc>
          <w:tcPr>
            <w:tcW w:w="6831" w:type="dxa"/>
          </w:tcPr>
          <w:p w:rsidR="00F72391" w:rsidRPr="00BB3345" w:rsidRDefault="001307E6" w:rsidP="000234E6">
            <w:r w:rsidRPr="00BB3345">
              <w:t>M</w:t>
            </w:r>
            <w:r w:rsidR="00F72391" w:rsidRPr="00BB3345">
              <w:t>ethotrexate</w:t>
            </w:r>
            <w:r>
              <w:t xml:space="preserve"> </w:t>
            </w:r>
          </w:p>
        </w:tc>
      </w:tr>
      <w:tr w:rsidR="00F72391" w:rsidRPr="00BB3345" w:rsidTr="000234E6">
        <w:tc>
          <w:tcPr>
            <w:tcW w:w="1970" w:type="dxa"/>
          </w:tcPr>
          <w:p w:rsidR="00F72391" w:rsidRPr="00BB3345" w:rsidRDefault="00F72391" w:rsidP="000234E6">
            <w:r w:rsidRPr="00BB3345">
              <w:t>NSAID</w:t>
            </w:r>
          </w:p>
        </w:tc>
        <w:tc>
          <w:tcPr>
            <w:tcW w:w="6831" w:type="dxa"/>
          </w:tcPr>
          <w:p w:rsidR="00F72391" w:rsidRPr="00BB3345" w:rsidRDefault="00F72391" w:rsidP="000234E6">
            <w:r w:rsidRPr="00BB3345">
              <w:t>non-steroidal anti-inflammatory drug</w:t>
            </w:r>
          </w:p>
        </w:tc>
      </w:tr>
      <w:tr w:rsidR="00F72391" w:rsidRPr="00BB3345" w:rsidTr="000234E6">
        <w:tc>
          <w:tcPr>
            <w:tcW w:w="1970" w:type="dxa"/>
          </w:tcPr>
          <w:p w:rsidR="00F72391" w:rsidRPr="00BB3345" w:rsidRDefault="00F72391" w:rsidP="000234E6">
            <w:r w:rsidRPr="00BB3345">
              <w:t>PEG</w:t>
            </w:r>
          </w:p>
        </w:tc>
        <w:tc>
          <w:tcPr>
            <w:tcW w:w="6831" w:type="dxa"/>
          </w:tcPr>
          <w:p w:rsidR="00F72391" w:rsidRPr="00BB3345" w:rsidRDefault="00F72391" w:rsidP="000234E6">
            <w:r w:rsidRPr="00BB3345">
              <w:t>polyethylene glycol</w:t>
            </w:r>
          </w:p>
        </w:tc>
      </w:tr>
      <w:tr w:rsidR="00F72391" w:rsidRPr="00BB3345" w:rsidTr="000234E6">
        <w:tc>
          <w:tcPr>
            <w:tcW w:w="1970" w:type="dxa"/>
          </w:tcPr>
          <w:p w:rsidR="00F72391" w:rsidRPr="00BB3345" w:rsidRDefault="00F72391" w:rsidP="000234E6">
            <w:r w:rsidRPr="00BB3345">
              <w:t>PK</w:t>
            </w:r>
          </w:p>
        </w:tc>
        <w:tc>
          <w:tcPr>
            <w:tcW w:w="6831" w:type="dxa"/>
          </w:tcPr>
          <w:p w:rsidR="00F72391" w:rsidRPr="00BB3345" w:rsidRDefault="00F72391" w:rsidP="000234E6">
            <w:r w:rsidRPr="00BB3345">
              <w:t>pharmacokinetic(s)</w:t>
            </w:r>
          </w:p>
        </w:tc>
      </w:tr>
      <w:tr w:rsidR="000C6268" w:rsidRPr="00BB3345" w:rsidTr="000234E6">
        <w:tc>
          <w:tcPr>
            <w:tcW w:w="1970" w:type="dxa"/>
          </w:tcPr>
          <w:p w:rsidR="000C6268" w:rsidRPr="00BB3345" w:rsidRDefault="000C6268" w:rsidP="000234E6">
            <w:r>
              <w:t>q2w</w:t>
            </w:r>
          </w:p>
        </w:tc>
        <w:tc>
          <w:tcPr>
            <w:tcW w:w="6831" w:type="dxa"/>
          </w:tcPr>
          <w:p w:rsidR="000C6268" w:rsidRPr="00BB3345" w:rsidRDefault="000C6268" w:rsidP="000234E6">
            <w:r>
              <w:t>Once every two weeks</w:t>
            </w:r>
          </w:p>
        </w:tc>
      </w:tr>
      <w:tr w:rsidR="00F72391" w:rsidRPr="00BB3345" w:rsidTr="000234E6">
        <w:tc>
          <w:tcPr>
            <w:tcW w:w="1970" w:type="dxa"/>
          </w:tcPr>
          <w:p w:rsidR="00F72391" w:rsidRPr="00BB3345" w:rsidRDefault="00F72391" w:rsidP="000234E6">
            <w:r w:rsidRPr="00BB3345">
              <w:t>RA</w:t>
            </w:r>
          </w:p>
        </w:tc>
        <w:tc>
          <w:tcPr>
            <w:tcW w:w="6831" w:type="dxa"/>
          </w:tcPr>
          <w:p w:rsidR="00F72391" w:rsidRPr="00BB3345" w:rsidRDefault="00F72391" w:rsidP="000234E6">
            <w:r w:rsidRPr="00BB3345">
              <w:t>rheumatoid arthritis</w:t>
            </w:r>
          </w:p>
        </w:tc>
      </w:tr>
      <w:tr w:rsidR="00F72391" w:rsidRPr="00BB3345" w:rsidTr="000234E6">
        <w:tc>
          <w:tcPr>
            <w:tcW w:w="1970" w:type="dxa"/>
          </w:tcPr>
          <w:p w:rsidR="00F72391" w:rsidRPr="00BB3345" w:rsidRDefault="00F72391" w:rsidP="000234E6">
            <w:r w:rsidRPr="00BB3345">
              <w:t>SAE</w:t>
            </w:r>
          </w:p>
        </w:tc>
        <w:tc>
          <w:tcPr>
            <w:tcW w:w="6831" w:type="dxa"/>
          </w:tcPr>
          <w:p w:rsidR="00F72391" w:rsidRPr="00BB3345" w:rsidRDefault="00F72391" w:rsidP="000234E6">
            <w:r w:rsidRPr="00BB3345">
              <w:t>serious adverse event</w:t>
            </w:r>
          </w:p>
        </w:tc>
      </w:tr>
      <w:tr w:rsidR="00F72391" w:rsidRPr="00BB3345" w:rsidTr="000234E6">
        <w:tc>
          <w:tcPr>
            <w:tcW w:w="1970" w:type="dxa"/>
          </w:tcPr>
          <w:p w:rsidR="00F72391" w:rsidRPr="00BB3345" w:rsidRDefault="00EE185F" w:rsidP="000234E6">
            <w:r>
              <w:t>SC</w:t>
            </w:r>
          </w:p>
        </w:tc>
        <w:tc>
          <w:tcPr>
            <w:tcW w:w="6831" w:type="dxa"/>
          </w:tcPr>
          <w:p w:rsidR="00F72391" w:rsidRPr="00BB3345" w:rsidRDefault="00F72391" w:rsidP="000234E6">
            <w:r w:rsidRPr="00BB3345">
              <w:t>subcutaneous(</w:t>
            </w:r>
            <w:proofErr w:type="spellStart"/>
            <w:r w:rsidRPr="00BB3345">
              <w:t>ly</w:t>
            </w:r>
            <w:proofErr w:type="spellEnd"/>
            <w:r w:rsidRPr="00BB3345">
              <w:t>)</w:t>
            </w:r>
          </w:p>
        </w:tc>
      </w:tr>
      <w:tr w:rsidR="00F72391" w:rsidRPr="00BB3345" w:rsidTr="000234E6">
        <w:tc>
          <w:tcPr>
            <w:tcW w:w="1970" w:type="dxa"/>
          </w:tcPr>
          <w:p w:rsidR="00F72391" w:rsidRPr="00BB3345" w:rsidRDefault="00F72391" w:rsidP="000234E6">
            <w:r w:rsidRPr="00BB3345">
              <w:t>SD</w:t>
            </w:r>
          </w:p>
        </w:tc>
        <w:tc>
          <w:tcPr>
            <w:tcW w:w="6831" w:type="dxa"/>
          </w:tcPr>
          <w:p w:rsidR="00F72391" w:rsidRPr="00BB3345" w:rsidRDefault="00F72391" w:rsidP="000234E6">
            <w:r w:rsidRPr="00BB3345">
              <w:t>standard deviation</w:t>
            </w:r>
          </w:p>
        </w:tc>
      </w:tr>
      <w:tr w:rsidR="00F72391" w:rsidRPr="00BB3345" w:rsidTr="000234E6">
        <w:tc>
          <w:tcPr>
            <w:tcW w:w="1970" w:type="dxa"/>
          </w:tcPr>
          <w:p w:rsidR="00F72391" w:rsidRPr="00BB3345" w:rsidRDefault="00F72391" w:rsidP="000234E6">
            <w:r w:rsidRPr="00BB3345">
              <w:t>SOC</w:t>
            </w:r>
          </w:p>
        </w:tc>
        <w:tc>
          <w:tcPr>
            <w:tcW w:w="6831" w:type="dxa"/>
          </w:tcPr>
          <w:p w:rsidR="00F72391" w:rsidRPr="00BB3345" w:rsidRDefault="00F72391" w:rsidP="000234E6">
            <w:r w:rsidRPr="00BB3345">
              <w:t>system organ class</w:t>
            </w:r>
          </w:p>
        </w:tc>
      </w:tr>
      <w:tr w:rsidR="00C97967" w:rsidRPr="00BB3345" w:rsidTr="000234E6">
        <w:tc>
          <w:tcPr>
            <w:tcW w:w="1970" w:type="dxa"/>
          </w:tcPr>
          <w:p w:rsidR="00C97967" w:rsidRPr="00BB3345" w:rsidRDefault="00C97967" w:rsidP="000234E6">
            <w:r>
              <w:t>SSZ</w:t>
            </w:r>
          </w:p>
        </w:tc>
        <w:tc>
          <w:tcPr>
            <w:tcW w:w="6831" w:type="dxa"/>
          </w:tcPr>
          <w:p w:rsidR="00C97967" w:rsidRPr="00BB3345" w:rsidRDefault="00C97967" w:rsidP="000234E6">
            <w:r>
              <w:t>sulfasalazine</w:t>
            </w:r>
          </w:p>
        </w:tc>
      </w:tr>
      <w:tr w:rsidR="00F72391" w:rsidRPr="00BB3345" w:rsidTr="000234E6">
        <w:tc>
          <w:tcPr>
            <w:tcW w:w="1970" w:type="dxa"/>
          </w:tcPr>
          <w:p w:rsidR="00F72391" w:rsidRPr="00BB3345" w:rsidRDefault="00F72391" w:rsidP="000234E6">
            <w:r w:rsidRPr="00BB3345">
              <w:t>TB</w:t>
            </w:r>
          </w:p>
        </w:tc>
        <w:tc>
          <w:tcPr>
            <w:tcW w:w="6831" w:type="dxa"/>
          </w:tcPr>
          <w:p w:rsidR="00F72391" w:rsidRPr="00BB3345" w:rsidRDefault="00F72391" w:rsidP="000234E6">
            <w:r w:rsidRPr="00BB3345">
              <w:t>tuberculosis</w:t>
            </w:r>
          </w:p>
        </w:tc>
      </w:tr>
      <w:tr w:rsidR="00F72391" w:rsidRPr="00BB3345" w:rsidTr="000234E6">
        <w:tc>
          <w:tcPr>
            <w:tcW w:w="1970" w:type="dxa"/>
          </w:tcPr>
          <w:p w:rsidR="00F72391" w:rsidRPr="00BB3345" w:rsidRDefault="00F72391" w:rsidP="000234E6">
            <w:r w:rsidRPr="00BB3345">
              <w:t>TNF</w:t>
            </w:r>
            <w:r w:rsidR="00712B3A">
              <w:t>α</w:t>
            </w:r>
          </w:p>
        </w:tc>
        <w:tc>
          <w:tcPr>
            <w:tcW w:w="6831" w:type="dxa"/>
          </w:tcPr>
          <w:p w:rsidR="00F72391" w:rsidRPr="00BB3345" w:rsidRDefault="00F72391" w:rsidP="000234E6">
            <w:r w:rsidRPr="00BB3345">
              <w:t>tumour necrosis factor</w:t>
            </w:r>
            <w:r w:rsidR="00712B3A">
              <w:t xml:space="preserve"> alpha</w:t>
            </w:r>
          </w:p>
        </w:tc>
      </w:tr>
      <w:tr w:rsidR="00712B3A" w:rsidRPr="00BB3345" w:rsidTr="000234E6">
        <w:tc>
          <w:tcPr>
            <w:tcW w:w="1970" w:type="dxa"/>
          </w:tcPr>
          <w:p w:rsidR="00712B3A" w:rsidRPr="00BB3345" w:rsidRDefault="00712B3A" w:rsidP="000234E6">
            <w:r w:rsidRPr="00712B3A">
              <w:t>TNFβ</w:t>
            </w:r>
          </w:p>
        </w:tc>
        <w:tc>
          <w:tcPr>
            <w:tcW w:w="6831" w:type="dxa"/>
          </w:tcPr>
          <w:p w:rsidR="00712B3A" w:rsidRPr="00BB3345" w:rsidRDefault="00712B3A" w:rsidP="000234E6">
            <w:r w:rsidRPr="00712B3A">
              <w:t>tumour necrosis factor</w:t>
            </w:r>
            <w:r>
              <w:t xml:space="preserve"> beta</w:t>
            </w:r>
          </w:p>
        </w:tc>
      </w:tr>
    </w:tbl>
    <w:p w:rsidR="00940A89" w:rsidRPr="00940A89" w:rsidRDefault="00FD119B" w:rsidP="00094B8A">
      <w:r w:rsidRPr="00FD119B">
        <w:br w:type="page"/>
      </w:r>
    </w:p>
    <w:p w:rsidR="008E7846" w:rsidRDefault="00F53C07" w:rsidP="000234E6">
      <w:pPr>
        <w:pStyle w:val="Heading2"/>
      </w:pPr>
      <w:bookmarkStart w:id="10" w:name="_Toc434223843"/>
      <w:bookmarkStart w:id="11" w:name="_Toc435781388"/>
      <w:r>
        <w:lastRenderedPageBreak/>
        <w:t>I.</w:t>
      </w:r>
      <w:r w:rsidR="008E7846">
        <w:t xml:space="preserve"> </w:t>
      </w:r>
      <w:r w:rsidR="008E7846" w:rsidRPr="000234E6">
        <w:t>Introduction</w:t>
      </w:r>
      <w:r w:rsidR="008E7846">
        <w:t xml:space="preserve"> to product submission</w:t>
      </w:r>
      <w:bookmarkEnd w:id="10"/>
      <w:bookmarkEnd w:id="1"/>
      <w:bookmarkEnd w:id="0"/>
      <w:bookmarkEnd w:id="11"/>
    </w:p>
    <w:p w:rsidR="008E7846" w:rsidRDefault="008E7846" w:rsidP="000234E6">
      <w:pPr>
        <w:pStyle w:val="Heading3"/>
        <w:rPr>
          <w:lang w:eastAsia="en-AU"/>
        </w:rPr>
      </w:pPr>
      <w:bookmarkStart w:id="12" w:name="_Toc247691502"/>
      <w:bookmarkStart w:id="13" w:name="_Toc314842483"/>
      <w:bookmarkStart w:id="14" w:name="_Toc434223844"/>
      <w:bookmarkStart w:id="15" w:name="_Toc435781389"/>
      <w:r>
        <w:rPr>
          <w:lang w:eastAsia="en-AU"/>
        </w:rPr>
        <w:t xml:space="preserve">Submission </w:t>
      </w:r>
      <w:r w:rsidRPr="000234E6">
        <w:t>details</w:t>
      </w:r>
      <w:bookmarkEnd w:id="12"/>
      <w:bookmarkEnd w:id="13"/>
      <w:bookmarkEnd w:id="14"/>
      <w:bookmarkEnd w:id="15"/>
    </w:p>
    <w:tbl>
      <w:tblPr>
        <w:tblW w:w="9214" w:type="dxa"/>
        <w:tblInd w:w="108" w:type="dxa"/>
        <w:tblLook w:val="01E0" w:firstRow="1" w:lastRow="1" w:firstColumn="1" w:lastColumn="1" w:noHBand="0" w:noVBand="0"/>
      </w:tblPr>
      <w:tblGrid>
        <w:gridCol w:w="2907"/>
        <w:gridCol w:w="6307"/>
      </w:tblGrid>
      <w:tr w:rsidR="00343DE1" w:rsidRPr="003D1E62" w:rsidTr="00343DE1">
        <w:trPr>
          <w:trHeight w:hRule="exact" w:val="454"/>
        </w:trPr>
        <w:tc>
          <w:tcPr>
            <w:tcW w:w="2907" w:type="dxa"/>
          </w:tcPr>
          <w:p w:rsidR="00343DE1" w:rsidRPr="003D1E62" w:rsidRDefault="00343DE1" w:rsidP="001B5C90">
            <w:pPr>
              <w:rPr>
                <w:i/>
              </w:rPr>
            </w:pPr>
            <w:r>
              <w:rPr>
                <w:i/>
              </w:rPr>
              <w:t>Type of s</w:t>
            </w:r>
            <w:r w:rsidRPr="003D1E62">
              <w:rPr>
                <w:i/>
              </w:rPr>
              <w:t>ubmission</w:t>
            </w:r>
            <w:r>
              <w:rPr>
                <w:i/>
              </w:rPr>
              <w:t>:</w:t>
            </w:r>
          </w:p>
        </w:tc>
        <w:tc>
          <w:tcPr>
            <w:tcW w:w="6307" w:type="dxa"/>
          </w:tcPr>
          <w:p w:rsidR="00343DE1" w:rsidRPr="003D1E62" w:rsidRDefault="00343DE1" w:rsidP="003501C6">
            <w:r>
              <w:t>M</w:t>
            </w:r>
            <w:r w:rsidRPr="003D1E62">
              <w:t xml:space="preserve">ajor </w:t>
            </w:r>
            <w:r>
              <w:t>v</w:t>
            </w:r>
            <w:r w:rsidRPr="003D1E62">
              <w:t>ariation (</w:t>
            </w:r>
            <w:r>
              <w:t>extension of indications</w:t>
            </w:r>
            <w:r w:rsidRPr="003D1E62">
              <w:t>)</w:t>
            </w:r>
          </w:p>
        </w:tc>
      </w:tr>
      <w:tr w:rsidR="00343DE1" w:rsidRPr="003D1E62" w:rsidTr="00343DE1">
        <w:trPr>
          <w:trHeight w:hRule="exact" w:val="454"/>
        </w:trPr>
        <w:tc>
          <w:tcPr>
            <w:tcW w:w="2907" w:type="dxa"/>
          </w:tcPr>
          <w:p w:rsidR="00343DE1" w:rsidRPr="003D1E62" w:rsidRDefault="00343DE1" w:rsidP="003D1E62">
            <w:r w:rsidRPr="003D1E62">
              <w:rPr>
                <w:i/>
              </w:rPr>
              <w:t>Decision</w:t>
            </w:r>
            <w:r w:rsidRPr="003D1E62">
              <w:t>:</w:t>
            </w:r>
          </w:p>
        </w:tc>
        <w:tc>
          <w:tcPr>
            <w:tcW w:w="6307" w:type="dxa"/>
          </w:tcPr>
          <w:p w:rsidR="00343DE1" w:rsidRPr="003D1E62" w:rsidRDefault="00343DE1" w:rsidP="003501C6">
            <w:r w:rsidRPr="003D1E62">
              <w:t>Approved</w:t>
            </w:r>
          </w:p>
        </w:tc>
      </w:tr>
      <w:tr w:rsidR="00343DE1" w:rsidRPr="003D1E62" w:rsidTr="00343DE1">
        <w:trPr>
          <w:trHeight w:hRule="exact" w:val="454"/>
        </w:trPr>
        <w:tc>
          <w:tcPr>
            <w:tcW w:w="2907" w:type="dxa"/>
          </w:tcPr>
          <w:p w:rsidR="00343DE1" w:rsidRPr="003D1E62" w:rsidRDefault="00343DE1" w:rsidP="001B5C90">
            <w:pPr>
              <w:rPr>
                <w:i/>
              </w:rPr>
            </w:pPr>
            <w:r w:rsidRPr="003D1E62">
              <w:rPr>
                <w:i/>
              </w:rPr>
              <w:t xml:space="preserve">Date of </w:t>
            </w:r>
            <w:r>
              <w:rPr>
                <w:i/>
              </w:rPr>
              <w:t>d</w:t>
            </w:r>
            <w:r w:rsidRPr="003D1E62">
              <w:rPr>
                <w:i/>
              </w:rPr>
              <w:t>ecision:</w:t>
            </w:r>
          </w:p>
        </w:tc>
        <w:tc>
          <w:tcPr>
            <w:tcW w:w="6307" w:type="dxa"/>
          </w:tcPr>
          <w:p w:rsidR="00343DE1" w:rsidRPr="003D1E62" w:rsidRDefault="00343DE1" w:rsidP="003501C6">
            <w:r>
              <w:t>29 January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343DE1" w:rsidRPr="00487162" w:rsidTr="00343DE1">
        <w:tc>
          <w:tcPr>
            <w:tcW w:w="2907" w:type="dxa"/>
          </w:tcPr>
          <w:p w:rsidR="00343DE1" w:rsidRPr="00487162" w:rsidRDefault="00343DE1" w:rsidP="00BB1765">
            <w:pPr>
              <w:rPr>
                <w:i/>
              </w:rPr>
            </w:pPr>
            <w:r>
              <w:rPr>
                <w:i/>
              </w:rPr>
              <w:t>Active ingredient:</w:t>
            </w:r>
          </w:p>
        </w:tc>
        <w:tc>
          <w:tcPr>
            <w:tcW w:w="6307" w:type="dxa"/>
          </w:tcPr>
          <w:p w:rsidR="00343DE1" w:rsidRPr="00487162" w:rsidRDefault="00343DE1" w:rsidP="003501C6">
            <w:proofErr w:type="spellStart"/>
            <w:r>
              <w:t>Certolizumab</w:t>
            </w:r>
            <w:proofErr w:type="spellEnd"/>
            <w:r>
              <w:t xml:space="preserve"> </w:t>
            </w:r>
            <w:proofErr w:type="spellStart"/>
            <w:r>
              <w:t>pegol</w:t>
            </w:r>
            <w:proofErr w:type="spellEnd"/>
            <w:r>
              <w:t xml:space="preserve"> (</w:t>
            </w:r>
            <w:proofErr w:type="spellStart"/>
            <w:r>
              <w:t>rbe</w:t>
            </w:r>
            <w:proofErr w:type="spellEnd"/>
            <w:r>
              <w:t>)</w:t>
            </w:r>
          </w:p>
        </w:tc>
      </w:tr>
      <w:tr w:rsidR="00343DE1" w:rsidRPr="00487162" w:rsidTr="00343DE1">
        <w:tc>
          <w:tcPr>
            <w:tcW w:w="2907" w:type="dxa"/>
          </w:tcPr>
          <w:p w:rsidR="00343DE1" w:rsidRPr="00487162" w:rsidRDefault="00343DE1" w:rsidP="00BB1765">
            <w:pPr>
              <w:rPr>
                <w:i/>
              </w:rPr>
            </w:pPr>
            <w:r w:rsidRPr="00487162">
              <w:rPr>
                <w:i/>
              </w:rPr>
              <w:t>Product</w:t>
            </w:r>
            <w:r>
              <w:rPr>
                <w:i/>
              </w:rPr>
              <w:t xml:space="preserve"> name:</w:t>
            </w:r>
          </w:p>
        </w:tc>
        <w:tc>
          <w:tcPr>
            <w:tcW w:w="6307" w:type="dxa"/>
          </w:tcPr>
          <w:p w:rsidR="00343DE1" w:rsidRPr="00487162" w:rsidRDefault="00343DE1" w:rsidP="003501C6">
            <w:proofErr w:type="spellStart"/>
            <w:r>
              <w:t>Cimzia</w:t>
            </w:r>
            <w:proofErr w:type="spellEnd"/>
          </w:p>
        </w:tc>
      </w:tr>
      <w:tr w:rsidR="00343DE1" w:rsidRPr="00487162" w:rsidTr="00343DE1">
        <w:tc>
          <w:tcPr>
            <w:tcW w:w="2907" w:type="dxa"/>
          </w:tcPr>
          <w:p w:rsidR="00343DE1" w:rsidRPr="00487162" w:rsidRDefault="00343DE1" w:rsidP="001B5C90">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rsidR="00343DE1" w:rsidRDefault="00343DE1" w:rsidP="003501C6">
            <w:r>
              <w:t>UCB Australia Pty Ltd T/A UCB Pharma Division</w:t>
            </w:r>
          </w:p>
          <w:p w:rsidR="00343DE1" w:rsidRDefault="00343DE1" w:rsidP="003501C6">
            <w:r>
              <w:t>PO Box 158</w:t>
            </w:r>
          </w:p>
          <w:p w:rsidR="00343DE1" w:rsidRPr="00487162" w:rsidRDefault="00343DE1" w:rsidP="003501C6">
            <w:r>
              <w:t>Malvern Vic 3144</w:t>
            </w:r>
          </w:p>
        </w:tc>
      </w:tr>
      <w:tr w:rsidR="00343DE1" w:rsidRPr="00487162" w:rsidTr="00343DE1">
        <w:tc>
          <w:tcPr>
            <w:tcW w:w="2907" w:type="dxa"/>
          </w:tcPr>
          <w:p w:rsidR="00343DE1" w:rsidRPr="00487162" w:rsidRDefault="00343DE1" w:rsidP="00BB1765">
            <w:pPr>
              <w:rPr>
                <w:i/>
              </w:rPr>
            </w:pPr>
            <w:r>
              <w:rPr>
                <w:i/>
              </w:rPr>
              <w:t>Dose form:</w:t>
            </w:r>
          </w:p>
        </w:tc>
        <w:tc>
          <w:tcPr>
            <w:tcW w:w="6307" w:type="dxa"/>
          </w:tcPr>
          <w:p w:rsidR="00343DE1" w:rsidRPr="00487162" w:rsidRDefault="00343DE1" w:rsidP="003501C6">
            <w:r>
              <w:t>Solution for injection</w:t>
            </w:r>
          </w:p>
        </w:tc>
      </w:tr>
      <w:tr w:rsidR="00343DE1" w:rsidRPr="00487162" w:rsidTr="00343DE1">
        <w:tc>
          <w:tcPr>
            <w:tcW w:w="2907" w:type="dxa"/>
          </w:tcPr>
          <w:p w:rsidR="00343DE1" w:rsidRPr="00487162" w:rsidRDefault="00343DE1" w:rsidP="00BB1765">
            <w:pPr>
              <w:rPr>
                <w:i/>
              </w:rPr>
            </w:pPr>
            <w:r w:rsidRPr="00487162">
              <w:rPr>
                <w:i/>
              </w:rPr>
              <w:t xml:space="preserve">Strength: </w:t>
            </w:r>
          </w:p>
        </w:tc>
        <w:tc>
          <w:tcPr>
            <w:tcW w:w="6307" w:type="dxa"/>
          </w:tcPr>
          <w:p w:rsidR="00343DE1" w:rsidRPr="00487162" w:rsidRDefault="00343DE1" w:rsidP="003501C6">
            <w:r>
              <w:t>200 mg</w:t>
            </w:r>
            <w:r w:rsidR="004932FB">
              <w:t xml:space="preserve">/mL </w:t>
            </w:r>
          </w:p>
        </w:tc>
      </w:tr>
      <w:tr w:rsidR="00343DE1" w:rsidRPr="00487162" w:rsidTr="00343DE1">
        <w:tc>
          <w:tcPr>
            <w:tcW w:w="2907" w:type="dxa"/>
          </w:tcPr>
          <w:p w:rsidR="00343DE1" w:rsidRPr="00487162" w:rsidRDefault="00343DE1" w:rsidP="00BB1765">
            <w:pPr>
              <w:rPr>
                <w:i/>
              </w:rPr>
            </w:pPr>
            <w:r w:rsidRPr="00487162">
              <w:rPr>
                <w:i/>
              </w:rPr>
              <w:t>Container:</w:t>
            </w:r>
          </w:p>
        </w:tc>
        <w:tc>
          <w:tcPr>
            <w:tcW w:w="6307" w:type="dxa"/>
          </w:tcPr>
          <w:p w:rsidR="00343DE1" w:rsidRPr="00487162" w:rsidRDefault="00343DE1" w:rsidP="003501C6">
            <w:r>
              <w:t>Pre-filled syringe</w:t>
            </w:r>
          </w:p>
        </w:tc>
      </w:tr>
      <w:tr w:rsidR="00343DE1" w:rsidRPr="00487162" w:rsidTr="00343DE1">
        <w:tc>
          <w:tcPr>
            <w:tcW w:w="2907" w:type="dxa"/>
          </w:tcPr>
          <w:p w:rsidR="00343DE1" w:rsidRPr="00487162" w:rsidRDefault="00343DE1" w:rsidP="00BB1765">
            <w:pPr>
              <w:rPr>
                <w:i/>
              </w:rPr>
            </w:pPr>
            <w:r w:rsidRPr="00487162">
              <w:rPr>
                <w:i/>
              </w:rPr>
              <w:t>Pack size:</w:t>
            </w:r>
          </w:p>
        </w:tc>
        <w:tc>
          <w:tcPr>
            <w:tcW w:w="6307" w:type="dxa"/>
          </w:tcPr>
          <w:p w:rsidR="00343DE1" w:rsidRPr="00487162" w:rsidRDefault="00343DE1" w:rsidP="003501C6">
            <w:r>
              <w:t>Two</w:t>
            </w:r>
          </w:p>
        </w:tc>
      </w:tr>
      <w:tr w:rsidR="00343DE1" w:rsidRPr="00487162" w:rsidTr="00343DE1">
        <w:tc>
          <w:tcPr>
            <w:tcW w:w="2907" w:type="dxa"/>
          </w:tcPr>
          <w:p w:rsidR="00343DE1" w:rsidRPr="00487162" w:rsidRDefault="00343DE1" w:rsidP="001B5C90">
            <w:pPr>
              <w:rPr>
                <w:i/>
              </w:rPr>
            </w:pPr>
            <w:r w:rsidRPr="00487162">
              <w:rPr>
                <w:i/>
              </w:rPr>
              <w:t xml:space="preserve">Approved </w:t>
            </w:r>
            <w:r>
              <w:rPr>
                <w:i/>
              </w:rPr>
              <w:t>t</w:t>
            </w:r>
            <w:r w:rsidRPr="00487162">
              <w:rPr>
                <w:i/>
              </w:rPr>
              <w:t>herapeutic use:</w:t>
            </w:r>
          </w:p>
        </w:tc>
        <w:tc>
          <w:tcPr>
            <w:tcW w:w="6307" w:type="dxa"/>
          </w:tcPr>
          <w:p w:rsidR="00343DE1" w:rsidRPr="004C7E29" w:rsidRDefault="00343DE1" w:rsidP="003501C6">
            <w:pPr>
              <w:rPr>
                <w:rFonts w:eastAsia="MS Mincho"/>
                <w:i/>
                <w:lang w:eastAsia="ja-JP"/>
              </w:rPr>
            </w:pPr>
            <w:proofErr w:type="spellStart"/>
            <w:r w:rsidRPr="004C7E29">
              <w:rPr>
                <w:i/>
              </w:rPr>
              <w:t>Cimzia</w:t>
            </w:r>
            <w:proofErr w:type="spellEnd"/>
            <w:r w:rsidRPr="004C7E29">
              <w:rPr>
                <w:i/>
              </w:rPr>
              <w:t xml:space="preserve"> has been shown to reduce the rate of progression of joint damage as measured by X-ray, when given in combination with MTX</w:t>
            </w:r>
          </w:p>
        </w:tc>
      </w:tr>
      <w:tr w:rsidR="00343DE1" w:rsidRPr="00487162" w:rsidTr="00343DE1">
        <w:tc>
          <w:tcPr>
            <w:tcW w:w="2907" w:type="dxa"/>
          </w:tcPr>
          <w:p w:rsidR="00343DE1" w:rsidRPr="00487162" w:rsidRDefault="00343DE1" w:rsidP="00BB1765">
            <w:pPr>
              <w:rPr>
                <w:i/>
              </w:rPr>
            </w:pPr>
            <w:r w:rsidRPr="00487162">
              <w:rPr>
                <w:i/>
              </w:rPr>
              <w:t>Route of administration:</w:t>
            </w:r>
          </w:p>
        </w:tc>
        <w:tc>
          <w:tcPr>
            <w:tcW w:w="6307" w:type="dxa"/>
          </w:tcPr>
          <w:p w:rsidR="00343DE1" w:rsidRPr="00487162" w:rsidRDefault="00343DE1" w:rsidP="003501C6">
            <w:r>
              <w:t>Subcutaneous</w:t>
            </w:r>
            <w:r w:rsidR="000C4BE9">
              <w:t xml:space="preserve"> (SC)</w:t>
            </w:r>
          </w:p>
        </w:tc>
      </w:tr>
      <w:tr w:rsidR="00343DE1" w:rsidRPr="00487162" w:rsidTr="00343DE1">
        <w:tc>
          <w:tcPr>
            <w:tcW w:w="2907" w:type="dxa"/>
          </w:tcPr>
          <w:p w:rsidR="00343DE1" w:rsidRPr="00487162" w:rsidRDefault="00343DE1" w:rsidP="00E45619">
            <w:pPr>
              <w:rPr>
                <w:i/>
              </w:rPr>
            </w:pPr>
            <w:r w:rsidRPr="00487162">
              <w:rPr>
                <w:i/>
              </w:rPr>
              <w:t>Dosage:</w:t>
            </w:r>
          </w:p>
        </w:tc>
        <w:tc>
          <w:tcPr>
            <w:tcW w:w="6307" w:type="dxa"/>
          </w:tcPr>
          <w:p w:rsidR="00343DE1" w:rsidRPr="00F93A52" w:rsidRDefault="00343DE1" w:rsidP="003501C6">
            <w:r w:rsidRPr="00F93A52">
              <w:t xml:space="preserve">The recommended dose of </w:t>
            </w:r>
            <w:proofErr w:type="spellStart"/>
            <w:r w:rsidRPr="00F93A52">
              <w:t>Cimzia</w:t>
            </w:r>
            <w:proofErr w:type="spellEnd"/>
            <w:r w:rsidRPr="00F93A52">
              <w:t xml:space="preserve"> for adult patients with rheumatoid arthritis is 400 mg (2 x 200 mg subcutaneous injections) at weeks 0, 2 and 4, followed by a maintenance dose of 200 mg every 2 weeks via subcutaneous injection (or 400 mg every 4 weeks).</w:t>
            </w:r>
          </w:p>
          <w:p w:rsidR="00343DE1" w:rsidRPr="00F93A52" w:rsidRDefault="004829D9" w:rsidP="003501C6">
            <w:r>
              <w:t>(</w:t>
            </w:r>
            <w:r w:rsidR="00343DE1">
              <w:t xml:space="preserve">see approved Product Information for full </w:t>
            </w:r>
            <w:r w:rsidR="00343DE1">
              <w:rPr>
                <w:i/>
              </w:rPr>
              <w:t>Dosage and Administration</w:t>
            </w:r>
            <w:r>
              <w:t>)</w:t>
            </w:r>
          </w:p>
        </w:tc>
      </w:tr>
      <w:tr w:rsidR="00343DE1" w:rsidRPr="00487162" w:rsidTr="00343DE1">
        <w:tc>
          <w:tcPr>
            <w:tcW w:w="2907" w:type="dxa"/>
          </w:tcPr>
          <w:p w:rsidR="00343DE1" w:rsidRPr="00487162" w:rsidRDefault="00343DE1" w:rsidP="00BB1765">
            <w:pPr>
              <w:rPr>
                <w:i/>
              </w:rPr>
            </w:pPr>
            <w:r w:rsidRPr="00487162">
              <w:rPr>
                <w:i/>
              </w:rPr>
              <w:t xml:space="preserve">ARTG </w:t>
            </w:r>
            <w:r>
              <w:rPr>
                <w:i/>
              </w:rPr>
              <w:t>n</w:t>
            </w:r>
            <w:r w:rsidRPr="00487162">
              <w:rPr>
                <w:i/>
              </w:rPr>
              <w:t>umber</w:t>
            </w:r>
            <w:r>
              <w:rPr>
                <w:i/>
              </w:rPr>
              <w:t>:</w:t>
            </w:r>
          </w:p>
        </w:tc>
        <w:tc>
          <w:tcPr>
            <w:tcW w:w="6307" w:type="dxa"/>
          </w:tcPr>
          <w:p w:rsidR="00343DE1" w:rsidRPr="00487162" w:rsidRDefault="00343DE1" w:rsidP="003501C6">
            <w:r>
              <w:t>154726</w:t>
            </w:r>
          </w:p>
        </w:tc>
      </w:tr>
    </w:tbl>
    <w:p w:rsidR="008E7846" w:rsidRDefault="008E7846" w:rsidP="000234E6">
      <w:pPr>
        <w:pStyle w:val="Heading3"/>
      </w:pPr>
      <w:bookmarkStart w:id="16" w:name="_Toc247691503"/>
      <w:bookmarkStart w:id="17" w:name="_Toc314842484"/>
      <w:bookmarkStart w:id="18" w:name="_Toc434223845"/>
      <w:bookmarkStart w:id="19" w:name="_Toc435781390"/>
      <w:r>
        <w:t xml:space="preserve">Product </w:t>
      </w:r>
      <w:r w:rsidRPr="000234E6">
        <w:t>background</w:t>
      </w:r>
      <w:bookmarkEnd w:id="16"/>
      <w:bookmarkEnd w:id="17"/>
      <w:bookmarkEnd w:id="18"/>
      <w:bookmarkEnd w:id="19"/>
    </w:p>
    <w:p w:rsidR="002F47C5" w:rsidRDefault="002F47C5" w:rsidP="000234E6">
      <w:bookmarkStart w:id="20" w:name="_Toc314842485"/>
      <w:bookmarkStart w:id="21" w:name="_Toc247691504"/>
      <w:r w:rsidRPr="00940A89">
        <w:t xml:space="preserve">This AusPAR describes the application by </w:t>
      </w:r>
      <w:r>
        <w:t>UCB Australia Pty Ltd T/A UCB Pharma Division</w:t>
      </w:r>
      <w:r w:rsidRPr="00940A89">
        <w:t xml:space="preserve"> </w:t>
      </w:r>
      <w:r>
        <w:t>(</w:t>
      </w:r>
      <w:r w:rsidRPr="00940A89">
        <w:t>the sponsor</w:t>
      </w:r>
      <w:r>
        <w:t xml:space="preserve">) to register </w:t>
      </w:r>
      <w:proofErr w:type="spellStart"/>
      <w:r>
        <w:t>Cimzia</w:t>
      </w:r>
      <w:proofErr w:type="spellEnd"/>
      <w:r w:rsidRPr="00940A89">
        <w:t xml:space="preserve"> for the following indication</w:t>
      </w:r>
      <w:r>
        <w:t xml:space="preserve"> for rheumatoid arthritis:</w:t>
      </w:r>
    </w:p>
    <w:p w:rsidR="002F47C5" w:rsidRPr="00207D89" w:rsidRDefault="002F47C5" w:rsidP="002F47C5">
      <w:pPr>
        <w:ind w:left="720"/>
        <w:rPr>
          <w:i/>
        </w:rPr>
      </w:pPr>
      <w:proofErr w:type="spellStart"/>
      <w:r w:rsidRPr="00207D89">
        <w:rPr>
          <w:i/>
        </w:rPr>
        <w:t>Cimzia</w:t>
      </w:r>
      <w:proofErr w:type="spellEnd"/>
      <w:r w:rsidRPr="00207D89">
        <w:rPr>
          <w:i/>
        </w:rPr>
        <w:t xml:space="preserve"> has been shown to reduce the rate of progression of joint damage as measured by X-ray, when given in combination with MTX.</w:t>
      </w:r>
    </w:p>
    <w:p w:rsidR="002F47C5" w:rsidRDefault="002F47C5" w:rsidP="000234E6">
      <w:r w:rsidRPr="00207D89">
        <w:lastRenderedPageBreak/>
        <w:t>Certoli</w:t>
      </w:r>
      <w:r w:rsidR="00EE185F">
        <w:t>zumab pegol</w:t>
      </w:r>
      <w:r w:rsidR="000C4BE9">
        <w:rPr>
          <w:rStyle w:val="FootnoteReference"/>
        </w:rPr>
        <w:footnoteReference w:id="1"/>
      </w:r>
      <w:r w:rsidR="00EE185F">
        <w:t xml:space="preserve"> is a member of the tumour necrosis f</w:t>
      </w:r>
      <w:r w:rsidRPr="00207D89">
        <w:t xml:space="preserve">actor alpha (TNFα) inhibitor drug class. </w:t>
      </w:r>
      <w:r w:rsidR="004829D9">
        <w:t xml:space="preserve">TNFα is a key pro </w:t>
      </w:r>
      <w:r w:rsidRPr="00207D89">
        <w:t xml:space="preserve">inflammatory cytokine in the pathogenesis of inflammatory conditions. It is present in significantly elevated concentrations in serum and synovial fluid in patients with </w:t>
      </w:r>
      <w:r w:rsidR="007B6A4E" w:rsidRPr="007B6A4E">
        <w:t>rheumatoid arthritis</w:t>
      </w:r>
      <w:r w:rsidR="007B6A4E">
        <w:t xml:space="preserve"> (RA)</w:t>
      </w:r>
      <w:r w:rsidRPr="00207D89">
        <w:t>, psoriatic arthritis, and ankylosing spondylitis. It affects a variety of pathophysiological proc</w:t>
      </w:r>
      <w:r w:rsidR="004829D9">
        <w:t xml:space="preserve">esses including activation of T </w:t>
      </w:r>
      <w:r w:rsidRPr="00207D89">
        <w:t xml:space="preserve">cells, induction of acute phase proteins, and stimulation of </w:t>
      </w:r>
      <w:proofErr w:type="spellStart"/>
      <w:r w:rsidRPr="00207D89">
        <w:t>haemopoietic</w:t>
      </w:r>
      <w:proofErr w:type="spellEnd"/>
      <w:r w:rsidRPr="00207D89">
        <w:t xml:space="preserve"> precursor cell growth and differentiation, and is an important mediator of the articular inflammation and structural damage that are characteristic of these diseases.</w:t>
      </w:r>
    </w:p>
    <w:p w:rsidR="000C4BE9" w:rsidRPr="00207D89" w:rsidRDefault="000C4BE9" w:rsidP="000234E6">
      <w:r>
        <w:t>Certolizumab</w:t>
      </w:r>
      <w:r w:rsidRPr="000C4BE9">
        <w:t xml:space="preserve"> is a recombinant, humanised antibody fragment antigen binding (Fab’) fragment that is produced in an Escherichia coli bacterial expression system, subsequently purified and conjugated to polyethylene glycol (PEG). It has a high affinity for human TNFα and neutralises membrane associated and soluble human TNFα in a dose dependent manner. It does not neutralise </w:t>
      </w:r>
      <w:proofErr w:type="spellStart"/>
      <w:r w:rsidRPr="000C4BE9">
        <w:t>lymphotoxin</w:t>
      </w:r>
      <w:proofErr w:type="spellEnd"/>
      <w:r w:rsidRPr="000C4BE9">
        <w:t xml:space="preserve">, or tumour necrosis factor beta (TNFβ). Certolizumab does not contain a fragment crystallisable (Fc) region, which is normally present in the complete antibody, and therefore does not fix complement or cause antibody dependent, cell mediated cytotoxicity in vitro. It does not induce apoptosis in vitro in human peripheral blood monocytes or lymphocytes. The </w:t>
      </w:r>
      <w:proofErr w:type="spellStart"/>
      <w:r w:rsidRPr="000C4BE9">
        <w:t>pegylation</w:t>
      </w:r>
      <w:proofErr w:type="spellEnd"/>
      <w:r w:rsidRPr="000C4BE9">
        <w:t xml:space="preserve"> of the Fab’ fragment increases its half-life and may also decrease its immunogenicity, without affecting the affinity and specificity of the antibody in binding to human TNFα in vivo.</w:t>
      </w:r>
    </w:p>
    <w:p w:rsidR="002F47C5" w:rsidRPr="00207D89" w:rsidRDefault="002F47C5" w:rsidP="000234E6">
      <w:bookmarkStart w:id="22" w:name="_Toc247691506"/>
      <w:bookmarkStart w:id="23" w:name="_Toc314842487"/>
      <w:bookmarkEnd w:id="20"/>
      <w:bookmarkEnd w:id="21"/>
      <w:r w:rsidRPr="00207D89">
        <w:t xml:space="preserve">One year radiographic data presented in the initial </w:t>
      </w:r>
      <w:proofErr w:type="spellStart"/>
      <w:r w:rsidRPr="00207D89">
        <w:t>C</w:t>
      </w:r>
      <w:r w:rsidR="00712B3A">
        <w:t>imzia</w:t>
      </w:r>
      <w:proofErr w:type="spellEnd"/>
      <w:r w:rsidR="00712B3A">
        <w:t xml:space="preserve"> submissio</w:t>
      </w:r>
      <w:r w:rsidR="000C4BE9">
        <w:t>n</w:t>
      </w:r>
      <w:r w:rsidRPr="00207D89">
        <w:t xml:space="preserve"> showed that clinical improvement was associated with inhibition of progre</w:t>
      </w:r>
      <w:r w:rsidR="004829D9">
        <w:t xml:space="preserve">ssion of structural damage. </w:t>
      </w:r>
      <w:r w:rsidRPr="00207D89">
        <w:t>The TGA advised that 2 year data be assessed to ensure that prevention of structural d</w:t>
      </w:r>
      <w:r w:rsidR="004829D9">
        <w:t xml:space="preserve">amage is sustained long </w:t>
      </w:r>
      <w:r w:rsidRPr="00207D89">
        <w:t>term.</w:t>
      </w:r>
    </w:p>
    <w:p w:rsidR="002F47C5" w:rsidRPr="003F31A2" w:rsidRDefault="002F47C5" w:rsidP="000234E6">
      <w:pPr>
        <w:pStyle w:val="Heading3"/>
      </w:pPr>
      <w:bookmarkStart w:id="24" w:name="_Toc434223846"/>
      <w:bookmarkStart w:id="25" w:name="_Toc435781391"/>
      <w:r>
        <w:t>Regulatory status</w:t>
      </w:r>
      <w:bookmarkEnd w:id="24"/>
      <w:bookmarkEnd w:id="25"/>
    </w:p>
    <w:p w:rsidR="00FC54CF" w:rsidRPr="00D87579" w:rsidRDefault="000C4BE9" w:rsidP="00B74F45">
      <w:bookmarkStart w:id="26" w:name="_Toc247691505"/>
      <w:bookmarkStart w:id="27" w:name="_Toc314842486"/>
      <w:r>
        <w:t xml:space="preserve">Certolizumab </w:t>
      </w:r>
      <w:r w:rsidR="002F47C5" w:rsidRPr="00D87579">
        <w:t xml:space="preserve">was </w:t>
      </w:r>
      <w:r w:rsidR="00712B3A" w:rsidRPr="00D87579">
        <w:t>initially registered</w:t>
      </w:r>
      <w:r w:rsidR="00786B00" w:rsidRPr="00D87579">
        <w:t xml:space="preserve"> on 20 January </w:t>
      </w:r>
      <w:r w:rsidR="00223292">
        <w:t xml:space="preserve">2010 </w:t>
      </w:r>
      <w:r w:rsidR="00FC54CF" w:rsidRPr="00D87579">
        <w:t>for the indication</w:t>
      </w:r>
      <w:r w:rsidR="002F47C5" w:rsidRPr="00D87579">
        <w:t xml:space="preserve"> </w:t>
      </w:r>
      <w:r w:rsidR="00FC54CF" w:rsidRPr="00D87579">
        <w:t>rheumatoid arthritis;</w:t>
      </w:r>
    </w:p>
    <w:p w:rsidR="00FC54CF" w:rsidRPr="00B74F45" w:rsidRDefault="00FC54CF" w:rsidP="00B74F45">
      <w:pPr>
        <w:pStyle w:val="ListBullet"/>
        <w:numPr>
          <w:ilvl w:val="0"/>
          <w:numId w:val="0"/>
        </w:numPr>
        <w:ind w:left="360"/>
        <w:rPr>
          <w:i/>
        </w:rPr>
      </w:pPr>
      <w:proofErr w:type="spellStart"/>
      <w:r w:rsidRPr="00B74F45">
        <w:rPr>
          <w:i/>
        </w:rPr>
        <w:t>Cimzia</w:t>
      </w:r>
      <w:proofErr w:type="spellEnd"/>
      <w:r w:rsidRPr="00B74F45">
        <w:rPr>
          <w:i/>
        </w:rPr>
        <w:t xml:space="preserve"> is indicated for the treatment of moderate to severe active rheumatoid arthritis (RA) in adult patients:</w:t>
      </w:r>
    </w:p>
    <w:p w:rsidR="00FC54CF" w:rsidRPr="00B74F45" w:rsidRDefault="00FC54CF" w:rsidP="00B74F45">
      <w:pPr>
        <w:pStyle w:val="ListBullet2"/>
        <w:rPr>
          <w:i/>
        </w:rPr>
      </w:pPr>
      <w:r w:rsidRPr="00B74F45">
        <w:rPr>
          <w:i/>
        </w:rPr>
        <w:t>combined with MTX in case of either an inadequate response or intolerance to previous therapy with one or more disease-modifying antirheumatic drugs (DMARDS); or</w:t>
      </w:r>
    </w:p>
    <w:p w:rsidR="00FC54CF" w:rsidRPr="00B74F45" w:rsidRDefault="00FC54CF" w:rsidP="00B74F45">
      <w:pPr>
        <w:pStyle w:val="ListBullet2"/>
        <w:rPr>
          <w:i/>
        </w:rPr>
      </w:pPr>
      <w:proofErr w:type="gramStart"/>
      <w:r w:rsidRPr="00B74F45">
        <w:rPr>
          <w:i/>
        </w:rPr>
        <w:t>as</w:t>
      </w:r>
      <w:proofErr w:type="gramEnd"/>
      <w:r w:rsidRPr="00B74F45">
        <w:rPr>
          <w:i/>
        </w:rPr>
        <w:t xml:space="preserve"> monotherapy in case of a contraindication or intolerance to MTX.</w:t>
      </w:r>
    </w:p>
    <w:p w:rsidR="002F47C5" w:rsidRPr="00D87579" w:rsidRDefault="002F47C5" w:rsidP="00B74F45">
      <w:proofErr w:type="spellStart"/>
      <w:r w:rsidRPr="00D87579">
        <w:t>Certolizumab</w:t>
      </w:r>
      <w:proofErr w:type="spellEnd"/>
      <w:r w:rsidRPr="00D87579">
        <w:t xml:space="preserve"> was </w:t>
      </w:r>
      <w:r w:rsidR="00D87579" w:rsidRPr="00D87579">
        <w:t xml:space="preserve">approved </w:t>
      </w:r>
      <w:r w:rsidRPr="00D87579">
        <w:t xml:space="preserve">on 1 May 2014 for </w:t>
      </w:r>
      <w:r w:rsidR="00D87579">
        <w:t xml:space="preserve">the indications </w:t>
      </w:r>
      <w:r w:rsidRPr="00D87579">
        <w:t>psoriatic arthritis and ankylosing spondylitis.</w:t>
      </w:r>
    </w:p>
    <w:p w:rsidR="00846D0F" w:rsidRPr="00B74F45" w:rsidRDefault="00846D0F" w:rsidP="00B74F45">
      <w:pPr>
        <w:pStyle w:val="ListBullet"/>
        <w:numPr>
          <w:ilvl w:val="0"/>
          <w:numId w:val="0"/>
        </w:numPr>
        <w:ind w:left="360"/>
        <w:rPr>
          <w:i/>
        </w:rPr>
      </w:pPr>
      <w:r w:rsidRPr="00B74F45">
        <w:rPr>
          <w:i/>
        </w:rPr>
        <w:t>Psoriatic arthritis</w:t>
      </w:r>
    </w:p>
    <w:p w:rsidR="00846D0F" w:rsidRPr="00B74F45" w:rsidRDefault="00846D0F" w:rsidP="00B74F45">
      <w:pPr>
        <w:pStyle w:val="ListBullet2"/>
        <w:numPr>
          <w:ilvl w:val="0"/>
          <w:numId w:val="0"/>
        </w:numPr>
        <w:ind w:left="720"/>
        <w:rPr>
          <w:i/>
        </w:rPr>
      </w:pPr>
      <w:proofErr w:type="spellStart"/>
      <w:r w:rsidRPr="00B74F45">
        <w:rPr>
          <w:i/>
        </w:rPr>
        <w:t>Cimzia</w:t>
      </w:r>
      <w:proofErr w:type="spellEnd"/>
      <w:r w:rsidRPr="00B74F45">
        <w:rPr>
          <w:i/>
        </w:rPr>
        <w:t xml:space="preserve"> is indicated for the treatment of adult patients with active psoriatic arthritis where response to previous disease-modifying anti-rheumatic drug therapy (DMARDs) has been inadequate. CIMZIA has been shown to improve physical function.</w:t>
      </w:r>
    </w:p>
    <w:p w:rsidR="00846D0F" w:rsidRPr="00B74F45" w:rsidRDefault="00846D0F" w:rsidP="00B74F45">
      <w:pPr>
        <w:pStyle w:val="ListBullet"/>
        <w:numPr>
          <w:ilvl w:val="0"/>
          <w:numId w:val="0"/>
        </w:numPr>
        <w:ind w:left="360"/>
        <w:rPr>
          <w:i/>
        </w:rPr>
      </w:pPr>
      <w:r w:rsidRPr="00B74F45">
        <w:rPr>
          <w:i/>
        </w:rPr>
        <w:t>Ankylosing Spondylitis</w:t>
      </w:r>
    </w:p>
    <w:p w:rsidR="0088778D" w:rsidRPr="00B74F45" w:rsidRDefault="00846D0F" w:rsidP="00B74F45">
      <w:pPr>
        <w:pStyle w:val="ListBullet2"/>
        <w:numPr>
          <w:ilvl w:val="0"/>
          <w:numId w:val="0"/>
        </w:numPr>
        <w:ind w:left="720"/>
        <w:rPr>
          <w:i/>
        </w:rPr>
      </w:pPr>
      <w:proofErr w:type="spellStart"/>
      <w:r w:rsidRPr="00B74F45">
        <w:rPr>
          <w:i/>
        </w:rPr>
        <w:t>Cimzia</w:t>
      </w:r>
      <w:proofErr w:type="spellEnd"/>
      <w:r w:rsidRPr="00B74F45">
        <w:rPr>
          <w:i/>
        </w:rPr>
        <w:t xml:space="preserve"> is indicated for the treatment of adult patients with active, ankylosing spondylitis who have been intolerant to or have had inadequate response to at least one nonsteroidal anti-inflammatory drug (NSAID).</w:t>
      </w:r>
    </w:p>
    <w:p w:rsidR="00FC54CF" w:rsidRDefault="002F47C5" w:rsidP="00B74F45">
      <w:r>
        <w:t>The new indication for rheumatoid arthritis</w:t>
      </w:r>
      <w:r w:rsidR="00FC54CF">
        <w:t xml:space="preserve"> (this application);</w:t>
      </w:r>
    </w:p>
    <w:p w:rsidR="00FC54CF" w:rsidRPr="00B74F45" w:rsidRDefault="002F47C5" w:rsidP="00B74F45">
      <w:pPr>
        <w:pStyle w:val="ListBullet"/>
        <w:numPr>
          <w:ilvl w:val="0"/>
          <w:numId w:val="0"/>
        </w:numPr>
        <w:ind w:left="360"/>
        <w:rPr>
          <w:i/>
        </w:rPr>
      </w:pPr>
      <w:proofErr w:type="spellStart"/>
      <w:r w:rsidRPr="00B74F45">
        <w:rPr>
          <w:i/>
        </w:rPr>
        <w:lastRenderedPageBreak/>
        <w:t>Cimzia</w:t>
      </w:r>
      <w:proofErr w:type="spellEnd"/>
      <w:r w:rsidRPr="00B74F45">
        <w:rPr>
          <w:i/>
        </w:rPr>
        <w:t xml:space="preserve"> has been shown to reduce the rate of progression of joint damage as measured by X-ray, when given in combination with MTX</w:t>
      </w:r>
      <w:r w:rsidR="006B4075" w:rsidRPr="00B74F45">
        <w:rPr>
          <w:i/>
        </w:rPr>
        <w:t>.</w:t>
      </w:r>
    </w:p>
    <w:p w:rsidR="002F47C5" w:rsidRDefault="002F47C5" w:rsidP="00B74F45">
      <w:proofErr w:type="gramStart"/>
      <w:r>
        <w:t>was</w:t>
      </w:r>
      <w:proofErr w:type="gramEnd"/>
      <w:r>
        <w:t xml:space="preserve"> registered on the ARTG on </w:t>
      </w:r>
      <w:r w:rsidR="002F0B5A">
        <w:t>27 May 2015.</w:t>
      </w:r>
    </w:p>
    <w:p w:rsidR="00786B00" w:rsidRDefault="00786B00" w:rsidP="00B74F45">
      <w:pPr>
        <w:pStyle w:val="Heading4"/>
      </w:pPr>
      <w:r>
        <w:t xml:space="preserve">Overseas </w:t>
      </w:r>
      <w:r w:rsidR="00B74F45" w:rsidRPr="00B74F45">
        <w:t>r</w:t>
      </w:r>
      <w:r w:rsidRPr="00B74F45">
        <w:t>egulatory</w:t>
      </w:r>
      <w:r>
        <w:t xml:space="preserve"> </w:t>
      </w:r>
      <w:r w:rsidR="00B74F45">
        <w:t>s</w:t>
      </w:r>
      <w:r>
        <w:t>tatus</w:t>
      </w:r>
    </w:p>
    <w:p w:rsidR="001473F2" w:rsidRDefault="005876F4" w:rsidP="00B74F45">
      <w:r w:rsidRPr="0095497F">
        <w:t>The proposed indication for the prevention of structura</w:t>
      </w:r>
      <w:r w:rsidR="00D87579">
        <w:t xml:space="preserve">l damage for RA was approved in the European Union (EU) </w:t>
      </w:r>
      <w:r w:rsidR="00786B00" w:rsidRPr="00786B00">
        <w:t>(October 2009) as part of the original application (which incl</w:t>
      </w:r>
      <w:r w:rsidR="00D87579">
        <w:t>uded 2 year radiographic data).</w:t>
      </w:r>
    </w:p>
    <w:p w:rsidR="00786B00" w:rsidRDefault="00786B00" w:rsidP="00B74F45">
      <w:r w:rsidRPr="00786B00">
        <w:t>Certolizumab is also approv</w:t>
      </w:r>
      <w:r w:rsidR="00650882">
        <w:t>ed for RA in the USA (May 2009)</w:t>
      </w:r>
      <w:r w:rsidRPr="00786B00">
        <w:t xml:space="preserve"> and in Canada (August 2009). The current RA indications for </w:t>
      </w:r>
      <w:proofErr w:type="spellStart"/>
      <w:r w:rsidRPr="00786B00">
        <w:t>Cimzia</w:t>
      </w:r>
      <w:proofErr w:type="spellEnd"/>
      <w:r w:rsidRPr="00786B00">
        <w:t xml:space="preserve"> in the USA, Canada and EU (at the time of this evaluation) </w:t>
      </w:r>
      <w:r w:rsidR="00FC54CF">
        <w:t>are shown in Table 1.</w:t>
      </w:r>
    </w:p>
    <w:p w:rsidR="002F47C5" w:rsidRDefault="002F47C5" w:rsidP="00B74F45">
      <w:r w:rsidRPr="00940A89">
        <w:t xml:space="preserve">At the time the TGA considered </w:t>
      </w:r>
      <w:r w:rsidR="00F204B7">
        <w:t>this application, a similar application for the</w:t>
      </w:r>
      <w:r w:rsidR="00581EDB">
        <w:t xml:space="preserve"> RA indication</w:t>
      </w:r>
      <w:r w:rsidRPr="00940A89">
        <w:t xml:space="preserve"> </w:t>
      </w:r>
      <w:r w:rsidR="00F204B7">
        <w:t xml:space="preserve">had been approved </w:t>
      </w:r>
      <w:r w:rsidR="00284EF7">
        <w:t>in Argentina,</w:t>
      </w:r>
      <w:r>
        <w:t xml:space="preserve"> </w:t>
      </w:r>
      <w:r w:rsidR="00284EF7">
        <w:t xml:space="preserve">Brazil, </w:t>
      </w:r>
      <w:r>
        <w:t xml:space="preserve">Canada, </w:t>
      </w:r>
      <w:r w:rsidR="00284EF7">
        <w:t xml:space="preserve">Chile, Colombia, </w:t>
      </w:r>
      <w:r w:rsidR="00E455DD">
        <w:t>Dominican Republic,</w:t>
      </w:r>
      <w:r w:rsidR="00284EF7">
        <w:t xml:space="preserve"> Ecuador,</w:t>
      </w:r>
      <w:r w:rsidR="00E455DD">
        <w:t xml:space="preserve"> </w:t>
      </w:r>
      <w:r>
        <w:t xml:space="preserve">El Salvador, </w:t>
      </w:r>
      <w:r w:rsidR="00284EF7" w:rsidRPr="00284EF7">
        <w:t xml:space="preserve">European Union (EU), </w:t>
      </w:r>
      <w:r>
        <w:t xml:space="preserve">Hong Kong, Iceland, Israel, </w:t>
      </w:r>
      <w:r w:rsidR="00284EF7">
        <w:t xml:space="preserve">Japan, </w:t>
      </w:r>
      <w:r>
        <w:t xml:space="preserve">Kuwait, Lebanon, Malaysia, </w:t>
      </w:r>
      <w:r w:rsidR="00284EF7">
        <w:t xml:space="preserve">Mexico, New Zealand, </w:t>
      </w:r>
      <w:r>
        <w:t xml:space="preserve">Norway, </w:t>
      </w:r>
      <w:r w:rsidR="00E455DD">
        <w:t xml:space="preserve">Panama, </w:t>
      </w:r>
      <w:r>
        <w:t>Peru,</w:t>
      </w:r>
      <w:r w:rsidR="00284EF7">
        <w:t xml:space="preserve"> Russia,</w:t>
      </w:r>
      <w:r>
        <w:t xml:space="preserve"> Serbia, </w:t>
      </w:r>
      <w:r w:rsidR="00E455DD">
        <w:t xml:space="preserve">Singapore, South Korea, </w:t>
      </w:r>
      <w:r>
        <w:t>Switze</w:t>
      </w:r>
      <w:r w:rsidR="00284EF7">
        <w:t>rland, Tunisia, Turkey,</w:t>
      </w:r>
      <w:r w:rsidR="0088778D">
        <w:t xml:space="preserve"> UAE </w:t>
      </w:r>
      <w:r w:rsidR="00284EF7">
        <w:t xml:space="preserve">and the USA. </w:t>
      </w:r>
      <w:r w:rsidR="005A3D92">
        <w:t>The approved application dates and indication details for USA, the EU, Canada</w:t>
      </w:r>
      <w:r w:rsidR="00F204B7">
        <w:t>, Switzerland</w:t>
      </w:r>
      <w:r w:rsidR="005A3D92">
        <w:t xml:space="preserve"> and Japan and are</w:t>
      </w:r>
      <w:r w:rsidR="0088778D">
        <w:t xml:space="preserve"> shown in Table 1.</w:t>
      </w:r>
    </w:p>
    <w:p w:rsidR="005A3D92" w:rsidRDefault="005A3D92" w:rsidP="00B74F45">
      <w:pPr>
        <w:pStyle w:val="TableTitle"/>
      </w:pPr>
      <w:proofErr w:type="gramStart"/>
      <w:r>
        <w:t>Table 1.</w:t>
      </w:r>
      <w:proofErr w:type="gramEnd"/>
      <w:r>
        <w:t xml:space="preserve"> </w:t>
      </w:r>
      <w:r w:rsidRPr="00B74F45">
        <w:t>Approval</w:t>
      </w:r>
      <w:r>
        <w:t xml:space="preserve"> dates and indication details for USA, the EU, Canada, Switzerland and Japan.</w:t>
      </w:r>
    </w:p>
    <w:tbl>
      <w:tblPr>
        <w:tblStyle w:val="TableTGAblue"/>
        <w:tblW w:w="0" w:type="auto"/>
        <w:tblLook w:val="04A0" w:firstRow="1" w:lastRow="0" w:firstColumn="1" w:lastColumn="0" w:noHBand="0" w:noVBand="1"/>
      </w:tblPr>
      <w:tblGrid>
        <w:gridCol w:w="1668"/>
        <w:gridCol w:w="2126"/>
        <w:gridCol w:w="4819"/>
      </w:tblGrid>
      <w:tr w:rsidR="0088778D" w:rsidRPr="00B74F45" w:rsidTr="00B74F45">
        <w:trPr>
          <w:cnfStyle w:val="100000000000" w:firstRow="1" w:lastRow="0" w:firstColumn="0" w:lastColumn="0" w:oddVBand="0" w:evenVBand="0" w:oddHBand="0" w:evenHBand="0" w:firstRowFirstColumn="0" w:firstRowLastColumn="0" w:lastRowFirstColumn="0" w:lastRowLastColumn="0"/>
        </w:trPr>
        <w:tc>
          <w:tcPr>
            <w:tcW w:w="1668" w:type="dxa"/>
          </w:tcPr>
          <w:p w:rsidR="0088778D" w:rsidRPr="00B74F45" w:rsidRDefault="0088778D" w:rsidP="00B74F45">
            <w:pPr>
              <w:ind w:left="0"/>
              <w:rPr>
                <w:sz w:val="20"/>
                <w:szCs w:val="20"/>
              </w:rPr>
            </w:pPr>
            <w:r w:rsidRPr="00B74F45">
              <w:rPr>
                <w:sz w:val="20"/>
                <w:szCs w:val="20"/>
              </w:rPr>
              <w:t>Country</w:t>
            </w:r>
          </w:p>
        </w:tc>
        <w:tc>
          <w:tcPr>
            <w:tcW w:w="2126" w:type="dxa"/>
          </w:tcPr>
          <w:p w:rsidR="0088778D" w:rsidRPr="00B74F45" w:rsidRDefault="0088778D" w:rsidP="00B74F45">
            <w:pPr>
              <w:ind w:left="33"/>
              <w:rPr>
                <w:sz w:val="20"/>
                <w:szCs w:val="20"/>
              </w:rPr>
            </w:pPr>
            <w:r w:rsidRPr="00B74F45">
              <w:rPr>
                <w:sz w:val="20"/>
                <w:szCs w:val="20"/>
              </w:rPr>
              <w:t>Application status</w:t>
            </w:r>
          </w:p>
          <w:p w:rsidR="0088778D" w:rsidRPr="00B74F45" w:rsidRDefault="0088778D" w:rsidP="00B74F45">
            <w:pPr>
              <w:ind w:left="33"/>
              <w:rPr>
                <w:sz w:val="20"/>
                <w:szCs w:val="20"/>
              </w:rPr>
            </w:pPr>
            <w:r w:rsidRPr="00B74F45">
              <w:rPr>
                <w:sz w:val="20"/>
                <w:szCs w:val="20"/>
              </w:rPr>
              <w:t>Status date</w:t>
            </w:r>
          </w:p>
        </w:tc>
        <w:tc>
          <w:tcPr>
            <w:tcW w:w="4819" w:type="dxa"/>
          </w:tcPr>
          <w:p w:rsidR="0088778D" w:rsidRPr="00B74F45" w:rsidRDefault="00DA0022" w:rsidP="00B74F45">
            <w:pPr>
              <w:rPr>
                <w:sz w:val="20"/>
                <w:szCs w:val="20"/>
              </w:rPr>
            </w:pPr>
            <w:r w:rsidRPr="00B74F45">
              <w:rPr>
                <w:sz w:val="20"/>
                <w:szCs w:val="20"/>
              </w:rPr>
              <w:t>Approved application indication details</w:t>
            </w:r>
          </w:p>
        </w:tc>
      </w:tr>
      <w:tr w:rsidR="0088778D" w:rsidRPr="00B74F45" w:rsidTr="00B74F45">
        <w:tc>
          <w:tcPr>
            <w:tcW w:w="1668" w:type="dxa"/>
          </w:tcPr>
          <w:p w:rsidR="0088778D" w:rsidRPr="00B74F45" w:rsidRDefault="00DA0022" w:rsidP="00B74F45">
            <w:pPr>
              <w:ind w:left="0"/>
              <w:rPr>
                <w:sz w:val="20"/>
                <w:szCs w:val="20"/>
              </w:rPr>
            </w:pPr>
            <w:r w:rsidRPr="00B74F45">
              <w:rPr>
                <w:sz w:val="20"/>
                <w:szCs w:val="20"/>
              </w:rPr>
              <w:t>United States</w:t>
            </w:r>
          </w:p>
        </w:tc>
        <w:tc>
          <w:tcPr>
            <w:tcW w:w="2126" w:type="dxa"/>
          </w:tcPr>
          <w:p w:rsidR="0088778D" w:rsidRPr="00B74F45" w:rsidRDefault="00DA0022" w:rsidP="00B74F45">
            <w:pPr>
              <w:ind w:left="33"/>
              <w:rPr>
                <w:sz w:val="20"/>
                <w:szCs w:val="20"/>
              </w:rPr>
            </w:pPr>
            <w:r w:rsidRPr="00B74F45">
              <w:rPr>
                <w:sz w:val="20"/>
                <w:szCs w:val="20"/>
              </w:rPr>
              <w:t>Approved</w:t>
            </w:r>
          </w:p>
          <w:p w:rsidR="00DA0022" w:rsidRPr="00B74F45" w:rsidRDefault="00DA0022" w:rsidP="00B74F45">
            <w:pPr>
              <w:ind w:left="33"/>
              <w:rPr>
                <w:sz w:val="20"/>
                <w:szCs w:val="20"/>
              </w:rPr>
            </w:pPr>
            <w:r w:rsidRPr="00B74F45">
              <w:rPr>
                <w:sz w:val="20"/>
                <w:szCs w:val="20"/>
              </w:rPr>
              <w:t>22 April 2008</w:t>
            </w:r>
          </w:p>
        </w:tc>
        <w:tc>
          <w:tcPr>
            <w:tcW w:w="4819" w:type="dxa"/>
          </w:tcPr>
          <w:p w:rsidR="0088778D" w:rsidRPr="00B74F45" w:rsidRDefault="00DA0022" w:rsidP="00B74F45">
            <w:pPr>
              <w:rPr>
                <w:sz w:val="20"/>
                <w:szCs w:val="20"/>
              </w:rPr>
            </w:pPr>
            <w:r w:rsidRPr="00B74F45">
              <w:rPr>
                <w:sz w:val="20"/>
                <w:szCs w:val="20"/>
              </w:rPr>
              <w:t xml:space="preserve">CIMZIA is a </w:t>
            </w:r>
            <w:r w:rsidR="004829D9" w:rsidRPr="00B74F45">
              <w:rPr>
                <w:sz w:val="20"/>
                <w:szCs w:val="20"/>
              </w:rPr>
              <w:t>tumour</w:t>
            </w:r>
            <w:r w:rsidRPr="00B74F45">
              <w:rPr>
                <w:sz w:val="20"/>
                <w:szCs w:val="20"/>
              </w:rPr>
              <w:t xml:space="preserve"> necrosis factor (TNF) blocker indicated for:</w:t>
            </w:r>
          </w:p>
          <w:p w:rsidR="00DA0022" w:rsidRPr="00B74F45" w:rsidRDefault="00DA0022" w:rsidP="00B74F45">
            <w:pPr>
              <w:pStyle w:val="ListBullet"/>
              <w:rPr>
                <w:sz w:val="20"/>
                <w:szCs w:val="20"/>
              </w:rPr>
            </w:pPr>
            <w:r w:rsidRPr="00B74F45">
              <w:rPr>
                <w:sz w:val="20"/>
                <w:szCs w:val="20"/>
              </w:rPr>
              <w:t>Reducing signs and symptoms of Crohn’s disease and maintaining clinical response in adult patients with moderately to severely active disease who have had an inadequate response to conventional therapy (1.1)</w:t>
            </w:r>
          </w:p>
        </w:tc>
      </w:tr>
      <w:tr w:rsidR="0088778D" w:rsidRPr="00B74F45" w:rsidTr="00B74F45">
        <w:tc>
          <w:tcPr>
            <w:tcW w:w="1668" w:type="dxa"/>
          </w:tcPr>
          <w:p w:rsidR="0088778D" w:rsidRPr="00B74F45" w:rsidRDefault="00DA0022" w:rsidP="00B74F45">
            <w:pPr>
              <w:ind w:left="0"/>
              <w:rPr>
                <w:sz w:val="20"/>
                <w:szCs w:val="20"/>
              </w:rPr>
            </w:pPr>
            <w:r w:rsidRPr="00B74F45">
              <w:rPr>
                <w:sz w:val="20"/>
                <w:szCs w:val="20"/>
              </w:rPr>
              <w:t>United States</w:t>
            </w:r>
          </w:p>
        </w:tc>
        <w:tc>
          <w:tcPr>
            <w:tcW w:w="2126" w:type="dxa"/>
          </w:tcPr>
          <w:p w:rsidR="00DA0022" w:rsidRPr="00B74F45" w:rsidRDefault="00DA0022" w:rsidP="00B74F45">
            <w:pPr>
              <w:ind w:left="33"/>
              <w:rPr>
                <w:sz w:val="20"/>
                <w:szCs w:val="20"/>
              </w:rPr>
            </w:pPr>
            <w:r w:rsidRPr="00B74F45">
              <w:rPr>
                <w:sz w:val="20"/>
                <w:szCs w:val="20"/>
              </w:rPr>
              <w:t>Approved</w:t>
            </w:r>
          </w:p>
          <w:p w:rsidR="0088778D" w:rsidRPr="00B74F45" w:rsidRDefault="00DA0022" w:rsidP="00B74F45">
            <w:pPr>
              <w:ind w:left="33"/>
              <w:rPr>
                <w:sz w:val="20"/>
                <w:szCs w:val="20"/>
              </w:rPr>
            </w:pPr>
            <w:r w:rsidRPr="00B74F45">
              <w:rPr>
                <w:sz w:val="20"/>
                <w:szCs w:val="20"/>
              </w:rPr>
              <w:t>13 May 2009</w:t>
            </w:r>
          </w:p>
        </w:tc>
        <w:tc>
          <w:tcPr>
            <w:tcW w:w="4819" w:type="dxa"/>
          </w:tcPr>
          <w:p w:rsidR="0088778D" w:rsidRPr="00B74F45" w:rsidRDefault="00B952E7" w:rsidP="00B74F45">
            <w:pPr>
              <w:pStyle w:val="ListBullet"/>
              <w:rPr>
                <w:sz w:val="20"/>
                <w:szCs w:val="20"/>
              </w:rPr>
            </w:pPr>
            <w:r w:rsidRPr="00B74F45">
              <w:rPr>
                <w:sz w:val="20"/>
                <w:szCs w:val="20"/>
              </w:rPr>
              <w:t>Trea</w:t>
            </w:r>
            <w:r w:rsidR="00DA0022" w:rsidRPr="00B74F45">
              <w:rPr>
                <w:sz w:val="20"/>
                <w:szCs w:val="20"/>
              </w:rPr>
              <w:t xml:space="preserve">tment of adults with </w:t>
            </w:r>
            <w:r w:rsidRPr="00B74F45">
              <w:rPr>
                <w:sz w:val="20"/>
                <w:szCs w:val="20"/>
              </w:rPr>
              <w:t>moderately</w:t>
            </w:r>
            <w:r w:rsidR="00DA0022" w:rsidRPr="00B74F45">
              <w:rPr>
                <w:sz w:val="20"/>
                <w:szCs w:val="20"/>
              </w:rPr>
              <w:t xml:space="preserve"> to severely active </w:t>
            </w:r>
            <w:r w:rsidRPr="00B74F45">
              <w:rPr>
                <w:sz w:val="20"/>
                <w:szCs w:val="20"/>
              </w:rPr>
              <w:t>rheumatoid</w:t>
            </w:r>
            <w:r w:rsidR="00DA0022" w:rsidRPr="00B74F45">
              <w:rPr>
                <w:sz w:val="20"/>
                <w:szCs w:val="20"/>
              </w:rPr>
              <w:t xml:space="preserve"> arthritis (1.2)</w:t>
            </w:r>
          </w:p>
        </w:tc>
      </w:tr>
      <w:tr w:rsidR="0088778D" w:rsidRPr="00B74F45" w:rsidTr="00B74F45">
        <w:tc>
          <w:tcPr>
            <w:tcW w:w="1668" w:type="dxa"/>
          </w:tcPr>
          <w:p w:rsidR="0088778D" w:rsidRPr="00B74F45" w:rsidRDefault="00B952E7" w:rsidP="00B74F45">
            <w:pPr>
              <w:ind w:left="0"/>
              <w:rPr>
                <w:sz w:val="20"/>
                <w:szCs w:val="20"/>
              </w:rPr>
            </w:pPr>
            <w:r w:rsidRPr="00B74F45">
              <w:rPr>
                <w:sz w:val="20"/>
                <w:szCs w:val="20"/>
              </w:rPr>
              <w:t>United States</w:t>
            </w:r>
          </w:p>
        </w:tc>
        <w:tc>
          <w:tcPr>
            <w:tcW w:w="2126" w:type="dxa"/>
          </w:tcPr>
          <w:p w:rsidR="00B45558" w:rsidRPr="00B74F45" w:rsidRDefault="00B45558" w:rsidP="00B74F45">
            <w:pPr>
              <w:ind w:left="33"/>
              <w:rPr>
                <w:sz w:val="20"/>
                <w:szCs w:val="20"/>
              </w:rPr>
            </w:pPr>
            <w:r w:rsidRPr="00B74F45">
              <w:rPr>
                <w:sz w:val="20"/>
                <w:szCs w:val="20"/>
              </w:rPr>
              <w:t xml:space="preserve">Approved </w:t>
            </w:r>
          </w:p>
          <w:p w:rsidR="0088778D" w:rsidRPr="00B74F45" w:rsidRDefault="00B952E7" w:rsidP="00B74F45">
            <w:pPr>
              <w:ind w:left="33"/>
              <w:rPr>
                <w:sz w:val="20"/>
                <w:szCs w:val="20"/>
              </w:rPr>
            </w:pPr>
            <w:r w:rsidRPr="00B74F45">
              <w:rPr>
                <w:sz w:val="20"/>
                <w:szCs w:val="20"/>
              </w:rPr>
              <w:t>27 September 2013</w:t>
            </w:r>
          </w:p>
        </w:tc>
        <w:tc>
          <w:tcPr>
            <w:tcW w:w="4819" w:type="dxa"/>
          </w:tcPr>
          <w:p w:rsidR="0088778D" w:rsidRPr="00B74F45" w:rsidRDefault="00B952E7" w:rsidP="00B74F45">
            <w:pPr>
              <w:pStyle w:val="ListBullet"/>
              <w:rPr>
                <w:sz w:val="20"/>
                <w:szCs w:val="20"/>
              </w:rPr>
            </w:pPr>
            <w:r w:rsidRPr="00B74F45">
              <w:rPr>
                <w:sz w:val="20"/>
                <w:szCs w:val="20"/>
              </w:rPr>
              <w:t>Treatment of adults with active psoriatic arthritis</w:t>
            </w:r>
          </w:p>
        </w:tc>
      </w:tr>
      <w:tr w:rsidR="0088778D" w:rsidRPr="00B74F45" w:rsidTr="00B74F45">
        <w:tc>
          <w:tcPr>
            <w:tcW w:w="1668" w:type="dxa"/>
          </w:tcPr>
          <w:p w:rsidR="0088778D" w:rsidRPr="00B74F45" w:rsidRDefault="00B952E7" w:rsidP="00B74F45">
            <w:pPr>
              <w:ind w:left="0"/>
              <w:rPr>
                <w:sz w:val="20"/>
                <w:szCs w:val="20"/>
              </w:rPr>
            </w:pPr>
            <w:r w:rsidRPr="00B74F45">
              <w:rPr>
                <w:sz w:val="20"/>
                <w:szCs w:val="20"/>
              </w:rPr>
              <w:t>United States</w:t>
            </w:r>
          </w:p>
        </w:tc>
        <w:tc>
          <w:tcPr>
            <w:tcW w:w="2126" w:type="dxa"/>
          </w:tcPr>
          <w:p w:rsidR="00B952E7" w:rsidRPr="00B74F45" w:rsidRDefault="00B952E7" w:rsidP="00B74F45">
            <w:pPr>
              <w:ind w:left="33"/>
              <w:rPr>
                <w:sz w:val="20"/>
                <w:szCs w:val="20"/>
              </w:rPr>
            </w:pPr>
            <w:r w:rsidRPr="00B74F45">
              <w:rPr>
                <w:sz w:val="20"/>
                <w:szCs w:val="20"/>
              </w:rPr>
              <w:t>Approved</w:t>
            </w:r>
          </w:p>
          <w:p w:rsidR="0088778D" w:rsidRPr="00B74F45" w:rsidRDefault="00B952E7" w:rsidP="00B74F45">
            <w:pPr>
              <w:ind w:left="33"/>
              <w:rPr>
                <w:sz w:val="20"/>
                <w:szCs w:val="20"/>
              </w:rPr>
            </w:pPr>
            <w:r w:rsidRPr="00B74F45">
              <w:rPr>
                <w:sz w:val="20"/>
                <w:szCs w:val="20"/>
              </w:rPr>
              <w:t>17 October 2013</w:t>
            </w:r>
          </w:p>
        </w:tc>
        <w:tc>
          <w:tcPr>
            <w:tcW w:w="4819" w:type="dxa"/>
          </w:tcPr>
          <w:p w:rsidR="0088778D" w:rsidRPr="00B74F45" w:rsidRDefault="00B952E7" w:rsidP="00B74F45">
            <w:pPr>
              <w:pStyle w:val="ListBullet"/>
              <w:rPr>
                <w:sz w:val="20"/>
                <w:szCs w:val="20"/>
              </w:rPr>
            </w:pPr>
            <w:r w:rsidRPr="00B74F45">
              <w:rPr>
                <w:sz w:val="20"/>
                <w:szCs w:val="20"/>
              </w:rPr>
              <w:t>Treatment of adults with active ankylosing spondylitis</w:t>
            </w:r>
          </w:p>
        </w:tc>
      </w:tr>
      <w:tr w:rsidR="0088778D" w:rsidRPr="00B74F45" w:rsidTr="00B74F45">
        <w:tc>
          <w:tcPr>
            <w:tcW w:w="1668" w:type="dxa"/>
          </w:tcPr>
          <w:p w:rsidR="0088778D" w:rsidRPr="00B74F45" w:rsidRDefault="00B952E7" w:rsidP="00B74F45">
            <w:pPr>
              <w:ind w:left="0"/>
              <w:rPr>
                <w:sz w:val="20"/>
                <w:szCs w:val="20"/>
              </w:rPr>
            </w:pPr>
            <w:r w:rsidRPr="00B74F45">
              <w:rPr>
                <w:sz w:val="20"/>
                <w:szCs w:val="20"/>
              </w:rPr>
              <w:t>European Union</w:t>
            </w:r>
          </w:p>
        </w:tc>
        <w:tc>
          <w:tcPr>
            <w:tcW w:w="2126" w:type="dxa"/>
          </w:tcPr>
          <w:p w:rsidR="00B952E7" w:rsidRPr="00B74F45" w:rsidRDefault="00B952E7" w:rsidP="00B74F45">
            <w:pPr>
              <w:ind w:left="33"/>
              <w:rPr>
                <w:sz w:val="20"/>
                <w:szCs w:val="20"/>
              </w:rPr>
            </w:pPr>
            <w:r w:rsidRPr="00B74F45">
              <w:rPr>
                <w:sz w:val="20"/>
                <w:szCs w:val="20"/>
              </w:rPr>
              <w:t>Approved</w:t>
            </w:r>
          </w:p>
          <w:p w:rsidR="0088778D" w:rsidRPr="00B74F45" w:rsidRDefault="00B952E7" w:rsidP="00B74F45">
            <w:pPr>
              <w:ind w:left="33"/>
              <w:rPr>
                <w:sz w:val="20"/>
                <w:szCs w:val="20"/>
              </w:rPr>
            </w:pPr>
            <w:r w:rsidRPr="00B74F45">
              <w:rPr>
                <w:sz w:val="20"/>
                <w:szCs w:val="20"/>
              </w:rPr>
              <w:t>1 October 2009</w:t>
            </w:r>
          </w:p>
        </w:tc>
        <w:tc>
          <w:tcPr>
            <w:tcW w:w="4819" w:type="dxa"/>
          </w:tcPr>
          <w:p w:rsidR="0088778D" w:rsidRPr="00B74F45" w:rsidRDefault="00B952E7" w:rsidP="00B74F45">
            <w:pPr>
              <w:rPr>
                <w:sz w:val="20"/>
                <w:szCs w:val="20"/>
              </w:rPr>
            </w:pPr>
            <w:proofErr w:type="spellStart"/>
            <w:r w:rsidRPr="00B74F45">
              <w:rPr>
                <w:sz w:val="20"/>
                <w:szCs w:val="20"/>
              </w:rPr>
              <w:t>Cimzia</w:t>
            </w:r>
            <w:proofErr w:type="spellEnd"/>
            <w:r w:rsidRPr="00B74F45">
              <w:rPr>
                <w:sz w:val="20"/>
                <w:szCs w:val="20"/>
              </w:rPr>
              <w:t>, in combination with methotrexate (MTX), is indicated for the treatment of moderate to severe, active rheumatoid arthritis (RA) in adult patients when the response to disease-modifying antirheumatic drugs (DMARDS) including methotrexate, has been inadequate.</w:t>
            </w:r>
          </w:p>
          <w:p w:rsidR="00B952E7" w:rsidRPr="00B74F45" w:rsidRDefault="00B952E7" w:rsidP="00B74F45">
            <w:pPr>
              <w:rPr>
                <w:sz w:val="20"/>
                <w:szCs w:val="20"/>
              </w:rPr>
            </w:pPr>
            <w:proofErr w:type="spellStart"/>
            <w:r w:rsidRPr="00B74F45">
              <w:rPr>
                <w:sz w:val="20"/>
                <w:szCs w:val="20"/>
              </w:rPr>
              <w:t>Cimzia</w:t>
            </w:r>
            <w:proofErr w:type="spellEnd"/>
            <w:r w:rsidRPr="00B74F45">
              <w:rPr>
                <w:sz w:val="20"/>
                <w:szCs w:val="20"/>
              </w:rPr>
              <w:t xml:space="preserve"> can be given as monotherapy in case of </w:t>
            </w:r>
            <w:r w:rsidR="00581EDB" w:rsidRPr="00B74F45">
              <w:rPr>
                <w:sz w:val="20"/>
                <w:szCs w:val="20"/>
              </w:rPr>
              <w:t>in</w:t>
            </w:r>
            <w:r w:rsidRPr="00B74F45">
              <w:rPr>
                <w:sz w:val="20"/>
                <w:szCs w:val="20"/>
              </w:rPr>
              <w:t>tolerance to methotrexate or when continued treatment with methotrexate is inappropriate.</w:t>
            </w:r>
          </w:p>
          <w:p w:rsidR="00B952E7" w:rsidRPr="00B74F45" w:rsidRDefault="00B952E7" w:rsidP="00B74F45">
            <w:pPr>
              <w:rPr>
                <w:sz w:val="20"/>
                <w:szCs w:val="20"/>
              </w:rPr>
            </w:pPr>
            <w:proofErr w:type="spellStart"/>
            <w:r w:rsidRPr="00B74F45">
              <w:rPr>
                <w:sz w:val="20"/>
                <w:szCs w:val="20"/>
              </w:rPr>
              <w:lastRenderedPageBreak/>
              <w:t>Cimzia</w:t>
            </w:r>
            <w:proofErr w:type="spellEnd"/>
            <w:r w:rsidRPr="00B74F45">
              <w:rPr>
                <w:sz w:val="20"/>
                <w:szCs w:val="20"/>
              </w:rPr>
              <w:t xml:space="preserve"> has been shown to reduce the rate of progression of joint damage as measured by X-ray and to improve physical function, when given in combination with methotrexate.</w:t>
            </w:r>
          </w:p>
        </w:tc>
      </w:tr>
      <w:tr w:rsidR="0088778D" w:rsidRPr="00B74F45" w:rsidTr="00B74F45">
        <w:tc>
          <w:tcPr>
            <w:tcW w:w="1668" w:type="dxa"/>
          </w:tcPr>
          <w:p w:rsidR="0088778D" w:rsidRPr="00B74F45" w:rsidRDefault="00C4305E" w:rsidP="00B74F45">
            <w:pPr>
              <w:ind w:left="0"/>
              <w:rPr>
                <w:sz w:val="20"/>
                <w:szCs w:val="20"/>
              </w:rPr>
            </w:pPr>
            <w:r w:rsidRPr="00B74F45">
              <w:rPr>
                <w:sz w:val="20"/>
                <w:szCs w:val="20"/>
              </w:rPr>
              <w:lastRenderedPageBreak/>
              <w:t>European Union</w:t>
            </w:r>
          </w:p>
        </w:tc>
        <w:tc>
          <w:tcPr>
            <w:tcW w:w="2126" w:type="dxa"/>
          </w:tcPr>
          <w:p w:rsidR="00C4305E" w:rsidRPr="00B74F45" w:rsidRDefault="00C4305E" w:rsidP="00B74F45">
            <w:pPr>
              <w:ind w:left="33"/>
              <w:rPr>
                <w:sz w:val="20"/>
                <w:szCs w:val="20"/>
              </w:rPr>
            </w:pPr>
            <w:r w:rsidRPr="00B74F45">
              <w:rPr>
                <w:sz w:val="20"/>
                <w:szCs w:val="20"/>
              </w:rPr>
              <w:t>Approved</w:t>
            </w:r>
          </w:p>
          <w:p w:rsidR="0088778D" w:rsidRPr="00B74F45" w:rsidRDefault="00C4305E" w:rsidP="00B74F45">
            <w:pPr>
              <w:ind w:left="33"/>
              <w:rPr>
                <w:sz w:val="20"/>
                <w:szCs w:val="20"/>
              </w:rPr>
            </w:pPr>
            <w:r w:rsidRPr="00B74F45">
              <w:rPr>
                <w:sz w:val="20"/>
                <w:szCs w:val="20"/>
              </w:rPr>
              <w:t>18 October 2013</w:t>
            </w:r>
          </w:p>
        </w:tc>
        <w:tc>
          <w:tcPr>
            <w:tcW w:w="4819" w:type="dxa"/>
          </w:tcPr>
          <w:p w:rsidR="0088778D" w:rsidRPr="00B74F45" w:rsidRDefault="00C4305E" w:rsidP="00B74F45">
            <w:pPr>
              <w:rPr>
                <w:sz w:val="20"/>
                <w:szCs w:val="20"/>
              </w:rPr>
            </w:pPr>
            <w:r w:rsidRPr="00B74F45">
              <w:rPr>
                <w:sz w:val="20"/>
                <w:szCs w:val="20"/>
              </w:rPr>
              <w:t xml:space="preserve">Axial </w:t>
            </w:r>
            <w:proofErr w:type="spellStart"/>
            <w:r w:rsidRPr="00B74F45">
              <w:rPr>
                <w:sz w:val="20"/>
                <w:szCs w:val="20"/>
              </w:rPr>
              <w:t>spondyloarthritis</w:t>
            </w:r>
            <w:proofErr w:type="spellEnd"/>
          </w:p>
          <w:p w:rsidR="00C4305E" w:rsidRPr="00B74F45" w:rsidRDefault="00C4305E" w:rsidP="00B74F45">
            <w:pPr>
              <w:rPr>
                <w:sz w:val="20"/>
                <w:szCs w:val="20"/>
              </w:rPr>
            </w:pPr>
            <w:proofErr w:type="spellStart"/>
            <w:r w:rsidRPr="00B74F45">
              <w:rPr>
                <w:sz w:val="20"/>
                <w:szCs w:val="20"/>
              </w:rPr>
              <w:t>Cimzia</w:t>
            </w:r>
            <w:proofErr w:type="spellEnd"/>
            <w:r w:rsidRPr="00B74F45">
              <w:rPr>
                <w:sz w:val="20"/>
                <w:szCs w:val="20"/>
              </w:rPr>
              <w:t xml:space="preserve"> is indicated for the treatment of adult patients with severe active axial </w:t>
            </w:r>
            <w:proofErr w:type="spellStart"/>
            <w:r w:rsidRPr="00B74F45">
              <w:rPr>
                <w:sz w:val="20"/>
                <w:szCs w:val="20"/>
              </w:rPr>
              <w:t>spondyloarthritis</w:t>
            </w:r>
            <w:proofErr w:type="spellEnd"/>
            <w:r w:rsidRPr="00B74F45">
              <w:rPr>
                <w:sz w:val="20"/>
                <w:szCs w:val="20"/>
              </w:rPr>
              <w:t>, comprising:</w:t>
            </w:r>
          </w:p>
          <w:p w:rsidR="00C4305E" w:rsidRPr="00B74F45" w:rsidRDefault="00C4305E" w:rsidP="00B74F45">
            <w:pPr>
              <w:rPr>
                <w:sz w:val="20"/>
                <w:szCs w:val="20"/>
              </w:rPr>
            </w:pPr>
            <w:r w:rsidRPr="00B74F45">
              <w:rPr>
                <w:sz w:val="20"/>
                <w:szCs w:val="20"/>
              </w:rPr>
              <w:t>Ankylosing spondylitis (AS)</w:t>
            </w:r>
          </w:p>
          <w:p w:rsidR="00C4305E" w:rsidRPr="00B74F45" w:rsidRDefault="00C4305E" w:rsidP="00B74F45">
            <w:pPr>
              <w:rPr>
                <w:sz w:val="20"/>
                <w:szCs w:val="20"/>
              </w:rPr>
            </w:pPr>
            <w:r w:rsidRPr="00B74F45">
              <w:rPr>
                <w:sz w:val="20"/>
                <w:szCs w:val="20"/>
              </w:rPr>
              <w:t>Adults with severe active ankylosing spondylitis who have had an inadequate response to, or are intolerant to nonsteroidal anti-inflammatory drugs (NS</w:t>
            </w:r>
            <w:r w:rsidR="00581EDB" w:rsidRPr="00B74F45">
              <w:rPr>
                <w:sz w:val="20"/>
                <w:szCs w:val="20"/>
              </w:rPr>
              <w:t>AI</w:t>
            </w:r>
            <w:r w:rsidRPr="00B74F45">
              <w:rPr>
                <w:sz w:val="20"/>
                <w:szCs w:val="20"/>
              </w:rPr>
              <w:t>DS).</w:t>
            </w:r>
          </w:p>
          <w:p w:rsidR="00C4305E" w:rsidRPr="00B74F45" w:rsidRDefault="00C4305E" w:rsidP="00B74F45">
            <w:pPr>
              <w:rPr>
                <w:sz w:val="20"/>
                <w:szCs w:val="20"/>
              </w:rPr>
            </w:pPr>
            <w:r w:rsidRPr="00B74F45">
              <w:rPr>
                <w:sz w:val="20"/>
                <w:szCs w:val="20"/>
              </w:rPr>
              <w:t xml:space="preserve">Axial </w:t>
            </w:r>
            <w:proofErr w:type="spellStart"/>
            <w:r w:rsidRPr="00B74F45">
              <w:rPr>
                <w:sz w:val="20"/>
                <w:szCs w:val="20"/>
              </w:rPr>
              <w:t>spondyloarthritis</w:t>
            </w:r>
            <w:proofErr w:type="spellEnd"/>
            <w:r w:rsidRPr="00B74F45">
              <w:rPr>
                <w:sz w:val="20"/>
                <w:szCs w:val="20"/>
              </w:rPr>
              <w:t xml:space="preserve"> without radiographic evidence of AS</w:t>
            </w:r>
          </w:p>
          <w:p w:rsidR="00C4305E" w:rsidRPr="00B74F45" w:rsidRDefault="00C4305E" w:rsidP="00B74F45">
            <w:pPr>
              <w:rPr>
                <w:sz w:val="20"/>
                <w:szCs w:val="20"/>
              </w:rPr>
            </w:pPr>
            <w:r w:rsidRPr="00B74F45">
              <w:rPr>
                <w:sz w:val="20"/>
                <w:szCs w:val="20"/>
              </w:rPr>
              <w:t xml:space="preserve">Adults with severe active axial </w:t>
            </w:r>
            <w:proofErr w:type="spellStart"/>
            <w:r w:rsidRPr="00B74F45">
              <w:rPr>
                <w:sz w:val="20"/>
                <w:szCs w:val="20"/>
              </w:rPr>
              <w:t>spondyloarthritis</w:t>
            </w:r>
            <w:proofErr w:type="spellEnd"/>
            <w:r w:rsidRPr="00B74F45">
              <w:rPr>
                <w:sz w:val="20"/>
                <w:szCs w:val="20"/>
              </w:rPr>
              <w:t xml:space="preserve"> without radiographic evidence of AS but with objective signs of inflammation by elevated </w:t>
            </w:r>
            <w:r w:rsidR="00D97088" w:rsidRPr="00B74F45">
              <w:rPr>
                <w:sz w:val="20"/>
                <w:szCs w:val="20"/>
              </w:rPr>
              <w:t>c-reactive protein (</w:t>
            </w:r>
            <w:r w:rsidRPr="00B74F45">
              <w:rPr>
                <w:sz w:val="20"/>
                <w:szCs w:val="20"/>
              </w:rPr>
              <w:t>CRP</w:t>
            </w:r>
            <w:r w:rsidR="00D97088" w:rsidRPr="00B74F45">
              <w:rPr>
                <w:sz w:val="20"/>
                <w:szCs w:val="20"/>
              </w:rPr>
              <w:t>)</w:t>
            </w:r>
            <w:r w:rsidRPr="00B74F45">
              <w:rPr>
                <w:sz w:val="20"/>
                <w:szCs w:val="20"/>
              </w:rPr>
              <w:t xml:space="preserve"> and/or MRI, who have had and </w:t>
            </w:r>
            <w:r w:rsidR="004829D9" w:rsidRPr="00B74F45">
              <w:rPr>
                <w:sz w:val="20"/>
                <w:szCs w:val="20"/>
              </w:rPr>
              <w:t>inadequate</w:t>
            </w:r>
            <w:r w:rsidRPr="00B74F45">
              <w:rPr>
                <w:sz w:val="20"/>
                <w:szCs w:val="20"/>
              </w:rPr>
              <w:t xml:space="preserve"> response to, or are intolerant to NS</w:t>
            </w:r>
            <w:r w:rsidR="00581EDB" w:rsidRPr="00B74F45">
              <w:rPr>
                <w:sz w:val="20"/>
                <w:szCs w:val="20"/>
              </w:rPr>
              <w:t>AI</w:t>
            </w:r>
            <w:r w:rsidRPr="00B74F45">
              <w:rPr>
                <w:sz w:val="20"/>
                <w:szCs w:val="20"/>
              </w:rPr>
              <w:t>Ds.</w:t>
            </w:r>
          </w:p>
        </w:tc>
      </w:tr>
      <w:tr w:rsidR="0088778D" w:rsidRPr="00B74F45" w:rsidTr="00B74F45">
        <w:tc>
          <w:tcPr>
            <w:tcW w:w="1668" w:type="dxa"/>
          </w:tcPr>
          <w:p w:rsidR="0088778D" w:rsidRPr="00B74F45" w:rsidRDefault="00C4305E" w:rsidP="00B74F45">
            <w:pPr>
              <w:ind w:left="0"/>
              <w:rPr>
                <w:sz w:val="20"/>
                <w:szCs w:val="20"/>
              </w:rPr>
            </w:pPr>
            <w:r w:rsidRPr="00B74F45">
              <w:rPr>
                <w:sz w:val="20"/>
                <w:szCs w:val="20"/>
              </w:rPr>
              <w:t>European Union</w:t>
            </w:r>
          </w:p>
        </w:tc>
        <w:tc>
          <w:tcPr>
            <w:tcW w:w="2126" w:type="dxa"/>
          </w:tcPr>
          <w:p w:rsidR="00C4305E" w:rsidRPr="00B74F45" w:rsidRDefault="00C4305E" w:rsidP="00B74F45">
            <w:pPr>
              <w:ind w:left="33"/>
              <w:rPr>
                <w:sz w:val="20"/>
                <w:szCs w:val="20"/>
              </w:rPr>
            </w:pPr>
            <w:r w:rsidRPr="00B74F45">
              <w:rPr>
                <w:sz w:val="20"/>
                <w:szCs w:val="20"/>
              </w:rPr>
              <w:t>Approved</w:t>
            </w:r>
          </w:p>
          <w:p w:rsidR="0088778D" w:rsidRPr="00B74F45" w:rsidRDefault="001E7B3A" w:rsidP="00B74F45">
            <w:pPr>
              <w:ind w:left="33"/>
              <w:rPr>
                <w:sz w:val="20"/>
                <w:szCs w:val="20"/>
              </w:rPr>
            </w:pPr>
            <w:r w:rsidRPr="00B74F45">
              <w:rPr>
                <w:sz w:val="20"/>
                <w:szCs w:val="20"/>
              </w:rPr>
              <w:t>25 November 2013</w:t>
            </w:r>
          </w:p>
        </w:tc>
        <w:tc>
          <w:tcPr>
            <w:tcW w:w="4819" w:type="dxa"/>
          </w:tcPr>
          <w:p w:rsidR="0088778D" w:rsidRPr="00B74F45" w:rsidRDefault="001E7B3A" w:rsidP="00B74F45">
            <w:pPr>
              <w:rPr>
                <w:sz w:val="20"/>
                <w:szCs w:val="20"/>
              </w:rPr>
            </w:pPr>
            <w:r w:rsidRPr="00B74F45">
              <w:rPr>
                <w:sz w:val="20"/>
                <w:szCs w:val="20"/>
              </w:rPr>
              <w:t>Psoriatic arthritis</w:t>
            </w:r>
          </w:p>
          <w:p w:rsidR="001E7B3A" w:rsidRPr="00B74F45" w:rsidRDefault="001E7B3A" w:rsidP="00B74F45">
            <w:pPr>
              <w:rPr>
                <w:sz w:val="20"/>
                <w:szCs w:val="20"/>
              </w:rPr>
            </w:pPr>
            <w:proofErr w:type="spellStart"/>
            <w:r w:rsidRPr="00B74F45">
              <w:rPr>
                <w:sz w:val="20"/>
                <w:szCs w:val="20"/>
              </w:rPr>
              <w:t>Cimzia</w:t>
            </w:r>
            <w:proofErr w:type="spellEnd"/>
            <w:r w:rsidRPr="00B74F45">
              <w:rPr>
                <w:sz w:val="20"/>
                <w:szCs w:val="20"/>
              </w:rPr>
              <w:t>, in combination with MTX, is indicated for the treatment of active psoriatic arthritis in adults when the response to previous DMARD therapy has been inadequate.</w:t>
            </w:r>
          </w:p>
          <w:p w:rsidR="001E7B3A" w:rsidRPr="00B74F45" w:rsidRDefault="001E7B3A" w:rsidP="00B74F45">
            <w:pPr>
              <w:rPr>
                <w:sz w:val="20"/>
                <w:szCs w:val="20"/>
              </w:rPr>
            </w:pPr>
            <w:proofErr w:type="spellStart"/>
            <w:r w:rsidRPr="00B74F45">
              <w:rPr>
                <w:sz w:val="20"/>
                <w:szCs w:val="20"/>
              </w:rPr>
              <w:t>Cimzia</w:t>
            </w:r>
            <w:proofErr w:type="spellEnd"/>
            <w:r w:rsidRPr="00B74F45">
              <w:rPr>
                <w:sz w:val="20"/>
                <w:szCs w:val="20"/>
              </w:rPr>
              <w:t xml:space="preserve"> can be given as a monotherapy in the case of intolerance </w:t>
            </w:r>
            <w:r w:rsidR="004829D9" w:rsidRPr="00B74F45">
              <w:rPr>
                <w:sz w:val="20"/>
                <w:szCs w:val="20"/>
              </w:rPr>
              <w:t>to</w:t>
            </w:r>
            <w:r w:rsidRPr="00B74F45">
              <w:rPr>
                <w:sz w:val="20"/>
                <w:szCs w:val="20"/>
              </w:rPr>
              <w:t xml:space="preserve"> methotrexate or when the continued treatment with methotrexate is </w:t>
            </w:r>
            <w:r w:rsidR="004829D9" w:rsidRPr="00B74F45">
              <w:rPr>
                <w:sz w:val="20"/>
                <w:szCs w:val="20"/>
              </w:rPr>
              <w:t>inappropriate</w:t>
            </w:r>
            <w:r w:rsidRPr="00B74F45">
              <w:rPr>
                <w:sz w:val="20"/>
                <w:szCs w:val="20"/>
              </w:rPr>
              <w:t>.</w:t>
            </w:r>
          </w:p>
        </w:tc>
      </w:tr>
      <w:tr w:rsidR="0088778D" w:rsidRPr="00B74F45" w:rsidTr="00B74F45">
        <w:tc>
          <w:tcPr>
            <w:tcW w:w="1668" w:type="dxa"/>
          </w:tcPr>
          <w:p w:rsidR="0088778D" w:rsidRPr="00B74F45" w:rsidRDefault="001E7B3A" w:rsidP="00B74F45">
            <w:pPr>
              <w:ind w:left="0"/>
              <w:rPr>
                <w:sz w:val="20"/>
                <w:szCs w:val="20"/>
              </w:rPr>
            </w:pPr>
            <w:r w:rsidRPr="00B74F45">
              <w:rPr>
                <w:sz w:val="20"/>
                <w:szCs w:val="20"/>
              </w:rPr>
              <w:t>Canada</w:t>
            </w:r>
          </w:p>
        </w:tc>
        <w:tc>
          <w:tcPr>
            <w:tcW w:w="2126" w:type="dxa"/>
          </w:tcPr>
          <w:p w:rsidR="004829D9" w:rsidRPr="00B74F45" w:rsidRDefault="004829D9" w:rsidP="00B74F45">
            <w:pPr>
              <w:ind w:left="33"/>
              <w:rPr>
                <w:sz w:val="20"/>
                <w:szCs w:val="20"/>
              </w:rPr>
            </w:pPr>
            <w:r w:rsidRPr="00B74F45">
              <w:rPr>
                <w:sz w:val="20"/>
                <w:szCs w:val="20"/>
              </w:rPr>
              <w:t>Approved</w:t>
            </w:r>
          </w:p>
          <w:p w:rsidR="0088778D" w:rsidRPr="00B74F45" w:rsidRDefault="001E7B3A" w:rsidP="00B74F45">
            <w:pPr>
              <w:ind w:left="33"/>
              <w:rPr>
                <w:sz w:val="20"/>
                <w:szCs w:val="20"/>
              </w:rPr>
            </w:pPr>
            <w:r w:rsidRPr="00B74F45">
              <w:rPr>
                <w:sz w:val="20"/>
                <w:szCs w:val="20"/>
              </w:rPr>
              <w:t>12 August 2009</w:t>
            </w:r>
          </w:p>
        </w:tc>
        <w:tc>
          <w:tcPr>
            <w:tcW w:w="4819" w:type="dxa"/>
          </w:tcPr>
          <w:p w:rsidR="004829D9" w:rsidRPr="00B74F45" w:rsidRDefault="004829D9" w:rsidP="00B74F45">
            <w:pPr>
              <w:rPr>
                <w:sz w:val="20"/>
                <w:szCs w:val="20"/>
              </w:rPr>
            </w:pPr>
            <w:r w:rsidRPr="00B74F45">
              <w:rPr>
                <w:sz w:val="20"/>
                <w:szCs w:val="20"/>
              </w:rPr>
              <w:t>Rheumatoid Arthritis (RA)</w:t>
            </w:r>
          </w:p>
          <w:p w:rsidR="004829D9" w:rsidRPr="00B74F45" w:rsidRDefault="004829D9" w:rsidP="00B74F45">
            <w:pPr>
              <w:rPr>
                <w:sz w:val="20"/>
                <w:szCs w:val="20"/>
              </w:rPr>
            </w:pPr>
            <w:r w:rsidRPr="00B74F45">
              <w:rPr>
                <w:sz w:val="20"/>
                <w:szCs w:val="20"/>
              </w:rPr>
              <w:t>CIMZIA (certolizumab pegol) in combination with methotrexate (MTX) is indicated for:</w:t>
            </w:r>
          </w:p>
          <w:p w:rsidR="004829D9" w:rsidRPr="00B74F45" w:rsidRDefault="004829D9" w:rsidP="00B74F45">
            <w:pPr>
              <w:pStyle w:val="ListBullet"/>
              <w:rPr>
                <w:sz w:val="20"/>
                <w:szCs w:val="20"/>
              </w:rPr>
            </w:pPr>
            <w:r w:rsidRPr="00B74F45">
              <w:rPr>
                <w:sz w:val="20"/>
                <w:szCs w:val="20"/>
              </w:rPr>
              <w:t>Reducing signs and symptoms, inducing major clinical response, and reducing the progression of joint damage as assessed by X-ray, in adult patients with moderately to severely active rheumatoid arthritis (RA).</w:t>
            </w:r>
          </w:p>
          <w:p w:rsidR="0088778D" w:rsidRPr="00B74F45" w:rsidRDefault="004829D9" w:rsidP="00B74F45">
            <w:pPr>
              <w:rPr>
                <w:sz w:val="20"/>
                <w:szCs w:val="20"/>
              </w:rPr>
            </w:pPr>
            <w:r w:rsidRPr="00B74F45">
              <w:rPr>
                <w:sz w:val="20"/>
                <w:szCs w:val="20"/>
              </w:rPr>
              <w:t xml:space="preserve">CIMZIA may be used alone for reducing signs and symptoms in adult patients with moderately to severely active rheumatoid arthritis (RA) who do not tolerate MTX </w:t>
            </w:r>
          </w:p>
        </w:tc>
      </w:tr>
      <w:tr w:rsidR="004829D9" w:rsidRPr="00B74F45" w:rsidTr="00B74F45">
        <w:tc>
          <w:tcPr>
            <w:tcW w:w="1668" w:type="dxa"/>
          </w:tcPr>
          <w:p w:rsidR="004829D9" w:rsidRPr="00B74F45" w:rsidRDefault="004829D9" w:rsidP="00B74F45">
            <w:pPr>
              <w:ind w:left="0"/>
              <w:rPr>
                <w:sz w:val="20"/>
                <w:szCs w:val="20"/>
              </w:rPr>
            </w:pPr>
            <w:r w:rsidRPr="00B74F45">
              <w:rPr>
                <w:sz w:val="20"/>
                <w:szCs w:val="20"/>
              </w:rPr>
              <w:t xml:space="preserve">Canada </w:t>
            </w:r>
          </w:p>
        </w:tc>
        <w:tc>
          <w:tcPr>
            <w:tcW w:w="2126" w:type="dxa"/>
          </w:tcPr>
          <w:p w:rsidR="004829D9" w:rsidRPr="00B74F45" w:rsidRDefault="004829D9" w:rsidP="00B74F45">
            <w:pPr>
              <w:ind w:left="33"/>
              <w:rPr>
                <w:sz w:val="20"/>
                <w:szCs w:val="20"/>
              </w:rPr>
            </w:pPr>
            <w:r w:rsidRPr="00B74F45">
              <w:rPr>
                <w:sz w:val="20"/>
                <w:szCs w:val="20"/>
              </w:rPr>
              <w:t>Approved</w:t>
            </w:r>
          </w:p>
          <w:p w:rsidR="004829D9" w:rsidRPr="00B74F45" w:rsidRDefault="004829D9" w:rsidP="00B74F45">
            <w:pPr>
              <w:ind w:left="33"/>
              <w:rPr>
                <w:sz w:val="20"/>
                <w:szCs w:val="20"/>
              </w:rPr>
            </w:pPr>
            <w:r w:rsidRPr="00B74F45">
              <w:rPr>
                <w:sz w:val="20"/>
                <w:szCs w:val="20"/>
              </w:rPr>
              <w:t xml:space="preserve">02 </w:t>
            </w:r>
            <w:r w:rsidR="00B45558" w:rsidRPr="00B74F45">
              <w:rPr>
                <w:sz w:val="20"/>
                <w:szCs w:val="20"/>
              </w:rPr>
              <w:t>January</w:t>
            </w:r>
            <w:r w:rsidRPr="00B74F45">
              <w:rPr>
                <w:sz w:val="20"/>
                <w:szCs w:val="20"/>
              </w:rPr>
              <w:t xml:space="preserve"> 2014</w:t>
            </w:r>
          </w:p>
        </w:tc>
        <w:tc>
          <w:tcPr>
            <w:tcW w:w="4819" w:type="dxa"/>
          </w:tcPr>
          <w:p w:rsidR="004829D9" w:rsidRPr="00B74F45" w:rsidRDefault="004829D9" w:rsidP="00B74F45">
            <w:pPr>
              <w:rPr>
                <w:sz w:val="20"/>
                <w:szCs w:val="20"/>
              </w:rPr>
            </w:pPr>
            <w:r w:rsidRPr="00B74F45">
              <w:rPr>
                <w:sz w:val="20"/>
                <w:szCs w:val="20"/>
              </w:rPr>
              <w:t>Psoriatic Arthritis (</w:t>
            </w:r>
            <w:proofErr w:type="spellStart"/>
            <w:r w:rsidRPr="00B74F45">
              <w:rPr>
                <w:sz w:val="20"/>
                <w:szCs w:val="20"/>
              </w:rPr>
              <w:t>PsA</w:t>
            </w:r>
            <w:proofErr w:type="spellEnd"/>
            <w:r w:rsidRPr="00B74F45">
              <w:rPr>
                <w:sz w:val="20"/>
                <w:szCs w:val="20"/>
              </w:rPr>
              <w:t>)</w:t>
            </w:r>
          </w:p>
          <w:p w:rsidR="004829D9" w:rsidRPr="00B74F45" w:rsidRDefault="004829D9" w:rsidP="00B74F45">
            <w:pPr>
              <w:rPr>
                <w:sz w:val="20"/>
                <w:szCs w:val="20"/>
              </w:rPr>
            </w:pPr>
            <w:r w:rsidRPr="00B74F45">
              <w:rPr>
                <w:sz w:val="20"/>
                <w:szCs w:val="20"/>
              </w:rPr>
              <w:t xml:space="preserve">CIMZIA alone or in combination with </w:t>
            </w:r>
            <w:r w:rsidRPr="00B74F45">
              <w:rPr>
                <w:sz w:val="20"/>
                <w:szCs w:val="20"/>
              </w:rPr>
              <w:lastRenderedPageBreak/>
              <w:t>methotrexate (MTX) is indicated for:</w:t>
            </w:r>
          </w:p>
          <w:p w:rsidR="004829D9" w:rsidRPr="00B74F45" w:rsidRDefault="004829D9" w:rsidP="00B74F45">
            <w:pPr>
              <w:pStyle w:val="ListBullet"/>
              <w:rPr>
                <w:sz w:val="20"/>
                <w:szCs w:val="20"/>
              </w:rPr>
            </w:pPr>
            <w:proofErr w:type="gramStart"/>
            <w:r w:rsidRPr="00B74F45">
              <w:rPr>
                <w:sz w:val="20"/>
                <w:szCs w:val="20"/>
              </w:rPr>
              <w:t>reducing</w:t>
            </w:r>
            <w:proofErr w:type="gramEnd"/>
            <w:r w:rsidRPr="00B74F45">
              <w:rPr>
                <w:sz w:val="20"/>
                <w:szCs w:val="20"/>
              </w:rPr>
              <w:t xml:space="preserve"> signs and symptoms and inhibiting the progression of structural damage as assessed by X-ray, in adult patients with moderately to severely active psoriatic arthritis (</w:t>
            </w:r>
            <w:proofErr w:type="spellStart"/>
            <w:r w:rsidRPr="00B74F45">
              <w:rPr>
                <w:sz w:val="20"/>
                <w:szCs w:val="20"/>
              </w:rPr>
              <w:t>PsA</w:t>
            </w:r>
            <w:proofErr w:type="spellEnd"/>
            <w:r w:rsidRPr="00B74F45">
              <w:rPr>
                <w:sz w:val="20"/>
                <w:szCs w:val="20"/>
              </w:rPr>
              <w:t xml:space="preserve">) who have failed one or more </w:t>
            </w:r>
            <w:r w:rsidR="009D174A" w:rsidRPr="00B74F45">
              <w:rPr>
                <w:sz w:val="20"/>
                <w:szCs w:val="20"/>
              </w:rPr>
              <w:t>DMARDs</w:t>
            </w:r>
            <w:r w:rsidRPr="00B74F45">
              <w:rPr>
                <w:sz w:val="20"/>
                <w:szCs w:val="20"/>
              </w:rPr>
              <w:t>.</w:t>
            </w:r>
          </w:p>
        </w:tc>
      </w:tr>
      <w:tr w:rsidR="004829D9" w:rsidRPr="00B74F45" w:rsidTr="00B74F45">
        <w:tc>
          <w:tcPr>
            <w:tcW w:w="1668" w:type="dxa"/>
          </w:tcPr>
          <w:p w:rsidR="004829D9" w:rsidRPr="00B74F45" w:rsidRDefault="00066E00" w:rsidP="00B74F45">
            <w:pPr>
              <w:ind w:left="0"/>
              <w:rPr>
                <w:sz w:val="20"/>
                <w:szCs w:val="20"/>
              </w:rPr>
            </w:pPr>
            <w:r w:rsidRPr="00B74F45">
              <w:rPr>
                <w:sz w:val="20"/>
                <w:szCs w:val="20"/>
              </w:rPr>
              <w:lastRenderedPageBreak/>
              <w:t>Canada</w:t>
            </w:r>
          </w:p>
        </w:tc>
        <w:tc>
          <w:tcPr>
            <w:tcW w:w="2126" w:type="dxa"/>
          </w:tcPr>
          <w:p w:rsidR="004829D9" w:rsidRPr="00B74F45" w:rsidRDefault="00066E00" w:rsidP="00B74F45">
            <w:pPr>
              <w:ind w:left="33"/>
              <w:rPr>
                <w:sz w:val="20"/>
                <w:szCs w:val="20"/>
              </w:rPr>
            </w:pPr>
            <w:r w:rsidRPr="00B74F45">
              <w:rPr>
                <w:sz w:val="20"/>
                <w:szCs w:val="20"/>
              </w:rPr>
              <w:t>Approved</w:t>
            </w:r>
          </w:p>
          <w:p w:rsidR="004829D9" w:rsidRPr="00B74F45" w:rsidRDefault="00066E00" w:rsidP="00B74F45">
            <w:pPr>
              <w:ind w:left="33"/>
              <w:rPr>
                <w:sz w:val="20"/>
                <w:szCs w:val="20"/>
              </w:rPr>
            </w:pPr>
            <w:r w:rsidRPr="00B74F45">
              <w:rPr>
                <w:sz w:val="20"/>
                <w:szCs w:val="20"/>
              </w:rPr>
              <w:t xml:space="preserve">15 </w:t>
            </w:r>
            <w:r w:rsidR="00B45558" w:rsidRPr="00B74F45">
              <w:rPr>
                <w:sz w:val="20"/>
                <w:szCs w:val="20"/>
              </w:rPr>
              <w:t>January</w:t>
            </w:r>
            <w:r w:rsidRPr="00B74F45">
              <w:rPr>
                <w:sz w:val="20"/>
                <w:szCs w:val="20"/>
              </w:rPr>
              <w:t xml:space="preserve"> 2014</w:t>
            </w:r>
          </w:p>
        </w:tc>
        <w:tc>
          <w:tcPr>
            <w:tcW w:w="4819" w:type="dxa"/>
          </w:tcPr>
          <w:p w:rsidR="00066E00" w:rsidRPr="00B74F45" w:rsidRDefault="00066E00" w:rsidP="00B74F45">
            <w:pPr>
              <w:rPr>
                <w:sz w:val="20"/>
                <w:szCs w:val="20"/>
              </w:rPr>
            </w:pPr>
            <w:r w:rsidRPr="00B74F45">
              <w:rPr>
                <w:sz w:val="20"/>
                <w:szCs w:val="20"/>
              </w:rPr>
              <w:t>Ankylosing Spondylitis (AS)</w:t>
            </w:r>
          </w:p>
          <w:p w:rsidR="00066E00" w:rsidRPr="00B74F45" w:rsidRDefault="00066E00" w:rsidP="00B74F45">
            <w:pPr>
              <w:rPr>
                <w:sz w:val="20"/>
                <w:szCs w:val="20"/>
              </w:rPr>
            </w:pPr>
            <w:r w:rsidRPr="00B74F45">
              <w:rPr>
                <w:sz w:val="20"/>
                <w:szCs w:val="20"/>
              </w:rPr>
              <w:t>CIMZIA is indicated for:</w:t>
            </w:r>
          </w:p>
          <w:p w:rsidR="004829D9" w:rsidRPr="00B74F45" w:rsidRDefault="00066E00" w:rsidP="00B74F45">
            <w:pPr>
              <w:pStyle w:val="ListBullet"/>
              <w:rPr>
                <w:sz w:val="20"/>
                <w:szCs w:val="20"/>
              </w:rPr>
            </w:pPr>
            <w:proofErr w:type="gramStart"/>
            <w:r w:rsidRPr="00B74F45">
              <w:rPr>
                <w:sz w:val="20"/>
                <w:szCs w:val="20"/>
              </w:rPr>
              <w:t>reducing</w:t>
            </w:r>
            <w:proofErr w:type="gramEnd"/>
            <w:r w:rsidRPr="00B74F45">
              <w:rPr>
                <w:sz w:val="20"/>
                <w:szCs w:val="20"/>
              </w:rPr>
              <w:t xml:space="preserve"> signs and symptoms in adult patients with active ankylosing spondylitis (AS) who have had an inadequate response to conventional therapy.</w:t>
            </w:r>
          </w:p>
        </w:tc>
      </w:tr>
      <w:tr w:rsidR="004829D9" w:rsidRPr="00B74F45" w:rsidTr="00B74F45">
        <w:tc>
          <w:tcPr>
            <w:tcW w:w="1668" w:type="dxa"/>
          </w:tcPr>
          <w:p w:rsidR="004829D9" w:rsidRPr="00B74F45" w:rsidRDefault="00066E00" w:rsidP="00B74F45">
            <w:pPr>
              <w:ind w:left="0"/>
              <w:rPr>
                <w:sz w:val="20"/>
                <w:szCs w:val="20"/>
              </w:rPr>
            </w:pPr>
            <w:r w:rsidRPr="00B74F45">
              <w:rPr>
                <w:sz w:val="20"/>
                <w:szCs w:val="20"/>
              </w:rPr>
              <w:t>Switzerland</w:t>
            </w:r>
          </w:p>
        </w:tc>
        <w:tc>
          <w:tcPr>
            <w:tcW w:w="2126" w:type="dxa"/>
          </w:tcPr>
          <w:p w:rsidR="00066E00" w:rsidRPr="00B74F45" w:rsidRDefault="00066E00" w:rsidP="00B74F45">
            <w:pPr>
              <w:ind w:left="33"/>
              <w:rPr>
                <w:sz w:val="20"/>
                <w:szCs w:val="20"/>
              </w:rPr>
            </w:pPr>
            <w:r w:rsidRPr="00B74F45">
              <w:rPr>
                <w:sz w:val="20"/>
                <w:szCs w:val="20"/>
              </w:rPr>
              <w:t>Approved</w:t>
            </w:r>
          </w:p>
          <w:p w:rsidR="004829D9" w:rsidRPr="00B74F45" w:rsidRDefault="00066E00" w:rsidP="00B74F45">
            <w:pPr>
              <w:ind w:left="33"/>
              <w:rPr>
                <w:sz w:val="20"/>
                <w:szCs w:val="20"/>
              </w:rPr>
            </w:pPr>
            <w:r w:rsidRPr="00B74F45">
              <w:rPr>
                <w:sz w:val="20"/>
                <w:szCs w:val="20"/>
              </w:rPr>
              <w:t>10 Jun</w:t>
            </w:r>
            <w:r w:rsidR="00B45558" w:rsidRPr="00B74F45">
              <w:rPr>
                <w:sz w:val="20"/>
                <w:szCs w:val="20"/>
              </w:rPr>
              <w:t>e</w:t>
            </w:r>
            <w:r w:rsidRPr="00B74F45">
              <w:rPr>
                <w:sz w:val="20"/>
                <w:szCs w:val="20"/>
              </w:rPr>
              <w:t xml:space="preserve"> 2010</w:t>
            </w:r>
          </w:p>
        </w:tc>
        <w:tc>
          <w:tcPr>
            <w:tcW w:w="4819" w:type="dxa"/>
          </w:tcPr>
          <w:p w:rsidR="00066E00" w:rsidRPr="00B74F45" w:rsidRDefault="00066E00" w:rsidP="00B74F45">
            <w:pPr>
              <w:rPr>
                <w:sz w:val="20"/>
                <w:szCs w:val="20"/>
              </w:rPr>
            </w:pPr>
            <w:proofErr w:type="spellStart"/>
            <w:r w:rsidRPr="00B74F45">
              <w:rPr>
                <w:sz w:val="20"/>
                <w:szCs w:val="20"/>
              </w:rPr>
              <w:t>Cimzia</w:t>
            </w:r>
            <w:proofErr w:type="spellEnd"/>
            <w:r w:rsidRPr="00B74F45">
              <w:rPr>
                <w:sz w:val="20"/>
                <w:szCs w:val="20"/>
              </w:rPr>
              <w:t xml:space="preserve"> is indicated for the induction of a clinical response and for the maintenance of a clinical response and a remission in patients with active Crohn’s disease who have not responded adequately to conventional treatment.</w:t>
            </w:r>
          </w:p>
          <w:p w:rsidR="00066E00" w:rsidRPr="00B74F45" w:rsidRDefault="00066E00" w:rsidP="00B74F45">
            <w:pPr>
              <w:rPr>
                <w:sz w:val="20"/>
                <w:szCs w:val="20"/>
              </w:rPr>
            </w:pPr>
            <w:proofErr w:type="spellStart"/>
            <w:r w:rsidRPr="00B74F45">
              <w:rPr>
                <w:sz w:val="20"/>
                <w:szCs w:val="20"/>
              </w:rPr>
              <w:t>Cimzia</w:t>
            </w:r>
            <w:proofErr w:type="spellEnd"/>
            <w:r w:rsidRPr="00B74F45">
              <w:rPr>
                <w:sz w:val="20"/>
                <w:szCs w:val="20"/>
              </w:rPr>
              <w:t>, in combination with methotrexate (MTX), is indicated for the treatment of moderate to severe, active rheumatoid arthritis (RA) in adult patients when t</w:t>
            </w:r>
            <w:r w:rsidR="009D174A" w:rsidRPr="00B74F45">
              <w:rPr>
                <w:sz w:val="20"/>
                <w:szCs w:val="20"/>
              </w:rPr>
              <w:t>he response to DMARDs</w:t>
            </w:r>
            <w:r w:rsidRPr="00B74F45">
              <w:rPr>
                <w:sz w:val="20"/>
                <w:szCs w:val="20"/>
              </w:rPr>
              <w:t xml:space="preserve"> including methotrexate, has been inadequate.</w:t>
            </w:r>
          </w:p>
          <w:p w:rsidR="00066E00" w:rsidRPr="00B74F45" w:rsidRDefault="00066E00" w:rsidP="00B74F45">
            <w:pPr>
              <w:rPr>
                <w:sz w:val="20"/>
                <w:szCs w:val="20"/>
              </w:rPr>
            </w:pPr>
            <w:proofErr w:type="spellStart"/>
            <w:r w:rsidRPr="00B74F45">
              <w:rPr>
                <w:sz w:val="20"/>
                <w:szCs w:val="20"/>
              </w:rPr>
              <w:t>Cimzia</w:t>
            </w:r>
            <w:proofErr w:type="spellEnd"/>
            <w:r w:rsidRPr="00B74F45">
              <w:rPr>
                <w:sz w:val="20"/>
                <w:szCs w:val="20"/>
              </w:rPr>
              <w:t xml:space="preserve"> can be given as monotherapy in case of intolerance to methotrexate or when continued treatment with methotrexate is inappropriate.</w:t>
            </w:r>
          </w:p>
          <w:p w:rsidR="004829D9" w:rsidRPr="00B74F45" w:rsidRDefault="00066E00" w:rsidP="00B74F45">
            <w:pPr>
              <w:rPr>
                <w:sz w:val="20"/>
                <w:szCs w:val="20"/>
              </w:rPr>
            </w:pPr>
            <w:proofErr w:type="spellStart"/>
            <w:r w:rsidRPr="00B74F45">
              <w:rPr>
                <w:sz w:val="20"/>
                <w:szCs w:val="20"/>
              </w:rPr>
              <w:t>Cimzia</w:t>
            </w:r>
            <w:proofErr w:type="spellEnd"/>
            <w:r w:rsidRPr="00B74F45">
              <w:rPr>
                <w:sz w:val="20"/>
                <w:szCs w:val="20"/>
              </w:rPr>
              <w:t xml:space="preserve"> has been shown to reduce the rate of progression of joint damage as measured by X-ray and to improve physical function, when given in combination with methotrexate.</w:t>
            </w:r>
          </w:p>
        </w:tc>
      </w:tr>
      <w:tr w:rsidR="004829D9" w:rsidRPr="00B74F45" w:rsidTr="00B74F45">
        <w:tc>
          <w:tcPr>
            <w:tcW w:w="1668" w:type="dxa"/>
          </w:tcPr>
          <w:p w:rsidR="004829D9" w:rsidRPr="00B74F45" w:rsidRDefault="00066E00" w:rsidP="00B74F45">
            <w:pPr>
              <w:ind w:left="0"/>
              <w:rPr>
                <w:sz w:val="20"/>
                <w:szCs w:val="20"/>
              </w:rPr>
            </w:pPr>
            <w:r w:rsidRPr="00B74F45">
              <w:rPr>
                <w:sz w:val="20"/>
                <w:szCs w:val="20"/>
              </w:rPr>
              <w:t>Switzerland</w:t>
            </w:r>
          </w:p>
        </w:tc>
        <w:tc>
          <w:tcPr>
            <w:tcW w:w="2126" w:type="dxa"/>
          </w:tcPr>
          <w:p w:rsidR="00066E00" w:rsidRPr="00B74F45" w:rsidRDefault="00066E00" w:rsidP="00B74F45">
            <w:pPr>
              <w:ind w:left="33"/>
              <w:rPr>
                <w:sz w:val="20"/>
                <w:szCs w:val="20"/>
              </w:rPr>
            </w:pPr>
            <w:r w:rsidRPr="00B74F45">
              <w:rPr>
                <w:sz w:val="20"/>
                <w:szCs w:val="20"/>
              </w:rPr>
              <w:t>Approved</w:t>
            </w:r>
          </w:p>
          <w:p w:rsidR="004829D9" w:rsidRPr="00B74F45" w:rsidRDefault="00066E00" w:rsidP="00B74F45">
            <w:pPr>
              <w:ind w:left="33"/>
              <w:rPr>
                <w:sz w:val="20"/>
                <w:szCs w:val="20"/>
              </w:rPr>
            </w:pPr>
            <w:r w:rsidRPr="00B74F45">
              <w:rPr>
                <w:sz w:val="20"/>
                <w:szCs w:val="20"/>
              </w:rPr>
              <w:t>16 Jul</w:t>
            </w:r>
            <w:r w:rsidR="00B45558" w:rsidRPr="00B74F45">
              <w:rPr>
                <w:sz w:val="20"/>
                <w:szCs w:val="20"/>
              </w:rPr>
              <w:t>y</w:t>
            </w:r>
            <w:r w:rsidRPr="00B74F45">
              <w:rPr>
                <w:sz w:val="20"/>
                <w:szCs w:val="20"/>
              </w:rPr>
              <w:t xml:space="preserve"> 2014</w:t>
            </w:r>
          </w:p>
        </w:tc>
        <w:tc>
          <w:tcPr>
            <w:tcW w:w="4819" w:type="dxa"/>
          </w:tcPr>
          <w:p w:rsidR="00066E00" w:rsidRPr="00B74F45" w:rsidRDefault="00066E00" w:rsidP="00B74F45">
            <w:pPr>
              <w:rPr>
                <w:sz w:val="20"/>
                <w:szCs w:val="20"/>
              </w:rPr>
            </w:pPr>
            <w:r w:rsidRPr="00B74F45">
              <w:rPr>
                <w:sz w:val="20"/>
                <w:szCs w:val="20"/>
              </w:rPr>
              <w:t>Psoriatic arthritis</w:t>
            </w:r>
          </w:p>
          <w:p w:rsidR="00066E00" w:rsidRPr="00B74F45" w:rsidRDefault="00066E00" w:rsidP="00B74F45">
            <w:pPr>
              <w:rPr>
                <w:sz w:val="20"/>
                <w:szCs w:val="20"/>
              </w:rPr>
            </w:pPr>
            <w:proofErr w:type="spellStart"/>
            <w:r w:rsidRPr="00B74F45">
              <w:rPr>
                <w:sz w:val="20"/>
                <w:szCs w:val="20"/>
              </w:rPr>
              <w:t>Cimzia</w:t>
            </w:r>
            <w:proofErr w:type="spellEnd"/>
            <w:r w:rsidRPr="00B74F45">
              <w:rPr>
                <w:sz w:val="20"/>
                <w:szCs w:val="20"/>
              </w:rPr>
              <w:t xml:space="preserve">, in combination with MTX, is </w:t>
            </w:r>
            <w:r w:rsidR="005A3D92" w:rsidRPr="00B74F45">
              <w:rPr>
                <w:sz w:val="20"/>
                <w:szCs w:val="20"/>
              </w:rPr>
              <w:t xml:space="preserve">indicated for the treatment of </w:t>
            </w:r>
            <w:r w:rsidRPr="00B74F45">
              <w:rPr>
                <w:sz w:val="20"/>
                <w:szCs w:val="20"/>
              </w:rPr>
              <w:t xml:space="preserve">active psoriatic arthritis in adults which did not respond sufficiently to previous DMARD therapy. </w:t>
            </w:r>
            <w:proofErr w:type="spellStart"/>
            <w:r w:rsidRPr="00B74F45">
              <w:rPr>
                <w:sz w:val="20"/>
                <w:szCs w:val="20"/>
              </w:rPr>
              <w:t>Cimzia</w:t>
            </w:r>
            <w:proofErr w:type="spellEnd"/>
            <w:r w:rsidRPr="00B74F45">
              <w:rPr>
                <w:sz w:val="20"/>
                <w:szCs w:val="20"/>
              </w:rPr>
              <w:t xml:space="preserve"> improves the physical function capabilities of patients with psoriatic arthritis.</w:t>
            </w:r>
          </w:p>
          <w:p w:rsidR="004829D9" w:rsidRPr="00B74F45" w:rsidRDefault="00066E00" w:rsidP="00B74F45">
            <w:pPr>
              <w:rPr>
                <w:sz w:val="20"/>
                <w:szCs w:val="20"/>
              </w:rPr>
            </w:pPr>
            <w:proofErr w:type="spellStart"/>
            <w:r w:rsidRPr="00B74F45">
              <w:rPr>
                <w:sz w:val="20"/>
                <w:szCs w:val="20"/>
              </w:rPr>
              <w:t>Cimzia</w:t>
            </w:r>
            <w:proofErr w:type="spellEnd"/>
            <w:r w:rsidRPr="00B74F45">
              <w:rPr>
                <w:sz w:val="20"/>
                <w:szCs w:val="20"/>
              </w:rPr>
              <w:t xml:space="preserve"> can be given as monotherapy in case of intolerance to methotrexate or when continued treatment with methotrexate is inappropriate.</w:t>
            </w:r>
          </w:p>
        </w:tc>
      </w:tr>
      <w:tr w:rsidR="005A3D92" w:rsidRPr="00B74F45" w:rsidTr="00B74F45">
        <w:tc>
          <w:tcPr>
            <w:tcW w:w="1668" w:type="dxa"/>
          </w:tcPr>
          <w:p w:rsidR="005A3D92" w:rsidRPr="00B74F45" w:rsidRDefault="00A530D0" w:rsidP="00B74F45">
            <w:pPr>
              <w:ind w:left="0"/>
              <w:rPr>
                <w:sz w:val="20"/>
                <w:szCs w:val="20"/>
              </w:rPr>
            </w:pPr>
            <w:r w:rsidRPr="00B74F45">
              <w:rPr>
                <w:sz w:val="20"/>
                <w:szCs w:val="20"/>
              </w:rPr>
              <w:t>Japan</w:t>
            </w:r>
          </w:p>
        </w:tc>
        <w:tc>
          <w:tcPr>
            <w:tcW w:w="2126" w:type="dxa"/>
          </w:tcPr>
          <w:p w:rsidR="005A3D92" w:rsidRPr="00B74F45" w:rsidRDefault="00A530D0" w:rsidP="00B74F45">
            <w:pPr>
              <w:ind w:left="33"/>
              <w:rPr>
                <w:sz w:val="20"/>
                <w:szCs w:val="20"/>
              </w:rPr>
            </w:pPr>
            <w:r w:rsidRPr="00B74F45">
              <w:rPr>
                <w:sz w:val="20"/>
                <w:szCs w:val="20"/>
              </w:rPr>
              <w:t>Approved</w:t>
            </w:r>
          </w:p>
          <w:p w:rsidR="005A3D92" w:rsidRPr="00B74F45" w:rsidRDefault="00A530D0" w:rsidP="00B74F45">
            <w:pPr>
              <w:ind w:left="33"/>
              <w:rPr>
                <w:sz w:val="20"/>
                <w:szCs w:val="20"/>
              </w:rPr>
            </w:pPr>
            <w:r w:rsidRPr="00B74F45">
              <w:rPr>
                <w:sz w:val="20"/>
                <w:szCs w:val="20"/>
              </w:rPr>
              <w:t xml:space="preserve">25 </w:t>
            </w:r>
            <w:r w:rsidR="00B45558" w:rsidRPr="00B74F45">
              <w:rPr>
                <w:sz w:val="20"/>
                <w:szCs w:val="20"/>
              </w:rPr>
              <w:t>December</w:t>
            </w:r>
            <w:r w:rsidRPr="00B74F45">
              <w:rPr>
                <w:sz w:val="20"/>
                <w:szCs w:val="20"/>
              </w:rPr>
              <w:t xml:space="preserve"> 2012</w:t>
            </w:r>
          </w:p>
        </w:tc>
        <w:tc>
          <w:tcPr>
            <w:tcW w:w="4819" w:type="dxa"/>
          </w:tcPr>
          <w:p w:rsidR="005A3D92" w:rsidRPr="00B74F45" w:rsidRDefault="00A530D0" w:rsidP="00B74F45">
            <w:pPr>
              <w:rPr>
                <w:sz w:val="20"/>
                <w:szCs w:val="20"/>
              </w:rPr>
            </w:pPr>
            <w:r w:rsidRPr="00B74F45">
              <w:rPr>
                <w:sz w:val="20"/>
                <w:szCs w:val="20"/>
              </w:rPr>
              <w:t>Treatment of rheumatoid arthritis not responding to conventional therapy (including inhibition of progression of bone structural damage).</w:t>
            </w:r>
          </w:p>
        </w:tc>
      </w:tr>
    </w:tbl>
    <w:p w:rsidR="002F47C5" w:rsidRDefault="002F47C5" w:rsidP="00B74F45">
      <w:pPr>
        <w:pStyle w:val="Heading3"/>
      </w:pPr>
      <w:bookmarkStart w:id="28" w:name="_Toc434223847"/>
      <w:bookmarkStart w:id="29" w:name="_Toc435781392"/>
      <w:r>
        <w:lastRenderedPageBreak/>
        <w:t xml:space="preserve">Product </w:t>
      </w:r>
      <w:r w:rsidRPr="00B74F45">
        <w:t>Information</w:t>
      </w:r>
      <w:bookmarkEnd w:id="26"/>
      <w:bookmarkEnd w:id="27"/>
      <w:bookmarkEnd w:id="28"/>
      <w:bookmarkEnd w:id="29"/>
    </w:p>
    <w:p w:rsidR="002F47C5" w:rsidRDefault="002F47C5" w:rsidP="00B74F45">
      <w:pPr>
        <w:rPr>
          <w:b/>
          <w:bCs/>
        </w:rPr>
      </w:pPr>
      <w:r w:rsidRPr="00940A89">
        <w:t>The approved Product Information (PI) current at the time this AusPAR was prepared can be found as Attachment 1. For the most recent Product Information please refer to the TGA website at &lt;</w:t>
      </w:r>
      <w:hyperlink r:id="rId14" w:history="1">
        <w:r>
          <w:rPr>
            <w:rStyle w:val="Hyperlink"/>
          </w:rPr>
          <w:t>https://www.tga.gov.au/product-information-pi</w:t>
        </w:r>
      </w:hyperlink>
      <w:r w:rsidRPr="00940A89">
        <w:t>&gt;.</w:t>
      </w:r>
    </w:p>
    <w:p w:rsidR="008E7846" w:rsidRPr="003602A9" w:rsidRDefault="008E7846" w:rsidP="00B74F45">
      <w:pPr>
        <w:pStyle w:val="Heading2"/>
      </w:pPr>
      <w:bookmarkStart w:id="30" w:name="_Toc434223848"/>
      <w:bookmarkStart w:id="31" w:name="_Toc435781393"/>
      <w:r>
        <w:t>II. Quality</w:t>
      </w:r>
      <w:bookmarkEnd w:id="2"/>
      <w:r>
        <w:t xml:space="preserve"> findings</w:t>
      </w:r>
      <w:bookmarkEnd w:id="22"/>
      <w:bookmarkEnd w:id="23"/>
      <w:bookmarkEnd w:id="30"/>
      <w:bookmarkEnd w:id="31"/>
    </w:p>
    <w:p w:rsidR="00940A89" w:rsidRPr="00940A89" w:rsidRDefault="00940A89" w:rsidP="00B74F45">
      <w:bookmarkStart w:id="32" w:name="_Toc247691507"/>
      <w:bookmarkStart w:id="33" w:name="_Toc314842488"/>
      <w:r w:rsidRPr="00940A89">
        <w:t>There was no requirement for a quality evaluation in a submission of this type.</w:t>
      </w:r>
    </w:p>
    <w:p w:rsidR="008E7846" w:rsidRDefault="008E7846" w:rsidP="00B74F45">
      <w:pPr>
        <w:pStyle w:val="Heading2"/>
      </w:pPr>
      <w:bookmarkStart w:id="34" w:name="_Toc196046439"/>
      <w:bookmarkStart w:id="35" w:name="_Toc247691510"/>
      <w:bookmarkStart w:id="36" w:name="_Toc314842494"/>
      <w:bookmarkStart w:id="37" w:name="_Toc434223849"/>
      <w:bookmarkStart w:id="38" w:name="_Toc435781394"/>
      <w:bookmarkEnd w:id="32"/>
      <w:bookmarkEnd w:id="33"/>
      <w:r>
        <w:t xml:space="preserve">III. </w:t>
      </w:r>
      <w:r w:rsidRPr="00B74F45">
        <w:t>Nonclinical</w:t>
      </w:r>
      <w:bookmarkEnd w:id="34"/>
      <w:r>
        <w:t xml:space="preserve"> findings</w:t>
      </w:r>
      <w:bookmarkEnd w:id="35"/>
      <w:bookmarkEnd w:id="36"/>
      <w:bookmarkEnd w:id="37"/>
      <w:bookmarkEnd w:id="38"/>
    </w:p>
    <w:p w:rsidR="00940A89" w:rsidRDefault="00940A89" w:rsidP="00B74F45">
      <w:bookmarkStart w:id="39" w:name="_Toc247691511"/>
      <w:bookmarkStart w:id="40" w:name="_Toc314842495"/>
      <w:r>
        <w:t>There was no requirement for a nonclinical evaluation in a submission of this type.</w:t>
      </w:r>
    </w:p>
    <w:p w:rsidR="008E7846" w:rsidRPr="00254787" w:rsidRDefault="008E7846" w:rsidP="00B74F45">
      <w:pPr>
        <w:pStyle w:val="Heading2"/>
      </w:pPr>
      <w:bookmarkStart w:id="41" w:name="_Toc196046462"/>
      <w:bookmarkStart w:id="42" w:name="_Toc247691516"/>
      <w:bookmarkStart w:id="43" w:name="_Toc314842500"/>
      <w:bookmarkStart w:id="44" w:name="_Toc434223850"/>
      <w:bookmarkStart w:id="45" w:name="_Toc163441353"/>
      <w:bookmarkStart w:id="46" w:name="_Toc163441348"/>
      <w:bookmarkStart w:id="47" w:name="_Toc435781395"/>
      <w:bookmarkEnd w:id="39"/>
      <w:bookmarkEnd w:id="40"/>
      <w:r>
        <w:t xml:space="preserve">IV. </w:t>
      </w:r>
      <w:r w:rsidRPr="00254787">
        <w:t>Clinical</w:t>
      </w:r>
      <w:bookmarkEnd w:id="41"/>
      <w:r>
        <w:t xml:space="preserve"> </w:t>
      </w:r>
      <w:r w:rsidR="003A7F6C">
        <w:t>f</w:t>
      </w:r>
      <w:r>
        <w:t>indings</w:t>
      </w:r>
      <w:bookmarkEnd w:id="42"/>
      <w:bookmarkEnd w:id="43"/>
      <w:bookmarkEnd w:id="44"/>
      <w:bookmarkEnd w:id="47"/>
    </w:p>
    <w:p w:rsidR="00C80137" w:rsidRDefault="00C80137" w:rsidP="00B74F45">
      <w:bookmarkStart w:id="48"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B74F45">
      <w:pPr>
        <w:pStyle w:val="Heading3"/>
      </w:pPr>
      <w:bookmarkStart w:id="49" w:name="_Toc247691517"/>
      <w:bookmarkStart w:id="50" w:name="_Toc314842501"/>
      <w:bookmarkStart w:id="51" w:name="_Toc434223851"/>
      <w:bookmarkStart w:id="52" w:name="_Toc435781396"/>
      <w:r w:rsidRPr="00B74F45">
        <w:t>Introduction</w:t>
      </w:r>
      <w:bookmarkEnd w:id="48"/>
      <w:bookmarkEnd w:id="49"/>
      <w:bookmarkEnd w:id="50"/>
      <w:bookmarkEnd w:id="51"/>
      <w:bookmarkEnd w:id="52"/>
    </w:p>
    <w:p w:rsidR="00605AD4" w:rsidRPr="00605AD4" w:rsidRDefault="00605AD4" w:rsidP="00B74F45">
      <w:pPr>
        <w:pStyle w:val="Heading4"/>
      </w:pPr>
      <w:bookmarkStart w:id="53" w:name="_Toc196046464"/>
      <w:bookmarkStart w:id="54" w:name="_Toc247691518"/>
      <w:bookmarkStart w:id="55" w:name="_Toc314842502"/>
      <w:r w:rsidRPr="00605AD4">
        <w:t xml:space="preserve">Clinical </w:t>
      </w:r>
      <w:r w:rsidR="001451B9" w:rsidRPr="00B74F45">
        <w:t>r</w:t>
      </w:r>
      <w:r w:rsidRPr="00B74F45">
        <w:t>ationale</w:t>
      </w:r>
    </w:p>
    <w:p w:rsidR="00E2402A" w:rsidRPr="00E2402A" w:rsidRDefault="00E2402A" w:rsidP="00B74F45">
      <w:proofErr w:type="spellStart"/>
      <w:r w:rsidRPr="00E2402A">
        <w:t>Cimzia</w:t>
      </w:r>
      <w:proofErr w:type="spellEnd"/>
      <w:r>
        <w:t xml:space="preserve"> </w:t>
      </w:r>
      <w:r w:rsidRPr="00E2402A">
        <w:t xml:space="preserve">is one of the antibody TNFα inhibitors which have been shown to reduce inflammation, reduce symptoms and improve physical function in adult patients with moderate to severe RA who have not responded adequately to </w:t>
      </w:r>
      <w:r w:rsidR="00D87579" w:rsidRPr="00D87579">
        <w:t>disease modifying anti-rheumatic drug</w:t>
      </w:r>
      <w:r w:rsidR="00D87579">
        <w:t>s</w:t>
      </w:r>
      <w:r w:rsidR="00D87579" w:rsidRPr="00D87579">
        <w:t xml:space="preserve"> </w:t>
      </w:r>
      <w:r w:rsidR="00D87579">
        <w:t>(</w:t>
      </w:r>
      <w:r w:rsidRPr="00E2402A">
        <w:t>DMARDs</w:t>
      </w:r>
      <w:r w:rsidR="00D87579">
        <w:t>)</w:t>
      </w:r>
      <w:r w:rsidRPr="00E2402A">
        <w:t xml:space="preserve">. Joint damage and deformity contribute to progressive disability and impairment of quality of life. One year radiographic data presented in the initial </w:t>
      </w:r>
      <w:proofErr w:type="spellStart"/>
      <w:r w:rsidRPr="00E2402A">
        <w:t>Cimzia</w:t>
      </w:r>
      <w:proofErr w:type="spellEnd"/>
      <w:r w:rsidRPr="00E2402A">
        <w:t xml:space="preserve"> submission showed that clinical improvement was associated with inhibition of progression of structural damage. However, the TGA advised</w:t>
      </w:r>
      <w:r>
        <w:t>,</w:t>
      </w:r>
      <w:r w:rsidRPr="00E2402A">
        <w:t xml:space="preserve"> that </w:t>
      </w:r>
      <w:r>
        <w:t>two</w:t>
      </w:r>
      <w:r w:rsidRPr="00E2402A">
        <w:t xml:space="preserve"> year data be assessed to ensure that prevention of structural damage is sustained long-term.</w:t>
      </w:r>
    </w:p>
    <w:p w:rsidR="004966DB" w:rsidRPr="004966DB" w:rsidRDefault="004966DB" w:rsidP="00B74F45">
      <w:pPr>
        <w:pStyle w:val="Heading4"/>
      </w:pPr>
      <w:r w:rsidRPr="00B74F45">
        <w:t>Guidance</w:t>
      </w:r>
    </w:p>
    <w:p w:rsidR="004966DB" w:rsidRPr="004966DB" w:rsidRDefault="004966DB" w:rsidP="00B74F45">
      <w:r w:rsidRPr="004966DB">
        <w:t>There is one specific TGA adopted European guideline which is relevant to this submission:</w:t>
      </w:r>
    </w:p>
    <w:p w:rsidR="004966DB" w:rsidRPr="004966DB" w:rsidRDefault="004966DB" w:rsidP="00B74F45">
      <w:r w:rsidRPr="004966DB">
        <w:t>CPMP/EWP/556/95 (Rev 1) ‘Points to consider on Clinical Investigation of Medicinal Products other than NSAIDs for the Treatment of Rheumatoid Arthritis’ (effective 29 January 2007).</w:t>
      </w:r>
    </w:p>
    <w:p w:rsidR="00CF4E30" w:rsidRDefault="00CF4E30" w:rsidP="00B74F45">
      <w:r w:rsidRPr="00CF4E30">
        <w:t xml:space="preserve">At the request of the TGA, the sponsor submitted </w:t>
      </w:r>
      <w:r>
        <w:t>two</w:t>
      </w:r>
      <w:r w:rsidR="001E7B3A">
        <w:t xml:space="preserve"> year follow </w:t>
      </w:r>
      <w:r w:rsidRPr="00CF4E30">
        <w:t>up efficacy da</w:t>
      </w:r>
      <w:r w:rsidR="001E7B3A">
        <w:t xml:space="preserve">ta from the two pivotal, double </w:t>
      </w:r>
      <w:r w:rsidRPr="00CF4E30">
        <w:t>blind, plac</w:t>
      </w:r>
      <w:r w:rsidR="001E7B3A">
        <w:t xml:space="preserve">ebo </w:t>
      </w:r>
      <w:r w:rsidRPr="00CF4E30">
        <w:t xml:space="preserve">controlled </w:t>
      </w:r>
      <w:r w:rsidRPr="005876F4">
        <w:t xml:space="preserve">studies </w:t>
      </w:r>
      <w:r w:rsidR="005876F4" w:rsidRPr="005876F4">
        <w:t xml:space="preserve">C87027/28 and C87050/51 </w:t>
      </w:r>
      <w:r w:rsidRPr="005876F4">
        <w:t>to</w:t>
      </w:r>
      <w:r w:rsidRPr="00CF4E30">
        <w:t xml:space="preserve"> support the proposed additional indication.</w:t>
      </w:r>
    </w:p>
    <w:p w:rsidR="00605AD4" w:rsidRPr="00605AD4" w:rsidRDefault="00605AD4" w:rsidP="00B74F45">
      <w:pPr>
        <w:pStyle w:val="Heading4"/>
      </w:pPr>
      <w:r w:rsidRPr="00605AD4">
        <w:t xml:space="preserve">Contents of the </w:t>
      </w:r>
      <w:r w:rsidRPr="00B74F45">
        <w:t>clinical</w:t>
      </w:r>
      <w:r w:rsidRPr="00605AD4">
        <w:t xml:space="preserve"> dossier</w:t>
      </w:r>
    </w:p>
    <w:p w:rsidR="006511C3" w:rsidRDefault="006511C3" w:rsidP="00B74F45">
      <w:r w:rsidRPr="006511C3">
        <w:t xml:space="preserve">The submission </w:t>
      </w:r>
      <w:r>
        <w:t>contained the following clinical information:</w:t>
      </w:r>
    </w:p>
    <w:p w:rsidR="006A0B49" w:rsidRDefault="006A0B49" w:rsidP="00B74F45">
      <w:r w:rsidRPr="006A0B49">
        <w:t xml:space="preserve">Two pivotal </w:t>
      </w:r>
      <w:r w:rsidR="009A648A">
        <w:t xml:space="preserve">studies </w:t>
      </w:r>
      <w:r w:rsidRPr="006A0B49">
        <w:t>and one supporting study have been submitted</w:t>
      </w:r>
      <w:r>
        <w:t xml:space="preserve">. </w:t>
      </w:r>
      <w:r w:rsidRPr="006A0B49">
        <w:t xml:space="preserve">Studies C87028 and C87051 </w:t>
      </w:r>
      <w:r w:rsidR="0072005F">
        <w:t xml:space="preserve">(Table 2) </w:t>
      </w:r>
      <w:r w:rsidR="00944474">
        <w:t xml:space="preserve">are long </w:t>
      </w:r>
      <w:r w:rsidRPr="006A0B49">
        <w:t>term safety studies which extend the pivotal efficacy studies C87027</w:t>
      </w:r>
      <w:r w:rsidR="00D23BBD">
        <w:t xml:space="preserve"> (RAPID 1)</w:t>
      </w:r>
      <w:r w:rsidRPr="006A0B49">
        <w:t xml:space="preserve"> and C87050</w:t>
      </w:r>
      <w:r w:rsidR="00D23BBD">
        <w:t xml:space="preserve"> (RAPID 2)</w:t>
      </w:r>
      <w:r w:rsidRPr="006A0B49">
        <w:t xml:space="preserve"> approve</w:t>
      </w:r>
      <w:r>
        <w:t xml:space="preserve">d in the previous application. </w:t>
      </w:r>
      <w:r w:rsidRPr="006A0B49">
        <w:t xml:space="preserve">Both extension studies provide 2 year radiographic data to support the new indication for </w:t>
      </w:r>
      <w:r w:rsidRPr="006A0B49">
        <w:lastRenderedPageBreak/>
        <w:t>prevention of str</w:t>
      </w:r>
      <w:r w:rsidR="009A648A">
        <w:t>uctural damage. The supporting S</w:t>
      </w:r>
      <w:r w:rsidRPr="006A0B49">
        <w:t xml:space="preserve">tudy C87015 </w:t>
      </w:r>
      <w:r w:rsidR="0072005F">
        <w:t xml:space="preserve">(Table 3) </w:t>
      </w:r>
      <w:r w:rsidR="00944474">
        <w:t xml:space="preserve">provides long </w:t>
      </w:r>
      <w:r w:rsidRPr="006A0B49">
        <w:t>term safety data but no radiographic endpoints to support the new indication.</w:t>
      </w:r>
    </w:p>
    <w:p w:rsidR="0072005F" w:rsidRDefault="0072005F" w:rsidP="00B74F45">
      <w:pPr>
        <w:pStyle w:val="TableTitle"/>
      </w:pPr>
      <w:proofErr w:type="gramStart"/>
      <w:r>
        <w:t>Table 2.</w:t>
      </w:r>
      <w:proofErr w:type="gramEnd"/>
      <w:r>
        <w:t xml:space="preserve"> </w:t>
      </w:r>
      <w:proofErr w:type="gramStart"/>
      <w:r>
        <w:t xml:space="preserve">Summary of studies </w:t>
      </w:r>
      <w:r w:rsidRPr="00B74F45">
        <w:t>C87028</w:t>
      </w:r>
      <w:r>
        <w:t xml:space="preserve"> and C87051.</w:t>
      </w:r>
      <w:proofErr w:type="gramEnd"/>
    </w:p>
    <w:p w:rsidR="0072005F" w:rsidRPr="006A0B49" w:rsidRDefault="00701465" w:rsidP="00B74F45">
      <w:r>
        <w:rPr>
          <w:noProof/>
          <w:lang w:eastAsia="en-AU"/>
        </w:rPr>
        <w:drawing>
          <wp:inline distT="0" distB="0" distL="0" distR="0" wp14:anchorId="3ABBB18F" wp14:editId="4D977E16">
            <wp:extent cx="5405755" cy="6964045"/>
            <wp:effectExtent l="0" t="0" r="4445" b="8255"/>
            <wp:docPr id="9" name="Picture 2" descr="Table 2. Summary of studies C87028 and C870251." title="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Summary of studies C87028 and C8702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5755" cy="6964045"/>
                    </a:xfrm>
                    <a:prstGeom prst="rect">
                      <a:avLst/>
                    </a:prstGeom>
                    <a:noFill/>
                    <a:ln>
                      <a:noFill/>
                    </a:ln>
                  </pic:spPr>
                </pic:pic>
              </a:graphicData>
            </a:graphic>
          </wp:inline>
        </w:drawing>
      </w:r>
    </w:p>
    <w:p w:rsidR="0072005F" w:rsidRDefault="0072005F" w:rsidP="00B74F45">
      <w:pPr>
        <w:pStyle w:val="TableTitle"/>
        <w:rPr>
          <w:noProof/>
          <w:lang w:eastAsia="en-AU"/>
        </w:rPr>
      </w:pPr>
      <w:r>
        <w:rPr>
          <w:noProof/>
          <w:lang w:eastAsia="en-AU"/>
        </w:rPr>
        <w:lastRenderedPageBreak/>
        <w:t xml:space="preserve">Table 3. </w:t>
      </w:r>
      <w:proofErr w:type="gramStart"/>
      <w:r>
        <w:rPr>
          <w:noProof/>
          <w:lang w:eastAsia="en-AU"/>
        </w:rPr>
        <w:t xml:space="preserve">Summary of </w:t>
      </w:r>
      <w:r w:rsidRPr="00B74F45">
        <w:t>supportive</w:t>
      </w:r>
      <w:r>
        <w:rPr>
          <w:noProof/>
          <w:lang w:eastAsia="en-AU"/>
        </w:rPr>
        <w:t xml:space="preserve"> </w:t>
      </w:r>
      <w:r w:rsidR="009A648A">
        <w:rPr>
          <w:noProof/>
          <w:lang w:eastAsia="en-AU"/>
        </w:rPr>
        <w:t>Study</w:t>
      </w:r>
      <w:r>
        <w:rPr>
          <w:noProof/>
          <w:lang w:eastAsia="en-AU"/>
        </w:rPr>
        <w:t xml:space="preserve"> </w:t>
      </w:r>
      <w:r w:rsidRPr="0072005F">
        <w:rPr>
          <w:noProof/>
          <w:lang w:eastAsia="en-AU"/>
        </w:rPr>
        <w:t>C87015</w:t>
      </w:r>
      <w:r>
        <w:rPr>
          <w:noProof/>
          <w:lang w:eastAsia="en-AU"/>
        </w:rPr>
        <w:t>.</w:t>
      </w:r>
      <w:proofErr w:type="gramEnd"/>
    </w:p>
    <w:p w:rsidR="0072005F" w:rsidRDefault="00701465" w:rsidP="00B74F45">
      <w:r>
        <w:rPr>
          <w:noProof/>
          <w:lang w:eastAsia="en-AU"/>
        </w:rPr>
        <w:drawing>
          <wp:inline distT="0" distB="0" distL="0" distR="0" wp14:anchorId="47CCE23E" wp14:editId="1A102C9B">
            <wp:extent cx="5471795" cy="2633345"/>
            <wp:effectExtent l="0" t="0" r="0" b="0"/>
            <wp:docPr id="3" name="Picture 3" descr="Table 3. Summary of supportive study C87015." title="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Summary of supportive study C87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1795" cy="2633345"/>
                    </a:xfrm>
                    <a:prstGeom prst="rect">
                      <a:avLst/>
                    </a:prstGeom>
                    <a:noFill/>
                    <a:ln>
                      <a:noFill/>
                    </a:ln>
                  </pic:spPr>
                </pic:pic>
              </a:graphicData>
            </a:graphic>
          </wp:inline>
        </w:drawing>
      </w:r>
    </w:p>
    <w:p w:rsidR="00605AD4" w:rsidRPr="00605AD4" w:rsidRDefault="00605AD4" w:rsidP="00B74F45">
      <w:pPr>
        <w:pStyle w:val="Heading4"/>
      </w:pPr>
      <w:r w:rsidRPr="00B74F45">
        <w:t>Paediatric</w:t>
      </w:r>
      <w:r w:rsidRPr="00605AD4">
        <w:t xml:space="preserve"> data</w:t>
      </w:r>
    </w:p>
    <w:p w:rsidR="0055737D" w:rsidRPr="0055737D" w:rsidRDefault="006511C3" w:rsidP="00B74F45">
      <w:r>
        <w:t>The submission did not include paediatric data.</w:t>
      </w:r>
    </w:p>
    <w:p w:rsidR="00605AD4" w:rsidRDefault="00605AD4" w:rsidP="00B74F45">
      <w:pPr>
        <w:pStyle w:val="Heading4"/>
      </w:pPr>
      <w:r w:rsidRPr="00605AD4">
        <w:t>Good clinical practice</w:t>
      </w:r>
    </w:p>
    <w:p w:rsidR="00CF4E30" w:rsidRPr="00CF4E30" w:rsidRDefault="00CF4E30" w:rsidP="00B74F45">
      <w:bookmarkStart w:id="56" w:name="_Toc241374282"/>
      <w:r w:rsidRPr="00CF4E30">
        <w:t xml:space="preserve">All studies were conducted according to the principles of </w:t>
      </w:r>
      <w:r w:rsidR="001307E6" w:rsidRPr="001307E6">
        <w:t xml:space="preserve">International Conference on Harmonisation </w:t>
      </w:r>
      <w:r w:rsidR="001307E6">
        <w:t>(</w:t>
      </w:r>
      <w:r w:rsidRPr="00CF4E30">
        <w:t>ICH</w:t>
      </w:r>
      <w:r w:rsidR="001307E6">
        <w:t>)</w:t>
      </w:r>
      <w:r w:rsidRPr="00CF4E30">
        <w:t xml:space="preserve"> </w:t>
      </w:r>
      <w:r w:rsidR="009D174A" w:rsidRPr="009D174A">
        <w:t xml:space="preserve">Good Clinical Practice </w:t>
      </w:r>
      <w:r w:rsidR="009D174A">
        <w:t>(</w:t>
      </w:r>
      <w:r w:rsidRPr="00CF4E30">
        <w:t>GCP</w:t>
      </w:r>
      <w:r w:rsidR="009D174A">
        <w:t>)</w:t>
      </w:r>
      <w:r w:rsidRPr="00CF4E30">
        <w:t>.</w:t>
      </w:r>
    </w:p>
    <w:p w:rsidR="008E7846" w:rsidRPr="00254787" w:rsidRDefault="008E7846" w:rsidP="00B74F45">
      <w:pPr>
        <w:pStyle w:val="Heading3"/>
      </w:pPr>
      <w:bookmarkStart w:id="57" w:name="_Toc434223852"/>
      <w:bookmarkStart w:id="58" w:name="_Toc435781397"/>
      <w:bookmarkEnd w:id="56"/>
      <w:r w:rsidRPr="00B74F45">
        <w:t>Pharmacokinetics</w:t>
      </w:r>
      <w:bookmarkEnd w:id="45"/>
      <w:bookmarkEnd w:id="53"/>
      <w:bookmarkEnd w:id="54"/>
      <w:bookmarkEnd w:id="55"/>
      <w:bookmarkEnd w:id="57"/>
      <w:bookmarkEnd w:id="58"/>
    </w:p>
    <w:p w:rsidR="008E7846" w:rsidRPr="0055737D" w:rsidRDefault="00CF4E30" w:rsidP="00B74F45">
      <w:r>
        <w:t xml:space="preserve">No new </w:t>
      </w:r>
      <w:r w:rsidR="00E87ABB">
        <w:t xml:space="preserve">pharmacokinetic (PK) </w:t>
      </w:r>
      <w:r>
        <w:t>data were submitted</w:t>
      </w:r>
      <w:r w:rsidR="00605AD4" w:rsidRPr="0055737D">
        <w:t>.</w:t>
      </w:r>
    </w:p>
    <w:p w:rsidR="008E7846" w:rsidRDefault="008E7846" w:rsidP="00B74F45">
      <w:pPr>
        <w:pStyle w:val="Heading3"/>
      </w:pPr>
      <w:bookmarkStart w:id="59" w:name="_Toc196046481"/>
      <w:bookmarkStart w:id="60" w:name="_Toc247691520"/>
      <w:bookmarkStart w:id="61" w:name="_Toc314842503"/>
      <w:bookmarkStart w:id="62" w:name="_Toc434223853"/>
      <w:bookmarkStart w:id="63" w:name="_Toc435781398"/>
      <w:r w:rsidRPr="00B74F45">
        <w:t>Pharmacodynamics</w:t>
      </w:r>
      <w:bookmarkEnd w:id="46"/>
      <w:bookmarkEnd w:id="59"/>
      <w:bookmarkEnd w:id="60"/>
      <w:bookmarkEnd w:id="61"/>
      <w:bookmarkEnd w:id="62"/>
      <w:bookmarkEnd w:id="63"/>
    </w:p>
    <w:p w:rsidR="00E87ABB" w:rsidRPr="0055737D" w:rsidRDefault="00E87ABB" w:rsidP="00B74F45">
      <w:r>
        <w:t>No new pharmacodynamic (PD) data were submitted</w:t>
      </w:r>
      <w:r w:rsidRPr="0055737D">
        <w:t>.</w:t>
      </w:r>
    </w:p>
    <w:p w:rsidR="008E7846" w:rsidRPr="00630FB7" w:rsidRDefault="00605AD4" w:rsidP="00B74F45">
      <w:pPr>
        <w:pStyle w:val="Heading3"/>
      </w:pPr>
      <w:bookmarkStart w:id="64" w:name="_Toc434223854"/>
      <w:bookmarkStart w:id="65" w:name="_Toc435781399"/>
      <w:r>
        <w:t xml:space="preserve">Dosage selection for the </w:t>
      </w:r>
      <w:r w:rsidRPr="00B74F45">
        <w:t>pivotal</w:t>
      </w:r>
      <w:r>
        <w:t xml:space="preserve"> studies</w:t>
      </w:r>
      <w:bookmarkEnd w:id="64"/>
      <w:bookmarkEnd w:id="65"/>
    </w:p>
    <w:p w:rsidR="0055737D" w:rsidRPr="0055737D" w:rsidRDefault="00D87579" w:rsidP="00B74F45">
      <w:bookmarkStart w:id="66" w:name="_Toc163441372"/>
      <w:bookmarkStart w:id="67" w:name="_Toc196046485"/>
      <w:bookmarkStart w:id="68" w:name="_Toc247691521"/>
      <w:bookmarkStart w:id="69" w:name="_Toc314842504"/>
      <w:r>
        <w:t>Not applicable.</w:t>
      </w:r>
    </w:p>
    <w:p w:rsidR="008E7846" w:rsidRPr="00254787" w:rsidRDefault="008E7846" w:rsidP="00B74F45">
      <w:pPr>
        <w:pStyle w:val="Heading3"/>
      </w:pPr>
      <w:bookmarkStart w:id="70" w:name="_Toc434223855"/>
      <w:bookmarkStart w:id="71" w:name="_Toc435781400"/>
      <w:r w:rsidRPr="00B74F45">
        <w:t>Efficacy</w:t>
      </w:r>
      <w:bookmarkEnd w:id="66"/>
      <w:bookmarkEnd w:id="67"/>
      <w:bookmarkEnd w:id="68"/>
      <w:bookmarkEnd w:id="69"/>
      <w:bookmarkEnd w:id="70"/>
      <w:bookmarkEnd w:id="71"/>
    </w:p>
    <w:p w:rsidR="00605AD4" w:rsidRDefault="00605AD4" w:rsidP="00B74F45">
      <w:pPr>
        <w:pStyle w:val="Heading4"/>
      </w:pPr>
      <w:bookmarkStart w:id="72" w:name="_Toc184439992"/>
      <w:bookmarkStart w:id="73" w:name="_Toc184440279"/>
      <w:bookmarkStart w:id="74" w:name="_Toc184444657"/>
      <w:bookmarkStart w:id="75" w:name="_Toc196046487"/>
      <w:r>
        <w:t xml:space="preserve">Studies </w:t>
      </w:r>
      <w:r w:rsidRPr="00B74F45">
        <w:t>providing</w:t>
      </w:r>
      <w:r>
        <w:t xml:space="preserve"> efficacy data</w:t>
      </w:r>
    </w:p>
    <w:p w:rsidR="0016668B" w:rsidRDefault="0015261E" w:rsidP="00B74F45">
      <w:bookmarkStart w:id="76" w:name="_Ref243301615"/>
      <w:bookmarkStart w:id="77" w:name="_Ref271040927"/>
      <w:bookmarkStart w:id="78" w:name="_Ref271040932"/>
      <w:bookmarkStart w:id="79" w:name="_Toc272414653"/>
      <w:bookmarkStart w:id="80" w:name="_Toc290846275"/>
      <w:bookmarkStart w:id="81" w:name="_Toc398892871"/>
      <w:r w:rsidRPr="0015261E">
        <w:t xml:space="preserve">There were two pivotal efficacy studies </w:t>
      </w:r>
      <w:r>
        <w:t>(stud</w:t>
      </w:r>
      <w:r w:rsidR="0016668B">
        <w:t>ies</w:t>
      </w:r>
      <w:r>
        <w:t xml:space="preserve"> C87028 </w:t>
      </w:r>
      <w:r w:rsidR="0016668B">
        <w:t xml:space="preserve">and </w:t>
      </w:r>
      <w:r w:rsidR="0016668B" w:rsidRPr="0016668B">
        <w:t>C87051</w:t>
      </w:r>
      <w:r w:rsidR="0016668B">
        <w:t xml:space="preserve"> were</w:t>
      </w:r>
      <w:r w:rsidR="001E7B3A">
        <w:t xml:space="preserve"> open </w:t>
      </w:r>
      <w:r w:rsidRPr="000B2EFE">
        <w:t>label extension</w:t>
      </w:r>
      <w:r w:rsidR="0016668B">
        <w:t>s</w:t>
      </w:r>
      <w:r w:rsidRPr="000B2EFE">
        <w:t xml:space="preserve"> to stud</w:t>
      </w:r>
      <w:r w:rsidR="0016668B">
        <w:t>ies</w:t>
      </w:r>
      <w:r w:rsidRPr="000B2EFE">
        <w:t xml:space="preserve"> C87027</w:t>
      </w:r>
      <w:r w:rsidR="0016668B">
        <w:t xml:space="preserve"> and </w:t>
      </w:r>
      <w:r w:rsidR="0016668B" w:rsidRPr="0016668B">
        <w:t>C87050</w:t>
      </w:r>
      <w:r w:rsidR="0016668B">
        <w:t>, respectively</w:t>
      </w:r>
      <w:r w:rsidR="00575B40">
        <w:t xml:space="preserve">, which were provided to support the </w:t>
      </w:r>
      <w:r w:rsidR="00686CA5">
        <w:t xml:space="preserve">inclusion </w:t>
      </w:r>
      <w:r w:rsidR="00575B40">
        <w:t>of</w:t>
      </w:r>
      <w:r w:rsidR="00686CA5">
        <w:t xml:space="preserve"> prevention of structural damage for</w:t>
      </w:r>
      <w:r w:rsidR="00575B40">
        <w:t xml:space="preserve"> certolizumab pegol</w:t>
      </w:r>
      <w:r w:rsidR="00814449">
        <w:t xml:space="preserve"> (CZP)</w:t>
      </w:r>
      <w:r w:rsidR="00575B40">
        <w:t xml:space="preserve"> </w:t>
      </w:r>
      <w:r w:rsidR="002234DB">
        <w:t>in the approved RA indication</w:t>
      </w:r>
      <w:r w:rsidR="0016668B" w:rsidRPr="0016668B">
        <w:t xml:space="preserve">. </w:t>
      </w:r>
      <w:r w:rsidR="0016668B">
        <w:t>There was also one supportive</w:t>
      </w:r>
      <w:r w:rsidR="00944474">
        <w:t xml:space="preserve"> efficacy study (</w:t>
      </w:r>
      <w:r w:rsidR="009A648A">
        <w:t>Study</w:t>
      </w:r>
      <w:r w:rsidR="00944474">
        <w:t xml:space="preserve"> C87015)</w:t>
      </w:r>
      <w:r w:rsidR="002234DB">
        <w:t xml:space="preserve"> submitted to meet a post-approval commitment of submitting long-term open-label extension studies upon completion</w:t>
      </w:r>
      <w:r w:rsidR="00944474">
        <w:t>.</w:t>
      </w:r>
    </w:p>
    <w:bookmarkEnd w:id="76"/>
    <w:bookmarkEnd w:id="77"/>
    <w:bookmarkEnd w:id="78"/>
    <w:bookmarkEnd w:id="79"/>
    <w:bookmarkEnd w:id="80"/>
    <w:bookmarkEnd w:id="81"/>
    <w:p w:rsidR="008E7846" w:rsidRDefault="00605AD4" w:rsidP="00B74F45">
      <w:pPr>
        <w:pStyle w:val="Heading4"/>
      </w:pPr>
      <w:r>
        <w:lastRenderedPageBreak/>
        <w:t>Evaluator’s conclusions on efficacy</w:t>
      </w:r>
    </w:p>
    <w:p w:rsidR="00575B40" w:rsidRPr="001E7B3A" w:rsidRDefault="00650882" w:rsidP="00B74F45">
      <w:bookmarkStart w:id="82" w:name="_Toc163441378"/>
      <w:bookmarkStart w:id="83" w:name="_Toc196046495"/>
      <w:bookmarkStart w:id="84" w:name="_Toc247691522"/>
      <w:bookmarkStart w:id="85" w:name="_Toc314842505"/>
      <w:bookmarkEnd w:id="72"/>
      <w:bookmarkEnd w:id="73"/>
      <w:bookmarkEnd w:id="74"/>
      <w:bookmarkEnd w:id="75"/>
      <w:r>
        <w:t>D</w:t>
      </w:r>
      <w:r w:rsidR="00BE1A84" w:rsidRPr="001E7B3A">
        <w:t xml:space="preserve">esigns, methodologies and reporting methods </w:t>
      </w:r>
      <w:r>
        <w:t>of the feeder studies</w:t>
      </w:r>
      <w:r w:rsidRPr="00650882">
        <w:t xml:space="preserve"> (C87027 and C87050) </w:t>
      </w:r>
      <w:r w:rsidR="00BE1A84" w:rsidRPr="001E7B3A">
        <w:t xml:space="preserve">were in line with the Outcome Measures in Rheumatology Clinical Trials consensus (www.omeract.org). </w:t>
      </w:r>
      <w:r w:rsidR="00944474" w:rsidRPr="00944474">
        <w:t>The scoring system used for assessing radiological change was the mo</w:t>
      </w:r>
      <w:r w:rsidR="00944474">
        <w:t>dified total Sharp score (</w:t>
      </w:r>
      <w:proofErr w:type="spellStart"/>
      <w:r w:rsidR="00944474">
        <w:t>mTSS</w:t>
      </w:r>
      <w:proofErr w:type="spellEnd"/>
      <w:r w:rsidR="00944474">
        <w:t>)</w:t>
      </w:r>
      <w:bookmarkStart w:id="86" w:name="_Ref429659220"/>
      <w:r w:rsidR="00A5292E">
        <w:rPr>
          <w:rStyle w:val="FootnoteReference"/>
        </w:rPr>
        <w:footnoteReference w:id="2"/>
      </w:r>
      <w:bookmarkEnd w:id="86"/>
      <w:r w:rsidR="00944474">
        <w:t>. This validated X-ray method</w:t>
      </w:r>
      <w:r w:rsidR="00BE1A84" w:rsidRPr="001E7B3A">
        <w:t xml:space="preserve"> is a composite of erosion and joint narrowing scores in 32 joints of the hands and 12 joints of the feet.</w:t>
      </w:r>
      <w:r w:rsidR="00575B40" w:rsidRPr="001E7B3A">
        <w:t xml:space="preserve"> The Sharp score was first proposed in 1971 and the </w:t>
      </w:r>
      <w:r w:rsidR="00BE1A84" w:rsidRPr="001E7B3A">
        <w:t xml:space="preserve">modified Sharp score has been the most widely used scoring system for assessing structural damage in </w:t>
      </w:r>
      <w:r w:rsidR="0019621C">
        <w:t>clinical trials for many years.</w:t>
      </w:r>
    </w:p>
    <w:p w:rsidR="00BE1A84" w:rsidRDefault="001E7B3A" w:rsidP="00B74F45">
      <w:r>
        <w:t xml:space="preserve">The score ranges from 0 to </w:t>
      </w:r>
      <w:r w:rsidR="00BE1A84" w:rsidRPr="006772AF">
        <w:t xml:space="preserve">448 points and the smallest detectable and minimum clinically important difference is considered to be 5.0 points. In line with consensus guidelines, the changes from baseline in </w:t>
      </w:r>
      <w:proofErr w:type="spellStart"/>
      <w:r w:rsidR="00BE1A84" w:rsidRPr="006772AF">
        <w:t>mTSS</w:t>
      </w:r>
      <w:proofErr w:type="spellEnd"/>
      <w:r w:rsidR="00BE1A84" w:rsidRPr="006772AF">
        <w:t xml:space="preserve"> were rep</w:t>
      </w:r>
      <w:r>
        <w:t xml:space="preserve">orted as mean, median and inter </w:t>
      </w:r>
      <w:r w:rsidR="00BE1A84" w:rsidRPr="006772AF">
        <w:t>quartiles, as radiographic damage at baseline in RA patients is not normally distributed. However, bias may have been introduced because different radiological reporters wer</w:t>
      </w:r>
      <w:r>
        <w:t xml:space="preserve">e used in the feeder and follow </w:t>
      </w:r>
      <w:r w:rsidR="00BE1A84" w:rsidRPr="006772AF">
        <w:t>on studies (the two year assessment of structural damage was</w:t>
      </w:r>
      <w:r w:rsidR="00AC634D" w:rsidRPr="006772AF">
        <w:t xml:space="preserve"> not a pre-determined endpoint). </w:t>
      </w:r>
      <w:r w:rsidR="00BE1A84" w:rsidRPr="006772AF">
        <w:t xml:space="preserve">There are various methods for handling missing or incomplete data but there is no single agreed method. </w:t>
      </w:r>
      <w:r w:rsidR="00AC634D" w:rsidRPr="006772AF">
        <w:t>T</w:t>
      </w:r>
      <w:r w:rsidR="00BE1A84" w:rsidRPr="006772AF">
        <w:t xml:space="preserve">he sponsor reported the study results using </w:t>
      </w:r>
      <w:r w:rsidR="001307E6" w:rsidRPr="001307E6">
        <w:t xml:space="preserve">last observation carried forward </w:t>
      </w:r>
      <w:r w:rsidR="001307E6">
        <w:t>(</w:t>
      </w:r>
      <w:r w:rsidR="00BE1A84" w:rsidRPr="006772AF">
        <w:t>LOCF</w:t>
      </w:r>
      <w:r w:rsidR="001307E6">
        <w:t>)</w:t>
      </w:r>
      <w:r w:rsidR="00BE1A84" w:rsidRPr="006772AF">
        <w:t xml:space="preserve"> imputation</w:t>
      </w:r>
      <w:r>
        <w:t xml:space="preserve">, linear extrapolation with non </w:t>
      </w:r>
      <w:r w:rsidR="00BE1A84" w:rsidRPr="006772AF">
        <w:t>imputed bas</w:t>
      </w:r>
      <w:r w:rsidR="00944474">
        <w:t xml:space="preserve">eline for missing data, and non </w:t>
      </w:r>
      <w:r w:rsidR="00BE1A84" w:rsidRPr="006772AF">
        <w:t xml:space="preserve">extrapolated data to reduce the risk of bias. The lack of placebo control data beyond 52 weeks in </w:t>
      </w:r>
      <w:r w:rsidR="009A648A">
        <w:t>Study</w:t>
      </w:r>
      <w:r w:rsidR="00BE1A84" w:rsidRPr="006772AF">
        <w:t xml:space="preserve"> C87027 and 24 weeks in </w:t>
      </w:r>
      <w:r w:rsidR="009A648A">
        <w:t>Study</w:t>
      </w:r>
      <w:r w:rsidR="00BE1A84" w:rsidRPr="006772AF">
        <w:t xml:space="preserve"> </w:t>
      </w:r>
      <w:r w:rsidR="00506B22" w:rsidRPr="006772AF">
        <w:t>C870</w:t>
      </w:r>
      <w:r w:rsidR="00506B22">
        <w:t>50</w:t>
      </w:r>
      <w:r w:rsidR="00506B22" w:rsidRPr="006772AF">
        <w:t xml:space="preserve"> </w:t>
      </w:r>
      <w:r w:rsidR="00BE1A84" w:rsidRPr="006772AF">
        <w:t>was a significant weakness in the analyses. Moreover, there was a high rate of early withdrawals in the placebo groups so the numbers completing each study were small.</w:t>
      </w:r>
    </w:p>
    <w:p w:rsidR="00D11FA8" w:rsidRPr="00D11FA8" w:rsidRDefault="00814449" w:rsidP="00B74F45">
      <w:r>
        <w:t>C</w:t>
      </w:r>
      <w:r w:rsidRPr="00814449">
        <w:t>ertolizumab pegol</w:t>
      </w:r>
      <w:r w:rsidR="00D11FA8" w:rsidRPr="00D11FA8">
        <w:t xml:space="preserve"> </w:t>
      </w:r>
      <w:r w:rsidR="002234DB">
        <w:t>200 mg</w:t>
      </w:r>
      <w:r w:rsidR="001901F9">
        <w:t xml:space="preserve"> every other week </w:t>
      </w:r>
      <w:r w:rsidR="00D11FA8" w:rsidRPr="00D11FA8">
        <w:t xml:space="preserve">+ </w:t>
      </w:r>
      <w:r w:rsidR="001307E6" w:rsidRPr="001307E6">
        <w:t xml:space="preserve">methotrexate </w:t>
      </w:r>
      <w:r w:rsidR="001307E6">
        <w:t>(</w:t>
      </w:r>
      <w:r w:rsidR="00D11FA8" w:rsidRPr="00D11FA8">
        <w:t>MTX</w:t>
      </w:r>
      <w:r w:rsidR="001307E6">
        <w:t>)</w:t>
      </w:r>
      <w:r w:rsidR="00D11FA8" w:rsidRPr="00D11FA8">
        <w:t xml:space="preserve"> was superior to MTX + placebo in </w:t>
      </w:r>
      <w:r w:rsidR="00D11FA8" w:rsidRPr="0019110B">
        <w:t>C87027</w:t>
      </w:r>
      <w:r w:rsidR="00D11FA8" w:rsidRPr="00202379">
        <w:t xml:space="preserve"> a</w:t>
      </w:r>
      <w:r w:rsidR="00D11FA8" w:rsidRPr="00D11FA8">
        <w:t>fter 52 weeks with no radiological progression in 69% and 52% of patients, respectively. This difference was statistically significant (p</w:t>
      </w:r>
      <w:r w:rsidR="00D11FA8">
        <w:t xml:space="preserve"> </w:t>
      </w:r>
      <w:r w:rsidR="00D11FA8" w:rsidRPr="00D11FA8">
        <w:t>&lt;</w:t>
      </w:r>
      <w:r w:rsidR="00D11FA8">
        <w:t xml:space="preserve"> </w:t>
      </w:r>
      <w:r w:rsidR="00D11FA8" w:rsidRPr="00D11FA8">
        <w:t>0.001) and clinically meaningful. The results in C87050 after 24 weeks are quoted as being similar to those of C87027 but</w:t>
      </w:r>
      <w:r w:rsidR="0019621C">
        <w:t xml:space="preserve"> the data are not shown in the </w:t>
      </w:r>
      <w:r w:rsidR="00650882">
        <w:t xml:space="preserve">sponsor’s </w:t>
      </w:r>
      <w:r w:rsidR="0019621C">
        <w:t>clinical o</w:t>
      </w:r>
      <w:r w:rsidR="00D11FA8" w:rsidRPr="00D11FA8">
        <w:t>verview</w:t>
      </w:r>
      <w:r w:rsidR="0019621C">
        <w:t xml:space="preserve"> of the submission</w:t>
      </w:r>
      <w:r w:rsidR="00202379">
        <w:rPr>
          <w:rStyle w:val="FootnoteReference"/>
        </w:rPr>
        <w:footnoteReference w:id="3"/>
      </w:r>
      <w:proofErr w:type="gramStart"/>
      <w:r w:rsidR="002234DB">
        <w:t>,</w:t>
      </w:r>
      <w:r w:rsidR="00D11FA8" w:rsidRPr="00D11FA8">
        <w:t>.</w:t>
      </w:r>
      <w:proofErr w:type="gramEnd"/>
      <w:r w:rsidR="00D11FA8" w:rsidRPr="00D11FA8">
        <w:t xml:space="preserve"> Control data are not available in C87028 and C87051 so the evidence for continued inhibition of radiological damage over 2 years is necessarily indirect. However, the overall data support the claim for radiological inhibition of structural damage. In the 2 pivotal studies (C87027/8 and C87050/1), </w:t>
      </w:r>
      <w:r w:rsidR="00506B22">
        <w:t xml:space="preserve">the </w:t>
      </w:r>
      <w:r w:rsidR="00D11FA8" w:rsidRPr="00D11FA8">
        <w:t>overall progression over 2 years in mean</w:t>
      </w:r>
      <w:r w:rsidR="0032033E">
        <w:t xml:space="preserve"> </w:t>
      </w:r>
      <w:r w:rsidR="006A7F66">
        <w:t>(</w:t>
      </w:r>
      <w:r w:rsidR="0032033E">
        <w:t>change from baseline in</w:t>
      </w:r>
      <w:r w:rsidR="006A7F66">
        <w:t>)</w:t>
      </w:r>
      <w:r w:rsidR="00D11FA8" w:rsidRPr="00D11FA8">
        <w:t xml:space="preserve"> </w:t>
      </w:r>
      <w:proofErr w:type="spellStart"/>
      <w:r w:rsidR="00D11FA8" w:rsidRPr="00D11FA8">
        <w:t>mTSS</w:t>
      </w:r>
      <w:proofErr w:type="spellEnd"/>
      <w:r w:rsidR="00D11FA8" w:rsidRPr="00D11FA8">
        <w:t xml:space="preserve"> scores was &lt;</w:t>
      </w:r>
      <w:r w:rsidR="00D11FA8">
        <w:t xml:space="preserve"> </w:t>
      </w:r>
      <w:r w:rsidR="00D11FA8" w:rsidRPr="00D11FA8">
        <w:t>1.0 points in both studies</w:t>
      </w:r>
      <w:r w:rsidR="00364499">
        <w:t xml:space="preserve"> for </w:t>
      </w:r>
      <w:r w:rsidR="00B6646D">
        <w:t>CZP</w:t>
      </w:r>
      <w:r w:rsidR="00364499">
        <w:t xml:space="preserve"> treated subjects</w:t>
      </w:r>
      <w:r w:rsidR="00D11FA8" w:rsidRPr="00D11FA8">
        <w:t xml:space="preserve">, with a median </w:t>
      </w:r>
      <w:r w:rsidR="0032033E">
        <w:t>change</w:t>
      </w:r>
      <w:r w:rsidR="0032033E" w:rsidRPr="00D11FA8">
        <w:t xml:space="preserve"> </w:t>
      </w:r>
      <w:r w:rsidR="00D11FA8" w:rsidRPr="00D11FA8">
        <w:t xml:space="preserve">of 0.0. These radiological findings are similar to published </w:t>
      </w:r>
      <w:r w:rsidR="0019621C">
        <w:t xml:space="preserve">data from studies of other anti </w:t>
      </w:r>
      <w:r w:rsidR="00D11FA8" w:rsidRPr="00D11FA8">
        <w:t xml:space="preserve">TNFα biologics such as etanercept and infliximab. In contrast, in the placebo + MTX group of C87027, </w:t>
      </w:r>
      <w:proofErr w:type="spellStart"/>
      <w:r w:rsidR="006A7F66">
        <w:t>radiaographic</w:t>
      </w:r>
      <w:proofErr w:type="spellEnd"/>
      <w:r w:rsidR="006A7F66">
        <w:t xml:space="preserve"> </w:t>
      </w:r>
      <w:proofErr w:type="gramStart"/>
      <w:r w:rsidR="006A7F66">
        <w:t xml:space="preserve">progression </w:t>
      </w:r>
      <w:r w:rsidR="00D11FA8" w:rsidRPr="00D11FA8">
        <w:t xml:space="preserve"> at</w:t>
      </w:r>
      <w:proofErr w:type="gramEnd"/>
      <w:r w:rsidR="00D11FA8" w:rsidRPr="00D11FA8">
        <w:t xml:space="preserve"> Week 52 was 2.5 (</w:t>
      </w:r>
      <w:r w:rsidR="00EE185F" w:rsidRPr="00EE185F">
        <w:t xml:space="preserve">standard deviation </w:t>
      </w:r>
      <w:r w:rsidR="00EE185F">
        <w:t>(</w:t>
      </w:r>
      <w:r w:rsidR="00D11FA8" w:rsidRPr="00D11FA8">
        <w:t>SD</w:t>
      </w:r>
      <w:r w:rsidR="00EE185F">
        <w:t>)</w:t>
      </w:r>
      <w:r w:rsidR="00D11FA8" w:rsidRPr="00D11FA8">
        <w:t xml:space="preserve"> 4.2, n</w:t>
      </w:r>
      <w:r w:rsidR="00D11FA8">
        <w:t xml:space="preserve"> </w:t>
      </w:r>
      <w:r w:rsidR="00D11FA8" w:rsidRPr="00D11FA8">
        <w:t>=</w:t>
      </w:r>
      <w:r w:rsidR="00D11FA8">
        <w:t xml:space="preserve"> </w:t>
      </w:r>
      <w:r w:rsidR="00D11FA8" w:rsidRPr="00D11FA8">
        <w:t xml:space="preserve">38) </w:t>
      </w:r>
      <w:proofErr w:type="spellStart"/>
      <w:r w:rsidR="00D11FA8" w:rsidRPr="00D11FA8">
        <w:t>mTSS</w:t>
      </w:r>
      <w:proofErr w:type="spellEnd"/>
      <w:r w:rsidR="00D11FA8" w:rsidRPr="00D11FA8">
        <w:t xml:space="preserve"> points</w:t>
      </w:r>
      <w:r w:rsidR="00012B74">
        <w:t xml:space="preserve"> </w:t>
      </w:r>
      <w:r w:rsidR="006A7F66">
        <w:t>(</w:t>
      </w:r>
      <w:r w:rsidR="00012B74">
        <w:t>for Completers in the C87027/028 extension population</w:t>
      </w:r>
      <w:r w:rsidR="006A7F66">
        <w:t>)</w:t>
      </w:r>
      <w:r w:rsidR="00D11FA8" w:rsidRPr="00D11FA8">
        <w:t>, and 1.6 (SD</w:t>
      </w:r>
      <w:r w:rsidR="006B4075">
        <w:t xml:space="preserve"> </w:t>
      </w:r>
      <w:r w:rsidR="00D11FA8" w:rsidRPr="00D11FA8">
        <w:t>3.9, n</w:t>
      </w:r>
      <w:r w:rsidR="00D11FA8">
        <w:t xml:space="preserve"> </w:t>
      </w:r>
      <w:r w:rsidR="00D11FA8" w:rsidRPr="00D11FA8">
        <w:t>=</w:t>
      </w:r>
      <w:r w:rsidR="00D11FA8">
        <w:t xml:space="preserve"> </w:t>
      </w:r>
      <w:r w:rsidR="00D11FA8" w:rsidRPr="00D11FA8">
        <w:t xml:space="preserve">15) points in C87050 at Week 24. These data are in line with radiological progression </w:t>
      </w:r>
      <w:r w:rsidR="00D11FA8">
        <w:t>0.9 to</w:t>
      </w:r>
      <w:r w:rsidR="00D11FA8" w:rsidRPr="00D11FA8">
        <w:t xml:space="preserve"> 7.0 in control groups identified in other studies and in a literature review by Strand and Sharp</w:t>
      </w:r>
      <w:r w:rsidR="00650882">
        <w:t>.</w:t>
      </w:r>
      <w:r w:rsidR="00D11FA8">
        <w:rPr>
          <w:rStyle w:val="FootnoteReference"/>
        </w:rPr>
        <w:footnoteReference w:id="4"/>
      </w:r>
      <w:r w:rsidR="00650882">
        <w:t> </w:t>
      </w:r>
      <w:r w:rsidR="00D11FA8">
        <w:rPr>
          <w:rStyle w:val="FootnoteReference"/>
        </w:rPr>
        <w:footnoteReference w:id="5"/>
      </w:r>
      <w:r w:rsidR="00D11FA8" w:rsidRPr="00D11FA8">
        <w:t xml:space="preserve">. Sensitivity analyses using linear extrapolation were broadly comparable, with less radiological progression than placebo (extrapolated from Year 1 to Year 2) noted in patients who received </w:t>
      </w:r>
      <w:r w:rsidR="00B6646D">
        <w:t>CZP</w:t>
      </w:r>
      <w:r w:rsidR="00012B74" w:rsidRPr="00D11FA8">
        <w:t xml:space="preserve"> </w:t>
      </w:r>
      <w:r w:rsidR="00D11FA8" w:rsidRPr="00D11FA8">
        <w:t xml:space="preserve">treatment. In addition, more </w:t>
      </w:r>
      <w:r w:rsidR="00D11FA8" w:rsidRPr="00D11FA8">
        <w:lastRenderedPageBreak/>
        <w:t xml:space="preserve">than 60% of Completers, Withdrawers and Switchers </w:t>
      </w:r>
      <w:r w:rsidR="001225B3">
        <w:t>(</w:t>
      </w:r>
      <w:r w:rsidR="0012600B">
        <w:t xml:space="preserve">in the </w:t>
      </w:r>
      <w:r w:rsidR="00B6646D">
        <w:t>CZP</w:t>
      </w:r>
      <w:r w:rsidR="0012600B">
        <w:t xml:space="preserve"> treated groups</w:t>
      </w:r>
      <w:r w:rsidR="001225B3">
        <w:t>)</w:t>
      </w:r>
      <w:r w:rsidR="0012600B">
        <w:t xml:space="preserve"> </w:t>
      </w:r>
      <w:r w:rsidR="00D11FA8" w:rsidRPr="00D11FA8">
        <w:t>had no progression (</w:t>
      </w:r>
      <w:proofErr w:type="spellStart"/>
      <w:r w:rsidR="00D11FA8" w:rsidRPr="00D11FA8">
        <w:t>mTSS</w:t>
      </w:r>
      <w:proofErr w:type="spellEnd"/>
      <w:r w:rsidR="00D11FA8" w:rsidRPr="00D11FA8">
        <w:t xml:space="preserve"> ≤</w:t>
      </w:r>
      <w:r w:rsidR="00C30337">
        <w:t xml:space="preserve"> </w:t>
      </w:r>
      <w:r w:rsidR="00D11FA8" w:rsidRPr="00D11FA8">
        <w:t>0) over the 2 year treatment period.</w:t>
      </w:r>
    </w:p>
    <w:p w:rsidR="00BE1A84" w:rsidRDefault="00BE1A84" w:rsidP="00B74F45">
      <w:r w:rsidRPr="006772AF">
        <w:t xml:space="preserve">The percentage of patients with </w:t>
      </w:r>
      <w:r w:rsidR="00D97088" w:rsidRPr="00D97088">
        <w:t xml:space="preserve">American College of Rheumatology </w:t>
      </w:r>
      <w:r w:rsidR="00D97088">
        <w:t>(</w:t>
      </w:r>
      <w:r w:rsidRPr="006772AF">
        <w:t>ACR20</w:t>
      </w:r>
      <w:r w:rsidR="00D97088">
        <w:t>)</w:t>
      </w:r>
      <w:bookmarkStart w:id="87" w:name="_Ref429659176"/>
      <w:r w:rsidR="00A5292E">
        <w:rPr>
          <w:rStyle w:val="FootnoteReference"/>
        </w:rPr>
        <w:footnoteReference w:id="6"/>
      </w:r>
      <w:bookmarkEnd w:id="87"/>
      <w:r w:rsidRPr="006772AF">
        <w:t xml:space="preserve"> responses and other clinical indices of disease </w:t>
      </w:r>
      <w:r w:rsidR="006B4075">
        <w:t>were</w:t>
      </w:r>
      <w:r w:rsidRPr="006772AF">
        <w:t xml:space="preserve"> sustained for up to </w:t>
      </w:r>
      <w:r w:rsidR="00BD3412" w:rsidRPr="006772AF">
        <w:t>six</w:t>
      </w:r>
      <w:r w:rsidRPr="006772AF">
        <w:t xml:space="preserve"> years</w:t>
      </w:r>
      <w:r w:rsidR="006B4075">
        <w:t>.</w:t>
      </w:r>
      <w:r w:rsidR="001225B3">
        <w:rPr>
          <w:rStyle w:val="FootnoteReference"/>
        </w:rPr>
        <w:footnoteReference w:id="7"/>
      </w:r>
      <w:r w:rsidRPr="006772AF">
        <w:t xml:space="preserve"> There is an imperfect correlation between clinical disease activity and progression of structural damage. However, these findings support</w:t>
      </w:r>
      <w:r w:rsidR="00BD3412" w:rsidRPr="006772AF">
        <w:t>ed</w:t>
      </w:r>
      <w:r w:rsidRPr="006772AF">
        <w:t xml:space="preserve"> the continued effectiveness of CZP therapy</w:t>
      </w:r>
      <w:r w:rsidR="00BD3412" w:rsidRPr="006772AF">
        <w:t>,</w:t>
      </w:r>
      <w:r w:rsidRPr="006772AF">
        <w:t xml:space="preserve"> even though the development of anti-CZP antibodies appears to reduce the overall therapeutic response rate. The combination of CZP + MTX forms the basis of the proposed indication and no data for </w:t>
      </w:r>
      <w:r w:rsidR="00285A2D">
        <w:t>CZP monotherapy were submitted.</w:t>
      </w:r>
    </w:p>
    <w:p w:rsidR="008E7846" w:rsidRPr="002E238E" w:rsidRDefault="008E7846" w:rsidP="00B74F45">
      <w:pPr>
        <w:pStyle w:val="Heading3"/>
      </w:pPr>
      <w:bookmarkStart w:id="88" w:name="_Toc434223856"/>
      <w:bookmarkStart w:id="89" w:name="_Toc435781401"/>
      <w:r w:rsidRPr="00B74F45">
        <w:t>Safety</w:t>
      </w:r>
      <w:bookmarkEnd w:id="82"/>
      <w:bookmarkEnd w:id="83"/>
      <w:bookmarkEnd w:id="84"/>
      <w:bookmarkEnd w:id="85"/>
      <w:bookmarkEnd w:id="88"/>
      <w:bookmarkEnd w:id="89"/>
    </w:p>
    <w:p w:rsidR="00605AD4" w:rsidRPr="00605AD4" w:rsidRDefault="00605AD4" w:rsidP="00B74F45">
      <w:pPr>
        <w:pStyle w:val="Heading4"/>
      </w:pPr>
      <w:bookmarkStart w:id="90" w:name="_Toc247691524"/>
      <w:bookmarkStart w:id="91" w:name="_Toc314842508"/>
      <w:bookmarkStart w:id="92" w:name="_Toc196046504"/>
      <w:bookmarkStart w:id="93" w:name="_Toc163441390"/>
      <w:r w:rsidRPr="00605AD4">
        <w:t xml:space="preserve">Studies </w:t>
      </w:r>
      <w:r w:rsidRPr="00B74F45">
        <w:t>providing</w:t>
      </w:r>
      <w:r w:rsidRPr="00605AD4">
        <w:t xml:space="preserve"> safety data</w:t>
      </w:r>
    </w:p>
    <w:p w:rsidR="0055737D" w:rsidRDefault="00BD677C" w:rsidP="00B74F45">
      <w:r w:rsidRPr="00EE5083">
        <w:t>Safety data were obtained from studies C87027/C87028</w:t>
      </w:r>
      <w:r>
        <w:t>,</w:t>
      </w:r>
      <w:r w:rsidRPr="00EE5083">
        <w:t xml:space="preserve"> C87050/C87051</w:t>
      </w:r>
      <w:r>
        <w:t xml:space="preserve"> </w:t>
      </w:r>
      <w:r w:rsidRPr="00BD677C">
        <w:t>and C87015</w:t>
      </w:r>
      <w:r>
        <w:t>.</w:t>
      </w:r>
    </w:p>
    <w:p w:rsidR="00605AD4" w:rsidRDefault="00605AD4" w:rsidP="00B74F45">
      <w:pPr>
        <w:pStyle w:val="Heading4"/>
      </w:pPr>
      <w:r w:rsidRPr="00605AD4">
        <w:t xml:space="preserve">Patient </w:t>
      </w:r>
      <w:r w:rsidRPr="00B74F45">
        <w:t>exposure</w:t>
      </w:r>
    </w:p>
    <w:p w:rsidR="00C30337" w:rsidRPr="00C30337" w:rsidRDefault="00C30337" w:rsidP="00B74F45">
      <w:r w:rsidRPr="00C30337">
        <w:t>In C87028, the mean duration of exposure to CZP was 1518 days (4.2 years) and the maximum duration of exposure was 2268 days (6.2 years). In C87051, the mean duration of exposure to CZP was 1423 days (3.9 years) and the maximum duration of exposure per patient was 2085 days (5.7 years). In C87015, mean duration of exposure to CZP was a minimum of 1554 days (4.3 years) and a maximum of 2737 days (7.5 years).</w:t>
      </w:r>
    </w:p>
    <w:p w:rsidR="00605AD4" w:rsidRPr="00605AD4" w:rsidRDefault="00605AD4" w:rsidP="00B74F45">
      <w:pPr>
        <w:pStyle w:val="Heading4"/>
      </w:pPr>
      <w:r w:rsidRPr="00605AD4">
        <w:t>Safety issues with the potential for major regulatory impact</w:t>
      </w:r>
    </w:p>
    <w:p w:rsidR="00864F8D" w:rsidRPr="00864F8D" w:rsidRDefault="00D6480D" w:rsidP="00B74F45">
      <w:pPr>
        <w:pStyle w:val="Heading5"/>
      </w:pPr>
      <w:r w:rsidRPr="00864F8D">
        <w:t xml:space="preserve">Injection site </w:t>
      </w:r>
      <w:r w:rsidRPr="00B74F45">
        <w:t>re</w:t>
      </w:r>
      <w:r w:rsidR="005502C9" w:rsidRPr="00B74F45">
        <w:t>actions</w:t>
      </w:r>
    </w:p>
    <w:p w:rsidR="004F6853" w:rsidRDefault="004F6853" w:rsidP="00B74F45">
      <w:r w:rsidRPr="0095497F">
        <w:t xml:space="preserve">In </w:t>
      </w:r>
      <w:r w:rsidR="009A648A">
        <w:t>Study</w:t>
      </w:r>
      <w:r>
        <w:t xml:space="preserve"> </w:t>
      </w:r>
      <w:r w:rsidRPr="0095497F">
        <w:t>C87028,</w:t>
      </w:r>
      <w:r w:rsidR="00D908DF">
        <w:t xml:space="preserve"> a total of</w:t>
      </w:r>
      <w:r w:rsidRPr="0095497F">
        <w:t xml:space="preserve"> 9.9% of patients reported at least one </w:t>
      </w:r>
      <w:r w:rsidR="00D97088" w:rsidRPr="00D97088">
        <w:t xml:space="preserve">adverse event </w:t>
      </w:r>
      <w:r w:rsidR="00D97088">
        <w:t>(</w:t>
      </w:r>
      <w:r w:rsidRPr="0095497F">
        <w:t>AE</w:t>
      </w:r>
      <w:r w:rsidR="00D97088">
        <w:t>)</w:t>
      </w:r>
      <w:r w:rsidRPr="0095497F">
        <w:t xml:space="preserve"> related to injection site reactions, most commonly pain, erythema and skin discolouration. None of the reactions was considered serious. In </w:t>
      </w:r>
      <w:r w:rsidR="009A648A">
        <w:t>Study</w:t>
      </w:r>
      <w:r>
        <w:t xml:space="preserve"> </w:t>
      </w:r>
      <w:r w:rsidRPr="0095497F">
        <w:t>C87051, 3% of patients reported rea</w:t>
      </w:r>
      <w:r w:rsidR="00D908DF">
        <w:t xml:space="preserve">ctions, most commonly erythema. </w:t>
      </w:r>
      <w:r>
        <w:t xml:space="preserve">In </w:t>
      </w:r>
      <w:r w:rsidR="009A648A">
        <w:t>Study</w:t>
      </w:r>
      <w:r>
        <w:t xml:space="preserve"> </w:t>
      </w:r>
      <w:r w:rsidRPr="004F6853">
        <w:t>C87015</w:t>
      </w:r>
      <w:r>
        <w:t>, i</w:t>
      </w:r>
      <w:r w:rsidRPr="004F6853">
        <w:t>njection site reactions were reported in 7.7% of patients, m</w:t>
      </w:r>
      <w:r w:rsidR="00285A2D">
        <w:t>ost commonly pain and bruising.</w:t>
      </w:r>
    </w:p>
    <w:p w:rsidR="004F6853" w:rsidRPr="00864F8D" w:rsidRDefault="004F6853" w:rsidP="00B74F45">
      <w:pPr>
        <w:pStyle w:val="Heading5"/>
      </w:pPr>
      <w:r w:rsidRPr="00864F8D">
        <w:t>Syste</w:t>
      </w:r>
      <w:r>
        <w:t xml:space="preserve">mic </w:t>
      </w:r>
      <w:r w:rsidRPr="00B74F45">
        <w:t>hypersensitivity</w:t>
      </w:r>
      <w:r>
        <w:t xml:space="preserve"> reactions</w:t>
      </w:r>
    </w:p>
    <w:p w:rsidR="004F6853" w:rsidRPr="006005BA" w:rsidRDefault="004F6853" w:rsidP="00B74F45">
      <w:r w:rsidRPr="006005BA">
        <w:t xml:space="preserve">In C87028, the most frequently reported AEs suggestive of systemic hypersensitivity were </w:t>
      </w:r>
      <w:r w:rsidRPr="007E2E79">
        <w:t>headache (11</w:t>
      </w:r>
      <w:r w:rsidR="00650882" w:rsidRPr="007E2E79">
        <w:t>.0% of patients), rash (7.4%)</w:t>
      </w:r>
      <w:r w:rsidRPr="007E2E79">
        <w:t xml:space="preserve"> and pyrexia (7.2%). Two subjects reported</w:t>
      </w:r>
      <w:r w:rsidRPr="006005BA">
        <w:t xml:space="preserve"> anaphylactic reactions</w:t>
      </w:r>
      <w:r>
        <w:t>,</w:t>
      </w:r>
      <w:r w:rsidRPr="006005BA">
        <w:t xml:space="preserve"> but neither </w:t>
      </w:r>
      <w:r w:rsidR="00D908DF">
        <w:t xml:space="preserve">of the </w:t>
      </w:r>
      <w:r w:rsidRPr="006005BA">
        <w:t>event</w:t>
      </w:r>
      <w:r w:rsidR="00D908DF">
        <w:t>s</w:t>
      </w:r>
      <w:r>
        <w:t xml:space="preserve"> wa</w:t>
      </w:r>
      <w:r w:rsidRPr="006005BA">
        <w:t xml:space="preserve">s serious or considered related to study medication by the investigator. In </w:t>
      </w:r>
      <w:r w:rsidR="009A648A">
        <w:t>Study</w:t>
      </w:r>
      <w:r w:rsidRPr="006005BA">
        <w:t xml:space="preserve"> C87051, the most commonly reported AEs </w:t>
      </w:r>
      <w:r w:rsidR="00D908DF" w:rsidRPr="00D908DF">
        <w:t xml:space="preserve">suggestive of systemic hypersensitivity </w:t>
      </w:r>
      <w:r w:rsidRPr="006005BA">
        <w:t>were headache (7.8</w:t>
      </w:r>
      <w:r w:rsidR="00650882">
        <w:t xml:space="preserve">% of patients), pyrexia (3.9%) </w:t>
      </w:r>
      <w:r w:rsidRPr="006005BA">
        <w:t>and rash (3.4%). Asthma was reported in four (0.7%) patients.</w:t>
      </w:r>
    </w:p>
    <w:p w:rsidR="004F6853" w:rsidRPr="006005BA" w:rsidRDefault="004F6853" w:rsidP="00B74F45">
      <w:r w:rsidRPr="006005BA">
        <w:t xml:space="preserve">In </w:t>
      </w:r>
      <w:r w:rsidR="009A648A">
        <w:t>Study</w:t>
      </w:r>
      <w:r w:rsidRPr="006005BA">
        <w:t xml:space="preserve"> C87015, AEs related to systemic hypersensitivity reactions were reported in 20.6% of patients, most commonly cough</w:t>
      </w:r>
      <w:r>
        <w:t xml:space="preserve"> (20.6%)</w:t>
      </w:r>
      <w:r w:rsidRPr="006005BA">
        <w:t>, rash</w:t>
      </w:r>
      <w:r>
        <w:t xml:space="preserve"> (16.4%)</w:t>
      </w:r>
      <w:r w:rsidRPr="006005BA">
        <w:t xml:space="preserve"> and peripheral oedema (</w:t>
      </w:r>
      <w:r>
        <w:t>9.7%</w:t>
      </w:r>
      <w:r w:rsidRPr="006005BA">
        <w:t xml:space="preserve">). There were 12 </w:t>
      </w:r>
      <w:r w:rsidR="00EE185F" w:rsidRPr="00EE185F">
        <w:t>serious adverse event</w:t>
      </w:r>
      <w:r w:rsidR="00EE185F">
        <w:t>s</w:t>
      </w:r>
      <w:r w:rsidR="00EE185F" w:rsidRPr="00EE185F">
        <w:t xml:space="preserve"> </w:t>
      </w:r>
      <w:r w:rsidR="00EE185F">
        <w:t>(</w:t>
      </w:r>
      <w:r w:rsidRPr="006005BA">
        <w:t>SAEs</w:t>
      </w:r>
      <w:r w:rsidR="00EE185F">
        <w:t>)</w:t>
      </w:r>
      <w:r w:rsidRPr="006005BA">
        <w:t xml:space="preserve">, </w:t>
      </w:r>
      <w:r w:rsidR="00D908DF" w:rsidRPr="00D908DF">
        <w:t>related to systemic hypersensitivity reactions,</w:t>
      </w:r>
      <w:r w:rsidR="00D908DF">
        <w:t xml:space="preserve"> </w:t>
      </w:r>
      <w:r w:rsidRPr="006005BA">
        <w:t>most commonly sync</w:t>
      </w:r>
      <w:r w:rsidR="00285A2D">
        <w:t>ope (3) and pyrexia (3).</w:t>
      </w:r>
    </w:p>
    <w:p w:rsidR="004F6853" w:rsidRPr="00FD3696" w:rsidRDefault="004F6853" w:rsidP="00B74F45">
      <w:pPr>
        <w:pStyle w:val="Heading5"/>
      </w:pPr>
      <w:r w:rsidRPr="00FD3696">
        <w:lastRenderedPageBreak/>
        <w:t xml:space="preserve">All </w:t>
      </w:r>
      <w:r w:rsidRPr="00B74F45">
        <w:t>infections</w:t>
      </w:r>
    </w:p>
    <w:p w:rsidR="002545D2" w:rsidRDefault="002545D2" w:rsidP="00B74F45">
      <w:r w:rsidRPr="00537F6A">
        <w:t>In Study C87028</w:t>
      </w:r>
      <w:r w:rsidRPr="0095497F">
        <w:t>, 665 patients (78.6%) had a</w:t>
      </w:r>
      <w:r w:rsidR="00650882">
        <w:t>t least one event in the I</w:t>
      </w:r>
      <w:r w:rsidRPr="0095497F">
        <w:t xml:space="preserve">nfection and infestation </w:t>
      </w:r>
      <w:r w:rsidR="00EE185F" w:rsidRPr="00EE185F">
        <w:t xml:space="preserve">system organ class </w:t>
      </w:r>
      <w:r w:rsidR="00EE185F">
        <w:t>(</w:t>
      </w:r>
      <w:r w:rsidRPr="0095497F">
        <w:t>SOC</w:t>
      </w:r>
      <w:r w:rsidR="00EE185F">
        <w:t>)</w:t>
      </w:r>
      <w:r w:rsidRPr="0095497F">
        <w:t>. SAEs were reported by 16.4% of patients; there were three deaths (0.4%); and 49 patients (5.8%) had AEs leading to withdrawal. The majority of AEs were mild t</w:t>
      </w:r>
      <w:r w:rsidR="00537F6A">
        <w:t>o moderate in severity and 7.2%</w:t>
      </w:r>
      <w:r>
        <w:t xml:space="preserve"> </w:t>
      </w:r>
      <w:r w:rsidRPr="0095497F">
        <w:t>were severe. SAEs in the infections and infestations SOC reported in at least 0.5% of patients</w:t>
      </w:r>
      <w:r w:rsidRPr="00537F6A">
        <w:t>. Tuberculous infections were each reported in 19 (2.2%) patients.</w:t>
      </w:r>
    </w:p>
    <w:p w:rsidR="002545D2" w:rsidRDefault="002545D2" w:rsidP="00B74F45">
      <w:r w:rsidRPr="0095497F">
        <w:t>In</w:t>
      </w:r>
      <w:r>
        <w:t xml:space="preserve"> Study</w:t>
      </w:r>
      <w:r w:rsidRPr="0095497F">
        <w:t xml:space="preserve"> C87051, 395 patients (69.7%)</w:t>
      </w:r>
      <w:r w:rsidR="00650882">
        <w:t xml:space="preserve"> had at least one event in the </w:t>
      </w:r>
      <w:r w:rsidR="006B4075">
        <w:t>i</w:t>
      </w:r>
      <w:r w:rsidRPr="0095497F">
        <w:t>nfection and infestation SOC. SAEs were reported by 13.8% of patients; there were two deaths (0.4%)</w:t>
      </w:r>
      <w:r w:rsidR="006B4075">
        <w:t xml:space="preserve"> </w:t>
      </w:r>
      <w:r w:rsidRPr="0095497F">
        <w:t>and 36 patients (6.3%) had AEs leading to withdrawal. The majority of AEs were mild t</w:t>
      </w:r>
      <w:r w:rsidR="000E181E">
        <w:t>o moderate in severity and 7.9%</w:t>
      </w:r>
      <w:r>
        <w:t xml:space="preserve"> </w:t>
      </w:r>
      <w:r w:rsidR="00650882">
        <w:t>were severe. SAEs in the I</w:t>
      </w:r>
      <w:r w:rsidRPr="0095497F">
        <w:t>nfections and infestations SOC report</w:t>
      </w:r>
      <w:r>
        <w:t xml:space="preserve">ed in at least 0.5% of patients. </w:t>
      </w:r>
      <w:r w:rsidRPr="0095497F">
        <w:t xml:space="preserve">Tuberculous infections </w:t>
      </w:r>
      <w:r w:rsidRPr="000E181E">
        <w:t>reported in 17 (3.0%) patients.</w:t>
      </w:r>
    </w:p>
    <w:p w:rsidR="00CA554D" w:rsidRDefault="00CA554D" w:rsidP="00B74F45">
      <w:r>
        <w:t xml:space="preserve">In </w:t>
      </w:r>
      <w:r w:rsidR="009A648A">
        <w:t>Study</w:t>
      </w:r>
      <w:r>
        <w:t xml:space="preserve"> </w:t>
      </w:r>
      <w:r w:rsidRPr="004F6853">
        <w:t>C87015</w:t>
      </w:r>
      <w:r>
        <w:t xml:space="preserve">, </w:t>
      </w:r>
      <w:r w:rsidRPr="004F6853">
        <w:t>81.8% of patients repor</w:t>
      </w:r>
      <w:r w:rsidR="00650882">
        <w:t xml:space="preserve">ted at least one AE related to </w:t>
      </w:r>
      <w:r w:rsidR="006B4075">
        <w:t>i</w:t>
      </w:r>
      <w:r w:rsidRPr="004F6853">
        <w:t>nfections and infestations</w:t>
      </w:r>
      <w:r>
        <w:t>,</w:t>
      </w:r>
      <w:r w:rsidRPr="004F6853">
        <w:t xml:space="preserve"> and 40.8% were considered drug-related. Most were mild to moderate, and </w:t>
      </w:r>
      <w:r w:rsidR="002545D2">
        <w:t>14.2% were severe</w:t>
      </w:r>
      <w:r w:rsidRPr="004F6853">
        <w:t>. SAEs were reported in 13.7% of patients, most commonly pneumonia (2.2%). Tuberculous infections were r</w:t>
      </w:r>
      <w:r w:rsidR="00285A2D">
        <w:t>eported in two patients (0.2%).</w:t>
      </w:r>
    </w:p>
    <w:p w:rsidR="000A24AF" w:rsidRPr="00864F8D" w:rsidRDefault="000A24AF" w:rsidP="00B74F45">
      <w:pPr>
        <w:pStyle w:val="Heading5"/>
      </w:pPr>
      <w:r w:rsidRPr="00B74F45">
        <w:t>Malignancies</w:t>
      </w:r>
    </w:p>
    <w:p w:rsidR="000A24AF" w:rsidRPr="000A24AF" w:rsidRDefault="000A24AF" w:rsidP="00B74F45">
      <w:r w:rsidRPr="000A24AF">
        <w:t xml:space="preserve">In </w:t>
      </w:r>
      <w:r w:rsidR="009A648A">
        <w:t>Study</w:t>
      </w:r>
      <w:r>
        <w:t xml:space="preserve"> </w:t>
      </w:r>
      <w:r w:rsidRPr="000A24AF">
        <w:t xml:space="preserve">C87028, 44 patients (5.2%) reported at least one malignancy. The most frequently reported malignancies were basal cell carcinoma (1.2% of patients) and thyroid cancer (0.8%). The most commonly reported malignancy SAEs were basal cell carcinoma (0.4%) and breast cancer (0.4%). In </w:t>
      </w:r>
      <w:r w:rsidR="009A648A">
        <w:t>Study</w:t>
      </w:r>
      <w:r>
        <w:t xml:space="preserve"> </w:t>
      </w:r>
      <w:r w:rsidRPr="000A24AF">
        <w:t>C87051, 24 patients (4.2%) reported at least one malignancy. The most frequently reported malignancy was lung cancer (1% of patients)</w:t>
      </w:r>
      <w:r>
        <w:t>,</w:t>
      </w:r>
      <w:r w:rsidRPr="000A24AF">
        <w:t xml:space="preserve"> which was also the most commonly reported malignancy SAE.</w:t>
      </w:r>
    </w:p>
    <w:p w:rsidR="000A24AF" w:rsidRDefault="000A24AF" w:rsidP="00B74F45">
      <w:r>
        <w:t xml:space="preserve">In </w:t>
      </w:r>
      <w:r w:rsidR="009A648A">
        <w:t>Study</w:t>
      </w:r>
      <w:r>
        <w:t xml:space="preserve"> </w:t>
      </w:r>
      <w:r w:rsidRPr="004F6853">
        <w:t>C87015</w:t>
      </w:r>
      <w:r>
        <w:t>, t</w:t>
      </w:r>
      <w:r w:rsidRPr="004F6853">
        <w:t>he most common malignancies were thyroid (0</w:t>
      </w:r>
      <w:r w:rsidR="00285A2D">
        <w:t>.7%) and breast (0.7%) cancers.</w:t>
      </w:r>
    </w:p>
    <w:p w:rsidR="000A24AF" w:rsidRPr="00864F8D" w:rsidRDefault="000A24AF" w:rsidP="00B74F45">
      <w:pPr>
        <w:pStyle w:val="Heading5"/>
      </w:pPr>
      <w:r>
        <w:t xml:space="preserve">Cardiac and </w:t>
      </w:r>
      <w:r w:rsidRPr="00B74F45">
        <w:t>vascular</w:t>
      </w:r>
      <w:r>
        <w:t xml:space="preserve"> </w:t>
      </w:r>
      <w:r w:rsidR="00D97088" w:rsidRPr="00D97088">
        <w:t xml:space="preserve">adverse event </w:t>
      </w:r>
      <w:r>
        <w:t>s</w:t>
      </w:r>
    </w:p>
    <w:p w:rsidR="000A24AF" w:rsidRPr="000A24AF" w:rsidRDefault="000A24AF" w:rsidP="00B74F45">
      <w:r w:rsidRPr="000A24AF">
        <w:t xml:space="preserve">In </w:t>
      </w:r>
      <w:r w:rsidR="009A648A">
        <w:t>Study</w:t>
      </w:r>
      <w:r>
        <w:t xml:space="preserve"> </w:t>
      </w:r>
      <w:r w:rsidRPr="000A24AF">
        <w:t>C87028, 109 (12.9%) patients reported cardiac AEs. SAEs were reported in 3.8% of patients, most commonly atrial fibrillation (0.7%), myocardial infarction (0.6%), angina (0.5%) and cardiac failure (0.5%). Vascular AEs were reported in 256 patients (30.3%), most commonly hypertension (18.9%), hypotension (2.</w:t>
      </w:r>
      <w:r w:rsidR="00650882">
        <w:t>1%)</w:t>
      </w:r>
      <w:r w:rsidR="00285A2D">
        <w:t xml:space="preserve"> and varicose veins (2.1%).</w:t>
      </w:r>
    </w:p>
    <w:p w:rsidR="000A24AF" w:rsidRPr="000A24AF" w:rsidRDefault="000A24AF" w:rsidP="00B74F45">
      <w:r w:rsidRPr="000A24AF">
        <w:t xml:space="preserve">In </w:t>
      </w:r>
      <w:r w:rsidR="009A648A">
        <w:t>Study</w:t>
      </w:r>
      <w:r>
        <w:t xml:space="preserve"> </w:t>
      </w:r>
      <w:r w:rsidRPr="000A24AF">
        <w:t xml:space="preserve">C87051, 51 (9.0%) patients reported cardiac AEs. SAEs were reported in 1.8% of patients, most commonly, myocardial infarction (0.4%) and myocardial </w:t>
      </w:r>
      <w:r w:rsidR="00285A2D" w:rsidRPr="000A24AF">
        <w:t>ischemia</w:t>
      </w:r>
      <w:r w:rsidRPr="000A24AF">
        <w:t xml:space="preserve"> (0.4%). A total of 107 patients (18.9%) reported at least one vascular AE. The most common AE was hypertension (13.6%) while all other AEs were reported in ≤</w:t>
      </w:r>
      <w:r w:rsidR="00285A2D">
        <w:t xml:space="preserve"> </w:t>
      </w:r>
      <w:r w:rsidRPr="000A24AF">
        <w:t>1.2% of patients.</w:t>
      </w:r>
    </w:p>
    <w:p w:rsidR="000A24AF" w:rsidRDefault="000A24AF" w:rsidP="00B74F45">
      <w:r>
        <w:t xml:space="preserve">In </w:t>
      </w:r>
      <w:r w:rsidR="009A648A">
        <w:t>Study</w:t>
      </w:r>
      <w:r>
        <w:t xml:space="preserve"> </w:t>
      </w:r>
      <w:r w:rsidRPr="004F6853">
        <w:t>C87015</w:t>
      </w:r>
      <w:r>
        <w:t>, c</w:t>
      </w:r>
      <w:r w:rsidRPr="004F6853">
        <w:t xml:space="preserve">ardiac AEs were reported in 14.4% of patients, most commonly coronary artery disease (4.0%). </w:t>
      </w:r>
      <w:r>
        <w:t>V</w:t>
      </w:r>
      <w:r w:rsidRPr="004F6853">
        <w:t>ascular AES were reported in 31.1% of patients, most</w:t>
      </w:r>
      <w:r w:rsidR="00285A2D">
        <w:t xml:space="preserve"> commonly hypertension (19.7%).</w:t>
      </w:r>
    </w:p>
    <w:p w:rsidR="000A24AF" w:rsidRPr="00864F8D" w:rsidRDefault="000A24AF" w:rsidP="00C64F77">
      <w:pPr>
        <w:pStyle w:val="Heading5"/>
      </w:pPr>
      <w:r>
        <w:t xml:space="preserve">Autoimmune </w:t>
      </w:r>
      <w:r w:rsidR="00C64F77">
        <w:t xml:space="preserve">adverse </w:t>
      </w:r>
      <w:r w:rsidR="00C64F77" w:rsidRPr="00C64F77">
        <w:t>event</w:t>
      </w:r>
      <w:r w:rsidRPr="00C64F77">
        <w:t>s</w:t>
      </w:r>
    </w:p>
    <w:p w:rsidR="000A24AF" w:rsidRPr="000A24AF" w:rsidRDefault="000A24AF" w:rsidP="00C64F77">
      <w:r w:rsidRPr="000A24AF">
        <w:t xml:space="preserve">In </w:t>
      </w:r>
      <w:r w:rsidR="009A648A">
        <w:t>Study</w:t>
      </w:r>
      <w:r>
        <w:t xml:space="preserve"> </w:t>
      </w:r>
      <w:r w:rsidRPr="000A24AF">
        <w:t>C87028, the most frequently reported autoimmune AE was sarcoidosis in four patients (0.5%)</w:t>
      </w:r>
      <w:r w:rsidR="004966DB" w:rsidRPr="000A24AF">
        <w:t>;</w:t>
      </w:r>
      <w:r w:rsidRPr="000A24AF">
        <w:t xml:space="preserve"> </w:t>
      </w:r>
      <w:r>
        <w:t xml:space="preserve">this was </w:t>
      </w:r>
      <w:r w:rsidRPr="000A24AF">
        <w:t xml:space="preserve">serious in three cases (0.4%). In </w:t>
      </w:r>
      <w:r w:rsidR="009A648A">
        <w:t>Study</w:t>
      </w:r>
      <w:r>
        <w:t xml:space="preserve"> </w:t>
      </w:r>
      <w:r w:rsidRPr="000A24AF">
        <w:t>C87051, the most frequently reported autoimmune AE was thyroiditis in three patients (0.5%). There were no autoimmune SAEs.</w:t>
      </w:r>
    </w:p>
    <w:p w:rsidR="00BC2268" w:rsidRPr="00BC2268" w:rsidRDefault="00BC2268" w:rsidP="00C64F77">
      <w:r w:rsidRPr="00BC2268">
        <w:t xml:space="preserve">In </w:t>
      </w:r>
      <w:r w:rsidR="009A648A">
        <w:t>Study</w:t>
      </w:r>
      <w:r w:rsidRPr="00BC2268">
        <w:t xml:space="preserve"> C87015, Only two patients reported autoimmune AEs and there were no cases suggest</w:t>
      </w:r>
      <w:r w:rsidR="00285A2D">
        <w:t>ive of demyelinating disorders.</w:t>
      </w:r>
    </w:p>
    <w:p w:rsidR="00BC2268" w:rsidRPr="00864F8D" w:rsidRDefault="00BC2268" w:rsidP="00C64F77">
      <w:pPr>
        <w:pStyle w:val="Heading5"/>
      </w:pPr>
      <w:r>
        <w:lastRenderedPageBreak/>
        <w:t xml:space="preserve">Neurological </w:t>
      </w:r>
      <w:r w:rsidR="00D97088" w:rsidRPr="00C64F77">
        <w:t>adverse</w:t>
      </w:r>
      <w:r w:rsidR="00D97088" w:rsidRPr="00D97088">
        <w:t xml:space="preserve"> event</w:t>
      </w:r>
      <w:r>
        <w:t>s</w:t>
      </w:r>
    </w:p>
    <w:p w:rsidR="00BC2268" w:rsidRPr="00BC2268" w:rsidRDefault="00BC2268" w:rsidP="00C64F77">
      <w:r w:rsidRPr="00BC2268">
        <w:t xml:space="preserve">In </w:t>
      </w:r>
      <w:r w:rsidR="009A648A">
        <w:t>Study</w:t>
      </w:r>
      <w:r>
        <w:t xml:space="preserve"> </w:t>
      </w:r>
      <w:r w:rsidRPr="00BC2268">
        <w:t xml:space="preserve">C87028, seven neurological events of interest were identified: amnesia was reported in five patients (0.6%) and there were single cases each of </w:t>
      </w:r>
      <w:proofErr w:type="spellStart"/>
      <w:r w:rsidRPr="00BC2268">
        <w:t>confusional</w:t>
      </w:r>
      <w:proofErr w:type="spellEnd"/>
      <w:r w:rsidRPr="00BC2268">
        <w:t xml:space="preserve"> state, grand mal convulsion and ischaemic stroke. SAEs were reported in two patients, both </w:t>
      </w:r>
      <w:r w:rsidR="00285A2D">
        <w:t xml:space="preserve">reported a </w:t>
      </w:r>
      <w:r w:rsidRPr="00BC2268">
        <w:t xml:space="preserve">headache. In </w:t>
      </w:r>
      <w:r w:rsidR="009A648A">
        <w:t>Study</w:t>
      </w:r>
      <w:r>
        <w:t xml:space="preserve"> </w:t>
      </w:r>
      <w:r w:rsidRPr="00BC2268">
        <w:t xml:space="preserve">C87051, eleven neurological AEs of interest were identified: transient ischaemic attack </w:t>
      </w:r>
      <w:r>
        <w:t xml:space="preserve">was </w:t>
      </w:r>
      <w:r w:rsidRPr="00BC2268">
        <w:t xml:space="preserve">reported in seven patients (1.2%), cerebrovascular accident in two patients (0.4%), and cerebral haemorrhage and cerebral </w:t>
      </w:r>
      <w:r w:rsidR="00285A2D" w:rsidRPr="00BC2268">
        <w:t>ischemia</w:t>
      </w:r>
      <w:r w:rsidRPr="00BC2268">
        <w:t xml:space="preserve"> in one patient each (0.2%). All the events were reported as SAEs with the exception of the single case of cerebral </w:t>
      </w:r>
      <w:r w:rsidR="00285A2D" w:rsidRPr="00BC2268">
        <w:t>ischemia</w:t>
      </w:r>
      <w:r w:rsidRPr="00BC2268">
        <w:t>.</w:t>
      </w:r>
    </w:p>
    <w:p w:rsidR="00B238A6" w:rsidRPr="00864F8D" w:rsidRDefault="00B238A6" w:rsidP="00C64F77">
      <w:pPr>
        <w:pStyle w:val="Heading5"/>
      </w:pPr>
      <w:r>
        <w:t>Serious bleeding events</w:t>
      </w:r>
    </w:p>
    <w:p w:rsidR="00B238A6" w:rsidRDefault="00B238A6" w:rsidP="00C64F77">
      <w:r w:rsidRPr="00B238A6">
        <w:t xml:space="preserve">In </w:t>
      </w:r>
      <w:r w:rsidR="009A648A">
        <w:t>Study</w:t>
      </w:r>
      <w:r>
        <w:t xml:space="preserve"> </w:t>
      </w:r>
      <w:r w:rsidRPr="00B238A6">
        <w:t xml:space="preserve">C87028, 16 patients (1.9%) reported SAEs suggestive of bleeding. Events reported in more than one patient were </w:t>
      </w:r>
      <w:proofErr w:type="spellStart"/>
      <w:r w:rsidRPr="00B238A6">
        <w:t>metrorrhagia</w:t>
      </w:r>
      <w:proofErr w:type="spellEnd"/>
      <w:r w:rsidRPr="00B238A6">
        <w:t xml:space="preserve"> (0.5% of patients) and contusion (0.2%). In </w:t>
      </w:r>
      <w:r w:rsidR="009A648A">
        <w:t>Study</w:t>
      </w:r>
      <w:r>
        <w:t xml:space="preserve"> </w:t>
      </w:r>
      <w:r w:rsidRPr="00B238A6">
        <w:t xml:space="preserve">C87051, nine patients (1.6%) reported SAEs suggestive of bleeding. Events reported in more than one patient were </w:t>
      </w:r>
      <w:proofErr w:type="spellStart"/>
      <w:r w:rsidRPr="00B238A6">
        <w:t>metrorrhagi</w:t>
      </w:r>
      <w:r w:rsidR="00285A2D">
        <w:t>a</w:t>
      </w:r>
      <w:proofErr w:type="spellEnd"/>
      <w:r w:rsidR="00285A2D">
        <w:t xml:space="preserve"> (0.5%) and haematuria (0.4%).</w:t>
      </w:r>
    </w:p>
    <w:p w:rsidR="00B238A6" w:rsidRPr="00B238A6" w:rsidRDefault="00B238A6" w:rsidP="00C64F77">
      <w:r w:rsidRPr="00B238A6">
        <w:t xml:space="preserve">In </w:t>
      </w:r>
      <w:r w:rsidR="009A648A">
        <w:t>Study</w:t>
      </w:r>
      <w:r w:rsidRPr="00B238A6">
        <w:t xml:space="preserve"> C87015, there were </w:t>
      </w:r>
      <w:r w:rsidR="00285A2D">
        <w:t>five SAEs relating to bleeding.</w:t>
      </w:r>
    </w:p>
    <w:p w:rsidR="00B238A6" w:rsidRPr="00864F8D" w:rsidRDefault="00B238A6" w:rsidP="00C64F77">
      <w:pPr>
        <w:pStyle w:val="Heading5"/>
      </w:pPr>
      <w:r>
        <w:t xml:space="preserve">Bone </w:t>
      </w:r>
      <w:r w:rsidRPr="00C64F77">
        <w:t>marrow</w:t>
      </w:r>
      <w:r>
        <w:t xml:space="preserve"> aplasia</w:t>
      </w:r>
    </w:p>
    <w:p w:rsidR="00B238A6" w:rsidRPr="00B238A6" w:rsidRDefault="00B238A6" w:rsidP="00C64F77">
      <w:r w:rsidRPr="00B238A6">
        <w:t xml:space="preserve">In </w:t>
      </w:r>
      <w:r w:rsidR="009A648A">
        <w:t>Study</w:t>
      </w:r>
      <w:r>
        <w:t xml:space="preserve"> </w:t>
      </w:r>
      <w:r w:rsidRPr="00B238A6">
        <w:t xml:space="preserve">C87028, AEs suggestive of bone marrow aplasia were reported in 22 patients (2.6%). Events reported in more than one patient were </w:t>
      </w:r>
      <w:r w:rsidR="00285A2D" w:rsidRPr="00B238A6">
        <w:t>thrombocytopenia</w:t>
      </w:r>
      <w:r w:rsidR="00285A2D">
        <w:t xml:space="preserve"> (0.8%) and lymphop</w:t>
      </w:r>
      <w:r w:rsidRPr="00B238A6">
        <w:t xml:space="preserve">enia (0.4%). A single event of </w:t>
      </w:r>
      <w:r w:rsidR="00285A2D" w:rsidRPr="00B238A6">
        <w:t>pancytopenia</w:t>
      </w:r>
      <w:r w:rsidRPr="00B238A6">
        <w:t xml:space="preserve"> was reported as an SAE</w:t>
      </w:r>
      <w:r w:rsidR="000F4F43">
        <w:t xml:space="preserve">. </w:t>
      </w:r>
      <w:r w:rsidRPr="00B238A6">
        <w:t xml:space="preserve">In </w:t>
      </w:r>
      <w:r w:rsidR="009A648A">
        <w:t>Study</w:t>
      </w:r>
      <w:r>
        <w:t xml:space="preserve"> </w:t>
      </w:r>
      <w:r w:rsidRPr="00B238A6">
        <w:t xml:space="preserve">C87051, events suggestive of bone marrow aplasia were reported in 11 patients (1.9%). Events occurring in more than one patient were: </w:t>
      </w:r>
      <w:r w:rsidR="00285A2D" w:rsidRPr="00B238A6">
        <w:t>thrombocytopenia</w:t>
      </w:r>
      <w:r w:rsidR="00285A2D">
        <w:t xml:space="preserve"> (0.9%), lymphop</w:t>
      </w:r>
      <w:r w:rsidRPr="00B238A6">
        <w:t xml:space="preserve">enia (0.7%) and </w:t>
      </w:r>
      <w:r w:rsidR="00285A2D" w:rsidRPr="00B238A6">
        <w:t>neutropenia</w:t>
      </w:r>
      <w:r w:rsidRPr="00B238A6">
        <w:t xml:space="preserve"> (0.4%). One event of </w:t>
      </w:r>
      <w:r w:rsidR="00285A2D" w:rsidRPr="00B238A6">
        <w:t>thrombocytopenia</w:t>
      </w:r>
      <w:r w:rsidRPr="00B238A6">
        <w:t xml:space="preserve"> was reported as an SAE.</w:t>
      </w:r>
    </w:p>
    <w:p w:rsidR="00B238A6" w:rsidRDefault="00B238A6" w:rsidP="00C64F77">
      <w:r>
        <w:t xml:space="preserve">In </w:t>
      </w:r>
      <w:r w:rsidR="009A648A">
        <w:t>Study</w:t>
      </w:r>
      <w:r>
        <w:t xml:space="preserve"> </w:t>
      </w:r>
      <w:r w:rsidRPr="004F6853">
        <w:t>C87015</w:t>
      </w:r>
      <w:r>
        <w:t>, t</w:t>
      </w:r>
      <w:r w:rsidRPr="004F6853">
        <w:t xml:space="preserve">here </w:t>
      </w:r>
      <w:r>
        <w:t>was</w:t>
      </w:r>
      <w:r w:rsidRPr="004F6853">
        <w:t xml:space="preserve"> one SAE of </w:t>
      </w:r>
      <w:r w:rsidR="00285A2D" w:rsidRPr="004F6853">
        <w:t>thrombocytopenia</w:t>
      </w:r>
      <w:r w:rsidR="009A3943">
        <w:t>.</w:t>
      </w:r>
    </w:p>
    <w:p w:rsidR="00B238A6" w:rsidRPr="00864F8D" w:rsidRDefault="00B238A6" w:rsidP="00C64F77">
      <w:pPr>
        <w:pStyle w:val="Heading5"/>
      </w:pPr>
      <w:r>
        <w:t xml:space="preserve">Serious skin </w:t>
      </w:r>
      <w:r w:rsidRPr="00C64F77">
        <w:t>reactions</w:t>
      </w:r>
    </w:p>
    <w:p w:rsidR="00B238A6" w:rsidRPr="00B238A6" w:rsidRDefault="00B238A6" w:rsidP="00C64F77">
      <w:r w:rsidRPr="00B238A6">
        <w:t xml:space="preserve">In </w:t>
      </w:r>
      <w:r w:rsidR="009A648A">
        <w:t>Study</w:t>
      </w:r>
      <w:r>
        <w:t xml:space="preserve"> </w:t>
      </w:r>
      <w:r w:rsidRPr="00B238A6">
        <w:t>C87028, there were six SAEs related to skin reactions</w:t>
      </w:r>
      <w:r>
        <w:t>:</w:t>
      </w:r>
      <w:r w:rsidRPr="00B238A6">
        <w:t xml:space="preserve"> single cases each of allergic dermatitis, </w:t>
      </w:r>
      <w:proofErr w:type="spellStart"/>
      <w:r w:rsidRPr="00B238A6">
        <w:t>pityriasis</w:t>
      </w:r>
      <w:proofErr w:type="spellEnd"/>
      <w:r w:rsidRPr="00B238A6">
        <w:t xml:space="preserve"> </w:t>
      </w:r>
      <w:proofErr w:type="spellStart"/>
      <w:r w:rsidRPr="00B238A6">
        <w:t>rosea</w:t>
      </w:r>
      <w:proofErr w:type="spellEnd"/>
      <w:r w:rsidRPr="00B238A6">
        <w:t>, gene</w:t>
      </w:r>
      <w:r w:rsidR="004966DB">
        <w:t xml:space="preserve">ralised pruritus, </w:t>
      </w:r>
      <w:proofErr w:type="spellStart"/>
      <w:r w:rsidR="004966DB">
        <w:t>purpura</w:t>
      </w:r>
      <w:proofErr w:type="spellEnd"/>
      <w:r w:rsidR="004966DB">
        <w:t>, rash</w:t>
      </w:r>
      <w:r w:rsidRPr="00B238A6">
        <w:t xml:space="preserve"> and </w:t>
      </w:r>
      <w:proofErr w:type="spellStart"/>
      <w:r w:rsidRPr="00B238A6">
        <w:t>urticaria</w:t>
      </w:r>
      <w:proofErr w:type="spellEnd"/>
      <w:r w:rsidRPr="00B238A6">
        <w:t xml:space="preserve">. In </w:t>
      </w:r>
      <w:r w:rsidR="009A648A">
        <w:t>Study</w:t>
      </w:r>
      <w:r>
        <w:t xml:space="preserve"> </w:t>
      </w:r>
      <w:r w:rsidRPr="00B238A6">
        <w:t>C87051, there was one SAE related to skin reactions (</w:t>
      </w:r>
      <w:proofErr w:type="spellStart"/>
      <w:r w:rsidRPr="00B238A6">
        <w:t>leucocytoclastic</w:t>
      </w:r>
      <w:proofErr w:type="spellEnd"/>
      <w:r w:rsidRPr="00B238A6">
        <w:t xml:space="preserve"> vasculitis).</w:t>
      </w:r>
    </w:p>
    <w:p w:rsidR="004F6853" w:rsidRPr="004F6853" w:rsidRDefault="004F6853" w:rsidP="00C64F77">
      <w:r>
        <w:t xml:space="preserve">In </w:t>
      </w:r>
      <w:r w:rsidR="009A648A">
        <w:t>Study</w:t>
      </w:r>
      <w:r>
        <w:t xml:space="preserve"> </w:t>
      </w:r>
      <w:r w:rsidRPr="004F6853">
        <w:t>C87015</w:t>
      </w:r>
      <w:r>
        <w:t xml:space="preserve">, </w:t>
      </w:r>
      <w:r w:rsidR="00B238A6">
        <w:t>t</w:t>
      </w:r>
      <w:r w:rsidRPr="004F6853">
        <w:t>here were SAEs relating to skin reactions in four patients</w:t>
      </w:r>
      <w:r w:rsidR="00B238A6">
        <w:t>:</w:t>
      </w:r>
      <w:r w:rsidRPr="004F6853">
        <w:t xml:space="preserve"> subcutaneous abscesses, skin ulc</w:t>
      </w:r>
      <w:r w:rsidR="009A3943">
        <w:t>eration and erythema (2 cases).</w:t>
      </w:r>
    </w:p>
    <w:p w:rsidR="00D6480D" w:rsidRPr="00D6480D" w:rsidRDefault="000E181E" w:rsidP="00C64F77">
      <w:pPr>
        <w:pStyle w:val="Heading5"/>
      </w:pPr>
      <w:r>
        <w:t xml:space="preserve">Safety related to anti </w:t>
      </w:r>
      <w:r w:rsidR="00D6480D" w:rsidRPr="00D6480D">
        <w:t xml:space="preserve">CZP </w:t>
      </w:r>
      <w:r w:rsidR="00D6480D" w:rsidRPr="00C64F77">
        <w:t>antibody</w:t>
      </w:r>
      <w:r w:rsidR="00D6480D" w:rsidRPr="00D6480D">
        <w:t xml:space="preserve"> status</w:t>
      </w:r>
    </w:p>
    <w:p w:rsidR="008716FB" w:rsidRDefault="008716FB" w:rsidP="00C64F77">
      <w:r w:rsidRPr="000F4F43">
        <w:t xml:space="preserve">In </w:t>
      </w:r>
      <w:r w:rsidR="009A648A" w:rsidRPr="000F4F43">
        <w:t>Study</w:t>
      </w:r>
      <w:r w:rsidRPr="000F4F43">
        <w:t xml:space="preserve"> C87028, 98/846 patie</w:t>
      </w:r>
      <w:r w:rsidR="000E181E">
        <w:t xml:space="preserve">nts (11.6%) had detectable anti </w:t>
      </w:r>
      <w:r w:rsidRPr="000F4F43">
        <w:t>CZP antibodies (Ab</w:t>
      </w:r>
      <w:r w:rsidR="000E181E">
        <w:t xml:space="preserve">+). A summary of AEs by anti </w:t>
      </w:r>
      <w:r w:rsidRPr="000F4F43">
        <w:t xml:space="preserve">CZP antibody status is shown in </w:t>
      </w:r>
      <w:r w:rsidR="000F4F43" w:rsidRPr="000F4F43">
        <w:t>Table 16 Attachment 2.</w:t>
      </w:r>
      <w:r w:rsidR="000F4F43">
        <w:t xml:space="preserve"> </w:t>
      </w:r>
      <w:r w:rsidRPr="000F4F43">
        <w:t>Overall, the incidence of AEs was similar in the Ab</w:t>
      </w:r>
      <w:r w:rsidR="009A3943" w:rsidRPr="000F4F43">
        <w:t xml:space="preserve"> </w:t>
      </w:r>
      <w:r w:rsidRPr="000F4F43">
        <w:t>+ and Ab</w:t>
      </w:r>
      <w:r w:rsidR="009A3943" w:rsidRPr="000F4F43">
        <w:t xml:space="preserve"> </w:t>
      </w:r>
      <w:r w:rsidRPr="000F4F43">
        <w:t>- patient groups. However, there was a higher incidence in Ab</w:t>
      </w:r>
      <w:r w:rsidR="009A3943" w:rsidRPr="000F4F43">
        <w:t xml:space="preserve"> </w:t>
      </w:r>
      <w:r w:rsidRPr="000F4F43">
        <w:t>+ patients compared with Ab</w:t>
      </w:r>
      <w:r w:rsidR="009A3943" w:rsidRPr="000F4F43">
        <w:t xml:space="preserve"> </w:t>
      </w:r>
      <w:r w:rsidRPr="000F4F43">
        <w:t xml:space="preserve">- patients in AEs related to rheumatoid arthritis (28.6% </w:t>
      </w:r>
      <w:r w:rsidR="009A3943" w:rsidRPr="000F4F43">
        <w:t>versus</w:t>
      </w:r>
      <w:r w:rsidRPr="000F4F43">
        <w:t xml:space="preserve"> 16.4%), pyrexia</w:t>
      </w:r>
      <w:r w:rsidRPr="00FC560B">
        <w:t xml:space="preserve"> (13.3% </w:t>
      </w:r>
      <w:r w:rsidR="009A3943">
        <w:t>versus</w:t>
      </w:r>
      <w:r w:rsidRPr="00FC560B">
        <w:t xml:space="preserve"> 6.4%)</w:t>
      </w:r>
      <w:r>
        <w:t>,</w:t>
      </w:r>
      <w:r w:rsidRPr="00FC560B">
        <w:t xml:space="preserve"> rhinitis (13.3% </w:t>
      </w:r>
      <w:r w:rsidR="009A3943">
        <w:t>versus</w:t>
      </w:r>
      <w:r w:rsidRPr="00FC560B">
        <w:t xml:space="preserve"> 5.7%)</w:t>
      </w:r>
      <w:r>
        <w:t>,</w:t>
      </w:r>
      <w:r w:rsidRPr="00FC560B">
        <w:t xml:space="preserve"> conjunctivitis (12.2% </w:t>
      </w:r>
      <w:r w:rsidR="009A3943">
        <w:t>versus</w:t>
      </w:r>
      <w:r w:rsidRPr="00FC560B">
        <w:t xml:space="preserve"> 5.7%)</w:t>
      </w:r>
      <w:r>
        <w:t>,</w:t>
      </w:r>
      <w:r w:rsidRPr="00FC560B">
        <w:t xml:space="preserve"> diarrhoea (11.2% </w:t>
      </w:r>
      <w:r w:rsidR="009A3943">
        <w:t>versus</w:t>
      </w:r>
      <w:r w:rsidRPr="00FC560B">
        <w:t xml:space="preserve"> 7.4%)</w:t>
      </w:r>
      <w:r>
        <w:t>,</w:t>
      </w:r>
      <w:r w:rsidRPr="00FC560B">
        <w:t xml:space="preserve"> dyspepsia (11.2%)</w:t>
      </w:r>
      <w:r>
        <w:t>,</w:t>
      </w:r>
      <w:r w:rsidRPr="00FC560B">
        <w:t xml:space="preserve"> cough (10.2% </w:t>
      </w:r>
      <w:r w:rsidR="009A3943">
        <w:t>versus</w:t>
      </w:r>
      <w:r w:rsidRPr="00FC560B">
        <w:t xml:space="preserve"> 6.4%)</w:t>
      </w:r>
      <w:r>
        <w:t>,</w:t>
      </w:r>
      <w:r w:rsidRPr="00FC560B">
        <w:t xml:space="preserve"> </w:t>
      </w:r>
      <w:r w:rsidR="00D97088" w:rsidRPr="00D97088">
        <w:t xml:space="preserve">alanine aminotransferase </w:t>
      </w:r>
      <w:r w:rsidR="00D97088">
        <w:t>(</w:t>
      </w:r>
      <w:r w:rsidRPr="00FC560B">
        <w:t>ALT</w:t>
      </w:r>
      <w:r w:rsidR="00D97088">
        <w:t>)</w:t>
      </w:r>
      <w:r w:rsidRPr="00FC560B">
        <w:t xml:space="preserve"> increased (10.2% </w:t>
      </w:r>
      <w:r w:rsidR="009A3943">
        <w:t>versus</w:t>
      </w:r>
      <w:r w:rsidRPr="00FC560B">
        <w:t xml:space="preserve"> 5.6%) and rash (10.2% </w:t>
      </w:r>
      <w:r w:rsidR="009A3943">
        <w:t>versus</w:t>
      </w:r>
      <w:r w:rsidRPr="00FC560B">
        <w:t xml:space="preserve"> 7.1%).</w:t>
      </w:r>
    </w:p>
    <w:p w:rsidR="008716FB" w:rsidRPr="008716FB" w:rsidRDefault="00814449" w:rsidP="00C64F77">
      <w:r>
        <w:t>Adverse event</w:t>
      </w:r>
      <w:r w:rsidR="008716FB" w:rsidRPr="008716FB">
        <w:t xml:space="preserve">s occurring within </w:t>
      </w:r>
      <w:r w:rsidR="008716FB">
        <w:t>two</w:t>
      </w:r>
      <w:r w:rsidR="008716FB" w:rsidRPr="008716FB">
        <w:t xml:space="preserve"> hours of CZP injection (possibly indicative of hypersensitivity reactions) were recorded in 16.3% and 9.9% of </w:t>
      </w:r>
      <w:r w:rsidR="00A40440">
        <w:t>Ab +</w:t>
      </w:r>
      <w:r w:rsidR="008716FB" w:rsidRPr="008716FB">
        <w:t xml:space="preserve"> and </w:t>
      </w:r>
      <w:r w:rsidR="00A40440">
        <w:t>Ab -</w:t>
      </w:r>
      <w:r w:rsidR="008716FB" w:rsidRPr="008716FB">
        <w:t xml:space="preserve"> patients, respectively. The incidence of SAEs was higher in </w:t>
      </w:r>
      <w:r w:rsidR="00A40440">
        <w:t>Ab +</w:t>
      </w:r>
      <w:r w:rsidR="008716FB" w:rsidRPr="008716FB">
        <w:t xml:space="preserve"> than </w:t>
      </w:r>
      <w:r w:rsidR="00A40440">
        <w:t>Ab -</w:t>
      </w:r>
      <w:r w:rsidR="008716FB" w:rsidRPr="008716FB">
        <w:t xml:space="preserve"> patients (51.0% </w:t>
      </w:r>
      <w:r w:rsidR="009A3943">
        <w:t>versus</w:t>
      </w:r>
      <w:r w:rsidR="008716FB" w:rsidRPr="008716FB">
        <w:t xml:space="preserve"> 40.4%). There was a higher incidence in </w:t>
      </w:r>
      <w:r w:rsidR="00A40440">
        <w:t>Ab +</w:t>
      </w:r>
      <w:r w:rsidR="008716FB" w:rsidRPr="008716FB">
        <w:t xml:space="preserve"> patients compared </w:t>
      </w:r>
      <w:r w:rsidR="00585EFE">
        <w:t>with</w:t>
      </w:r>
      <w:r w:rsidR="008716FB" w:rsidRPr="008716FB">
        <w:t xml:space="preserve"> </w:t>
      </w:r>
      <w:r w:rsidR="00A40440">
        <w:t>Ab -</w:t>
      </w:r>
      <w:r w:rsidR="008716FB" w:rsidRPr="008716FB">
        <w:t xml:space="preserve"> patients </w:t>
      </w:r>
      <w:r w:rsidR="00585EFE">
        <w:t>of</w:t>
      </w:r>
      <w:r w:rsidR="008716FB" w:rsidRPr="008716FB">
        <w:t xml:space="preserve"> SAEs related to infections (26.5% </w:t>
      </w:r>
      <w:r w:rsidR="009A3943">
        <w:t>versus</w:t>
      </w:r>
      <w:r w:rsidR="008716FB" w:rsidRPr="008716FB">
        <w:t xml:space="preserve"> 15.1%)</w:t>
      </w:r>
      <w:r w:rsidR="00585EFE">
        <w:t>,</w:t>
      </w:r>
      <w:r w:rsidR="008716FB" w:rsidRPr="008716FB">
        <w:t xml:space="preserve"> pneumonia (7.1% </w:t>
      </w:r>
      <w:r w:rsidR="009A3943">
        <w:t>versus</w:t>
      </w:r>
      <w:r w:rsidR="008716FB" w:rsidRPr="008716FB">
        <w:t xml:space="preserve"> 2.9%) and cardiac disorders (6.1% </w:t>
      </w:r>
      <w:r w:rsidR="009A3943">
        <w:t>versus</w:t>
      </w:r>
      <w:r w:rsidR="008716FB" w:rsidRPr="008716FB">
        <w:t xml:space="preserve"> 3.5%).</w:t>
      </w:r>
    </w:p>
    <w:p w:rsidR="008716FB" w:rsidRPr="008716FB" w:rsidRDefault="00585EFE" w:rsidP="00C64F77">
      <w:r>
        <w:t xml:space="preserve">In </w:t>
      </w:r>
      <w:r w:rsidR="009A648A">
        <w:t>Study</w:t>
      </w:r>
      <w:r>
        <w:t xml:space="preserve"> </w:t>
      </w:r>
      <w:r w:rsidR="008716FB" w:rsidRPr="008716FB">
        <w:t>C87051</w:t>
      </w:r>
      <w:r>
        <w:t>,</w:t>
      </w:r>
      <w:r w:rsidR="008716FB" w:rsidRPr="008716FB">
        <w:t xml:space="preserve"> 86/567 patients (15.2%) had detectable anti-CZP antib</w:t>
      </w:r>
      <w:r w:rsidR="000E181E">
        <w:t xml:space="preserve">odies. A summary of AEs by anti </w:t>
      </w:r>
      <w:r w:rsidR="008716FB" w:rsidRPr="008716FB">
        <w:t xml:space="preserve">CZP antibody </w:t>
      </w:r>
      <w:r w:rsidR="008716FB" w:rsidRPr="000F4F43">
        <w:t xml:space="preserve">status is shown in Table </w:t>
      </w:r>
      <w:r w:rsidR="000F4F43" w:rsidRPr="000F4F43">
        <w:t>17 Attachment 2.</w:t>
      </w:r>
      <w:r w:rsidR="008716FB" w:rsidRPr="000F4F43">
        <w:t xml:space="preserve"> Overall, the</w:t>
      </w:r>
      <w:r w:rsidR="008716FB" w:rsidRPr="008716FB">
        <w:t xml:space="preserve"> incidence of AEs was similar in the </w:t>
      </w:r>
      <w:r w:rsidR="00A40440">
        <w:t>Ab +</w:t>
      </w:r>
      <w:r w:rsidR="008716FB" w:rsidRPr="008716FB">
        <w:t xml:space="preserve"> and </w:t>
      </w:r>
      <w:r w:rsidR="00A40440">
        <w:t>Ab -</w:t>
      </w:r>
      <w:r w:rsidR="008716FB" w:rsidRPr="008716FB">
        <w:t xml:space="preserve"> patient groups. However, there was a </w:t>
      </w:r>
      <w:r w:rsidR="008716FB" w:rsidRPr="008716FB">
        <w:lastRenderedPageBreak/>
        <w:t xml:space="preserve">higher incidence in </w:t>
      </w:r>
      <w:r w:rsidR="00A40440">
        <w:t>Ab +</w:t>
      </w:r>
      <w:r w:rsidR="008716FB" w:rsidRPr="008716FB">
        <w:t xml:space="preserve"> patients compared </w:t>
      </w:r>
      <w:r>
        <w:t>with</w:t>
      </w:r>
      <w:r w:rsidR="008716FB" w:rsidRPr="008716FB">
        <w:t xml:space="preserve"> </w:t>
      </w:r>
      <w:r w:rsidR="00A40440">
        <w:t>Ab -</w:t>
      </w:r>
      <w:r w:rsidR="008716FB" w:rsidRPr="008716FB">
        <w:t xml:space="preserve"> patients in AEs related to rheumatoid arthritis (26.7% </w:t>
      </w:r>
      <w:r w:rsidR="009A3943">
        <w:t>versus</w:t>
      </w:r>
      <w:r w:rsidR="008716FB" w:rsidRPr="008716FB">
        <w:t xml:space="preserve"> 13.1%)</w:t>
      </w:r>
      <w:r>
        <w:t>,</w:t>
      </w:r>
      <w:r w:rsidR="008716FB" w:rsidRPr="008716FB">
        <w:t xml:space="preserve"> musculoskeletal and connective tissue dis</w:t>
      </w:r>
      <w:r>
        <w:t xml:space="preserve">orders (53.5% </w:t>
      </w:r>
      <w:r w:rsidR="009A3943">
        <w:t>versus</w:t>
      </w:r>
      <w:r>
        <w:t xml:space="preserve"> 30.8%),</w:t>
      </w:r>
      <w:r w:rsidR="008716FB" w:rsidRPr="008716FB">
        <w:t xml:space="preserve"> pyrexia (9.3% </w:t>
      </w:r>
      <w:r w:rsidR="009A3943">
        <w:t>versus</w:t>
      </w:r>
      <w:r w:rsidR="008716FB" w:rsidRPr="008716FB">
        <w:t xml:space="preserve"> 2.9%)</w:t>
      </w:r>
      <w:r>
        <w:t>,</w:t>
      </w:r>
      <w:r w:rsidR="008716FB" w:rsidRPr="008716FB">
        <w:t xml:space="preserve"> and renal and urinary disorders (16.3% </w:t>
      </w:r>
      <w:r w:rsidR="009A3943">
        <w:t>versus</w:t>
      </w:r>
      <w:r w:rsidR="008716FB" w:rsidRPr="008716FB">
        <w:t xml:space="preserve"> 8.7%). AEs occurring within </w:t>
      </w:r>
      <w:r>
        <w:t>two</w:t>
      </w:r>
      <w:r w:rsidR="008716FB" w:rsidRPr="008716FB">
        <w:t xml:space="preserve"> hours of CZP injection were recorded in 2.3% and 1.9% of Ab</w:t>
      </w:r>
      <w:r w:rsidR="009A3943">
        <w:t xml:space="preserve"> </w:t>
      </w:r>
      <w:r w:rsidR="008716FB" w:rsidRPr="008716FB">
        <w:t>+ and Ab</w:t>
      </w:r>
      <w:r w:rsidR="009A3943">
        <w:t xml:space="preserve"> </w:t>
      </w:r>
      <w:r w:rsidR="008716FB" w:rsidRPr="008716FB">
        <w:t>- patients, respectively. The incidence of SAEs was higher in Ab</w:t>
      </w:r>
      <w:r w:rsidR="009A3943">
        <w:t xml:space="preserve"> </w:t>
      </w:r>
      <w:r w:rsidR="008716FB" w:rsidRPr="008716FB">
        <w:t>+ than Ab</w:t>
      </w:r>
      <w:r w:rsidR="009A3943">
        <w:t xml:space="preserve"> </w:t>
      </w:r>
      <w:r w:rsidR="008716FB" w:rsidRPr="008716FB">
        <w:t xml:space="preserve">- patients (43.0% </w:t>
      </w:r>
      <w:r w:rsidR="009A3943">
        <w:t>versus</w:t>
      </w:r>
      <w:r w:rsidR="008716FB" w:rsidRPr="008716FB">
        <w:t xml:space="preserve"> 33.9%). There was a higher incidence in Ab</w:t>
      </w:r>
      <w:r w:rsidR="009A3943">
        <w:t xml:space="preserve"> </w:t>
      </w:r>
      <w:r w:rsidR="008716FB" w:rsidRPr="008716FB">
        <w:t xml:space="preserve">+ patients compared </w:t>
      </w:r>
      <w:r>
        <w:t>with</w:t>
      </w:r>
      <w:r w:rsidR="008716FB" w:rsidRPr="008716FB">
        <w:t xml:space="preserve"> Ab</w:t>
      </w:r>
      <w:r w:rsidR="009A3943">
        <w:t xml:space="preserve"> </w:t>
      </w:r>
      <w:r w:rsidR="008716FB" w:rsidRPr="008716FB">
        <w:t xml:space="preserve">- patients </w:t>
      </w:r>
      <w:r>
        <w:t>of</w:t>
      </w:r>
      <w:r w:rsidR="008716FB" w:rsidRPr="008716FB">
        <w:t xml:space="preserve"> SAEs related to infections (19.9% </w:t>
      </w:r>
      <w:r w:rsidR="009A3943">
        <w:t>versus</w:t>
      </w:r>
      <w:r w:rsidR="008716FB" w:rsidRPr="008716FB">
        <w:t xml:space="preserve"> 12.7%).</w:t>
      </w:r>
    </w:p>
    <w:p w:rsidR="008716FB" w:rsidRPr="008716FB" w:rsidRDefault="00814C56" w:rsidP="00C64F77">
      <w:r>
        <w:t xml:space="preserve">In </w:t>
      </w:r>
      <w:r w:rsidR="009A648A">
        <w:t>Study</w:t>
      </w:r>
      <w:r>
        <w:t xml:space="preserve"> </w:t>
      </w:r>
      <w:r w:rsidR="008716FB" w:rsidRPr="008716FB">
        <w:t>C87015</w:t>
      </w:r>
      <w:r>
        <w:t>,</w:t>
      </w:r>
      <w:r w:rsidR="008716FB" w:rsidRPr="008716FB">
        <w:t xml:space="preserve"> 113/402 patie</w:t>
      </w:r>
      <w:r w:rsidR="000E181E">
        <w:t xml:space="preserve">nts (28.1%) had detectable anti </w:t>
      </w:r>
      <w:r w:rsidR="008716FB" w:rsidRPr="008716FB">
        <w:t>CZP antib</w:t>
      </w:r>
      <w:r w:rsidR="000E181E">
        <w:t xml:space="preserve">odies. A summary of AEs by anti </w:t>
      </w:r>
      <w:r w:rsidR="008716FB" w:rsidRPr="008716FB">
        <w:t xml:space="preserve">CZP antibody status </w:t>
      </w:r>
      <w:r w:rsidR="000F4F43">
        <w:t xml:space="preserve">was provided. </w:t>
      </w:r>
      <w:r w:rsidR="008716FB" w:rsidRPr="008716FB">
        <w:t>Overall, the inc</w:t>
      </w:r>
      <w:r w:rsidR="009A3943">
        <w:t xml:space="preserve">idence of AEs, severe AEs, drug </w:t>
      </w:r>
      <w:r w:rsidR="008716FB" w:rsidRPr="008716FB">
        <w:t>re</w:t>
      </w:r>
      <w:r w:rsidR="004966DB">
        <w:t>lated AEs, AEs leading to death</w:t>
      </w:r>
      <w:r w:rsidR="008716FB" w:rsidRPr="008716FB">
        <w:t xml:space="preserve"> and AEs leading to discontinuation were similar in the Ab</w:t>
      </w:r>
      <w:r w:rsidR="009A3943">
        <w:t xml:space="preserve"> </w:t>
      </w:r>
      <w:r w:rsidR="008716FB" w:rsidRPr="008716FB">
        <w:t>+ and Ab</w:t>
      </w:r>
      <w:r w:rsidR="009A3943">
        <w:t xml:space="preserve"> </w:t>
      </w:r>
      <w:r w:rsidR="008716FB" w:rsidRPr="008716FB">
        <w:t>- patient groups. However, SAEs were reported more commonly in Ab</w:t>
      </w:r>
      <w:r w:rsidR="009A3943">
        <w:t xml:space="preserve"> </w:t>
      </w:r>
      <w:r w:rsidR="008716FB" w:rsidRPr="008716FB">
        <w:t>+ patients compared with Ab</w:t>
      </w:r>
      <w:r w:rsidR="009A3943">
        <w:t xml:space="preserve"> </w:t>
      </w:r>
      <w:r w:rsidR="008716FB" w:rsidRPr="008716FB">
        <w:t xml:space="preserve">- patients (56.6% </w:t>
      </w:r>
      <w:r w:rsidR="009A3943">
        <w:t>versus</w:t>
      </w:r>
      <w:r w:rsidR="008716FB" w:rsidRPr="008716FB">
        <w:t xml:space="preserve"> 41.5%).</w:t>
      </w:r>
    </w:p>
    <w:p w:rsidR="00605AD4" w:rsidRPr="00605AD4" w:rsidRDefault="00605AD4" w:rsidP="00C64F77">
      <w:pPr>
        <w:pStyle w:val="Heading4"/>
      </w:pPr>
      <w:r w:rsidRPr="00605AD4">
        <w:t xml:space="preserve">Evaluator’s </w:t>
      </w:r>
      <w:r w:rsidRPr="00C64F77">
        <w:t>conclusions</w:t>
      </w:r>
      <w:r w:rsidRPr="00605AD4">
        <w:t xml:space="preserve"> on safety</w:t>
      </w:r>
    </w:p>
    <w:p w:rsidR="004674BF" w:rsidRPr="004674BF" w:rsidRDefault="004674BF" w:rsidP="00C64F77">
      <w:r w:rsidRPr="004674BF">
        <w:t>The safety p</w:t>
      </w:r>
      <w:r w:rsidR="009A3943">
        <w:t xml:space="preserve">rofile of CZP in the three, long </w:t>
      </w:r>
      <w:r w:rsidRPr="004674BF">
        <w:t xml:space="preserve">term, extension safety studies </w:t>
      </w:r>
      <w:r w:rsidR="00240D50">
        <w:t xml:space="preserve">in patients with RA </w:t>
      </w:r>
      <w:r w:rsidRPr="004674BF">
        <w:t xml:space="preserve">was compatible with </w:t>
      </w:r>
      <w:r w:rsidR="00240D50">
        <w:t xml:space="preserve">its safety profile in </w:t>
      </w:r>
      <w:r w:rsidRPr="004674BF">
        <w:t>previous studies of up to one year documented in the approved PI. As expected during exposure of up to 7.5 years, AEs were recorded in over 90% of patients although event rates were unremarkable. The majority of AEs were mild or moderate, although approximately 20% were considered severe and withdr</w:t>
      </w:r>
      <w:r w:rsidR="009A3943">
        <w:t xml:space="preserve">awals due to AEs occurred in 15 to </w:t>
      </w:r>
      <w:r w:rsidRPr="004674BF">
        <w:t>25% of pat</w:t>
      </w:r>
      <w:r w:rsidR="009A3943">
        <w:t xml:space="preserve">ients. SAEs were recorded in 35 to </w:t>
      </w:r>
      <w:r w:rsidRPr="004674BF">
        <w:t xml:space="preserve">45% of patients, most commonly related to RA, infection, cardiac and vascular events. AEs leading to death </w:t>
      </w:r>
      <w:r w:rsidR="009A3943">
        <w:t>ranged from 1.9% to</w:t>
      </w:r>
      <w:r w:rsidRPr="004674BF">
        <w:t xml:space="preserve"> 3.0%</w:t>
      </w:r>
      <w:r w:rsidR="009A3943">
        <w:t>, with incidence rates of 0.44 to</w:t>
      </w:r>
      <w:r w:rsidR="00426475">
        <w:t xml:space="preserve"> 0.74 per 100 patient-</w:t>
      </w:r>
      <w:r w:rsidRPr="004674BF">
        <w:t xml:space="preserve">years in the three studies. The </w:t>
      </w:r>
      <w:r w:rsidR="006923D2">
        <w:t xml:space="preserve">incidence of patients with anti </w:t>
      </w:r>
      <w:r w:rsidRPr="004674BF">
        <w:t>CZP antibodies ranged from 11.6% to 28.1% in the three studies. Overall, AEs were more frequent in Ab</w:t>
      </w:r>
      <w:r w:rsidR="009A3943">
        <w:t xml:space="preserve"> </w:t>
      </w:r>
      <w:r w:rsidRPr="004674BF">
        <w:t>+ patients than in Ab</w:t>
      </w:r>
      <w:r w:rsidR="009A3943">
        <w:t xml:space="preserve"> </w:t>
      </w:r>
      <w:r w:rsidRPr="004674BF">
        <w:t>- patients</w:t>
      </w:r>
      <w:r w:rsidR="00160951">
        <w:t>,</w:t>
      </w:r>
      <w:r w:rsidRPr="004674BF">
        <w:t xml:space="preserve"> although the low number of Ab</w:t>
      </w:r>
      <w:r w:rsidR="009A3943">
        <w:t xml:space="preserve"> </w:t>
      </w:r>
      <w:r w:rsidRPr="004674BF">
        <w:t>+ patients makes meaningful comparisons of specific AEs difficult. The higher incidence of AEs related to RA in Ab</w:t>
      </w:r>
      <w:r w:rsidR="009A3943">
        <w:t xml:space="preserve"> </w:t>
      </w:r>
      <w:r w:rsidRPr="004674BF">
        <w:t>+ patients</w:t>
      </w:r>
      <w:r w:rsidR="009A3943">
        <w:t>,</w:t>
      </w:r>
      <w:r w:rsidRPr="004674BF">
        <w:t xml:space="preserve"> was presumably due to lowe</w:t>
      </w:r>
      <w:r w:rsidR="009A3943">
        <w:t>r CZP levels in these patients.</w:t>
      </w:r>
    </w:p>
    <w:p w:rsidR="004674BF" w:rsidRDefault="004674BF" w:rsidP="00C64F77">
      <w:r w:rsidRPr="004674BF">
        <w:t>AEs of interest (injection and hypersensitivity reactions, infections, malignancies, cardiac, vascular, autoimmune and neurological) were identified based on earlier studies and the</w:t>
      </w:r>
      <w:r w:rsidR="006923D2">
        <w:t xml:space="preserve"> known effects of biologic anti </w:t>
      </w:r>
      <w:r w:rsidRPr="004674BF">
        <w:t xml:space="preserve">TNFα inhibitors. Most AEs of interest were mild or moderate in intensity. There was a high incidence of hypertension, possibly exacerbated by concomitant medications, but most cases were mild and the incidence was also high in patients during the placebo phase of the studies. Most SAEs and SAEs leading to death </w:t>
      </w:r>
      <w:r w:rsidR="006923D2">
        <w:t xml:space="preserve">were consistent with the middle </w:t>
      </w:r>
      <w:r w:rsidRPr="004674BF">
        <w:t xml:space="preserve">aged study population with active RA disease, including cardiac and vascular events, and malignancies. The </w:t>
      </w:r>
      <w:r w:rsidR="009A3943">
        <w:t xml:space="preserve">incidence of malignancies was 4 to </w:t>
      </w:r>
      <w:r w:rsidRPr="004674BF">
        <w:t xml:space="preserve">5%, most commonly lung cancers, </w:t>
      </w:r>
      <w:r w:rsidR="006923D2">
        <w:t xml:space="preserve">with no other tumour types over </w:t>
      </w:r>
      <w:r w:rsidRPr="004674BF">
        <w:t>represented. There was a significant incidence of possible hypersensitivity reactions (mostly headache, pyrexia and rash) but no deaths were recorded. There was a high incidence of infections but the majority were mild or moderate, mostly upper respiratory (&gt;</w:t>
      </w:r>
      <w:r w:rsidR="009A3943">
        <w:t xml:space="preserve"> </w:t>
      </w:r>
      <w:r w:rsidRPr="004674BF">
        <w:t xml:space="preserve">15% of patients) and urinary tract infections. The incidence of fungal and bacterial opportunistic infections was low. </w:t>
      </w:r>
      <w:r w:rsidR="00160951">
        <w:t>Tuberculosis</w:t>
      </w:r>
      <w:r w:rsidR="009A3943">
        <w:t xml:space="preserve"> infections were recorded in 1 to </w:t>
      </w:r>
      <w:r w:rsidRPr="004674BF">
        <w:t xml:space="preserve">3% of patients, although fewer infections are likely in a non-endemic region such as Australia. There were </w:t>
      </w:r>
      <w:r w:rsidR="006923D2">
        <w:t xml:space="preserve">no </w:t>
      </w:r>
      <w:r w:rsidRPr="004674BF">
        <w:t>new safety signals related to haematology or biochemistry variables, or to vital signs. Overall, no new safety concerns were identified</w:t>
      </w:r>
      <w:r w:rsidR="006923D2">
        <w:t>.</w:t>
      </w:r>
    </w:p>
    <w:p w:rsidR="00605AD4" w:rsidRPr="00605AD4" w:rsidRDefault="001451B9" w:rsidP="00C64F77">
      <w:pPr>
        <w:pStyle w:val="Heading3"/>
        <w:rPr>
          <w:rFonts w:eastAsia="Cambria"/>
        </w:rPr>
      </w:pPr>
      <w:bookmarkStart w:id="94" w:name="_Toc434223857"/>
      <w:bookmarkStart w:id="95" w:name="_Toc435781402"/>
      <w:r w:rsidRPr="00605AD4">
        <w:rPr>
          <w:rFonts w:eastAsia="Cambria"/>
        </w:rPr>
        <w:t>First round benefit-</w:t>
      </w:r>
      <w:r w:rsidRPr="00C64F77">
        <w:rPr>
          <w:rFonts w:eastAsia="Cambria"/>
        </w:rPr>
        <w:t>risk</w:t>
      </w:r>
      <w:r w:rsidRPr="00605AD4">
        <w:rPr>
          <w:rFonts w:eastAsia="Cambria"/>
        </w:rPr>
        <w:t xml:space="preserve"> assessment</w:t>
      </w:r>
      <w:bookmarkEnd w:id="94"/>
      <w:bookmarkEnd w:id="95"/>
    </w:p>
    <w:p w:rsidR="00605AD4" w:rsidRPr="00605AD4" w:rsidRDefault="00605AD4" w:rsidP="00C64F77">
      <w:pPr>
        <w:pStyle w:val="Heading4"/>
      </w:pPr>
      <w:r w:rsidRPr="00605AD4">
        <w:t xml:space="preserve">First round </w:t>
      </w:r>
      <w:r w:rsidRPr="00C64F77">
        <w:t>assessment</w:t>
      </w:r>
      <w:r w:rsidRPr="00605AD4">
        <w:t xml:space="preserve"> of benefits</w:t>
      </w:r>
    </w:p>
    <w:p w:rsidR="007F466B" w:rsidRPr="007F466B" w:rsidRDefault="007F466B" w:rsidP="00C64F77">
      <w:r w:rsidRPr="007F466B">
        <w:t xml:space="preserve">The benefits of </w:t>
      </w:r>
      <w:proofErr w:type="spellStart"/>
      <w:r w:rsidR="00C262FE" w:rsidRPr="007F466B">
        <w:t>Cimzia</w:t>
      </w:r>
      <w:proofErr w:type="spellEnd"/>
      <w:r w:rsidRPr="007F466B">
        <w:t xml:space="preserve"> in the proposed usage are:</w:t>
      </w:r>
    </w:p>
    <w:p w:rsidR="007F466B" w:rsidRPr="007F466B" w:rsidRDefault="007F466B" w:rsidP="00C64F77">
      <w:pPr>
        <w:pStyle w:val="ListBullet"/>
      </w:pPr>
      <w:r w:rsidRPr="007F466B">
        <w:lastRenderedPageBreak/>
        <w:t>Increased ACR20,</w:t>
      </w:r>
      <w:r w:rsidR="007C3A95">
        <w:t xml:space="preserve"> ACR50 and ACR70 response rates</w:t>
      </w:r>
    </w:p>
    <w:p w:rsidR="007F466B" w:rsidRPr="007F466B" w:rsidRDefault="007F466B" w:rsidP="00C64F77">
      <w:pPr>
        <w:pStyle w:val="ListBullet"/>
      </w:pPr>
      <w:r w:rsidRPr="007F466B">
        <w:t>Reduced markers of inf</w:t>
      </w:r>
      <w:r w:rsidR="007C3A95">
        <w:t xml:space="preserve">lammation including </w:t>
      </w:r>
      <w:r w:rsidR="00D97088" w:rsidRPr="00D97088">
        <w:t xml:space="preserve">c-reactive protein </w:t>
      </w:r>
      <w:r w:rsidR="00D97088">
        <w:t>(</w:t>
      </w:r>
      <w:r w:rsidR="007C3A95">
        <w:t>CRP</w:t>
      </w:r>
      <w:r w:rsidR="00D97088">
        <w:t>)</w:t>
      </w:r>
      <w:r w:rsidR="007C3A95">
        <w:t xml:space="preserve"> and </w:t>
      </w:r>
      <w:r w:rsidR="009D174A" w:rsidRPr="009D174A">
        <w:t xml:space="preserve">erythrocyte sedimentation rate </w:t>
      </w:r>
      <w:r w:rsidR="009D174A">
        <w:t>(</w:t>
      </w:r>
      <w:r w:rsidR="007C3A95">
        <w:t>ESR</w:t>
      </w:r>
      <w:r w:rsidR="009D174A">
        <w:t>)</w:t>
      </w:r>
    </w:p>
    <w:p w:rsidR="007F466B" w:rsidRPr="007F466B" w:rsidRDefault="007C3A95" w:rsidP="00C64F77">
      <w:pPr>
        <w:pStyle w:val="ListBullet"/>
      </w:pPr>
      <w:r>
        <w:t>Improved symptom scores</w:t>
      </w:r>
    </w:p>
    <w:p w:rsidR="007F466B" w:rsidRPr="007F466B" w:rsidRDefault="007F466B" w:rsidP="00C64F77">
      <w:pPr>
        <w:pStyle w:val="ListBullet"/>
      </w:pPr>
      <w:r w:rsidRPr="007F466B">
        <w:t>Improved</w:t>
      </w:r>
      <w:r w:rsidR="007C3A95">
        <w:t xml:space="preserve"> health related quality of life</w:t>
      </w:r>
    </w:p>
    <w:p w:rsidR="007F466B" w:rsidRPr="007F466B" w:rsidRDefault="007F466B" w:rsidP="00C64F77">
      <w:pPr>
        <w:pStyle w:val="ListBullet"/>
      </w:pPr>
      <w:r w:rsidRPr="007F466B">
        <w:t>Inhibition of radiological progression of structural damage.</w:t>
      </w:r>
    </w:p>
    <w:p w:rsidR="00605AD4" w:rsidRPr="00605AD4" w:rsidRDefault="00605AD4" w:rsidP="00C64F77">
      <w:pPr>
        <w:pStyle w:val="Heading4"/>
      </w:pPr>
      <w:r w:rsidRPr="00605AD4">
        <w:t xml:space="preserve">First round </w:t>
      </w:r>
      <w:r w:rsidRPr="00C64F77">
        <w:t>assessment</w:t>
      </w:r>
      <w:r w:rsidRPr="00605AD4">
        <w:t xml:space="preserve"> of risks</w:t>
      </w:r>
    </w:p>
    <w:p w:rsidR="007F466B" w:rsidRPr="007F466B" w:rsidRDefault="007F466B" w:rsidP="00C64F77">
      <w:r w:rsidRPr="007F466B">
        <w:t xml:space="preserve">The risks of </w:t>
      </w:r>
      <w:proofErr w:type="spellStart"/>
      <w:r w:rsidR="00C262FE" w:rsidRPr="007F466B">
        <w:t>Cimzia</w:t>
      </w:r>
      <w:proofErr w:type="spellEnd"/>
      <w:r w:rsidRPr="007F466B">
        <w:t xml:space="preserve"> in the proposed usage are:</w:t>
      </w:r>
    </w:p>
    <w:p w:rsidR="007F466B" w:rsidRPr="007F466B" w:rsidRDefault="007F466B" w:rsidP="00C64F77">
      <w:pPr>
        <w:pStyle w:val="ListBullet"/>
      </w:pPr>
      <w:r w:rsidRPr="007F466B">
        <w:t>Injection site reactions</w:t>
      </w:r>
    </w:p>
    <w:p w:rsidR="007F466B" w:rsidRPr="007F466B" w:rsidRDefault="007F466B" w:rsidP="00C64F77">
      <w:pPr>
        <w:pStyle w:val="ListBullet"/>
      </w:pPr>
      <w:r w:rsidRPr="007F466B">
        <w:t>Hypersensitivity reactions</w:t>
      </w:r>
    </w:p>
    <w:p w:rsidR="007F466B" w:rsidRPr="007F466B" w:rsidRDefault="007F466B" w:rsidP="00C64F77">
      <w:pPr>
        <w:pStyle w:val="ListBullet"/>
      </w:pPr>
      <w:r w:rsidRPr="007F466B">
        <w:t xml:space="preserve">Increased risk of opportunistic infections and </w:t>
      </w:r>
      <w:r w:rsidR="00C262FE">
        <w:t>tuberculosis</w:t>
      </w:r>
      <w:r w:rsidR="004966DB">
        <w:t>.</w:t>
      </w:r>
    </w:p>
    <w:p w:rsidR="00605AD4" w:rsidRPr="00605AD4" w:rsidRDefault="00605AD4" w:rsidP="00C64F77">
      <w:pPr>
        <w:pStyle w:val="Heading4"/>
      </w:pPr>
      <w:r w:rsidRPr="00605AD4">
        <w:t xml:space="preserve">First round assessment of benefit-risk </w:t>
      </w:r>
      <w:r w:rsidRPr="00C64F77">
        <w:t>balance</w:t>
      </w:r>
    </w:p>
    <w:p w:rsidR="007F466B" w:rsidRPr="007F466B" w:rsidRDefault="007F466B" w:rsidP="00C64F77">
      <w:r w:rsidRPr="007F466B">
        <w:t xml:space="preserve">The benefit-risk balance of </w:t>
      </w:r>
      <w:proofErr w:type="spellStart"/>
      <w:r w:rsidR="00C262FE" w:rsidRPr="007F466B">
        <w:t>Cimzia</w:t>
      </w:r>
      <w:proofErr w:type="spellEnd"/>
      <w:r w:rsidRPr="007F466B">
        <w:t>, given the proposed usage, is favourable.</w:t>
      </w:r>
    </w:p>
    <w:p w:rsidR="00605AD4" w:rsidRPr="00605AD4" w:rsidRDefault="001451B9" w:rsidP="00C64F77">
      <w:pPr>
        <w:pStyle w:val="Heading3"/>
        <w:rPr>
          <w:rFonts w:eastAsia="Cambria"/>
        </w:rPr>
      </w:pPr>
      <w:bookmarkStart w:id="96" w:name="_Toc434223858"/>
      <w:bookmarkStart w:id="97" w:name="_Toc435781403"/>
      <w:r w:rsidRPr="00605AD4">
        <w:rPr>
          <w:rFonts w:eastAsia="Cambria"/>
        </w:rPr>
        <w:t xml:space="preserve">First round recommendation regarding </w:t>
      </w:r>
      <w:r w:rsidRPr="00C64F77">
        <w:rPr>
          <w:rFonts w:eastAsia="Cambria"/>
        </w:rPr>
        <w:t>authorisation</w:t>
      </w:r>
      <w:bookmarkEnd w:id="96"/>
      <w:bookmarkEnd w:id="97"/>
    </w:p>
    <w:p w:rsidR="004966DB" w:rsidRDefault="00C262FE" w:rsidP="00C64F77">
      <w:r>
        <w:t xml:space="preserve">The </w:t>
      </w:r>
      <w:r w:rsidR="009A3943">
        <w:t xml:space="preserve">clinical </w:t>
      </w:r>
      <w:r>
        <w:t>evaluator recommends a</w:t>
      </w:r>
      <w:r w:rsidR="007F466B" w:rsidRPr="007F466B">
        <w:t>uthorisation for the p</w:t>
      </w:r>
      <w:r w:rsidR="004966DB">
        <w:t>roposed additional indication:</w:t>
      </w:r>
    </w:p>
    <w:p w:rsidR="004966DB" w:rsidRPr="00C64F77" w:rsidRDefault="00354BAD" w:rsidP="00C64F77">
      <w:pPr>
        <w:ind w:left="720"/>
        <w:rPr>
          <w:i/>
        </w:rPr>
      </w:pPr>
      <w:r w:rsidRPr="00C64F77">
        <w:rPr>
          <w:i/>
        </w:rPr>
        <w:t>‘</w:t>
      </w:r>
      <w:proofErr w:type="spellStart"/>
      <w:r w:rsidR="007F466B" w:rsidRPr="00C64F77">
        <w:rPr>
          <w:i/>
        </w:rPr>
        <w:t>Cimzia</w:t>
      </w:r>
      <w:proofErr w:type="spellEnd"/>
      <w:r w:rsidR="007F466B" w:rsidRPr="00C64F77">
        <w:rPr>
          <w:i/>
        </w:rPr>
        <w:t xml:space="preserve"> has been shown to reduce the rate of progression o</w:t>
      </w:r>
      <w:r w:rsidR="006923D2" w:rsidRPr="00C64F77">
        <w:rPr>
          <w:i/>
        </w:rPr>
        <w:t>f joint damage as measured by X</w:t>
      </w:r>
      <w:r w:rsidR="006923D2" w:rsidRPr="00C64F77">
        <w:rPr>
          <w:i/>
        </w:rPr>
        <w:noBreakHyphen/>
      </w:r>
      <w:r w:rsidR="007F466B" w:rsidRPr="00C64F77">
        <w:rPr>
          <w:i/>
        </w:rPr>
        <w:t>ray, when given in combination with MTX</w:t>
      </w:r>
      <w:r w:rsidRPr="00C64F77">
        <w:rPr>
          <w:i/>
        </w:rPr>
        <w:t>’</w:t>
      </w:r>
      <w:r w:rsidR="004966DB" w:rsidRPr="00C64F77">
        <w:rPr>
          <w:i/>
        </w:rPr>
        <w:t>.</w:t>
      </w:r>
    </w:p>
    <w:p w:rsidR="007F466B" w:rsidRPr="007F466B" w:rsidRDefault="00C262FE" w:rsidP="00C64F77">
      <w:r>
        <w:t>A</w:t>
      </w:r>
      <w:r w:rsidR="007F466B" w:rsidRPr="007F466B">
        <w:t xml:space="preserve">pproval is subject to incorporation of suggested changes to the proposed </w:t>
      </w:r>
      <w:r w:rsidR="006923D2">
        <w:t>Product I</w:t>
      </w:r>
      <w:r w:rsidR="00486DAF">
        <w:t>nformation (</w:t>
      </w:r>
      <w:r w:rsidR="007F466B" w:rsidRPr="007F466B">
        <w:t>PI</w:t>
      </w:r>
      <w:r w:rsidR="00486DAF">
        <w:t>)</w:t>
      </w:r>
      <w:r w:rsidR="007F466B" w:rsidRPr="007F466B">
        <w:t xml:space="preserve"> and adequate response to </w:t>
      </w:r>
      <w:r>
        <w:t xml:space="preserve">the evaluator’s </w:t>
      </w:r>
      <w:r w:rsidR="007F466B" w:rsidRPr="007F466B">
        <w:t>que</w:t>
      </w:r>
      <w:r w:rsidR="006923D2">
        <w:t>stions.</w:t>
      </w:r>
    </w:p>
    <w:p w:rsidR="00605AD4" w:rsidRPr="00605AD4" w:rsidRDefault="00605AD4" w:rsidP="00DD5297">
      <w:pPr>
        <w:pStyle w:val="Heading3"/>
        <w:rPr>
          <w:rFonts w:eastAsia="Cambria"/>
        </w:rPr>
      </w:pPr>
      <w:bookmarkStart w:id="98" w:name="_Toc434223859"/>
      <w:bookmarkStart w:id="99" w:name="_Toc435781404"/>
      <w:r w:rsidRPr="00605AD4">
        <w:rPr>
          <w:rFonts w:eastAsia="Cambria"/>
        </w:rPr>
        <w:t xml:space="preserve">Clinical </w:t>
      </w:r>
      <w:r w:rsidR="001451B9">
        <w:rPr>
          <w:rFonts w:eastAsia="Cambria"/>
        </w:rPr>
        <w:t>q</w:t>
      </w:r>
      <w:r w:rsidRPr="00605AD4">
        <w:rPr>
          <w:rFonts w:eastAsia="Cambria"/>
        </w:rPr>
        <w:t>uestions</w:t>
      </w:r>
      <w:bookmarkEnd w:id="98"/>
      <w:bookmarkEnd w:id="99"/>
    </w:p>
    <w:p w:rsidR="003D2FFF" w:rsidRDefault="00426475" w:rsidP="00DD5297">
      <w:pPr>
        <w:pStyle w:val="Heading4"/>
      </w:pPr>
      <w:r w:rsidRPr="00DD5297">
        <w:t>Efficacy</w:t>
      </w:r>
    </w:p>
    <w:p w:rsidR="00C262FE" w:rsidRPr="00C262FE" w:rsidRDefault="00C262FE" w:rsidP="00DD5297">
      <w:pPr>
        <w:pStyle w:val="Numberbullet0"/>
      </w:pPr>
      <w:r w:rsidRPr="00C262FE">
        <w:t xml:space="preserve">The </w:t>
      </w:r>
      <w:r w:rsidR="004966DB">
        <w:t xml:space="preserve">sponsor’s </w:t>
      </w:r>
      <w:r w:rsidRPr="00C262FE">
        <w:t>Clinical Overview reports several post hoc sensitivity analyses to support to the proposed indication. These included linea</w:t>
      </w:r>
      <w:r w:rsidR="004966DB">
        <w:t>r extrapolation of placebo data</w:t>
      </w:r>
      <w:r w:rsidRPr="00C262FE">
        <w:t xml:space="preserve"> and an analysis of progression of structural damage in the subset of patients who completed at least </w:t>
      </w:r>
      <w:r>
        <w:t>two</w:t>
      </w:r>
      <w:r w:rsidR="004966DB">
        <w:t xml:space="preserve"> years of treatment with CZP</w:t>
      </w:r>
      <w:r w:rsidRPr="00C262FE">
        <w:t xml:space="preserve"> and who had evaluable radiographs at completion. These analyses have been reported for </w:t>
      </w:r>
      <w:r w:rsidR="009A648A">
        <w:t>Study</w:t>
      </w:r>
      <w:r w:rsidR="001452CA">
        <w:t xml:space="preserve"> </w:t>
      </w:r>
      <w:r w:rsidRPr="00C262FE">
        <w:t xml:space="preserve">C87027/28 but not for </w:t>
      </w:r>
      <w:r w:rsidR="009A648A">
        <w:t>Study</w:t>
      </w:r>
      <w:r w:rsidR="001452CA">
        <w:t xml:space="preserve"> </w:t>
      </w:r>
      <w:r w:rsidRPr="00C262FE">
        <w:t xml:space="preserve">C87050/51. The sponsor is requested to provide these analyses and to identify any significant differences between </w:t>
      </w:r>
      <w:r w:rsidR="009A3943">
        <w:t>the outcomes of the two trials.</w:t>
      </w:r>
    </w:p>
    <w:p w:rsidR="00C262FE" w:rsidRPr="00C262FE" w:rsidRDefault="00C262FE" w:rsidP="00DD5297">
      <w:pPr>
        <w:pStyle w:val="Numberbullet0"/>
      </w:pPr>
      <w:r w:rsidRPr="00C262FE">
        <w:t xml:space="preserve">Different central radiographic readers were used to evaluate Year 1 and Year 2 data as the second year analyses were not pre-determined for </w:t>
      </w:r>
      <w:r w:rsidR="001452CA">
        <w:t xml:space="preserve">studies </w:t>
      </w:r>
      <w:r w:rsidRPr="00C262FE">
        <w:t>C87027/28 and C87050/51. The sponsor is requested to provide an estimate of what degree of bias might have been in</w:t>
      </w:r>
      <w:r w:rsidR="009A3943">
        <w:t>troduced due to observer error.</w:t>
      </w:r>
    </w:p>
    <w:p w:rsidR="003D2FFF" w:rsidRDefault="003D2FFF" w:rsidP="00DD5297">
      <w:pPr>
        <w:pStyle w:val="Heading4"/>
      </w:pPr>
      <w:r>
        <w:t xml:space="preserve">Product </w:t>
      </w:r>
      <w:r w:rsidRPr="00DD5297">
        <w:t>information</w:t>
      </w:r>
      <w:r>
        <w:t xml:space="preserve"> (PI)</w:t>
      </w:r>
    </w:p>
    <w:p w:rsidR="00605AD4" w:rsidRPr="0055737D" w:rsidRDefault="003D2FFF" w:rsidP="00DD5297">
      <w:r>
        <w:t>Change</w:t>
      </w:r>
      <w:r w:rsidR="00426475">
        <w:t>s to the PI were also requested but discussion of this is beyond the scope of the AusPAR.</w:t>
      </w:r>
    </w:p>
    <w:p w:rsidR="00605AD4" w:rsidRPr="00605AD4" w:rsidRDefault="00605AD4" w:rsidP="00DD5297">
      <w:pPr>
        <w:pStyle w:val="Heading3"/>
        <w:rPr>
          <w:rFonts w:eastAsia="Cambria"/>
        </w:rPr>
      </w:pPr>
      <w:bookmarkStart w:id="100" w:name="_Toc434223860"/>
      <w:bookmarkStart w:id="101" w:name="_Toc435781405"/>
      <w:r w:rsidRPr="00605AD4">
        <w:rPr>
          <w:rFonts w:eastAsia="Cambria"/>
        </w:rPr>
        <w:lastRenderedPageBreak/>
        <w:t xml:space="preserve">Second </w:t>
      </w:r>
      <w:r w:rsidR="001451B9" w:rsidRPr="00605AD4">
        <w:rPr>
          <w:rFonts w:eastAsia="Cambria"/>
        </w:rPr>
        <w:t>round evaluation of clinical data submitted in response to questions</w:t>
      </w:r>
      <w:bookmarkEnd w:id="100"/>
      <w:bookmarkEnd w:id="101"/>
    </w:p>
    <w:p w:rsidR="006C4F15" w:rsidRPr="006C4F15" w:rsidRDefault="006C4F15" w:rsidP="00DD5297">
      <w:bookmarkStart w:id="102" w:name="_Ref271134961"/>
      <w:bookmarkStart w:id="103" w:name="_Toc272414708"/>
      <w:bookmarkStart w:id="104" w:name="_Toc290846348"/>
      <w:r w:rsidRPr="006C4F15">
        <w:t>The sponsor’s response addresses questions that were raised in the first round clinical assessment.</w:t>
      </w:r>
    </w:p>
    <w:p w:rsidR="00106680" w:rsidRPr="006C75CD" w:rsidRDefault="00426475" w:rsidP="00DD5297">
      <w:pPr>
        <w:pStyle w:val="Heading4"/>
      </w:pPr>
      <w:r w:rsidRPr="00DD5297">
        <w:t>Question</w:t>
      </w:r>
      <w:r w:rsidRPr="006C75CD">
        <w:t xml:space="preserve"> 1</w:t>
      </w:r>
    </w:p>
    <w:p w:rsidR="006C75CD" w:rsidRPr="00DD5297" w:rsidRDefault="00106680" w:rsidP="00DD5297">
      <w:pPr>
        <w:pStyle w:val="Heading5"/>
      </w:pPr>
      <w:r w:rsidRPr="00DD5297">
        <w:rPr>
          <w:rStyle w:val="Heading5Char"/>
          <w:rFonts w:eastAsia="Cambria"/>
          <w:b/>
          <w:bCs/>
          <w:i/>
        </w:rPr>
        <w:t>Sponsor’s response</w:t>
      </w:r>
    </w:p>
    <w:p w:rsidR="00106680" w:rsidRPr="006C75CD" w:rsidRDefault="00106680" w:rsidP="00DD5297">
      <w:r w:rsidRPr="006C75CD">
        <w:t>The requested analysis was not performed but the sponsor has provided a justification for its omission. The</w:t>
      </w:r>
      <w:r w:rsidR="007C3A95" w:rsidRPr="006C75CD">
        <w:t xml:space="preserve"> sponsor</w:t>
      </w:r>
      <w:r w:rsidRPr="006C75CD">
        <w:t xml:space="preserve"> argue</w:t>
      </w:r>
      <w:r w:rsidR="007C3A95" w:rsidRPr="006C75CD">
        <w:t>s</w:t>
      </w:r>
      <w:r w:rsidRPr="006C75CD">
        <w:t xml:space="preserve"> that </w:t>
      </w:r>
      <w:r w:rsidR="009A648A" w:rsidRPr="006C75CD">
        <w:t>Study</w:t>
      </w:r>
      <w:r w:rsidR="001452CA" w:rsidRPr="006C75CD">
        <w:t xml:space="preserve"> </w:t>
      </w:r>
      <w:r w:rsidRPr="006C75CD">
        <w:t>C8</w:t>
      </w:r>
      <w:r w:rsidR="000E2556">
        <w:t>7027/2</w:t>
      </w:r>
      <w:r w:rsidR="004966DB">
        <w:t>8 had 982 patients in the intent</w:t>
      </w:r>
      <w:r w:rsidR="000E2556">
        <w:t>-to-</w:t>
      </w:r>
      <w:r w:rsidR="000E2556" w:rsidRPr="000E2556">
        <w:t xml:space="preserve">treat </w:t>
      </w:r>
      <w:r w:rsidR="000E2556">
        <w:t>(</w:t>
      </w:r>
      <w:r w:rsidRPr="006C75CD">
        <w:t>ITT</w:t>
      </w:r>
      <w:r w:rsidR="000E2556">
        <w:t>)</w:t>
      </w:r>
      <w:r w:rsidRPr="006C75CD">
        <w:t xml:space="preserve"> population compared with </w:t>
      </w:r>
      <w:r w:rsidR="000C6268">
        <w:t>‘</w:t>
      </w:r>
      <w:r w:rsidRPr="006C75CD">
        <w:t>only</w:t>
      </w:r>
      <w:r w:rsidR="000C6268">
        <w:t>’</w:t>
      </w:r>
      <w:r w:rsidRPr="006C75CD">
        <w:t xml:space="preserve"> 619 patients in the </w:t>
      </w:r>
      <w:r w:rsidR="009A648A" w:rsidRPr="006C75CD">
        <w:t>Study</w:t>
      </w:r>
      <w:r w:rsidR="001452CA" w:rsidRPr="006C75CD">
        <w:t xml:space="preserve"> </w:t>
      </w:r>
      <w:r w:rsidRPr="006C75CD">
        <w:t>C87050/51 population. The</w:t>
      </w:r>
      <w:r w:rsidR="007C3A95" w:rsidRPr="006C75CD">
        <w:t xml:space="preserve"> sponsor</w:t>
      </w:r>
      <w:r w:rsidRPr="006C75CD">
        <w:t xml:space="preserve"> also argue</w:t>
      </w:r>
      <w:r w:rsidR="007C3A95" w:rsidRPr="006C75CD">
        <w:t>s</w:t>
      </w:r>
      <w:r w:rsidRPr="006C75CD">
        <w:t xml:space="preserve"> that efficacy outcomes in </w:t>
      </w:r>
      <w:r w:rsidR="009A648A" w:rsidRPr="006C75CD">
        <w:t>Study</w:t>
      </w:r>
      <w:r w:rsidR="001452CA" w:rsidRPr="006C75CD">
        <w:t xml:space="preserve"> </w:t>
      </w:r>
      <w:r w:rsidRPr="006C75CD">
        <w:t>C87027/81</w:t>
      </w:r>
      <w:r w:rsidR="000E2556">
        <w:t xml:space="preserve"> are extrapolated from placebo </w:t>
      </w:r>
      <w:r w:rsidRPr="006C75CD">
        <w:t xml:space="preserve">controlled data at Week 52, whereas only 24 week comparator data are available for </w:t>
      </w:r>
      <w:r w:rsidR="009A648A" w:rsidRPr="006C75CD">
        <w:t>Study</w:t>
      </w:r>
      <w:r w:rsidR="001452CA" w:rsidRPr="006C75CD">
        <w:t xml:space="preserve"> </w:t>
      </w:r>
      <w:r w:rsidRPr="006C75CD">
        <w:t>C87050/51.</w:t>
      </w:r>
    </w:p>
    <w:p w:rsidR="00106680" w:rsidRPr="006C75CD" w:rsidRDefault="00106680" w:rsidP="00DD5297">
      <w:r w:rsidRPr="006C75CD">
        <w:rPr>
          <w:i/>
        </w:rPr>
        <w:t>Evaluator’s response:</w:t>
      </w:r>
      <w:r w:rsidRPr="006C75CD">
        <w:t xml:space="preserve"> The sponsor’s arguments are valid although the second is more cogent than the first. Extrapolation from Week 24 to the end of two years is more subject to error than extrapolation from Week 52. Nonetheless, it would be desirable for this analysis to be performed. While acknowledging the caveats, significant differences between the two analyses would require explanation.</w:t>
      </w:r>
    </w:p>
    <w:p w:rsidR="00106680" w:rsidRPr="006C75CD" w:rsidRDefault="006C75CD" w:rsidP="00DD5297">
      <w:pPr>
        <w:pStyle w:val="Heading4"/>
      </w:pPr>
      <w:r w:rsidRPr="00DD5297">
        <w:t>Question</w:t>
      </w:r>
      <w:r>
        <w:t xml:space="preserve"> 2</w:t>
      </w:r>
    </w:p>
    <w:p w:rsidR="006C75CD" w:rsidRDefault="006C75CD" w:rsidP="00DD5297">
      <w:pPr>
        <w:pStyle w:val="Heading5"/>
      </w:pPr>
      <w:r>
        <w:t xml:space="preserve">Sponsor’s </w:t>
      </w:r>
      <w:r w:rsidRPr="00DD5297">
        <w:t>response</w:t>
      </w:r>
    </w:p>
    <w:p w:rsidR="00106680" w:rsidRPr="006C75CD" w:rsidRDefault="00106680" w:rsidP="00DD5297">
      <w:r w:rsidRPr="006C75CD">
        <w:t xml:space="preserve">No </w:t>
      </w:r>
      <w:r w:rsidR="000E2556">
        <w:t xml:space="preserve">statistical assessment of inter </w:t>
      </w:r>
      <w:r w:rsidRPr="006C75CD">
        <w:t>reader variability has been provided. However, the sponsor has provided an extensive summary of the methodology and measures taken to minimise reader error, all representing best practice.</w:t>
      </w:r>
    </w:p>
    <w:p w:rsidR="00106680" w:rsidRPr="006C75CD" w:rsidRDefault="00106680" w:rsidP="00DD5297">
      <w:r w:rsidRPr="006C75CD">
        <w:rPr>
          <w:i/>
        </w:rPr>
        <w:t>Evaluator’s response:</w:t>
      </w:r>
      <w:r w:rsidRPr="006C75CD">
        <w:t xml:space="preserve"> The sponsor’s response is satisfactory.</w:t>
      </w:r>
    </w:p>
    <w:p w:rsidR="00605AD4" w:rsidRDefault="00605AD4" w:rsidP="00DD5297">
      <w:pPr>
        <w:pStyle w:val="Heading3"/>
        <w:rPr>
          <w:rFonts w:eastAsia="Cambria"/>
        </w:rPr>
      </w:pPr>
      <w:bookmarkStart w:id="105" w:name="_Toc434223861"/>
      <w:bookmarkStart w:id="106" w:name="_Toc435781406"/>
      <w:bookmarkEnd w:id="102"/>
      <w:bookmarkEnd w:id="103"/>
      <w:bookmarkEnd w:id="104"/>
      <w:r w:rsidRPr="00605AD4">
        <w:rPr>
          <w:rFonts w:eastAsia="Cambria"/>
        </w:rPr>
        <w:t xml:space="preserve">Second </w:t>
      </w:r>
      <w:r w:rsidR="001451B9" w:rsidRPr="00605AD4">
        <w:rPr>
          <w:rFonts w:eastAsia="Cambria"/>
        </w:rPr>
        <w:t>round benefit-risk assessment</w:t>
      </w:r>
      <w:bookmarkEnd w:id="105"/>
      <w:bookmarkEnd w:id="106"/>
    </w:p>
    <w:p w:rsidR="00106680" w:rsidRPr="00106680" w:rsidRDefault="00106680" w:rsidP="00DD5297">
      <w:pPr>
        <w:pStyle w:val="Heading4"/>
      </w:pPr>
      <w:bookmarkStart w:id="107" w:name="_Toc290663810"/>
      <w:bookmarkStart w:id="108" w:name="_Toc290663966"/>
      <w:bookmarkStart w:id="109" w:name="_Toc290664559"/>
      <w:bookmarkStart w:id="110" w:name="_Toc290664868"/>
      <w:bookmarkStart w:id="111" w:name="_Toc290665024"/>
      <w:bookmarkStart w:id="112" w:name="_Toc290665752"/>
      <w:bookmarkStart w:id="113" w:name="_Toc290665925"/>
      <w:bookmarkStart w:id="114" w:name="_Toc290669473"/>
      <w:bookmarkStart w:id="115" w:name="_Toc290669646"/>
      <w:bookmarkStart w:id="116" w:name="_Toc290715963"/>
      <w:bookmarkStart w:id="117" w:name="_Toc290716136"/>
      <w:bookmarkStart w:id="118" w:name="_Toc290731463"/>
      <w:bookmarkStart w:id="119" w:name="_Toc290731636"/>
      <w:bookmarkStart w:id="120" w:name="_Toc290731957"/>
      <w:bookmarkStart w:id="121" w:name="_Toc290732278"/>
      <w:bookmarkStart w:id="122" w:name="_Toc290663811"/>
      <w:bookmarkStart w:id="123" w:name="_Toc290663967"/>
      <w:bookmarkStart w:id="124" w:name="_Toc290664560"/>
      <w:bookmarkStart w:id="125" w:name="_Toc290664869"/>
      <w:bookmarkStart w:id="126" w:name="_Toc290665025"/>
      <w:bookmarkStart w:id="127" w:name="_Toc290665753"/>
      <w:bookmarkStart w:id="128" w:name="_Toc290665926"/>
      <w:bookmarkStart w:id="129" w:name="_Toc290669474"/>
      <w:bookmarkStart w:id="130" w:name="_Toc290669647"/>
      <w:bookmarkStart w:id="131" w:name="_Toc290715964"/>
      <w:bookmarkStart w:id="132" w:name="_Toc290716137"/>
      <w:bookmarkStart w:id="133" w:name="_Toc290731464"/>
      <w:bookmarkStart w:id="134" w:name="_Toc290731637"/>
      <w:bookmarkStart w:id="135" w:name="_Toc290731958"/>
      <w:bookmarkStart w:id="136" w:name="_Toc290732279"/>
      <w:bookmarkStart w:id="137" w:name="_Toc272414709"/>
      <w:bookmarkStart w:id="138" w:name="_Toc290846349"/>
      <w:bookmarkStart w:id="139" w:name="_Toc398892947"/>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106680">
        <w:t xml:space="preserve">Second round </w:t>
      </w:r>
      <w:r w:rsidRPr="00DD5297">
        <w:t>assessment</w:t>
      </w:r>
      <w:r w:rsidRPr="00106680">
        <w:t xml:space="preserve"> of benefits</w:t>
      </w:r>
      <w:bookmarkEnd w:id="137"/>
      <w:bookmarkEnd w:id="138"/>
      <w:bookmarkEnd w:id="139"/>
    </w:p>
    <w:p w:rsidR="00106680" w:rsidRPr="00106680" w:rsidRDefault="00106680" w:rsidP="00DD5297">
      <w:bookmarkStart w:id="140" w:name="_Toc272414710"/>
      <w:bookmarkStart w:id="141" w:name="_Toc290846350"/>
      <w:r w:rsidRPr="00106680">
        <w:t>There is no change to the assessment of benefits summarised in the first round evaluation.</w:t>
      </w:r>
    </w:p>
    <w:p w:rsidR="00106680" w:rsidRPr="00106680" w:rsidRDefault="00106680" w:rsidP="00DD5297">
      <w:pPr>
        <w:pStyle w:val="Heading4"/>
      </w:pPr>
      <w:bookmarkStart w:id="142" w:name="_Toc398892948"/>
      <w:r w:rsidRPr="00106680">
        <w:t xml:space="preserve">Second round </w:t>
      </w:r>
      <w:r w:rsidRPr="00DD5297">
        <w:t>assessment</w:t>
      </w:r>
      <w:r w:rsidRPr="00106680">
        <w:t xml:space="preserve"> of risks</w:t>
      </w:r>
      <w:bookmarkEnd w:id="140"/>
      <w:bookmarkEnd w:id="141"/>
      <w:bookmarkEnd w:id="142"/>
    </w:p>
    <w:p w:rsidR="00106680" w:rsidRPr="00106680" w:rsidRDefault="00106680" w:rsidP="00DD5297">
      <w:bookmarkStart w:id="143" w:name="_Toc272414711"/>
      <w:bookmarkStart w:id="144" w:name="_Toc290846351"/>
      <w:r w:rsidRPr="00106680">
        <w:t>There is no change to the assessment of risks summarised</w:t>
      </w:r>
      <w:r w:rsidR="00D2165F">
        <w:t xml:space="preserve"> in the first round evaluation.</w:t>
      </w:r>
    </w:p>
    <w:p w:rsidR="00106680" w:rsidRPr="00106680" w:rsidRDefault="00106680" w:rsidP="00DD5297">
      <w:pPr>
        <w:pStyle w:val="Heading4"/>
      </w:pPr>
      <w:bookmarkStart w:id="145" w:name="_Toc398892949"/>
      <w:r w:rsidRPr="00106680">
        <w:t xml:space="preserve">Second round </w:t>
      </w:r>
      <w:r w:rsidRPr="00DD5297">
        <w:t>assessment</w:t>
      </w:r>
      <w:r w:rsidRPr="00106680">
        <w:t xml:space="preserve"> of benefit-risk balance</w:t>
      </w:r>
      <w:bookmarkEnd w:id="143"/>
      <w:bookmarkEnd w:id="144"/>
      <w:bookmarkEnd w:id="145"/>
    </w:p>
    <w:p w:rsidR="00106680" w:rsidRDefault="00106680" w:rsidP="00DD5297">
      <w:r w:rsidRPr="00106680">
        <w:t>There is no change to the asse</w:t>
      </w:r>
      <w:r w:rsidR="00D2165F">
        <w:t>ssment of benefit-risk balance.</w:t>
      </w:r>
    </w:p>
    <w:p w:rsidR="00486DAF" w:rsidRPr="00486DAF" w:rsidRDefault="00486DAF" w:rsidP="00DD5297">
      <w:pPr>
        <w:pStyle w:val="Heading4"/>
      </w:pPr>
      <w:bookmarkStart w:id="146" w:name="_Toc398892950"/>
      <w:r w:rsidRPr="00486DAF">
        <w:t xml:space="preserve">Second round </w:t>
      </w:r>
      <w:r w:rsidRPr="00DD5297">
        <w:t>recommendation</w:t>
      </w:r>
      <w:r w:rsidRPr="00486DAF">
        <w:t xml:space="preserve"> regarding authorisation</w:t>
      </w:r>
      <w:bookmarkEnd w:id="146"/>
    </w:p>
    <w:p w:rsidR="006C75CD" w:rsidRDefault="00486DAF" w:rsidP="00DD5297">
      <w:r w:rsidRPr="0095497F">
        <w:t>Authorisation is recommended for the p</w:t>
      </w:r>
      <w:r w:rsidR="00D2165F">
        <w:t>roposed indication:</w:t>
      </w:r>
    </w:p>
    <w:p w:rsidR="006C75CD" w:rsidRPr="00DD5297" w:rsidRDefault="00486DAF" w:rsidP="00DD5297">
      <w:pPr>
        <w:ind w:left="720"/>
        <w:rPr>
          <w:i/>
        </w:rPr>
      </w:pPr>
      <w:proofErr w:type="spellStart"/>
      <w:r w:rsidRPr="00DD5297">
        <w:rPr>
          <w:i/>
        </w:rPr>
        <w:t>Cimzia</w:t>
      </w:r>
      <w:proofErr w:type="spellEnd"/>
      <w:r w:rsidRPr="00DD5297">
        <w:rPr>
          <w:i/>
        </w:rPr>
        <w:t xml:space="preserve"> has been shown to reduce the rate of progression of joint damage as measured by X-ray, when given in combination with MTX</w:t>
      </w:r>
      <w:r w:rsidR="006C75CD" w:rsidRPr="00DD5297">
        <w:rPr>
          <w:i/>
        </w:rPr>
        <w:t>.</w:t>
      </w:r>
    </w:p>
    <w:p w:rsidR="00486DAF" w:rsidRPr="00250BC5" w:rsidRDefault="00486DAF" w:rsidP="00DD5297">
      <w:r w:rsidRPr="0095497F">
        <w:t>However, approval is subject to incorporation of suggested changes to the proposed PI</w:t>
      </w:r>
      <w:r>
        <w:t>.</w:t>
      </w:r>
    </w:p>
    <w:p w:rsidR="008E7846" w:rsidRPr="00E41208" w:rsidRDefault="008E7846" w:rsidP="00DD5297">
      <w:pPr>
        <w:pStyle w:val="Heading2"/>
      </w:pPr>
      <w:bookmarkStart w:id="147" w:name="_Toc434223862"/>
      <w:bookmarkStart w:id="148" w:name="_Toc435781407"/>
      <w:r w:rsidRPr="00E41208">
        <w:lastRenderedPageBreak/>
        <w:t xml:space="preserve">V. Pharmacovigilance </w:t>
      </w:r>
      <w:r>
        <w:t>f</w:t>
      </w:r>
      <w:r w:rsidRPr="00E41208">
        <w:t>indings</w:t>
      </w:r>
      <w:bookmarkEnd w:id="90"/>
      <w:bookmarkEnd w:id="91"/>
      <w:bookmarkEnd w:id="147"/>
      <w:bookmarkEnd w:id="148"/>
    </w:p>
    <w:p w:rsidR="00546154" w:rsidRDefault="00546154" w:rsidP="00DD5297">
      <w:bookmarkStart w:id="149" w:name="_Toc247691526"/>
      <w:bookmarkStart w:id="150" w:name="_Toc314842509"/>
      <w:r w:rsidRPr="00443686">
        <w:t>The TGA granted a waiver</w:t>
      </w:r>
      <w:r w:rsidRPr="00215262">
        <w:t xml:space="preserve"> from the </w:t>
      </w:r>
      <w:r w:rsidRPr="00443686">
        <w:t>requirement for a Risk Management Plan for this application.</w:t>
      </w:r>
    </w:p>
    <w:p w:rsidR="00F47771" w:rsidRDefault="00F47771" w:rsidP="00DD5297">
      <w:r>
        <w:t>The safety of certolizumab</w:t>
      </w:r>
      <w:r w:rsidRPr="006C4B56">
        <w:t xml:space="preserve"> </w:t>
      </w:r>
      <w:r>
        <w:t xml:space="preserve">in patients with RA </w:t>
      </w:r>
      <w:r w:rsidRPr="00B11B3A">
        <w:t xml:space="preserve">has </w:t>
      </w:r>
      <w:r>
        <w:t xml:space="preserve">previously been </w:t>
      </w:r>
      <w:r w:rsidRPr="00B11B3A">
        <w:t>demonstrated</w:t>
      </w:r>
      <w:r>
        <w:t>, and no new safety concerns have been identified.</w:t>
      </w:r>
    </w:p>
    <w:p w:rsidR="008E7846" w:rsidRPr="00792A32" w:rsidRDefault="008E7846" w:rsidP="00DD5297">
      <w:pPr>
        <w:pStyle w:val="Heading2"/>
      </w:pPr>
      <w:bookmarkStart w:id="151" w:name="_Toc247691527"/>
      <w:bookmarkStart w:id="152" w:name="_Toc314842510"/>
      <w:bookmarkStart w:id="153" w:name="_Toc434223863"/>
      <w:bookmarkStart w:id="154" w:name="_Toc435781408"/>
      <w:bookmarkEnd w:id="149"/>
      <w:bookmarkEnd w:id="150"/>
      <w:r>
        <w:t xml:space="preserve">VI. </w:t>
      </w:r>
      <w:r w:rsidRPr="00792A32">
        <w:t xml:space="preserve">Overall </w:t>
      </w:r>
      <w:r>
        <w:t>c</w:t>
      </w:r>
      <w:r w:rsidRPr="00792A32">
        <w:t xml:space="preserve">onclusion </w:t>
      </w:r>
      <w:r w:rsidRPr="00DD5297">
        <w:t>and</w:t>
      </w:r>
      <w:r w:rsidRPr="00792A32">
        <w:t xml:space="preserve"> </w:t>
      </w:r>
      <w:r>
        <w:t>r</w:t>
      </w:r>
      <w:r w:rsidRPr="00792A32">
        <w:t>isk/</w:t>
      </w:r>
      <w:r>
        <w:t>b</w:t>
      </w:r>
      <w:r w:rsidRPr="00792A32">
        <w:t xml:space="preserve">enefit </w:t>
      </w:r>
      <w:r>
        <w:t>a</w:t>
      </w:r>
      <w:r w:rsidRPr="00792A32">
        <w:t>ssessment</w:t>
      </w:r>
      <w:bookmarkEnd w:id="92"/>
      <w:bookmarkEnd w:id="151"/>
      <w:bookmarkEnd w:id="152"/>
      <w:bookmarkEnd w:id="153"/>
      <w:bookmarkEnd w:id="154"/>
    </w:p>
    <w:p w:rsidR="008E7846" w:rsidRDefault="008E7846" w:rsidP="00DD5297">
      <w:bookmarkStart w:id="155" w:name="_Toc247691528"/>
      <w:r>
        <w:t xml:space="preserve">The submission was summarised in the following </w:t>
      </w:r>
      <w:r w:rsidRPr="00EF5C48">
        <w:t xml:space="preserve">Delegate’s </w:t>
      </w:r>
      <w:r>
        <w:t>overview</w:t>
      </w:r>
      <w:r w:rsidRPr="00EF5C48">
        <w:t xml:space="preserve"> and recommendation</w:t>
      </w:r>
      <w:r>
        <w:t>s:</w:t>
      </w:r>
    </w:p>
    <w:p w:rsidR="00786B00" w:rsidRPr="00786B00" w:rsidRDefault="00786B00" w:rsidP="00DD5297">
      <w:r w:rsidRPr="00786B00">
        <w:t>Current approved treatment options in Australia for moderate to seve</w:t>
      </w:r>
      <w:r w:rsidR="007B6A4E">
        <w:t>re active RA</w:t>
      </w:r>
      <w:r w:rsidRPr="00786B00">
        <w:t xml:space="preserve"> include </w:t>
      </w:r>
      <w:r w:rsidR="00076E18" w:rsidRPr="00076E18">
        <w:t>non-steroidal anti-inflammatory drug</w:t>
      </w:r>
      <w:r w:rsidR="00076E18">
        <w:t>s</w:t>
      </w:r>
      <w:r w:rsidR="00076E18" w:rsidRPr="00076E18">
        <w:t xml:space="preserve"> </w:t>
      </w:r>
      <w:r w:rsidR="00076E18">
        <w:t>(</w:t>
      </w:r>
      <w:r w:rsidRPr="00786B00">
        <w:t>NSAIDs</w:t>
      </w:r>
      <w:r w:rsidR="00076E18">
        <w:t>)</w:t>
      </w:r>
      <w:r w:rsidRPr="00786B00">
        <w:t>, corticosteroids (CS), and non-biolog</w:t>
      </w:r>
      <w:r w:rsidR="001307E6">
        <w:t>ical DMARDs (mainly MTX</w:t>
      </w:r>
      <w:r w:rsidRPr="00786B00">
        <w:t xml:space="preserve">, sulfasalazine </w:t>
      </w:r>
      <w:r w:rsidR="00C97967">
        <w:t>(</w:t>
      </w:r>
      <w:r w:rsidRPr="00786B00">
        <w:t>SSZ</w:t>
      </w:r>
      <w:r w:rsidR="00C97967">
        <w:t>)</w:t>
      </w:r>
      <w:r w:rsidRPr="00786B00">
        <w:t xml:space="preserve">, and </w:t>
      </w:r>
      <w:proofErr w:type="spellStart"/>
      <w:r w:rsidRPr="00786B00">
        <w:t>leflunomide</w:t>
      </w:r>
      <w:proofErr w:type="spellEnd"/>
      <w:r w:rsidRPr="00786B00">
        <w:t xml:space="preserve"> </w:t>
      </w:r>
      <w:r w:rsidR="00C97967">
        <w:t>(</w:t>
      </w:r>
      <w:r w:rsidRPr="00786B00">
        <w:t>LEF</w:t>
      </w:r>
      <w:r w:rsidR="00C97967">
        <w:t>)</w:t>
      </w:r>
      <w:r w:rsidRPr="00786B00">
        <w:t>). Specific</w:t>
      </w:r>
      <w:r w:rsidR="00EE185F">
        <w:t xml:space="preserve"> pharmaceutical treatments (TNF</w:t>
      </w:r>
      <w:r w:rsidRPr="00786B00">
        <w:t xml:space="preserve">α inhibitors) registered for the </w:t>
      </w:r>
      <w:r w:rsidR="005B18BF" w:rsidRPr="00786B00">
        <w:t>treatment of RA includes</w:t>
      </w:r>
      <w:r w:rsidRPr="00786B00">
        <w:t xml:space="preserve"> </w:t>
      </w:r>
      <w:proofErr w:type="spellStart"/>
      <w:r w:rsidRPr="00786B00">
        <w:t>adalimumab</w:t>
      </w:r>
      <w:proofErr w:type="spellEnd"/>
      <w:r w:rsidRPr="00786B00">
        <w:t xml:space="preserve"> (</w:t>
      </w:r>
      <w:proofErr w:type="spellStart"/>
      <w:r w:rsidRPr="00786B00">
        <w:t>Humira</w:t>
      </w:r>
      <w:proofErr w:type="spellEnd"/>
      <w:r w:rsidRPr="00786B00">
        <w:t xml:space="preserve">), infliximab </w:t>
      </w:r>
      <w:r w:rsidR="005B18BF">
        <w:t>(</w:t>
      </w:r>
      <w:proofErr w:type="spellStart"/>
      <w:r w:rsidR="005B18BF">
        <w:t>Remicade</w:t>
      </w:r>
      <w:proofErr w:type="spellEnd"/>
      <w:r w:rsidR="005B18BF">
        <w:t xml:space="preserve">), </w:t>
      </w:r>
      <w:proofErr w:type="spellStart"/>
      <w:r w:rsidR="005B18BF">
        <w:t>etanercept</w:t>
      </w:r>
      <w:proofErr w:type="spellEnd"/>
      <w:r w:rsidR="005B18BF">
        <w:t xml:space="preserve"> (Enbrel)</w:t>
      </w:r>
      <w:r w:rsidRPr="00786B00">
        <w:t xml:space="preserve"> and </w:t>
      </w:r>
      <w:proofErr w:type="spellStart"/>
      <w:r w:rsidRPr="00786B00">
        <w:t>golimumab</w:t>
      </w:r>
      <w:proofErr w:type="spellEnd"/>
      <w:r w:rsidRPr="00786B00">
        <w:t xml:space="preserve"> (</w:t>
      </w:r>
      <w:proofErr w:type="spellStart"/>
      <w:r w:rsidRPr="00786B00">
        <w:t>Simponi</w:t>
      </w:r>
      <w:proofErr w:type="spellEnd"/>
      <w:r w:rsidRPr="00786B00">
        <w:t xml:space="preserve">). Other alternative agents include the anti-interleukin (IL)-6 receptor antibody, </w:t>
      </w:r>
      <w:proofErr w:type="spellStart"/>
      <w:r w:rsidRPr="00786B00">
        <w:t>tocilizumab</w:t>
      </w:r>
      <w:proofErr w:type="spellEnd"/>
      <w:r w:rsidRPr="00786B00">
        <w:t xml:space="preserve"> (</w:t>
      </w:r>
      <w:proofErr w:type="spellStart"/>
      <w:r w:rsidRPr="00786B00">
        <w:t>Actemra</w:t>
      </w:r>
      <w:proofErr w:type="spellEnd"/>
      <w:r w:rsidRPr="00786B00">
        <w:t>); the CD80 + CD86 and CD28 interaction co</w:t>
      </w:r>
      <w:r w:rsidR="000E2556">
        <w:t>-</w:t>
      </w:r>
      <w:r w:rsidRPr="00786B00">
        <w:t xml:space="preserve">stimulation modulator, </w:t>
      </w:r>
      <w:proofErr w:type="spellStart"/>
      <w:r w:rsidRPr="00786B00">
        <w:t>abatacept</w:t>
      </w:r>
      <w:proofErr w:type="spellEnd"/>
      <w:r w:rsidRPr="00786B00">
        <w:t xml:space="preserve"> (</w:t>
      </w:r>
      <w:proofErr w:type="spellStart"/>
      <w:r w:rsidRPr="00786B00">
        <w:t>Orencia</w:t>
      </w:r>
      <w:proofErr w:type="spellEnd"/>
      <w:r w:rsidRPr="00786B00">
        <w:t>); and the IL-1 receptor antagonist, anakinra (Kineret).</w:t>
      </w:r>
    </w:p>
    <w:p w:rsidR="005B18BF" w:rsidRPr="005B18BF" w:rsidRDefault="00786B00" w:rsidP="00DD5297">
      <w:r w:rsidRPr="005B18BF">
        <w:t>The currently approved RA indications (</w:t>
      </w:r>
      <w:r w:rsidR="005B18BF" w:rsidRPr="005B18BF">
        <w:t>for other specific pharmaceutical treatments are as follows:</w:t>
      </w:r>
    </w:p>
    <w:p w:rsidR="005B18BF" w:rsidRPr="005B18BF" w:rsidRDefault="005B18BF" w:rsidP="00DD5297">
      <w:pPr>
        <w:pStyle w:val="ListBullet"/>
      </w:pPr>
      <w:proofErr w:type="spellStart"/>
      <w:r w:rsidRPr="00DD5297">
        <w:t>Adalimumab</w:t>
      </w:r>
      <w:proofErr w:type="spellEnd"/>
    </w:p>
    <w:p w:rsidR="005B18BF" w:rsidRPr="00DD5297" w:rsidRDefault="005B18BF" w:rsidP="00DD5297">
      <w:pPr>
        <w:pStyle w:val="ListBullet2"/>
        <w:numPr>
          <w:ilvl w:val="0"/>
          <w:numId w:val="0"/>
        </w:numPr>
        <w:ind w:left="720"/>
        <w:rPr>
          <w:i/>
        </w:rPr>
      </w:pPr>
      <w:proofErr w:type="spellStart"/>
      <w:r w:rsidRPr="00DD5297">
        <w:rPr>
          <w:i/>
        </w:rPr>
        <w:t>Humira</w:t>
      </w:r>
      <w:proofErr w:type="spellEnd"/>
      <w:r w:rsidRPr="00DD5297">
        <w:rPr>
          <w:i/>
        </w:rPr>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rsidR="005B18BF" w:rsidRPr="00DD5297" w:rsidRDefault="005B18BF" w:rsidP="00DD5297">
      <w:pPr>
        <w:pStyle w:val="ListBullet2"/>
        <w:numPr>
          <w:ilvl w:val="0"/>
          <w:numId w:val="0"/>
        </w:numPr>
        <w:ind w:left="720"/>
        <w:rPr>
          <w:i/>
        </w:rPr>
      </w:pPr>
      <w:proofErr w:type="spellStart"/>
      <w:r w:rsidRPr="00DD5297">
        <w:rPr>
          <w:i/>
        </w:rPr>
        <w:t>Humira</w:t>
      </w:r>
      <w:proofErr w:type="spellEnd"/>
      <w:r w:rsidRPr="00DD5297">
        <w:rPr>
          <w:i/>
        </w:rPr>
        <w:t xml:space="preserve"> can be used alone or in combination with methotrexate.</w:t>
      </w:r>
    </w:p>
    <w:p w:rsidR="005B18BF" w:rsidRPr="005B18BF" w:rsidRDefault="005B18BF" w:rsidP="00DD5297">
      <w:pPr>
        <w:pStyle w:val="ListBullet"/>
      </w:pPr>
      <w:r w:rsidRPr="00DD5297">
        <w:t>Infliximab</w:t>
      </w:r>
    </w:p>
    <w:p w:rsidR="005B18BF" w:rsidRPr="00DD5297" w:rsidRDefault="005B18BF" w:rsidP="00DD5297">
      <w:pPr>
        <w:pStyle w:val="ListBullet2"/>
        <w:numPr>
          <w:ilvl w:val="0"/>
          <w:numId w:val="0"/>
        </w:numPr>
        <w:ind w:left="720"/>
        <w:rPr>
          <w:i/>
        </w:rPr>
      </w:pPr>
      <w:proofErr w:type="spellStart"/>
      <w:r w:rsidRPr="00DD5297">
        <w:rPr>
          <w:i/>
        </w:rPr>
        <w:t>Remicade</w:t>
      </w:r>
      <w:proofErr w:type="spellEnd"/>
      <w:r w:rsidRPr="00DD5297">
        <w:rPr>
          <w:i/>
        </w:rPr>
        <w:t>, in combination with methotrexate, is indicated for the reduction of signs and symptoms and prevention of structural joint damage (erosions and joint space narrowing) in:</w:t>
      </w:r>
    </w:p>
    <w:p w:rsidR="005B18BF" w:rsidRPr="00DD5297" w:rsidRDefault="005B18BF" w:rsidP="00DD5297">
      <w:pPr>
        <w:pStyle w:val="ListBullet3"/>
        <w:numPr>
          <w:ilvl w:val="0"/>
          <w:numId w:val="0"/>
        </w:numPr>
        <w:ind w:left="1080"/>
        <w:rPr>
          <w:i/>
        </w:rPr>
      </w:pPr>
      <w:r w:rsidRPr="00DD5297">
        <w:rPr>
          <w:i/>
        </w:rPr>
        <w:t>patients with active disease despite treatment with methotrexate</w:t>
      </w:r>
    </w:p>
    <w:p w:rsidR="005B18BF" w:rsidRPr="00DD5297" w:rsidRDefault="005B18BF" w:rsidP="00DD5297">
      <w:pPr>
        <w:pStyle w:val="ListBullet3"/>
        <w:numPr>
          <w:ilvl w:val="0"/>
          <w:numId w:val="0"/>
        </w:numPr>
        <w:ind w:left="1080"/>
        <w:rPr>
          <w:i/>
        </w:rPr>
      </w:pPr>
      <w:proofErr w:type="gramStart"/>
      <w:r w:rsidRPr="00DD5297">
        <w:rPr>
          <w:i/>
        </w:rPr>
        <w:t>patients</w:t>
      </w:r>
      <w:proofErr w:type="gramEnd"/>
      <w:r w:rsidRPr="00DD5297">
        <w:rPr>
          <w:i/>
        </w:rPr>
        <w:t xml:space="preserve"> with active disease who have not previously received methotrexate.</w:t>
      </w:r>
    </w:p>
    <w:p w:rsidR="005B18BF" w:rsidRPr="00DD5297" w:rsidRDefault="005B18BF" w:rsidP="00DD5297">
      <w:pPr>
        <w:pStyle w:val="ListBullet2"/>
        <w:numPr>
          <w:ilvl w:val="0"/>
          <w:numId w:val="0"/>
        </w:numPr>
        <w:ind w:left="720"/>
        <w:rPr>
          <w:i/>
        </w:rPr>
      </w:pPr>
      <w:proofErr w:type="spellStart"/>
      <w:r w:rsidRPr="00DD5297">
        <w:rPr>
          <w:i/>
        </w:rPr>
        <w:t>Remicade</w:t>
      </w:r>
      <w:proofErr w:type="spellEnd"/>
      <w:r w:rsidRPr="00DD5297">
        <w:rPr>
          <w:i/>
        </w:rPr>
        <w:t xml:space="preserve"> should be given in combination with methotrexate. Efficacy and safety in Rheumatoid Arthritis have been demonstrated only in combination with methotrexate.</w:t>
      </w:r>
    </w:p>
    <w:p w:rsidR="005B18BF" w:rsidRPr="005B18BF" w:rsidRDefault="005B18BF" w:rsidP="00DD5297">
      <w:pPr>
        <w:pStyle w:val="ListBullet"/>
      </w:pPr>
      <w:proofErr w:type="spellStart"/>
      <w:r w:rsidRPr="00DD5297">
        <w:t>Etanercept</w:t>
      </w:r>
      <w:proofErr w:type="spellEnd"/>
    </w:p>
    <w:p w:rsidR="005B18BF" w:rsidRPr="00DD5297" w:rsidRDefault="005B18BF" w:rsidP="00DD5297">
      <w:pPr>
        <w:pStyle w:val="ListBullet2"/>
        <w:numPr>
          <w:ilvl w:val="0"/>
          <w:numId w:val="0"/>
        </w:numPr>
        <w:ind w:left="720"/>
        <w:rPr>
          <w:i/>
        </w:rPr>
      </w:pPr>
      <w:r w:rsidRPr="00DD5297">
        <w:rPr>
          <w:i/>
        </w:rPr>
        <w:t>Rheumatoid Arthritis</w:t>
      </w:r>
    </w:p>
    <w:p w:rsidR="005B18BF" w:rsidRPr="00DD5297" w:rsidRDefault="005B18BF" w:rsidP="00DD5297">
      <w:pPr>
        <w:pStyle w:val="ListBullet3"/>
        <w:numPr>
          <w:ilvl w:val="0"/>
          <w:numId w:val="0"/>
        </w:numPr>
        <w:ind w:left="1080"/>
        <w:rPr>
          <w:i/>
        </w:rPr>
      </w:pPr>
      <w:r w:rsidRPr="00DD5297">
        <w:rPr>
          <w:i/>
        </w:rPr>
        <w:t>Active, adult rheumatoid arthritis (RA) in patients who have had inadequate response to one or more disease-modifying antirheumatic drugs (DMARDs). E</w:t>
      </w:r>
      <w:r w:rsidR="00EB27E3" w:rsidRPr="00DD5297">
        <w:rPr>
          <w:i/>
        </w:rPr>
        <w:t xml:space="preserve">nbrel </w:t>
      </w:r>
      <w:r w:rsidRPr="00DD5297">
        <w:rPr>
          <w:i/>
        </w:rPr>
        <w:t>can be used in combination with methotrexate.</w:t>
      </w:r>
    </w:p>
    <w:p w:rsidR="005B18BF" w:rsidRPr="00DD5297" w:rsidRDefault="005B18BF" w:rsidP="00DD5297">
      <w:pPr>
        <w:pStyle w:val="ListBullet3"/>
        <w:numPr>
          <w:ilvl w:val="0"/>
          <w:numId w:val="0"/>
        </w:numPr>
        <w:ind w:left="1080"/>
        <w:rPr>
          <w:i/>
        </w:rPr>
      </w:pPr>
      <w:r w:rsidRPr="00DD5297">
        <w:rPr>
          <w:i/>
        </w:rPr>
        <w:t>Severe, active rheumatoid arthritis in adults to slow progression of disease-associated structural damage in patients at high risk of erosive disease.</w:t>
      </w:r>
    </w:p>
    <w:p w:rsidR="005B18BF" w:rsidRPr="005B18BF" w:rsidRDefault="005B18BF" w:rsidP="00DD5297">
      <w:pPr>
        <w:pStyle w:val="ListBullet"/>
      </w:pPr>
      <w:proofErr w:type="spellStart"/>
      <w:r w:rsidRPr="00DD5297">
        <w:t>Golimumab</w:t>
      </w:r>
      <w:proofErr w:type="spellEnd"/>
    </w:p>
    <w:p w:rsidR="005B18BF" w:rsidRPr="00DD5297" w:rsidRDefault="005B18BF" w:rsidP="00DD5297">
      <w:pPr>
        <w:pStyle w:val="ListBullet2"/>
        <w:numPr>
          <w:ilvl w:val="0"/>
          <w:numId w:val="0"/>
        </w:numPr>
        <w:ind w:left="720"/>
        <w:rPr>
          <w:i/>
        </w:rPr>
      </w:pPr>
      <w:proofErr w:type="spellStart"/>
      <w:r w:rsidRPr="00DD5297">
        <w:rPr>
          <w:i/>
        </w:rPr>
        <w:t>S</w:t>
      </w:r>
      <w:r w:rsidR="00E94BF3" w:rsidRPr="00DD5297">
        <w:rPr>
          <w:i/>
        </w:rPr>
        <w:t>imponi</w:t>
      </w:r>
      <w:proofErr w:type="spellEnd"/>
      <w:r w:rsidRPr="00DD5297">
        <w:rPr>
          <w:i/>
        </w:rPr>
        <w:t>, in combination with methotrexate, is indicated for:</w:t>
      </w:r>
    </w:p>
    <w:p w:rsidR="005B18BF" w:rsidRPr="00DD5297" w:rsidRDefault="005B18BF" w:rsidP="00DD5297">
      <w:pPr>
        <w:pStyle w:val="ListBullet2"/>
        <w:numPr>
          <w:ilvl w:val="0"/>
          <w:numId w:val="0"/>
        </w:numPr>
        <w:ind w:left="720"/>
        <w:rPr>
          <w:i/>
        </w:rPr>
      </w:pPr>
      <w:r w:rsidRPr="00DD5297">
        <w:rPr>
          <w:i/>
        </w:rPr>
        <w:lastRenderedPageBreak/>
        <w:t>The treatment of moderate to severely active rheumatoid arthritis in adult patients when the response to disease-modifying anti-rheumatic drug therapy, including methotrexate, has been inadequate. SIMPONI has also been shown to inhibit the progression of joint damage as measured by X-ray.</w:t>
      </w:r>
    </w:p>
    <w:p w:rsidR="005B18BF" w:rsidRPr="005B18BF" w:rsidRDefault="005B18BF" w:rsidP="00DD5297">
      <w:pPr>
        <w:pStyle w:val="ListBullet"/>
      </w:pPr>
      <w:proofErr w:type="spellStart"/>
      <w:r w:rsidRPr="00DD5297">
        <w:t>Tocilizumab</w:t>
      </w:r>
      <w:proofErr w:type="spellEnd"/>
    </w:p>
    <w:p w:rsidR="005B18BF" w:rsidRPr="00DD5297" w:rsidRDefault="005B18BF" w:rsidP="00DD5297">
      <w:pPr>
        <w:pStyle w:val="ListBullet2"/>
        <w:numPr>
          <w:ilvl w:val="0"/>
          <w:numId w:val="0"/>
        </w:numPr>
        <w:ind w:left="720"/>
        <w:rPr>
          <w:i/>
        </w:rPr>
      </w:pPr>
      <w:r w:rsidRPr="00DD5297">
        <w:rPr>
          <w:i/>
        </w:rPr>
        <w:t>Rheumatoid Arthritis</w:t>
      </w:r>
    </w:p>
    <w:p w:rsidR="005B18BF" w:rsidRPr="00DD5297" w:rsidRDefault="005B18BF" w:rsidP="00DD5297">
      <w:pPr>
        <w:pStyle w:val="ListBullet3"/>
        <w:numPr>
          <w:ilvl w:val="0"/>
          <w:numId w:val="0"/>
        </w:numPr>
        <w:ind w:left="1080"/>
        <w:rPr>
          <w:i/>
        </w:rPr>
      </w:pPr>
      <w:proofErr w:type="spellStart"/>
      <w:r w:rsidRPr="00DD5297">
        <w:rPr>
          <w:i/>
        </w:rPr>
        <w:t>A</w:t>
      </w:r>
      <w:r w:rsidR="00E94BF3" w:rsidRPr="00DD5297">
        <w:rPr>
          <w:i/>
        </w:rPr>
        <w:t>ctemra</w:t>
      </w:r>
      <w:proofErr w:type="spellEnd"/>
      <w:r w:rsidRPr="00DD5297">
        <w:rPr>
          <w:i/>
        </w:rPr>
        <w:t xml:space="preserve"> is indicated for the treatment of moderate to severe active rheumatoid arthritis (RA) in adult patients in combination with methotrexate (MTX) or other non-biological disease-modifying anti-rheumatic drugs (DMARDs) in case of either an inadequate response or intolerance to previous therapy with one or more DMARDs.</w:t>
      </w:r>
    </w:p>
    <w:p w:rsidR="005B18BF" w:rsidRPr="00DD5297" w:rsidRDefault="005B18BF" w:rsidP="00DD5297">
      <w:pPr>
        <w:pStyle w:val="ListBullet3"/>
        <w:numPr>
          <w:ilvl w:val="0"/>
          <w:numId w:val="0"/>
        </w:numPr>
        <w:ind w:left="1080"/>
        <w:rPr>
          <w:i/>
        </w:rPr>
      </w:pPr>
      <w:proofErr w:type="spellStart"/>
      <w:r w:rsidRPr="00DD5297">
        <w:rPr>
          <w:i/>
        </w:rPr>
        <w:t>A</w:t>
      </w:r>
      <w:r w:rsidR="00E94BF3" w:rsidRPr="00DD5297">
        <w:rPr>
          <w:i/>
        </w:rPr>
        <w:t>ctemra</w:t>
      </w:r>
      <w:proofErr w:type="spellEnd"/>
      <w:r w:rsidRPr="00DD5297">
        <w:rPr>
          <w:i/>
        </w:rPr>
        <w:t xml:space="preserve"> is indicated for the treatment of moderate to severe active rheumatoid arthritis in adult patients with poor prognostic factors (see </w:t>
      </w:r>
      <w:r w:rsidR="00EB27E3" w:rsidRPr="00DD5297">
        <w:rPr>
          <w:i/>
        </w:rPr>
        <w:t>‘Clinical trials’</w:t>
      </w:r>
      <w:r w:rsidRPr="00DD5297">
        <w:rPr>
          <w:i/>
        </w:rPr>
        <w:t>) in combination with MTX in those not previously tr</w:t>
      </w:r>
      <w:r w:rsidR="00E94BF3" w:rsidRPr="00DD5297">
        <w:rPr>
          <w:i/>
        </w:rPr>
        <w:t>eated with MTX.</w:t>
      </w:r>
    </w:p>
    <w:p w:rsidR="005B18BF" w:rsidRPr="00DD5297" w:rsidRDefault="005B18BF" w:rsidP="00DD5297">
      <w:pPr>
        <w:pStyle w:val="ListBullet3"/>
        <w:numPr>
          <w:ilvl w:val="0"/>
          <w:numId w:val="0"/>
        </w:numPr>
        <w:ind w:left="1080"/>
        <w:rPr>
          <w:i/>
        </w:rPr>
      </w:pPr>
      <w:r w:rsidRPr="00DD5297">
        <w:rPr>
          <w:i/>
        </w:rPr>
        <w:t xml:space="preserve">In the two groups of patients above, </w:t>
      </w:r>
      <w:proofErr w:type="spellStart"/>
      <w:r w:rsidRPr="00DD5297">
        <w:rPr>
          <w:i/>
        </w:rPr>
        <w:t>A</w:t>
      </w:r>
      <w:r w:rsidR="00E94BF3" w:rsidRPr="00DD5297">
        <w:rPr>
          <w:i/>
        </w:rPr>
        <w:t>ctemra</w:t>
      </w:r>
      <w:proofErr w:type="spellEnd"/>
      <w:r w:rsidRPr="00DD5297">
        <w:rPr>
          <w:i/>
        </w:rPr>
        <w:t xml:space="preserve"> can be given as monotherapy in case of intolerance to MTX or where continued treat</w:t>
      </w:r>
      <w:r w:rsidR="00E94BF3" w:rsidRPr="00DD5297">
        <w:rPr>
          <w:i/>
        </w:rPr>
        <w:t>ment with MTX is inappropriate.</w:t>
      </w:r>
    </w:p>
    <w:p w:rsidR="005B18BF" w:rsidRPr="00DD5297" w:rsidRDefault="005B18BF" w:rsidP="00DD5297">
      <w:pPr>
        <w:pStyle w:val="ListBullet3"/>
        <w:numPr>
          <w:ilvl w:val="0"/>
          <w:numId w:val="0"/>
        </w:numPr>
        <w:ind w:left="1080"/>
        <w:rPr>
          <w:i/>
        </w:rPr>
      </w:pPr>
      <w:proofErr w:type="spellStart"/>
      <w:r w:rsidRPr="00DD5297">
        <w:rPr>
          <w:i/>
        </w:rPr>
        <w:t>A</w:t>
      </w:r>
      <w:r w:rsidR="00E94BF3" w:rsidRPr="00DD5297">
        <w:rPr>
          <w:i/>
        </w:rPr>
        <w:t>ctemra</w:t>
      </w:r>
      <w:proofErr w:type="spellEnd"/>
      <w:r w:rsidRPr="00DD5297">
        <w:rPr>
          <w:i/>
        </w:rPr>
        <w:t xml:space="preserve"> has been shown to inhibit the progression of joint damage in adults, as measured by X-ray, when given in combination with methotrexat</w:t>
      </w:r>
      <w:r w:rsidR="00E94BF3" w:rsidRPr="00DD5297">
        <w:rPr>
          <w:i/>
        </w:rPr>
        <w:t>e</w:t>
      </w:r>
      <w:r w:rsidR="001819B0" w:rsidRPr="00DD5297">
        <w:rPr>
          <w:i/>
        </w:rPr>
        <w:t>.</w:t>
      </w:r>
    </w:p>
    <w:p w:rsidR="005B18BF" w:rsidRPr="005B18BF" w:rsidRDefault="005B18BF" w:rsidP="00DD5297">
      <w:pPr>
        <w:pStyle w:val="ListBullet"/>
      </w:pPr>
      <w:proofErr w:type="spellStart"/>
      <w:r w:rsidRPr="00DD5297">
        <w:t>Abatacept</w:t>
      </w:r>
      <w:proofErr w:type="spellEnd"/>
    </w:p>
    <w:p w:rsidR="005B18BF" w:rsidRPr="00DD5297" w:rsidRDefault="005B18BF" w:rsidP="00DD5297">
      <w:pPr>
        <w:pStyle w:val="ListBullet2"/>
        <w:numPr>
          <w:ilvl w:val="0"/>
          <w:numId w:val="0"/>
        </w:numPr>
        <w:ind w:left="720"/>
        <w:rPr>
          <w:i/>
        </w:rPr>
      </w:pPr>
      <w:proofErr w:type="spellStart"/>
      <w:r w:rsidRPr="00DD5297">
        <w:rPr>
          <w:i/>
        </w:rPr>
        <w:t>O</w:t>
      </w:r>
      <w:r w:rsidR="00E94BF3" w:rsidRPr="00DD5297">
        <w:rPr>
          <w:i/>
        </w:rPr>
        <w:t>rencia</w:t>
      </w:r>
      <w:proofErr w:type="spellEnd"/>
      <w:r w:rsidRPr="00DD5297">
        <w:rPr>
          <w:i/>
        </w:rPr>
        <w:t xml:space="preserve"> in combination with methotrexate is indicated for the treatment of moderate to severe active rheumatoid arthritis in adult patients who have had an insufficient response or intolerance to other disease modifying anti-rheumatic drugs (DMARDs), such as methotrexate or tumour necrosis factor (TNF) blocking agents. A reduction in the progression of joint damage and improvement in physical function have been demonstrated during combination treatment with </w:t>
      </w:r>
      <w:proofErr w:type="spellStart"/>
      <w:r w:rsidRPr="00DD5297">
        <w:rPr>
          <w:i/>
        </w:rPr>
        <w:t>O</w:t>
      </w:r>
      <w:r w:rsidR="00EB27E3" w:rsidRPr="00DD5297">
        <w:rPr>
          <w:i/>
        </w:rPr>
        <w:t>rencia</w:t>
      </w:r>
      <w:proofErr w:type="spellEnd"/>
      <w:r w:rsidRPr="00DD5297">
        <w:rPr>
          <w:i/>
        </w:rPr>
        <w:t xml:space="preserve"> and methotrexate.</w:t>
      </w:r>
    </w:p>
    <w:p w:rsidR="005B18BF" w:rsidRPr="00DD5297" w:rsidRDefault="005B18BF" w:rsidP="00DD5297">
      <w:pPr>
        <w:pStyle w:val="ListBullet2"/>
        <w:numPr>
          <w:ilvl w:val="0"/>
          <w:numId w:val="0"/>
        </w:numPr>
        <w:ind w:left="720"/>
        <w:rPr>
          <w:i/>
        </w:rPr>
      </w:pPr>
      <w:proofErr w:type="spellStart"/>
      <w:r w:rsidRPr="00DD5297">
        <w:rPr>
          <w:i/>
        </w:rPr>
        <w:t>O</w:t>
      </w:r>
      <w:r w:rsidR="00E94BF3" w:rsidRPr="00DD5297">
        <w:rPr>
          <w:i/>
        </w:rPr>
        <w:t>rencia</w:t>
      </w:r>
      <w:proofErr w:type="spellEnd"/>
      <w:r w:rsidRPr="00DD5297">
        <w:rPr>
          <w:i/>
        </w:rPr>
        <w:t xml:space="preserve"> in combination with methotrexate is also indicated in the treatment of severe, active and progressive rheumatoid arthritis in adults not previously treated with methotrexate.</w:t>
      </w:r>
    </w:p>
    <w:p w:rsidR="005B18BF" w:rsidRPr="005B18BF" w:rsidRDefault="00B25C56" w:rsidP="00DD5297">
      <w:pPr>
        <w:pStyle w:val="ListBullet"/>
      </w:pPr>
      <w:proofErr w:type="spellStart"/>
      <w:r w:rsidRPr="00DD5297">
        <w:t>Anakinra</w:t>
      </w:r>
      <w:proofErr w:type="spellEnd"/>
    </w:p>
    <w:p w:rsidR="005B18BF" w:rsidRPr="00DD5297" w:rsidRDefault="005B18BF" w:rsidP="00DD5297">
      <w:pPr>
        <w:pStyle w:val="ListBullet2"/>
        <w:numPr>
          <w:ilvl w:val="0"/>
          <w:numId w:val="0"/>
        </w:numPr>
        <w:ind w:left="720"/>
        <w:rPr>
          <w:i/>
        </w:rPr>
      </w:pPr>
      <w:proofErr w:type="spellStart"/>
      <w:r w:rsidRPr="00DD5297">
        <w:rPr>
          <w:i/>
        </w:rPr>
        <w:t>Kineret</w:t>
      </w:r>
      <w:proofErr w:type="spellEnd"/>
      <w:r w:rsidRPr="00DD5297">
        <w:rPr>
          <w:i/>
        </w:rPr>
        <w:t xml:space="preserve"> (</w:t>
      </w:r>
      <w:proofErr w:type="spellStart"/>
      <w:r w:rsidRPr="00DD5297">
        <w:rPr>
          <w:i/>
        </w:rPr>
        <w:t>anakinra</w:t>
      </w:r>
      <w:proofErr w:type="spellEnd"/>
      <w:r w:rsidRPr="00DD5297">
        <w:rPr>
          <w:i/>
        </w:rPr>
        <w:t>) is indicated for the treatment of active adult rheumatoid arthritis (RA) in patients who have had inadequate response to one or more other Disease Modifying Anti Rheumatic Drugs (DMARDs). Kineret should be given in combination with methotrexate.</w:t>
      </w:r>
    </w:p>
    <w:p w:rsidR="008E7846" w:rsidRDefault="008E7846" w:rsidP="00DD5297">
      <w:pPr>
        <w:pStyle w:val="Heading3"/>
      </w:pPr>
      <w:bookmarkStart w:id="156" w:name="_Toc314842511"/>
      <w:bookmarkStart w:id="157" w:name="_Toc434223864"/>
      <w:bookmarkStart w:id="158" w:name="_Toc435781409"/>
      <w:r w:rsidRPr="00DD5297">
        <w:t>Quality</w:t>
      </w:r>
      <w:bookmarkEnd w:id="155"/>
      <w:bookmarkEnd w:id="156"/>
      <w:bookmarkEnd w:id="157"/>
      <w:bookmarkEnd w:id="158"/>
    </w:p>
    <w:p w:rsidR="00E45619" w:rsidRDefault="008E7846" w:rsidP="00DD5297">
      <w:r>
        <w:t>There was no requirement for a quality evaluation in a submission of this type.</w:t>
      </w:r>
    </w:p>
    <w:p w:rsidR="008E7846" w:rsidRDefault="008E7846" w:rsidP="00DD5297">
      <w:pPr>
        <w:pStyle w:val="Heading3"/>
      </w:pPr>
      <w:bookmarkStart w:id="159" w:name="_Toc314842512"/>
      <w:bookmarkStart w:id="160" w:name="_Toc434223865"/>
      <w:bookmarkStart w:id="161" w:name="_Toc435781410"/>
      <w:r w:rsidRPr="00DD5297">
        <w:t>Nonclinical</w:t>
      </w:r>
      <w:bookmarkEnd w:id="159"/>
      <w:bookmarkEnd w:id="160"/>
      <w:bookmarkEnd w:id="161"/>
    </w:p>
    <w:p w:rsidR="008E7846" w:rsidRDefault="008E7846" w:rsidP="00DD5297">
      <w:r>
        <w:t>There was no requirement for a nonclinical evaluation in a submission of this type.</w:t>
      </w:r>
    </w:p>
    <w:p w:rsidR="008E7846" w:rsidRDefault="008E7846" w:rsidP="00DD5297">
      <w:pPr>
        <w:pStyle w:val="Heading3"/>
      </w:pPr>
      <w:bookmarkStart w:id="162" w:name="_Toc247691530"/>
      <w:bookmarkStart w:id="163" w:name="_Toc314842513"/>
      <w:bookmarkStart w:id="164" w:name="_Toc434223866"/>
      <w:bookmarkStart w:id="165" w:name="_Toc435781411"/>
      <w:r w:rsidRPr="00DD5297">
        <w:t>Clinical</w:t>
      </w:r>
      <w:bookmarkEnd w:id="162"/>
      <w:bookmarkEnd w:id="163"/>
      <w:bookmarkEnd w:id="164"/>
      <w:bookmarkEnd w:id="165"/>
    </w:p>
    <w:p w:rsidR="007D6FF1" w:rsidRPr="007D6FF1" w:rsidRDefault="007D6FF1" w:rsidP="00DD5297">
      <w:bookmarkStart w:id="166" w:name="_Toc314842514"/>
      <w:r w:rsidRPr="007D6FF1">
        <w:t>The clinical evaluator has reviewed the submitted data, which included:</w:t>
      </w:r>
    </w:p>
    <w:p w:rsidR="007D6FF1" w:rsidRPr="008C3320" w:rsidRDefault="00D743F6" w:rsidP="00DD5297">
      <w:pPr>
        <w:pStyle w:val="ListBullet"/>
      </w:pPr>
      <w:r>
        <w:lastRenderedPageBreak/>
        <w:t>Two</w:t>
      </w:r>
      <w:r w:rsidR="007D6FF1" w:rsidRPr="007D6FF1">
        <w:t xml:space="preserve"> long-term safety studies (C87028 and C87051)</w:t>
      </w:r>
      <w:r w:rsidR="00E74850">
        <w:t>,</w:t>
      </w:r>
      <w:r w:rsidR="007D6FF1" w:rsidRPr="007D6FF1">
        <w:t xml:space="preserve"> which provide </w:t>
      </w:r>
      <w:r w:rsidR="00E74850">
        <w:t>two</w:t>
      </w:r>
      <w:r w:rsidR="007D6FF1" w:rsidRPr="007D6FF1">
        <w:t xml:space="preserve"> year radiographic data and extend the pivotal Phase III efficacy studies C87027 and C87050, </w:t>
      </w:r>
      <w:r w:rsidR="007D6FF1" w:rsidRPr="008C3320">
        <w:t>respectively.</w:t>
      </w:r>
    </w:p>
    <w:p w:rsidR="007D6FF1" w:rsidRPr="008C3320" w:rsidRDefault="00D743F6" w:rsidP="00DD5297">
      <w:pPr>
        <w:pStyle w:val="ListBullet"/>
      </w:pPr>
      <w:r>
        <w:t>One</w:t>
      </w:r>
      <w:r w:rsidR="007D6FF1" w:rsidRPr="007D6FF1">
        <w:t xml:space="preserve"> supporti</w:t>
      </w:r>
      <w:r w:rsidR="008C3320">
        <w:t xml:space="preserve">ve long </w:t>
      </w:r>
      <w:r w:rsidR="007D6FF1" w:rsidRPr="007D6FF1">
        <w:t>term safety study (C87015)</w:t>
      </w:r>
      <w:r w:rsidR="00E74850">
        <w:t>,</w:t>
      </w:r>
      <w:r w:rsidR="009A648A">
        <w:t xml:space="preserve"> which extends S</w:t>
      </w:r>
      <w:r w:rsidR="007D6FF1" w:rsidRPr="007D6FF1">
        <w:t xml:space="preserve">tudies C87011 and </w:t>
      </w:r>
      <w:r w:rsidR="007D6FF1" w:rsidRPr="008C3320">
        <w:t>C87014.</w:t>
      </w:r>
    </w:p>
    <w:p w:rsidR="007D6FF1" w:rsidRPr="00A06665" w:rsidRDefault="007D6FF1" w:rsidP="00DD5297">
      <w:pPr>
        <w:pStyle w:val="Heading5"/>
      </w:pPr>
      <w:r w:rsidRPr="00A06665">
        <w:t xml:space="preserve">The benefits noted by the </w:t>
      </w:r>
      <w:r w:rsidR="008C3320" w:rsidRPr="00A06665">
        <w:t xml:space="preserve">clinical </w:t>
      </w:r>
      <w:r w:rsidRPr="00DD5297">
        <w:t>evaluator</w:t>
      </w:r>
      <w:r w:rsidRPr="00A06665">
        <w:t xml:space="preserve"> included:</w:t>
      </w:r>
    </w:p>
    <w:p w:rsidR="007D6FF1" w:rsidRPr="00A06665" w:rsidRDefault="007D6FF1" w:rsidP="00DD5297">
      <w:pPr>
        <w:pStyle w:val="ListBullet"/>
      </w:pPr>
      <w:r w:rsidRPr="00A06665">
        <w:t xml:space="preserve">In the original pivotal </w:t>
      </w:r>
      <w:r w:rsidR="009A648A" w:rsidRPr="00A06665">
        <w:t>Study</w:t>
      </w:r>
      <w:r w:rsidRPr="00A06665">
        <w:t xml:space="preserve"> C87027, CZP 200 mg </w:t>
      </w:r>
      <w:r w:rsidR="000C6268" w:rsidRPr="00A06665">
        <w:t>once every two weeks</w:t>
      </w:r>
      <w:r w:rsidR="00A06665">
        <w:t xml:space="preserve"> </w:t>
      </w:r>
      <w:r w:rsidR="000C6268" w:rsidRPr="00A06665">
        <w:t>(q2w)</w:t>
      </w:r>
      <w:r w:rsidRPr="00A06665">
        <w:t xml:space="preserve"> + MTX was superior to placebo + MTX after 52 weeks with no radiological progression (defined as </w:t>
      </w:r>
      <w:proofErr w:type="spellStart"/>
      <w:r w:rsidRPr="00A06665">
        <w:t>mTSS</w:t>
      </w:r>
      <w:proofErr w:type="spellEnd"/>
      <w:r w:rsidRPr="00A06665">
        <w:t xml:space="preserve"> ≤</w:t>
      </w:r>
      <w:r w:rsidR="00251F99" w:rsidRPr="00A06665">
        <w:t xml:space="preserve"> </w:t>
      </w:r>
      <w:r w:rsidRPr="00A06665">
        <w:t>0.0) in 69% and 52% of patients, respectively. This difference was statistically significant (p</w:t>
      </w:r>
      <w:r w:rsidR="00937E97" w:rsidRPr="00A06665">
        <w:t xml:space="preserve"> </w:t>
      </w:r>
      <w:r w:rsidRPr="00A06665">
        <w:t>&lt;</w:t>
      </w:r>
      <w:r w:rsidR="00937E97" w:rsidRPr="00A06665">
        <w:t xml:space="preserve"> </w:t>
      </w:r>
      <w:r w:rsidRPr="00A06665">
        <w:t>0.001) and clinically meaningful.</w:t>
      </w:r>
    </w:p>
    <w:p w:rsidR="007D6FF1" w:rsidRPr="00A06665" w:rsidRDefault="007D6FF1" w:rsidP="00DD5297">
      <w:pPr>
        <w:pStyle w:val="ListBullet"/>
      </w:pPr>
      <w:r w:rsidRPr="00A06665">
        <w:t xml:space="preserve">In the original pivotal </w:t>
      </w:r>
      <w:r w:rsidR="009A648A" w:rsidRPr="00A06665">
        <w:t>Study</w:t>
      </w:r>
      <w:r w:rsidRPr="00A06665">
        <w:t xml:space="preserve"> C87050, CZP 200 mg </w:t>
      </w:r>
      <w:r w:rsidR="000C6268" w:rsidRPr="00A06665">
        <w:t>q2w</w:t>
      </w:r>
      <w:r w:rsidRPr="00A06665">
        <w:t xml:space="preserve"> + MTX was superior to placebo + MTX after 24 weeks with no radiological progression in 70.7% and 58.3% of patients, respectively (obtained by </w:t>
      </w:r>
      <w:r w:rsidR="00943774" w:rsidRPr="00A06665">
        <w:t xml:space="preserve">the </w:t>
      </w:r>
      <w:r w:rsidR="00937E97" w:rsidRPr="00A06665">
        <w:t>D</w:t>
      </w:r>
      <w:r w:rsidRPr="00A06665">
        <w:t xml:space="preserve">elegate from </w:t>
      </w:r>
      <w:r w:rsidR="00937E97" w:rsidRPr="00A06665">
        <w:t xml:space="preserve">the </w:t>
      </w:r>
      <w:r w:rsidR="00A06665">
        <w:t>clinical evaluation report (</w:t>
      </w:r>
      <w:r w:rsidR="00937E97" w:rsidRPr="00A06665">
        <w:t>CER</w:t>
      </w:r>
      <w:r w:rsidR="00A06665">
        <w:t>)</w:t>
      </w:r>
      <w:r w:rsidR="00937E97" w:rsidRPr="00A06665">
        <w:t xml:space="preserve"> from the previous submission</w:t>
      </w:r>
      <w:r w:rsidRPr="00A06665">
        <w:t>, no p-value included in CER).</w:t>
      </w:r>
    </w:p>
    <w:p w:rsidR="007D6FF1" w:rsidRPr="0050338B" w:rsidRDefault="007D6FF1" w:rsidP="00DD5297">
      <w:pPr>
        <w:pStyle w:val="ListBullet"/>
      </w:pPr>
      <w:r w:rsidRPr="00A06665">
        <w:t xml:space="preserve">In the </w:t>
      </w:r>
      <w:r w:rsidR="00E74850" w:rsidRPr="00A06665">
        <w:t>two</w:t>
      </w:r>
      <w:r w:rsidR="00937E97" w:rsidRPr="00A06665">
        <w:t xml:space="preserve"> pivotal extension s</w:t>
      </w:r>
      <w:r w:rsidR="00251F99" w:rsidRPr="00A06665">
        <w:t>tudies (C87028 and C87051)</w:t>
      </w:r>
      <w:r w:rsidRPr="00A06665">
        <w:t xml:space="preserve"> overall progression over </w:t>
      </w:r>
      <w:r w:rsidR="00E74850" w:rsidRPr="00A06665">
        <w:t>two</w:t>
      </w:r>
      <w:r w:rsidRPr="00A06665">
        <w:t xml:space="preserve"> years in mean mTSS</w:t>
      </w:r>
      <w:r w:rsidR="00843E62" w:rsidRPr="00843E62">
        <w:rPr>
          <w:vertAlign w:val="superscript"/>
        </w:rPr>
        <w:fldChar w:fldCharType="begin"/>
      </w:r>
      <w:r w:rsidR="00843E62" w:rsidRPr="00843E62">
        <w:rPr>
          <w:vertAlign w:val="superscript"/>
        </w:rPr>
        <w:instrText xml:space="preserve"> NOTEREF _Ref429659220 \h </w:instrText>
      </w:r>
      <w:r w:rsidR="00843E62">
        <w:rPr>
          <w:vertAlign w:val="superscript"/>
        </w:rPr>
        <w:instrText xml:space="preserve"> \* MERGEFORMAT </w:instrText>
      </w:r>
      <w:r w:rsidR="00843E62" w:rsidRPr="00843E62">
        <w:rPr>
          <w:vertAlign w:val="superscript"/>
        </w:rPr>
      </w:r>
      <w:r w:rsidR="00843E62" w:rsidRPr="00843E62">
        <w:rPr>
          <w:vertAlign w:val="superscript"/>
        </w:rPr>
        <w:fldChar w:fldCharType="separate"/>
      </w:r>
      <w:r w:rsidR="00843E62" w:rsidRPr="00843E62">
        <w:rPr>
          <w:vertAlign w:val="superscript"/>
        </w:rPr>
        <w:t>2</w:t>
      </w:r>
      <w:r w:rsidR="00843E62" w:rsidRPr="00843E62">
        <w:rPr>
          <w:vertAlign w:val="superscript"/>
        </w:rPr>
        <w:fldChar w:fldCharType="end"/>
      </w:r>
      <w:r w:rsidRPr="00A06665">
        <w:t xml:space="preserve"> scores was &lt;</w:t>
      </w:r>
      <w:r w:rsidR="00937E97" w:rsidRPr="00A06665">
        <w:t xml:space="preserve"> </w:t>
      </w:r>
      <w:r w:rsidRPr="00A06665">
        <w:t>1.0 points in both studies, with a median score</w:t>
      </w:r>
      <w:r w:rsidRPr="00C20914">
        <w:rPr>
          <w:color w:val="5F497A" w:themeColor="accent4" w:themeShade="BF"/>
        </w:rPr>
        <w:t xml:space="preserve"> </w:t>
      </w:r>
      <w:r w:rsidRPr="0050338B">
        <w:t>of 0.0</w:t>
      </w:r>
      <w:r w:rsidR="000F4F43" w:rsidRPr="0050338B">
        <w:t xml:space="preserve">. </w:t>
      </w:r>
      <w:r w:rsidRPr="0050338B">
        <w:t xml:space="preserve">Because control data are not available in </w:t>
      </w:r>
      <w:r w:rsidR="00937E97" w:rsidRPr="0050338B">
        <w:t>S</w:t>
      </w:r>
      <w:r w:rsidR="00943774" w:rsidRPr="0050338B">
        <w:t xml:space="preserve">tudies </w:t>
      </w:r>
      <w:r w:rsidRPr="0050338B">
        <w:t>C87028 and C87051, this evidence for continued inhibition of radiological damage over 2 years is indirect and based on observed and imputed dat</w:t>
      </w:r>
      <w:r w:rsidR="00937E97" w:rsidRPr="0050338B">
        <w:t>a in the control group. However</w:t>
      </w:r>
      <w:r w:rsidRPr="0050338B">
        <w:t xml:space="preserve"> the overall data support the claim for radiological inhibition of structural damage.</w:t>
      </w:r>
    </w:p>
    <w:p w:rsidR="007D6FF1" w:rsidRPr="0050338B" w:rsidRDefault="007D6FF1" w:rsidP="00DD5297">
      <w:pPr>
        <w:pStyle w:val="ListBullet"/>
      </w:pPr>
      <w:r w:rsidRPr="0050338B">
        <w:t>The percentage of patients with ACR20 responses</w:t>
      </w:r>
      <w:r w:rsidR="00843E62" w:rsidRPr="00843E62">
        <w:rPr>
          <w:vertAlign w:val="superscript"/>
        </w:rPr>
        <w:fldChar w:fldCharType="begin"/>
      </w:r>
      <w:r w:rsidR="00843E62" w:rsidRPr="00843E62">
        <w:rPr>
          <w:vertAlign w:val="superscript"/>
        </w:rPr>
        <w:instrText xml:space="preserve"> NOTEREF _Ref429659176 \h </w:instrText>
      </w:r>
      <w:r w:rsidR="00843E62">
        <w:rPr>
          <w:vertAlign w:val="superscript"/>
        </w:rPr>
        <w:instrText xml:space="preserve"> \* MERGEFORMAT </w:instrText>
      </w:r>
      <w:r w:rsidR="00843E62" w:rsidRPr="00843E62">
        <w:rPr>
          <w:vertAlign w:val="superscript"/>
        </w:rPr>
      </w:r>
      <w:r w:rsidR="00843E62" w:rsidRPr="00843E62">
        <w:rPr>
          <w:vertAlign w:val="superscript"/>
        </w:rPr>
        <w:fldChar w:fldCharType="separate"/>
      </w:r>
      <w:r w:rsidR="00843E62" w:rsidRPr="00843E62">
        <w:rPr>
          <w:vertAlign w:val="superscript"/>
        </w:rPr>
        <w:t>5</w:t>
      </w:r>
      <w:r w:rsidR="00843E62" w:rsidRPr="00843E62">
        <w:rPr>
          <w:vertAlign w:val="superscript"/>
        </w:rPr>
        <w:fldChar w:fldCharType="end"/>
      </w:r>
      <w:r w:rsidRPr="0050338B">
        <w:t xml:space="preserve"> and other clinical indices of disease were sustained for up to 6 years. There is an imperfect correlation between clinical disease activity and progression of structural damage. However, these findings support the continued effectiveness of CZP therapy even</w:t>
      </w:r>
      <w:r w:rsidR="0050338B">
        <w:t xml:space="preserve"> though the development of anti </w:t>
      </w:r>
      <w:r w:rsidRPr="0050338B">
        <w:t>CZP antibodies appears to reduce the overall therapeutic response rate.</w:t>
      </w:r>
    </w:p>
    <w:p w:rsidR="007D6FF1" w:rsidRPr="0050338B" w:rsidRDefault="007D6FF1" w:rsidP="00DD5297">
      <w:pPr>
        <w:pStyle w:val="Heading5"/>
      </w:pPr>
      <w:r w:rsidRPr="0050338B">
        <w:t xml:space="preserve">The concerns noted by the </w:t>
      </w:r>
      <w:r w:rsidRPr="00DD5297">
        <w:t>evaluator</w:t>
      </w:r>
      <w:r w:rsidRPr="0050338B">
        <w:t xml:space="preserve"> included:</w:t>
      </w:r>
    </w:p>
    <w:p w:rsidR="007D6FF1" w:rsidRPr="0050338B" w:rsidRDefault="007D6FF1" w:rsidP="00DD5297">
      <w:pPr>
        <w:pStyle w:val="ListBullet"/>
      </w:pPr>
      <w:r w:rsidRPr="0050338B">
        <w:t>Increased risk of opportunistic infections and tuberculosis</w:t>
      </w:r>
      <w:r w:rsidR="00937E97" w:rsidRPr="0050338B">
        <w:t>.</w:t>
      </w:r>
    </w:p>
    <w:p w:rsidR="007D6FF1" w:rsidRPr="0050338B" w:rsidRDefault="007D6FF1" w:rsidP="00DD5297">
      <w:pPr>
        <w:pStyle w:val="ListBullet"/>
      </w:pPr>
      <w:r w:rsidRPr="0050338B">
        <w:t>Local injection site reactions, which are generally mild and transient, and do not result in permanent discontinuation from CZP</w:t>
      </w:r>
      <w:r w:rsidR="00937E97" w:rsidRPr="0050338B">
        <w:t>.</w:t>
      </w:r>
    </w:p>
    <w:p w:rsidR="007D6FF1" w:rsidRPr="0050338B" w:rsidRDefault="007D6FF1" w:rsidP="00DD5297">
      <w:pPr>
        <w:pStyle w:val="ListBullet"/>
      </w:pPr>
      <w:r w:rsidRPr="0050338B">
        <w:t>Increased risk of possible hypersensitivity reactions (mostly headache, pyrexia and rash)</w:t>
      </w:r>
      <w:r w:rsidR="00937E97" w:rsidRPr="0050338B">
        <w:t>.</w:t>
      </w:r>
    </w:p>
    <w:p w:rsidR="007D6FF1" w:rsidRPr="0050338B" w:rsidRDefault="0050338B" w:rsidP="00DD5297">
      <w:pPr>
        <w:pStyle w:val="ListBullet"/>
      </w:pPr>
      <w:r>
        <w:t xml:space="preserve">Formation of anti </w:t>
      </w:r>
      <w:r w:rsidR="007D6FF1" w:rsidRPr="0050338B">
        <w:t>CZP antibodies which causes increased plasma clearance of CZP and possible loss, or lack of efficacy.</w:t>
      </w:r>
    </w:p>
    <w:p w:rsidR="007D6FF1" w:rsidRPr="007D6FF1" w:rsidRDefault="007D6FF1" w:rsidP="00DD5297">
      <w:pPr>
        <w:pStyle w:val="Heading4"/>
      </w:pPr>
      <w:r w:rsidRPr="00DD5297">
        <w:t>Pharmacology</w:t>
      </w:r>
    </w:p>
    <w:p w:rsidR="007D6FF1" w:rsidRPr="00E74850" w:rsidRDefault="007D6FF1" w:rsidP="00DD5297">
      <w:r w:rsidRPr="00E74850">
        <w:t>No clinical pharmacology studies were submitted.</w:t>
      </w:r>
    </w:p>
    <w:p w:rsidR="00937E97" w:rsidRDefault="00937E97" w:rsidP="00DD5297">
      <w:pPr>
        <w:pStyle w:val="Heading4"/>
      </w:pPr>
      <w:r w:rsidRPr="00DD5297">
        <w:t>Efficacy</w:t>
      </w:r>
    </w:p>
    <w:p w:rsidR="007D6FF1" w:rsidRPr="00C8594C" w:rsidRDefault="007D6FF1" w:rsidP="00DD5297">
      <w:r w:rsidRPr="00C8594C">
        <w:t>Two pivotal studies were included in the su</w:t>
      </w:r>
      <w:r w:rsidR="00937E97">
        <w:t xml:space="preserve">bmission: Study C87028 (an open </w:t>
      </w:r>
      <w:r w:rsidRPr="00C8594C">
        <w:t xml:space="preserve">label extension to </w:t>
      </w:r>
      <w:r w:rsidR="009A648A">
        <w:t>Study</w:t>
      </w:r>
      <w:r w:rsidRPr="00C8594C">
        <w:t xml:space="preserve"> C87027) and </w:t>
      </w:r>
      <w:r w:rsidR="009A648A">
        <w:t>Study</w:t>
      </w:r>
      <w:r w:rsidR="00937E97">
        <w:t xml:space="preserve"> C87051 (an open </w:t>
      </w:r>
      <w:r w:rsidRPr="00C8594C">
        <w:t xml:space="preserve">label extension to </w:t>
      </w:r>
      <w:r w:rsidR="009A648A">
        <w:t>Study</w:t>
      </w:r>
      <w:r w:rsidR="00937E97">
        <w:t xml:space="preserve"> C87050). </w:t>
      </w:r>
      <w:r w:rsidRPr="00C8594C">
        <w:t xml:space="preserve">Brief descriptions of the </w:t>
      </w:r>
      <w:r w:rsidR="00C8594C" w:rsidRPr="00C8594C">
        <w:t>two</w:t>
      </w:r>
      <w:r w:rsidRPr="00C8594C">
        <w:t xml:space="preserve"> feeder studies are provided.</w:t>
      </w:r>
    </w:p>
    <w:p w:rsidR="00C8594C" w:rsidRDefault="009A648A" w:rsidP="00DD5297">
      <w:pPr>
        <w:pStyle w:val="Heading5"/>
      </w:pPr>
      <w:r>
        <w:t xml:space="preserve">Study </w:t>
      </w:r>
      <w:r w:rsidRPr="00DD5297">
        <w:t>C87027</w:t>
      </w:r>
      <w:r>
        <w:t xml:space="preserve"> (RAPID-1)</w:t>
      </w:r>
    </w:p>
    <w:p w:rsidR="00C8594C" w:rsidRDefault="00C8594C" w:rsidP="00DD5297">
      <w:r>
        <w:t xml:space="preserve">This </w:t>
      </w:r>
      <w:r w:rsidRPr="00090122">
        <w:t>was a pr</w:t>
      </w:r>
      <w:r w:rsidR="00D2165F">
        <w:t>ospective, multicentre, randomis</w:t>
      </w:r>
      <w:r w:rsidRPr="00090122">
        <w:t xml:space="preserve">ed, </w:t>
      </w:r>
      <w:r w:rsidR="00E509F5">
        <w:t xml:space="preserve">double </w:t>
      </w:r>
      <w:r w:rsidR="00937E97">
        <w:t xml:space="preserve">blind, active comparator </w:t>
      </w:r>
      <w:r w:rsidRPr="00090122">
        <w:t>controlled, parallel</w:t>
      </w:r>
      <w:r w:rsidR="00E509F5">
        <w:t xml:space="preserve"> </w:t>
      </w:r>
      <w:r w:rsidRPr="00090122">
        <w:t>group study of 52 weeks duration in subjects with acti</w:t>
      </w:r>
      <w:r w:rsidR="00E509F5">
        <w:t xml:space="preserve">ve, adult </w:t>
      </w:r>
      <w:r w:rsidRPr="00090122">
        <w:t xml:space="preserve">onset RA of at least </w:t>
      </w:r>
      <w:r>
        <w:t>six</w:t>
      </w:r>
      <w:r w:rsidR="00E509F5">
        <w:t xml:space="preserve"> months</w:t>
      </w:r>
      <w:r w:rsidRPr="00090122">
        <w:t xml:space="preserve"> duration with incomplete response to MTX. Subjects were random</w:t>
      </w:r>
      <w:r w:rsidR="00D2165F">
        <w:t>ise</w:t>
      </w:r>
      <w:r w:rsidRPr="00090122">
        <w:t xml:space="preserve">d to one of three treatment groups in 2:2:1 ratio: </w:t>
      </w:r>
      <w:r w:rsidR="00E509F5">
        <w:t xml:space="preserve">CZP 200 mg </w:t>
      </w:r>
      <w:r w:rsidR="000C6268">
        <w:t>q2w</w:t>
      </w:r>
      <w:r w:rsidRPr="002A5EB1">
        <w:t xml:space="preserve"> (preceded by </w:t>
      </w:r>
      <w:r w:rsidRPr="002A5EB1">
        <w:lastRenderedPageBreak/>
        <w:t xml:space="preserve">three loading doses of 400 mg given </w:t>
      </w:r>
      <w:r w:rsidR="000C6268">
        <w:t>q2w</w:t>
      </w:r>
      <w:r w:rsidR="00E509F5">
        <w:t xml:space="preserve">), CZP 400 mg </w:t>
      </w:r>
      <w:r w:rsidR="000C6268">
        <w:t>q2w</w:t>
      </w:r>
      <w:r w:rsidRPr="002A5EB1">
        <w:t xml:space="preserve"> or placebo. </w:t>
      </w:r>
      <w:r w:rsidRPr="007D6FF1">
        <w:t xml:space="preserve">This study used the </w:t>
      </w:r>
      <w:r w:rsidR="0050338B">
        <w:t>lyophilised</w:t>
      </w:r>
      <w:r w:rsidRPr="007D6FF1">
        <w:t xml:space="preserve"> formulation of CZP. </w:t>
      </w:r>
      <w:r w:rsidRPr="002A5EB1">
        <w:t>All patients were also on weekly oral MTX of at least 10 mg/week (up to 25 mg/week). Demographic and other baseline characteristics were comparable between the three treatment groups</w:t>
      </w:r>
      <w:r w:rsidR="00251F99">
        <w:t xml:space="preserve">; </w:t>
      </w:r>
      <w:r>
        <w:t xml:space="preserve">mean </w:t>
      </w:r>
      <w:r w:rsidRPr="002A5EB1">
        <w:t xml:space="preserve">duration of RA since diagnosis </w:t>
      </w:r>
      <w:r>
        <w:t>six</w:t>
      </w:r>
      <w:r w:rsidRPr="002A5EB1">
        <w:t xml:space="preserve"> years, approx</w:t>
      </w:r>
      <w:r>
        <w:t>imately</w:t>
      </w:r>
      <w:r w:rsidRPr="002A5EB1">
        <w:t xml:space="preserve"> 80% </w:t>
      </w:r>
      <w:r>
        <w:t xml:space="preserve">of </w:t>
      </w:r>
      <w:r w:rsidRPr="002A5EB1">
        <w:t xml:space="preserve">subjects had had RA for at least </w:t>
      </w:r>
      <w:r>
        <w:t>two</w:t>
      </w:r>
      <w:r w:rsidRPr="002A5EB1">
        <w:t xml:space="preserve"> years, mean age 52 years, predominantly female </w:t>
      </w:r>
      <w:r w:rsidR="00251F99">
        <w:t xml:space="preserve">(83.2%, 817 out of </w:t>
      </w:r>
      <w:r w:rsidRPr="007D6FF1">
        <w:t xml:space="preserve">982) </w:t>
      </w:r>
      <w:r w:rsidRPr="002A5EB1">
        <w:t xml:space="preserve">and Caucasian </w:t>
      </w:r>
      <w:r w:rsidR="0050338B">
        <w:t>(90.7%, 891</w:t>
      </w:r>
      <w:r w:rsidR="00251F99">
        <w:t xml:space="preserve"> out of </w:t>
      </w:r>
      <w:r w:rsidRPr="007D6FF1">
        <w:t>82)</w:t>
      </w:r>
      <w:r w:rsidRPr="002A5EB1">
        <w:t xml:space="preserve">, </w:t>
      </w:r>
      <w:r w:rsidR="00406DD3">
        <w:t>rheumatoid factor</w:t>
      </w:r>
      <w:r w:rsidR="00676BBF">
        <w:t xml:space="preserve"> positive</w:t>
      </w:r>
      <w:r w:rsidRPr="002A5EB1">
        <w:t xml:space="preserve"> 82%</w:t>
      </w:r>
      <w:r w:rsidR="00676BBF">
        <w:t xml:space="preserve"> (802 out of </w:t>
      </w:r>
      <w:r w:rsidRPr="007D6FF1">
        <w:t>982)</w:t>
      </w:r>
      <w:r w:rsidRPr="002A5EB1">
        <w:t xml:space="preserve">. The </w:t>
      </w:r>
      <w:r w:rsidR="00676BBF">
        <w:t xml:space="preserve">co </w:t>
      </w:r>
      <w:r w:rsidRPr="002A5EB1">
        <w:t>primary efficacy endpoints in this study were</w:t>
      </w:r>
      <w:r>
        <w:t>:</w:t>
      </w:r>
      <w:r w:rsidRPr="002A5EB1">
        <w:t xml:space="preserve"> </w:t>
      </w:r>
      <w:r w:rsidRPr="007D6FF1">
        <w:t xml:space="preserve">ACR20 response at Week 24, and change from baseline in </w:t>
      </w:r>
      <w:proofErr w:type="spellStart"/>
      <w:r w:rsidRPr="007D6FF1">
        <w:t>mTSS</w:t>
      </w:r>
      <w:proofErr w:type="spellEnd"/>
      <w:r w:rsidRPr="007D6FF1">
        <w:t xml:space="preserve"> at Week 52. A total of 982 subjects (199 for placebo + MTX, 393 for CZP 200</w:t>
      </w:r>
      <w:r>
        <w:t xml:space="preserve"> </w:t>
      </w:r>
      <w:r w:rsidRPr="007D6FF1">
        <w:t>mg + MTX, and 390 for CZP 400</w:t>
      </w:r>
      <w:r>
        <w:t xml:space="preserve"> </w:t>
      </w:r>
      <w:r w:rsidRPr="007D6FF1">
        <w:t>mg + MTX) were included in the ITT population for analysis of efficacy, and 572 (58.3%) subjects completed the 52 weeks of evaluation.</w:t>
      </w:r>
    </w:p>
    <w:p w:rsidR="00C8594C" w:rsidRDefault="007D6FF1" w:rsidP="00DD5297">
      <w:pPr>
        <w:pStyle w:val="Heading5"/>
      </w:pPr>
      <w:r w:rsidRPr="007D6FF1">
        <w:t xml:space="preserve">Study </w:t>
      </w:r>
      <w:r w:rsidRPr="00DD5297">
        <w:t>C87028</w:t>
      </w:r>
    </w:p>
    <w:p w:rsidR="007845EE" w:rsidRPr="007845EE" w:rsidRDefault="00184D07" w:rsidP="00DD5297">
      <w:r>
        <w:t xml:space="preserve">This was a Phase III, open label follow </w:t>
      </w:r>
      <w:r w:rsidR="007845EE" w:rsidRPr="007845EE">
        <w:t xml:space="preserve">up to </w:t>
      </w:r>
      <w:r w:rsidR="009A648A">
        <w:t>Study</w:t>
      </w:r>
      <w:r w:rsidR="007845EE" w:rsidRPr="007845EE">
        <w:t xml:space="preserve"> C87027, to assess the efficacy and safety of CZP + MTX in the treatment of patients with active RA. </w:t>
      </w:r>
      <w:r w:rsidR="007D6FF1" w:rsidRPr="007845EE">
        <w:t xml:space="preserve">It was conducted at 121 centres in North America, South America, Europe, Australia, and New Zealand. </w:t>
      </w:r>
      <w:r w:rsidR="007845EE" w:rsidRPr="007845EE">
        <w:t xml:space="preserve">Two populations were eligible to enrol: ‘Withdrawers’ were patients who failed to achieve ACR20 at Week 12 of </w:t>
      </w:r>
      <w:r w:rsidR="009A648A">
        <w:t>Study</w:t>
      </w:r>
      <w:r w:rsidR="007845EE" w:rsidRPr="007845EE">
        <w:t xml:space="preserve"> C87027 (confirmed at Week 14); and ‘Completers’ who were patients who completed Week 52 of </w:t>
      </w:r>
      <w:r w:rsidR="009A648A">
        <w:t>Study</w:t>
      </w:r>
      <w:r w:rsidR="007845EE" w:rsidRPr="007845EE">
        <w:t xml:space="preserve"> C87027. The study Baseline was the baseline of </w:t>
      </w:r>
      <w:r w:rsidR="009A648A">
        <w:t>Study</w:t>
      </w:r>
      <w:r w:rsidR="007845EE" w:rsidRPr="007845EE">
        <w:t xml:space="preserve"> C87027. The study entry visit was Week 16 of </w:t>
      </w:r>
      <w:r w:rsidR="009A648A">
        <w:t>Study</w:t>
      </w:r>
      <w:r>
        <w:t xml:space="preserve"> C87027 for Withdrawers</w:t>
      </w:r>
      <w:r w:rsidR="007845EE" w:rsidRPr="007845EE">
        <w:t xml:space="preserve"> and Week 52 of </w:t>
      </w:r>
      <w:r w:rsidR="009A648A">
        <w:t>Study</w:t>
      </w:r>
      <w:r>
        <w:t xml:space="preserve"> C87027 for Completers.</w:t>
      </w:r>
    </w:p>
    <w:p w:rsidR="007845EE" w:rsidRDefault="007845EE" w:rsidP="00DD5297">
      <w:bookmarkStart w:id="167" w:name="OLE_LINK3"/>
      <w:bookmarkStart w:id="168" w:name="OLE_LINK4"/>
      <w:r w:rsidRPr="007A0BD3">
        <w:t xml:space="preserve">The main inclusion criteria for </w:t>
      </w:r>
      <w:r w:rsidR="009A648A">
        <w:t>Study</w:t>
      </w:r>
      <w:r w:rsidRPr="007A0BD3">
        <w:t xml:space="preserve"> C87028 were: patients who failed to achieve an ACR20 response at Weeks 12 and 14 in </w:t>
      </w:r>
      <w:r w:rsidR="009A648A">
        <w:t>Study</w:t>
      </w:r>
      <w:r w:rsidRPr="007A0BD3">
        <w:t xml:space="preserve"> C87027, or patients who completed the Week 52 assessment of </w:t>
      </w:r>
      <w:r w:rsidR="009A648A">
        <w:t>Study</w:t>
      </w:r>
      <w:r w:rsidRPr="007A0BD3">
        <w:t xml:space="preserve"> C87027; and patie</w:t>
      </w:r>
      <w:r w:rsidR="00184D07">
        <w:t>nts with a normal chest X</w:t>
      </w:r>
      <w:r w:rsidRPr="007A0BD3">
        <w:t>-ray at entry. The main exclusion criteria were: a diagnosis of any other inflam</w:t>
      </w:r>
      <w:r w:rsidR="00184D07">
        <w:t xml:space="preserve">matory disease; a secondary non </w:t>
      </w:r>
      <w:r w:rsidRPr="007A0BD3">
        <w:t>inflammatory arthritis such as osteoarthritis; a history of infected joint prosthesis at any time with the prosthesis still in situ; concomitant biological therapy or other experi</w:t>
      </w:r>
      <w:r w:rsidR="00184D07">
        <w:t xml:space="preserve">mental therapy; serious or life </w:t>
      </w:r>
      <w:r w:rsidRPr="007A0BD3">
        <w:t xml:space="preserve">threatening infection including tuberculosis; patients at high risk of infection; hepatitis B or C; </w:t>
      </w:r>
      <w:r w:rsidR="009D174A" w:rsidRPr="009D174A">
        <w:t xml:space="preserve">human immunodeficiency virus </w:t>
      </w:r>
      <w:r w:rsidR="009D174A">
        <w:t>(</w:t>
      </w:r>
      <w:r w:rsidRPr="007A0BD3">
        <w:t>HIV</w:t>
      </w:r>
      <w:r w:rsidR="009D174A">
        <w:t>)</w:t>
      </w:r>
      <w:r w:rsidRPr="007A0BD3">
        <w:t xml:space="preserve"> infection; lymphoproliferative disorders; a history of blood </w:t>
      </w:r>
      <w:proofErr w:type="spellStart"/>
      <w:r w:rsidRPr="007A0BD3">
        <w:t>dyscrasias</w:t>
      </w:r>
      <w:proofErr w:type="spellEnd"/>
      <w:r w:rsidRPr="007A0BD3">
        <w:t>; active malignancy of any type; severe, progressive and/or other disea</w:t>
      </w:r>
      <w:r w:rsidR="00184D07">
        <w:t>ses; and demyelinating disease.</w:t>
      </w:r>
    </w:p>
    <w:p w:rsidR="007A0BD3" w:rsidRPr="007A0BD3" w:rsidRDefault="007A0BD3" w:rsidP="00DD5297">
      <w:r w:rsidRPr="007A0BD3">
        <w:t xml:space="preserve">Patients initially received CZP 400 mg </w:t>
      </w:r>
      <w:r w:rsidR="00EE185F">
        <w:t xml:space="preserve">SC </w:t>
      </w:r>
      <w:r w:rsidR="00354BAD">
        <w:t>q2w</w:t>
      </w:r>
      <w:r w:rsidRPr="007A0BD3">
        <w:t xml:space="preserve">. This was changed by protocol amendment to CZP 200 mg </w:t>
      </w:r>
      <w:r w:rsidR="00EE185F">
        <w:t xml:space="preserve">SC </w:t>
      </w:r>
      <w:r w:rsidR="00354BAD">
        <w:t>q2w</w:t>
      </w:r>
      <w:r w:rsidRPr="007A0BD3">
        <w:t xml:space="preserve"> after a minimum of six months of treatment, based on the safety and efficacy results of studies C87027 and C87050, which demonstrated no </w:t>
      </w:r>
      <w:r w:rsidR="00184D07">
        <w:t>significant dose effect of CZP.</w:t>
      </w:r>
    </w:p>
    <w:p w:rsidR="007845EE" w:rsidRDefault="007845EE" w:rsidP="00DD5297">
      <w:r w:rsidRPr="007A0BD3">
        <w:t xml:space="preserve">A total of 845 patients were enrolled in </w:t>
      </w:r>
      <w:r w:rsidR="009A648A">
        <w:t>Study</w:t>
      </w:r>
      <w:r w:rsidR="00843E62">
        <w:t xml:space="preserve"> C87028</w:t>
      </w:r>
      <w:r w:rsidRPr="007A0BD3">
        <w:t xml:space="preserve"> and received at least one dose of CZP. A total of 349 (41.3%) patients withdrew from the study (Withdrawers 51.0%, Completers 35.9%), most commonly due to withdrawal of consent (16.8%) or AEs (16.2%). Both withdrawal of consent and lack of efficacy were higher in Withdrawers (21.5% and 5.7%, respectively) compared with Completers (14.2% and 1.6%, respectively).</w:t>
      </w:r>
    </w:p>
    <w:p w:rsidR="00BA421A" w:rsidRPr="007D6FF1" w:rsidRDefault="00BA421A" w:rsidP="00DD5297">
      <w:r w:rsidRPr="007D6FF1">
        <w:t xml:space="preserve">The primary endpoint was safety. </w:t>
      </w:r>
      <w:r>
        <w:t>There were a number of s</w:t>
      </w:r>
      <w:r w:rsidRPr="007D6FF1">
        <w:t>econdary efficacy endpoints includ</w:t>
      </w:r>
      <w:r>
        <w:t>ing</w:t>
      </w:r>
      <w:r w:rsidRPr="007D6FF1">
        <w:t xml:space="preserve"> </w:t>
      </w:r>
      <w:proofErr w:type="spellStart"/>
      <w:r w:rsidRPr="007D6FF1">
        <w:t>mTSS</w:t>
      </w:r>
      <w:proofErr w:type="spellEnd"/>
      <w:r w:rsidRPr="007D6FF1">
        <w:t>, ACR20, ACR50 and ACR70, physical function scores, patient and physician global asses</w:t>
      </w:r>
      <w:r w:rsidR="002B53B0">
        <w:t xml:space="preserve">sment scores, CRP, ESR and anti </w:t>
      </w:r>
      <w:r w:rsidRPr="007D6FF1">
        <w:t xml:space="preserve">CZP antibodies. Radiographic assessments were performed at Weeks 24, 48, 72, 96 or Early Withdrawal Visit if it occurred prior to Week 96. The degree of joint damage was assessed using the </w:t>
      </w:r>
      <w:proofErr w:type="spellStart"/>
      <w:r w:rsidRPr="007D6FF1">
        <w:t>mTSS</w:t>
      </w:r>
      <w:proofErr w:type="spellEnd"/>
      <w:r w:rsidRPr="007D6FF1">
        <w:t>, which combines scores for joint erosion and joint space narrowing (JSN). The joint erosion score (ES) is a summary of erosion seve</w:t>
      </w:r>
      <w:r w:rsidR="00184D07">
        <w:t xml:space="preserve">rity using a six point scale (0 to </w:t>
      </w:r>
      <w:r w:rsidRPr="007D6FF1">
        <w:t>5) in 32 joints of the hands and 12 joints in the feet for a maximal score of 280. The JSN score summarises the severity of JSN in 30 joints of the hands and 12 joints of the fe</w:t>
      </w:r>
      <w:r w:rsidR="00184D07">
        <w:t xml:space="preserve">et using a seven point scale (0 to </w:t>
      </w:r>
      <w:r w:rsidRPr="007D6FF1">
        <w:t>6) for a maximal score of 168</w:t>
      </w:r>
      <w:r w:rsidR="000F4F43">
        <w:t xml:space="preserve">. </w:t>
      </w:r>
      <w:r w:rsidR="00354BAD">
        <w:t xml:space="preserve">The total </w:t>
      </w:r>
      <w:proofErr w:type="spellStart"/>
      <w:r w:rsidR="00354BAD">
        <w:t>mTSS</w:t>
      </w:r>
      <w:proofErr w:type="spellEnd"/>
      <w:r w:rsidR="00354BAD">
        <w:t xml:space="preserve"> score range is 0 to </w:t>
      </w:r>
      <w:r w:rsidRPr="007D6FF1">
        <w:t>448.</w:t>
      </w:r>
    </w:p>
    <w:p w:rsidR="007845EE" w:rsidRDefault="007845EE" w:rsidP="00DD5297">
      <w:r w:rsidRPr="00E23EAA">
        <w:lastRenderedPageBreak/>
        <w:t xml:space="preserve">To support the proposed new indication, an </w:t>
      </w:r>
      <w:r w:rsidR="00354BAD">
        <w:t>‘</w:t>
      </w:r>
      <w:r w:rsidRPr="00E23EAA">
        <w:t>interim</w:t>
      </w:r>
      <w:r w:rsidR="00354BAD">
        <w:t>’</w:t>
      </w:r>
      <w:r w:rsidRPr="00E23EAA">
        <w:t xml:space="preserve"> analysis was performed at the Week 96 cut-off point to assess the effects of CZP + MTX in preventing structural damage in patients with active RA after two years. This interim analysis was performed using linear imputation (a combination of extrapolation and interpolation) for missing data. The data were also analysed us</w:t>
      </w:r>
      <w:r w:rsidR="001307E6">
        <w:t>ing both a LOCF</w:t>
      </w:r>
      <w:r w:rsidRPr="00E23EAA">
        <w:t xml:space="preserve"> imputation method and observed data. Radiographic assessments (digitised with centralised reading) of the hands and feet were obtained at entry. Radiographic assessments were made by a central reader although the readers were different for studies C87027 and C87028. The Year 1 and Year 2 endpoints for radiographic data were assigned based on duration of CZP exposure. For Withdrawers, Weeks 64 and 112 of CZP exposure were used for the Year 1 and Year 2 endpoints; for Completers, Weeks 52 and 100 of CZP exposure were used; and for Switchers (patients who switched from placebo + MTX to CZP + MTX), Weeks 48 and 96 of CZP exposure were </w:t>
      </w:r>
      <w:r w:rsidRPr="002B53B0">
        <w:t>used (</w:t>
      </w:r>
      <w:r w:rsidR="00E90B6D" w:rsidRPr="002B53B0">
        <w:t xml:space="preserve">see Figure </w:t>
      </w:r>
      <w:r w:rsidR="002B53B0" w:rsidRPr="002B53B0">
        <w:t>1</w:t>
      </w:r>
      <w:r w:rsidR="00E90B6D" w:rsidRPr="002B53B0">
        <w:t xml:space="preserve"> below</w:t>
      </w:r>
      <w:r w:rsidRPr="00E90B6D">
        <w:t>).</w:t>
      </w:r>
      <w:r w:rsidRPr="00E23EAA">
        <w:t xml:space="preserve"> Final analyses (descriptive statistics of actual values and change from Baseline values) did not contradict the interim analyses.</w:t>
      </w:r>
    </w:p>
    <w:p w:rsidR="00E90B6D" w:rsidRPr="00E90B6D" w:rsidRDefault="00E90B6D" w:rsidP="00DD5297">
      <w:pPr>
        <w:pStyle w:val="FigureTitle"/>
      </w:pPr>
      <w:proofErr w:type="gramStart"/>
      <w:r w:rsidRPr="00E90B6D">
        <w:t xml:space="preserve">Figure </w:t>
      </w:r>
      <w:r w:rsidR="002B53B0">
        <w:t>1</w:t>
      </w:r>
      <w:r w:rsidRPr="00E90B6D">
        <w:t>.</w:t>
      </w:r>
      <w:proofErr w:type="gramEnd"/>
      <w:r w:rsidRPr="00E90B6D">
        <w:t xml:space="preserve"> </w:t>
      </w:r>
      <w:proofErr w:type="gramStart"/>
      <w:r w:rsidRPr="00E90B6D">
        <w:t>Selection of Year 1 and Year 2 radiographic endpoints for interim analysis (based on duration of CZP exposure in C87027/C87028)</w:t>
      </w:r>
      <w:r>
        <w:t>.</w:t>
      </w:r>
      <w:proofErr w:type="gramEnd"/>
    </w:p>
    <w:p w:rsidR="00E90B6D" w:rsidRPr="00E23EAA" w:rsidRDefault="00701465" w:rsidP="00DD5297">
      <w:r>
        <w:rPr>
          <w:noProof/>
          <w:lang w:eastAsia="en-AU"/>
        </w:rPr>
        <w:drawing>
          <wp:inline distT="0" distB="0" distL="0" distR="0" wp14:anchorId="5C3290BF" wp14:editId="1AE7CB7A">
            <wp:extent cx="5347335" cy="1331595"/>
            <wp:effectExtent l="0" t="0" r="5715" b="1905"/>
            <wp:docPr id="4" name="Picture 1" descr="Figure 1. Selection of Year 1 and Year 2 radiographic endpoints for interim analysis (based on duration of CZP exposure in C87027/C87028)."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election of Year 1 and Year 2 radiographic endpoints for interim analysis (based on duration of CZP exposure in C87027/C870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7335" cy="1331595"/>
                    </a:xfrm>
                    <a:prstGeom prst="rect">
                      <a:avLst/>
                    </a:prstGeom>
                    <a:noFill/>
                    <a:ln>
                      <a:noFill/>
                    </a:ln>
                  </pic:spPr>
                </pic:pic>
              </a:graphicData>
            </a:graphic>
          </wp:inline>
        </w:drawing>
      </w:r>
    </w:p>
    <w:p w:rsidR="007845EE" w:rsidRPr="008E6444" w:rsidRDefault="007845EE" w:rsidP="00DD5297">
      <w:r w:rsidRPr="008E6444">
        <w:t xml:space="preserve">In the interim analysis, the mean change in </w:t>
      </w:r>
      <w:proofErr w:type="spellStart"/>
      <w:r w:rsidRPr="008E6444">
        <w:t>mTSS</w:t>
      </w:r>
      <w:proofErr w:type="spellEnd"/>
      <w:r w:rsidRPr="008E6444">
        <w:t xml:space="preserve"> at Year 1 was lower in the patients who had received CZP irrespective of whether they were Completers (0.3), Withdrawers (0.6) or Switchers </w:t>
      </w:r>
      <w:r w:rsidR="00AA2572">
        <w:t>(</w:t>
      </w:r>
      <w:r w:rsidR="00AA2572" w:rsidRPr="00AA2572">
        <w:t>patients who switched from PBO + MTX to CZP + MTX</w:t>
      </w:r>
      <w:r w:rsidR="00AA2572">
        <w:t>)</w:t>
      </w:r>
      <w:r w:rsidR="00AA2572" w:rsidRPr="00AA2572">
        <w:t xml:space="preserve"> </w:t>
      </w:r>
      <w:r w:rsidRPr="008E6444">
        <w:t xml:space="preserve">(0.2) compared with the estimated course of progression in the control groups over one year (1.5 to 2.4) </w:t>
      </w:r>
      <w:r w:rsidRPr="00AA2572">
        <w:t xml:space="preserve">(see </w:t>
      </w:r>
      <w:r w:rsidR="00AA2572">
        <w:t xml:space="preserve">Table </w:t>
      </w:r>
      <w:r w:rsidR="002B53B0">
        <w:t>4</w:t>
      </w:r>
      <w:r w:rsidR="00AA2572">
        <w:t xml:space="preserve"> </w:t>
      </w:r>
      <w:r w:rsidRPr="00AA2572">
        <w:t>below).</w:t>
      </w:r>
      <w:r w:rsidRPr="008E6444">
        <w:t xml:space="preserve"> </w:t>
      </w:r>
      <w:r w:rsidR="008E6444" w:rsidRPr="008E6444">
        <w:t>It should be noted that only</w:t>
      </w:r>
      <w:r w:rsidRPr="008E6444">
        <w:t xml:space="preserve"> 41 patients were exposed to placebo for 52 weeks, however the results are consistent in the analysis using LOCF (which underestimates progression in all groups with missing data). This effect was maintained at Year 2 (mean change in </w:t>
      </w:r>
      <w:proofErr w:type="spellStart"/>
      <w:r w:rsidRPr="008E6444">
        <w:t>mTSS</w:t>
      </w:r>
      <w:proofErr w:type="spellEnd"/>
      <w:r w:rsidRPr="008E6444">
        <w:t xml:space="preserve"> between 0.2 and 0.9 in patients on CZP </w:t>
      </w:r>
      <w:r w:rsidR="009A3943">
        <w:t>versus</w:t>
      </w:r>
      <w:r w:rsidRPr="008E6444">
        <w:t xml:space="preserve"> an estimated 2.7 to 4.7 in patients on placebo). The percentage of patients with no progression in </w:t>
      </w:r>
      <w:proofErr w:type="spellStart"/>
      <w:r w:rsidRPr="008E6444">
        <w:t>mTSS</w:t>
      </w:r>
      <w:proofErr w:type="spellEnd"/>
      <w:r w:rsidRPr="008E6444">
        <w:t xml:space="preserve"> (≤</w:t>
      </w:r>
      <w:r w:rsidR="008E6444" w:rsidRPr="008E6444">
        <w:t xml:space="preserve"> </w:t>
      </w:r>
      <w:r w:rsidRPr="008E6444">
        <w:t xml:space="preserve">0) at Year 2 in Completers, Withdrawers, and Switchers was 61.9%, 64.5% and 66%, respectively. From the end of Year 1 to the end of Year 2, no progression was shown in 67.3%, 74.6% and 75.0% of patients, respectively. The LOCF and observed data analyses were supportive of the linear imputation analysis, and the results for the </w:t>
      </w:r>
      <w:proofErr w:type="spellStart"/>
      <w:r w:rsidRPr="008E6444">
        <w:t>mTSS</w:t>
      </w:r>
      <w:proofErr w:type="spellEnd"/>
      <w:r w:rsidRPr="008E6444">
        <w:t xml:space="preserve"> components (ES and JSN) were consistent with the overall </w:t>
      </w:r>
      <w:proofErr w:type="spellStart"/>
      <w:r w:rsidRPr="008E6444">
        <w:t>mTSS</w:t>
      </w:r>
      <w:proofErr w:type="spellEnd"/>
      <w:r w:rsidRPr="008E6444">
        <w:t>.</w:t>
      </w:r>
    </w:p>
    <w:p w:rsidR="007D6FF1" w:rsidRPr="00AA2572" w:rsidRDefault="007D6FF1" w:rsidP="00DD5297">
      <w:pPr>
        <w:pStyle w:val="TableTitle"/>
      </w:pPr>
      <w:r w:rsidRPr="00AA2572">
        <w:lastRenderedPageBreak/>
        <w:t>Table</w:t>
      </w:r>
      <w:r w:rsidR="00843E62">
        <w:t xml:space="preserve"> </w:t>
      </w:r>
      <w:r w:rsidR="002B53B0">
        <w:t>4</w:t>
      </w:r>
      <w:r w:rsidR="00843E62">
        <w:t>:</w:t>
      </w:r>
      <w:r w:rsidRPr="00AA2572">
        <w:t xml:space="preserve"> Change from Baseline in </w:t>
      </w:r>
      <w:proofErr w:type="spellStart"/>
      <w:r w:rsidRPr="00AA2572">
        <w:t>mTSS</w:t>
      </w:r>
      <w:proofErr w:type="spellEnd"/>
      <w:r w:rsidRPr="00AA2572">
        <w:t xml:space="preserve"> (linear extrapolation): Extension Population of Studies C87027/</w:t>
      </w:r>
      <w:r w:rsidRPr="00DD5297">
        <w:t>C87028</w:t>
      </w:r>
      <w:r w:rsidRPr="00AA2572">
        <w:t xml:space="preserve"> (interim analysis)</w:t>
      </w:r>
      <w:r w:rsidR="002B53B0">
        <w:t>.</w:t>
      </w:r>
    </w:p>
    <w:p w:rsidR="007D6FF1" w:rsidRPr="00B95C0C" w:rsidRDefault="00701465" w:rsidP="00DD5297">
      <w:r>
        <w:rPr>
          <w:noProof/>
          <w:lang w:eastAsia="en-AU"/>
        </w:rPr>
        <w:drawing>
          <wp:inline distT="0" distB="0" distL="0" distR="0" wp14:anchorId="4975C3DD" wp14:editId="45E7C622">
            <wp:extent cx="5142865" cy="2757805"/>
            <wp:effectExtent l="0" t="0" r="635" b="4445"/>
            <wp:docPr id="5" name="Picture 5" descr="Table4: Change from Baseline in mTSS (linear extrapolation): Extension Population of Studies C87027/C87028 (interim analysis)." title="Tab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4: Change from Baseline in mTSS (linear extrapolation): Extension Population of Studies C87027/C87028 (interim analys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2865" cy="2757805"/>
                    </a:xfrm>
                    <a:prstGeom prst="rect">
                      <a:avLst/>
                    </a:prstGeom>
                    <a:noFill/>
                    <a:ln>
                      <a:noFill/>
                    </a:ln>
                  </pic:spPr>
                </pic:pic>
              </a:graphicData>
            </a:graphic>
          </wp:inline>
        </w:drawing>
      </w:r>
    </w:p>
    <w:p w:rsidR="007D6FF1" w:rsidRPr="00D2042C" w:rsidRDefault="007D6FF1" w:rsidP="00DD5297">
      <w:r w:rsidRPr="00D2042C">
        <w:t xml:space="preserve">In the final analysis, the mean change in </w:t>
      </w:r>
      <w:proofErr w:type="spellStart"/>
      <w:r w:rsidRPr="00D2042C">
        <w:t>mTSS</w:t>
      </w:r>
      <w:proofErr w:type="spellEnd"/>
      <w:r w:rsidRPr="00D2042C">
        <w:t xml:space="preserve"> from Baseline of </w:t>
      </w:r>
      <w:r w:rsidR="009A648A">
        <w:t>Study</w:t>
      </w:r>
      <w:r>
        <w:t xml:space="preserve"> </w:t>
      </w:r>
      <w:r w:rsidRPr="00D2042C">
        <w:t xml:space="preserve">C87027 was 0.53 at Entry into </w:t>
      </w:r>
      <w:r w:rsidR="009A648A">
        <w:t>Study</w:t>
      </w:r>
      <w:r>
        <w:t xml:space="preserve"> </w:t>
      </w:r>
      <w:r w:rsidRPr="00D2042C">
        <w:t xml:space="preserve">C87028 (1.48 </w:t>
      </w:r>
      <w:r w:rsidR="009A3943">
        <w:t>versus</w:t>
      </w:r>
      <w:r w:rsidRPr="00D2042C">
        <w:t xml:space="preserve"> 0.27 in those patients who had received placebo </w:t>
      </w:r>
      <w:r w:rsidR="009A3943">
        <w:t>versus</w:t>
      </w:r>
      <w:r w:rsidRPr="00D2042C">
        <w:t xml:space="preserve"> CZP, respectively</w:t>
      </w:r>
      <w:r>
        <w:t>,</w:t>
      </w:r>
      <w:r w:rsidRPr="00D2042C">
        <w:t xml:space="preserve"> during </w:t>
      </w:r>
      <w:r w:rsidR="009A648A">
        <w:t>Study</w:t>
      </w:r>
      <w:r>
        <w:t xml:space="preserve"> C87027</w:t>
      </w:r>
      <w:r w:rsidRPr="00D2042C">
        <w:t xml:space="preserve">) </w:t>
      </w:r>
      <w:r w:rsidRPr="00C412CB">
        <w:t>(see</w:t>
      </w:r>
      <w:r w:rsidR="00257178">
        <w:t xml:space="preserve"> Table 5</w:t>
      </w:r>
      <w:r w:rsidRPr="00C412CB">
        <w:t>, below)</w:t>
      </w:r>
      <w:r w:rsidRPr="00D2042C">
        <w:t xml:space="preserve">. At Week 96, the mean change from Baseline in </w:t>
      </w:r>
      <w:proofErr w:type="spellStart"/>
      <w:r w:rsidRPr="00D2042C">
        <w:t>mTSS</w:t>
      </w:r>
      <w:proofErr w:type="spellEnd"/>
      <w:r w:rsidRPr="00D2042C">
        <w:t xml:space="preserve"> for the 661 patients with evaluable data was 0.95. </w:t>
      </w:r>
      <w:r>
        <w:t xml:space="preserve">The </w:t>
      </w:r>
      <w:proofErr w:type="spellStart"/>
      <w:r w:rsidRPr="00D2042C">
        <w:t>mTSS</w:t>
      </w:r>
      <w:proofErr w:type="spellEnd"/>
      <w:r w:rsidRPr="00D2042C">
        <w:t xml:space="preserve"> scores were lower for subjects originally randomised to CZP compared to placebo, but were higher (more progression) for Completers (both placebo and CZP) compared with Withdrawers. The median change from baseline of </w:t>
      </w:r>
      <w:r w:rsidR="009A648A">
        <w:t>Study</w:t>
      </w:r>
      <w:r>
        <w:t xml:space="preserve"> </w:t>
      </w:r>
      <w:r w:rsidRPr="00D2042C">
        <w:t xml:space="preserve">C87027 in </w:t>
      </w:r>
      <w:proofErr w:type="spellStart"/>
      <w:r w:rsidRPr="00D2042C">
        <w:t>mTSS</w:t>
      </w:r>
      <w:proofErr w:type="spellEnd"/>
      <w:r w:rsidRPr="00D2042C">
        <w:t xml:space="preserve"> was 0.</w:t>
      </w:r>
      <w:r w:rsidR="00354BAD">
        <w:t>00 at all time-</w:t>
      </w:r>
      <w:r w:rsidRPr="00D2042C">
        <w:t>points, indicating that at least 50% of patients had no radiographic progression. Similar trends were seen in the component JSN scores and erosion scores, with a median change in JSN and erosion scores fr</w:t>
      </w:r>
      <w:r w:rsidR="00354BAD">
        <w:t>om Baseline of 0.00 at all time-</w:t>
      </w:r>
      <w:r w:rsidR="00C412CB">
        <w:t>points. (Note</w:t>
      </w:r>
      <w:r w:rsidRPr="00D2042C">
        <w:t xml:space="preserve">: the Week 48 and Week 96 results are not comparable across the interim and final analyses. In the interim analysis, the Year 1 and Year 2 radiographic endpoints were selected based on the duration of CZP exposure in </w:t>
      </w:r>
      <w:r w:rsidR="009A648A">
        <w:t>Study</w:t>
      </w:r>
      <w:r>
        <w:t xml:space="preserve"> </w:t>
      </w:r>
      <w:r w:rsidRPr="00D2042C">
        <w:t>C87027/28.</w:t>
      </w:r>
      <w:r>
        <w:t xml:space="preserve"> </w:t>
      </w:r>
      <w:r w:rsidRPr="00D2042C">
        <w:t xml:space="preserve">In the final analysis the Week numbers represent actual weeks in </w:t>
      </w:r>
      <w:r w:rsidR="009A648A">
        <w:t>Study</w:t>
      </w:r>
      <w:r w:rsidRPr="00D2042C">
        <w:t xml:space="preserve"> C87027/28 including time spent on placebo if applicable. Week 96 in </w:t>
      </w:r>
      <w:r w:rsidR="009A648A">
        <w:t>Study</w:t>
      </w:r>
      <w:r>
        <w:t xml:space="preserve"> </w:t>
      </w:r>
      <w:r w:rsidRPr="00D2042C">
        <w:t xml:space="preserve">C87028 represents up to </w:t>
      </w:r>
      <w:r>
        <w:t>two</w:t>
      </w:r>
      <w:r w:rsidRPr="00D2042C">
        <w:t xml:space="preserve"> years of CZP exposure for Withdrawers and up to </w:t>
      </w:r>
      <w:r>
        <w:t>three</w:t>
      </w:r>
      <w:r w:rsidRPr="00D2042C">
        <w:t xml:space="preserve"> years of CZP exposure for Completers.)</w:t>
      </w:r>
      <w:r w:rsidR="00D2165F">
        <w:t>.</w:t>
      </w:r>
    </w:p>
    <w:p w:rsidR="007D6FF1" w:rsidRPr="00C412CB" w:rsidRDefault="007D6FF1" w:rsidP="00DD5297">
      <w:pPr>
        <w:pStyle w:val="TableTitle"/>
      </w:pPr>
      <w:r w:rsidRPr="00C412CB">
        <w:lastRenderedPageBreak/>
        <w:t xml:space="preserve">Table </w:t>
      </w:r>
      <w:r w:rsidR="00257178">
        <w:t>5</w:t>
      </w:r>
      <w:r w:rsidR="00C412CB">
        <w:t xml:space="preserve">: </w:t>
      </w:r>
      <w:r w:rsidRPr="00C412CB">
        <w:t xml:space="preserve">Change in </w:t>
      </w:r>
      <w:proofErr w:type="spellStart"/>
      <w:r w:rsidRPr="00C412CB">
        <w:t>mTSS</w:t>
      </w:r>
      <w:proofErr w:type="spellEnd"/>
      <w:r w:rsidRPr="00C412CB">
        <w:t xml:space="preserve"> from Baseline of </w:t>
      </w:r>
      <w:r w:rsidR="009A648A" w:rsidRPr="00C412CB">
        <w:t>Study</w:t>
      </w:r>
      <w:r w:rsidRPr="00C412CB">
        <w:t xml:space="preserve"> C87027 (final analysis, safety set)</w:t>
      </w:r>
      <w:r w:rsidR="00C412CB">
        <w:t>.</w:t>
      </w:r>
    </w:p>
    <w:p w:rsidR="00200CD5" w:rsidRDefault="00701465" w:rsidP="00DD5297">
      <w:r>
        <w:rPr>
          <w:noProof/>
          <w:lang w:eastAsia="en-AU"/>
        </w:rPr>
        <w:drawing>
          <wp:inline distT="0" distB="0" distL="0" distR="0" wp14:anchorId="67A8DFD0" wp14:editId="549F2A1E">
            <wp:extent cx="5398770" cy="2823845"/>
            <wp:effectExtent l="0" t="0" r="0" b="0"/>
            <wp:docPr id="6" name="Picture 6" descr="Table 5: Change in mTSS from Baseline of Study C87027 (final analysis, safety set)." title="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Change in mTSS from Baseline of Study C87027 (final analysis, safety s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2823845"/>
                    </a:xfrm>
                    <a:prstGeom prst="rect">
                      <a:avLst/>
                    </a:prstGeom>
                    <a:noFill/>
                    <a:ln>
                      <a:noFill/>
                    </a:ln>
                  </pic:spPr>
                </pic:pic>
              </a:graphicData>
            </a:graphic>
          </wp:inline>
        </w:drawing>
      </w:r>
    </w:p>
    <w:p w:rsidR="007D6FF1" w:rsidRPr="00DB7798" w:rsidRDefault="007D6FF1" w:rsidP="00DD5297">
      <w:r w:rsidRPr="00DB7798">
        <w:t>The results for the ACR efficacy variables (ACR20, ACR50 and ACR70) were supportive of the longer term efficacy of CZP, with response rates generally increasing up to Week 48 (ACR20 87.0%, ACR50 63.0%, ACR70 37.7%), then maintained through Week 300 (ACR20 90.9%, ACR50 81.8%, ACR70</w:t>
      </w:r>
      <w:r w:rsidR="00C412CB">
        <w:t xml:space="preserve"> 36.4%)</w:t>
      </w:r>
      <w:r w:rsidRPr="00DB7798">
        <w:t xml:space="preserve"> although the number of patients at this time point was very limited (n</w:t>
      </w:r>
      <w:r w:rsidR="00C412CB">
        <w:t xml:space="preserve"> </w:t>
      </w:r>
      <w:r w:rsidRPr="00DB7798">
        <w:t>=</w:t>
      </w:r>
      <w:r w:rsidR="00C412CB">
        <w:t xml:space="preserve"> </w:t>
      </w:r>
      <w:r w:rsidRPr="00DB7798">
        <w:t xml:space="preserve">11). Initial response rates were higher in Completers compared with Withdrawers, but Withdrawer response rates increased with time, and were generally similar to the rates in Completers by Week 96. CRP and </w:t>
      </w:r>
      <w:r w:rsidR="000C4BE9">
        <w:t>disease activity score for 28 joints (</w:t>
      </w:r>
      <w:r w:rsidRPr="00DB7798">
        <w:t>DAS28</w:t>
      </w:r>
      <w:r w:rsidR="000C4BE9">
        <w:t>)</w:t>
      </w:r>
      <w:r w:rsidR="000C4BE9">
        <w:rPr>
          <w:rStyle w:val="FootnoteReference"/>
        </w:rPr>
        <w:footnoteReference w:id="8"/>
      </w:r>
      <w:r w:rsidRPr="00DB7798">
        <w:t xml:space="preserve"> outcomes were also sustained over the longer term. Response rates in patient</w:t>
      </w:r>
      <w:r w:rsidR="00985474">
        <w:t xml:space="preserve">s who were anti </w:t>
      </w:r>
      <w:r w:rsidR="00824514">
        <w:t>CZP antibody positive</w:t>
      </w:r>
      <w:r w:rsidRPr="00DB7798">
        <w:t xml:space="preserve"> were lower than in those patients who were </w:t>
      </w:r>
      <w:r w:rsidR="00824514">
        <w:t>antibody negative</w:t>
      </w:r>
      <w:r w:rsidRPr="00DB7798">
        <w:t>.</w:t>
      </w:r>
    </w:p>
    <w:p w:rsidR="007D6FF1" w:rsidRPr="007D6FF1" w:rsidRDefault="007D6FF1" w:rsidP="00DD5297">
      <w:pPr>
        <w:pStyle w:val="Heading5"/>
      </w:pPr>
      <w:r w:rsidRPr="007D6FF1">
        <w:t>Study C87050 (</w:t>
      </w:r>
      <w:r w:rsidRPr="00DD5297">
        <w:t>Rapid</w:t>
      </w:r>
      <w:r w:rsidRPr="007D6FF1">
        <w:t xml:space="preserve"> 2)</w:t>
      </w:r>
      <w:bookmarkEnd w:id="167"/>
      <w:bookmarkEnd w:id="168"/>
    </w:p>
    <w:p w:rsidR="00092053" w:rsidRPr="00092053" w:rsidRDefault="00092053" w:rsidP="00DD5297">
      <w:r w:rsidRPr="00092053">
        <w:t>This was a multicentre, randomised, d</w:t>
      </w:r>
      <w:r w:rsidR="00824514">
        <w:t xml:space="preserve">ouble blind, active comparator controlled, parallel </w:t>
      </w:r>
      <w:r w:rsidRPr="00092053">
        <w:t>group study of 24 weeks duration</w:t>
      </w:r>
      <w:r w:rsidR="00824514">
        <w:t xml:space="preserve"> in subjects with active, adult </w:t>
      </w:r>
      <w:r w:rsidRPr="00092053">
        <w:t>onset RA of at least six months duration with incomplete response to MTX. Subjects were random</w:t>
      </w:r>
      <w:r w:rsidR="00D2165F">
        <w:t>ise</w:t>
      </w:r>
      <w:r w:rsidRPr="00092053">
        <w:t xml:space="preserve">d to one of three treatment groups in a 2:2:1 ratio: </w:t>
      </w:r>
      <w:r w:rsidR="00824514">
        <w:t>CZP</w:t>
      </w:r>
      <w:r w:rsidRPr="00092053">
        <w:t xml:space="preserve"> 200 mg </w:t>
      </w:r>
      <w:r w:rsidR="00824514">
        <w:t>q2w</w:t>
      </w:r>
      <w:r w:rsidRPr="00092053">
        <w:t xml:space="preserve"> (preceded by three loading doses of 400 mg </w:t>
      </w:r>
      <w:r w:rsidR="00824514">
        <w:t>q2w</w:t>
      </w:r>
      <w:r w:rsidRPr="00092053">
        <w:t xml:space="preserve">), </w:t>
      </w:r>
      <w:r w:rsidR="00824514">
        <w:t>CZP</w:t>
      </w:r>
      <w:r w:rsidRPr="00092053">
        <w:t xml:space="preserve"> 400 mg </w:t>
      </w:r>
      <w:r w:rsidR="00824514">
        <w:t>q2w</w:t>
      </w:r>
      <w:r w:rsidRPr="00092053">
        <w:t xml:space="preserve"> or placebo injections. This study used the optim</w:t>
      </w:r>
      <w:r w:rsidR="00D2165F">
        <w:t>ise</w:t>
      </w:r>
      <w:r w:rsidRPr="00092053">
        <w:t xml:space="preserve">d liquid formulation of </w:t>
      </w:r>
      <w:r w:rsidR="00985474">
        <w:t>CZP</w:t>
      </w:r>
      <w:r w:rsidRPr="00092053">
        <w:t xml:space="preserve">. All patients received oral MTX </w:t>
      </w:r>
      <w:r w:rsidR="00985474">
        <w:t>weekly at a dose of at least 10 </w:t>
      </w:r>
      <w:r w:rsidRPr="00092053">
        <w:t>mg. Demographic characteristics and prior treatment were comparable betwe</w:t>
      </w:r>
      <w:r w:rsidR="00824514">
        <w:t xml:space="preserve">en the three treatment groups; </w:t>
      </w:r>
      <w:r w:rsidRPr="00092053">
        <w:t>mean duration of RA since diagnosis 6.1 years, approximately 70% of subjects had had RA for at least three years, mean age 51.9 years, p</w:t>
      </w:r>
      <w:r w:rsidR="00824514">
        <w:t xml:space="preserve">redominantly female (81.6%, 505 out of </w:t>
      </w:r>
      <w:r w:rsidRPr="00092053">
        <w:t>619), almost ex</w:t>
      </w:r>
      <w:r w:rsidR="00824514">
        <w:t xml:space="preserve">clusively Caucasian (98.1%, 607 out of 619), rheumatoid factor positive 77% (462 out of </w:t>
      </w:r>
      <w:r w:rsidRPr="00092053">
        <w:t xml:space="preserve">601). The primary efficacy endpoint was ACR20 response at Week 24. Change from baseline in </w:t>
      </w:r>
      <w:proofErr w:type="spellStart"/>
      <w:r w:rsidRPr="00092053">
        <w:t>mTSS</w:t>
      </w:r>
      <w:proofErr w:type="spellEnd"/>
      <w:r w:rsidRPr="00092053">
        <w:t xml:space="preserve"> at Week 52 was nominated as a key secondary endpoint. In total, 619 subjects (127 for placebo + MTX, 246 for CZP 200 mg + MTX, and 246 for CZP 400 mg + MTX) were included in the ITT popu</w:t>
      </w:r>
      <w:r w:rsidR="00843E62">
        <w:t>lation for analysis of efficacy</w:t>
      </w:r>
      <w:r w:rsidRPr="00092053">
        <w:t xml:space="preserve"> and 372 (60.1%) subjects completed the 24 weeks of evaluation.</w:t>
      </w:r>
    </w:p>
    <w:p w:rsidR="000C09EA" w:rsidRDefault="007D6FF1" w:rsidP="00DD5297">
      <w:pPr>
        <w:pStyle w:val="Heading5"/>
      </w:pPr>
      <w:r w:rsidRPr="00DD5297">
        <w:lastRenderedPageBreak/>
        <w:t>Study</w:t>
      </w:r>
      <w:r w:rsidRPr="007D6FF1">
        <w:t xml:space="preserve"> C87051</w:t>
      </w:r>
    </w:p>
    <w:p w:rsidR="002E276D" w:rsidRPr="002A5EB1" w:rsidRDefault="002E276D" w:rsidP="00DD5297">
      <w:r>
        <w:t>This</w:t>
      </w:r>
      <w:r w:rsidRPr="002A5EB1">
        <w:t xml:space="preserve"> was a </w:t>
      </w:r>
      <w:r w:rsidR="00824514">
        <w:t xml:space="preserve">Phase III, open label, follow </w:t>
      </w:r>
      <w:r w:rsidRPr="002A5EB1">
        <w:t xml:space="preserve">up to </w:t>
      </w:r>
      <w:r w:rsidR="009A648A">
        <w:t>Study</w:t>
      </w:r>
      <w:r w:rsidRPr="002A5EB1">
        <w:t xml:space="preserve"> C87050. </w:t>
      </w:r>
      <w:r w:rsidRPr="002E276D">
        <w:t xml:space="preserve">It was conducted at 68 centres in 13 countries in Europe and the USA. </w:t>
      </w:r>
      <w:r w:rsidRPr="002A5EB1">
        <w:t xml:space="preserve">Two populations were eligible to enrol: ‘Withdrawers’ were patients who failed to achieve ACR20 at Week 12 of </w:t>
      </w:r>
      <w:r w:rsidR="009A648A">
        <w:t>Study</w:t>
      </w:r>
      <w:r>
        <w:t xml:space="preserve"> </w:t>
      </w:r>
      <w:r w:rsidRPr="002A5EB1">
        <w:t xml:space="preserve">C87050 (confirmed at Week 14); and ‘Completers’ were patients who completed Week 24 of </w:t>
      </w:r>
      <w:r w:rsidR="009A648A">
        <w:t>Study</w:t>
      </w:r>
      <w:r>
        <w:t xml:space="preserve"> </w:t>
      </w:r>
      <w:r w:rsidRPr="002A5EB1">
        <w:t xml:space="preserve">C87050. The study baseline was baseline of </w:t>
      </w:r>
      <w:r w:rsidR="009A648A">
        <w:t>Study</w:t>
      </w:r>
      <w:r w:rsidRPr="002A5EB1">
        <w:t xml:space="preserve"> C87050</w:t>
      </w:r>
      <w:r>
        <w:t>.</w:t>
      </w:r>
      <w:r w:rsidRPr="002A5EB1">
        <w:t xml:space="preserve"> The study entry visit was Week 16 of </w:t>
      </w:r>
      <w:r w:rsidR="009A648A">
        <w:t>Study</w:t>
      </w:r>
      <w:r w:rsidRPr="002A5EB1">
        <w:t xml:space="preserve"> C87050 for </w:t>
      </w:r>
      <w:r w:rsidR="002B53B0" w:rsidRPr="002A5EB1">
        <w:t>Withdrawers</w:t>
      </w:r>
      <w:r w:rsidRPr="002A5EB1">
        <w:t xml:space="preserve"> and Week 24 of </w:t>
      </w:r>
      <w:r w:rsidR="009A648A">
        <w:t>Study</w:t>
      </w:r>
      <w:r w:rsidRPr="002A5EB1">
        <w:t xml:space="preserve"> C87050 for Completers. Radiographic assessments (digitised with central reading) of the hands and feet were obtained at entry, </w:t>
      </w:r>
      <w:r>
        <w:t xml:space="preserve">and at </w:t>
      </w:r>
      <w:r w:rsidRPr="002A5EB1">
        <w:t>Weeks 24, 76 and 104 or at early withdrawal if it occurred before Week 104.</w:t>
      </w:r>
    </w:p>
    <w:p w:rsidR="002E276D" w:rsidRPr="002A5EB1" w:rsidRDefault="002E276D" w:rsidP="00DD5297">
      <w:r w:rsidRPr="002A5EB1">
        <w:t>The key inclusion criteria were: patients who failed to achieve an ACR20 response at W</w:t>
      </w:r>
      <w:r w:rsidR="00824514">
        <w:t>eek </w:t>
      </w:r>
      <w:r w:rsidRPr="002A5EB1">
        <w:t xml:space="preserve">12 in </w:t>
      </w:r>
      <w:r w:rsidR="009A648A">
        <w:t>Study</w:t>
      </w:r>
      <w:r>
        <w:t xml:space="preserve"> </w:t>
      </w:r>
      <w:r w:rsidRPr="002A5EB1">
        <w:t xml:space="preserve">C87050, or completed the entire </w:t>
      </w:r>
      <w:r w:rsidR="009A648A">
        <w:t>Study</w:t>
      </w:r>
      <w:r>
        <w:t xml:space="preserve"> </w:t>
      </w:r>
      <w:r w:rsidRPr="002A5EB1">
        <w:t xml:space="preserve">C87050; patients who complied with the </w:t>
      </w:r>
      <w:r w:rsidR="009A648A">
        <w:t>Study</w:t>
      </w:r>
      <w:r>
        <w:t xml:space="preserve"> </w:t>
      </w:r>
      <w:r w:rsidRPr="002A5EB1">
        <w:t xml:space="preserve">C87050 protocol; a clear chest </w:t>
      </w:r>
      <w:r w:rsidR="00824514">
        <w:t>X-ray</w:t>
      </w:r>
      <w:r w:rsidRPr="002A5EB1">
        <w:t xml:space="preserve"> at study entry; and MTX therapy continued throughout the study. The key exclusion criteria were: patients with a diagnosis of any other inflam</w:t>
      </w:r>
      <w:r w:rsidR="00985474">
        <w:t xml:space="preserve">matory disease; a secondary non </w:t>
      </w:r>
      <w:r w:rsidRPr="002A5EB1">
        <w:t>inflammatory arthritis such as osteoarthritis; a history of infected joint prosthesis at any time with the prosthesis still in situ; concomitant biological therapy or other experimental therapy; patients with congestive c</w:t>
      </w:r>
      <w:r w:rsidR="00824514">
        <w:t xml:space="preserve">ardiac failure; serious or life </w:t>
      </w:r>
      <w:r w:rsidRPr="002A5EB1">
        <w:t xml:space="preserve">threatening infection including </w:t>
      </w:r>
      <w:r>
        <w:t>tuberculosis</w:t>
      </w:r>
      <w:r w:rsidRPr="002A5EB1">
        <w:t xml:space="preserve">; patients at high risk of infection; hepatitis B or C; HIV infection; lymphoproliferative disorders; a history of blood </w:t>
      </w:r>
      <w:proofErr w:type="spellStart"/>
      <w:r w:rsidRPr="002A5EB1">
        <w:t>dyscrasias</w:t>
      </w:r>
      <w:proofErr w:type="spellEnd"/>
      <w:r w:rsidRPr="002A5EB1">
        <w:t>; active malignancy of any type; severe, progressive and/or other diseases; and demyelinating disease.</w:t>
      </w:r>
    </w:p>
    <w:p w:rsidR="002E276D" w:rsidRPr="002A5EB1" w:rsidRDefault="002E276D" w:rsidP="00DD5297">
      <w:r w:rsidRPr="002A5EB1">
        <w:t xml:space="preserve">Patients initially received CZP 400 mg </w:t>
      </w:r>
      <w:r w:rsidR="00EE185F">
        <w:t xml:space="preserve">SC </w:t>
      </w:r>
      <w:r w:rsidR="00354BAD">
        <w:t>q2w</w:t>
      </w:r>
      <w:r w:rsidRPr="002A5EB1">
        <w:t xml:space="preserve">. This was changed by protocol amendment to CZP 200 mg </w:t>
      </w:r>
      <w:r w:rsidR="00EE185F">
        <w:t xml:space="preserve">SC </w:t>
      </w:r>
      <w:r w:rsidR="00354BAD">
        <w:t>q2w</w:t>
      </w:r>
      <w:r w:rsidRPr="002A5EB1">
        <w:t xml:space="preserve"> after a minimum of </w:t>
      </w:r>
      <w:r>
        <w:t>six</w:t>
      </w:r>
      <w:r w:rsidRPr="002A5EB1">
        <w:t xml:space="preserve"> months of treatment, based on the safety and efficacy results of </w:t>
      </w:r>
      <w:r w:rsidR="00824514">
        <w:t>S</w:t>
      </w:r>
      <w:r>
        <w:t xml:space="preserve">tudies </w:t>
      </w:r>
      <w:r w:rsidRPr="002A5EB1">
        <w:t>C87027 and C87050</w:t>
      </w:r>
      <w:r>
        <w:t>,</w:t>
      </w:r>
      <w:r w:rsidRPr="002A5EB1">
        <w:t xml:space="preserve"> which demonstrated no significant dose effect of CZP.</w:t>
      </w:r>
    </w:p>
    <w:p w:rsidR="002E276D" w:rsidRDefault="002E276D" w:rsidP="00DD5297">
      <w:r w:rsidRPr="002A5EB1">
        <w:t>A total of 567 patients were enrolled in the study and received at least one dose of CZP. A total of 221 (39.0%) patients withdrew from the study</w:t>
      </w:r>
      <w:r>
        <w:t>,</w:t>
      </w:r>
      <w:r w:rsidRPr="002A5EB1">
        <w:t xml:space="preserve"> most commonly due to withdrawal of consent in 87 patients (15.3%) and AEs in 102 patients (18.0%). A similar percentage of Withdrawers (39.9%) and Completers (38.3%) withdrew from </w:t>
      </w:r>
      <w:r w:rsidR="009A648A">
        <w:t>Study</w:t>
      </w:r>
      <w:r>
        <w:t xml:space="preserve"> </w:t>
      </w:r>
      <w:r w:rsidRPr="002A5EB1">
        <w:t>C87051. A lower percentage of Withdrawers (15.9%) withdrew due to AEs compared with Completers (19.2%), and a higher percentage of Withdrawers withdrew due to withdrawal of consent and lack of efficacy (17.8% and 4.3%, respectively), compared with Completers (13.9% and 0.8%, respectively).</w:t>
      </w:r>
    </w:p>
    <w:p w:rsidR="002E276D" w:rsidRPr="002A5EB1" w:rsidRDefault="002E276D" w:rsidP="00DD5297">
      <w:r w:rsidRPr="002A5EB1">
        <w:t>The primary study objective was safety</w:t>
      </w:r>
      <w:r w:rsidR="000F4F43">
        <w:t xml:space="preserve">. </w:t>
      </w:r>
      <w:r w:rsidRPr="002A5EB1">
        <w:t xml:space="preserve">There was no primary efficacy objective but the main secondary </w:t>
      </w:r>
      <w:r>
        <w:t xml:space="preserve">efficacy </w:t>
      </w:r>
      <w:r w:rsidRPr="002A5EB1">
        <w:t>objective was to assess the effects of CZP in preventing structural damage in patients with active RA. Other objectives included the effects of CZP in treating the signs and symptoms of RA, the effects on physical function and health outcomes, and safety and tolerability.</w:t>
      </w:r>
    </w:p>
    <w:p w:rsidR="002E276D" w:rsidRPr="00824514" w:rsidRDefault="002E276D" w:rsidP="00DD5297">
      <w:r w:rsidRPr="00824514">
        <w:t xml:space="preserve">The mean change in </w:t>
      </w:r>
      <w:proofErr w:type="spellStart"/>
      <w:r w:rsidRPr="00824514">
        <w:t>mTSS</w:t>
      </w:r>
      <w:proofErr w:type="spellEnd"/>
      <w:r w:rsidRPr="00824514">
        <w:t xml:space="preserve"> from baseline o</w:t>
      </w:r>
      <w:r w:rsidR="00985474">
        <w:t>f the feeder study was 0.42 at e</w:t>
      </w:r>
      <w:r w:rsidRPr="00824514">
        <w:t xml:space="preserve">ntry into </w:t>
      </w:r>
      <w:r w:rsidR="009A648A" w:rsidRPr="00824514">
        <w:t>Study</w:t>
      </w:r>
      <w:r w:rsidRPr="00824514">
        <w:t xml:space="preserve"> C87051, which increased to 0.99 at Week 104. The </w:t>
      </w:r>
      <w:proofErr w:type="spellStart"/>
      <w:r w:rsidRPr="00824514">
        <w:t>mTSS</w:t>
      </w:r>
      <w:proofErr w:type="spellEnd"/>
      <w:r w:rsidRPr="00824514">
        <w:t xml:space="preserve"> scores were generally lower for subjects originally randomised to CZP compared with placebo, and for Completers compared with Withdrawers. The median change from Baseline of the feeder </w:t>
      </w:r>
      <w:r w:rsidR="009A648A" w:rsidRPr="00824514">
        <w:t>Study C87050</w:t>
      </w:r>
      <w:r w:rsidR="00824514" w:rsidRPr="00824514">
        <w:t xml:space="preserve"> in </w:t>
      </w:r>
      <w:proofErr w:type="spellStart"/>
      <w:r w:rsidR="00824514" w:rsidRPr="00824514">
        <w:t>mTSS</w:t>
      </w:r>
      <w:proofErr w:type="spellEnd"/>
      <w:r w:rsidR="00824514" w:rsidRPr="00824514">
        <w:t xml:space="preserve"> was 0.00 at all time-</w:t>
      </w:r>
      <w:r w:rsidRPr="00824514">
        <w:t>points, indicating that at least 50% of patients had no radiographic progression. Similar trends were seen in JSN scores and erosion scores, with a median change in JSN and erosion scores f</w:t>
      </w:r>
      <w:r w:rsidR="00824514" w:rsidRPr="00824514">
        <w:t>rom Baseline of 0.00 at all time-</w:t>
      </w:r>
      <w:r w:rsidRPr="00824514">
        <w:t>points.</w:t>
      </w:r>
    </w:p>
    <w:p w:rsidR="007D6FF1" w:rsidRDefault="007D6FF1" w:rsidP="00DD5297">
      <w:pPr>
        <w:pStyle w:val="TableTitle"/>
      </w:pPr>
      <w:r w:rsidRPr="00824514">
        <w:lastRenderedPageBreak/>
        <w:t xml:space="preserve">Table </w:t>
      </w:r>
      <w:r w:rsidR="00985474">
        <w:t>6</w:t>
      </w:r>
      <w:r w:rsidR="00824514">
        <w:t xml:space="preserve">: </w:t>
      </w:r>
      <w:r w:rsidRPr="00824514">
        <w:t xml:space="preserve">Change in </w:t>
      </w:r>
      <w:proofErr w:type="spellStart"/>
      <w:r w:rsidRPr="00824514">
        <w:t>mTSS</w:t>
      </w:r>
      <w:proofErr w:type="spellEnd"/>
      <w:r w:rsidRPr="00824514">
        <w:t xml:space="preserve"> from Baseline of feeder </w:t>
      </w:r>
      <w:r w:rsidR="009A648A" w:rsidRPr="00824514">
        <w:t>Study</w:t>
      </w:r>
      <w:r w:rsidRPr="00824514">
        <w:t xml:space="preserve"> C87050 (final analysis, safety set)</w:t>
      </w:r>
      <w:r w:rsidR="00824514">
        <w:t>.</w:t>
      </w:r>
    </w:p>
    <w:p w:rsidR="00985474" w:rsidRPr="00824514" w:rsidRDefault="00701465" w:rsidP="00DD5297">
      <w:r>
        <w:rPr>
          <w:noProof/>
          <w:lang w:eastAsia="en-AU"/>
        </w:rPr>
        <w:drawing>
          <wp:inline distT="0" distB="0" distL="0" distR="0" wp14:anchorId="791FAEE4" wp14:editId="4F85538B">
            <wp:extent cx="5398770" cy="2531110"/>
            <wp:effectExtent l="0" t="0" r="0" b="2540"/>
            <wp:docPr id="7" name="Picture 7" descr="Table 6: Change in mTSS from Baseline of feeder Study C87050 (final analysis, safety set)." title="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Change in mTSS from Baseline of feeder Study C87050 (final analysis, safety s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8770" cy="2531110"/>
                    </a:xfrm>
                    <a:prstGeom prst="rect">
                      <a:avLst/>
                    </a:prstGeom>
                    <a:noFill/>
                    <a:ln>
                      <a:noFill/>
                    </a:ln>
                  </pic:spPr>
                </pic:pic>
              </a:graphicData>
            </a:graphic>
          </wp:inline>
        </w:drawing>
      </w:r>
    </w:p>
    <w:p w:rsidR="007D6FF1" w:rsidRDefault="007D6FF1" w:rsidP="00DD5297">
      <w:r w:rsidRPr="0042006C">
        <w:t>The results for the ACR efficacy variables (ACR20, ACR50 and A</w:t>
      </w:r>
      <w:r w:rsidR="00C070B0">
        <w:t xml:space="preserve">CR70) were supportive of longer </w:t>
      </w:r>
      <w:r w:rsidRPr="0042006C">
        <w:t>term efficacy, with response rates increasing up to Week 52 (ACR20 81.7%, ACR50 48.9%, ACR70 26.2%) and then essentially maintained through Week 244 (ACR20 88.9%, ACR50 62.5%, ACR70 31.9%), although the number of patients at this time point was limited (n</w:t>
      </w:r>
      <w:r w:rsidR="00C070B0">
        <w:t xml:space="preserve"> </w:t>
      </w:r>
      <w:r w:rsidRPr="0042006C">
        <w:t>=</w:t>
      </w:r>
      <w:r w:rsidR="00C070B0">
        <w:t xml:space="preserve"> </w:t>
      </w:r>
      <w:r w:rsidRPr="0042006C">
        <w:t>72). Response rates were higher in Completers compared with Withdrawers, but Withdrawer response rates became similar to the rates in Completers by Week 244. CRP and DAS28 outcomes were also sustained over the longer te</w:t>
      </w:r>
      <w:r w:rsidR="00985474">
        <w:t xml:space="preserve">rm. Patients who developed anti </w:t>
      </w:r>
      <w:r w:rsidRPr="0042006C">
        <w:t>CZP antibodies had lower response rates than those patients who were antibody negative.</w:t>
      </w:r>
    </w:p>
    <w:p w:rsidR="00D61A9B" w:rsidRPr="007D6FF1" w:rsidRDefault="00D61A9B" w:rsidP="00DD5297">
      <w:pPr>
        <w:pStyle w:val="Heading4"/>
      </w:pPr>
      <w:r w:rsidRPr="007D6FF1">
        <w:t xml:space="preserve">Efficacy – </w:t>
      </w:r>
      <w:r w:rsidR="00251162" w:rsidRPr="00DD5297">
        <w:t>Supporting</w:t>
      </w:r>
      <w:r w:rsidR="00251162">
        <w:t xml:space="preserve"> study</w:t>
      </w:r>
    </w:p>
    <w:p w:rsidR="006B1B7B" w:rsidRDefault="006B1B7B" w:rsidP="00DD5297">
      <w:r w:rsidRPr="0015261E">
        <w:t>Study C87015</w:t>
      </w:r>
      <w:r>
        <w:t xml:space="preserve"> </w:t>
      </w:r>
      <w:r w:rsidRPr="0015261E">
        <w:t>was a multicentre, open-label, long-term extension, safety and eff</w:t>
      </w:r>
      <w:r w:rsidR="009A648A">
        <w:t xml:space="preserve">icacy Study </w:t>
      </w:r>
      <w:r w:rsidRPr="0015261E">
        <w:t xml:space="preserve">CZP 400 mg every </w:t>
      </w:r>
      <w:r>
        <w:t>four</w:t>
      </w:r>
      <w:r w:rsidRPr="0015261E">
        <w:t xml:space="preserve"> weeks, with or without concomitant MTX or other DMARDs, in patients with active RA. Eligible patients had participated in </w:t>
      </w:r>
      <w:r w:rsidR="009A648A">
        <w:t>Study</w:t>
      </w:r>
      <w:r>
        <w:t xml:space="preserve"> </w:t>
      </w:r>
      <w:r w:rsidRPr="0015261E">
        <w:t xml:space="preserve">C87011 or C87014 (Phase III studies </w:t>
      </w:r>
      <w:r w:rsidRPr="001D5B23">
        <w:t xml:space="preserve">that were </w:t>
      </w:r>
      <w:r w:rsidR="00501D8F">
        <w:t xml:space="preserve">previously </w:t>
      </w:r>
      <w:r w:rsidRPr="001D5B23">
        <w:t>evaluated</w:t>
      </w:r>
      <w:r w:rsidRPr="0015261E">
        <w:t>) during</w:t>
      </w:r>
      <w:r w:rsidR="001D5B23">
        <w:t xml:space="preserve"> which they had received double </w:t>
      </w:r>
      <w:r w:rsidRPr="0015261E">
        <w:t>blind treatment placebo or CZP for at least 12 weeks.</w:t>
      </w:r>
      <w:r>
        <w:t xml:space="preserve"> </w:t>
      </w:r>
      <w:r w:rsidRPr="006B1B7B">
        <w:t xml:space="preserve">It was conducted at 71 centres in 7 countries. </w:t>
      </w:r>
      <w:r w:rsidRPr="0015261E">
        <w:t xml:space="preserve">A total of 402 patients (186 patients from </w:t>
      </w:r>
      <w:r w:rsidR="009A648A">
        <w:t>Study</w:t>
      </w:r>
      <w:r>
        <w:t xml:space="preserve"> </w:t>
      </w:r>
      <w:r w:rsidRPr="0015261E">
        <w:t xml:space="preserve">C87011 and 216 patients from </w:t>
      </w:r>
      <w:r w:rsidR="009A648A">
        <w:t>Study</w:t>
      </w:r>
      <w:r>
        <w:t xml:space="preserve"> </w:t>
      </w:r>
      <w:r w:rsidRPr="0015261E">
        <w:t xml:space="preserve">C87014) were enrolled into the study; 192 patients had previously received placebo and 210 patients had previously received CZP 400 mg. </w:t>
      </w:r>
      <w:r>
        <w:t>‘</w:t>
      </w:r>
      <w:r w:rsidRPr="0015261E">
        <w:t>Withdrawers</w:t>
      </w:r>
      <w:r>
        <w:t>’</w:t>
      </w:r>
      <w:r w:rsidRPr="0015261E">
        <w:t xml:space="preserve"> were patients who withdrew from the feeder study (with the exception of withdrawals due to AEs or non-compliance) and </w:t>
      </w:r>
      <w:r>
        <w:t>‘</w:t>
      </w:r>
      <w:r w:rsidRPr="0015261E">
        <w:t>Completers</w:t>
      </w:r>
      <w:r>
        <w:t>’</w:t>
      </w:r>
      <w:r w:rsidRPr="0015261E">
        <w:t xml:space="preserve"> were patients who completed Week 24 of the feeder study. Treatment was continued unti</w:t>
      </w:r>
      <w:r w:rsidR="001D5B23">
        <w:t>l marketing approval or at the i</w:t>
      </w:r>
      <w:r w:rsidRPr="0015261E">
        <w:t>nvestigator’s decision.</w:t>
      </w:r>
    </w:p>
    <w:p w:rsidR="006B1B7B" w:rsidRPr="0015261E" w:rsidRDefault="006B1B7B" w:rsidP="00DD5297">
      <w:r w:rsidRPr="0015261E">
        <w:t>The primary objective was safety. There was no primary efficacy endpoint but efficacy criteria included ACR20/50/70 response rates, and other measures of physical function and disease activity (</w:t>
      </w:r>
      <w:proofErr w:type="spellStart"/>
      <w:r w:rsidRPr="0015261E">
        <w:t>mTSS</w:t>
      </w:r>
      <w:proofErr w:type="spellEnd"/>
      <w:r w:rsidRPr="0015261E">
        <w:t xml:space="preserve"> was not measured). Of the 402 patients who enrolled in the study, 56.7% previously treated with CZP withdrew compared with 60.4% previously treated with placebo. The most common reasons for withdrawal were AEs (24.1%) and withdrawal of consent (13.4%). However, withdrawals due to lack of efficacy or AEs o</w:t>
      </w:r>
      <w:r>
        <w:t>r</w:t>
      </w:r>
      <w:r w:rsidRPr="0015261E">
        <w:t xml:space="preserve"> worsening of RA occurred in only 8.0% of the overall population. There was an improvement in ACR20 responder rates from 36.6% at entry to 62.5% at Week 12. At Year 3, 64% of Withdrawers and 70% of Completers achieved an ACR20 response. The improvement was maintained for up to 6.5 years of treatment in patients who remained in the study. The respo</w:t>
      </w:r>
      <w:r w:rsidR="005F1A35">
        <w:t xml:space="preserve">nse rate at 6.5 years in the 62 of the </w:t>
      </w:r>
      <w:r w:rsidRPr="0015261E">
        <w:t xml:space="preserve">402 patients who remained in the study was 67.7% (95% </w:t>
      </w:r>
      <w:r w:rsidR="00D97088" w:rsidRPr="00D97088">
        <w:t xml:space="preserve">confidence interval </w:t>
      </w:r>
      <w:r w:rsidR="00D97088">
        <w:t>(</w:t>
      </w:r>
      <w:r w:rsidRPr="0015261E">
        <w:t>CI</w:t>
      </w:r>
      <w:r w:rsidR="00D97088">
        <w:t>)</w:t>
      </w:r>
      <w:r w:rsidRPr="0015261E">
        <w:t xml:space="preserve">: 56.1, 79.4). The response rate in the </w:t>
      </w:r>
      <w:r w:rsidRPr="0015261E">
        <w:lastRenderedPageBreak/>
        <w:t xml:space="preserve">overall 402 enrolled patient population was 57.2% (95% CI: 52.4, 62.1%) assessed at study completion or the time of withdrawal. Similar results were observed for ACR50 and ACR70 response rates although patient numbers achieving ACR70 were small. </w:t>
      </w:r>
      <w:r w:rsidR="005F1A35">
        <w:t xml:space="preserve">The </w:t>
      </w:r>
      <w:r w:rsidR="005F1A35" w:rsidRPr="005F1A35">
        <w:t>disease activity score for 28 joints using the ESR (</w:t>
      </w:r>
      <w:r w:rsidRPr="005F1A35">
        <w:t>DAS28</w:t>
      </w:r>
      <w:r w:rsidR="005F1A35" w:rsidRPr="005F1A35">
        <w:t>)</w:t>
      </w:r>
      <w:r w:rsidR="00654544">
        <w:t>,</w:t>
      </w:r>
      <w:r w:rsidR="005F1A35">
        <w:t xml:space="preserve"> </w:t>
      </w:r>
      <w:r w:rsidR="00654544">
        <w:t>CRP</w:t>
      </w:r>
      <w:r w:rsidRPr="0015261E">
        <w:t xml:space="preserve"> values improved from baseline and the improvement was maintained for up to 6.5 years in patients who continued in the study (</w:t>
      </w:r>
      <w:r w:rsidR="005F1A35">
        <w:noBreakHyphen/>
        <w:t xml:space="preserve">2.812 for Withdrawers and </w:t>
      </w:r>
      <w:r w:rsidR="005F1A35">
        <w:noBreakHyphen/>
      </w:r>
      <w:r w:rsidRPr="0015261E">
        <w:t>3.180 for Completers).</w:t>
      </w:r>
    </w:p>
    <w:p w:rsidR="007D6FF1" w:rsidRPr="007D6FF1" w:rsidRDefault="007D6FF1" w:rsidP="00DD5297">
      <w:pPr>
        <w:pStyle w:val="Heading4"/>
      </w:pPr>
      <w:r w:rsidRPr="00DD5297">
        <w:t>Safety</w:t>
      </w:r>
    </w:p>
    <w:p w:rsidR="002A344F" w:rsidRDefault="002A344F" w:rsidP="00DD5297">
      <w:pPr>
        <w:rPr>
          <w:shd w:val="clear" w:color="auto" w:fill="DF88E8"/>
        </w:rPr>
      </w:pPr>
      <w:r w:rsidRPr="00632598">
        <w:t xml:space="preserve">In </w:t>
      </w:r>
      <w:r w:rsidR="009A648A">
        <w:t>Study</w:t>
      </w:r>
      <w:r w:rsidRPr="00632598">
        <w:t xml:space="preserve"> C87027/</w:t>
      </w:r>
      <w:r>
        <w:t>C807</w:t>
      </w:r>
      <w:r w:rsidRPr="00632598">
        <w:t xml:space="preserve">28, 846 subjects were exposed to CZP for a mean of 216.9 weeks (4.2 years) with a range of </w:t>
      </w:r>
      <w:r>
        <w:t>four</w:t>
      </w:r>
      <w:r w:rsidRPr="00632598">
        <w:t xml:space="preserve"> weeks to 324 weeks (6.2 years). In </w:t>
      </w:r>
      <w:r w:rsidR="009A648A">
        <w:t>Study</w:t>
      </w:r>
      <w:r w:rsidRPr="00632598">
        <w:t xml:space="preserve"> C87050/</w:t>
      </w:r>
      <w:r>
        <w:t>C870</w:t>
      </w:r>
      <w:r w:rsidRPr="00632598">
        <w:t xml:space="preserve">51, 567 patients were exposed to CZP for a mean of 203.3 weeks (3.9 years) with a range of </w:t>
      </w:r>
      <w:r>
        <w:t>two</w:t>
      </w:r>
      <w:r w:rsidRPr="00632598">
        <w:t xml:space="preserve"> weeks to 298 weeks (5.7 years). In </w:t>
      </w:r>
      <w:r w:rsidR="009A648A">
        <w:t>Study</w:t>
      </w:r>
      <w:r>
        <w:t xml:space="preserve"> </w:t>
      </w:r>
      <w:r w:rsidRPr="00632598">
        <w:t xml:space="preserve">C87015, 402 subjects were exposed to CZP for a mean of 222 weeks (4.3 years) with a range of </w:t>
      </w:r>
      <w:r>
        <w:t>one</w:t>
      </w:r>
      <w:r w:rsidRPr="00632598">
        <w:t xml:space="preserve"> day to 391 weeks (7.5 years).</w:t>
      </w:r>
    </w:p>
    <w:p w:rsidR="00446F35" w:rsidRPr="00B20BD8" w:rsidRDefault="005F1A35" w:rsidP="00DD5297">
      <w:r>
        <w:t xml:space="preserve">Treatment </w:t>
      </w:r>
      <w:r w:rsidR="00446F35" w:rsidRPr="00B20BD8">
        <w:t xml:space="preserve">related </w:t>
      </w:r>
      <w:r w:rsidR="00654544">
        <w:t>AE</w:t>
      </w:r>
      <w:r w:rsidR="00446F35" w:rsidRPr="00B20BD8">
        <w:t xml:space="preserve">s were reported by 528 patients (62.4%) in </w:t>
      </w:r>
      <w:r w:rsidR="009A648A">
        <w:t>Study</w:t>
      </w:r>
      <w:r w:rsidR="00446F35" w:rsidRPr="00B20BD8">
        <w:t xml:space="preserve"> C87028 and by 267 patients (47.1%) in </w:t>
      </w:r>
      <w:r w:rsidR="009A648A">
        <w:t>Study</w:t>
      </w:r>
      <w:r w:rsidR="00446F35" w:rsidRPr="00B20BD8">
        <w:t xml:space="preserve"> C87051. The most commonly reported </w:t>
      </w:r>
      <w:r>
        <w:t>t</w:t>
      </w:r>
      <w:r w:rsidRPr="005F1A35">
        <w:t xml:space="preserve">reatment related </w:t>
      </w:r>
      <w:r w:rsidR="00654544">
        <w:t>AE</w:t>
      </w:r>
      <w:r w:rsidRPr="005F1A35">
        <w:t>s</w:t>
      </w:r>
      <w:r w:rsidR="00446F35" w:rsidRPr="00B20BD8">
        <w:t xml:space="preserve"> in both studies were infections (42.2% and 28.7%, respectivel</w:t>
      </w:r>
      <w:r w:rsidR="00501D8F">
        <w:t>y)</w:t>
      </w:r>
      <w:r w:rsidR="00446F35" w:rsidRPr="00B20BD8">
        <w:t xml:space="preserve"> and abnormal investigations (16.8% and 15.9%</w:t>
      </w:r>
      <w:r w:rsidR="00E823EC">
        <w:t>, respectively</w:t>
      </w:r>
      <w:r w:rsidR="00446F35" w:rsidRPr="00B20BD8">
        <w:t>). The majority of AEs were mild or moderate in severit</w:t>
      </w:r>
      <w:r w:rsidR="00EE185F">
        <w:t>y. Serious adverse events</w:t>
      </w:r>
      <w:r w:rsidR="00446F35" w:rsidRPr="00B20BD8">
        <w:t xml:space="preserve"> were reported by 352 patients (41.6%) in </w:t>
      </w:r>
      <w:r w:rsidR="009A648A">
        <w:t>Study</w:t>
      </w:r>
      <w:r w:rsidR="00446F35" w:rsidRPr="00B20BD8">
        <w:t xml:space="preserve"> C87028 and by 200 patients (35.3%) in </w:t>
      </w:r>
      <w:r w:rsidR="009A648A">
        <w:t>Study</w:t>
      </w:r>
      <w:r w:rsidR="00446F35" w:rsidRPr="00B20BD8">
        <w:t xml:space="preserve"> C87051. The most commonly reported SAEs in both studies were infections and infestations </w:t>
      </w:r>
      <w:r w:rsidR="00501D8F">
        <w:t>(16.4% and 13.8%, respectively)</w:t>
      </w:r>
      <w:r w:rsidR="00446F35" w:rsidRPr="00B20BD8">
        <w:t xml:space="preserve"> and musculoskeletal and connective tissue disorders (8.7% and 8.1%</w:t>
      </w:r>
      <w:r w:rsidR="00E823EC">
        <w:t>respectively</w:t>
      </w:r>
      <w:r w:rsidR="00446F35" w:rsidRPr="00B20BD8">
        <w:t xml:space="preserve">). Common individual SAEs occurring in both studies were: rheumatoid </w:t>
      </w:r>
      <w:r w:rsidR="00446F35" w:rsidRPr="005C6AB3">
        <w:t>arthritis (4.0% and 3.4%</w:t>
      </w:r>
      <w:r w:rsidR="005C6AB3" w:rsidRPr="005C6AB3">
        <w:t xml:space="preserve"> in Study C87028 and Study C87501 respectively)</w:t>
      </w:r>
      <w:r w:rsidR="00501D8F">
        <w:t xml:space="preserve"> pneumonia (3.4% and 1.6%)</w:t>
      </w:r>
      <w:r w:rsidR="00446F35" w:rsidRPr="005C6AB3">
        <w:t xml:space="preserve"> and pulmonary tuberculosis (1.1% and 1.6%). S</w:t>
      </w:r>
      <w:r w:rsidR="00446F35" w:rsidRPr="00B20BD8">
        <w:t xml:space="preserve">ixteen patients in </w:t>
      </w:r>
      <w:r w:rsidR="009A648A">
        <w:t>Study</w:t>
      </w:r>
      <w:r w:rsidR="00446F35">
        <w:t xml:space="preserve"> </w:t>
      </w:r>
      <w:r w:rsidR="00446F35" w:rsidRPr="00B20BD8">
        <w:t xml:space="preserve">C87028 had AEs leading to death, </w:t>
      </w:r>
      <w:r w:rsidR="00446F35">
        <w:t>five</w:t>
      </w:r>
      <w:r w:rsidR="00446F35" w:rsidRPr="00B20BD8">
        <w:t xml:space="preserve"> of which were considered related to study medication by the investigator (pneumonia, malignant neoplasm, gastric cancer, disseminated </w:t>
      </w:r>
      <w:r w:rsidR="00EE185F" w:rsidRPr="00EE185F">
        <w:t xml:space="preserve">tuberculosis </w:t>
      </w:r>
      <w:r w:rsidR="00EE185F">
        <w:t>(</w:t>
      </w:r>
      <w:r w:rsidR="00446F35" w:rsidRPr="00B20BD8">
        <w:t>TB</w:t>
      </w:r>
      <w:r w:rsidR="00EE185F">
        <w:t>)</w:t>
      </w:r>
      <w:r w:rsidR="00446F35" w:rsidRPr="00B20BD8">
        <w:t xml:space="preserve">, and colon cancer). In </w:t>
      </w:r>
      <w:r w:rsidR="009A648A">
        <w:t>Study</w:t>
      </w:r>
      <w:r w:rsidR="00446F35">
        <w:t xml:space="preserve"> </w:t>
      </w:r>
      <w:r w:rsidR="00446F35" w:rsidRPr="00B20BD8">
        <w:t xml:space="preserve">C87051, 17 patients had AEs leading to death, </w:t>
      </w:r>
      <w:r w:rsidR="00446F35">
        <w:t>six</w:t>
      </w:r>
      <w:r w:rsidR="00446F35" w:rsidRPr="00B20BD8">
        <w:t xml:space="preserve"> of which were considered related to study medication by the investigator (colon cancer, gastric cancer, metastatic </w:t>
      </w:r>
      <w:r w:rsidR="00501D8F">
        <w:t xml:space="preserve">gastro </w:t>
      </w:r>
      <w:r w:rsidR="009D174A" w:rsidRPr="009D174A">
        <w:t xml:space="preserve">intestinal </w:t>
      </w:r>
      <w:r w:rsidR="009D174A">
        <w:t>(</w:t>
      </w:r>
      <w:r w:rsidR="00446F35" w:rsidRPr="00B20BD8">
        <w:t>GI</w:t>
      </w:r>
      <w:r w:rsidR="009D174A">
        <w:t>)</w:t>
      </w:r>
      <w:r w:rsidR="00446F35" w:rsidRPr="00B20BD8">
        <w:t xml:space="preserve"> cancer, hepatic cirrhosis, streptococcal toxic shock syndrome, and CNS TB). AEs of interest with TNFα inhibitor use (injection site reactions, systemic hypersensitivity reactions, infections, malignancies, cardiac, vascular, autoimmune and neurological events) were observed in both pivotal trials at incidences consistent with other RA trials and duration of treatment.</w:t>
      </w:r>
    </w:p>
    <w:p w:rsidR="00446F35" w:rsidRDefault="00654544" w:rsidP="00DD5297">
      <w:r>
        <w:t xml:space="preserve">Anti </w:t>
      </w:r>
      <w:r w:rsidR="00446F35" w:rsidRPr="00B20BD8">
        <w:t xml:space="preserve">CZP antibodies were detected in 98 patients (11.6%) in </w:t>
      </w:r>
      <w:r w:rsidR="009A648A">
        <w:t>Study</w:t>
      </w:r>
      <w:r w:rsidR="00446F35" w:rsidRPr="00B20BD8">
        <w:t xml:space="preserve"> C87028 and 86 patients (15.2%) in </w:t>
      </w:r>
      <w:r w:rsidR="009A648A">
        <w:t>Study</w:t>
      </w:r>
      <w:r w:rsidR="00446F35" w:rsidRPr="00B20BD8">
        <w:t xml:space="preserve"> C87051. While the overall incidence of AEs was similar in the </w:t>
      </w:r>
      <w:r w:rsidR="00A40440">
        <w:t>Ab +</w:t>
      </w:r>
      <w:r w:rsidR="00446F35" w:rsidRPr="00B20BD8">
        <w:t xml:space="preserve"> and </w:t>
      </w:r>
      <w:r w:rsidR="00A40440">
        <w:t>Ab -</w:t>
      </w:r>
      <w:r w:rsidR="00446F35" w:rsidRPr="00B20BD8">
        <w:t xml:space="preserve"> patient groups, there was a higher incidence of some AEs in </w:t>
      </w:r>
      <w:r w:rsidR="00A40440">
        <w:t>Ab +</w:t>
      </w:r>
      <w:r w:rsidR="00446F35" w:rsidRPr="00B20BD8">
        <w:t xml:space="preserve"> patients compared </w:t>
      </w:r>
      <w:r w:rsidR="00446F35">
        <w:t>with</w:t>
      </w:r>
      <w:r w:rsidR="00446F35" w:rsidRPr="00B20BD8">
        <w:t xml:space="preserve"> </w:t>
      </w:r>
      <w:r w:rsidR="00A40440">
        <w:t>Ab -</w:t>
      </w:r>
      <w:r w:rsidR="00446F35" w:rsidRPr="00B20BD8">
        <w:t xml:space="preserve"> patients (</w:t>
      </w:r>
      <w:r w:rsidR="005C6AB3">
        <w:t>for example,</w:t>
      </w:r>
      <w:r w:rsidR="00446F35" w:rsidRPr="00B20BD8">
        <w:t xml:space="preserve"> AEs related to rheumatoid arthritis, pyrexia).</w:t>
      </w:r>
    </w:p>
    <w:p w:rsidR="007B6132" w:rsidRDefault="007B6132" w:rsidP="00DD5297">
      <w:pPr>
        <w:pStyle w:val="Heading4"/>
      </w:pPr>
      <w:r w:rsidRPr="007B6132">
        <w:t>Clin</w:t>
      </w:r>
      <w:r w:rsidR="005C6AB3">
        <w:t xml:space="preserve">ical evaluator’s </w:t>
      </w:r>
      <w:r w:rsidR="005C6AB3" w:rsidRPr="00DD5297">
        <w:t>recommendation</w:t>
      </w:r>
    </w:p>
    <w:p w:rsidR="00E23270" w:rsidRPr="00C20914" w:rsidRDefault="00C20914" w:rsidP="00CB6B67">
      <w:r w:rsidRPr="00C20914">
        <w:t>The clinical eva</w:t>
      </w:r>
      <w:r>
        <w:t>luator has recommended approval</w:t>
      </w:r>
      <w:r w:rsidRPr="00C20914">
        <w:t xml:space="preserve"> to extend the indication for </w:t>
      </w:r>
      <w:proofErr w:type="spellStart"/>
      <w:r w:rsidRPr="00C20914">
        <w:t>certolizumab</w:t>
      </w:r>
      <w:proofErr w:type="spellEnd"/>
      <w:r w:rsidRPr="00C20914">
        <w:t xml:space="preserve"> </w:t>
      </w:r>
      <w:proofErr w:type="spellStart"/>
      <w:r w:rsidR="00654544">
        <w:t>pegol</w:t>
      </w:r>
      <w:proofErr w:type="spellEnd"/>
      <w:r w:rsidR="00654544">
        <w:t xml:space="preserve"> </w:t>
      </w:r>
      <w:r w:rsidRPr="00C20914">
        <w:t xml:space="preserve">to include </w:t>
      </w:r>
      <w:r>
        <w:t>‘</w:t>
      </w:r>
      <w:proofErr w:type="spellStart"/>
      <w:r w:rsidRPr="00CB6B67">
        <w:rPr>
          <w:i/>
        </w:rPr>
        <w:t>Cimzia</w:t>
      </w:r>
      <w:proofErr w:type="spellEnd"/>
      <w:r w:rsidRPr="00CB6B67">
        <w:rPr>
          <w:i/>
        </w:rPr>
        <w:t xml:space="preserve"> has been shown to reduce the rate of progression of joint damage as measured by X-ray, when given in combination with MTX.</w:t>
      </w:r>
      <w:r>
        <w:t>’</w:t>
      </w:r>
    </w:p>
    <w:p w:rsidR="00E23270" w:rsidRPr="00E23270" w:rsidRDefault="00E23270" w:rsidP="00CB6B67">
      <w:pPr>
        <w:pStyle w:val="Heading3"/>
      </w:pPr>
      <w:bookmarkStart w:id="169" w:name="_Toc434223867"/>
      <w:bookmarkStart w:id="170" w:name="_Toc435781412"/>
      <w:r w:rsidRPr="00E23270">
        <w:t xml:space="preserve">Risk management </w:t>
      </w:r>
      <w:r w:rsidRPr="00CB6B67">
        <w:t>plan</w:t>
      </w:r>
      <w:bookmarkEnd w:id="169"/>
      <w:bookmarkEnd w:id="170"/>
    </w:p>
    <w:p w:rsidR="00E23270" w:rsidRPr="00E23270" w:rsidRDefault="00E23270" w:rsidP="00CB6B67">
      <w:r w:rsidRPr="00E23270">
        <w:t>No RMP was required to be submitted.</w:t>
      </w:r>
    </w:p>
    <w:p w:rsidR="005C6AB3" w:rsidRPr="005C6AB3" w:rsidRDefault="00A353FC" w:rsidP="00CB6B67">
      <w:pPr>
        <w:pStyle w:val="Heading3"/>
      </w:pPr>
      <w:bookmarkStart w:id="171" w:name="_Toc434223868"/>
      <w:bookmarkStart w:id="172" w:name="_Toc435781413"/>
      <w:r w:rsidRPr="00CB6B67">
        <w:lastRenderedPageBreak/>
        <w:t>Summary</w:t>
      </w:r>
      <w:bookmarkEnd w:id="171"/>
      <w:bookmarkEnd w:id="172"/>
    </w:p>
    <w:p w:rsidR="00E74850" w:rsidRDefault="00E74850" w:rsidP="00CB6B67">
      <w:pPr>
        <w:pStyle w:val="Heading5"/>
      </w:pPr>
      <w:r w:rsidRPr="00CB6B67">
        <w:t>Efficacy</w:t>
      </w:r>
    </w:p>
    <w:p w:rsidR="00E74850" w:rsidRPr="007D6FF1" w:rsidRDefault="00E74850" w:rsidP="00CB6B67">
      <w:r w:rsidRPr="007D6FF1">
        <w:t xml:space="preserve">In the pivotal extension </w:t>
      </w:r>
      <w:r w:rsidR="009A648A">
        <w:t>Study</w:t>
      </w:r>
      <w:r w:rsidRPr="007D6FF1">
        <w:t xml:space="preserve"> C87027/</w:t>
      </w:r>
      <w:r>
        <w:t>C870</w:t>
      </w:r>
      <w:r w:rsidR="00C20914">
        <w:t>28, CZP</w:t>
      </w:r>
      <w:r w:rsidRPr="007D6FF1">
        <w:t xml:space="preserve"> has demonstrated that it reduces the rate of progression </w:t>
      </w:r>
      <w:r w:rsidR="00354BAD">
        <w:t>of joint damage as assessed by X</w:t>
      </w:r>
      <w:r w:rsidRPr="007D6FF1">
        <w:t xml:space="preserve">-ray when used in combination with </w:t>
      </w:r>
      <w:r w:rsidR="001307E6" w:rsidRPr="001307E6">
        <w:t>MTX</w:t>
      </w:r>
      <w:r w:rsidRPr="007D6FF1">
        <w:t xml:space="preserve">. The mean change from baseline in </w:t>
      </w:r>
      <w:proofErr w:type="spellStart"/>
      <w:r w:rsidRPr="007D6FF1">
        <w:t>mTSS</w:t>
      </w:r>
      <w:proofErr w:type="spellEnd"/>
      <w:r w:rsidRPr="007D6FF1">
        <w:t xml:space="preserve"> at Year 2 was lower in the patients who had received CZP irrespective of whether they were Completers (0.6), Withdrawers (0.9) or Switchers (0.2) compared with the estimated course of progression in the control groups over </w:t>
      </w:r>
      <w:r>
        <w:t>two</w:t>
      </w:r>
      <w:r w:rsidRPr="007D6FF1">
        <w:t xml:space="preserve"> years (4.7 for Completers and 2.7 for Withdrawers). This result was performed as an interim analysis on </w:t>
      </w:r>
      <w:r w:rsidR="009A648A">
        <w:t>Study</w:t>
      </w:r>
      <w:r w:rsidRPr="007D6FF1">
        <w:t xml:space="preserve"> C87028, but was supported by the final results for change from baseline </w:t>
      </w:r>
      <w:proofErr w:type="spellStart"/>
      <w:r w:rsidRPr="007D6FF1">
        <w:t>mTSS</w:t>
      </w:r>
      <w:proofErr w:type="spellEnd"/>
      <w:r w:rsidRPr="007D6FF1">
        <w:t xml:space="preserve"> reported from both </w:t>
      </w:r>
      <w:r w:rsidR="009A648A">
        <w:t>Study</w:t>
      </w:r>
      <w:r w:rsidRPr="007D6FF1">
        <w:t xml:space="preserve"> C87028 (0.95 at Week 96) and </w:t>
      </w:r>
      <w:r w:rsidR="009A648A">
        <w:t>Study</w:t>
      </w:r>
      <w:r w:rsidRPr="007D6FF1">
        <w:t xml:space="preserve"> C87051 (0.99 at Week 104) which demonstrated little change/worsening over time. A change of 5.0 points in </w:t>
      </w:r>
      <w:proofErr w:type="spellStart"/>
      <w:r w:rsidRPr="007D6FF1">
        <w:t>mTSS</w:t>
      </w:r>
      <w:proofErr w:type="spellEnd"/>
      <w:r w:rsidRPr="007D6FF1">
        <w:t xml:space="preserve"> is considered the smallest detectable and minimum clinically important difference, however the submitted data, based on placebo extrapolation, showed a differ</w:t>
      </w:r>
      <w:r w:rsidR="00C20914">
        <w:t>ence for completers of 4.1 (4.7 to 0.6)</w:t>
      </w:r>
      <w:r w:rsidRPr="007D6FF1">
        <w:t xml:space="preserve"> </w:t>
      </w:r>
      <w:r w:rsidR="00C20914">
        <w:t>that is,</w:t>
      </w:r>
      <w:r w:rsidRPr="007D6FF1">
        <w:t xml:space="preserve"> slightly less than the minimum clinically important difference. The results are based on placebo extrapolation out to </w:t>
      </w:r>
      <w:r>
        <w:t>two</w:t>
      </w:r>
      <w:r w:rsidRPr="007D6FF1">
        <w:t xml:space="preserve"> years since there was no placebo arm in the second year of the study, but are considered reasonable given the projected improvement from </w:t>
      </w:r>
      <w:r>
        <w:t>Y</w:t>
      </w:r>
      <w:r w:rsidRPr="007D6FF1">
        <w:t>ear 1 where the differe</w:t>
      </w:r>
      <w:r w:rsidR="00C20914">
        <w:t xml:space="preserve">nce for completers was 2.1 (2.4 to </w:t>
      </w:r>
      <w:r w:rsidRPr="007D6FF1">
        <w:t xml:space="preserve">0.3). The early benefits for other efficacy outcomes were also largely maintained for the extended duration of the studies (up to approximately </w:t>
      </w:r>
      <w:r>
        <w:t>six</w:t>
      </w:r>
      <w:r w:rsidRPr="007D6FF1">
        <w:t xml:space="preserve"> years).</w:t>
      </w:r>
    </w:p>
    <w:p w:rsidR="00E74850" w:rsidRDefault="00E74850" w:rsidP="00CB6B67">
      <w:pPr>
        <w:pStyle w:val="Heading5"/>
      </w:pPr>
      <w:r w:rsidRPr="007D6FF1">
        <w:t>Safety and RMP</w:t>
      </w:r>
    </w:p>
    <w:p w:rsidR="00E74850" w:rsidRPr="007D6FF1" w:rsidRDefault="00E74850" w:rsidP="00CB6B67">
      <w:r w:rsidRPr="007D6FF1">
        <w:t xml:space="preserve">The safety of </w:t>
      </w:r>
      <w:r w:rsidR="00C20914">
        <w:t>CZP</w:t>
      </w:r>
      <w:r w:rsidRPr="007D6FF1">
        <w:t xml:space="preserve"> in patients with RA h</w:t>
      </w:r>
      <w:r w:rsidR="00501D8F">
        <w:t>as previously been demonstrated</w:t>
      </w:r>
      <w:r w:rsidRPr="007D6FF1">
        <w:t xml:space="preserve"> and no new safety concerns have been identified.</w:t>
      </w:r>
    </w:p>
    <w:p w:rsidR="00E74850" w:rsidRDefault="00C20914" w:rsidP="00CB6B67">
      <w:pPr>
        <w:pStyle w:val="Heading5"/>
      </w:pPr>
      <w:r>
        <w:t xml:space="preserve">Data </w:t>
      </w:r>
      <w:r w:rsidRPr="00CB6B67">
        <w:t>deficiencies</w:t>
      </w:r>
    </w:p>
    <w:p w:rsidR="00E74850" w:rsidRPr="007D6FF1" w:rsidRDefault="00E74850" w:rsidP="00CB6B67">
      <w:proofErr w:type="spellStart"/>
      <w:proofErr w:type="gramStart"/>
      <w:r w:rsidRPr="007D6FF1">
        <w:t>mTSS</w:t>
      </w:r>
      <w:proofErr w:type="spellEnd"/>
      <w:proofErr w:type="gramEnd"/>
      <w:r w:rsidRPr="007D6FF1">
        <w:t xml:space="preserve"> data from patients in </w:t>
      </w:r>
      <w:r w:rsidR="009A648A">
        <w:t>Study</w:t>
      </w:r>
      <w:r>
        <w:t xml:space="preserve"> </w:t>
      </w:r>
      <w:r w:rsidRPr="007D6FF1">
        <w:t>C87050/</w:t>
      </w:r>
      <w:r>
        <w:t>C807</w:t>
      </w:r>
      <w:r w:rsidRPr="007D6FF1">
        <w:t xml:space="preserve">51 were not subject to the same interim analysis as </w:t>
      </w:r>
      <w:r w:rsidR="009A648A">
        <w:t>Study</w:t>
      </w:r>
      <w:r>
        <w:t xml:space="preserve"> </w:t>
      </w:r>
      <w:r w:rsidRPr="007D6FF1">
        <w:t>C87027/</w:t>
      </w:r>
      <w:r>
        <w:t>C870</w:t>
      </w:r>
      <w:r w:rsidRPr="007D6FF1">
        <w:t xml:space="preserve">28 in support of the proposed new indication. Although in the response </w:t>
      </w:r>
      <w:r w:rsidR="00276B87">
        <w:t>to the questions raised by the TGA the s</w:t>
      </w:r>
      <w:r w:rsidRPr="007D6FF1">
        <w:t xml:space="preserve">ponsor argued that </w:t>
      </w:r>
      <w:r w:rsidR="00354BAD">
        <w:rPr>
          <w:i/>
        </w:rPr>
        <w:t>‘</w:t>
      </w:r>
      <w:r w:rsidRPr="00D743F6">
        <w:rPr>
          <w:i/>
        </w:rPr>
        <w:t>analyses performed on C87050/51 would provide less robust data than obtained for C87027/028</w:t>
      </w:r>
      <w:r w:rsidR="00354BAD">
        <w:rPr>
          <w:i/>
        </w:rPr>
        <w:t>’</w:t>
      </w:r>
      <w:r w:rsidRPr="007D6FF1">
        <w:t xml:space="preserve">, because the patient numbers were smaller in </w:t>
      </w:r>
      <w:r w:rsidR="009A648A">
        <w:t>Study</w:t>
      </w:r>
      <w:r>
        <w:t xml:space="preserve"> </w:t>
      </w:r>
      <w:r w:rsidRPr="007D6FF1">
        <w:t>C87050/</w:t>
      </w:r>
      <w:r>
        <w:t>C807</w:t>
      </w:r>
      <w:r w:rsidRPr="007D6FF1">
        <w:t xml:space="preserve">51 (619 </w:t>
      </w:r>
      <w:r w:rsidR="009A3943">
        <w:t>versus</w:t>
      </w:r>
      <w:r w:rsidRPr="007D6FF1">
        <w:t xml:space="preserve"> 982</w:t>
      </w:r>
      <w:r w:rsidR="00276B87">
        <w:t xml:space="preserve"> (for Study </w:t>
      </w:r>
      <w:r w:rsidR="00276B87" w:rsidRPr="00276B87">
        <w:t>C87027/C87028</w:t>
      </w:r>
      <w:r w:rsidR="00276B87">
        <w:t xml:space="preserve">) </w:t>
      </w:r>
      <w:r w:rsidRPr="007D6FF1">
        <w:t xml:space="preserve">and the placebo data were only available for a maximum of 24 weeks in </w:t>
      </w:r>
      <w:r w:rsidR="009A648A">
        <w:t>Study</w:t>
      </w:r>
      <w:r>
        <w:t xml:space="preserve"> </w:t>
      </w:r>
      <w:r w:rsidRPr="007D6FF1">
        <w:t>C87050/</w:t>
      </w:r>
      <w:r>
        <w:t>C807</w:t>
      </w:r>
      <w:r w:rsidRPr="007D6FF1">
        <w:t xml:space="preserve">51 compared with 52 weeks in </w:t>
      </w:r>
      <w:r w:rsidR="009A648A">
        <w:t>Study</w:t>
      </w:r>
      <w:r>
        <w:t xml:space="preserve"> </w:t>
      </w:r>
      <w:r w:rsidRPr="007D6FF1">
        <w:t>C87027/</w:t>
      </w:r>
      <w:r>
        <w:t>C807</w:t>
      </w:r>
      <w:r w:rsidR="00276B87">
        <w:t>28. I</w:t>
      </w:r>
      <w:r w:rsidRPr="007D6FF1">
        <w:t xml:space="preserve">t is still considered that the analysis would be valuable to verify the </w:t>
      </w:r>
      <w:r w:rsidR="009A648A">
        <w:t>Study</w:t>
      </w:r>
      <w:r>
        <w:t xml:space="preserve"> </w:t>
      </w:r>
      <w:r w:rsidRPr="007D6FF1">
        <w:t>C87027/</w:t>
      </w:r>
      <w:r>
        <w:t>C807</w:t>
      </w:r>
      <w:r w:rsidRPr="007D6FF1">
        <w:t xml:space="preserve">28 results. Although the overall results for change from baseline in </w:t>
      </w:r>
      <w:proofErr w:type="spellStart"/>
      <w:r w:rsidRPr="007D6FF1">
        <w:t>mTSS</w:t>
      </w:r>
      <w:proofErr w:type="spellEnd"/>
      <w:r w:rsidRPr="007D6FF1">
        <w:t xml:space="preserve"> reported from both </w:t>
      </w:r>
      <w:r w:rsidR="009A648A">
        <w:t>Study</w:t>
      </w:r>
      <w:r w:rsidRPr="007D6FF1">
        <w:t xml:space="preserve"> C87028 (0.95 at Week 96) and </w:t>
      </w:r>
      <w:r w:rsidR="009A648A">
        <w:t>Study</w:t>
      </w:r>
      <w:r w:rsidRPr="007D6FF1">
        <w:t xml:space="preserve"> C87051 (0.99 at Week 104) are comparable, the results in Withdrawers (0.83 and 1.89, respectively) and Completers (1.01 and 0.48) are sufficiently different to warrant the interim analysis to be conducted on the C87050/51 and/or for this difference to be explained by the </w:t>
      </w:r>
      <w:r>
        <w:t>s</w:t>
      </w:r>
      <w:r w:rsidRPr="007D6FF1">
        <w:t>ponsor.</w:t>
      </w:r>
    </w:p>
    <w:p w:rsidR="00E74850" w:rsidRPr="00D743F6" w:rsidRDefault="00E74850" w:rsidP="00CB6B67">
      <w:pPr>
        <w:pStyle w:val="Heading5"/>
      </w:pPr>
      <w:r w:rsidRPr="00D743F6">
        <w:t xml:space="preserve">Conditions of </w:t>
      </w:r>
      <w:r w:rsidR="00CB6B67" w:rsidRPr="00CB6B67">
        <w:t>r</w:t>
      </w:r>
      <w:r w:rsidRPr="00CB6B67">
        <w:t>egistration</w:t>
      </w:r>
    </w:p>
    <w:p w:rsidR="00E74850" w:rsidRPr="00D743F6" w:rsidRDefault="00E74850" w:rsidP="00CB6B67">
      <w:r w:rsidRPr="00D743F6">
        <w:t>There are no specific conditions of registration proposed.</w:t>
      </w:r>
    </w:p>
    <w:p w:rsidR="00E74850" w:rsidRPr="00276B87" w:rsidRDefault="00E74850" w:rsidP="00CB6B67">
      <w:pPr>
        <w:pStyle w:val="Heading5"/>
      </w:pPr>
      <w:r w:rsidRPr="00CB6B67">
        <w:t>Questions</w:t>
      </w:r>
      <w:r w:rsidRPr="00276B87">
        <w:t xml:space="preserve"> for the sponsor</w:t>
      </w:r>
    </w:p>
    <w:p w:rsidR="00E74850" w:rsidRPr="00276B87" w:rsidRDefault="00E74850" w:rsidP="00CB6B67">
      <w:r w:rsidRPr="00276B87">
        <w:t>The sponsor is requested to address the following issues:</w:t>
      </w:r>
    </w:p>
    <w:p w:rsidR="00E74850" w:rsidRPr="00276B87" w:rsidRDefault="00E74850" w:rsidP="00CB6B67">
      <w:pPr>
        <w:pStyle w:val="Numberbullet0"/>
        <w:numPr>
          <w:ilvl w:val="0"/>
          <w:numId w:val="32"/>
        </w:numPr>
      </w:pPr>
      <w:r w:rsidRPr="00276B87">
        <w:t xml:space="preserve">A </w:t>
      </w:r>
      <w:r w:rsidRPr="00CB6B67">
        <w:t>change</w:t>
      </w:r>
      <w:r w:rsidRPr="00276B87">
        <w:t xml:space="preserve"> in </w:t>
      </w:r>
      <w:proofErr w:type="spellStart"/>
      <w:r w:rsidRPr="00276B87">
        <w:t>mTSS</w:t>
      </w:r>
      <w:proofErr w:type="spellEnd"/>
      <w:r w:rsidRPr="00276B87">
        <w:t xml:space="preserve"> of 5.0 is considered the smallest detectable and minimum clinically important difference</w:t>
      </w:r>
      <w:r w:rsidR="000F4F43" w:rsidRPr="00276B87">
        <w:t xml:space="preserve">. </w:t>
      </w:r>
      <w:r w:rsidRPr="00276B87">
        <w:t xml:space="preserve">Please provide the percentage of subjects who had a change in </w:t>
      </w:r>
      <w:proofErr w:type="spellStart"/>
      <w:r w:rsidRPr="00276B87">
        <w:t>mTSS</w:t>
      </w:r>
      <w:proofErr w:type="spellEnd"/>
      <w:r w:rsidRPr="00276B87">
        <w:t xml:space="preserve"> of ≥ 5.0.</w:t>
      </w:r>
    </w:p>
    <w:p w:rsidR="00E74850" w:rsidRPr="00276B87" w:rsidRDefault="00E74850" w:rsidP="00CB6B67">
      <w:pPr>
        <w:pStyle w:val="Numberbullet0"/>
      </w:pPr>
      <w:r w:rsidRPr="00276B87">
        <w:t>Please provide an interim analysis of Study C87050/51 as was conducted for Study C87027/28.</w:t>
      </w:r>
    </w:p>
    <w:p w:rsidR="008E7846" w:rsidRDefault="00E74850" w:rsidP="00CB6B67">
      <w:pPr>
        <w:pStyle w:val="Numberbullet0"/>
      </w:pPr>
      <w:r w:rsidRPr="00276B87">
        <w:t xml:space="preserve">Completers </w:t>
      </w:r>
      <w:r w:rsidRPr="00CB6B67">
        <w:t>on</w:t>
      </w:r>
      <w:r w:rsidRPr="00276B87">
        <w:t xml:space="preserve"> CZP had greater changes in </w:t>
      </w:r>
      <w:proofErr w:type="spellStart"/>
      <w:r w:rsidRPr="00276B87">
        <w:t>mTSS</w:t>
      </w:r>
      <w:proofErr w:type="spellEnd"/>
      <w:r w:rsidRPr="00276B87">
        <w:t xml:space="preserve"> than Withdrawers on CZP at each of Weeks 24, 48, 72 and 96 in Study C87028, despite receiving CZP for a longer duration </w:t>
      </w:r>
      <w:r w:rsidRPr="00276B87">
        <w:lastRenderedPageBreak/>
        <w:t>of time</w:t>
      </w:r>
      <w:r w:rsidR="000F4F43" w:rsidRPr="00276B87">
        <w:t xml:space="preserve">. </w:t>
      </w:r>
      <w:r w:rsidRPr="00276B87">
        <w:t>This was not seen in the later stages of Study C87051</w:t>
      </w:r>
      <w:r w:rsidR="000F4F43" w:rsidRPr="00276B87">
        <w:t xml:space="preserve">. </w:t>
      </w:r>
      <w:r w:rsidRPr="00276B87">
        <w:t>Although Completers had been observed for an additional 36 weeks compared with Withdrawers in Study C87027 prior to entering the extension study (compared with an additional</w:t>
      </w:r>
      <w:r w:rsidR="00501D8F">
        <w:t xml:space="preserve"> 8 weeks in Study C87051), the s</w:t>
      </w:r>
      <w:r w:rsidRPr="00276B87">
        <w:t>ponsor is requested to comment on these findings.</w:t>
      </w:r>
      <w:bookmarkEnd w:id="166"/>
    </w:p>
    <w:p w:rsidR="00D23139" w:rsidRDefault="002060AA" w:rsidP="00CB6B67">
      <w:pPr>
        <w:pStyle w:val="Heading4"/>
      </w:pPr>
      <w:bookmarkStart w:id="173" w:name="_Toc196046505"/>
      <w:bookmarkStart w:id="174" w:name="_Toc196046949"/>
      <w:r>
        <w:t xml:space="preserve">Summary of Delegate’s </w:t>
      </w:r>
      <w:r w:rsidRPr="00CB6B67">
        <w:t>issues</w:t>
      </w:r>
    </w:p>
    <w:p w:rsidR="00643433" w:rsidRPr="00643433" w:rsidRDefault="00643433" w:rsidP="00CB6B67">
      <w:r w:rsidRPr="00643433">
        <w:t>The primary issues with this submission are as follows:</w:t>
      </w:r>
    </w:p>
    <w:p w:rsidR="00643433" w:rsidRPr="00643433" w:rsidRDefault="00643433" w:rsidP="00CB6B67">
      <w:pPr>
        <w:pStyle w:val="Numberbullet0"/>
        <w:numPr>
          <w:ilvl w:val="0"/>
          <w:numId w:val="27"/>
        </w:numPr>
      </w:pPr>
      <w:r w:rsidRPr="00643433">
        <w:t xml:space="preserve">Large percentage of subjects withdrew from the pivotal extension </w:t>
      </w:r>
      <w:r>
        <w:t>studies (</w:t>
      </w:r>
      <w:r w:rsidRPr="00CB6B67">
        <w:t>approximately</w:t>
      </w:r>
      <w:r w:rsidRPr="00643433">
        <w:t xml:space="preserve"> 41% in C87028, </w:t>
      </w:r>
      <w:r>
        <w:t xml:space="preserve">approximately </w:t>
      </w:r>
      <w:r w:rsidRPr="00643433">
        <w:t>3% due to lack of efficacy; 39% in C87051, 2.1% due to lack of efficacy; 60% in C87015, 8% due to lack of efficacy)</w:t>
      </w:r>
      <w:r>
        <w:t xml:space="preserve">. </w:t>
      </w:r>
      <w:r w:rsidRPr="00643433">
        <w:t>At Week 96 (C87028) and Week 104 (C87051) the withdrawal rates were approximately 25%.</w:t>
      </w:r>
    </w:p>
    <w:p w:rsidR="00643433" w:rsidRPr="00643433" w:rsidRDefault="00643433" w:rsidP="00CB6B67">
      <w:pPr>
        <w:pStyle w:val="Numberbullet0"/>
        <w:numPr>
          <w:ilvl w:val="0"/>
          <w:numId w:val="27"/>
        </w:numPr>
      </w:pPr>
      <w:r w:rsidRPr="00643433">
        <w:t xml:space="preserve">There was no placebo controlled data beyond 52 weeks in C87027/28 and 24 weeks in C87050/51. Moreover, due to the high rate of early withdrawals in the placebo groups in the feeder studies the numbers of </w:t>
      </w:r>
      <w:r>
        <w:t>‘</w:t>
      </w:r>
      <w:r w:rsidRPr="00643433">
        <w:t>Completers</w:t>
      </w:r>
      <w:r>
        <w:t>’</w:t>
      </w:r>
      <w:r w:rsidRPr="00643433">
        <w:t xml:space="preserve"> enrolled in each extension study were small (n</w:t>
      </w:r>
      <w:r>
        <w:t xml:space="preserve"> </w:t>
      </w:r>
      <w:r w:rsidRPr="00643433">
        <w:t>=</w:t>
      </w:r>
      <w:r>
        <w:t xml:space="preserve"> </w:t>
      </w:r>
      <w:r w:rsidRPr="00643433">
        <w:t>41 in C87028; n</w:t>
      </w:r>
      <w:r>
        <w:t xml:space="preserve"> </w:t>
      </w:r>
      <w:r w:rsidRPr="00643433">
        <w:t>=</w:t>
      </w:r>
      <w:r>
        <w:t xml:space="preserve"> </w:t>
      </w:r>
      <w:r w:rsidRPr="00643433">
        <w:t>17 in C87051).</w:t>
      </w:r>
    </w:p>
    <w:p w:rsidR="00643433" w:rsidRPr="00643433" w:rsidRDefault="00643433" w:rsidP="00CB6B67">
      <w:pPr>
        <w:pStyle w:val="Numberbullet0"/>
        <w:numPr>
          <w:ilvl w:val="0"/>
          <w:numId w:val="27"/>
        </w:numPr>
      </w:pPr>
      <w:r w:rsidRPr="00643433">
        <w:t xml:space="preserve">The interim analysis performed in support of the proposed change in indication was only performed on Study </w:t>
      </w:r>
      <w:r w:rsidRPr="00CB6B67">
        <w:t>C87027</w:t>
      </w:r>
      <w:r w:rsidRPr="00643433">
        <w:t>/28, not Study C87050/51.</w:t>
      </w:r>
    </w:p>
    <w:p w:rsidR="00D23139" w:rsidRDefault="00D23139" w:rsidP="00CB6B67">
      <w:pPr>
        <w:pStyle w:val="Heading4"/>
      </w:pPr>
      <w:r w:rsidRPr="00CB6B67">
        <w:t>Proposed</w:t>
      </w:r>
      <w:r w:rsidRPr="00643433">
        <w:t xml:space="preserve"> action</w:t>
      </w:r>
    </w:p>
    <w:p w:rsidR="00643433" w:rsidRPr="00643433" w:rsidRDefault="00643433" w:rsidP="00CB6B67">
      <w:r>
        <w:t>The Delegate had</w:t>
      </w:r>
      <w:r w:rsidRPr="00643433">
        <w:t xml:space="preserve"> no reason to</w:t>
      </w:r>
      <w:r w:rsidR="008E5702">
        <w:t xml:space="preserve"> say, that the application for c</w:t>
      </w:r>
      <w:r w:rsidRPr="00643433">
        <w:t xml:space="preserve">ertolizumab </w:t>
      </w:r>
      <w:r w:rsidR="008E5702">
        <w:t xml:space="preserve">pegol </w:t>
      </w:r>
      <w:r w:rsidRPr="00643433">
        <w:t>should not be approved for registration.</w:t>
      </w:r>
    </w:p>
    <w:p w:rsidR="00D23139" w:rsidRDefault="00D23139" w:rsidP="00CB6B67">
      <w:pPr>
        <w:pStyle w:val="Heading4"/>
      </w:pPr>
      <w:r w:rsidRPr="00D23139">
        <w:t xml:space="preserve">Request for </w:t>
      </w:r>
      <w:r w:rsidRPr="00CB6B67">
        <w:t>ACPM</w:t>
      </w:r>
      <w:r w:rsidRPr="00D23139">
        <w:t xml:space="preserve"> advice</w:t>
      </w:r>
    </w:p>
    <w:p w:rsidR="001D7CB5" w:rsidRPr="001D7CB5" w:rsidRDefault="001D7CB5" w:rsidP="00CB6B67">
      <w:r w:rsidRPr="001D7CB5">
        <w:t>The committee is requested to provide advice on the following specific issues:</w:t>
      </w:r>
    </w:p>
    <w:p w:rsidR="001D7CB5" w:rsidRPr="00C04FE6" w:rsidRDefault="001D7CB5" w:rsidP="00CB6B67">
      <w:pPr>
        <w:pStyle w:val="Numberbullet0"/>
        <w:numPr>
          <w:ilvl w:val="0"/>
          <w:numId w:val="28"/>
        </w:numPr>
      </w:pPr>
      <w:r w:rsidRPr="00C04FE6">
        <w:t>The sufficiency of the data to support the claim of a reduction in the rate of progression of joint damage, given that:</w:t>
      </w:r>
    </w:p>
    <w:p w:rsidR="001D7CB5" w:rsidRPr="00C04FE6" w:rsidRDefault="001D7CB5" w:rsidP="00CB6B67">
      <w:pPr>
        <w:pStyle w:val="Numberbullet2"/>
      </w:pPr>
      <w:r w:rsidRPr="00C04FE6">
        <w:t xml:space="preserve">Placebo </w:t>
      </w:r>
      <w:r w:rsidRPr="00CB6B67">
        <w:t>data</w:t>
      </w:r>
      <w:r w:rsidRPr="00C04FE6">
        <w:t xml:space="preserve"> were extrapolated from a small number of patients who had completed 52 weeks of placebo treatment in C87027.</w:t>
      </w:r>
    </w:p>
    <w:p w:rsidR="001D7CB5" w:rsidRPr="00C04FE6" w:rsidRDefault="001D7CB5" w:rsidP="00CB6B67">
      <w:pPr>
        <w:pStyle w:val="Numberbullet2"/>
      </w:pPr>
      <w:r w:rsidRPr="00C04FE6">
        <w:t xml:space="preserve">There </w:t>
      </w:r>
      <w:proofErr w:type="gramStart"/>
      <w:r w:rsidRPr="00C04FE6">
        <w:t>was</w:t>
      </w:r>
      <w:proofErr w:type="gramEnd"/>
      <w:r w:rsidRPr="00C04FE6">
        <w:t xml:space="preserve"> a large percentage of withdrawals from both pivotal extension studies.</w:t>
      </w:r>
    </w:p>
    <w:p w:rsidR="001D7CB5" w:rsidRPr="00C04FE6" w:rsidRDefault="001D7CB5" w:rsidP="00CB6B67">
      <w:pPr>
        <w:pStyle w:val="Numberbullet2"/>
      </w:pPr>
      <w:r w:rsidRPr="00C04FE6">
        <w:t>Data from patients in C87050/51 were not subject to the same interim analyses as C87027/28 in support of the proposed new indication.</w:t>
      </w:r>
    </w:p>
    <w:p w:rsidR="001D7CB5" w:rsidRPr="00C04FE6" w:rsidRDefault="001D7CB5" w:rsidP="00CB6B67">
      <w:pPr>
        <w:pStyle w:val="Numberbullet0"/>
      </w:pPr>
      <w:r w:rsidRPr="00C04FE6">
        <w:t xml:space="preserve">Are the results considered clinically meaningful even though a change of 5.0 points in the </w:t>
      </w:r>
      <w:proofErr w:type="spellStart"/>
      <w:r w:rsidRPr="00C04FE6">
        <w:t>mTSS</w:t>
      </w:r>
      <w:proofErr w:type="spellEnd"/>
      <w:r w:rsidRPr="00C04FE6">
        <w:t xml:space="preserve"> is considered the </w:t>
      </w:r>
      <w:r w:rsidRPr="00CB6B67">
        <w:t>smallest</w:t>
      </w:r>
      <w:r w:rsidRPr="00C04FE6">
        <w:t xml:space="preserve"> detectable and minimum clinically important difference?</w:t>
      </w:r>
    </w:p>
    <w:p w:rsidR="001D7CB5" w:rsidRPr="001D7CB5" w:rsidRDefault="001D7CB5" w:rsidP="00CB6B67">
      <w:r w:rsidRPr="001D7CB5">
        <w:t>The committee is also requested to provide advice on any other issues that it thinks may be relevant to a decision on whether or not to approve this application.</w:t>
      </w:r>
    </w:p>
    <w:p w:rsidR="00D23139" w:rsidRDefault="00CB6B67" w:rsidP="00CB6B67">
      <w:pPr>
        <w:pStyle w:val="Heading4"/>
      </w:pPr>
      <w:r>
        <w:t xml:space="preserve">Response from </w:t>
      </w:r>
      <w:r w:rsidRPr="00CB6B67">
        <w:t>sponsor</w:t>
      </w:r>
    </w:p>
    <w:p w:rsidR="00643433" w:rsidRPr="00643433" w:rsidRDefault="00643433" w:rsidP="00CB6B67">
      <w:pPr>
        <w:pStyle w:val="Heading5"/>
      </w:pPr>
      <w:r>
        <w:t>Specific q</w:t>
      </w:r>
      <w:r w:rsidR="00501D8F">
        <w:t xml:space="preserve">uestions to the </w:t>
      </w:r>
      <w:r w:rsidR="00501D8F" w:rsidRPr="00CB6B67">
        <w:t>sponsor</w:t>
      </w:r>
      <w:r w:rsidR="00501D8F">
        <w:t xml:space="preserve"> by the D</w:t>
      </w:r>
      <w:r>
        <w:t>elegate</w:t>
      </w:r>
    </w:p>
    <w:p w:rsidR="00C63FE9" w:rsidRDefault="00C63FE9" w:rsidP="00CB6B67">
      <w:pPr>
        <w:pStyle w:val="Heading6"/>
      </w:pPr>
      <w:r w:rsidRPr="00CB6B67">
        <w:t>Question</w:t>
      </w:r>
      <w:r w:rsidR="00094B8A">
        <w:t xml:space="preserve"> 1</w:t>
      </w:r>
    </w:p>
    <w:p w:rsidR="003366F6" w:rsidRPr="00643433" w:rsidRDefault="003366F6" w:rsidP="00CB6B67">
      <w:r w:rsidRPr="00643433">
        <w:t xml:space="preserve">A change in </w:t>
      </w:r>
      <w:proofErr w:type="spellStart"/>
      <w:r w:rsidRPr="00643433">
        <w:t>mTSS</w:t>
      </w:r>
      <w:proofErr w:type="spellEnd"/>
      <w:r w:rsidRPr="00643433">
        <w:t xml:space="preserve"> of 5.0 is considered the smallest detectable and minimum clinically important difference</w:t>
      </w:r>
      <w:r w:rsidR="000F4F43" w:rsidRPr="00643433">
        <w:t xml:space="preserve">. </w:t>
      </w:r>
      <w:r w:rsidRPr="00643433">
        <w:t xml:space="preserve">Please provide the percentage of subjects who had a change in </w:t>
      </w:r>
      <w:proofErr w:type="spellStart"/>
      <w:r w:rsidRPr="00643433">
        <w:t>mTSS</w:t>
      </w:r>
      <w:proofErr w:type="spellEnd"/>
      <w:r w:rsidRPr="00643433">
        <w:t xml:space="preserve"> of ≥ 5.0.</w:t>
      </w:r>
    </w:p>
    <w:p w:rsidR="003366F6" w:rsidRPr="00CB6B67" w:rsidRDefault="00C63FE9" w:rsidP="00CB6B67">
      <w:pPr>
        <w:pStyle w:val="Heading7"/>
        <w:rPr>
          <w:i/>
          <w:sz w:val="22"/>
          <w:szCs w:val="22"/>
        </w:rPr>
      </w:pPr>
      <w:r w:rsidRPr="00CB6B67">
        <w:rPr>
          <w:i/>
          <w:sz w:val="22"/>
          <w:szCs w:val="22"/>
        </w:rPr>
        <w:lastRenderedPageBreak/>
        <w:t xml:space="preserve">Sponsor’s </w:t>
      </w:r>
      <w:r w:rsidR="00CB6B67" w:rsidRPr="00CB6B67">
        <w:rPr>
          <w:i/>
          <w:sz w:val="22"/>
          <w:szCs w:val="22"/>
        </w:rPr>
        <w:t>r</w:t>
      </w:r>
      <w:r w:rsidR="003366F6" w:rsidRPr="00CB6B67">
        <w:rPr>
          <w:i/>
          <w:sz w:val="22"/>
          <w:szCs w:val="22"/>
        </w:rPr>
        <w:t>esponse</w:t>
      </w:r>
    </w:p>
    <w:p w:rsidR="003366F6" w:rsidRPr="00C63FE9" w:rsidRDefault="003366F6" w:rsidP="00CB6B67">
      <w:r w:rsidRPr="003366F6">
        <w:t xml:space="preserve">A summary of subjects with a change in </w:t>
      </w:r>
      <w:proofErr w:type="spellStart"/>
      <w:r w:rsidRPr="003366F6">
        <w:t>mTSS</w:t>
      </w:r>
      <w:proofErr w:type="spellEnd"/>
      <w:r w:rsidRPr="003366F6">
        <w:t xml:space="preserve"> </w:t>
      </w:r>
      <w:r>
        <w:t>≥</w:t>
      </w:r>
      <w:r w:rsidRPr="003366F6">
        <w:t xml:space="preserve"> 5.0 in the active treatment groups in </w:t>
      </w:r>
      <w:r>
        <w:t>S</w:t>
      </w:r>
      <w:r w:rsidRPr="003366F6">
        <w:t>tudies</w:t>
      </w:r>
      <w:r>
        <w:t xml:space="preserve"> </w:t>
      </w:r>
      <w:r w:rsidRPr="003366F6">
        <w:t xml:space="preserve">C87027/028 is presented </w:t>
      </w:r>
      <w:r w:rsidRPr="008E5702">
        <w:t xml:space="preserve">in Table </w:t>
      </w:r>
      <w:r w:rsidR="008E5702" w:rsidRPr="008E5702">
        <w:t>7</w:t>
      </w:r>
      <w:r w:rsidRPr="008E5702">
        <w:t>. A</w:t>
      </w:r>
      <w:r w:rsidRPr="003366F6">
        <w:t xml:space="preserve"> high majority of subjects had a change from Baseline in</w:t>
      </w:r>
      <w:r>
        <w:t xml:space="preserve"> </w:t>
      </w:r>
      <w:proofErr w:type="spellStart"/>
      <w:r w:rsidRPr="003366F6">
        <w:t>mTSS</w:t>
      </w:r>
      <w:proofErr w:type="spellEnd"/>
      <w:r w:rsidRPr="003366F6">
        <w:t xml:space="preserve"> </w:t>
      </w:r>
      <w:r>
        <w:t>&lt;</w:t>
      </w:r>
      <w:r w:rsidRPr="003366F6">
        <w:t xml:space="preserve"> 5.0 at Year 1 (</w:t>
      </w:r>
      <w:r>
        <w:t xml:space="preserve">≥ </w:t>
      </w:r>
      <w:r w:rsidRPr="003366F6">
        <w:t>93.5%) and Year 2 (</w:t>
      </w:r>
      <w:r>
        <w:t>≥</w:t>
      </w:r>
      <w:r w:rsidRPr="003366F6">
        <w:t xml:space="preserve"> 87.0%), demonstrating that </w:t>
      </w:r>
      <w:r w:rsidRPr="00C63FE9">
        <w:t>CZP and MTX effectively inhibited the progression of joint damage over the 2 year period.</w:t>
      </w:r>
    </w:p>
    <w:p w:rsidR="003366F6" w:rsidRPr="00C63FE9" w:rsidRDefault="003366F6" w:rsidP="00CB6B67">
      <w:pPr>
        <w:pStyle w:val="TableTitle"/>
      </w:pPr>
      <w:r w:rsidRPr="00C63FE9">
        <w:t xml:space="preserve">Table </w:t>
      </w:r>
      <w:r w:rsidR="008E5702">
        <w:t>7</w:t>
      </w:r>
      <w:r w:rsidRPr="00C63FE9">
        <w:t xml:space="preserve">: Percentage of </w:t>
      </w:r>
      <w:r w:rsidRPr="00CB6B67">
        <w:t>subjects</w:t>
      </w:r>
      <w:r w:rsidRPr="00C63FE9">
        <w:t xml:space="preserve"> with a change in </w:t>
      </w:r>
      <w:proofErr w:type="spellStart"/>
      <w:r w:rsidRPr="00C63FE9">
        <w:t>mTSS</w:t>
      </w:r>
      <w:proofErr w:type="spellEnd"/>
      <w:r w:rsidRPr="00C63FE9">
        <w:t xml:space="preserve"> </w:t>
      </w:r>
      <w:r w:rsidRPr="00C63FE9">
        <w:rPr>
          <w:rFonts w:hint="eastAsia"/>
        </w:rPr>
        <w:t>≥</w:t>
      </w:r>
      <w:r w:rsidRPr="00C63FE9">
        <w:t xml:space="preserve"> 5.0 (linear extrapolation): Extension population of Studies C87027/028</w:t>
      </w:r>
      <w:r w:rsidR="008E5702">
        <w:t>.</w:t>
      </w:r>
    </w:p>
    <w:tbl>
      <w:tblPr>
        <w:tblStyle w:val="TableTGAblue"/>
        <w:tblW w:w="0" w:type="auto"/>
        <w:tblLook w:val="04A0" w:firstRow="1" w:lastRow="0" w:firstColumn="1" w:lastColumn="0" w:noHBand="0" w:noVBand="1"/>
      </w:tblPr>
      <w:tblGrid>
        <w:gridCol w:w="3395"/>
        <w:gridCol w:w="1659"/>
        <w:gridCol w:w="1687"/>
        <w:gridCol w:w="1539"/>
      </w:tblGrid>
      <w:tr w:rsidR="00511DD6" w:rsidTr="00CB6B67">
        <w:trPr>
          <w:cnfStyle w:val="100000000000" w:firstRow="1" w:lastRow="0" w:firstColumn="0" w:lastColumn="0" w:oddVBand="0" w:evenVBand="0" w:oddHBand="0" w:evenHBand="0" w:firstRowFirstColumn="0" w:firstRowLastColumn="0" w:lastRowFirstColumn="0" w:lastRowLastColumn="0"/>
          <w:trHeight w:val="242"/>
        </w:trPr>
        <w:tc>
          <w:tcPr>
            <w:tcW w:w="3395" w:type="dxa"/>
          </w:tcPr>
          <w:p w:rsidR="00511DD6" w:rsidRPr="00251162" w:rsidRDefault="00251162" w:rsidP="00CB6B67">
            <w:r w:rsidRPr="00251162">
              <w:t>Time</w:t>
            </w:r>
          </w:p>
        </w:tc>
        <w:tc>
          <w:tcPr>
            <w:tcW w:w="4885" w:type="dxa"/>
            <w:gridSpan w:val="3"/>
          </w:tcPr>
          <w:p w:rsidR="00511DD6" w:rsidRPr="00251162" w:rsidRDefault="00511DD6" w:rsidP="00CB6B67">
            <w:pPr>
              <w:jc w:val="center"/>
            </w:pPr>
            <w:r w:rsidRPr="00251162">
              <w:t>All CZP+MTX</w:t>
            </w:r>
          </w:p>
        </w:tc>
      </w:tr>
      <w:tr w:rsidR="003366F6" w:rsidRPr="008B6ED6" w:rsidTr="00CB6B67">
        <w:trPr>
          <w:trHeight w:val="893"/>
        </w:trPr>
        <w:tc>
          <w:tcPr>
            <w:tcW w:w="3395" w:type="dxa"/>
          </w:tcPr>
          <w:p w:rsidR="003366F6" w:rsidRPr="008B6ED6" w:rsidRDefault="003366F6" w:rsidP="00CB6B67">
            <w:pPr>
              <w:rPr>
                <w:sz w:val="20"/>
                <w:szCs w:val="20"/>
              </w:rPr>
            </w:pPr>
          </w:p>
        </w:tc>
        <w:tc>
          <w:tcPr>
            <w:tcW w:w="1659" w:type="dxa"/>
          </w:tcPr>
          <w:p w:rsidR="00511DD6" w:rsidRPr="008B6ED6" w:rsidRDefault="00CB6B67" w:rsidP="00CB6B67">
            <w:pPr>
              <w:jc w:val="center"/>
              <w:rPr>
                <w:sz w:val="20"/>
                <w:szCs w:val="20"/>
              </w:rPr>
            </w:pPr>
            <w:r>
              <w:rPr>
                <w:sz w:val="20"/>
                <w:szCs w:val="20"/>
              </w:rPr>
              <w:t>PBO+MTX/ CZP+MTX Switchers</w:t>
            </w:r>
          </w:p>
          <w:p w:rsidR="003366F6" w:rsidRPr="008B6ED6" w:rsidRDefault="00511DD6" w:rsidP="00CB6B67">
            <w:pPr>
              <w:jc w:val="center"/>
              <w:rPr>
                <w:sz w:val="20"/>
                <w:szCs w:val="20"/>
              </w:rPr>
            </w:pPr>
            <w:r w:rsidRPr="008B6ED6">
              <w:rPr>
                <w:sz w:val="20"/>
                <w:szCs w:val="20"/>
              </w:rPr>
              <w:t>(N=176)</w:t>
            </w:r>
          </w:p>
        </w:tc>
        <w:tc>
          <w:tcPr>
            <w:tcW w:w="1687" w:type="dxa"/>
            <w:vAlign w:val="bottom"/>
          </w:tcPr>
          <w:p w:rsidR="00511DD6" w:rsidRPr="008B6ED6" w:rsidRDefault="00511DD6" w:rsidP="00CB6B67">
            <w:pPr>
              <w:jc w:val="center"/>
              <w:rPr>
                <w:sz w:val="20"/>
                <w:szCs w:val="20"/>
              </w:rPr>
            </w:pPr>
            <w:r w:rsidRPr="008B6ED6">
              <w:rPr>
                <w:sz w:val="20"/>
                <w:szCs w:val="20"/>
              </w:rPr>
              <w:t>Withdrawers</w:t>
            </w:r>
          </w:p>
          <w:p w:rsidR="00511DD6" w:rsidRPr="008B6ED6" w:rsidRDefault="00511DD6" w:rsidP="00CB6B67">
            <w:pPr>
              <w:jc w:val="center"/>
              <w:rPr>
                <w:sz w:val="20"/>
                <w:szCs w:val="20"/>
              </w:rPr>
            </w:pPr>
            <w:r w:rsidRPr="008B6ED6">
              <w:rPr>
                <w:sz w:val="20"/>
                <w:szCs w:val="20"/>
              </w:rPr>
              <w:t>(N=162)</w:t>
            </w:r>
          </w:p>
        </w:tc>
        <w:tc>
          <w:tcPr>
            <w:tcW w:w="1539" w:type="dxa"/>
            <w:vAlign w:val="bottom"/>
          </w:tcPr>
          <w:p w:rsidR="00511DD6" w:rsidRPr="008B6ED6" w:rsidRDefault="00511DD6" w:rsidP="00CB6B67">
            <w:pPr>
              <w:jc w:val="center"/>
              <w:rPr>
                <w:sz w:val="20"/>
                <w:szCs w:val="20"/>
              </w:rPr>
            </w:pPr>
            <w:r w:rsidRPr="008B6ED6">
              <w:rPr>
                <w:sz w:val="20"/>
                <w:szCs w:val="20"/>
              </w:rPr>
              <w:t>Completers</w:t>
            </w:r>
          </w:p>
          <w:p w:rsidR="00511DD6" w:rsidRPr="008B6ED6" w:rsidRDefault="00511DD6" w:rsidP="00CB6B67">
            <w:pPr>
              <w:jc w:val="center"/>
              <w:rPr>
                <w:sz w:val="20"/>
                <w:szCs w:val="20"/>
              </w:rPr>
            </w:pPr>
            <w:r w:rsidRPr="008B6ED6">
              <w:rPr>
                <w:sz w:val="20"/>
                <w:szCs w:val="20"/>
              </w:rPr>
              <w:t>(N=508)</w:t>
            </w:r>
          </w:p>
        </w:tc>
      </w:tr>
      <w:tr w:rsidR="00CB6B67" w:rsidRPr="008B6ED6" w:rsidTr="00CB6B67">
        <w:trPr>
          <w:trHeight w:val="232"/>
        </w:trPr>
        <w:tc>
          <w:tcPr>
            <w:tcW w:w="8280" w:type="dxa"/>
            <w:gridSpan w:val="4"/>
          </w:tcPr>
          <w:p w:rsidR="00CB6B67" w:rsidRPr="008B6ED6" w:rsidRDefault="00CB6B67" w:rsidP="00CB6B67">
            <w:pPr>
              <w:rPr>
                <w:sz w:val="20"/>
                <w:szCs w:val="20"/>
              </w:rPr>
            </w:pPr>
            <w:r w:rsidRPr="00CB6B67">
              <w:rPr>
                <w:b/>
                <w:sz w:val="20"/>
                <w:szCs w:val="20"/>
              </w:rPr>
              <w:t>Year 1 Change from Baseline</w:t>
            </w:r>
          </w:p>
        </w:tc>
      </w:tr>
      <w:tr w:rsidR="003366F6" w:rsidRPr="008B6ED6" w:rsidTr="00CB6B67">
        <w:trPr>
          <w:trHeight w:val="220"/>
        </w:trPr>
        <w:tc>
          <w:tcPr>
            <w:tcW w:w="3395" w:type="dxa"/>
          </w:tcPr>
          <w:p w:rsidR="003366F6" w:rsidRPr="008B6ED6" w:rsidRDefault="00CB6B67" w:rsidP="00CB6B67">
            <w:pPr>
              <w:tabs>
                <w:tab w:val="left" w:pos="284"/>
              </w:tabs>
              <w:rPr>
                <w:sz w:val="20"/>
                <w:szCs w:val="20"/>
              </w:rPr>
            </w:pPr>
            <w:r>
              <w:rPr>
                <w:sz w:val="20"/>
                <w:szCs w:val="20"/>
              </w:rPr>
              <w:tab/>
            </w:r>
            <w:r w:rsidR="00511DD6" w:rsidRPr="008B6ED6">
              <w:rPr>
                <w:sz w:val="20"/>
                <w:szCs w:val="20"/>
              </w:rPr>
              <w:t xml:space="preserve">Subjects with change of </w:t>
            </w:r>
            <w:proofErr w:type="spellStart"/>
            <w:r w:rsidR="00511DD6" w:rsidRPr="008B6ED6">
              <w:rPr>
                <w:sz w:val="20"/>
                <w:szCs w:val="20"/>
              </w:rPr>
              <w:t>mTSS</w:t>
            </w:r>
            <w:proofErr w:type="spellEnd"/>
            <w:r w:rsidR="00511DD6" w:rsidRPr="008B6ED6">
              <w:rPr>
                <w:sz w:val="20"/>
                <w:szCs w:val="20"/>
              </w:rPr>
              <w:t xml:space="preserve"> ≥5.0</w:t>
            </w:r>
          </w:p>
        </w:tc>
        <w:tc>
          <w:tcPr>
            <w:tcW w:w="1659" w:type="dxa"/>
          </w:tcPr>
          <w:p w:rsidR="003366F6" w:rsidRPr="008B6ED6" w:rsidRDefault="00511DD6" w:rsidP="00CB6B67">
            <w:pPr>
              <w:jc w:val="center"/>
              <w:rPr>
                <w:sz w:val="20"/>
                <w:szCs w:val="20"/>
              </w:rPr>
            </w:pPr>
            <w:r w:rsidRPr="008B6ED6">
              <w:rPr>
                <w:sz w:val="20"/>
                <w:szCs w:val="20"/>
              </w:rPr>
              <w:t>5/149 (3.4%)</w:t>
            </w:r>
          </w:p>
        </w:tc>
        <w:tc>
          <w:tcPr>
            <w:tcW w:w="1687" w:type="dxa"/>
          </w:tcPr>
          <w:p w:rsidR="003366F6" w:rsidRPr="008B6ED6" w:rsidRDefault="00511DD6" w:rsidP="00CB6B67">
            <w:pPr>
              <w:jc w:val="center"/>
              <w:rPr>
                <w:sz w:val="20"/>
                <w:szCs w:val="20"/>
              </w:rPr>
            </w:pPr>
            <w:r w:rsidRPr="008B6ED6">
              <w:rPr>
                <w:sz w:val="20"/>
                <w:szCs w:val="20"/>
              </w:rPr>
              <w:t>9/138 (6.5%)</w:t>
            </w:r>
          </w:p>
        </w:tc>
        <w:tc>
          <w:tcPr>
            <w:tcW w:w="1539" w:type="dxa"/>
          </w:tcPr>
          <w:p w:rsidR="003366F6" w:rsidRPr="008B6ED6" w:rsidRDefault="00511DD6" w:rsidP="00CB6B67">
            <w:pPr>
              <w:jc w:val="center"/>
              <w:rPr>
                <w:sz w:val="20"/>
                <w:szCs w:val="20"/>
              </w:rPr>
            </w:pPr>
            <w:r w:rsidRPr="008B6ED6">
              <w:rPr>
                <w:sz w:val="20"/>
                <w:szCs w:val="20"/>
              </w:rPr>
              <w:t>24/448 (5.4%)</w:t>
            </w:r>
          </w:p>
        </w:tc>
      </w:tr>
      <w:tr w:rsidR="00CB6B67" w:rsidRPr="008B6ED6" w:rsidTr="00CB6B67">
        <w:trPr>
          <w:trHeight w:val="220"/>
        </w:trPr>
        <w:tc>
          <w:tcPr>
            <w:tcW w:w="8280" w:type="dxa"/>
            <w:gridSpan w:val="4"/>
          </w:tcPr>
          <w:p w:rsidR="00CB6B67" w:rsidRPr="008B6ED6" w:rsidRDefault="00CB6B67" w:rsidP="00CB6B67">
            <w:pPr>
              <w:rPr>
                <w:sz w:val="20"/>
                <w:szCs w:val="20"/>
              </w:rPr>
            </w:pPr>
            <w:r w:rsidRPr="00CB6B67">
              <w:rPr>
                <w:b/>
                <w:sz w:val="20"/>
                <w:szCs w:val="20"/>
              </w:rPr>
              <w:t>Year 2 Change from Baseline</w:t>
            </w:r>
          </w:p>
        </w:tc>
      </w:tr>
      <w:tr w:rsidR="003366F6" w:rsidRPr="008B6ED6" w:rsidTr="00CB6B67">
        <w:trPr>
          <w:trHeight w:val="220"/>
        </w:trPr>
        <w:tc>
          <w:tcPr>
            <w:tcW w:w="3395" w:type="dxa"/>
          </w:tcPr>
          <w:p w:rsidR="003366F6" w:rsidRPr="008B6ED6" w:rsidRDefault="00CB6B67" w:rsidP="00CB6B67">
            <w:pPr>
              <w:tabs>
                <w:tab w:val="left" w:pos="284"/>
              </w:tabs>
              <w:rPr>
                <w:sz w:val="20"/>
                <w:szCs w:val="20"/>
              </w:rPr>
            </w:pPr>
            <w:r>
              <w:rPr>
                <w:sz w:val="20"/>
                <w:szCs w:val="20"/>
              </w:rPr>
              <w:tab/>
            </w:r>
            <w:r w:rsidR="00511DD6" w:rsidRPr="008B6ED6">
              <w:rPr>
                <w:sz w:val="20"/>
                <w:szCs w:val="20"/>
              </w:rPr>
              <w:t xml:space="preserve">Subjects with change of </w:t>
            </w:r>
            <w:proofErr w:type="spellStart"/>
            <w:r w:rsidR="00511DD6" w:rsidRPr="008B6ED6">
              <w:rPr>
                <w:sz w:val="20"/>
                <w:szCs w:val="20"/>
              </w:rPr>
              <w:t>mTSS</w:t>
            </w:r>
            <w:proofErr w:type="spellEnd"/>
            <w:r w:rsidR="00511DD6" w:rsidRPr="008B6ED6">
              <w:rPr>
                <w:sz w:val="20"/>
                <w:szCs w:val="20"/>
              </w:rPr>
              <w:t xml:space="preserve"> ≥5.0</w:t>
            </w:r>
          </w:p>
        </w:tc>
        <w:tc>
          <w:tcPr>
            <w:tcW w:w="1659" w:type="dxa"/>
          </w:tcPr>
          <w:p w:rsidR="003366F6" w:rsidRPr="008B6ED6" w:rsidRDefault="00511DD6" w:rsidP="00CB6B67">
            <w:pPr>
              <w:jc w:val="center"/>
              <w:rPr>
                <w:sz w:val="20"/>
                <w:szCs w:val="20"/>
              </w:rPr>
            </w:pPr>
            <w:r w:rsidRPr="008B6ED6">
              <w:rPr>
                <w:sz w:val="20"/>
                <w:szCs w:val="20"/>
              </w:rPr>
              <w:t>7/147 (4.8%)</w:t>
            </w:r>
          </w:p>
        </w:tc>
        <w:tc>
          <w:tcPr>
            <w:tcW w:w="1687" w:type="dxa"/>
          </w:tcPr>
          <w:p w:rsidR="003366F6" w:rsidRPr="008B6ED6" w:rsidRDefault="00511DD6" w:rsidP="00CB6B67">
            <w:pPr>
              <w:jc w:val="center"/>
              <w:rPr>
                <w:sz w:val="20"/>
                <w:szCs w:val="20"/>
              </w:rPr>
            </w:pPr>
            <w:r w:rsidRPr="008B6ED6">
              <w:rPr>
                <w:sz w:val="20"/>
                <w:szCs w:val="20"/>
              </w:rPr>
              <w:t>18/138 (13.0%)</w:t>
            </w:r>
          </w:p>
        </w:tc>
        <w:tc>
          <w:tcPr>
            <w:tcW w:w="1539" w:type="dxa"/>
          </w:tcPr>
          <w:p w:rsidR="003366F6" w:rsidRPr="008B6ED6" w:rsidRDefault="00511DD6" w:rsidP="00CB6B67">
            <w:pPr>
              <w:jc w:val="center"/>
              <w:rPr>
                <w:sz w:val="20"/>
                <w:szCs w:val="20"/>
              </w:rPr>
            </w:pPr>
            <w:r w:rsidRPr="008B6ED6">
              <w:rPr>
                <w:sz w:val="20"/>
                <w:szCs w:val="20"/>
              </w:rPr>
              <w:t>35/449 (7.8%)</w:t>
            </w:r>
          </w:p>
        </w:tc>
      </w:tr>
      <w:tr w:rsidR="00CB6B67" w:rsidRPr="008B6ED6" w:rsidTr="00CB6B67">
        <w:trPr>
          <w:trHeight w:val="232"/>
        </w:trPr>
        <w:tc>
          <w:tcPr>
            <w:tcW w:w="8280" w:type="dxa"/>
            <w:gridSpan w:val="4"/>
          </w:tcPr>
          <w:p w:rsidR="00CB6B67" w:rsidRPr="00CB6B67" w:rsidRDefault="00CB6B67" w:rsidP="00CB6B67">
            <w:pPr>
              <w:rPr>
                <w:b/>
                <w:sz w:val="20"/>
                <w:szCs w:val="20"/>
              </w:rPr>
            </w:pPr>
            <w:r w:rsidRPr="00CB6B67">
              <w:rPr>
                <w:b/>
                <w:sz w:val="20"/>
                <w:szCs w:val="20"/>
              </w:rPr>
              <w:t>Year 2 versus. Year 1</w:t>
            </w:r>
          </w:p>
        </w:tc>
      </w:tr>
      <w:tr w:rsidR="003366F6" w:rsidRPr="008B6ED6" w:rsidTr="00CB6B67">
        <w:trPr>
          <w:trHeight w:val="232"/>
        </w:trPr>
        <w:tc>
          <w:tcPr>
            <w:tcW w:w="3395" w:type="dxa"/>
          </w:tcPr>
          <w:p w:rsidR="003366F6" w:rsidRPr="008B6ED6" w:rsidRDefault="00CB6B67" w:rsidP="00CB6B67">
            <w:pPr>
              <w:tabs>
                <w:tab w:val="left" w:pos="284"/>
              </w:tabs>
              <w:rPr>
                <w:sz w:val="20"/>
                <w:szCs w:val="20"/>
              </w:rPr>
            </w:pPr>
            <w:r>
              <w:rPr>
                <w:sz w:val="20"/>
                <w:szCs w:val="20"/>
              </w:rPr>
              <w:tab/>
            </w:r>
            <w:r w:rsidR="00511DD6" w:rsidRPr="008B6ED6">
              <w:rPr>
                <w:sz w:val="20"/>
                <w:szCs w:val="20"/>
              </w:rPr>
              <w:t xml:space="preserve">Subjects with change of </w:t>
            </w:r>
            <w:proofErr w:type="spellStart"/>
            <w:r w:rsidR="00511DD6" w:rsidRPr="008B6ED6">
              <w:rPr>
                <w:sz w:val="20"/>
                <w:szCs w:val="20"/>
              </w:rPr>
              <w:t>mTSS</w:t>
            </w:r>
            <w:proofErr w:type="spellEnd"/>
            <w:r w:rsidR="00511DD6" w:rsidRPr="008B6ED6">
              <w:rPr>
                <w:sz w:val="20"/>
                <w:szCs w:val="20"/>
              </w:rPr>
              <w:t xml:space="preserve"> ≥5.0</w:t>
            </w:r>
          </w:p>
        </w:tc>
        <w:tc>
          <w:tcPr>
            <w:tcW w:w="1659" w:type="dxa"/>
          </w:tcPr>
          <w:p w:rsidR="003366F6" w:rsidRPr="008B6ED6" w:rsidRDefault="00511DD6" w:rsidP="00CB6B67">
            <w:pPr>
              <w:jc w:val="center"/>
              <w:rPr>
                <w:sz w:val="20"/>
                <w:szCs w:val="20"/>
              </w:rPr>
            </w:pPr>
            <w:r w:rsidRPr="008B6ED6">
              <w:rPr>
                <w:sz w:val="20"/>
                <w:szCs w:val="20"/>
              </w:rPr>
              <w:t>3/148 (2.0%)</w:t>
            </w:r>
          </w:p>
        </w:tc>
        <w:tc>
          <w:tcPr>
            <w:tcW w:w="1687" w:type="dxa"/>
          </w:tcPr>
          <w:p w:rsidR="003366F6" w:rsidRPr="008B6ED6" w:rsidRDefault="00511DD6" w:rsidP="00CB6B67">
            <w:pPr>
              <w:jc w:val="center"/>
              <w:rPr>
                <w:sz w:val="20"/>
                <w:szCs w:val="20"/>
              </w:rPr>
            </w:pPr>
            <w:r w:rsidRPr="008B6ED6">
              <w:rPr>
                <w:sz w:val="20"/>
                <w:szCs w:val="20"/>
              </w:rPr>
              <w:t>4/138 (2</w:t>
            </w:r>
            <w:r w:rsidR="004E274D">
              <w:rPr>
                <w:sz w:val="20"/>
                <w:szCs w:val="20"/>
              </w:rPr>
              <w:t>.</w:t>
            </w:r>
            <w:r w:rsidRPr="008B6ED6">
              <w:rPr>
                <w:sz w:val="20"/>
                <w:szCs w:val="20"/>
              </w:rPr>
              <w:t>9%)</w:t>
            </w:r>
          </w:p>
        </w:tc>
        <w:tc>
          <w:tcPr>
            <w:tcW w:w="1539" w:type="dxa"/>
          </w:tcPr>
          <w:p w:rsidR="003366F6" w:rsidRPr="008B6ED6" w:rsidRDefault="00511DD6" w:rsidP="00CB6B67">
            <w:pPr>
              <w:jc w:val="center"/>
              <w:rPr>
                <w:sz w:val="20"/>
                <w:szCs w:val="20"/>
              </w:rPr>
            </w:pPr>
            <w:r w:rsidRPr="008B6ED6">
              <w:rPr>
                <w:sz w:val="20"/>
                <w:szCs w:val="20"/>
              </w:rPr>
              <w:t>15/446 (3.4%)</w:t>
            </w:r>
          </w:p>
        </w:tc>
      </w:tr>
    </w:tbl>
    <w:p w:rsidR="003366F6" w:rsidRPr="00511DD6" w:rsidRDefault="003366F6" w:rsidP="00CB6B67">
      <w:pPr>
        <w:pStyle w:val="TableDescription"/>
      </w:pPr>
      <w:r w:rsidRPr="00511DD6">
        <w:t>CZP=</w:t>
      </w:r>
      <w:proofErr w:type="spellStart"/>
      <w:r w:rsidRPr="00511DD6">
        <w:t>certolizumab</w:t>
      </w:r>
      <w:proofErr w:type="spellEnd"/>
      <w:r w:rsidRPr="00511DD6">
        <w:t xml:space="preserve"> </w:t>
      </w:r>
      <w:proofErr w:type="spellStart"/>
      <w:r w:rsidRPr="00511DD6">
        <w:t>pegol</w:t>
      </w:r>
      <w:proofErr w:type="spellEnd"/>
      <w:r w:rsidRPr="00511DD6">
        <w:t xml:space="preserve">; </w:t>
      </w:r>
      <w:proofErr w:type="spellStart"/>
      <w:r w:rsidRPr="00511DD6">
        <w:t>mTSS</w:t>
      </w:r>
      <w:proofErr w:type="spellEnd"/>
      <w:r w:rsidRPr="00511DD6">
        <w:t>=modified total Sharp score; MTX=methotrexate; PBO=placebo</w:t>
      </w:r>
    </w:p>
    <w:p w:rsidR="00C63FE9" w:rsidRPr="00C63FE9" w:rsidRDefault="00C63FE9" w:rsidP="00CB6B67">
      <w:pPr>
        <w:pStyle w:val="Heading6"/>
      </w:pPr>
      <w:r w:rsidRPr="00CB6B67">
        <w:t>Question</w:t>
      </w:r>
      <w:r>
        <w:t xml:space="preserve"> 2</w:t>
      </w:r>
    </w:p>
    <w:p w:rsidR="003366F6" w:rsidRPr="00C63FE9" w:rsidRDefault="003366F6" w:rsidP="00CB6B67">
      <w:r w:rsidRPr="00C63FE9">
        <w:t>Please provide an interim analysis of Study C87050/51 as was conducted for Study C87027/28.</w:t>
      </w:r>
    </w:p>
    <w:p w:rsidR="003366F6" w:rsidRPr="00CB6B67" w:rsidRDefault="00C63FE9" w:rsidP="00CB6B67">
      <w:pPr>
        <w:pStyle w:val="Heading7"/>
        <w:rPr>
          <w:i/>
          <w:sz w:val="22"/>
          <w:szCs w:val="22"/>
        </w:rPr>
      </w:pPr>
      <w:r w:rsidRPr="00CB6B67">
        <w:rPr>
          <w:i/>
          <w:sz w:val="22"/>
          <w:szCs w:val="22"/>
        </w:rPr>
        <w:t xml:space="preserve">Sponsor’s </w:t>
      </w:r>
      <w:r w:rsidR="00CB6B67" w:rsidRPr="00CB6B67">
        <w:rPr>
          <w:i/>
          <w:sz w:val="22"/>
          <w:szCs w:val="22"/>
        </w:rPr>
        <w:t>r</w:t>
      </w:r>
      <w:r w:rsidR="003366F6" w:rsidRPr="00CB6B67">
        <w:rPr>
          <w:i/>
          <w:sz w:val="22"/>
          <w:szCs w:val="22"/>
        </w:rPr>
        <w:t>esponse</w:t>
      </w:r>
    </w:p>
    <w:p w:rsidR="00511DD6" w:rsidRPr="00511DD6" w:rsidRDefault="00511DD6" w:rsidP="00CB6B67">
      <w:r w:rsidRPr="00511DD6">
        <w:t>As discussed in the response</w:t>
      </w:r>
      <w:r w:rsidR="00C63FE9">
        <w:t xml:space="preserve"> to the clinical evaluator’s question</w:t>
      </w:r>
      <w:r w:rsidRPr="00511DD6">
        <w:t xml:space="preserve">, the analyses performed on C87027/028 presented in this submission have not been performed on C87050/051. However </w:t>
      </w:r>
      <w:r w:rsidR="00C63FE9">
        <w:t>the sponsor</w:t>
      </w:r>
      <w:r w:rsidRPr="00511DD6">
        <w:t xml:space="preserve"> reiterates the rationale for not performing equivalent analyses on C87050/051.</w:t>
      </w:r>
    </w:p>
    <w:p w:rsidR="00511DD6" w:rsidRPr="00511DD6" w:rsidRDefault="00511DD6" w:rsidP="00CB6B67">
      <w:pPr>
        <w:pStyle w:val="ListBullet"/>
      </w:pPr>
      <w:r w:rsidRPr="00511DD6">
        <w:t xml:space="preserve">A comparison of the mean and median change from Baseline in </w:t>
      </w:r>
      <w:proofErr w:type="spellStart"/>
      <w:r w:rsidRPr="00511DD6">
        <w:t>mTSS</w:t>
      </w:r>
      <w:proofErr w:type="spellEnd"/>
      <w:r w:rsidRPr="00511DD6">
        <w:t xml:space="preserve"> scores and the </w:t>
      </w:r>
      <w:proofErr w:type="spellStart"/>
      <w:r w:rsidRPr="00511DD6">
        <w:t>mTSS</w:t>
      </w:r>
      <w:proofErr w:type="spellEnd"/>
      <w:r w:rsidRPr="00511DD6">
        <w:t xml:space="preserve"> components (erosion and joint space narrowing score) obtained in CZP treated subjects a</w:t>
      </w:r>
      <w:r w:rsidR="00501D8F">
        <w:t>nd placebo treated subjects in S</w:t>
      </w:r>
      <w:r w:rsidRPr="00511DD6">
        <w:t>tudies C87027 and C87050 at Week 24 was performed and showed similar results. The results of the aforementioned comparison suggest that similar results would be obtained if these analyses were performed on C87050/051.</w:t>
      </w:r>
    </w:p>
    <w:p w:rsidR="003366F6" w:rsidRPr="00511DD6" w:rsidRDefault="00511DD6" w:rsidP="00CB6B67">
      <w:pPr>
        <w:pStyle w:val="ListBullet"/>
      </w:pPr>
      <w:r w:rsidRPr="00511DD6">
        <w:t>Moreover, an equivalent analyses performed on C87050/051 would provide less robust data, subject to error. The numbe</w:t>
      </w:r>
      <w:r w:rsidR="00501D8F">
        <w:t>r of subjects participating in S</w:t>
      </w:r>
      <w:r w:rsidRPr="00511DD6">
        <w:t>tudies C8</w:t>
      </w:r>
      <w:r w:rsidR="00501D8F">
        <w:t>7050/051 was much less than in S</w:t>
      </w:r>
      <w:r w:rsidRPr="00511DD6">
        <w:t xml:space="preserve">tudies C87027/028, and the </w:t>
      </w:r>
      <w:r w:rsidR="00354BAD">
        <w:t>‘</w:t>
      </w:r>
      <w:r w:rsidRPr="008E5702">
        <w:rPr>
          <w:i/>
        </w:rPr>
        <w:t>real-time data</w:t>
      </w:r>
      <w:r w:rsidR="00354BAD">
        <w:t>’</w:t>
      </w:r>
      <w:r w:rsidRPr="00511DD6">
        <w:t xml:space="preserve"> available in the C87050 placebo treatment group (up to Week 24 with 2 time points at Week 0 and 24) was also much less than the C87027 placebo treatment group (up to Week 52 with 3 time points at Week 0, 24 and 52).</w:t>
      </w:r>
    </w:p>
    <w:p w:rsidR="00C63FE9" w:rsidRDefault="00C63FE9" w:rsidP="00CB6B67">
      <w:pPr>
        <w:pStyle w:val="Heading6"/>
      </w:pPr>
      <w:r w:rsidRPr="00CB6B67">
        <w:lastRenderedPageBreak/>
        <w:t>Question</w:t>
      </w:r>
      <w:r>
        <w:t xml:space="preserve"> 3</w:t>
      </w:r>
    </w:p>
    <w:p w:rsidR="003366F6" w:rsidRPr="00C63FE9" w:rsidRDefault="003366F6" w:rsidP="00CB6B67">
      <w:r w:rsidRPr="00C63FE9">
        <w:t xml:space="preserve">Completers on CZP had greater changes in </w:t>
      </w:r>
      <w:proofErr w:type="spellStart"/>
      <w:r w:rsidRPr="00C63FE9">
        <w:t>mTSS</w:t>
      </w:r>
      <w:proofErr w:type="spellEnd"/>
      <w:r w:rsidRPr="00C63FE9">
        <w:t xml:space="preserve"> than Withdrawers on CZP at each of Weeks 24, 48, 72 and 96 in Study C87028, despite receiving CZP for a longer duration of time</w:t>
      </w:r>
      <w:r w:rsidR="000F4F43" w:rsidRPr="00C63FE9">
        <w:t xml:space="preserve">. </w:t>
      </w:r>
      <w:r w:rsidRPr="00C63FE9">
        <w:t>This was not seen in the</w:t>
      </w:r>
      <w:r w:rsidR="00A353FC">
        <w:t xml:space="preserve"> later stages of Study C87051. </w:t>
      </w:r>
      <w:r w:rsidRPr="00C63FE9">
        <w:t>Although Completers had been observed for an additional 36 weeks compared with Withdrawers in Study C87027 prior to entering the extension study (compared with an additional</w:t>
      </w:r>
      <w:r w:rsidR="00A353FC">
        <w:t xml:space="preserve"> 8 weeks in Study C87051), the s</w:t>
      </w:r>
      <w:r w:rsidRPr="00C63FE9">
        <w:t>ponsor is requested to comment on these findings.</w:t>
      </w:r>
    </w:p>
    <w:p w:rsidR="00B940F8" w:rsidRPr="00CB6B67" w:rsidRDefault="00B940F8" w:rsidP="00CB6B67">
      <w:pPr>
        <w:pStyle w:val="Heading7"/>
        <w:rPr>
          <w:i/>
          <w:sz w:val="22"/>
          <w:szCs w:val="22"/>
        </w:rPr>
      </w:pPr>
      <w:r w:rsidRPr="00CB6B67">
        <w:rPr>
          <w:i/>
          <w:sz w:val="22"/>
          <w:szCs w:val="22"/>
        </w:rPr>
        <w:t xml:space="preserve">Sponsor’s </w:t>
      </w:r>
      <w:r w:rsidR="00CB6B67" w:rsidRPr="00CB6B67">
        <w:rPr>
          <w:i/>
          <w:sz w:val="22"/>
          <w:szCs w:val="22"/>
        </w:rPr>
        <w:t>r</w:t>
      </w:r>
      <w:r w:rsidRPr="00CB6B67">
        <w:rPr>
          <w:i/>
          <w:sz w:val="22"/>
          <w:szCs w:val="22"/>
        </w:rPr>
        <w:t>esponse</w:t>
      </w:r>
    </w:p>
    <w:p w:rsidR="00302B4B" w:rsidRPr="00302B4B" w:rsidRDefault="00302B4B" w:rsidP="00CB6B67">
      <w:r w:rsidRPr="00302B4B">
        <w:t>For Completers, Week 24 of Study C87028 represents 52</w:t>
      </w:r>
      <w:r w:rsidR="00A353FC">
        <w:t xml:space="preserve"> </w:t>
      </w:r>
      <w:r w:rsidRPr="00302B4B">
        <w:t>+</w:t>
      </w:r>
      <w:r w:rsidR="00A353FC">
        <w:t xml:space="preserve"> </w:t>
      </w:r>
      <w:r w:rsidRPr="00302B4B">
        <w:t>24</w:t>
      </w:r>
      <w:r w:rsidR="00A353FC">
        <w:t xml:space="preserve"> </w:t>
      </w:r>
      <w:r w:rsidRPr="00302B4B">
        <w:t>=</w:t>
      </w:r>
      <w:r w:rsidR="00A353FC">
        <w:t xml:space="preserve"> 76 weeks post </w:t>
      </w:r>
      <w:r w:rsidRPr="00302B4B">
        <w:t>Baseline, whereas</w:t>
      </w:r>
      <w:r>
        <w:t xml:space="preserve"> </w:t>
      </w:r>
      <w:r w:rsidRPr="00302B4B">
        <w:t>for Withdrawers it represents 16</w:t>
      </w:r>
      <w:r w:rsidR="00A353FC">
        <w:t xml:space="preserve"> </w:t>
      </w:r>
      <w:r w:rsidRPr="00302B4B">
        <w:t>+</w:t>
      </w:r>
      <w:r w:rsidR="00A353FC">
        <w:t xml:space="preserve"> </w:t>
      </w:r>
      <w:r w:rsidRPr="00302B4B">
        <w:t>24</w:t>
      </w:r>
      <w:r w:rsidR="00A353FC">
        <w:t xml:space="preserve"> </w:t>
      </w:r>
      <w:r w:rsidRPr="00302B4B">
        <w:t>=</w:t>
      </w:r>
      <w:r w:rsidR="00A353FC">
        <w:t xml:space="preserve"> 40 weeks post </w:t>
      </w:r>
      <w:r w:rsidRPr="00302B4B">
        <w:t>Baseline. Thus comparing changes at Week</w:t>
      </w:r>
      <w:r>
        <w:t xml:space="preserve"> </w:t>
      </w:r>
      <w:r w:rsidRPr="00302B4B">
        <w:t>24 for Completers and With</w:t>
      </w:r>
      <w:r w:rsidR="004B277F">
        <w:t>drawers is not suitable. Indeed</w:t>
      </w:r>
      <w:r w:rsidRPr="00302B4B">
        <w:t xml:space="preserve"> while Completers have had a longer</w:t>
      </w:r>
      <w:r>
        <w:t xml:space="preserve"> </w:t>
      </w:r>
      <w:r w:rsidRPr="00302B4B">
        <w:t>duration of CZP, they have also had a longer time for progression to occur. As noted by the</w:t>
      </w:r>
      <w:r>
        <w:t xml:space="preserve"> </w:t>
      </w:r>
      <w:r w:rsidR="004B277F">
        <w:t>Delegate</w:t>
      </w:r>
      <w:r w:rsidRPr="00302B4B">
        <w:t>, in Study C87051 the time differential between Completers and Withdrawers is shorter:</w:t>
      </w:r>
      <w:r>
        <w:t xml:space="preserve"> </w:t>
      </w:r>
      <w:r w:rsidRPr="00302B4B">
        <w:t>for Completers, Week 24 represents 24</w:t>
      </w:r>
      <w:r w:rsidR="004B277F">
        <w:t> </w:t>
      </w:r>
      <w:r w:rsidRPr="00302B4B">
        <w:t>+</w:t>
      </w:r>
      <w:r w:rsidR="004B277F">
        <w:t xml:space="preserve"> </w:t>
      </w:r>
      <w:r w:rsidRPr="00302B4B">
        <w:t>24</w:t>
      </w:r>
      <w:r w:rsidR="004B277F">
        <w:t xml:space="preserve"> </w:t>
      </w:r>
      <w:r w:rsidRPr="00302B4B">
        <w:t>=</w:t>
      </w:r>
      <w:r w:rsidR="004B277F">
        <w:t xml:space="preserve"> 48 weeks post </w:t>
      </w:r>
      <w:r w:rsidRPr="00302B4B">
        <w:t>Baseline, whereas for Withdrawers it</w:t>
      </w:r>
      <w:r>
        <w:t xml:space="preserve"> </w:t>
      </w:r>
      <w:r w:rsidRPr="00302B4B">
        <w:t>represents 16</w:t>
      </w:r>
      <w:r w:rsidR="004B277F">
        <w:t xml:space="preserve"> </w:t>
      </w:r>
      <w:r w:rsidRPr="00302B4B">
        <w:t>+</w:t>
      </w:r>
      <w:r w:rsidR="004B277F">
        <w:t xml:space="preserve"> </w:t>
      </w:r>
      <w:r w:rsidRPr="00302B4B">
        <w:t>24</w:t>
      </w:r>
      <w:r w:rsidR="004B277F">
        <w:t xml:space="preserve"> </w:t>
      </w:r>
      <w:r w:rsidRPr="00302B4B">
        <w:t>=</w:t>
      </w:r>
      <w:r w:rsidR="004B277F">
        <w:t xml:space="preserve"> 40 weeks post </w:t>
      </w:r>
      <w:r w:rsidRPr="00302B4B">
        <w:t>Baseline. Thus in C87051 the</w:t>
      </w:r>
      <w:r w:rsidR="004B277F">
        <w:t>,</w:t>
      </w:r>
      <w:r w:rsidRPr="00302B4B">
        <w:t xml:space="preserve"> difference in </w:t>
      </w:r>
      <w:proofErr w:type="spellStart"/>
      <w:r w:rsidRPr="00302B4B">
        <w:t>mTSS</w:t>
      </w:r>
      <w:proofErr w:type="spellEnd"/>
      <w:r w:rsidRPr="00302B4B">
        <w:t xml:space="preserve"> change from</w:t>
      </w:r>
      <w:r>
        <w:t xml:space="preserve"> </w:t>
      </w:r>
      <w:r w:rsidRPr="00302B4B">
        <w:t>Baseline between CZP Completers and Withdrawers is also expected to be smaller.</w:t>
      </w:r>
    </w:p>
    <w:p w:rsidR="00302B4B" w:rsidRPr="00A27669" w:rsidRDefault="00302B4B" w:rsidP="00CB6B67">
      <w:r w:rsidRPr="00302B4B">
        <w:t xml:space="preserve">The more applicable comparisons are </w:t>
      </w:r>
      <w:r w:rsidR="004B277F">
        <w:t>placebo</w:t>
      </w:r>
      <w:r w:rsidRPr="00302B4B">
        <w:t xml:space="preserve"> </w:t>
      </w:r>
      <w:r w:rsidR="009A3943">
        <w:t>versus</w:t>
      </w:r>
      <w:r w:rsidRPr="00302B4B">
        <w:t xml:space="preserve"> CZP Completers, and </w:t>
      </w:r>
      <w:r w:rsidR="004B277F">
        <w:t>placebo</w:t>
      </w:r>
      <w:r w:rsidRPr="00302B4B">
        <w:t xml:space="preserve"> </w:t>
      </w:r>
      <w:r w:rsidR="009A3943">
        <w:t>versus</w:t>
      </w:r>
      <w:r w:rsidRPr="00302B4B">
        <w:t xml:space="preserve"> CZP Withdrawers. A</w:t>
      </w:r>
      <w:r>
        <w:t xml:space="preserve"> </w:t>
      </w:r>
      <w:r w:rsidRPr="00302B4B">
        <w:t xml:space="preserve">comparison of change from Baseline in </w:t>
      </w:r>
      <w:proofErr w:type="spellStart"/>
      <w:r w:rsidRPr="00302B4B">
        <w:t>mTSS</w:t>
      </w:r>
      <w:proofErr w:type="spellEnd"/>
      <w:r w:rsidRPr="00302B4B">
        <w:t xml:space="preserve"> and the </w:t>
      </w:r>
      <w:proofErr w:type="spellStart"/>
      <w:r w:rsidRPr="00302B4B">
        <w:t>mTSS</w:t>
      </w:r>
      <w:proofErr w:type="spellEnd"/>
      <w:r w:rsidRPr="00302B4B">
        <w:t xml:space="preserve"> components for the placebo</w:t>
      </w:r>
      <w:r>
        <w:t xml:space="preserve"> </w:t>
      </w:r>
      <w:r w:rsidRPr="00302B4B">
        <w:t xml:space="preserve">controlled feeder studies (C87027 and C87050) was provided in Table </w:t>
      </w:r>
      <w:r w:rsidR="008E5702">
        <w:t>8</w:t>
      </w:r>
      <w:r w:rsidRPr="00302B4B">
        <w:t xml:space="preserve"> </w:t>
      </w:r>
      <w:r w:rsidR="00A27669">
        <w:t>below</w:t>
      </w:r>
      <w:r w:rsidRPr="00302B4B">
        <w:t xml:space="preserve">. These results show that the change in both </w:t>
      </w:r>
      <w:proofErr w:type="spellStart"/>
      <w:r w:rsidRPr="00302B4B">
        <w:t>mTSS</w:t>
      </w:r>
      <w:proofErr w:type="spellEnd"/>
      <w:r w:rsidRPr="00302B4B">
        <w:t xml:space="preserve"> components from Baseline at Week</w:t>
      </w:r>
      <w:r>
        <w:t xml:space="preserve"> </w:t>
      </w:r>
      <w:r w:rsidRPr="00302B4B">
        <w:t>24 in the CZP 200</w:t>
      </w:r>
      <w:r w:rsidR="00A27669">
        <w:t>mg q2w and CZP 400mg q4w</w:t>
      </w:r>
      <w:r w:rsidRPr="00302B4B">
        <w:t xml:space="preserve"> treatment groups were significantly</w:t>
      </w:r>
      <w:r>
        <w:t xml:space="preserve"> </w:t>
      </w:r>
      <w:r w:rsidRPr="00302B4B">
        <w:t>smaller than observed in placebo group in both studies (p</w:t>
      </w:r>
      <w:r w:rsidR="00A27669">
        <w:t xml:space="preserve"> </w:t>
      </w:r>
      <w:r w:rsidRPr="00302B4B">
        <w:rPr>
          <w:rFonts w:hint="eastAsia"/>
        </w:rPr>
        <w:t>≤</w:t>
      </w:r>
      <w:r w:rsidR="00A27669">
        <w:t xml:space="preserve"> </w:t>
      </w:r>
      <w:r w:rsidR="001819B0">
        <w:t>0.01)</w:t>
      </w:r>
      <w:r w:rsidRPr="00302B4B">
        <w:t xml:space="preserve"> and the results were similar for</w:t>
      </w:r>
      <w:r>
        <w:t xml:space="preserve"> </w:t>
      </w:r>
      <w:r w:rsidRPr="00302B4B">
        <w:t>the 2 CZP dose groups within both studies and between studies.</w:t>
      </w:r>
    </w:p>
    <w:p w:rsidR="00A27669" w:rsidRDefault="00A27669" w:rsidP="00CB6B67">
      <w:pPr>
        <w:pStyle w:val="TableTitle"/>
      </w:pPr>
      <w:proofErr w:type="gramStart"/>
      <w:r w:rsidRPr="00A27669">
        <w:lastRenderedPageBreak/>
        <w:t xml:space="preserve">Table </w:t>
      </w:r>
      <w:r w:rsidR="008E5702">
        <w:t>8.</w:t>
      </w:r>
      <w:proofErr w:type="gramEnd"/>
      <w:r w:rsidRPr="00A27669">
        <w:t xml:space="preserve"> Baseline Values and Change from Baseline in </w:t>
      </w:r>
      <w:proofErr w:type="spellStart"/>
      <w:r w:rsidRPr="00A27669">
        <w:t>mTSS</w:t>
      </w:r>
      <w:proofErr w:type="spellEnd"/>
      <w:r w:rsidRPr="00A27669">
        <w:t>, Erosion Score and Joint Space Narr</w:t>
      </w:r>
      <w:r>
        <w:t xml:space="preserve">owing </w:t>
      </w:r>
      <w:r w:rsidRPr="00CB6B67">
        <w:t>Score</w:t>
      </w:r>
      <w:r>
        <w:t xml:space="preserve"> Observed in Studies </w:t>
      </w:r>
      <w:r w:rsidRPr="00A27669">
        <w:t>C87027 and C87050 at Week 24 – ITT Population</w:t>
      </w:r>
      <w:r w:rsidR="008E5702">
        <w:t>.</w:t>
      </w:r>
    </w:p>
    <w:p w:rsidR="00A27669" w:rsidRPr="00302B4B" w:rsidRDefault="00701465" w:rsidP="00CB6B67">
      <w:r>
        <w:rPr>
          <w:noProof/>
          <w:lang w:eastAsia="en-AU"/>
        </w:rPr>
        <w:drawing>
          <wp:inline distT="0" distB="0" distL="0" distR="0" wp14:anchorId="48E2D8EE" wp14:editId="41A90FB5">
            <wp:extent cx="5142865" cy="5113020"/>
            <wp:effectExtent l="0" t="0" r="635" b="0"/>
            <wp:docPr id="8" name="Picture 8" descr="Table 8. Baseline Values and Change from Baseline in mTSS, Erosion Score and Joint Space Narrowing Score Observed in Studies C87027 and C87050 at Week 24 – ITT Population." title="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8. Baseline Values and Change from Baseline in mTSS, Erosion Score and Joint Space Narrowing Score Observed in Studies C87027 and C87050 at Week 24 – ITT Popul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2865" cy="5113020"/>
                    </a:xfrm>
                    <a:prstGeom prst="rect">
                      <a:avLst/>
                    </a:prstGeom>
                    <a:noFill/>
                    <a:ln>
                      <a:noFill/>
                    </a:ln>
                  </pic:spPr>
                </pic:pic>
              </a:graphicData>
            </a:graphic>
          </wp:inline>
        </w:drawing>
      </w:r>
    </w:p>
    <w:p w:rsidR="003366F6" w:rsidRPr="00302B4B" w:rsidRDefault="00302B4B" w:rsidP="00CB6B67">
      <w:r w:rsidRPr="00302B4B">
        <w:t xml:space="preserve">In addition, mean changes in </w:t>
      </w:r>
      <w:proofErr w:type="spellStart"/>
      <w:r w:rsidRPr="00302B4B">
        <w:t>mTSS</w:t>
      </w:r>
      <w:proofErr w:type="spellEnd"/>
      <w:r w:rsidRPr="00302B4B">
        <w:t xml:space="preserve"> data tends to be skewed, where large </w:t>
      </w:r>
      <w:proofErr w:type="spellStart"/>
      <w:r w:rsidRPr="00302B4B">
        <w:t>mTSS</w:t>
      </w:r>
      <w:proofErr w:type="spellEnd"/>
      <w:r w:rsidRPr="00302B4B">
        <w:t xml:space="preserve"> changes in a</w:t>
      </w:r>
      <w:r>
        <w:t xml:space="preserve"> </w:t>
      </w:r>
      <w:r w:rsidRPr="00302B4B">
        <w:t>small number of patients can have a substantial impact on the mean. Thus comparing the median</w:t>
      </w:r>
      <w:r>
        <w:t xml:space="preserve"> </w:t>
      </w:r>
      <w:r w:rsidRPr="00302B4B">
        <w:t>changes instead of the mean changes is a more appropriate approach. With this approach,</w:t>
      </w:r>
      <w:r>
        <w:t xml:space="preserve"> </w:t>
      </w:r>
      <w:r w:rsidRPr="00302B4B">
        <w:t>looking at all time</w:t>
      </w:r>
      <w:r w:rsidR="00B940F8">
        <w:t>-</w:t>
      </w:r>
      <w:r w:rsidRPr="00302B4B">
        <w:t>points in both Studies C87028 and C87051, the median change from Baseline</w:t>
      </w:r>
      <w:r>
        <w:t xml:space="preserve"> </w:t>
      </w:r>
      <w:r w:rsidRPr="00302B4B">
        <w:t>for CZP subjects is 0.</w:t>
      </w:r>
    </w:p>
    <w:p w:rsidR="008E7846" w:rsidRDefault="008E7846" w:rsidP="00CB6B67">
      <w:pPr>
        <w:pStyle w:val="Heading4"/>
      </w:pPr>
      <w:r>
        <w:t xml:space="preserve">Advisory </w:t>
      </w:r>
      <w:r w:rsidR="001451B9" w:rsidRPr="00CB6B67">
        <w:t>c</w:t>
      </w:r>
      <w:r w:rsidRPr="00CB6B67">
        <w:t>ommittee</w:t>
      </w:r>
      <w:r>
        <w:t xml:space="preserve"> </w:t>
      </w:r>
      <w:r w:rsidR="001451B9">
        <w:t>c</w:t>
      </w:r>
      <w:r>
        <w:t>onsiderations</w:t>
      </w:r>
    </w:p>
    <w:p w:rsidR="002060AA" w:rsidRPr="002060AA" w:rsidRDefault="002060AA" w:rsidP="00CB6B67">
      <w:r>
        <w:t xml:space="preserve">This submission seeks to register an extension of indications for </w:t>
      </w:r>
      <w:proofErr w:type="spellStart"/>
      <w:r>
        <w:t>certolizumab</w:t>
      </w:r>
      <w:proofErr w:type="spellEnd"/>
      <w:r>
        <w:t xml:space="preserve"> </w:t>
      </w:r>
      <w:proofErr w:type="spellStart"/>
      <w:r>
        <w:t>pegol</w:t>
      </w:r>
      <w:proofErr w:type="spellEnd"/>
      <w:r>
        <w:t xml:space="preserve"> (</w:t>
      </w:r>
      <w:proofErr w:type="spellStart"/>
      <w:proofErr w:type="gramStart"/>
      <w:r>
        <w:t>rbe</w:t>
      </w:r>
      <w:proofErr w:type="spellEnd"/>
      <w:proofErr w:type="gramEnd"/>
      <w:r>
        <w:t>)</w:t>
      </w:r>
      <w:r w:rsidR="008E5702">
        <w:t>.</w:t>
      </w:r>
    </w:p>
    <w:p w:rsidR="00752AA9" w:rsidRPr="00752AA9" w:rsidRDefault="00752AA9" w:rsidP="00CB6B67">
      <w:r w:rsidRPr="00752AA9">
        <w:t>The ACPM, taking into account the submitted evidence of efficacy, safet</w:t>
      </w:r>
      <w:r w:rsidR="002060AA">
        <w:t>y and quality, agreed with the D</w:t>
      </w:r>
      <w:r w:rsidRPr="00752AA9">
        <w:t xml:space="preserve">elegate and considered </w:t>
      </w:r>
      <w:proofErr w:type="spellStart"/>
      <w:r w:rsidRPr="00752AA9">
        <w:t>C</w:t>
      </w:r>
      <w:r w:rsidR="00B940F8" w:rsidRPr="00752AA9">
        <w:t>imzia</w:t>
      </w:r>
      <w:proofErr w:type="spellEnd"/>
      <w:r w:rsidRPr="00752AA9">
        <w:t xml:space="preserve"> solution for inj</w:t>
      </w:r>
      <w:r w:rsidR="008E5702">
        <w:t>ection containing 200 mg/mL of c</w:t>
      </w:r>
      <w:r w:rsidRPr="00752AA9">
        <w:t>ertolizumab pegol to have an overall positive benefit–</w:t>
      </w:r>
      <w:r w:rsidR="00E60025">
        <w:t>risk profile for the indication:</w:t>
      </w:r>
    </w:p>
    <w:p w:rsidR="00752AA9" w:rsidRPr="00CB6B67" w:rsidRDefault="002060AA" w:rsidP="00CB6B67">
      <w:pPr>
        <w:pStyle w:val="ListBullet"/>
        <w:numPr>
          <w:ilvl w:val="0"/>
          <w:numId w:val="0"/>
        </w:numPr>
        <w:ind w:left="360"/>
        <w:rPr>
          <w:i/>
        </w:rPr>
      </w:pPr>
      <w:r w:rsidRPr="00CB6B67">
        <w:rPr>
          <w:i/>
        </w:rPr>
        <w:t>Rheumatoid arthritis:</w:t>
      </w:r>
    </w:p>
    <w:p w:rsidR="00752AA9" w:rsidRPr="00CB6B67" w:rsidRDefault="000803CA" w:rsidP="00CB6B67">
      <w:pPr>
        <w:pStyle w:val="ListBullet2"/>
        <w:numPr>
          <w:ilvl w:val="0"/>
          <w:numId w:val="0"/>
        </w:numPr>
        <w:ind w:left="720"/>
        <w:rPr>
          <w:i/>
        </w:rPr>
      </w:pPr>
      <w:proofErr w:type="spellStart"/>
      <w:r w:rsidRPr="00CB6B67">
        <w:rPr>
          <w:i/>
        </w:rPr>
        <w:t>Cimzia</w:t>
      </w:r>
      <w:proofErr w:type="spellEnd"/>
      <w:r w:rsidRPr="00CB6B67">
        <w:rPr>
          <w:i/>
        </w:rPr>
        <w:t xml:space="preserve"> </w:t>
      </w:r>
      <w:r w:rsidR="00752AA9" w:rsidRPr="00CB6B67">
        <w:rPr>
          <w:i/>
        </w:rPr>
        <w:t>has been shown to reduce the rate of progression of joint damage as measured by X-ray, whe</w:t>
      </w:r>
      <w:r w:rsidR="00AA4124" w:rsidRPr="00CB6B67">
        <w:rPr>
          <w:i/>
        </w:rPr>
        <w:t>n given in combination with MTX.</w:t>
      </w:r>
    </w:p>
    <w:p w:rsidR="00752AA9" w:rsidRPr="002060AA" w:rsidRDefault="00752AA9" w:rsidP="00CB6B67">
      <w:r w:rsidRPr="002060AA">
        <w:lastRenderedPageBreak/>
        <w:t>In making this recommendation</w:t>
      </w:r>
      <w:r w:rsidR="00CA4AA9" w:rsidRPr="002060AA">
        <w:t>,</w:t>
      </w:r>
      <w:r w:rsidRPr="002060AA">
        <w:t xml:space="preserve"> the ACPM took into account the current clinical approach which is expected to contribute to the low numbers of patients with a 5 point </w:t>
      </w:r>
      <w:r w:rsidR="002060AA" w:rsidRPr="002060AA">
        <w:t>difference;</w:t>
      </w:r>
      <w:r w:rsidRPr="002060AA">
        <w:t xml:space="preserve"> it is considered likely that the current studies have demonstrated that there is a reduction in radiographic progression and ther</w:t>
      </w:r>
      <w:r w:rsidR="002060AA">
        <w:t>efore is clinically meaningful.</w:t>
      </w:r>
    </w:p>
    <w:p w:rsidR="00752AA9" w:rsidRPr="0005192E" w:rsidRDefault="00752AA9" w:rsidP="00CB6B67">
      <w:pPr>
        <w:pStyle w:val="Heading5"/>
      </w:pPr>
      <w:r w:rsidRPr="0005192E">
        <w:t>Prop</w:t>
      </w:r>
      <w:r w:rsidR="00C04FE6">
        <w:t xml:space="preserve">osed conditions of </w:t>
      </w:r>
      <w:r w:rsidR="00C04FE6" w:rsidRPr="00CB6B67">
        <w:t>registration</w:t>
      </w:r>
    </w:p>
    <w:p w:rsidR="00752AA9" w:rsidRPr="00752AA9" w:rsidRDefault="00752AA9" w:rsidP="00CB6B67">
      <w:r w:rsidRPr="00752AA9">
        <w:t>The ACPM advised on the inclusion of the following propo</w:t>
      </w:r>
      <w:r w:rsidR="00C04FE6">
        <w:t>sed conditions of registration:</w:t>
      </w:r>
    </w:p>
    <w:p w:rsidR="00752AA9" w:rsidRPr="00C04FE6" w:rsidRDefault="00752AA9" w:rsidP="00CB6B67">
      <w:pPr>
        <w:pStyle w:val="ListBullet"/>
      </w:pPr>
      <w:r w:rsidRPr="00C04FE6">
        <w:t xml:space="preserve">Subject to satisfactory implementation of the Risk Management Plan most recently </w:t>
      </w:r>
      <w:r w:rsidRPr="00CB6B67">
        <w:t>negotiated</w:t>
      </w:r>
      <w:r w:rsidRPr="00C04FE6">
        <w:t xml:space="preserve"> b</w:t>
      </w:r>
      <w:r w:rsidR="00C04FE6" w:rsidRPr="00C04FE6">
        <w:t>y the TGA</w:t>
      </w:r>
      <w:r w:rsidR="00AA4124">
        <w:t>.</w:t>
      </w:r>
    </w:p>
    <w:p w:rsidR="00752AA9" w:rsidRPr="00C04FE6" w:rsidRDefault="00752AA9" w:rsidP="00CB6B67">
      <w:pPr>
        <w:pStyle w:val="ListBullet"/>
      </w:pPr>
      <w:r w:rsidRPr="00C04FE6">
        <w:t xml:space="preserve">Negotiation of Product Information and Consumer Medicine Information </w:t>
      </w:r>
      <w:r w:rsidR="00C04FE6" w:rsidRPr="00C04FE6">
        <w:t>to the satisfaction of the TGA.</w:t>
      </w:r>
    </w:p>
    <w:p w:rsidR="00752AA9" w:rsidRPr="0005192E" w:rsidRDefault="00752AA9" w:rsidP="00CB6B67">
      <w:pPr>
        <w:pStyle w:val="Heading5"/>
      </w:pPr>
      <w:r w:rsidRPr="0005192E">
        <w:t xml:space="preserve">Proposed </w:t>
      </w:r>
      <w:r w:rsidRPr="00CB6B67">
        <w:t>Product</w:t>
      </w:r>
      <w:r w:rsidRPr="0005192E">
        <w:t xml:space="preserve"> Information (PI)/Consumer Medici</w:t>
      </w:r>
      <w:r w:rsidR="00C04FE6">
        <w:t>ne Information (CMI) amendments</w:t>
      </w:r>
    </w:p>
    <w:p w:rsidR="00752AA9" w:rsidRPr="00752AA9" w:rsidRDefault="00752AA9" w:rsidP="00CB6B67">
      <w:r w:rsidRPr="00752AA9">
        <w:t xml:space="preserve">The ACPM agreed with the delegate to the proposed amendments to the Product Information (PI) and Consumer Medicine Information (CMI) and specifically advised on </w:t>
      </w:r>
      <w:r w:rsidR="00C04FE6">
        <w:t>the inclusion of the following:</w:t>
      </w:r>
    </w:p>
    <w:p w:rsidR="00752AA9" w:rsidRPr="00C04FE6" w:rsidRDefault="00752AA9" w:rsidP="00CB6B67">
      <w:pPr>
        <w:pStyle w:val="ListBullet"/>
      </w:pPr>
      <w:r w:rsidRPr="00C04FE6">
        <w:t xml:space="preserve">A statement in the </w:t>
      </w:r>
      <w:r w:rsidR="00CA4AA9" w:rsidRPr="00C04FE6">
        <w:t>Dosage and Administration</w:t>
      </w:r>
      <w:r w:rsidRPr="00C04FE6">
        <w:t xml:space="preserve"> section of the PI and relevant sections of the CMI with </w:t>
      </w:r>
      <w:r w:rsidRPr="00CB6B67">
        <w:t>regard</w:t>
      </w:r>
      <w:r w:rsidRPr="00C04FE6">
        <w:t xml:space="preserve"> to Renal Impairment should contain clearer guidance for use in </w:t>
      </w:r>
      <w:r w:rsidR="00C04FE6" w:rsidRPr="00C04FE6">
        <w:t>patients with renal impairment.</w:t>
      </w:r>
    </w:p>
    <w:p w:rsidR="00752AA9" w:rsidRPr="00C04FE6" w:rsidRDefault="00752AA9" w:rsidP="00CB6B67">
      <w:pPr>
        <w:pStyle w:val="ListBullet"/>
      </w:pPr>
      <w:r w:rsidRPr="00C04FE6">
        <w:t xml:space="preserve">A statement in the </w:t>
      </w:r>
      <w:r w:rsidR="00CA4AA9" w:rsidRPr="00C04FE6">
        <w:t>Clinical Trials</w:t>
      </w:r>
      <w:r w:rsidRPr="00C04FE6">
        <w:t xml:space="preserve"> section of the PI on the levels of withdrawals from the tr</w:t>
      </w:r>
      <w:r w:rsidR="00C04FE6" w:rsidRPr="00C04FE6">
        <w:t xml:space="preserve">ials and the </w:t>
      </w:r>
      <w:r w:rsidR="00C04FE6" w:rsidRPr="00CB6B67">
        <w:t>reasons</w:t>
      </w:r>
      <w:r w:rsidR="00C04FE6" w:rsidRPr="00C04FE6">
        <w:t xml:space="preserve"> for these.</w:t>
      </w:r>
    </w:p>
    <w:p w:rsidR="00752AA9" w:rsidRPr="00C04FE6" w:rsidRDefault="00752AA9" w:rsidP="00CB6B67">
      <w:pPr>
        <w:pStyle w:val="ListBullet"/>
      </w:pPr>
      <w:r w:rsidRPr="00C04FE6">
        <w:t xml:space="preserve">Table 4 of the PI </w:t>
      </w:r>
      <w:r w:rsidR="00354BAD" w:rsidRPr="00C04FE6">
        <w:t>‘</w:t>
      </w:r>
      <w:r w:rsidRPr="00C04FE6">
        <w:t>Radiographic Changes at 6 and 12 months in study RA-1</w:t>
      </w:r>
      <w:r w:rsidR="00354BAD" w:rsidRPr="00C04FE6">
        <w:t>’</w:t>
      </w:r>
      <w:r w:rsidRPr="00C04FE6">
        <w:t xml:space="preserve"> should be amended to include both studies RA1 and RA2</w:t>
      </w:r>
      <w:r w:rsidR="00CA4AA9" w:rsidRPr="00C04FE6">
        <w:t>,</w:t>
      </w:r>
      <w:r w:rsidRPr="00C04FE6">
        <w:t xml:space="preserve"> as this wou</w:t>
      </w:r>
      <w:r w:rsidR="00C04FE6" w:rsidRPr="00C04FE6">
        <w:t>ld be helpful to the clinician.</w:t>
      </w:r>
    </w:p>
    <w:p w:rsidR="00752AA9" w:rsidRPr="0005192E" w:rsidRDefault="00C04FE6" w:rsidP="00CB6B67">
      <w:pPr>
        <w:pStyle w:val="Heading5"/>
      </w:pPr>
      <w:r>
        <w:t xml:space="preserve">Specific </w:t>
      </w:r>
      <w:r w:rsidR="00CB6B67" w:rsidRPr="00CB6B67">
        <w:t>a</w:t>
      </w:r>
      <w:r w:rsidRPr="00CB6B67">
        <w:t>dvice</w:t>
      </w:r>
    </w:p>
    <w:p w:rsidR="00752AA9" w:rsidRPr="00752AA9" w:rsidRDefault="00752AA9" w:rsidP="00CB6B67">
      <w:r w:rsidRPr="00752AA9">
        <w:t>The ACPM advised th</w:t>
      </w:r>
      <w:r w:rsidR="00C04FE6">
        <w:t>e following in response to the D</w:t>
      </w:r>
      <w:r w:rsidRPr="00752AA9">
        <w:t>elegate’s specifi</w:t>
      </w:r>
      <w:r w:rsidR="00C04FE6">
        <w:t>c questions on this submission:</w:t>
      </w:r>
    </w:p>
    <w:p w:rsidR="0005192E" w:rsidRPr="00CB6B67" w:rsidRDefault="00752AA9" w:rsidP="00CB6B67">
      <w:pPr>
        <w:pStyle w:val="Numberbullet0"/>
        <w:numPr>
          <w:ilvl w:val="0"/>
          <w:numId w:val="29"/>
        </w:numPr>
        <w:rPr>
          <w:i/>
        </w:rPr>
      </w:pPr>
      <w:r w:rsidRPr="00CB6B67">
        <w:rPr>
          <w:i/>
        </w:rPr>
        <w:t>The sufficiency of the data to support the claim of a reduction in the rate of progressi</w:t>
      </w:r>
      <w:r w:rsidR="00C04FE6" w:rsidRPr="00CB6B67">
        <w:rPr>
          <w:i/>
        </w:rPr>
        <w:t>on of joint damage, given that:</w:t>
      </w:r>
    </w:p>
    <w:p w:rsidR="00752AA9" w:rsidRPr="00CB6B67" w:rsidRDefault="00752AA9" w:rsidP="00CB6B67">
      <w:pPr>
        <w:pStyle w:val="Numberbullet2"/>
        <w:rPr>
          <w:i/>
        </w:rPr>
      </w:pPr>
      <w:r w:rsidRPr="00CB6B67">
        <w:rPr>
          <w:i/>
        </w:rPr>
        <w:t xml:space="preserve">Placebo data were extrapolated from a small number of patients who had completed 52 weeks </w:t>
      </w:r>
      <w:r w:rsidR="00C04FE6" w:rsidRPr="00CB6B67">
        <w:rPr>
          <w:i/>
        </w:rPr>
        <w:t>of placebo treatment in C87027.</w:t>
      </w:r>
    </w:p>
    <w:p w:rsidR="00752AA9" w:rsidRPr="00752AA9" w:rsidRDefault="00752AA9" w:rsidP="00CB6B67">
      <w:r w:rsidRPr="00752AA9">
        <w:t xml:space="preserve">The </w:t>
      </w:r>
      <w:r w:rsidR="00CA4AA9">
        <w:t>ACPM</w:t>
      </w:r>
      <w:r w:rsidRPr="00752AA9">
        <w:t xml:space="preserve"> advised that while placebo data were extrapolated from a small number of patients who had completed 52 weeks of placebo treatment</w:t>
      </w:r>
      <w:r w:rsidR="00C04FE6">
        <w:t>,</w:t>
      </w:r>
      <w:r w:rsidRPr="00752AA9">
        <w:t xml:space="preserve"> placebo controlled studies beyond 52 weeks are difficult to perform in the modern rheumatoid trial setting. There are ethical considerations to not treating patients when known treatments are available. In addition, research suggests that the earlier the intervention the better the outcome, irres</w:t>
      </w:r>
      <w:r w:rsidR="00C04FE6">
        <w:t>pective of continued treatment.</w:t>
      </w:r>
    </w:p>
    <w:p w:rsidR="00752AA9" w:rsidRPr="00752AA9" w:rsidRDefault="00752AA9" w:rsidP="00CB6B67">
      <w:r w:rsidRPr="00752AA9">
        <w:t>The design of the study was such that patients on placebo would</w:t>
      </w:r>
      <w:r w:rsidR="00C04FE6">
        <w:t xml:space="preserve"> only remain on the study for 6 to </w:t>
      </w:r>
      <w:r w:rsidRPr="00752AA9">
        <w:t xml:space="preserve">12 months if it was perceived they were deriving benefit. This would have progressively skewed the </w:t>
      </w:r>
      <w:r w:rsidR="000F06F8">
        <w:t>placebo</w:t>
      </w:r>
      <w:r w:rsidRPr="00752AA9">
        <w:t xml:space="preserve"> group to those with less aggressive disease. This artefact would tend to favour the </w:t>
      </w:r>
      <w:r w:rsidR="000F06F8">
        <w:t>placebo</w:t>
      </w:r>
      <w:r w:rsidRPr="00752AA9">
        <w:t xml:space="preserve"> intervention. The small numbers would make the results less robust. In summary the committee agreed that use of the extrapolated data was acceptable given the limitations in the </w:t>
      </w:r>
      <w:r w:rsidR="000F06F8">
        <w:t>current clinical trial setting.</w:t>
      </w:r>
    </w:p>
    <w:p w:rsidR="00752AA9" w:rsidRPr="00CB6B67" w:rsidRDefault="00752AA9" w:rsidP="00CB6B67">
      <w:pPr>
        <w:pStyle w:val="Numberbullet2"/>
        <w:rPr>
          <w:i/>
        </w:rPr>
      </w:pPr>
      <w:r w:rsidRPr="00CB6B67">
        <w:rPr>
          <w:i/>
        </w:rPr>
        <w:t xml:space="preserve">There </w:t>
      </w:r>
      <w:proofErr w:type="gramStart"/>
      <w:r w:rsidRPr="00CB6B67">
        <w:rPr>
          <w:i/>
        </w:rPr>
        <w:t>was</w:t>
      </w:r>
      <w:proofErr w:type="gramEnd"/>
      <w:r w:rsidRPr="00CB6B67">
        <w:rPr>
          <w:i/>
        </w:rPr>
        <w:t xml:space="preserve"> a large percentage of withdrawals from both pivotal extension st</w:t>
      </w:r>
      <w:r w:rsidR="000F06F8" w:rsidRPr="00CB6B67">
        <w:rPr>
          <w:i/>
        </w:rPr>
        <w:t>udies.</w:t>
      </w:r>
    </w:p>
    <w:p w:rsidR="00752AA9" w:rsidRDefault="00752AA9" w:rsidP="00CB6B67">
      <w:r w:rsidRPr="00752AA9">
        <w:t xml:space="preserve">The ACPM advised that while a high rate of withdrawals was reported this would not be unexpected. There </w:t>
      </w:r>
      <w:proofErr w:type="gramStart"/>
      <w:r w:rsidRPr="00752AA9">
        <w:t>were</w:t>
      </w:r>
      <w:proofErr w:type="gramEnd"/>
      <w:r w:rsidRPr="00752AA9">
        <w:t xml:space="preserve"> also protocol deviations related to lack of </w:t>
      </w:r>
      <w:r w:rsidR="000F06F8">
        <w:t>chest X-</w:t>
      </w:r>
      <w:r w:rsidR="000F06F8" w:rsidRPr="001819B0">
        <w:t>ray (</w:t>
      </w:r>
      <w:r w:rsidRPr="001819B0">
        <w:t>CXR</w:t>
      </w:r>
      <w:r w:rsidR="000F06F8" w:rsidRPr="001819B0">
        <w:t>)</w:t>
      </w:r>
      <w:r w:rsidRPr="001819B0">
        <w:t xml:space="preserve"> </w:t>
      </w:r>
      <w:r w:rsidRPr="00752AA9">
        <w:t>(17%).</w:t>
      </w:r>
    </w:p>
    <w:p w:rsidR="0005192E" w:rsidRPr="0005192E" w:rsidRDefault="0005192E" w:rsidP="00CB6B67">
      <w:r w:rsidRPr="0005192E">
        <w:lastRenderedPageBreak/>
        <w:t>Withdrawals might skew the results to being more favourable, but it appears that patients mainly withdrew not because of lack of efficacy but rather for other reasons. The information regarding this should be included in the PI where its totality should be available to prescribers</w:t>
      </w:r>
      <w:r w:rsidR="00AD2BDE">
        <w:t xml:space="preserve"> rather than in the indication.</w:t>
      </w:r>
    </w:p>
    <w:p w:rsidR="0005192E" w:rsidRPr="00CB6B67" w:rsidRDefault="0005192E" w:rsidP="00CB6B67">
      <w:pPr>
        <w:pStyle w:val="Numberbullet2"/>
        <w:rPr>
          <w:i/>
        </w:rPr>
      </w:pPr>
      <w:r w:rsidRPr="00CB6B67">
        <w:rPr>
          <w:i/>
        </w:rPr>
        <w:t xml:space="preserve">Data from patients in C87050/51 were not subject to the same interim analyses as C87027/28 in support </w:t>
      </w:r>
      <w:r w:rsidR="00AD2BDE" w:rsidRPr="00CB6B67">
        <w:rPr>
          <w:i/>
        </w:rPr>
        <w:t>of the proposed new indication.</w:t>
      </w:r>
    </w:p>
    <w:p w:rsidR="0005192E" w:rsidRPr="0005192E" w:rsidRDefault="0005192E" w:rsidP="00CB6B67">
      <w:r w:rsidRPr="0005192E">
        <w:t xml:space="preserve">The ACPM advised that to perform the same analysis on </w:t>
      </w:r>
      <w:r w:rsidR="009A648A">
        <w:t>Study</w:t>
      </w:r>
      <w:r w:rsidRPr="0005192E">
        <w:t xml:space="preserve"> C87050/51 would probably not have influenced the results and is not an issue of concern. This difference was due to differences in the duration of the studies and the results at 12 months would be more meaningful than the interim 6 month d</w:t>
      </w:r>
      <w:r w:rsidR="00AD2BDE">
        <w:t>ata (if it had been performed).</w:t>
      </w:r>
    </w:p>
    <w:p w:rsidR="0005192E" w:rsidRPr="00CB6B67" w:rsidRDefault="0005192E" w:rsidP="00CB6B67">
      <w:pPr>
        <w:pStyle w:val="Numberbullet0"/>
        <w:rPr>
          <w:i/>
        </w:rPr>
      </w:pPr>
      <w:r w:rsidRPr="00CB6B67">
        <w:rPr>
          <w:i/>
        </w:rPr>
        <w:t xml:space="preserve">Are the results considered clinically meaningful even though a change of 5.0 points in the </w:t>
      </w:r>
      <w:proofErr w:type="spellStart"/>
      <w:r w:rsidRPr="00CB6B67">
        <w:rPr>
          <w:i/>
        </w:rPr>
        <w:t>mTSS</w:t>
      </w:r>
      <w:proofErr w:type="spellEnd"/>
      <w:r w:rsidRPr="00CB6B67">
        <w:rPr>
          <w:i/>
        </w:rPr>
        <w:t xml:space="preserve"> is considered the smallest detectable and minimum c</w:t>
      </w:r>
      <w:r w:rsidR="00AD2BDE" w:rsidRPr="00CB6B67">
        <w:rPr>
          <w:i/>
        </w:rPr>
        <w:t>linically important difference?</w:t>
      </w:r>
    </w:p>
    <w:p w:rsidR="0005192E" w:rsidRPr="0005192E" w:rsidRDefault="0005192E" w:rsidP="00CB6B67">
      <w:r w:rsidRPr="0005192E">
        <w:t xml:space="preserve">The ACPM noted the </w:t>
      </w:r>
      <w:r w:rsidR="001E3507">
        <w:t xml:space="preserve">(sponsor’s) </w:t>
      </w:r>
      <w:r w:rsidRPr="0005192E">
        <w:t xml:space="preserve">pre-ACPM response acknowledged there are only a few patients who demonstrated an increase of 5+ points. However, it is likely that the current studies have demonstrated that there is a reduction in radiographic progression in those treated with </w:t>
      </w:r>
      <w:proofErr w:type="spellStart"/>
      <w:r w:rsidRPr="0005192E">
        <w:t>C</w:t>
      </w:r>
      <w:r w:rsidR="00AD2BDE" w:rsidRPr="0005192E">
        <w:t>imzia</w:t>
      </w:r>
      <w:proofErr w:type="spellEnd"/>
      <w:r w:rsidRPr="0005192E">
        <w:t xml:space="preserve">. The current standard treatment strategy (‘treat to target’) means the majority of patients should have little radiographic progression. The ACPM noted that in this treatment climate </w:t>
      </w:r>
      <w:r w:rsidR="00824514">
        <w:t>X-ray</w:t>
      </w:r>
      <w:r w:rsidRPr="0005192E">
        <w:t xml:space="preserve"> data do not have sufficient refinement and that MRI data are being explored as a possible altern</w:t>
      </w:r>
      <w:r w:rsidR="00AD2BDE">
        <w:t>ative with more discrimination.</w:t>
      </w:r>
    </w:p>
    <w:p w:rsidR="0005192E" w:rsidRPr="0005192E" w:rsidRDefault="0005192E" w:rsidP="00CA4AA9">
      <w:r w:rsidRPr="0005192E">
        <w:t>The ACPM advised that implementation by the sponsor of the recommendations outlined above to the satisfaction of the TGA, in addition to the evidence of efficacy and safety provided would support the safe and</w:t>
      </w:r>
      <w:r w:rsidR="00AD2BDE">
        <w:t xml:space="preserve"> effective use of this product.</w:t>
      </w:r>
    </w:p>
    <w:p w:rsidR="0005192E" w:rsidRPr="00CB6B67" w:rsidRDefault="0005192E" w:rsidP="00CB6B67">
      <w:pPr>
        <w:pStyle w:val="Numberbullet2"/>
        <w:rPr>
          <w:i/>
        </w:rPr>
      </w:pPr>
      <w:r w:rsidRPr="00CB6B67">
        <w:rPr>
          <w:i/>
        </w:rPr>
        <w:t xml:space="preserve">Data from patients in C87050/51 were not subject to the same interim analyses as C87027/28 in support </w:t>
      </w:r>
      <w:r w:rsidR="00AD2BDE" w:rsidRPr="00CB6B67">
        <w:rPr>
          <w:i/>
        </w:rPr>
        <w:t>of the proposed new indication.</w:t>
      </w:r>
    </w:p>
    <w:p w:rsidR="0005192E" w:rsidRPr="0005192E" w:rsidRDefault="0005192E" w:rsidP="00CB6B67">
      <w:r w:rsidRPr="0005192E">
        <w:t xml:space="preserve">The ACPM advised that to perform the same analysis on </w:t>
      </w:r>
      <w:r w:rsidR="009A648A">
        <w:t>Study</w:t>
      </w:r>
      <w:r w:rsidRPr="0005192E">
        <w:t xml:space="preserve"> C87050/51 would probably not have influenced the results and is not an issue of concern. This difference was due to differences in the duration of the studies and the results at 12 months would be more meaningful than the interim 6 month data (if it h</w:t>
      </w:r>
      <w:r w:rsidR="00AD2BDE">
        <w:t>ad been performed).</w:t>
      </w:r>
    </w:p>
    <w:p w:rsidR="0005192E" w:rsidRPr="00CB6B67" w:rsidRDefault="0005192E" w:rsidP="00CB6B67">
      <w:pPr>
        <w:pStyle w:val="Numberbullet0"/>
        <w:rPr>
          <w:i/>
        </w:rPr>
      </w:pPr>
      <w:r w:rsidRPr="00CB6B67">
        <w:rPr>
          <w:i/>
        </w:rPr>
        <w:t xml:space="preserve">Are the results considered clinically meaningful even though a change of 5.0 points in the </w:t>
      </w:r>
      <w:proofErr w:type="spellStart"/>
      <w:r w:rsidRPr="00CB6B67">
        <w:rPr>
          <w:i/>
        </w:rPr>
        <w:t>mTSS</w:t>
      </w:r>
      <w:proofErr w:type="spellEnd"/>
      <w:r w:rsidRPr="00CB6B67">
        <w:rPr>
          <w:i/>
        </w:rPr>
        <w:t xml:space="preserve"> is considered the smallest detectable and minimum c</w:t>
      </w:r>
      <w:r w:rsidR="00AD2BDE" w:rsidRPr="00CB6B67">
        <w:rPr>
          <w:i/>
        </w:rPr>
        <w:t>linically important difference?</w:t>
      </w:r>
    </w:p>
    <w:p w:rsidR="0005192E" w:rsidRPr="0005192E" w:rsidRDefault="0005192E" w:rsidP="00CB6B67">
      <w:r w:rsidRPr="0005192E">
        <w:t xml:space="preserve">The ACPM noted the </w:t>
      </w:r>
      <w:r w:rsidR="00AD2BDE">
        <w:t>sponsor’s</w:t>
      </w:r>
      <w:r w:rsidRPr="0005192E">
        <w:t xml:space="preserve"> response acknowledged there are only a few patients who demonstrated an increase of 5</w:t>
      </w:r>
      <w:r w:rsidR="00AD2BDE">
        <w:t xml:space="preserve"> </w:t>
      </w:r>
      <w:r w:rsidRPr="0005192E">
        <w:t xml:space="preserve">+ points. However, it is likely that the current studies have demonstrated that there is a reduction in radiographic progression in those treated with </w:t>
      </w:r>
      <w:proofErr w:type="spellStart"/>
      <w:r w:rsidRPr="0005192E">
        <w:t>C</w:t>
      </w:r>
      <w:r w:rsidR="00AD2BDE" w:rsidRPr="0005192E">
        <w:t>imzia</w:t>
      </w:r>
      <w:proofErr w:type="spellEnd"/>
      <w:r w:rsidRPr="0005192E">
        <w:t xml:space="preserve">. The current standard treatment strategy (‘treat to target’) means the majority of patients should have little radiographic progression. The ACPM noted that in this treatment climate </w:t>
      </w:r>
      <w:r w:rsidR="00824514">
        <w:t>X-ray</w:t>
      </w:r>
      <w:r w:rsidRPr="0005192E">
        <w:t xml:space="preserve"> data do not have sufficient refinement and that MRI data are being explored as a possible altern</w:t>
      </w:r>
      <w:r w:rsidR="00AA4124">
        <w:t>ative with more discrimination.</w:t>
      </w:r>
    </w:p>
    <w:p w:rsidR="0005192E" w:rsidRDefault="0005192E" w:rsidP="00CB6B67">
      <w:r w:rsidRPr="0005192E">
        <w:t>The ACPM advised that implementation by the sponsor of the recommendations outlined above to the satisfaction of the TGA, in addition to the evidence of efficacy and safety provided</w:t>
      </w:r>
      <w:r w:rsidR="00CA4AA9">
        <w:t>,</w:t>
      </w:r>
      <w:r w:rsidRPr="0005192E">
        <w:t xml:space="preserve"> would support the safe and effective use of this product.</w:t>
      </w:r>
    </w:p>
    <w:p w:rsidR="008E7846" w:rsidRPr="002E238E" w:rsidRDefault="008E7846" w:rsidP="00CB6B67">
      <w:pPr>
        <w:pStyle w:val="Heading3"/>
      </w:pPr>
      <w:bookmarkStart w:id="175" w:name="_Toc247691532"/>
      <w:bookmarkStart w:id="176" w:name="_Toc314842516"/>
      <w:bookmarkStart w:id="177" w:name="_Toc434223869"/>
      <w:bookmarkStart w:id="178" w:name="_Toc435781414"/>
      <w:bookmarkEnd w:id="93"/>
      <w:bookmarkEnd w:id="173"/>
      <w:bookmarkEnd w:id="174"/>
      <w:r w:rsidRPr="00CB6B67">
        <w:t>Outcome</w:t>
      </w:r>
      <w:bookmarkEnd w:id="175"/>
      <w:bookmarkEnd w:id="176"/>
      <w:bookmarkEnd w:id="177"/>
      <w:bookmarkEnd w:id="178"/>
    </w:p>
    <w:p w:rsidR="00D23139" w:rsidRPr="00D23139" w:rsidRDefault="00D23139" w:rsidP="00CB6B67">
      <w:bookmarkStart w:id="179" w:name="_Toc247691533"/>
      <w:bookmarkStart w:id="180" w:name="_Toc314842517"/>
      <w:r w:rsidRPr="00D23139">
        <w:t xml:space="preserve">Based on a review of quality, safety and efficacy, TGA approved the registration of </w:t>
      </w:r>
      <w:proofErr w:type="spellStart"/>
      <w:r w:rsidR="00CA4AA9" w:rsidRPr="002F0B5A">
        <w:t>Cimzia</w:t>
      </w:r>
      <w:proofErr w:type="spellEnd"/>
      <w:r w:rsidR="00CA4AA9" w:rsidRPr="002F0B5A">
        <w:t xml:space="preserve"> </w:t>
      </w:r>
      <w:proofErr w:type="spellStart"/>
      <w:r w:rsidR="002F0B5A" w:rsidRPr="002F0B5A">
        <w:t>certolizumab</w:t>
      </w:r>
      <w:proofErr w:type="spellEnd"/>
      <w:r w:rsidR="002F0B5A" w:rsidRPr="002F0B5A">
        <w:t xml:space="preserve"> </w:t>
      </w:r>
      <w:proofErr w:type="spellStart"/>
      <w:r w:rsidR="002F0B5A" w:rsidRPr="002F0B5A">
        <w:t>pegol</w:t>
      </w:r>
      <w:proofErr w:type="spellEnd"/>
      <w:r w:rsidR="002F0B5A" w:rsidRPr="002F0B5A">
        <w:t xml:space="preserve"> (</w:t>
      </w:r>
      <w:proofErr w:type="spellStart"/>
      <w:proofErr w:type="gramStart"/>
      <w:r w:rsidR="002F0B5A" w:rsidRPr="002F0B5A">
        <w:t>rbe</w:t>
      </w:r>
      <w:proofErr w:type="spellEnd"/>
      <w:proofErr w:type="gramEnd"/>
      <w:r w:rsidR="002F0B5A" w:rsidRPr="002F0B5A">
        <w:t>) 2</w:t>
      </w:r>
      <w:r w:rsidR="00B940F8">
        <w:t>00 mg/mL solution for injection</w:t>
      </w:r>
      <w:r w:rsidR="002F0B5A" w:rsidRPr="002F0B5A">
        <w:t xml:space="preserve"> pre-filled syringe</w:t>
      </w:r>
      <w:r w:rsidRPr="00D23139">
        <w:t>, indicated for:</w:t>
      </w:r>
    </w:p>
    <w:p w:rsidR="002F0B5A" w:rsidRPr="00CB6B67" w:rsidRDefault="002F0B5A" w:rsidP="00CB6B67">
      <w:pPr>
        <w:pStyle w:val="ListBullet"/>
        <w:numPr>
          <w:ilvl w:val="0"/>
          <w:numId w:val="0"/>
        </w:numPr>
        <w:ind w:left="360"/>
        <w:rPr>
          <w:i/>
        </w:rPr>
      </w:pPr>
      <w:proofErr w:type="spellStart"/>
      <w:r w:rsidRPr="00CB6B67">
        <w:rPr>
          <w:i/>
        </w:rPr>
        <w:lastRenderedPageBreak/>
        <w:t>Cimzia</w:t>
      </w:r>
      <w:proofErr w:type="spellEnd"/>
      <w:r w:rsidRPr="00CB6B67">
        <w:rPr>
          <w:i/>
        </w:rPr>
        <w:t xml:space="preserve"> has been shown to reduce the rate of progression of joint damage as measured by X-ray, when given in combination with MTX.</w:t>
      </w:r>
    </w:p>
    <w:p w:rsidR="000F3288" w:rsidRDefault="000F3288" w:rsidP="00CB6B67">
      <w:pPr>
        <w:pStyle w:val="Heading4"/>
      </w:pPr>
      <w:r>
        <w:t xml:space="preserve">Specific </w:t>
      </w:r>
      <w:r w:rsidRPr="00CB6B67">
        <w:t>conditions</w:t>
      </w:r>
      <w:r>
        <w:t xml:space="preserve"> of registration applying to these goods</w:t>
      </w:r>
    </w:p>
    <w:p w:rsidR="000F3288" w:rsidRPr="000F3288" w:rsidRDefault="000F3288" w:rsidP="00CB6B67">
      <w:r>
        <w:t xml:space="preserve">This approval does not impose any requirement for the submission of Periodic Safety Update </w:t>
      </w:r>
      <w:r w:rsidR="004E274D">
        <w:t>R</w:t>
      </w:r>
      <w:r>
        <w:t>eports</w:t>
      </w:r>
      <w:r w:rsidR="00D32066">
        <w:t xml:space="preserve"> (PSURs)</w:t>
      </w:r>
      <w:r>
        <w:t>. Note that it is a requirement that all existing requirements for the submission of PSURs as a consequence of the initial registration or subsequent changes must be completed.</w:t>
      </w:r>
    </w:p>
    <w:p w:rsidR="008E7846" w:rsidRDefault="00A80B5B" w:rsidP="00CB6B67">
      <w:pPr>
        <w:pStyle w:val="Heading2"/>
      </w:pPr>
      <w:bookmarkStart w:id="181" w:name="_Toc434223870"/>
      <w:bookmarkStart w:id="182" w:name="_Toc435781415"/>
      <w:proofErr w:type="gramStart"/>
      <w:r>
        <w:t>Attachment 1.</w:t>
      </w:r>
      <w:proofErr w:type="gramEnd"/>
      <w:r>
        <w:t xml:space="preserve"> </w:t>
      </w:r>
      <w:r w:rsidR="008E7846">
        <w:t xml:space="preserve">Product </w:t>
      </w:r>
      <w:r w:rsidR="00AA0ED0" w:rsidRPr="00CB6B67">
        <w:t>I</w:t>
      </w:r>
      <w:r w:rsidR="008E7846" w:rsidRPr="00CB6B67">
        <w:t>nformation</w:t>
      </w:r>
      <w:bookmarkEnd w:id="179"/>
      <w:bookmarkEnd w:id="180"/>
      <w:bookmarkEnd w:id="181"/>
      <w:bookmarkEnd w:id="182"/>
    </w:p>
    <w:p w:rsidR="00055C29" w:rsidRDefault="00055C29" w:rsidP="00CB6B67">
      <w:pPr>
        <w:rPr>
          <w:color w:val="000000"/>
          <w:lang w:eastAsia="en-AU"/>
        </w:rPr>
      </w:pPr>
      <w:r w:rsidRPr="002B3624">
        <w:t xml:space="preserve">The Product Information approved for </w:t>
      </w:r>
      <w:proofErr w:type="spellStart"/>
      <w:r>
        <w:t>Cimzia</w:t>
      </w:r>
      <w:proofErr w:type="spellEnd"/>
      <w:r w:rsidRPr="002B3624">
        <w:t xml:space="preserve"> at the time this AusPAR was published is at Attachment 1. For the most recent Product Information please refer to the TGA website at &lt;</w:t>
      </w:r>
      <w:hyperlink r:id="rId22" w:history="1">
        <w:r>
          <w:rPr>
            <w:rStyle w:val="Hyperlink"/>
          </w:rPr>
          <w:t>https://www.tga.gov.au/product-information-pi</w:t>
        </w:r>
      </w:hyperlink>
      <w:r w:rsidRPr="002B3624">
        <w:t xml:space="preserve">&gt;. </w:t>
      </w:r>
    </w:p>
    <w:p w:rsidR="00C80137" w:rsidRDefault="00C80137" w:rsidP="00CB6B67">
      <w:pPr>
        <w:pStyle w:val="Heading2"/>
        <w:rPr>
          <w:lang w:eastAsia="en-AU"/>
        </w:rPr>
      </w:pPr>
      <w:bookmarkStart w:id="183" w:name="_Toc434223871"/>
      <w:bookmarkStart w:id="184" w:name="_Toc435781416"/>
      <w:proofErr w:type="gramStart"/>
      <w:r>
        <w:rPr>
          <w:lang w:eastAsia="en-AU"/>
        </w:rPr>
        <w:t>Attachment 2.</w:t>
      </w:r>
      <w:proofErr w:type="gramEnd"/>
      <w:r w:rsidR="00A80B5B">
        <w:rPr>
          <w:lang w:eastAsia="en-AU"/>
        </w:rPr>
        <w:t xml:space="preserve"> </w:t>
      </w:r>
      <w:r>
        <w:rPr>
          <w:lang w:eastAsia="en-AU"/>
        </w:rPr>
        <w:t>Extract from the Clinical Evaluation Report</w:t>
      </w:r>
      <w:bookmarkEnd w:id="183"/>
      <w:bookmarkEnd w:id="184"/>
    </w:p>
    <w:p w:rsidR="00C80137" w:rsidRPr="001D043B" w:rsidRDefault="00C80137" w:rsidP="003A7F6C">
      <w:pPr>
        <w:pStyle w:val="TableTitle"/>
        <w:sectPr w:rsidR="00C80137" w:rsidRPr="001D043B" w:rsidSect="00B452CE">
          <w:headerReference w:type="even" r:id="rId23"/>
          <w:headerReference w:type="default" r:id="rId24"/>
          <w:headerReference w:type="first" r:id="rId25"/>
          <w:footerReference w:type="first" r:id="rId2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7" w:history="1">
              <w:r w:rsidRPr="004C239D">
                <w:rPr>
                  <w:rStyle w:val="Hyperlink"/>
                </w:rPr>
                <w:t>info@tga.gov.au</w:t>
              </w:r>
            </w:hyperlink>
            <w:r w:rsidRPr="00487162">
              <w:t xml:space="preserve">  Phone: 1800 020 653  Fax: 02 6232 8605</w:t>
            </w:r>
          </w:p>
          <w:p w:rsidR="001C32CD" w:rsidRPr="004C239D" w:rsidRDefault="001E0663" w:rsidP="00A05FA4">
            <w:pPr>
              <w:pStyle w:val="Address"/>
              <w:spacing w:line="260" w:lineRule="atLeast"/>
              <w:rPr>
                <w:b/>
                <w:color w:val="0000FF"/>
                <w:u w:val="single"/>
              </w:rPr>
            </w:pPr>
            <w:hyperlink r:id="rId28" w:history="1">
              <w:r w:rsidR="004F47D6">
                <w:rPr>
                  <w:rStyle w:val="Hyperlink"/>
                  <w:b/>
                </w:rPr>
                <w:t>https://www.tga.gov.au</w:t>
              </w:r>
            </w:hyperlink>
          </w:p>
        </w:tc>
      </w:tr>
    </w:tbl>
    <w:p w:rsidR="00774E1D" w:rsidRPr="008A5E0B" w:rsidRDefault="00774E1D" w:rsidP="004C239D"/>
    <w:sectPr w:rsidR="00774E1D" w:rsidRPr="008A5E0B"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B67" w:rsidRDefault="00CB6B67" w:rsidP="00C40A36">
      <w:pPr>
        <w:spacing w:after="0"/>
      </w:pPr>
      <w:r>
        <w:separator/>
      </w:r>
    </w:p>
  </w:endnote>
  <w:endnote w:type="continuationSeparator" w:id="0">
    <w:p w:rsidR="00CB6B67" w:rsidRDefault="00CB6B6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Ital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B6B67" w:rsidRPr="00487162" w:rsidTr="00DB750B">
      <w:trPr>
        <w:trHeight w:val="269"/>
      </w:trPr>
      <w:tc>
        <w:tcPr>
          <w:tcW w:w="7371" w:type="dxa"/>
          <w:tcMar>
            <w:top w:w="142" w:type="dxa"/>
            <w:bottom w:w="0" w:type="dxa"/>
          </w:tcMar>
        </w:tcPr>
        <w:p w:rsidR="00CB6B67" w:rsidRPr="00487162" w:rsidRDefault="00CB6B67" w:rsidP="00F204B7">
          <w:pPr>
            <w:pStyle w:val="Footer"/>
          </w:pPr>
          <w:proofErr w:type="spellStart"/>
          <w:r w:rsidRPr="00487162">
            <w:t>AusPAR</w:t>
          </w:r>
          <w:proofErr w:type="spellEnd"/>
          <w:r w:rsidRPr="00487162">
            <w:t xml:space="preserve"> </w:t>
          </w:r>
          <w:proofErr w:type="spellStart"/>
          <w:r w:rsidRPr="00C17834">
            <w:rPr>
              <w:rFonts w:ascii="TimesNewRoman,Italic" w:hAnsi="TimesNewRoman,Italic" w:cs="TimesNewRoman,Italic"/>
              <w:iCs/>
              <w:sz w:val="18"/>
              <w:szCs w:val="18"/>
              <w:lang w:eastAsia="en-AU"/>
            </w:rPr>
            <w:t>Cimzia</w:t>
          </w:r>
          <w:proofErr w:type="spellEnd"/>
          <w:r w:rsidRPr="00C17834">
            <w:rPr>
              <w:rFonts w:ascii="TimesNewRoman,Italic" w:hAnsi="TimesNewRoman,Italic" w:cs="TimesNewRoman,Italic"/>
              <w:iCs/>
              <w:sz w:val="18"/>
              <w:szCs w:val="18"/>
              <w:lang w:eastAsia="en-AU"/>
            </w:rPr>
            <w:t xml:space="preserve"> </w:t>
          </w:r>
          <w:proofErr w:type="spellStart"/>
          <w:r w:rsidRPr="00C17834">
            <w:rPr>
              <w:rFonts w:ascii="TimesNewRoman,Italic" w:hAnsi="TimesNewRoman,Italic" w:cs="TimesNewRoman,Italic"/>
              <w:iCs/>
              <w:sz w:val="18"/>
              <w:szCs w:val="18"/>
              <w:lang w:eastAsia="en-AU"/>
            </w:rPr>
            <w:t>Certolizumab</w:t>
          </w:r>
          <w:proofErr w:type="spellEnd"/>
          <w:r w:rsidRPr="00C17834">
            <w:rPr>
              <w:rFonts w:ascii="TimesNewRoman,Italic" w:hAnsi="TimesNewRoman,Italic" w:cs="TimesNewRoman,Italic"/>
              <w:iCs/>
              <w:sz w:val="18"/>
              <w:szCs w:val="18"/>
              <w:lang w:eastAsia="en-AU"/>
            </w:rPr>
            <w:t xml:space="preserve"> </w:t>
          </w:r>
          <w:proofErr w:type="spellStart"/>
          <w:r w:rsidRPr="00C17834">
            <w:rPr>
              <w:rFonts w:ascii="TimesNewRoman,Italic" w:hAnsi="TimesNewRoman,Italic" w:cs="TimesNewRoman,Italic"/>
              <w:iCs/>
              <w:sz w:val="18"/>
              <w:szCs w:val="18"/>
              <w:lang w:eastAsia="en-AU"/>
            </w:rPr>
            <w:t>pegol</w:t>
          </w:r>
          <w:proofErr w:type="spellEnd"/>
          <w:r w:rsidRPr="00C17834">
            <w:rPr>
              <w:rFonts w:ascii="TimesNewRoman,Italic" w:hAnsi="TimesNewRoman,Italic" w:cs="TimesNewRoman,Italic"/>
              <w:iCs/>
              <w:sz w:val="18"/>
              <w:szCs w:val="18"/>
              <w:lang w:eastAsia="en-AU"/>
            </w:rPr>
            <w:t xml:space="preserve"> UCB Australia Pty Ltd</w:t>
          </w:r>
          <w:r>
            <w:t xml:space="preserve"> </w:t>
          </w:r>
          <w:r w:rsidRPr="00487162">
            <w:t>PM-20</w:t>
          </w:r>
          <w:r>
            <w:t>13</w:t>
          </w:r>
          <w:r w:rsidRPr="00487162">
            <w:t>-</w:t>
          </w:r>
          <w:r>
            <w:t>04590-1-3</w:t>
          </w:r>
          <w:r>
            <w:br/>
            <w:t>Final 2 November 2015</w:t>
          </w:r>
        </w:p>
      </w:tc>
      <w:tc>
        <w:tcPr>
          <w:tcW w:w="1490" w:type="dxa"/>
          <w:tcMar>
            <w:top w:w="142" w:type="dxa"/>
            <w:bottom w:w="0" w:type="dxa"/>
          </w:tcMar>
        </w:tcPr>
        <w:p w:rsidR="00CB6B67" w:rsidRPr="00487162" w:rsidRDefault="00CB6B67" w:rsidP="00DB750B">
          <w:pPr>
            <w:pStyle w:val="Footer"/>
            <w:jc w:val="right"/>
          </w:pPr>
          <w:r w:rsidRPr="00487162">
            <w:t xml:space="preserve">Page </w:t>
          </w:r>
          <w:r>
            <w:fldChar w:fldCharType="begin"/>
          </w:r>
          <w:r>
            <w:instrText xml:space="preserve"> PAGE  \* Arabic </w:instrText>
          </w:r>
          <w:r>
            <w:fldChar w:fldCharType="separate"/>
          </w:r>
          <w:r w:rsidR="001E0663">
            <w:rPr>
              <w:noProof/>
            </w:rPr>
            <w:t>4</w:t>
          </w:r>
          <w:r>
            <w:fldChar w:fldCharType="end"/>
          </w:r>
          <w:r w:rsidRPr="00487162">
            <w:t xml:space="preserve"> of </w:t>
          </w:r>
          <w:r w:rsidR="001E0663">
            <w:fldChar w:fldCharType="begin"/>
          </w:r>
          <w:r w:rsidR="001E0663">
            <w:instrText xml:space="preserve"> NUMPAGES  \* Arabic </w:instrText>
          </w:r>
          <w:r w:rsidR="001E0663">
            <w:fldChar w:fldCharType="separate"/>
          </w:r>
          <w:r w:rsidR="001E0663">
            <w:rPr>
              <w:noProof/>
            </w:rPr>
            <w:t>39</w:t>
          </w:r>
          <w:r w:rsidR="001E0663">
            <w:rPr>
              <w:noProof/>
            </w:rPr>
            <w:fldChar w:fldCharType="end"/>
          </w:r>
        </w:p>
      </w:tc>
    </w:tr>
  </w:tbl>
  <w:p w:rsidR="00CB6B67" w:rsidRDefault="00CB6B6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B6B67" w:rsidRPr="00487162" w:rsidTr="00E45619">
      <w:trPr>
        <w:trHeight w:val="269"/>
      </w:trPr>
      <w:tc>
        <w:tcPr>
          <w:tcW w:w="4519" w:type="dxa"/>
          <w:tcBorders>
            <w:top w:val="single" w:sz="4" w:space="0" w:color="auto"/>
          </w:tcBorders>
          <w:tcMar>
            <w:top w:w="142" w:type="dxa"/>
            <w:bottom w:w="0" w:type="dxa"/>
          </w:tcMar>
        </w:tcPr>
        <w:p w:rsidR="00CB6B67" w:rsidRPr="00487162" w:rsidRDefault="00CB6B67" w:rsidP="00FE1DEE">
          <w:pPr>
            <w:pStyle w:val="Footer"/>
          </w:pPr>
          <w:r w:rsidRPr="00487162">
            <w:t>Document title, Part #, Section # - Section title</w:t>
          </w:r>
        </w:p>
        <w:p w:rsidR="00CB6B67" w:rsidRPr="00487162" w:rsidRDefault="00CB6B67" w:rsidP="00FE1DEE">
          <w:pPr>
            <w:pStyle w:val="Footer"/>
          </w:pPr>
          <w:r w:rsidRPr="00487162">
            <w:t>V1.0 October 2010</w:t>
          </w:r>
        </w:p>
      </w:tc>
      <w:tc>
        <w:tcPr>
          <w:tcW w:w="4342" w:type="dxa"/>
          <w:tcBorders>
            <w:top w:val="single" w:sz="4" w:space="0" w:color="auto"/>
          </w:tcBorders>
          <w:tcMar>
            <w:top w:w="142" w:type="dxa"/>
            <w:bottom w:w="0" w:type="dxa"/>
          </w:tcMar>
        </w:tcPr>
        <w:p w:rsidR="00CB6B67" w:rsidRPr="00487162" w:rsidRDefault="00CB6B6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1E0663">
            <w:fldChar w:fldCharType="begin"/>
          </w:r>
          <w:r w:rsidR="001E0663">
            <w:instrText xml:space="preserve"> NUMPAGES  </w:instrText>
          </w:r>
          <w:r w:rsidR="001E0663">
            <w:fldChar w:fldCharType="separate"/>
          </w:r>
          <w:r>
            <w:rPr>
              <w:noProof/>
            </w:rPr>
            <w:t>3</w:t>
          </w:r>
          <w:r w:rsidR="001E0663">
            <w:rPr>
              <w:noProof/>
            </w:rPr>
            <w:fldChar w:fldCharType="end"/>
          </w:r>
        </w:p>
      </w:tc>
    </w:tr>
  </w:tbl>
  <w:p w:rsidR="00CB6B67" w:rsidRDefault="00CB6B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67" w:rsidRPr="001C32CD" w:rsidRDefault="00CB6B6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B6B67" w:rsidTr="0010601F">
      <w:trPr>
        <w:trHeight w:val="108"/>
      </w:trPr>
      <w:tc>
        <w:tcPr>
          <w:tcW w:w="8875" w:type="dxa"/>
          <w:gridSpan w:val="2"/>
          <w:tcBorders>
            <w:bottom w:val="single" w:sz="4" w:space="0" w:color="auto"/>
          </w:tcBorders>
          <w:tcMar>
            <w:right w:w="284" w:type="dxa"/>
          </w:tcMar>
        </w:tcPr>
        <w:p w:rsidR="00CB6B67" w:rsidRDefault="00CB6B67" w:rsidP="006E08B3">
          <w:pPr>
            <w:pStyle w:val="Heading3"/>
          </w:pPr>
          <w:r>
            <w:t>Copyright</w:t>
          </w:r>
        </w:p>
        <w:p w:rsidR="00CB6B67" w:rsidRDefault="00CB6B67" w:rsidP="006E08B3">
          <w:r>
            <w:rPr>
              <w:rFonts w:cs="Arial"/>
            </w:rPr>
            <w:t>©</w:t>
          </w:r>
          <w:r>
            <w:t xml:space="preserve"> Commonwealth of Australia (add year)</w:t>
          </w:r>
        </w:p>
        <w:p w:rsidR="00CB6B67" w:rsidRDefault="00CB6B67" w:rsidP="006E08B3"/>
        <w:p w:rsidR="00CB6B67" w:rsidRDefault="00CB6B6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B6B67" w:rsidRDefault="00CB6B67" w:rsidP="006E08B3"/>
        <w:p w:rsidR="00CB6B67" w:rsidRDefault="00CB6B67" w:rsidP="006E08B3">
          <w:pPr>
            <w:pStyle w:val="Heading3"/>
          </w:pPr>
          <w:r>
            <w:t>Confidentiality</w:t>
          </w:r>
        </w:p>
        <w:p w:rsidR="00CB6B67" w:rsidRDefault="00CB6B6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B6B67" w:rsidRDefault="00CB6B67" w:rsidP="006E08B3"/>
        <w:p w:rsidR="00CB6B67" w:rsidRDefault="00CB6B67" w:rsidP="006E08B3">
          <w:r>
            <w:t>For submission made by individuals, all personal details, other than your name, will be removed from your submission before it is published on the TGA’s Internet site.</w:t>
          </w:r>
        </w:p>
        <w:p w:rsidR="00CB6B67" w:rsidRDefault="00CB6B67" w:rsidP="006E08B3"/>
        <w:p w:rsidR="00CB6B67" w:rsidRDefault="00CB6B6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B6B67" w:rsidTr="0010601F">
      <w:trPr>
        <w:trHeight w:val="417"/>
      </w:trPr>
      <w:tc>
        <w:tcPr>
          <w:tcW w:w="4519" w:type="dxa"/>
          <w:tcBorders>
            <w:top w:val="single" w:sz="4" w:space="0" w:color="auto"/>
          </w:tcBorders>
          <w:tcMar>
            <w:top w:w="142" w:type="dxa"/>
            <w:bottom w:w="0" w:type="dxa"/>
          </w:tcMar>
        </w:tcPr>
        <w:p w:rsidR="00CB6B67" w:rsidRDefault="00CB6B67" w:rsidP="006E08B3">
          <w:r>
            <w:t>Document title, Part #, Section # - Section title</w:t>
          </w:r>
        </w:p>
        <w:p w:rsidR="00CB6B67" w:rsidRDefault="00CB6B67" w:rsidP="006E08B3">
          <w:r>
            <w:t>V1.0 October 2010</w:t>
          </w:r>
        </w:p>
      </w:tc>
      <w:tc>
        <w:tcPr>
          <w:tcW w:w="4356" w:type="dxa"/>
          <w:tcBorders>
            <w:top w:val="single" w:sz="4" w:space="0" w:color="auto"/>
          </w:tcBorders>
          <w:tcMar>
            <w:top w:w="142" w:type="dxa"/>
            <w:bottom w:w="0" w:type="dxa"/>
          </w:tcMar>
        </w:tcPr>
        <w:p w:rsidR="00CB6B67" w:rsidRDefault="00CB6B6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1E0663">
            <w:fldChar w:fldCharType="begin"/>
          </w:r>
          <w:r w:rsidR="001E0663">
            <w:instrText xml:space="preserve"> NUMPAGES  \* Arabic </w:instrText>
          </w:r>
          <w:r w:rsidR="001E0663">
            <w:fldChar w:fldCharType="separate"/>
          </w:r>
          <w:r>
            <w:rPr>
              <w:noProof/>
            </w:rPr>
            <w:t>3</w:t>
          </w:r>
          <w:r w:rsidR="001E0663">
            <w:rPr>
              <w:noProof/>
            </w:rPr>
            <w:fldChar w:fldCharType="end"/>
          </w:r>
          <w:r>
            <w:t xml:space="preserve">  </w:t>
          </w:r>
        </w:p>
      </w:tc>
    </w:tr>
  </w:tbl>
  <w:p w:rsidR="00CB6B67" w:rsidRDefault="00CB6B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B67" w:rsidRDefault="00CB6B67" w:rsidP="00C40A36">
      <w:pPr>
        <w:spacing w:after="0"/>
      </w:pPr>
      <w:r>
        <w:separator/>
      </w:r>
    </w:p>
  </w:footnote>
  <w:footnote w:type="continuationSeparator" w:id="0">
    <w:p w:rsidR="00CB6B67" w:rsidRDefault="00CB6B67" w:rsidP="00C40A36">
      <w:pPr>
        <w:spacing w:after="0"/>
      </w:pPr>
      <w:r>
        <w:continuationSeparator/>
      </w:r>
    </w:p>
  </w:footnote>
  <w:footnote w:id="1">
    <w:p w:rsidR="00CB6B67" w:rsidRDefault="00CB6B67">
      <w:pPr>
        <w:pStyle w:val="FootnoteText"/>
      </w:pPr>
      <w:r>
        <w:rPr>
          <w:rStyle w:val="FootnoteReference"/>
        </w:rPr>
        <w:footnoteRef/>
      </w:r>
      <w:r>
        <w:t xml:space="preserve"> Certolizumab pegol will be referred to as Certolizumab or CZP.</w:t>
      </w:r>
    </w:p>
  </w:footnote>
  <w:footnote w:id="2">
    <w:p w:rsidR="00CB6B67" w:rsidRPr="00A5292E" w:rsidRDefault="00CB6B67" w:rsidP="00B74F45">
      <w:pPr>
        <w:pStyle w:val="FootnoteText"/>
        <w:rPr>
          <w:szCs w:val="18"/>
        </w:rPr>
      </w:pPr>
      <w:r>
        <w:rPr>
          <w:rStyle w:val="FootnoteReference"/>
        </w:rPr>
        <w:footnoteRef/>
      </w:r>
      <w:r>
        <w:t xml:space="preserve"> </w:t>
      </w:r>
      <w:proofErr w:type="spellStart"/>
      <w:proofErr w:type="gramStart"/>
      <w:r>
        <w:t>mTSS</w:t>
      </w:r>
      <w:proofErr w:type="spellEnd"/>
      <w:proofErr w:type="gramEnd"/>
      <w:r w:rsidRPr="00A5292E">
        <w:t xml:space="preserve"> is the sum of the erosion score (ES) and the joint space narrowing (JSN) score and has a range of 0 to 398. The ES is the sum of joint scores collected for 46 joints and has a range of 0 to 230. The JSN is the sum of joint scores collected for 42 joints and has a range of 0 to 168. A score of 0 would indicate no change.</w:t>
      </w:r>
      <w:r>
        <w:t xml:space="preserve"> </w:t>
      </w:r>
      <w:r w:rsidRPr="00A5292E">
        <w:rPr>
          <w:szCs w:val="18"/>
        </w:rPr>
        <w:t xml:space="preserve">An erosion score of 0 to 5 is given to each joint analysed, according to the number of erosions; “5” represented total destruction. Joint space narrowing was scored from 0 to 4 with “4” representing </w:t>
      </w:r>
      <w:proofErr w:type="spellStart"/>
      <w:r w:rsidRPr="00A5292E">
        <w:rPr>
          <w:szCs w:val="18"/>
        </w:rPr>
        <w:t>alkylosis</w:t>
      </w:r>
      <w:proofErr w:type="spellEnd"/>
      <w:r w:rsidRPr="00A5292E">
        <w:rPr>
          <w:szCs w:val="18"/>
        </w:rPr>
        <w:t>.</w:t>
      </w:r>
    </w:p>
  </w:footnote>
  <w:footnote w:id="3">
    <w:p w:rsidR="00CB6B67" w:rsidRDefault="00CB6B67" w:rsidP="00B74F45">
      <w:pPr>
        <w:pStyle w:val="FootnoteText"/>
      </w:pPr>
      <w:r>
        <w:rPr>
          <w:rStyle w:val="FootnoteReference"/>
        </w:rPr>
        <w:footnoteRef/>
      </w:r>
      <w:r>
        <w:t xml:space="preserve"> Clarification </w:t>
      </w:r>
      <w:r w:rsidRPr="00B74F45">
        <w:t>Data</w:t>
      </w:r>
      <w:r>
        <w:t xml:space="preserve"> were included in the original submission for RA indication and in the sponsor’s response to questions raised by the TGA.</w:t>
      </w:r>
    </w:p>
  </w:footnote>
  <w:footnote w:id="4">
    <w:p w:rsidR="00CB6B67" w:rsidRDefault="00CB6B67" w:rsidP="00B74F45">
      <w:pPr>
        <w:pStyle w:val="FootnoteText"/>
      </w:pPr>
      <w:r>
        <w:rPr>
          <w:rStyle w:val="FootnoteReference"/>
        </w:rPr>
        <w:footnoteRef/>
      </w:r>
      <w:r>
        <w:t xml:space="preserve"> </w:t>
      </w:r>
      <w:r w:rsidRPr="00D11FA8">
        <w:t xml:space="preserve">Sharp JT, et al. Treatment with </w:t>
      </w:r>
      <w:proofErr w:type="spellStart"/>
      <w:r w:rsidRPr="00D11FA8">
        <w:t>leflunomide</w:t>
      </w:r>
      <w:proofErr w:type="spellEnd"/>
      <w:r w:rsidRPr="00D11FA8">
        <w:t xml:space="preserve"> slows radiographic progression of rheumatoid arthritis: results from three randomized controlled trials of </w:t>
      </w:r>
      <w:proofErr w:type="spellStart"/>
      <w:r w:rsidRPr="00D11FA8">
        <w:t>leflunomide</w:t>
      </w:r>
      <w:proofErr w:type="spellEnd"/>
      <w:r w:rsidRPr="00D11FA8">
        <w:t xml:space="preserve"> in patients with active rheumatoid arthritis. </w:t>
      </w:r>
      <w:r w:rsidRPr="00D11FA8">
        <w:rPr>
          <w:i/>
        </w:rPr>
        <w:t>Arthritis Rheum</w:t>
      </w:r>
      <w:r w:rsidRPr="00D11FA8">
        <w:t xml:space="preserve"> 2000, 43:495-505.</w:t>
      </w:r>
    </w:p>
  </w:footnote>
  <w:footnote w:id="5">
    <w:p w:rsidR="00CB6B67" w:rsidRDefault="00CB6B67" w:rsidP="00B74F45">
      <w:pPr>
        <w:pStyle w:val="FootnoteText"/>
      </w:pPr>
      <w:r>
        <w:rPr>
          <w:rStyle w:val="FootnoteReference"/>
        </w:rPr>
        <w:footnoteRef/>
      </w:r>
      <w:r>
        <w:t xml:space="preserve"> </w:t>
      </w:r>
      <w:r w:rsidRPr="00B74F45">
        <w:t>Strand</w:t>
      </w:r>
      <w:r w:rsidRPr="00D11FA8">
        <w:t xml:space="preserve"> V and Sharp JT. Radiographic data from recent randomized controlled trials in rheumatoid arthritis. </w:t>
      </w:r>
      <w:r w:rsidRPr="00C30337">
        <w:rPr>
          <w:i/>
        </w:rPr>
        <w:t>Arthritis Rheum</w:t>
      </w:r>
      <w:r w:rsidRPr="00D11FA8">
        <w:t xml:space="preserve"> 2003, 48:21-34</w:t>
      </w:r>
    </w:p>
  </w:footnote>
  <w:footnote w:id="6">
    <w:p w:rsidR="00CB6B67" w:rsidRDefault="00CB6B67">
      <w:pPr>
        <w:pStyle w:val="FootnoteText"/>
      </w:pPr>
      <w:r>
        <w:rPr>
          <w:rStyle w:val="FootnoteReference"/>
        </w:rPr>
        <w:footnoteRef/>
      </w:r>
      <w:r>
        <w:t xml:space="preserve"> </w:t>
      </w:r>
      <w:r w:rsidRPr="00A5292E">
        <w:t>ACR responses are presented as the numerical improvement in multiple disease assessment criteria. For example, an ACR 20 response is defined as a ≥</w:t>
      </w:r>
      <w:r>
        <w:t xml:space="preserve"> </w:t>
      </w:r>
      <w:r w:rsidRPr="00A5292E">
        <w:t xml:space="preserve">20% improvement in (1) swollen joint count (66 joints) and tender </w:t>
      </w:r>
      <w:r>
        <w:t>joint count (68 joints) and (2)</w:t>
      </w:r>
      <w:r w:rsidRPr="00A5292E">
        <w:t xml:space="preserve"> ≥</w:t>
      </w:r>
      <w:r>
        <w:t xml:space="preserve"> </w:t>
      </w:r>
      <w:r w:rsidRPr="00A5292E">
        <w:t>20% improvement in 3 of the following 5 assessments - patient’s assessment of pain (VAS), patient’s global assessment of disease activity (VAS), physician’s global assessment of disease activity (VAS), patient’s assessment of physical function as measured by the HAQ and CRP. ACR 50 and ACR 70 are similarly defined.</w:t>
      </w:r>
    </w:p>
  </w:footnote>
  <w:footnote w:id="7">
    <w:p w:rsidR="00CB6B67" w:rsidRDefault="00CB6B67" w:rsidP="00B74F45">
      <w:pPr>
        <w:pStyle w:val="FootnoteText"/>
      </w:pPr>
      <w:r>
        <w:rPr>
          <w:rStyle w:val="FootnoteReference"/>
        </w:rPr>
        <w:footnoteRef/>
      </w:r>
      <w:r>
        <w:t xml:space="preserve"> </w:t>
      </w:r>
      <w:proofErr w:type="gramStart"/>
      <w:r w:rsidRPr="00B74F45">
        <w:t>Clarification</w:t>
      </w:r>
      <w:r>
        <w:t>;</w:t>
      </w:r>
      <w:r w:rsidRPr="001225B3">
        <w:t xml:space="preserve"> in studies C87015, C87028 and C87051</w:t>
      </w:r>
      <w:r>
        <w:t>.</w:t>
      </w:r>
      <w:proofErr w:type="gramEnd"/>
    </w:p>
  </w:footnote>
  <w:footnote w:id="8">
    <w:p w:rsidR="00CB6B67" w:rsidRDefault="00CB6B67" w:rsidP="00DD5297">
      <w:pPr>
        <w:pStyle w:val="FootnoteText"/>
      </w:pPr>
      <w:r>
        <w:rPr>
          <w:rStyle w:val="FootnoteReference"/>
        </w:rPr>
        <w:footnoteRef/>
      </w:r>
      <w:r>
        <w:t xml:space="preserve"> DAS28 is a measure of disease </w:t>
      </w:r>
      <w:r w:rsidRPr="00DD5297">
        <w:t>activity</w:t>
      </w:r>
      <w:r>
        <w:t xml:space="preserve"> in rheumatoid arthritis. DAS stands for ‘disease activity score’ and the number 28 refers to the 28 joints that are examined for the assessment. The score takes into account the number of swollen joints, the number of tender joints, a measurement of either the erythrocyte sedimentation rate (ESR) or C-reactive protein (CRP) levels, and a global assessment of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67" w:rsidRDefault="00CB6B6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67" w:rsidRDefault="00CB6B67">
    <w:pPr>
      <w:rPr>
        <w:noProof/>
        <w:lang w:eastAsia="en-AU"/>
      </w:rPr>
    </w:pPr>
    <w:r>
      <w:rPr>
        <w:noProof/>
        <w:lang w:eastAsia="en-AU"/>
      </w:rPr>
      <w:drawing>
        <wp:anchor distT="0" distB="0" distL="114300" distR="114300" simplePos="0" relativeHeight="251657728" behindDoc="1" locked="0" layoutInCell="1" allowOverlap="1" wp14:anchorId="1EAA6CE6" wp14:editId="0B208947">
          <wp:simplePos x="0" y="0"/>
          <wp:positionH relativeFrom="column">
            <wp:posOffset>-1089660</wp:posOffset>
          </wp:positionH>
          <wp:positionV relativeFrom="paragraph">
            <wp:posOffset>-585470</wp:posOffset>
          </wp:positionV>
          <wp:extent cx="7572375" cy="10706100"/>
          <wp:effectExtent l="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pic:spPr>
              </pic:pic>
            </a:graphicData>
          </a:graphic>
          <wp14:sizeRelH relativeFrom="page">
            <wp14:pctWidth>0</wp14:pctWidth>
          </wp14:sizeRelH>
          <wp14:sizeRelV relativeFrom="page">
            <wp14:pctHeight>0</wp14:pctHeight>
          </wp14:sizeRelV>
        </wp:anchor>
      </w:drawing>
    </w:r>
  </w:p>
  <w:p w:rsidR="00CB6B67" w:rsidRDefault="00CB6B67" w:rsidP="00593AD1">
    <w:pPr>
      <w:pStyle w:val="HeaderNoLine"/>
    </w:pPr>
    <w:r>
      <w:rPr>
        <w:noProof/>
        <w:lang w:eastAsia="en-AU"/>
      </w:rPr>
      <w:drawing>
        <wp:inline distT="0" distB="0" distL="0" distR="0" wp14:anchorId="7A3F1479" wp14:editId="61016230">
          <wp:extent cx="5398770" cy="7637145"/>
          <wp:effectExtent l="0" t="0" r="0" b="1905"/>
          <wp:docPr id="1"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71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67" w:rsidRDefault="00CB6B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67" w:rsidRDefault="00CB6B6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67" w:rsidRDefault="00CB6B6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67" w:rsidRDefault="00CB6B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67" w:rsidRDefault="00CB6B6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67" w:rsidRDefault="00CB6B67" w:rsidP="006E08B3">
    <w:r>
      <w:t>Therapeutic Goods Administration</w:t>
    </w:r>
  </w:p>
  <w:p w:rsidR="00CB6B67" w:rsidRDefault="00CB6B6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8B0"/>
    <w:multiLevelType w:val="hybridMultilevel"/>
    <w:tmpl w:val="01521DA4"/>
    <w:lvl w:ilvl="0" w:tplc="0C090001">
      <w:start w:val="1"/>
      <w:numFmt w:val="bullet"/>
      <w:lvlText w:val=""/>
      <w:lvlJc w:val="left"/>
      <w:pPr>
        <w:tabs>
          <w:tab w:val="num" w:pos="709"/>
        </w:tabs>
        <w:ind w:left="709" w:hanging="360"/>
      </w:pPr>
      <w:rPr>
        <w:rFonts w:ascii="Symbol" w:hAnsi="Symbol" w:hint="default"/>
      </w:rPr>
    </w:lvl>
    <w:lvl w:ilvl="1" w:tplc="0C090003">
      <w:start w:val="1"/>
      <w:numFmt w:val="bullet"/>
      <w:lvlText w:val="o"/>
      <w:lvlJc w:val="left"/>
      <w:pPr>
        <w:tabs>
          <w:tab w:val="num" w:pos="1429"/>
        </w:tabs>
        <w:ind w:left="1429" w:hanging="360"/>
      </w:pPr>
      <w:rPr>
        <w:rFonts w:ascii="Courier New" w:hAnsi="Courier New" w:cs="Courier New" w:hint="default"/>
      </w:rPr>
    </w:lvl>
    <w:lvl w:ilvl="2" w:tplc="0C090005" w:tentative="1">
      <w:start w:val="1"/>
      <w:numFmt w:val="bullet"/>
      <w:lvlText w:val=""/>
      <w:lvlJc w:val="left"/>
      <w:pPr>
        <w:tabs>
          <w:tab w:val="num" w:pos="2149"/>
        </w:tabs>
        <w:ind w:left="2149" w:hanging="360"/>
      </w:pPr>
      <w:rPr>
        <w:rFonts w:ascii="Wingdings" w:hAnsi="Wingdings" w:hint="default"/>
      </w:rPr>
    </w:lvl>
    <w:lvl w:ilvl="3" w:tplc="0C090001" w:tentative="1">
      <w:start w:val="1"/>
      <w:numFmt w:val="bullet"/>
      <w:lvlText w:val=""/>
      <w:lvlJc w:val="left"/>
      <w:pPr>
        <w:tabs>
          <w:tab w:val="num" w:pos="2869"/>
        </w:tabs>
        <w:ind w:left="2869" w:hanging="360"/>
      </w:pPr>
      <w:rPr>
        <w:rFonts w:ascii="Symbol" w:hAnsi="Symbol" w:hint="default"/>
      </w:rPr>
    </w:lvl>
    <w:lvl w:ilvl="4" w:tplc="0C090003" w:tentative="1">
      <w:start w:val="1"/>
      <w:numFmt w:val="bullet"/>
      <w:lvlText w:val="o"/>
      <w:lvlJc w:val="left"/>
      <w:pPr>
        <w:tabs>
          <w:tab w:val="num" w:pos="3589"/>
        </w:tabs>
        <w:ind w:left="3589" w:hanging="360"/>
      </w:pPr>
      <w:rPr>
        <w:rFonts w:ascii="Courier New" w:hAnsi="Courier New" w:cs="Courier New" w:hint="default"/>
      </w:rPr>
    </w:lvl>
    <w:lvl w:ilvl="5" w:tplc="0C090005" w:tentative="1">
      <w:start w:val="1"/>
      <w:numFmt w:val="bullet"/>
      <w:lvlText w:val=""/>
      <w:lvlJc w:val="left"/>
      <w:pPr>
        <w:tabs>
          <w:tab w:val="num" w:pos="4309"/>
        </w:tabs>
        <w:ind w:left="4309" w:hanging="360"/>
      </w:pPr>
      <w:rPr>
        <w:rFonts w:ascii="Wingdings" w:hAnsi="Wingdings" w:hint="default"/>
      </w:rPr>
    </w:lvl>
    <w:lvl w:ilvl="6" w:tplc="0C090001" w:tentative="1">
      <w:start w:val="1"/>
      <w:numFmt w:val="bullet"/>
      <w:lvlText w:val=""/>
      <w:lvlJc w:val="left"/>
      <w:pPr>
        <w:tabs>
          <w:tab w:val="num" w:pos="5029"/>
        </w:tabs>
        <w:ind w:left="5029" w:hanging="360"/>
      </w:pPr>
      <w:rPr>
        <w:rFonts w:ascii="Symbol" w:hAnsi="Symbol" w:hint="default"/>
      </w:rPr>
    </w:lvl>
    <w:lvl w:ilvl="7" w:tplc="0C090003" w:tentative="1">
      <w:start w:val="1"/>
      <w:numFmt w:val="bullet"/>
      <w:lvlText w:val="o"/>
      <w:lvlJc w:val="left"/>
      <w:pPr>
        <w:tabs>
          <w:tab w:val="num" w:pos="5749"/>
        </w:tabs>
        <w:ind w:left="5749" w:hanging="360"/>
      </w:pPr>
      <w:rPr>
        <w:rFonts w:ascii="Courier New" w:hAnsi="Courier New" w:cs="Courier New" w:hint="default"/>
      </w:rPr>
    </w:lvl>
    <w:lvl w:ilvl="8" w:tplc="0C090005" w:tentative="1">
      <w:start w:val="1"/>
      <w:numFmt w:val="bullet"/>
      <w:lvlText w:val=""/>
      <w:lvlJc w:val="left"/>
      <w:pPr>
        <w:tabs>
          <w:tab w:val="num" w:pos="6469"/>
        </w:tabs>
        <w:ind w:left="6469" w:hanging="360"/>
      </w:pPr>
      <w:rPr>
        <w:rFonts w:ascii="Wingdings" w:hAnsi="Wingdings" w:hint="default"/>
      </w:rPr>
    </w:lvl>
  </w:abstractNum>
  <w:abstractNum w:abstractNumId="1">
    <w:nsid w:val="0CA70CE5"/>
    <w:multiLevelType w:val="multilevel"/>
    <w:tmpl w:val="3322F334"/>
    <w:styleLink w:val="UCBBullets"/>
    <w:lvl w:ilvl="0">
      <w:start w:val="1"/>
      <w:numFmt w:val="bullet"/>
      <w:pStyle w:val="C-Bullet"/>
      <w:lvlText w:val=""/>
      <w:lvlJc w:val="left"/>
      <w:pPr>
        <w:tabs>
          <w:tab w:val="num" w:pos="360"/>
        </w:tabs>
        <w:ind w:left="360" w:hanging="360"/>
      </w:pPr>
      <w:rPr>
        <w:rFonts w:ascii="Symbol" w:hAnsi="Symbol" w:hint="default"/>
        <w:sz w:val="24"/>
      </w:rPr>
    </w:lvl>
    <w:lvl w:ilvl="1">
      <w:start w:val="1"/>
      <w:numFmt w:val="bullet"/>
      <w:pStyle w:val="C-BulletIndented"/>
      <w:lvlText w:val=""/>
      <w:lvlJc w:val="left"/>
      <w:pPr>
        <w:tabs>
          <w:tab w:val="num" w:pos="720"/>
        </w:tabs>
        <w:ind w:left="720" w:hanging="360"/>
      </w:pPr>
      <w:rPr>
        <w:rFonts w:ascii="Symbol" w:hAnsi="Symbol" w:hint="default"/>
      </w:rPr>
    </w:lvl>
    <w:lvl w:ilvl="2">
      <w:start w:val="1"/>
      <w:numFmt w:val="bullet"/>
      <w:pStyle w:val="C-BulletIndented2"/>
      <w:lvlText w:val="◦"/>
      <w:lvlJc w:val="left"/>
      <w:pPr>
        <w:tabs>
          <w:tab w:val="num" w:pos="1080"/>
        </w:tabs>
        <w:ind w:left="1080" w:hanging="360"/>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1937799"/>
    <w:multiLevelType w:val="hybridMultilevel"/>
    <w:tmpl w:val="D6FAC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1D71311"/>
    <w:multiLevelType w:val="hybridMultilevel"/>
    <w:tmpl w:val="421223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2B26C52"/>
    <w:multiLevelType w:val="hybridMultilevel"/>
    <w:tmpl w:val="BC0236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ECB0516"/>
    <w:multiLevelType w:val="hybridMultilevel"/>
    <w:tmpl w:val="5EB60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3E719F5"/>
    <w:multiLevelType w:val="hybridMultilevel"/>
    <w:tmpl w:val="20E44620"/>
    <w:lvl w:ilvl="0" w:tplc="E5B024F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6C172FF"/>
    <w:multiLevelType w:val="hybridMultilevel"/>
    <w:tmpl w:val="AF5610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9723914"/>
    <w:multiLevelType w:val="hybridMultilevel"/>
    <w:tmpl w:val="E486A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BC302D8"/>
    <w:multiLevelType w:val="singleLevel"/>
    <w:tmpl w:val="9802F572"/>
    <w:lvl w:ilvl="0">
      <w:start w:val="1"/>
      <w:numFmt w:val="lowerRoman"/>
      <w:lvlText w:val="%1)"/>
      <w:lvlJc w:val="left"/>
      <w:pPr>
        <w:tabs>
          <w:tab w:val="num" w:pos="709"/>
        </w:tabs>
        <w:ind w:left="709" w:hanging="720"/>
      </w:pPr>
      <w:rPr>
        <w:rFonts w:hint="default"/>
      </w:rPr>
    </w:lvl>
  </w:abstractNum>
  <w:abstractNum w:abstractNumId="12">
    <w:nsid w:val="3066740A"/>
    <w:multiLevelType w:val="hybridMultilevel"/>
    <w:tmpl w:val="044C180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40733EDC"/>
    <w:multiLevelType w:val="hybridMultilevel"/>
    <w:tmpl w:val="94482620"/>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6805823"/>
    <w:multiLevelType w:val="hybridMultilevel"/>
    <w:tmpl w:val="E0E8D572"/>
    <w:lvl w:ilvl="0" w:tplc="9036EB14">
      <w:start w:val="1"/>
      <w:numFmt w:val="lowerLetter"/>
      <w:lvlText w:val="%1)"/>
      <w:lvlJc w:val="left"/>
      <w:pPr>
        <w:ind w:left="720" w:hanging="360"/>
      </w:pPr>
      <w:rPr>
        <w:rFonts w:ascii="Cambria" w:hAnsi="Cambria" w:hint="default"/>
        <w:b w:val="0"/>
        <w:i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7423487"/>
    <w:multiLevelType w:val="hybridMultilevel"/>
    <w:tmpl w:val="A710A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809140B"/>
    <w:multiLevelType w:val="hybridMultilevel"/>
    <w:tmpl w:val="4D74C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5A886C24"/>
    <w:multiLevelType w:val="hybridMultilevel"/>
    <w:tmpl w:val="BD76FB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5AE144A8"/>
    <w:multiLevelType w:val="hybridMultilevel"/>
    <w:tmpl w:val="676893DA"/>
    <w:lvl w:ilvl="0" w:tplc="FFFFFFFF">
      <w:start w:val="1"/>
      <w:numFmt w:val="decimal"/>
      <w:lvlText w:val="%1."/>
      <w:lvlJc w:val="left"/>
      <w:pPr>
        <w:ind w:left="78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9">
    <w:nsid w:val="677C498F"/>
    <w:multiLevelType w:val="hybridMultilevel"/>
    <w:tmpl w:val="7DB400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6BC40BBF"/>
    <w:multiLevelType w:val="hybridMultilevel"/>
    <w:tmpl w:val="E110D2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6BC64C55"/>
    <w:multiLevelType w:val="hybridMultilevel"/>
    <w:tmpl w:val="B10833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6E0F0871"/>
    <w:multiLevelType w:val="hybridMultilevel"/>
    <w:tmpl w:val="2FE23E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9BF6B58"/>
    <w:multiLevelType w:val="hybridMultilevel"/>
    <w:tmpl w:val="B70A7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C7F7878"/>
    <w:multiLevelType w:val="hybridMultilevel"/>
    <w:tmpl w:val="D9F08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6"/>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20"/>
  </w:num>
  <w:num w:numId="7">
    <w:abstractNumId w:val="4"/>
  </w:num>
  <w:num w:numId="8">
    <w:abstractNumId w:val="12"/>
  </w:num>
  <w:num w:numId="9">
    <w:abstractNumId w:val="7"/>
  </w:num>
  <w:num w:numId="10">
    <w:abstractNumId w:val="10"/>
  </w:num>
  <w:num w:numId="11">
    <w:abstractNumId w:val="21"/>
  </w:num>
  <w:num w:numId="12">
    <w:abstractNumId w:val="14"/>
  </w:num>
  <w:num w:numId="13">
    <w:abstractNumId w:val="17"/>
  </w:num>
  <w:num w:numId="14">
    <w:abstractNumId w:val="9"/>
  </w:num>
  <w:num w:numId="15">
    <w:abstractNumId w:val="15"/>
  </w:num>
  <w:num w:numId="16">
    <w:abstractNumId w:val="3"/>
  </w:num>
  <w:num w:numId="17">
    <w:abstractNumId w:val="23"/>
  </w:num>
  <w:num w:numId="18">
    <w:abstractNumId w:val="8"/>
  </w:num>
  <w:num w:numId="19">
    <w:abstractNumId w:val="5"/>
  </w:num>
  <w:num w:numId="20">
    <w:abstractNumId w:val="19"/>
  </w:num>
  <w:num w:numId="21">
    <w:abstractNumId w:val="22"/>
  </w:num>
  <w:num w:numId="22">
    <w:abstractNumId w:val="24"/>
  </w:num>
  <w:num w:numId="23">
    <w:abstractNumId w:val="11"/>
  </w:num>
  <w:num w:numId="24">
    <w:abstractNumId w:val="13"/>
  </w:num>
  <w:num w:numId="25">
    <w:abstractNumId w:val="0"/>
  </w:num>
  <w:num w:numId="26">
    <w:abstractNumId w:val="1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6"/>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E0A"/>
    <w:rsid w:val="00002031"/>
    <w:rsid w:val="00002460"/>
    <w:rsid w:val="000028DA"/>
    <w:rsid w:val="00004734"/>
    <w:rsid w:val="00006B22"/>
    <w:rsid w:val="0001276A"/>
    <w:rsid w:val="00012B74"/>
    <w:rsid w:val="00017D2D"/>
    <w:rsid w:val="000234E6"/>
    <w:rsid w:val="000246AE"/>
    <w:rsid w:val="00025C67"/>
    <w:rsid w:val="00034CEC"/>
    <w:rsid w:val="00043670"/>
    <w:rsid w:val="00044772"/>
    <w:rsid w:val="0005192E"/>
    <w:rsid w:val="0005559E"/>
    <w:rsid w:val="00055C29"/>
    <w:rsid w:val="00056A82"/>
    <w:rsid w:val="00057C84"/>
    <w:rsid w:val="000604D6"/>
    <w:rsid w:val="00066E00"/>
    <w:rsid w:val="000734D8"/>
    <w:rsid w:val="00076E18"/>
    <w:rsid w:val="00077775"/>
    <w:rsid w:val="000803CA"/>
    <w:rsid w:val="000858D4"/>
    <w:rsid w:val="00090122"/>
    <w:rsid w:val="00090471"/>
    <w:rsid w:val="00092053"/>
    <w:rsid w:val="000924D5"/>
    <w:rsid w:val="00092BF3"/>
    <w:rsid w:val="00094B8A"/>
    <w:rsid w:val="00096AA7"/>
    <w:rsid w:val="00097F65"/>
    <w:rsid w:val="000A24AF"/>
    <w:rsid w:val="000A3AED"/>
    <w:rsid w:val="000B2EFE"/>
    <w:rsid w:val="000B3532"/>
    <w:rsid w:val="000B3A75"/>
    <w:rsid w:val="000C00C2"/>
    <w:rsid w:val="000C089C"/>
    <w:rsid w:val="000C09EA"/>
    <w:rsid w:val="000C4BE9"/>
    <w:rsid w:val="000C6268"/>
    <w:rsid w:val="000C690F"/>
    <w:rsid w:val="000D1295"/>
    <w:rsid w:val="000D391B"/>
    <w:rsid w:val="000D3D6D"/>
    <w:rsid w:val="000D4FC7"/>
    <w:rsid w:val="000E181E"/>
    <w:rsid w:val="000E2556"/>
    <w:rsid w:val="000E6196"/>
    <w:rsid w:val="000F06F8"/>
    <w:rsid w:val="000F3288"/>
    <w:rsid w:val="000F4869"/>
    <w:rsid w:val="000F4F43"/>
    <w:rsid w:val="000F5B42"/>
    <w:rsid w:val="000F6E6F"/>
    <w:rsid w:val="000F7895"/>
    <w:rsid w:val="00102AAD"/>
    <w:rsid w:val="00104C10"/>
    <w:rsid w:val="0010601F"/>
    <w:rsid w:val="00106680"/>
    <w:rsid w:val="0010788A"/>
    <w:rsid w:val="00107A31"/>
    <w:rsid w:val="00110EA5"/>
    <w:rsid w:val="00112F56"/>
    <w:rsid w:val="00120702"/>
    <w:rsid w:val="001225B3"/>
    <w:rsid w:val="00125318"/>
    <w:rsid w:val="0012600B"/>
    <w:rsid w:val="001305A2"/>
    <w:rsid w:val="001307E6"/>
    <w:rsid w:val="00133238"/>
    <w:rsid w:val="00140748"/>
    <w:rsid w:val="0014197B"/>
    <w:rsid w:val="00143BE4"/>
    <w:rsid w:val="001447CD"/>
    <w:rsid w:val="001451B9"/>
    <w:rsid w:val="001452CA"/>
    <w:rsid w:val="001473F2"/>
    <w:rsid w:val="001516B1"/>
    <w:rsid w:val="0015261E"/>
    <w:rsid w:val="00154EBB"/>
    <w:rsid w:val="00156316"/>
    <w:rsid w:val="00160951"/>
    <w:rsid w:val="00162D14"/>
    <w:rsid w:val="00165389"/>
    <w:rsid w:val="00166019"/>
    <w:rsid w:val="0016668B"/>
    <w:rsid w:val="00170717"/>
    <w:rsid w:val="001745E9"/>
    <w:rsid w:val="00175E31"/>
    <w:rsid w:val="0017693F"/>
    <w:rsid w:val="0018110E"/>
    <w:rsid w:val="00181684"/>
    <w:rsid w:val="001819B0"/>
    <w:rsid w:val="001843C6"/>
    <w:rsid w:val="00184D07"/>
    <w:rsid w:val="001850E0"/>
    <w:rsid w:val="001901F9"/>
    <w:rsid w:val="0019110B"/>
    <w:rsid w:val="00195584"/>
    <w:rsid w:val="0019621C"/>
    <w:rsid w:val="001A2158"/>
    <w:rsid w:val="001A525F"/>
    <w:rsid w:val="001B022C"/>
    <w:rsid w:val="001B09F9"/>
    <w:rsid w:val="001B14E7"/>
    <w:rsid w:val="001B5C90"/>
    <w:rsid w:val="001B6448"/>
    <w:rsid w:val="001C32CD"/>
    <w:rsid w:val="001C37C0"/>
    <w:rsid w:val="001C693A"/>
    <w:rsid w:val="001D16D0"/>
    <w:rsid w:val="001D2984"/>
    <w:rsid w:val="001D560E"/>
    <w:rsid w:val="001D5B23"/>
    <w:rsid w:val="001D7CB5"/>
    <w:rsid w:val="001E0663"/>
    <w:rsid w:val="001E07CF"/>
    <w:rsid w:val="001E3507"/>
    <w:rsid w:val="001E59F1"/>
    <w:rsid w:val="001E77BF"/>
    <w:rsid w:val="001E7B3A"/>
    <w:rsid w:val="001F49EB"/>
    <w:rsid w:val="001F5B94"/>
    <w:rsid w:val="001F6673"/>
    <w:rsid w:val="001F6CBA"/>
    <w:rsid w:val="00200CD5"/>
    <w:rsid w:val="00201D4E"/>
    <w:rsid w:val="00202379"/>
    <w:rsid w:val="002060AA"/>
    <w:rsid w:val="002076C9"/>
    <w:rsid w:val="00220B8A"/>
    <w:rsid w:val="00223292"/>
    <w:rsid w:val="002234DB"/>
    <w:rsid w:val="00223D12"/>
    <w:rsid w:val="002257F3"/>
    <w:rsid w:val="002315C4"/>
    <w:rsid w:val="002316D9"/>
    <w:rsid w:val="00233456"/>
    <w:rsid w:val="002339A5"/>
    <w:rsid w:val="00240D50"/>
    <w:rsid w:val="00251162"/>
    <w:rsid w:val="00251F99"/>
    <w:rsid w:val="0025332B"/>
    <w:rsid w:val="002534B0"/>
    <w:rsid w:val="002545D2"/>
    <w:rsid w:val="00256FA2"/>
    <w:rsid w:val="00257178"/>
    <w:rsid w:val="00257848"/>
    <w:rsid w:val="00263A0D"/>
    <w:rsid w:val="00266CDE"/>
    <w:rsid w:val="0027084A"/>
    <w:rsid w:val="00271E73"/>
    <w:rsid w:val="00273BEC"/>
    <w:rsid w:val="00276B87"/>
    <w:rsid w:val="00284EF7"/>
    <w:rsid w:val="00285A2D"/>
    <w:rsid w:val="00286434"/>
    <w:rsid w:val="00286C59"/>
    <w:rsid w:val="00291957"/>
    <w:rsid w:val="002942D1"/>
    <w:rsid w:val="0029501A"/>
    <w:rsid w:val="002A344F"/>
    <w:rsid w:val="002A3721"/>
    <w:rsid w:val="002A5EB1"/>
    <w:rsid w:val="002B1638"/>
    <w:rsid w:val="002B3624"/>
    <w:rsid w:val="002B4426"/>
    <w:rsid w:val="002B53B0"/>
    <w:rsid w:val="002B7D24"/>
    <w:rsid w:val="002C5B72"/>
    <w:rsid w:val="002D6C2E"/>
    <w:rsid w:val="002E276D"/>
    <w:rsid w:val="002E40B3"/>
    <w:rsid w:val="002E4C9A"/>
    <w:rsid w:val="002F04EA"/>
    <w:rsid w:val="002F0B5A"/>
    <w:rsid w:val="002F11F8"/>
    <w:rsid w:val="002F3F56"/>
    <w:rsid w:val="002F44B5"/>
    <w:rsid w:val="002F47C5"/>
    <w:rsid w:val="00302B4B"/>
    <w:rsid w:val="00311AC0"/>
    <w:rsid w:val="00320018"/>
    <w:rsid w:val="0032033E"/>
    <w:rsid w:val="00322F5E"/>
    <w:rsid w:val="0032583B"/>
    <w:rsid w:val="00327883"/>
    <w:rsid w:val="00335504"/>
    <w:rsid w:val="003366F6"/>
    <w:rsid w:val="00343DE1"/>
    <w:rsid w:val="00345E8B"/>
    <w:rsid w:val="00347824"/>
    <w:rsid w:val="003501C6"/>
    <w:rsid w:val="00350567"/>
    <w:rsid w:val="003520E9"/>
    <w:rsid w:val="003521E8"/>
    <w:rsid w:val="00354BAD"/>
    <w:rsid w:val="00364499"/>
    <w:rsid w:val="003728F3"/>
    <w:rsid w:val="0037496E"/>
    <w:rsid w:val="00374BD3"/>
    <w:rsid w:val="00383221"/>
    <w:rsid w:val="00386150"/>
    <w:rsid w:val="003874CE"/>
    <w:rsid w:val="00390900"/>
    <w:rsid w:val="003A018C"/>
    <w:rsid w:val="003A7F6C"/>
    <w:rsid w:val="003B38DB"/>
    <w:rsid w:val="003B4D60"/>
    <w:rsid w:val="003B7E39"/>
    <w:rsid w:val="003C58DC"/>
    <w:rsid w:val="003D1E62"/>
    <w:rsid w:val="003D2FFF"/>
    <w:rsid w:val="003E0B99"/>
    <w:rsid w:val="003E2486"/>
    <w:rsid w:val="003E3208"/>
    <w:rsid w:val="003F0921"/>
    <w:rsid w:val="003F0B04"/>
    <w:rsid w:val="0040134E"/>
    <w:rsid w:val="00405AE7"/>
    <w:rsid w:val="00406DD3"/>
    <w:rsid w:val="0042006C"/>
    <w:rsid w:val="00426475"/>
    <w:rsid w:val="0043023C"/>
    <w:rsid w:val="004334C7"/>
    <w:rsid w:val="00437BE9"/>
    <w:rsid w:val="00440A2D"/>
    <w:rsid w:val="00441147"/>
    <w:rsid w:val="004416BE"/>
    <w:rsid w:val="00442083"/>
    <w:rsid w:val="00446F35"/>
    <w:rsid w:val="004564A7"/>
    <w:rsid w:val="004617BF"/>
    <w:rsid w:val="00463658"/>
    <w:rsid w:val="004637A0"/>
    <w:rsid w:val="004674BF"/>
    <w:rsid w:val="004722CC"/>
    <w:rsid w:val="00476ED5"/>
    <w:rsid w:val="004829D9"/>
    <w:rsid w:val="00486DAF"/>
    <w:rsid w:val="004932FB"/>
    <w:rsid w:val="004936E4"/>
    <w:rsid w:val="00494E60"/>
    <w:rsid w:val="004966DB"/>
    <w:rsid w:val="00497487"/>
    <w:rsid w:val="004A2849"/>
    <w:rsid w:val="004A41DB"/>
    <w:rsid w:val="004A7390"/>
    <w:rsid w:val="004B277F"/>
    <w:rsid w:val="004B7B76"/>
    <w:rsid w:val="004C239D"/>
    <w:rsid w:val="004C2DCA"/>
    <w:rsid w:val="004C61D2"/>
    <w:rsid w:val="004E274D"/>
    <w:rsid w:val="004E6F3E"/>
    <w:rsid w:val="004F0C4A"/>
    <w:rsid w:val="004F0F38"/>
    <w:rsid w:val="004F47D6"/>
    <w:rsid w:val="004F6853"/>
    <w:rsid w:val="00501921"/>
    <w:rsid w:val="00501D8F"/>
    <w:rsid w:val="0050338B"/>
    <w:rsid w:val="00506B22"/>
    <w:rsid w:val="00511DD6"/>
    <w:rsid w:val="005128D6"/>
    <w:rsid w:val="005144EF"/>
    <w:rsid w:val="00524AD1"/>
    <w:rsid w:val="00530354"/>
    <w:rsid w:val="0053625B"/>
    <w:rsid w:val="00537F6A"/>
    <w:rsid w:val="005434C6"/>
    <w:rsid w:val="00543B39"/>
    <w:rsid w:val="00546154"/>
    <w:rsid w:val="0054666D"/>
    <w:rsid w:val="00546747"/>
    <w:rsid w:val="00550096"/>
    <w:rsid w:val="005502C9"/>
    <w:rsid w:val="005514FC"/>
    <w:rsid w:val="00555280"/>
    <w:rsid w:val="0055737D"/>
    <w:rsid w:val="00557FF9"/>
    <w:rsid w:val="005705ED"/>
    <w:rsid w:val="005711D5"/>
    <w:rsid w:val="00575B40"/>
    <w:rsid w:val="00576378"/>
    <w:rsid w:val="00577130"/>
    <w:rsid w:val="00577945"/>
    <w:rsid w:val="00577E38"/>
    <w:rsid w:val="00581EDB"/>
    <w:rsid w:val="00584972"/>
    <w:rsid w:val="00585322"/>
    <w:rsid w:val="005857C6"/>
    <w:rsid w:val="00585EFE"/>
    <w:rsid w:val="005876F4"/>
    <w:rsid w:val="00592F6E"/>
    <w:rsid w:val="00593AD1"/>
    <w:rsid w:val="00597918"/>
    <w:rsid w:val="005A02B5"/>
    <w:rsid w:val="005A3D92"/>
    <w:rsid w:val="005A68B6"/>
    <w:rsid w:val="005B18BF"/>
    <w:rsid w:val="005B2914"/>
    <w:rsid w:val="005B6FAD"/>
    <w:rsid w:val="005C193E"/>
    <w:rsid w:val="005C3580"/>
    <w:rsid w:val="005C5570"/>
    <w:rsid w:val="005C6AB3"/>
    <w:rsid w:val="005C79A4"/>
    <w:rsid w:val="005C79E3"/>
    <w:rsid w:val="005D0160"/>
    <w:rsid w:val="005D22B1"/>
    <w:rsid w:val="005D5442"/>
    <w:rsid w:val="005E282B"/>
    <w:rsid w:val="005E630C"/>
    <w:rsid w:val="005E67FA"/>
    <w:rsid w:val="005E6E7A"/>
    <w:rsid w:val="005F0BEE"/>
    <w:rsid w:val="005F1A35"/>
    <w:rsid w:val="005F68C0"/>
    <w:rsid w:val="006005BA"/>
    <w:rsid w:val="00603F32"/>
    <w:rsid w:val="00605AD4"/>
    <w:rsid w:val="00622815"/>
    <w:rsid w:val="00624DDB"/>
    <w:rsid w:val="00625A6E"/>
    <w:rsid w:val="00632398"/>
    <w:rsid w:val="00632598"/>
    <w:rsid w:val="00633840"/>
    <w:rsid w:val="00640FC3"/>
    <w:rsid w:val="00642020"/>
    <w:rsid w:val="00643433"/>
    <w:rsid w:val="00650882"/>
    <w:rsid w:val="006511C3"/>
    <w:rsid w:val="0065337B"/>
    <w:rsid w:val="0065419D"/>
    <w:rsid w:val="00654544"/>
    <w:rsid w:val="006604D8"/>
    <w:rsid w:val="00664A5B"/>
    <w:rsid w:val="0066735C"/>
    <w:rsid w:val="006763D2"/>
    <w:rsid w:val="00676BBF"/>
    <w:rsid w:val="006772AF"/>
    <w:rsid w:val="00680C08"/>
    <w:rsid w:val="00686CA5"/>
    <w:rsid w:val="006923D2"/>
    <w:rsid w:val="006931B1"/>
    <w:rsid w:val="006A0B49"/>
    <w:rsid w:val="006A15C0"/>
    <w:rsid w:val="006A2906"/>
    <w:rsid w:val="006A7F66"/>
    <w:rsid w:val="006B0FDD"/>
    <w:rsid w:val="006B1B7B"/>
    <w:rsid w:val="006B4075"/>
    <w:rsid w:val="006C3E2A"/>
    <w:rsid w:val="006C4F15"/>
    <w:rsid w:val="006C642F"/>
    <w:rsid w:val="006C648F"/>
    <w:rsid w:val="006C75CD"/>
    <w:rsid w:val="006D03E5"/>
    <w:rsid w:val="006D5D3E"/>
    <w:rsid w:val="006E08B3"/>
    <w:rsid w:val="006E3B19"/>
    <w:rsid w:val="006E6D78"/>
    <w:rsid w:val="006E778C"/>
    <w:rsid w:val="006F17AC"/>
    <w:rsid w:val="006F25B8"/>
    <w:rsid w:val="006F4B15"/>
    <w:rsid w:val="006F572E"/>
    <w:rsid w:val="006F6BAB"/>
    <w:rsid w:val="006F77F2"/>
    <w:rsid w:val="00701465"/>
    <w:rsid w:val="007046D6"/>
    <w:rsid w:val="00705DB0"/>
    <w:rsid w:val="00712B3A"/>
    <w:rsid w:val="0071499B"/>
    <w:rsid w:val="007157AE"/>
    <w:rsid w:val="007166F3"/>
    <w:rsid w:val="0072005F"/>
    <w:rsid w:val="00722B57"/>
    <w:rsid w:val="0072600E"/>
    <w:rsid w:val="00730F8A"/>
    <w:rsid w:val="007349B9"/>
    <w:rsid w:val="00735A8C"/>
    <w:rsid w:val="00736F82"/>
    <w:rsid w:val="0074253D"/>
    <w:rsid w:val="00743462"/>
    <w:rsid w:val="0074429B"/>
    <w:rsid w:val="007473AF"/>
    <w:rsid w:val="00752AA9"/>
    <w:rsid w:val="00752BFE"/>
    <w:rsid w:val="00752E94"/>
    <w:rsid w:val="007615BC"/>
    <w:rsid w:val="007629E7"/>
    <w:rsid w:val="00762F05"/>
    <w:rsid w:val="0076315D"/>
    <w:rsid w:val="007652FF"/>
    <w:rsid w:val="00770EF1"/>
    <w:rsid w:val="00773EF7"/>
    <w:rsid w:val="00774E1D"/>
    <w:rsid w:val="007765D8"/>
    <w:rsid w:val="0077675A"/>
    <w:rsid w:val="00780355"/>
    <w:rsid w:val="007819FD"/>
    <w:rsid w:val="007845EE"/>
    <w:rsid w:val="00785721"/>
    <w:rsid w:val="00786B00"/>
    <w:rsid w:val="00790DCE"/>
    <w:rsid w:val="00793A59"/>
    <w:rsid w:val="00797902"/>
    <w:rsid w:val="007A0BD3"/>
    <w:rsid w:val="007A6F07"/>
    <w:rsid w:val="007B6132"/>
    <w:rsid w:val="007B6A4E"/>
    <w:rsid w:val="007B6E9F"/>
    <w:rsid w:val="007B7D5A"/>
    <w:rsid w:val="007C1216"/>
    <w:rsid w:val="007C1AF7"/>
    <w:rsid w:val="007C3A95"/>
    <w:rsid w:val="007D67D1"/>
    <w:rsid w:val="007D6FF1"/>
    <w:rsid w:val="007D7750"/>
    <w:rsid w:val="007E2E79"/>
    <w:rsid w:val="007F466B"/>
    <w:rsid w:val="00802DB1"/>
    <w:rsid w:val="00805D27"/>
    <w:rsid w:val="00814449"/>
    <w:rsid w:val="00814C56"/>
    <w:rsid w:val="00816C70"/>
    <w:rsid w:val="00821776"/>
    <w:rsid w:val="00824514"/>
    <w:rsid w:val="008321F5"/>
    <w:rsid w:val="00832369"/>
    <w:rsid w:val="00834660"/>
    <w:rsid w:val="00836BC2"/>
    <w:rsid w:val="00843E62"/>
    <w:rsid w:val="008460EB"/>
    <w:rsid w:val="00846D0F"/>
    <w:rsid w:val="0085156D"/>
    <w:rsid w:val="00853D9D"/>
    <w:rsid w:val="0085641B"/>
    <w:rsid w:val="00857136"/>
    <w:rsid w:val="00864F8D"/>
    <w:rsid w:val="008716FB"/>
    <w:rsid w:val="00885B11"/>
    <w:rsid w:val="00886D15"/>
    <w:rsid w:val="0088778D"/>
    <w:rsid w:val="00887DD8"/>
    <w:rsid w:val="00891BA9"/>
    <w:rsid w:val="00896018"/>
    <w:rsid w:val="008960DD"/>
    <w:rsid w:val="0089635C"/>
    <w:rsid w:val="008A1AB4"/>
    <w:rsid w:val="008A2B9D"/>
    <w:rsid w:val="008A3D9F"/>
    <w:rsid w:val="008A5E0B"/>
    <w:rsid w:val="008A6D59"/>
    <w:rsid w:val="008B4B03"/>
    <w:rsid w:val="008B596F"/>
    <w:rsid w:val="008B6ED6"/>
    <w:rsid w:val="008C159F"/>
    <w:rsid w:val="008C1623"/>
    <w:rsid w:val="008C1850"/>
    <w:rsid w:val="008C3320"/>
    <w:rsid w:val="008C51A9"/>
    <w:rsid w:val="008E5702"/>
    <w:rsid w:val="008E6444"/>
    <w:rsid w:val="008E7846"/>
    <w:rsid w:val="008F02E5"/>
    <w:rsid w:val="008F1CCC"/>
    <w:rsid w:val="008F277C"/>
    <w:rsid w:val="008F2967"/>
    <w:rsid w:val="008F57BA"/>
    <w:rsid w:val="008F6943"/>
    <w:rsid w:val="00902A21"/>
    <w:rsid w:val="00906D63"/>
    <w:rsid w:val="00920330"/>
    <w:rsid w:val="009219D7"/>
    <w:rsid w:val="00921A54"/>
    <w:rsid w:val="00922D53"/>
    <w:rsid w:val="00923B70"/>
    <w:rsid w:val="00924482"/>
    <w:rsid w:val="00930237"/>
    <w:rsid w:val="009312E3"/>
    <w:rsid w:val="00937E97"/>
    <w:rsid w:val="00940A89"/>
    <w:rsid w:val="009429F0"/>
    <w:rsid w:val="00943774"/>
    <w:rsid w:val="00944474"/>
    <w:rsid w:val="00945820"/>
    <w:rsid w:val="00946787"/>
    <w:rsid w:val="00946EA5"/>
    <w:rsid w:val="0095223A"/>
    <w:rsid w:val="00963C08"/>
    <w:rsid w:val="00967D2F"/>
    <w:rsid w:val="0097761B"/>
    <w:rsid w:val="009845D2"/>
    <w:rsid w:val="00984BAE"/>
    <w:rsid w:val="00985474"/>
    <w:rsid w:val="0098585A"/>
    <w:rsid w:val="009931A3"/>
    <w:rsid w:val="009A3943"/>
    <w:rsid w:val="009A4CED"/>
    <w:rsid w:val="009A648A"/>
    <w:rsid w:val="009A690D"/>
    <w:rsid w:val="009B1D12"/>
    <w:rsid w:val="009B416B"/>
    <w:rsid w:val="009C2133"/>
    <w:rsid w:val="009C4BD5"/>
    <w:rsid w:val="009D174A"/>
    <w:rsid w:val="009D7B77"/>
    <w:rsid w:val="009E0984"/>
    <w:rsid w:val="009E0BB0"/>
    <w:rsid w:val="009E0EFC"/>
    <w:rsid w:val="009E254E"/>
    <w:rsid w:val="009E3FBB"/>
    <w:rsid w:val="009F3108"/>
    <w:rsid w:val="00A04F85"/>
    <w:rsid w:val="00A05FA4"/>
    <w:rsid w:val="00A06665"/>
    <w:rsid w:val="00A07094"/>
    <w:rsid w:val="00A07B4D"/>
    <w:rsid w:val="00A102E4"/>
    <w:rsid w:val="00A12C42"/>
    <w:rsid w:val="00A14DF7"/>
    <w:rsid w:val="00A2023E"/>
    <w:rsid w:val="00A23D0C"/>
    <w:rsid w:val="00A27669"/>
    <w:rsid w:val="00A3246D"/>
    <w:rsid w:val="00A353FC"/>
    <w:rsid w:val="00A36FA7"/>
    <w:rsid w:val="00A40440"/>
    <w:rsid w:val="00A40F61"/>
    <w:rsid w:val="00A44DDB"/>
    <w:rsid w:val="00A475B7"/>
    <w:rsid w:val="00A47AF7"/>
    <w:rsid w:val="00A47C3E"/>
    <w:rsid w:val="00A50226"/>
    <w:rsid w:val="00A5292E"/>
    <w:rsid w:val="00A530D0"/>
    <w:rsid w:val="00A60BAD"/>
    <w:rsid w:val="00A74F21"/>
    <w:rsid w:val="00A80B5B"/>
    <w:rsid w:val="00A816E2"/>
    <w:rsid w:val="00A8223A"/>
    <w:rsid w:val="00A84E36"/>
    <w:rsid w:val="00A964D1"/>
    <w:rsid w:val="00AA0ED0"/>
    <w:rsid w:val="00AA1278"/>
    <w:rsid w:val="00AA2572"/>
    <w:rsid w:val="00AA4124"/>
    <w:rsid w:val="00AC2B40"/>
    <w:rsid w:val="00AC2BB2"/>
    <w:rsid w:val="00AC2C3C"/>
    <w:rsid w:val="00AC47E5"/>
    <w:rsid w:val="00AC512D"/>
    <w:rsid w:val="00AC5ED6"/>
    <w:rsid w:val="00AC634D"/>
    <w:rsid w:val="00AD0083"/>
    <w:rsid w:val="00AD2810"/>
    <w:rsid w:val="00AD2BDE"/>
    <w:rsid w:val="00AD3935"/>
    <w:rsid w:val="00AE4E0A"/>
    <w:rsid w:val="00AE65EB"/>
    <w:rsid w:val="00AE67A7"/>
    <w:rsid w:val="00AF0537"/>
    <w:rsid w:val="00AF1D94"/>
    <w:rsid w:val="00AF5A7E"/>
    <w:rsid w:val="00AF60C5"/>
    <w:rsid w:val="00B009C6"/>
    <w:rsid w:val="00B01548"/>
    <w:rsid w:val="00B12391"/>
    <w:rsid w:val="00B13EBD"/>
    <w:rsid w:val="00B1771D"/>
    <w:rsid w:val="00B20BD8"/>
    <w:rsid w:val="00B21214"/>
    <w:rsid w:val="00B21D29"/>
    <w:rsid w:val="00B238A6"/>
    <w:rsid w:val="00B25034"/>
    <w:rsid w:val="00B25C56"/>
    <w:rsid w:val="00B33588"/>
    <w:rsid w:val="00B33863"/>
    <w:rsid w:val="00B37D17"/>
    <w:rsid w:val="00B4175E"/>
    <w:rsid w:val="00B452CE"/>
    <w:rsid w:val="00B45558"/>
    <w:rsid w:val="00B45B8F"/>
    <w:rsid w:val="00B54C25"/>
    <w:rsid w:val="00B55EFF"/>
    <w:rsid w:val="00B6555E"/>
    <w:rsid w:val="00B6646D"/>
    <w:rsid w:val="00B672B9"/>
    <w:rsid w:val="00B74F45"/>
    <w:rsid w:val="00B76B91"/>
    <w:rsid w:val="00B77EB1"/>
    <w:rsid w:val="00B811C6"/>
    <w:rsid w:val="00B84259"/>
    <w:rsid w:val="00B855B0"/>
    <w:rsid w:val="00B92E08"/>
    <w:rsid w:val="00B940F8"/>
    <w:rsid w:val="00B952E7"/>
    <w:rsid w:val="00BA0DB5"/>
    <w:rsid w:val="00BA153C"/>
    <w:rsid w:val="00BA421A"/>
    <w:rsid w:val="00BA6CE6"/>
    <w:rsid w:val="00BB1765"/>
    <w:rsid w:val="00BB48FC"/>
    <w:rsid w:val="00BB6B72"/>
    <w:rsid w:val="00BC2120"/>
    <w:rsid w:val="00BC2268"/>
    <w:rsid w:val="00BC4B37"/>
    <w:rsid w:val="00BC622A"/>
    <w:rsid w:val="00BD2203"/>
    <w:rsid w:val="00BD3412"/>
    <w:rsid w:val="00BD5D6D"/>
    <w:rsid w:val="00BD677C"/>
    <w:rsid w:val="00BE0250"/>
    <w:rsid w:val="00BE0A78"/>
    <w:rsid w:val="00BE1A84"/>
    <w:rsid w:val="00BE1ED5"/>
    <w:rsid w:val="00BE2489"/>
    <w:rsid w:val="00BE440D"/>
    <w:rsid w:val="00BE79F0"/>
    <w:rsid w:val="00BF046D"/>
    <w:rsid w:val="00BF1190"/>
    <w:rsid w:val="00BF280B"/>
    <w:rsid w:val="00BF5D04"/>
    <w:rsid w:val="00BF5F1F"/>
    <w:rsid w:val="00C02FBF"/>
    <w:rsid w:val="00C04FE6"/>
    <w:rsid w:val="00C070B0"/>
    <w:rsid w:val="00C1164D"/>
    <w:rsid w:val="00C16861"/>
    <w:rsid w:val="00C20914"/>
    <w:rsid w:val="00C262FE"/>
    <w:rsid w:val="00C268FE"/>
    <w:rsid w:val="00C30337"/>
    <w:rsid w:val="00C346AB"/>
    <w:rsid w:val="00C404A6"/>
    <w:rsid w:val="00C40A36"/>
    <w:rsid w:val="00C412CB"/>
    <w:rsid w:val="00C4305E"/>
    <w:rsid w:val="00C44419"/>
    <w:rsid w:val="00C45E7B"/>
    <w:rsid w:val="00C471B1"/>
    <w:rsid w:val="00C6316B"/>
    <w:rsid w:val="00C634A9"/>
    <w:rsid w:val="00C63FE9"/>
    <w:rsid w:val="00C64586"/>
    <w:rsid w:val="00C64822"/>
    <w:rsid w:val="00C64F77"/>
    <w:rsid w:val="00C70D53"/>
    <w:rsid w:val="00C73D0B"/>
    <w:rsid w:val="00C772FF"/>
    <w:rsid w:val="00C80137"/>
    <w:rsid w:val="00C801AF"/>
    <w:rsid w:val="00C80256"/>
    <w:rsid w:val="00C82663"/>
    <w:rsid w:val="00C8594C"/>
    <w:rsid w:val="00C96500"/>
    <w:rsid w:val="00C9747E"/>
    <w:rsid w:val="00C97967"/>
    <w:rsid w:val="00CA4AA9"/>
    <w:rsid w:val="00CA554D"/>
    <w:rsid w:val="00CB35BE"/>
    <w:rsid w:val="00CB6B67"/>
    <w:rsid w:val="00CB6BC0"/>
    <w:rsid w:val="00CC1B7C"/>
    <w:rsid w:val="00CC727F"/>
    <w:rsid w:val="00CF15C3"/>
    <w:rsid w:val="00CF2B6F"/>
    <w:rsid w:val="00CF2F3E"/>
    <w:rsid w:val="00CF4E30"/>
    <w:rsid w:val="00CF58B6"/>
    <w:rsid w:val="00CF708E"/>
    <w:rsid w:val="00D0062D"/>
    <w:rsid w:val="00D017ED"/>
    <w:rsid w:val="00D040D3"/>
    <w:rsid w:val="00D04C65"/>
    <w:rsid w:val="00D11FA8"/>
    <w:rsid w:val="00D201D2"/>
    <w:rsid w:val="00D2042C"/>
    <w:rsid w:val="00D2165F"/>
    <w:rsid w:val="00D224FE"/>
    <w:rsid w:val="00D23139"/>
    <w:rsid w:val="00D23BBD"/>
    <w:rsid w:val="00D32066"/>
    <w:rsid w:val="00D34982"/>
    <w:rsid w:val="00D425BB"/>
    <w:rsid w:val="00D61A9B"/>
    <w:rsid w:val="00D6480D"/>
    <w:rsid w:val="00D6493E"/>
    <w:rsid w:val="00D66E90"/>
    <w:rsid w:val="00D7195D"/>
    <w:rsid w:val="00D7301E"/>
    <w:rsid w:val="00D743F6"/>
    <w:rsid w:val="00D83AE1"/>
    <w:rsid w:val="00D855D4"/>
    <w:rsid w:val="00D87579"/>
    <w:rsid w:val="00D9062F"/>
    <w:rsid w:val="00D908DF"/>
    <w:rsid w:val="00D9204A"/>
    <w:rsid w:val="00D92ACC"/>
    <w:rsid w:val="00D93466"/>
    <w:rsid w:val="00D97088"/>
    <w:rsid w:val="00DA0022"/>
    <w:rsid w:val="00DA1124"/>
    <w:rsid w:val="00DA3489"/>
    <w:rsid w:val="00DA4A89"/>
    <w:rsid w:val="00DB1CAB"/>
    <w:rsid w:val="00DB6124"/>
    <w:rsid w:val="00DB750B"/>
    <w:rsid w:val="00DB75B7"/>
    <w:rsid w:val="00DB7798"/>
    <w:rsid w:val="00DC6131"/>
    <w:rsid w:val="00DC6E02"/>
    <w:rsid w:val="00DD5297"/>
    <w:rsid w:val="00DE02AE"/>
    <w:rsid w:val="00DF1D7F"/>
    <w:rsid w:val="00DF4BE4"/>
    <w:rsid w:val="00DF5D3F"/>
    <w:rsid w:val="00DF7D6E"/>
    <w:rsid w:val="00E02FB4"/>
    <w:rsid w:val="00E13FC7"/>
    <w:rsid w:val="00E15CDA"/>
    <w:rsid w:val="00E20571"/>
    <w:rsid w:val="00E23270"/>
    <w:rsid w:val="00E235F7"/>
    <w:rsid w:val="00E23659"/>
    <w:rsid w:val="00E239D4"/>
    <w:rsid w:val="00E23EAA"/>
    <w:rsid w:val="00E2402A"/>
    <w:rsid w:val="00E26130"/>
    <w:rsid w:val="00E40B22"/>
    <w:rsid w:val="00E44726"/>
    <w:rsid w:val="00E44ED1"/>
    <w:rsid w:val="00E455DD"/>
    <w:rsid w:val="00E45619"/>
    <w:rsid w:val="00E4588F"/>
    <w:rsid w:val="00E46DA3"/>
    <w:rsid w:val="00E509F5"/>
    <w:rsid w:val="00E51BB1"/>
    <w:rsid w:val="00E60025"/>
    <w:rsid w:val="00E624A5"/>
    <w:rsid w:val="00E64BA4"/>
    <w:rsid w:val="00E65757"/>
    <w:rsid w:val="00E7344E"/>
    <w:rsid w:val="00E74850"/>
    <w:rsid w:val="00E81C12"/>
    <w:rsid w:val="00E823EC"/>
    <w:rsid w:val="00E87ABB"/>
    <w:rsid w:val="00E90B6D"/>
    <w:rsid w:val="00E9118E"/>
    <w:rsid w:val="00E94BF3"/>
    <w:rsid w:val="00EB0798"/>
    <w:rsid w:val="00EB27E3"/>
    <w:rsid w:val="00EB40AD"/>
    <w:rsid w:val="00EB586E"/>
    <w:rsid w:val="00EB5FC8"/>
    <w:rsid w:val="00EC79CE"/>
    <w:rsid w:val="00EC7A85"/>
    <w:rsid w:val="00ED1347"/>
    <w:rsid w:val="00ED3CAD"/>
    <w:rsid w:val="00ED5A41"/>
    <w:rsid w:val="00EE185F"/>
    <w:rsid w:val="00EE1DE8"/>
    <w:rsid w:val="00EE258A"/>
    <w:rsid w:val="00EE5083"/>
    <w:rsid w:val="00F0044B"/>
    <w:rsid w:val="00F00C19"/>
    <w:rsid w:val="00F033EC"/>
    <w:rsid w:val="00F04F68"/>
    <w:rsid w:val="00F12670"/>
    <w:rsid w:val="00F14B27"/>
    <w:rsid w:val="00F204B7"/>
    <w:rsid w:val="00F244A5"/>
    <w:rsid w:val="00F279B1"/>
    <w:rsid w:val="00F3148D"/>
    <w:rsid w:val="00F325C5"/>
    <w:rsid w:val="00F32FE0"/>
    <w:rsid w:val="00F336D5"/>
    <w:rsid w:val="00F35298"/>
    <w:rsid w:val="00F412CA"/>
    <w:rsid w:val="00F47333"/>
    <w:rsid w:val="00F47771"/>
    <w:rsid w:val="00F47E37"/>
    <w:rsid w:val="00F53C07"/>
    <w:rsid w:val="00F54B65"/>
    <w:rsid w:val="00F640B6"/>
    <w:rsid w:val="00F72391"/>
    <w:rsid w:val="00F762D2"/>
    <w:rsid w:val="00F80E40"/>
    <w:rsid w:val="00F848D9"/>
    <w:rsid w:val="00FA00B0"/>
    <w:rsid w:val="00FA5B82"/>
    <w:rsid w:val="00FA639E"/>
    <w:rsid w:val="00FC25E4"/>
    <w:rsid w:val="00FC4EF7"/>
    <w:rsid w:val="00FC54CF"/>
    <w:rsid w:val="00FC560B"/>
    <w:rsid w:val="00FD0824"/>
    <w:rsid w:val="00FD119B"/>
    <w:rsid w:val="00FD17A4"/>
    <w:rsid w:val="00FD1EDC"/>
    <w:rsid w:val="00FD3696"/>
    <w:rsid w:val="00FE140A"/>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94B8A"/>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link w:val="FootnoteText"/>
    <w:uiPriority w:val="99"/>
    <w:rsid w:val="001B5C90"/>
    <w:rPr>
      <w:rFonts w:ascii="Cambria" w:eastAsia="Cambria" w:hAnsi="Cambria" w:cs="Times New Roman"/>
      <w:sz w:val="18"/>
      <w:szCs w:val="20"/>
    </w:rPr>
  </w:style>
  <w:style w:type="character" w:styleId="FootnoteReference">
    <w:name w:val="footnote reference"/>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PMingLiU"/>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link w:val="EndnoteText"/>
    <w:uiPriority w:val="99"/>
    <w:semiHidden/>
    <w:rsid w:val="000E6196"/>
    <w:rPr>
      <w:rFonts w:ascii="Cambria" w:eastAsia="Cambria" w:hAnsi="Cambria" w:cs="Times New Roman"/>
      <w:sz w:val="20"/>
      <w:szCs w:val="20"/>
    </w:rPr>
  </w:style>
  <w:style w:type="character" w:styleId="EndnoteReference">
    <w:name w:val="endnote reference"/>
    <w:uiPriority w:val="99"/>
    <w:semiHidden/>
    <w:unhideWhenUsed/>
    <w:rsid w:val="000E6196"/>
    <w:rPr>
      <w:vertAlign w:val="superscript"/>
    </w:rPr>
  </w:style>
  <w:style w:type="paragraph" w:customStyle="1" w:styleId="Abbreviations">
    <w:name w:val="Abbreviations"/>
    <w:basedOn w:val="Normal"/>
    <w:rsid w:val="00F7239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090122"/>
    <w:pPr>
      <w:numPr>
        <w:numId w:val="8"/>
      </w:numPr>
      <w:tabs>
        <w:tab w:val="clear" w:pos="284"/>
      </w:tabs>
      <w:spacing w:after="0" w:line="240" w:lineRule="auto"/>
    </w:pPr>
    <w:rPr>
      <w:rFonts w:eastAsia="Times New Roman"/>
      <w:kern w:val="24"/>
      <w:szCs w:val="24"/>
      <w:lang w:eastAsia="en-AU"/>
    </w:rPr>
  </w:style>
  <w:style w:type="paragraph" w:styleId="ListParagraph">
    <w:name w:val="List Paragraph"/>
    <w:basedOn w:val="Normal"/>
    <w:uiPriority w:val="34"/>
    <w:qFormat/>
    <w:rsid w:val="003366F6"/>
    <w:pPr>
      <w:ind w:left="851"/>
    </w:pPr>
  </w:style>
  <w:style w:type="paragraph" w:customStyle="1" w:styleId="Default">
    <w:name w:val="Default"/>
    <w:rsid w:val="00BB48FC"/>
    <w:pPr>
      <w:autoSpaceDE w:val="0"/>
      <w:autoSpaceDN w:val="0"/>
      <w:adjustRightInd w:val="0"/>
    </w:pPr>
    <w:rPr>
      <w:rFonts w:cs="Cambria"/>
      <w:color w:val="000000"/>
      <w:sz w:val="24"/>
      <w:szCs w:val="24"/>
    </w:rPr>
  </w:style>
  <w:style w:type="character" w:styleId="CommentReference">
    <w:name w:val="annotation reference"/>
    <w:rsid w:val="002545D2"/>
    <w:rPr>
      <w:sz w:val="16"/>
      <w:szCs w:val="16"/>
    </w:rPr>
  </w:style>
  <w:style w:type="paragraph" w:styleId="CommentText">
    <w:name w:val="annotation text"/>
    <w:basedOn w:val="Normal"/>
    <w:link w:val="CommentTextChar"/>
    <w:rsid w:val="002545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2545D2"/>
    <w:rPr>
      <w:rFonts w:ascii="Times New Roman" w:eastAsia="Times New Roman" w:hAnsi="Times New Roman"/>
      <w:kern w:val="16"/>
    </w:rPr>
  </w:style>
  <w:style w:type="paragraph" w:styleId="CommentSubject">
    <w:name w:val="annotation subject"/>
    <w:basedOn w:val="CommentText"/>
    <w:next w:val="CommentText"/>
    <w:link w:val="CommentSubjectChar"/>
    <w:uiPriority w:val="99"/>
    <w:semiHidden/>
    <w:unhideWhenUsed/>
    <w:rsid w:val="006C75C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line="240" w:lineRule="atLeast"/>
    </w:pPr>
    <w:rPr>
      <w:rFonts w:ascii="Cambria" w:eastAsia="Cambria" w:hAnsi="Cambria"/>
      <w:b/>
      <w:bCs/>
      <w:kern w:val="0"/>
      <w:lang w:eastAsia="en-US"/>
    </w:rPr>
  </w:style>
  <w:style w:type="character" w:customStyle="1" w:styleId="CommentSubjectChar">
    <w:name w:val="Comment Subject Char"/>
    <w:basedOn w:val="CommentTextChar"/>
    <w:link w:val="CommentSubject"/>
    <w:uiPriority w:val="99"/>
    <w:semiHidden/>
    <w:rsid w:val="006C75CD"/>
    <w:rPr>
      <w:rFonts w:ascii="Times New Roman" w:eastAsia="Times New Roman" w:hAnsi="Times New Roman"/>
      <w:b/>
      <w:bCs/>
      <w:kern w:val="16"/>
      <w:lang w:eastAsia="en-US"/>
    </w:rPr>
  </w:style>
  <w:style w:type="paragraph" w:styleId="Revision">
    <w:name w:val="Revision"/>
    <w:hidden/>
    <w:uiPriority w:val="99"/>
    <w:semiHidden/>
    <w:rsid w:val="00F244A5"/>
    <w:rPr>
      <w:sz w:val="22"/>
      <w:szCs w:val="22"/>
      <w:lang w:eastAsia="en-US"/>
    </w:rPr>
  </w:style>
  <w:style w:type="paragraph" w:customStyle="1" w:styleId="C-Bullet">
    <w:name w:val="C-Bullet"/>
    <w:rsid w:val="009E0984"/>
    <w:pPr>
      <w:numPr>
        <w:numId w:val="30"/>
      </w:numPr>
      <w:spacing w:before="120" w:after="120" w:line="280" w:lineRule="atLeast"/>
    </w:pPr>
    <w:rPr>
      <w:rFonts w:ascii="Times New Roman" w:eastAsia="Times New Roman" w:hAnsi="Times New Roman"/>
      <w:sz w:val="24"/>
      <w:lang w:val="en-US" w:eastAsia="en-US"/>
    </w:rPr>
  </w:style>
  <w:style w:type="paragraph" w:customStyle="1" w:styleId="C-BulletIndented">
    <w:name w:val="C-Bullet Indented"/>
    <w:rsid w:val="009E0984"/>
    <w:pPr>
      <w:numPr>
        <w:ilvl w:val="1"/>
        <w:numId w:val="30"/>
      </w:numPr>
      <w:spacing w:before="120" w:after="120" w:line="280" w:lineRule="atLeast"/>
    </w:pPr>
    <w:rPr>
      <w:rFonts w:ascii="Times New Roman" w:eastAsia="Times New Roman" w:hAnsi="Times New Roman" w:cs="Arial"/>
      <w:sz w:val="24"/>
      <w:lang w:val="en-US" w:eastAsia="en-US"/>
    </w:rPr>
  </w:style>
  <w:style w:type="paragraph" w:customStyle="1" w:styleId="C-BulletIndented2">
    <w:name w:val="C-Bullet Indented 2"/>
    <w:rsid w:val="009E0984"/>
    <w:pPr>
      <w:numPr>
        <w:ilvl w:val="2"/>
        <w:numId w:val="30"/>
      </w:numPr>
      <w:spacing w:before="120" w:after="120"/>
    </w:pPr>
    <w:rPr>
      <w:rFonts w:ascii="Times New Roman" w:eastAsia="Times New Roman" w:hAnsi="Times New Roman" w:cs="Arial"/>
      <w:sz w:val="24"/>
      <w:lang w:val="en-US" w:eastAsia="en-US"/>
    </w:rPr>
  </w:style>
  <w:style w:type="numbering" w:customStyle="1" w:styleId="UCBBullets">
    <w:name w:val="UCB Bullets"/>
    <w:rsid w:val="009E0984"/>
    <w:pPr>
      <w:numPr>
        <w:numId w:val="30"/>
      </w:numPr>
    </w:pPr>
  </w:style>
  <w:style w:type="paragraph" w:customStyle="1" w:styleId="C-BodyText">
    <w:name w:val="C-Body Text"/>
    <w:rsid w:val="001745E9"/>
    <w:pPr>
      <w:spacing w:before="120" w:after="120" w:line="280" w:lineRule="atLeast"/>
    </w:pPr>
    <w:rPr>
      <w:rFonts w:ascii="Times New Roman" w:eastAsia="Times New Roman" w:hAnsi="Times New Roman"/>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94B8A"/>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link w:val="FootnoteText"/>
    <w:uiPriority w:val="99"/>
    <w:rsid w:val="001B5C90"/>
    <w:rPr>
      <w:rFonts w:ascii="Cambria" w:eastAsia="Cambria" w:hAnsi="Cambria" w:cs="Times New Roman"/>
      <w:sz w:val="18"/>
      <w:szCs w:val="20"/>
    </w:rPr>
  </w:style>
  <w:style w:type="character" w:styleId="FootnoteReference">
    <w:name w:val="footnote reference"/>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PMingLiU"/>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link w:val="EndnoteText"/>
    <w:uiPriority w:val="99"/>
    <w:semiHidden/>
    <w:rsid w:val="000E6196"/>
    <w:rPr>
      <w:rFonts w:ascii="Cambria" w:eastAsia="Cambria" w:hAnsi="Cambria" w:cs="Times New Roman"/>
      <w:sz w:val="20"/>
      <w:szCs w:val="20"/>
    </w:rPr>
  </w:style>
  <w:style w:type="character" w:styleId="EndnoteReference">
    <w:name w:val="endnote reference"/>
    <w:uiPriority w:val="99"/>
    <w:semiHidden/>
    <w:unhideWhenUsed/>
    <w:rsid w:val="000E6196"/>
    <w:rPr>
      <w:vertAlign w:val="superscript"/>
    </w:rPr>
  </w:style>
  <w:style w:type="paragraph" w:customStyle="1" w:styleId="Abbreviations">
    <w:name w:val="Abbreviations"/>
    <w:basedOn w:val="Normal"/>
    <w:rsid w:val="00F7239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090122"/>
    <w:pPr>
      <w:numPr>
        <w:numId w:val="8"/>
      </w:numPr>
      <w:tabs>
        <w:tab w:val="clear" w:pos="284"/>
      </w:tabs>
      <w:spacing w:after="0" w:line="240" w:lineRule="auto"/>
    </w:pPr>
    <w:rPr>
      <w:rFonts w:eastAsia="Times New Roman"/>
      <w:kern w:val="24"/>
      <w:szCs w:val="24"/>
      <w:lang w:eastAsia="en-AU"/>
    </w:rPr>
  </w:style>
  <w:style w:type="paragraph" w:styleId="ListParagraph">
    <w:name w:val="List Paragraph"/>
    <w:basedOn w:val="Normal"/>
    <w:uiPriority w:val="34"/>
    <w:qFormat/>
    <w:rsid w:val="003366F6"/>
    <w:pPr>
      <w:ind w:left="851"/>
    </w:pPr>
  </w:style>
  <w:style w:type="paragraph" w:customStyle="1" w:styleId="Default">
    <w:name w:val="Default"/>
    <w:rsid w:val="00BB48FC"/>
    <w:pPr>
      <w:autoSpaceDE w:val="0"/>
      <w:autoSpaceDN w:val="0"/>
      <w:adjustRightInd w:val="0"/>
    </w:pPr>
    <w:rPr>
      <w:rFonts w:cs="Cambria"/>
      <w:color w:val="000000"/>
      <w:sz w:val="24"/>
      <w:szCs w:val="24"/>
    </w:rPr>
  </w:style>
  <w:style w:type="character" w:styleId="CommentReference">
    <w:name w:val="annotation reference"/>
    <w:rsid w:val="002545D2"/>
    <w:rPr>
      <w:sz w:val="16"/>
      <w:szCs w:val="16"/>
    </w:rPr>
  </w:style>
  <w:style w:type="paragraph" w:styleId="CommentText">
    <w:name w:val="annotation text"/>
    <w:basedOn w:val="Normal"/>
    <w:link w:val="CommentTextChar"/>
    <w:rsid w:val="002545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2545D2"/>
    <w:rPr>
      <w:rFonts w:ascii="Times New Roman" w:eastAsia="Times New Roman" w:hAnsi="Times New Roman"/>
      <w:kern w:val="16"/>
    </w:rPr>
  </w:style>
  <w:style w:type="paragraph" w:styleId="CommentSubject">
    <w:name w:val="annotation subject"/>
    <w:basedOn w:val="CommentText"/>
    <w:next w:val="CommentText"/>
    <w:link w:val="CommentSubjectChar"/>
    <w:uiPriority w:val="99"/>
    <w:semiHidden/>
    <w:unhideWhenUsed/>
    <w:rsid w:val="006C75C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line="240" w:lineRule="atLeast"/>
    </w:pPr>
    <w:rPr>
      <w:rFonts w:ascii="Cambria" w:eastAsia="Cambria" w:hAnsi="Cambria"/>
      <w:b/>
      <w:bCs/>
      <w:kern w:val="0"/>
      <w:lang w:eastAsia="en-US"/>
    </w:rPr>
  </w:style>
  <w:style w:type="character" w:customStyle="1" w:styleId="CommentSubjectChar">
    <w:name w:val="Comment Subject Char"/>
    <w:basedOn w:val="CommentTextChar"/>
    <w:link w:val="CommentSubject"/>
    <w:uiPriority w:val="99"/>
    <w:semiHidden/>
    <w:rsid w:val="006C75CD"/>
    <w:rPr>
      <w:rFonts w:ascii="Times New Roman" w:eastAsia="Times New Roman" w:hAnsi="Times New Roman"/>
      <w:b/>
      <w:bCs/>
      <w:kern w:val="16"/>
      <w:lang w:eastAsia="en-US"/>
    </w:rPr>
  </w:style>
  <w:style w:type="paragraph" w:styleId="Revision">
    <w:name w:val="Revision"/>
    <w:hidden/>
    <w:uiPriority w:val="99"/>
    <w:semiHidden/>
    <w:rsid w:val="00F244A5"/>
    <w:rPr>
      <w:sz w:val="22"/>
      <w:szCs w:val="22"/>
      <w:lang w:eastAsia="en-US"/>
    </w:rPr>
  </w:style>
  <w:style w:type="paragraph" w:customStyle="1" w:styleId="C-Bullet">
    <w:name w:val="C-Bullet"/>
    <w:rsid w:val="009E0984"/>
    <w:pPr>
      <w:numPr>
        <w:numId w:val="30"/>
      </w:numPr>
      <w:spacing w:before="120" w:after="120" w:line="280" w:lineRule="atLeast"/>
    </w:pPr>
    <w:rPr>
      <w:rFonts w:ascii="Times New Roman" w:eastAsia="Times New Roman" w:hAnsi="Times New Roman"/>
      <w:sz w:val="24"/>
      <w:lang w:val="en-US" w:eastAsia="en-US"/>
    </w:rPr>
  </w:style>
  <w:style w:type="paragraph" w:customStyle="1" w:styleId="C-BulletIndented">
    <w:name w:val="C-Bullet Indented"/>
    <w:rsid w:val="009E0984"/>
    <w:pPr>
      <w:numPr>
        <w:ilvl w:val="1"/>
        <w:numId w:val="30"/>
      </w:numPr>
      <w:spacing w:before="120" w:after="120" w:line="280" w:lineRule="atLeast"/>
    </w:pPr>
    <w:rPr>
      <w:rFonts w:ascii="Times New Roman" w:eastAsia="Times New Roman" w:hAnsi="Times New Roman" w:cs="Arial"/>
      <w:sz w:val="24"/>
      <w:lang w:val="en-US" w:eastAsia="en-US"/>
    </w:rPr>
  </w:style>
  <w:style w:type="paragraph" w:customStyle="1" w:styleId="C-BulletIndented2">
    <w:name w:val="C-Bullet Indented 2"/>
    <w:rsid w:val="009E0984"/>
    <w:pPr>
      <w:numPr>
        <w:ilvl w:val="2"/>
        <w:numId w:val="30"/>
      </w:numPr>
      <w:spacing w:before="120" w:after="120"/>
    </w:pPr>
    <w:rPr>
      <w:rFonts w:ascii="Times New Roman" w:eastAsia="Times New Roman" w:hAnsi="Times New Roman" w:cs="Arial"/>
      <w:sz w:val="24"/>
      <w:lang w:val="en-US" w:eastAsia="en-US"/>
    </w:rPr>
  </w:style>
  <w:style w:type="numbering" w:customStyle="1" w:styleId="UCBBullets">
    <w:name w:val="UCB Bullets"/>
    <w:rsid w:val="009E0984"/>
    <w:pPr>
      <w:numPr>
        <w:numId w:val="30"/>
      </w:numPr>
    </w:pPr>
  </w:style>
  <w:style w:type="paragraph" w:customStyle="1" w:styleId="C-BodyText">
    <w:name w:val="C-Body Text"/>
    <w:rsid w:val="001745E9"/>
    <w:pPr>
      <w:spacing w:before="120" w:after="120" w:line="280" w:lineRule="atLeast"/>
    </w:pPr>
    <w:rPr>
      <w:rFonts w:ascii="Times New Roman" w:eastAsia="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076403">
      <w:bodyDiv w:val="1"/>
      <w:marLeft w:val="0"/>
      <w:marRight w:val="0"/>
      <w:marTop w:val="0"/>
      <w:marBottom w:val="0"/>
      <w:divBdr>
        <w:top w:val="none" w:sz="0" w:space="0" w:color="auto"/>
        <w:left w:val="none" w:sz="0" w:space="0" w:color="auto"/>
        <w:bottom w:val="none" w:sz="0" w:space="0" w:color="auto"/>
        <w:right w:val="none" w:sz="0" w:space="0" w:color="auto"/>
      </w:divBdr>
    </w:div>
    <w:div w:id="343634823">
      <w:bodyDiv w:val="1"/>
      <w:marLeft w:val="0"/>
      <w:marRight w:val="0"/>
      <w:marTop w:val="0"/>
      <w:marBottom w:val="0"/>
      <w:divBdr>
        <w:top w:val="none" w:sz="0" w:space="0" w:color="auto"/>
        <w:left w:val="none" w:sz="0" w:space="0" w:color="auto"/>
        <w:bottom w:val="none" w:sz="0" w:space="0" w:color="auto"/>
        <w:right w:val="none" w:sz="0" w:space="0" w:color="auto"/>
      </w:divBdr>
    </w:div>
    <w:div w:id="5370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s://www.tga.gov.au/product-information-pi" TargetMode="External"/><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mjan\AppData\Local\Hewlett-Packard\HP%20TRIM\TEMP\HPTRIM.5188\R12%20926607%20%20AusPAR%20-%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056A4-3CC8-46C7-B8F5-D918DEC55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43</TotalTime>
  <Pages>39</Pages>
  <Words>13665</Words>
  <Characters>74344</Characters>
  <Application>Microsoft Office Word</Application>
  <DocSecurity>0</DocSecurity>
  <Lines>1517</Lines>
  <Paragraphs>733</Paragraphs>
  <ScaleCrop>false</ScaleCrop>
  <HeadingPairs>
    <vt:vector size="2" baseType="variant">
      <vt:variant>
        <vt:lpstr>Title</vt:lpstr>
      </vt:variant>
      <vt:variant>
        <vt:i4>1</vt:i4>
      </vt:variant>
    </vt:vector>
  </HeadingPairs>
  <TitlesOfParts>
    <vt:vector size="1" baseType="lpstr">
      <vt:lpstr>Australian Public Assessment Report for Certolizumab pegol (rbe)</vt:lpstr>
    </vt:vector>
  </TitlesOfParts>
  <Company>Department of Health Therapeutic Goods Administration</Company>
  <LinksUpToDate>false</LinksUpToDate>
  <CharactersWithSpaces>87276</CharactersWithSpaces>
  <SharedDoc>false</SharedDoc>
  <HLinks>
    <vt:vector size="318" baseType="variant">
      <vt:variant>
        <vt:i4>3473445</vt:i4>
      </vt:variant>
      <vt:variant>
        <vt:i4>345</vt:i4>
      </vt:variant>
      <vt:variant>
        <vt:i4>0</vt:i4>
      </vt:variant>
      <vt:variant>
        <vt:i4>5</vt:i4>
      </vt:variant>
      <vt:variant>
        <vt:lpwstr>https://www.tga.gov.au/</vt:lpwstr>
      </vt:variant>
      <vt:variant>
        <vt:lpwstr/>
      </vt:variant>
      <vt:variant>
        <vt:i4>5242926</vt:i4>
      </vt:variant>
      <vt:variant>
        <vt:i4>342</vt:i4>
      </vt:variant>
      <vt:variant>
        <vt:i4>0</vt:i4>
      </vt:variant>
      <vt:variant>
        <vt:i4>5</vt:i4>
      </vt:variant>
      <vt:variant>
        <vt:lpwstr>mailto:info@tga.gov.au</vt:lpwstr>
      </vt:variant>
      <vt:variant>
        <vt:lpwstr/>
      </vt:variant>
      <vt:variant>
        <vt:i4>4194312</vt:i4>
      </vt:variant>
      <vt:variant>
        <vt:i4>339</vt:i4>
      </vt:variant>
      <vt:variant>
        <vt:i4>0</vt:i4>
      </vt:variant>
      <vt:variant>
        <vt:i4>5</vt:i4>
      </vt:variant>
      <vt:variant>
        <vt:lpwstr>https://www.tga.gov.au/product-information-pi</vt:lpwstr>
      </vt:variant>
      <vt:variant>
        <vt:lpwstr/>
      </vt:variant>
      <vt:variant>
        <vt:i4>4194312</vt:i4>
      </vt:variant>
      <vt:variant>
        <vt:i4>291</vt:i4>
      </vt:variant>
      <vt:variant>
        <vt:i4>0</vt:i4>
      </vt:variant>
      <vt:variant>
        <vt:i4>5</vt:i4>
      </vt:variant>
      <vt:variant>
        <vt:lpwstr>https://www.tga.gov.au/product-information-pi</vt:lpwstr>
      </vt:variant>
      <vt:variant>
        <vt:lpwstr/>
      </vt:variant>
      <vt:variant>
        <vt:i4>1310778</vt:i4>
      </vt:variant>
      <vt:variant>
        <vt:i4>284</vt:i4>
      </vt:variant>
      <vt:variant>
        <vt:i4>0</vt:i4>
      </vt:variant>
      <vt:variant>
        <vt:i4>5</vt:i4>
      </vt:variant>
      <vt:variant>
        <vt:lpwstr/>
      </vt:variant>
      <vt:variant>
        <vt:lpwstr>_Toc404692372</vt:lpwstr>
      </vt:variant>
      <vt:variant>
        <vt:i4>1310778</vt:i4>
      </vt:variant>
      <vt:variant>
        <vt:i4>278</vt:i4>
      </vt:variant>
      <vt:variant>
        <vt:i4>0</vt:i4>
      </vt:variant>
      <vt:variant>
        <vt:i4>5</vt:i4>
      </vt:variant>
      <vt:variant>
        <vt:lpwstr/>
      </vt:variant>
      <vt:variant>
        <vt:lpwstr>_Toc404692371</vt:lpwstr>
      </vt:variant>
      <vt:variant>
        <vt:i4>1310778</vt:i4>
      </vt:variant>
      <vt:variant>
        <vt:i4>272</vt:i4>
      </vt:variant>
      <vt:variant>
        <vt:i4>0</vt:i4>
      </vt:variant>
      <vt:variant>
        <vt:i4>5</vt:i4>
      </vt:variant>
      <vt:variant>
        <vt:lpwstr/>
      </vt:variant>
      <vt:variant>
        <vt:lpwstr>_Toc404692370</vt:lpwstr>
      </vt:variant>
      <vt:variant>
        <vt:i4>1376314</vt:i4>
      </vt:variant>
      <vt:variant>
        <vt:i4>266</vt:i4>
      </vt:variant>
      <vt:variant>
        <vt:i4>0</vt:i4>
      </vt:variant>
      <vt:variant>
        <vt:i4>5</vt:i4>
      </vt:variant>
      <vt:variant>
        <vt:lpwstr/>
      </vt:variant>
      <vt:variant>
        <vt:lpwstr>_Toc404692369</vt:lpwstr>
      </vt:variant>
      <vt:variant>
        <vt:i4>1376314</vt:i4>
      </vt:variant>
      <vt:variant>
        <vt:i4>260</vt:i4>
      </vt:variant>
      <vt:variant>
        <vt:i4>0</vt:i4>
      </vt:variant>
      <vt:variant>
        <vt:i4>5</vt:i4>
      </vt:variant>
      <vt:variant>
        <vt:lpwstr/>
      </vt:variant>
      <vt:variant>
        <vt:lpwstr>_Toc404692368</vt:lpwstr>
      </vt:variant>
      <vt:variant>
        <vt:i4>1376314</vt:i4>
      </vt:variant>
      <vt:variant>
        <vt:i4>254</vt:i4>
      </vt:variant>
      <vt:variant>
        <vt:i4>0</vt:i4>
      </vt:variant>
      <vt:variant>
        <vt:i4>5</vt:i4>
      </vt:variant>
      <vt:variant>
        <vt:lpwstr/>
      </vt:variant>
      <vt:variant>
        <vt:lpwstr>_Toc404692367</vt:lpwstr>
      </vt:variant>
      <vt:variant>
        <vt:i4>1376314</vt:i4>
      </vt:variant>
      <vt:variant>
        <vt:i4>248</vt:i4>
      </vt:variant>
      <vt:variant>
        <vt:i4>0</vt:i4>
      </vt:variant>
      <vt:variant>
        <vt:i4>5</vt:i4>
      </vt:variant>
      <vt:variant>
        <vt:lpwstr/>
      </vt:variant>
      <vt:variant>
        <vt:lpwstr>_Toc404692366</vt:lpwstr>
      </vt:variant>
      <vt:variant>
        <vt:i4>1376314</vt:i4>
      </vt:variant>
      <vt:variant>
        <vt:i4>242</vt:i4>
      </vt:variant>
      <vt:variant>
        <vt:i4>0</vt:i4>
      </vt:variant>
      <vt:variant>
        <vt:i4>5</vt:i4>
      </vt:variant>
      <vt:variant>
        <vt:lpwstr/>
      </vt:variant>
      <vt:variant>
        <vt:lpwstr>_Toc404692365</vt:lpwstr>
      </vt:variant>
      <vt:variant>
        <vt:i4>1376314</vt:i4>
      </vt:variant>
      <vt:variant>
        <vt:i4>236</vt:i4>
      </vt:variant>
      <vt:variant>
        <vt:i4>0</vt:i4>
      </vt:variant>
      <vt:variant>
        <vt:i4>5</vt:i4>
      </vt:variant>
      <vt:variant>
        <vt:lpwstr/>
      </vt:variant>
      <vt:variant>
        <vt:lpwstr>_Toc404692364</vt:lpwstr>
      </vt:variant>
      <vt:variant>
        <vt:i4>1376314</vt:i4>
      </vt:variant>
      <vt:variant>
        <vt:i4>230</vt:i4>
      </vt:variant>
      <vt:variant>
        <vt:i4>0</vt:i4>
      </vt:variant>
      <vt:variant>
        <vt:i4>5</vt:i4>
      </vt:variant>
      <vt:variant>
        <vt:lpwstr/>
      </vt:variant>
      <vt:variant>
        <vt:lpwstr>_Toc404692363</vt:lpwstr>
      </vt:variant>
      <vt:variant>
        <vt:i4>1376314</vt:i4>
      </vt:variant>
      <vt:variant>
        <vt:i4>224</vt:i4>
      </vt:variant>
      <vt:variant>
        <vt:i4>0</vt:i4>
      </vt:variant>
      <vt:variant>
        <vt:i4>5</vt:i4>
      </vt:variant>
      <vt:variant>
        <vt:lpwstr/>
      </vt:variant>
      <vt:variant>
        <vt:lpwstr>_Toc404692362</vt:lpwstr>
      </vt:variant>
      <vt:variant>
        <vt:i4>1376314</vt:i4>
      </vt:variant>
      <vt:variant>
        <vt:i4>218</vt:i4>
      </vt:variant>
      <vt:variant>
        <vt:i4>0</vt:i4>
      </vt:variant>
      <vt:variant>
        <vt:i4>5</vt:i4>
      </vt:variant>
      <vt:variant>
        <vt:lpwstr/>
      </vt:variant>
      <vt:variant>
        <vt:lpwstr>_Toc404692361</vt:lpwstr>
      </vt:variant>
      <vt:variant>
        <vt:i4>1376314</vt:i4>
      </vt:variant>
      <vt:variant>
        <vt:i4>212</vt:i4>
      </vt:variant>
      <vt:variant>
        <vt:i4>0</vt:i4>
      </vt:variant>
      <vt:variant>
        <vt:i4>5</vt:i4>
      </vt:variant>
      <vt:variant>
        <vt:lpwstr/>
      </vt:variant>
      <vt:variant>
        <vt:lpwstr>_Toc404692360</vt:lpwstr>
      </vt:variant>
      <vt:variant>
        <vt:i4>1441850</vt:i4>
      </vt:variant>
      <vt:variant>
        <vt:i4>206</vt:i4>
      </vt:variant>
      <vt:variant>
        <vt:i4>0</vt:i4>
      </vt:variant>
      <vt:variant>
        <vt:i4>5</vt:i4>
      </vt:variant>
      <vt:variant>
        <vt:lpwstr/>
      </vt:variant>
      <vt:variant>
        <vt:lpwstr>_Toc404692359</vt:lpwstr>
      </vt:variant>
      <vt:variant>
        <vt:i4>1441850</vt:i4>
      </vt:variant>
      <vt:variant>
        <vt:i4>200</vt:i4>
      </vt:variant>
      <vt:variant>
        <vt:i4>0</vt:i4>
      </vt:variant>
      <vt:variant>
        <vt:i4>5</vt:i4>
      </vt:variant>
      <vt:variant>
        <vt:lpwstr/>
      </vt:variant>
      <vt:variant>
        <vt:lpwstr>_Toc404692358</vt:lpwstr>
      </vt:variant>
      <vt:variant>
        <vt:i4>1441850</vt:i4>
      </vt:variant>
      <vt:variant>
        <vt:i4>194</vt:i4>
      </vt:variant>
      <vt:variant>
        <vt:i4>0</vt:i4>
      </vt:variant>
      <vt:variant>
        <vt:i4>5</vt:i4>
      </vt:variant>
      <vt:variant>
        <vt:lpwstr/>
      </vt:variant>
      <vt:variant>
        <vt:lpwstr>_Toc404692357</vt:lpwstr>
      </vt:variant>
      <vt:variant>
        <vt:i4>1441850</vt:i4>
      </vt:variant>
      <vt:variant>
        <vt:i4>188</vt:i4>
      </vt:variant>
      <vt:variant>
        <vt:i4>0</vt:i4>
      </vt:variant>
      <vt:variant>
        <vt:i4>5</vt:i4>
      </vt:variant>
      <vt:variant>
        <vt:lpwstr/>
      </vt:variant>
      <vt:variant>
        <vt:lpwstr>_Toc404692356</vt:lpwstr>
      </vt:variant>
      <vt:variant>
        <vt:i4>1441850</vt:i4>
      </vt:variant>
      <vt:variant>
        <vt:i4>182</vt:i4>
      </vt:variant>
      <vt:variant>
        <vt:i4>0</vt:i4>
      </vt:variant>
      <vt:variant>
        <vt:i4>5</vt:i4>
      </vt:variant>
      <vt:variant>
        <vt:lpwstr/>
      </vt:variant>
      <vt:variant>
        <vt:lpwstr>_Toc404692355</vt:lpwstr>
      </vt:variant>
      <vt:variant>
        <vt:i4>1441850</vt:i4>
      </vt:variant>
      <vt:variant>
        <vt:i4>176</vt:i4>
      </vt:variant>
      <vt:variant>
        <vt:i4>0</vt:i4>
      </vt:variant>
      <vt:variant>
        <vt:i4>5</vt:i4>
      </vt:variant>
      <vt:variant>
        <vt:lpwstr/>
      </vt:variant>
      <vt:variant>
        <vt:lpwstr>_Toc404692354</vt:lpwstr>
      </vt:variant>
      <vt:variant>
        <vt:i4>1441850</vt:i4>
      </vt:variant>
      <vt:variant>
        <vt:i4>170</vt:i4>
      </vt:variant>
      <vt:variant>
        <vt:i4>0</vt:i4>
      </vt:variant>
      <vt:variant>
        <vt:i4>5</vt:i4>
      </vt:variant>
      <vt:variant>
        <vt:lpwstr/>
      </vt:variant>
      <vt:variant>
        <vt:lpwstr>_Toc404692353</vt:lpwstr>
      </vt:variant>
      <vt:variant>
        <vt:i4>1441850</vt:i4>
      </vt:variant>
      <vt:variant>
        <vt:i4>164</vt:i4>
      </vt:variant>
      <vt:variant>
        <vt:i4>0</vt:i4>
      </vt:variant>
      <vt:variant>
        <vt:i4>5</vt:i4>
      </vt:variant>
      <vt:variant>
        <vt:lpwstr/>
      </vt:variant>
      <vt:variant>
        <vt:lpwstr>_Toc404692352</vt:lpwstr>
      </vt:variant>
      <vt:variant>
        <vt:i4>1441850</vt:i4>
      </vt:variant>
      <vt:variant>
        <vt:i4>158</vt:i4>
      </vt:variant>
      <vt:variant>
        <vt:i4>0</vt:i4>
      </vt:variant>
      <vt:variant>
        <vt:i4>5</vt:i4>
      </vt:variant>
      <vt:variant>
        <vt:lpwstr/>
      </vt:variant>
      <vt:variant>
        <vt:lpwstr>_Toc404692351</vt:lpwstr>
      </vt:variant>
      <vt:variant>
        <vt:i4>1441850</vt:i4>
      </vt:variant>
      <vt:variant>
        <vt:i4>152</vt:i4>
      </vt:variant>
      <vt:variant>
        <vt:i4>0</vt:i4>
      </vt:variant>
      <vt:variant>
        <vt:i4>5</vt:i4>
      </vt:variant>
      <vt:variant>
        <vt:lpwstr/>
      </vt:variant>
      <vt:variant>
        <vt:lpwstr>_Toc404692350</vt:lpwstr>
      </vt:variant>
      <vt:variant>
        <vt:i4>1507386</vt:i4>
      </vt:variant>
      <vt:variant>
        <vt:i4>146</vt:i4>
      </vt:variant>
      <vt:variant>
        <vt:i4>0</vt:i4>
      </vt:variant>
      <vt:variant>
        <vt:i4>5</vt:i4>
      </vt:variant>
      <vt:variant>
        <vt:lpwstr/>
      </vt:variant>
      <vt:variant>
        <vt:lpwstr>_Toc404692349</vt:lpwstr>
      </vt:variant>
      <vt:variant>
        <vt:i4>1507386</vt:i4>
      </vt:variant>
      <vt:variant>
        <vt:i4>140</vt:i4>
      </vt:variant>
      <vt:variant>
        <vt:i4>0</vt:i4>
      </vt:variant>
      <vt:variant>
        <vt:i4>5</vt:i4>
      </vt:variant>
      <vt:variant>
        <vt:lpwstr/>
      </vt:variant>
      <vt:variant>
        <vt:lpwstr>_Toc404692348</vt:lpwstr>
      </vt:variant>
      <vt:variant>
        <vt:i4>1507386</vt:i4>
      </vt:variant>
      <vt:variant>
        <vt:i4>134</vt:i4>
      </vt:variant>
      <vt:variant>
        <vt:i4>0</vt:i4>
      </vt:variant>
      <vt:variant>
        <vt:i4>5</vt:i4>
      </vt:variant>
      <vt:variant>
        <vt:lpwstr/>
      </vt:variant>
      <vt:variant>
        <vt:lpwstr>_Toc404692347</vt:lpwstr>
      </vt:variant>
      <vt:variant>
        <vt:i4>1507386</vt:i4>
      </vt:variant>
      <vt:variant>
        <vt:i4>128</vt:i4>
      </vt:variant>
      <vt:variant>
        <vt:i4>0</vt:i4>
      </vt:variant>
      <vt:variant>
        <vt:i4>5</vt:i4>
      </vt:variant>
      <vt:variant>
        <vt:lpwstr/>
      </vt:variant>
      <vt:variant>
        <vt:lpwstr>_Toc404692346</vt:lpwstr>
      </vt:variant>
      <vt:variant>
        <vt:i4>1507386</vt:i4>
      </vt:variant>
      <vt:variant>
        <vt:i4>122</vt:i4>
      </vt:variant>
      <vt:variant>
        <vt:i4>0</vt:i4>
      </vt:variant>
      <vt:variant>
        <vt:i4>5</vt:i4>
      </vt:variant>
      <vt:variant>
        <vt:lpwstr/>
      </vt:variant>
      <vt:variant>
        <vt:lpwstr>_Toc404692345</vt:lpwstr>
      </vt:variant>
      <vt:variant>
        <vt:i4>1507386</vt:i4>
      </vt:variant>
      <vt:variant>
        <vt:i4>116</vt:i4>
      </vt:variant>
      <vt:variant>
        <vt:i4>0</vt:i4>
      </vt:variant>
      <vt:variant>
        <vt:i4>5</vt:i4>
      </vt:variant>
      <vt:variant>
        <vt:lpwstr/>
      </vt:variant>
      <vt:variant>
        <vt:lpwstr>_Toc404692344</vt:lpwstr>
      </vt:variant>
      <vt:variant>
        <vt:i4>1507386</vt:i4>
      </vt:variant>
      <vt:variant>
        <vt:i4>110</vt:i4>
      </vt:variant>
      <vt:variant>
        <vt:i4>0</vt:i4>
      </vt:variant>
      <vt:variant>
        <vt:i4>5</vt:i4>
      </vt:variant>
      <vt:variant>
        <vt:lpwstr/>
      </vt:variant>
      <vt:variant>
        <vt:lpwstr>_Toc404692343</vt:lpwstr>
      </vt:variant>
      <vt:variant>
        <vt:i4>1507386</vt:i4>
      </vt:variant>
      <vt:variant>
        <vt:i4>104</vt:i4>
      </vt:variant>
      <vt:variant>
        <vt:i4>0</vt:i4>
      </vt:variant>
      <vt:variant>
        <vt:i4>5</vt:i4>
      </vt:variant>
      <vt:variant>
        <vt:lpwstr/>
      </vt:variant>
      <vt:variant>
        <vt:lpwstr>_Toc404692342</vt:lpwstr>
      </vt:variant>
      <vt:variant>
        <vt:i4>1507386</vt:i4>
      </vt:variant>
      <vt:variant>
        <vt:i4>98</vt:i4>
      </vt:variant>
      <vt:variant>
        <vt:i4>0</vt:i4>
      </vt:variant>
      <vt:variant>
        <vt:i4>5</vt:i4>
      </vt:variant>
      <vt:variant>
        <vt:lpwstr/>
      </vt:variant>
      <vt:variant>
        <vt:lpwstr>_Toc404692341</vt:lpwstr>
      </vt:variant>
      <vt:variant>
        <vt:i4>1507386</vt:i4>
      </vt:variant>
      <vt:variant>
        <vt:i4>92</vt:i4>
      </vt:variant>
      <vt:variant>
        <vt:i4>0</vt:i4>
      </vt:variant>
      <vt:variant>
        <vt:i4>5</vt:i4>
      </vt:variant>
      <vt:variant>
        <vt:lpwstr/>
      </vt:variant>
      <vt:variant>
        <vt:lpwstr>_Toc404692340</vt:lpwstr>
      </vt:variant>
      <vt:variant>
        <vt:i4>1048634</vt:i4>
      </vt:variant>
      <vt:variant>
        <vt:i4>86</vt:i4>
      </vt:variant>
      <vt:variant>
        <vt:i4>0</vt:i4>
      </vt:variant>
      <vt:variant>
        <vt:i4>5</vt:i4>
      </vt:variant>
      <vt:variant>
        <vt:lpwstr/>
      </vt:variant>
      <vt:variant>
        <vt:lpwstr>_Toc404692339</vt:lpwstr>
      </vt:variant>
      <vt:variant>
        <vt:i4>1048634</vt:i4>
      </vt:variant>
      <vt:variant>
        <vt:i4>80</vt:i4>
      </vt:variant>
      <vt:variant>
        <vt:i4>0</vt:i4>
      </vt:variant>
      <vt:variant>
        <vt:i4>5</vt:i4>
      </vt:variant>
      <vt:variant>
        <vt:lpwstr/>
      </vt:variant>
      <vt:variant>
        <vt:lpwstr>_Toc404692338</vt:lpwstr>
      </vt:variant>
      <vt:variant>
        <vt:i4>1048634</vt:i4>
      </vt:variant>
      <vt:variant>
        <vt:i4>74</vt:i4>
      </vt:variant>
      <vt:variant>
        <vt:i4>0</vt:i4>
      </vt:variant>
      <vt:variant>
        <vt:i4>5</vt:i4>
      </vt:variant>
      <vt:variant>
        <vt:lpwstr/>
      </vt:variant>
      <vt:variant>
        <vt:lpwstr>_Toc404692337</vt:lpwstr>
      </vt:variant>
      <vt:variant>
        <vt:i4>1048634</vt:i4>
      </vt:variant>
      <vt:variant>
        <vt:i4>68</vt:i4>
      </vt:variant>
      <vt:variant>
        <vt:i4>0</vt:i4>
      </vt:variant>
      <vt:variant>
        <vt:i4>5</vt:i4>
      </vt:variant>
      <vt:variant>
        <vt:lpwstr/>
      </vt:variant>
      <vt:variant>
        <vt:lpwstr>_Toc404692336</vt:lpwstr>
      </vt:variant>
      <vt:variant>
        <vt:i4>1048634</vt:i4>
      </vt:variant>
      <vt:variant>
        <vt:i4>62</vt:i4>
      </vt:variant>
      <vt:variant>
        <vt:i4>0</vt:i4>
      </vt:variant>
      <vt:variant>
        <vt:i4>5</vt:i4>
      </vt:variant>
      <vt:variant>
        <vt:lpwstr/>
      </vt:variant>
      <vt:variant>
        <vt:lpwstr>_Toc404692335</vt:lpwstr>
      </vt:variant>
      <vt:variant>
        <vt:i4>1048634</vt:i4>
      </vt:variant>
      <vt:variant>
        <vt:i4>56</vt:i4>
      </vt:variant>
      <vt:variant>
        <vt:i4>0</vt:i4>
      </vt:variant>
      <vt:variant>
        <vt:i4>5</vt:i4>
      </vt:variant>
      <vt:variant>
        <vt:lpwstr/>
      </vt:variant>
      <vt:variant>
        <vt:lpwstr>_Toc404692334</vt:lpwstr>
      </vt:variant>
      <vt:variant>
        <vt:i4>1048634</vt:i4>
      </vt:variant>
      <vt:variant>
        <vt:i4>50</vt:i4>
      </vt:variant>
      <vt:variant>
        <vt:i4>0</vt:i4>
      </vt:variant>
      <vt:variant>
        <vt:i4>5</vt:i4>
      </vt:variant>
      <vt:variant>
        <vt:lpwstr/>
      </vt:variant>
      <vt:variant>
        <vt:lpwstr>_Toc404692333</vt:lpwstr>
      </vt:variant>
      <vt:variant>
        <vt:i4>1048634</vt:i4>
      </vt:variant>
      <vt:variant>
        <vt:i4>44</vt:i4>
      </vt:variant>
      <vt:variant>
        <vt:i4>0</vt:i4>
      </vt:variant>
      <vt:variant>
        <vt:i4>5</vt:i4>
      </vt:variant>
      <vt:variant>
        <vt:lpwstr/>
      </vt:variant>
      <vt:variant>
        <vt:lpwstr>_Toc404692332</vt:lpwstr>
      </vt:variant>
      <vt:variant>
        <vt:i4>1048634</vt:i4>
      </vt:variant>
      <vt:variant>
        <vt:i4>38</vt:i4>
      </vt:variant>
      <vt:variant>
        <vt:i4>0</vt:i4>
      </vt:variant>
      <vt:variant>
        <vt:i4>5</vt:i4>
      </vt:variant>
      <vt:variant>
        <vt:lpwstr/>
      </vt:variant>
      <vt:variant>
        <vt:lpwstr>_Toc404692331</vt:lpwstr>
      </vt:variant>
      <vt:variant>
        <vt:i4>1048634</vt:i4>
      </vt:variant>
      <vt:variant>
        <vt:i4>32</vt:i4>
      </vt:variant>
      <vt:variant>
        <vt:i4>0</vt:i4>
      </vt:variant>
      <vt:variant>
        <vt:i4>5</vt:i4>
      </vt:variant>
      <vt:variant>
        <vt:lpwstr/>
      </vt:variant>
      <vt:variant>
        <vt:lpwstr>_Toc404692330</vt:lpwstr>
      </vt:variant>
      <vt:variant>
        <vt:i4>1114170</vt:i4>
      </vt:variant>
      <vt:variant>
        <vt:i4>26</vt:i4>
      </vt:variant>
      <vt:variant>
        <vt:i4>0</vt:i4>
      </vt:variant>
      <vt:variant>
        <vt:i4>5</vt:i4>
      </vt:variant>
      <vt:variant>
        <vt:lpwstr/>
      </vt:variant>
      <vt:variant>
        <vt:lpwstr>_Toc404692329</vt:lpwstr>
      </vt:variant>
      <vt:variant>
        <vt:i4>1114170</vt:i4>
      </vt:variant>
      <vt:variant>
        <vt:i4>20</vt:i4>
      </vt:variant>
      <vt:variant>
        <vt:i4>0</vt:i4>
      </vt:variant>
      <vt:variant>
        <vt:i4>5</vt:i4>
      </vt:variant>
      <vt:variant>
        <vt:lpwstr/>
      </vt:variant>
      <vt:variant>
        <vt:lpwstr>_Toc404692328</vt:lpwstr>
      </vt:variant>
      <vt:variant>
        <vt:i4>1114170</vt:i4>
      </vt:variant>
      <vt:variant>
        <vt:i4>14</vt:i4>
      </vt:variant>
      <vt:variant>
        <vt:i4>0</vt:i4>
      </vt:variant>
      <vt:variant>
        <vt:i4>5</vt:i4>
      </vt:variant>
      <vt:variant>
        <vt:lpwstr/>
      </vt:variant>
      <vt:variant>
        <vt:lpwstr>_Toc404692327</vt:lpwstr>
      </vt:variant>
      <vt:variant>
        <vt:i4>1114170</vt:i4>
      </vt:variant>
      <vt:variant>
        <vt:i4>8</vt:i4>
      </vt:variant>
      <vt:variant>
        <vt:i4>0</vt:i4>
      </vt:variant>
      <vt:variant>
        <vt:i4>5</vt:i4>
      </vt:variant>
      <vt:variant>
        <vt:lpwstr/>
      </vt:variant>
      <vt:variant>
        <vt:lpwstr>_Toc404692326</vt:lpwstr>
      </vt:variant>
      <vt:variant>
        <vt:i4>6291548</vt:i4>
      </vt:variant>
      <vt:variant>
        <vt:i4>3</vt:i4>
      </vt:variant>
      <vt:variant>
        <vt:i4>0</vt:i4>
      </vt:variant>
      <vt:variant>
        <vt:i4>5</vt:i4>
      </vt:variant>
      <vt:variant>
        <vt:lpwstr>mailto:tga.copyright@tga.gov.au</vt:lpwstr>
      </vt:variant>
      <vt:variant>
        <vt:lpwstr/>
      </vt:variant>
      <vt:variant>
        <vt:i4>3473445</vt:i4>
      </vt:variant>
      <vt:variant>
        <vt:i4>0</vt:i4>
      </vt:variant>
      <vt:variant>
        <vt:i4>0</vt:i4>
      </vt:variant>
      <vt:variant>
        <vt:i4>5</vt:i4>
      </vt:variant>
      <vt:variant>
        <vt:lpwstr>https://www.tga.gov.au/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Certolizumab pegol (rbe)</dc:title>
  <dc:subject>Prescription medicine</dc:subject>
  <dc:creator>Therapeutic Goods Administration</dc:creator>
  <cp:keywords>AusPARs</cp:keywords>
  <cp:lastModifiedBy>Searson, Lisa</cp:lastModifiedBy>
  <cp:revision>9</cp:revision>
  <cp:lastPrinted>2010-12-20T22:59:00Z</cp:lastPrinted>
  <dcterms:created xsi:type="dcterms:W3CDTF">2015-11-19T23:30:00Z</dcterms:created>
  <dcterms:modified xsi:type="dcterms:W3CDTF">2015-11-20T00:14:00Z</dcterms:modified>
  <cp:category/>
</cp:coreProperties>
</file>