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D56C22" w:rsidP="00096AA7">
            <w:pPr>
              <w:rPr>
                <w:rFonts w:ascii="Arial" w:hAnsi="Arial" w:cs="Arial"/>
                <w:b/>
                <w:color w:val="002C47"/>
                <w:sz w:val="36"/>
                <w:szCs w:val="36"/>
              </w:rPr>
            </w:pPr>
            <w:r>
              <w:rPr>
                <w:rFonts w:ascii="Arial" w:hAnsi="Arial" w:cs="Arial"/>
                <w:b/>
                <w:color w:val="002C47"/>
                <w:sz w:val="36"/>
                <w:szCs w:val="36"/>
              </w:rPr>
              <w:t xml:space="preserve">August </w:t>
            </w:r>
            <w:r w:rsidR="00AD5F20">
              <w:rPr>
                <w:rFonts w:ascii="Arial" w:hAnsi="Arial" w:cs="Arial"/>
                <w:b/>
                <w:color w:val="002C47"/>
                <w:sz w:val="36"/>
                <w:szCs w:val="36"/>
              </w:rPr>
              <w:t>2014</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8A3FED">
            <w:pPr>
              <w:pStyle w:val="Title"/>
              <w:rPr>
                <w:color w:val="FFFFFF" w:themeColor="background1"/>
              </w:rPr>
            </w:pPr>
            <w:r w:rsidRPr="00A964D1">
              <w:rPr>
                <w:color w:val="FFFFFF" w:themeColor="background1"/>
              </w:rPr>
              <w:t xml:space="preserve">Australian Public Assessment Report for </w:t>
            </w:r>
            <w:proofErr w:type="spellStart"/>
            <w:r w:rsidR="008A3FED">
              <w:rPr>
                <w:color w:val="FFFFFF" w:themeColor="background1"/>
              </w:rPr>
              <w:t>certolizumab</w:t>
            </w:r>
            <w:proofErr w:type="spellEnd"/>
            <w:r w:rsidR="008A3FED">
              <w:rPr>
                <w:color w:val="FFFFFF" w:themeColor="background1"/>
              </w:rPr>
              <w:t xml:space="preserve"> </w:t>
            </w:r>
            <w:proofErr w:type="spellStart"/>
            <w:r w:rsidR="008A3FED">
              <w:rPr>
                <w:color w:val="FFFFFF" w:themeColor="background1"/>
              </w:rPr>
              <w:t>pegol</w:t>
            </w:r>
            <w:proofErr w:type="spellEnd"/>
          </w:p>
        </w:tc>
      </w:tr>
      <w:tr w:rsidR="0032583B" w:rsidRPr="00B64760" w:rsidTr="0032583B">
        <w:tc>
          <w:tcPr>
            <w:tcW w:w="9079" w:type="dxa"/>
          </w:tcPr>
          <w:p w:rsidR="0032583B" w:rsidRPr="008E7846" w:rsidRDefault="0032583B" w:rsidP="0091264B">
            <w:pPr>
              <w:pStyle w:val="Subtitle"/>
              <w:rPr>
                <w:color w:val="FFFFFF" w:themeColor="background1"/>
              </w:rPr>
            </w:pPr>
            <w:r w:rsidRPr="008E7846">
              <w:rPr>
                <w:color w:val="FFFFFF" w:themeColor="background1"/>
              </w:rPr>
              <w:t xml:space="preserve">Proprietary Product Name: </w:t>
            </w:r>
            <w:r w:rsidR="0091264B">
              <w:rPr>
                <w:color w:val="FFFFFF" w:themeColor="background1"/>
              </w:rPr>
              <w:fldChar w:fldCharType="begin"/>
            </w:r>
            <w:r w:rsidR="0091264B">
              <w:rPr>
                <w:color w:val="FFFFFF" w:themeColor="background1"/>
              </w:rPr>
              <w:instrText xml:space="preserve"> MERGEFIELD "TRADE" </w:instrText>
            </w:r>
            <w:r w:rsidR="0091264B">
              <w:rPr>
                <w:color w:val="FFFFFF" w:themeColor="background1"/>
              </w:rPr>
              <w:fldChar w:fldCharType="separate"/>
            </w:r>
            <w:r w:rsidR="00780621">
              <w:rPr>
                <w:noProof/>
                <w:color w:val="FFFFFF" w:themeColor="background1"/>
              </w:rPr>
              <w:t>Cimzia</w:t>
            </w:r>
            <w:r w:rsidR="0091264B">
              <w:rPr>
                <w:color w:val="FFFFFF" w:themeColor="background1"/>
              </w:rPr>
              <w:fldChar w:fldCharType="end"/>
            </w:r>
          </w:p>
        </w:tc>
      </w:tr>
      <w:tr w:rsidR="0032583B" w:rsidRPr="00B64760" w:rsidTr="0032583B">
        <w:trPr>
          <w:trHeight w:val="486"/>
        </w:trPr>
        <w:tc>
          <w:tcPr>
            <w:tcW w:w="9079" w:type="dxa"/>
          </w:tcPr>
          <w:p w:rsidR="0032583B" w:rsidRPr="008E7846" w:rsidRDefault="0032583B" w:rsidP="0091264B">
            <w:pPr>
              <w:pStyle w:val="Subtitle"/>
              <w:rPr>
                <w:color w:val="FFFFFF" w:themeColor="background1"/>
              </w:rPr>
            </w:pPr>
            <w:r w:rsidRPr="008E7846">
              <w:rPr>
                <w:color w:val="FFFFFF" w:themeColor="background1"/>
              </w:rPr>
              <w:t xml:space="preserve">Sponsor: </w:t>
            </w:r>
            <w:r w:rsidR="008A3FED" w:rsidRPr="008A3FED">
              <w:rPr>
                <w:color w:val="FFFFFF" w:themeColor="background1"/>
              </w:rPr>
              <w:t>UCB Australia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0D2396">
      <w:pPr>
        <w:pStyle w:val="ListBullet"/>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0D2396">
      <w:pPr>
        <w:pStyle w:val="ListBullet"/>
        <w:ind w:left="357" w:hanging="357"/>
      </w:pPr>
      <w:r>
        <w:t xml:space="preserve">The </w:t>
      </w:r>
      <w:r w:rsidR="008E7846">
        <w:t xml:space="preserve">TGA administers the </w:t>
      </w:r>
      <w:r w:rsidR="008E7846" w:rsidRPr="00F640B6">
        <w:rPr>
          <w:i/>
        </w:rPr>
        <w:t>Therapeutic Goods Act 1989</w:t>
      </w:r>
      <w:r w:rsidR="008E7846">
        <w:t xml:space="preserve"> (the Act), applying a risk management approach designed to ensure therapeutic goods supplied in Australia meet acceptable standards of quality, safety and efficacy (performance), when necessary.</w:t>
      </w:r>
    </w:p>
    <w:p w:rsidR="008E7846" w:rsidRDefault="008E7846" w:rsidP="000D2396">
      <w:pPr>
        <w:pStyle w:val="ListBullet"/>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0D2396">
      <w:pPr>
        <w:pStyle w:val="ListBullet"/>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24294D" w:rsidP="000D2396">
      <w:pPr>
        <w:pStyle w:val="ListBullet"/>
        <w:ind w:left="357" w:hanging="357"/>
      </w:pPr>
      <w:r>
        <w:t>To report a problem with a medicine or medical device, please see the i</w:t>
      </w:r>
      <w:r w:rsidR="00D95A9F">
        <w:t xml:space="preserve">nformation on the TGA website: </w:t>
      </w:r>
      <w:hyperlink r:id="rId9" w:history="1">
        <w:r w:rsidRPr="003A5406">
          <w:rPr>
            <w:rStyle w:val="Hyperlink"/>
          </w:rPr>
          <w:t>http://www.tga.gov.au</w:t>
        </w:r>
      </w:hyperlink>
    </w:p>
    <w:p w:rsidR="008E7846" w:rsidRDefault="008E7846" w:rsidP="008E7846">
      <w:pPr>
        <w:pStyle w:val="NonTOCHeading2"/>
      </w:pPr>
      <w:r>
        <w:t xml:space="preserve">About </w:t>
      </w:r>
      <w:proofErr w:type="spellStart"/>
      <w:r>
        <w:t>AusPARs</w:t>
      </w:r>
      <w:proofErr w:type="spellEnd"/>
    </w:p>
    <w:p w:rsidR="008E7846" w:rsidRDefault="008E7846" w:rsidP="000D2396">
      <w:pPr>
        <w:pStyle w:val="ListBullet"/>
        <w:ind w:left="357" w:hanging="357"/>
      </w:pPr>
      <w:r>
        <w:t>An Australian Public Assessment Record (</w:t>
      </w:r>
      <w:proofErr w:type="spellStart"/>
      <w:r>
        <w:t>AusPAR</w:t>
      </w:r>
      <w:proofErr w:type="spellEnd"/>
      <w:r>
        <w:t xml:space="preserve">) provides information about the evaluation of a prescription medicine and the considerations that led the TGA to approve or not approve a prescription medicine submission. </w:t>
      </w:r>
    </w:p>
    <w:p w:rsidR="008E7846" w:rsidRDefault="008E7846" w:rsidP="000D2396">
      <w:pPr>
        <w:pStyle w:val="ListBullet"/>
        <w:ind w:left="357" w:hanging="357"/>
      </w:pPr>
      <w:proofErr w:type="spellStart"/>
      <w:r>
        <w:t>AusPARs</w:t>
      </w:r>
      <w:proofErr w:type="spellEnd"/>
      <w:r>
        <w:t xml:space="preserve"> are prepared and published by the TGA.</w:t>
      </w:r>
    </w:p>
    <w:p w:rsidR="008E7846" w:rsidRDefault="008E7846" w:rsidP="000D2396">
      <w:pPr>
        <w:pStyle w:val="ListBullet"/>
        <w:ind w:left="357" w:hanging="357"/>
      </w:pPr>
      <w:r>
        <w:t xml:space="preserve">An </w:t>
      </w:r>
      <w:proofErr w:type="spellStart"/>
      <w:r>
        <w:t>AusPAR</w:t>
      </w:r>
      <w:proofErr w:type="spellEnd"/>
      <w:r>
        <w:t xml:space="preserve"> is prepared for submissions that relate to new chemical entities, generic medicines, major variations, and extensions of indications.</w:t>
      </w:r>
    </w:p>
    <w:p w:rsidR="008E7846" w:rsidRDefault="008E7846" w:rsidP="000D2396">
      <w:pPr>
        <w:pStyle w:val="ListBullet"/>
        <w:ind w:left="357" w:hanging="357"/>
      </w:pPr>
      <w:r>
        <w:t xml:space="preserve">An </w:t>
      </w:r>
      <w:proofErr w:type="spellStart"/>
      <w:r>
        <w:t>AusPAR</w:t>
      </w:r>
      <w:proofErr w:type="spellEnd"/>
      <w:r>
        <w:t xml:space="preserve"> is a static document, in that it will provide information that relates to a submission at a particular point in time.</w:t>
      </w:r>
    </w:p>
    <w:p w:rsidR="00B452CE" w:rsidRDefault="008E7846" w:rsidP="000D2396">
      <w:pPr>
        <w:pStyle w:val="ListBullet"/>
        <w:ind w:left="357" w:hanging="357"/>
      </w:pPr>
      <w:r>
        <w:t xml:space="preserve">A new </w:t>
      </w:r>
      <w:proofErr w:type="spellStart"/>
      <w:r>
        <w:t>AusPAR</w:t>
      </w:r>
      <w:proofErr w:type="spellEnd"/>
      <w:r>
        <w:t xml:space="preserve">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D7195D">
        <w:rPr>
          <w:rFonts w:cs="Arial"/>
          <w:lang w:val="en-GB"/>
        </w:rPr>
        <w:t>4</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w:t>
      </w:r>
      <w:r w:rsidR="0024294D" w:rsidRPr="00191B3B">
        <w:rPr>
          <w:rFonts w:cs="Arial"/>
          <w:lang w:val="en-GB"/>
        </w:rPr>
        <w:t xml:space="preserve">Requests and inquiries concerning reproduction and rights are to be sent to the TGA Copyright Officer, Therapeutic Goods Administration, PO Box 100, </w:t>
      </w:r>
      <w:proofErr w:type="spellStart"/>
      <w:r w:rsidR="0024294D" w:rsidRPr="00191B3B">
        <w:rPr>
          <w:rFonts w:cs="Arial"/>
          <w:lang w:val="en-GB"/>
        </w:rPr>
        <w:t>Woden</w:t>
      </w:r>
      <w:proofErr w:type="spellEnd"/>
      <w:r w:rsidR="0024294D" w:rsidRPr="00191B3B">
        <w:rPr>
          <w:rFonts w:cs="Arial"/>
          <w:lang w:val="en-GB"/>
        </w:rPr>
        <w:t xml:space="preserve"> ACT 2606 or emailed to</w:t>
      </w:r>
      <w:r w:rsidR="0024294D">
        <w:rPr>
          <w:rFonts w:cs="Arial"/>
          <w:lang w:val="en-GB"/>
        </w:rPr>
        <w:t xml:space="preserve"> &lt;</w:t>
      </w:r>
      <w:hyperlink r:id="rId10" w:history="1">
        <w:r w:rsidR="0024294D" w:rsidRPr="00191B3B">
          <w:rPr>
            <w:rStyle w:val="Hyperlink"/>
            <w:rFonts w:cs="Arial"/>
            <w:lang w:val="en-GB"/>
          </w:rPr>
          <w:t>tga.copyright@tga.gov.au</w:t>
        </w:r>
      </w:hyperlink>
      <w:r w:rsidR="0024294D">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CF6836"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399507632" w:history="1">
            <w:r w:rsidR="00CF6836" w:rsidRPr="0025550B">
              <w:rPr>
                <w:rStyle w:val="Hyperlink"/>
                <w:noProof/>
              </w:rPr>
              <w:t>List of the most common abbreviations used in this AusPAR</w:t>
            </w:r>
            <w:r w:rsidR="00CF6836">
              <w:rPr>
                <w:noProof/>
                <w:webHidden/>
              </w:rPr>
              <w:tab/>
            </w:r>
            <w:r w:rsidR="00CF6836">
              <w:rPr>
                <w:noProof/>
                <w:webHidden/>
              </w:rPr>
              <w:fldChar w:fldCharType="begin"/>
            </w:r>
            <w:r w:rsidR="00CF6836">
              <w:rPr>
                <w:noProof/>
                <w:webHidden/>
              </w:rPr>
              <w:instrText xml:space="preserve"> PAGEREF _Toc399507632 \h </w:instrText>
            </w:r>
            <w:r w:rsidR="00CF6836">
              <w:rPr>
                <w:noProof/>
                <w:webHidden/>
              </w:rPr>
            </w:r>
            <w:r w:rsidR="00CF6836">
              <w:rPr>
                <w:noProof/>
                <w:webHidden/>
              </w:rPr>
              <w:fldChar w:fldCharType="separate"/>
            </w:r>
            <w:r w:rsidR="00CF6836">
              <w:rPr>
                <w:noProof/>
                <w:webHidden/>
              </w:rPr>
              <w:t>4</w:t>
            </w:r>
            <w:r w:rsidR="00CF6836">
              <w:rPr>
                <w:noProof/>
                <w:webHidden/>
              </w:rPr>
              <w:fldChar w:fldCharType="end"/>
            </w:r>
          </w:hyperlink>
        </w:p>
        <w:p w:rsidR="00CF6836" w:rsidRDefault="00CF6836">
          <w:pPr>
            <w:pStyle w:val="TOC2"/>
            <w:rPr>
              <w:rFonts w:asciiTheme="minorHAnsi" w:eastAsiaTheme="minorEastAsia" w:hAnsiTheme="minorHAnsi" w:cstheme="minorBidi"/>
              <w:b w:val="0"/>
              <w:noProof/>
              <w:sz w:val="22"/>
              <w:lang w:eastAsia="en-AU"/>
            </w:rPr>
          </w:pPr>
          <w:hyperlink w:anchor="_Toc399507633" w:history="1">
            <w:r w:rsidRPr="0025550B">
              <w:rPr>
                <w:rStyle w:val="Hyperlink"/>
                <w:noProof/>
              </w:rPr>
              <w:t>I. Introduction to product submission</w:t>
            </w:r>
            <w:r>
              <w:rPr>
                <w:noProof/>
                <w:webHidden/>
              </w:rPr>
              <w:tab/>
            </w:r>
            <w:r>
              <w:rPr>
                <w:noProof/>
                <w:webHidden/>
              </w:rPr>
              <w:fldChar w:fldCharType="begin"/>
            </w:r>
            <w:r>
              <w:rPr>
                <w:noProof/>
                <w:webHidden/>
              </w:rPr>
              <w:instrText xml:space="preserve"> PAGEREF _Toc399507633 \h </w:instrText>
            </w:r>
            <w:r>
              <w:rPr>
                <w:noProof/>
                <w:webHidden/>
              </w:rPr>
            </w:r>
            <w:r>
              <w:rPr>
                <w:noProof/>
                <w:webHidden/>
              </w:rPr>
              <w:fldChar w:fldCharType="separate"/>
            </w:r>
            <w:r>
              <w:rPr>
                <w:noProof/>
                <w:webHidden/>
              </w:rPr>
              <w:t>7</w:t>
            </w:r>
            <w:r>
              <w:rPr>
                <w:noProof/>
                <w:webHidden/>
              </w:rPr>
              <w:fldChar w:fldCharType="end"/>
            </w:r>
          </w:hyperlink>
        </w:p>
        <w:p w:rsidR="00CF6836" w:rsidRDefault="00CF6836">
          <w:pPr>
            <w:pStyle w:val="TOC3"/>
            <w:rPr>
              <w:rFonts w:asciiTheme="minorHAnsi" w:eastAsiaTheme="minorEastAsia" w:hAnsiTheme="minorHAnsi" w:cstheme="minorBidi"/>
              <w:noProof/>
              <w:lang w:eastAsia="en-AU"/>
            </w:rPr>
          </w:pPr>
          <w:hyperlink w:anchor="_Toc399507634" w:history="1">
            <w:r w:rsidRPr="0025550B">
              <w:rPr>
                <w:rStyle w:val="Hyperlink"/>
                <w:noProof/>
              </w:rPr>
              <w:t>Submission</w:t>
            </w:r>
            <w:r w:rsidRPr="0025550B">
              <w:rPr>
                <w:rStyle w:val="Hyperlink"/>
                <w:noProof/>
                <w:lang w:eastAsia="en-AU"/>
              </w:rPr>
              <w:t xml:space="preserve"> details</w:t>
            </w:r>
            <w:r>
              <w:rPr>
                <w:noProof/>
                <w:webHidden/>
              </w:rPr>
              <w:tab/>
            </w:r>
            <w:r>
              <w:rPr>
                <w:noProof/>
                <w:webHidden/>
              </w:rPr>
              <w:fldChar w:fldCharType="begin"/>
            </w:r>
            <w:r>
              <w:rPr>
                <w:noProof/>
                <w:webHidden/>
              </w:rPr>
              <w:instrText xml:space="preserve"> PAGEREF _Toc399507634 \h </w:instrText>
            </w:r>
            <w:r>
              <w:rPr>
                <w:noProof/>
                <w:webHidden/>
              </w:rPr>
            </w:r>
            <w:r>
              <w:rPr>
                <w:noProof/>
                <w:webHidden/>
              </w:rPr>
              <w:fldChar w:fldCharType="separate"/>
            </w:r>
            <w:r>
              <w:rPr>
                <w:noProof/>
                <w:webHidden/>
              </w:rPr>
              <w:t>7</w:t>
            </w:r>
            <w:r>
              <w:rPr>
                <w:noProof/>
                <w:webHidden/>
              </w:rPr>
              <w:fldChar w:fldCharType="end"/>
            </w:r>
          </w:hyperlink>
        </w:p>
        <w:p w:rsidR="00CF6836" w:rsidRDefault="00CF6836">
          <w:pPr>
            <w:pStyle w:val="TOC3"/>
            <w:rPr>
              <w:rFonts w:asciiTheme="minorHAnsi" w:eastAsiaTheme="minorEastAsia" w:hAnsiTheme="minorHAnsi" w:cstheme="minorBidi"/>
              <w:noProof/>
              <w:lang w:eastAsia="en-AU"/>
            </w:rPr>
          </w:pPr>
          <w:hyperlink w:anchor="_Toc399507635" w:history="1">
            <w:r w:rsidRPr="0025550B">
              <w:rPr>
                <w:rStyle w:val="Hyperlink"/>
                <w:noProof/>
              </w:rPr>
              <w:t>Product background</w:t>
            </w:r>
            <w:r>
              <w:rPr>
                <w:noProof/>
                <w:webHidden/>
              </w:rPr>
              <w:tab/>
            </w:r>
            <w:r>
              <w:rPr>
                <w:noProof/>
                <w:webHidden/>
              </w:rPr>
              <w:fldChar w:fldCharType="begin"/>
            </w:r>
            <w:r>
              <w:rPr>
                <w:noProof/>
                <w:webHidden/>
              </w:rPr>
              <w:instrText xml:space="preserve"> PAGEREF _Toc399507635 \h </w:instrText>
            </w:r>
            <w:r>
              <w:rPr>
                <w:noProof/>
                <w:webHidden/>
              </w:rPr>
            </w:r>
            <w:r>
              <w:rPr>
                <w:noProof/>
                <w:webHidden/>
              </w:rPr>
              <w:fldChar w:fldCharType="separate"/>
            </w:r>
            <w:r>
              <w:rPr>
                <w:noProof/>
                <w:webHidden/>
              </w:rPr>
              <w:t>8</w:t>
            </w:r>
            <w:r>
              <w:rPr>
                <w:noProof/>
                <w:webHidden/>
              </w:rPr>
              <w:fldChar w:fldCharType="end"/>
            </w:r>
          </w:hyperlink>
        </w:p>
        <w:p w:rsidR="00CF6836" w:rsidRDefault="00CF6836">
          <w:pPr>
            <w:pStyle w:val="TOC3"/>
            <w:rPr>
              <w:rFonts w:asciiTheme="minorHAnsi" w:eastAsiaTheme="minorEastAsia" w:hAnsiTheme="minorHAnsi" w:cstheme="minorBidi"/>
              <w:noProof/>
              <w:lang w:eastAsia="en-AU"/>
            </w:rPr>
          </w:pPr>
          <w:hyperlink w:anchor="_Toc399507636" w:history="1">
            <w:r w:rsidRPr="0025550B">
              <w:rPr>
                <w:rStyle w:val="Hyperlink"/>
                <w:noProof/>
              </w:rPr>
              <w:t>Regulatory status</w:t>
            </w:r>
            <w:r>
              <w:rPr>
                <w:noProof/>
                <w:webHidden/>
              </w:rPr>
              <w:tab/>
            </w:r>
            <w:r>
              <w:rPr>
                <w:noProof/>
                <w:webHidden/>
              </w:rPr>
              <w:fldChar w:fldCharType="begin"/>
            </w:r>
            <w:r>
              <w:rPr>
                <w:noProof/>
                <w:webHidden/>
              </w:rPr>
              <w:instrText xml:space="preserve"> PAGEREF _Toc399507636 \h </w:instrText>
            </w:r>
            <w:r>
              <w:rPr>
                <w:noProof/>
                <w:webHidden/>
              </w:rPr>
            </w:r>
            <w:r>
              <w:rPr>
                <w:noProof/>
                <w:webHidden/>
              </w:rPr>
              <w:fldChar w:fldCharType="separate"/>
            </w:r>
            <w:r>
              <w:rPr>
                <w:noProof/>
                <w:webHidden/>
              </w:rPr>
              <w:t>9</w:t>
            </w:r>
            <w:r>
              <w:rPr>
                <w:noProof/>
                <w:webHidden/>
              </w:rPr>
              <w:fldChar w:fldCharType="end"/>
            </w:r>
          </w:hyperlink>
        </w:p>
        <w:p w:rsidR="00CF6836" w:rsidRDefault="00CF6836">
          <w:pPr>
            <w:pStyle w:val="TOC3"/>
            <w:rPr>
              <w:rFonts w:asciiTheme="minorHAnsi" w:eastAsiaTheme="minorEastAsia" w:hAnsiTheme="minorHAnsi" w:cstheme="minorBidi"/>
              <w:noProof/>
              <w:lang w:eastAsia="en-AU"/>
            </w:rPr>
          </w:pPr>
          <w:hyperlink w:anchor="_Toc399507637" w:history="1">
            <w:r w:rsidRPr="0025550B">
              <w:rPr>
                <w:rStyle w:val="Hyperlink"/>
                <w:noProof/>
              </w:rPr>
              <w:t>Product Information</w:t>
            </w:r>
            <w:r>
              <w:rPr>
                <w:noProof/>
                <w:webHidden/>
              </w:rPr>
              <w:tab/>
            </w:r>
            <w:r>
              <w:rPr>
                <w:noProof/>
                <w:webHidden/>
              </w:rPr>
              <w:fldChar w:fldCharType="begin"/>
            </w:r>
            <w:r>
              <w:rPr>
                <w:noProof/>
                <w:webHidden/>
              </w:rPr>
              <w:instrText xml:space="preserve"> PAGEREF _Toc399507637 \h </w:instrText>
            </w:r>
            <w:r>
              <w:rPr>
                <w:noProof/>
                <w:webHidden/>
              </w:rPr>
            </w:r>
            <w:r>
              <w:rPr>
                <w:noProof/>
                <w:webHidden/>
              </w:rPr>
              <w:fldChar w:fldCharType="separate"/>
            </w:r>
            <w:r>
              <w:rPr>
                <w:noProof/>
                <w:webHidden/>
              </w:rPr>
              <w:t>10</w:t>
            </w:r>
            <w:r>
              <w:rPr>
                <w:noProof/>
                <w:webHidden/>
              </w:rPr>
              <w:fldChar w:fldCharType="end"/>
            </w:r>
          </w:hyperlink>
        </w:p>
        <w:p w:rsidR="00CF6836" w:rsidRDefault="00CF6836">
          <w:pPr>
            <w:pStyle w:val="TOC2"/>
            <w:rPr>
              <w:rFonts w:asciiTheme="minorHAnsi" w:eastAsiaTheme="minorEastAsia" w:hAnsiTheme="minorHAnsi" w:cstheme="minorBidi"/>
              <w:b w:val="0"/>
              <w:noProof/>
              <w:sz w:val="22"/>
              <w:lang w:eastAsia="en-AU"/>
            </w:rPr>
          </w:pPr>
          <w:hyperlink w:anchor="_Toc399507638" w:history="1">
            <w:r w:rsidRPr="0025550B">
              <w:rPr>
                <w:rStyle w:val="Hyperlink"/>
                <w:noProof/>
              </w:rPr>
              <w:t>II. Quality findings</w:t>
            </w:r>
            <w:r>
              <w:rPr>
                <w:noProof/>
                <w:webHidden/>
              </w:rPr>
              <w:tab/>
            </w:r>
            <w:r>
              <w:rPr>
                <w:noProof/>
                <w:webHidden/>
              </w:rPr>
              <w:fldChar w:fldCharType="begin"/>
            </w:r>
            <w:r>
              <w:rPr>
                <w:noProof/>
                <w:webHidden/>
              </w:rPr>
              <w:instrText xml:space="preserve"> PAGEREF _Toc399507638 \h </w:instrText>
            </w:r>
            <w:r>
              <w:rPr>
                <w:noProof/>
                <w:webHidden/>
              </w:rPr>
            </w:r>
            <w:r>
              <w:rPr>
                <w:noProof/>
                <w:webHidden/>
              </w:rPr>
              <w:fldChar w:fldCharType="separate"/>
            </w:r>
            <w:r>
              <w:rPr>
                <w:noProof/>
                <w:webHidden/>
              </w:rPr>
              <w:t>10</w:t>
            </w:r>
            <w:r>
              <w:rPr>
                <w:noProof/>
                <w:webHidden/>
              </w:rPr>
              <w:fldChar w:fldCharType="end"/>
            </w:r>
          </w:hyperlink>
        </w:p>
        <w:p w:rsidR="00CF6836" w:rsidRDefault="00CF6836">
          <w:pPr>
            <w:pStyle w:val="TOC2"/>
            <w:rPr>
              <w:rFonts w:asciiTheme="minorHAnsi" w:eastAsiaTheme="minorEastAsia" w:hAnsiTheme="minorHAnsi" w:cstheme="minorBidi"/>
              <w:b w:val="0"/>
              <w:noProof/>
              <w:sz w:val="22"/>
              <w:lang w:eastAsia="en-AU"/>
            </w:rPr>
          </w:pPr>
          <w:hyperlink w:anchor="_Toc399507639" w:history="1">
            <w:r w:rsidRPr="0025550B">
              <w:rPr>
                <w:rStyle w:val="Hyperlink"/>
                <w:noProof/>
              </w:rPr>
              <w:t>III. Nonclinical findings</w:t>
            </w:r>
            <w:r>
              <w:rPr>
                <w:noProof/>
                <w:webHidden/>
              </w:rPr>
              <w:tab/>
            </w:r>
            <w:r>
              <w:rPr>
                <w:noProof/>
                <w:webHidden/>
              </w:rPr>
              <w:fldChar w:fldCharType="begin"/>
            </w:r>
            <w:r>
              <w:rPr>
                <w:noProof/>
                <w:webHidden/>
              </w:rPr>
              <w:instrText xml:space="preserve"> PAGEREF _Toc399507639 \h </w:instrText>
            </w:r>
            <w:r>
              <w:rPr>
                <w:noProof/>
                <w:webHidden/>
              </w:rPr>
            </w:r>
            <w:r>
              <w:rPr>
                <w:noProof/>
                <w:webHidden/>
              </w:rPr>
              <w:fldChar w:fldCharType="separate"/>
            </w:r>
            <w:r>
              <w:rPr>
                <w:noProof/>
                <w:webHidden/>
              </w:rPr>
              <w:t>10</w:t>
            </w:r>
            <w:r>
              <w:rPr>
                <w:noProof/>
                <w:webHidden/>
              </w:rPr>
              <w:fldChar w:fldCharType="end"/>
            </w:r>
          </w:hyperlink>
        </w:p>
        <w:p w:rsidR="00CF6836" w:rsidRDefault="00CF6836">
          <w:pPr>
            <w:pStyle w:val="TOC2"/>
            <w:rPr>
              <w:rFonts w:asciiTheme="minorHAnsi" w:eastAsiaTheme="minorEastAsia" w:hAnsiTheme="minorHAnsi" w:cstheme="minorBidi"/>
              <w:b w:val="0"/>
              <w:noProof/>
              <w:sz w:val="22"/>
              <w:lang w:eastAsia="en-AU"/>
            </w:rPr>
          </w:pPr>
          <w:hyperlink w:anchor="_Toc399507640" w:history="1">
            <w:r w:rsidRPr="0025550B">
              <w:rPr>
                <w:rStyle w:val="Hyperlink"/>
                <w:noProof/>
              </w:rPr>
              <w:t>IV. Clinical findings</w:t>
            </w:r>
            <w:r>
              <w:rPr>
                <w:noProof/>
                <w:webHidden/>
              </w:rPr>
              <w:tab/>
            </w:r>
            <w:r>
              <w:rPr>
                <w:noProof/>
                <w:webHidden/>
              </w:rPr>
              <w:fldChar w:fldCharType="begin"/>
            </w:r>
            <w:r>
              <w:rPr>
                <w:noProof/>
                <w:webHidden/>
              </w:rPr>
              <w:instrText xml:space="preserve"> PAGEREF _Toc399507640 \h </w:instrText>
            </w:r>
            <w:r>
              <w:rPr>
                <w:noProof/>
                <w:webHidden/>
              </w:rPr>
            </w:r>
            <w:r>
              <w:rPr>
                <w:noProof/>
                <w:webHidden/>
              </w:rPr>
              <w:fldChar w:fldCharType="separate"/>
            </w:r>
            <w:r>
              <w:rPr>
                <w:noProof/>
                <w:webHidden/>
              </w:rPr>
              <w:t>10</w:t>
            </w:r>
            <w:r>
              <w:rPr>
                <w:noProof/>
                <w:webHidden/>
              </w:rPr>
              <w:fldChar w:fldCharType="end"/>
            </w:r>
          </w:hyperlink>
        </w:p>
        <w:p w:rsidR="00CF6836" w:rsidRDefault="00CF6836">
          <w:pPr>
            <w:pStyle w:val="TOC3"/>
            <w:rPr>
              <w:rFonts w:asciiTheme="minorHAnsi" w:eastAsiaTheme="minorEastAsia" w:hAnsiTheme="minorHAnsi" w:cstheme="minorBidi"/>
              <w:noProof/>
              <w:lang w:eastAsia="en-AU"/>
            </w:rPr>
          </w:pPr>
          <w:hyperlink w:anchor="_Toc399507641" w:history="1">
            <w:r w:rsidRPr="0025550B">
              <w:rPr>
                <w:rStyle w:val="Hyperlink"/>
                <w:noProof/>
              </w:rPr>
              <w:t>Clinical rationale</w:t>
            </w:r>
            <w:r>
              <w:rPr>
                <w:noProof/>
                <w:webHidden/>
              </w:rPr>
              <w:tab/>
            </w:r>
            <w:r>
              <w:rPr>
                <w:noProof/>
                <w:webHidden/>
              </w:rPr>
              <w:fldChar w:fldCharType="begin"/>
            </w:r>
            <w:r>
              <w:rPr>
                <w:noProof/>
                <w:webHidden/>
              </w:rPr>
              <w:instrText xml:space="preserve"> PAGEREF _Toc399507641 \h </w:instrText>
            </w:r>
            <w:r>
              <w:rPr>
                <w:noProof/>
                <w:webHidden/>
              </w:rPr>
            </w:r>
            <w:r>
              <w:rPr>
                <w:noProof/>
                <w:webHidden/>
              </w:rPr>
              <w:fldChar w:fldCharType="separate"/>
            </w:r>
            <w:r>
              <w:rPr>
                <w:noProof/>
                <w:webHidden/>
              </w:rPr>
              <w:t>10</w:t>
            </w:r>
            <w:r>
              <w:rPr>
                <w:noProof/>
                <w:webHidden/>
              </w:rPr>
              <w:fldChar w:fldCharType="end"/>
            </w:r>
          </w:hyperlink>
        </w:p>
        <w:p w:rsidR="00CF6836" w:rsidRDefault="00CF6836">
          <w:pPr>
            <w:pStyle w:val="TOC3"/>
            <w:rPr>
              <w:rFonts w:asciiTheme="minorHAnsi" w:eastAsiaTheme="minorEastAsia" w:hAnsiTheme="minorHAnsi" w:cstheme="minorBidi"/>
              <w:noProof/>
              <w:lang w:eastAsia="en-AU"/>
            </w:rPr>
          </w:pPr>
          <w:hyperlink w:anchor="_Toc399507642" w:history="1">
            <w:r w:rsidRPr="0025550B">
              <w:rPr>
                <w:rStyle w:val="Hyperlink"/>
                <w:noProof/>
              </w:rPr>
              <w:t>Guidance</w:t>
            </w:r>
            <w:r>
              <w:rPr>
                <w:noProof/>
                <w:webHidden/>
              </w:rPr>
              <w:tab/>
            </w:r>
            <w:r>
              <w:rPr>
                <w:noProof/>
                <w:webHidden/>
              </w:rPr>
              <w:fldChar w:fldCharType="begin"/>
            </w:r>
            <w:r>
              <w:rPr>
                <w:noProof/>
                <w:webHidden/>
              </w:rPr>
              <w:instrText xml:space="preserve"> PAGEREF _Toc399507642 \h </w:instrText>
            </w:r>
            <w:r>
              <w:rPr>
                <w:noProof/>
                <w:webHidden/>
              </w:rPr>
            </w:r>
            <w:r>
              <w:rPr>
                <w:noProof/>
                <w:webHidden/>
              </w:rPr>
              <w:fldChar w:fldCharType="separate"/>
            </w:r>
            <w:r>
              <w:rPr>
                <w:noProof/>
                <w:webHidden/>
              </w:rPr>
              <w:t>10</w:t>
            </w:r>
            <w:r>
              <w:rPr>
                <w:noProof/>
                <w:webHidden/>
              </w:rPr>
              <w:fldChar w:fldCharType="end"/>
            </w:r>
          </w:hyperlink>
        </w:p>
        <w:p w:rsidR="00CF6836" w:rsidRDefault="00CF6836">
          <w:pPr>
            <w:pStyle w:val="TOC3"/>
            <w:rPr>
              <w:rFonts w:asciiTheme="minorHAnsi" w:eastAsiaTheme="minorEastAsia" w:hAnsiTheme="minorHAnsi" w:cstheme="minorBidi"/>
              <w:noProof/>
              <w:lang w:eastAsia="en-AU"/>
            </w:rPr>
          </w:pPr>
          <w:hyperlink w:anchor="_Toc399507643" w:history="1">
            <w:r w:rsidRPr="0025550B">
              <w:rPr>
                <w:rStyle w:val="Hyperlink"/>
                <w:noProof/>
              </w:rPr>
              <w:t>Pharmacokinetics</w:t>
            </w:r>
            <w:r>
              <w:rPr>
                <w:noProof/>
                <w:webHidden/>
              </w:rPr>
              <w:tab/>
            </w:r>
            <w:r>
              <w:rPr>
                <w:noProof/>
                <w:webHidden/>
              </w:rPr>
              <w:fldChar w:fldCharType="begin"/>
            </w:r>
            <w:r>
              <w:rPr>
                <w:noProof/>
                <w:webHidden/>
              </w:rPr>
              <w:instrText xml:space="preserve"> PAGEREF _Toc399507643 \h </w:instrText>
            </w:r>
            <w:r>
              <w:rPr>
                <w:noProof/>
                <w:webHidden/>
              </w:rPr>
            </w:r>
            <w:r>
              <w:rPr>
                <w:noProof/>
                <w:webHidden/>
              </w:rPr>
              <w:fldChar w:fldCharType="separate"/>
            </w:r>
            <w:r>
              <w:rPr>
                <w:noProof/>
                <w:webHidden/>
              </w:rPr>
              <w:t>11</w:t>
            </w:r>
            <w:r>
              <w:rPr>
                <w:noProof/>
                <w:webHidden/>
              </w:rPr>
              <w:fldChar w:fldCharType="end"/>
            </w:r>
          </w:hyperlink>
        </w:p>
        <w:p w:rsidR="00CF6836" w:rsidRDefault="00CF6836">
          <w:pPr>
            <w:pStyle w:val="TOC3"/>
            <w:rPr>
              <w:rFonts w:asciiTheme="minorHAnsi" w:eastAsiaTheme="minorEastAsia" w:hAnsiTheme="minorHAnsi" w:cstheme="minorBidi"/>
              <w:noProof/>
              <w:lang w:eastAsia="en-AU"/>
            </w:rPr>
          </w:pPr>
          <w:hyperlink w:anchor="_Toc399507644" w:history="1">
            <w:r w:rsidRPr="0025550B">
              <w:rPr>
                <w:rStyle w:val="Hyperlink"/>
                <w:noProof/>
              </w:rPr>
              <w:t>Pharmacodynamics</w:t>
            </w:r>
            <w:r>
              <w:rPr>
                <w:noProof/>
                <w:webHidden/>
              </w:rPr>
              <w:tab/>
            </w:r>
            <w:r>
              <w:rPr>
                <w:noProof/>
                <w:webHidden/>
              </w:rPr>
              <w:fldChar w:fldCharType="begin"/>
            </w:r>
            <w:r>
              <w:rPr>
                <w:noProof/>
                <w:webHidden/>
              </w:rPr>
              <w:instrText xml:space="preserve"> PAGEREF _Toc399507644 \h </w:instrText>
            </w:r>
            <w:r>
              <w:rPr>
                <w:noProof/>
                <w:webHidden/>
              </w:rPr>
            </w:r>
            <w:r>
              <w:rPr>
                <w:noProof/>
                <w:webHidden/>
              </w:rPr>
              <w:fldChar w:fldCharType="separate"/>
            </w:r>
            <w:r>
              <w:rPr>
                <w:noProof/>
                <w:webHidden/>
              </w:rPr>
              <w:t>11</w:t>
            </w:r>
            <w:r>
              <w:rPr>
                <w:noProof/>
                <w:webHidden/>
              </w:rPr>
              <w:fldChar w:fldCharType="end"/>
            </w:r>
          </w:hyperlink>
        </w:p>
        <w:p w:rsidR="00CF6836" w:rsidRDefault="00CF6836">
          <w:pPr>
            <w:pStyle w:val="TOC3"/>
            <w:rPr>
              <w:rFonts w:asciiTheme="minorHAnsi" w:eastAsiaTheme="minorEastAsia" w:hAnsiTheme="minorHAnsi" w:cstheme="minorBidi"/>
              <w:noProof/>
              <w:lang w:eastAsia="en-AU"/>
            </w:rPr>
          </w:pPr>
          <w:hyperlink w:anchor="_Toc399507645" w:history="1">
            <w:r w:rsidRPr="0025550B">
              <w:rPr>
                <w:rStyle w:val="Hyperlink"/>
                <w:noProof/>
              </w:rPr>
              <w:t>Dosage selection for the pivotal studies</w:t>
            </w:r>
            <w:r>
              <w:rPr>
                <w:noProof/>
                <w:webHidden/>
              </w:rPr>
              <w:tab/>
            </w:r>
            <w:r>
              <w:rPr>
                <w:noProof/>
                <w:webHidden/>
              </w:rPr>
              <w:fldChar w:fldCharType="begin"/>
            </w:r>
            <w:r>
              <w:rPr>
                <w:noProof/>
                <w:webHidden/>
              </w:rPr>
              <w:instrText xml:space="preserve"> PAGEREF _Toc399507645 \h </w:instrText>
            </w:r>
            <w:r>
              <w:rPr>
                <w:noProof/>
                <w:webHidden/>
              </w:rPr>
            </w:r>
            <w:r>
              <w:rPr>
                <w:noProof/>
                <w:webHidden/>
              </w:rPr>
              <w:fldChar w:fldCharType="separate"/>
            </w:r>
            <w:r>
              <w:rPr>
                <w:noProof/>
                <w:webHidden/>
              </w:rPr>
              <w:t>12</w:t>
            </w:r>
            <w:r>
              <w:rPr>
                <w:noProof/>
                <w:webHidden/>
              </w:rPr>
              <w:fldChar w:fldCharType="end"/>
            </w:r>
          </w:hyperlink>
        </w:p>
        <w:p w:rsidR="00CF6836" w:rsidRDefault="00CF6836">
          <w:pPr>
            <w:pStyle w:val="TOC3"/>
            <w:rPr>
              <w:rFonts w:asciiTheme="minorHAnsi" w:eastAsiaTheme="minorEastAsia" w:hAnsiTheme="minorHAnsi" w:cstheme="minorBidi"/>
              <w:noProof/>
              <w:lang w:eastAsia="en-AU"/>
            </w:rPr>
          </w:pPr>
          <w:hyperlink w:anchor="_Toc399507646" w:history="1">
            <w:r w:rsidRPr="0025550B">
              <w:rPr>
                <w:rStyle w:val="Hyperlink"/>
                <w:noProof/>
              </w:rPr>
              <w:t>Efficacy</w:t>
            </w:r>
            <w:r>
              <w:rPr>
                <w:noProof/>
                <w:webHidden/>
              </w:rPr>
              <w:tab/>
            </w:r>
            <w:r>
              <w:rPr>
                <w:noProof/>
                <w:webHidden/>
              </w:rPr>
              <w:fldChar w:fldCharType="begin"/>
            </w:r>
            <w:r>
              <w:rPr>
                <w:noProof/>
                <w:webHidden/>
              </w:rPr>
              <w:instrText xml:space="preserve"> PAGEREF _Toc399507646 \h </w:instrText>
            </w:r>
            <w:r>
              <w:rPr>
                <w:noProof/>
                <w:webHidden/>
              </w:rPr>
            </w:r>
            <w:r>
              <w:rPr>
                <w:noProof/>
                <w:webHidden/>
              </w:rPr>
              <w:fldChar w:fldCharType="separate"/>
            </w:r>
            <w:r>
              <w:rPr>
                <w:noProof/>
                <w:webHidden/>
              </w:rPr>
              <w:t>12</w:t>
            </w:r>
            <w:r>
              <w:rPr>
                <w:noProof/>
                <w:webHidden/>
              </w:rPr>
              <w:fldChar w:fldCharType="end"/>
            </w:r>
          </w:hyperlink>
        </w:p>
        <w:p w:rsidR="00CF6836" w:rsidRDefault="00CF6836">
          <w:pPr>
            <w:pStyle w:val="TOC3"/>
            <w:rPr>
              <w:rFonts w:asciiTheme="minorHAnsi" w:eastAsiaTheme="minorEastAsia" w:hAnsiTheme="minorHAnsi" w:cstheme="minorBidi"/>
              <w:noProof/>
              <w:lang w:eastAsia="en-AU"/>
            </w:rPr>
          </w:pPr>
          <w:hyperlink w:anchor="_Toc399507647" w:history="1">
            <w:r w:rsidRPr="0025550B">
              <w:rPr>
                <w:rStyle w:val="Hyperlink"/>
                <w:noProof/>
              </w:rPr>
              <w:t>Safety</w:t>
            </w:r>
            <w:r>
              <w:rPr>
                <w:noProof/>
                <w:webHidden/>
              </w:rPr>
              <w:tab/>
            </w:r>
            <w:r>
              <w:rPr>
                <w:noProof/>
                <w:webHidden/>
              </w:rPr>
              <w:fldChar w:fldCharType="begin"/>
            </w:r>
            <w:r>
              <w:rPr>
                <w:noProof/>
                <w:webHidden/>
              </w:rPr>
              <w:instrText xml:space="preserve"> PAGEREF _Toc399507647 \h </w:instrText>
            </w:r>
            <w:r>
              <w:rPr>
                <w:noProof/>
                <w:webHidden/>
              </w:rPr>
            </w:r>
            <w:r>
              <w:rPr>
                <w:noProof/>
                <w:webHidden/>
              </w:rPr>
              <w:fldChar w:fldCharType="separate"/>
            </w:r>
            <w:r>
              <w:rPr>
                <w:noProof/>
                <w:webHidden/>
              </w:rPr>
              <w:t>15</w:t>
            </w:r>
            <w:r>
              <w:rPr>
                <w:noProof/>
                <w:webHidden/>
              </w:rPr>
              <w:fldChar w:fldCharType="end"/>
            </w:r>
          </w:hyperlink>
          <w:bookmarkStart w:id="2" w:name="_GoBack"/>
          <w:bookmarkEnd w:id="2"/>
        </w:p>
        <w:p w:rsidR="00CF6836" w:rsidRDefault="00CF6836">
          <w:pPr>
            <w:pStyle w:val="TOC3"/>
            <w:rPr>
              <w:rFonts w:asciiTheme="minorHAnsi" w:eastAsiaTheme="minorEastAsia" w:hAnsiTheme="minorHAnsi" w:cstheme="minorBidi"/>
              <w:noProof/>
              <w:lang w:eastAsia="en-AU"/>
            </w:rPr>
          </w:pPr>
          <w:hyperlink w:anchor="_Toc399507648" w:history="1">
            <w:r w:rsidRPr="0025550B">
              <w:rPr>
                <w:rStyle w:val="Hyperlink"/>
                <w:noProof/>
              </w:rPr>
              <w:t>First round benefit-risk assessment</w:t>
            </w:r>
            <w:r>
              <w:rPr>
                <w:noProof/>
                <w:webHidden/>
              </w:rPr>
              <w:tab/>
            </w:r>
            <w:r>
              <w:rPr>
                <w:noProof/>
                <w:webHidden/>
              </w:rPr>
              <w:fldChar w:fldCharType="begin"/>
            </w:r>
            <w:r>
              <w:rPr>
                <w:noProof/>
                <w:webHidden/>
              </w:rPr>
              <w:instrText xml:space="preserve"> PAGEREF _Toc399507648 \h </w:instrText>
            </w:r>
            <w:r>
              <w:rPr>
                <w:noProof/>
                <w:webHidden/>
              </w:rPr>
            </w:r>
            <w:r>
              <w:rPr>
                <w:noProof/>
                <w:webHidden/>
              </w:rPr>
              <w:fldChar w:fldCharType="separate"/>
            </w:r>
            <w:r>
              <w:rPr>
                <w:noProof/>
                <w:webHidden/>
              </w:rPr>
              <w:t>18</w:t>
            </w:r>
            <w:r>
              <w:rPr>
                <w:noProof/>
                <w:webHidden/>
              </w:rPr>
              <w:fldChar w:fldCharType="end"/>
            </w:r>
          </w:hyperlink>
        </w:p>
        <w:p w:rsidR="00CF6836" w:rsidRDefault="00CF6836">
          <w:pPr>
            <w:pStyle w:val="TOC3"/>
            <w:rPr>
              <w:rFonts w:asciiTheme="minorHAnsi" w:eastAsiaTheme="minorEastAsia" w:hAnsiTheme="minorHAnsi" w:cstheme="minorBidi"/>
              <w:noProof/>
              <w:lang w:eastAsia="en-AU"/>
            </w:rPr>
          </w:pPr>
          <w:hyperlink w:anchor="_Toc399507649" w:history="1">
            <w:r w:rsidRPr="0025550B">
              <w:rPr>
                <w:rStyle w:val="Hyperlink"/>
                <w:noProof/>
              </w:rPr>
              <w:t>First round recommendation regarding authorisation</w:t>
            </w:r>
            <w:r>
              <w:rPr>
                <w:noProof/>
                <w:webHidden/>
              </w:rPr>
              <w:tab/>
            </w:r>
            <w:r>
              <w:rPr>
                <w:noProof/>
                <w:webHidden/>
              </w:rPr>
              <w:fldChar w:fldCharType="begin"/>
            </w:r>
            <w:r>
              <w:rPr>
                <w:noProof/>
                <w:webHidden/>
              </w:rPr>
              <w:instrText xml:space="preserve"> PAGEREF _Toc399507649 \h </w:instrText>
            </w:r>
            <w:r>
              <w:rPr>
                <w:noProof/>
                <w:webHidden/>
              </w:rPr>
            </w:r>
            <w:r>
              <w:rPr>
                <w:noProof/>
                <w:webHidden/>
              </w:rPr>
              <w:fldChar w:fldCharType="separate"/>
            </w:r>
            <w:r>
              <w:rPr>
                <w:noProof/>
                <w:webHidden/>
              </w:rPr>
              <w:t>18</w:t>
            </w:r>
            <w:r>
              <w:rPr>
                <w:noProof/>
                <w:webHidden/>
              </w:rPr>
              <w:fldChar w:fldCharType="end"/>
            </w:r>
          </w:hyperlink>
        </w:p>
        <w:p w:rsidR="00CF6836" w:rsidRDefault="00CF6836">
          <w:pPr>
            <w:pStyle w:val="TOC3"/>
            <w:rPr>
              <w:rFonts w:asciiTheme="minorHAnsi" w:eastAsiaTheme="minorEastAsia" w:hAnsiTheme="minorHAnsi" w:cstheme="minorBidi"/>
              <w:noProof/>
              <w:lang w:eastAsia="en-AU"/>
            </w:rPr>
          </w:pPr>
          <w:hyperlink w:anchor="_Toc399507650" w:history="1">
            <w:r w:rsidRPr="0025550B">
              <w:rPr>
                <w:rStyle w:val="Hyperlink"/>
                <w:noProof/>
              </w:rPr>
              <w:t>Clinical questions</w:t>
            </w:r>
            <w:r>
              <w:rPr>
                <w:noProof/>
                <w:webHidden/>
              </w:rPr>
              <w:tab/>
            </w:r>
            <w:r>
              <w:rPr>
                <w:noProof/>
                <w:webHidden/>
              </w:rPr>
              <w:fldChar w:fldCharType="begin"/>
            </w:r>
            <w:r>
              <w:rPr>
                <w:noProof/>
                <w:webHidden/>
              </w:rPr>
              <w:instrText xml:space="preserve"> PAGEREF _Toc399507650 \h </w:instrText>
            </w:r>
            <w:r>
              <w:rPr>
                <w:noProof/>
                <w:webHidden/>
              </w:rPr>
            </w:r>
            <w:r>
              <w:rPr>
                <w:noProof/>
                <w:webHidden/>
              </w:rPr>
              <w:fldChar w:fldCharType="separate"/>
            </w:r>
            <w:r>
              <w:rPr>
                <w:noProof/>
                <w:webHidden/>
              </w:rPr>
              <w:t>19</w:t>
            </w:r>
            <w:r>
              <w:rPr>
                <w:noProof/>
                <w:webHidden/>
              </w:rPr>
              <w:fldChar w:fldCharType="end"/>
            </w:r>
          </w:hyperlink>
        </w:p>
        <w:p w:rsidR="00CF6836" w:rsidRDefault="00CF6836">
          <w:pPr>
            <w:pStyle w:val="TOC3"/>
            <w:rPr>
              <w:rFonts w:asciiTheme="minorHAnsi" w:eastAsiaTheme="minorEastAsia" w:hAnsiTheme="minorHAnsi" w:cstheme="minorBidi"/>
              <w:noProof/>
              <w:lang w:eastAsia="en-AU"/>
            </w:rPr>
          </w:pPr>
          <w:hyperlink w:anchor="_Toc399507651" w:history="1">
            <w:r w:rsidRPr="0025550B">
              <w:rPr>
                <w:rStyle w:val="Hyperlink"/>
                <w:noProof/>
              </w:rPr>
              <w:t>Second round evaluation of clinical data submitted in response to questions</w:t>
            </w:r>
            <w:r>
              <w:rPr>
                <w:noProof/>
                <w:webHidden/>
              </w:rPr>
              <w:tab/>
            </w:r>
            <w:r>
              <w:rPr>
                <w:noProof/>
                <w:webHidden/>
              </w:rPr>
              <w:fldChar w:fldCharType="begin"/>
            </w:r>
            <w:r>
              <w:rPr>
                <w:noProof/>
                <w:webHidden/>
              </w:rPr>
              <w:instrText xml:space="preserve"> PAGEREF _Toc399507651 \h </w:instrText>
            </w:r>
            <w:r>
              <w:rPr>
                <w:noProof/>
                <w:webHidden/>
              </w:rPr>
            </w:r>
            <w:r>
              <w:rPr>
                <w:noProof/>
                <w:webHidden/>
              </w:rPr>
              <w:fldChar w:fldCharType="separate"/>
            </w:r>
            <w:r>
              <w:rPr>
                <w:noProof/>
                <w:webHidden/>
              </w:rPr>
              <w:t>19</w:t>
            </w:r>
            <w:r>
              <w:rPr>
                <w:noProof/>
                <w:webHidden/>
              </w:rPr>
              <w:fldChar w:fldCharType="end"/>
            </w:r>
          </w:hyperlink>
        </w:p>
        <w:p w:rsidR="00CF6836" w:rsidRDefault="00CF6836">
          <w:pPr>
            <w:pStyle w:val="TOC3"/>
            <w:rPr>
              <w:rFonts w:asciiTheme="minorHAnsi" w:eastAsiaTheme="minorEastAsia" w:hAnsiTheme="minorHAnsi" w:cstheme="minorBidi"/>
              <w:noProof/>
              <w:lang w:eastAsia="en-AU"/>
            </w:rPr>
          </w:pPr>
          <w:hyperlink w:anchor="_Toc399507652" w:history="1">
            <w:r w:rsidRPr="0025550B">
              <w:rPr>
                <w:rStyle w:val="Hyperlink"/>
                <w:noProof/>
              </w:rPr>
              <w:t>Second round benefit-risk assessment</w:t>
            </w:r>
            <w:r>
              <w:rPr>
                <w:noProof/>
                <w:webHidden/>
              </w:rPr>
              <w:tab/>
            </w:r>
            <w:r>
              <w:rPr>
                <w:noProof/>
                <w:webHidden/>
              </w:rPr>
              <w:fldChar w:fldCharType="begin"/>
            </w:r>
            <w:r>
              <w:rPr>
                <w:noProof/>
                <w:webHidden/>
              </w:rPr>
              <w:instrText xml:space="preserve"> PAGEREF _Toc399507652 \h </w:instrText>
            </w:r>
            <w:r>
              <w:rPr>
                <w:noProof/>
                <w:webHidden/>
              </w:rPr>
            </w:r>
            <w:r>
              <w:rPr>
                <w:noProof/>
                <w:webHidden/>
              </w:rPr>
              <w:fldChar w:fldCharType="separate"/>
            </w:r>
            <w:r>
              <w:rPr>
                <w:noProof/>
                <w:webHidden/>
              </w:rPr>
              <w:t>22</w:t>
            </w:r>
            <w:r>
              <w:rPr>
                <w:noProof/>
                <w:webHidden/>
              </w:rPr>
              <w:fldChar w:fldCharType="end"/>
            </w:r>
          </w:hyperlink>
        </w:p>
        <w:p w:rsidR="00CF6836" w:rsidRDefault="00CF6836">
          <w:pPr>
            <w:pStyle w:val="TOC2"/>
            <w:rPr>
              <w:rFonts w:asciiTheme="minorHAnsi" w:eastAsiaTheme="minorEastAsia" w:hAnsiTheme="minorHAnsi" w:cstheme="minorBidi"/>
              <w:b w:val="0"/>
              <w:noProof/>
              <w:sz w:val="22"/>
              <w:lang w:eastAsia="en-AU"/>
            </w:rPr>
          </w:pPr>
          <w:hyperlink w:anchor="_Toc399507653" w:history="1">
            <w:r w:rsidRPr="0025550B">
              <w:rPr>
                <w:rStyle w:val="Hyperlink"/>
                <w:noProof/>
              </w:rPr>
              <w:t>V. Pharmacovigilance findings</w:t>
            </w:r>
            <w:r>
              <w:rPr>
                <w:noProof/>
                <w:webHidden/>
              </w:rPr>
              <w:tab/>
            </w:r>
            <w:r>
              <w:rPr>
                <w:noProof/>
                <w:webHidden/>
              </w:rPr>
              <w:fldChar w:fldCharType="begin"/>
            </w:r>
            <w:r>
              <w:rPr>
                <w:noProof/>
                <w:webHidden/>
              </w:rPr>
              <w:instrText xml:space="preserve"> PAGEREF _Toc399507653 \h </w:instrText>
            </w:r>
            <w:r>
              <w:rPr>
                <w:noProof/>
                <w:webHidden/>
              </w:rPr>
            </w:r>
            <w:r>
              <w:rPr>
                <w:noProof/>
                <w:webHidden/>
              </w:rPr>
              <w:fldChar w:fldCharType="separate"/>
            </w:r>
            <w:r>
              <w:rPr>
                <w:noProof/>
                <w:webHidden/>
              </w:rPr>
              <w:t>23</w:t>
            </w:r>
            <w:r>
              <w:rPr>
                <w:noProof/>
                <w:webHidden/>
              </w:rPr>
              <w:fldChar w:fldCharType="end"/>
            </w:r>
          </w:hyperlink>
        </w:p>
        <w:p w:rsidR="00CF6836" w:rsidRDefault="00CF6836">
          <w:pPr>
            <w:pStyle w:val="TOC3"/>
            <w:rPr>
              <w:rFonts w:asciiTheme="minorHAnsi" w:eastAsiaTheme="minorEastAsia" w:hAnsiTheme="minorHAnsi" w:cstheme="minorBidi"/>
              <w:noProof/>
              <w:lang w:eastAsia="en-AU"/>
            </w:rPr>
          </w:pPr>
          <w:hyperlink w:anchor="_Toc399507654" w:history="1">
            <w:r w:rsidRPr="0025550B">
              <w:rPr>
                <w:rStyle w:val="Hyperlink"/>
                <w:noProof/>
                <w:lang w:eastAsia="en-AU"/>
              </w:rPr>
              <w:t xml:space="preserve">Risk </w:t>
            </w:r>
            <w:r w:rsidRPr="0025550B">
              <w:rPr>
                <w:rStyle w:val="Hyperlink"/>
                <w:noProof/>
              </w:rPr>
              <w:t>management</w:t>
            </w:r>
            <w:r w:rsidRPr="0025550B">
              <w:rPr>
                <w:rStyle w:val="Hyperlink"/>
                <w:noProof/>
                <w:lang w:eastAsia="en-AU"/>
              </w:rPr>
              <w:t xml:space="preserve"> plan</w:t>
            </w:r>
            <w:r>
              <w:rPr>
                <w:noProof/>
                <w:webHidden/>
              </w:rPr>
              <w:tab/>
            </w:r>
            <w:r>
              <w:rPr>
                <w:noProof/>
                <w:webHidden/>
              </w:rPr>
              <w:fldChar w:fldCharType="begin"/>
            </w:r>
            <w:r>
              <w:rPr>
                <w:noProof/>
                <w:webHidden/>
              </w:rPr>
              <w:instrText xml:space="preserve"> PAGEREF _Toc399507654 \h </w:instrText>
            </w:r>
            <w:r>
              <w:rPr>
                <w:noProof/>
                <w:webHidden/>
              </w:rPr>
            </w:r>
            <w:r>
              <w:rPr>
                <w:noProof/>
                <w:webHidden/>
              </w:rPr>
              <w:fldChar w:fldCharType="separate"/>
            </w:r>
            <w:r>
              <w:rPr>
                <w:noProof/>
                <w:webHidden/>
              </w:rPr>
              <w:t>23</w:t>
            </w:r>
            <w:r>
              <w:rPr>
                <w:noProof/>
                <w:webHidden/>
              </w:rPr>
              <w:fldChar w:fldCharType="end"/>
            </w:r>
          </w:hyperlink>
        </w:p>
        <w:p w:rsidR="00CF6836" w:rsidRDefault="00CF6836">
          <w:pPr>
            <w:pStyle w:val="TOC2"/>
            <w:rPr>
              <w:rFonts w:asciiTheme="minorHAnsi" w:eastAsiaTheme="minorEastAsia" w:hAnsiTheme="minorHAnsi" w:cstheme="minorBidi"/>
              <w:b w:val="0"/>
              <w:noProof/>
              <w:sz w:val="22"/>
              <w:lang w:eastAsia="en-AU"/>
            </w:rPr>
          </w:pPr>
          <w:hyperlink w:anchor="_Toc399507655" w:history="1">
            <w:r w:rsidRPr="0025550B">
              <w:rPr>
                <w:rStyle w:val="Hyperlink"/>
                <w:noProof/>
              </w:rPr>
              <w:t>VI. Overall conclusion and risk/benefit assessment</w:t>
            </w:r>
            <w:r>
              <w:rPr>
                <w:noProof/>
                <w:webHidden/>
              </w:rPr>
              <w:tab/>
            </w:r>
            <w:r>
              <w:rPr>
                <w:noProof/>
                <w:webHidden/>
              </w:rPr>
              <w:fldChar w:fldCharType="begin"/>
            </w:r>
            <w:r>
              <w:rPr>
                <w:noProof/>
                <w:webHidden/>
              </w:rPr>
              <w:instrText xml:space="preserve"> PAGEREF _Toc399507655 \h </w:instrText>
            </w:r>
            <w:r>
              <w:rPr>
                <w:noProof/>
                <w:webHidden/>
              </w:rPr>
            </w:r>
            <w:r>
              <w:rPr>
                <w:noProof/>
                <w:webHidden/>
              </w:rPr>
              <w:fldChar w:fldCharType="separate"/>
            </w:r>
            <w:r>
              <w:rPr>
                <w:noProof/>
                <w:webHidden/>
              </w:rPr>
              <w:t>39</w:t>
            </w:r>
            <w:r>
              <w:rPr>
                <w:noProof/>
                <w:webHidden/>
              </w:rPr>
              <w:fldChar w:fldCharType="end"/>
            </w:r>
          </w:hyperlink>
        </w:p>
        <w:p w:rsidR="00CF6836" w:rsidRDefault="00CF6836">
          <w:pPr>
            <w:pStyle w:val="TOC3"/>
            <w:rPr>
              <w:rFonts w:asciiTheme="minorHAnsi" w:eastAsiaTheme="minorEastAsia" w:hAnsiTheme="minorHAnsi" w:cstheme="minorBidi"/>
              <w:noProof/>
              <w:lang w:eastAsia="en-AU"/>
            </w:rPr>
          </w:pPr>
          <w:hyperlink w:anchor="_Toc399507656" w:history="1">
            <w:r w:rsidRPr="0025550B">
              <w:rPr>
                <w:rStyle w:val="Hyperlink"/>
                <w:noProof/>
              </w:rPr>
              <w:t>Quality</w:t>
            </w:r>
            <w:r>
              <w:rPr>
                <w:noProof/>
                <w:webHidden/>
              </w:rPr>
              <w:tab/>
            </w:r>
            <w:r>
              <w:rPr>
                <w:noProof/>
                <w:webHidden/>
              </w:rPr>
              <w:fldChar w:fldCharType="begin"/>
            </w:r>
            <w:r>
              <w:rPr>
                <w:noProof/>
                <w:webHidden/>
              </w:rPr>
              <w:instrText xml:space="preserve"> PAGEREF _Toc399507656 \h </w:instrText>
            </w:r>
            <w:r>
              <w:rPr>
                <w:noProof/>
                <w:webHidden/>
              </w:rPr>
            </w:r>
            <w:r>
              <w:rPr>
                <w:noProof/>
                <w:webHidden/>
              </w:rPr>
              <w:fldChar w:fldCharType="separate"/>
            </w:r>
            <w:r>
              <w:rPr>
                <w:noProof/>
                <w:webHidden/>
              </w:rPr>
              <w:t>39</w:t>
            </w:r>
            <w:r>
              <w:rPr>
                <w:noProof/>
                <w:webHidden/>
              </w:rPr>
              <w:fldChar w:fldCharType="end"/>
            </w:r>
          </w:hyperlink>
        </w:p>
        <w:p w:rsidR="00CF6836" w:rsidRDefault="00CF6836">
          <w:pPr>
            <w:pStyle w:val="TOC3"/>
            <w:rPr>
              <w:rFonts w:asciiTheme="minorHAnsi" w:eastAsiaTheme="minorEastAsia" w:hAnsiTheme="minorHAnsi" w:cstheme="minorBidi"/>
              <w:noProof/>
              <w:lang w:eastAsia="en-AU"/>
            </w:rPr>
          </w:pPr>
          <w:hyperlink w:anchor="_Toc399507657" w:history="1">
            <w:r w:rsidRPr="0025550B">
              <w:rPr>
                <w:rStyle w:val="Hyperlink"/>
                <w:noProof/>
              </w:rPr>
              <w:t>Nonclinical</w:t>
            </w:r>
            <w:r>
              <w:rPr>
                <w:noProof/>
                <w:webHidden/>
              </w:rPr>
              <w:tab/>
            </w:r>
            <w:r>
              <w:rPr>
                <w:noProof/>
                <w:webHidden/>
              </w:rPr>
              <w:fldChar w:fldCharType="begin"/>
            </w:r>
            <w:r>
              <w:rPr>
                <w:noProof/>
                <w:webHidden/>
              </w:rPr>
              <w:instrText xml:space="preserve"> PAGEREF _Toc399507657 \h </w:instrText>
            </w:r>
            <w:r>
              <w:rPr>
                <w:noProof/>
                <w:webHidden/>
              </w:rPr>
            </w:r>
            <w:r>
              <w:rPr>
                <w:noProof/>
                <w:webHidden/>
              </w:rPr>
              <w:fldChar w:fldCharType="separate"/>
            </w:r>
            <w:r>
              <w:rPr>
                <w:noProof/>
                <w:webHidden/>
              </w:rPr>
              <w:t>40</w:t>
            </w:r>
            <w:r>
              <w:rPr>
                <w:noProof/>
                <w:webHidden/>
              </w:rPr>
              <w:fldChar w:fldCharType="end"/>
            </w:r>
          </w:hyperlink>
        </w:p>
        <w:p w:rsidR="00CF6836" w:rsidRDefault="00CF6836">
          <w:pPr>
            <w:pStyle w:val="TOC3"/>
            <w:rPr>
              <w:rFonts w:asciiTheme="minorHAnsi" w:eastAsiaTheme="minorEastAsia" w:hAnsiTheme="minorHAnsi" w:cstheme="minorBidi"/>
              <w:noProof/>
              <w:lang w:eastAsia="en-AU"/>
            </w:rPr>
          </w:pPr>
          <w:hyperlink w:anchor="_Toc399507658" w:history="1">
            <w:r w:rsidRPr="0025550B">
              <w:rPr>
                <w:rStyle w:val="Hyperlink"/>
                <w:noProof/>
              </w:rPr>
              <w:t>Clinical</w:t>
            </w:r>
            <w:r>
              <w:rPr>
                <w:noProof/>
                <w:webHidden/>
              </w:rPr>
              <w:tab/>
            </w:r>
            <w:r>
              <w:rPr>
                <w:noProof/>
                <w:webHidden/>
              </w:rPr>
              <w:fldChar w:fldCharType="begin"/>
            </w:r>
            <w:r>
              <w:rPr>
                <w:noProof/>
                <w:webHidden/>
              </w:rPr>
              <w:instrText xml:space="preserve"> PAGEREF _Toc399507658 \h </w:instrText>
            </w:r>
            <w:r>
              <w:rPr>
                <w:noProof/>
                <w:webHidden/>
              </w:rPr>
            </w:r>
            <w:r>
              <w:rPr>
                <w:noProof/>
                <w:webHidden/>
              </w:rPr>
              <w:fldChar w:fldCharType="separate"/>
            </w:r>
            <w:r>
              <w:rPr>
                <w:noProof/>
                <w:webHidden/>
              </w:rPr>
              <w:t>40</w:t>
            </w:r>
            <w:r>
              <w:rPr>
                <w:noProof/>
                <w:webHidden/>
              </w:rPr>
              <w:fldChar w:fldCharType="end"/>
            </w:r>
          </w:hyperlink>
        </w:p>
        <w:p w:rsidR="00CF6836" w:rsidRDefault="00CF6836">
          <w:pPr>
            <w:pStyle w:val="TOC3"/>
            <w:rPr>
              <w:rFonts w:asciiTheme="minorHAnsi" w:eastAsiaTheme="minorEastAsia" w:hAnsiTheme="minorHAnsi" w:cstheme="minorBidi"/>
              <w:noProof/>
              <w:lang w:eastAsia="en-AU"/>
            </w:rPr>
          </w:pPr>
          <w:hyperlink w:anchor="_Toc399507659" w:history="1">
            <w:r w:rsidRPr="0025550B">
              <w:rPr>
                <w:rStyle w:val="Hyperlink"/>
                <w:noProof/>
                <w:lang w:eastAsia="en-AU"/>
              </w:rPr>
              <w:t xml:space="preserve">Risk </w:t>
            </w:r>
            <w:r w:rsidRPr="0025550B">
              <w:rPr>
                <w:rStyle w:val="Hyperlink"/>
                <w:noProof/>
              </w:rPr>
              <w:t>management</w:t>
            </w:r>
            <w:r w:rsidRPr="0025550B">
              <w:rPr>
                <w:rStyle w:val="Hyperlink"/>
                <w:noProof/>
                <w:lang w:eastAsia="en-AU"/>
              </w:rPr>
              <w:t xml:space="preserve"> plan</w:t>
            </w:r>
            <w:r>
              <w:rPr>
                <w:noProof/>
                <w:webHidden/>
              </w:rPr>
              <w:tab/>
            </w:r>
            <w:r>
              <w:rPr>
                <w:noProof/>
                <w:webHidden/>
              </w:rPr>
              <w:fldChar w:fldCharType="begin"/>
            </w:r>
            <w:r>
              <w:rPr>
                <w:noProof/>
                <w:webHidden/>
              </w:rPr>
              <w:instrText xml:space="preserve"> PAGEREF _Toc399507659 \h </w:instrText>
            </w:r>
            <w:r>
              <w:rPr>
                <w:noProof/>
                <w:webHidden/>
              </w:rPr>
            </w:r>
            <w:r>
              <w:rPr>
                <w:noProof/>
                <w:webHidden/>
              </w:rPr>
              <w:fldChar w:fldCharType="separate"/>
            </w:r>
            <w:r>
              <w:rPr>
                <w:noProof/>
                <w:webHidden/>
              </w:rPr>
              <w:t>48</w:t>
            </w:r>
            <w:r>
              <w:rPr>
                <w:noProof/>
                <w:webHidden/>
              </w:rPr>
              <w:fldChar w:fldCharType="end"/>
            </w:r>
          </w:hyperlink>
        </w:p>
        <w:p w:rsidR="00CF6836" w:rsidRDefault="00CF6836">
          <w:pPr>
            <w:pStyle w:val="TOC3"/>
            <w:rPr>
              <w:rFonts w:asciiTheme="minorHAnsi" w:eastAsiaTheme="minorEastAsia" w:hAnsiTheme="minorHAnsi" w:cstheme="minorBidi"/>
              <w:noProof/>
              <w:lang w:eastAsia="en-AU"/>
            </w:rPr>
          </w:pPr>
          <w:hyperlink w:anchor="_Toc399507660" w:history="1">
            <w:r w:rsidRPr="0025550B">
              <w:rPr>
                <w:rStyle w:val="Hyperlink"/>
                <w:noProof/>
              </w:rPr>
              <w:t>Risk-benefit analysis</w:t>
            </w:r>
            <w:r>
              <w:rPr>
                <w:noProof/>
                <w:webHidden/>
              </w:rPr>
              <w:tab/>
            </w:r>
            <w:r>
              <w:rPr>
                <w:noProof/>
                <w:webHidden/>
              </w:rPr>
              <w:fldChar w:fldCharType="begin"/>
            </w:r>
            <w:r>
              <w:rPr>
                <w:noProof/>
                <w:webHidden/>
              </w:rPr>
              <w:instrText xml:space="preserve"> PAGEREF _Toc399507660 \h </w:instrText>
            </w:r>
            <w:r>
              <w:rPr>
                <w:noProof/>
                <w:webHidden/>
              </w:rPr>
            </w:r>
            <w:r>
              <w:rPr>
                <w:noProof/>
                <w:webHidden/>
              </w:rPr>
              <w:fldChar w:fldCharType="separate"/>
            </w:r>
            <w:r>
              <w:rPr>
                <w:noProof/>
                <w:webHidden/>
              </w:rPr>
              <w:t>49</w:t>
            </w:r>
            <w:r>
              <w:rPr>
                <w:noProof/>
                <w:webHidden/>
              </w:rPr>
              <w:fldChar w:fldCharType="end"/>
            </w:r>
          </w:hyperlink>
        </w:p>
        <w:p w:rsidR="00CF6836" w:rsidRDefault="00CF6836">
          <w:pPr>
            <w:pStyle w:val="TOC3"/>
            <w:rPr>
              <w:rFonts w:asciiTheme="minorHAnsi" w:eastAsiaTheme="minorEastAsia" w:hAnsiTheme="minorHAnsi" w:cstheme="minorBidi"/>
              <w:noProof/>
              <w:lang w:eastAsia="en-AU"/>
            </w:rPr>
          </w:pPr>
          <w:hyperlink w:anchor="_Toc399507661" w:history="1">
            <w:r w:rsidRPr="0025550B">
              <w:rPr>
                <w:rStyle w:val="Hyperlink"/>
                <w:noProof/>
              </w:rPr>
              <w:t>Outcome</w:t>
            </w:r>
            <w:r>
              <w:rPr>
                <w:noProof/>
                <w:webHidden/>
              </w:rPr>
              <w:tab/>
            </w:r>
            <w:r>
              <w:rPr>
                <w:noProof/>
                <w:webHidden/>
              </w:rPr>
              <w:fldChar w:fldCharType="begin"/>
            </w:r>
            <w:r>
              <w:rPr>
                <w:noProof/>
                <w:webHidden/>
              </w:rPr>
              <w:instrText xml:space="preserve"> PAGEREF _Toc399507661 \h </w:instrText>
            </w:r>
            <w:r>
              <w:rPr>
                <w:noProof/>
                <w:webHidden/>
              </w:rPr>
            </w:r>
            <w:r>
              <w:rPr>
                <w:noProof/>
                <w:webHidden/>
              </w:rPr>
              <w:fldChar w:fldCharType="separate"/>
            </w:r>
            <w:r>
              <w:rPr>
                <w:noProof/>
                <w:webHidden/>
              </w:rPr>
              <w:t>58</w:t>
            </w:r>
            <w:r>
              <w:rPr>
                <w:noProof/>
                <w:webHidden/>
              </w:rPr>
              <w:fldChar w:fldCharType="end"/>
            </w:r>
          </w:hyperlink>
        </w:p>
        <w:p w:rsidR="00CF6836" w:rsidRDefault="00CF6836">
          <w:pPr>
            <w:pStyle w:val="TOC2"/>
            <w:tabs>
              <w:tab w:val="left" w:pos="2448"/>
            </w:tabs>
            <w:rPr>
              <w:rFonts w:asciiTheme="minorHAnsi" w:eastAsiaTheme="minorEastAsia" w:hAnsiTheme="minorHAnsi" w:cstheme="minorBidi"/>
              <w:b w:val="0"/>
              <w:noProof/>
              <w:sz w:val="22"/>
              <w:lang w:eastAsia="en-AU"/>
            </w:rPr>
          </w:pPr>
          <w:hyperlink w:anchor="_Toc399507662" w:history="1">
            <w:r w:rsidRPr="0025550B">
              <w:rPr>
                <w:rStyle w:val="Hyperlink"/>
                <w:noProof/>
              </w:rPr>
              <w:t>Attachment 1.</w:t>
            </w:r>
            <w:r>
              <w:rPr>
                <w:rFonts w:asciiTheme="minorHAnsi" w:eastAsiaTheme="minorEastAsia" w:hAnsiTheme="minorHAnsi" w:cstheme="minorBidi"/>
                <w:b w:val="0"/>
                <w:noProof/>
                <w:sz w:val="22"/>
                <w:lang w:eastAsia="en-AU"/>
              </w:rPr>
              <w:tab/>
            </w:r>
            <w:r w:rsidRPr="0025550B">
              <w:rPr>
                <w:rStyle w:val="Hyperlink"/>
                <w:noProof/>
              </w:rPr>
              <w:t>Product Information</w:t>
            </w:r>
            <w:r>
              <w:rPr>
                <w:noProof/>
                <w:webHidden/>
              </w:rPr>
              <w:tab/>
            </w:r>
            <w:r>
              <w:rPr>
                <w:noProof/>
                <w:webHidden/>
              </w:rPr>
              <w:fldChar w:fldCharType="begin"/>
            </w:r>
            <w:r>
              <w:rPr>
                <w:noProof/>
                <w:webHidden/>
              </w:rPr>
              <w:instrText xml:space="preserve"> PAGEREF _Toc399507662 \h </w:instrText>
            </w:r>
            <w:r>
              <w:rPr>
                <w:noProof/>
                <w:webHidden/>
              </w:rPr>
            </w:r>
            <w:r>
              <w:rPr>
                <w:noProof/>
                <w:webHidden/>
              </w:rPr>
              <w:fldChar w:fldCharType="separate"/>
            </w:r>
            <w:r>
              <w:rPr>
                <w:noProof/>
                <w:webHidden/>
              </w:rPr>
              <w:t>59</w:t>
            </w:r>
            <w:r>
              <w:rPr>
                <w:noProof/>
                <w:webHidden/>
              </w:rPr>
              <w:fldChar w:fldCharType="end"/>
            </w:r>
          </w:hyperlink>
        </w:p>
        <w:p w:rsidR="00CF6836" w:rsidRDefault="00CF6836">
          <w:pPr>
            <w:pStyle w:val="TOC2"/>
            <w:rPr>
              <w:rFonts w:asciiTheme="minorHAnsi" w:eastAsiaTheme="minorEastAsia" w:hAnsiTheme="minorHAnsi" w:cstheme="minorBidi"/>
              <w:b w:val="0"/>
              <w:noProof/>
              <w:sz w:val="22"/>
              <w:lang w:eastAsia="en-AU"/>
            </w:rPr>
          </w:pPr>
          <w:hyperlink w:anchor="_Toc399507663" w:history="1">
            <w:r w:rsidRPr="0025550B">
              <w:rPr>
                <w:rStyle w:val="Hyperlink"/>
                <w:noProof/>
              </w:rPr>
              <w:t>Attachment</w:t>
            </w:r>
            <w:r w:rsidRPr="0025550B">
              <w:rPr>
                <w:rStyle w:val="Hyperlink"/>
                <w:noProof/>
                <w:lang w:eastAsia="en-AU"/>
              </w:rPr>
              <w:t xml:space="preserve"> 2. Extract from the Clinical Evaluation Report</w:t>
            </w:r>
            <w:r>
              <w:rPr>
                <w:noProof/>
                <w:webHidden/>
              </w:rPr>
              <w:tab/>
            </w:r>
            <w:r>
              <w:rPr>
                <w:noProof/>
                <w:webHidden/>
              </w:rPr>
              <w:fldChar w:fldCharType="begin"/>
            </w:r>
            <w:r>
              <w:rPr>
                <w:noProof/>
                <w:webHidden/>
              </w:rPr>
              <w:instrText xml:space="preserve"> PAGEREF _Toc399507663 \h </w:instrText>
            </w:r>
            <w:r>
              <w:rPr>
                <w:noProof/>
                <w:webHidden/>
              </w:rPr>
            </w:r>
            <w:r>
              <w:rPr>
                <w:noProof/>
                <w:webHidden/>
              </w:rPr>
              <w:fldChar w:fldCharType="separate"/>
            </w:r>
            <w:r>
              <w:rPr>
                <w:noProof/>
                <w:webHidden/>
              </w:rPr>
              <w:t>59</w:t>
            </w:r>
            <w:r>
              <w:rPr>
                <w:noProof/>
                <w:webHidden/>
              </w:rPr>
              <w:fldChar w:fldCharType="end"/>
            </w:r>
          </w:hyperlink>
        </w:p>
        <w:p w:rsidR="003A7F6C" w:rsidRPr="00B811C6" w:rsidRDefault="00DB6124" w:rsidP="00B811C6">
          <w:pPr>
            <w:pStyle w:val="TOC2"/>
          </w:pPr>
          <w:r>
            <w:fldChar w:fldCharType="end"/>
          </w:r>
        </w:p>
      </w:sdtContent>
    </w:sdt>
    <w:bookmarkStart w:id="3" w:name="_Toc314842482" w:displacedByCustomXml="prev"/>
    <w:p w:rsidR="00FD119B" w:rsidRDefault="00FD119B">
      <w:pPr>
        <w:spacing w:before="0" w:after="200" w:line="0" w:lineRule="auto"/>
      </w:pPr>
      <w:r>
        <w:br w:type="page"/>
      </w:r>
    </w:p>
    <w:p w:rsidR="003747C1" w:rsidRDefault="00FD119B" w:rsidP="003747C1">
      <w:pPr>
        <w:pStyle w:val="Heading2"/>
      </w:pPr>
      <w:bookmarkStart w:id="4" w:name="_Toc351716269"/>
      <w:bookmarkStart w:id="5" w:name="_Toc351718881"/>
      <w:bookmarkStart w:id="6" w:name="_Toc355338616"/>
      <w:bookmarkStart w:id="7" w:name="_Toc356306144"/>
      <w:bookmarkStart w:id="8" w:name="_Toc399507632"/>
      <w:r w:rsidRPr="003747C1">
        <w:t>List</w:t>
      </w:r>
      <w:r w:rsidRPr="00FD119B">
        <w:t xml:space="preserve"> of the most common abbreviations</w:t>
      </w:r>
      <w:bookmarkEnd w:id="4"/>
      <w:bookmarkEnd w:id="5"/>
      <w:bookmarkEnd w:id="6"/>
      <w:bookmarkEnd w:id="7"/>
      <w:r w:rsidRPr="00FD119B">
        <w:t xml:space="preserve"> used in this </w:t>
      </w:r>
      <w:proofErr w:type="spellStart"/>
      <w:r w:rsidRPr="003747C1">
        <w:t>AusPAR</w:t>
      </w:r>
      <w:bookmarkEnd w:id="8"/>
      <w:proofErr w:type="spellEnd"/>
    </w:p>
    <w:tbl>
      <w:tblPr>
        <w:tblStyle w:val="TableTGAblue"/>
        <w:tblW w:w="0" w:type="auto"/>
        <w:tblLook w:val="04A0" w:firstRow="1" w:lastRow="0" w:firstColumn="1" w:lastColumn="0" w:noHBand="0" w:noVBand="1"/>
      </w:tblPr>
      <w:tblGrid>
        <w:gridCol w:w="4360"/>
        <w:gridCol w:w="4360"/>
      </w:tblGrid>
      <w:tr w:rsidR="003747C1" w:rsidTr="003747C1">
        <w:trPr>
          <w:cnfStyle w:val="100000000000" w:firstRow="1" w:lastRow="0" w:firstColumn="0" w:lastColumn="0" w:oddVBand="0" w:evenVBand="0" w:oddHBand="0" w:evenHBand="0" w:firstRowFirstColumn="0" w:firstRowLastColumn="0" w:lastRowFirstColumn="0" w:lastRowLastColumn="0"/>
        </w:trPr>
        <w:tc>
          <w:tcPr>
            <w:tcW w:w="4360" w:type="dxa"/>
          </w:tcPr>
          <w:p w:rsidR="003747C1" w:rsidRDefault="003747C1" w:rsidP="003747C1">
            <w:r>
              <w:t>Abbreviation</w:t>
            </w:r>
          </w:p>
        </w:tc>
        <w:tc>
          <w:tcPr>
            <w:tcW w:w="4360" w:type="dxa"/>
          </w:tcPr>
          <w:p w:rsidR="003747C1" w:rsidRDefault="003747C1" w:rsidP="003747C1">
            <w:r>
              <w:t>Meaning</w:t>
            </w:r>
          </w:p>
        </w:tc>
      </w:tr>
      <w:tr w:rsidR="003747C1" w:rsidTr="003747C1">
        <w:tc>
          <w:tcPr>
            <w:tcW w:w="4360" w:type="dxa"/>
          </w:tcPr>
          <w:p w:rsidR="003747C1" w:rsidRPr="001000F8" w:rsidRDefault="003747C1" w:rsidP="003747C1">
            <w:r>
              <w:t>ACPM</w:t>
            </w:r>
          </w:p>
        </w:tc>
        <w:tc>
          <w:tcPr>
            <w:tcW w:w="4360" w:type="dxa"/>
          </w:tcPr>
          <w:p w:rsidR="003747C1" w:rsidRPr="001000F8" w:rsidRDefault="003747C1" w:rsidP="003747C1">
            <w:pPr>
              <w:rPr>
                <w:color w:val="auto"/>
                <w:szCs w:val="22"/>
                <w:lang w:eastAsia="en-US"/>
              </w:rPr>
            </w:pPr>
            <w:r w:rsidRPr="00B16C9D">
              <w:t>Advisory Committee on Prescription Medicines</w:t>
            </w:r>
          </w:p>
        </w:tc>
      </w:tr>
      <w:tr w:rsidR="003747C1" w:rsidTr="003747C1">
        <w:tc>
          <w:tcPr>
            <w:tcW w:w="4360" w:type="dxa"/>
          </w:tcPr>
          <w:p w:rsidR="003747C1" w:rsidRPr="001000F8" w:rsidRDefault="003747C1" w:rsidP="003747C1">
            <w:r w:rsidRPr="001000F8">
              <w:t>ACR</w:t>
            </w:r>
          </w:p>
        </w:tc>
        <w:tc>
          <w:tcPr>
            <w:tcW w:w="4360" w:type="dxa"/>
          </w:tcPr>
          <w:p w:rsidR="003747C1" w:rsidRPr="001000F8" w:rsidRDefault="003747C1" w:rsidP="003747C1">
            <w:r w:rsidRPr="001000F8">
              <w:t>American College of Rheumatology</w:t>
            </w:r>
          </w:p>
        </w:tc>
      </w:tr>
      <w:tr w:rsidR="003747C1" w:rsidTr="003747C1">
        <w:tc>
          <w:tcPr>
            <w:tcW w:w="4360" w:type="dxa"/>
          </w:tcPr>
          <w:p w:rsidR="003747C1" w:rsidRPr="001000F8" w:rsidRDefault="003747C1" w:rsidP="003747C1">
            <w:r w:rsidRPr="001000F8">
              <w:t>AE</w:t>
            </w:r>
          </w:p>
        </w:tc>
        <w:tc>
          <w:tcPr>
            <w:tcW w:w="4360" w:type="dxa"/>
          </w:tcPr>
          <w:p w:rsidR="003747C1" w:rsidRPr="001000F8" w:rsidRDefault="003747C1" w:rsidP="003747C1">
            <w:r w:rsidRPr="001000F8">
              <w:t>Adverse Event</w:t>
            </w:r>
          </w:p>
        </w:tc>
      </w:tr>
      <w:tr w:rsidR="003747C1" w:rsidTr="003747C1">
        <w:tc>
          <w:tcPr>
            <w:tcW w:w="4360" w:type="dxa"/>
          </w:tcPr>
          <w:p w:rsidR="003747C1" w:rsidRPr="001000F8" w:rsidRDefault="003747C1" w:rsidP="003747C1">
            <w:r>
              <w:t>ARTG</w:t>
            </w:r>
          </w:p>
        </w:tc>
        <w:tc>
          <w:tcPr>
            <w:tcW w:w="4360" w:type="dxa"/>
          </w:tcPr>
          <w:p w:rsidR="003747C1" w:rsidRPr="001000F8" w:rsidRDefault="003747C1" w:rsidP="003747C1">
            <w:r>
              <w:t>Australian Register of Therapeutic Goods</w:t>
            </w:r>
          </w:p>
        </w:tc>
      </w:tr>
      <w:tr w:rsidR="003747C1" w:rsidTr="003747C1">
        <w:tc>
          <w:tcPr>
            <w:tcW w:w="4360" w:type="dxa"/>
          </w:tcPr>
          <w:p w:rsidR="003747C1" w:rsidRPr="001000F8" w:rsidRDefault="003747C1" w:rsidP="003747C1">
            <w:r w:rsidRPr="001000F8">
              <w:t>AS</w:t>
            </w:r>
          </w:p>
        </w:tc>
        <w:tc>
          <w:tcPr>
            <w:tcW w:w="4360" w:type="dxa"/>
          </w:tcPr>
          <w:p w:rsidR="003747C1" w:rsidRPr="001000F8" w:rsidRDefault="003747C1" w:rsidP="003747C1">
            <w:proofErr w:type="spellStart"/>
            <w:r w:rsidRPr="001000F8">
              <w:t>Ankylosing</w:t>
            </w:r>
            <w:proofErr w:type="spellEnd"/>
            <w:r w:rsidRPr="001000F8">
              <w:t xml:space="preserve"> Spondylitis</w:t>
            </w:r>
          </w:p>
        </w:tc>
      </w:tr>
      <w:tr w:rsidR="003747C1" w:rsidTr="003747C1">
        <w:tc>
          <w:tcPr>
            <w:tcW w:w="4360" w:type="dxa"/>
          </w:tcPr>
          <w:p w:rsidR="003747C1" w:rsidRPr="001000F8" w:rsidRDefault="003747C1" w:rsidP="003747C1">
            <w:r w:rsidRPr="001000F8">
              <w:t>ASAS</w:t>
            </w:r>
          </w:p>
        </w:tc>
        <w:tc>
          <w:tcPr>
            <w:tcW w:w="4360" w:type="dxa"/>
          </w:tcPr>
          <w:p w:rsidR="003747C1" w:rsidRPr="001000F8" w:rsidRDefault="003747C1" w:rsidP="003747C1">
            <w:r w:rsidRPr="001000F8">
              <w:t xml:space="preserve">Assessment of </w:t>
            </w:r>
            <w:proofErr w:type="spellStart"/>
            <w:r w:rsidRPr="001000F8">
              <w:t>Spondyloarthritis</w:t>
            </w:r>
            <w:proofErr w:type="spellEnd"/>
            <w:r w:rsidRPr="001000F8">
              <w:t xml:space="preserve"> International Society </w:t>
            </w:r>
          </w:p>
        </w:tc>
      </w:tr>
      <w:tr w:rsidR="003747C1" w:rsidTr="003747C1">
        <w:tc>
          <w:tcPr>
            <w:tcW w:w="4360" w:type="dxa"/>
          </w:tcPr>
          <w:p w:rsidR="003747C1" w:rsidRPr="001000F8" w:rsidRDefault="003747C1" w:rsidP="003747C1">
            <w:r w:rsidRPr="001000F8">
              <w:t>BASDAI</w:t>
            </w:r>
          </w:p>
        </w:tc>
        <w:tc>
          <w:tcPr>
            <w:tcW w:w="4360" w:type="dxa"/>
          </w:tcPr>
          <w:p w:rsidR="003747C1" w:rsidRPr="001000F8" w:rsidRDefault="003747C1" w:rsidP="003747C1">
            <w:r w:rsidRPr="001000F8">
              <w:t xml:space="preserve">Bath </w:t>
            </w:r>
            <w:proofErr w:type="spellStart"/>
            <w:r w:rsidRPr="001000F8">
              <w:t>Ankylosing</w:t>
            </w:r>
            <w:proofErr w:type="spellEnd"/>
            <w:r w:rsidRPr="001000F8">
              <w:t xml:space="preserve"> Spondylitis Disease Activity Index</w:t>
            </w:r>
          </w:p>
        </w:tc>
      </w:tr>
      <w:tr w:rsidR="003747C1" w:rsidTr="003747C1">
        <w:tc>
          <w:tcPr>
            <w:tcW w:w="4360" w:type="dxa"/>
          </w:tcPr>
          <w:p w:rsidR="003747C1" w:rsidRPr="001000F8" w:rsidRDefault="003747C1" w:rsidP="003747C1">
            <w:r w:rsidRPr="001000F8">
              <w:t>BASFI</w:t>
            </w:r>
          </w:p>
        </w:tc>
        <w:tc>
          <w:tcPr>
            <w:tcW w:w="4360" w:type="dxa"/>
          </w:tcPr>
          <w:p w:rsidR="003747C1" w:rsidRPr="001000F8" w:rsidRDefault="003747C1" w:rsidP="003747C1">
            <w:r w:rsidRPr="001000F8">
              <w:t xml:space="preserve">Bath </w:t>
            </w:r>
            <w:proofErr w:type="spellStart"/>
            <w:r w:rsidRPr="001000F8">
              <w:t>Ankylosing</w:t>
            </w:r>
            <w:proofErr w:type="spellEnd"/>
            <w:r w:rsidRPr="001000F8">
              <w:t xml:space="preserve"> Spondylitis Functional Index</w:t>
            </w:r>
          </w:p>
        </w:tc>
      </w:tr>
      <w:tr w:rsidR="003747C1" w:rsidTr="003747C1">
        <w:tc>
          <w:tcPr>
            <w:tcW w:w="4360" w:type="dxa"/>
          </w:tcPr>
          <w:p w:rsidR="003747C1" w:rsidRPr="001000F8" w:rsidRDefault="003747C1" w:rsidP="003747C1">
            <w:r w:rsidRPr="001000F8">
              <w:t>BASMI</w:t>
            </w:r>
          </w:p>
        </w:tc>
        <w:tc>
          <w:tcPr>
            <w:tcW w:w="4360" w:type="dxa"/>
          </w:tcPr>
          <w:p w:rsidR="003747C1" w:rsidRPr="001000F8" w:rsidRDefault="003747C1" w:rsidP="003747C1">
            <w:r w:rsidRPr="001000F8">
              <w:t xml:space="preserve">Bath </w:t>
            </w:r>
            <w:proofErr w:type="spellStart"/>
            <w:r w:rsidRPr="001000F8">
              <w:t>Ankylosing</w:t>
            </w:r>
            <w:proofErr w:type="spellEnd"/>
            <w:r w:rsidRPr="001000F8">
              <w:t xml:space="preserve"> Spondylitis Metrology Index</w:t>
            </w:r>
          </w:p>
        </w:tc>
      </w:tr>
      <w:tr w:rsidR="003747C1" w:rsidTr="003747C1">
        <w:tc>
          <w:tcPr>
            <w:tcW w:w="4360" w:type="dxa"/>
          </w:tcPr>
          <w:p w:rsidR="003747C1" w:rsidRPr="001000F8" w:rsidRDefault="003747C1" w:rsidP="003747C1">
            <w:r w:rsidRPr="001000F8">
              <w:t xml:space="preserve">BMI </w:t>
            </w:r>
          </w:p>
        </w:tc>
        <w:tc>
          <w:tcPr>
            <w:tcW w:w="4360" w:type="dxa"/>
          </w:tcPr>
          <w:p w:rsidR="003747C1" w:rsidRPr="001000F8" w:rsidRDefault="003747C1" w:rsidP="003747C1">
            <w:r w:rsidRPr="001000F8">
              <w:t>Body Mass Index</w:t>
            </w:r>
          </w:p>
        </w:tc>
      </w:tr>
      <w:tr w:rsidR="003747C1" w:rsidTr="003747C1">
        <w:tc>
          <w:tcPr>
            <w:tcW w:w="4360" w:type="dxa"/>
          </w:tcPr>
          <w:p w:rsidR="003747C1" w:rsidRPr="001000F8" w:rsidRDefault="003747C1" w:rsidP="003747C1">
            <w:r w:rsidRPr="001000F8">
              <w:t>BSA</w:t>
            </w:r>
          </w:p>
        </w:tc>
        <w:tc>
          <w:tcPr>
            <w:tcW w:w="4360" w:type="dxa"/>
          </w:tcPr>
          <w:p w:rsidR="003747C1" w:rsidRPr="001000F8" w:rsidRDefault="003747C1" w:rsidP="003747C1">
            <w:r w:rsidRPr="001000F8">
              <w:t>Body Surface Area</w:t>
            </w:r>
          </w:p>
        </w:tc>
      </w:tr>
      <w:tr w:rsidR="003747C1" w:rsidTr="003747C1">
        <w:tc>
          <w:tcPr>
            <w:tcW w:w="4360" w:type="dxa"/>
          </w:tcPr>
          <w:p w:rsidR="003747C1" w:rsidRPr="001000F8" w:rsidRDefault="003747C1" w:rsidP="003747C1">
            <w:r w:rsidRPr="001000F8">
              <w:t>CASPAR</w:t>
            </w:r>
          </w:p>
        </w:tc>
        <w:tc>
          <w:tcPr>
            <w:tcW w:w="4360" w:type="dxa"/>
          </w:tcPr>
          <w:p w:rsidR="003747C1" w:rsidRPr="001000F8" w:rsidRDefault="003747C1" w:rsidP="003747C1">
            <w:r w:rsidRPr="001000F8">
              <w:t>Classification Criteria for Psoriatic Arthritis</w:t>
            </w:r>
          </w:p>
        </w:tc>
      </w:tr>
      <w:tr w:rsidR="003747C1" w:rsidTr="003747C1">
        <w:tc>
          <w:tcPr>
            <w:tcW w:w="4360" w:type="dxa"/>
          </w:tcPr>
          <w:p w:rsidR="003747C1" w:rsidRPr="001000F8" w:rsidRDefault="003747C1" w:rsidP="003747C1">
            <w:r>
              <w:t>CER</w:t>
            </w:r>
          </w:p>
        </w:tc>
        <w:tc>
          <w:tcPr>
            <w:tcW w:w="4360" w:type="dxa"/>
          </w:tcPr>
          <w:p w:rsidR="003747C1" w:rsidRPr="001000F8" w:rsidRDefault="003747C1" w:rsidP="003747C1">
            <w:r>
              <w:t>Clinical Evaluation Report</w:t>
            </w:r>
          </w:p>
        </w:tc>
      </w:tr>
      <w:tr w:rsidR="003747C1" w:rsidTr="003747C1">
        <w:tc>
          <w:tcPr>
            <w:tcW w:w="4360" w:type="dxa"/>
          </w:tcPr>
          <w:p w:rsidR="003747C1" w:rsidRPr="001000F8" w:rsidRDefault="003747C1" w:rsidP="003747C1">
            <w:r w:rsidRPr="001000F8">
              <w:t xml:space="preserve">CI </w:t>
            </w:r>
          </w:p>
        </w:tc>
        <w:tc>
          <w:tcPr>
            <w:tcW w:w="4360" w:type="dxa"/>
          </w:tcPr>
          <w:p w:rsidR="003747C1" w:rsidRPr="001000F8" w:rsidRDefault="003747C1" w:rsidP="003747C1">
            <w:r w:rsidRPr="001000F8">
              <w:t>Confidence interval</w:t>
            </w:r>
          </w:p>
        </w:tc>
      </w:tr>
      <w:tr w:rsidR="003747C1" w:rsidTr="003747C1">
        <w:tc>
          <w:tcPr>
            <w:tcW w:w="4360" w:type="dxa"/>
          </w:tcPr>
          <w:p w:rsidR="003747C1" w:rsidRPr="001000F8" w:rsidRDefault="003747C1" w:rsidP="003747C1">
            <w:r w:rsidRPr="001000F8">
              <w:t>CRP</w:t>
            </w:r>
          </w:p>
        </w:tc>
        <w:tc>
          <w:tcPr>
            <w:tcW w:w="4360" w:type="dxa"/>
          </w:tcPr>
          <w:p w:rsidR="003747C1" w:rsidRPr="001000F8" w:rsidRDefault="003747C1" w:rsidP="003747C1">
            <w:r w:rsidRPr="001000F8">
              <w:t>C-Reactive Protein</w:t>
            </w:r>
          </w:p>
        </w:tc>
      </w:tr>
      <w:tr w:rsidR="003747C1" w:rsidTr="003747C1">
        <w:tc>
          <w:tcPr>
            <w:tcW w:w="4360" w:type="dxa"/>
          </w:tcPr>
          <w:p w:rsidR="003747C1" w:rsidRPr="001000F8" w:rsidRDefault="003747C1" w:rsidP="003747C1">
            <w:r w:rsidRPr="001000F8">
              <w:t>CS</w:t>
            </w:r>
          </w:p>
        </w:tc>
        <w:tc>
          <w:tcPr>
            <w:tcW w:w="4360" w:type="dxa"/>
          </w:tcPr>
          <w:p w:rsidR="003747C1" w:rsidRPr="001000F8" w:rsidRDefault="003747C1" w:rsidP="003747C1">
            <w:r w:rsidRPr="001000F8">
              <w:t>Corticosteroids</w:t>
            </w:r>
          </w:p>
        </w:tc>
      </w:tr>
      <w:tr w:rsidR="003747C1" w:rsidTr="003747C1">
        <w:tc>
          <w:tcPr>
            <w:tcW w:w="4360" w:type="dxa"/>
          </w:tcPr>
          <w:p w:rsidR="003747C1" w:rsidRPr="001000F8" w:rsidRDefault="003747C1" w:rsidP="003747C1">
            <w:r w:rsidRPr="001000F8">
              <w:t>CV</w:t>
            </w:r>
          </w:p>
        </w:tc>
        <w:tc>
          <w:tcPr>
            <w:tcW w:w="4360" w:type="dxa"/>
          </w:tcPr>
          <w:p w:rsidR="003747C1" w:rsidRPr="001000F8" w:rsidRDefault="003747C1" w:rsidP="003747C1">
            <w:r w:rsidRPr="001000F8">
              <w:t>Coefficient of Variation</w:t>
            </w:r>
          </w:p>
        </w:tc>
      </w:tr>
      <w:tr w:rsidR="003747C1" w:rsidTr="003747C1">
        <w:tc>
          <w:tcPr>
            <w:tcW w:w="4360" w:type="dxa"/>
          </w:tcPr>
          <w:p w:rsidR="003747C1" w:rsidRPr="001000F8" w:rsidRDefault="003747C1" w:rsidP="003747C1">
            <w:r w:rsidRPr="001000F8">
              <w:t>CZP</w:t>
            </w:r>
          </w:p>
        </w:tc>
        <w:tc>
          <w:tcPr>
            <w:tcW w:w="4360" w:type="dxa"/>
          </w:tcPr>
          <w:p w:rsidR="003747C1" w:rsidRPr="001000F8" w:rsidRDefault="003747C1" w:rsidP="003747C1">
            <w:proofErr w:type="spellStart"/>
            <w:r w:rsidRPr="001000F8">
              <w:t>Certolizumab</w:t>
            </w:r>
            <w:proofErr w:type="spellEnd"/>
            <w:r w:rsidRPr="001000F8">
              <w:t xml:space="preserve"> </w:t>
            </w:r>
            <w:proofErr w:type="spellStart"/>
            <w:r w:rsidRPr="001000F8">
              <w:t>Pegol</w:t>
            </w:r>
            <w:proofErr w:type="spellEnd"/>
          </w:p>
        </w:tc>
      </w:tr>
      <w:tr w:rsidR="003747C1" w:rsidTr="003747C1">
        <w:tc>
          <w:tcPr>
            <w:tcW w:w="4360" w:type="dxa"/>
          </w:tcPr>
          <w:p w:rsidR="003747C1" w:rsidRPr="001000F8" w:rsidRDefault="003747C1" w:rsidP="003747C1">
            <w:r w:rsidRPr="001000F8">
              <w:t>DMARD</w:t>
            </w:r>
          </w:p>
        </w:tc>
        <w:tc>
          <w:tcPr>
            <w:tcW w:w="4360" w:type="dxa"/>
          </w:tcPr>
          <w:p w:rsidR="003747C1" w:rsidRPr="001000F8" w:rsidRDefault="003747C1" w:rsidP="003747C1">
            <w:r w:rsidRPr="001000F8">
              <w:t>Disease Modifying Anti-Rheumatic Drug</w:t>
            </w:r>
          </w:p>
        </w:tc>
      </w:tr>
      <w:tr w:rsidR="003747C1" w:rsidTr="003747C1">
        <w:tc>
          <w:tcPr>
            <w:tcW w:w="4360" w:type="dxa"/>
          </w:tcPr>
          <w:p w:rsidR="003747C1" w:rsidRPr="001000F8" w:rsidRDefault="003747C1" w:rsidP="003747C1">
            <w:r w:rsidRPr="001000F8">
              <w:t>ES</w:t>
            </w:r>
          </w:p>
        </w:tc>
        <w:tc>
          <w:tcPr>
            <w:tcW w:w="4360" w:type="dxa"/>
          </w:tcPr>
          <w:p w:rsidR="003747C1" w:rsidRPr="001000F8" w:rsidRDefault="003747C1" w:rsidP="003747C1">
            <w:r w:rsidRPr="001000F8">
              <w:t>Erosion Score</w:t>
            </w:r>
          </w:p>
        </w:tc>
      </w:tr>
      <w:tr w:rsidR="003747C1" w:rsidTr="003747C1">
        <w:tc>
          <w:tcPr>
            <w:tcW w:w="4360" w:type="dxa"/>
          </w:tcPr>
          <w:p w:rsidR="003747C1" w:rsidRPr="001000F8" w:rsidRDefault="003747C1" w:rsidP="003747C1">
            <w:r w:rsidRPr="001000F8">
              <w:t>ESR</w:t>
            </w:r>
          </w:p>
        </w:tc>
        <w:tc>
          <w:tcPr>
            <w:tcW w:w="4360" w:type="dxa"/>
          </w:tcPr>
          <w:p w:rsidR="003747C1" w:rsidRPr="001000F8" w:rsidRDefault="003747C1" w:rsidP="003747C1">
            <w:r w:rsidRPr="001000F8">
              <w:t>Erythrocyte Sedimentation Ratio</w:t>
            </w:r>
          </w:p>
        </w:tc>
      </w:tr>
      <w:tr w:rsidR="003747C1" w:rsidTr="003747C1">
        <w:tc>
          <w:tcPr>
            <w:tcW w:w="4360" w:type="dxa"/>
          </w:tcPr>
          <w:p w:rsidR="003747C1" w:rsidRPr="001000F8" w:rsidRDefault="003747C1" w:rsidP="003747C1">
            <w:r>
              <w:t>EU</w:t>
            </w:r>
          </w:p>
        </w:tc>
        <w:tc>
          <w:tcPr>
            <w:tcW w:w="4360" w:type="dxa"/>
          </w:tcPr>
          <w:p w:rsidR="003747C1" w:rsidRPr="001000F8" w:rsidRDefault="003747C1" w:rsidP="003747C1">
            <w:r>
              <w:t>European Union</w:t>
            </w:r>
          </w:p>
        </w:tc>
      </w:tr>
      <w:tr w:rsidR="003747C1" w:rsidTr="003747C1">
        <w:tc>
          <w:tcPr>
            <w:tcW w:w="4360" w:type="dxa"/>
          </w:tcPr>
          <w:p w:rsidR="003747C1" w:rsidRPr="001000F8" w:rsidRDefault="003747C1" w:rsidP="003747C1">
            <w:r w:rsidRPr="001000F8">
              <w:t>FAS</w:t>
            </w:r>
          </w:p>
        </w:tc>
        <w:tc>
          <w:tcPr>
            <w:tcW w:w="4360" w:type="dxa"/>
          </w:tcPr>
          <w:p w:rsidR="003747C1" w:rsidRPr="001000F8" w:rsidRDefault="003747C1" w:rsidP="003747C1">
            <w:r w:rsidRPr="001000F8">
              <w:t>Full Analysis Set</w:t>
            </w:r>
          </w:p>
        </w:tc>
      </w:tr>
      <w:tr w:rsidR="003747C1" w:rsidTr="003747C1">
        <w:tc>
          <w:tcPr>
            <w:tcW w:w="4360" w:type="dxa"/>
          </w:tcPr>
          <w:p w:rsidR="003747C1" w:rsidRPr="001000F8" w:rsidRDefault="003747C1" w:rsidP="003747C1">
            <w:r>
              <w:t>Fc</w:t>
            </w:r>
          </w:p>
        </w:tc>
        <w:tc>
          <w:tcPr>
            <w:tcW w:w="4360" w:type="dxa"/>
          </w:tcPr>
          <w:p w:rsidR="003747C1" w:rsidRPr="001000F8" w:rsidRDefault="003747C1" w:rsidP="003747C1">
            <w:r>
              <w:t>Fragment crystallisable</w:t>
            </w:r>
          </w:p>
        </w:tc>
      </w:tr>
      <w:tr w:rsidR="003747C1" w:rsidTr="003747C1">
        <w:tc>
          <w:tcPr>
            <w:tcW w:w="4360" w:type="dxa"/>
          </w:tcPr>
          <w:p w:rsidR="003747C1" w:rsidRPr="001000F8" w:rsidRDefault="003747C1" w:rsidP="003747C1">
            <w:r>
              <w:t>Gab</w:t>
            </w:r>
          </w:p>
        </w:tc>
        <w:tc>
          <w:tcPr>
            <w:tcW w:w="4360" w:type="dxa"/>
          </w:tcPr>
          <w:p w:rsidR="003747C1" w:rsidRPr="001000F8" w:rsidRDefault="003747C1" w:rsidP="003747C1">
            <w:r>
              <w:t>Fragment antigen binding</w:t>
            </w:r>
          </w:p>
        </w:tc>
      </w:tr>
      <w:tr w:rsidR="003747C1" w:rsidTr="003747C1">
        <w:tc>
          <w:tcPr>
            <w:tcW w:w="4360" w:type="dxa"/>
          </w:tcPr>
          <w:p w:rsidR="003747C1" w:rsidRPr="001000F8" w:rsidRDefault="003747C1" w:rsidP="003747C1">
            <w:r w:rsidRPr="001000F8">
              <w:t>GCP</w:t>
            </w:r>
          </w:p>
        </w:tc>
        <w:tc>
          <w:tcPr>
            <w:tcW w:w="4360" w:type="dxa"/>
          </w:tcPr>
          <w:p w:rsidR="003747C1" w:rsidRPr="001000F8" w:rsidRDefault="003747C1" w:rsidP="003747C1">
            <w:r w:rsidRPr="001000F8">
              <w:t>Good Clinical Practice</w:t>
            </w:r>
          </w:p>
        </w:tc>
      </w:tr>
      <w:tr w:rsidR="003747C1" w:rsidTr="003747C1">
        <w:tc>
          <w:tcPr>
            <w:tcW w:w="4360" w:type="dxa"/>
          </w:tcPr>
          <w:p w:rsidR="003747C1" w:rsidRPr="001000F8" w:rsidRDefault="003747C1" w:rsidP="003747C1">
            <w:r w:rsidRPr="001000F8">
              <w:t xml:space="preserve">HAQ-DI </w:t>
            </w:r>
          </w:p>
        </w:tc>
        <w:tc>
          <w:tcPr>
            <w:tcW w:w="4360" w:type="dxa"/>
          </w:tcPr>
          <w:p w:rsidR="003747C1" w:rsidRPr="001000F8" w:rsidRDefault="003747C1" w:rsidP="003747C1">
            <w:r w:rsidRPr="001000F8">
              <w:t>Health Assessment Questionnaire – Disability Index</w:t>
            </w:r>
          </w:p>
        </w:tc>
      </w:tr>
      <w:tr w:rsidR="003747C1" w:rsidTr="003747C1">
        <w:tc>
          <w:tcPr>
            <w:tcW w:w="4360" w:type="dxa"/>
          </w:tcPr>
          <w:p w:rsidR="003747C1" w:rsidRPr="001000F8" w:rsidRDefault="003747C1" w:rsidP="003747C1">
            <w:r w:rsidRPr="001000F8">
              <w:t>HCQ</w:t>
            </w:r>
          </w:p>
        </w:tc>
        <w:tc>
          <w:tcPr>
            <w:tcW w:w="4360" w:type="dxa"/>
          </w:tcPr>
          <w:p w:rsidR="003747C1" w:rsidRPr="001000F8" w:rsidRDefault="003747C1" w:rsidP="003747C1">
            <w:proofErr w:type="spellStart"/>
            <w:r w:rsidRPr="001000F8">
              <w:t>Hydroxychloroquine</w:t>
            </w:r>
            <w:proofErr w:type="spellEnd"/>
          </w:p>
        </w:tc>
      </w:tr>
      <w:tr w:rsidR="003747C1" w:rsidTr="003747C1">
        <w:tc>
          <w:tcPr>
            <w:tcW w:w="4360" w:type="dxa"/>
          </w:tcPr>
          <w:p w:rsidR="003747C1" w:rsidRPr="001000F8" w:rsidRDefault="003747C1" w:rsidP="003747C1">
            <w:r w:rsidRPr="001000F8">
              <w:t>JSN</w:t>
            </w:r>
          </w:p>
        </w:tc>
        <w:tc>
          <w:tcPr>
            <w:tcW w:w="4360" w:type="dxa"/>
          </w:tcPr>
          <w:p w:rsidR="003747C1" w:rsidRPr="001000F8" w:rsidRDefault="003747C1" w:rsidP="003747C1">
            <w:r w:rsidRPr="001000F8">
              <w:t>Joint Space Narrowing</w:t>
            </w:r>
          </w:p>
        </w:tc>
      </w:tr>
      <w:tr w:rsidR="003747C1" w:rsidTr="003747C1">
        <w:tc>
          <w:tcPr>
            <w:tcW w:w="4360" w:type="dxa"/>
          </w:tcPr>
          <w:p w:rsidR="003747C1" w:rsidRPr="001000F8" w:rsidRDefault="003747C1" w:rsidP="003747C1">
            <w:r w:rsidRPr="001000F8">
              <w:t>LEF</w:t>
            </w:r>
          </w:p>
        </w:tc>
        <w:tc>
          <w:tcPr>
            <w:tcW w:w="4360" w:type="dxa"/>
          </w:tcPr>
          <w:p w:rsidR="003747C1" w:rsidRPr="001000F8" w:rsidRDefault="003747C1" w:rsidP="003747C1">
            <w:proofErr w:type="spellStart"/>
            <w:r w:rsidRPr="001000F8">
              <w:t>Leflunomide</w:t>
            </w:r>
            <w:proofErr w:type="spellEnd"/>
          </w:p>
        </w:tc>
      </w:tr>
      <w:tr w:rsidR="003747C1" w:rsidTr="003747C1">
        <w:tc>
          <w:tcPr>
            <w:tcW w:w="4360" w:type="dxa"/>
          </w:tcPr>
          <w:p w:rsidR="003747C1" w:rsidRPr="001000F8" w:rsidRDefault="003747C1" w:rsidP="003747C1">
            <w:r w:rsidRPr="001000F8">
              <w:t>LS</w:t>
            </w:r>
          </w:p>
        </w:tc>
        <w:tc>
          <w:tcPr>
            <w:tcW w:w="4360" w:type="dxa"/>
          </w:tcPr>
          <w:p w:rsidR="003747C1" w:rsidRPr="001000F8" w:rsidRDefault="003747C1" w:rsidP="003747C1">
            <w:r w:rsidRPr="001000F8">
              <w:t>Least Square</w:t>
            </w:r>
          </w:p>
        </w:tc>
      </w:tr>
      <w:tr w:rsidR="003747C1" w:rsidTr="003747C1">
        <w:tc>
          <w:tcPr>
            <w:tcW w:w="4360" w:type="dxa"/>
          </w:tcPr>
          <w:p w:rsidR="003747C1" w:rsidRPr="001000F8" w:rsidRDefault="003747C1" w:rsidP="003747C1">
            <w:r w:rsidRPr="001000F8">
              <w:t>MCID</w:t>
            </w:r>
          </w:p>
        </w:tc>
        <w:tc>
          <w:tcPr>
            <w:tcW w:w="4360" w:type="dxa"/>
          </w:tcPr>
          <w:p w:rsidR="003747C1" w:rsidRPr="001000F8" w:rsidRDefault="003747C1" w:rsidP="003747C1">
            <w:r w:rsidRPr="001000F8">
              <w:t>Minimal Clinically Important Difference</w:t>
            </w:r>
          </w:p>
        </w:tc>
      </w:tr>
      <w:tr w:rsidR="003747C1" w:rsidTr="003747C1">
        <w:tc>
          <w:tcPr>
            <w:tcW w:w="4360" w:type="dxa"/>
          </w:tcPr>
          <w:p w:rsidR="003747C1" w:rsidRPr="001000F8" w:rsidRDefault="003747C1" w:rsidP="003747C1">
            <w:proofErr w:type="spellStart"/>
            <w:r w:rsidRPr="001000F8">
              <w:t>mTSS</w:t>
            </w:r>
            <w:proofErr w:type="spellEnd"/>
          </w:p>
        </w:tc>
        <w:tc>
          <w:tcPr>
            <w:tcW w:w="4360" w:type="dxa"/>
          </w:tcPr>
          <w:p w:rsidR="003747C1" w:rsidRPr="001000F8" w:rsidRDefault="003747C1" w:rsidP="003747C1">
            <w:r w:rsidRPr="001000F8">
              <w:t>modified Total Sharp Score</w:t>
            </w:r>
          </w:p>
        </w:tc>
      </w:tr>
      <w:tr w:rsidR="003747C1" w:rsidTr="003747C1">
        <w:tc>
          <w:tcPr>
            <w:tcW w:w="4360" w:type="dxa"/>
          </w:tcPr>
          <w:p w:rsidR="003747C1" w:rsidRPr="001000F8" w:rsidRDefault="003747C1" w:rsidP="003747C1">
            <w:r w:rsidRPr="001000F8">
              <w:t>MTX</w:t>
            </w:r>
          </w:p>
        </w:tc>
        <w:tc>
          <w:tcPr>
            <w:tcW w:w="4360" w:type="dxa"/>
          </w:tcPr>
          <w:p w:rsidR="003747C1" w:rsidRPr="001000F8" w:rsidRDefault="003747C1" w:rsidP="003747C1">
            <w:r w:rsidRPr="001000F8">
              <w:t>Methotrexate</w:t>
            </w:r>
          </w:p>
        </w:tc>
      </w:tr>
      <w:tr w:rsidR="003747C1" w:rsidTr="003747C1">
        <w:tc>
          <w:tcPr>
            <w:tcW w:w="4360" w:type="dxa"/>
          </w:tcPr>
          <w:p w:rsidR="003747C1" w:rsidRPr="001000F8" w:rsidRDefault="003747C1" w:rsidP="003747C1">
            <w:r w:rsidRPr="001000F8">
              <w:t>NRS</w:t>
            </w:r>
          </w:p>
        </w:tc>
        <w:tc>
          <w:tcPr>
            <w:tcW w:w="4360" w:type="dxa"/>
          </w:tcPr>
          <w:p w:rsidR="003747C1" w:rsidRPr="001000F8" w:rsidRDefault="003747C1" w:rsidP="003747C1">
            <w:r w:rsidRPr="001000F8">
              <w:t>Numerical Rating Scale</w:t>
            </w:r>
          </w:p>
        </w:tc>
      </w:tr>
      <w:tr w:rsidR="003747C1" w:rsidTr="003747C1">
        <w:tc>
          <w:tcPr>
            <w:tcW w:w="4360" w:type="dxa"/>
          </w:tcPr>
          <w:p w:rsidR="003747C1" w:rsidRPr="001000F8" w:rsidRDefault="003747C1" w:rsidP="003747C1">
            <w:r w:rsidRPr="001000F8">
              <w:t>nr-</w:t>
            </w:r>
            <w:proofErr w:type="spellStart"/>
            <w:r w:rsidRPr="001000F8">
              <w:t>SpA</w:t>
            </w:r>
            <w:proofErr w:type="spellEnd"/>
          </w:p>
        </w:tc>
        <w:tc>
          <w:tcPr>
            <w:tcW w:w="4360" w:type="dxa"/>
          </w:tcPr>
          <w:p w:rsidR="003747C1" w:rsidRPr="001000F8" w:rsidRDefault="003747C1" w:rsidP="003747C1">
            <w:r w:rsidRPr="001000F8">
              <w:t xml:space="preserve">non-radiographic axial </w:t>
            </w:r>
            <w:proofErr w:type="spellStart"/>
            <w:r w:rsidRPr="001000F8">
              <w:t>Spondyloarthritis</w:t>
            </w:r>
            <w:proofErr w:type="spellEnd"/>
          </w:p>
        </w:tc>
      </w:tr>
      <w:tr w:rsidR="003747C1" w:rsidTr="003747C1">
        <w:tc>
          <w:tcPr>
            <w:tcW w:w="4360" w:type="dxa"/>
          </w:tcPr>
          <w:p w:rsidR="003747C1" w:rsidRPr="001000F8" w:rsidRDefault="003747C1" w:rsidP="003747C1">
            <w:r w:rsidRPr="001000F8">
              <w:t>NSAID</w:t>
            </w:r>
          </w:p>
        </w:tc>
        <w:tc>
          <w:tcPr>
            <w:tcW w:w="4360" w:type="dxa"/>
          </w:tcPr>
          <w:p w:rsidR="003747C1" w:rsidRPr="001000F8" w:rsidRDefault="003747C1" w:rsidP="003747C1">
            <w:r w:rsidRPr="001000F8">
              <w:t>Non-Steroidal Anti-Inflammatory Drug</w:t>
            </w:r>
          </w:p>
        </w:tc>
      </w:tr>
      <w:tr w:rsidR="003747C1" w:rsidTr="003747C1">
        <w:tc>
          <w:tcPr>
            <w:tcW w:w="4360" w:type="dxa"/>
          </w:tcPr>
          <w:p w:rsidR="003747C1" w:rsidRPr="001000F8" w:rsidRDefault="003747C1" w:rsidP="003747C1">
            <w:r w:rsidRPr="001000F8">
              <w:t>NY</w:t>
            </w:r>
          </w:p>
        </w:tc>
        <w:tc>
          <w:tcPr>
            <w:tcW w:w="4360" w:type="dxa"/>
          </w:tcPr>
          <w:p w:rsidR="003747C1" w:rsidRPr="001000F8" w:rsidRDefault="003747C1" w:rsidP="003747C1">
            <w:r w:rsidRPr="001000F8">
              <w:t>New York</w:t>
            </w:r>
          </w:p>
        </w:tc>
      </w:tr>
      <w:tr w:rsidR="003747C1" w:rsidTr="003747C1">
        <w:tc>
          <w:tcPr>
            <w:tcW w:w="4360" w:type="dxa"/>
          </w:tcPr>
          <w:p w:rsidR="003747C1" w:rsidRPr="001000F8" w:rsidRDefault="003747C1" w:rsidP="003747C1">
            <w:r w:rsidRPr="001000F8">
              <w:t>PASI</w:t>
            </w:r>
          </w:p>
        </w:tc>
        <w:tc>
          <w:tcPr>
            <w:tcW w:w="4360" w:type="dxa"/>
          </w:tcPr>
          <w:p w:rsidR="003747C1" w:rsidRPr="001000F8" w:rsidRDefault="003747C1" w:rsidP="003747C1">
            <w:r w:rsidRPr="001000F8">
              <w:t>Psoriasis Area Severity Index</w:t>
            </w:r>
          </w:p>
        </w:tc>
      </w:tr>
      <w:tr w:rsidR="003747C1" w:rsidTr="003747C1">
        <w:tc>
          <w:tcPr>
            <w:tcW w:w="4360" w:type="dxa"/>
          </w:tcPr>
          <w:p w:rsidR="003747C1" w:rsidRPr="001000F8" w:rsidRDefault="003747C1" w:rsidP="003747C1">
            <w:r w:rsidRPr="001000F8">
              <w:t xml:space="preserve">PD </w:t>
            </w:r>
          </w:p>
        </w:tc>
        <w:tc>
          <w:tcPr>
            <w:tcW w:w="4360" w:type="dxa"/>
          </w:tcPr>
          <w:p w:rsidR="003747C1" w:rsidRPr="001000F8" w:rsidRDefault="003747C1" w:rsidP="003747C1">
            <w:proofErr w:type="spellStart"/>
            <w:r w:rsidRPr="001000F8">
              <w:t>Pharmacodynamic</w:t>
            </w:r>
            <w:proofErr w:type="spellEnd"/>
          </w:p>
        </w:tc>
      </w:tr>
      <w:tr w:rsidR="003747C1" w:rsidTr="003747C1">
        <w:tc>
          <w:tcPr>
            <w:tcW w:w="4360" w:type="dxa"/>
          </w:tcPr>
          <w:p w:rsidR="003747C1" w:rsidRPr="001000F8" w:rsidRDefault="003747C1" w:rsidP="003747C1">
            <w:r>
              <w:t>PEG</w:t>
            </w:r>
          </w:p>
        </w:tc>
        <w:tc>
          <w:tcPr>
            <w:tcW w:w="4360" w:type="dxa"/>
          </w:tcPr>
          <w:p w:rsidR="003747C1" w:rsidRPr="001000F8" w:rsidRDefault="003747C1" w:rsidP="003747C1">
            <w:r>
              <w:t>Polyethylene glycol</w:t>
            </w:r>
          </w:p>
        </w:tc>
      </w:tr>
      <w:tr w:rsidR="003747C1" w:rsidTr="003747C1">
        <w:tc>
          <w:tcPr>
            <w:tcW w:w="4360" w:type="dxa"/>
          </w:tcPr>
          <w:p w:rsidR="003747C1" w:rsidRPr="001000F8" w:rsidRDefault="003747C1" w:rsidP="003747C1">
            <w:r w:rsidRPr="001000F8">
              <w:t>PGA</w:t>
            </w:r>
          </w:p>
        </w:tc>
        <w:tc>
          <w:tcPr>
            <w:tcW w:w="4360" w:type="dxa"/>
          </w:tcPr>
          <w:p w:rsidR="003747C1" w:rsidRPr="001000F8" w:rsidRDefault="003747C1" w:rsidP="003747C1">
            <w:r w:rsidRPr="001000F8">
              <w:t>Psoriasis Global Assessment</w:t>
            </w:r>
          </w:p>
        </w:tc>
      </w:tr>
      <w:tr w:rsidR="003747C1" w:rsidTr="003747C1">
        <w:tc>
          <w:tcPr>
            <w:tcW w:w="4360" w:type="dxa"/>
          </w:tcPr>
          <w:p w:rsidR="003747C1" w:rsidRPr="001000F8" w:rsidRDefault="003747C1" w:rsidP="003747C1">
            <w:proofErr w:type="spellStart"/>
            <w:r w:rsidRPr="001000F8">
              <w:t>PhGADA</w:t>
            </w:r>
            <w:proofErr w:type="spellEnd"/>
          </w:p>
        </w:tc>
        <w:tc>
          <w:tcPr>
            <w:tcW w:w="4360" w:type="dxa"/>
          </w:tcPr>
          <w:p w:rsidR="003747C1" w:rsidRPr="001000F8" w:rsidRDefault="003747C1" w:rsidP="003747C1">
            <w:r w:rsidRPr="001000F8">
              <w:t>Physician Global Assessment of Disease Activity</w:t>
            </w:r>
          </w:p>
        </w:tc>
      </w:tr>
      <w:tr w:rsidR="003747C1" w:rsidTr="003747C1">
        <w:tc>
          <w:tcPr>
            <w:tcW w:w="4360" w:type="dxa"/>
          </w:tcPr>
          <w:p w:rsidR="003747C1" w:rsidRPr="001000F8" w:rsidRDefault="003747C1" w:rsidP="003747C1">
            <w:r w:rsidRPr="001000F8">
              <w:t>PK</w:t>
            </w:r>
          </w:p>
        </w:tc>
        <w:tc>
          <w:tcPr>
            <w:tcW w:w="4360" w:type="dxa"/>
          </w:tcPr>
          <w:p w:rsidR="003747C1" w:rsidRPr="001000F8" w:rsidRDefault="003747C1" w:rsidP="003747C1">
            <w:r w:rsidRPr="001000F8">
              <w:t>Pharmacokinetic</w:t>
            </w:r>
          </w:p>
        </w:tc>
      </w:tr>
      <w:tr w:rsidR="003747C1" w:rsidTr="003747C1">
        <w:tc>
          <w:tcPr>
            <w:tcW w:w="4360" w:type="dxa"/>
          </w:tcPr>
          <w:p w:rsidR="003747C1" w:rsidRPr="001000F8" w:rsidRDefault="003747C1" w:rsidP="003747C1">
            <w:r w:rsidRPr="001000F8">
              <w:t>PPS</w:t>
            </w:r>
          </w:p>
        </w:tc>
        <w:tc>
          <w:tcPr>
            <w:tcW w:w="4360" w:type="dxa"/>
          </w:tcPr>
          <w:p w:rsidR="003747C1" w:rsidRPr="001000F8" w:rsidRDefault="003747C1" w:rsidP="003747C1">
            <w:r w:rsidRPr="001000F8">
              <w:t>Per Protocol Set</w:t>
            </w:r>
          </w:p>
        </w:tc>
      </w:tr>
      <w:tr w:rsidR="003747C1" w:rsidTr="003747C1">
        <w:tc>
          <w:tcPr>
            <w:tcW w:w="4360" w:type="dxa"/>
          </w:tcPr>
          <w:p w:rsidR="003747C1" w:rsidRPr="001000F8" w:rsidRDefault="003747C1" w:rsidP="003747C1">
            <w:proofErr w:type="spellStart"/>
            <w:r w:rsidRPr="001000F8">
              <w:t>PsA</w:t>
            </w:r>
            <w:proofErr w:type="spellEnd"/>
          </w:p>
        </w:tc>
        <w:tc>
          <w:tcPr>
            <w:tcW w:w="4360" w:type="dxa"/>
          </w:tcPr>
          <w:p w:rsidR="003747C1" w:rsidRPr="001000F8" w:rsidRDefault="003747C1" w:rsidP="003747C1">
            <w:r w:rsidRPr="001000F8">
              <w:t>Psoriatic Arthritis</w:t>
            </w:r>
          </w:p>
        </w:tc>
      </w:tr>
      <w:tr w:rsidR="003747C1" w:rsidTr="003747C1">
        <w:tc>
          <w:tcPr>
            <w:tcW w:w="4360" w:type="dxa"/>
          </w:tcPr>
          <w:p w:rsidR="003747C1" w:rsidRPr="001000F8" w:rsidRDefault="003747C1" w:rsidP="003747C1">
            <w:proofErr w:type="spellStart"/>
            <w:r w:rsidRPr="001000F8">
              <w:t>PtGADA</w:t>
            </w:r>
            <w:proofErr w:type="spellEnd"/>
          </w:p>
        </w:tc>
        <w:tc>
          <w:tcPr>
            <w:tcW w:w="4360" w:type="dxa"/>
          </w:tcPr>
          <w:p w:rsidR="003747C1" w:rsidRPr="001000F8" w:rsidRDefault="003747C1" w:rsidP="003747C1">
            <w:r w:rsidRPr="001000F8">
              <w:t>Patient Global Assessment of Disease Activity</w:t>
            </w:r>
          </w:p>
        </w:tc>
      </w:tr>
      <w:tr w:rsidR="003747C1" w:rsidTr="003747C1">
        <w:tc>
          <w:tcPr>
            <w:tcW w:w="4360" w:type="dxa"/>
          </w:tcPr>
          <w:p w:rsidR="003747C1" w:rsidRPr="001000F8" w:rsidRDefault="003747C1" w:rsidP="003747C1">
            <w:r w:rsidRPr="001000F8">
              <w:t>PY</w:t>
            </w:r>
          </w:p>
        </w:tc>
        <w:tc>
          <w:tcPr>
            <w:tcW w:w="4360" w:type="dxa"/>
          </w:tcPr>
          <w:p w:rsidR="003747C1" w:rsidRPr="001000F8" w:rsidRDefault="003747C1" w:rsidP="003747C1">
            <w:r w:rsidRPr="001000F8">
              <w:t>Patient-Years</w:t>
            </w:r>
          </w:p>
        </w:tc>
      </w:tr>
      <w:tr w:rsidR="003747C1" w:rsidTr="003747C1">
        <w:tc>
          <w:tcPr>
            <w:tcW w:w="4360" w:type="dxa"/>
          </w:tcPr>
          <w:p w:rsidR="003747C1" w:rsidRPr="001000F8" w:rsidRDefault="003747C1" w:rsidP="003747C1">
            <w:r w:rsidRPr="001000F8">
              <w:t>Q2W</w:t>
            </w:r>
          </w:p>
        </w:tc>
        <w:tc>
          <w:tcPr>
            <w:tcW w:w="4360" w:type="dxa"/>
          </w:tcPr>
          <w:p w:rsidR="003747C1" w:rsidRPr="001000F8" w:rsidRDefault="003747C1" w:rsidP="003747C1">
            <w:r w:rsidRPr="001000F8">
              <w:t>Every 2 weeks</w:t>
            </w:r>
          </w:p>
        </w:tc>
      </w:tr>
      <w:tr w:rsidR="003747C1" w:rsidTr="003747C1">
        <w:tc>
          <w:tcPr>
            <w:tcW w:w="4360" w:type="dxa"/>
          </w:tcPr>
          <w:p w:rsidR="003747C1" w:rsidRPr="001000F8" w:rsidRDefault="003747C1" w:rsidP="003747C1">
            <w:r w:rsidRPr="001000F8">
              <w:t>Q4W</w:t>
            </w:r>
          </w:p>
        </w:tc>
        <w:tc>
          <w:tcPr>
            <w:tcW w:w="4360" w:type="dxa"/>
          </w:tcPr>
          <w:p w:rsidR="003747C1" w:rsidRPr="001000F8" w:rsidRDefault="003747C1" w:rsidP="003747C1">
            <w:r w:rsidRPr="001000F8">
              <w:t xml:space="preserve">Every 4 weeks </w:t>
            </w:r>
          </w:p>
        </w:tc>
      </w:tr>
      <w:tr w:rsidR="003747C1" w:rsidTr="003747C1">
        <w:tc>
          <w:tcPr>
            <w:tcW w:w="4360" w:type="dxa"/>
          </w:tcPr>
          <w:p w:rsidR="003747C1" w:rsidRPr="001000F8" w:rsidRDefault="003747C1" w:rsidP="003747C1">
            <w:r w:rsidRPr="001000F8">
              <w:t>RS</w:t>
            </w:r>
          </w:p>
        </w:tc>
        <w:tc>
          <w:tcPr>
            <w:tcW w:w="4360" w:type="dxa"/>
          </w:tcPr>
          <w:p w:rsidR="003747C1" w:rsidRPr="001000F8" w:rsidRDefault="003747C1" w:rsidP="003747C1">
            <w:r w:rsidRPr="001000F8">
              <w:t>Randomized Set</w:t>
            </w:r>
          </w:p>
        </w:tc>
      </w:tr>
      <w:tr w:rsidR="003747C1" w:rsidTr="003747C1">
        <w:tc>
          <w:tcPr>
            <w:tcW w:w="4360" w:type="dxa"/>
          </w:tcPr>
          <w:p w:rsidR="003747C1" w:rsidRPr="001000F8" w:rsidRDefault="003747C1" w:rsidP="003747C1">
            <w:r w:rsidRPr="001000F8">
              <w:t>SAE</w:t>
            </w:r>
          </w:p>
        </w:tc>
        <w:tc>
          <w:tcPr>
            <w:tcW w:w="4360" w:type="dxa"/>
          </w:tcPr>
          <w:p w:rsidR="003747C1" w:rsidRPr="001000F8" w:rsidRDefault="003747C1" w:rsidP="003747C1">
            <w:r w:rsidRPr="001000F8">
              <w:t>Serious adverse event</w:t>
            </w:r>
          </w:p>
        </w:tc>
      </w:tr>
      <w:tr w:rsidR="003747C1" w:rsidTr="003747C1">
        <w:tc>
          <w:tcPr>
            <w:tcW w:w="4360" w:type="dxa"/>
          </w:tcPr>
          <w:p w:rsidR="003747C1" w:rsidRPr="001000F8" w:rsidRDefault="003747C1" w:rsidP="003747C1">
            <w:r w:rsidRPr="001000F8">
              <w:t>SD</w:t>
            </w:r>
          </w:p>
        </w:tc>
        <w:tc>
          <w:tcPr>
            <w:tcW w:w="4360" w:type="dxa"/>
          </w:tcPr>
          <w:p w:rsidR="003747C1" w:rsidRPr="001000F8" w:rsidRDefault="003747C1" w:rsidP="003747C1">
            <w:r w:rsidRPr="001000F8">
              <w:t>Standard Deviation</w:t>
            </w:r>
          </w:p>
        </w:tc>
      </w:tr>
      <w:tr w:rsidR="003747C1" w:rsidTr="003747C1">
        <w:tc>
          <w:tcPr>
            <w:tcW w:w="4360" w:type="dxa"/>
          </w:tcPr>
          <w:p w:rsidR="003747C1" w:rsidRPr="001000F8" w:rsidRDefault="003747C1" w:rsidP="003747C1">
            <w:r w:rsidRPr="001000F8">
              <w:t>SOC</w:t>
            </w:r>
          </w:p>
        </w:tc>
        <w:tc>
          <w:tcPr>
            <w:tcW w:w="4360" w:type="dxa"/>
          </w:tcPr>
          <w:p w:rsidR="003747C1" w:rsidRPr="001000F8" w:rsidRDefault="003747C1" w:rsidP="003747C1">
            <w:r w:rsidRPr="001000F8">
              <w:t>System Organ Class</w:t>
            </w:r>
          </w:p>
        </w:tc>
      </w:tr>
      <w:tr w:rsidR="003747C1" w:rsidTr="003747C1">
        <w:tc>
          <w:tcPr>
            <w:tcW w:w="4360" w:type="dxa"/>
          </w:tcPr>
          <w:p w:rsidR="003747C1" w:rsidRPr="001000F8" w:rsidRDefault="003747C1" w:rsidP="003747C1">
            <w:proofErr w:type="spellStart"/>
            <w:r w:rsidRPr="001000F8">
              <w:t>SpA</w:t>
            </w:r>
            <w:proofErr w:type="spellEnd"/>
          </w:p>
        </w:tc>
        <w:tc>
          <w:tcPr>
            <w:tcW w:w="4360" w:type="dxa"/>
          </w:tcPr>
          <w:p w:rsidR="003747C1" w:rsidRPr="001000F8" w:rsidRDefault="003747C1" w:rsidP="003747C1">
            <w:proofErr w:type="spellStart"/>
            <w:r w:rsidRPr="001000F8">
              <w:t>Spondyloarthritis</w:t>
            </w:r>
            <w:proofErr w:type="spellEnd"/>
          </w:p>
        </w:tc>
      </w:tr>
      <w:tr w:rsidR="003747C1" w:rsidTr="003747C1">
        <w:tc>
          <w:tcPr>
            <w:tcW w:w="4360" w:type="dxa"/>
          </w:tcPr>
          <w:p w:rsidR="003747C1" w:rsidRPr="001000F8" w:rsidRDefault="003747C1" w:rsidP="003747C1">
            <w:r w:rsidRPr="001000F8">
              <w:t>SPARCC</w:t>
            </w:r>
          </w:p>
        </w:tc>
        <w:tc>
          <w:tcPr>
            <w:tcW w:w="4360" w:type="dxa"/>
          </w:tcPr>
          <w:p w:rsidR="003747C1" w:rsidRPr="001000F8" w:rsidRDefault="003747C1" w:rsidP="003747C1">
            <w:proofErr w:type="spellStart"/>
            <w:r w:rsidRPr="001000F8">
              <w:t>Spondyloarthritis</w:t>
            </w:r>
            <w:proofErr w:type="spellEnd"/>
            <w:r w:rsidRPr="001000F8">
              <w:t xml:space="preserve"> Research Consortium of Canada</w:t>
            </w:r>
          </w:p>
        </w:tc>
      </w:tr>
      <w:tr w:rsidR="003747C1" w:rsidTr="003747C1">
        <w:tc>
          <w:tcPr>
            <w:tcW w:w="4360" w:type="dxa"/>
          </w:tcPr>
          <w:p w:rsidR="003747C1" w:rsidRPr="001000F8" w:rsidRDefault="003747C1" w:rsidP="003747C1">
            <w:r w:rsidRPr="001000F8">
              <w:t>SSZ</w:t>
            </w:r>
          </w:p>
        </w:tc>
        <w:tc>
          <w:tcPr>
            <w:tcW w:w="4360" w:type="dxa"/>
          </w:tcPr>
          <w:p w:rsidR="003747C1" w:rsidRPr="001000F8" w:rsidRDefault="003747C1" w:rsidP="003747C1">
            <w:r w:rsidRPr="001000F8">
              <w:t xml:space="preserve">Sulfasalazine </w:t>
            </w:r>
          </w:p>
        </w:tc>
      </w:tr>
      <w:tr w:rsidR="003747C1" w:rsidTr="003747C1">
        <w:tc>
          <w:tcPr>
            <w:tcW w:w="4360" w:type="dxa"/>
          </w:tcPr>
          <w:p w:rsidR="003747C1" w:rsidRPr="001000F8" w:rsidRDefault="003747C1" w:rsidP="003747C1">
            <w:r>
              <w:t>TGA</w:t>
            </w:r>
          </w:p>
        </w:tc>
        <w:tc>
          <w:tcPr>
            <w:tcW w:w="4360" w:type="dxa"/>
          </w:tcPr>
          <w:p w:rsidR="003747C1" w:rsidRPr="001000F8" w:rsidRDefault="003747C1" w:rsidP="003747C1">
            <w:r>
              <w:t>Therapeutic Goods Administration</w:t>
            </w:r>
          </w:p>
        </w:tc>
      </w:tr>
      <w:tr w:rsidR="003747C1" w:rsidTr="003747C1">
        <w:tc>
          <w:tcPr>
            <w:tcW w:w="4360" w:type="dxa"/>
          </w:tcPr>
          <w:p w:rsidR="003747C1" w:rsidRPr="001000F8" w:rsidRDefault="003747C1" w:rsidP="003747C1">
            <w:r w:rsidRPr="001000F8">
              <w:t>TNF</w:t>
            </w:r>
          </w:p>
        </w:tc>
        <w:tc>
          <w:tcPr>
            <w:tcW w:w="4360" w:type="dxa"/>
          </w:tcPr>
          <w:p w:rsidR="003747C1" w:rsidRPr="001000F8" w:rsidRDefault="003747C1" w:rsidP="003747C1">
            <w:r w:rsidRPr="001000F8">
              <w:t>Tumour Necrosis Factor</w:t>
            </w:r>
          </w:p>
        </w:tc>
      </w:tr>
      <w:tr w:rsidR="003747C1" w:rsidTr="003747C1">
        <w:tc>
          <w:tcPr>
            <w:tcW w:w="4360" w:type="dxa"/>
          </w:tcPr>
          <w:p w:rsidR="003747C1" w:rsidRPr="001000F8" w:rsidRDefault="003747C1" w:rsidP="003747C1">
            <w:r w:rsidRPr="001000F8">
              <w:t>ULN</w:t>
            </w:r>
          </w:p>
        </w:tc>
        <w:tc>
          <w:tcPr>
            <w:tcW w:w="4360" w:type="dxa"/>
          </w:tcPr>
          <w:p w:rsidR="003747C1" w:rsidRDefault="003747C1" w:rsidP="003747C1">
            <w:r w:rsidRPr="001000F8">
              <w:t>Upper Limit of Normal</w:t>
            </w:r>
          </w:p>
        </w:tc>
      </w:tr>
      <w:tr w:rsidR="003747C1" w:rsidTr="003747C1">
        <w:tc>
          <w:tcPr>
            <w:tcW w:w="4360" w:type="dxa"/>
          </w:tcPr>
          <w:p w:rsidR="003747C1" w:rsidRPr="001000F8" w:rsidRDefault="003747C1" w:rsidP="003747C1">
            <w:r>
              <w:t>US</w:t>
            </w:r>
          </w:p>
        </w:tc>
        <w:tc>
          <w:tcPr>
            <w:tcW w:w="4360" w:type="dxa"/>
          </w:tcPr>
          <w:p w:rsidR="003747C1" w:rsidRPr="001000F8" w:rsidRDefault="003747C1" w:rsidP="003747C1">
            <w:r>
              <w:t>United States</w:t>
            </w:r>
          </w:p>
        </w:tc>
      </w:tr>
    </w:tbl>
    <w:p w:rsidR="00FD119B" w:rsidRPr="00FD119B" w:rsidRDefault="00FD119B" w:rsidP="003747C1">
      <w:r w:rsidRPr="00FD119B">
        <w:br w:type="page"/>
      </w:r>
    </w:p>
    <w:p w:rsidR="008E7846" w:rsidRDefault="00F53C07" w:rsidP="003747C1">
      <w:pPr>
        <w:pStyle w:val="Heading2"/>
      </w:pPr>
      <w:bookmarkStart w:id="9" w:name="_Toc399507633"/>
      <w:r>
        <w:t>I.</w:t>
      </w:r>
      <w:r w:rsidR="008E7846">
        <w:t xml:space="preserve"> </w:t>
      </w:r>
      <w:r w:rsidR="008E7846" w:rsidRPr="003747C1">
        <w:t>Introduction</w:t>
      </w:r>
      <w:r w:rsidR="008E7846">
        <w:t xml:space="preserve"> to product submission</w:t>
      </w:r>
      <w:bookmarkEnd w:id="0"/>
      <w:bookmarkEnd w:id="3"/>
      <w:bookmarkEnd w:id="9"/>
    </w:p>
    <w:p w:rsidR="008E7846" w:rsidRDefault="008E7846" w:rsidP="003747C1">
      <w:pPr>
        <w:pStyle w:val="Heading3"/>
        <w:rPr>
          <w:lang w:eastAsia="en-AU"/>
        </w:rPr>
      </w:pPr>
      <w:bookmarkStart w:id="10" w:name="_Toc247691502"/>
      <w:bookmarkStart w:id="11" w:name="_Toc314842483"/>
      <w:bookmarkStart w:id="12" w:name="_Toc399507634"/>
      <w:r w:rsidRPr="003747C1">
        <w:t>Submission</w:t>
      </w:r>
      <w:r>
        <w:rPr>
          <w:lang w:eastAsia="en-AU"/>
        </w:rPr>
        <w:t xml:space="preserve"> details</w:t>
      </w:r>
      <w:bookmarkEnd w:id="10"/>
      <w:bookmarkEnd w:id="11"/>
      <w:bookmarkEnd w:id="12"/>
    </w:p>
    <w:tbl>
      <w:tblPr>
        <w:tblW w:w="9497" w:type="dxa"/>
        <w:tblInd w:w="108" w:type="dxa"/>
        <w:tblLook w:val="01E0" w:firstRow="1" w:lastRow="1" w:firstColumn="1" w:lastColumn="1" w:noHBand="0" w:noVBand="0"/>
      </w:tblPr>
      <w:tblGrid>
        <w:gridCol w:w="2907"/>
        <w:gridCol w:w="6590"/>
      </w:tblGrid>
      <w:tr w:rsidR="008E7846" w:rsidRPr="003D1E62" w:rsidTr="0089635C">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590" w:type="dxa"/>
          </w:tcPr>
          <w:p w:rsidR="008E7846" w:rsidRPr="003D1E62" w:rsidRDefault="003747C1" w:rsidP="001B5C90">
            <w:fldSimple w:instr=" MERGEFIELD &quot;Application_TYPE&quot; ">
              <w:r w:rsidR="00E760E9">
                <w:rPr>
                  <w:noProof/>
                </w:rPr>
                <w:t>Extension of indications</w:t>
              </w:r>
            </w:fldSimple>
          </w:p>
        </w:tc>
      </w:tr>
      <w:tr w:rsidR="008E7846" w:rsidRPr="003D1E62" w:rsidTr="0089635C">
        <w:trPr>
          <w:trHeight w:hRule="exact" w:val="454"/>
        </w:trPr>
        <w:tc>
          <w:tcPr>
            <w:tcW w:w="2907" w:type="dxa"/>
          </w:tcPr>
          <w:p w:rsidR="008E7846" w:rsidRPr="003D1E62" w:rsidRDefault="008E7846" w:rsidP="003D1E62">
            <w:r w:rsidRPr="003D1E62">
              <w:rPr>
                <w:i/>
              </w:rPr>
              <w:t>Decision</w:t>
            </w:r>
            <w:r w:rsidRPr="003D1E62">
              <w:t>:</w:t>
            </w:r>
          </w:p>
        </w:tc>
        <w:tc>
          <w:tcPr>
            <w:tcW w:w="6590" w:type="dxa"/>
          </w:tcPr>
          <w:p w:rsidR="008E7846" w:rsidRPr="003D1E62" w:rsidRDefault="008E7846" w:rsidP="00AD5F20">
            <w:r w:rsidRPr="003D1E62">
              <w:t xml:space="preserve">Approved </w:t>
            </w:r>
          </w:p>
        </w:tc>
      </w:tr>
      <w:tr w:rsidR="008E7846" w:rsidRPr="003D1E62" w:rsidTr="0089635C">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tcPr>
          <w:p w:rsidR="008E7846" w:rsidRPr="003D1E62" w:rsidRDefault="008104AB" w:rsidP="001B5C90">
            <w:r>
              <w:t>1 May 2014</w:t>
            </w:r>
          </w:p>
        </w:tc>
      </w:tr>
    </w:tbl>
    <w:p w:rsidR="008E7846" w:rsidRDefault="008E7846" w:rsidP="008E7846"/>
    <w:tbl>
      <w:tblPr>
        <w:tblW w:w="9214" w:type="dxa"/>
        <w:tblInd w:w="108" w:type="dxa"/>
        <w:tblLook w:val="01E0" w:firstRow="1" w:lastRow="1" w:firstColumn="1" w:lastColumn="1" w:noHBand="0" w:noVBand="0"/>
      </w:tblPr>
      <w:tblGrid>
        <w:gridCol w:w="2907"/>
        <w:gridCol w:w="6307"/>
      </w:tblGrid>
      <w:tr w:rsidR="008E7846" w:rsidRPr="00487162" w:rsidTr="00BF1190">
        <w:tc>
          <w:tcPr>
            <w:tcW w:w="2907" w:type="dxa"/>
          </w:tcPr>
          <w:p w:rsidR="008E7846" w:rsidRPr="00487162" w:rsidRDefault="00AD5F20" w:rsidP="00AD5F20">
            <w:pPr>
              <w:rPr>
                <w:i/>
              </w:rPr>
            </w:pPr>
            <w:r>
              <w:rPr>
                <w:i/>
              </w:rPr>
              <w:t>Active ingredient</w:t>
            </w:r>
            <w:r w:rsidR="001B5C90">
              <w:rPr>
                <w:i/>
              </w:rPr>
              <w:t>:</w:t>
            </w:r>
          </w:p>
        </w:tc>
        <w:tc>
          <w:tcPr>
            <w:tcW w:w="6307" w:type="dxa"/>
          </w:tcPr>
          <w:p w:rsidR="008E7846" w:rsidRPr="00487162" w:rsidRDefault="003747C1" w:rsidP="00E45619">
            <w:fldSimple w:instr=" MERGEFIELD &quot;GENERIC&quot; ">
              <w:r w:rsidR="00E760E9">
                <w:rPr>
                  <w:noProof/>
                </w:rPr>
                <w:t>Certolizumab</w:t>
              </w:r>
            </w:fldSimple>
          </w:p>
        </w:tc>
      </w:tr>
      <w:tr w:rsidR="008E7846" w:rsidRPr="00487162" w:rsidTr="00BF1190">
        <w:tc>
          <w:tcPr>
            <w:tcW w:w="2907" w:type="dxa"/>
          </w:tcPr>
          <w:p w:rsidR="008E7846" w:rsidRPr="00487162" w:rsidRDefault="008E7846" w:rsidP="00AD5F20">
            <w:pPr>
              <w:rPr>
                <w:i/>
              </w:rPr>
            </w:pPr>
            <w:r w:rsidRPr="00487162">
              <w:rPr>
                <w:i/>
              </w:rPr>
              <w:t>Product</w:t>
            </w:r>
            <w:r w:rsidR="00AD5F20">
              <w:rPr>
                <w:i/>
              </w:rPr>
              <w:t xml:space="preserve"> name</w:t>
            </w:r>
            <w:r w:rsidR="001B5C90">
              <w:rPr>
                <w:i/>
              </w:rPr>
              <w:t>:</w:t>
            </w:r>
          </w:p>
        </w:tc>
        <w:tc>
          <w:tcPr>
            <w:tcW w:w="6307" w:type="dxa"/>
          </w:tcPr>
          <w:p w:rsidR="008E7846" w:rsidRPr="00487162" w:rsidRDefault="003747C1" w:rsidP="00AD5F20">
            <w:fldSimple w:instr=" MERGEFIELD &quot;TRADE&quot; ">
              <w:r w:rsidR="00AD5F20">
                <w:rPr>
                  <w:noProof/>
                </w:rPr>
                <w:t>Cimzia</w:t>
              </w:r>
            </w:fldSimple>
          </w:p>
        </w:tc>
      </w:tr>
      <w:tr w:rsidR="008E7846" w:rsidRPr="00487162" w:rsidTr="00BF1190">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E760E9" w:rsidRDefault="00A16208" w:rsidP="00AD5F20">
            <w:pPr>
              <w:rPr>
                <w:noProof/>
              </w:rPr>
            </w:pPr>
            <w:r>
              <w:fldChar w:fldCharType="begin"/>
            </w:r>
            <w:r>
              <w:instrText xml:space="preserve"> MERGEFIELD "SPONSOR" </w:instrText>
            </w:r>
            <w:r>
              <w:fldChar w:fldCharType="separate"/>
            </w:r>
            <w:r w:rsidR="00E760E9">
              <w:rPr>
                <w:noProof/>
              </w:rPr>
              <w:t>UCB Australia Pty Ltd T/A UCB</w:t>
            </w:r>
          </w:p>
          <w:p w:rsidR="008E7846" w:rsidRDefault="00E760E9" w:rsidP="00E45619">
            <w:r>
              <w:rPr>
                <w:noProof/>
              </w:rPr>
              <w:t>Pharma Division of UCB Australia</w:t>
            </w:r>
            <w:r w:rsidR="00A16208">
              <w:rPr>
                <w:noProof/>
              </w:rPr>
              <w:fldChar w:fldCharType="end"/>
            </w:r>
          </w:p>
          <w:p w:rsidR="0091264B" w:rsidRDefault="003747C1" w:rsidP="00E45619">
            <w:fldSimple w:instr=" MERGEFIELD &quot;Address1&quot; ">
              <w:r w:rsidR="00E760E9">
                <w:rPr>
                  <w:noProof/>
                </w:rPr>
                <w:t>Level 1, 1155 Malvern Road</w:t>
              </w:r>
            </w:fldSimple>
          </w:p>
          <w:p w:rsidR="0091264B" w:rsidRDefault="003763C9" w:rsidP="00E45619">
            <w:r>
              <w:fldChar w:fldCharType="begin"/>
            </w:r>
            <w:r>
              <w:instrText xml:space="preserve"> MERGEFIELD "Address2" </w:instrText>
            </w:r>
            <w:r>
              <w:rPr>
                <w:noProof/>
              </w:rPr>
              <w:fldChar w:fldCharType="end"/>
            </w:r>
          </w:p>
          <w:p w:rsidR="0091264B" w:rsidRPr="00487162" w:rsidRDefault="003747C1" w:rsidP="00AD5F20">
            <w:fldSimple w:instr=" MERGEFIELD &quot;City&quot; ">
              <w:r w:rsidR="00E760E9">
                <w:rPr>
                  <w:noProof/>
                </w:rPr>
                <w:t>Malvern</w:t>
              </w:r>
            </w:fldSimple>
            <w:r w:rsidR="0091264B">
              <w:t xml:space="preserve"> </w:t>
            </w:r>
            <w:fldSimple w:instr=" MERGEFIELD &quot;State&quot; ">
              <w:r w:rsidR="00E760E9">
                <w:rPr>
                  <w:noProof/>
                </w:rPr>
                <w:t>VIC</w:t>
              </w:r>
            </w:fldSimple>
            <w:r w:rsidR="0091264B">
              <w:t xml:space="preserve"> </w:t>
            </w:r>
            <w:fldSimple w:instr=" MERGEFIELD &quot;Postcode&quot; ">
              <w:r w:rsidR="00E760E9">
                <w:rPr>
                  <w:noProof/>
                </w:rPr>
                <w:t>3144</w:t>
              </w:r>
            </w:fldSimple>
          </w:p>
        </w:tc>
      </w:tr>
      <w:tr w:rsidR="008E7846" w:rsidRPr="00487162" w:rsidTr="00BF1190">
        <w:tc>
          <w:tcPr>
            <w:tcW w:w="2907" w:type="dxa"/>
          </w:tcPr>
          <w:p w:rsidR="008E7846" w:rsidRPr="00487162" w:rsidRDefault="00AD5F20" w:rsidP="00AD5F20">
            <w:pPr>
              <w:rPr>
                <w:i/>
              </w:rPr>
            </w:pPr>
            <w:r>
              <w:rPr>
                <w:i/>
              </w:rPr>
              <w:t>Dose form</w:t>
            </w:r>
            <w:r w:rsidR="001B5C90">
              <w:rPr>
                <w:i/>
              </w:rPr>
              <w:t>:</w:t>
            </w:r>
          </w:p>
        </w:tc>
        <w:tc>
          <w:tcPr>
            <w:tcW w:w="6307" w:type="dxa"/>
          </w:tcPr>
          <w:p w:rsidR="008E7846" w:rsidRPr="00487162" w:rsidRDefault="003747C1" w:rsidP="00E45619">
            <w:fldSimple w:instr=" MERGEFIELD &quot;DOSE_FORM&quot; ">
              <w:r w:rsidR="00E760E9">
                <w:rPr>
                  <w:noProof/>
                </w:rPr>
                <w:t>Solution for injecton</w:t>
              </w:r>
            </w:fldSimple>
          </w:p>
        </w:tc>
      </w:tr>
      <w:tr w:rsidR="008E7846" w:rsidRPr="00487162" w:rsidTr="00BF1190">
        <w:tc>
          <w:tcPr>
            <w:tcW w:w="2907" w:type="dxa"/>
          </w:tcPr>
          <w:p w:rsidR="008E7846" w:rsidRPr="00487162" w:rsidRDefault="00AD5F20" w:rsidP="00AD5F20">
            <w:pPr>
              <w:rPr>
                <w:i/>
              </w:rPr>
            </w:pPr>
            <w:r>
              <w:rPr>
                <w:i/>
              </w:rPr>
              <w:t>Strength</w:t>
            </w:r>
            <w:r w:rsidR="003747C1">
              <w:rPr>
                <w:i/>
              </w:rPr>
              <w:t>:</w:t>
            </w:r>
          </w:p>
        </w:tc>
        <w:tc>
          <w:tcPr>
            <w:tcW w:w="6307" w:type="dxa"/>
          </w:tcPr>
          <w:p w:rsidR="008E7846" w:rsidRPr="00487162" w:rsidRDefault="003747C1" w:rsidP="00E45619">
            <w:fldSimple w:instr=" MERGEFIELD &quot;STRENGTH&quot; ">
              <w:r w:rsidR="00E760E9">
                <w:rPr>
                  <w:noProof/>
                </w:rPr>
                <w:t>200 mg/mL</w:t>
              </w:r>
            </w:fldSimple>
          </w:p>
        </w:tc>
      </w:tr>
      <w:tr w:rsidR="008E7846" w:rsidRPr="00487162" w:rsidTr="00BF1190">
        <w:tc>
          <w:tcPr>
            <w:tcW w:w="2907" w:type="dxa"/>
          </w:tcPr>
          <w:p w:rsidR="008E7846" w:rsidRPr="00487162" w:rsidRDefault="00AD5F20" w:rsidP="00AD5F20">
            <w:pPr>
              <w:rPr>
                <w:i/>
              </w:rPr>
            </w:pPr>
            <w:r>
              <w:rPr>
                <w:i/>
              </w:rPr>
              <w:t>Container</w:t>
            </w:r>
            <w:r w:rsidR="008E7846" w:rsidRPr="00487162">
              <w:rPr>
                <w:i/>
              </w:rPr>
              <w:t>:</w:t>
            </w:r>
          </w:p>
        </w:tc>
        <w:tc>
          <w:tcPr>
            <w:tcW w:w="6307" w:type="dxa"/>
          </w:tcPr>
          <w:p w:rsidR="008E7846" w:rsidRPr="00487162" w:rsidRDefault="00AD5F20" w:rsidP="00E45619">
            <w:r>
              <w:t>Pre-filled syringe</w:t>
            </w:r>
          </w:p>
        </w:tc>
      </w:tr>
      <w:tr w:rsidR="008E7846" w:rsidRPr="00487162" w:rsidTr="00BF1190">
        <w:tc>
          <w:tcPr>
            <w:tcW w:w="2907" w:type="dxa"/>
          </w:tcPr>
          <w:p w:rsidR="008E7846" w:rsidRPr="00487162" w:rsidRDefault="00AD5F20" w:rsidP="00AD5F20">
            <w:pPr>
              <w:rPr>
                <w:i/>
              </w:rPr>
            </w:pPr>
            <w:r>
              <w:rPr>
                <w:i/>
              </w:rPr>
              <w:t>Pack size</w:t>
            </w:r>
            <w:r w:rsidR="008E7846" w:rsidRPr="00487162">
              <w:rPr>
                <w:i/>
              </w:rPr>
              <w:t>:</w:t>
            </w:r>
          </w:p>
        </w:tc>
        <w:tc>
          <w:tcPr>
            <w:tcW w:w="6307" w:type="dxa"/>
          </w:tcPr>
          <w:p w:rsidR="008E7846" w:rsidRPr="00487162" w:rsidRDefault="00AD5F20" w:rsidP="00E45619">
            <w:r>
              <w:t>Two</w:t>
            </w:r>
          </w:p>
        </w:tc>
      </w:tr>
      <w:tr w:rsidR="008E7846" w:rsidRPr="00487162" w:rsidTr="00BF1190">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8E7846" w:rsidRDefault="00AD5F20" w:rsidP="00AD5F20">
            <w:r>
              <w:t>New indications:</w:t>
            </w:r>
            <w:r w:rsidR="004332FB">
              <w:t xml:space="preserve"> </w:t>
            </w:r>
          </w:p>
          <w:p w:rsidR="00AD5F20" w:rsidRDefault="00AD5F20" w:rsidP="00AD5F20">
            <w:pPr>
              <w:rPr>
                <w:rFonts w:eastAsia="MS Mincho"/>
                <w:i/>
                <w:lang w:eastAsia="ja-JP"/>
              </w:rPr>
            </w:pPr>
            <w:r>
              <w:rPr>
                <w:rFonts w:eastAsia="MS Mincho"/>
                <w:i/>
                <w:lang w:eastAsia="ja-JP"/>
              </w:rPr>
              <w:t xml:space="preserve">Psoriatic arthritis: </w:t>
            </w:r>
            <w:proofErr w:type="spellStart"/>
            <w:r>
              <w:rPr>
                <w:rFonts w:eastAsia="MS Mincho"/>
                <w:i/>
                <w:lang w:eastAsia="ja-JP"/>
              </w:rPr>
              <w:t>Cimzia</w:t>
            </w:r>
            <w:proofErr w:type="spellEnd"/>
            <w:r>
              <w:rPr>
                <w:rFonts w:eastAsia="MS Mincho"/>
                <w:i/>
                <w:lang w:eastAsia="ja-JP"/>
              </w:rPr>
              <w:t xml:space="preserve"> is indicated for the treatment of adult patients with active psoriatic arthritis where response to previous disease-modifying anti-rheumatic drug therapy (DMARDs) has been inadequate. </w:t>
            </w:r>
            <w:proofErr w:type="spellStart"/>
            <w:r>
              <w:rPr>
                <w:rFonts w:eastAsia="MS Mincho"/>
                <w:i/>
                <w:lang w:eastAsia="ja-JP"/>
              </w:rPr>
              <w:t>Cimzia</w:t>
            </w:r>
            <w:proofErr w:type="spellEnd"/>
            <w:r>
              <w:rPr>
                <w:rFonts w:eastAsia="MS Mincho"/>
                <w:i/>
                <w:lang w:eastAsia="ja-JP"/>
              </w:rPr>
              <w:t xml:space="preserve"> has been shown to improve physical function.</w:t>
            </w:r>
          </w:p>
          <w:p w:rsidR="00AD5F20" w:rsidRPr="008104AB" w:rsidRDefault="00AD5F20" w:rsidP="00AD5F20">
            <w:pPr>
              <w:rPr>
                <w:rFonts w:eastAsia="MS Mincho"/>
                <w:i/>
                <w:lang w:eastAsia="ja-JP"/>
              </w:rPr>
            </w:pPr>
            <w:proofErr w:type="spellStart"/>
            <w:r>
              <w:rPr>
                <w:rFonts w:eastAsia="MS Mincho"/>
                <w:i/>
                <w:lang w:eastAsia="ja-JP"/>
              </w:rPr>
              <w:t>Ankylosing</w:t>
            </w:r>
            <w:proofErr w:type="spellEnd"/>
            <w:r>
              <w:rPr>
                <w:rFonts w:eastAsia="MS Mincho"/>
                <w:i/>
                <w:lang w:eastAsia="ja-JP"/>
              </w:rPr>
              <w:t xml:space="preserve"> Spondylitis: </w:t>
            </w:r>
            <w:proofErr w:type="spellStart"/>
            <w:r>
              <w:rPr>
                <w:rFonts w:eastAsia="MS Mincho"/>
                <w:i/>
                <w:lang w:eastAsia="ja-JP"/>
              </w:rPr>
              <w:t>Cimzia</w:t>
            </w:r>
            <w:proofErr w:type="spellEnd"/>
            <w:r>
              <w:rPr>
                <w:rFonts w:eastAsia="MS Mincho"/>
                <w:i/>
                <w:lang w:eastAsia="ja-JP"/>
              </w:rPr>
              <w:t xml:space="preserve"> is indicated for the treatment of adult patients with active, </w:t>
            </w:r>
            <w:proofErr w:type="spellStart"/>
            <w:r>
              <w:rPr>
                <w:rFonts w:eastAsia="MS Mincho"/>
                <w:i/>
                <w:lang w:eastAsia="ja-JP"/>
              </w:rPr>
              <w:t>ankylosing</w:t>
            </w:r>
            <w:proofErr w:type="spellEnd"/>
            <w:r>
              <w:rPr>
                <w:rFonts w:eastAsia="MS Mincho"/>
                <w:i/>
                <w:lang w:eastAsia="ja-JP"/>
              </w:rPr>
              <w:t xml:space="preserve"> spondylitis who have been intolerant </w:t>
            </w:r>
            <w:r w:rsidR="0024294D">
              <w:rPr>
                <w:rFonts w:eastAsia="MS Mincho"/>
                <w:i/>
                <w:lang w:eastAsia="ja-JP"/>
              </w:rPr>
              <w:t>to or</w:t>
            </w:r>
            <w:r>
              <w:rPr>
                <w:rFonts w:eastAsia="MS Mincho"/>
                <w:i/>
                <w:lang w:eastAsia="ja-JP"/>
              </w:rPr>
              <w:t xml:space="preserve"> have had inadequate response to at least one </w:t>
            </w:r>
            <w:proofErr w:type="spellStart"/>
            <w:r>
              <w:rPr>
                <w:rFonts w:eastAsia="MS Mincho"/>
                <w:i/>
                <w:lang w:eastAsia="ja-JP"/>
              </w:rPr>
              <w:t>nonsteroidal</w:t>
            </w:r>
            <w:proofErr w:type="spellEnd"/>
            <w:r>
              <w:rPr>
                <w:rFonts w:eastAsia="MS Mincho"/>
                <w:i/>
                <w:lang w:eastAsia="ja-JP"/>
              </w:rPr>
              <w:t xml:space="preserve"> anti-inflammatory drug (NSAID).</w:t>
            </w:r>
          </w:p>
        </w:tc>
      </w:tr>
      <w:tr w:rsidR="008E7846" w:rsidRPr="00487162" w:rsidTr="00BF1190">
        <w:tc>
          <w:tcPr>
            <w:tcW w:w="2907" w:type="dxa"/>
          </w:tcPr>
          <w:p w:rsidR="008E7846" w:rsidRPr="00487162" w:rsidRDefault="00AD5F20" w:rsidP="00AD5F20">
            <w:pPr>
              <w:rPr>
                <w:i/>
              </w:rPr>
            </w:pPr>
            <w:r>
              <w:rPr>
                <w:i/>
              </w:rPr>
              <w:t>Route</w:t>
            </w:r>
            <w:r w:rsidR="008E7846" w:rsidRPr="00487162">
              <w:rPr>
                <w:i/>
              </w:rPr>
              <w:t xml:space="preserve"> of administration:</w:t>
            </w:r>
          </w:p>
        </w:tc>
        <w:tc>
          <w:tcPr>
            <w:tcW w:w="6307" w:type="dxa"/>
          </w:tcPr>
          <w:p w:rsidR="008E7846" w:rsidRPr="00487162" w:rsidRDefault="003747C1" w:rsidP="00E45619">
            <w:fldSimple w:instr=" MERGEFIELD &quot;ROUTE&quot; ">
              <w:r w:rsidR="00E760E9">
                <w:rPr>
                  <w:noProof/>
                </w:rPr>
                <w:t>Subcutaneous</w:t>
              </w:r>
            </w:fldSimple>
          </w:p>
        </w:tc>
      </w:tr>
      <w:tr w:rsidR="008E7846" w:rsidRPr="00487162" w:rsidTr="00BF1190">
        <w:tc>
          <w:tcPr>
            <w:tcW w:w="2907" w:type="dxa"/>
          </w:tcPr>
          <w:p w:rsidR="008E7846" w:rsidRPr="00487162" w:rsidRDefault="008E7846" w:rsidP="00E45619">
            <w:pPr>
              <w:rPr>
                <w:i/>
              </w:rPr>
            </w:pPr>
            <w:r w:rsidRPr="00487162">
              <w:rPr>
                <w:i/>
              </w:rPr>
              <w:t>Dosage:</w:t>
            </w:r>
          </w:p>
        </w:tc>
        <w:tc>
          <w:tcPr>
            <w:tcW w:w="6307" w:type="dxa"/>
          </w:tcPr>
          <w:p w:rsidR="008E7846" w:rsidRPr="00487162" w:rsidRDefault="003747C1" w:rsidP="00E45619">
            <w:fldSimple w:instr=" MERGEFIELD &quot;DOSAGE&quot; ">
              <w:r w:rsidR="00E760E9">
                <w:rPr>
                  <w:noProof/>
                </w:rPr>
                <w:t>The same loading and maintenance dosage regimen used for RA is proposed for the additional indications of psoriatic arthritis (PsA) and axial spondyloarthritis (axSpA).</w:t>
              </w:r>
            </w:fldSimple>
          </w:p>
        </w:tc>
      </w:tr>
      <w:tr w:rsidR="008E7846" w:rsidRPr="00487162" w:rsidTr="00BF1190">
        <w:tc>
          <w:tcPr>
            <w:tcW w:w="2907" w:type="dxa"/>
          </w:tcPr>
          <w:p w:rsidR="008E7846" w:rsidRPr="00487162" w:rsidRDefault="008E7846" w:rsidP="00AD5F20">
            <w:pPr>
              <w:rPr>
                <w:i/>
              </w:rPr>
            </w:pPr>
            <w:r w:rsidRPr="00487162">
              <w:rPr>
                <w:i/>
              </w:rPr>
              <w:t xml:space="preserve">ARTG </w:t>
            </w:r>
            <w:r w:rsidR="001B5C90">
              <w:rPr>
                <w:i/>
              </w:rPr>
              <w:t>n</w:t>
            </w:r>
            <w:r w:rsidRPr="00487162">
              <w:rPr>
                <w:i/>
              </w:rPr>
              <w:t xml:space="preserve">umber </w:t>
            </w:r>
            <w:r w:rsidR="001B5C90">
              <w:rPr>
                <w:i/>
              </w:rPr>
              <w:t>:</w:t>
            </w:r>
          </w:p>
        </w:tc>
        <w:tc>
          <w:tcPr>
            <w:tcW w:w="6307" w:type="dxa"/>
          </w:tcPr>
          <w:p w:rsidR="008E7846" w:rsidRPr="00487162" w:rsidRDefault="00AD5F20" w:rsidP="00E45619">
            <w:r>
              <w:t>154726</w:t>
            </w:r>
          </w:p>
        </w:tc>
      </w:tr>
    </w:tbl>
    <w:p w:rsidR="008E7846" w:rsidRDefault="008E7846" w:rsidP="003747C1">
      <w:pPr>
        <w:pStyle w:val="Heading3"/>
      </w:pPr>
      <w:bookmarkStart w:id="13" w:name="_Toc247691503"/>
      <w:bookmarkStart w:id="14" w:name="_Toc314842484"/>
      <w:bookmarkStart w:id="15" w:name="_Toc399507635"/>
      <w:r>
        <w:t xml:space="preserve">Product </w:t>
      </w:r>
      <w:r w:rsidRPr="003747C1">
        <w:t>background</w:t>
      </w:r>
      <w:bookmarkEnd w:id="13"/>
      <w:bookmarkEnd w:id="14"/>
      <w:bookmarkEnd w:id="15"/>
    </w:p>
    <w:p w:rsidR="008E7846" w:rsidRDefault="00940A89" w:rsidP="003747C1">
      <w:r w:rsidRPr="00940A89">
        <w:t xml:space="preserve">This </w:t>
      </w:r>
      <w:proofErr w:type="spellStart"/>
      <w:r w:rsidRPr="00940A89">
        <w:t>AusPAR</w:t>
      </w:r>
      <w:proofErr w:type="spellEnd"/>
      <w:r w:rsidRPr="00940A89">
        <w:t xml:space="preserve"> describes the application by the sponsor to register</w:t>
      </w:r>
      <w:r w:rsidR="00AD5F20">
        <w:t xml:space="preserve"> </w:t>
      </w:r>
      <w:proofErr w:type="spellStart"/>
      <w:r w:rsidR="00AD5F20">
        <w:t>Cimzia</w:t>
      </w:r>
      <w:proofErr w:type="spellEnd"/>
      <w:r w:rsidR="00AD5F20">
        <w:t xml:space="preserve"> </w:t>
      </w:r>
      <w:r w:rsidRPr="00940A89">
        <w:t>f</w:t>
      </w:r>
      <w:r w:rsidR="00AD5F20">
        <w:t>or the following indication;</w:t>
      </w:r>
    </w:p>
    <w:p w:rsidR="00AD5F20" w:rsidRPr="003747C1" w:rsidRDefault="003747C1" w:rsidP="003747C1">
      <w:pPr>
        <w:ind w:left="720"/>
        <w:rPr>
          <w:i/>
          <w:lang w:eastAsia="ja-JP"/>
        </w:rPr>
      </w:pPr>
      <w:r>
        <w:rPr>
          <w:i/>
          <w:lang w:eastAsia="ja-JP"/>
        </w:rPr>
        <w:t>Psoriatic arthritis:</w:t>
      </w:r>
    </w:p>
    <w:p w:rsidR="00AD5F20" w:rsidRPr="003747C1" w:rsidRDefault="00AD5F20" w:rsidP="003747C1">
      <w:pPr>
        <w:ind w:left="720"/>
        <w:rPr>
          <w:i/>
          <w:lang w:eastAsia="ja-JP"/>
        </w:rPr>
      </w:pPr>
      <w:proofErr w:type="spellStart"/>
      <w:r w:rsidRPr="003747C1">
        <w:rPr>
          <w:i/>
          <w:lang w:eastAsia="ja-JP"/>
        </w:rPr>
        <w:t>Cimzia</w:t>
      </w:r>
      <w:proofErr w:type="spellEnd"/>
      <w:r w:rsidRPr="003747C1">
        <w:rPr>
          <w:i/>
          <w:lang w:eastAsia="ja-JP"/>
        </w:rPr>
        <w:t xml:space="preserve"> is indicated for the treatment of adult patients with active psoriatic arthritis where response to previous disease-modifying anti-rheumatic drug therapy (DMARDs) has been inadequate. </w:t>
      </w:r>
      <w:proofErr w:type="spellStart"/>
      <w:r w:rsidRPr="003747C1">
        <w:rPr>
          <w:i/>
          <w:lang w:eastAsia="ja-JP"/>
        </w:rPr>
        <w:t>Cimzia</w:t>
      </w:r>
      <w:proofErr w:type="spellEnd"/>
      <w:r w:rsidRPr="003747C1">
        <w:rPr>
          <w:i/>
          <w:lang w:eastAsia="ja-JP"/>
        </w:rPr>
        <w:t xml:space="preserve"> has been shown to improve physical function.</w:t>
      </w:r>
    </w:p>
    <w:p w:rsidR="00AD5F20" w:rsidRPr="003747C1" w:rsidRDefault="00AD5F20" w:rsidP="003747C1">
      <w:pPr>
        <w:ind w:left="720"/>
        <w:rPr>
          <w:i/>
          <w:lang w:eastAsia="ja-JP"/>
        </w:rPr>
      </w:pPr>
      <w:proofErr w:type="spellStart"/>
      <w:r w:rsidRPr="003747C1">
        <w:rPr>
          <w:i/>
          <w:lang w:eastAsia="ja-JP"/>
        </w:rPr>
        <w:t>Ankylosing</w:t>
      </w:r>
      <w:proofErr w:type="spellEnd"/>
      <w:r w:rsidRPr="003747C1">
        <w:rPr>
          <w:i/>
          <w:lang w:eastAsia="ja-JP"/>
        </w:rPr>
        <w:t xml:space="preserve"> Spondylitis: </w:t>
      </w:r>
    </w:p>
    <w:p w:rsidR="00AD5F20" w:rsidRPr="003747C1" w:rsidRDefault="00AD5F20" w:rsidP="003747C1">
      <w:pPr>
        <w:ind w:left="720"/>
        <w:rPr>
          <w:i/>
          <w:lang w:eastAsia="ja-JP"/>
        </w:rPr>
      </w:pPr>
      <w:proofErr w:type="spellStart"/>
      <w:r w:rsidRPr="003747C1">
        <w:rPr>
          <w:i/>
          <w:lang w:eastAsia="ja-JP"/>
        </w:rPr>
        <w:t>Cimzia</w:t>
      </w:r>
      <w:proofErr w:type="spellEnd"/>
      <w:r w:rsidRPr="003747C1">
        <w:rPr>
          <w:i/>
          <w:lang w:eastAsia="ja-JP"/>
        </w:rPr>
        <w:t xml:space="preserve"> is indicated for the treatment of adult patients with active, </w:t>
      </w:r>
      <w:proofErr w:type="spellStart"/>
      <w:r w:rsidRPr="003747C1">
        <w:rPr>
          <w:i/>
          <w:lang w:eastAsia="ja-JP"/>
        </w:rPr>
        <w:t>ankylosing</w:t>
      </w:r>
      <w:proofErr w:type="spellEnd"/>
      <w:r w:rsidRPr="003747C1">
        <w:rPr>
          <w:i/>
          <w:lang w:eastAsia="ja-JP"/>
        </w:rPr>
        <w:t xml:space="preserve"> spondylitis who have been intolerant </w:t>
      </w:r>
      <w:r w:rsidR="0024294D" w:rsidRPr="003747C1">
        <w:rPr>
          <w:i/>
          <w:lang w:eastAsia="ja-JP"/>
        </w:rPr>
        <w:t>to or</w:t>
      </w:r>
      <w:r w:rsidRPr="003747C1">
        <w:rPr>
          <w:i/>
          <w:lang w:eastAsia="ja-JP"/>
        </w:rPr>
        <w:t xml:space="preserve"> have had inadequate response to at least one </w:t>
      </w:r>
      <w:proofErr w:type="spellStart"/>
      <w:r w:rsidRPr="003747C1">
        <w:rPr>
          <w:i/>
          <w:lang w:eastAsia="ja-JP"/>
        </w:rPr>
        <w:t>nonsteroidal</w:t>
      </w:r>
      <w:proofErr w:type="spellEnd"/>
      <w:r w:rsidRPr="003747C1">
        <w:rPr>
          <w:i/>
          <w:lang w:eastAsia="ja-JP"/>
        </w:rPr>
        <w:t xml:space="preserve"> anti-inflammatory drug (NSAID).</w:t>
      </w:r>
    </w:p>
    <w:p w:rsidR="00AD5F20" w:rsidRPr="00AD5F20" w:rsidRDefault="00AD5F20" w:rsidP="003747C1">
      <w:proofErr w:type="spellStart"/>
      <w:r w:rsidRPr="00AD5F20">
        <w:t>Certolizumab</w:t>
      </w:r>
      <w:proofErr w:type="spellEnd"/>
      <w:r w:rsidRPr="00AD5F20">
        <w:t xml:space="preserve"> </w:t>
      </w:r>
      <w:proofErr w:type="spellStart"/>
      <w:r w:rsidRPr="00AD5F20">
        <w:t>pegol</w:t>
      </w:r>
      <w:proofErr w:type="spellEnd"/>
      <w:r w:rsidRPr="00AD5F20">
        <w:t xml:space="preserve"> is a member of the Tumour Necrosis Factor alpha (TNFα) inhibitor drug class (ATC code: L04AB05).</w:t>
      </w:r>
      <w:r w:rsidR="004332FB">
        <w:t xml:space="preserve"> </w:t>
      </w:r>
      <w:r w:rsidRPr="00AD5F20">
        <w:t>It is a recombinant, humanised antibody fragment antigen binding (Fab') fragment that is expressed in an Escherichia coli bacterial expression system, subsequently purified and conjugated to polyethylene glycol (PEG).</w:t>
      </w:r>
      <w:r w:rsidR="004332FB">
        <w:t xml:space="preserve"> </w:t>
      </w:r>
      <w:r w:rsidRPr="00AD5F20">
        <w:t>It has a high affinity for human TNFα and neutralises membrane associated and soluble human TNFα in a dose dependent manner.</w:t>
      </w:r>
      <w:r w:rsidR="004332FB">
        <w:t xml:space="preserve"> </w:t>
      </w:r>
      <w:r w:rsidRPr="00AD5F20">
        <w:t xml:space="preserve">It does not neutralise </w:t>
      </w:r>
      <w:proofErr w:type="spellStart"/>
      <w:r w:rsidRPr="00AD5F20">
        <w:t>lymphotoxin</w:t>
      </w:r>
      <w:proofErr w:type="spellEnd"/>
      <w:r w:rsidRPr="00AD5F20">
        <w:t>, or TNFβ.</w:t>
      </w:r>
      <w:r w:rsidR="004332FB">
        <w:t xml:space="preserve"> </w:t>
      </w:r>
      <w:proofErr w:type="spellStart"/>
      <w:r w:rsidRPr="00AD5F20">
        <w:t>Certolizumab</w:t>
      </w:r>
      <w:proofErr w:type="spellEnd"/>
      <w:r w:rsidRPr="00AD5F20">
        <w:t xml:space="preserve"> does not contain a fragment crystallisable (Fc) region, which is normally present in the complete antibody, and therefore does not fix complement or cause antibody-dependent, cell mediated cytotoxicity in vitro.</w:t>
      </w:r>
      <w:r w:rsidR="004332FB">
        <w:t xml:space="preserve"> </w:t>
      </w:r>
      <w:r w:rsidRPr="00AD5F20">
        <w:t>It does not induce apoptosis in vitro in human peripheral blood monocytes or lymphocytes.</w:t>
      </w:r>
      <w:r w:rsidR="004332FB">
        <w:t xml:space="preserve"> </w:t>
      </w:r>
      <w:r w:rsidR="007A0C0F">
        <w:t xml:space="preserve">The </w:t>
      </w:r>
      <w:proofErr w:type="spellStart"/>
      <w:r w:rsidR="007A0C0F">
        <w:t>pegylation</w:t>
      </w:r>
      <w:proofErr w:type="spellEnd"/>
      <w:r w:rsidR="007A0C0F">
        <w:t xml:space="preserve"> of the Fab' </w:t>
      </w:r>
      <w:r w:rsidRPr="00AD5F20">
        <w:t xml:space="preserve">fragment increases its half-life and may also decrease its immunogenicity, without affecting the affinity and specificity of the antibody in binding to human TNFα </w:t>
      </w:r>
      <w:r w:rsidRPr="007A0C0F">
        <w:rPr>
          <w:i/>
        </w:rPr>
        <w:t>in vivo</w:t>
      </w:r>
      <w:r w:rsidRPr="00AD5F20">
        <w:t>.</w:t>
      </w:r>
    </w:p>
    <w:p w:rsidR="00AD5F20" w:rsidRPr="00AD5F20" w:rsidRDefault="00AD5F20" w:rsidP="003747C1">
      <w:r w:rsidRPr="00AD5F20">
        <w:t>TNF-α is a key pro-inflammatory cytokine in the pathogenesis of inflammatory conditions.</w:t>
      </w:r>
      <w:r w:rsidR="004332FB">
        <w:t xml:space="preserve"> </w:t>
      </w:r>
      <w:r w:rsidRPr="00AD5F20">
        <w:t xml:space="preserve">It is present in significantly elevated concentrations serum and synovial fluid in patients with </w:t>
      </w:r>
      <w:proofErr w:type="spellStart"/>
      <w:r w:rsidRPr="00AD5F20">
        <w:t>PsA.</w:t>
      </w:r>
      <w:proofErr w:type="spellEnd"/>
      <w:r w:rsidRPr="00AD5F20">
        <w:t xml:space="preserve"> It affects a variety of pathophysiological processes including activation of T-cells, induction of acute phase proteins, and stimulation of </w:t>
      </w:r>
      <w:proofErr w:type="spellStart"/>
      <w:r w:rsidRPr="00AD5F20">
        <w:t>haemopoietic</w:t>
      </w:r>
      <w:proofErr w:type="spellEnd"/>
      <w:r w:rsidRPr="00AD5F20">
        <w:t xml:space="preserve"> precursor cell growth and differentiation.</w:t>
      </w:r>
    </w:p>
    <w:p w:rsidR="00AD5F20" w:rsidRPr="00AD5F20" w:rsidRDefault="00AD5F20" w:rsidP="003747C1">
      <w:r w:rsidRPr="00AD5F20">
        <w:t xml:space="preserve">Axial </w:t>
      </w:r>
      <w:proofErr w:type="spellStart"/>
      <w:r w:rsidRPr="00AD5F20">
        <w:t>Spondyloarthritis</w:t>
      </w:r>
      <w:proofErr w:type="spellEnd"/>
      <w:r w:rsidRPr="00AD5F20">
        <w:t xml:space="preserve"> is a relatively new term that was developed by the Assessment of </w:t>
      </w:r>
      <w:proofErr w:type="spellStart"/>
      <w:r w:rsidRPr="00AD5F20">
        <w:t>SpondyloArthritis</w:t>
      </w:r>
      <w:proofErr w:type="spellEnd"/>
      <w:r w:rsidRPr="00AD5F20">
        <w:t xml:space="preserve"> international Society (ASAS).</w:t>
      </w:r>
      <w:r w:rsidR="004332FB">
        <w:t xml:space="preserve"> </w:t>
      </w:r>
      <w:r w:rsidRPr="00AD5F20">
        <w:t xml:space="preserve">It comprises 2 subgroups: </w:t>
      </w:r>
      <w:proofErr w:type="spellStart"/>
      <w:r w:rsidRPr="00AD5F20">
        <w:t>Ankylosing</w:t>
      </w:r>
      <w:proofErr w:type="spellEnd"/>
      <w:r w:rsidRPr="00AD5F20">
        <w:t xml:space="preserve"> Spondylitis (AS) and non-radiographic axial </w:t>
      </w:r>
      <w:proofErr w:type="spellStart"/>
      <w:r w:rsidRPr="00AD5F20">
        <w:t>spondyloarthritis</w:t>
      </w:r>
      <w:proofErr w:type="spellEnd"/>
      <w:r w:rsidRPr="00AD5F20">
        <w:t xml:space="preserve"> (nr-</w:t>
      </w:r>
      <w:proofErr w:type="spellStart"/>
      <w:r w:rsidRPr="00AD5F20">
        <w:t>axSpA</w:t>
      </w:r>
      <w:proofErr w:type="spellEnd"/>
      <w:r w:rsidRPr="00AD5F20">
        <w:t>).</w:t>
      </w:r>
      <w:r w:rsidR="004332FB">
        <w:t xml:space="preserve"> </w:t>
      </w:r>
      <w:r w:rsidRPr="00AD5F20">
        <w:t xml:space="preserve">Historically, AS has been classified and diagnosed according to the modified NY criteria, a key component of which is evidence of </w:t>
      </w:r>
      <w:proofErr w:type="spellStart"/>
      <w:r w:rsidRPr="00AD5F20">
        <w:t>sacroiliitis</w:t>
      </w:r>
      <w:proofErr w:type="spellEnd"/>
      <w:r w:rsidRPr="00AD5F20">
        <w:t xml:space="preserve"> on plain X-ray.</w:t>
      </w:r>
      <w:r w:rsidR="004332FB">
        <w:t xml:space="preserve"> </w:t>
      </w:r>
      <w:r w:rsidRPr="00AD5F20">
        <w:t xml:space="preserve">However, as radiographic evidence of </w:t>
      </w:r>
      <w:proofErr w:type="spellStart"/>
      <w:r w:rsidRPr="00AD5F20">
        <w:t>sacroiliitis</w:t>
      </w:r>
      <w:proofErr w:type="spellEnd"/>
      <w:r w:rsidRPr="00AD5F20">
        <w:t xml:space="preserve"> develops late in the disease process, diagnosis and treatment can be delayed.</w:t>
      </w:r>
      <w:r w:rsidR="004332FB">
        <w:t xml:space="preserve"> </w:t>
      </w:r>
      <w:r w:rsidRPr="00AD5F20">
        <w:t xml:space="preserve">The recently established ASAS criteria allow for classification of axial </w:t>
      </w:r>
      <w:proofErr w:type="spellStart"/>
      <w:r w:rsidRPr="00AD5F20">
        <w:t>SpA</w:t>
      </w:r>
      <w:proofErr w:type="spellEnd"/>
      <w:r w:rsidRPr="00AD5F20">
        <w:t xml:space="preserve"> using modern imaging techniques (MRI, as well as plain X-rays), permitting earlier diagnosis of axial </w:t>
      </w:r>
      <w:proofErr w:type="spellStart"/>
      <w:r w:rsidRPr="00AD5F20">
        <w:t>SpA</w:t>
      </w:r>
      <w:proofErr w:type="spellEnd"/>
      <w:r w:rsidRPr="00AD5F20">
        <w:t>.</w:t>
      </w:r>
      <w:r w:rsidR="004332FB">
        <w:t xml:space="preserve"> </w:t>
      </w:r>
      <w:r w:rsidRPr="00AD5F20">
        <w:t>The term nr-</w:t>
      </w:r>
      <w:proofErr w:type="spellStart"/>
      <w:r w:rsidRPr="00AD5F20">
        <w:t>axSpA</w:t>
      </w:r>
      <w:proofErr w:type="spellEnd"/>
      <w:r w:rsidRPr="00AD5F20">
        <w:t xml:space="preserve"> is used to define the earlier stage of axial </w:t>
      </w:r>
      <w:proofErr w:type="spellStart"/>
      <w:r w:rsidRPr="00AD5F20">
        <w:t>SpA</w:t>
      </w:r>
      <w:proofErr w:type="spellEnd"/>
      <w:r w:rsidRPr="00AD5F20">
        <w:t xml:space="preserve"> where there may be little or no changes seen on plain radiographs.</w:t>
      </w:r>
      <w:r w:rsidR="004332FB">
        <w:t xml:space="preserve"> </w:t>
      </w:r>
    </w:p>
    <w:p w:rsidR="00AD5F20" w:rsidRPr="00AD5F20" w:rsidRDefault="00AD5F20" w:rsidP="003747C1">
      <w:r w:rsidRPr="00AD5F20">
        <w:t xml:space="preserve">Current approved treatment options in Australia for moderately to severely active </w:t>
      </w:r>
      <w:proofErr w:type="spellStart"/>
      <w:r w:rsidRPr="00AD5F20">
        <w:t>PsA</w:t>
      </w:r>
      <w:proofErr w:type="spellEnd"/>
      <w:r w:rsidRPr="00AD5F20">
        <w:t xml:space="preserve"> include NSAIDs, corticosteroids (CS), and non-biological DMARDs (mainly methotrexate (MTX), sulfasalazine [SSZ] and </w:t>
      </w:r>
      <w:proofErr w:type="spellStart"/>
      <w:r w:rsidRPr="00AD5F20">
        <w:t>leflunomide</w:t>
      </w:r>
      <w:proofErr w:type="spellEnd"/>
      <w:r w:rsidRPr="00AD5F20">
        <w:t xml:space="preserve"> [LEF]). Specific pharmaceutical treatments (TNF-α inhibitors) registered for the treatment of </w:t>
      </w:r>
      <w:proofErr w:type="spellStart"/>
      <w:r w:rsidRPr="00AD5F20">
        <w:t>PsA</w:t>
      </w:r>
      <w:proofErr w:type="spellEnd"/>
      <w:r w:rsidRPr="00AD5F20">
        <w:t xml:space="preserve"> includes </w:t>
      </w:r>
      <w:proofErr w:type="spellStart"/>
      <w:r w:rsidRPr="00AD5F20">
        <w:t>adalimumab</w:t>
      </w:r>
      <w:proofErr w:type="spellEnd"/>
      <w:r w:rsidRPr="00AD5F20">
        <w:t xml:space="preserve"> (</w:t>
      </w:r>
      <w:proofErr w:type="spellStart"/>
      <w:r w:rsidR="00365FFB" w:rsidRPr="00AD5F20">
        <w:t>Humira</w:t>
      </w:r>
      <w:proofErr w:type="spellEnd"/>
      <w:r w:rsidRPr="00AD5F20">
        <w:t>), infliximab (</w:t>
      </w:r>
      <w:proofErr w:type="spellStart"/>
      <w:r w:rsidR="00365FFB" w:rsidRPr="00AD5F20">
        <w:t>Remicade</w:t>
      </w:r>
      <w:proofErr w:type="spellEnd"/>
      <w:r w:rsidRPr="00AD5F20">
        <w:t xml:space="preserve">), </w:t>
      </w:r>
      <w:proofErr w:type="spellStart"/>
      <w:r w:rsidRPr="00AD5F20">
        <w:t>etanercept</w:t>
      </w:r>
      <w:proofErr w:type="spellEnd"/>
      <w:r w:rsidRPr="00AD5F20">
        <w:t xml:space="preserve"> (</w:t>
      </w:r>
      <w:r w:rsidR="00365FFB" w:rsidRPr="00AD5F20">
        <w:t>Enbrel</w:t>
      </w:r>
      <w:r w:rsidRPr="00AD5F20">
        <w:t xml:space="preserve">), and </w:t>
      </w:r>
      <w:proofErr w:type="spellStart"/>
      <w:r w:rsidRPr="00AD5F20">
        <w:t>golimumab</w:t>
      </w:r>
      <w:proofErr w:type="spellEnd"/>
      <w:r w:rsidRPr="00AD5F20">
        <w:t xml:space="preserve"> (</w:t>
      </w:r>
      <w:proofErr w:type="spellStart"/>
      <w:r w:rsidR="00365FFB" w:rsidRPr="00AD5F20">
        <w:t>Simponi</w:t>
      </w:r>
      <w:proofErr w:type="spellEnd"/>
      <w:r w:rsidRPr="00AD5F20">
        <w:t>).</w:t>
      </w:r>
    </w:p>
    <w:p w:rsidR="00AD5F20" w:rsidRPr="00AD5F20" w:rsidRDefault="00AD5F20" w:rsidP="003747C1">
      <w:r w:rsidRPr="00AD5F20">
        <w:t xml:space="preserve">Current approved treatment options in Australia for active </w:t>
      </w:r>
      <w:proofErr w:type="spellStart"/>
      <w:r w:rsidRPr="00AD5F20">
        <w:t>ankylosing</w:t>
      </w:r>
      <w:proofErr w:type="spellEnd"/>
      <w:r w:rsidRPr="00AD5F20">
        <w:t xml:space="preserve"> spondylitis (AS) include NSAIDs and TNF-α inhibitors (</w:t>
      </w:r>
      <w:proofErr w:type="spellStart"/>
      <w:r w:rsidRPr="00AD5F20">
        <w:t>adalimumab</w:t>
      </w:r>
      <w:proofErr w:type="spellEnd"/>
      <w:r w:rsidRPr="00AD5F20">
        <w:t xml:space="preserve">, infliximab, </w:t>
      </w:r>
      <w:proofErr w:type="spellStart"/>
      <w:r w:rsidRPr="00AD5F20">
        <w:t>etanercept</w:t>
      </w:r>
      <w:proofErr w:type="spellEnd"/>
      <w:r w:rsidRPr="00AD5F20">
        <w:t xml:space="preserve">, and </w:t>
      </w:r>
      <w:proofErr w:type="spellStart"/>
      <w:r w:rsidRPr="00AD5F20">
        <w:t>golimumab</w:t>
      </w:r>
      <w:proofErr w:type="spellEnd"/>
      <w:r w:rsidRPr="00AD5F20">
        <w:t>).</w:t>
      </w:r>
      <w:r w:rsidR="004332FB">
        <w:t xml:space="preserve"> </w:t>
      </w:r>
      <w:r w:rsidRPr="00AD5F20">
        <w:t>There are no specific pharmaceutical treatments registered for the treatment of nr-</w:t>
      </w:r>
      <w:proofErr w:type="spellStart"/>
      <w:r w:rsidRPr="00AD5F20">
        <w:t>axSpA</w:t>
      </w:r>
      <w:proofErr w:type="spellEnd"/>
      <w:r w:rsidRPr="00AD5F20">
        <w:t>.</w:t>
      </w:r>
    </w:p>
    <w:p w:rsidR="00AD5F20" w:rsidRPr="00AD5F20" w:rsidRDefault="00AD5F20" w:rsidP="003747C1">
      <w:r w:rsidRPr="00AD5F20">
        <w:t xml:space="preserve">The currently approved </w:t>
      </w:r>
      <w:proofErr w:type="spellStart"/>
      <w:r w:rsidRPr="00AD5F20">
        <w:t>PsA</w:t>
      </w:r>
      <w:proofErr w:type="spellEnd"/>
      <w:r w:rsidRPr="00AD5F20">
        <w:t xml:space="preserve"> and AS indications </w:t>
      </w:r>
      <w:r w:rsidR="00365FFB">
        <w:t xml:space="preserve">(at the time of this evaluation) </w:t>
      </w:r>
      <w:r w:rsidRPr="00AD5F20">
        <w:t>for the TNF-α inhibitors are as follows:</w:t>
      </w:r>
    </w:p>
    <w:p w:rsidR="00AD5F20" w:rsidRPr="00365FFB" w:rsidRDefault="00AD5F20" w:rsidP="003747C1">
      <w:proofErr w:type="spellStart"/>
      <w:r w:rsidRPr="00365FFB">
        <w:t>Adalimumab</w:t>
      </w:r>
      <w:proofErr w:type="spellEnd"/>
      <w:r w:rsidR="00365FFB">
        <w:t>:</w:t>
      </w:r>
    </w:p>
    <w:p w:rsidR="00AD5F20" w:rsidRPr="003747C1" w:rsidRDefault="00AD5F20" w:rsidP="003747C1">
      <w:pPr>
        <w:ind w:left="720"/>
        <w:rPr>
          <w:i/>
        </w:rPr>
      </w:pPr>
      <w:proofErr w:type="spellStart"/>
      <w:r w:rsidRPr="003747C1">
        <w:rPr>
          <w:i/>
        </w:rPr>
        <w:t>Humira</w:t>
      </w:r>
      <w:proofErr w:type="spellEnd"/>
      <w:r w:rsidRPr="003747C1">
        <w:rPr>
          <w:i/>
        </w:rPr>
        <w:t xml:space="preserve"> is indicated for the treatment of signs and symptoms, as well as inhibiting the progression of structural damage, of moderate to severely active psoriatic arthritis in adult patients where response to previous DMARDs has been inadequate.</w:t>
      </w:r>
    </w:p>
    <w:p w:rsidR="00AD5F20" w:rsidRPr="003747C1" w:rsidRDefault="00AD5F20" w:rsidP="003747C1">
      <w:pPr>
        <w:ind w:left="720"/>
        <w:rPr>
          <w:i/>
        </w:rPr>
      </w:pPr>
      <w:proofErr w:type="spellStart"/>
      <w:r w:rsidRPr="003747C1">
        <w:rPr>
          <w:i/>
        </w:rPr>
        <w:t>Humira</w:t>
      </w:r>
      <w:proofErr w:type="spellEnd"/>
      <w:r w:rsidRPr="003747C1">
        <w:rPr>
          <w:i/>
        </w:rPr>
        <w:t xml:space="preserve"> is indicated for reducing signs and symptoms in patients with active </w:t>
      </w:r>
      <w:proofErr w:type="spellStart"/>
      <w:r w:rsidRPr="003747C1">
        <w:rPr>
          <w:i/>
        </w:rPr>
        <w:t>ankylosing</w:t>
      </w:r>
      <w:proofErr w:type="spellEnd"/>
      <w:r w:rsidRPr="003747C1">
        <w:rPr>
          <w:i/>
        </w:rPr>
        <w:t xml:space="preserve"> spondylitis.</w:t>
      </w:r>
    </w:p>
    <w:p w:rsidR="00AD5F20" w:rsidRPr="00365FFB" w:rsidRDefault="00AD5F20" w:rsidP="003747C1">
      <w:r w:rsidRPr="00365FFB">
        <w:t>Infliximab</w:t>
      </w:r>
      <w:r w:rsidR="00365FFB">
        <w:t>:</w:t>
      </w:r>
    </w:p>
    <w:p w:rsidR="00AD5F20" w:rsidRPr="003747C1" w:rsidRDefault="00365FFB" w:rsidP="003747C1">
      <w:pPr>
        <w:ind w:left="720"/>
        <w:rPr>
          <w:i/>
        </w:rPr>
      </w:pPr>
      <w:proofErr w:type="spellStart"/>
      <w:r w:rsidRPr="003747C1">
        <w:rPr>
          <w:i/>
        </w:rPr>
        <w:t>Remicade</w:t>
      </w:r>
      <w:proofErr w:type="spellEnd"/>
      <w:r w:rsidR="00AD5F20" w:rsidRPr="003747C1">
        <w:rPr>
          <w:i/>
        </w:rPr>
        <w:t xml:space="preserve"> is indicated for the treatment of the signs and symptoms, as well as for the improvement in physical function in adult patients with active and progressive psoriatic arthritis who have responded inadequately to disease-modifying anti-rheumatic drug (DMARD) therapy.</w:t>
      </w:r>
    </w:p>
    <w:p w:rsidR="00AD5F20" w:rsidRPr="003747C1" w:rsidRDefault="00365FFB" w:rsidP="003747C1">
      <w:pPr>
        <w:ind w:left="720"/>
        <w:rPr>
          <w:i/>
        </w:rPr>
      </w:pPr>
      <w:proofErr w:type="spellStart"/>
      <w:r w:rsidRPr="003747C1">
        <w:rPr>
          <w:i/>
        </w:rPr>
        <w:t>Remicade</w:t>
      </w:r>
      <w:proofErr w:type="spellEnd"/>
      <w:r w:rsidR="00AD5F20" w:rsidRPr="003747C1">
        <w:rPr>
          <w:i/>
        </w:rPr>
        <w:t xml:space="preserve"> may be administered in combination with methotrexate.</w:t>
      </w:r>
    </w:p>
    <w:p w:rsidR="00AD5F20" w:rsidRPr="003747C1" w:rsidRDefault="00AD5F20" w:rsidP="003747C1">
      <w:pPr>
        <w:ind w:left="720"/>
        <w:rPr>
          <w:i/>
        </w:rPr>
      </w:pPr>
      <w:proofErr w:type="spellStart"/>
      <w:proofErr w:type="gramStart"/>
      <w:r w:rsidRPr="003747C1">
        <w:rPr>
          <w:i/>
        </w:rPr>
        <w:t>Ankylosing</w:t>
      </w:r>
      <w:proofErr w:type="spellEnd"/>
      <w:r w:rsidRPr="003747C1">
        <w:rPr>
          <w:i/>
        </w:rPr>
        <w:t xml:space="preserve"> Spondylitis</w:t>
      </w:r>
      <w:r w:rsidR="00365FFB" w:rsidRPr="003747C1">
        <w:rPr>
          <w:i/>
        </w:rPr>
        <w:t xml:space="preserve">: </w:t>
      </w:r>
      <w:proofErr w:type="spellStart"/>
      <w:r w:rsidR="00365FFB" w:rsidRPr="003747C1">
        <w:rPr>
          <w:i/>
        </w:rPr>
        <w:t>Remicade</w:t>
      </w:r>
      <w:proofErr w:type="spellEnd"/>
      <w:r w:rsidRPr="003747C1">
        <w:rPr>
          <w:i/>
        </w:rPr>
        <w:t xml:space="preserve"> is indicated for the reduction of signs and symptoms and improvement in physical function in patients with active disease.</w:t>
      </w:r>
      <w:proofErr w:type="gramEnd"/>
    </w:p>
    <w:p w:rsidR="00365FFB" w:rsidRDefault="00AD5F20" w:rsidP="003747C1">
      <w:proofErr w:type="spellStart"/>
      <w:r w:rsidRPr="00365FFB">
        <w:t>Etanercept</w:t>
      </w:r>
      <w:proofErr w:type="spellEnd"/>
      <w:r w:rsidR="00365FFB">
        <w:t>:</w:t>
      </w:r>
    </w:p>
    <w:p w:rsidR="00365FFB" w:rsidRPr="003747C1" w:rsidRDefault="00365FFB" w:rsidP="003747C1">
      <w:pPr>
        <w:ind w:left="720"/>
        <w:rPr>
          <w:i/>
        </w:rPr>
      </w:pPr>
      <w:r w:rsidRPr="003747C1">
        <w:rPr>
          <w:i/>
        </w:rPr>
        <w:t>Enbrel</w:t>
      </w:r>
      <w:r w:rsidR="00AD5F20" w:rsidRPr="003747C1">
        <w:rPr>
          <w:i/>
        </w:rPr>
        <w:t xml:space="preserve"> is indicated for the treatment of: </w:t>
      </w:r>
    </w:p>
    <w:p w:rsidR="00365FFB" w:rsidRPr="003747C1" w:rsidRDefault="00AD5F20" w:rsidP="003747C1">
      <w:pPr>
        <w:ind w:left="720"/>
        <w:rPr>
          <w:i/>
        </w:rPr>
      </w:pPr>
      <w:proofErr w:type="gramStart"/>
      <w:r w:rsidRPr="003747C1">
        <w:rPr>
          <w:i/>
        </w:rPr>
        <w:t xml:space="preserve">The signs and symptoms of active and progressive psoriatic arthritis in adults, when the response to previous disease-modifying </w:t>
      </w:r>
      <w:proofErr w:type="spellStart"/>
      <w:r w:rsidRPr="003747C1">
        <w:rPr>
          <w:i/>
        </w:rPr>
        <w:t>antirheumatic</w:t>
      </w:r>
      <w:proofErr w:type="spellEnd"/>
      <w:r w:rsidRPr="003747C1">
        <w:rPr>
          <w:i/>
        </w:rPr>
        <w:t xml:space="preserve"> therapy has been inadequate.</w:t>
      </w:r>
      <w:proofErr w:type="gramEnd"/>
      <w:r w:rsidRPr="003747C1">
        <w:rPr>
          <w:i/>
        </w:rPr>
        <w:t xml:space="preserve"> </w:t>
      </w:r>
      <w:r w:rsidR="00365FFB" w:rsidRPr="003747C1">
        <w:rPr>
          <w:i/>
        </w:rPr>
        <w:t>Enbrel</w:t>
      </w:r>
      <w:r w:rsidRPr="003747C1">
        <w:rPr>
          <w:i/>
        </w:rPr>
        <w:t xml:space="preserve"> has been shown to reduce the rate of progression of joint damage as measured by X-ray and to improve ph</w:t>
      </w:r>
      <w:r w:rsidR="00365FFB" w:rsidRPr="003747C1">
        <w:rPr>
          <w:i/>
        </w:rPr>
        <w:t xml:space="preserve">ysical function. </w:t>
      </w:r>
    </w:p>
    <w:p w:rsidR="00AD5F20" w:rsidRPr="003747C1" w:rsidRDefault="00AD5F20" w:rsidP="003747C1">
      <w:pPr>
        <w:ind w:left="720"/>
        <w:rPr>
          <w:i/>
        </w:rPr>
      </w:pPr>
      <w:proofErr w:type="gramStart"/>
      <w:r w:rsidRPr="003747C1">
        <w:rPr>
          <w:i/>
        </w:rPr>
        <w:t xml:space="preserve">The signs and symptoms of active </w:t>
      </w:r>
      <w:proofErr w:type="spellStart"/>
      <w:r w:rsidRPr="003747C1">
        <w:rPr>
          <w:i/>
        </w:rPr>
        <w:t>ankylosing</w:t>
      </w:r>
      <w:proofErr w:type="spellEnd"/>
      <w:r w:rsidRPr="003747C1">
        <w:rPr>
          <w:i/>
        </w:rPr>
        <w:t xml:space="preserve"> spondylitis in adults.</w:t>
      </w:r>
      <w:proofErr w:type="gramEnd"/>
    </w:p>
    <w:p w:rsidR="00AD5F20" w:rsidRPr="00365FFB" w:rsidRDefault="00AD5F20" w:rsidP="003747C1">
      <w:proofErr w:type="spellStart"/>
      <w:r w:rsidRPr="00365FFB">
        <w:t>Golimumab</w:t>
      </w:r>
      <w:proofErr w:type="spellEnd"/>
      <w:r w:rsidR="00365FFB">
        <w:t>:</w:t>
      </w:r>
    </w:p>
    <w:p w:rsidR="00AD5F20" w:rsidRPr="003747C1" w:rsidRDefault="00365FFB" w:rsidP="003747C1">
      <w:pPr>
        <w:ind w:left="720"/>
        <w:rPr>
          <w:i/>
        </w:rPr>
      </w:pPr>
      <w:proofErr w:type="spellStart"/>
      <w:r w:rsidRPr="003747C1">
        <w:rPr>
          <w:i/>
        </w:rPr>
        <w:t>Simponi</w:t>
      </w:r>
      <w:proofErr w:type="spellEnd"/>
      <w:r w:rsidR="00AD5F20" w:rsidRPr="003747C1">
        <w:rPr>
          <w:i/>
        </w:rPr>
        <w:t>, alone or in combination with methotrexate, is indicated for:</w:t>
      </w:r>
    </w:p>
    <w:p w:rsidR="00AD5F20" w:rsidRPr="003747C1" w:rsidRDefault="00AD5F20" w:rsidP="003747C1">
      <w:pPr>
        <w:ind w:left="720"/>
        <w:rPr>
          <w:i/>
        </w:rPr>
      </w:pPr>
      <w:proofErr w:type="gramStart"/>
      <w:r w:rsidRPr="003747C1">
        <w:rPr>
          <w:i/>
        </w:rPr>
        <w:t>The treatment of active and progressive psoriatic arthritis in adult patients when the response to previous disease-modifying anti-rheumatic drug therapy has been inadequate.</w:t>
      </w:r>
      <w:proofErr w:type="gramEnd"/>
      <w:r w:rsidRPr="003747C1">
        <w:rPr>
          <w:i/>
        </w:rPr>
        <w:t xml:space="preserve"> </w:t>
      </w:r>
      <w:proofErr w:type="spellStart"/>
      <w:r w:rsidRPr="003747C1">
        <w:rPr>
          <w:i/>
        </w:rPr>
        <w:t>S</w:t>
      </w:r>
      <w:r w:rsidR="00365FFB" w:rsidRPr="003747C1">
        <w:rPr>
          <w:i/>
        </w:rPr>
        <w:t>imponi</w:t>
      </w:r>
      <w:proofErr w:type="spellEnd"/>
      <w:r w:rsidRPr="003747C1">
        <w:rPr>
          <w:i/>
        </w:rPr>
        <w:t xml:space="preserve"> has also been shown to inhibit the progression of peripheral joint damage as measured by X-ray in patients with </w:t>
      </w:r>
      <w:proofErr w:type="spellStart"/>
      <w:r w:rsidRPr="003747C1">
        <w:rPr>
          <w:i/>
        </w:rPr>
        <w:t>polyarticular</w:t>
      </w:r>
      <w:proofErr w:type="spellEnd"/>
      <w:r w:rsidRPr="003747C1">
        <w:rPr>
          <w:i/>
        </w:rPr>
        <w:t xml:space="preserve"> symmetrical subtypes of the disease, and improve physical function.</w:t>
      </w:r>
    </w:p>
    <w:p w:rsidR="00AD5F20" w:rsidRPr="003747C1" w:rsidRDefault="00365FFB" w:rsidP="003747C1">
      <w:pPr>
        <w:ind w:left="720"/>
        <w:rPr>
          <w:i/>
        </w:rPr>
      </w:pPr>
      <w:proofErr w:type="spellStart"/>
      <w:r w:rsidRPr="003747C1">
        <w:rPr>
          <w:i/>
        </w:rPr>
        <w:t>Simponi</w:t>
      </w:r>
      <w:proofErr w:type="spellEnd"/>
      <w:r w:rsidR="00AD5F20" w:rsidRPr="003747C1">
        <w:rPr>
          <w:i/>
        </w:rPr>
        <w:t xml:space="preserve"> is indicated for:</w:t>
      </w:r>
    </w:p>
    <w:p w:rsidR="00AD5F20" w:rsidRPr="003747C1" w:rsidRDefault="00AD5F20" w:rsidP="003747C1">
      <w:pPr>
        <w:ind w:left="720"/>
        <w:rPr>
          <w:i/>
        </w:rPr>
      </w:pPr>
      <w:proofErr w:type="gramStart"/>
      <w:r w:rsidRPr="003747C1">
        <w:rPr>
          <w:i/>
        </w:rPr>
        <w:t xml:space="preserve">The treatment of active </w:t>
      </w:r>
      <w:proofErr w:type="spellStart"/>
      <w:r w:rsidRPr="003747C1">
        <w:rPr>
          <w:i/>
        </w:rPr>
        <w:t>ankylosing</w:t>
      </w:r>
      <w:proofErr w:type="spellEnd"/>
      <w:r w:rsidRPr="003747C1">
        <w:rPr>
          <w:i/>
        </w:rPr>
        <w:t xml:space="preserve"> spondylitis in adult patients.</w:t>
      </w:r>
      <w:proofErr w:type="gramEnd"/>
    </w:p>
    <w:p w:rsidR="008E7846" w:rsidRPr="003F31A2" w:rsidRDefault="00386150" w:rsidP="003747C1">
      <w:pPr>
        <w:pStyle w:val="Heading3"/>
      </w:pPr>
      <w:bookmarkStart w:id="16" w:name="_Toc314842485"/>
      <w:bookmarkStart w:id="17" w:name="_Toc247691504"/>
      <w:bookmarkStart w:id="18" w:name="_Toc399507636"/>
      <w:r>
        <w:t xml:space="preserve">Regulatory </w:t>
      </w:r>
      <w:r w:rsidRPr="003747C1">
        <w:t>s</w:t>
      </w:r>
      <w:r w:rsidR="008E7846" w:rsidRPr="003747C1">
        <w:t>tatus</w:t>
      </w:r>
      <w:bookmarkEnd w:id="16"/>
      <w:bookmarkEnd w:id="17"/>
      <w:bookmarkEnd w:id="18"/>
    </w:p>
    <w:p w:rsidR="00940A89" w:rsidRPr="00940A89" w:rsidRDefault="00940A89" w:rsidP="003747C1">
      <w:bookmarkStart w:id="19" w:name="_Toc247691505"/>
      <w:bookmarkStart w:id="20" w:name="_Toc314842486"/>
      <w:r w:rsidRPr="00940A89">
        <w:t>The product received initial registration on the Australian Register of Therapeutic Goods (ARTG) on</w:t>
      </w:r>
      <w:r w:rsidR="00365FFB">
        <w:t xml:space="preserve"> 20 January 2010.</w:t>
      </w:r>
    </w:p>
    <w:p w:rsidR="00365FFB" w:rsidRPr="00365FFB" w:rsidRDefault="00365FFB" w:rsidP="003747C1">
      <w:proofErr w:type="spellStart"/>
      <w:r w:rsidRPr="00365FFB">
        <w:t>Certolizumab</w:t>
      </w:r>
      <w:proofErr w:type="spellEnd"/>
      <w:r w:rsidRPr="00365FFB">
        <w:t xml:space="preserve"> was considered by </w:t>
      </w:r>
      <w:r w:rsidR="00200966">
        <w:t>Advisory Committee on Prescription Medicines (</w:t>
      </w:r>
      <w:r w:rsidRPr="00365FFB">
        <w:t>ACPM</w:t>
      </w:r>
      <w:r w:rsidR="00200966">
        <w:t>)</w:t>
      </w:r>
      <w:r w:rsidRPr="00365FFB">
        <w:t xml:space="preserve"> (</w:t>
      </w:r>
      <w:r w:rsidR="00200966">
        <w:t xml:space="preserve">previously </w:t>
      </w:r>
      <w:r w:rsidRPr="00365FFB">
        <w:t>ADEC) at the 266</w:t>
      </w:r>
      <w:r w:rsidRPr="00365FFB">
        <w:rPr>
          <w:vertAlign w:val="superscript"/>
        </w:rPr>
        <w:t>th</w:t>
      </w:r>
      <w:r w:rsidRPr="00365FFB">
        <w:t xml:space="preserve"> meeting (October 2009), leading to its approval in 2010 for rheumatoid arthritis.</w:t>
      </w:r>
    </w:p>
    <w:p w:rsidR="00AF79AC" w:rsidRDefault="00365FFB" w:rsidP="003747C1">
      <w:pPr>
        <w:rPr>
          <w:rFonts w:asciiTheme="minorHAnsi" w:eastAsiaTheme="minorHAnsi" w:hAnsiTheme="minorHAnsi"/>
        </w:rPr>
      </w:pPr>
      <w:r w:rsidRPr="00365FFB">
        <w:t xml:space="preserve">At the time the TGA considered this </w:t>
      </w:r>
      <w:proofErr w:type="gramStart"/>
      <w:r w:rsidRPr="00365FFB">
        <w:t>application,</w:t>
      </w:r>
      <w:proofErr w:type="gramEnd"/>
      <w:r w:rsidRPr="00365FFB">
        <w:t xml:space="preserve"> a similar application had been approved in </w:t>
      </w:r>
      <w:r>
        <w:t>the United States (US), Canada and had been submitted in the European Union (EU).</w:t>
      </w:r>
      <w:r w:rsidR="004332FB">
        <w:t xml:space="preserve"> </w:t>
      </w:r>
      <w:r>
        <w:t xml:space="preserve">Applications had not been submitted in Switzerland or New Zealand. </w:t>
      </w:r>
    </w:p>
    <w:p w:rsidR="008E7846" w:rsidRDefault="008E7846" w:rsidP="003747C1">
      <w:pPr>
        <w:pStyle w:val="Heading3"/>
      </w:pPr>
      <w:bookmarkStart w:id="21" w:name="_Toc399507637"/>
      <w:r>
        <w:t>Product Information</w:t>
      </w:r>
      <w:bookmarkEnd w:id="19"/>
      <w:bookmarkEnd w:id="20"/>
      <w:bookmarkEnd w:id="21"/>
    </w:p>
    <w:p w:rsidR="00940A89" w:rsidRDefault="00940A89" w:rsidP="003747C1">
      <w:pPr>
        <w:rPr>
          <w:b/>
          <w:bCs/>
        </w:rPr>
      </w:pPr>
      <w:bookmarkStart w:id="22" w:name="_Toc247691506"/>
      <w:bookmarkStart w:id="23" w:name="_Toc314842487"/>
      <w:r w:rsidRPr="00940A89">
        <w:t xml:space="preserve">The approved Product Information (PI) current at the time this </w:t>
      </w:r>
      <w:proofErr w:type="spellStart"/>
      <w:r w:rsidRPr="00940A89">
        <w:t>AusPAR</w:t>
      </w:r>
      <w:proofErr w:type="spellEnd"/>
      <w:r w:rsidRPr="00940A89">
        <w:t xml:space="preserve"> was prepared can be found as Attachment 1. For the most recent Product Information please refer to the TGA website at</w:t>
      </w:r>
      <w:r w:rsidR="003747C1">
        <w:t xml:space="preserve"> &lt;</w:t>
      </w:r>
      <w:hyperlink r:id="rId14" w:history="1">
        <w:r w:rsidRPr="00940A89">
          <w:rPr>
            <w:rStyle w:val="Hyperlink"/>
          </w:rPr>
          <w:t>http://www.tga.gov.au/hp/information-medicines-pi.htm</w:t>
        </w:r>
      </w:hyperlink>
      <w:r w:rsidR="006A4C20" w:rsidRPr="006A4C20">
        <w:t>&gt;</w:t>
      </w:r>
      <w:r w:rsidR="006A4C20">
        <w:t>.</w:t>
      </w:r>
    </w:p>
    <w:p w:rsidR="008E7846" w:rsidRPr="003602A9" w:rsidRDefault="008E7846" w:rsidP="006A4C20">
      <w:pPr>
        <w:pStyle w:val="Heading2"/>
      </w:pPr>
      <w:bookmarkStart w:id="24" w:name="_Toc399507638"/>
      <w:r>
        <w:t>II. Quality</w:t>
      </w:r>
      <w:bookmarkEnd w:id="1"/>
      <w:r>
        <w:t xml:space="preserve"> </w:t>
      </w:r>
      <w:r w:rsidRPr="006A4C20">
        <w:t>findings</w:t>
      </w:r>
      <w:bookmarkEnd w:id="22"/>
      <w:bookmarkEnd w:id="23"/>
      <w:bookmarkEnd w:id="24"/>
    </w:p>
    <w:p w:rsidR="00940A89" w:rsidRPr="00940A89" w:rsidRDefault="00940A89" w:rsidP="006A4C20">
      <w:bookmarkStart w:id="25" w:name="_Toc247691507"/>
      <w:bookmarkStart w:id="26" w:name="_Toc314842488"/>
      <w:r w:rsidRPr="00940A89">
        <w:t>There was no requirement for a quality evaluation in a submission of this type.</w:t>
      </w:r>
    </w:p>
    <w:p w:rsidR="008E7846" w:rsidRDefault="008E7846" w:rsidP="006A4C20">
      <w:pPr>
        <w:pStyle w:val="Heading2"/>
      </w:pPr>
      <w:bookmarkStart w:id="27" w:name="_Toc196046439"/>
      <w:bookmarkStart w:id="28" w:name="_Toc247691510"/>
      <w:bookmarkStart w:id="29" w:name="_Toc314842494"/>
      <w:bookmarkStart w:id="30" w:name="_Toc399507639"/>
      <w:bookmarkEnd w:id="25"/>
      <w:bookmarkEnd w:id="26"/>
      <w:r>
        <w:t xml:space="preserve">III. </w:t>
      </w:r>
      <w:r w:rsidRPr="006A4C20">
        <w:t>Nonclinical</w:t>
      </w:r>
      <w:bookmarkEnd w:id="27"/>
      <w:r>
        <w:t xml:space="preserve"> findings</w:t>
      </w:r>
      <w:bookmarkEnd w:id="28"/>
      <w:bookmarkEnd w:id="29"/>
      <w:bookmarkEnd w:id="30"/>
    </w:p>
    <w:p w:rsidR="00940A89" w:rsidRDefault="00940A89" w:rsidP="006A4C20">
      <w:bookmarkStart w:id="31" w:name="_Toc247691511"/>
      <w:bookmarkStart w:id="32" w:name="_Toc314842495"/>
      <w:r>
        <w:t>There was no requirement for a nonclinical evaluation in a submission of this type.</w:t>
      </w:r>
    </w:p>
    <w:p w:rsidR="008E7846" w:rsidRPr="00254787" w:rsidRDefault="008E7846" w:rsidP="006A4C20">
      <w:pPr>
        <w:pStyle w:val="Heading2"/>
      </w:pPr>
      <w:bookmarkStart w:id="33" w:name="_Toc196046462"/>
      <w:bookmarkStart w:id="34" w:name="_Toc247691516"/>
      <w:bookmarkStart w:id="35" w:name="_Toc314842500"/>
      <w:bookmarkStart w:id="36" w:name="_Toc163441353"/>
      <w:bookmarkStart w:id="37" w:name="_Toc163441348"/>
      <w:bookmarkStart w:id="38" w:name="_Toc399507640"/>
      <w:bookmarkEnd w:id="31"/>
      <w:bookmarkEnd w:id="32"/>
      <w:r>
        <w:t xml:space="preserve">IV. </w:t>
      </w:r>
      <w:r w:rsidRPr="006A4C20">
        <w:t>Clinical</w:t>
      </w:r>
      <w:bookmarkEnd w:id="33"/>
      <w:r>
        <w:t xml:space="preserve"> </w:t>
      </w:r>
      <w:r w:rsidR="003A7F6C">
        <w:t>f</w:t>
      </w:r>
      <w:r>
        <w:t>indings</w:t>
      </w:r>
      <w:bookmarkEnd w:id="34"/>
      <w:bookmarkEnd w:id="35"/>
      <w:bookmarkEnd w:id="38"/>
    </w:p>
    <w:p w:rsidR="00C80137" w:rsidRDefault="00C80137" w:rsidP="006A4C20">
      <w:bookmarkStart w:id="39"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605AD4" w:rsidRDefault="00605AD4" w:rsidP="006A4C20">
      <w:pPr>
        <w:pStyle w:val="Heading3"/>
      </w:pPr>
      <w:bookmarkStart w:id="40" w:name="_Toc196046464"/>
      <w:bookmarkStart w:id="41" w:name="_Toc247691518"/>
      <w:bookmarkStart w:id="42" w:name="_Toc314842502"/>
      <w:bookmarkStart w:id="43" w:name="_Toc399507641"/>
      <w:bookmarkEnd w:id="39"/>
      <w:r w:rsidRPr="00605AD4">
        <w:t xml:space="preserve">Clinical </w:t>
      </w:r>
      <w:r w:rsidR="006A4C20">
        <w:t>r</w:t>
      </w:r>
      <w:r w:rsidRPr="00605AD4">
        <w:t>ationale</w:t>
      </w:r>
      <w:bookmarkEnd w:id="43"/>
    </w:p>
    <w:p w:rsidR="00F33163" w:rsidRPr="00F33163" w:rsidRDefault="00F33163" w:rsidP="006A4C20">
      <w:r w:rsidRPr="00F33163">
        <w:t xml:space="preserve">The main treatment options available for axial </w:t>
      </w:r>
      <w:proofErr w:type="spellStart"/>
      <w:r w:rsidRPr="00F33163">
        <w:t>SpA</w:t>
      </w:r>
      <w:proofErr w:type="spellEnd"/>
      <w:r w:rsidRPr="00F33163">
        <w:t xml:space="preserve"> are NSAIDs and physiotherapy. Non-biologic DMARDs such as MTX, SSZ and CS may be tried, but the supporting evidence of efficacy is very limited to non-existent. Four anti-TNF drugs (infliximab, </w:t>
      </w:r>
      <w:proofErr w:type="spellStart"/>
      <w:r w:rsidRPr="00F33163">
        <w:t>etanercept</w:t>
      </w:r>
      <w:proofErr w:type="spellEnd"/>
      <w:r w:rsidRPr="00F33163">
        <w:t xml:space="preserve">, </w:t>
      </w:r>
      <w:proofErr w:type="spellStart"/>
      <w:r w:rsidRPr="00F33163">
        <w:t>adalimumab</w:t>
      </w:r>
      <w:proofErr w:type="spellEnd"/>
      <w:r w:rsidRPr="00F33163">
        <w:t xml:space="preserve"> and </w:t>
      </w:r>
      <w:proofErr w:type="spellStart"/>
      <w:r w:rsidRPr="00F33163">
        <w:t>golimumab</w:t>
      </w:r>
      <w:proofErr w:type="spellEnd"/>
      <w:r w:rsidRPr="00F33163">
        <w:t>) are currently registered in Australia, Europe and the USA for the treatment of AS in terms of improving the signs and symptoms of spinal and peripheral arthritis, physical functioning and health related quality of life. Based on the similarities between AS and nr-</w:t>
      </w:r>
      <w:proofErr w:type="spellStart"/>
      <w:r w:rsidRPr="00F33163">
        <w:t>SpA</w:t>
      </w:r>
      <w:proofErr w:type="spellEnd"/>
      <w:r w:rsidRPr="00F33163">
        <w:t xml:space="preserve"> as they are likely to represent a disease spectrum continuum, it is anticipated that anti-TNF drugs may be effective in patients with nr-</w:t>
      </w:r>
      <w:proofErr w:type="spellStart"/>
      <w:r w:rsidRPr="00F33163">
        <w:t>SpA</w:t>
      </w:r>
      <w:proofErr w:type="spellEnd"/>
      <w:r w:rsidRPr="00F33163">
        <w:t xml:space="preserve">. </w:t>
      </w:r>
      <w:r w:rsidRPr="002A5613">
        <w:t>Initial small MRI studies of the nr-</w:t>
      </w:r>
      <w:proofErr w:type="spellStart"/>
      <w:r w:rsidRPr="002A5613">
        <w:t>SpA</w:t>
      </w:r>
      <w:proofErr w:type="spellEnd"/>
      <w:r w:rsidRPr="002A5613">
        <w:t xml:space="preserve"> subset using anti-TNF therapies (for example </w:t>
      </w:r>
      <w:proofErr w:type="spellStart"/>
      <w:r w:rsidRPr="002A5613">
        <w:t>adalimumab</w:t>
      </w:r>
      <w:proofErr w:type="spellEnd"/>
      <w:r w:rsidRPr="002A5613">
        <w:t>)</w:t>
      </w:r>
      <w:r>
        <w:t xml:space="preserve"> have shown efficacy</w:t>
      </w:r>
      <w:r w:rsidRPr="00F33163">
        <w:t>, but currently no anti-TNF treatment is registered for the nr-</w:t>
      </w:r>
      <w:proofErr w:type="spellStart"/>
      <w:r w:rsidRPr="00F33163">
        <w:t>SpA</w:t>
      </w:r>
      <w:proofErr w:type="spellEnd"/>
      <w:r w:rsidRPr="00F33163">
        <w:t xml:space="preserve"> indication as the original licensing studies restricted patient entry to those with confirmed AS. Hence, there is an unmet need for effective and safe therapies in patients with active nr-</w:t>
      </w:r>
      <w:proofErr w:type="spellStart"/>
      <w:r w:rsidRPr="00F33163">
        <w:t>SpA</w:t>
      </w:r>
      <w:proofErr w:type="spellEnd"/>
      <w:r w:rsidRPr="00F33163">
        <w:t>.</w:t>
      </w:r>
    </w:p>
    <w:p w:rsidR="00605AD4" w:rsidRDefault="00605AD4" w:rsidP="006A4C20">
      <w:pPr>
        <w:pStyle w:val="Heading3"/>
      </w:pPr>
      <w:bookmarkStart w:id="44" w:name="_Toc399507642"/>
      <w:r w:rsidRPr="006A4C20">
        <w:t>Guidance</w:t>
      </w:r>
      <w:bookmarkEnd w:id="44"/>
    </w:p>
    <w:p w:rsidR="00F33163" w:rsidRPr="00605AD4" w:rsidRDefault="00F33163" w:rsidP="006A4C20">
      <w:pPr>
        <w:pStyle w:val="Heading4"/>
      </w:pPr>
      <w:r w:rsidRPr="00605AD4">
        <w:t xml:space="preserve">Contents of the </w:t>
      </w:r>
      <w:r w:rsidRPr="006A4C20">
        <w:t>clinical</w:t>
      </w:r>
      <w:r w:rsidRPr="00605AD4">
        <w:t xml:space="preserve"> dossier</w:t>
      </w:r>
    </w:p>
    <w:p w:rsidR="00F33163" w:rsidRPr="00F33163" w:rsidRDefault="00F33163" w:rsidP="006A4C20">
      <w:r w:rsidRPr="00F33163">
        <w:t>The submission contained the following clinical information:</w:t>
      </w:r>
    </w:p>
    <w:p w:rsidR="00F33163" w:rsidRPr="006A4C20" w:rsidRDefault="00F33163" w:rsidP="006A4C20">
      <w:pPr>
        <w:pStyle w:val="ListBullet"/>
      </w:pPr>
      <w:r w:rsidRPr="006A4C20">
        <w:t>All 4 of the efficacy/safety studies collected pharmacokinetic data.</w:t>
      </w:r>
    </w:p>
    <w:p w:rsidR="00F33163" w:rsidRPr="006A4C20" w:rsidRDefault="00F33163" w:rsidP="006A4C20">
      <w:pPr>
        <w:pStyle w:val="ListBullet"/>
      </w:pPr>
      <w:r w:rsidRPr="006A4C20">
        <w:t>No population pharmacokinetic analyses.</w:t>
      </w:r>
    </w:p>
    <w:p w:rsidR="00F33163" w:rsidRPr="006A4C20" w:rsidRDefault="00F33163" w:rsidP="006A4C20">
      <w:pPr>
        <w:pStyle w:val="ListBullet"/>
      </w:pPr>
      <w:r w:rsidRPr="006A4C20">
        <w:t xml:space="preserve">2 pivotal efficacy/safety studies – Study PsA001 for the proposed </w:t>
      </w:r>
      <w:proofErr w:type="spellStart"/>
      <w:r w:rsidRPr="006A4C20">
        <w:t>PsA</w:t>
      </w:r>
      <w:proofErr w:type="spellEnd"/>
      <w:r w:rsidRPr="006A4C20">
        <w:t xml:space="preserve"> indication; and Study AS001 for the proposed </w:t>
      </w:r>
      <w:proofErr w:type="spellStart"/>
      <w:r w:rsidRPr="006A4C20">
        <w:t>SpA</w:t>
      </w:r>
      <w:proofErr w:type="spellEnd"/>
      <w:r w:rsidRPr="006A4C20">
        <w:t xml:space="preserve"> indication.</w:t>
      </w:r>
    </w:p>
    <w:p w:rsidR="00F33163" w:rsidRPr="006A4C20" w:rsidRDefault="00F33163" w:rsidP="006A4C20">
      <w:pPr>
        <w:pStyle w:val="ListBullet"/>
      </w:pPr>
      <w:r w:rsidRPr="006A4C20">
        <w:t>No dose-finding studies.</w:t>
      </w:r>
    </w:p>
    <w:p w:rsidR="00F33163" w:rsidRPr="006A4C20" w:rsidRDefault="00F33163" w:rsidP="006A4C20">
      <w:pPr>
        <w:pStyle w:val="ListBullet"/>
      </w:pPr>
      <w:r w:rsidRPr="006A4C20">
        <w:t xml:space="preserve">2 other efficacy/safety studies – Studies C87040 and C87044 were conducted in patients with moderate to severe plaque psoriasis as supportive evidence in the </w:t>
      </w:r>
      <w:proofErr w:type="spellStart"/>
      <w:r w:rsidRPr="006A4C20">
        <w:t>PsA</w:t>
      </w:r>
      <w:proofErr w:type="spellEnd"/>
      <w:r w:rsidRPr="006A4C20">
        <w:t xml:space="preserve"> indication.</w:t>
      </w:r>
    </w:p>
    <w:p w:rsidR="00F33163" w:rsidRPr="006A4C20" w:rsidRDefault="00F33163" w:rsidP="006A4C20">
      <w:pPr>
        <w:pStyle w:val="ListBullet"/>
      </w:pPr>
      <w:r w:rsidRPr="006A4C20">
        <w:t xml:space="preserve">No pooled </w:t>
      </w:r>
      <w:proofErr w:type="gramStart"/>
      <w:r w:rsidRPr="006A4C20">
        <w:t>analysis,</w:t>
      </w:r>
      <w:proofErr w:type="gramEnd"/>
      <w:r w:rsidRPr="006A4C20">
        <w:t xml:space="preserve"> or meta-analysis was provided. </w:t>
      </w:r>
    </w:p>
    <w:p w:rsidR="00F33163" w:rsidRPr="006A4C20" w:rsidRDefault="00F33163" w:rsidP="006A4C20">
      <w:pPr>
        <w:pStyle w:val="ListBullet"/>
      </w:pPr>
      <w:r w:rsidRPr="006A4C20">
        <w:lastRenderedPageBreak/>
        <w:t>The sponsor’s Clinical Overview, Summary of Clinical Efficacy, Summary of Clinical Safety and literature references.</w:t>
      </w:r>
    </w:p>
    <w:p w:rsidR="00605AD4" w:rsidRDefault="00605AD4" w:rsidP="006A4C20">
      <w:pPr>
        <w:pStyle w:val="Heading4"/>
      </w:pPr>
      <w:r w:rsidRPr="006A4C20">
        <w:t>Paediatric</w:t>
      </w:r>
      <w:r w:rsidRPr="00605AD4">
        <w:t xml:space="preserve"> data</w:t>
      </w:r>
    </w:p>
    <w:p w:rsidR="00F33163" w:rsidRPr="00F33163" w:rsidRDefault="00F33163" w:rsidP="006A4C20">
      <w:r w:rsidRPr="00F33163">
        <w:t>The submission did not include paediatric data.</w:t>
      </w:r>
    </w:p>
    <w:p w:rsidR="00605AD4" w:rsidRDefault="00605AD4" w:rsidP="006A4C20">
      <w:pPr>
        <w:pStyle w:val="Heading4"/>
      </w:pPr>
      <w:r w:rsidRPr="00605AD4">
        <w:t>Good clinical practice</w:t>
      </w:r>
    </w:p>
    <w:p w:rsidR="00F33163" w:rsidRPr="00F33163" w:rsidRDefault="007A0C0F" w:rsidP="006A4C20">
      <w:pPr>
        <w:rPr>
          <w:lang w:eastAsia="ja-JP"/>
        </w:rPr>
      </w:pPr>
      <w:r w:rsidRPr="00F33163">
        <w:rPr>
          <w:lang w:eastAsia="ja-JP"/>
        </w:rPr>
        <w:t>The 2 pivotal trials (Study PsA001, and Study AS001) which evaluated the use of</w:t>
      </w:r>
      <w:r>
        <w:rPr>
          <w:lang w:eastAsia="ja-JP"/>
        </w:rPr>
        <w:t xml:space="preserve"> </w:t>
      </w:r>
      <w:proofErr w:type="spellStart"/>
      <w:r w:rsidRPr="001000F8">
        <w:t>Certolizumab</w:t>
      </w:r>
      <w:proofErr w:type="spellEnd"/>
      <w:r w:rsidRPr="001000F8">
        <w:t xml:space="preserve"> </w:t>
      </w:r>
      <w:proofErr w:type="spellStart"/>
      <w:r w:rsidRPr="001000F8">
        <w:t>Pegol</w:t>
      </w:r>
      <w:proofErr w:type="spellEnd"/>
      <w:r w:rsidRPr="00F33163">
        <w:rPr>
          <w:lang w:eastAsia="ja-JP"/>
        </w:rPr>
        <w:t xml:space="preserve"> </w:t>
      </w:r>
      <w:r>
        <w:rPr>
          <w:lang w:eastAsia="ja-JP"/>
        </w:rPr>
        <w:t>(</w:t>
      </w:r>
      <w:r w:rsidRPr="00F33163">
        <w:rPr>
          <w:lang w:eastAsia="ja-JP"/>
        </w:rPr>
        <w:t>CZP</w:t>
      </w:r>
      <w:r>
        <w:rPr>
          <w:lang w:eastAsia="ja-JP"/>
        </w:rPr>
        <w:t>)</w:t>
      </w:r>
      <w:r w:rsidRPr="00F33163">
        <w:rPr>
          <w:lang w:eastAsia="ja-JP"/>
        </w:rPr>
        <w:t xml:space="preserve"> in adults with active </w:t>
      </w:r>
      <w:proofErr w:type="spellStart"/>
      <w:r w:rsidRPr="00F33163">
        <w:rPr>
          <w:lang w:eastAsia="ja-JP"/>
        </w:rPr>
        <w:t>PsA</w:t>
      </w:r>
      <w:proofErr w:type="spellEnd"/>
      <w:r w:rsidRPr="00F33163">
        <w:rPr>
          <w:lang w:eastAsia="ja-JP"/>
        </w:rPr>
        <w:t xml:space="preserve"> and axial </w:t>
      </w:r>
      <w:proofErr w:type="spellStart"/>
      <w:r w:rsidRPr="00F33163">
        <w:rPr>
          <w:lang w:eastAsia="ja-JP"/>
        </w:rPr>
        <w:t>SpA</w:t>
      </w:r>
      <w:proofErr w:type="spellEnd"/>
      <w:r w:rsidRPr="00F33163">
        <w:rPr>
          <w:lang w:eastAsia="ja-JP"/>
        </w:rPr>
        <w:t xml:space="preserve"> were conducted in accordance with the principles of Good Clinical Practice (GCP) and compliance with ethical requirements was met</w:t>
      </w:r>
      <w:r w:rsidR="00F33163" w:rsidRPr="00F33163">
        <w:rPr>
          <w:lang w:eastAsia="ja-JP"/>
        </w:rPr>
        <w:t>.</w:t>
      </w:r>
    </w:p>
    <w:p w:rsidR="008E7846" w:rsidRPr="00254787" w:rsidRDefault="008E7846" w:rsidP="006A4C20">
      <w:pPr>
        <w:pStyle w:val="Heading3"/>
      </w:pPr>
      <w:bookmarkStart w:id="45" w:name="_Toc399507643"/>
      <w:r w:rsidRPr="006A4C20">
        <w:t>Pharmacokinetics</w:t>
      </w:r>
      <w:bookmarkEnd w:id="36"/>
      <w:bookmarkEnd w:id="40"/>
      <w:bookmarkEnd w:id="41"/>
      <w:bookmarkEnd w:id="42"/>
      <w:bookmarkEnd w:id="45"/>
    </w:p>
    <w:p w:rsidR="00605AD4" w:rsidRDefault="00605AD4" w:rsidP="006A4C20">
      <w:pPr>
        <w:pStyle w:val="Heading4"/>
      </w:pPr>
      <w:r>
        <w:t xml:space="preserve">Studies </w:t>
      </w:r>
      <w:r w:rsidRPr="006A4C20">
        <w:t>providing</w:t>
      </w:r>
      <w:r>
        <w:t xml:space="preserve"> pharmacokinetic data </w:t>
      </w:r>
    </w:p>
    <w:p w:rsidR="00F33163" w:rsidRPr="00F33163" w:rsidRDefault="00F33163" w:rsidP="006A4C20">
      <w:r w:rsidRPr="00F33163">
        <w:t xml:space="preserve">All 4 clinical studies collected a limited quantity of Pharmacokinetic (PK) data in the target populations of </w:t>
      </w:r>
      <w:proofErr w:type="spellStart"/>
      <w:r w:rsidRPr="00F33163">
        <w:t>PsA</w:t>
      </w:r>
      <w:proofErr w:type="spellEnd"/>
      <w:r w:rsidRPr="00F33163">
        <w:t xml:space="preserve">, axial </w:t>
      </w:r>
      <w:proofErr w:type="spellStart"/>
      <w:r w:rsidRPr="00F33163">
        <w:t>SpA</w:t>
      </w:r>
      <w:proofErr w:type="spellEnd"/>
      <w:r w:rsidRPr="00F33163">
        <w:t xml:space="preserve"> and skin psoriasis.</w:t>
      </w:r>
      <w:r w:rsidR="004332FB">
        <w:t xml:space="preserve"> </w:t>
      </w:r>
      <w:r>
        <w:t>Discussion is contained within the CER extract (Attachment 2).</w:t>
      </w:r>
    </w:p>
    <w:p w:rsidR="00605AD4" w:rsidRDefault="00605AD4" w:rsidP="006A4C20">
      <w:pPr>
        <w:pStyle w:val="Heading4"/>
      </w:pPr>
      <w:r w:rsidRPr="006A4C20">
        <w:t>Evaluator’s</w:t>
      </w:r>
      <w:r>
        <w:t xml:space="preserve"> conclusions on pharmacokinetics</w:t>
      </w:r>
    </w:p>
    <w:p w:rsidR="00F33163" w:rsidRPr="00F33163" w:rsidRDefault="00F33163" w:rsidP="006A4C20">
      <w:r w:rsidRPr="00F33163">
        <w:t xml:space="preserve">The PK properties of CZP in adult patients with active RA have been previously assessed. The sponsor has provided a limited quantity of new PK data (trough CZP concentrations collected every 2-4 weeks over 24 weeks of treatment) in this submission for patients with the additional treatment indications of active </w:t>
      </w:r>
      <w:proofErr w:type="spellStart"/>
      <w:r w:rsidRPr="00F33163">
        <w:t>PsA</w:t>
      </w:r>
      <w:proofErr w:type="spellEnd"/>
      <w:r w:rsidRPr="00F33163">
        <w:t xml:space="preserve"> and axial </w:t>
      </w:r>
      <w:proofErr w:type="spellStart"/>
      <w:r w:rsidRPr="00F33163">
        <w:t>SpA</w:t>
      </w:r>
      <w:proofErr w:type="spellEnd"/>
      <w:r w:rsidRPr="00F33163">
        <w:t xml:space="preserve">. The sponsor is not proposing any changes to the PK section of the current PI to include the new PK data. </w:t>
      </w:r>
    </w:p>
    <w:p w:rsidR="00F33163" w:rsidRPr="00F33163" w:rsidRDefault="00F33163" w:rsidP="006A4C20">
      <w:r w:rsidRPr="00F33163">
        <w:t xml:space="preserve">The key PK findings for CZP use in patients with active </w:t>
      </w:r>
      <w:proofErr w:type="spellStart"/>
      <w:r w:rsidRPr="00F33163">
        <w:t>PsA</w:t>
      </w:r>
      <w:proofErr w:type="spellEnd"/>
      <w:r w:rsidRPr="00F33163">
        <w:t xml:space="preserve"> or axial </w:t>
      </w:r>
      <w:proofErr w:type="spellStart"/>
      <w:r w:rsidRPr="00F33163">
        <w:t>SpA</w:t>
      </w:r>
      <w:proofErr w:type="spellEnd"/>
      <w:r w:rsidRPr="00F33163">
        <w:t xml:space="preserve"> are:</w:t>
      </w:r>
    </w:p>
    <w:p w:rsidR="00F33163" w:rsidRPr="006A4C20" w:rsidRDefault="00F33163" w:rsidP="006A4C20">
      <w:pPr>
        <w:pStyle w:val="ListBullet"/>
      </w:pPr>
      <w:r w:rsidRPr="006A4C20">
        <w:t>Plasma trough CZP concentrations were highest at weeks 2 and 4 of both pivotal studies when subjects received a loading regimen of CZP 400 mg at weeks 0, 2 and 4;</w:t>
      </w:r>
    </w:p>
    <w:p w:rsidR="00F33163" w:rsidRPr="006A4C20" w:rsidRDefault="00F33163" w:rsidP="006A4C20">
      <w:pPr>
        <w:pStyle w:val="ListBullet"/>
      </w:pPr>
      <w:r w:rsidRPr="006A4C20">
        <w:t>Trough CZP concentrations at weeks 12, 16 and 24 (maintenance phase) were lower in subjects treated with CZP 400 mg Q4W versus CZP 200 mg Q2W, which is consistent with the extended dosing interval approach;</w:t>
      </w:r>
    </w:p>
    <w:p w:rsidR="00F33163" w:rsidRPr="00F33163" w:rsidRDefault="00F33163" w:rsidP="006A4C20">
      <w:r w:rsidRPr="00F33163">
        <w:t xml:space="preserve">Subjects who developed anti-CZP antibodies had significantly lower trough CZP concentrations indicating increased plasma clearance of CZP; and </w:t>
      </w:r>
    </w:p>
    <w:p w:rsidR="00F33163" w:rsidRPr="00F33163" w:rsidRDefault="00F33163" w:rsidP="006A4C20">
      <w:r w:rsidRPr="00F33163">
        <w:t xml:space="preserve">Plasma levels of CZP are similar during the first and re-treatment periods for those subjects who remain persistently negative for anti-CZP antibodies. </w:t>
      </w:r>
    </w:p>
    <w:p w:rsidR="008E7846" w:rsidRDefault="008E7846" w:rsidP="006A4C20">
      <w:pPr>
        <w:pStyle w:val="Heading3"/>
      </w:pPr>
      <w:bookmarkStart w:id="46" w:name="_Toc196046481"/>
      <w:bookmarkStart w:id="47" w:name="_Toc247691520"/>
      <w:bookmarkStart w:id="48" w:name="_Toc314842503"/>
      <w:bookmarkStart w:id="49" w:name="_Toc399507644"/>
      <w:r w:rsidRPr="006A4C20">
        <w:t>Pharmacodynamics</w:t>
      </w:r>
      <w:bookmarkEnd w:id="37"/>
      <w:bookmarkEnd w:id="46"/>
      <w:bookmarkEnd w:id="47"/>
      <w:bookmarkEnd w:id="48"/>
      <w:bookmarkEnd w:id="49"/>
    </w:p>
    <w:p w:rsidR="00605AD4" w:rsidRDefault="00605AD4" w:rsidP="006A4C20">
      <w:pPr>
        <w:pStyle w:val="Heading4"/>
      </w:pPr>
      <w:r>
        <w:t xml:space="preserve">Studies providing </w:t>
      </w:r>
      <w:proofErr w:type="spellStart"/>
      <w:r w:rsidRPr="006A4C20">
        <w:t>pharmacodynamic</w:t>
      </w:r>
      <w:proofErr w:type="spellEnd"/>
      <w:r>
        <w:t xml:space="preserve"> data</w:t>
      </w:r>
    </w:p>
    <w:p w:rsidR="00F33163" w:rsidRPr="00F33163" w:rsidRDefault="00F33163" w:rsidP="006A4C20">
      <w:r w:rsidRPr="00F33163">
        <w:t xml:space="preserve">No new </w:t>
      </w:r>
      <w:proofErr w:type="spellStart"/>
      <w:r w:rsidRPr="00F33163">
        <w:t>pharmacodynamic</w:t>
      </w:r>
      <w:proofErr w:type="spellEnd"/>
      <w:r w:rsidRPr="00F33163">
        <w:t xml:space="preserve"> (PD) data was provided in this submission, apart from changes in CRP levels with treatment (considered in efficacy section of this report).</w:t>
      </w:r>
    </w:p>
    <w:p w:rsidR="00605AD4" w:rsidRDefault="00605AD4" w:rsidP="006A4C20">
      <w:pPr>
        <w:pStyle w:val="Heading4"/>
      </w:pPr>
      <w:r>
        <w:t xml:space="preserve">Evaluator’s conclusions on </w:t>
      </w:r>
      <w:r w:rsidRPr="006A4C20">
        <w:t>pharmacodynamics</w:t>
      </w:r>
    </w:p>
    <w:p w:rsidR="00F33163" w:rsidRPr="00F33163" w:rsidRDefault="00F33163" w:rsidP="006A4C20">
      <w:r w:rsidRPr="00F33163">
        <w:t xml:space="preserve">The PD properties of CZP when used in adult patients with active RA have been previously assessed. No new PD data, apart from changes in CRP levels, was presented in this </w:t>
      </w:r>
      <w:r w:rsidRPr="00F33163">
        <w:lastRenderedPageBreak/>
        <w:t xml:space="preserve">submission for patients with active </w:t>
      </w:r>
      <w:proofErr w:type="spellStart"/>
      <w:r w:rsidRPr="00F33163">
        <w:t>PsA</w:t>
      </w:r>
      <w:proofErr w:type="spellEnd"/>
      <w:r w:rsidRPr="00F33163">
        <w:t xml:space="preserve"> or axial </w:t>
      </w:r>
      <w:proofErr w:type="spellStart"/>
      <w:r w:rsidRPr="00F33163">
        <w:t>SpA</w:t>
      </w:r>
      <w:proofErr w:type="spellEnd"/>
      <w:r w:rsidRPr="00F33163">
        <w:t xml:space="preserve">, and the sponsor is not proposing any changes to the PD section of the current PI. </w:t>
      </w:r>
    </w:p>
    <w:p w:rsidR="008E7846" w:rsidRDefault="00605AD4" w:rsidP="006A4C20">
      <w:pPr>
        <w:pStyle w:val="Heading3"/>
      </w:pPr>
      <w:bookmarkStart w:id="50" w:name="_Toc399507645"/>
      <w:r>
        <w:t xml:space="preserve">Dosage </w:t>
      </w:r>
      <w:r w:rsidRPr="006A4C20">
        <w:t>selection</w:t>
      </w:r>
      <w:r>
        <w:t xml:space="preserve"> for the pivotal studies</w:t>
      </w:r>
      <w:bookmarkEnd w:id="50"/>
    </w:p>
    <w:p w:rsidR="00F33163" w:rsidRPr="00F33163" w:rsidRDefault="00F33163" w:rsidP="006A4C20">
      <w:r w:rsidRPr="00F33163">
        <w:t xml:space="preserve">No specific dose-finding studies have been performed for patients with </w:t>
      </w:r>
      <w:proofErr w:type="spellStart"/>
      <w:r w:rsidRPr="00F33163">
        <w:t>PsA</w:t>
      </w:r>
      <w:proofErr w:type="spellEnd"/>
      <w:r w:rsidRPr="00F33163">
        <w:t xml:space="preserve"> and axial </w:t>
      </w:r>
      <w:proofErr w:type="spellStart"/>
      <w:r w:rsidRPr="00F33163">
        <w:t>SpA</w:t>
      </w:r>
      <w:proofErr w:type="spellEnd"/>
      <w:r w:rsidRPr="00F33163">
        <w:t>. The dose and administration frequency of CZP used in the 2 pivotal studies (PsA001 and AS001), and proposed by the sponsor for licensing, have been extrapolated from the posology approved for use in adult patients with active RA. Previous submissions in patients with RA have justified the dose selected for that indication. The additional inflammatory arthritis indications (</w:t>
      </w:r>
      <w:proofErr w:type="spellStart"/>
      <w:r w:rsidRPr="00F33163">
        <w:t>PsA</w:t>
      </w:r>
      <w:proofErr w:type="spellEnd"/>
      <w:r w:rsidRPr="00F33163">
        <w:t xml:space="preserve"> and axial </w:t>
      </w:r>
      <w:proofErr w:type="spellStart"/>
      <w:r w:rsidRPr="00F33163">
        <w:t>SpA</w:t>
      </w:r>
      <w:proofErr w:type="spellEnd"/>
      <w:r w:rsidRPr="00F33163">
        <w:t xml:space="preserve">) have similar demographic and disease characteristics to RA to believe the selected dose used in the 2 pivotal studies </w:t>
      </w:r>
      <w:r w:rsidR="00112147" w:rsidRPr="00F33163">
        <w:t>has</w:t>
      </w:r>
      <w:r w:rsidRPr="00F33163">
        <w:t xml:space="preserve"> been reasonably justified by extrapolation. </w:t>
      </w:r>
    </w:p>
    <w:p w:rsidR="00F33163" w:rsidRPr="00F33163" w:rsidRDefault="00F33163" w:rsidP="006A4C20">
      <w:r w:rsidRPr="00F33163">
        <w:t xml:space="preserve">The sponsor is proposing that CZP be administered in the maintenance phase of treatment by SC injection at either a fortnightly dose of 200 mg, or 400 mg given every 4 weeks. A loading dose regimen of CZP 400 mg at Week 0, 2 and 4 is proposed for all of the inflammatory arthritis indications. The doses of background treatment with conventional DMARDs (mainly, MTX), CS and NSAID when used by patients in the pivotal studies (PsA001 and AS001) were appropriate, and consistent with contemporary clinical practice in Australia. </w:t>
      </w:r>
    </w:p>
    <w:p w:rsidR="008E7846" w:rsidRPr="00254787" w:rsidRDefault="008E7846" w:rsidP="006A4C20">
      <w:pPr>
        <w:pStyle w:val="Heading3"/>
      </w:pPr>
      <w:bookmarkStart w:id="51" w:name="_Toc163441372"/>
      <w:bookmarkStart w:id="52" w:name="_Toc196046485"/>
      <w:bookmarkStart w:id="53" w:name="_Toc247691521"/>
      <w:bookmarkStart w:id="54" w:name="_Toc314842504"/>
      <w:bookmarkStart w:id="55" w:name="_Toc399507646"/>
      <w:r w:rsidRPr="006A4C20">
        <w:t>Efficacy</w:t>
      </w:r>
      <w:bookmarkEnd w:id="51"/>
      <w:bookmarkEnd w:id="52"/>
      <w:bookmarkEnd w:id="53"/>
      <w:bookmarkEnd w:id="54"/>
      <w:bookmarkEnd w:id="55"/>
    </w:p>
    <w:p w:rsidR="00605AD4" w:rsidRDefault="00605AD4" w:rsidP="006A4C20">
      <w:pPr>
        <w:pStyle w:val="Heading4"/>
      </w:pPr>
      <w:bookmarkStart w:id="56" w:name="_Toc184439992"/>
      <w:bookmarkStart w:id="57" w:name="_Toc184440279"/>
      <w:bookmarkStart w:id="58" w:name="_Toc184444657"/>
      <w:bookmarkStart w:id="59" w:name="_Toc196046487"/>
      <w:r>
        <w:t xml:space="preserve">Studies </w:t>
      </w:r>
      <w:r w:rsidRPr="006A4C20">
        <w:t>providing</w:t>
      </w:r>
      <w:r>
        <w:t xml:space="preserve"> efficacy data</w:t>
      </w:r>
    </w:p>
    <w:p w:rsidR="00F33163" w:rsidRDefault="00F33163" w:rsidP="006A4C20">
      <w:pPr>
        <w:pStyle w:val="Heading5"/>
      </w:pPr>
      <w:r>
        <w:t xml:space="preserve">Indication 1: The </w:t>
      </w:r>
      <w:r w:rsidRPr="006A4C20">
        <w:t>treatment</w:t>
      </w:r>
      <w:r>
        <w:t xml:space="preserve"> of adult patients with active psoriatic arthritis. </w:t>
      </w:r>
    </w:p>
    <w:p w:rsidR="009B43ED" w:rsidRDefault="009B43ED" w:rsidP="006A4C20">
      <w:pPr>
        <w:pStyle w:val="ListBullet"/>
      </w:pPr>
      <w:r>
        <w:t xml:space="preserve">Studies </w:t>
      </w:r>
      <w:r w:rsidRPr="006A4C20">
        <w:t>PsA001</w:t>
      </w:r>
      <w:r w:rsidR="00B702ED">
        <w:t>,</w:t>
      </w:r>
      <w:r>
        <w:t>C87040, C87044</w:t>
      </w:r>
    </w:p>
    <w:p w:rsidR="009B43ED" w:rsidRDefault="009B43ED" w:rsidP="006A4C20">
      <w:pPr>
        <w:pStyle w:val="Heading5"/>
      </w:pPr>
      <w:r>
        <w:t xml:space="preserve">Indication 2: The treatment of adult patients with active axial </w:t>
      </w:r>
      <w:proofErr w:type="spellStart"/>
      <w:r>
        <w:t>spondyloarthritis</w:t>
      </w:r>
      <w:proofErr w:type="spellEnd"/>
      <w:r>
        <w:t xml:space="preserve">, including </w:t>
      </w:r>
      <w:r w:rsidRPr="006A4C20">
        <w:t>patients</w:t>
      </w:r>
      <w:r>
        <w:t xml:space="preserve"> with </w:t>
      </w:r>
      <w:proofErr w:type="spellStart"/>
      <w:r>
        <w:t>ankylosing</w:t>
      </w:r>
      <w:proofErr w:type="spellEnd"/>
      <w:r>
        <w:t xml:space="preserve"> spondylitis and patients with non-radiographic axial </w:t>
      </w:r>
      <w:proofErr w:type="spellStart"/>
      <w:r>
        <w:t>spondyloarthritis</w:t>
      </w:r>
      <w:proofErr w:type="spellEnd"/>
      <w:r>
        <w:t>.</w:t>
      </w:r>
    </w:p>
    <w:p w:rsidR="009B43ED" w:rsidRPr="00F33163" w:rsidRDefault="009B43ED" w:rsidP="006A4C20">
      <w:pPr>
        <w:pStyle w:val="ListBullet"/>
      </w:pPr>
      <w:r>
        <w:t>Study AS001</w:t>
      </w:r>
    </w:p>
    <w:p w:rsidR="008E7846" w:rsidRDefault="00605AD4" w:rsidP="006A4C20">
      <w:pPr>
        <w:pStyle w:val="Heading4"/>
      </w:pPr>
      <w:r w:rsidRPr="006A4C20">
        <w:t>Evaluator’s</w:t>
      </w:r>
      <w:r>
        <w:t xml:space="preserve"> conclusions on efficacy</w:t>
      </w:r>
    </w:p>
    <w:p w:rsidR="009B43ED" w:rsidRDefault="009B43ED" w:rsidP="006A4C20">
      <w:pPr>
        <w:pStyle w:val="Heading5"/>
      </w:pPr>
      <w:r>
        <w:t>Indication 1: The treatment of adult patients with active psoriatic arthritis</w:t>
      </w:r>
    </w:p>
    <w:p w:rsidR="009B43ED" w:rsidRPr="009B43ED" w:rsidRDefault="009B43ED" w:rsidP="006A4C20">
      <w:r w:rsidRPr="009B43ED">
        <w:t xml:space="preserve">This submission contains a single pivotal trial (Study PsA001) in subjects with </w:t>
      </w:r>
      <w:proofErr w:type="spellStart"/>
      <w:r w:rsidRPr="009B43ED">
        <w:t>PsA</w:t>
      </w:r>
      <w:proofErr w:type="spellEnd"/>
      <w:r w:rsidRPr="009B43ED">
        <w:t xml:space="preserve">, and 2 non-pivotal trials (Studies C87040 and C87044) in patients with chronic plaque psoriasis, to support the extension of indication to include the treatment of active </w:t>
      </w:r>
      <w:proofErr w:type="spellStart"/>
      <w:r w:rsidRPr="009B43ED">
        <w:t>PsA.</w:t>
      </w:r>
      <w:proofErr w:type="spellEnd"/>
      <w:r w:rsidRPr="009B43ED">
        <w:t xml:space="preserve"> The pivotal study is ongoing with an interim study report to 24 weeks of treatment follow-up being included in this submission. Study PsA001 recruited patients according to the CASPAR criteria. The 2 non-pivotal studies were each of 12 weeks duration, and have been finalised with complete study reports in this submission. </w:t>
      </w:r>
    </w:p>
    <w:p w:rsidR="009B43ED" w:rsidRPr="009B43ED" w:rsidRDefault="009B43ED" w:rsidP="006A4C20">
      <w:r w:rsidRPr="009B43ED">
        <w:t xml:space="preserve">This submission is seeking an indication in active </w:t>
      </w:r>
      <w:proofErr w:type="spellStart"/>
      <w:r w:rsidRPr="009B43ED">
        <w:t>PsA</w:t>
      </w:r>
      <w:proofErr w:type="spellEnd"/>
      <w:r w:rsidRPr="009B43ED">
        <w:t xml:space="preserve">, and in general is consistent with the TGA adopted regulatory guideline pertaining to the requested extension of indication: EMEA guideline CPMP/EWP/438/04 “Guideline on Clinical Investigation of Medicinal Products for the Treatment of Psoriatic Arthritis” (effective 5 February 2008). In addition, the single pivotal study (PsA001) had a design that met the criteria for single pivotal study applications. For Study PsA001, the choice of clinical and functional efficacy endpoints and statistical analysis were appropriately performed. However, although the radiographic endpoints were appropriate, the statistical analysis plan was modified post-hoc to </w:t>
      </w:r>
      <w:r w:rsidRPr="009B43ED">
        <w:lastRenderedPageBreak/>
        <w:t xml:space="preserve">demonstrate statistical significance in favour of CZP as the primary statistical analysis was observed to be erroneous. This is a major deficiency of the current submission for the additional claim of reducing the rate of radiographic progression in patients with </w:t>
      </w:r>
      <w:proofErr w:type="spellStart"/>
      <w:r w:rsidRPr="009B43ED">
        <w:t>PsA.</w:t>
      </w:r>
      <w:proofErr w:type="spellEnd"/>
      <w:r w:rsidRPr="009B43ED">
        <w:t xml:space="preserve"> </w:t>
      </w:r>
    </w:p>
    <w:p w:rsidR="009B43ED" w:rsidRPr="009B43ED" w:rsidRDefault="009B43ED" w:rsidP="006A4C20">
      <w:r w:rsidRPr="009B43ED">
        <w:t xml:space="preserve"> The baseline demographic and disease related characteristics of patients in Study PsA001 are similar to those in the anticipated Australian patient cohort, and therefore </w:t>
      </w:r>
      <w:proofErr w:type="gramStart"/>
      <w:r w:rsidRPr="009B43ED">
        <w:t>generalisation</w:t>
      </w:r>
      <w:proofErr w:type="gramEnd"/>
      <w:r w:rsidRPr="009B43ED">
        <w:t xml:space="preserve"> of these results to the Australian context is expected. However, there are some caveats to the generalizability of the treatment population. For example, Study PsA001 excluded patients who were at a significant risk of infection, or who had various abnormal laboratory results at baseline (for example abnormal haematology or liver function tests). </w:t>
      </w:r>
    </w:p>
    <w:p w:rsidR="009B43ED" w:rsidRPr="009B43ED" w:rsidRDefault="009B43ED" w:rsidP="006A4C20">
      <w:r w:rsidRPr="009B43ED">
        <w:t xml:space="preserve">The pivotal trial enrolled patients with moderately active axial </w:t>
      </w:r>
      <w:proofErr w:type="spellStart"/>
      <w:r w:rsidRPr="009B43ED">
        <w:t>SpA</w:t>
      </w:r>
      <w:proofErr w:type="spellEnd"/>
      <w:r w:rsidRPr="009B43ED">
        <w:t xml:space="preserve">, and demonstrated that CZP is an effective treatment in those who have either failed to respond to conventional treatment options, such as DMARDs (mainly MTX), as well as other anti-TNF </w:t>
      </w:r>
      <w:proofErr w:type="gramStart"/>
      <w:r w:rsidRPr="009B43ED">
        <w:t>drugs</w:t>
      </w:r>
      <w:proofErr w:type="gramEnd"/>
      <w:r w:rsidRPr="009B43ED">
        <w:t>. One of the 2 co-primary efficacy endpoints of Study PsA001 was the proportion of subjects who achieved an ACR 20 response at 12 weeks (that is</w:t>
      </w:r>
      <w:r w:rsidR="004332FB">
        <w:t xml:space="preserve"> </w:t>
      </w:r>
      <w:r w:rsidRPr="009B43ED">
        <w:t xml:space="preserve">clinical response criteria), and this was reached. Overall, 58.0% (80/138) of patients treated with CZP 200 mg Q2W and 51.9% (70/135) of subjects treated with CZP 400 mg Q4W achieved this outcome versus 24.3% (33/136) of patients in the placebo group. Many secondary efficacy measures examining clinical outcomes and functional endpoints also demonstrated clinically significant changes with CZP such as various rates of ACR response (20, 50, and 70) at 12-24 weeks, DAS 28 and </w:t>
      </w:r>
      <w:proofErr w:type="spellStart"/>
      <w:r w:rsidRPr="009B43ED">
        <w:t>PsARC</w:t>
      </w:r>
      <w:proofErr w:type="spellEnd"/>
      <w:r w:rsidRPr="009B43ED">
        <w:t xml:space="preserve"> response, as well as the mean change from baseline in HAQ-DI score. Additionally, improvements in measures of skin disease activity (PASI response) and health related quality of life were also attained with CZP therapy. The 2 supporting psoriasis studies (C87040 and C87044) supported the observation that CZP therapy results in clinically meaningful improvements in skin disease activity in patients with chronic, mode</w:t>
      </w:r>
      <w:r w:rsidR="006A4C20">
        <w:t>rately severe plaque psoriasis.</w:t>
      </w:r>
    </w:p>
    <w:p w:rsidR="009B43ED" w:rsidRPr="009B43ED" w:rsidRDefault="000D1C90" w:rsidP="006A4C20">
      <w:r w:rsidRPr="009B43ED">
        <w:t>The second co-primary efficacy endpoint in Study PsA001 was the mean change from baseline to Week 24 in the</w:t>
      </w:r>
      <w:r>
        <w:t xml:space="preserve"> </w:t>
      </w:r>
      <w:r w:rsidRPr="0029526A">
        <w:rPr>
          <w:lang w:eastAsia="ja-JP"/>
        </w:rPr>
        <w:t>modified Total Sharp Score</w:t>
      </w:r>
      <w:r w:rsidRPr="009B43ED">
        <w:t xml:space="preserve"> </w:t>
      </w:r>
      <w:r>
        <w:t>(</w:t>
      </w:r>
      <w:proofErr w:type="spellStart"/>
      <w:r w:rsidRPr="009B43ED">
        <w:t>mTSS</w:t>
      </w:r>
      <w:proofErr w:type="spellEnd"/>
      <w:r>
        <w:t>)</w:t>
      </w:r>
      <w:r w:rsidRPr="009B43ED">
        <w:t xml:space="preserve">. The study’s protocol-defined imputation rules led to physiologically implausible changes in the </w:t>
      </w:r>
      <w:proofErr w:type="spellStart"/>
      <w:r w:rsidRPr="009B43ED">
        <w:t>mTSS</w:t>
      </w:r>
      <w:proofErr w:type="spellEnd"/>
      <w:r w:rsidRPr="009B43ED">
        <w:t xml:space="preserve">, and this endpoint was not achieved in the primary (pre-defined) statistical analysis. However, when different post-hoc imputation rules along with a specified window between radiographs (minimum 8-week window) were applied to the dataset a statistically significant outcome in favour of CZP versus placebo was demonstrated for the primary radiographic endpoint (mean change from baseline to 24 weeks in </w:t>
      </w:r>
      <w:proofErr w:type="spellStart"/>
      <w:r w:rsidRPr="009B43ED">
        <w:t>mTSS</w:t>
      </w:r>
      <w:proofErr w:type="spellEnd"/>
      <w:r w:rsidRPr="009B43ED">
        <w:t xml:space="preserve">), as well as several supporting X-ray endpoints (such as, the proportion of </w:t>
      </w:r>
      <w:proofErr w:type="spellStart"/>
      <w:r w:rsidRPr="009B43ED">
        <w:t>mTSS</w:t>
      </w:r>
      <w:proofErr w:type="spellEnd"/>
      <w:r w:rsidRPr="009B43ED">
        <w:t xml:space="preserve"> responders at Week 24)</w:t>
      </w:r>
      <w:r>
        <w:t>.</w:t>
      </w:r>
    </w:p>
    <w:p w:rsidR="009B43ED" w:rsidRPr="009B43ED" w:rsidRDefault="009B43ED" w:rsidP="006A4C20">
      <w:r w:rsidRPr="009B43ED">
        <w:t xml:space="preserve">Overall, the data in this submission supports the efficacy of CZP in the treatment of active </w:t>
      </w:r>
      <w:proofErr w:type="spellStart"/>
      <w:r w:rsidRPr="009B43ED">
        <w:t>PsA</w:t>
      </w:r>
      <w:proofErr w:type="spellEnd"/>
      <w:r w:rsidRPr="009B43ED">
        <w:t xml:space="preserve"> from a clinical perspective (that is</w:t>
      </w:r>
      <w:r w:rsidR="004332FB">
        <w:t xml:space="preserve"> </w:t>
      </w:r>
      <w:r w:rsidRPr="009B43ED">
        <w:t xml:space="preserve">in beneficially treating the symptoms and signs of peripheral arthritis, as well as improving physical functioning), in those with moderate-severely active disease at baseline, with or without concurrent DMARD and/or NSAID. </w:t>
      </w:r>
      <w:r w:rsidRPr="00FA59C6">
        <w:t>However, the current submission does not provide a sufficiently robust dataset for the claimed additional feature of reducing the rate of radiographic progression of peripheral joint damage as measured by X-ray. Further</w:t>
      </w:r>
      <w:r w:rsidRPr="009B43ED">
        <w:t xml:space="preserve"> longitudinal X-ray follow-up with a pre-defined statistical analysis plan would be required before that additional claim can be made. At this stage, a statistically significant inhibition of structural damage progression after 24 weeks of treatment with CZP in subjects with active </w:t>
      </w:r>
      <w:proofErr w:type="spellStart"/>
      <w:r w:rsidRPr="009B43ED">
        <w:t>PsA</w:t>
      </w:r>
      <w:proofErr w:type="spellEnd"/>
      <w:r w:rsidRPr="009B43ED">
        <w:t xml:space="preserve"> has only been observed when post-hoc imputation rules and related sensitivity analyses have been applied to the dataset.</w:t>
      </w:r>
    </w:p>
    <w:p w:rsidR="009B43ED" w:rsidRDefault="009B43ED" w:rsidP="006A4C20">
      <w:pPr>
        <w:pStyle w:val="Heading5"/>
      </w:pPr>
      <w:r>
        <w:lastRenderedPageBreak/>
        <w:t xml:space="preserve">Indication 2: The treatment of adult patients with active axial </w:t>
      </w:r>
      <w:proofErr w:type="spellStart"/>
      <w:r>
        <w:t>spondyloarthritis</w:t>
      </w:r>
      <w:proofErr w:type="spellEnd"/>
      <w:r>
        <w:t xml:space="preserve">, including patients with </w:t>
      </w:r>
      <w:proofErr w:type="spellStart"/>
      <w:r>
        <w:t>ankylosing</w:t>
      </w:r>
      <w:proofErr w:type="spellEnd"/>
      <w:r>
        <w:t xml:space="preserve"> spondylitis and patients with non-radiographic axial </w:t>
      </w:r>
      <w:proofErr w:type="spellStart"/>
      <w:r>
        <w:t>spondyloarthritis</w:t>
      </w:r>
      <w:proofErr w:type="spellEnd"/>
      <w:r>
        <w:t>.</w:t>
      </w:r>
    </w:p>
    <w:p w:rsidR="009B43ED" w:rsidRPr="00D112DA" w:rsidRDefault="009B43ED" w:rsidP="006A4C20">
      <w:r w:rsidRPr="00D112DA">
        <w:t xml:space="preserve">Historically, AS has been classified and diagnosed according to the modified NY criteria, a key component of which is evidence of </w:t>
      </w:r>
      <w:proofErr w:type="spellStart"/>
      <w:r w:rsidRPr="00D112DA">
        <w:t>sacroiliitis</w:t>
      </w:r>
      <w:proofErr w:type="spellEnd"/>
      <w:r w:rsidRPr="00D112DA">
        <w:t xml:space="preserve"> on plain X-ray. However, radiographic evidence of </w:t>
      </w:r>
      <w:proofErr w:type="spellStart"/>
      <w:r w:rsidRPr="00D112DA">
        <w:t>sacroiliitis</w:t>
      </w:r>
      <w:proofErr w:type="spellEnd"/>
      <w:r w:rsidRPr="00D112DA">
        <w:t xml:space="preserve"> develops late in the disease process, thereby delaying diagnosis and treatment. The recently established ASAS criteria allow for classification of axial </w:t>
      </w:r>
      <w:proofErr w:type="spellStart"/>
      <w:r w:rsidRPr="00D112DA">
        <w:t>SpA</w:t>
      </w:r>
      <w:proofErr w:type="spellEnd"/>
      <w:r w:rsidRPr="00D112DA">
        <w:t xml:space="preserve"> using modern imaging techniques (MRI, as well as plain X-rays). This permits earlier diagnosis of axial </w:t>
      </w:r>
      <w:proofErr w:type="spellStart"/>
      <w:r w:rsidRPr="00D112DA">
        <w:t>SpA</w:t>
      </w:r>
      <w:proofErr w:type="spellEnd"/>
      <w:r w:rsidRPr="00D112DA">
        <w:t>, and the term nr-</w:t>
      </w:r>
      <w:proofErr w:type="spellStart"/>
      <w:r w:rsidRPr="00D112DA">
        <w:t>SpA</w:t>
      </w:r>
      <w:proofErr w:type="spellEnd"/>
      <w:r w:rsidRPr="00D112DA">
        <w:t xml:space="preserve"> is used to define the earlier stage of axial </w:t>
      </w:r>
      <w:proofErr w:type="spellStart"/>
      <w:r w:rsidRPr="00D112DA">
        <w:t>SpA</w:t>
      </w:r>
      <w:proofErr w:type="spellEnd"/>
      <w:r w:rsidRPr="00D112DA">
        <w:t xml:space="preserve">. </w:t>
      </w:r>
    </w:p>
    <w:p w:rsidR="00D112DA" w:rsidRPr="00D112DA" w:rsidRDefault="009B43ED" w:rsidP="006A4C20">
      <w:r w:rsidRPr="00D112DA">
        <w:t xml:space="preserve">This submission contains a single pivotal trial (Study AS001) to support the extension of indication to include axial </w:t>
      </w:r>
      <w:proofErr w:type="spellStart"/>
      <w:r w:rsidRPr="00D112DA">
        <w:t>SpA</w:t>
      </w:r>
      <w:proofErr w:type="spellEnd"/>
      <w:r w:rsidRPr="00D112DA">
        <w:t>. The study is ongoing with an interim study report to 24 weeks of treatment follow-up being included in this submission. Study AS001 recruited patients according to the ASAS criteria. All subjects had to meet the ASAS diagnostic criteria, and in addition 50% of the enrolled patients had to fulfil the modified</w:t>
      </w:r>
      <w:r w:rsidR="00D112DA" w:rsidRPr="00D112DA">
        <w:t xml:space="preserve"> NY criteria for definitive AS.</w:t>
      </w:r>
    </w:p>
    <w:p w:rsidR="00D112DA" w:rsidRPr="00D112DA" w:rsidRDefault="009B43ED" w:rsidP="006A4C20">
      <w:r w:rsidRPr="00D112DA">
        <w:t xml:space="preserve">This submission is seeking an indication in active axial </w:t>
      </w:r>
      <w:proofErr w:type="spellStart"/>
      <w:r w:rsidRPr="00D112DA">
        <w:t>SpA</w:t>
      </w:r>
      <w:proofErr w:type="spellEnd"/>
      <w:r w:rsidRPr="00D112DA">
        <w:t xml:space="preserve">, and is consistent with the TGA adopted regulatory guideline pertaining to the requested extension of indication: EU guideline CPMP/EWP/4891/03 “Guideline on Clinical Investigation of Medicinal Products for the Treatment of </w:t>
      </w:r>
      <w:proofErr w:type="spellStart"/>
      <w:r w:rsidRPr="00D112DA">
        <w:t>Ankylosing</w:t>
      </w:r>
      <w:proofErr w:type="spellEnd"/>
      <w:r w:rsidRPr="00D112DA">
        <w:t xml:space="preserve"> Spondylitis” (effective 23 February 2010). In addition the single pivotal study (AS001) had a design that met the criteria for single pivotal study applications. For Study AS001, the choice of efficacy endpoints and statistical analysis were appropriately performed; and strategies to maintain blinding and randomisati</w:t>
      </w:r>
      <w:r w:rsidR="00D112DA" w:rsidRPr="00D112DA">
        <w:t>on procedures were considered.</w:t>
      </w:r>
    </w:p>
    <w:p w:rsidR="009B43ED" w:rsidRPr="00D112DA" w:rsidRDefault="009B43ED" w:rsidP="006A4C20">
      <w:r w:rsidRPr="00D112DA">
        <w:t xml:space="preserve">The baseline demographic and disease related characteristics of patients in Study AS001 are similar to those in the anticipated Australian patient cohort, and therefore </w:t>
      </w:r>
      <w:proofErr w:type="gramStart"/>
      <w:r w:rsidRPr="00D112DA">
        <w:t>generalisation</w:t>
      </w:r>
      <w:proofErr w:type="gramEnd"/>
      <w:r w:rsidRPr="00D112DA">
        <w:t xml:space="preserve"> of these results to the Australian context is expected. The majority of patients were male, of Caucasian ethnicity, and within the expected age range of 25 and 54 years. However, there are some caveats to the generalizability of the treatment population. For example, Study AS001 excluded patients who were at a significant risk of infection, or who had various abnormal laboratory results at baseline (for example abnormal haemat</w:t>
      </w:r>
      <w:r w:rsidR="006A4C20">
        <w:t>ology or liver function tests).</w:t>
      </w:r>
    </w:p>
    <w:p w:rsidR="009B43ED" w:rsidRPr="00D112DA" w:rsidRDefault="009B43ED" w:rsidP="006A4C20">
      <w:r w:rsidRPr="00D112DA">
        <w:t xml:space="preserve">The pivotal trial enrolled patients with moderately active axial </w:t>
      </w:r>
      <w:proofErr w:type="spellStart"/>
      <w:r w:rsidRPr="00D112DA">
        <w:t>SpA</w:t>
      </w:r>
      <w:proofErr w:type="spellEnd"/>
      <w:r w:rsidRPr="00D112DA">
        <w:t xml:space="preserve">, and demonstrated that CZP is an effective treatment in those who have either failed to respond to conventional treatment options, such as NSAIDs and/or DMARDs (SSZ or MTX). The primary efficacy endpoint of Study AS001 was the proportion of subjects who achieved an ASAS 20 response at 12 weeks, and this was reached. Overall, 63.6% (68/107) of patients treated with CZP 400 mg Q4W and 57.7% (64/111) of subjects treated with CZP 200 mg Q2W achieved this outcome versus 38.3% (41/107) of patients in the placebo group. Many secondary efficacy measures of clinical relevance such as various rates of ASAS response (20, 40, 5/6 and partial remission) at 12-24 weeks, as well as BASDAI response confirmed that CZP is effective in treating the symptoms and signs of active axial </w:t>
      </w:r>
      <w:proofErr w:type="spellStart"/>
      <w:r w:rsidRPr="00D112DA">
        <w:t>SpA</w:t>
      </w:r>
      <w:proofErr w:type="spellEnd"/>
      <w:r w:rsidRPr="00D112DA">
        <w:t xml:space="preserve">. Improvements in measures of inflammation (CRP), imaging (MRI parameters), physical functioning (BASFI), spinal mobility (BASMI), and health related quality of life were also attained with CZP therapy. Clinically meaningful improvements with CZP compared with placebo were observed in the overall axial </w:t>
      </w:r>
      <w:proofErr w:type="spellStart"/>
      <w:r w:rsidRPr="00D112DA">
        <w:t>SpA</w:t>
      </w:r>
      <w:proofErr w:type="spellEnd"/>
      <w:r w:rsidRPr="00D112DA">
        <w:t xml:space="preserve"> population, as well as the 2 subpopulations (AS and nr-</w:t>
      </w:r>
      <w:proofErr w:type="spellStart"/>
      <w:r w:rsidRPr="00D112DA">
        <w:t>SpA</w:t>
      </w:r>
      <w:proofErr w:type="spellEnd"/>
      <w:r w:rsidRPr="00D112DA">
        <w:t>), with no significant differences bet</w:t>
      </w:r>
      <w:r w:rsidR="006A4C20">
        <w:t>ween the 2 CZP dosing regimens.</w:t>
      </w:r>
    </w:p>
    <w:p w:rsidR="009B43ED" w:rsidRPr="00D112DA" w:rsidRDefault="009B43ED" w:rsidP="006A4C20">
      <w:r w:rsidRPr="00D112DA">
        <w:t>Overall, the data in this submission supports the efficacy of CZP in the tr</w:t>
      </w:r>
      <w:r w:rsidRPr="006A4C20">
        <w:t>e</w:t>
      </w:r>
      <w:r w:rsidRPr="00D112DA">
        <w:t xml:space="preserve">atment of axial </w:t>
      </w:r>
      <w:proofErr w:type="spellStart"/>
      <w:r w:rsidRPr="00D112DA">
        <w:t>SpA</w:t>
      </w:r>
      <w:proofErr w:type="spellEnd"/>
      <w:r w:rsidRPr="00D112DA">
        <w:t xml:space="preserve"> (as per the ASAS criteria), in those with moderate-severely active disease at baseline, with or without concurrent NSAID or DMARD.</w:t>
      </w:r>
    </w:p>
    <w:p w:rsidR="008E7846" w:rsidRPr="002E238E" w:rsidRDefault="008E7846" w:rsidP="006A4C20">
      <w:pPr>
        <w:pStyle w:val="Heading3"/>
      </w:pPr>
      <w:bookmarkStart w:id="60" w:name="_Toc163441378"/>
      <w:bookmarkStart w:id="61" w:name="_Toc196046495"/>
      <w:bookmarkStart w:id="62" w:name="_Toc247691522"/>
      <w:bookmarkStart w:id="63" w:name="_Toc314842505"/>
      <w:bookmarkStart w:id="64" w:name="_Toc399507647"/>
      <w:bookmarkEnd w:id="56"/>
      <w:bookmarkEnd w:id="57"/>
      <w:bookmarkEnd w:id="58"/>
      <w:bookmarkEnd w:id="59"/>
      <w:r w:rsidRPr="006A4C20">
        <w:lastRenderedPageBreak/>
        <w:t>Safety</w:t>
      </w:r>
      <w:bookmarkEnd w:id="60"/>
      <w:bookmarkEnd w:id="61"/>
      <w:bookmarkEnd w:id="62"/>
      <w:bookmarkEnd w:id="63"/>
      <w:bookmarkEnd w:id="64"/>
    </w:p>
    <w:p w:rsidR="00605AD4" w:rsidRDefault="00605AD4" w:rsidP="006A4C20">
      <w:pPr>
        <w:pStyle w:val="Heading4"/>
      </w:pPr>
      <w:bookmarkStart w:id="65" w:name="_Toc247691524"/>
      <w:bookmarkStart w:id="66" w:name="_Toc314842508"/>
      <w:bookmarkStart w:id="67" w:name="_Toc196046504"/>
      <w:bookmarkStart w:id="68" w:name="_Toc163441390"/>
      <w:r w:rsidRPr="006A4C20">
        <w:t>Studies</w:t>
      </w:r>
      <w:r w:rsidRPr="00605AD4">
        <w:t xml:space="preserve"> providing safety data</w:t>
      </w:r>
    </w:p>
    <w:p w:rsidR="009B43ED" w:rsidRPr="009B43ED" w:rsidRDefault="009B43ED" w:rsidP="006A4C20">
      <w:proofErr w:type="gramStart"/>
      <w:r>
        <w:t>Studies PsA001, AS00</w:t>
      </w:r>
      <w:r w:rsidR="00144202">
        <w:t>1</w:t>
      </w:r>
      <w:r>
        <w:t xml:space="preserve"> and, two supporting, non-pivotal efficacy studies (C87040 and C87044).</w:t>
      </w:r>
      <w:proofErr w:type="gramEnd"/>
    </w:p>
    <w:p w:rsidR="00605AD4" w:rsidRDefault="00605AD4" w:rsidP="006A4C20">
      <w:pPr>
        <w:pStyle w:val="Heading4"/>
      </w:pPr>
      <w:r w:rsidRPr="006A4C20">
        <w:t>Patient</w:t>
      </w:r>
      <w:r w:rsidRPr="00605AD4">
        <w:t xml:space="preserve"> exposure</w:t>
      </w:r>
    </w:p>
    <w:p w:rsidR="009B43ED" w:rsidRPr="009B43ED" w:rsidRDefault="009B43ED" w:rsidP="006A4C20">
      <w:pPr>
        <w:pStyle w:val="Heading5"/>
      </w:pPr>
      <w:r w:rsidRPr="009B43ED">
        <w:t xml:space="preserve">Study </w:t>
      </w:r>
      <w:r w:rsidRPr="006A4C20">
        <w:t>PsA001</w:t>
      </w:r>
    </w:p>
    <w:p w:rsidR="009B43ED" w:rsidRPr="009B43ED" w:rsidRDefault="009B43ED" w:rsidP="006A4C20">
      <w:r w:rsidRPr="009B43ED">
        <w:t xml:space="preserve">In Study PsA001, a total of 138 subjects received CZP 200 mg Q2W, 135 subjects received CZP 400 mg Q4W, and 61 subjects exclusively received placebo throughout the 24-week, double-blind treatment period. At Week 16, 59 placebo subjects escaped to CZP therapy and were re-randomized to CZP 200 mg Q2W (30 subjects) or CZP 400 mg Q4W (29 subjects). The median number of doses received was 12.0 for the CZP 200 mg Q2W group and 7.0 for the CZP 400 mg Q4W group, as expected per the injection schedule. The median number of doses received in the placebo group was 8, which was less than planned per the injection schedule but reflects the fact that 43.4% (59/136) of placebo subjects escaped to CZP at Week 16. The median duration of exposure was 24 weeks for both CZP dose groups. The median duration of exposure was 16.4 weeks for the placebo group, which was the time at which placebo subjects could escape to CZP. This corresponds to 65.3-67.4 PY of exposure for each of the CZP dose groups, and 51.1 PY of exposure for the placebo arm. Of note, 4 placebo subjects inadvertently received a CZP injection at some time during the trial (3 of which did so at Week 0 or 2). </w:t>
      </w:r>
    </w:p>
    <w:p w:rsidR="009B43ED" w:rsidRPr="009B43ED" w:rsidRDefault="009B43ED" w:rsidP="006A4C20">
      <w:pPr>
        <w:pStyle w:val="Heading5"/>
      </w:pPr>
      <w:r w:rsidRPr="009B43ED">
        <w:t xml:space="preserve">Study </w:t>
      </w:r>
      <w:r w:rsidRPr="006A4C20">
        <w:t>AS001</w:t>
      </w:r>
    </w:p>
    <w:p w:rsidR="009B43ED" w:rsidRPr="009B43ED" w:rsidRDefault="009B43ED" w:rsidP="006A4C20">
      <w:r w:rsidRPr="009B43ED">
        <w:t>In Study AS001, a total of 111 subjects received CZP 200 mg Q2W, 107 subjects received CZP 400 mg Q4W, and 51 subjects exclusively received placebo throughout the 24-week, double-blind treatment period. At Week 16, 56 placebo subjects escaped to CZP therapy and were re-randomized to CZP 200 mg Q2W (27 subjects) or CZP 400 mg Q4W (29 subjects). The median number of CZP doses received was 12.0 for the CZP 200 mg Q2W group, and 7.0 for the CZP 400 mg Q4W group. The median number of doses received in the placebo group was 8.0, which was less than planned per the injection schedule but reflects that 52.3% (56/107) of placebo subjects escaped to CZP at Week 16. The median duration of exposure was 23.3 weeks for the CZP 200 mg Q2W group, 23.3 weeks for the CZP 400 mg Q4W arm, and 16.1 weeks for the placebo group. This corresponds to 53.3-55.5 PY of exposure for each of the CZP dose groups, and 38.0 PY of exposure for the placebo arm.</w:t>
      </w:r>
    </w:p>
    <w:p w:rsidR="009B43ED" w:rsidRPr="009B43ED" w:rsidRDefault="009B43ED" w:rsidP="006A4C20">
      <w:pPr>
        <w:pStyle w:val="Heading5"/>
      </w:pPr>
      <w:r w:rsidRPr="009B43ED">
        <w:t xml:space="preserve">Study </w:t>
      </w:r>
      <w:r w:rsidRPr="006A4C20">
        <w:t>C87040</w:t>
      </w:r>
    </w:p>
    <w:p w:rsidR="009B43ED" w:rsidRPr="009B43ED" w:rsidRDefault="009B43ED" w:rsidP="006A4C20">
      <w:r w:rsidRPr="009B43ED">
        <w:t>The mean exposure to study treatment was the same for both CZP dose groups in this trial (mean of 11.6 injections out of a possible maximum of 12 injections). However, because of a higher discontinuation rate in the placebo group, a mean of 10.2 injections occurred for this cohort. Ninety percent of subjects in both CZP groups received all 12 injections during the 12-week trial compared to 67.2% (39/58) in the control group.</w:t>
      </w:r>
    </w:p>
    <w:p w:rsidR="009B43ED" w:rsidRPr="006A4C20" w:rsidRDefault="006A4C20" w:rsidP="006A4C20">
      <w:pPr>
        <w:pStyle w:val="Heading5"/>
      </w:pPr>
      <w:r>
        <w:t>Study C87044</w:t>
      </w:r>
    </w:p>
    <w:p w:rsidR="009B43ED" w:rsidRPr="009B43ED" w:rsidRDefault="009B43ED" w:rsidP="006A4C20">
      <w:r w:rsidRPr="009B43ED">
        <w:t>The majority of subjects in each group received all 12 injections during this 12-week re-treatment study: 94.1% (32/34) were given CZP 200 mg Q2W, and 94.6% (</w:t>
      </w:r>
      <w:r w:rsidR="006A4C20">
        <w:t>35/37) received CZP 400 mg Q2W.</w:t>
      </w:r>
    </w:p>
    <w:p w:rsidR="00605AD4" w:rsidRDefault="00605AD4" w:rsidP="006A4C20">
      <w:pPr>
        <w:pStyle w:val="Heading4"/>
      </w:pPr>
      <w:r w:rsidRPr="00605AD4">
        <w:lastRenderedPageBreak/>
        <w:t xml:space="preserve">Safety issues with the potential for major regulatory </w:t>
      </w:r>
      <w:r w:rsidRPr="006A4C20">
        <w:t>impact</w:t>
      </w:r>
    </w:p>
    <w:p w:rsidR="009B43ED" w:rsidRPr="009B43ED" w:rsidRDefault="009B43ED" w:rsidP="006A4C20">
      <w:pPr>
        <w:pStyle w:val="Heading5"/>
      </w:pPr>
      <w:bookmarkStart w:id="69" w:name="_Toc272414681"/>
      <w:bookmarkStart w:id="70" w:name="_Toc290846319"/>
      <w:bookmarkStart w:id="71" w:name="_Toc374783362"/>
      <w:r w:rsidRPr="009B43ED">
        <w:t>Risk of Infection, inc</w:t>
      </w:r>
      <w:bookmarkEnd w:id="69"/>
      <w:bookmarkEnd w:id="70"/>
      <w:r w:rsidRPr="009B43ED">
        <w:t xml:space="preserve">luding opportunistic </w:t>
      </w:r>
      <w:r w:rsidRPr="006A4C20">
        <w:t>infection</w:t>
      </w:r>
      <w:bookmarkEnd w:id="71"/>
    </w:p>
    <w:p w:rsidR="009B43ED" w:rsidRPr="009B43ED" w:rsidRDefault="009B43ED" w:rsidP="006A4C20">
      <w:r w:rsidRPr="009B43ED">
        <w:t>CZP has been identified to be associated with an increased risk of infection, including tuberculosis and other serious opportunistic infections. Screening for tuberculosis was an entry requirement of both pivotal studies in this submission. One patient treated with CZP in Study C87040 developed disseminated tuberculosis, and another subject was a screen failure for the follow-on re-treatment study (C87044) because of latent tuberculosis. Herpetic infections were reported at a very low frequency in both pivotal studies, with no treatment related association being apparent. Nonetheless, the overall rate of infection related SAEs was slightly higher in CZP treated subjects versus placebo pa</w:t>
      </w:r>
      <w:r w:rsidR="006A4C20">
        <w:t>tients in both pivotal studies.</w:t>
      </w:r>
    </w:p>
    <w:p w:rsidR="009B43ED" w:rsidRPr="009B43ED" w:rsidRDefault="009B43ED" w:rsidP="006A4C20">
      <w:pPr>
        <w:pStyle w:val="Heading5"/>
      </w:pPr>
      <w:bookmarkStart w:id="72" w:name="_Toc272414682"/>
      <w:bookmarkStart w:id="73" w:name="_Toc290846320"/>
      <w:bookmarkStart w:id="74" w:name="_Toc374783363"/>
      <w:r w:rsidRPr="009B43ED">
        <w:t xml:space="preserve">Malignancies, </w:t>
      </w:r>
      <w:r w:rsidRPr="006A4C20">
        <w:t>includi</w:t>
      </w:r>
      <w:bookmarkEnd w:id="72"/>
      <w:bookmarkEnd w:id="73"/>
      <w:r w:rsidRPr="006A4C20">
        <w:t>ng</w:t>
      </w:r>
      <w:r w:rsidRPr="009B43ED">
        <w:t xml:space="preserve"> lymphoma and melanoma</w:t>
      </w:r>
      <w:bookmarkEnd w:id="74"/>
    </w:p>
    <w:p w:rsidR="009B43ED" w:rsidRPr="009B43ED" w:rsidRDefault="009B43ED" w:rsidP="006A4C20">
      <w:r w:rsidRPr="009B43ED">
        <w:t xml:space="preserve">All 4 clinical studies had insufficient reported treatment follow-up periods (ranging from 12-24 weeks) in this submission to assess the malignancy potential of CZP in the target populations of </w:t>
      </w:r>
      <w:proofErr w:type="spellStart"/>
      <w:r w:rsidRPr="009B43ED">
        <w:t>PsA</w:t>
      </w:r>
      <w:proofErr w:type="spellEnd"/>
      <w:r w:rsidRPr="009B43ED">
        <w:t xml:space="preserve"> and axial </w:t>
      </w:r>
      <w:proofErr w:type="spellStart"/>
      <w:r w:rsidRPr="009B43ED">
        <w:t>SpA</w:t>
      </w:r>
      <w:proofErr w:type="spellEnd"/>
      <w:r w:rsidRPr="009B43ED">
        <w:t>. Updated data from the RA population experience, which is significantly larger, does not indicate an increased overall risk of malignancy (excluding non-melanoma skin cancer) when using CZP, however, this issue will require ongoing surveillance in the target popu</w:t>
      </w:r>
      <w:r w:rsidR="006A4C20">
        <w:t>lations if approval is granted.</w:t>
      </w:r>
    </w:p>
    <w:p w:rsidR="009B43ED" w:rsidRPr="009B43ED" w:rsidRDefault="009B43ED" w:rsidP="006A4C20">
      <w:pPr>
        <w:pStyle w:val="Heading5"/>
      </w:pPr>
      <w:bookmarkStart w:id="75" w:name="_Toc272414683"/>
      <w:bookmarkStart w:id="76" w:name="_Toc290846321"/>
      <w:bookmarkStart w:id="77" w:name="_Toc374783364"/>
      <w:r w:rsidRPr="009B43ED">
        <w:t xml:space="preserve">Injection Site and Hypersensitivity </w:t>
      </w:r>
      <w:r w:rsidRPr="006A4C20">
        <w:t>reactions</w:t>
      </w:r>
      <w:bookmarkEnd w:id="75"/>
      <w:bookmarkEnd w:id="76"/>
      <w:bookmarkEnd w:id="77"/>
    </w:p>
    <w:p w:rsidR="009B43ED" w:rsidRPr="009B43ED" w:rsidRDefault="009B43ED" w:rsidP="006A4C20">
      <w:r w:rsidRPr="009B43ED">
        <w:t>This has already been addressed in this report.</w:t>
      </w:r>
    </w:p>
    <w:p w:rsidR="009B43ED" w:rsidRPr="009B43ED" w:rsidRDefault="009B43ED" w:rsidP="006A4C20">
      <w:pPr>
        <w:pStyle w:val="Heading5"/>
      </w:pPr>
      <w:bookmarkStart w:id="78" w:name="_Toc272414684"/>
      <w:bookmarkStart w:id="79" w:name="_Toc290846322"/>
      <w:bookmarkStart w:id="80" w:name="_Toc374783365"/>
      <w:r w:rsidRPr="009B43ED">
        <w:t>Cardiovascular safety</w:t>
      </w:r>
      <w:bookmarkEnd w:id="78"/>
      <w:bookmarkEnd w:id="79"/>
      <w:r w:rsidRPr="009B43ED">
        <w:t xml:space="preserve">, including heart </w:t>
      </w:r>
      <w:r w:rsidRPr="006A4C20">
        <w:t>failure</w:t>
      </w:r>
      <w:r w:rsidRPr="009B43ED">
        <w:t xml:space="preserve"> and ischaemic events</w:t>
      </w:r>
      <w:bookmarkEnd w:id="80"/>
    </w:p>
    <w:p w:rsidR="009B43ED" w:rsidRPr="009B43ED" w:rsidRDefault="009B43ED" w:rsidP="006A4C20">
      <w:r w:rsidRPr="009B43ED">
        <w:t xml:space="preserve">Similar to the issue of malignancy, all 4 clinical studies in this submission had insufficient treatment follow-up periods to assess the long-term cardiovascular safety of CZP in the target populations. Like patients with RA, those with active </w:t>
      </w:r>
      <w:proofErr w:type="spellStart"/>
      <w:r w:rsidRPr="009B43ED">
        <w:t>PsA</w:t>
      </w:r>
      <w:proofErr w:type="spellEnd"/>
      <w:r w:rsidRPr="009B43ED">
        <w:t xml:space="preserve"> have an increased risk of cardiovascular morbidity and mortality. Currently, CZP does not appear to be associated with an increased risk of adverse cardiovascular events in patients with RA, but the issue will require ongoing </w:t>
      </w:r>
      <w:proofErr w:type="spellStart"/>
      <w:r w:rsidRPr="009B43ED">
        <w:t>pharmcovigilance</w:t>
      </w:r>
      <w:proofErr w:type="spellEnd"/>
      <w:r w:rsidRPr="009B43ED">
        <w:t xml:space="preserve"> in the requested target populations (particularl</w:t>
      </w:r>
      <w:r w:rsidR="006A4C20">
        <w:t xml:space="preserve">y, </w:t>
      </w:r>
      <w:proofErr w:type="spellStart"/>
      <w:r w:rsidR="006A4C20">
        <w:t>PsA</w:t>
      </w:r>
      <w:proofErr w:type="spellEnd"/>
      <w:r w:rsidR="006A4C20">
        <w:t>) if approval is granted.</w:t>
      </w:r>
    </w:p>
    <w:p w:rsidR="009B43ED" w:rsidRPr="009B43ED" w:rsidRDefault="009B43ED" w:rsidP="006A4C20">
      <w:pPr>
        <w:pStyle w:val="Heading5"/>
      </w:pPr>
      <w:bookmarkStart w:id="81" w:name="_Toc241374323"/>
      <w:bookmarkStart w:id="82" w:name="_Toc272414685"/>
      <w:bookmarkStart w:id="83" w:name="_Toc290846323"/>
      <w:bookmarkStart w:id="84" w:name="_Toc374783366"/>
      <w:r w:rsidRPr="009B43ED">
        <w:t xml:space="preserve">Unwanted </w:t>
      </w:r>
      <w:r w:rsidRPr="006A4C20">
        <w:t>Immunological</w:t>
      </w:r>
      <w:r w:rsidRPr="009B43ED">
        <w:t xml:space="preserve"> events</w:t>
      </w:r>
      <w:bookmarkEnd w:id="81"/>
      <w:bookmarkEnd w:id="82"/>
      <w:bookmarkEnd w:id="83"/>
      <w:bookmarkEnd w:id="84"/>
    </w:p>
    <w:p w:rsidR="009B43ED" w:rsidRPr="009B43ED" w:rsidRDefault="009B43ED" w:rsidP="006A4C20">
      <w:r w:rsidRPr="009B43ED">
        <w:t>The rate and consequences of developing anti-CZP antibodies has already been discussed. The formation of anti-drug antibodies does not appear to be associated with experiencing AEs, but results in increased plasma clearance of the drug, which potentially may affect efficacy.</w:t>
      </w:r>
    </w:p>
    <w:p w:rsidR="009B43ED" w:rsidRPr="009B43ED" w:rsidRDefault="009B43ED" w:rsidP="006A4C20">
      <w:r w:rsidRPr="009B43ED">
        <w:t xml:space="preserve">In this submission, no subjects developed clinical consequences consistent with systemic autoimmune disease such as systemic lupus erythematosus. One subject (64-year-old female) developed subacute cutaneous lupus 45 days after starting CZP 200 mg Q2W in Study PsA001. In addition, a 32-year-old female in Study AS001 reported </w:t>
      </w:r>
      <w:proofErr w:type="spellStart"/>
      <w:r w:rsidRPr="009B43ED">
        <w:t>pustular</w:t>
      </w:r>
      <w:proofErr w:type="spellEnd"/>
      <w:r w:rsidRPr="009B43ED">
        <w:t xml:space="preserve"> psoriasis 7 days after starting treatment with CZP 200 mg Q2W.</w:t>
      </w:r>
    </w:p>
    <w:p w:rsidR="00605AD4" w:rsidRDefault="0024294D" w:rsidP="009B43ED">
      <w:pPr>
        <w:pStyle w:val="Heading5"/>
      </w:pPr>
      <w:r w:rsidRPr="00605AD4">
        <w:t>Post marketing</w:t>
      </w:r>
      <w:r w:rsidR="00605AD4" w:rsidRPr="00605AD4">
        <w:t xml:space="preserve"> data</w:t>
      </w:r>
    </w:p>
    <w:p w:rsidR="009B43ED" w:rsidRPr="009B43ED" w:rsidRDefault="009B43ED" w:rsidP="006A4C20">
      <w:r w:rsidRPr="009B43ED">
        <w:t>As CZP has not been approved anywhere in the world at</w:t>
      </w:r>
      <w:r w:rsidR="00B702ED">
        <w:t xml:space="preserve"> the time of submission</w:t>
      </w:r>
      <w:r w:rsidRPr="009B43ED">
        <w:t xml:space="preserve"> for the treatment indications of active </w:t>
      </w:r>
      <w:proofErr w:type="spellStart"/>
      <w:r w:rsidRPr="009B43ED">
        <w:t>PsA</w:t>
      </w:r>
      <w:proofErr w:type="spellEnd"/>
      <w:r w:rsidRPr="009B43ED">
        <w:t xml:space="preserve"> and axial </w:t>
      </w:r>
      <w:proofErr w:type="spellStart"/>
      <w:r w:rsidRPr="009B43ED">
        <w:t>SpA</w:t>
      </w:r>
      <w:proofErr w:type="spellEnd"/>
      <w:r w:rsidRPr="009B43ED">
        <w:t>, there is no post-marketing experience specific to the requested target populations in this submission. The sponsor has provided an updated report (data collected up to 14 November 2012) regarding its experience in patients with RA. The most recent update does not indicate any newly identified or pote</w:t>
      </w:r>
      <w:r w:rsidR="006A4C20">
        <w:t>ntial safety concerns with CZP.</w:t>
      </w:r>
    </w:p>
    <w:p w:rsidR="00605AD4" w:rsidRPr="00605AD4" w:rsidRDefault="00605AD4" w:rsidP="006A4C20">
      <w:pPr>
        <w:pStyle w:val="Heading4"/>
      </w:pPr>
      <w:r w:rsidRPr="00605AD4">
        <w:lastRenderedPageBreak/>
        <w:t xml:space="preserve">Evaluator’s conclusions </w:t>
      </w:r>
      <w:r w:rsidRPr="006A4C20">
        <w:t>on</w:t>
      </w:r>
      <w:r w:rsidRPr="00605AD4">
        <w:t xml:space="preserve"> safety</w:t>
      </w:r>
    </w:p>
    <w:p w:rsidR="009B43ED" w:rsidRPr="009B43ED" w:rsidRDefault="009B43ED" w:rsidP="006A4C20">
      <w:r w:rsidRPr="009B43ED">
        <w:t>In this submission, the total clinical safety dataset for the use of CZP in ad</w:t>
      </w:r>
      <w:r w:rsidR="00D112DA">
        <w:t xml:space="preserve">ult patients with active </w:t>
      </w:r>
      <w:proofErr w:type="spellStart"/>
      <w:r w:rsidR="00D112DA">
        <w:t>PsA</w:t>
      </w:r>
      <w:proofErr w:type="spellEnd"/>
      <w:r w:rsidR="00D112DA">
        <w:t xml:space="preserve"> (n = </w:t>
      </w:r>
      <w:r w:rsidRPr="009B43ED">
        <w:t xml:space="preserve">332) or axial Spa (n </w:t>
      </w:r>
      <w:r w:rsidR="004332FB">
        <w:t xml:space="preserve">= </w:t>
      </w:r>
      <w:r w:rsidRPr="009B43ED">
        <w:t xml:space="preserve">274) consists of 606 patients in 2 pivotal studies, all of whom received maintenance CZP by SC injection either at a dose of 200 mg Q2W or 400 mg Q4W. Most of the patients in the dataset received concurrent MTX and/or NSAID, and approximately 17-25% were taking concurrent low dose oral CS. In the pivotal </w:t>
      </w:r>
      <w:proofErr w:type="spellStart"/>
      <w:r w:rsidRPr="009B43ED">
        <w:t>PsA</w:t>
      </w:r>
      <w:proofErr w:type="spellEnd"/>
      <w:r w:rsidRPr="009B43ED">
        <w:t xml:space="preserve"> study, the overall exposure to CZP was 132.7 patient-years, and the total exposure to CZP in the pivotal </w:t>
      </w:r>
      <w:proofErr w:type="spellStart"/>
      <w:r w:rsidRPr="009B43ED">
        <w:t>SpA</w:t>
      </w:r>
      <w:proofErr w:type="spellEnd"/>
      <w:r w:rsidRPr="009B43ED">
        <w:t xml:space="preserve"> trial was 108.8 patient-years. In the 2 supporting skin psoriasis studies (C87040 and C</w:t>
      </w:r>
      <w:r w:rsidR="000D2396">
        <w:t>870</w:t>
      </w:r>
      <w:r w:rsidRPr="009B43ED">
        <w:t xml:space="preserve">44) more than 90% of patients (n </w:t>
      </w:r>
      <w:r w:rsidR="004332FB">
        <w:t xml:space="preserve">= </w:t>
      </w:r>
      <w:r w:rsidRPr="009B43ED">
        <w:t xml:space="preserve">71) received CZP for 24 weeks in total (as part of a first, and then re-treatment period study design). Overall, there is sufficient volume of data to make a meaningful assessment of safety for up to 24 weeks of treatment in newly proposed treatment indications of active </w:t>
      </w:r>
      <w:proofErr w:type="spellStart"/>
      <w:r w:rsidRPr="009B43ED">
        <w:t>PsA</w:t>
      </w:r>
      <w:proofErr w:type="spellEnd"/>
      <w:r w:rsidRPr="009B43ED">
        <w:t xml:space="preserve"> and axial </w:t>
      </w:r>
      <w:proofErr w:type="spellStart"/>
      <w:r w:rsidRPr="009B43ED">
        <w:t>SpA</w:t>
      </w:r>
      <w:proofErr w:type="spellEnd"/>
      <w:r w:rsidRPr="009B43ED">
        <w:t>.</w:t>
      </w:r>
    </w:p>
    <w:p w:rsidR="009B43ED" w:rsidRPr="009B43ED" w:rsidRDefault="009B43ED" w:rsidP="006A4C20">
      <w:r w:rsidRPr="009B43ED">
        <w:t xml:space="preserve">Infection was the most common AE recognised in the CZP inflammatory arthritis studies with approximately 35.3% of patients (214/606) in both pivotal studies experiencing an infection related AE. The majority of infections were mild in severity, self-limiting, and predominately involved either the upper respiratory tract or gastrointestinal system. However, serious infection related AEs were reported in 2.8% (17/606) of CZP-treated patients in both pivotal trials. In addition, 1 patient in the supporting psoriasis study (C87040) developed disseminated tuberculosis. It is unclear if the use of concurrent DMARD and/or CS, as well as age increases the risk of infection associated with CZP. </w:t>
      </w:r>
    </w:p>
    <w:p w:rsidR="009B43ED" w:rsidRPr="009B43ED" w:rsidRDefault="009B43ED" w:rsidP="006A4C20">
      <w:r w:rsidRPr="009B43ED">
        <w:t xml:space="preserve">Injection site reactions were a common type of AE reported in patients receiving CZP. In both pivotal studies, 6.6% (40/606) of subjects experienced an ISR. The majority of injection site reactions were mild, resolved without specific intervention and did not result in discontinuation from CZP therapy. Acute systemic hypersensitivity reactions were rare with CZP in all of the trials, as was the new onset of autoimmune diseases such as lupus (1 case each of cutaneous lupus and </w:t>
      </w:r>
      <w:proofErr w:type="spellStart"/>
      <w:r w:rsidRPr="009B43ED">
        <w:t>pustular</w:t>
      </w:r>
      <w:proofErr w:type="spellEnd"/>
      <w:r w:rsidRPr="009B43ED">
        <w:t xml:space="preserve"> psoriasis in CZP treated subjects in the 2 pivotal studies)</w:t>
      </w:r>
      <w:r w:rsidR="006A4C20">
        <w:t>.</w:t>
      </w:r>
    </w:p>
    <w:p w:rsidR="009B43ED" w:rsidRPr="009B43ED" w:rsidRDefault="009B43ED" w:rsidP="006A4C20">
      <w:r w:rsidRPr="009B43ED">
        <w:t xml:space="preserve">Two deaths (cardiac arrest and sudden cardiac death) were reported in the pivotal </w:t>
      </w:r>
      <w:proofErr w:type="spellStart"/>
      <w:r w:rsidRPr="009B43ED">
        <w:t>PsA</w:t>
      </w:r>
      <w:proofErr w:type="spellEnd"/>
      <w:r w:rsidRPr="009B43ED">
        <w:t xml:space="preserve"> study (PsA001), but both were considered to be unrelated to CZP. Another fatality (cerebral haemorrhage) was recorded 18 weeks following the last dose of CZP in the supporting psoriasis trial (C87044), and this was also considered to be unrelated to CZP. Two malignancies were identified in Study PsA001 but the 12-24 week follow-up periods of each trial are of insufficient duration to identify any potential safety signal on this topic of interest. Cardiovascular AEs occurred at a low and similar incidence to control therapy in the pivotal trials, but would require longer periods of treatment follow</w:t>
      </w:r>
      <w:r w:rsidR="006A4C20">
        <w:t>-up to be adequately evaluated.</w:t>
      </w:r>
    </w:p>
    <w:p w:rsidR="009B43ED" w:rsidRPr="009B43ED" w:rsidRDefault="009B43ED" w:rsidP="006A4C20">
      <w:r w:rsidRPr="009B43ED">
        <w:t>Elevations in hepatic transaminases (AST and ALT) were recorded in up to 19.6% of patients treated with CZP in the pivotal study (PsA001). The majority of these changes in liver function tests were mild and without associated clinical implications. The same observation, but at a lower frequency, was seen in Study AS001.</w:t>
      </w:r>
    </w:p>
    <w:p w:rsidR="009B43ED" w:rsidRPr="009B43ED" w:rsidRDefault="009B43ED" w:rsidP="006A4C20">
      <w:r w:rsidRPr="009B43ED">
        <w:t xml:space="preserve">The incidence of </w:t>
      </w:r>
      <w:proofErr w:type="spellStart"/>
      <w:r w:rsidRPr="009B43ED">
        <w:t>PsA</w:t>
      </w:r>
      <w:proofErr w:type="spellEnd"/>
      <w:r w:rsidRPr="009B43ED">
        <w:t xml:space="preserve"> or axial </w:t>
      </w:r>
      <w:proofErr w:type="spellStart"/>
      <w:r w:rsidRPr="009B43ED">
        <w:t>SpA</w:t>
      </w:r>
      <w:proofErr w:type="spellEnd"/>
      <w:r w:rsidRPr="009B43ED">
        <w:t xml:space="preserve"> subjects developing anti-CZP antibodies is low (5.9% - using the combined incidence observed in Studies PsA001 and AS001), and their clinical relevance for safety outcomes is yet to be defined with no discernible link to the risk of infection, or infusion related reactions. However, the development of anti-CZP antibodies may be associated w</w:t>
      </w:r>
      <w:r w:rsidR="006A4C20">
        <w:t>ith a lack or loss of efficacy.</w:t>
      </w:r>
    </w:p>
    <w:p w:rsidR="00605AD4" w:rsidRPr="00605AD4" w:rsidRDefault="009B43ED" w:rsidP="006A4C20">
      <w:r w:rsidRPr="009B43ED">
        <w:t xml:space="preserve">In summary, the safety data indicates that CZP has an acceptable overall short-term safety profile in the treatment of adult patients with moderately to severely active </w:t>
      </w:r>
      <w:proofErr w:type="spellStart"/>
      <w:r w:rsidRPr="009B43ED">
        <w:t>PsA</w:t>
      </w:r>
      <w:proofErr w:type="spellEnd"/>
      <w:r w:rsidRPr="009B43ED">
        <w:t xml:space="preserve"> and axial </w:t>
      </w:r>
      <w:proofErr w:type="spellStart"/>
      <w:r w:rsidRPr="009B43ED">
        <w:t>SpA</w:t>
      </w:r>
      <w:proofErr w:type="spellEnd"/>
      <w:r w:rsidRPr="009B43ED">
        <w:t xml:space="preserve">. There is insufficient long-term safety data in the current submission to assess the risk of some types of AEs such as malignancy and adverse cardiovascular events, which will require longitudinal safety follow-up. There are some significant identified safety concerns including the risk of serious infection, opportunistic infection, injection site reactions, and </w:t>
      </w:r>
      <w:r w:rsidRPr="009B43ED">
        <w:lastRenderedPageBreak/>
        <w:t xml:space="preserve">abnormal liver function tests. These safety concerns are consistent with known profile of CZP in other approved indications, mainly active RA. Significant </w:t>
      </w:r>
      <w:proofErr w:type="spellStart"/>
      <w:r w:rsidRPr="009B43ED">
        <w:t>pharmacovigilance</w:t>
      </w:r>
      <w:proofErr w:type="spellEnd"/>
      <w:r w:rsidRPr="009B43ED">
        <w:t xml:space="preserve"> would be required if approval is granted for extension of treatment indications. This would include vigilance for opportunistic infections, adverse cardiovascular events and malignancy.</w:t>
      </w:r>
    </w:p>
    <w:p w:rsidR="00605AD4" w:rsidRPr="00605AD4" w:rsidRDefault="00605AD4" w:rsidP="006A4C20">
      <w:pPr>
        <w:pStyle w:val="Heading3"/>
        <w:rPr>
          <w:rFonts w:eastAsia="Cambria"/>
        </w:rPr>
      </w:pPr>
      <w:bookmarkStart w:id="85" w:name="_Toc399507648"/>
      <w:r w:rsidRPr="00605AD4">
        <w:rPr>
          <w:rFonts w:eastAsia="Cambria"/>
        </w:rPr>
        <w:t xml:space="preserve">First </w:t>
      </w:r>
      <w:r w:rsidR="006A4C20">
        <w:rPr>
          <w:rFonts w:eastAsia="Cambria"/>
        </w:rPr>
        <w:t>r</w:t>
      </w:r>
      <w:r w:rsidRPr="00605AD4">
        <w:rPr>
          <w:rFonts w:eastAsia="Cambria"/>
        </w:rPr>
        <w:t xml:space="preserve">ound </w:t>
      </w:r>
      <w:r w:rsidR="006A4C20">
        <w:rPr>
          <w:rFonts w:eastAsia="Cambria"/>
        </w:rPr>
        <w:t>b</w:t>
      </w:r>
      <w:r w:rsidRPr="00605AD4">
        <w:rPr>
          <w:rFonts w:eastAsia="Cambria"/>
        </w:rPr>
        <w:t>enefit-</w:t>
      </w:r>
      <w:r w:rsidR="006A4C20">
        <w:rPr>
          <w:rFonts w:eastAsia="Cambria"/>
        </w:rPr>
        <w:t>r</w:t>
      </w:r>
      <w:r w:rsidRPr="00605AD4">
        <w:rPr>
          <w:rFonts w:eastAsia="Cambria"/>
        </w:rPr>
        <w:t xml:space="preserve">isk </w:t>
      </w:r>
      <w:r w:rsidR="006A4C20" w:rsidRPr="006A4C20">
        <w:rPr>
          <w:rFonts w:eastAsia="Cambria"/>
        </w:rPr>
        <w:t>a</w:t>
      </w:r>
      <w:r w:rsidRPr="006A4C20">
        <w:rPr>
          <w:rFonts w:eastAsia="Cambria"/>
        </w:rPr>
        <w:t>ssessment</w:t>
      </w:r>
      <w:bookmarkEnd w:id="85"/>
    </w:p>
    <w:p w:rsidR="00605AD4" w:rsidRDefault="00605AD4" w:rsidP="006A4C20">
      <w:pPr>
        <w:pStyle w:val="Heading4"/>
      </w:pPr>
      <w:r w:rsidRPr="00605AD4">
        <w:t>First round assessment of benefits</w:t>
      </w:r>
    </w:p>
    <w:p w:rsidR="009B43ED" w:rsidRPr="009B43ED" w:rsidRDefault="009B43ED" w:rsidP="006A4C20">
      <w:r w:rsidRPr="009B43ED">
        <w:t>The benefits of CZP in the proposed usage are:</w:t>
      </w:r>
    </w:p>
    <w:p w:rsidR="009B43ED" w:rsidRPr="009B43ED" w:rsidRDefault="009B43ED" w:rsidP="006A4C20">
      <w:pPr>
        <w:pStyle w:val="ListBullet"/>
      </w:pPr>
      <w:proofErr w:type="spellStart"/>
      <w:r w:rsidRPr="009B43ED">
        <w:t>PsA</w:t>
      </w:r>
      <w:proofErr w:type="spellEnd"/>
      <w:r w:rsidRPr="009B43ED">
        <w:t xml:space="preserve"> indication – improvement in the signs and symptoms of peripheral arthritis (as per the ACR </w:t>
      </w:r>
      <w:r w:rsidRPr="006A4C20">
        <w:t>clinical</w:t>
      </w:r>
      <w:r w:rsidRPr="009B43ED">
        <w:t xml:space="preserve"> response criteria), and improvement in physical functioning (as evidenced by treatment related improvements in the HAQ-DI scale). </w:t>
      </w:r>
    </w:p>
    <w:p w:rsidR="009B43ED" w:rsidRPr="009B43ED" w:rsidRDefault="009B43ED" w:rsidP="006A4C20">
      <w:pPr>
        <w:pStyle w:val="ListBullet"/>
      </w:pPr>
      <w:r w:rsidRPr="009B43ED">
        <w:t xml:space="preserve">Axial </w:t>
      </w:r>
      <w:proofErr w:type="spellStart"/>
      <w:r w:rsidRPr="009B43ED">
        <w:t>SpA</w:t>
      </w:r>
      <w:proofErr w:type="spellEnd"/>
      <w:r w:rsidRPr="009B43ED">
        <w:t xml:space="preserve"> indication (for both </w:t>
      </w:r>
      <w:r w:rsidRPr="006A4C20">
        <w:t>subjects</w:t>
      </w:r>
      <w:r w:rsidRPr="009B43ED">
        <w:t xml:space="preserve"> with confirmed AS and nr-</w:t>
      </w:r>
      <w:proofErr w:type="spellStart"/>
      <w:r w:rsidRPr="009B43ED">
        <w:t>SpA</w:t>
      </w:r>
      <w:proofErr w:type="spellEnd"/>
      <w:r w:rsidRPr="009B43ED">
        <w:t xml:space="preserve">) – improvement in the symptoms and signs of axial disease (as per improvements in back pain and stiffness), improvement in physical functioning (as per changes in BASDAI and BASFI), and slowing of structural damage (as evidenced by treatment related improvements in MRI parameters). </w:t>
      </w:r>
    </w:p>
    <w:p w:rsidR="00605AD4" w:rsidRDefault="00605AD4" w:rsidP="006A4C20">
      <w:pPr>
        <w:pStyle w:val="Heading4"/>
      </w:pPr>
      <w:r w:rsidRPr="00605AD4">
        <w:t xml:space="preserve">First round </w:t>
      </w:r>
      <w:r w:rsidRPr="006A4C20">
        <w:t>assessment</w:t>
      </w:r>
      <w:r w:rsidRPr="00605AD4">
        <w:t xml:space="preserve"> of risks</w:t>
      </w:r>
    </w:p>
    <w:p w:rsidR="009B43ED" w:rsidRPr="009B43ED" w:rsidRDefault="009B43ED" w:rsidP="006A4C20">
      <w:r w:rsidRPr="009B43ED">
        <w:t>The risks of CZP in the proposed usage (both treatment indications) are:</w:t>
      </w:r>
    </w:p>
    <w:p w:rsidR="009B43ED" w:rsidRPr="006A4C20" w:rsidRDefault="009B43ED" w:rsidP="006A4C20">
      <w:pPr>
        <w:pStyle w:val="ListBullet"/>
      </w:pPr>
      <w:r w:rsidRPr="006A4C20">
        <w:t>Increased risk of infection, including tuberculosis and other serious opportunistic infections</w:t>
      </w:r>
    </w:p>
    <w:p w:rsidR="009B43ED" w:rsidRPr="006A4C20" w:rsidRDefault="009B43ED" w:rsidP="006A4C20">
      <w:pPr>
        <w:pStyle w:val="ListBullet"/>
      </w:pPr>
      <w:r w:rsidRPr="006A4C20">
        <w:t>Local injection site reactions, which are generally mild and transient, and do not result in permanent discontinuation from CZP</w:t>
      </w:r>
    </w:p>
    <w:p w:rsidR="009B43ED" w:rsidRPr="006A4C20" w:rsidRDefault="009B43ED" w:rsidP="006A4C20">
      <w:pPr>
        <w:pStyle w:val="ListBullet"/>
      </w:pPr>
      <w:r w:rsidRPr="006A4C20">
        <w:t>Increased incidence of abnormal liver function tests, in particular, raised serum transaminases</w:t>
      </w:r>
    </w:p>
    <w:p w:rsidR="009B43ED" w:rsidRPr="006A4C20" w:rsidRDefault="009B43ED" w:rsidP="006A4C20">
      <w:pPr>
        <w:pStyle w:val="ListBullet"/>
      </w:pPr>
      <w:r w:rsidRPr="006A4C20">
        <w:t>Potential increased risk of malignancy and adverse cardiovascular events requiring long-term surveillance</w:t>
      </w:r>
    </w:p>
    <w:p w:rsidR="009B43ED" w:rsidRPr="006A4C20" w:rsidRDefault="009B43ED" w:rsidP="006A4C20">
      <w:pPr>
        <w:pStyle w:val="ListBullet"/>
      </w:pPr>
      <w:r w:rsidRPr="006A4C20">
        <w:t>Formation of anti-CZP antibodies which results in increased plasma clearance of CZP and possible loss, or lack of efficacy</w:t>
      </w:r>
    </w:p>
    <w:p w:rsidR="00605AD4" w:rsidRPr="00605AD4" w:rsidRDefault="00605AD4" w:rsidP="006A4C20">
      <w:pPr>
        <w:pStyle w:val="Heading4"/>
      </w:pPr>
      <w:r w:rsidRPr="00605AD4">
        <w:t>First round assessment of benefit-risk balance</w:t>
      </w:r>
    </w:p>
    <w:p w:rsidR="009B43ED" w:rsidRPr="009B43ED" w:rsidRDefault="009B43ED" w:rsidP="006A4C20">
      <w:r w:rsidRPr="009B43ED">
        <w:t xml:space="preserve">The short-term (up to 24 weeks), benefit-risk balance of CZP in the target populations of adult subjects with active </w:t>
      </w:r>
      <w:proofErr w:type="spellStart"/>
      <w:r w:rsidRPr="009B43ED">
        <w:t>PsA</w:t>
      </w:r>
      <w:proofErr w:type="spellEnd"/>
      <w:r w:rsidRPr="009B43ED">
        <w:t xml:space="preserve"> and axial </w:t>
      </w:r>
      <w:proofErr w:type="spellStart"/>
      <w:r w:rsidRPr="009B43ED">
        <w:t>SpA</w:t>
      </w:r>
      <w:proofErr w:type="spellEnd"/>
      <w:r w:rsidRPr="009B43ED">
        <w:t xml:space="preserve"> is favourable</w:t>
      </w:r>
      <w:r w:rsidR="006A4C20">
        <w:t>.</w:t>
      </w:r>
    </w:p>
    <w:p w:rsidR="00605AD4" w:rsidRPr="00605AD4" w:rsidRDefault="00605AD4" w:rsidP="006A4C20">
      <w:pPr>
        <w:pStyle w:val="Heading3"/>
        <w:rPr>
          <w:rFonts w:eastAsia="Cambria"/>
        </w:rPr>
      </w:pPr>
      <w:bookmarkStart w:id="86" w:name="_Toc399507649"/>
      <w:r w:rsidRPr="00605AD4">
        <w:rPr>
          <w:rFonts w:eastAsia="Cambria"/>
        </w:rPr>
        <w:t xml:space="preserve">First </w:t>
      </w:r>
      <w:r w:rsidR="006A4C20">
        <w:rPr>
          <w:rFonts w:eastAsia="Cambria"/>
        </w:rPr>
        <w:t>round r</w:t>
      </w:r>
      <w:r w:rsidRPr="00605AD4">
        <w:rPr>
          <w:rFonts w:eastAsia="Cambria"/>
        </w:rPr>
        <w:t xml:space="preserve">ecommendation </w:t>
      </w:r>
      <w:r w:rsidR="006A4C20">
        <w:rPr>
          <w:rFonts w:eastAsia="Cambria"/>
        </w:rPr>
        <w:t>r</w:t>
      </w:r>
      <w:r w:rsidRPr="00605AD4">
        <w:rPr>
          <w:rFonts w:eastAsia="Cambria"/>
        </w:rPr>
        <w:t xml:space="preserve">egarding </w:t>
      </w:r>
      <w:r w:rsidR="006A4C20" w:rsidRPr="006A4C20">
        <w:rPr>
          <w:rFonts w:eastAsia="Cambria"/>
        </w:rPr>
        <w:t>a</w:t>
      </w:r>
      <w:r w:rsidRPr="006A4C20">
        <w:rPr>
          <w:rFonts w:eastAsia="Cambria"/>
        </w:rPr>
        <w:t>uthorisation</w:t>
      </w:r>
      <w:bookmarkEnd w:id="86"/>
    </w:p>
    <w:p w:rsidR="009B43ED" w:rsidRPr="009B43ED" w:rsidRDefault="009B43ED" w:rsidP="006A4C20">
      <w:r w:rsidRPr="009B43ED">
        <w:t xml:space="preserve">This evaluator recommends acceptance of the sponsor’s proposed extension of treatment indications for CZP to include the treatment of active </w:t>
      </w:r>
      <w:proofErr w:type="spellStart"/>
      <w:r w:rsidRPr="009B43ED">
        <w:t>PsA</w:t>
      </w:r>
      <w:proofErr w:type="spellEnd"/>
      <w:r w:rsidRPr="009B43ED">
        <w:t xml:space="preserve"> and axial </w:t>
      </w:r>
      <w:proofErr w:type="spellStart"/>
      <w:r w:rsidRPr="009B43ED">
        <w:t>SpA</w:t>
      </w:r>
      <w:proofErr w:type="spellEnd"/>
      <w:r w:rsidRPr="009B43ED">
        <w:t xml:space="preserve">. The proposed wording of treatment extension in patients with </w:t>
      </w:r>
      <w:proofErr w:type="spellStart"/>
      <w:r w:rsidRPr="009B43ED">
        <w:t>PsA</w:t>
      </w:r>
      <w:proofErr w:type="spellEnd"/>
      <w:r w:rsidRPr="009B43ED">
        <w:t xml:space="preserve"> has 2 additional elements: reducing the rate of progression of peripheral joint damage by X-ray, and improving physical functioning. The current submission provides robust evidence of improving physical functioning in patients with active </w:t>
      </w:r>
      <w:proofErr w:type="spellStart"/>
      <w:r w:rsidRPr="009B43ED">
        <w:t>PsA</w:t>
      </w:r>
      <w:proofErr w:type="spellEnd"/>
      <w:r w:rsidRPr="009B43ED">
        <w:t xml:space="preserve">, however, the radiographic claim has not been sufficiently proven at this stage, and requires further evidence of justification before licensing is approved. In particular, the current X-ray data is limited to 24 weeks of assessment which is an insufficient time frame to evaluate such a claim. Furthermore, the </w:t>
      </w:r>
      <w:r w:rsidRPr="009B43ED">
        <w:lastRenderedPageBreak/>
        <w:t xml:space="preserve">current X-ray data only shows a positive effect with CZP at 24 weeks when post-hoc imputation rules with a specified minimum 8-week period between X-ray assessments was applied. A robust treatment effect requires at least 12 months (ideally 2 years) of follow-up (as per regulatory guideline advice in RA), and the statistical analysis plan should be pre-specified. </w:t>
      </w:r>
    </w:p>
    <w:p w:rsidR="009B43ED" w:rsidRPr="009B43ED" w:rsidRDefault="009B43ED" w:rsidP="006A4C20">
      <w:r w:rsidRPr="009B43ED">
        <w:t>It is also recommended that approval of the sponsor’s proposed extension of indication be subject to:</w:t>
      </w:r>
    </w:p>
    <w:p w:rsidR="009B43ED" w:rsidRPr="009B43ED" w:rsidRDefault="009B43ED" w:rsidP="006A4C20">
      <w:r w:rsidRPr="009B43ED">
        <w:t xml:space="preserve">Satisfactory response to the questions in this report, </w:t>
      </w:r>
    </w:p>
    <w:p w:rsidR="009B43ED" w:rsidRPr="009B43ED" w:rsidRDefault="009B43ED" w:rsidP="006A4C20">
      <w:pPr>
        <w:pStyle w:val="ListBullet"/>
      </w:pPr>
      <w:r w:rsidRPr="009B43ED">
        <w:t xml:space="preserve">Regular periodic safety update reports, and </w:t>
      </w:r>
    </w:p>
    <w:p w:rsidR="009B43ED" w:rsidRPr="009B43ED" w:rsidRDefault="009B43ED" w:rsidP="006A4C20">
      <w:pPr>
        <w:pStyle w:val="ListBullet"/>
      </w:pPr>
      <w:r w:rsidRPr="009B43ED">
        <w:t xml:space="preserve">When available, the sponsor provides the TGA with the final clinical study reports for </w:t>
      </w:r>
      <w:r w:rsidRPr="006A4C20">
        <w:t>Studies</w:t>
      </w:r>
      <w:r w:rsidR="006A4C20">
        <w:t xml:space="preserve"> PsA001 and AS001.</w:t>
      </w:r>
    </w:p>
    <w:p w:rsidR="00605AD4" w:rsidRPr="00605AD4" w:rsidRDefault="00605AD4" w:rsidP="006A4C20">
      <w:pPr>
        <w:pStyle w:val="Heading3"/>
        <w:rPr>
          <w:rFonts w:eastAsia="Cambria"/>
        </w:rPr>
      </w:pPr>
      <w:bookmarkStart w:id="87" w:name="_Toc399507650"/>
      <w:r w:rsidRPr="00605AD4">
        <w:rPr>
          <w:rFonts w:eastAsia="Cambria"/>
        </w:rPr>
        <w:t xml:space="preserve">Clinical </w:t>
      </w:r>
      <w:r w:rsidR="006A4C20" w:rsidRPr="006A4C20">
        <w:rPr>
          <w:rFonts w:eastAsia="Cambria"/>
        </w:rPr>
        <w:t>q</w:t>
      </w:r>
      <w:r w:rsidRPr="006A4C20">
        <w:rPr>
          <w:rFonts w:eastAsia="Cambria"/>
        </w:rPr>
        <w:t>uestions</w:t>
      </w:r>
      <w:bookmarkEnd w:id="87"/>
    </w:p>
    <w:p w:rsidR="009B43ED" w:rsidRPr="009B43ED" w:rsidRDefault="009B43ED" w:rsidP="006A4C20">
      <w:pPr>
        <w:pStyle w:val="Heading4"/>
      </w:pPr>
      <w:bookmarkStart w:id="88" w:name="_Toc272414702"/>
      <w:bookmarkStart w:id="89" w:name="_Toc290846342"/>
      <w:bookmarkStart w:id="90" w:name="_Toc374783380"/>
      <w:bookmarkStart w:id="91" w:name="_Toc388281356"/>
      <w:r w:rsidRPr="006A4C20">
        <w:t>Pharmacokinetics</w:t>
      </w:r>
      <w:bookmarkEnd w:id="88"/>
      <w:bookmarkEnd w:id="89"/>
      <w:bookmarkEnd w:id="90"/>
      <w:bookmarkEnd w:id="91"/>
    </w:p>
    <w:p w:rsidR="009B43ED" w:rsidRPr="009B43ED" w:rsidRDefault="009B43ED" w:rsidP="006A4C20">
      <w:r w:rsidRPr="009B43ED">
        <w:t xml:space="preserve">Cytokines have the potential to alter the expression of Cytochrome P450 enzymes. Could the sponsor comment on whether </w:t>
      </w:r>
      <w:proofErr w:type="spellStart"/>
      <w:r w:rsidRPr="009B43ED">
        <w:t>Cimzia</w:t>
      </w:r>
      <w:proofErr w:type="spellEnd"/>
      <w:r w:rsidRPr="009B43ED">
        <w:t xml:space="preserve"> has the potential for drug-drug interactions on the basis of an alteration in cytokine levels and/or activity. </w:t>
      </w:r>
    </w:p>
    <w:p w:rsidR="009B43ED" w:rsidRPr="009B43ED" w:rsidRDefault="009B43ED" w:rsidP="006A4C20">
      <w:pPr>
        <w:pStyle w:val="Heading4"/>
      </w:pPr>
      <w:bookmarkStart w:id="92" w:name="_Toc272414703"/>
      <w:bookmarkStart w:id="93" w:name="_Toc290846343"/>
      <w:bookmarkStart w:id="94" w:name="_Toc374783381"/>
      <w:bookmarkStart w:id="95" w:name="_Toc388281357"/>
      <w:r w:rsidRPr="006A4C20">
        <w:t>Pharmacodynamics</w:t>
      </w:r>
      <w:bookmarkEnd w:id="92"/>
      <w:bookmarkEnd w:id="93"/>
      <w:bookmarkEnd w:id="94"/>
      <w:bookmarkEnd w:id="95"/>
    </w:p>
    <w:p w:rsidR="009B43ED" w:rsidRPr="009B43ED" w:rsidRDefault="009B43ED" w:rsidP="006A4C20">
      <w:r w:rsidRPr="009B43ED">
        <w:t xml:space="preserve">This submission did not contain any new </w:t>
      </w:r>
      <w:proofErr w:type="spellStart"/>
      <w:r w:rsidRPr="009B43ED">
        <w:t>pharmacodynamic</w:t>
      </w:r>
      <w:proofErr w:type="spellEnd"/>
      <w:r w:rsidRPr="009B43ED">
        <w:t xml:space="preserve"> information (apart from changes in CRP values) in patients with psoriatic arthritis or axial </w:t>
      </w:r>
      <w:proofErr w:type="spellStart"/>
      <w:r w:rsidRPr="009B43ED">
        <w:t>spondyloarthritis</w:t>
      </w:r>
      <w:proofErr w:type="spellEnd"/>
      <w:r w:rsidRPr="009B43ED">
        <w:t xml:space="preserve">. Could the sponsor provide information to support that </w:t>
      </w:r>
      <w:proofErr w:type="spellStart"/>
      <w:r w:rsidRPr="009B43ED">
        <w:t>pharmacodynamic</w:t>
      </w:r>
      <w:proofErr w:type="spellEnd"/>
      <w:r w:rsidRPr="009B43ED">
        <w:t xml:space="preserve"> response with </w:t>
      </w:r>
      <w:proofErr w:type="spellStart"/>
      <w:r w:rsidRPr="009B43ED">
        <w:t>Cimzia</w:t>
      </w:r>
      <w:proofErr w:type="spellEnd"/>
      <w:r w:rsidRPr="009B43ED">
        <w:t xml:space="preserve"> in patients with psoriatic arthritis and axial </w:t>
      </w:r>
      <w:proofErr w:type="spellStart"/>
      <w:r w:rsidRPr="009B43ED">
        <w:t>spondyloarthritis</w:t>
      </w:r>
      <w:proofErr w:type="spellEnd"/>
      <w:r w:rsidRPr="009B43ED">
        <w:t xml:space="preserve"> is similar to what has been observed in adult patients with rheumatoid arthritis.</w:t>
      </w:r>
    </w:p>
    <w:p w:rsidR="009B43ED" w:rsidRPr="009B43ED" w:rsidRDefault="009B43ED" w:rsidP="006A4C20">
      <w:pPr>
        <w:pStyle w:val="Heading4"/>
      </w:pPr>
      <w:bookmarkStart w:id="96" w:name="_Toc272414704"/>
      <w:bookmarkStart w:id="97" w:name="_Toc290846344"/>
      <w:bookmarkStart w:id="98" w:name="_Toc374783382"/>
      <w:bookmarkStart w:id="99" w:name="_Toc388281358"/>
      <w:r w:rsidRPr="006A4C20">
        <w:t>Efficacy</w:t>
      </w:r>
      <w:bookmarkEnd w:id="96"/>
      <w:bookmarkEnd w:id="97"/>
      <w:bookmarkEnd w:id="98"/>
      <w:bookmarkEnd w:id="99"/>
    </w:p>
    <w:p w:rsidR="009B43ED" w:rsidRPr="009B43ED" w:rsidRDefault="009B43ED" w:rsidP="006A4C20">
      <w:r w:rsidRPr="009B43ED">
        <w:t xml:space="preserve">The claim of radiographic benefit with </w:t>
      </w:r>
      <w:proofErr w:type="spellStart"/>
      <w:r w:rsidRPr="009B43ED">
        <w:t>Cimzia</w:t>
      </w:r>
      <w:proofErr w:type="spellEnd"/>
      <w:r w:rsidRPr="009B43ED">
        <w:t xml:space="preserve"> in patients with active </w:t>
      </w:r>
      <w:proofErr w:type="spellStart"/>
      <w:r w:rsidRPr="009B43ED">
        <w:t>PsA</w:t>
      </w:r>
      <w:proofErr w:type="spellEnd"/>
      <w:r w:rsidRPr="009B43ED">
        <w:t xml:space="preserve"> is based on assessments performed up to 24 weeks after the commencement of </w:t>
      </w:r>
      <w:proofErr w:type="spellStart"/>
      <w:r w:rsidRPr="009B43ED">
        <w:t>Cimzia</w:t>
      </w:r>
      <w:proofErr w:type="spellEnd"/>
      <w:r w:rsidRPr="009B43ED">
        <w:t xml:space="preserve">. A statistically significant benefit with </w:t>
      </w:r>
      <w:proofErr w:type="spellStart"/>
      <w:r w:rsidRPr="009B43ED">
        <w:t>Cimzia</w:t>
      </w:r>
      <w:proofErr w:type="spellEnd"/>
      <w:r w:rsidRPr="009B43ED">
        <w:t xml:space="preserve"> was observed when post-hoc imputation rules were applied to the radiographic endpoint analysis. Could the sponsor comment on the robustness of the claim of reducing the rate of radiographic progression given the above limitations of the current dataset, and that regulatory guidelines in RA recommend a longer period of follow-up (at least 12 months) before a radiographic claim can be made.</w:t>
      </w:r>
    </w:p>
    <w:p w:rsidR="009B43ED" w:rsidRPr="009B43ED" w:rsidRDefault="009B43ED" w:rsidP="006A4C20">
      <w:pPr>
        <w:pStyle w:val="Heading4"/>
      </w:pPr>
      <w:bookmarkStart w:id="100" w:name="_Toc272414705"/>
      <w:bookmarkStart w:id="101" w:name="_Toc290846345"/>
      <w:bookmarkStart w:id="102" w:name="_Toc374783383"/>
      <w:bookmarkStart w:id="103" w:name="_Toc388281359"/>
      <w:r w:rsidRPr="006A4C20">
        <w:t>Safety</w:t>
      </w:r>
      <w:bookmarkEnd w:id="100"/>
      <w:bookmarkEnd w:id="101"/>
      <w:bookmarkEnd w:id="102"/>
      <w:bookmarkEnd w:id="103"/>
    </w:p>
    <w:p w:rsidR="00605AD4" w:rsidRPr="00605AD4" w:rsidRDefault="009B43ED" w:rsidP="006A4C20">
      <w:r w:rsidRPr="009B43ED">
        <w:t>Could the sponsor present information regarding an assessment of risk of AE by subgroups of special interest, such as those aged</w:t>
      </w:r>
      <w:r w:rsidR="004332FB">
        <w:t xml:space="preserve"> &gt; </w:t>
      </w:r>
      <w:r w:rsidRPr="009B43ED">
        <w:t>65 years, increased BMI, concomitant treatment (for example corticosteroid use), concurrent co-morbidities or gender.</w:t>
      </w:r>
    </w:p>
    <w:p w:rsidR="00605AD4" w:rsidRPr="00605AD4" w:rsidRDefault="00605AD4" w:rsidP="006A4C20">
      <w:pPr>
        <w:pStyle w:val="Heading3"/>
        <w:rPr>
          <w:rFonts w:eastAsia="Cambria"/>
        </w:rPr>
      </w:pPr>
      <w:bookmarkStart w:id="104" w:name="_Toc399507651"/>
      <w:r w:rsidRPr="00605AD4">
        <w:rPr>
          <w:rFonts w:eastAsia="Cambria"/>
        </w:rPr>
        <w:t xml:space="preserve">Second </w:t>
      </w:r>
      <w:r w:rsidR="006A4C20">
        <w:rPr>
          <w:rFonts w:eastAsia="Cambria"/>
        </w:rPr>
        <w:t>r</w:t>
      </w:r>
      <w:r w:rsidRPr="00605AD4">
        <w:rPr>
          <w:rFonts w:eastAsia="Cambria"/>
        </w:rPr>
        <w:t xml:space="preserve">ound </w:t>
      </w:r>
      <w:r w:rsidR="006A4C20">
        <w:rPr>
          <w:rFonts w:eastAsia="Cambria"/>
        </w:rPr>
        <w:t>e</w:t>
      </w:r>
      <w:r w:rsidRPr="00605AD4">
        <w:rPr>
          <w:rFonts w:eastAsia="Cambria"/>
        </w:rPr>
        <w:t xml:space="preserve">valuation of clinical data submitted in response to </w:t>
      </w:r>
      <w:r w:rsidRPr="006A4C20">
        <w:rPr>
          <w:rFonts w:eastAsia="Cambria"/>
        </w:rPr>
        <w:t>questions</w:t>
      </w:r>
      <w:bookmarkEnd w:id="104"/>
    </w:p>
    <w:p w:rsidR="009B43ED" w:rsidRPr="009B43ED" w:rsidRDefault="009B43ED" w:rsidP="006A4C20">
      <w:r w:rsidRPr="009B43ED">
        <w:t>The sponsor’s response dated 1 November 2013 addresses questions that were raised in the first round clinical assessment. Each of these responses will be assessed in order.</w:t>
      </w:r>
    </w:p>
    <w:p w:rsidR="009B43ED" w:rsidRPr="009B43ED" w:rsidRDefault="009B43ED" w:rsidP="006A4C20">
      <w:pPr>
        <w:pStyle w:val="Heading4"/>
      </w:pPr>
      <w:bookmarkStart w:id="105" w:name="_Toc388281361"/>
      <w:r w:rsidRPr="006A4C20">
        <w:lastRenderedPageBreak/>
        <w:t>Pharmacokinetics</w:t>
      </w:r>
      <w:bookmarkEnd w:id="105"/>
    </w:p>
    <w:p w:rsidR="009B43ED" w:rsidRPr="009B43ED" w:rsidRDefault="009B43ED" w:rsidP="006A4C20">
      <w:r w:rsidRPr="009B43ED">
        <w:t>The sponsor states that the only in vivo drug-drug interaction study (PHA-001) performed in the CZP clinical development involved the concurrent administration of MTX in subjects with RA. This study showed that CZP did not have a statistically or clinically meaningful effect on the overall extent of exposure (AUC) or peak plasma concentration (</w:t>
      </w:r>
      <w:proofErr w:type="spellStart"/>
      <w:r w:rsidRPr="009B43ED">
        <w:t>Cmax</w:t>
      </w:r>
      <w:proofErr w:type="spellEnd"/>
      <w:r w:rsidRPr="009B43ED">
        <w:t>) of MTX and 7-hydroxy MTX. However, the contribution of cytochrome P450 enzy</w:t>
      </w:r>
      <w:r w:rsidR="006A4C20">
        <w:t>mes to MTX metabolism is small.</w:t>
      </w:r>
    </w:p>
    <w:p w:rsidR="009B43ED" w:rsidRPr="009B43ED" w:rsidRDefault="009B43ED" w:rsidP="006A4C20">
      <w:r w:rsidRPr="009B43ED">
        <w:t>The sponsor also states the recent literature showing that the expression of cytochrome P450 enzymes may be down-regulated by increased levels of pro-inflammatory cytokines (</w:t>
      </w:r>
      <w:r w:rsidR="0024294D">
        <w:t>for example</w:t>
      </w:r>
      <w:r w:rsidRPr="009B43ED">
        <w:t xml:space="preserve"> TNF) during chronic active inflammation. Therefore, when chronic inflammation is successfully reduced this may impact upon the relative expression of cytochrome P450 enzymes. The sponsor has made no specific comment about how the “normalisation” of P450 enzyme expression (with effective anti-TNF treatment) may affect the PK of medications metabolised by this system. For example, the exposure to concurrent HMG Co-A reductase inhibitors may be increased once chronic inflammation is reduced. Patients with </w:t>
      </w:r>
      <w:proofErr w:type="spellStart"/>
      <w:r w:rsidRPr="009B43ED">
        <w:t>PsA</w:t>
      </w:r>
      <w:proofErr w:type="spellEnd"/>
      <w:r w:rsidRPr="009B43ED">
        <w:t xml:space="preserve"> and AS have an increased risk of cardiovascular disease and hyperlipidaemia requiring treatment</w:t>
      </w:r>
      <w:r w:rsidR="00D112DA">
        <w:t>.</w:t>
      </w:r>
      <w:r w:rsidR="00D112DA">
        <w:rPr>
          <w:rStyle w:val="FootnoteReference"/>
        </w:rPr>
        <w:footnoteReference w:id="1"/>
      </w:r>
      <w:r w:rsidR="00D112DA">
        <w:t xml:space="preserve"> </w:t>
      </w:r>
      <w:r w:rsidRPr="009B43ED">
        <w:t>The evaluator concurs with the sponsor opinion but recommend</w:t>
      </w:r>
      <w:r w:rsidR="00362586">
        <w:t>s</w:t>
      </w:r>
      <w:r w:rsidRPr="009B43ED">
        <w:t xml:space="preserve"> post-marketing </w:t>
      </w:r>
      <w:proofErr w:type="spellStart"/>
      <w:r w:rsidRPr="009B43ED">
        <w:t>pharmacovigilance</w:t>
      </w:r>
      <w:proofErr w:type="spellEnd"/>
      <w:r w:rsidRPr="009B43ED">
        <w:t xml:space="preserve"> of this potential issue if regist</w:t>
      </w:r>
      <w:r w:rsidR="006A4C20">
        <w:t>ration in Australia is granted.</w:t>
      </w:r>
    </w:p>
    <w:p w:rsidR="009B43ED" w:rsidRPr="009B43ED" w:rsidRDefault="009B43ED" w:rsidP="006A4C20">
      <w:pPr>
        <w:pStyle w:val="Heading4"/>
      </w:pPr>
      <w:bookmarkStart w:id="106" w:name="_Toc388281362"/>
      <w:r w:rsidRPr="006A4C20">
        <w:t>Pharmacodynamics</w:t>
      </w:r>
      <w:bookmarkEnd w:id="106"/>
    </w:p>
    <w:p w:rsidR="009B43ED" w:rsidRPr="009B43ED" w:rsidRDefault="009B43ED" w:rsidP="006A4C20">
      <w:r w:rsidRPr="009B43ED">
        <w:t xml:space="preserve">The sponsor states that at the time of study development in the CZP program, consideration was given to PD data collection in patients with active </w:t>
      </w:r>
      <w:proofErr w:type="spellStart"/>
      <w:r w:rsidRPr="009B43ED">
        <w:t>PsA</w:t>
      </w:r>
      <w:proofErr w:type="spellEnd"/>
      <w:r w:rsidRPr="009B43ED">
        <w:t xml:space="preserve"> and axial </w:t>
      </w:r>
      <w:proofErr w:type="spellStart"/>
      <w:r w:rsidRPr="009B43ED">
        <w:t>SpA</w:t>
      </w:r>
      <w:proofErr w:type="spellEnd"/>
      <w:r w:rsidRPr="009B43ED">
        <w:t>, however, in reviewing the European regulatory approvals for 4 other anti-TNF drugs (</w:t>
      </w:r>
      <w:proofErr w:type="spellStart"/>
      <w:r w:rsidRPr="009B43ED">
        <w:t>etanercept</w:t>
      </w:r>
      <w:proofErr w:type="spellEnd"/>
      <w:r w:rsidRPr="009B43ED">
        <w:t xml:space="preserve">, </w:t>
      </w:r>
      <w:proofErr w:type="spellStart"/>
      <w:r w:rsidRPr="009B43ED">
        <w:t>adalimumab</w:t>
      </w:r>
      <w:proofErr w:type="spellEnd"/>
      <w:r w:rsidRPr="009B43ED">
        <w:t xml:space="preserve">, infliximab and </w:t>
      </w:r>
      <w:proofErr w:type="spellStart"/>
      <w:r w:rsidRPr="009B43ED">
        <w:t>golimumab</w:t>
      </w:r>
      <w:proofErr w:type="spellEnd"/>
      <w:r w:rsidRPr="009B43ED">
        <w:t xml:space="preserve">), no additional PD studies were performed to support their respective approvals in active </w:t>
      </w:r>
      <w:proofErr w:type="spellStart"/>
      <w:r w:rsidRPr="009B43ED">
        <w:t>PsA</w:t>
      </w:r>
      <w:proofErr w:type="spellEnd"/>
      <w:r w:rsidRPr="009B43ED">
        <w:t xml:space="preserve"> and AS. The evaluator concurs with the sponsor in that the collection of CRP and clinical outcome data in the 2 pivotal studies (PsA001 and AS001) provides some insight into the PD effect of CZP in p</w:t>
      </w:r>
      <w:r w:rsidR="006A4C20">
        <w:t xml:space="preserve">atients with </w:t>
      </w:r>
      <w:proofErr w:type="spellStart"/>
      <w:r w:rsidR="006A4C20">
        <w:t>PsA</w:t>
      </w:r>
      <w:proofErr w:type="spellEnd"/>
      <w:r w:rsidR="006A4C20">
        <w:t xml:space="preserve"> and axial </w:t>
      </w:r>
      <w:proofErr w:type="spellStart"/>
      <w:r w:rsidR="006A4C20">
        <w:t>SpA</w:t>
      </w:r>
      <w:proofErr w:type="spellEnd"/>
      <w:r w:rsidR="006A4C20">
        <w:t>.</w:t>
      </w:r>
    </w:p>
    <w:p w:rsidR="009B43ED" w:rsidRPr="009B43ED" w:rsidRDefault="009B43ED" w:rsidP="006A4C20">
      <w:r w:rsidRPr="009B43ED">
        <w:t xml:space="preserve">In addition, the sponsor has provided 2 tables in the response which provide an indirect data comparison of the clinical endpoints between the 5 anti-TNF medicines in patients with </w:t>
      </w:r>
      <w:proofErr w:type="spellStart"/>
      <w:r w:rsidRPr="009B43ED">
        <w:t>PsA</w:t>
      </w:r>
      <w:proofErr w:type="spellEnd"/>
      <w:r w:rsidRPr="009B43ED">
        <w:t xml:space="preserve"> (Table 1 of the response) and AS/axial </w:t>
      </w:r>
      <w:proofErr w:type="spellStart"/>
      <w:r w:rsidRPr="009B43ED">
        <w:t>SpA</w:t>
      </w:r>
      <w:proofErr w:type="spellEnd"/>
      <w:r w:rsidRPr="009B43ED">
        <w:t xml:space="preserve"> (Table 2 of the response). With respect to the </w:t>
      </w:r>
      <w:proofErr w:type="spellStart"/>
      <w:r w:rsidRPr="009B43ED">
        <w:t>PsA</w:t>
      </w:r>
      <w:proofErr w:type="spellEnd"/>
      <w:r w:rsidRPr="009B43ED">
        <w:t xml:space="preserve"> studies, there were similar rates of ACR 20 (50-60%), ACR 50 (32-42%) and ACR 70 response (19-27%) at 24 weeks between the various anti-TNF drugs. The corresponding rates of ACR response in the control groups with </w:t>
      </w:r>
      <w:proofErr w:type="spellStart"/>
      <w:r w:rsidRPr="009B43ED">
        <w:t>PsA</w:t>
      </w:r>
      <w:proofErr w:type="spellEnd"/>
      <w:r w:rsidRPr="009B43ED">
        <w:t xml:space="preserve"> were slightly higher in the CZP study (PsA001) compared to the trials assessing other anti-TNF drugs, but within expectations. With respect to the AS/axial </w:t>
      </w:r>
      <w:proofErr w:type="spellStart"/>
      <w:r w:rsidRPr="009B43ED">
        <w:t>SpA</w:t>
      </w:r>
      <w:proofErr w:type="spellEnd"/>
      <w:r w:rsidRPr="009B43ED">
        <w:t xml:space="preserve"> studies, there were similar rates of ASAS 20 (51-68%), ASAS 40 (44-52%) and ASAS 5/6 response (42-49%) at 24 weeks between the various anti-TNF drugs. However, the study populations were heterogeneous in the </w:t>
      </w:r>
      <w:proofErr w:type="spellStart"/>
      <w:r w:rsidRPr="009B43ED">
        <w:t>SpA</w:t>
      </w:r>
      <w:proofErr w:type="spellEnd"/>
      <w:r w:rsidRPr="009B43ED">
        <w:t xml:space="preserve"> trials, ranging from only including patients with confirmed AS (for example infliximab and </w:t>
      </w:r>
      <w:proofErr w:type="spellStart"/>
      <w:r w:rsidRPr="009B43ED">
        <w:t>golimumab</w:t>
      </w:r>
      <w:proofErr w:type="spellEnd"/>
      <w:r w:rsidRPr="009B43ED">
        <w:t>) compared to a broader cohort of subjec</w:t>
      </w:r>
      <w:r w:rsidR="006A4C20">
        <w:t xml:space="preserve">ts with AS and axial </w:t>
      </w:r>
      <w:proofErr w:type="spellStart"/>
      <w:r w:rsidR="006A4C20">
        <w:t>SpA</w:t>
      </w:r>
      <w:proofErr w:type="spellEnd"/>
      <w:r w:rsidR="006A4C20">
        <w:t xml:space="preserve"> (CZP).</w:t>
      </w:r>
    </w:p>
    <w:p w:rsidR="009B43ED" w:rsidRPr="009B43ED" w:rsidRDefault="009B43ED" w:rsidP="006A4C20">
      <w:pPr>
        <w:pStyle w:val="Heading4"/>
      </w:pPr>
      <w:bookmarkStart w:id="107" w:name="_Toc388281363"/>
      <w:r w:rsidRPr="006A4C20">
        <w:t>Efficacy</w:t>
      </w:r>
      <w:bookmarkEnd w:id="107"/>
    </w:p>
    <w:p w:rsidR="009B43ED" w:rsidRPr="009B43ED" w:rsidRDefault="009B43ED" w:rsidP="006A4C20">
      <w:r w:rsidRPr="009B43ED">
        <w:t>In the sponsor’s response, the sponsor has provided the radiographic data up to Week 48 (that is</w:t>
      </w:r>
      <w:r w:rsidR="004332FB">
        <w:t xml:space="preserve"> </w:t>
      </w:r>
      <w:r w:rsidRPr="009B43ED">
        <w:t xml:space="preserve">the end of the dose-blind treatment period) in Study PsA001 to support the claim of radiographic benefit with CZP in patients with active </w:t>
      </w:r>
      <w:proofErr w:type="spellStart"/>
      <w:r w:rsidRPr="009B43ED">
        <w:t>PsA.</w:t>
      </w:r>
      <w:proofErr w:type="spellEnd"/>
      <w:r w:rsidRPr="009B43ED">
        <w:t xml:space="preserve"> The original submission contained X-ray data obtained up to the Week 24 evaluation. </w:t>
      </w:r>
      <w:proofErr w:type="gramStart"/>
      <w:r w:rsidRPr="009B43ED">
        <w:t>A full description of the pre-</w:t>
      </w:r>
      <w:r w:rsidRPr="009B43ED">
        <w:lastRenderedPageBreak/>
        <w:t>defined statistical analysis plan and post-hoc imputation methods were</w:t>
      </w:r>
      <w:proofErr w:type="gramEnd"/>
      <w:r w:rsidRPr="009B43ED">
        <w:t xml:space="preserve"> provided in the original submission. The sponsor states that in written advice received 9 February 2010, the FDA requested the primary efficacy analysis (including for X-ray endpoints) in Study PsA001 use the Randomized Set (RS) versus the Full Analysis Set (FAS) of subjects. The RS includes all subjects randomised with an intention-to-treat, whether or not valid assessments are available. In contrast, the FAS </w:t>
      </w:r>
      <w:proofErr w:type="gramStart"/>
      <w:r w:rsidRPr="009B43ED">
        <w:t>requires</w:t>
      </w:r>
      <w:proofErr w:type="gramEnd"/>
      <w:r w:rsidRPr="009B43ED">
        <w:t xml:space="preserve"> subjects to have at least 1 valid baseline and 1 valid post-baseline assessment. This cohort approach allows for the possibility of applying linear extrapol</w:t>
      </w:r>
      <w:r w:rsidR="006A4C20">
        <w:t>ation when results are missing.</w:t>
      </w:r>
    </w:p>
    <w:p w:rsidR="009B43ED" w:rsidRPr="009B43ED" w:rsidRDefault="009B43ED" w:rsidP="006A4C20">
      <w:r w:rsidRPr="009B43ED">
        <w:t xml:space="preserve">The primary radiographic endpoint of the change from baseline to Week 24 in </w:t>
      </w:r>
      <w:proofErr w:type="spellStart"/>
      <w:r w:rsidRPr="009B43ED">
        <w:t>mTSS</w:t>
      </w:r>
      <w:proofErr w:type="spellEnd"/>
      <w:r w:rsidRPr="009B43ED">
        <w:t xml:space="preserve"> was not achieved using the pre-specified analysis plan. The imputation rules applied in the primary analysis resulted in implausibly high Least Square (LS) mean changes from baseline in the </w:t>
      </w:r>
      <w:proofErr w:type="spellStart"/>
      <w:r w:rsidRPr="009B43ED">
        <w:t>mTSS</w:t>
      </w:r>
      <w:proofErr w:type="spellEnd"/>
      <w:r w:rsidRPr="009B43ED">
        <w:t xml:space="preserve"> across all treatment groups (ranging from 11.52 to 28.92 points). Hence, post-hoc imputation rules (8 potential cases with different combinations) were applied to the data along with a minimum 8-week window between X-rays. The sponsor states these rules are consistent with those accepted by regulatory authorities for another anti-TNF drug evaluated in patients with </w:t>
      </w:r>
      <w:proofErr w:type="spellStart"/>
      <w:r w:rsidRPr="009B43ED">
        <w:t>PsA</w:t>
      </w:r>
      <w:proofErr w:type="spellEnd"/>
      <w:r w:rsidRPr="009B43ED">
        <w:t xml:space="preserve"> (EPAR for </w:t>
      </w:r>
      <w:proofErr w:type="spellStart"/>
      <w:r w:rsidRPr="009B43ED">
        <w:t>golimumab</w:t>
      </w:r>
      <w:proofErr w:type="spellEnd"/>
      <w:r w:rsidRPr="009B43ED">
        <w:t xml:space="preserve">). However, the S31 response did not include this document as a reference and this evaluator was unable to locate the above mentioned statement for review. Using the post-hoc imputation method, less progression of X-ray changes was observed at Week 24 (as measured by the LS mean change from baseline in </w:t>
      </w:r>
      <w:proofErr w:type="spellStart"/>
      <w:r w:rsidRPr="009B43ED">
        <w:t>mTSS</w:t>
      </w:r>
      <w:proofErr w:type="spellEnd"/>
      <w:r w:rsidRPr="009B43ED">
        <w:t xml:space="preserve">) in the combined CZP treatment group compared with the placebo arm (0.06 versus 0.28 points, respectively). The difference between CZP (combined) and placebo was -0.22 points (95% CI -0.38, -0.06; p </w:t>
      </w:r>
      <w:r w:rsidR="004332FB">
        <w:t xml:space="preserve">= </w:t>
      </w:r>
      <w:r w:rsidRPr="009B43ED">
        <w:t xml:space="preserve">0.007). The LS mean change in </w:t>
      </w:r>
      <w:proofErr w:type="spellStart"/>
      <w:r w:rsidRPr="009B43ED">
        <w:t>mTSS</w:t>
      </w:r>
      <w:proofErr w:type="spellEnd"/>
      <w:r w:rsidRPr="009B43ED">
        <w:t xml:space="preserve"> from baseline to Week 24 was smaller (that is , less progression of radiographic changes) in the CZP 200 mg Q2W group compared with the CZP 400 mg Q4W group (0.01 versus 0.11 points). However, both CZP treatment regimens appeared to be better compared with placebo (treatment difference of -0.27 and -0.17 points, respectively). The difference between CZP 200 mg Q2W and placebo was statistically significant at -0.27 points (95% CI -0.45, -0.08; p </w:t>
      </w:r>
      <w:r w:rsidR="004332FB">
        <w:t xml:space="preserve">= </w:t>
      </w:r>
      <w:r w:rsidRPr="009B43ED">
        <w:t xml:space="preserve">0.004). However, the difference between CZP 400 mg Q4W and placebo was not statistically significant at -0.17 points (95% CI -0.35, 0.02; p </w:t>
      </w:r>
      <w:r w:rsidR="004332FB">
        <w:t xml:space="preserve">= </w:t>
      </w:r>
      <w:r w:rsidRPr="009B43ED">
        <w:t>0.072). Post-hoc sensitivity analyses (that is</w:t>
      </w:r>
      <w:r w:rsidR="004332FB">
        <w:t xml:space="preserve"> </w:t>
      </w:r>
      <w:r w:rsidRPr="009B43ED">
        <w:t xml:space="preserve">with imputation of missing values using mean change or worst change from baseline in the entire study population, and also the same treatment group) showed the same results in that CZP 400 mg Q4W was not statistically superior to placebo but CZP 200 mg Q2W and the combined CZP group were consistently better. This evaluator would not regard this observation as a consistently robust outcome in demonstrating radiographic benefit with CZP as this evaluator would expect both CZP dose regimens (either alone or combined in a dataset) to be statistically significant versus placebo. The LS mean change from baseline to Week 48 in </w:t>
      </w:r>
      <w:proofErr w:type="spellStart"/>
      <w:r w:rsidRPr="009B43ED">
        <w:t>mTSS</w:t>
      </w:r>
      <w:proofErr w:type="spellEnd"/>
      <w:r w:rsidRPr="009B43ED">
        <w:t xml:space="preserve"> was 0.13 points (95% CI -0.05, 0.31) in the combined CZP group versus 0.32 points (95% CI 0.10, 0.55) in the placebo arm. Although the data suggested a trend for less progression with CZP, the observation did not reach statistical significance (</w:t>
      </w:r>
      <w:proofErr w:type="gramStart"/>
      <w:r w:rsidRPr="009B43ED">
        <w:t xml:space="preserve">p </w:t>
      </w:r>
      <w:r w:rsidR="004332FB">
        <w:t xml:space="preserve"> =</w:t>
      </w:r>
      <w:proofErr w:type="gramEnd"/>
      <w:r w:rsidR="004332FB">
        <w:t xml:space="preserve"> </w:t>
      </w:r>
      <w:r w:rsidRPr="009B43ED">
        <w:t xml:space="preserve"> 0.127). For each CZP dose group compared with placebo, the Week 48 data for LS mean change in </w:t>
      </w:r>
      <w:proofErr w:type="spellStart"/>
      <w:r w:rsidRPr="009B43ED">
        <w:t>mTSS</w:t>
      </w:r>
      <w:proofErr w:type="spellEnd"/>
      <w:r w:rsidRPr="009B43ED">
        <w:t xml:space="preserve"> did not reach statistical significance. The sponsor opines that this observation may have occurred because there w</w:t>
      </w:r>
      <w:r w:rsidR="008A3BA8">
        <w:t>ere</w:t>
      </w:r>
      <w:r w:rsidRPr="009B43ED">
        <w:t xml:space="preserve"> lower levels of radiographic progression over 48 weeks of observation in Study PsA001 compared wit</w:t>
      </w:r>
      <w:r w:rsidR="006A4C20">
        <w:t>h historical progression rates.</w:t>
      </w:r>
    </w:p>
    <w:p w:rsidR="009B43ED" w:rsidRPr="009B43ED" w:rsidRDefault="009B43ED" w:rsidP="006A4C20">
      <w:r w:rsidRPr="009B43ED">
        <w:t xml:space="preserve">In the S31 response, the sponsor has also presented a post-hoc subgroup analysis for the LS mean change from baseline to weeks 24 and 48 on subjects with or without structural damage at baseline. A cut-off </w:t>
      </w:r>
      <w:proofErr w:type="spellStart"/>
      <w:r w:rsidRPr="009B43ED">
        <w:t>mTSS</w:t>
      </w:r>
      <w:proofErr w:type="spellEnd"/>
      <w:r w:rsidRPr="009B43ED">
        <w:t xml:space="preserve"> score of 6 was used to define subjects with structural damage at baseline. No supporting literature was provided to justify the choice of this cut-off score, although the sponsor refers to the same methodology being used i</w:t>
      </w:r>
      <w:r w:rsidR="00D9538B">
        <w:t xml:space="preserve">n the </w:t>
      </w:r>
      <w:proofErr w:type="spellStart"/>
      <w:r w:rsidR="00D9538B">
        <w:t>golimumab</w:t>
      </w:r>
      <w:proofErr w:type="spellEnd"/>
      <w:r w:rsidR="00D9538B">
        <w:t xml:space="preserve"> EPAR assessment.</w:t>
      </w:r>
      <w:r w:rsidR="008A3BA8">
        <w:t xml:space="preserve"> In patients with </w:t>
      </w:r>
      <w:r w:rsidRPr="009B43ED">
        <w:t xml:space="preserve">baseline </w:t>
      </w:r>
      <w:proofErr w:type="spellStart"/>
      <w:r w:rsidRPr="009B43ED">
        <w:t>mTSS</w:t>
      </w:r>
      <w:proofErr w:type="spellEnd"/>
      <w:r w:rsidR="004332FB">
        <w:t xml:space="preserve"> &gt; </w:t>
      </w:r>
      <w:r w:rsidRPr="009B43ED">
        <w:t xml:space="preserve">6 points, very little radiographic progression was observed, independent of the treatment group. Nonetheless, the comparison between the CZP combined group (and each CZP dose regimen) versus </w:t>
      </w:r>
      <w:r w:rsidRPr="009B43ED">
        <w:lastRenderedPageBreak/>
        <w:t>placebo was statistically significant at 24 weeks, but not 48 weeks.</w:t>
      </w:r>
      <w:r w:rsidR="000D2396">
        <w:rPr>
          <w:rStyle w:val="FootnoteReference"/>
        </w:rPr>
        <w:footnoteReference w:id="2"/>
      </w:r>
      <w:r w:rsidRPr="009B43ED">
        <w:t xml:space="preserve"> In patients with baseline </w:t>
      </w:r>
      <w:proofErr w:type="spellStart"/>
      <w:r w:rsidRPr="009B43ED">
        <w:t>mTSS</w:t>
      </w:r>
      <w:proofErr w:type="spellEnd"/>
      <w:r w:rsidR="004332FB">
        <w:t xml:space="preserve"> &lt; </w:t>
      </w:r>
      <w:r w:rsidRPr="009B43ED">
        <w:t>6 points, less than 10% of patients (regardless of treatment allocation) s</w:t>
      </w:r>
      <w:r w:rsidR="006A4C20">
        <w:t>howed any X-ray progression.</w:t>
      </w:r>
    </w:p>
    <w:p w:rsidR="009B43ED" w:rsidRPr="009B43ED" w:rsidRDefault="009B43ED" w:rsidP="006A4C20">
      <w:r w:rsidRPr="009B43ED">
        <w:t xml:space="preserve">In summary, the radiographic data collected in Study PsA001 at up to 48 weeks of follow-up does not demonstrate a consistent and clinically meaningful beneficial effect with CZP on X-ray progression in patients with active </w:t>
      </w:r>
      <w:proofErr w:type="spellStart"/>
      <w:r w:rsidRPr="009B43ED">
        <w:t>PsA.</w:t>
      </w:r>
      <w:proofErr w:type="spellEnd"/>
      <w:r w:rsidRPr="009B43ED">
        <w:t xml:space="preserve"> The positive results seen at 24 weeks in patients treated with CZP 200 Q2W (and the combined CZP treatment dataset) suggest there may be some effect of CZP in reducing X-ray progression, especially in high risk patients (that is</w:t>
      </w:r>
      <w:r w:rsidR="004332FB">
        <w:t xml:space="preserve"> </w:t>
      </w:r>
      <w:r w:rsidRPr="009B43ED">
        <w:t xml:space="preserve">those with evidence of structural damage at baseline – </w:t>
      </w:r>
      <w:proofErr w:type="spellStart"/>
      <w:r w:rsidRPr="009B43ED">
        <w:t>mTSS</w:t>
      </w:r>
      <w:proofErr w:type="spellEnd"/>
      <w:r w:rsidR="004332FB">
        <w:t xml:space="preserve"> &gt; </w:t>
      </w:r>
      <w:r w:rsidRPr="009B43ED">
        <w:t xml:space="preserve">6 points). However, this finding was observed when post-hoc imputation rules were applied to the analysis. In general, post-hoc analyses, particularly of patient subgroups, are a relatively poor method of demonstrating a clinically meaningful effect with scientific rigor and validity. The best test for validity of subgroup-treatment effect interactions is reproducibility in other clinical trials. As such, this evaluator would not recommend acceptance of the sponsor proposal to add the element of reducing the rate of progression of peripheral joint damage as measured by X-ray to the </w:t>
      </w:r>
      <w:proofErr w:type="spellStart"/>
      <w:r w:rsidRPr="009B43ED">
        <w:t>PsA</w:t>
      </w:r>
      <w:proofErr w:type="spellEnd"/>
      <w:r w:rsidRPr="009B43ED">
        <w:t xml:space="preserve"> treatment indication. </w:t>
      </w:r>
    </w:p>
    <w:p w:rsidR="009B43ED" w:rsidRPr="009B43ED" w:rsidRDefault="009B43ED" w:rsidP="006A4C20">
      <w:pPr>
        <w:pStyle w:val="Heading4"/>
      </w:pPr>
      <w:bookmarkStart w:id="108" w:name="_Toc388281364"/>
      <w:r w:rsidRPr="006A4C20">
        <w:t>Safety</w:t>
      </w:r>
      <w:bookmarkEnd w:id="108"/>
    </w:p>
    <w:p w:rsidR="009B43ED" w:rsidRPr="009B43ED" w:rsidRDefault="009B43ED" w:rsidP="006A4C20">
      <w:r w:rsidRPr="009B43ED">
        <w:t xml:space="preserve">The sponsor has provided 18 tables of data presenting the risk of AE and SAE by subgroups of special interest for </w:t>
      </w:r>
      <w:proofErr w:type="spellStart"/>
      <w:r w:rsidR="006A4C20">
        <w:t>PsA</w:t>
      </w:r>
      <w:proofErr w:type="spellEnd"/>
      <w:r w:rsidR="006A4C20">
        <w:t xml:space="preserve"> (Tables 1-9) and axial </w:t>
      </w:r>
      <w:proofErr w:type="spellStart"/>
      <w:r w:rsidR="006A4C20">
        <w:t>SpA</w:t>
      </w:r>
      <w:proofErr w:type="spellEnd"/>
      <w:r w:rsidR="006A4C20">
        <w:t>.</w:t>
      </w:r>
    </w:p>
    <w:p w:rsidR="009B43ED" w:rsidRPr="009B43ED" w:rsidRDefault="009B43ED" w:rsidP="006A4C20">
      <w:r w:rsidRPr="009B43ED">
        <w:t>With respect to Study PsA001, the incidence of AEs (overall and drug related) were similar between CZP and placebo regardless of subgroup factor of interest (gender, age, BMI and concurrent CS use). Female subjects (regardless of treatment allocation) had a higher incidence of AEs and treatment related AEs compared to male patients, but the rates of serious or severe AEs and discontinuations due to AEs were similar between male and female subjects. The same pattern of relatively increased AE frequency (overall and treatment-related) was observed in those with BMI</w:t>
      </w:r>
      <w:r w:rsidR="004332FB">
        <w:t xml:space="preserve"> &gt; </w:t>
      </w:r>
      <w:r w:rsidRPr="009B43ED">
        <w:t>30 kg/m</w:t>
      </w:r>
      <w:r w:rsidRPr="00D9538B">
        <w:rPr>
          <w:vertAlign w:val="superscript"/>
        </w:rPr>
        <w:t>2</w:t>
      </w:r>
      <w:r w:rsidRPr="009B43ED">
        <w:t xml:space="preserve"> compared to non-obese subjects. The dataset also shows the very small number of subjects (22 in total – 7 in the placebo arm and 15 given either dose of CZP) in Study PsA001 who </w:t>
      </w:r>
      <w:proofErr w:type="gramStart"/>
      <w:r w:rsidRPr="009B43ED">
        <w:t>were</w:t>
      </w:r>
      <w:proofErr w:type="gramEnd"/>
      <w:r w:rsidRPr="009B43ED">
        <w:t xml:space="preserve"> aged</w:t>
      </w:r>
      <w:r w:rsidR="004332FB">
        <w:t xml:space="preserve"> &gt; </w:t>
      </w:r>
      <w:r w:rsidRPr="009B43ED">
        <w:t>65 years.</w:t>
      </w:r>
    </w:p>
    <w:p w:rsidR="009B43ED" w:rsidRPr="009B43ED" w:rsidRDefault="009B43ED" w:rsidP="006A4C20">
      <w:r w:rsidRPr="009B43ED">
        <w:t xml:space="preserve">With respect to Study AS001, the incidence of AEs (overall and drug related) were similar between CZP and placebo regardless of subgroup factor of interest (gender, age, BMI and concurrent CS use). Female subjects (regardless of treatment allocation) had a higher incidence of AEs and treatment related AEs compared to male patients. The rate of SAEs was higher in female subjects receiving placebo, but comparable between males and female subjects treated with CZP. The dataset also shows the very small number of subjects (8 in total – 5 in the placebo arm and 3 given either dose of CZP) in Study PsA001 who </w:t>
      </w:r>
      <w:proofErr w:type="gramStart"/>
      <w:r w:rsidRPr="009B43ED">
        <w:t>were</w:t>
      </w:r>
      <w:proofErr w:type="gramEnd"/>
      <w:r w:rsidRPr="009B43ED">
        <w:t xml:space="preserve"> aged</w:t>
      </w:r>
      <w:r w:rsidR="004332FB">
        <w:t xml:space="preserve"> &gt; </w:t>
      </w:r>
      <w:r w:rsidRPr="009B43ED">
        <w:t>65 years.</w:t>
      </w:r>
    </w:p>
    <w:p w:rsidR="00605AD4" w:rsidRPr="00605AD4" w:rsidRDefault="009B43ED" w:rsidP="00605AD4">
      <w:r w:rsidRPr="009B43ED">
        <w:t xml:space="preserve">The analysis of AE information by subgroups of special interest does not reveal any clinically significant risk factors for safety concerns with CZP therapy in patients with active </w:t>
      </w:r>
      <w:proofErr w:type="spellStart"/>
      <w:r w:rsidRPr="009B43ED">
        <w:t>PsA</w:t>
      </w:r>
      <w:proofErr w:type="spellEnd"/>
      <w:r w:rsidRPr="009B43ED">
        <w:t xml:space="preserve"> and axial </w:t>
      </w:r>
      <w:proofErr w:type="spellStart"/>
      <w:r w:rsidRPr="009B43ED">
        <w:t>SpA</w:t>
      </w:r>
      <w:proofErr w:type="spellEnd"/>
      <w:r w:rsidRPr="009B43ED">
        <w:t xml:space="preserve">. Expectedly, the majority of subjects in both treatment studies were young to middle aged, and there is limited AE information regarding the safety of CZP in patients with </w:t>
      </w:r>
      <w:proofErr w:type="spellStart"/>
      <w:r w:rsidRPr="009B43ED">
        <w:t>PsA</w:t>
      </w:r>
      <w:proofErr w:type="spellEnd"/>
      <w:r w:rsidRPr="009B43ED">
        <w:t xml:space="preserve"> and axial </w:t>
      </w:r>
      <w:proofErr w:type="spellStart"/>
      <w:r w:rsidRPr="009B43ED">
        <w:t>SpA</w:t>
      </w:r>
      <w:proofErr w:type="spellEnd"/>
      <w:r w:rsidRPr="009B43ED">
        <w:t xml:space="preserve"> who are aged</w:t>
      </w:r>
      <w:r w:rsidR="004332FB">
        <w:t xml:space="preserve"> &gt; </w:t>
      </w:r>
      <w:r w:rsidRPr="009B43ED">
        <w:t>65 years.</w:t>
      </w:r>
    </w:p>
    <w:p w:rsidR="00605AD4" w:rsidRPr="00605AD4" w:rsidRDefault="00605AD4" w:rsidP="006A4C20">
      <w:pPr>
        <w:pStyle w:val="Heading3"/>
        <w:rPr>
          <w:rFonts w:eastAsia="Cambria"/>
        </w:rPr>
      </w:pPr>
      <w:bookmarkStart w:id="109" w:name="_Toc399507652"/>
      <w:r w:rsidRPr="00605AD4">
        <w:rPr>
          <w:rFonts w:eastAsia="Cambria"/>
        </w:rPr>
        <w:lastRenderedPageBreak/>
        <w:t xml:space="preserve">Second </w:t>
      </w:r>
      <w:r w:rsidR="006A4C20">
        <w:rPr>
          <w:rFonts w:eastAsia="Cambria"/>
        </w:rPr>
        <w:t>r</w:t>
      </w:r>
      <w:r w:rsidRPr="00605AD4">
        <w:rPr>
          <w:rFonts w:eastAsia="Cambria"/>
        </w:rPr>
        <w:t xml:space="preserve">ound </w:t>
      </w:r>
      <w:r w:rsidR="006A4C20">
        <w:rPr>
          <w:rFonts w:eastAsia="Cambria"/>
        </w:rPr>
        <w:t>b</w:t>
      </w:r>
      <w:r w:rsidRPr="00605AD4">
        <w:rPr>
          <w:rFonts w:eastAsia="Cambria"/>
        </w:rPr>
        <w:t>enefit-</w:t>
      </w:r>
      <w:r w:rsidR="006A4C20">
        <w:rPr>
          <w:rFonts w:eastAsia="Cambria"/>
        </w:rPr>
        <w:t>r</w:t>
      </w:r>
      <w:r w:rsidRPr="00605AD4">
        <w:rPr>
          <w:rFonts w:eastAsia="Cambria"/>
        </w:rPr>
        <w:t xml:space="preserve">isk </w:t>
      </w:r>
      <w:r w:rsidR="006A4C20" w:rsidRPr="006A4C20">
        <w:rPr>
          <w:rFonts w:eastAsia="Cambria"/>
        </w:rPr>
        <w:t>a</w:t>
      </w:r>
      <w:r w:rsidRPr="006A4C20">
        <w:rPr>
          <w:rFonts w:eastAsia="Cambria"/>
        </w:rPr>
        <w:t>ssessment</w:t>
      </w:r>
      <w:bookmarkEnd w:id="109"/>
    </w:p>
    <w:p w:rsidR="009B43ED" w:rsidRPr="009B43ED" w:rsidRDefault="009B43ED" w:rsidP="006A4C20">
      <w:pPr>
        <w:pStyle w:val="Heading4"/>
      </w:pPr>
      <w:bookmarkStart w:id="110" w:name="_Toc388281366"/>
      <w:r w:rsidRPr="009B43ED">
        <w:t>Second round assessment of benefits</w:t>
      </w:r>
      <w:bookmarkEnd w:id="110"/>
    </w:p>
    <w:p w:rsidR="009B43ED" w:rsidRPr="009B43ED" w:rsidRDefault="009B43ED" w:rsidP="006A4C20">
      <w:r w:rsidRPr="009B43ED">
        <w:t>After consideration of the responses to clinical questions, the benefits of CZP in the proposed usage are unchanged from those identified.</w:t>
      </w:r>
    </w:p>
    <w:p w:rsidR="009B43ED" w:rsidRPr="009B43ED" w:rsidRDefault="009B43ED" w:rsidP="006A4C20">
      <w:pPr>
        <w:pStyle w:val="Heading4"/>
      </w:pPr>
      <w:bookmarkStart w:id="111" w:name="_Toc388281367"/>
      <w:r w:rsidRPr="009B43ED">
        <w:t>Second round assessment of risks</w:t>
      </w:r>
      <w:bookmarkEnd w:id="111"/>
    </w:p>
    <w:p w:rsidR="009B43ED" w:rsidRPr="009B43ED" w:rsidRDefault="009B43ED" w:rsidP="006A4C20">
      <w:r w:rsidRPr="009B43ED">
        <w:t>After consideration of the responses to clinical questions, the risks of CZP in the proposed usage are unchanged from those identified.</w:t>
      </w:r>
    </w:p>
    <w:p w:rsidR="009B43ED" w:rsidRPr="009B43ED" w:rsidRDefault="009B43ED" w:rsidP="006A4C20">
      <w:pPr>
        <w:pStyle w:val="Heading4"/>
      </w:pPr>
      <w:bookmarkStart w:id="112" w:name="_Toc388281368"/>
      <w:r w:rsidRPr="009B43ED">
        <w:t>Second round assessment of benefit-risk balance</w:t>
      </w:r>
      <w:bookmarkEnd w:id="112"/>
    </w:p>
    <w:p w:rsidR="009B43ED" w:rsidRPr="009B43ED" w:rsidRDefault="009B43ED" w:rsidP="006A4C20">
      <w:r w:rsidRPr="009B43ED">
        <w:t xml:space="preserve">The benefit-risk balance of CZP, given the proposed usage, is favourable. </w:t>
      </w:r>
    </w:p>
    <w:p w:rsidR="009B43ED" w:rsidRPr="009B43ED" w:rsidRDefault="009B43ED" w:rsidP="006A4C20">
      <w:pPr>
        <w:pStyle w:val="Heading4"/>
      </w:pPr>
      <w:bookmarkStart w:id="113" w:name="_Toc388281369"/>
      <w:r w:rsidRPr="009B43ED">
        <w:t xml:space="preserve">Second round recommendation </w:t>
      </w:r>
      <w:r w:rsidRPr="006A4C20">
        <w:t>regarding</w:t>
      </w:r>
      <w:r w:rsidRPr="009B43ED">
        <w:t xml:space="preserve"> authorisation</w:t>
      </w:r>
      <w:bookmarkEnd w:id="113"/>
    </w:p>
    <w:p w:rsidR="009B43ED" w:rsidRPr="009B43ED" w:rsidRDefault="009B43ED" w:rsidP="006A4C20">
      <w:r w:rsidRPr="009B43ED">
        <w:t xml:space="preserve">This evaluator recommends acceptance of the sponsor’s proposed extension of treatment indications for CZP to include the treatment of active </w:t>
      </w:r>
      <w:proofErr w:type="spellStart"/>
      <w:r w:rsidRPr="009B43ED">
        <w:t>PsA</w:t>
      </w:r>
      <w:proofErr w:type="spellEnd"/>
      <w:r w:rsidRPr="009B43ED">
        <w:t xml:space="preserve"> and axial </w:t>
      </w:r>
      <w:proofErr w:type="spellStart"/>
      <w:r w:rsidRPr="009B43ED">
        <w:t>SpA</w:t>
      </w:r>
      <w:proofErr w:type="spellEnd"/>
      <w:r w:rsidRPr="009B43ED">
        <w:t xml:space="preserve">. The proposed wording of treatment extension in patients with </w:t>
      </w:r>
      <w:proofErr w:type="spellStart"/>
      <w:r w:rsidRPr="009B43ED">
        <w:t>PsA</w:t>
      </w:r>
      <w:proofErr w:type="spellEnd"/>
      <w:r w:rsidRPr="009B43ED">
        <w:t xml:space="preserve"> has 2 additional elements: reducing the rate of progression of peripheral joint damage by X-ray, and improving physical functioning. The current submission provides sufficient evidence of improving physical functioning in patients with active </w:t>
      </w:r>
      <w:proofErr w:type="spellStart"/>
      <w:r w:rsidRPr="009B43ED">
        <w:t>PsA</w:t>
      </w:r>
      <w:proofErr w:type="spellEnd"/>
      <w:r w:rsidRPr="009B43ED">
        <w:t xml:space="preserve"> and this evaluator supports its acceptance. However, the claim of radiographic benefit in patients with active </w:t>
      </w:r>
      <w:proofErr w:type="spellStart"/>
      <w:r w:rsidRPr="009B43ED">
        <w:t>PsA</w:t>
      </w:r>
      <w:proofErr w:type="spellEnd"/>
      <w:r w:rsidRPr="009B43ED">
        <w:t xml:space="preserve"> has not been adequately justified at this stage, as the evidence is not consistently observed in a scientifically robust manner. Therefore, the evaluator would not recommend acceptance of the proposed claim of radiographic benef</w:t>
      </w:r>
      <w:r w:rsidR="006A4C20">
        <w:t xml:space="preserve">it in patients with active </w:t>
      </w:r>
      <w:proofErr w:type="spellStart"/>
      <w:r w:rsidR="006A4C20">
        <w:t>PsA.</w:t>
      </w:r>
      <w:proofErr w:type="spellEnd"/>
    </w:p>
    <w:p w:rsidR="009B43ED" w:rsidRPr="009B43ED" w:rsidRDefault="009B43ED" w:rsidP="006A4C20">
      <w:r w:rsidRPr="009B43ED">
        <w:t>Should approval of the sponsor’s proposed extension of indication be granted the evaluator would recommend 2 conditions of registration: - regular periodic safety update reports; and the provision by the sponsor to the TGA of the final clinical study report</w:t>
      </w:r>
      <w:r w:rsidR="006A4C20">
        <w:t xml:space="preserve">s for Studies PsA001 and </w:t>
      </w:r>
      <w:proofErr w:type="gramStart"/>
      <w:r w:rsidR="006A4C20">
        <w:t>AS001.</w:t>
      </w:r>
      <w:proofErr w:type="gramEnd"/>
    </w:p>
    <w:p w:rsidR="008E7846" w:rsidRPr="00E41208" w:rsidRDefault="008E7846" w:rsidP="006A4C20">
      <w:pPr>
        <w:pStyle w:val="Heading2"/>
      </w:pPr>
      <w:bookmarkStart w:id="114" w:name="_Toc399507653"/>
      <w:r w:rsidRPr="00E41208">
        <w:t xml:space="preserve">V. </w:t>
      </w:r>
      <w:proofErr w:type="spellStart"/>
      <w:r w:rsidRPr="006A4C20">
        <w:t>Pharmacovigilance</w:t>
      </w:r>
      <w:proofErr w:type="spellEnd"/>
      <w:r w:rsidRPr="00E41208">
        <w:t xml:space="preserve"> </w:t>
      </w:r>
      <w:r>
        <w:t>f</w:t>
      </w:r>
      <w:r w:rsidRPr="00E41208">
        <w:t>indings</w:t>
      </w:r>
      <w:bookmarkEnd w:id="65"/>
      <w:bookmarkEnd w:id="66"/>
      <w:bookmarkEnd w:id="114"/>
    </w:p>
    <w:p w:rsidR="008E7846" w:rsidRDefault="00386150" w:rsidP="006A4C20">
      <w:pPr>
        <w:pStyle w:val="Heading3"/>
        <w:rPr>
          <w:lang w:eastAsia="en-AU"/>
        </w:rPr>
      </w:pPr>
      <w:bookmarkStart w:id="115" w:name="_Toc247691526"/>
      <w:bookmarkStart w:id="116" w:name="_Toc314842509"/>
      <w:bookmarkStart w:id="117" w:name="_Toc399507654"/>
      <w:r>
        <w:rPr>
          <w:lang w:eastAsia="en-AU"/>
        </w:rPr>
        <w:t xml:space="preserve">Risk </w:t>
      </w:r>
      <w:r w:rsidRPr="006A4C20">
        <w:t>m</w:t>
      </w:r>
      <w:r w:rsidR="008E7846" w:rsidRPr="006A4C20">
        <w:t>anagement</w:t>
      </w:r>
      <w:r w:rsidR="008E7846">
        <w:rPr>
          <w:lang w:eastAsia="en-AU"/>
        </w:rPr>
        <w:t xml:space="preserve"> </w:t>
      </w:r>
      <w:r>
        <w:rPr>
          <w:lang w:eastAsia="en-AU"/>
        </w:rPr>
        <w:t>p</w:t>
      </w:r>
      <w:r w:rsidR="008E7846">
        <w:rPr>
          <w:lang w:eastAsia="en-AU"/>
        </w:rPr>
        <w:t>lan</w:t>
      </w:r>
      <w:bookmarkEnd w:id="115"/>
      <w:bookmarkEnd w:id="116"/>
      <w:bookmarkEnd w:id="117"/>
    </w:p>
    <w:p w:rsidR="008E7846" w:rsidRDefault="008E7846" w:rsidP="006A4C20">
      <w:pPr>
        <w:rPr>
          <w:lang w:eastAsia="en-AU"/>
        </w:rPr>
      </w:pPr>
      <w:r>
        <w:rPr>
          <w:lang w:eastAsia="en-AU"/>
        </w:rPr>
        <w:t>The sponsor submitted a Risk Management Plan</w:t>
      </w:r>
      <w:r w:rsidR="00C04293">
        <w:rPr>
          <w:lang w:eastAsia="en-AU"/>
        </w:rPr>
        <w:t xml:space="preserve"> (</w:t>
      </w:r>
      <w:r w:rsidR="00C04293">
        <w:t xml:space="preserve">RA EU-RMP Version 8.0 dated 14 November 2012, </w:t>
      </w:r>
      <w:proofErr w:type="spellStart"/>
      <w:r w:rsidR="00C04293">
        <w:t>PsA</w:t>
      </w:r>
      <w:proofErr w:type="spellEnd"/>
      <w:r w:rsidR="00C04293">
        <w:t xml:space="preserve"> EU-RMP Version 1.0 dated 14 November 2012, </w:t>
      </w:r>
      <w:r w:rsidR="00C04293">
        <w:tab/>
      </w:r>
      <w:proofErr w:type="spellStart"/>
      <w:r w:rsidR="00C04293">
        <w:t>axSpA</w:t>
      </w:r>
      <w:proofErr w:type="spellEnd"/>
      <w:r w:rsidR="00C04293">
        <w:t xml:space="preserve"> EU-RMP Version 1.0 dated</w:t>
      </w:r>
      <w:r w:rsidR="004332FB">
        <w:t xml:space="preserve"> </w:t>
      </w:r>
      <w:r w:rsidR="00C04293">
        <w:t>14 November 2012)</w:t>
      </w:r>
      <w:r w:rsidR="006F25B8">
        <w:rPr>
          <w:lang w:eastAsia="en-AU"/>
        </w:rPr>
        <w:t xml:space="preserve"> </w:t>
      </w:r>
      <w:r>
        <w:rPr>
          <w:lang w:eastAsia="en-AU"/>
        </w:rPr>
        <w:t>which was reviewed by the</w:t>
      </w:r>
      <w:r w:rsidR="00C04293">
        <w:rPr>
          <w:lang w:eastAsia="en-AU"/>
        </w:rPr>
        <w:t xml:space="preserve"> TGA</w:t>
      </w:r>
      <w:r>
        <w:rPr>
          <w:lang w:eastAsia="en-AU"/>
        </w:rPr>
        <w:t>.</w:t>
      </w:r>
    </w:p>
    <w:p w:rsidR="008E7846" w:rsidRDefault="00C04293" w:rsidP="006A4C20">
      <w:pPr>
        <w:pStyle w:val="Heading4"/>
        <w:rPr>
          <w:lang w:eastAsia="en-AU"/>
        </w:rPr>
      </w:pPr>
      <w:r>
        <w:rPr>
          <w:lang w:eastAsia="en-AU"/>
        </w:rPr>
        <w:t xml:space="preserve">Contents of the </w:t>
      </w:r>
      <w:r w:rsidRPr="006A4C20">
        <w:t>submission</w:t>
      </w:r>
    </w:p>
    <w:p w:rsidR="00C04293" w:rsidRPr="00C04293" w:rsidRDefault="00C04293" w:rsidP="006A4C20">
      <w:pPr>
        <w:rPr>
          <w:lang w:eastAsia="en-AU"/>
        </w:rPr>
      </w:pPr>
      <w:r w:rsidRPr="00C04293">
        <w:rPr>
          <w:lang w:eastAsia="en-AU"/>
        </w:rPr>
        <w:t>The sponsor has submitted three separate EU-RMP’s with this application, specifically a rheumatoid arthritis EU-RMP (RA EU-RMP), a psoriatic arthritis EU-RMP (</w:t>
      </w:r>
      <w:proofErr w:type="spellStart"/>
      <w:r w:rsidRPr="00C04293">
        <w:rPr>
          <w:lang w:eastAsia="en-AU"/>
        </w:rPr>
        <w:t>PsA</w:t>
      </w:r>
      <w:proofErr w:type="spellEnd"/>
      <w:r w:rsidRPr="00C04293">
        <w:rPr>
          <w:lang w:eastAsia="en-AU"/>
        </w:rPr>
        <w:t xml:space="preserve"> EU-RMP) and an axial </w:t>
      </w:r>
      <w:proofErr w:type="spellStart"/>
      <w:r w:rsidRPr="00C04293">
        <w:rPr>
          <w:lang w:eastAsia="en-AU"/>
        </w:rPr>
        <w:t>spondyloarthritis</w:t>
      </w:r>
      <w:proofErr w:type="spellEnd"/>
      <w:r w:rsidRPr="00C04293">
        <w:rPr>
          <w:lang w:eastAsia="en-AU"/>
        </w:rPr>
        <w:t xml:space="preserve"> EU-RMP (</w:t>
      </w:r>
      <w:proofErr w:type="spellStart"/>
      <w:r w:rsidRPr="00C04293">
        <w:rPr>
          <w:lang w:eastAsia="en-AU"/>
        </w:rPr>
        <w:t>axSpA</w:t>
      </w:r>
      <w:proofErr w:type="spellEnd"/>
      <w:r w:rsidRPr="00C04293">
        <w:rPr>
          <w:lang w:eastAsia="en-AU"/>
        </w:rPr>
        <w:t xml:space="preserve"> EU-RMP). The </w:t>
      </w:r>
      <w:proofErr w:type="spellStart"/>
      <w:r w:rsidRPr="00C04293">
        <w:rPr>
          <w:lang w:eastAsia="en-AU"/>
        </w:rPr>
        <w:t>PsA</w:t>
      </w:r>
      <w:proofErr w:type="spellEnd"/>
      <w:r w:rsidRPr="00C04293">
        <w:rPr>
          <w:lang w:eastAsia="en-AU"/>
        </w:rPr>
        <w:t xml:space="preserve"> EU-RMP and the </w:t>
      </w:r>
      <w:proofErr w:type="spellStart"/>
      <w:r w:rsidRPr="00C04293">
        <w:rPr>
          <w:lang w:eastAsia="en-AU"/>
        </w:rPr>
        <w:t>axSpA</w:t>
      </w:r>
      <w:proofErr w:type="spellEnd"/>
      <w:r w:rsidRPr="00C04293">
        <w:rPr>
          <w:lang w:eastAsia="en-AU"/>
        </w:rPr>
        <w:t xml:space="preserve"> EU-RMP both refer to the RA EU-RMP for their </w:t>
      </w:r>
      <w:proofErr w:type="spellStart"/>
      <w:r w:rsidRPr="00C04293">
        <w:rPr>
          <w:lang w:eastAsia="en-AU"/>
        </w:rPr>
        <w:t>pharmacovigilance</w:t>
      </w:r>
      <w:proofErr w:type="spellEnd"/>
      <w:r w:rsidRPr="00C04293">
        <w:rPr>
          <w:lang w:eastAsia="en-AU"/>
        </w:rPr>
        <w:t xml:space="preserve"> plan, which proposes routine and additional </w:t>
      </w:r>
      <w:proofErr w:type="spellStart"/>
      <w:r w:rsidRPr="00C04293">
        <w:rPr>
          <w:lang w:eastAsia="en-AU"/>
        </w:rPr>
        <w:t>pharmacovigilance</w:t>
      </w:r>
      <w:proofErr w:type="spellEnd"/>
      <w:r w:rsidRPr="00C04293">
        <w:rPr>
          <w:lang w:eastAsia="en-AU"/>
        </w:rPr>
        <w:t xml:space="preserve"> activities. The sponsor also proposes routine and additional risk minimisation activities in each EU-RMP </w:t>
      </w:r>
    </w:p>
    <w:p w:rsidR="00C04293" w:rsidRPr="00C04293" w:rsidRDefault="00C04293" w:rsidP="006A4C20">
      <w:pPr>
        <w:rPr>
          <w:lang w:eastAsia="en-AU"/>
        </w:rPr>
      </w:pPr>
      <w:r w:rsidRPr="00C04293">
        <w:rPr>
          <w:lang w:eastAsia="en-AU"/>
        </w:rPr>
        <w:t xml:space="preserve">The presentation of the written submission </w:t>
      </w:r>
      <w:r w:rsidR="001A6E36" w:rsidRPr="00C04293">
        <w:rPr>
          <w:lang w:eastAsia="en-AU"/>
        </w:rPr>
        <w:t>contain</w:t>
      </w:r>
      <w:r w:rsidR="001A6E36">
        <w:rPr>
          <w:lang w:eastAsia="en-AU"/>
        </w:rPr>
        <w:t>ed</w:t>
      </w:r>
      <w:r w:rsidR="001A6E36" w:rsidRPr="00C04293">
        <w:rPr>
          <w:lang w:eastAsia="en-AU"/>
        </w:rPr>
        <w:t xml:space="preserve"> </w:t>
      </w:r>
      <w:r w:rsidRPr="00C04293">
        <w:rPr>
          <w:lang w:eastAsia="en-AU"/>
        </w:rPr>
        <w:t>a number of major issues, including</w:t>
      </w:r>
      <w:r w:rsidR="00421B87">
        <w:rPr>
          <w:lang w:eastAsia="en-AU"/>
        </w:rPr>
        <w:t>.</w:t>
      </w:r>
    </w:p>
    <w:p w:rsidR="00C04293" w:rsidRPr="00C04293" w:rsidRDefault="00C04293" w:rsidP="006A4C20">
      <w:pPr>
        <w:pStyle w:val="ListBullet"/>
        <w:rPr>
          <w:lang w:eastAsia="en-AU"/>
        </w:rPr>
      </w:pPr>
      <w:r w:rsidRPr="00C04293">
        <w:rPr>
          <w:lang w:eastAsia="en-AU"/>
        </w:rPr>
        <w:t xml:space="preserve">The sponsor has submitted three separate RMP’s with this application corresponding to each indication. This is not the usual practice for drugs with multiple indications. </w:t>
      </w:r>
      <w:r w:rsidRPr="00C04293">
        <w:rPr>
          <w:lang w:eastAsia="en-AU"/>
        </w:rPr>
        <w:lastRenderedPageBreak/>
        <w:t>Furthermore, the RMP’s are all poorly indexed and numbered</w:t>
      </w:r>
      <w:r w:rsidR="00B01F8A">
        <w:rPr>
          <w:lang w:eastAsia="en-AU"/>
        </w:rPr>
        <w:t xml:space="preserve"> with mislabelled RA Annexes that are out of order</w:t>
      </w:r>
      <w:r w:rsidRPr="00C04293">
        <w:rPr>
          <w:lang w:eastAsia="en-AU"/>
        </w:rPr>
        <w:t xml:space="preserve">. These documents have numerous internal inconsistencies and refer regularly to the “RA EU-RMP”. </w:t>
      </w:r>
      <w:r w:rsidR="00045E8A">
        <w:rPr>
          <w:lang w:eastAsia="en-AU"/>
        </w:rPr>
        <w:t xml:space="preserve"> </w:t>
      </w:r>
      <w:r w:rsidR="00FD6FE7">
        <w:rPr>
          <w:lang w:eastAsia="en-AU"/>
        </w:rPr>
        <w:t xml:space="preserve">The RMPs have incorrect section titles, references and refer to data tables that have not been submitted as part of the RMP. </w:t>
      </w:r>
      <w:r w:rsidRPr="00C04293">
        <w:rPr>
          <w:lang w:eastAsia="en-AU"/>
        </w:rPr>
        <w:t xml:space="preserve">As per the EU Guideline on Good </w:t>
      </w:r>
      <w:proofErr w:type="spellStart"/>
      <w:r w:rsidRPr="00C04293">
        <w:rPr>
          <w:lang w:eastAsia="en-AU"/>
        </w:rPr>
        <w:t>Pharmacovigilance</w:t>
      </w:r>
      <w:proofErr w:type="spellEnd"/>
      <w:r w:rsidRPr="00C04293">
        <w:rPr>
          <w:lang w:eastAsia="en-AU"/>
        </w:rPr>
        <w:t xml:space="preserve"> Practices (GVP 22 June 2012 EMA/838713/2011), a Risk Management Plan should be a “stand alone” document and not refer to other RMP’s</w:t>
      </w:r>
      <w:r w:rsidR="00FD6FE7">
        <w:rPr>
          <w:lang w:eastAsia="en-AU"/>
        </w:rPr>
        <w:t xml:space="preserve"> or data that is not provided with the RMP</w:t>
      </w:r>
      <w:r w:rsidRPr="00C04293">
        <w:rPr>
          <w:lang w:eastAsia="en-AU"/>
        </w:rPr>
        <w:t>.</w:t>
      </w:r>
      <w:r w:rsidR="004332FB">
        <w:rPr>
          <w:lang w:eastAsia="en-AU"/>
        </w:rPr>
        <w:t xml:space="preserve"> </w:t>
      </w:r>
      <w:r w:rsidRPr="00C04293">
        <w:rPr>
          <w:lang w:eastAsia="en-AU"/>
        </w:rPr>
        <w:t>It is recommended that the sponsor combine these separate documents into one RMP and improve the consistency of the RMP.</w:t>
      </w:r>
    </w:p>
    <w:p w:rsidR="00C04293" w:rsidRPr="00C04293" w:rsidRDefault="00C04293" w:rsidP="006A4C20">
      <w:pPr>
        <w:pStyle w:val="ListBullet"/>
        <w:rPr>
          <w:lang w:eastAsia="en-AU"/>
        </w:rPr>
      </w:pPr>
      <w:r w:rsidRPr="00C04293">
        <w:rPr>
          <w:lang w:eastAsia="en-AU"/>
        </w:rPr>
        <w:t xml:space="preserve">The RMPs are labelled as a “Risk Management Plan for Australia”, however they are actually EU-RMPs. The names of the documents should be corrected, as this is not an Australian RMP. </w:t>
      </w:r>
      <w:r w:rsidRPr="006A4C20">
        <w:t>Furthermore</w:t>
      </w:r>
      <w:r w:rsidRPr="00C04293">
        <w:rPr>
          <w:lang w:eastAsia="en-AU"/>
        </w:rPr>
        <w:t>, no Australian Specific Annex has been submitted. In this case, one is required as the EU-RMP does not adequately discuss Australian specific issues, such as distr</w:t>
      </w:r>
      <w:r>
        <w:rPr>
          <w:lang w:eastAsia="en-AU"/>
        </w:rPr>
        <w:t>ibution of education materials</w:t>
      </w:r>
      <w:r w:rsidRPr="00C04293">
        <w:rPr>
          <w:lang w:eastAsia="en-AU"/>
        </w:rPr>
        <w:t>, training on the education materials the Australian epidemiology of each condition and the application history.</w:t>
      </w:r>
    </w:p>
    <w:p w:rsidR="006F25B8" w:rsidRDefault="00C04293" w:rsidP="006A4C20">
      <w:pPr>
        <w:pStyle w:val="TableTitle"/>
        <w:rPr>
          <w:lang w:eastAsia="en-AU"/>
        </w:rPr>
      </w:pPr>
      <w:bookmarkStart w:id="118" w:name="_Toc247691527"/>
      <w:proofErr w:type="gramStart"/>
      <w:r>
        <w:rPr>
          <w:lang w:eastAsia="en-AU"/>
        </w:rPr>
        <w:t>Table 1.</w:t>
      </w:r>
      <w:proofErr w:type="gramEnd"/>
      <w:r w:rsidRPr="00C04293">
        <w:rPr>
          <w:lang w:eastAsia="en-AU"/>
        </w:rPr>
        <w:t xml:space="preserve"> Ongoing safety </w:t>
      </w:r>
      <w:r w:rsidRPr="006A4C20">
        <w:t>concerns</w:t>
      </w:r>
      <w:r w:rsidRPr="00C04293">
        <w:rPr>
          <w:lang w:eastAsia="en-AU"/>
        </w:rPr>
        <w:t xml:space="preserve"> as specified by the sponsor.</w:t>
      </w:r>
    </w:p>
    <w:p w:rsidR="00C04293" w:rsidRDefault="00C04293" w:rsidP="006A4C20">
      <w:pPr>
        <w:rPr>
          <w:lang w:eastAsia="en-AU"/>
        </w:rPr>
      </w:pPr>
      <w:r w:rsidRPr="00D47079">
        <w:rPr>
          <w:noProof/>
          <w:lang w:eastAsia="en-AU"/>
        </w:rPr>
        <w:drawing>
          <wp:inline distT="0" distB="0" distL="0" distR="0" wp14:anchorId="1D6B9059" wp14:editId="428D5743">
            <wp:extent cx="5400040" cy="3861653"/>
            <wp:effectExtent l="0" t="0" r="0" b="5715"/>
            <wp:docPr id="2" name="Picture 93" descr="Ongoing safety concerns as specified by the sponsor." title="Table 1. Ongoing safety concerns as specified by the spon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5" cstate="print"/>
                    <a:srcRect/>
                    <a:stretch>
                      <a:fillRect/>
                    </a:stretch>
                  </pic:blipFill>
                  <pic:spPr bwMode="auto">
                    <a:xfrm>
                      <a:off x="0" y="0"/>
                      <a:ext cx="5400040" cy="3861653"/>
                    </a:xfrm>
                    <a:prstGeom prst="rect">
                      <a:avLst/>
                    </a:prstGeom>
                    <a:noFill/>
                    <a:ln w="9525">
                      <a:noFill/>
                      <a:miter lim="800000"/>
                      <a:headEnd/>
                      <a:tailEnd/>
                    </a:ln>
                  </pic:spPr>
                </pic:pic>
              </a:graphicData>
            </a:graphic>
          </wp:inline>
        </w:drawing>
      </w:r>
    </w:p>
    <w:p w:rsidR="00C04293" w:rsidRDefault="00C04293" w:rsidP="006A4C20">
      <w:pPr>
        <w:pStyle w:val="Heading4"/>
        <w:rPr>
          <w:lang w:eastAsia="en-AU"/>
        </w:rPr>
      </w:pPr>
      <w:r>
        <w:rPr>
          <w:lang w:eastAsia="en-AU"/>
        </w:rPr>
        <w:t xml:space="preserve">Evaluator </w:t>
      </w:r>
      <w:r w:rsidR="006A4C20" w:rsidRPr="006A4C20">
        <w:t>c</w:t>
      </w:r>
      <w:r w:rsidRPr="006A4C20">
        <w:t>omments</w:t>
      </w:r>
    </w:p>
    <w:p w:rsidR="00C04293" w:rsidRPr="00C04293" w:rsidRDefault="00C04293" w:rsidP="006A4C20">
      <w:r w:rsidRPr="00C04293">
        <w:t xml:space="preserve">Notwithstanding the evaluation of the non-clinical and clinical aspects of the SS, this is not acceptable as a complete list of the ongoing safety concerns for </w:t>
      </w:r>
      <w:proofErr w:type="spellStart"/>
      <w:r w:rsidRPr="00C04293">
        <w:t>certolizumab</w:t>
      </w:r>
      <w:proofErr w:type="spellEnd"/>
      <w:r w:rsidRPr="00C04293">
        <w:t xml:space="preserve">. The TGA will be seeking advice from the clinical evaluator and the ACSOM committee, to assist the delegate with advice regarding the completeness of the list of ongoing safety concerns associated with </w:t>
      </w:r>
      <w:proofErr w:type="spellStart"/>
      <w:r w:rsidRPr="00C04293">
        <w:t>certolizumab</w:t>
      </w:r>
      <w:proofErr w:type="spellEnd"/>
      <w:r w:rsidRPr="00C04293">
        <w:t xml:space="preserve">. </w:t>
      </w:r>
    </w:p>
    <w:p w:rsidR="00C04293" w:rsidRPr="00C04293" w:rsidRDefault="00C04293" w:rsidP="006A4C20">
      <w:r w:rsidRPr="00C04293">
        <w:t>The following risks should be added to the list of ongoing safety concerns, unless the sponsor can provide compelling justification for their exclusion:</w:t>
      </w:r>
    </w:p>
    <w:p w:rsidR="00C04293" w:rsidRPr="00C04293" w:rsidRDefault="00C04293" w:rsidP="006A4C20">
      <w:pPr>
        <w:pStyle w:val="ListBullet"/>
      </w:pPr>
      <w:proofErr w:type="spellStart"/>
      <w:r w:rsidRPr="006A4C20">
        <w:t>Hepatosplenic</w:t>
      </w:r>
      <w:proofErr w:type="spellEnd"/>
      <w:r w:rsidRPr="00C04293">
        <w:t xml:space="preserve"> T-Cell </w:t>
      </w:r>
      <w:r w:rsidRPr="006A4C20">
        <w:t>Lymphoma</w:t>
      </w:r>
      <w:r w:rsidRPr="00C04293">
        <w:t xml:space="preserve"> (HSTCL):</w:t>
      </w:r>
    </w:p>
    <w:p w:rsidR="00C04293" w:rsidRDefault="00C04293" w:rsidP="006A4C20">
      <w:pPr>
        <w:pStyle w:val="ListBullet2"/>
      </w:pPr>
      <w:r w:rsidRPr="00614984">
        <w:lastRenderedPageBreak/>
        <w:t xml:space="preserve">The FDA has previously made statements about the incidence of HSTCL in patients treated with anti-TNFα medications. The majority of </w:t>
      </w:r>
      <w:r w:rsidRPr="006A4C20">
        <w:t>cases</w:t>
      </w:r>
      <w:r w:rsidRPr="00614984">
        <w:t xml:space="preserve"> were in patients being treated for CD or UC, but also included a patient being treated for psoriasis and two patients being treated for rheumatoid arthritis (FDA statement 14 April 2011).</w:t>
      </w:r>
    </w:p>
    <w:p w:rsidR="00C04293" w:rsidRDefault="00C04293" w:rsidP="006A4C20">
      <w:pPr>
        <w:pStyle w:val="ListBullet2"/>
      </w:pPr>
      <w:r>
        <w:t xml:space="preserve">On the 25/4/2013 the EMA issued an opinion/notification regarding the addition of </w:t>
      </w:r>
      <w:r w:rsidRPr="006A4C20">
        <w:t>HSTCL</w:t>
      </w:r>
      <w:r>
        <w:t xml:space="preserve"> to the </w:t>
      </w:r>
      <w:proofErr w:type="spellStart"/>
      <w:r>
        <w:t>SmPC</w:t>
      </w:r>
      <w:proofErr w:type="spellEnd"/>
      <w:r>
        <w:t>.</w:t>
      </w:r>
    </w:p>
    <w:p w:rsidR="00C04293" w:rsidRPr="00B225FD" w:rsidRDefault="00C04293" w:rsidP="006A4C20">
      <w:pPr>
        <w:pStyle w:val="ListBullet2"/>
      </w:pPr>
      <w:r>
        <w:t>HSTCL is part of the proposed Australian product Information submitted with this application.</w:t>
      </w:r>
    </w:p>
    <w:p w:rsidR="00C04293" w:rsidRPr="00614984" w:rsidRDefault="00C04293" w:rsidP="006A4C20">
      <w:pPr>
        <w:pStyle w:val="ListBullet2"/>
      </w:pPr>
      <w:r w:rsidRPr="006A4C20">
        <w:t>This</w:t>
      </w:r>
      <w:r w:rsidRPr="00614984">
        <w:t xml:space="preserve"> is a known Anti-TNFα pharmacological class effect.</w:t>
      </w:r>
    </w:p>
    <w:p w:rsidR="00C04293" w:rsidRPr="00614984" w:rsidRDefault="00C04293" w:rsidP="006A4C20">
      <w:pPr>
        <w:pStyle w:val="ListBullet"/>
      </w:pPr>
      <w:r w:rsidRPr="00614984">
        <w:t xml:space="preserve">Merkel Cell </w:t>
      </w:r>
      <w:r w:rsidRPr="006A4C20">
        <w:t>Carcinoma</w:t>
      </w:r>
      <w:r w:rsidRPr="00614984">
        <w:t>:</w:t>
      </w:r>
    </w:p>
    <w:p w:rsidR="00C04293" w:rsidRDefault="00C04293" w:rsidP="006A4C20">
      <w:pPr>
        <w:pStyle w:val="ListBullet2"/>
      </w:pPr>
      <w:r>
        <w:t>On</w:t>
      </w:r>
      <w:r w:rsidRPr="00614984">
        <w:t xml:space="preserve"> 7 May 2012, the EMA requested that UCB perform a review of cumulative cases of Merkel Cell Carcinoma as a </w:t>
      </w:r>
      <w:r w:rsidRPr="006A4C20">
        <w:t>class</w:t>
      </w:r>
      <w:r w:rsidRPr="00614984">
        <w:t xml:space="preserve"> effect could not be excluded. On the 18 October 2012, the CHMP adopted the conclusion that the prescribing information to indicate the risk of Merkel Cell Carcinoma should be updated and the </w:t>
      </w:r>
      <w:proofErr w:type="spellStart"/>
      <w:r w:rsidR="00780621">
        <w:t>Cimzia</w:t>
      </w:r>
      <w:proofErr w:type="spellEnd"/>
      <w:r>
        <w:t xml:space="preserve"> </w:t>
      </w:r>
      <w:r w:rsidRPr="00614984">
        <w:t>RMP should be updated accordingly.</w:t>
      </w:r>
    </w:p>
    <w:p w:rsidR="00C04293" w:rsidRPr="00FA293B" w:rsidRDefault="00C04293" w:rsidP="006A4C20">
      <w:pPr>
        <w:pStyle w:val="ListBullet2"/>
      </w:pPr>
      <w:r>
        <w:t xml:space="preserve">On 21 March 2013 the EMA issued an opinion/notification regarding the addition of Merkel Cell </w:t>
      </w:r>
      <w:r w:rsidRPr="006A4C20">
        <w:t>Carcinoma</w:t>
      </w:r>
      <w:r>
        <w:t xml:space="preserve"> (MCC) to the </w:t>
      </w:r>
      <w:proofErr w:type="spellStart"/>
      <w:r>
        <w:t>SmPC</w:t>
      </w:r>
      <w:proofErr w:type="spellEnd"/>
      <w:r>
        <w:t xml:space="preserve"> as a new adverse event with unknown frequency.</w:t>
      </w:r>
    </w:p>
    <w:p w:rsidR="00C04293" w:rsidRDefault="00C04293" w:rsidP="006A4C20">
      <w:pPr>
        <w:pStyle w:val="ListBullet2"/>
      </w:pPr>
      <w:r w:rsidRPr="00614984">
        <w:t xml:space="preserve">This is a </w:t>
      </w:r>
      <w:r w:rsidRPr="006A4C20">
        <w:t>known</w:t>
      </w:r>
      <w:r w:rsidRPr="00614984">
        <w:t xml:space="preserve"> Anti-TN</w:t>
      </w:r>
      <w:r>
        <w:t>Fα pharmacological class effect.</w:t>
      </w:r>
    </w:p>
    <w:p w:rsidR="00C04293" w:rsidRPr="00FA293B" w:rsidRDefault="00C04293" w:rsidP="006A4C20">
      <w:pPr>
        <w:pStyle w:val="ListBullet2"/>
      </w:pPr>
      <w:r w:rsidRPr="00FA293B">
        <w:t>Other drugs in this class are updating the product information to include this risk. For example, the United States FDA</w:t>
      </w:r>
      <w:r>
        <w:t xml:space="preserve"> released a safety label update in March 2013 regarding Merkel Cell Carcinoma and infliximab.</w:t>
      </w:r>
    </w:p>
    <w:p w:rsidR="00C04293" w:rsidRPr="00ED5798" w:rsidRDefault="00C04293" w:rsidP="006A4C20">
      <w:pPr>
        <w:pStyle w:val="ListBullet"/>
      </w:pPr>
      <w:r>
        <w:t>Under “</w:t>
      </w:r>
      <w:r w:rsidRPr="006A4C20">
        <w:t>demyelinating</w:t>
      </w:r>
      <w:r>
        <w:t xml:space="preserve"> disorders”, the following should be specifically listed: Guillain-Barre syndrome; demyelinating polyneuropathy;</w:t>
      </w:r>
      <w:r w:rsidRPr="00F35343">
        <w:t xml:space="preserve"> and multifocal motor neuropathy</w:t>
      </w:r>
      <w:r>
        <w:t>:</w:t>
      </w:r>
    </w:p>
    <w:p w:rsidR="00C04293" w:rsidRPr="006B3753" w:rsidRDefault="00C04293" w:rsidP="006A4C20">
      <w:pPr>
        <w:pStyle w:val="ListBullet2"/>
      </w:pPr>
      <w:r>
        <w:t>The United States FDA released a</w:t>
      </w:r>
      <w:r w:rsidRPr="00F35343">
        <w:t xml:space="preserve"> letter dated </w:t>
      </w:r>
      <w:r>
        <w:t xml:space="preserve">20 </w:t>
      </w:r>
      <w:r w:rsidRPr="00F35343">
        <w:t xml:space="preserve">April, 2010, under Section 505(o)(4) of the </w:t>
      </w:r>
      <w:r w:rsidRPr="006A4C20">
        <w:t>Federal</w:t>
      </w:r>
      <w:r w:rsidRPr="00F35343">
        <w:t xml:space="preserve"> Food, Drug, Cosmetic Act (FDCA)</w:t>
      </w:r>
      <w:r>
        <w:t xml:space="preserve"> notifying that</w:t>
      </w:r>
      <w:r w:rsidRPr="00F35343">
        <w:t xml:space="preserve"> new safety information should be included in the labelling for TNF blockers. This information </w:t>
      </w:r>
      <w:r>
        <w:t xml:space="preserve">specifically </w:t>
      </w:r>
      <w:r w:rsidRPr="00F35343">
        <w:t xml:space="preserve">pertains to the risk of peripheral demyelinating disorders, including Guillain-Barre syndrome, demyelinating polyneuropathy, and multifocal motor neuropathy, associated with the use of the class of TNF blockers including </w:t>
      </w:r>
      <w:proofErr w:type="spellStart"/>
      <w:r w:rsidRPr="00F35343">
        <w:t>Cimzia</w:t>
      </w:r>
      <w:proofErr w:type="spellEnd"/>
      <w:r w:rsidRPr="00F35343">
        <w:t xml:space="preserve"> (</w:t>
      </w:r>
      <w:proofErr w:type="spellStart"/>
      <w:r w:rsidRPr="00F35343">
        <w:t>certolizumab</w:t>
      </w:r>
      <w:proofErr w:type="spellEnd"/>
      <w:r w:rsidRPr="00F35343">
        <w:t xml:space="preserve"> </w:t>
      </w:r>
      <w:proofErr w:type="spellStart"/>
      <w:r w:rsidRPr="00F35343">
        <w:t>Pegol</w:t>
      </w:r>
      <w:proofErr w:type="spellEnd"/>
      <w:r w:rsidRPr="00F35343">
        <w:t>). (STN 125160/111)</w:t>
      </w:r>
      <w:r>
        <w:t>.</w:t>
      </w:r>
    </w:p>
    <w:p w:rsidR="00C04293" w:rsidRDefault="00C04293" w:rsidP="006A4C20">
      <w:pPr>
        <w:pStyle w:val="ListBullet"/>
      </w:pPr>
      <w:r>
        <w:t>Under “Infections including TB and serious opportunistic infections”, the sponsor should specifically list Legionella and Listeria:</w:t>
      </w:r>
    </w:p>
    <w:p w:rsidR="00C04293" w:rsidRPr="00ED5798" w:rsidRDefault="00C04293" w:rsidP="006A4C20">
      <w:pPr>
        <w:pStyle w:val="ListBullet2"/>
      </w:pPr>
      <w:r>
        <w:rPr>
          <w:lang w:eastAsia="en-AU"/>
        </w:rPr>
        <w:t>This is a</w:t>
      </w:r>
      <w:r w:rsidRPr="00AF776E">
        <w:rPr>
          <w:lang w:eastAsia="en-AU"/>
        </w:rPr>
        <w:t xml:space="preserve"> known anti-TNFα pharmacological class effect</w:t>
      </w:r>
      <w:r>
        <w:rPr>
          <w:lang w:eastAsia="en-AU"/>
        </w:rPr>
        <w:t>.</w:t>
      </w:r>
    </w:p>
    <w:p w:rsidR="00C04293" w:rsidRDefault="00C04293" w:rsidP="006A4C20">
      <w:pPr>
        <w:pStyle w:val="ListBullet2"/>
      </w:pPr>
      <w:r>
        <w:t xml:space="preserve">On the 9 July 2011, the United States FDA updated the boxed warnings for the entire class of Tumour </w:t>
      </w:r>
      <w:r w:rsidRPr="006A4C20">
        <w:t>Necrosis</w:t>
      </w:r>
      <w:r>
        <w:t xml:space="preserve"> Factor-alpha blockers to include the risk of infection from Legionella and Listeria.</w:t>
      </w:r>
    </w:p>
    <w:p w:rsidR="00C04293" w:rsidRPr="0056179E" w:rsidRDefault="005F769D" w:rsidP="006A4C20">
      <w:pPr>
        <w:pStyle w:val="ListBullet"/>
      </w:pPr>
      <w:r>
        <w:t xml:space="preserve">Under </w:t>
      </w:r>
      <w:r w:rsidRPr="006A4C20">
        <w:t>'</w:t>
      </w:r>
      <w:r w:rsidR="00C04293" w:rsidRPr="006A4C20">
        <w:t>Infections</w:t>
      </w:r>
      <w:r w:rsidR="00C04293">
        <w:t xml:space="preserve"> including TB and serious opportunistic infections”, the sponsor should specifically list Invasive fungal infections:</w:t>
      </w:r>
    </w:p>
    <w:p w:rsidR="00C04293" w:rsidRDefault="00C04293" w:rsidP="006A4C20">
      <w:pPr>
        <w:pStyle w:val="ListBullet"/>
      </w:pPr>
      <w:r w:rsidRPr="00614984">
        <w:t xml:space="preserve">Drug </w:t>
      </w:r>
      <w:r w:rsidRPr="006A4C20">
        <w:t>specific</w:t>
      </w:r>
      <w:r w:rsidRPr="00614984">
        <w:t xml:space="preserve"> antibody formation</w:t>
      </w:r>
    </w:p>
    <w:p w:rsidR="00C04293" w:rsidRPr="00AF776E" w:rsidRDefault="00C04293" w:rsidP="006A4C20">
      <w:pPr>
        <w:pStyle w:val="ListBullet2"/>
      </w:pPr>
      <w:r>
        <w:rPr>
          <w:lang w:eastAsia="en-AU"/>
        </w:rPr>
        <w:t>This is a</w:t>
      </w:r>
      <w:r w:rsidRPr="00AF776E">
        <w:rPr>
          <w:lang w:eastAsia="en-AU"/>
        </w:rPr>
        <w:t xml:space="preserve"> known anti-TNFα</w:t>
      </w:r>
      <w:r>
        <w:rPr>
          <w:lang w:eastAsia="en-AU"/>
        </w:rPr>
        <w:t xml:space="preserve"> </w:t>
      </w:r>
      <w:r w:rsidRPr="006A4C20">
        <w:t>pharmacological</w:t>
      </w:r>
      <w:r>
        <w:rPr>
          <w:lang w:eastAsia="en-AU"/>
        </w:rPr>
        <w:t xml:space="preserve"> class effect.</w:t>
      </w:r>
    </w:p>
    <w:p w:rsidR="00C04293" w:rsidRPr="00AF776E" w:rsidRDefault="005F769D" w:rsidP="006A4C20">
      <w:pPr>
        <w:pStyle w:val="ListBullet2"/>
      </w:pPr>
      <w:r w:rsidRPr="006A4C20">
        <w:t>Listed</w:t>
      </w:r>
      <w:r>
        <w:rPr>
          <w:lang w:eastAsia="en-AU"/>
        </w:rPr>
        <w:t xml:space="preserve"> in the </w:t>
      </w:r>
      <w:proofErr w:type="spellStart"/>
      <w:r>
        <w:rPr>
          <w:lang w:eastAsia="en-AU"/>
        </w:rPr>
        <w:t>Cimzia</w:t>
      </w:r>
      <w:proofErr w:type="spellEnd"/>
      <w:r>
        <w:rPr>
          <w:lang w:eastAsia="en-AU"/>
        </w:rPr>
        <w:t xml:space="preserve"> RA EU-RMP</w:t>
      </w:r>
      <w:r w:rsidR="00C04293">
        <w:rPr>
          <w:lang w:eastAsia="en-AU"/>
        </w:rPr>
        <w:t xml:space="preserve">. </w:t>
      </w:r>
    </w:p>
    <w:p w:rsidR="00C04293" w:rsidRDefault="00C04293" w:rsidP="00326FE9">
      <w:pPr>
        <w:pStyle w:val="ListBullet"/>
      </w:pPr>
      <w:r w:rsidRPr="00F35343">
        <w:t>Injection site reactions</w:t>
      </w:r>
      <w:r>
        <w:t xml:space="preserve"> </w:t>
      </w:r>
      <w:r w:rsidRPr="00326FE9">
        <w:t>and</w:t>
      </w:r>
      <w:r>
        <w:t xml:space="preserve"> infusion reactions:</w:t>
      </w:r>
    </w:p>
    <w:p w:rsidR="00C04293" w:rsidRPr="00AF776E" w:rsidRDefault="00C04293" w:rsidP="00326FE9">
      <w:pPr>
        <w:pStyle w:val="ListBullet2"/>
        <w:rPr>
          <w:lang w:eastAsia="en-AU"/>
        </w:rPr>
      </w:pPr>
      <w:r w:rsidRPr="00AF776E">
        <w:rPr>
          <w:rFonts w:eastAsia="MS Mincho"/>
          <w:bCs/>
          <w:lang w:eastAsia="en-AU"/>
        </w:rPr>
        <w:t xml:space="preserve">A known anti-TNFα pharmacological class </w:t>
      </w:r>
      <w:r w:rsidRPr="00326FE9">
        <w:t>effect</w:t>
      </w:r>
      <w:r w:rsidRPr="00AF776E">
        <w:rPr>
          <w:rFonts w:eastAsia="MS Mincho"/>
          <w:bCs/>
          <w:lang w:eastAsia="en-AU"/>
        </w:rPr>
        <w:t xml:space="preserve">, as stated in the </w:t>
      </w:r>
      <w:proofErr w:type="spellStart"/>
      <w:r w:rsidRPr="00AF776E">
        <w:rPr>
          <w:rFonts w:eastAsia="MS Mincho"/>
          <w:bCs/>
          <w:lang w:eastAsia="en-AU"/>
        </w:rPr>
        <w:t>Cimzia</w:t>
      </w:r>
      <w:proofErr w:type="spellEnd"/>
      <w:r w:rsidRPr="00AF776E">
        <w:rPr>
          <w:rFonts w:eastAsia="MS Mincho"/>
          <w:bCs/>
          <w:lang w:eastAsia="en-AU"/>
        </w:rPr>
        <w:t xml:space="preserve"> RA EU-RMP </w:t>
      </w:r>
      <w:r>
        <w:rPr>
          <w:rFonts w:eastAsia="MS Mincho"/>
          <w:bCs/>
          <w:lang w:eastAsia="en-AU"/>
        </w:rPr>
        <w:t>discussing class effects:</w:t>
      </w:r>
      <w:r w:rsidR="005F769D">
        <w:rPr>
          <w:rFonts w:eastAsia="MS Mincho"/>
          <w:bCs/>
          <w:lang w:eastAsia="en-AU"/>
        </w:rPr>
        <w:t xml:space="preserve"> ‘</w:t>
      </w:r>
      <w:r w:rsidRPr="00326FE9">
        <w:rPr>
          <w:i/>
          <w:lang w:eastAsia="en-AU"/>
        </w:rPr>
        <w:t>Other AEs such as injection site reactions (</w:t>
      </w:r>
      <w:proofErr w:type="spellStart"/>
      <w:r w:rsidRPr="00326FE9">
        <w:rPr>
          <w:i/>
          <w:lang w:eastAsia="en-AU"/>
        </w:rPr>
        <w:t>etanercept</w:t>
      </w:r>
      <w:proofErr w:type="spellEnd"/>
      <w:r w:rsidRPr="00326FE9">
        <w:rPr>
          <w:i/>
          <w:lang w:eastAsia="en-AU"/>
        </w:rPr>
        <w:t xml:space="preserve"> and </w:t>
      </w:r>
      <w:proofErr w:type="spellStart"/>
      <w:r w:rsidRPr="00326FE9">
        <w:rPr>
          <w:i/>
          <w:lang w:eastAsia="en-AU"/>
        </w:rPr>
        <w:t>adalimumab</w:t>
      </w:r>
      <w:proofErr w:type="spellEnd"/>
      <w:r w:rsidRPr="00326FE9">
        <w:rPr>
          <w:i/>
          <w:lang w:eastAsia="en-AU"/>
        </w:rPr>
        <w:t xml:space="preserve">) and infusion reactions (infliximab) have also been </w:t>
      </w:r>
      <w:r w:rsidR="002E5FE2" w:rsidRPr="00326FE9">
        <w:rPr>
          <w:i/>
          <w:lang w:eastAsia="en-AU"/>
        </w:rPr>
        <w:t>reported</w:t>
      </w:r>
      <w:r w:rsidRPr="00326FE9">
        <w:rPr>
          <w:i/>
          <w:lang w:eastAsia="en-AU"/>
        </w:rPr>
        <w:t>.</w:t>
      </w:r>
      <w:r w:rsidR="005F769D">
        <w:rPr>
          <w:lang w:eastAsia="en-AU"/>
        </w:rPr>
        <w:t>’</w:t>
      </w:r>
    </w:p>
    <w:p w:rsidR="00C04293" w:rsidRDefault="00C04293" w:rsidP="00326FE9">
      <w:pPr>
        <w:pStyle w:val="ListBullet"/>
      </w:pPr>
      <w:r>
        <w:t xml:space="preserve">Cranial nerve </w:t>
      </w:r>
      <w:r w:rsidRPr="00326FE9">
        <w:t>inflammation</w:t>
      </w:r>
      <w:r>
        <w:t>:</w:t>
      </w:r>
    </w:p>
    <w:p w:rsidR="00C04293" w:rsidRPr="00F2654B" w:rsidRDefault="00C04293" w:rsidP="00326FE9">
      <w:pPr>
        <w:pStyle w:val="ListBullet2"/>
        <w:rPr>
          <w:lang w:eastAsia="en-AU"/>
        </w:rPr>
      </w:pPr>
      <w:r>
        <w:rPr>
          <w:lang w:eastAsia="en-AU"/>
        </w:rPr>
        <w:t>The</w:t>
      </w:r>
      <w:r w:rsidRPr="00F2654B">
        <w:rPr>
          <w:lang w:eastAsia="en-AU"/>
        </w:rPr>
        <w:t xml:space="preserve"> RA EU-RMP </w:t>
      </w:r>
      <w:r>
        <w:rPr>
          <w:lang w:eastAsia="en-AU"/>
        </w:rPr>
        <w:t>discuss</w:t>
      </w:r>
      <w:r w:rsidR="005F769D">
        <w:rPr>
          <w:lang w:eastAsia="en-AU"/>
        </w:rPr>
        <w:t xml:space="preserve">es cranial nerve </w:t>
      </w:r>
      <w:r w:rsidR="005F769D" w:rsidRPr="00326FE9">
        <w:t>inflammation</w:t>
      </w:r>
      <w:r w:rsidRPr="00F2654B">
        <w:rPr>
          <w:lang w:eastAsia="en-AU"/>
        </w:rPr>
        <w:t>,</w:t>
      </w:r>
      <w:r>
        <w:rPr>
          <w:lang w:eastAsia="en-AU"/>
        </w:rPr>
        <w:t xml:space="preserve"> summarising </w:t>
      </w:r>
      <w:r w:rsidRPr="00F2654B">
        <w:rPr>
          <w:lang w:eastAsia="en-AU"/>
        </w:rPr>
        <w:t xml:space="preserve">the period covered by the PSUR 1, </w:t>
      </w:r>
      <w:r>
        <w:rPr>
          <w:lang w:eastAsia="en-AU"/>
        </w:rPr>
        <w:t>07 Sep</w:t>
      </w:r>
      <w:r w:rsidR="005F769D">
        <w:rPr>
          <w:lang w:eastAsia="en-AU"/>
        </w:rPr>
        <w:t>tember</w:t>
      </w:r>
      <w:r>
        <w:rPr>
          <w:lang w:eastAsia="en-AU"/>
        </w:rPr>
        <w:t xml:space="preserve"> 2009 to 06 Mar</w:t>
      </w:r>
      <w:r w:rsidR="005F769D">
        <w:rPr>
          <w:lang w:eastAsia="en-AU"/>
        </w:rPr>
        <w:t>ch</w:t>
      </w:r>
      <w:r>
        <w:rPr>
          <w:lang w:eastAsia="en-AU"/>
        </w:rPr>
        <w:t xml:space="preserve"> 2010. The sponsor gives reasoning for the </w:t>
      </w:r>
      <w:r w:rsidRPr="00326FE9">
        <w:t>inclusion</w:t>
      </w:r>
      <w:r>
        <w:rPr>
          <w:lang w:eastAsia="en-AU"/>
        </w:rPr>
        <w:t xml:space="preserve"> of this term in the </w:t>
      </w:r>
      <w:proofErr w:type="spellStart"/>
      <w:r>
        <w:rPr>
          <w:lang w:eastAsia="en-AU"/>
        </w:rPr>
        <w:t>SmPC</w:t>
      </w:r>
      <w:proofErr w:type="spellEnd"/>
      <w:r>
        <w:rPr>
          <w:lang w:eastAsia="en-AU"/>
        </w:rPr>
        <w:t>:</w:t>
      </w:r>
      <w:r w:rsidR="005F769D">
        <w:rPr>
          <w:lang w:eastAsia="en-AU"/>
        </w:rPr>
        <w:t xml:space="preserve"> ‘</w:t>
      </w:r>
      <w:r w:rsidRPr="00F2654B">
        <w:rPr>
          <w:rFonts w:eastAsia="TimesNewRoman" w:cs="TimesNewRoman"/>
          <w:i/>
          <w:lang w:eastAsia="en-AU"/>
        </w:rPr>
        <w:t xml:space="preserve">As cranial nerve inflammation may not always be due to demyelinating disease, UCB proposed the broader term “cranial nerve inflammation” instead of </w:t>
      </w:r>
      <w:r w:rsidRPr="00F2654B">
        <w:rPr>
          <w:rFonts w:eastAsia="TimesNewRoman"/>
          <w:i/>
          <w:lang w:eastAsia="en-AU"/>
        </w:rPr>
        <w:t xml:space="preserve">optic neuritis, acoustic neuritis, </w:t>
      </w:r>
      <w:r w:rsidRPr="00F2654B">
        <w:rPr>
          <w:rFonts w:eastAsia="TimesNewRoman" w:cs="TimesNewRoman"/>
          <w:i/>
          <w:lang w:eastAsia="en-AU"/>
        </w:rPr>
        <w:t xml:space="preserve">and </w:t>
      </w:r>
      <w:r w:rsidRPr="00F2654B">
        <w:rPr>
          <w:rFonts w:eastAsia="TimesNewRoman"/>
          <w:i/>
          <w:lang w:eastAsia="en-AU"/>
        </w:rPr>
        <w:t xml:space="preserve">trigeminal neuralgia </w:t>
      </w:r>
      <w:r w:rsidRPr="00F2654B">
        <w:rPr>
          <w:rFonts w:eastAsia="TimesNewRoman" w:cs="TimesNewRoman"/>
          <w:i/>
          <w:lang w:eastAsia="en-AU"/>
        </w:rPr>
        <w:t>that have been described with CZP in the setting of RA</w:t>
      </w:r>
      <w:r w:rsidRPr="00F2654B">
        <w:rPr>
          <w:rFonts w:eastAsia="TimesNewRoman" w:cs="TimesNewRoman"/>
          <w:lang w:eastAsia="en-AU"/>
        </w:rPr>
        <w:t>.</w:t>
      </w:r>
      <w:r w:rsidR="005F769D">
        <w:rPr>
          <w:rFonts w:eastAsia="TimesNewRoman" w:cs="TimesNewRoman"/>
          <w:lang w:eastAsia="en-AU"/>
        </w:rPr>
        <w:t>’</w:t>
      </w:r>
    </w:p>
    <w:p w:rsidR="00C04293" w:rsidRPr="00F2654B" w:rsidRDefault="00C04293" w:rsidP="00326FE9">
      <w:pPr>
        <w:pStyle w:val="ListBullet2"/>
        <w:rPr>
          <w:rFonts w:eastAsia="MS Mincho"/>
          <w:bCs/>
          <w:lang w:eastAsia="en-AU"/>
        </w:rPr>
      </w:pPr>
      <w:r>
        <w:rPr>
          <w:lang w:eastAsia="en-AU"/>
        </w:rPr>
        <w:t xml:space="preserve">This is an important ongoing safety concern </w:t>
      </w:r>
      <w:r w:rsidRPr="00326FE9">
        <w:t>that</w:t>
      </w:r>
      <w:r>
        <w:rPr>
          <w:lang w:eastAsia="en-AU"/>
        </w:rPr>
        <w:t xml:space="preserve"> should continue to be reported on through the PSUR process.</w:t>
      </w:r>
    </w:p>
    <w:p w:rsidR="00C04293" w:rsidRPr="0094213D" w:rsidRDefault="00C04293" w:rsidP="00326FE9">
      <w:pPr>
        <w:pStyle w:val="ListBullet"/>
      </w:pPr>
      <w:r w:rsidRPr="0094213D">
        <w:t>Septic shock</w:t>
      </w:r>
    </w:p>
    <w:p w:rsidR="00C04293" w:rsidRPr="00FB6259" w:rsidRDefault="00C04293" w:rsidP="00326FE9">
      <w:pPr>
        <w:pStyle w:val="ListBullet2"/>
        <w:rPr>
          <w:rFonts w:eastAsia="MS Mincho"/>
          <w:bCs/>
          <w:lang w:eastAsia="en-AU"/>
        </w:rPr>
      </w:pPr>
      <w:r>
        <w:rPr>
          <w:lang w:eastAsia="en-AU"/>
        </w:rPr>
        <w:t xml:space="preserve">This is discussed </w:t>
      </w:r>
      <w:r w:rsidRPr="00326FE9">
        <w:t>in</w:t>
      </w:r>
      <w:r>
        <w:rPr>
          <w:lang w:eastAsia="en-AU"/>
        </w:rPr>
        <w:t xml:space="preserve"> the RA EU-RMP in regards to inclusion of septic shock in the </w:t>
      </w:r>
      <w:proofErr w:type="spellStart"/>
      <w:r>
        <w:rPr>
          <w:lang w:eastAsia="en-AU"/>
        </w:rPr>
        <w:t>SmPC</w:t>
      </w:r>
      <w:proofErr w:type="spellEnd"/>
      <w:r>
        <w:rPr>
          <w:lang w:eastAsia="en-AU"/>
        </w:rPr>
        <w:t>. This is an important ongoing safety concern that should continue to be reported on through the PSUR process.</w:t>
      </w:r>
    </w:p>
    <w:p w:rsidR="00C04293" w:rsidRDefault="00C04293" w:rsidP="00326FE9">
      <w:pPr>
        <w:pStyle w:val="ListBullet"/>
      </w:pPr>
      <w:r w:rsidRPr="00CE64EF">
        <w:t xml:space="preserve">Hypersensitivity </w:t>
      </w:r>
      <w:r w:rsidRPr="00326FE9">
        <w:t>reactions</w:t>
      </w:r>
      <w:r>
        <w:t>:</w:t>
      </w:r>
    </w:p>
    <w:p w:rsidR="00C04293" w:rsidRPr="005F769D" w:rsidRDefault="00C04293" w:rsidP="00326FE9">
      <w:pPr>
        <w:pStyle w:val="ListBullet2"/>
        <w:rPr>
          <w:lang w:eastAsia="en-AU"/>
        </w:rPr>
      </w:pPr>
      <w:r w:rsidRPr="00F2654B">
        <w:t xml:space="preserve">As stated by the </w:t>
      </w:r>
      <w:r w:rsidRPr="00326FE9">
        <w:t>sponsor</w:t>
      </w:r>
      <w:r w:rsidRPr="00F2654B">
        <w:t xml:space="preserve"> in the A</w:t>
      </w:r>
      <w:r w:rsidR="005F769D">
        <w:t>ustralian Product Information: ‘</w:t>
      </w:r>
      <w:proofErr w:type="gramStart"/>
      <w:r w:rsidRPr="00326FE9">
        <w:rPr>
          <w:i/>
          <w:lang w:eastAsia="en-AU"/>
        </w:rPr>
        <w:t>The</w:t>
      </w:r>
      <w:proofErr w:type="gramEnd"/>
      <w:r w:rsidRPr="00326FE9">
        <w:rPr>
          <w:i/>
          <w:lang w:eastAsia="en-AU"/>
        </w:rPr>
        <w:t xml:space="preserve"> following symptoms that could be compatible with hypersensitivity reactions have been reported rarely following </w:t>
      </w:r>
      <w:proofErr w:type="spellStart"/>
      <w:r w:rsidR="00780621" w:rsidRPr="00326FE9">
        <w:rPr>
          <w:i/>
          <w:lang w:eastAsia="en-AU"/>
        </w:rPr>
        <w:t>Cimzia</w:t>
      </w:r>
      <w:proofErr w:type="spellEnd"/>
      <w:r w:rsidRPr="00326FE9">
        <w:rPr>
          <w:i/>
          <w:lang w:eastAsia="en-AU"/>
        </w:rPr>
        <w:t xml:space="preserve"> administration to patients: angioedema, </w:t>
      </w:r>
      <w:proofErr w:type="spellStart"/>
      <w:r w:rsidRPr="00326FE9">
        <w:rPr>
          <w:i/>
          <w:lang w:eastAsia="en-AU"/>
        </w:rPr>
        <w:t>dyspnea</w:t>
      </w:r>
      <w:proofErr w:type="spellEnd"/>
      <w:r w:rsidRPr="00326FE9">
        <w:rPr>
          <w:i/>
          <w:lang w:eastAsia="en-AU"/>
        </w:rPr>
        <w:t xml:space="preserve">, hypotension, rash, serum sickness, and </w:t>
      </w:r>
      <w:proofErr w:type="spellStart"/>
      <w:r w:rsidRPr="00326FE9">
        <w:rPr>
          <w:i/>
          <w:lang w:eastAsia="en-AU"/>
        </w:rPr>
        <w:t>urticaria</w:t>
      </w:r>
      <w:proofErr w:type="spellEnd"/>
      <w:r w:rsidRPr="00326FE9">
        <w:rPr>
          <w:i/>
          <w:lang w:eastAsia="en-AU"/>
        </w:rPr>
        <w:t>. Some of these reactions occurred after the first administration.</w:t>
      </w:r>
      <w:r w:rsidR="005F769D" w:rsidRPr="005F769D">
        <w:rPr>
          <w:lang w:eastAsia="en-AU"/>
        </w:rPr>
        <w:t>’</w:t>
      </w:r>
    </w:p>
    <w:p w:rsidR="00C04293" w:rsidRPr="00F2654B" w:rsidRDefault="00C04293" w:rsidP="00326FE9">
      <w:pPr>
        <w:pStyle w:val="ListBullet2"/>
        <w:rPr>
          <w:rFonts w:eastAsia="MS Mincho"/>
          <w:bCs/>
          <w:lang w:eastAsia="en-AU"/>
        </w:rPr>
      </w:pPr>
      <w:r>
        <w:rPr>
          <w:lang w:eastAsia="en-AU"/>
        </w:rPr>
        <w:t>This is an important ongoing safety concern that should continue to be reported on through the PSUR process.</w:t>
      </w:r>
    </w:p>
    <w:p w:rsidR="00C04293" w:rsidRDefault="00C04293" w:rsidP="00326FE9">
      <w:pPr>
        <w:pStyle w:val="ListBullet2"/>
      </w:pPr>
      <w:r w:rsidRPr="00326FE9">
        <w:t>Change</w:t>
      </w:r>
      <w:r w:rsidRPr="00CE64EF">
        <w:t xml:space="preserve"> in morphology/severity of psoriasis</w:t>
      </w:r>
      <w:r>
        <w:t>:</w:t>
      </w:r>
    </w:p>
    <w:p w:rsidR="00C04293" w:rsidRPr="00B81881" w:rsidRDefault="00C04293" w:rsidP="00326FE9">
      <w:pPr>
        <w:pStyle w:val="ListBullet2"/>
      </w:pPr>
      <w:r w:rsidRPr="00AF776E">
        <w:rPr>
          <w:lang w:eastAsia="en-AU"/>
        </w:rPr>
        <w:t xml:space="preserve">A </w:t>
      </w:r>
      <w:r w:rsidRPr="00326FE9">
        <w:t>known</w:t>
      </w:r>
      <w:r w:rsidRPr="00AF776E">
        <w:rPr>
          <w:lang w:eastAsia="en-AU"/>
        </w:rPr>
        <w:t xml:space="preserve"> </w:t>
      </w:r>
      <w:r w:rsidRPr="00B81881">
        <w:rPr>
          <w:lang w:eastAsia="en-AU"/>
        </w:rPr>
        <w:t>anti-TNFα pharmacological class effect</w:t>
      </w:r>
      <w:r w:rsidR="005F769D">
        <w:rPr>
          <w:lang w:eastAsia="en-AU"/>
        </w:rPr>
        <w:t>.</w:t>
      </w:r>
    </w:p>
    <w:p w:rsidR="00C04293" w:rsidRPr="00B81881" w:rsidRDefault="00C04293" w:rsidP="00326FE9">
      <w:pPr>
        <w:pStyle w:val="ListBullet2"/>
      </w:pPr>
      <w:r w:rsidRPr="00B81881">
        <w:rPr>
          <w:lang w:eastAsia="en-AU"/>
        </w:rPr>
        <w:t xml:space="preserve">This is an important risk that should be reported through the PSUR process, especially in light of </w:t>
      </w:r>
      <w:r w:rsidRPr="00326FE9">
        <w:t>the</w:t>
      </w:r>
      <w:r w:rsidRPr="00B81881">
        <w:rPr>
          <w:lang w:eastAsia="en-AU"/>
        </w:rPr>
        <w:t xml:space="preserve"> current application </w:t>
      </w:r>
      <w:r>
        <w:rPr>
          <w:lang w:eastAsia="en-AU"/>
        </w:rPr>
        <w:t>regarding</w:t>
      </w:r>
      <w:r w:rsidRPr="00B81881">
        <w:rPr>
          <w:lang w:eastAsia="en-AU"/>
        </w:rPr>
        <w:t xml:space="preserve"> the</w:t>
      </w:r>
      <w:r>
        <w:rPr>
          <w:lang w:eastAsia="en-AU"/>
        </w:rPr>
        <w:t xml:space="preserve"> use of </w:t>
      </w:r>
      <w:proofErr w:type="spellStart"/>
      <w:r>
        <w:rPr>
          <w:lang w:eastAsia="en-AU"/>
        </w:rPr>
        <w:t>Cimzia</w:t>
      </w:r>
      <w:proofErr w:type="spellEnd"/>
      <w:r>
        <w:rPr>
          <w:lang w:eastAsia="en-AU"/>
        </w:rPr>
        <w:t xml:space="preserve"> in the</w:t>
      </w:r>
      <w:r w:rsidRPr="00B81881">
        <w:rPr>
          <w:lang w:eastAsia="en-AU"/>
        </w:rPr>
        <w:t xml:space="preserve"> treatment of </w:t>
      </w:r>
      <w:r w:rsidR="0024294D">
        <w:rPr>
          <w:iCs/>
          <w:lang w:eastAsia="en-AU"/>
        </w:rPr>
        <w:t>p</w:t>
      </w:r>
      <w:r w:rsidR="0024294D" w:rsidRPr="00B81881">
        <w:rPr>
          <w:iCs/>
          <w:lang w:eastAsia="en-AU"/>
        </w:rPr>
        <w:t>soriatic</w:t>
      </w:r>
      <w:r w:rsidRPr="00B81881">
        <w:rPr>
          <w:iCs/>
          <w:lang w:eastAsia="en-AU"/>
        </w:rPr>
        <w:t xml:space="preserve"> arthritis.</w:t>
      </w:r>
    </w:p>
    <w:p w:rsidR="00C04293" w:rsidRPr="005F769D" w:rsidRDefault="00C04293" w:rsidP="00326FE9">
      <w:r w:rsidRPr="005F769D">
        <w:t>The following should be added to the list of important missing information:</w:t>
      </w:r>
    </w:p>
    <w:p w:rsidR="00C04293" w:rsidRDefault="00C04293" w:rsidP="00326FE9">
      <w:pPr>
        <w:pStyle w:val="ListBullet"/>
      </w:pPr>
      <w:proofErr w:type="spellStart"/>
      <w:r w:rsidRPr="00765211">
        <w:t>Certolizumab</w:t>
      </w:r>
      <w:proofErr w:type="spellEnd"/>
      <w:r w:rsidRPr="00765211">
        <w:t xml:space="preserve"> use in patients with HIV or hepatitis C</w:t>
      </w:r>
      <w:r w:rsidR="005F769D">
        <w:t>.</w:t>
      </w:r>
    </w:p>
    <w:p w:rsidR="00C04293" w:rsidRPr="00E90487" w:rsidRDefault="00C04293" w:rsidP="00326FE9">
      <w:pPr>
        <w:pStyle w:val="ListBullet2"/>
      </w:pPr>
      <w:r w:rsidRPr="00E90487">
        <w:t xml:space="preserve">This has not been part of the studies involving </w:t>
      </w:r>
      <w:proofErr w:type="spellStart"/>
      <w:r w:rsidRPr="00E90487">
        <w:t>certolizumab</w:t>
      </w:r>
      <w:proofErr w:type="spellEnd"/>
      <w:r w:rsidR="005F769D">
        <w:t>.</w:t>
      </w:r>
    </w:p>
    <w:p w:rsidR="00C04293" w:rsidRPr="00416611" w:rsidRDefault="00C04293" w:rsidP="00326FE9">
      <w:pPr>
        <w:pStyle w:val="ListBullet2"/>
      </w:pPr>
      <w:r w:rsidRPr="00416611">
        <w:t xml:space="preserve">Listed as important missing </w:t>
      </w:r>
      <w:r w:rsidRPr="00326FE9">
        <w:t>information</w:t>
      </w:r>
      <w:r w:rsidRPr="00416611">
        <w:t xml:space="preserve"> for other TNFα antagonists (such as </w:t>
      </w:r>
      <w:proofErr w:type="spellStart"/>
      <w:r w:rsidRPr="00416611">
        <w:rPr>
          <w:rFonts w:cs="Helv"/>
          <w:color w:val="000000"/>
          <w:lang w:eastAsia="en-AU"/>
        </w:rPr>
        <w:t>Golimumab</w:t>
      </w:r>
      <w:proofErr w:type="spellEnd"/>
      <w:r w:rsidRPr="00416611">
        <w:rPr>
          <w:rFonts w:cs="Helv"/>
          <w:color w:val="000000"/>
          <w:lang w:eastAsia="en-AU"/>
        </w:rPr>
        <w:t>)</w:t>
      </w:r>
      <w:r w:rsidRPr="00416611">
        <w:t>.</w:t>
      </w:r>
    </w:p>
    <w:p w:rsidR="00C04293" w:rsidRPr="00416611" w:rsidRDefault="00C04293" w:rsidP="00326FE9">
      <w:pPr>
        <w:pStyle w:val="ListBullet"/>
      </w:pPr>
      <w:r w:rsidRPr="00416611">
        <w:t>Long term safety</w:t>
      </w:r>
    </w:p>
    <w:p w:rsidR="00C04293" w:rsidRPr="00DF58CE" w:rsidRDefault="00C04293" w:rsidP="00326FE9">
      <w:pPr>
        <w:pStyle w:val="ListBullet2"/>
        <w:rPr>
          <w:iCs/>
          <w:lang w:eastAsia="en-AU"/>
        </w:rPr>
      </w:pPr>
      <w:r w:rsidRPr="00DF58CE">
        <w:t xml:space="preserve">This has not been included part of the studies involving </w:t>
      </w:r>
      <w:proofErr w:type="spellStart"/>
      <w:r w:rsidRPr="00DF58CE">
        <w:t>certolizumab</w:t>
      </w:r>
      <w:proofErr w:type="spellEnd"/>
      <w:r w:rsidRPr="00DF58CE">
        <w:t xml:space="preserve"> use in </w:t>
      </w:r>
      <w:r w:rsidR="0024294D" w:rsidRPr="00DF58CE">
        <w:rPr>
          <w:iCs/>
          <w:lang w:eastAsia="en-AU"/>
        </w:rPr>
        <w:t>Psoriatic</w:t>
      </w:r>
      <w:r w:rsidRPr="00DF58CE">
        <w:rPr>
          <w:iCs/>
          <w:lang w:eastAsia="en-AU"/>
        </w:rPr>
        <w:t xml:space="preserve"> arthritis or Axial </w:t>
      </w:r>
      <w:proofErr w:type="spellStart"/>
      <w:r w:rsidRPr="00DF58CE">
        <w:rPr>
          <w:iCs/>
          <w:lang w:eastAsia="en-AU"/>
        </w:rPr>
        <w:t>spondyloarthritis</w:t>
      </w:r>
      <w:proofErr w:type="spellEnd"/>
      <w:r w:rsidRPr="00DF58CE">
        <w:rPr>
          <w:iCs/>
          <w:lang w:eastAsia="en-AU"/>
        </w:rPr>
        <w:t>.</w:t>
      </w:r>
    </w:p>
    <w:p w:rsidR="00C04293" w:rsidRPr="00416611" w:rsidRDefault="00C04293" w:rsidP="00326FE9">
      <w:pPr>
        <w:pStyle w:val="ListBullet2"/>
      </w:pPr>
      <w:r w:rsidRPr="00416611">
        <w:t xml:space="preserve">Listed as important missing information </w:t>
      </w:r>
      <w:r w:rsidRPr="00326FE9">
        <w:t>for</w:t>
      </w:r>
      <w:r w:rsidRPr="00416611">
        <w:t xml:space="preserve"> other TNFα antagonists (such as </w:t>
      </w:r>
      <w:proofErr w:type="spellStart"/>
      <w:r w:rsidRPr="00416611">
        <w:rPr>
          <w:rFonts w:cs="Helv"/>
          <w:color w:val="000000"/>
          <w:lang w:eastAsia="en-AU"/>
        </w:rPr>
        <w:t>Golimumab</w:t>
      </w:r>
      <w:proofErr w:type="spellEnd"/>
      <w:r w:rsidRPr="00416611">
        <w:rPr>
          <w:rFonts w:cs="Helv"/>
          <w:color w:val="000000"/>
          <w:lang w:eastAsia="en-AU"/>
        </w:rPr>
        <w:t>)</w:t>
      </w:r>
      <w:r w:rsidR="005F769D">
        <w:t>.</w:t>
      </w:r>
    </w:p>
    <w:p w:rsidR="00C04293" w:rsidRPr="00F35343" w:rsidRDefault="00C04293" w:rsidP="00326FE9">
      <w:r w:rsidRPr="00416611">
        <w:t>Furthermore, the sponsor should correct the formatting error in the table of ongoing safety</w:t>
      </w:r>
      <w:r w:rsidRPr="00F35343">
        <w:t xml:space="preserve"> concerns</w:t>
      </w:r>
      <w:r>
        <w:t>.</w:t>
      </w:r>
      <w:r w:rsidR="00421B87">
        <w:rPr>
          <w:rStyle w:val="FootnoteReference"/>
          <w:rFonts w:asciiTheme="minorHAnsi" w:hAnsiTheme="minorHAnsi"/>
        </w:rPr>
        <w:footnoteReference w:id="3"/>
      </w:r>
    </w:p>
    <w:p w:rsidR="006F25B8" w:rsidRDefault="006F25B8" w:rsidP="00326FE9">
      <w:pPr>
        <w:pStyle w:val="Heading4"/>
        <w:rPr>
          <w:lang w:eastAsia="en-AU"/>
        </w:rPr>
      </w:pPr>
      <w:r w:rsidRPr="006F25B8">
        <w:rPr>
          <w:lang w:eastAsia="en-AU"/>
        </w:rPr>
        <w:lastRenderedPageBreak/>
        <w:t xml:space="preserve">Reconciliation of issues </w:t>
      </w:r>
      <w:r w:rsidRPr="00326FE9">
        <w:t>outlined</w:t>
      </w:r>
      <w:r w:rsidRPr="006F25B8">
        <w:rPr>
          <w:lang w:eastAsia="en-AU"/>
        </w:rPr>
        <w:t xml:space="preserve"> in the RMP report </w:t>
      </w:r>
    </w:p>
    <w:p w:rsidR="006F25B8" w:rsidRDefault="006F25B8" w:rsidP="00326FE9">
      <w:pPr>
        <w:rPr>
          <w:lang w:eastAsia="en-AU"/>
        </w:rPr>
      </w:pPr>
      <w:r>
        <w:rPr>
          <w:lang w:eastAsia="en-AU"/>
        </w:rPr>
        <w:t xml:space="preserve">Table </w:t>
      </w:r>
      <w:r w:rsidR="005F769D">
        <w:rPr>
          <w:lang w:eastAsia="en-AU"/>
        </w:rPr>
        <w:t>2</w:t>
      </w:r>
      <w:r>
        <w:rPr>
          <w:lang w:eastAsia="en-AU"/>
        </w:rPr>
        <w:t xml:space="preserve"> summarises the </w:t>
      </w:r>
      <w:r w:rsidR="005F769D">
        <w:rPr>
          <w:lang w:eastAsia="en-AU"/>
        </w:rPr>
        <w:t>TGA’s</w:t>
      </w:r>
      <w:r>
        <w:rPr>
          <w:lang w:eastAsia="en-AU"/>
        </w:rPr>
        <w:t xml:space="preserve"> first round evaluation of the RMP, the sponsor’s responses to issues raised and the </w:t>
      </w:r>
      <w:r w:rsidR="005F769D">
        <w:rPr>
          <w:lang w:eastAsia="en-AU"/>
        </w:rPr>
        <w:t>TGA’s</w:t>
      </w:r>
      <w:r>
        <w:rPr>
          <w:lang w:eastAsia="en-AU"/>
        </w:rPr>
        <w:t xml:space="preserve"> evaluat</w:t>
      </w:r>
      <w:r w:rsidR="005F769D">
        <w:rPr>
          <w:lang w:eastAsia="en-AU"/>
        </w:rPr>
        <w:t>ion of the sponsor’s responses.</w:t>
      </w:r>
    </w:p>
    <w:p w:rsidR="005F769D" w:rsidRDefault="005F769D" w:rsidP="00326FE9">
      <w:pPr>
        <w:pStyle w:val="TableTitle"/>
        <w:rPr>
          <w:lang w:eastAsia="en-AU"/>
        </w:rPr>
      </w:pPr>
      <w:proofErr w:type="gramStart"/>
      <w:r>
        <w:rPr>
          <w:lang w:eastAsia="en-AU"/>
        </w:rPr>
        <w:t>Table 2</w:t>
      </w:r>
      <w:r w:rsidRPr="005F769D">
        <w:rPr>
          <w:lang w:eastAsia="en-AU"/>
        </w:rPr>
        <w:t>.</w:t>
      </w:r>
      <w:proofErr w:type="gramEnd"/>
      <w:r w:rsidRPr="005F769D">
        <w:rPr>
          <w:lang w:eastAsia="en-AU"/>
        </w:rPr>
        <w:t xml:space="preserve"> Reconciliation of issues </w:t>
      </w:r>
      <w:r w:rsidRPr="00326FE9">
        <w:t>outlined</w:t>
      </w:r>
      <w:r w:rsidRPr="005F769D">
        <w:rPr>
          <w:lang w:eastAsia="en-AU"/>
        </w:rPr>
        <w:t xml:space="preserve"> in the RMP report</w:t>
      </w:r>
    </w:p>
    <w:tbl>
      <w:tblPr>
        <w:tblStyle w:val="TableTGAblue"/>
        <w:tblW w:w="5000" w:type="pct"/>
        <w:tblLayout w:type="fixed"/>
        <w:tblLook w:val="04A0" w:firstRow="1" w:lastRow="0" w:firstColumn="1" w:lastColumn="0" w:noHBand="0" w:noVBand="1"/>
      </w:tblPr>
      <w:tblGrid>
        <w:gridCol w:w="2518"/>
        <w:gridCol w:w="3685"/>
        <w:gridCol w:w="2517"/>
      </w:tblGrid>
      <w:tr w:rsidR="005F769D" w:rsidRPr="00A42804" w:rsidTr="00464539">
        <w:trPr>
          <w:cnfStyle w:val="100000000000" w:firstRow="1" w:lastRow="0" w:firstColumn="0" w:lastColumn="0" w:oddVBand="0" w:evenVBand="0" w:oddHBand="0" w:evenHBand="0" w:firstRowFirstColumn="0" w:firstRowLastColumn="0" w:lastRowFirstColumn="0" w:lastRowLastColumn="0"/>
        </w:trPr>
        <w:tc>
          <w:tcPr>
            <w:tcW w:w="1444" w:type="pct"/>
            <w:noWrap/>
          </w:tcPr>
          <w:p w:rsidR="005F769D" w:rsidRPr="00BA6B85" w:rsidRDefault="005F769D" w:rsidP="00326FE9">
            <w:r w:rsidRPr="00BA6B85">
              <w:t>Recommendation in RMP evaluation report</w:t>
            </w:r>
          </w:p>
        </w:tc>
        <w:tc>
          <w:tcPr>
            <w:tcW w:w="2113" w:type="pct"/>
            <w:noWrap/>
          </w:tcPr>
          <w:p w:rsidR="005F769D" w:rsidRPr="00BA6B85" w:rsidRDefault="005F769D" w:rsidP="00326FE9">
            <w:r w:rsidRPr="00BA6B85">
              <w:t>Sponsor’s response</w:t>
            </w:r>
          </w:p>
        </w:tc>
        <w:tc>
          <w:tcPr>
            <w:tcW w:w="1443" w:type="pct"/>
            <w:noWrap/>
          </w:tcPr>
          <w:p w:rsidR="005F769D" w:rsidRPr="00BA6B85" w:rsidRDefault="005F769D" w:rsidP="00326FE9">
            <w:r w:rsidRPr="00BA6B85">
              <w:t>Evaluator’s comment</w:t>
            </w:r>
          </w:p>
        </w:tc>
      </w:tr>
      <w:tr w:rsidR="005F769D" w:rsidRPr="00A42804" w:rsidTr="00464539">
        <w:tc>
          <w:tcPr>
            <w:tcW w:w="1444" w:type="pct"/>
            <w:noWrap/>
          </w:tcPr>
          <w:p w:rsidR="005F769D" w:rsidRPr="00BA6B85" w:rsidRDefault="005F769D" w:rsidP="00326FE9">
            <w:r w:rsidRPr="00BA6B85">
              <w:t xml:space="preserve">The following risks should be added to the list of ongoing safety concerns, unless the sponsor can provide compelling justification for their exclusion: </w:t>
            </w:r>
          </w:p>
          <w:p w:rsidR="005F769D" w:rsidRPr="00BA6B85" w:rsidRDefault="005F769D" w:rsidP="00326FE9">
            <w:pPr>
              <w:pStyle w:val="ListBullet"/>
            </w:pPr>
            <w:proofErr w:type="spellStart"/>
            <w:r w:rsidRPr="00BA6B85">
              <w:t>Hepatosplenic</w:t>
            </w:r>
            <w:proofErr w:type="spellEnd"/>
            <w:r w:rsidRPr="00BA6B85">
              <w:t xml:space="preserve"> T-cell lymphoma (HSTCL) </w:t>
            </w:r>
          </w:p>
          <w:p w:rsidR="005F769D" w:rsidRPr="00BA6B85" w:rsidRDefault="005F769D" w:rsidP="00326FE9">
            <w:pPr>
              <w:pStyle w:val="ListBullet"/>
            </w:pPr>
            <w:r w:rsidRPr="00BA6B85">
              <w:t xml:space="preserve">Merkel Cell Carcinoma </w:t>
            </w:r>
          </w:p>
          <w:p w:rsidR="005F769D" w:rsidRPr="00BA6B85" w:rsidRDefault="005F769D" w:rsidP="00326FE9">
            <w:pPr>
              <w:pStyle w:val="ListBullet"/>
            </w:pPr>
            <w:r w:rsidRPr="00BA6B85">
              <w:t xml:space="preserve">Under “demyelinating disorders”, the following should be specifically listed: Guillain-Barre syndrome, demyelinating polyneuropathy and multifocal motor neuropathy </w:t>
            </w:r>
          </w:p>
          <w:p w:rsidR="005F769D" w:rsidRPr="00BA6B85" w:rsidRDefault="005F769D" w:rsidP="00326FE9">
            <w:pPr>
              <w:pStyle w:val="ListBullet"/>
            </w:pPr>
            <w:r w:rsidRPr="00BA6B85">
              <w:t xml:space="preserve">Under “infections including TB and serious opportunistic infections” the sponsor should specifically list Legionella and Listeria </w:t>
            </w:r>
          </w:p>
          <w:p w:rsidR="005F769D" w:rsidRPr="00BA6B85" w:rsidRDefault="005F769D" w:rsidP="00326FE9">
            <w:pPr>
              <w:pStyle w:val="ListBullet"/>
            </w:pPr>
            <w:r w:rsidRPr="00BA6B85">
              <w:t xml:space="preserve">Under “infections including TB and serious opportunistic infections” the sponsor should specifically list Invasive fungal infections </w:t>
            </w:r>
          </w:p>
          <w:p w:rsidR="005F769D" w:rsidRPr="00BA6B85" w:rsidRDefault="005F769D" w:rsidP="00326FE9">
            <w:pPr>
              <w:pStyle w:val="ListBullet"/>
            </w:pPr>
            <w:r w:rsidRPr="00BA6B85">
              <w:t xml:space="preserve">Drug specific antibody formation </w:t>
            </w:r>
          </w:p>
          <w:p w:rsidR="005F769D" w:rsidRPr="00BA6B85" w:rsidRDefault="005F769D" w:rsidP="00326FE9">
            <w:pPr>
              <w:pStyle w:val="ListBullet"/>
            </w:pPr>
            <w:r w:rsidRPr="00BA6B85">
              <w:t xml:space="preserve">Injection site reactions </w:t>
            </w:r>
          </w:p>
          <w:p w:rsidR="005F769D" w:rsidRPr="00BA6B85" w:rsidRDefault="005F769D" w:rsidP="00326FE9">
            <w:pPr>
              <w:pStyle w:val="ListBullet"/>
            </w:pPr>
            <w:r w:rsidRPr="00BA6B85">
              <w:t xml:space="preserve">Hypersensitivity reactions </w:t>
            </w:r>
          </w:p>
          <w:p w:rsidR="005F769D" w:rsidRPr="00326FE9" w:rsidRDefault="005F769D" w:rsidP="00326FE9">
            <w:pPr>
              <w:pStyle w:val="ListBullet"/>
            </w:pPr>
            <w:r w:rsidRPr="00BA6B85">
              <w:t xml:space="preserve">Change in morphology / severity of psoriasis </w:t>
            </w:r>
          </w:p>
          <w:p w:rsidR="005F769D" w:rsidRPr="00BA6B85" w:rsidRDefault="005F769D" w:rsidP="00326FE9">
            <w:r w:rsidRPr="00BA6B85">
              <w:t>The following should be added to the list of import</w:t>
            </w:r>
            <w:r w:rsidR="00326FE9">
              <w:t>ant missing information:</w:t>
            </w:r>
          </w:p>
          <w:p w:rsidR="005F769D" w:rsidRPr="00326FE9" w:rsidRDefault="00326FE9" w:rsidP="00326FE9">
            <w:pPr>
              <w:pStyle w:val="ListBullet"/>
            </w:pPr>
            <w:r>
              <w:t>Long term safety</w:t>
            </w:r>
          </w:p>
        </w:tc>
        <w:tc>
          <w:tcPr>
            <w:tcW w:w="2113" w:type="pct"/>
            <w:noWrap/>
          </w:tcPr>
          <w:p w:rsidR="005F769D" w:rsidRPr="00326FE9" w:rsidRDefault="005F769D" w:rsidP="00326FE9">
            <w:pPr>
              <w:pStyle w:val="Numberbullet0"/>
              <w:rPr>
                <w:i/>
              </w:rPr>
            </w:pPr>
            <w:r w:rsidRPr="00326FE9">
              <w:rPr>
                <w:i/>
              </w:rPr>
              <w:t xml:space="preserve">UCB has now added </w:t>
            </w:r>
            <w:proofErr w:type="spellStart"/>
            <w:r w:rsidRPr="00326FE9">
              <w:rPr>
                <w:i/>
              </w:rPr>
              <w:t>hepatosplenic</w:t>
            </w:r>
            <w:proofErr w:type="spellEnd"/>
            <w:r w:rsidRPr="00326FE9">
              <w:rPr>
                <w:i/>
              </w:rPr>
              <w:t xml:space="preserve"> T-cell lymphoma, Merkel Cell carcinoma, hypersensitivity reactions, changes in morphology or severity of psoriasis to the list of ongoing safety concerns – important identified risks (see </w:t>
            </w:r>
            <w:proofErr w:type="spellStart"/>
            <w:r w:rsidRPr="00326FE9">
              <w:rPr>
                <w:i/>
              </w:rPr>
              <w:t>Ci</w:t>
            </w:r>
            <w:r w:rsidR="00326FE9" w:rsidRPr="00326FE9">
              <w:rPr>
                <w:i/>
              </w:rPr>
              <w:t>mzia</w:t>
            </w:r>
            <w:proofErr w:type="spellEnd"/>
            <w:r w:rsidR="00326FE9" w:rsidRPr="00326FE9">
              <w:rPr>
                <w:i/>
              </w:rPr>
              <w:t xml:space="preserve"> EU-RMP version 9.3 pp 165)</w:t>
            </w:r>
            <w:r w:rsidRPr="00326FE9">
              <w:rPr>
                <w:i/>
              </w:rPr>
              <w:t>.</w:t>
            </w:r>
          </w:p>
          <w:p w:rsidR="005F769D" w:rsidRPr="00326FE9" w:rsidRDefault="005F769D" w:rsidP="00326FE9">
            <w:pPr>
              <w:pStyle w:val="Numberbullet0"/>
              <w:rPr>
                <w:i/>
              </w:rPr>
            </w:pPr>
            <w:r w:rsidRPr="00326FE9">
              <w:rPr>
                <w:i/>
              </w:rPr>
              <w:t xml:space="preserve">Long term safety is added to the list of ongoing safety concerns – important missing information (see </w:t>
            </w:r>
            <w:proofErr w:type="spellStart"/>
            <w:r w:rsidRPr="00326FE9">
              <w:rPr>
                <w:i/>
              </w:rPr>
              <w:t>Ci</w:t>
            </w:r>
            <w:r w:rsidR="00326FE9" w:rsidRPr="00326FE9">
              <w:rPr>
                <w:i/>
              </w:rPr>
              <w:t>mzia</w:t>
            </w:r>
            <w:proofErr w:type="spellEnd"/>
            <w:r w:rsidR="00326FE9" w:rsidRPr="00326FE9">
              <w:rPr>
                <w:i/>
              </w:rPr>
              <w:t xml:space="preserve"> EU-RMP version 9.3 pp 166)</w:t>
            </w:r>
            <w:r w:rsidRPr="00326FE9">
              <w:rPr>
                <w:i/>
              </w:rPr>
              <w:t>.</w:t>
            </w:r>
          </w:p>
          <w:p w:rsidR="005F769D" w:rsidRPr="00326FE9" w:rsidRDefault="005F769D" w:rsidP="00326FE9">
            <w:pPr>
              <w:pStyle w:val="Numberbullet0"/>
              <w:rPr>
                <w:i/>
              </w:rPr>
            </w:pPr>
            <w:r w:rsidRPr="00326FE9">
              <w:rPr>
                <w:i/>
              </w:rPr>
              <w:t>The evaluator’s co</w:t>
            </w:r>
            <w:r w:rsidR="00326FE9" w:rsidRPr="00326FE9">
              <w:rPr>
                <w:i/>
              </w:rPr>
              <w:t>mments are noted in regards to:</w:t>
            </w:r>
          </w:p>
          <w:p w:rsidR="005F769D" w:rsidRPr="00326FE9" w:rsidRDefault="005F769D" w:rsidP="00326FE9">
            <w:pPr>
              <w:pStyle w:val="ListBullet2"/>
              <w:rPr>
                <w:i/>
              </w:rPr>
            </w:pPr>
            <w:r w:rsidRPr="00326FE9">
              <w:rPr>
                <w:i/>
              </w:rPr>
              <w:t xml:space="preserve">Under “infections including TB and serious opportunistic infections” the sponsor should specifically list Legionella and Listeria </w:t>
            </w:r>
          </w:p>
          <w:p w:rsidR="005F769D" w:rsidRPr="00326FE9" w:rsidRDefault="005F769D" w:rsidP="00326FE9">
            <w:pPr>
              <w:pStyle w:val="ListBullet2"/>
              <w:rPr>
                <w:i/>
              </w:rPr>
            </w:pPr>
            <w:r w:rsidRPr="00326FE9">
              <w:rPr>
                <w:i/>
              </w:rPr>
              <w:t xml:space="preserve">Under “infections including TB and serious opportunistic infections” the sponsor should specifically list Invasive fungal infections </w:t>
            </w:r>
          </w:p>
          <w:p w:rsidR="005F769D" w:rsidRPr="00326FE9" w:rsidRDefault="005F769D" w:rsidP="00326FE9">
            <w:pPr>
              <w:pStyle w:val="ListBullet2"/>
              <w:rPr>
                <w:i/>
              </w:rPr>
            </w:pPr>
            <w:r w:rsidRPr="00326FE9">
              <w:rPr>
                <w:i/>
              </w:rPr>
              <w:t xml:space="preserve">Under “demyelinating disorders”, the following should be specifically listed: Guillain-Barre syndrome, demyelinating polyneuropathy </w:t>
            </w:r>
            <w:r w:rsidR="00326FE9" w:rsidRPr="00326FE9">
              <w:rPr>
                <w:i/>
              </w:rPr>
              <w:t>and multifocal motor neuropathy</w:t>
            </w:r>
          </w:p>
          <w:p w:rsidR="005F769D" w:rsidRPr="00326FE9" w:rsidRDefault="00326FE9" w:rsidP="00326FE9">
            <w:pPr>
              <w:pStyle w:val="ListBullet"/>
              <w:rPr>
                <w:i/>
              </w:rPr>
            </w:pPr>
            <w:r w:rsidRPr="00326FE9">
              <w:rPr>
                <w:i/>
              </w:rPr>
              <w:t>Cranial nerve inflammation</w:t>
            </w:r>
          </w:p>
          <w:p w:rsidR="005F769D" w:rsidRPr="00326FE9" w:rsidRDefault="005F769D" w:rsidP="00326FE9">
            <w:pPr>
              <w:rPr>
                <w:i/>
              </w:rPr>
            </w:pPr>
            <w:r w:rsidRPr="00326FE9">
              <w:rPr>
                <w:i/>
              </w:rPr>
              <w:t xml:space="preserve">UCB S.A. advises that the additional specific terms listed in the first two bullets are part of the general safety </w:t>
            </w:r>
            <w:proofErr w:type="gramStart"/>
            <w:r w:rsidRPr="00326FE9">
              <w:rPr>
                <w:i/>
              </w:rPr>
              <w:t xml:space="preserve">concern, </w:t>
            </w:r>
            <w:r w:rsidR="004332FB" w:rsidRPr="00326FE9">
              <w:rPr>
                <w:i/>
              </w:rPr>
              <w:t>that</w:t>
            </w:r>
            <w:proofErr w:type="gramEnd"/>
            <w:r w:rsidR="004332FB" w:rsidRPr="00326FE9">
              <w:rPr>
                <w:i/>
              </w:rPr>
              <w:t xml:space="preserve"> is</w:t>
            </w:r>
            <w:r w:rsidRPr="00326FE9">
              <w:rPr>
                <w:i/>
              </w:rPr>
              <w:t xml:space="preserve"> Legionella, Listeria and invasive fungal infections are a part of “infections including TB and serious opportunistic infections”. UCB S.A. will assess all four bullet points mentioned in TGA proposals for the next version of the EU-RMP, once the next dataset for th</w:t>
            </w:r>
            <w:r w:rsidR="00326FE9">
              <w:rPr>
                <w:i/>
              </w:rPr>
              <w:t>e PSUR is available (Mar 2014).</w:t>
            </w:r>
          </w:p>
          <w:p w:rsidR="005F769D" w:rsidRPr="00326FE9" w:rsidRDefault="005F769D" w:rsidP="00326FE9">
            <w:pPr>
              <w:pStyle w:val="Numberbullet0"/>
              <w:rPr>
                <w:i/>
              </w:rPr>
            </w:pPr>
            <w:r w:rsidRPr="00326FE9">
              <w:rPr>
                <w:i/>
              </w:rPr>
              <w:t>The evaluator’s co</w:t>
            </w:r>
            <w:r w:rsidR="00326FE9" w:rsidRPr="00326FE9">
              <w:rPr>
                <w:i/>
              </w:rPr>
              <w:t>mments are noted in regards to:</w:t>
            </w:r>
          </w:p>
          <w:p w:rsidR="005F769D" w:rsidRPr="00326FE9" w:rsidRDefault="00326FE9" w:rsidP="00326FE9">
            <w:pPr>
              <w:pStyle w:val="ListBullet2"/>
              <w:rPr>
                <w:i/>
              </w:rPr>
            </w:pPr>
            <w:r w:rsidRPr="00326FE9">
              <w:rPr>
                <w:i/>
              </w:rPr>
              <w:t>HIV or hepatitis C</w:t>
            </w:r>
          </w:p>
          <w:p w:rsidR="005F769D" w:rsidRPr="00326FE9" w:rsidRDefault="005F769D" w:rsidP="00326FE9">
            <w:pPr>
              <w:rPr>
                <w:i/>
              </w:rPr>
            </w:pPr>
            <w:r w:rsidRPr="00326FE9">
              <w:rPr>
                <w:i/>
              </w:rPr>
              <w:t>UCB S.A. advises that this will be evaluated at the next major update of the EU RMP for inclusion. It is clinically prudent that HIV and hepatitis C status are investigated prior to</w:t>
            </w:r>
            <w:r w:rsidR="00326FE9" w:rsidRPr="00326FE9">
              <w:rPr>
                <w:i/>
              </w:rPr>
              <w:t xml:space="preserve"> initiation of TNF antagonists.</w:t>
            </w:r>
          </w:p>
          <w:p w:rsidR="005F769D" w:rsidRPr="00326FE9" w:rsidRDefault="005F769D" w:rsidP="00326FE9">
            <w:pPr>
              <w:pStyle w:val="Numberbullet0"/>
              <w:rPr>
                <w:i/>
              </w:rPr>
            </w:pPr>
            <w:r w:rsidRPr="00326FE9">
              <w:rPr>
                <w:i/>
              </w:rPr>
              <w:t xml:space="preserve">The evaluator’s comments are noted in regards to: </w:t>
            </w:r>
          </w:p>
          <w:p w:rsidR="005F769D" w:rsidRPr="00326FE9" w:rsidRDefault="005F769D" w:rsidP="00326FE9">
            <w:pPr>
              <w:pStyle w:val="ListBullet2"/>
              <w:rPr>
                <w:i/>
              </w:rPr>
            </w:pPr>
            <w:r w:rsidRPr="00326FE9">
              <w:rPr>
                <w:i/>
              </w:rPr>
              <w:t xml:space="preserve">Septic shock </w:t>
            </w:r>
          </w:p>
          <w:p w:rsidR="005F769D" w:rsidRPr="00326FE9" w:rsidRDefault="005F769D" w:rsidP="00326FE9">
            <w:pPr>
              <w:rPr>
                <w:i/>
              </w:rPr>
            </w:pPr>
            <w:r w:rsidRPr="00326FE9">
              <w:rPr>
                <w:i/>
              </w:rPr>
              <w:t>UCB S.A. considers septic shock a likely outcome of some serious infections (known and well characterized product risk). UCB S.A. respectfully advises that this will not be incorporated a</w:t>
            </w:r>
            <w:r w:rsidR="00326FE9">
              <w:rPr>
                <w:i/>
              </w:rPr>
              <w:t>s an additional safety concern.</w:t>
            </w:r>
          </w:p>
        </w:tc>
        <w:tc>
          <w:tcPr>
            <w:tcW w:w="1443" w:type="pct"/>
            <w:noWrap/>
          </w:tcPr>
          <w:p w:rsidR="005F769D" w:rsidRPr="00BA6B85" w:rsidRDefault="005F769D" w:rsidP="00464539">
            <w:r w:rsidRPr="00BA6B85">
              <w:t>The Sponsor has added some safety concerns to the list.</w:t>
            </w:r>
          </w:p>
          <w:p w:rsidR="005F769D" w:rsidRPr="00BA6B85" w:rsidRDefault="005F769D" w:rsidP="00464539">
            <w:r w:rsidRPr="00BA6B85">
              <w:t>However, the Sponsor has not provided compelling justification for the exclusion of the following safety concerns from the list: (please refer to the Round 1 RMP Evaluation report for further details of the importance of including these recommendations):</w:t>
            </w:r>
          </w:p>
          <w:p w:rsidR="005F769D" w:rsidRPr="00BA6B85" w:rsidRDefault="005F769D" w:rsidP="00464539">
            <w:pPr>
              <w:pStyle w:val="ListBullet"/>
            </w:pPr>
            <w:r w:rsidRPr="00BA6B85">
              <w:t xml:space="preserve">Under “infections including TB and serious opportunistic infections” the sponsor should specifically list Legionella and Listeria </w:t>
            </w:r>
          </w:p>
          <w:p w:rsidR="005F769D" w:rsidRPr="00BA6B85" w:rsidRDefault="005F769D" w:rsidP="00464539">
            <w:pPr>
              <w:pStyle w:val="ListBullet"/>
            </w:pPr>
            <w:r w:rsidRPr="00BA6B85">
              <w:t xml:space="preserve">Under “infections including TB and serious opportunistic infections” the sponsor should specifically list Invasive fungal infections </w:t>
            </w:r>
          </w:p>
          <w:p w:rsidR="005F769D" w:rsidRPr="00BA6B85" w:rsidRDefault="005F769D" w:rsidP="00464539">
            <w:pPr>
              <w:pStyle w:val="ListBullet"/>
            </w:pPr>
            <w:r w:rsidRPr="00BA6B85">
              <w:t xml:space="preserve">Under “demyelinating disorders”, the following should be specifically listed: Guillain-Barre syndrome, demyelinating polyneuropathy and multifocal motor neuropathy </w:t>
            </w:r>
          </w:p>
          <w:p w:rsidR="005F769D" w:rsidRPr="00BA6B85" w:rsidRDefault="005F769D" w:rsidP="00464539">
            <w:pPr>
              <w:pStyle w:val="ListBullet"/>
            </w:pPr>
            <w:r w:rsidRPr="00BA6B85">
              <w:t xml:space="preserve">Injection site reactions </w:t>
            </w:r>
          </w:p>
          <w:p w:rsidR="005F769D" w:rsidRPr="00BA6B85" w:rsidRDefault="005F769D" w:rsidP="00464539">
            <w:pPr>
              <w:pStyle w:val="ListBullet"/>
            </w:pPr>
            <w:r w:rsidRPr="00BA6B85">
              <w:t>HIV or hepatitis C (important missing information)</w:t>
            </w:r>
          </w:p>
          <w:p w:rsidR="005F769D" w:rsidRPr="00BA6B85" w:rsidRDefault="005F769D" w:rsidP="00464539">
            <w:r w:rsidRPr="00BA6B85">
              <w:t>The Sponsor should add the above risks to the list of ongoing safety concerns.</w:t>
            </w:r>
            <w:r w:rsidR="004332FB">
              <w:t xml:space="preserve"> </w:t>
            </w:r>
            <w:r w:rsidRPr="00BA6B85">
              <w:t>It is important to note that the ACSOM committee supported the inclusion of all the recommended additional safety concerns made by the evaluator.</w:t>
            </w:r>
          </w:p>
        </w:tc>
      </w:tr>
      <w:tr w:rsidR="005F769D" w:rsidRPr="00A42804" w:rsidTr="00464539">
        <w:tc>
          <w:tcPr>
            <w:tcW w:w="1444" w:type="pct"/>
            <w:noWrap/>
          </w:tcPr>
          <w:p w:rsidR="005F769D" w:rsidRPr="00BA6B85" w:rsidRDefault="005F769D" w:rsidP="00326FE9">
            <w:r w:rsidRPr="00BA6B85">
              <w:t xml:space="preserve">It is recommended that the sponsor justify the exclusion of the ongoing studies from the </w:t>
            </w:r>
            <w:proofErr w:type="spellStart"/>
            <w:r w:rsidRPr="00BA6B85">
              <w:t>pharmacovigilance</w:t>
            </w:r>
            <w:proofErr w:type="spellEnd"/>
            <w:r w:rsidRPr="00BA6B85">
              <w:t xml:space="preserve"> plan relating to </w:t>
            </w:r>
            <w:proofErr w:type="spellStart"/>
            <w:r w:rsidRPr="00BA6B85">
              <w:t>PsA</w:t>
            </w:r>
            <w:proofErr w:type="spellEnd"/>
            <w:r w:rsidRPr="00BA6B85">
              <w:t xml:space="preserve"> and </w:t>
            </w:r>
            <w:proofErr w:type="spellStart"/>
            <w:r w:rsidRPr="00BA6B85">
              <w:t>AxSpA</w:t>
            </w:r>
            <w:proofErr w:type="spellEnd"/>
            <w:r w:rsidRPr="00BA6B85">
              <w:t xml:space="preserve"> </w:t>
            </w:r>
          </w:p>
        </w:tc>
        <w:tc>
          <w:tcPr>
            <w:tcW w:w="2113" w:type="pct"/>
            <w:noWrap/>
          </w:tcPr>
          <w:p w:rsidR="005F769D" w:rsidRPr="00326FE9" w:rsidRDefault="005F769D" w:rsidP="00326FE9">
            <w:pPr>
              <w:rPr>
                <w:i/>
              </w:rPr>
            </w:pPr>
            <w:r w:rsidRPr="00326FE9">
              <w:rPr>
                <w:i/>
              </w:rPr>
              <w:t xml:space="preserve">UCB has now updated </w:t>
            </w:r>
            <w:proofErr w:type="spellStart"/>
            <w:r w:rsidRPr="00326FE9">
              <w:rPr>
                <w:i/>
              </w:rPr>
              <w:t>Cimzia</w:t>
            </w:r>
            <w:proofErr w:type="spellEnd"/>
            <w:r w:rsidRPr="00326FE9">
              <w:rPr>
                <w:i/>
              </w:rPr>
              <w:t xml:space="preserve"> EU-RMP to version 9.3; studies are now included in the PV Plan (see page 194).</w:t>
            </w:r>
          </w:p>
        </w:tc>
        <w:tc>
          <w:tcPr>
            <w:tcW w:w="1443" w:type="pct"/>
            <w:noWrap/>
          </w:tcPr>
          <w:p w:rsidR="005F769D" w:rsidRPr="00BA6B85" w:rsidRDefault="005F769D" w:rsidP="00464539">
            <w:r w:rsidRPr="00BA6B85">
              <w:t>This is acceptable.</w:t>
            </w:r>
          </w:p>
        </w:tc>
      </w:tr>
      <w:tr w:rsidR="005F769D" w:rsidRPr="00A42804" w:rsidTr="00464539">
        <w:tc>
          <w:tcPr>
            <w:tcW w:w="1444" w:type="pct"/>
            <w:noWrap/>
          </w:tcPr>
          <w:p w:rsidR="005F769D" w:rsidRPr="00BA6B85" w:rsidRDefault="005F769D" w:rsidP="00326FE9">
            <w:r w:rsidRPr="00BA6B85">
              <w:t xml:space="preserve">The sponsor should </w:t>
            </w:r>
            <w:r w:rsidRPr="00BA6B85">
              <w:lastRenderedPageBreak/>
              <w:t xml:space="preserve">clarify the exact number of studies included within the </w:t>
            </w:r>
            <w:proofErr w:type="spellStart"/>
            <w:r w:rsidRPr="00BA6B85">
              <w:t>pharmacovigilance</w:t>
            </w:r>
            <w:proofErr w:type="spellEnd"/>
            <w:r w:rsidRPr="00BA6B85">
              <w:t xml:space="preserve"> plan, for example are studies included?</w:t>
            </w:r>
            <w:r w:rsidR="00326FE9">
              <w:t xml:space="preserve"> </w:t>
            </w:r>
            <w:r w:rsidRPr="00BA6B85">
              <w:t xml:space="preserve">Furthermore the milestones for the studies in the </w:t>
            </w:r>
            <w:proofErr w:type="spellStart"/>
            <w:r w:rsidRPr="00BA6B85">
              <w:t>pharmacovigilance</w:t>
            </w:r>
            <w:proofErr w:type="spellEnd"/>
            <w:r w:rsidRPr="00BA6B85">
              <w:t xml:space="preserve"> plan should be clarified.</w:t>
            </w:r>
          </w:p>
        </w:tc>
        <w:tc>
          <w:tcPr>
            <w:tcW w:w="2113" w:type="pct"/>
            <w:noWrap/>
          </w:tcPr>
          <w:p w:rsidR="005F769D" w:rsidRPr="00326FE9" w:rsidRDefault="005F769D" w:rsidP="00326FE9">
            <w:pPr>
              <w:rPr>
                <w:i/>
              </w:rPr>
            </w:pPr>
            <w:r w:rsidRPr="00326FE9">
              <w:rPr>
                <w:i/>
              </w:rPr>
              <w:lastRenderedPageBreak/>
              <w:t xml:space="preserve">UCB has now updated </w:t>
            </w:r>
            <w:proofErr w:type="spellStart"/>
            <w:r w:rsidRPr="00326FE9">
              <w:rPr>
                <w:i/>
              </w:rPr>
              <w:t>Cimzia</w:t>
            </w:r>
            <w:proofErr w:type="spellEnd"/>
            <w:r w:rsidRPr="00326FE9">
              <w:rPr>
                <w:i/>
              </w:rPr>
              <w:t xml:space="preserve"> EU-RMP to version 9.3. </w:t>
            </w:r>
            <w:r w:rsidRPr="00326FE9">
              <w:rPr>
                <w:i/>
              </w:rPr>
              <w:lastRenderedPageBreak/>
              <w:t xml:space="preserve">The </w:t>
            </w:r>
            <w:proofErr w:type="spellStart"/>
            <w:r w:rsidRPr="00326FE9">
              <w:rPr>
                <w:i/>
              </w:rPr>
              <w:t>pharmacovigilance</w:t>
            </w:r>
            <w:proofErr w:type="spellEnd"/>
            <w:r w:rsidRPr="00326FE9">
              <w:rPr>
                <w:i/>
              </w:rPr>
              <w:t xml:space="preserve"> plan as summarised on p 193 contains: 4 registries (</w:t>
            </w:r>
            <w:r w:rsidRPr="00326FE9">
              <w:rPr>
                <w:rFonts w:cs="Courier New"/>
                <w:i/>
              </w:rPr>
              <w:t xml:space="preserve">o </w:t>
            </w:r>
            <w:r w:rsidRPr="00326FE9">
              <w:rPr>
                <w:i/>
              </w:rPr>
              <w:t>Pregnancy data collections (ongoing studies, post-marketin</w:t>
            </w:r>
            <w:r w:rsidR="00326FE9" w:rsidRPr="00326FE9">
              <w:rPr>
                <w:i/>
              </w:rPr>
              <w:t>g reports and ARTIS and RABBIT)</w:t>
            </w:r>
          </w:p>
          <w:p w:rsidR="005F769D" w:rsidRPr="00326FE9" w:rsidRDefault="00326FE9" w:rsidP="00326FE9">
            <w:pPr>
              <w:rPr>
                <w:i/>
              </w:rPr>
            </w:pPr>
            <w:r w:rsidRPr="00326FE9">
              <w:rPr>
                <w:i/>
              </w:rPr>
              <w:t>o</w:t>
            </w:r>
          </w:p>
          <w:p w:rsidR="005F769D" w:rsidRPr="00326FE9" w:rsidRDefault="005F769D" w:rsidP="00326FE9">
            <w:pPr>
              <w:rPr>
                <w:i/>
              </w:rPr>
            </w:pPr>
            <w:r w:rsidRPr="00326FE9">
              <w:rPr>
                <w:rFonts w:cs="Courier New"/>
                <w:i/>
              </w:rPr>
              <w:t xml:space="preserve">o </w:t>
            </w:r>
            <w:r w:rsidRPr="00326FE9">
              <w:rPr>
                <w:i/>
              </w:rPr>
              <w:t xml:space="preserve">Targeted follow-up with reporters with TB questionnaire </w:t>
            </w:r>
          </w:p>
          <w:p w:rsidR="005F769D" w:rsidRPr="00BA6B85" w:rsidRDefault="005F769D" w:rsidP="00326FE9">
            <w:pPr>
              <w:rPr>
                <w:i/>
              </w:rPr>
            </w:pPr>
            <w:r w:rsidRPr="00326FE9">
              <w:rPr>
                <w:rFonts w:cs="Courier New"/>
                <w:i/>
              </w:rPr>
              <w:t xml:space="preserve">o </w:t>
            </w:r>
            <w:r w:rsidRPr="00326FE9">
              <w:rPr>
                <w:i/>
              </w:rPr>
              <w:t>Targeted malignancy questionnaire</w:t>
            </w:r>
            <w:r w:rsidR="00326FE9">
              <w:rPr>
                <w:i/>
              </w:rPr>
              <w:t xml:space="preserve"> sent to HCP </w:t>
            </w:r>
          </w:p>
          <w:p w:rsidR="005F769D" w:rsidRPr="00326FE9" w:rsidRDefault="005F769D" w:rsidP="00326FE9">
            <w:pPr>
              <w:pStyle w:val="ListBullet"/>
              <w:rPr>
                <w:i/>
              </w:rPr>
            </w:pPr>
            <w:r w:rsidRPr="00326FE9">
              <w:rPr>
                <w:i/>
              </w:rPr>
              <w:t>RA has now been completed and is now under table 5-2: Completed studies/activities f</w:t>
            </w:r>
            <w:r w:rsidR="00326FE9" w:rsidRPr="00326FE9">
              <w:rPr>
                <w:i/>
              </w:rPr>
              <w:t xml:space="preserve">rom the </w:t>
            </w:r>
            <w:proofErr w:type="spellStart"/>
            <w:r w:rsidR="00326FE9" w:rsidRPr="00326FE9">
              <w:rPr>
                <w:i/>
              </w:rPr>
              <w:t>Pharmacovigilance</w:t>
            </w:r>
            <w:proofErr w:type="spellEnd"/>
            <w:r w:rsidR="00326FE9" w:rsidRPr="00326FE9">
              <w:rPr>
                <w:i/>
              </w:rPr>
              <w:t xml:space="preserve"> plan</w:t>
            </w:r>
          </w:p>
          <w:p w:rsidR="005F769D" w:rsidRPr="00326FE9" w:rsidRDefault="005F769D" w:rsidP="00326FE9">
            <w:pPr>
              <w:pStyle w:val="ListBullet"/>
              <w:rPr>
                <w:i/>
              </w:rPr>
            </w:pPr>
            <w:r w:rsidRPr="00326FE9">
              <w:rPr>
                <w:i/>
              </w:rPr>
              <w:t xml:space="preserve">The Status (planned /started) and Date for submission of interim or final reports (planned or actual) for all ongoing and planned additional </w:t>
            </w:r>
            <w:proofErr w:type="spellStart"/>
            <w:r w:rsidRPr="00326FE9">
              <w:rPr>
                <w:i/>
              </w:rPr>
              <w:t>PhV</w:t>
            </w:r>
            <w:proofErr w:type="spellEnd"/>
            <w:r w:rsidRPr="00326FE9">
              <w:rPr>
                <w:i/>
              </w:rPr>
              <w:t xml:space="preserve"> studies / activities in the </w:t>
            </w:r>
            <w:proofErr w:type="spellStart"/>
            <w:r w:rsidRPr="00326FE9">
              <w:rPr>
                <w:i/>
              </w:rPr>
              <w:t>Pharmacovigilance</w:t>
            </w:r>
            <w:proofErr w:type="spellEnd"/>
            <w:r w:rsidRPr="00326FE9">
              <w:rPr>
                <w:i/>
              </w:rPr>
              <w:t xml:space="preserve"> Plan are pro</w:t>
            </w:r>
            <w:r w:rsidR="00326FE9" w:rsidRPr="00326FE9">
              <w:rPr>
                <w:i/>
              </w:rPr>
              <w:t>vided in table 5-1 on page 193.</w:t>
            </w:r>
          </w:p>
        </w:tc>
        <w:tc>
          <w:tcPr>
            <w:tcW w:w="1443" w:type="pct"/>
            <w:noWrap/>
          </w:tcPr>
          <w:p w:rsidR="005F769D" w:rsidRPr="00BA6B85" w:rsidRDefault="005F769D" w:rsidP="00464539">
            <w:r w:rsidRPr="00BA6B85">
              <w:lastRenderedPageBreak/>
              <w:t>This is acceptable.</w:t>
            </w:r>
          </w:p>
        </w:tc>
      </w:tr>
      <w:tr w:rsidR="005F769D" w:rsidRPr="00A42804" w:rsidTr="00464539">
        <w:tc>
          <w:tcPr>
            <w:tcW w:w="1444" w:type="pct"/>
            <w:noWrap/>
          </w:tcPr>
          <w:p w:rsidR="005F769D" w:rsidRPr="00BA6B85" w:rsidRDefault="005F769D" w:rsidP="00326FE9">
            <w:r w:rsidRPr="00BA6B85">
              <w:lastRenderedPageBreak/>
              <w:t>Targeted follow-up questionnaires have not been submitted with the current application. It is recommended that the sponsor sub</w:t>
            </w:r>
            <w:r w:rsidR="00326FE9">
              <w:t>mit these for review by the TGA</w:t>
            </w:r>
          </w:p>
          <w:p w:rsidR="005F769D" w:rsidRPr="00BA6B85" w:rsidRDefault="005F769D" w:rsidP="00326FE9">
            <w:r w:rsidRPr="00BA6B85">
              <w:t>It is recommended to the sponsor that additional questionnaires regarding serious infection and hep</w:t>
            </w:r>
            <w:r w:rsidR="00326FE9">
              <w:t>atitis B reactivation be added</w:t>
            </w:r>
          </w:p>
          <w:p w:rsidR="005F769D" w:rsidRPr="00BA6B85" w:rsidRDefault="005F769D" w:rsidP="00326FE9">
            <w:r w:rsidRPr="00BA6B85">
              <w:t>Furthermore the method of supplying these questionnaires only after a spontaneous report has been made seems questionable. The sponsor should also consider including these questionnaires in the physician education material to prompt reporting and improve the quality of data collected.</w:t>
            </w:r>
          </w:p>
        </w:tc>
        <w:tc>
          <w:tcPr>
            <w:tcW w:w="2113" w:type="pct"/>
            <w:noWrap/>
          </w:tcPr>
          <w:p w:rsidR="005F769D" w:rsidRPr="00326FE9" w:rsidRDefault="005F769D" w:rsidP="00326FE9">
            <w:pPr>
              <w:rPr>
                <w:i/>
              </w:rPr>
            </w:pPr>
            <w:r w:rsidRPr="00326FE9">
              <w:rPr>
                <w:i/>
              </w:rPr>
              <w:t xml:space="preserve">UCB has now updated </w:t>
            </w:r>
            <w:proofErr w:type="spellStart"/>
            <w:r w:rsidRPr="00326FE9">
              <w:rPr>
                <w:i/>
              </w:rPr>
              <w:t>Cimzia</w:t>
            </w:r>
            <w:proofErr w:type="spellEnd"/>
            <w:r w:rsidRPr="00326FE9">
              <w:rPr>
                <w:i/>
              </w:rPr>
              <w:t xml:space="preserve"> EU-RMP to version 9.3. The targeted follow-up questionnair</w:t>
            </w:r>
            <w:r w:rsidR="00326FE9" w:rsidRPr="00326FE9">
              <w:rPr>
                <w:i/>
              </w:rPr>
              <w:t>es are now in Part VII Annex 7:</w:t>
            </w:r>
          </w:p>
          <w:p w:rsidR="005F769D" w:rsidRPr="00326FE9" w:rsidRDefault="005F769D" w:rsidP="00326FE9">
            <w:pPr>
              <w:pStyle w:val="ListBullet"/>
              <w:rPr>
                <w:i/>
              </w:rPr>
            </w:pPr>
            <w:r w:rsidRPr="00326FE9">
              <w:rPr>
                <w:i/>
              </w:rPr>
              <w:t xml:space="preserve">Targeted follow-up with reporter with TB questionnaire </w:t>
            </w:r>
          </w:p>
          <w:p w:rsidR="005F769D" w:rsidRPr="00326FE9" w:rsidRDefault="005F769D" w:rsidP="00326FE9">
            <w:pPr>
              <w:pStyle w:val="ListBullet"/>
              <w:rPr>
                <w:i/>
              </w:rPr>
            </w:pPr>
            <w:r w:rsidRPr="00326FE9">
              <w:rPr>
                <w:i/>
              </w:rPr>
              <w:t>Targeted malignancy questionnaire in paediatric, adolescent and young adult patients (</w:t>
            </w:r>
            <w:r w:rsidR="004332FB" w:rsidRPr="00326FE9">
              <w:rPr>
                <w:i/>
              </w:rPr>
              <w:t xml:space="preserve"> &lt; </w:t>
            </w:r>
            <w:r w:rsidRPr="00326FE9">
              <w:rPr>
                <w:i/>
              </w:rPr>
              <w:t xml:space="preserve">30 years of age) </w:t>
            </w:r>
          </w:p>
          <w:p w:rsidR="005F769D" w:rsidRPr="00326FE9" w:rsidRDefault="005F769D" w:rsidP="00326FE9">
            <w:pPr>
              <w:pStyle w:val="ListBullet"/>
              <w:rPr>
                <w:i/>
              </w:rPr>
            </w:pPr>
            <w:r w:rsidRPr="00326FE9">
              <w:rPr>
                <w:i/>
              </w:rPr>
              <w:t>Targeted follow-up with</w:t>
            </w:r>
            <w:r w:rsidR="00326FE9" w:rsidRPr="00326FE9">
              <w:rPr>
                <w:i/>
              </w:rPr>
              <w:t xml:space="preserve"> pregnancy questionnaire</w:t>
            </w:r>
          </w:p>
          <w:p w:rsidR="005F769D" w:rsidRPr="00326FE9" w:rsidRDefault="005F769D" w:rsidP="00326FE9">
            <w:pPr>
              <w:rPr>
                <w:i/>
              </w:rPr>
            </w:pPr>
            <w:r w:rsidRPr="00326FE9">
              <w:rPr>
                <w:i/>
              </w:rPr>
              <w:t>UCB will evaluate the TGA request regarding questionnaires for serious infectio</w:t>
            </w:r>
            <w:r w:rsidR="00326FE9" w:rsidRPr="00326FE9">
              <w:rPr>
                <w:i/>
              </w:rPr>
              <w:t>n and hepatitis B reactivation.</w:t>
            </w:r>
          </w:p>
          <w:p w:rsidR="005F769D" w:rsidRPr="00326FE9" w:rsidRDefault="005F769D" w:rsidP="00326FE9">
            <w:pPr>
              <w:rPr>
                <w:i/>
              </w:rPr>
            </w:pPr>
            <w:r w:rsidRPr="00326FE9">
              <w:rPr>
                <w:i/>
              </w:rPr>
              <w:t>UCB will evaluate the request to include questionnaires (TB, malignancy, pregnancy) in any physician education material that will be supplied.</w:t>
            </w:r>
          </w:p>
        </w:tc>
        <w:tc>
          <w:tcPr>
            <w:tcW w:w="1443" w:type="pct"/>
            <w:noWrap/>
          </w:tcPr>
          <w:p w:rsidR="005F769D" w:rsidRPr="00BA6B85" w:rsidRDefault="005F769D" w:rsidP="00464539">
            <w:r w:rsidRPr="00BA6B85">
              <w:t>The Sponsor remains unclear regarding the inclusion of these additional questionnaires, the current distribution methods, post-marketing data regarding RA and inclusion of these questionnaires</w:t>
            </w:r>
            <w:r w:rsidR="004332FB">
              <w:t xml:space="preserve"> </w:t>
            </w:r>
            <w:r w:rsidRPr="00BA6B85">
              <w:t>in the educational material (please note that the Sponsor has also not yet clarified if an education programme will occur in Australia).</w:t>
            </w:r>
          </w:p>
          <w:p w:rsidR="005F769D" w:rsidRPr="00BA6B85" w:rsidRDefault="005F769D" w:rsidP="00464539">
            <w:r w:rsidRPr="00BA6B85">
              <w:t>The additional questionnaires suggested by the evaluator should be developed by the Sponsor and submitted to the TGA for review.</w:t>
            </w:r>
          </w:p>
        </w:tc>
      </w:tr>
      <w:tr w:rsidR="005F769D" w:rsidRPr="00A42804" w:rsidTr="00464539">
        <w:tc>
          <w:tcPr>
            <w:tcW w:w="1444" w:type="pct"/>
            <w:noWrap/>
          </w:tcPr>
          <w:p w:rsidR="005F769D" w:rsidRPr="00BA6B85" w:rsidRDefault="005F769D" w:rsidP="00326FE9">
            <w:r w:rsidRPr="00BA6B85">
              <w:t xml:space="preserve">The protocols for the ongoing registry studies have not been reviewed as part of this evaluation. Should this application be approved it is recommended that the sponsor consider completing an Australian Specific Registry study including patients diagnosed with RA, </w:t>
            </w:r>
            <w:proofErr w:type="spellStart"/>
            <w:r w:rsidRPr="00BA6B85">
              <w:t>PsA</w:t>
            </w:r>
            <w:proofErr w:type="spellEnd"/>
            <w:r w:rsidRPr="00BA6B85">
              <w:t xml:space="preserve"> and </w:t>
            </w:r>
            <w:proofErr w:type="spellStart"/>
            <w:r w:rsidRPr="00BA6B85">
              <w:t>AxSpA</w:t>
            </w:r>
            <w:proofErr w:type="spellEnd"/>
            <w:r w:rsidRPr="00BA6B85">
              <w:t>.</w:t>
            </w:r>
          </w:p>
        </w:tc>
        <w:tc>
          <w:tcPr>
            <w:tcW w:w="2113" w:type="pct"/>
            <w:noWrap/>
          </w:tcPr>
          <w:p w:rsidR="005F769D" w:rsidRPr="00326FE9" w:rsidRDefault="005F769D" w:rsidP="00326FE9">
            <w:pPr>
              <w:rPr>
                <w:i/>
              </w:rPr>
            </w:pPr>
            <w:r w:rsidRPr="00326FE9">
              <w:rPr>
                <w:i/>
              </w:rPr>
              <w:t xml:space="preserve">An Australian Specific Registry study for patients diagnosed with RA, </w:t>
            </w:r>
            <w:proofErr w:type="spellStart"/>
            <w:r w:rsidRPr="00326FE9">
              <w:rPr>
                <w:i/>
              </w:rPr>
              <w:t>PsA</w:t>
            </w:r>
            <w:proofErr w:type="spellEnd"/>
            <w:r w:rsidRPr="00326FE9">
              <w:rPr>
                <w:i/>
              </w:rPr>
              <w:t xml:space="preserve"> and </w:t>
            </w:r>
            <w:proofErr w:type="spellStart"/>
            <w:r w:rsidRPr="00326FE9">
              <w:rPr>
                <w:i/>
              </w:rPr>
              <w:t>AxSpA</w:t>
            </w:r>
            <w:proofErr w:type="spellEnd"/>
            <w:r w:rsidRPr="00326FE9">
              <w:rPr>
                <w:i/>
              </w:rPr>
              <w:t xml:space="preserve"> is already established in Australia. The registry is known as the Australian Rheumatology Association Database (ARAD). ARAD is a national Australian database, which is supported by the Australian Rheumatology Association, and which collects important health information from individuals with inflammatory arthritis including rheumatoid arthritis, </w:t>
            </w:r>
            <w:proofErr w:type="spellStart"/>
            <w:r w:rsidRPr="00326FE9">
              <w:rPr>
                <w:i/>
              </w:rPr>
              <w:t>ankylosing</w:t>
            </w:r>
            <w:proofErr w:type="spellEnd"/>
            <w:r w:rsidRPr="00326FE9">
              <w:rPr>
                <w:i/>
              </w:rPr>
              <w:t xml:space="preserve"> spondylitis and psoriatic arthritis. The aim of ARAD is to determine the short and long term effectiveness and safety of new biological drugs, including </w:t>
            </w:r>
            <w:proofErr w:type="spellStart"/>
            <w:r w:rsidRPr="00326FE9">
              <w:rPr>
                <w:i/>
              </w:rPr>
              <w:t>certolizumab</w:t>
            </w:r>
            <w:proofErr w:type="spellEnd"/>
            <w:r w:rsidRPr="00326FE9">
              <w:rPr>
                <w:i/>
              </w:rPr>
              <w:t xml:space="preserve"> </w:t>
            </w:r>
            <w:proofErr w:type="spellStart"/>
            <w:r w:rsidRPr="00326FE9">
              <w:rPr>
                <w:i/>
              </w:rPr>
              <w:t>pegol</w:t>
            </w:r>
            <w:proofErr w:type="spellEnd"/>
            <w:r w:rsidRPr="00326FE9">
              <w:rPr>
                <w:i/>
              </w:rPr>
              <w:t xml:space="preserve">, used to treat inflammatory arthritis conditions. The registry captures information on patient’s anti-rheumatic medications, including reasons for stopping or switching, current symptoms, and suspected adverse effects. Information about </w:t>
            </w:r>
            <w:proofErr w:type="spellStart"/>
            <w:r w:rsidRPr="00326FE9">
              <w:rPr>
                <w:i/>
              </w:rPr>
              <w:t>intercurrent</w:t>
            </w:r>
            <w:proofErr w:type="spellEnd"/>
            <w:r w:rsidRPr="00326FE9">
              <w:rPr>
                <w:i/>
              </w:rPr>
              <w:t xml:space="preserve"> infections, new </w:t>
            </w:r>
            <w:r w:rsidRPr="00326FE9">
              <w:rPr>
                <w:i/>
              </w:rPr>
              <w:lastRenderedPageBreak/>
              <w:t>comorbidities including malignancy, joint surgery, and hospitalizations, are also collected. Patients and rheumatologists across Australia contr</w:t>
            </w:r>
            <w:r w:rsidR="00326FE9" w:rsidRPr="00326FE9">
              <w:rPr>
                <w:i/>
              </w:rPr>
              <w:t>ibute to ARAD.</w:t>
            </w:r>
          </w:p>
          <w:p w:rsidR="005F769D" w:rsidRPr="00BA6B85" w:rsidRDefault="005F769D" w:rsidP="00326FE9">
            <w:pPr>
              <w:rPr>
                <w:i/>
              </w:rPr>
            </w:pPr>
            <w:r w:rsidRPr="00326FE9">
              <w:rPr>
                <w:i/>
              </w:rPr>
              <w:t>In addition, registries exist in the EU with a much larger cohort of patients. Examples of these non-RA spec</w:t>
            </w:r>
            <w:r w:rsidR="00326FE9" w:rsidRPr="00326FE9">
              <w:rPr>
                <w:i/>
              </w:rPr>
              <w:t>ific registries include DANBIO.</w:t>
            </w:r>
          </w:p>
        </w:tc>
        <w:tc>
          <w:tcPr>
            <w:tcW w:w="1443" w:type="pct"/>
            <w:noWrap/>
          </w:tcPr>
          <w:p w:rsidR="005F769D" w:rsidRPr="00BA6B85" w:rsidRDefault="005F769D" w:rsidP="00464539">
            <w:r w:rsidRPr="00BA6B85">
              <w:lastRenderedPageBreak/>
              <w:t>It is recommended that the Sponsor report on both the ARAD and DANBIO studies within the PSUR.</w:t>
            </w:r>
          </w:p>
          <w:p w:rsidR="005F769D" w:rsidRPr="00BA6B85" w:rsidRDefault="005F769D" w:rsidP="00464539">
            <w:pPr>
              <w:rPr>
                <w:rFonts w:eastAsia="TimesNewRoman" w:cs="TimesNewRoman"/>
              </w:rPr>
            </w:pPr>
            <w:r w:rsidRPr="00BA6B85">
              <w:t>It is also important to note that the Sponsor makes the following statement regarding the DANBIO registry within the EU-RMP page 22: “</w:t>
            </w:r>
            <w:r w:rsidRPr="00BA6B85">
              <w:rPr>
                <w:rFonts w:eastAsia="TimesNewRoman" w:cs="TimesNewRoman"/>
                <w:i/>
              </w:rPr>
              <w:t xml:space="preserve">DANBIO is not a safety registry and does not look for specific adverse events. All adverse events are received as spontaneous adverse </w:t>
            </w:r>
            <w:r w:rsidRPr="00BA6B85">
              <w:rPr>
                <w:rFonts w:eastAsia="TimesNewRoman" w:cs="TimesNewRoman"/>
                <w:i/>
              </w:rPr>
              <w:lastRenderedPageBreak/>
              <w:t>events”.</w:t>
            </w:r>
          </w:p>
        </w:tc>
      </w:tr>
      <w:tr w:rsidR="005F769D" w:rsidRPr="00A42804" w:rsidTr="00464539">
        <w:tc>
          <w:tcPr>
            <w:tcW w:w="1444" w:type="pct"/>
            <w:noWrap/>
          </w:tcPr>
          <w:p w:rsidR="005F769D" w:rsidRPr="00BA6B85" w:rsidRDefault="005F769D" w:rsidP="00326FE9">
            <w:r w:rsidRPr="00BA6B85">
              <w:lastRenderedPageBreak/>
              <w:t>The sponsor should justify why the important missing information of “Potential for medication errors” will not be further elucidated v</w:t>
            </w:r>
            <w:r w:rsidR="00326FE9">
              <w:t xml:space="preserve">ia additional </w:t>
            </w:r>
            <w:proofErr w:type="spellStart"/>
            <w:r w:rsidR="00326FE9">
              <w:t>pharmacovigilance</w:t>
            </w:r>
            <w:proofErr w:type="spellEnd"/>
            <w:r w:rsidR="00326FE9">
              <w:t>.</w:t>
            </w:r>
          </w:p>
        </w:tc>
        <w:tc>
          <w:tcPr>
            <w:tcW w:w="2113" w:type="pct"/>
            <w:noWrap/>
          </w:tcPr>
          <w:p w:rsidR="005F769D" w:rsidRPr="00326FE9" w:rsidRDefault="00326FE9" w:rsidP="00326FE9">
            <w:pPr>
              <w:rPr>
                <w:i/>
              </w:rPr>
            </w:pPr>
            <w:r w:rsidRPr="00326FE9">
              <w:rPr>
                <w:i/>
              </w:rPr>
              <w:t>Medication error</w:t>
            </w:r>
          </w:p>
          <w:p w:rsidR="005F769D" w:rsidRPr="00326FE9" w:rsidRDefault="005F769D" w:rsidP="00326FE9">
            <w:pPr>
              <w:rPr>
                <w:i/>
              </w:rPr>
            </w:pPr>
            <w:r w:rsidRPr="00326FE9">
              <w:rPr>
                <w:i/>
              </w:rPr>
              <w:t xml:space="preserve">Potential medication errors are listed as missing information for </w:t>
            </w:r>
            <w:proofErr w:type="spellStart"/>
            <w:r w:rsidRPr="00326FE9">
              <w:rPr>
                <w:i/>
              </w:rPr>
              <w:t>Cimzia</w:t>
            </w:r>
            <w:proofErr w:type="spellEnd"/>
            <w:r w:rsidRPr="00326FE9">
              <w:rPr>
                <w:i/>
              </w:rPr>
              <w:t xml:space="preserve"> in the UCB Risk Management Plan (RMP). Medication error refers to any unintentional error in the prescribing, dispensing, or administration of a medicinal product while in the control of the healthcare professional, patient, or cons</w:t>
            </w:r>
            <w:r w:rsidR="00326FE9">
              <w:rPr>
                <w:i/>
              </w:rPr>
              <w:t>umer.</w:t>
            </w:r>
          </w:p>
          <w:p w:rsidR="005F769D" w:rsidRPr="00BA6B85" w:rsidRDefault="000A0867" w:rsidP="00326FE9">
            <w:r w:rsidRPr="00326FE9">
              <w:rPr>
                <w:i/>
              </w:rPr>
              <w:t>[information has been redacted]</w:t>
            </w:r>
          </w:p>
        </w:tc>
        <w:tc>
          <w:tcPr>
            <w:tcW w:w="1443" w:type="pct"/>
            <w:noWrap/>
          </w:tcPr>
          <w:p w:rsidR="005F769D" w:rsidRPr="00BA6B85" w:rsidRDefault="005F769D" w:rsidP="00464539">
            <w:r w:rsidRPr="00BA6B85">
              <w:t>This is acceptable.</w:t>
            </w:r>
          </w:p>
          <w:p w:rsidR="005F769D" w:rsidRPr="00326FE9" w:rsidRDefault="005F769D" w:rsidP="00464539">
            <w:pPr>
              <w:rPr>
                <w:rFonts w:eastAsia="TimesNewRoman" w:cs="TimesNewRoman"/>
              </w:rPr>
            </w:pPr>
            <w:r w:rsidRPr="00BA6B85">
              <w:t>It is important to note that the Sponsor discusses the risk of medication error within the EU-RMP and makes the following statement regarding the importance of additional risk minimisation for this risk: “</w:t>
            </w:r>
            <w:r w:rsidRPr="00BA6B85">
              <w:rPr>
                <w:rFonts w:eastAsia="TimesNewRoman" w:cs="TimesNewRoman"/>
                <w:i/>
              </w:rPr>
              <w:t>The product packaging, labelling, and supporting CZP educational program are designed to minimize the potential for medication errors in the administration of the product.”</w:t>
            </w:r>
            <w:r w:rsidRPr="00BA6B85">
              <w:rPr>
                <w:rFonts w:eastAsia="TimesNewRoman" w:cs="TimesNewRoman"/>
              </w:rPr>
              <w:t xml:space="preserve"> Therefore, the Sponsor should also apply additional risk minimisation activities in Australia.</w:t>
            </w:r>
          </w:p>
        </w:tc>
      </w:tr>
      <w:tr w:rsidR="005F769D" w:rsidRPr="00A42804" w:rsidTr="00464539">
        <w:tc>
          <w:tcPr>
            <w:tcW w:w="1444" w:type="pct"/>
            <w:noWrap/>
          </w:tcPr>
          <w:p w:rsidR="005F769D" w:rsidRPr="00BA6B85" w:rsidRDefault="005F769D" w:rsidP="00326FE9">
            <w:r w:rsidRPr="00BA6B85">
              <w:t>The sponsor should clarify the status of the auto-injector and update the RMP accordingly. The sponsor should also comment on the number and types of medication errors that have occurred during post-market experience.</w:t>
            </w:r>
          </w:p>
        </w:tc>
        <w:tc>
          <w:tcPr>
            <w:tcW w:w="2113" w:type="pct"/>
            <w:noWrap/>
          </w:tcPr>
          <w:p w:rsidR="005F769D" w:rsidRPr="00BA6B85" w:rsidRDefault="000A0867" w:rsidP="00464539">
            <w:r>
              <w:t>[information redacted</w:t>
            </w:r>
            <w:r w:rsidR="003E125C" w:rsidRPr="00464539">
              <w:t>]</w:t>
            </w:r>
          </w:p>
        </w:tc>
        <w:tc>
          <w:tcPr>
            <w:tcW w:w="1443" w:type="pct"/>
            <w:noWrap/>
          </w:tcPr>
          <w:p w:rsidR="000A0867" w:rsidRPr="00BA6B85" w:rsidDel="00E7654E" w:rsidRDefault="000A0867" w:rsidP="00326FE9">
            <w:pPr>
              <w:rPr>
                <w:rFonts w:eastAsia="TimesNewRoman" w:cs="TimesNewRoman"/>
                <w:color w:val="auto"/>
                <w:lang w:eastAsia="en-US"/>
              </w:rPr>
            </w:pPr>
            <w:r>
              <w:t>[information</w:t>
            </w:r>
            <w:r w:rsidR="003E125C">
              <w:t xml:space="preserve"> redacted]</w:t>
            </w:r>
          </w:p>
          <w:p w:rsidR="005F769D" w:rsidRPr="00BA6B85" w:rsidRDefault="005F769D" w:rsidP="00464539">
            <w:r w:rsidRPr="00BA6B85">
              <w:t>Therefore, the Sponsor should apply additional risk minimisation activities in Australia.</w:t>
            </w:r>
          </w:p>
        </w:tc>
      </w:tr>
      <w:tr w:rsidR="005F769D" w:rsidRPr="00A42804" w:rsidTr="00464539">
        <w:tc>
          <w:tcPr>
            <w:tcW w:w="1444" w:type="pct"/>
            <w:noWrap/>
          </w:tcPr>
          <w:p w:rsidR="005F769D" w:rsidRPr="00BA6B85" w:rsidRDefault="005F769D" w:rsidP="00326FE9">
            <w:r w:rsidRPr="00BA6B85">
              <w:t xml:space="preserve">It is recommended that the sponsor summarise all reports of overdose from post-market experience with RA. The sponsor does not discuss the risk of overdose in the </w:t>
            </w:r>
            <w:proofErr w:type="spellStart"/>
            <w:r w:rsidRPr="00BA6B85">
              <w:t>PsA</w:t>
            </w:r>
            <w:proofErr w:type="spellEnd"/>
            <w:r w:rsidRPr="00BA6B85">
              <w:t xml:space="preserve"> EU-RMP or the </w:t>
            </w:r>
            <w:proofErr w:type="spellStart"/>
            <w:r w:rsidRPr="00BA6B85">
              <w:t>AxSpA</w:t>
            </w:r>
            <w:proofErr w:type="spellEnd"/>
            <w:r w:rsidRPr="00BA6B85">
              <w:t xml:space="preserve"> EU-RMP and simply refers to the comments within the RA-RMP</w:t>
            </w:r>
          </w:p>
        </w:tc>
        <w:tc>
          <w:tcPr>
            <w:tcW w:w="2113" w:type="pct"/>
            <w:noWrap/>
          </w:tcPr>
          <w:p w:rsidR="005F769D" w:rsidRPr="00BA6B85" w:rsidRDefault="005F769D" w:rsidP="00326FE9">
            <w:pPr>
              <w:rPr>
                <w:i/>
              </w:rPr>
            </w:pPr>
            <w:r w:rsidRPr="00BA6B85">
              <w:rPr>
                <w:i/>
              </w:rPr>
              <w:t xml:space="preserve">UCB directs the evaluator to page 95 of the </w:t>
            </w:r>
            <w:proofErr w:type="spellStart"/>
            <w:r w:rsidRPr="00BA6B85">
              <w:rPr>
                <w:i/>
              </w:rPr>
              <w:t>Cimzia</w:t>
            </w:r>
            <w:proofErr w:type="spellEnd"/>
            <w:r w:rsidRPr="00BA6B85">
              <w:rPr>
                <w:i/>
              </w:rPr>
              <w:t xml:space="preserve"> RMP Version 9.3, additionally: </w:t>
            </w:r>
          </w:p>
          <w:p w:rsidR="005F769D" w:rsidRPr="00BA6B85" w:rsidRDefault="000A0867" w:rsidP="00326FE9">
            <w:pPr>
              <w:rPr>
                <w:i/>
                <w:iCs/>
              </w:rPr>
            </w:pPr>
            <w:r>
              <w:rPr>
                <w:i/>
              </w:rPr>
              <w:t>[</w:t>
            </w:r>
            <w:proofErr w:type="gramStart"/>
            <w:r>
              <w:rPr>
                <w:i/>
              </w:rPr>
              <w:t>information</w:t>
            </w:r>
            <w:proofErr w:type="gramEnd"/>
            <w:r>
              <w:rPr>
                <w:i/>
              </w:rPr>
              <w:t xml:space="preserve"> redacted]. </w:t>
            </w:r>
            <w:r w:rsidR="003E125C">
              <w:rPr>
                <w:i/>
              </w:rPr>
              <w:t>T</w:t>
            </w:r>
            <w:r w:rsidR="005F769D" w:rsidRPr="00BA6B85">
              <w:rPr>
                <w:i/>
              </w:rPr>
              <w:t>his concern is considered addressed as part of the overall enhancement in product label as previously discussed.</w:t>
            </w:r>
          </w:p>
        </w:tc>
        <w:tc>
          <w:tcPr>
            <w:tcW w:w="1443" w:type="pct"/>
            <w:noWrap/>
          </w:tcPr>
          <w:p w:rsidR="005F769D" w:rsidRPr="00BA6B85" w:rsidRDefault="005F769D" w:rsidP="00464539">
            <w:r w:rsidRPr="00BA6B85">
              <w:t>The potential for harm from overdose has not been adequately addressed in the EU-RMP Version 9.3 Part II Section 1. This section should be updated to include the cumulative post-marketing data regarding overdose that the Sponsor has provided in the adjacent comment.</w:t>
            </w:r>
          </w:p>
        </w:tc>
      </w:tr>
      <w:tr w:rsidR="005F769D" w:rsidRPr="00A42804" w:rsidTr="00464539">
        <w:tc>
          <w:tcPr>
            <w:tcW w:w="1444" w:type="pct"/>
            <w:noWrap/>
          </w:tcPr>
          <w:p w:rsidR="005F769D" w:rsidRPr="00BA6B85" w:rsidRDefault="005F769D" w:rsidP="00326FE9">
            <w:r w:rsidRPr="00BA6B85">
              <w:t>The sponsor should clarify from post-marketing experience the number of spontaneous reports of off-label use.</w:t>
            </w:r>
          </w:p>
        </w:tc>
        <w:tc>
          <w:tcPr>
            <w:tcW w:w="2113" w:type="pct"/>
            <w:noWrap/>
          </w:tcPr>
          <w:p w:rsidR="003E125C" w:rsidRPr="00464539" w:rsidRDefault="005F769D" w:rsidP="00464539">
            <w:pPr>
              <w:rPr>
                <w:i/>
              </w:rPr>
            </w:pPr>
            <w:r w:rsidRPr="00464539">
              <w:rPr>
                <w:i/>
              </w:rPr>
              <w:t xml:space="preserve">Off-label use of </w:t>
            </w:r>
            <w:proofErr w:type="spellStart"/>
            <w:r w:rsidRPr="00464539">
              <w:rPr>
                <w:i/>
              </w:rPr>
              <w:t>Cimzia</w:t>
            </w:r>
            <w:proofErr w:type="spellEnd"/>
            <w:r w:rsidRPr="00464539">
              <w:rPr>
                <w:i/>
              </w:rPr>
              <w:t xml:space="preserve"> is listed as missing information for </w:t>
            </w:r>
            <w:proofErr w:type="spellStart"/>
            <w:r w:rsidRPr="00464539">
              <w:rPr>
                <w:i/>
              </w:rPr>
              <w:t>Cimzia</w:t>
            </w:r>
            <w:proofErr w:type="spellEnd"/>
            <w:r w:rsidRPr="00464539">
              <w:rPr>
                <w:i/>
              </w:rPr>
              <w:t xml:space="preserve"> in the UCB Risk Management Plan (RMP). Off-label use is the use of pharmaceutical drugs for an unapproved indication or in an unapproved age group, unapproved dosage, or unapproved form of administration. It is worth noting that there are always geographical dimension to discussions regarding off-label use of a product. The premise is that what is considered off- label in one region may be entirely appropriate in another geographical region/country.</w:t>
            </w:r>
          </w:p>
          <w:p w:rsidR="000A0867" w:rsidRPr="00464539" w:rsidRDefault="000A0867" w:rsidP="00326FE9">
            <w:pPr>
              <w:rPr>
                <w:i/>
              </w:rPr>
            </w:pPr>
            <w:r w:rsidRPr="00464539">
              <w:rPr>
                <w:i/>
              </w:rPr>
              <w:lastRenderedPageBreak/>
              <w:t>[information redacted]</w:t>
            </w:r>
          </w:p>
          <w:p w:rsidR="005F769D" w:rsidRPr="00464539" w:rsidRDefault="005F769D" w:rsidP="00464539">
            <w:pPr>
              <w:rPr>
                <w:i/>
              </w:rPr>
            </w:pPr>
            <w:r w:rsidRPr="00464539">
              <w:rPr>
                <w:i/>
              </w:rPr>
              <w:t xml:space="preserve">It is generally understood that health authorities (regulators) do not prescribe the practice of medicine. This suggests that clinicians have the right to use an approved product in any manner they choose provided they have educated themselves of the risks and can manage such risks appropriately. Therefore off-label use of any approved product (including </w:t>
            </w:r>
            <w:proofErr w:type="spellStart"/>
            <w:r w:rsidRPr="00464539">
              <w:rPr>
                <w:i/>
              </w:rPr>
              <w:t>Cimzia</w:t>
            </w:r>
            <w:proofErr w:type="spellEnd"/>
            <w:r w:rsidRPr="00464539">
              <w:rPr>
                <w:i/>
              </w:rPr>
              <w:t xml:space="preserve">) may not be entirely controlled. In an effort to assure a favourable benefit risk balance, it is an inherent interest of MAHs that their products are used for the approved indication, population and dose. The presumption is that the population studied, is the one for whom maximum benefit have been demonstrated. Specific to </w:t>
            </w:r>
            <w:proofErr w:type="spellStart"/>
            <w:r w:rsidRPr="00464539">
              <w:rPr>
                <w:i/>
              </w:rPr>
              <w:t>Cimzia</w:t>
            </w:r>
            <w:proofErr w:type="spellEnd"/>
            <w:r w:rsidRPr="00464539">
              <w:rPr>
                <w:i/>
              </w:rPr>
              <w:t xml:space="preserve">, the product is appropriately labelled relative to indication, dose and age in all geographical regions. The patient education materials also note the product indications and conditions for use. A review of cases of off label use is a routine aspect of </w:t>
            </w:r>
            <w:proofErr w:type="spellStart"/>
            <w:r w:rsidRPr="00464539">
              <w:rPr>
                <w:i/>
              </w:rPr>
              <w:t>pharmacovigilance</w:t>
            </w:r>
            <w:proofErr w:type="spellEnd"/>
            <w:r w:rsidRPr="00464539">
              <w:rPr>
                <w:i/>
              </w:rPr>
              <w:t xml:space="preserve"> activity of </w:t>
            </w:r>
            <w:proofErr w:type="spellStart"/>
            <w:r w:rsidRPr="00464539">
              <w:rPr>
                <w:i/>
              </w:rPr>
              <w:t>Cimzia</w:t>
            </w:r>
            <w:proofErr w:type="spellEnd"/>
            <w:r w:rsidRPr="00464539">
              <w:rPr>
                <w:i/>
              </w:rPr>
              <w:t xml:space="preserve">. Based on the cumulative review of data, the safety profile of </w:t>
            </w:r>
            <w:proofErr w:type="spellStart"/>
            <w:r w:rsidRPr="00464539">
              <w:rPr>
                <w:i/>
              </w:rPr>
              <w:t>Cimzia</w:t>
            </w:r>
            <w:proofErr w:type="spellEnd"/>
            <w:r w:rsidRPr="00464539">
              <w:rPr>
                <w:i/>
              </w:rPr>
              <w:t xml:space="preserve"> has been consistent. This statement is tempered by the fact that the doses for children have not been established. Overall, it is argued that the benefit/risk profile of </w:t>
            </w:r>
            <w:proofErr w:type="spellStart"/>
            <w:r w:rsidRPr="00464539">
              <w:rPr>
                <w:i/>
              </w:rPr>
              <w:t>Cimzia</w:t>
            </w:r>
            <w:proofErr w:type="spellEnd"/>
            <w:r w:rsidRPr="00464539">
              <w:rPr>
                <w:i/>
              </w:rPr>
              <w:t xml:space="preserve"> remains favourable given that off-label use represents very small fraction of the cumulative case volume of </w:t>
            </w:r>
            <w:proofErr w:type="spellStart"/>
            <w:r w:rsidRPr="00464539">
              <w:rPr>
                <w:i/>
              </w:rPr>
              <w:t>Cimzia</w:t>
            </w:r>
            <w:proofErr w:type="spellEnd"/>
            <w:r w:rsidRPr="00464539">
              <w:rPr>
                <w:i/>
              </w:rPr>
              <w:t>.</w:t>
            </w:r>
          </w:p>
        </w:tc>
        <w:tc>
          <w:tcPr>
            <w:tcW w:w="1443" w:type="pct"/>
            <w:noWrap/>
          </w:tcPr>
          <w:p w:rsidR="005F769D" w:rsidRPr="00BA6B85" w:rsidRDefault="005F769D" w:rsidP="00464539">
            <w:r w:rsidRPr="00BA6B85">
              <w:lastRenderedPageBreak/>
              <w:t xml:space="preserve">The potential for off-label use has not been adequately addressed in the EU-RMP Version 9.3 Part II Section 5. This section should be updated to include the cumulative post-marketing data regarding off-label use that the Sponsor has provided in the adjacent </w:t>
            </w:r>
            <w:r w:rsidRPr="00BA6B85">
              <w:lastRenderedPageBreak/>
              <w:t>comment.</w:t>
            </w:r>
          </w:p>
        </w:tc>
      </w:tr>
      <w:tr w:rsidR="005F769D" w:rsidRPr="00A42804" w:rsidTr="00464539">
        <w:tc>
          <w:tcPr>
            <w:tcW w:w="1444" w:type="pct"/>
            <w:noWrap/>
          </w:tcPr>
          <w:p w:rsidR="005F769D" w:rsidRPr="00BA6B85" w:rsidRDefault="005F769D" w:rsidP="00326FE9">
            <w:r w:rsidRPr="00BA6B85">
              <w:lastRenderedPageBreak/>
              <w:t>According to the sponsor, the patient alert card is distributed to patients as “</w:t>
            </w:r>
            <w:r w:rsidRPr="00BA6B85">
              <w:rPr>
                <w:i/>
                <w:iCs/>
              </w:rPr>
              <w:t>a detachable front-page of the patient guide, and it is also available in electronic form</w:t>
            </w:r>
            <w:r w:rsidRPr="00BA6B85">
              <w:t>” (RA EU-RMP page 364). The sponsor should clarify if this “patient guide” is in fact the “medication guide” listed in table 4 above or if there is an additional document.</w:t>
            </w:r>
          </w:p>
        </w:tc>
        <w:tc>
          <w:tcPr>
            <w:tcW w:w="2113" w:type="pct"/>
            <w:noWrap/>
          </w:tcPr>
          <w:p w:rsidR="005F769D" w:rsidRPr="00464539" w:rsidRDefault="005F769D" w:rsidP="00326FE9">
            <w:pPr>
              <w:rPr>
                <w:i/>
              </w:rPr>
            </w:pPr>
            <w:r w:rsidRPr="00464539">
              <w:rPr>
                <w:i/>
              </w:rPr>
              <w:t xml:space="preserve">European Medicines Authority requested that, for the </w:t>
            </w:r>
            <w:proofErr w:type="spellStart"/>
            <w:r w:rsidRPr="00464539">
              <w:rPr>
                <w:i/>
              </w:rPr>
              <w:t>Cimzia</w:t>
            </w:r>
            <w:proofErr w:type="spellEnd"/>
            <w:r w:rsidRPr="00464539">
              <w:rPr>
                <w:i/>
              </w:rPr>
              <w:t xml:space="preserve"> RMP in the new format, only the Patient Alert Card (which is now a stand-alone document), and the Prescriber Guide are used. All the other documents (HCP Guide, Patient Medication Guide) have not been maintained since version 9.0 of the RMP as they are no longer required by EMA. The new educational material is product-specific and no longer indication-specific; therefore the same document can be used for all three indications (RA, </w:t>
            </w:r>
            <w:proofErr w:type="spellStart"/>
            <w:r w:rsidRPr="00464539">
              <w:rPr>
                <w:i/>
              </w:rPr>
              <w:t>PsA</w:t>
            </w:r>
            <w:proofErr w:type="spellEnd"/>
            <w:r w:rsidRPr="00464539">
              <w:rPr>
                <w:i/>
              </w:rPr>
              <w:t xml:space="preserve">, </w:t>
            </w:r>
            <w:proofErr w:type="spellStart"/>
            <w:proofErr w:type="gramStart"/>
            <w:r w:rsidRPr="00464539">
              <w:rPr>
                <w:i/>
              </w:rPr>
              <w:t>AxSpA</w:t>
            </w:r>
            <w:proofErr w:type="spellEnd"/>
            <w:proofErr w:type="gramEnd"/>
            <w:r w:rsidRPr="00464539">
              <w:rPr>
                <w:i/>
              </w:rPr>
              <w:t xml:space="preserve">). </w:t>
            </w:r>
          </w:p>
          <w:p w:rsidR="005F769D" w:rsidRPr="00464539" w:rsidRDefault="005F769D" w:rsidP="00326FE9">
            <w:pPr>
              <w:rPr>
                <w:i/>
              </w:rPr>
            </w:pPr>
            <w:r w:rsidRPr="00464539">
              <w:rPr>
                <w:i/>
              </w:rPr>
              <w:t>UCB Australia confirms that if UCB decide to roll-out educational material in Australia, a Patient Alert Card will be adapted and produced to the local requirements in Australia.</w:t>
            </w:r>
          </w:p>
        </w:tc>
        <w:tc>
          <w:tcPr>
            <w:tcW w:w="1443" w:type="pct"/>
            <w:noWrap/>
          </w:tcPr>
          <w:p w:rsidR="005F769D" w:rsidRPr="00BA6B85" w:rsidRDefault="005F769D" w:rsidP="00464539">
            <w:r w:rsidRPr="00BA6B85">
              <w:t>The Sponsor remains unclear regarding their risk minimisation plan proposed for Australia.</w:t>
            </w:r>
          </w:p>
          <w:p w:rsidR="005F769D" w:rsidRPr="00BA6B85" w:rsidRDefault="005F769D" w:rsidP="00464539">
            <w:r w:rsidRPr="00BA6B85">
              <w:t>The Sponsor initially submitted three “EMP’s for Australia” which included additional risk minimisation activities. However, the Sponsor’s initial S31 response with ASA Version 1.0 stated that no activities would be applied. This was then further confused by the current subsequent S31 response where the Sponsor uses the term “</w:t>
            </w:r>
            <w:r w:rsidRPr="00BA6B85">
              <w:rPr>
                <w:i/>
              </w:rPr>
              <w:t>if UCB decide to roll-out educational material in Australia.</w:t>
            </w:r>
            <w:proofErr w:type="gramStart"/>
            <w:r w:rsidRPr="00BA6B85">
              <w:t>”.</w:t>
            </w:r>
            <w:proofErr w:type="gramEnd"/>
            <w:r w:rsidRPr="00BA6B85">
              <w:t xml:space="preserve"> </w:t>
            </w:r>
          </w:p>
          <w:p w:rsidR="005F769D" w:rsidRPr="00BA6B85" w:rsidRDefault="005F769D" w:rsidP="00464539">
            <w:r w:rsidRPr="00BA6B85">
              <w:t xml:space="preserve">Due to the potential for serious adverse events with </w:t>
            </w:r>
            <w:proofErr w:type="spellStart"/>
            <w:r w:rsidRPr="00BA6B85">
              <w:t>certolizumab</w:t>
            </w:r>
            <w:proofErr w:type="spellEnd"/>
            <w:r w:rsidRPr="00BA6B85">
              <w:t xml:space="preserve"> treatment, in addition to the ongoing safety concerns associated with the product, additional risk minimisation activities, as applied in the</w:t>
            </w:r>
            <w:r w:rsidR="00464539">
              <w:t xml:space="preserve"> EU, are required in Australia.</w:t>
            </w:r>
          </w:p>
        </w:tc>
      </w:tr>
      <w:tr w:rsidR="005F769D" w:rsidRPr="00A42804" w:rsidTr="00464539">
        <w:tc>
          <w:tcPr>
            <w:tcW w:w="1444" w:type="pct"/>
            <w:noWrap/>
          </w:tcPr>
          <w:p w:rsidR="005F769D" w:rsidRPr="00BA6B85" w:rsidRDefault="005F769D" w:rsidP="00464539">
            <w:r w:rsidRPr="00BA6B85">
              <w:t>The sponsor should clarify if this Alert card will be supplied in Australia. If this is the case, the card should be updated for the Australian population, for example changing referenced to the SMPC.</w:t>
            </w:r>
          </w:p>
        </w:tc>
        <w:tc>
          <w:tcPr>
            <w:tcW w:w="2113" w:type="pct"/>
            <w:noWrap/>
          </w:tcPr>
          <w:p w:rsidR="005F769D" w:rsidRPr="00464539" w:rsidRDefault="005F769D" w:rsidP="00464539">
            <w:pPr>
              <w:rPr>
                <w:i/>
              </w:rPr>
            </w:pPr>
            <w:r w:rsidRPr="00464539">
              <w:rPr>
                <w:i/>
              </w:rPr>
              <w:t>UCB confirm that, if UCB decide to roll-out educational material in Australia, the Patient Alert Card will be adapted to the local requirements in Australia.</w:t>
            </w:r>
          </w:p>
        </w:tc>
        <w:tc>
          <w:tcPr>
            <w:tcW w:w="1443" w:type="pct"/>
            <w:noWrap/>
          </w:tcPr>
          <w:p w:rsidR="005F769D" w:rsidRPr="00BA6B85" w:rsidRDefault="005F769D" w:rsidP="00464539">
            <w:r w:rsidRPr="00BA6B85">
              <w:t>The Sponsor remains unclear regarding their risk minimisation plan proposed for Australia.</w:t>
            </w:r>
          </w:p>
          <w:p w:rsidR="005F769D" w:rsidRPr="00BA6B85" w:rsidRDefault="005F769D" w:rsidP="00464539">
            <w:r w:rsidRPr="00BA6B85">
              <w:lastRenderedPageBreak/>
              <w:t xml:space="preserve">Due to the potential for serious adverse events with </w:t>
            </w:r>
            <w:proofErr w:type="spellStart"/>
            <w:r w:rsidRPr="00BA6B85">
              <w:t>certolizumab</w:t>
            </w:r>
            <w:proofErr w:type="spellEnd"/>
            <w:r w:rsidRPr="00BA6B85">
              <w:t xml:space="preserve"> treatment, in addition to the ongoing safety concerns associated with the product, additional risk minimisation activities, as applied in the EU, are required in Australia.</w:t>
            </w:r>
          </w:p>
        </w:tc>
      </w:tr>
      <w:tr w:rsidR="005F769D" w:rsidRPr="00A42804" w:rsidTr="00464539">
        <w:tc>
          <w:tcPr>
            <w:tcW w:w="1444" w:type="pct"/>
            <w:noWrap/>
          </w:tcPr>
          <w:p w:rsidR="005F769D" w:rsidRPr="00BA6B85" w:rsidRDefault="005F769D" w:rsidP="00464539">
            <w:r w:rsidRPr="00BA6B85">
              <w:lastRenderedPageBreak/>
              <w:t xml:space="preserve">It is recommended that the sponsor amend the following: </w:t>
            </w:r>
          </w:p>
          <w:p w:rsidR="005F769D" w:rsidRPr="00BA6B85" w:rsidRDefault="005F769D" w:rsidP="00464539">
            <w:pPr>
              <w:pStyle w:val="ListBullet"/>
            </w:pPr>
            <w:r w:rsidRPr="00BA6B85">
              <w:t xml:space="preserve">This document should be updated for the Australia population, for example changing references to the </w:t>
            </w:r>
            <w:proofErr w:type="spellStart"/>
            <w:r w:rsidRPr="00BA6B85">
              <w:t>SmPC</w:t>
            </w:r>
            <w:proofErr w:type="spellEnd"/>
            <w:r w:rsidRPr="00BA6B85">
              <w:t xml:space="preserve">. </w:t>
            </w:r>
          </w:p>
          <w:p w:rsidR="005F769D" w:rsidRPr="00BA6B85" w:rsidRDefault="005F769D" w:rsidP="00464539">
            <w:pPr>
              <w:pStyle w:val="ListBullet"/>
            </w:pPr>
            <w:r w:rsidRPr="00BA6B85">
              <w:t>The steps describing the injection preparation and ad</w:t>
            </w:r>
            <w:r w:rsidR="00464539">
              <w:t>ministrated should be numbered.</w:t>
            </w:r>
          </w:p>
          <w:p w:rsidR="005F769D" w:rsidRPr="00BA6B85" w:rsidRDefault="005F769D" w:rsidP="00464539">
            <w:pPr>
              <w:pStyle w:val="ListBullet"/>
            </w:pPr>
            <w:r w:rsidRPr="00BA6B85">
              <w:t>Each administration picture should be placed with the cor</w:t>
            </w:r>
            <w:r w:rsidR="00464539">
              <w:t>responding administration step.</w:t>
            </w:r>
          </w:p>
          <w:p w:rsidR="005F769D" w:rsidRPr="00BA6B85" w:rsidRDefault="005F769D" w:rsidP="00464539">
            <w:pPr>
              <w:pStyle w:val="ListBullet"/>
            </w:pPr>
            <w:r w:rsidRPr="00BA6B85">
              <w:t xml:space="preserve">The three pages regarding </w:t>
            </w:r>
            <w:r w:rsidRPr="00BA6B85">
              <w:rPr>
                <w:i/>
                <w:iCs/>
              </w:rPr>
              <w:t xml:space="preserve">“clinical efficacy of </w:t>
            </w:r>
            <w:proofErr w:type="spellStart"/>
            <w:r w:rsidR="00780621">
              <w:rPr>
                <w:i/>
                <w:iCs/>
              </w:rPr>
              <w:t>Cimzia</w:t>
            </w:r>
            <w:proofErr w:type="spellEnd"/>
            <w:r w:rsidRPr="00BA6B85">
              <w:rPr>
                <w:i/>
                <w:iCs/>
              </w:rPr>
              <w:t xml:space="preserve">” </w:t>
            </w:r>
            <w:r w:rsidRPr="00BA6B85">
              <w:t xml:space="preserve">should be removed and a reference made to the prescriber guide, or placed at the back of the document to ensure that the most relevant information is at the front of the document. </w:t>
            </w:r>
          </w:p>
          <w:p w:rsidR="005F769D" w:rsidRPr="00BA6B85" w:rsidRDefault="005F769D" w:rsidP="00464539">
            <w:pPr>
              <w:pStyle w:val="ListBullet"/>
            </w:pPr>
            <w:r w:rsidRPr="00BA6B85">
              <w:t>A statement regarding appropriate dosing and/or a dosing table should be added t</w:t>
            </w:r>
            <w:r w:rsidR="00464539">
              <w:t>o enhance safe use of medicine.</w:t>
            </w:r>
          </w:p>
          <w:p w:rsidR="005F769D" w:rsidRPr="00BA6B85" w:rsidRDefault="005F769D" w:rsidP="00464539">
            <w:pPr>
              <w:pStyle w:val="ListBullet"/>
            </w:pPr>
            <w:r w:rsidRPr="00BA6B85">
              <w:t xml:space="preserve">A table should be added showing the very common, common and rare side effects of </w:t>
            </w:r>
            <w:proofErr w:type="spellStart"/>
            <w:r w:rsidRPr="00BA6B85">
              <w:t>certolizumab</w:t>
            </w:r>
            <w:proofErr w:type="spellEnd"/>
            <w:r w:rsidRPr="00BA6B85">
              <w:t xml:space="preserve">, similar to that shown in the </w:t>
            </w:r>
            <w:proofErr w:type="spellStart"/>
            <w:r w:rsidRPr="00BA6B85">
              <w:t>SmPC</w:t>
            </w:r>
            <w:proofErr w:type="spellEnd"/>
            <w:r w:rsidRPr="00BA6B85">
              <w:t xml:space="preserve">. </w:t>
            </w:r>
          </w:p>
          <w:p w:rsidR="005F769D" w:rsidRPr="00BA6B85" w:rsidRDefault="005F769D" w:rsidP="00326FE9">
            <w:r w:rsidRPr="00BA6B85">
              <w:t xml:space="preserve">• A statement should be added regarding the potential of </w:t>
            </w:r>
            <w:proofErr w:type="spellStart"/>
            <w:r w:rsidRPr="00BA6B85">
              <w:t>certolizumab</w:t>
            </w:r>
            <w:proofErr w:type="spellEnd"/>
            <w:r w:rsidRPr="00BA6B85">
              <w:t xml:space="preserve"> to influence the ability to drive and use machines. This statement should be to the effect of “</w:t>
            </w:r>
            <w:proofErr w:type="spellStart"/>
            <w:r w:rsidR="00780621">
              <w:t>Cimzia</w:t>
            </w:r>
            <w:proofErr w:type="spellEnd"/>
            <w:r w:rsidRPr="00BA6B85">
              <w:t xml:space="preserve"> may have a minor influence on the ability to drive and use machines. Dizziness </w:t>
            </w:r>
            <w:r w:rsidRPr="00BA6B85">
              <w:lastRenderedPageBreak/>
              <w:t xml:space="preserve">(including vertigo, vision disorder and fatigue) may occur following administration of </w:t>
            </w:r>
            <w:proofErr w:type="spellStart"/>
            <w:r w:rsidR="00780621">
              <w:t>Cimzia</w:t>
            </w:r>
            <w:proofErr w:type="spellEnd"/>
            <w:r w:rsidRPr="00BA6B85">
              <w:t xml:space="preserve">” </w:t>
            </w:r>
          </w:p>
          <w:p w:rsidR="005F769D" w:rsidRPr="00BA6B85" w:rsidRDefault="005F769D" w:rsidP="00326FE9"/>
        </w:tc>
        <w:tc>
          <w:tcPr>
            <w:tcW w:w="2113" w:type="pct"/>
            <w:noWrap/>
          </w:tcPr>
          <w:p w:rsidR="005F769D" w:rsidRPr="00BA6B85" w:rsidRDefault="005F769D" w:rsidP="00326FE9">
            <w:pPr>
              <w:rPr>
                <w:i/>
              </w:rPr>
            </w:pPr>
            <w:r w:rsidRPr="00BA6B85">
              <w:rPr>
                <w:i/>
              </w:rPr>
              <w:lastRenderedPageBreak/>
              <w:t>UCB Australia currently have a how to prescribe brochure, which includes dosing instructions, a copy of which is attached. This can be expanded upon to address the comments above. UCB confirm that, if UCB decide to roll-out additional educational material in Australia, the material will be adapted to the local requirements.</w:t>
            </w:r>
          </w:p>
        </w:tc>
        <w:tc>
          <w:tcPr>
            <w:tcW w:w="1443" w:type="pct"/>
            <w:noWrap/>
          </w:tcPr>
          <w:p w:rsidR="005F769D" w:rsidRPr="00BA6B85" w:rsidRDefault="005F769D" w:rsidP="00464539">
            <w:r w:rsidRPr="00BA6B85">
              <w:t>This response appears inconsistent with those provided below and with the content of the ASA.</w:t>
            </w:r>
          </w:p>
          <w:p w:rsidR="005F769D" w:rsidRPr="00BA6B85" w:rsidRDefault="005F769D" w:rsidP="00464539">
            <w:r w:rsidRPr="00BA6B85">
              <w:t>The Sponsor remains unclear regarding their risk minimisation plan proposed for Australia. The ASA states that no additional risk minimisation activities will be applied in Australia, however the Sponsor implies in this response that an additional risk minimisation activity (in the form of a brochure) will be applied.</w:t>
            </w:r>
          </w:p>
          <w:p w:rsidR="005F769D" w:rsidRPr="00BA6B85" w:rsidRDefault="005F769D" w:rsidP="00464539">
            <w:r w:rsidRPr="00BA6B85">
              <w:t>The “how to prescribe brochure” was not attached to the S31 responses. Furthermore, there is no mention of this document within the ASA.</w:t>
            </w:r>
          </w:p>
          <w:p w:rsidR="005F769D" w:rsidRPr="00BA6B85" w:rsidRDefault="005F769D" w:rsidP="00464539">
            <w:r w:rsidRPr="00BA6B85">
              <w:t xml:space="preserve">Due to the potential for serious adverse events with </w:t>
            </w:r>
            <w:proofErr w:type="spellStart"/>
            <w:r w:rsidRPr="00BA6B85">
              <w:t>certolizumab</w:t>
            </w:r>
            <w:proofErr w:type="spellEnd"/>
            <w:r w:rsidRPr="00BA6B85">
              <w:t xml:space="preserve"> treatment, in addition to the ongoing safety concerns associated with the product, additional risk minimisation activities, as applied in the EU, are required in Australia.</w:t>
            </w:r>
          </w:p>
        </w:tc>
      </w:tr>
      <w:tr w:rsidR="005F769D" w:rsidRPr="00A42804" w:rsidTr="00464539">
        <w:tc>
          <w:tcPr>
            <w:tcW w:w="1444" w:type="pct"/>
            <w:noWrap/>
          </w:tcPr>
          <w:p w:rsidR="005F769D" w:rsidRPr="00BA6B85" w:rsidRDefault="005F769D" w:rsidP="00326FE9">
            <w:pPr>
              <w:rPr>
                <w:b/>
              </w:rPr>
            </w:pPr>
            <w:proofErr w:type="spellStart"/>
            <w:r w:rsidRPr="00BA6B85">
              <w:rPr>
                <w:b/>
              </w:rPr>
              <w:lastRenderedPageBreak/>
              <w:t>PsA</w:t>
            </w:r>
            <w:proofErr w:type="spellEnd"/>
            <w:r w:rsidRPr="00BA6B85">
              <w:rPr>
                <w:b/>
              </w:rPr>
              <w:t xml:space="preserve"> and </w:t>
            </w:r>
            <w:proofErr w:type="spellStart"/>
            <w:r w:rsidRPr="00BA6B85">
              <w:rPr>
                <w:b/>
              </w:rPr>
              <w:t>axSpA</w:t>
            </w:r>
            <w:proofErr w:type="spellEnd"/>
            <w:r w:rsidRPr="00BA6B85">
              <w:rPr>
                <w:b/>
              </w:rPr>
              <w:t xml:space="preserve"> Patient Medication Guide</w:t>
            </w:r>
          </w:p>
          <w:p w:rsidR="005F769D" w:rsidRPr="00BA6B85" w:rsidRDefault="005F769D" w:rsidP="00326FE9">
            <w:r w:rsidRPr="00BA6B85">
              <w:t>It is recommended that the sponsor amend the following:</w:t>
            </w:r>
          </w:p>
          <w:p w:rsidR="005F769D" w:rsidRPr="00BA6B85" w:rsidRDefault="005F769D" w:rsidP="00326FE9">
            <w:r w:rsidRPr="00BA6B85">
              <w:t xml:space="preserve">This document should be updated for the Australian population, for example changing references to the </w:t>
            </w:r>
            <w:proofErr w:type="spellStart"/>
            <w:r w:rsidRPr="00BA6B85">
              <w:t>SmPC</w:t>
            </w:r>
            <w:proofErr w:type="spellEnd"/>
            <w:r w:rsidRPr="00BA6B85">
              <w:t>.</w:t>
            </w:r>
          </w:p>
          <w:p w:rsidR="005F769D" w:rsidRPr="00BA6B85" w:rsidRDefault="005F769D" w:rsidP="00326FE9">
            <w:r w:rsidRPr="00BA6B85">
              <w:t>A statement should be added regarding hepatitis B infection under the heading “</w:t>
            </w:r>
            <w:r w:rsidRPr="00BA6B85">
              <w:rPr>
                <w:i/>
              </w:rPr>
              <w:t xml:space="preserve">information you should know about </w:t>
            </w:r>
            <w:proofErr w:type="spellStart"/>
            <w:r w:rsidR="00780621">
              <w:rPr>
                <w:i/>
              </w:rPr>
              <w:t>Cimzia</w:t>
            </w:r>
            <w:proofErr w:type="spellEnd"/>
            <w:r w:rsidRPr="00BA6B85">
              <w:t>”.</w:t>
            </w:r>
          </w:p>
          <w:p w:rsidR="005F769D" w:rsidRPr="00BA6B85" w:rsidRDefault="005F769D" w:rsidP="00464539">
            <w:r w:rsidRPr="00BA6B85">
              <w:t xml:space="preserve">A statement should be added regarding the potential of </w:t>
            </w:r>
            <w:proofErr w:type="spellStart"/>
            <w:r w:rsidRPr="00BA6B85">
              <w:t>certolizumab</w:t>
            </w:r>
            <w:proofErr w:type="spellEnd"/>
            <w:r w:rsidRPr="00BA6B85">
              <w:t xml:space="preserve"> to influence the ability to drive and use machines. This statement should be to the effect of “</w:t>
            </w:r>
            <w:proofErr w:type="spellStart"/>
            <w:r w:rsidR="00780621">
              <w:t>Cimzia</w:t>
            </w:r>
            <w:proofErr w:type="spellEnd"/>
            <w:r w:rsidRPr="00BA6B85">
              <w:t xml:space="preserve"> may have a minor influence on the ability to drive and use machines. Dizziness (including vertigo, vision disorder and fatigue) may occur following administration of </w:t>
            </w:r>
            <w:proofErr w:type="spellStart"/>
            <w:r w:rsidR="00780621">
              <w:t>Cimzia</w:t>
            </w:r>
            <w:proofErr w:type="spellEnd"/>
            <w:r w:rsidRPr="00BA6B85">
              <w:t>)”.</w:t>
            </w:r>
          </w:p>
          <w:p w:rsidR="005F769D" w:rsidRPr="00BA6B85" w:rsidRDefault="005F769D" w:rsidP="00326FE9">
            <w:r w:rsidRPr="00BA6B85">
              <w:t>A section should be added regarding when to seek medical advice, such as signs of infection or an injection site reaction.</w:t>
            </w:r>
          </w:p>
          <w:p w:rsidR="005F769D" w:rsidRPr="00BA6B85" w:rsidRDefault="005F769D" w:rsidP="00464539">
            <w:r w:rsidRPr="00BA6B85">
              <w:t>A statement should be added regarding the use of the patient alert card, its purpose and the importance of carrying it with the patient at all times.</w:t>
            </w:r>
          </w:p>
        </w:tc>
        <w:tc>
          <w:tcPr>
            <w:tcW w:w="2113" w:type="pct"/>
            <w:noWrap/>
          </w:tcPr>
          <w:p w:rsidR="005F769D" w:rsidRPr="00BA6B85" w:rsidRDefault="005F769D" w:rsidP="00326FE9">
            <w:pPr>
              <w:rPr>
                <w:i/>
              </w:rPr>
            </w:pPr>
            <w:r w:rsidRPr="00BA6B85">
              <w:rPr>
                <w:i/>
              </w:rPr>
              <w:t xml:space="preserve">UCB Australia currently produces a guide for patients, which will be extended to patients with </w:t>
            </w:r>
            <w:proofErr w:type="spellStart"/>
            <w:r w:rsidRPr="00BA6B85">
              <w:rPr>
                <w:i/>
              </w:rPr>
              <w:t>PsA</w:t>
            </w:r>
            <w:proofErr w:type="spellEnd"/>
            <w:r w:rsidRPr="00BA6B85">
              <w:rPr>
                <w:i/>
              </w:rPr>
              <w:t xml:space="preserve"> and </w:t>
            </w:r>
            <w:proofErr w:type="spellStart"/>
            <w:r w:rsidRPr="00BA6B85">
              <w:rPr>
                <w:i/>
              </w:rPr>
              <w:t>axSpA</w:t>
            </w:r>
            <w:proofErr w:type="spellEnd"/>
            <w:r w:rsidRPr="00BA6B85">
              <w:rPr>
                <w:i/>
              </w:rPr>
              <w:t xml:space="preserve">. This guide includes an overview of adverse events and </w:t>
            </w:r>
            <w:r w:rsidR="00302C33" w:rsidRPr="00BA6B85">
              <w:rPr>
                <w:i/>
              </w:rPr>
              <w:t>incorporates</w:t>
            </w:r>
            <w:r w:rsidRPr="00BA6B85">
              <w:rPr>
                <w:i/>
              </w:rPr>
              <w:t xml:space="preserve"> risks, such as hepatitis infection and infections, but can be updated to include ability to drive and use machines. A copy of the patient guide is attached.</w:t>
            </w:r>
          </w:p>
        </w:tc>
        <w:tc>
          <w:tcPr>
            <w:tcW w:w="1443" w:type="pct"/>
            <w:noWrap/>
          </w:tcPr>
          <w:p w:rsidR="005F769D" w:rsidRPr="00BA6B85" w:rsidRDefault="005F769D" w:rsidP="00464539">
            <w:r w:rsidRPr="00BA6B85">
              <w:t>This response appears inconsistent with those provided below and the content of the ASA.</w:t>
            </w:r>
          </w:p>
          <w:p w:rsidR="005F769D" w:rsidRPr="00BA6B85" w:rsidRDefault="005F769D" w:rsidP="00464539">
            <w:r w:rsidRPr="00BA6B85">
              <w:t>The Sponsor remains unclear regarding their risk minimisation plan proposed for Australia.</w:t>
            </w:r>
          </w:p>
          <w:p w:rsidR="005F769D" w:rsidRPr="00BA6B85" w:rsidRDefault="005F769D" w:rsidP="00464539">
            <w:r w:rsidRPr="00BA6B85">
              <w:t>The “</w:t>
            </w:r>
            <w:r w:rsidRPr="00BA6B85">
              <w:rPr>
                <w:i/>
              </w:rPr>
              <w:t>guide for patients</w:t>
            </w:r>
            <w:r w:rsidRPr="00BA6B85">
              <w:t>” was not attached to the S31 responses. Furthermore, there is no mention of this document within the ASA.</w:t>
            </w:r>
          </w:p>
          <w:p w:rsidR="005F769D" w:rsidRPr="00BA6B85" w:rsidRDefault="005F769D" w:rsidP="00464539">
            <w:r w:rsidRPr="00BA6B85">
              <w:t xml:space="preserve">Due to the potential for serious adverse events with </w:t>
            </w:r>
            <w:proofErr w:type="spellStart"/>
            <w:r w:rsidRPr="00BA6B85">
              <w:t>certolizumab</w:t>
            </w:r>
            <w:proofErr w:type="spellEnd"/>
            <w:r w:rsidRPr="00BA6B85">
              <w:t xml:space="preserve"> treatment, in addition to the ongoing safety concerns associated with the product, additional risk minimisation activities, as applied in the EU, are required in Australia.</w:t>
            </w:r>
          </w:p>
        </w:tc>
      </w:tr>
      <w:tr w:rsidR="005F769D" w:rsidRPr="00A42804" w:rsidTr="00464539">
        <w:tc>
          <w:tcPr>
            <w:tcW w:w="1444" w:type="pct"/>
            <w:noWrap/>
          </w:tcPr>
          <w:p w:rsidR="005F769D" w:rsidRPr="00464539" w:rsidRDefault="005F769D" w:rsidP="00464539">
            <w:pPr>
              <w:rPr>
                <w:b/>
              </w:rPr>
            </w:pPr>
            <w:r w:rsidRPr="00464539">
              <w:rPr>
                <w:b/>
              </w:rPr>
              <w:t>General Comments on the Education program</w:t>
            </w:r>
          </w:p>
          <w:p w:rsidR="005F769D" w:rsidRPr="00BA6B85" w:rsidRDefault="005F769D" w:rsidP="00464539">
            <w:r w:rsidRPr="00BA6B85">
              <w:t xml:space="preserve">It is recommended that the sponsor provide the updated versions of following RA materials to the TGA for review prior to approval </w:t>
            </w:r>
            <w:r w:rsidR="00D42121">
              <w:t>[information redacted]</w:t>
            </w:r>
          </w:p>
        </w:tc>
        <w:tc>
          <w:tcPr>
            <w:tcW w:w="2113" w:type="pct"/>
            <w:noWrap/>
          </w:tcPr>
          <w:p w:rsidR="005F769D" w:rsidRPr="00BA6B85" w:rsidRDefault="000A0867" w:rsidP="00326FE9">
            <w:pPr>
              <w:rPr>
                <w:i/>
              </w:rPr>
            </w:pPr>
            <w:r>
              <w:rPr>
                <w:i/>
              </w:rPr>
              <w:t>[information redacted]</w:t>
            </w:r>
          </w:p>
        </w:tc>
        <w:tc>
          <w:tcPr>
            <w:tcW w:w="1443" w:type="pct"/>
            <w:noWrap/>
          </w:tcPr>
          <w:p w:rsidR="005F769D" w:rsidRPr="00BA6B85" w:rsidRDefault="005F769D" w:rsidP="00326FE9">
            <w:r w:rsidRPr="00BA6B85">
              <w:t>This response appears inconsistent with those provided below and the content of the ASA.</w:t>
            </w:r>
          </w:p>
          <w:p w:rsidR="005F769D" w:rsidRPr="00BA6B85" w:rsidRDefault="005F769D" w:rsidP="00464539">
            <w:r w:rsidRPr="00BA6B85">
              <w:t>The Sponsor remains unclear regarding the risk minimisation plan proposed for Australia.</w:t>
            </w:r>
          </w:p>
          <w:p w:rsidR="005F769D" w:rsidRPr="00464539" w:rsidRDefault="000A0867" w:rsidP="00464539">
            <w:pPr>
              <w:rPr>
                <w:color w:val="auto"/>
                <w:lang w:eastAsia="en-US"/>
              </w:rPr>
            </w:pPr>
            <w:r>
              <w:t>[Information redacted]</w:t>
            </w:r>
          </w:p>
        </w:tc>
      </w:tr>
      <w:tr w:rsidR="005F769D" w:rsidRPr="00A42804" w:rsidTr="00464539">
        <w:tc>
          <w:tcPr>
            <w:tcW w:w="1444" w:type="pct"/>
            <w:noWrap/>
          </w:tcPr>
          <w:p w:rsidR="005F769D" w:rsidRPr="00BA6B85" w:rsidRDefault="005F769D" w:rsidP="00326FE9">
            <w:r w:rsidRPr="00BA6B85">
              <w:t>The evaluation of the educational materials is discussed in the RA EU-RMP Section 4.2.4 and Annex 8. It is recommended that the Sponsor consider evaluating the effectiveness of these educational materials for Aust</w:t>
            </w:r>
            <w:r w:rsidR="00464539">
              <w:t>ralian physicians and patients.</w:t>
            </w:r>
          </w:p>
          <w:p w:rsidR="005F769D" w:rsidRPr="00464539" w:rsidRDefault="005F769D" w:rsidP="00464539">
            <w:r w:rsidRPr="00BA6B85">
              <w:t>The sponsor should give details of the “third party provider” in Australia as mentio</w:t>
            </w:r>
            <w:r w:rsidR="00464539">
              <w:t xml:space="preserve">ned in the </w:t>
            </w:r>
            <w:proofErr w:type="spellStart"/>
            <w:r w:rsidR="00464539">
              <w:t>PsA</w:t>
            </w:r>
            <w:proofErr w:type="spellEnd"/>
            <w:r w:rsidR="00464539">
              <w:t xml:space="preserve"> and AS EU-RMP’s.</w:t>
            </w:r>
          </w:p>
        </w:tc>
        <w:tc>
          <w:tcPr>
            <w:tcW w:w="2113" w:type="pct"/>
            <w:noWrap/>
          </w:tcPr>
          <w:p w:rsidR="005F769D" w:rsidRPr="00BA6B85" w:rsidRDefault="000A0867" w:rsidP="00326FE9">
            <w:pPr>
              <w:rPr>
                <w:i/>
              </w:rPr>
            </w:pPr>
            <w:r>
              <w:rPr>
                <w:i/>
              </w:rPr>
              <w:t>[information redacted]</w:t>
            </w:r>
          </w:p>
        </w:tc>
        <w:tc>
          <w:tcPr>
            <w:tcW w:w="1443" w:type="pct"/>
            <w:noWrap/>
          </w:tcPr>
          <w:p w:rsidR="005F769D" w:rsidRPr="00BA6B85" w:rsidRDefault="005F769D" w:rsidP="00326FE9">
            <w:r w:rsidRPr="00BA6B85">
              <w:t>This response appears inconsistent with those provided above.</w:t>
            </w:r>
          </w:p>
          <w:p w:rsidR="005F769D" w:rsidRPr="00BA6B85" w:rsidRDefault="005F769D" w:rsidP="00326FE9">
            <w:r w:rsidRPr="00BA6B85">
              <w:t xml:space="preserve">The Sponsor remains unclear regarding the risk minimisation plan proposed for Australia. </w:t>
            </w:r>
            <w:r w:rsidR="000A0867">
              <w:t>[information redacted]</w:t>
            </w:r>
            <w:r w:rsidRPr="00BA6B85">
              <w:t xml:space="preserve"> The Sponsor should confirm the exact risk minimisation plan proposed for Australia.</w:t>
            </w:r>
          </w:p>
          <w:p w:rsidR="005F769D" w:rsidRPr="00BA6B85" w:rsidRDefault="005F769D" w:rsidP="00326FE9">
            <w:r w:rsidRPr="00BA6B85">
              <w:t xml:space="preserve">Due to the potential for serious adverse events with </w:t>
            </w:r>
            <w:proofErr w:type="spellStart"/>
            <w:r w:rsidRPr="00BA6B85">
              <w:t>certolizumab</w:t>
            </w:r>
            <w:proofErr w:type="spellEnd"/>
            <w:r w:rsidRPr="00BA6B85">
              <w:t xml:space="preserve"> treatment, in addition to the ongoing safety concerns associated with the product, additional risk minimisation activities, as applied in the EU, are required in Australia.</w:t>
            </w:r>
          </w:p>
        </w:tc>
      </w:tr>
      <w:tr w:rsidR="005F769D" w:rsidRPr="00A42804" w:rsidTr="00464539">
        <w:tc>
          <w:tcPr>
            <w:tcW w:w="1444" w:type="pct"/>
            <w:noWrap/>
          </w:tcPr>
          <w:p w:rsidR="005F769D" w:rsidRPr="00BA6B85" w:rsidRDefault="005F769D" w:rsidP="00464539">
            <w:r w:rsidRPr="00BA6B85">
              <w:t>The sponsor states that “</w:t>
            </w:r>
            <w:r w:rsidRPr="00BA6B85">
              <w:rPr>
                <w:rFonts w:eastAsia="TimesNewRoman" w:cs="TimesNewRoman"/>
                <w:i/>
              </w:rPr>
              <w:t>Training on the updated materials and the associated need for redistribution was provided to the affiliates in Mar 2012 with instruction to ensure this information is disseminated to all persons responsible for the distribution and tracking of the educational materials.”</w:t>
            </w:r>
            <w:r w:rsidRPr="00BA6B85">
              <w:rPr>
                <w:rFonts w:eastAsia="TimesNewRoman" w:cs="TimesNewRoman"/>
              </w:rPr>
              <w:t xml:space="preserve"> The sponsor should clarify if this training has occurred within Australia.</w:t>
            </w:r>
          </w:p>
        </w:tc>
        <w:tc>
          <w:tcPr>
            <w:tcW w:w="2113" w:type="pct"/>
            <w:noWrap/>
          </w:tcPr>
          <w:p w:rsidR="005F769D" w:rsidRPr="00BA6B85" w:rsidRDefault="005F769D" w:rsidP="00326FE9">
            <w:pPr>
              <w:rPr>
                <w:i/>
              </w:rPr>
            </w:pPr>
            <w:r w:rsidRPr="00BA6B85">
              <w:rPr>
                <w:i/>
              </w:rPr>
              <w:t>UCB confirms that this training as it occurred in the European Union will also take place Australia prior to the distribution of the new educational material if UCB decide to roll-out educational material in Australia.</w:t>
            </w:r>
          </w:p>
        </w:tc>
        <w:tc>
          <w:tcPr>
            <w:tcW w:w="1443" w:type="pct"/>
            <w:noWrap/>
          </w:tcPr>
          <w:p w:rsidR="005F769D" w:rsidRPr="00BA6B85" w:rsidRDefault="005F769D" w:rsidP="00464539">
            <w:r w:rsidRPr="00BA6B85">
              <w:t>The Sponsor remains unclear regarding their risk minimisati</w:t>
            </w:r>
            <w:r w:rsidR="00464539">
              <w:t>on plan proposed for Australia.</w:t>
            </w:r>
          </w:p>
        </w:tc>
      </w:tr>
      <w:tr w:rsidR="005F769D" w:rsidRPr="00A42804" w:rsidTr="00464539">
        <w:tc>
          <w:tcPr>
            <w:tcW w:w="1444" w:type="pct"/>
            <w:noWrap/>
          </w:tcPr>
          <w:p w:rsidR="005F769D" w:rsidRPr="00BA6B85" w:rsidRDefault="005F769D" w:rsidP="00464539">
            <w:r w:rsidRPr="00BA6B85">
              <w:t xml:space="preserve">In regard to the proposed routine risk minimisation activities, the Delegate may wish to revise the draft product information document as suggested in the RMP Round 1 report </w:t>
            </w:r>
            <w:r w:rsidR="00464539">
              <w:t>(see attached).</w:t>
            </w:r>
          </w:p>
        </w:tc>
        <w:tc>
          <w:tcPr>
            <w:tcW w:w="2113" w:type="pct"/>
            <w:noWrap/>
          </w:tcPr>
          <w:p w:rsidR="005F769D" w:rsidRPr="00BA6B85" w:rsidRDefault="005F769D" w:rsidP="00326FE9">
            <w:pPr>
              <w:rPr>
                <w:i/>
              </w:rPr>
            </w:pPr>
            <w:r w:rsidRPr="00BA6B85">
              <w:rPr>
                <w:i/>
              </w:rPr>
              <w:t>UCB confirm that upon receipt of the Delegate’s comments on the PI, UCB will work with the TGA to update the PI appropriately.</w:t>
            </w:r>
          </w:p>
        </w:tc>
        <w:tc>
          <w:tcPr>
            <w:tcW w:w="1443" w:type="pct"/>
            <w:noWrap/>
          </w:tcPr>
          <w:p w:rsidR="005F769D" w:rsidRPr="00BA6B85" w:rsidRDefault="005F769D" w:rsidP="00326FE9">
            <w:r w:rsidRPr="00BA6B85">
              <w:t>This is acceptable.</w:t>
            </w:r>
          </w:p>
        </w:tc>
      </w:tr>
      <w:tr w:rsidR="005F769D" w:rsidRPr="00A42804" w:rsidTr="00464539">
        <w:tc>
          <w:tcPr>
            <w:tcW w:w="1444" w:type="pct"/>
            <w:noWrap/>
          </w:tcPr>
          <w:p w:rsidR="005F769D" w:rsidRPr="00BA6B85" w:rsidRDefault="005F769D" w:rsidP="00326FE9">
            <w:r w:rsidRPr="00BA6B85">
              <w:t xml:space="preserve">See Section 12 of the RMP Round 1 Report – “Issues to be amended in RMP documentation”. </w:t>
            </w:r>
          </w:p>
        </w:tc>
        <w:tc>
          <w:tcPr>
            <w:tcW w:w="2113" w:type="pct"/>
            <w:noWrap/>
          </w:tcPr>
          <w:p w:rsidR="005F769D" w:rsidRPr="00464539" w:rsidRDefault="005F769D" w:rsidP="00464539">
            <w:r w:rsidRPr="00BA6B85">
              <w:t>The Sponsor makes the following statement against one of these comments only – regarding the mis</w:t>
            </w:r>
            <w:r w:rsidR="00464539">
              <w:t>sing pages from the RMP report:</w:t>
            </w:r>
          </w:p>
          <w:p w:rsidR="005F769D" w:rsidRPr="00464539" w:rsidRDefault="005F769D" w:rsidP="00464539">
            <w:pPr>
              <w:rPr>
                <w:i/>
              </w:rPr>
            </w:pPr>
            <w:r w:rsidRPr="00464539">
              <w:rPr>
                <w:i/>
              </w:rPr>
              <w:t>UCB confirm that as the RMPs have been combined appropriately, this discrepancy is no longer present.</w:t>
            </w:r>
          </w:p>
        </w:tc>
        <w:tc>
          <w:tcPr>
            <w:tcW w:w="1443" w:type="pct"/>
            <w:noWrap/>
          </w:tcPr>
          <w:p w:rsidR="005F769D" w:rsidRPr="00BA6B85" w:rsidRDefault="005F769D" w:rsidP="00326FE9">
            <w:r w:rsidRPr="00BA6B85">
              <w:t>The updated EU-RMP Version 9.3 with ASA has been provided by the Sponsor.</w:t>
            </w:r>
          </w:p>
          <w:p w:rsidR="005F769D" w:rsidRPr="00BA6B85" w:rsidRDefault="005F769D" w:rsidP="00464539">
            <w:r w:rsidRPr="00BA6B85">
              <w:t>However the Sponsor continues to submit documents with multiple page numbering systems printed on each page. This should be amended on the next update of the RMP.</w:t>
            </w:r>
          </w:p>
        </w:tc>
      </w:tr>
    </w:tbl>
    <w:p w:rsidR="000A0867" w:rsidRPr="000A0867" w:rsidRDefault="000A0867" w:rsidP="00464539">
      <w:bookmarkStart w:id="119" w:name="_Toc314842510"/>
      <w:r>
        <w:t xml:space="preserve">These concerns may be </w:t>
      </w:r>
      <w:r w:rsidRPr="000A0867">
        <w:t xml:space="preserve">addressed and resolved after the ACPM meeting. </w:t>
      </w:r>
      <w:r>
        <w:t>Final outcomes are discussed within the above table and within Section VI below.</w:t>
      </w:r>
    </w:p>
    <w:p w:rsidR="008E7846" w:rsidRPr="00792A32" w:rsidRDefault="008E7846" w:rsidP="00464539">
      <w:pPr>
        <w:pStyle w:val="Heading2"/>
      </w:pPr>
      <w:bookmarkStart w:id="120" w:name="_Toc399507655"/>
      <w:r>
        <w:t xml:space="preserve">VI. </w:t>
      </w:r>
      <w:r w:rsidRPr="00792A32">
        <w:t xml:space="preserve">Overall </w:t>
      </w:r>
      <w:r w:rsidRPr="00464539">
        <w:t>conclusion</w:t>
      </w:r>
      <w:r w:rsidRPr="00792A32">
        <w:t xml:space="preserve"> and </w:t>
      </w:r>
      <w:r>
        <w:t>r</w:t>
      </w:r>
      <w:r w:rsidRPr="00792A32">
        <w:t>isk/</w:t>
      </w:r>
      <w:r>
        <w:t>b</w:t>
      </w:r>
      <w:r w:rsidRPr="00792A32">
        <w:t xml:space="preserve">enefit </w:t>
      </w:r>
      <w:r>
        <w:t>a</w:t>
      </w:r>
      <w:r w:rsidRPr="00792A32">
        <w:t>ssessment</w:t>
      </w:r>
      <w:bookmarkEnd w:id="67"/>
      <w:bookmarkEnd w:id="118"/>
      <w:bookmarkEnd w:id="119"/>
      <w:bookmarkEnd w:id="120"/>
    </w:p>
    <w:p w:rsidR="008E7846" w:rsidRDefault="008E7846" w:rsidP="00464539">
      <w:bookmarkStart w:id="121"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464539">
      <w:pPr>
        <w:pStyle w:val="Heading3"/>
      </w:pPr>
      <w:bookmarkStart w:id="122" w:name="_Toc314842511"/>
      <w:bookmarkStart w:id="123" w:name="_Toc399507656"/>
      <w:r w:rsidRPr="00464539">
        <w:t>Quality</w:t>
      </w:r>
      <w:bookmarkEnd w:id="121"/>
      <w:bookmarkEnd w:id="122"/>
      <w:bookmarkEnd w:id="123"/>
    </w:p>
    <w:p w:rsidR="00E45619" w:rsidRDefault="008E7846" w:rsidP="00464539">
      <w:r>
        <w:t>There was no requirement for a quality evaluation in a submission of this type.</w:t>
      </w:r>
    </w:p>
    <w:p w:rsidR="008E7846" w:rsidRDefault="008E7846" w:rsidP="00464539">
      <w:pPr>
        <w:pStyle w:val="Heading3"/>
      </w:pPr>
      <w:bookmarkStart w:id="124" w:name="_Toc314842512"/>
      <w:bookmarkStart w:id="125" w:name="_Toc399507657"/>
      <w:r w:rsidRPr="00464539">
        <w:t>Nonclinical</w:t>
      </w:r>
      <w:bookmarkEnd w:id="124"/>
      <w:bookmarkEnd w:id="125"/>
    </w:p>
    <w:p w:rsidR="008E7846" w:rsidRDefault="008E7846" w:rsidP="00464539">
      <w:r>
        <w:t>There was no requirement for a nonclinical evaluation in a submission of this type.</w:t>
      </w:r>
    </w:p>
    <w:p w:rsidR="008E7846" w:rsidRDefault="008E7846" w:rsidP="00464539">
      <w:pPr>
        <w:pStyle w:val="Heading3"/>
      </w:pPr>
      <w:bookmarkStart w:id="126" w:name="_Toc247691530"/>
      <w:bookmarkStart w:id="127" w:name="_Toc314842513"/>
      <w:bookmarkStart w:id="128" w:name="_Toc399507658"/>
      <w:r w:rsidRPr="00464539">
        <w:t>Clinical</w:t>
      </w:r>
      <w:bookmarkEnd w:id="126"/>
      <w:bookmarkEnd w:id="127"/>
      <w:bookmarkEnd w:id="128"/>
    </w:p>
    <w:p w:rsidR="005F769D" w:rsidRPr="0011789F" w:rsidRDefault="005F769D" w:rsidP="00464539">
      <w:bookmarkStart w:id="129" w:name="_Toc314842514"/>
      <w:r w:rsidRPr="0011789F">
        <w:t xml:space="preserve">The clinical evaluator has recommended approval (Clinical Evaluation Report (CER),) to extend the indication for </w:t>
      </w:r>
      <w:proofErr w:type="spellStart"/>
      <w:r w:rsidRPr="0011789F">
        <w:t>certolizumab</w:t>
      </w:r>
      <w:proofErr w:type="spellEnd"/>
      <w:r w:rsidRPr="0011789F">
        <w:t xml:space="preserve"> to include the treatment of active </w:t>
      </w:r>
      <w:proofErr w:type="spellStart"/>
      <w:r w:rsidRPr="0011789F">
        <w:t>PsA</w:t>
      </w:r>
      <w:proofErr w:type="spellEnd"/>
      <w:r w:rsidRPr="0011789F">
        <w:t xml:space="preserve"> and axial </w:t>
      </w:r>
      <w:proofErr w:type="spellStart"/>
      <w:r w:rsidRPr="0011789F">
        <w:t>SpA</w:t>
      </w:r>
      <w:proofErr w:type="spellEnd"/>
      <w:r w:rsidRPr="0011789F">
        <w:t>.</w:t>
      </w:r>
      <w:r w:rsidR="004332FB">
        <w:t xml:space="preserve"> </w:t>
      </w:r>
      <w:r w:rsidRPr="0011789F">
        <w:t xml:space="preserve">However the evaluator does not recommend acceptance of the proposed claim of radiographic benefit in patients with active </w:t>
      </w:r>
      <w:proofErr w:type="spellStart"/>
      <w:r w:rsidRPr="0011789F">
        <w:t>PsA.</w:t>
      </w:r>
      <w:proofErr w:type="spellEnd"/>
    </w:p>
    <w:p w:rsidR="005F769D" w:rsidRPr="0011789F" w:rsidRDefault="005F769D" w:rsidP="00464539">
      <w:r w:rsidRPr="0011789F">
        <w:t>The clinical evaluator has reviewed the submitted data, which included:</w:t>
      </w:r>
    </w:p>
    <w:p w:rsidR="005F769D" w:rsidRPr="0011789F" w:rsidRDefault="005F769D" w:rsidP="00464539">
      <w:pPr>
        <w:pStyle w:val="ListBullet"/>
      </w:pPr>
      <w:r w:rsidRPr="0011789F">
        <w:t xml:space="preserve">2 pivotal Phase III, randomised, double-blind, parallel-group, placebo-controlled trials; one in adult </w:t>
      </w:r>
      <w:r w:rsidRPr="00464539">
        <w:t>patients</w:t>
      </w:r>
      <w:r w:rsidRPr="0011789F">
        <w:t xml:space="preserve"> with psoriatic arthritis (Study PsA001); and one in adults subjects with active axial </w:t>
      </w:r>
      <w:proofErr w:type="spellStart"/>
      <w:r w:rsidRPr="0011789F">
        <w:t>SpA</w:t>
      </w:r>
      <w:proofErr w:type="spellEnd"/>
      <w:r w:rsidRPr="0011789F">
        <w:t xml:space="preserve"> (Study AS001).</w:t>
      </w:r>
    </w:p>
    <w:p w:rsidR="005F769D" w:rsidRPr="0011789F" w:rsidRDefault="005F769D" w:rsidP="00464539">
      <w:pPr>
        <w:pStyle w:val="ListBullet"/>
      </w:pPr>
      <w:r w:rsidRPr="0011789F">
        <w:t xml:space="preserve">2 supportive studies in patients with moderate to severe plaque psoriasis; Study C87040 was a </w:t>
      </w:r>
      <w:r w:rsidR="0024294D">
        <w:t>Phase II</w:t>
      </w:r>
      <w:r w:rsidRPr="0011789F">
        <w:t xml:space="preserve"> </w:t>
      </w:r>
      <w:r w:rsidRPr="00464539">
        <w:t>randomised</w:t>
      </w:r>
      <w:r w:rsidRPr="0011789F">
        <w:t>, double-blind, parallel-group, placebo-controlled trial, and Study C87044 was a follow up study to C87040 in patients who had responded to treatment.</w:t>
      </w:r>
    </w:p>
    <w:p w:rsidR="005F769D" w:rsidRPr="0011789F" w:rsidRDefault="005F769D" w:rsidP="00464539">
      <w:r w:rsidRPr="0011789F">
        <w:t>The benefits noted by the evaluator included:</w:t>
      </w:r>
    </w:p>
    <w:p w:rsidR="005F769D" w:rsidRPr="0011789F" w:rsidRDefault="005F769D" w:rsidP="00464539">
      <w:pPr>
        <w:pStyle w:val="ListBullet"/>
      </w:pPr>
      <w:proofErr w:type="spellStart"/>
      <w:r w:rsidRPr="0011789F">
        <w:t>PsA</w:t>
      </w:r>
      <w:proofErr w:type="spellEnd"/>
      <w:r w:rsidRPr="0011789F">
        <w:t xml:space="preserve"> indication – improvement in the signs and symptoms of peripheral arthritis (as per </w:t>
      </w:r>
      <w:r w:rsidRPr="00464539">
        <w:t>the</w:t>
      </w:r>
      <w:r w:rsidRPr="0011789F">
        <w:t xml:space="preserve"> ACR clinical response criteria), and improvement in physical functioning (as evidenced by treatment related improvements in the HAQ-DI scale).</w:t>
      </w:r>
    </w:p>
    <w:p w:rsidR="005F769D" w:rsidRPr="0011789F" w:rsidRDefault="005F769D" w:rsidP="00464539">
      <w:pPr>
        <w:pStyle w:val="ListBullet"/>
      </w:pPr>
      <w:r w:rsidRPr="0011789F">
        <w:t xml:space="preserve">Axial </w:t>
      </w:r>
      <w:proofErr w:type="spellStart"/>
      <w:r w:rsidRPr="0011789F">
        <w:t>SpA</w:t>
      </w:r>
      <w:proofErr w:type="spellEnd"/>
      <w:r w:rsidRPr="0011789F">
        <w:t xml:space="preserve"> indication (for both subjects with confirmed AS and nr-</w:t>
      </w:r>
      <w:proofErr w:type="spellStart"/>
      <w:r w:rsidRPr="0011789F">
        <w:t>axSpA</w:t>
      </w:r>
      <w:proofErr w:type="spellEnd"/>
      <w:r w:rsidRPr="0011789F">
        <w:t xml:space="preserve">) – improvement in the </w:t>
      </w:r>
      <w:r w:rsidRPr="00464539">
        <w:t>symptoms</w:t>
      </w:r>
      <w:r w:rsidRPr="0011789F">
        <w:t xml:space="preserve"> and signs of axial disease (as per improvements in back pain and stiffness), improvement in physical functioning (as per changes in BASDAI and BASFI), and slowing of structural damage (as evidenced by treatment related improvements in MRI parameters).</w:t>
      </w:r>
    </w:p>
    <w:p w:rsidR="005F769D" w:rsidRPr="0011789F" w:rsidRDefault="005F769D" w:rsidP="00464539">
      <w:r w:rsidRPr="0011789F">
        <w:t>The concerns noted by the evaluator for both indications included:</w:t>
      </w:r>
    </w:p>
    <w:p w:rsidR="005F769D" w:rsidRPr="0011789F" w:rsidRDefault="005F769D" w:rsidP="00464539">
      <w:pPr>
        <w:pStyle w:val="ListBullet"/>
      </w:pPr>
      <w:r w:rsidRPr="0011789F">
        <w:t xml:space="preserve">Increased risk of infection, including tuberculosis and other serious opportunistic </w:t>
      </w:r>
      <w:r w:rsidRPr="00464539">
        <w:t>infections</w:t>
      </w:r>
      <w:r w:rsidRPr="0011789F">
        <w:t>.</w:t>
      </w:r>
    </w:p>
    <w:p w:rsidR="005F769D" w:rsidRPr="0011789F" w:rsidRDefault="005F769D" w:rsidP="0011789F">
      <w:pPr>
        <w:pStyle w:val="ListBullet"/>
      </w:pPr>
      <w:r w:rsidRPr="0011789F">
        <w:t>Local injection site reactions, which are generally mild and transient, and do not result in permanent discontinuation from CZP</w:t>
      </w:r>
    </w:p>
    <w:p w:rsidR="005F769D" w:rsidRPr="0011789F" w:rsidRDefault="005F769D" w:rsidP="0011789F">
      <w:pPr>
        <w:pStyle w:val="ListBullet"/>
      </w:pPr>
      <w:r w:rsidRPr="0011789F">
        <w:t>Increased incidence of abnormal liver function tests, in particular, raised serum transaminases.</w:t>
      </w:r>
    </w:p>
    <w:p w:rsidR="005F769D" w:rsidRPr="0011789F" w:rsidRDefault="005F769D" w:rsidP="0011789F">
      <w:pPr>
        <w:pStyle w:val="ListBullet"/>
      </w:pPr>
      <w:r w:rsidRPr="0011789F">
        <w:t>Potential increased risk of malignancy and adverse cardiovascular events requiring long-term surveillance.</w:t>
      </w:r>
    </w:p>
    <w:p w:rsidR="005F769D" w:rsidRPr="0011789F" w:rsidRDefault="005F769D" w:rsidP="00464539">
      <w:pPr>
        <w:pStyle w:val="ListBullet"/>
      </w:pPr>
      <w:r w:rsidRPr="00464539">
        <w:t>Formation</w:t>
      </w:r>
      <w:r w:rsidRPr="0011789F">
        <w:t xml:space="preserve"> of anti-CZP antibodies which results in increased plasma clearance of CZP and possible loss, or lack of efficacy.</w:t>
      </w:r>
    </w:p>
    <w:p w:rsidR="005F769D" w:rsidRPr="00BA6B85" w:rsidRDefault="005F769D" w:rsidP="00464539">
      <w:pPr>
        <w:pStyle w:val="Heading4"/>
      </w:pPr>
      <w:r w:rsidRPr="00464539">
        <w:t>Pharmacology</w:t>
      </w:r>
    </w:p>
    <w:p w:rsidR="005F769D" w:rsidRPr="00BA6B85" w:rsidRDefault="005F769D" w:rsidP="00464539">
      <w:r w:rsidRPr="00BA6B85">
        <w:t>No clinical pharmacology studies were submitted, but limited pharmacokinetic (PK) data were collected from all 4 clinical studies.</w:t>
      </w:r>
      <w:r w:rsidR="004332FB">
        <w:t xml:space="preserve"> </w:t>
      </w:r>
      <w:r w:rsidRPr="00BA6B85">
        <w:t xml:space="preserve">Trough serum samples for CZP concentration were collected at baseline; and </w:t>
      </w:r>
      <w:r w:rsidR="0024294D">
        <w:t>Week</w:t>
      </w:r>
      <w:r w:rsidRPr="00BA6B85">
        <w:t xml:space="preserve">s 2, 4, 12, 16 and 24 in Studies PsA001 and AS001. Trough concentrations of CZP were highest following the loading doses at </w:t>
      </w:r>
      <w:r w:rsidR="0024294D">
        <w:t>Week</w:t>
      </w:r>
      <w:r w:rsidRPr="00BA6B85">
        <w:t xml:space="preserve">s 1, 2 and 4 for both dose regimens of CZP, and lower at </w:t>
      </w:r>
      <w:r w:rsidR="0024294D">
        <w:t>Week</w:t>
      </w:r>
      <w:r w:rsidRPr="00BA6B85">
        <w:t>s 12, 16 and 24.</w:t>
      </w:r>
      <w:r w:rsidR="004332FB">
        <w:t xml:space="preserve"> </w:t>
      </w:r>
      <w:r w:rsidRPr="00BA6B85">
        <w:t>Trough CZP concentrations were lower in the CZP 400mg Q4W group compared to the CZP 200mg Q2W group, which is consistent with the difference in dosing interval.</w:t>
      </w:r>
      <w:r w:rsidR="004332FB">
        <w:t xml:space="preserve"> </w:t>
      </w:r>
      <w:r w:rsidRPr="00BA6B85">
        <w:t>Subjects who developed anti-CZP antibodies had significantly lower trough CZP concentrations (by approximately 70 - 80%) indicating increased plasma clearance of CZP.</w:t>
      </w:r>
      <w:r w:rsidR="004332FB">
        <w:t xml:space="preserve"> </w:t>
      </w:r>
      <w:r w:rsidRPr="00BA6B85">
        <w:t>Trough levels from the supportive studies were consistent with those seen in the pivotal studies with the same dose and dose intervals.</w:t>
      </w:r>
    </w:p>
    <w:p w:rsidR="005F769D" w:rsidRPr="00BA6B85" w:rsidRDefault="005F769D" w:rsidP="00464539">
      <w:pPr>
        <w:pStyle w:val="Heading4"/>
      </w:pPr>
      <w:r w:rsidRPr="00BA6B85">
        <w:t xml:space="preserve">Efficacy – Psoriatic </w:t>
      </w:r>
      <w:r w:rsidR="00464539" w:rsidRPr="00464539">
        <w:t>a</w:t>
      </w:r>
      <w:r w:rsidRPr="00464539">
        <w:t>rthritis</w:t>
      </w:r>
    </w:p>
    <w:p w:rsidR="00BA6B85" w:rsidRPr="002E5FE2" w:rsidRDefault="005F769D" w:rsidP="00464539">
      <w:pPr>
        <w:pStyle w:val="Heading5"/>
        <w:rPr>
          <w:rStyle w:val="Heading5Char"/>
          <w:rFonts w:eastAsia="MS Mincho"/>
          <w:b/>
          <w:bCs/>
          <w:i/>
        </w:rPr>
      </w:pPr>
      <w:bookmarkStart w:id="130" w:name="_Ref243301615"/>
      <w:bookmarkStart w:id="131" w:name="_Ref271040927"/>
      <w:bookmarkStart w:id="132" w:name="_Ref271040932"/>
      <w:bookmarkStart w:id="133" w:name="_Toc272414653"/>
      <w:bookmarkStart w:id="134" w:name="_Toc290846275"/>
      <w:r w:rsidRPr="002E5FE2">
        <w:rPr>
          <w:rStyle w:val="Heading5Char"/>
          <w:rFonts w:eastAsia="MS Mincho"/>
          <w:b/>
          <w:bCs/>
          <w:i/>
        </w:rPr>
        <w:t xml:space="preserve">Study </w:t>
      </w:r>
      <w:bookmarkEnd w:id="130"/>
      <w:bookmarkEnd w:id="131"/>
      <w:bookmarkEnd w:id="132"/>
      <w:bookmarkEnd w:id="133"/>
      <w:bookmarkEnd w:id="134"/>
      <w:r w:rsidRPr="00464539">
        <w:rPr>
          <w:rStyle w:val="Heading5Char"/>
          <w:rFonts w:eastAsia="MS Mincho"/>
          <w:b/>
          <w:bCs/>
          <w:i/>
        </w:rPr>
        <w:t>PsA001</w:t>
      </w:r>
    </w:p>
    <w:p w:rsidR="005F769D" w:rsidRPr="00BA6B85" w:rsidRDefault="005F769D" w:rsidP="00464539">
      <w:r w:rsidRPr="00BA6B85">
        <w:t xml:space="preserve">This was a randomised, double-blind, parallel-group, placebo-controlled trial to evaluate the efficacy and safety of CZP in adults with adult-onset active and progressive </w:t>
      </w:r>
      <w:proofErr w:type="spellStart"/>
      <w:r w:rsidRPr="00BA6B85">
        <w:t>PsA.</w:t>
      </w:r>
      <w:proofErr w:type="spellEnd"/>
      <w:r w:rsidR="004332FB">
        <w:t xml:space="preserve"> </w:t>
      </w:r>
      <w:r w:rsidRPr="00BA6B85">
        <w:t>It was conducted at 92 centres in North America, Latin America, Western Europe, and Central/Eastern Europe.</w:t>
      </w:r>
      <w:r w:rsidR="004332FB">
        <w:t xml:space="preserve"> </w:t>
      </w:r>
      <w:r w:rsidRPr="00BA6B85">
        <w:t xml:space="preserve">The study had 5 treatment periods: screening (up to 5 </w:t>
      </w:r>
      <w:r w:rsidR="0024294D">
        <w:t>Week</w:t>
      </w:r>
      <w:r w:rsidRPr="00BA6B85">
        <w:t>s), double-blind treatment period (</w:t>
      </w:r>
      <w:r w:rsidR="0024294D">
        <w:t>Week</w:t>
      </w:r>
      <w:r w:rsidRPr="00BA6B85">
        <w:t>s 0-24), dose-blind treatment phase (</w:t>
      </w:r>
      <w:r w:rsidR="0024294D">
        <w:t>Week</w:t>
      </w:r>
      <w:r w:rsidRPr="00BA6B85">
        <w:t>s 24-48), open-label treatment period (</w:t>
      </w:r>
      <w:r w:rsidR="0024294D">
        <w:t>Week</w:t>
      </w:r>
      <w:r w:rsidRPr="00BA6B85">
        <w:t>s 48-158), and the safety follow-up phase 10 weeks after the last dose of study medication (</w:t>
      </w:r>
      <w:r w:rsidR="0024294D">
        <w:t>Week</w:t>
      </w:r>
      <w:r w:rsidRPr="00BA6B85">
        <w:t xml:space="preserve"> 166). Only the screening and double-blind treatment period data were submitted, with the latter phases ongoing.</w:t>
      </w:r>
      <w:r w:rsidR="004332FB">
        <w:t xml:space="preserve"> </w:t>
      </w:r>
      <w:r w:rsidRPr="00BA6B85">
        <w:t xml:space="preserve">Patients were randomly allocated in a 1:1:1 ratio to: CZP 400mg Q2W at </w:t>
      </w:r>
      <w:r w:rsidR="0024294D">
        <w:t>Week</w:t>
      </w:r>
      <w:r w:rsidRPr="00BA6B85">
        <w:t xml:space="preserve">s 0, 2, and 4 followed by CZP 200mg Q2W (starting at </w:t>
      </w:r>
      <w:r w:rsidR="0024294D">
        <w:t>Week</w:t>
      </w:r>
      <w:r w:rsidRPr="00BA6B85">
        <w:t xml:space="preserve"> 6), CZP 400mg Q2W at </w:t>
      </w:r>
      <w:r w:rsidR="0024294D">
        <w:t>Week</w:t>
      </w:r>
      <w:r w:rsidRPr="00BA6B85">
        <w:t xml:space="preserve">s 0, 2, and 4 followed by CZP 400mg Q4W (starting at </w:t>
      </w:r>
      <w:r w:rsidR="0024294D">
        <w:t>Week</w:t>
      </w:r>
      <w:r w:rsidRPr="00BA6B85">
        <w:t xml:space="preserve"> 8), or placebo injections.</w:t>
      </w:r>
      <w:r w:rsidR="004332FB">
        <w:t xml:space="preserve"> </w:t>
      </w:r>
      <w:r w:rsidRPr="00BA6B85">
        <w:t xml:space="preserve">Subjects receiving placebo injections who did not achieve at least a minimal response (defined as a decrease of at least 10% in the number of tender and swollen joints) at both the </w:t>
      </w:r>
      <w:r w:rsidR="0024294D">
        <w:t>Week</w:t>
      </w:r>
      <w:r w:rsidRPr="00BA6B85">
        <w:t xml:space="preserve"> 14 and 16 visits were allocated to blinded CZP escape therapy from </w:t>
      </w:r>
      <w:r w:rsidR="0024294D">
        <w:t>Week</w:t>
      </w:r>
      <w:r w:rsidRPr="00BA6B85">
        <w:t xml:space="preserve"> 16 onwards. All of the placebo escape patients received CZP 400mg on 3 occasions (</w:t>
      </w:r>
      <w:r w:rsidR="0024294D">
        <w:t>Week</w:t>
      </w:r>
      <w:r w:rsidRPr="00BA6B85">
        <w:t xml:space="preserve">s 16, 18 and 20) followed by their ongoing CZP regimen (randomised 1:1 to receive CZP 200mg Q2W [starting at </w:t>
      </w:r>
      <w:r w:rsidR="0024294D">
        <w:t>Week</w:t>
      </w:r>
      <w:r w:rsidRPr="00BA6B85">
        <w:t xml:space="preserve"> 22] or CZP 400mg Q4W [starting at </w:t>
      </w:r>
      <w:r w:rsidR="0024294D">
        <w:t>Week</w:t>
      </w:r>
      <w:r w:rsidRPr="00BA6B85">
        <w:t xml:space="preserve"> 24]).</w:t>
      </w:r>
    </w:p>
    <w:p w:rsidR="005F769D" w:rsidRPr="00BA6B85" w:rsidRDefault="008A3BA8" w:rsidP="00464539">
      <w:r w:rsidRPr="00BA6B85">
        <w:t>Patients were</w:t>
      </w:r>
      <w:r>
        <w:t xml:space="preserve"> greater than or equal to </w:t>
      </w:r>
      <w:r w:rsidRPr="00BA6B85">
        <w:t xml:space="preserve">18 years, had adult-onset </w:t>
      </w:r>
      <w:proofErr w:type="spellStart"/>
      <w:r w:rsidRPr="00BA6B85">
        <w:t>PsA</w:t>
      </w:r>
      <w:proofErr w:type="spellEnd"/>
      <w:r w:rsidRPr="00BA6B85">
        <w:t xml:space="preserve"> </w:t>
      </w:r>
      <w:proofErr w:type="gramStart"/>
      <w:r w:rsidRPr="00BA6B85">
        <w:t xml:space="preserve">of </w:t>
      </w:r>
      <w:r>
        <w:t xml:space="preserve"> greater</w:t>
      </w:r>
      <w:proofErr w:type="gramEnd"/>
      <w:r>
        <w:t xml:space="preserve"> than or equal to </w:t>
      </w:r>
      <w:r w:rsidRPr="00BA6B85">
        <w:t xml:space="preserve"> 6 month’s duration as defined by the Classification Criteria for Psoriatic Arthritis (CASPAR), and had failed at least 1 DMARD.</w:t>
      </w:r>
      <w:r>
        <w:t xml:space="preserve"> </w:t>
      </w:r>
      <w:r w:rsidRPr="00BA6B85">
        <w:t>A stable dose of non-biological DMARD treatment (SSZ</w:t>
      </w:r>
      <w:r>
        <w:t xml:space="preserve"> &lt; </w:t>
      </w:r>
      <w:r w:rsidRPr="00BA6B85">
        <w:t>3g daily, MTX</w:t>
      </w:r>
      <w:r>
        <w:t xml:space="preserve"> &lt; </w:t>
      </w:r>
      <w:r w:rsidRPr="00BA6B85">
        <w:t>25 mg weekly, and/or LEF</w:t>
      </w:r>
      <w:r>
        <w:t xml:space="preserve"> &lt; </w:t>
      </w:r>
      <w:r w:rsidRPr="00BA6B85">
        <w:t xml:space="preserve">20 mg daily) for </w:t>
      </w:r>
      <w:r>
        <w:t xml:space="preserve">greater than or equal to </w:t>
      </w:r>
      <w:r w:rsidRPr="00BA6B85">
        <w:t>28 days prior to baseline was allowed.</w:t>
      </w:r>
      <w:r>
        <w:t xml:space="preserve"> </w:t>
      </w:r>
      <w:r w:rsidRPr="00BA6B85">
        <w:t>Subjects were also required to have either active psoriatic skin lesions or a documented history of psoriasis. To be included in the study, patients must have had active arthritis at baseline defined as</w:t>
      </w:r>
      <w:r>
        <w:t xml:space="preserve"> &gt; </w:t>
      </w:r>
      <w:r w:rsidRPr="00BA6B85">
        <w:t>3 tender and swollen joints at the screening and baseline visits; and to have fulfilled at least 1 of the following 2 serological criteria during the screening phase (ESR</w:t>
      </w:r>
      <w:r>
        <w:t xml:space="preserve"> &gt; </w:t>
      </w:r>
      <w:r w:rsidRPr="00BA6B85">
        <w:t xml:space="preserve">28 mm/hour by the </w:t>
      </w:r>
      <w:proofErr w:type="spellStart"/>
      <w:r w:rsidRPr="00BA6B85">
        <w:t>Westergren</w:t>
      </w:r>
      <w:proofErr w:type="spellEnd"/>
      <w:r w:rsidRPr="00BA6B85">
        <w:t xml:space="preserve"> method, or CRP</w:t>
      </w:r>
      <w:r>
        <w:t xml:space="preserve"> &gt; </w:t>
      </w:r>
      <w:r w:rsidRPr="00BA6B85">
        <w:t>ULN).</w:t>
      </w:r>
      <w:r>
        <w:t xml:space="preserve"> </w:t>
      </w:r>
      <w:r w:rsidRPr="00BA6B85">
        <w:t>Exclusion criteria were extensive, including other inflammatory arthritis, recent use of biologic DMARDs, oral prednisone</w:t>
      </w:r>
      <w:r>
        <w:t xml:space="preserve"> &gt; </w:t>
      </w:r>
      <w:r w:rsidRPr="00BA6B85">
        <w:t>10 mg/day, and</w:t>
      </w:r>
      <w:r>
        <w:t xml:space="preserve"> &gt; </w:t>
      </w:r>
      <w:r w:rsidRPr="00BA6B85">
        <w:t>2 previous biological response modifiers</w:t>
      </w:r>
      <w:r w:rsidR="005F769D" w:rsidRPr="00BA6B85">
        <w:t>.</w:t>
      </w:r>
    </w:p>
    <w:p w:rsidR="005F769D" w:rsidRPr="00BA6B85" w:rsidRDefault="005F769D" w:rsidP="00464539">
      <w:r w:rsidRPr="00BA6B85">
        <w:t>In total, 409 subjects were randomised and received at least 1 dose of study medication (placebo n</w:t>
      </w:r>
      <w:r w:rsidR="004332FB">
        <w:t xml:space="preserve"> = </w:t>
      </w:r>
      <w:r w:rsidRPr="00BA6B85">
        <w:t>136, CZP 200mg Q2W n</w:t>
      </w:r>
      <w:r w:rsidR="004332FB">
        <w:t xml:space="preserve"> = </w:t>
      </w:r>
      <w:r w:rsidRPr="00BA6B85">
        <w:t>138, CZP 400mg Q4W n</w:t>
      </w:r>
      <w:r w:rsidR="004332FB">
        <w:t xml:space="preserve"> = </w:t>
      </w:r>
      <w:r w:rsidRPr="00BA6B85">
        <w:t>135).</w:t>
      </w:r>
      <w:r w:rsidR="004332FB">
        <w:t xml:space="preserve"> </w:t>
      </w:r>
      <w:r w:rsidRPr="00BA6B85">
        <w:t xml:space="preserve">At </w:t>
      </w:r>
      <w:r w:rsidR="0024294D">
        <w:t>Week</w:t>
      </w:r>
      <w:r w:rsidRPr="00BA6B85">
        <w:t xml:space="preserve"> 16, 43.4% of placebo subjects did not achieve the minimal response criteria, and were re-randomised to CZP (200mg Q2W n</w:t>
      </w:r>
      <w:r w:rsidR="004332FB">
        <w:t xml:space="preserve"> = </w:t>
      </w:r>
      <w:r w:rsidRPr="00BA6B85">
        <w:t>30, 400mg Q4W n</w:t>
      </w:r>
      <w:r w:rsidR="004332FB">
        <w:t xml:space="preserve"> = </w:t>
      </w:r>
      <w:r w:rsidRPr="00BA6B85">
        <w:t>29). The majority of patients (88-92%) in each of the 3 treatment groups completed the 24-week double-blind treatment period.</w:t>
      </w:r>
    </w:p>
    <w:p w:rsidR="005F769D" w:rsidRPr="00BA6B85" w:rsidRDefault="005F769D" w:rsidP="00464539">
      <w:r w:rsidRPr="00BA6B85">
        <w:t xml:space="preserve">Treatment groups were similar at baseline based on demographics, </w:t>
      </w:r>
      <w:proofErr w:type="spellStart"/>
      <w:r w:rsidRPr="00BA6B85">
        <w:t>PsA</w:t>
      </w:r>
      <w:proofErr w:type="spellEnd"/>
      <w:r w:rsidRPr="00BA6B85">
        <w:t xml:space="preserve"> features, disease activity, and prior and concomitant medications: mean age 48 years (range: 19-75 years), 55.3% female, 98% Caucasian, mean disease duration 8.55 years, 82% HLA-B27 positive, 85% with possible axial involvement (BASDAI score </w:t>
      </w:r>
      <w:r w:rsidR="004332FB">
        <w:t xml:space="preserve"> greater than or equal to </w:t>
      </w:r>
      <w:r w:rsidRPr="00BA6B85">
        <w:t xml:space="preserve"> 4), 34% </w:t>
      </w:r>
      <w:proofErr w:type="spellStart"/>
      <w:r w:rsidRPr="00BA6B85">
        <w:t>dactylitis</w:t>
      </w:r>
      <w:proofErr w:type="spellEnd"/>
      <w:r w:rsidRPr="00BA6B85">
        <w:t>, mean tender joint count 20.3, mean swollen joint count 10.7, mean CRP 15.9 mg/L, and mean ESR 40.6 mm/hr.</w:t>
      </w:r>
      <w:r w:rsidR="004332FB">
        <w:t xml:space="preserve"> </w:t>
      </w:r>
      <w:r w:rsidRPr="00BA6B85">
        <w:t xml:space="preserve">Almost 20% had received previous anti-TNF drugs, 51% </w:t>
      </w:r>
      <w:r w:rsidR="004332FB">
        <w:t xml:space="preserve"> greater than or equal to </w:t>
      </w:r>
      <w:r w:rsidRPr="00BA6B85">
        <w:t xml:space="preserve"> 1 DMARD (MTX 68%, SSZ 25%).</w:t>
      </w:r>
    </w:p>
    <w:p w:rsidR="005F769D" w:rsidRPr="00BA6B85" w:rsidRDefault="00BA6B85" w:rsidP="00BA6B85">
      <w:r w:rsidRPr="00BA6B85">
        <w:t>T</w:t>
      </w:r>
      <w:r w:rsidR="005F769D" w:rsidRPr="00BA6B85">
        <w:t xml:space="preserve">here were 2 primary efficacy outcomes: ACR 20 response rate at </w:t>
      </w:r>
      <w:r w:rsidR="0024294D">
        <w:t>Week</w:t>
      </w:r>
      <w:r w:rsidR="005F769D" w:rsidRPr="00BA6B85">
        <w:t xml:space="preserve"> 12, and the mean change from baseline to </w:t>
      </w:r>
      <w:r w:rsidR="0024294D">
        <w:t>Week</w:t>
      </w:r>
      <w:r w:rsidR="005F769D" w:rsidRPr="00BA6B85">
        <w:t xml:space="preserve"> 24 in the modified Total Sharp Score (</w:t>
      </w:r>
      <w:proofErr w:type="spellStart"/>
      <w:r w:rsidR="005F769D" w:rsidRPr="00BA6B85">
        <w:t>mTSS</w:t>
      </w:r>
      <w:proofErr w:type="spellEnd"/>
      <w:r w:rsidR="005F769D" w:rsidRPr="00BA6B85">
        <w:t>, quantifies bone erosions and joint space narrowing on x-ray).</w:t>
      </w:r>
      <w:r w:rsidR="004332FB">
        <w:t xml:space="preserve"> </w:t>
      </w:r>
      <w:r w:rsidR="005F769D" w:rsidRPr="00BA6B85">
        <w:t>Radiographs were read centrally and independently by 2 experienced readers who were blind to treatment assignment and time course of the films.</w:t>
      </w:r>
    </w:p>
    <w:p w:rsidR="005F769D" w:rsidRPr="00BA6B85" w:rsidRDefault="005F769D" w:rsidP="00464539">
      <w:r w:rsidRPr="00BA6B85">
        <w:t xml:space="preserve">A total of 56 subjects (13.7%) had missing x-rays from 1 or more visits: 35 subjects were missing 1, 17 subjects were missing 2, and 4 subjects were missing all 3 x-rays (total of 81 missing x-rays: 10 from baseline, 27 from </w:t>
      </w:r>
      <w:r w:rsidR="0024294D">
        <w:t>Week</w:t>
      </w:r>
      <w:r w:rsidRPr="00BA6B85">
        <w:t xml:space="preserve"> 12, and 44 from </w:t>
      </w:r>
      <w:r w:rsidR="0024294D">
        <w:t>Week</w:t>
      </w:r>
      <w:r w:rsidRPr="00BA6B85">
        <w:t xml:space="preserve"> 24).</w:t>
      </w:r>
      <w:r w:rsidR="004332FB">
        <w:t xml:space="preserve"> </w:t>
      </w:r>
      <w:r w:rsidRPr="00BA6B85">
        <w:t>There was also an unequal distribution of subjects with no or only 1 radiograph across treatment groups, with</w:t>
      </w:r>
      <w:r w:rsidR="004332FB">
        <w:t xml:space="preserve"> &gt; </w:t>
      </w:r>
      <w:r w:rsidRPr="00BA6B85">
        <w:t>50% of the placebo group missing x-ray values).</w:t>
      </w:r>
      <w:r w:rsidR="004332FB">
        <w:t xml:space="preserve"> </w:t>
      </w:r>
      <w:r w:rsidRPr="00BA6B85">
        <w:t xml:space="preserve">The </w:t>
      </w:r>
      <w:proofErr w:type="spellStart"/>
      <w:r w:rsidRPr="00BA6B85">
        <w:t>mTSS</w:t>
      </w:r>
      <w:proofErr w:type="spellEnd"/>
      <w:r w:rsidRPr="00BA6B85">
        <w:t xml:space="preserve"> protocol-defined imputation rules for patients with missing x-ray data were as follows:</w:t>
      </w:r>
    </w:p>
    <w:p w:rsidR="005F769D" w:rsidRPr="005F769D" w:rsidRDefault="005F769D" w:rsidP="00464539">
      <w:pPr>
        <w:pStyle w:val="ListBullet"/>
        <w:rPr>
          <w:lang w:eastAsia="en-AU"/>
        </w:rPr>
      </w:pPr>
      <w:r w:rsidRPr="005F769D">
        <w:rPr>
          <w:lang w:eastAsia="en-AU"/>
        </w:rPr>
        <w:t xml:space="preserve">For subjects with </w:t>
      </w:r>
      <w:r w:rsidR="00780621">
        <w:rPr>
          <w:lang w:eastAsia="en-AU"/>
        </w:rPr>
        <w:t>less than or equal to</w:t>
      </w:r>
      <w:r w:rsidRPr="005F769D">
        <w:rPr>
          <w:lang w:eastAsia="en-AU"/>
        </w:rPr>
        <w:t xml:space="preserve">1 available radiograph, missing </w:t>
      </w:r>
      <w:proofErr w:type="spellStart"/>
      <w:r w:rsidRPr="005F769D">
        <w:rPr>
          <w:lang w:eastAsia="en-AU"/>
        </w:rPr>
        <w:t>mTSS</w:t>
      </w:r>
      <w:proofErr w:type="spellEnd"/>
      <w:r w:rsidRPr="005F769D">
        <w:rPr>
          <w:lang w:eastAsia="en-AU"/>
        </w:rPr>
        <w:t xml:space="preserve"> Baseline data were set to the lowest Baseline value observed in the entire population randomised into the study; in this case 0.</w:t>
      </w:r>
    </w:p>
    <w:p w:rsidR="005F769D" w:rsidRPr="005F769D" w:rsidRDefault="005F769D" w:rsidP="00464539">
      <w:pPr>
        <w:pStyle w:val="ListBullet"/>
        <w:rPr>
          <w:lang w:eastAsia="en-AU"/>
        </w:rPr>
      </w:pPr>
      <w:r w:rsidRPr="005F769D">
        <w:rPr>
          <w:lang w:eastAsia="en-AU"/>
        </w:rPr>
        <w:t xml:space="preserve">For subjects with </w:t>
      </w:r>
      <w:r w:rsidR="00780621">
        <w:rPr>
          <w:lang w:eastAsia="en-AU"/>
        </w:rPr>
        <w:t>less than or equal to</w:t>
      </w:r>
      <w:r w:rsidRPr="005F769D">
        <w:rPr>
          <w:lang w:eastAsia="en-AU"/>
        </w:rPr>
        <w:t xml:space="preserve">1 available radiograph, missing </w:t>
      </w:r>
      <w:proofErr w:type="spellStart"/>
      <w:r w:rsidRPr="005F769D">
        <w:rPr>
          <w:lang w:eastAsia="en-AU"/>
        </w:rPr>
        <w:t>mTSS</w:t>
      </w:r>
      <w:proofErr w:type="spellEnd"/>
      <w:r w:rsidRPr="005F769D">
        <w:rPr>
          <w:lang w:eastAsia="en-AU"/>
        </w:rPr>
        <w:t xml:space="preserve"> Week 24 data were set to the highest Week 24 value observed in the entire population randomised </w:t>
      </w:r>
      <w:r w:rsidRPr="00464539">
        <w:t>into</w:t>
      </w:r>
      <w:r w:rsidRPr="005F769D">
        <w:rPr>
          <w:lang w:eastAsia="en-AU"/>
        </w:rPr>
        <w:t xml:space="preserve"> the study; in this case 356.5.</w:t>
      </w:r>
    </w:p>
    <w:p w:rsidR="005F769D" w:rsidRPr="005F769D" w:rsidRDefault="005F769D" w:rsidP="00464539">
      <w:pPr>
        <w:pStyle w:val="ListBullet"/>
        <w:rPr>
          <w:rFonts w:eastAsia="MS Mincho"/>
          <w:lang w:eastAsia="ja-JP"/>
        </w:rPr>
      </w:pPr>
      <w:r w:rsidRPr="005F769D">
        <w:rPr>
          <w:lang w:eastAsia="en-AU"/>
        </w:rPr>
        <w:t xml:space="preserve">There was no definition of a minimum </w:t>
      </w:r>
      <w:r w:rsidRPr="00464539">
        <w:t>time</w:t>
      </w:r>
      <w:r w:rsidRPr="005F769D">
        <w:rPr>
          <w:lang w:eastAsia="en-AU"/>
        </w:rPr>
        <w:t xml:space="preserve"> interval between 2 radiographic measurements in order to perform linear interpolation or extrapolation since the planned radiographs were scheduled 12 weeks apart.</w:t>
      </w:r>
    </w:p>
    <w:p w:rsidR="005F769D" w:rsidRPr="00BA6B85" w:rsidRDefault="005F769D" w:rsidP="00BA6B85">
      <w:r w:rsidRPr="00BA6B85">
        <w:t>These rules led to physiologically implausible (high) results that were not statistically significant, so post-hoc analyses were performed using the following imputation rules:</w:t>
      </w:r>
    </w:p>
    <w:p w:rsidR="005F769D" w:rsidRPr="005F769D" w:rsidRDefault="005F769D" w:rsidP="00464539">
      <w:pPr>
        <w:pStyle w:val="ListBullet"/>
        <w:rPr>
          <w:lang w:eastAsia="en-AU"/>
        </w:rPr>
      </w:pPr>
      <w:r w:rsidRPr="005F769D">
        <w:rPr>
          <w:lang w:eastAsia="en-AU"/>
        </w:rPr>
        <w:t xml:space="preserve">Missing </w:t>
      </w:r>
      <w:proofErr w:type="spellStart"/>
      <w:r w:rsidRPr="005F769D">
        <w:rPr>
          <w:lang w:eastAsia="en-AU"/>
        </w:rPr>
        <w:t>mTSS</w:t>
      </w:r>
      <w:proofErr w:type="spellEnd"/>
      <w:r w:rsidRPr="005F769D">
        <w:rPr>
          <w:lang w:eastAsia="en-AU"/>
        </w:rPr>
        <w:t xml:space="preserve"> values were imputed by using median change from Baseline in the entire </w:t>
      </w:r>
      <w:r w:rsidRPr="00464539">
        <w:t>study</w:t>
      </w:r>
      <w:r w:rsidRPr="005F769D">
        <w:rPr>
          <w:lang w:eastAsia="en-AU"/>
        </w:rPr>
        <w:t xml:space="preserve"> population (in this case 0).</w:t>
      </w:r>
    </w:p>
    <w:p w:rsidR="005F769D" w:rsidRPr="005F769D" w:rsidRDefault="005F769D" w:rsidP="00464539">
      <w:pPr>
        <w:pStyle w:val="ListBullet"/>
        <w:rPr>
          <w:lang w:eastAsia="en-AU"/>
        </w:rPr>
      </w:pPr>
      <w:r w:rsidRPr="005F769D">
        <w:rPr>
          <w:lang w:eastAsia="en-AU"/>
        </w:rPr>
        <w:t xml:space="preserve">A minimum time interval of 8 weeks between radiographs was defined to perform a meaningful linear </w:t>
      </w:r>
      <w:r w:rsidRPr="00464539">
        <w:t>interpolation</w:t>
      </w:r>
      <w:r w:rsidRPr="005F769D">
        <w:rPr>
          <w:lang w:eastAsia="en-AU"/>
        </w:rPr>
        <w:t xml:space="preserve"> or extrapolation. If the radiographs were less than 8 weeks apart, the second radiograph was considered missing, and the above imputation rule was utilised for subjects with 1 remaining radiograph.</w:t>
      </w:r>
    </w:p>
    <w:p w:rsidR="005F769D" w:rsidRPr="00BA6B85" w:rsidRDefault="005F769D" w:rsidP="00464539">
      <w:r w:rsidRPr="00BA6B85">
        <w:t xml:space="preserve">Based on the ACR 20 responder rates at </w:t>
      </w:r>
      <w:r w:rsidR="0024294D">
        <w:t>Week</w:t>
      </w:r>
      <w:r w:rsidRPr="00BA6B85">
        <w:t xml:space="preserve"> 12, both CZP dose regimens were superior to placebo (58.0% for CZP 200mg Q2W, 51.9% for CZP 400mg Q4W </w:t>
      </w:r>
      <w:r w:rsidR="00BA6B85">
        <w:t>versus</w:t>
      </w:r>
      <w:r w:rsidRPr="00BA6B85">
        <w:t xml:space="preserve"> 24.3% for placebo, p</w:t>
      </w:r>
      <w:r w:rsidR="004332FB">
        <w:t xml:space="preserve"> &lt; </w:t>
      </w:r>
      <w:r w:rsidRPr="00BA6B85">
        <w:t>0.001 for each placebo comparison).</w:t>
      </w:r>
      <w:r w:rsidR="004332FB">
        <w:t xml:space="preserve"> </w:t>
      </w:r>
      <w:r w:rsidRPr="00BA6B85">
        <w:t xml:space="preserve">Only two of the subgroup analyses showed a difference in ACR 20 response rate at </w:t>
      </w:r>
      <w:r w:rsidR="0024294D">
        <w:t>Week</w:t>
      </w:r>
      <w:r w:rsidRPr="00BA6B85">
        <w:t xml:space="preserve"> 12: patients from Latin America had a smaller treatment difference between CZP and placebo, largely due to a much larger placebo response rate (63.2% compared with 13 – 27% elsewhere), and males had a higher response than females (65.1% </w:t>
      </w:r>
      <w:r w:rsidR="00BA6B85">
        <w:t>versus</w:t>
      </w:r>
      <w:r w:rsidRPr="00BA6B85">
        <w:t xml:space="preserve"> 46.3%).</w:t>
      </w:r>
    </w:p>
    <w:p w:rsidR="005F769D" w:rsidRPr="005F769D" w:rsidRDefault="00BA6B85" w:rsidP="00464539">
      <w:pPr>
        <w:pStyle w:val="TableTitle"/>
        <w:rPr>
          <w:rFonts w:eastAsia="MS Mincho"/>
          <w:lang w:eastAsia="ja-JP"/>
        </w:rPr>
      </w:pPr>
      <w:proofErr w:type="gramStart"/>
      <w:r>
        <w:rPr>
          <w:lang w:eastAsia="en-AU"/>
        </w:rPr>
        <w:t>Table 3.</w:t>
      </w:r>
      <w:proofErr w:type="gramEnd"/>
      <w:r>
        <w:rPr>
          <w:lang w:eastAsia="en-AU"/>
        </w:rPr>
        <w:t xml:space="preserve"> </w:t>
      </w:r>
      <w:r w:rsidR="005F769D" w:rsidRPr="005F769D">
        <w:rPr>
          <w:lang w:eastAsia="en-AU"/>
        </w:rPr>
        <w:t>ACR20 responders at Week 12 (Randomised Set, with imputation)</w:t>
      </w:r>
    </w:p>
    <w:p w:rsidR="005F769D" w:rsidRPr="005F769D" w:rsidRDefault="005F769D" w:rsidP="00464539">
      <w:pPr>
        <w:rPr>
          <w:lang w:eastAsia="ja-JP"/>
        </w:rPr>
      </w:pPr>
      <w:r w:rsidRPr="005F769D">
        <w:rPr>
          <w:noProof/>
          <w:lang w:eastAsia="en-AU"/>
        </w:rPr>
        <w:drawing>
          <wp:inline distT="0" distB="0" distL="0" distR="0" wp14:anchorId="43597045" wp14:editId="5934D31E">
            <wp:extent cx="5400675" cy="1762125"/>
            <wp:effectExtent l="0" t="0" r="9525" b="9525"/>
            <wp:docPr id="3" name="Picture 2" descr="ACR20 responders at Week 12 (Randomised Set, with imputation)" title="Table 3. ACR20 responders at Week 12 (Randomised Set, with impu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5400675" cy="1762125"/>
                    </a:xfrm>
                    <a:prstGeom prst="rect">
                      <a:avLst/>
                    </a:prstGeom>
                    <a:noFill/>
                    <a:ln w="9525">
                      <a:noFill/>
                      <a:miter lim="800000"/>
                      <a:headEnd/>
                      <a:tailEnd/>
                    </a:ln>
                  </pic:spPr>
                </pic:pic>
              </a:graphicData>
            </a:graphic>
          </wp:inline>
        </w:drawing>
      </w:r>
    </w:p>
    <w:p w:rsidR="005F769D" w:rsidRPr="00BA6B85" w:rsidRDefault="005F769D" w:rsidP="00464539">
      <w:r w:rsidRPr="00BA6B85">
        <w:t xml:space="preserve">Based on the </w:t>
      </w:r>
      <w:proofErr w:type="spellStart"/>
      <w:r w:rsidRPr="00BA6B85">
        <w:t>mTSS</w:t>
      </w:r>
      <w:proofErr w:type="spellEnd"/>
      <w:r w:rsidRPr="00BA6B85">
        <w:t xml:space="preserve"> at </w:t>
      </w:r>
      <w:r w:rsidR="0024294D">
        <w:t>Week</w:t>
      </w:r>
      <w:r w:rsidRPr="00BA6B85">
        <w:t xml:space="preserve"> 24 (using post-hoc imputation rules), the CZP 200mg Q2W and combined CZP dose groups showed less progression of x-ray changes compared with placebo (0.01 for CZP 200mg Q2W, 0.06 for combined CZP group, and 0.28 for placebo).</w:t>
      </w:r>
      <w:r w:rsidR="004332FB">
        <w:t xml:space="preserve"> </w:t>
      </w:r>
      <w:r w:rsidRPr="00BA6B85">
        <w:t xml:space="preserve">While the mean change in </w:t>
      </w:r>
      <w:proofErr w:type="spellStart"/>
      <w:r w:rsidRPr="00BA6B85">
        <w:t>mTSS</w:t>
      </w:r>
      <w:proofErr w:type="spellEnd"/>
      <w:r w:rsidRPr="00BA6B85">
        <w:t xml:space="preserve"> was also lower for the CZP 400mg Q4W group (0.11), the difference between CZP 400mg Q4W and placebo was not statistically significant.</w:t>
      </w:r>
      <w:r w:rsidR="004332FB">
        <w:t xml:space="preserve"> </w:t>
      </w:r>
      <w:r w:rsidRPr="00BA6B85">
        <w:t xml:space="preserve">These results were supported by multiple post-hoc sensitivity analyses, and were consistent with published studies in </w:t>
      </w:r>
      <w:proofErr w:type="spellStart"/>
      <w:r w:rsidRPr="00BA6B85">
        <w:t>PsA</w:t>
      </w:r>
      <w:proofErr w:type="spellEnd"/>
      <w:r w:rsidRPr="00BA6B85">
        <w:t xml:space="preserve"> with other anti-TNF treatments.</w:t>
      </w:r>
      <w:r w:rsidR="004332FB">
        <w:t xml:space="preserve"> </w:t>
      </w:r>
      <w:r w:rsidRPr="00BA6B85">
        <w:t>In subgroup analyses, subjects who were older (</w:t>
      </w:r>
      <w:r w:rsidR="004332FB">
        <w:rPr>
          <w:rFonts w:hint="eastAsia"/>
        </w:rPr>
        <w:t xml:space="preserve">greater than or equal to </w:t>
      </w:r>
      <w:r w:rsidRPr="00BA6B85">
        <w:t>45 years), male, or used fewer synthetic DMARDs previously (0 or 1) had greater mean differences to placebo (</w:t>
      </w:r>
      <w:r w:rsidR="004332FB">
        <w:t>that is</w:t>
      </w:r>
      <w:r w:rsidRPr="00BA6B85">
        <w:t>, less progression of radiographic changes).</w:t>
      </w:r>
    </w:p>
    <w:p w:rsidR="005F769D" w:rsidRPr="005F769D" w:rsidRDefault="00BA6B85" w:rsidP="00464539">
      <w:pPr>
        <w:pStyle w:val="TableTitle"/>
        <w:rPr>
          <w:lang w:eastAsia="en-AU"/>
        </w:rPr>
      </w:pPr>
      <w:proofErr w:type="gramStart"/>
      <w:r>
        <w:rPr>
          <w:lang w:eastAsia="en-AU"/>
        </w:rPr>
        <w:t>Table 4.</w:t>
      </w:r>
      <w:proofErr w:type="gramEnd"/>
      <w:r>
        <w:rPr>
          <w:lang w:eastAsia="en-AU"/>
        </w:rPr>
        <w:t xml:space="preserve"> </w:t>
      </w:r>
      <w:r w:rsidR="005F769D" w:rsidRPr="005F769D">
        <w:rPr>
          <w:lang w:eastAsia="en-AU"/>
        </w:rPr>
        <w:t xml:space="preserve">Change from Baseline in </w:t>
      </w:r>
      <w:proofErr w:type="spellStart"/>
      <w:r w:rsidR="005F769D" w:rsidRPr="005F769D">
        <w:rPr>
          <w:lang w:eastAsia="en-AU"/>
        </w:rPr>
        <w:t>mTSS</w:t>
      </w:r>
      <w:proofErr w:type="spellEnd"/>
      <w:r w:rsidR="005F769D" w:rsidRPr="005F769D">
        <w:rPr>
          <w:lang w:eastAsia="en-AU"/>
        </w:rPr>
        <w:t xml:space="preserve"> at Week 24 with the post-hoc imputation of median change from </w:t>
      </w:r>
      <w:r w:rsidR="005F769D" w:rsidRPr="00464539">
        <w:t>Baseline</w:t>
      </w:r>
      <w:r w:rsidR="005F769D" w:rsidRPr="005F769D">
        <w:rPr>
          <w:lang w:eastAsia="en-AU"/>
        </w:rPr>
        <w:t xml:space="preserve"> in the entire PsA001 study population and a specified minimum of 8 weeks between radiographs (RS, with imputation)</w:t>
      </w:r>
    </w:p>
    <w:p w:rsidR="005F769D" w:rsidRPr="005F769D" w:rsidRDefault="005F769D" w:rsidP="00464539">
      <w:pPr>
        <w:rPr>
          <w:lang w:eastAsia="ja-JP"/>
        </w:rPr>
      </w:pPr>
      <w:r w:rsidRPr="005F769D">
        <w:rPr>
          <w:noProof/>
          <w:lang w:eastAsia="en-AU"/>
        </w:rPr>
        <w:drawing>
          <wp:inline distT="0" distB="0" distL="0" distR="0" wp14:anchorId="5A940DBF" wp14:editId="7CE04F25">
            <wp:extent cx="5400675" cy="2324100"/>
            <wp:effectExtent l="0" t="0" r="9525" b="0"/>
            <wp:docPr id="5" name="Picture 3" descr="Change from Baseline in mTSS at Week 24 with the post-hoc imputation of median change from Baseline in the entire PsA001 study population and a specified minimum of 8 weeks between radiographs (RS, with imputation)" title="Table 4. Change from Baseline in mTSS at Week 24 with the post-hoc imputation of median change from Baseline in the entire PsA001 study population and a specified minimum of 8 weeks between radiographs (RS, with impu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5400675" cy="2324100"/>
                    </a:xfrm>
                    <a:prstGeom prst="rect">
                      <a:avLst/>
                    </a:prstGeom>
                    <a:noFill/>
                    <a:ln w="9525">
                      <a:noFill/>
                      <a:miter lim="800000"/>
                      <a:headEnd/>
                      <a:tailEnd/>
                    </a:ln>
                  </pic:spPr>
                </pic:pic>
              </a:graphicData>
            </a:graphic>
          </wp:inline>
        </w:drawing>
      </w:r>
    </w:p>
    <w:p w:rsidR="005F769D" w:rsidRPr="00BA6B85" w:rsidRDefault="005F769D" w:rsidP="00464539">
      <w:bookmarkStart w:id="135" w:name="_Toc290846276"/>
      <w:bookmarkStart w:id="136" w:name="_Toc358817151"/>
      <w:r w:rsidRPr="00BA6B85">
        <w:t xml:space="preserve">In response to a question, the sponsor provided radiographic data up to </w:t>
      </w:r>
      <w:r w:rsidR="0024294D">
        <w:t>Week</w:t>
      </w:r>
      <w:r w:rsidRPr="00BA6B85">
        <w:t xml:space="preserve"> 48 in Study PsA001.</w:t>
      </w:r>
      <w:r w:rsidR="004332FB">
        <w:t xml:space="preserve"> </w:t>
      </w:r>
      <w:r w:rsidRPr="00BA6B85">
        <w:t xml:space="preserve">For each CZP dose group compared with placebo, the mean change in </w:t>
      </w:r>
      <w:proofErr w:type="spellStart"/>
      <w:r w:rsidRPr="00BA6B85">
        <w:t>mTSS</w:t>
      </w:r>
      <w:proofErr w:type="spellEnd"/>
      <w:r w:rsidRPr="00BA6B85">
        <w:t xml:space="preserve"> did not reach statistical significance.</w:t>
      </w:r>
      <w:r w:rsidR="004332FB">
        <w:t xml:space="preserve"> </w:t>
      </w:r>
      <w:r w:rsidRPr="00BA6B85">
        <w:t>It should be noted, however, that all subjects received active treatment (either CZP 200mg Q2W or 400mg Q4W) after the Week 24 time point and therefore, data in placebo subjects at Week 48 are extrapolated.</w:t>
      </w:r>
    </w:p>
    <w:p w:rsidR="005F769D" w:rsidRPr="005F769D" w:rsidRDefault="00BA6B85" w:rsidP="00464539">
      <w:pPr>
        <w:pStyle w:val="TableTitle"/>
        <w:rPr>
          <w:rFonts w:eastAsia="MS Mincho"/>
          <w:lang w:eastAsia="ja-JP"/>
        </w:rPr>
      </w:pPr>
      <w:proofErr w:type="gramStart"/>
      <w:r>
        <w:rPr>
          <w:lang w:eastAsia="en-AU"/>
        </w:rPr>
        <w:t>Table 5.</w:t>
      </w:r>
      <w:proofErr w:type="gramEnd"/>
      <w:r>
        <w:rPr>
          <w:lang w:eastAsia="en-AU"/>
        </w:rPr>
        <w:t xml:space="preserve"> </w:t>
      </w:r>
      <w:r w:rsidR="005F769D" w:rsidRPr="005F769D">
        <w:rPr>
          <w:lang w:eastAsia="en-AU"/>
        </w:rPr>
        <w:t xml:space="preserve">Change from Baseline in </w:t>
      </w:r>
      <w:proofErr w:type="spellStart"/>
      <w:r w:rsidR="005F769D" w:rsidRPr="005F769D">
        <w:rPr>
          <w:lang w:eastAsia="en-AU"/>
        </w:rPr>
        <w:t>mTSS</w:t>
      </w:r>
      <w:proofErr w:type="spellEnd"/>
      <w:r w:rsidR="005F769D" w:rsidRPr="005F769D">
        <w:rPr>
          <w:lang w:eastAsia="en-AU"/>
        </w:rPr>
        <w:t xml:space="preserve"> at Week 48 with the post-hoc imputation of median change from Baseline in the entire PsA001 study population and a specified minimum of 8 weeks between radiographs (</w:t>
      </w:r>
      <w:r w:rsidR="005F769D" w:rsidRPr="00464539">
        <w:t>RS</w:t>
      </w:r>
      <w:r w:rsidR="005F769D" w:rsidRPr="005F769D">
        <w:rPr>
          <w:lang w:eastAsia="en-AU"/>
        </w:rPr>
        <w:t>, with imputation)</w:t>
      </w:r>
    </w:p>
    <w:p w:rsidR="005F769D" w:rsidRPr="005F769D" w:rsidRDefault="005F769D" w:rsidP="00464539">
      <w:pPr>
        <w:rPr>
          <w:lang w:eastAsia="ja-JP"/>
        </w:rPr>
      </w:pPr>
      <w:r w:rsidRPr="005F769D">
        <w:rPr>
          <w:noProof/>
          <w:lang w:eastAsia="en-AU"/>
        </w:rPr>
        <w:drawing>
          <wp:inline distT="0" distB="0" distL="0" distR="0" wp14:anchorId="44493AD3" wp14:editId="48627835">
            <wp:extent cx="5400675" cy="2085975"/>
            <wp:effectExtent l="0" t="0" r="9525" b="9525"/>
            <wp:docPr id="6" name="Picture 4" descr="Change from Baseline in mTSS at Week 48 with the post-hoc imputation of median change from Baseline in the entire PsA001 study population and a specified minimum of 8 weeks between radiographs (RS, with imputation)" title="Table 5. Change from Baseline in mTSS at Week 48 with the post-hoc imputation of median change from Baseline in the entire PsA001 study population and a specified minimum of 8 weeks between radiographs (RS, with impu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5400675" cy="2085975"/>
                    </a:xfrm>
                    <a:prstGeom prst="rect">
                      <a:avLst/>
                    </a:prstGeom>
                    <a:noFill/>
                    <a:ln w="9525">
                      <a:noFill/>
                      <a:miter lim="800000"/>
                      <a:headEnd/>
                      <a:tailEnd/>
                    </a:ln>
                  </pic:spPr>
                </pic:pic>
              </a:graphicData>
            </a:graphic>
          </wp:inline>
        </w:drawing>
      </w:r>
    </w:p>
    <w:p w:rsidR="005F769D" w:rsidRPr="00BA6B85" w:rsidRDefault="005F769D" w:rsidP="00464539">
      <w:r w:rsidRPr="00BA6B85">
        <w:t xml:space="preserve">The key secondary efficacy variables (ACR20 response rate, mean change from baseline in HAQ-DI, and PASI 75 response rate at Week 24) were all supportive of the efficacy of both dose regimens of </w:t>
      </w:r>
      <w:proofErr w:type="spellStart"/>
      <w:r w:rsidRPr="00BA6B85">
        <w:t>cert</w:t>
      </w:r>
      <w:r w:rsidR="004332FB">
        <w:t>olizumab</w:t>
      </w:r>
      <w:proofErr w:type="spellEnd"/>
      <w:r w:rsidR="004332FB">
        <w:t xml:space="preserve"> compared with placebo</w:t>
      </w:r>
      <w:r w:rsidRPr="00BA6B85">
        <w:t>.</w:t>
      </w:r>
      <w:r w:rsidR="004332FB">
        <w:t xml:space="preserve"> </w:t>
      </w:r>
      <w:r w:rsidRPr="00BA6B85">
        <w:t xml:space="preserve">Other efficacy variables (including LEI, </w:t>
      </w:r>
      <w:proofErr w:type="spellStart"/>
      <w:r w:rsidRPr="00BA6B85">
        <w:t>PsARC</w:t>
      </w:r>
      <w:proofErr w:type="spellEnd"/>
      <w:r w:rsidRPr="00BA6B85">
        <w:t xml:space="preserve">, DAS28[CRP], BASDAI, erosion score, </w:t>
      </w:r>
      <w:proofErr w:type="spellStart"/>
      <w:r w:rsidRPr="00BA6B85">
        <w:t>PsAQoL</w:t>
      </w:r>
      <w:proofErr w:type="spellEnd"/>
      <w:r w:rsidRPr="00BA6B85">
        <w:t xml:space="preserve">, SF-36 PCS, </w:t>
      </w:r>
      <w:proofErr w:type="spellStart"/>
      <w:r w:rsidRPr="00BA6B85">
        <w:t>PtAAP</w:t>
      </w:r>
      <w:proofErr w:type="spellEnd"/>
      <w:r w:rsidRPr="00BA6B85">
        <w:t xml:space="preserve">, FASCA, EQ-5D, PASI) provided further supportive evidence of efficacy with </w:t>
      </w:r>
      <w:proofErr w:type="spellStart"/>
      <w:r w:rsidRPr="00BA6B85">
        <w:t>certolizumab</w:t>
      </w:r>
      <w:proofErr w:type="spellEnd"/>
      <w:r w:rsidRPr="00BA6B85">
        <w:t>.</w:t>
      </w:r>
    </w:p>
    <w:p w:rsidR="004332FB" w:rsidRDefault="00BA6B85" w:rsidP="00464539">
      <w:pPr>
        <w:pStyle w:val="Heading5"/>
        <w:rPr>
          <w:rFonts w:eastAsia="MS Mincho"/>
          <w:lang w:eastAsia="ja-JP"/>
        </w:rPr>
      </w:pPr>
      <w:r>
        <w:rPr>
          <w:rFonts w:eastAsia="MS Mincho"/>
          <w:lang w:eastAsia="ja-JP"/>
        </w:rPr>
        <w:t>S</w:t>
      </w:r>
      <w:r w:rsidR="005F769D" w:rsidRPr="005F769D">
        <w:rPr>
          <w:rFonts w:eastAsia="MS Mincho"/>
          <w:lang w:eastAsia="ja-JP"/>
        </w:rPr>
        <w:t xml:space="preserve">tudy </w:t>
      </w:r>
      <w:bookmarkEnd w:id="135"/>
      <w:bookmarkEnd w:id="136"/>
      <w:r w:rsidR="004332FB" w:rsidRPr="00464539">
        <w:rPr>
          <w:rFonts w:eastAsia="MS Mincho"/>
        </w:rPr>
        <w:t>C87040</w:t>
      </w:r>
      <w:r w:rsidR="004332FB">
        <w:rPr>
          <w:rFonts w:eastAsia="MS Mincho"/>
          <w:lang w:eastAsia="ja-JP"/>
        </w:rPr>
        <w:t xml:space="preserve"> and C87044</w:t>
      </w:r>
    </w:p>
    <w:p w:rsidR="005F769D" w:rsidRPr="00445828" w:rsidRDefault="005F769D" w:rsidP="00464539">
      <w:r w:rsidRPr="00445828">
        <w:t xml:space="preserve">Study C87040 was </w:t>
      </w:r>
      <w:r w:rsidR="004332FB" w:rsidRPr="00445828">
        <w:t>a Phase II</w:t>
      </w:r>
      <w:r w:rsidRPr="00445828">
        <w:t xml:space="preserve"> randomised, double-blind, parallel-group, placebo-controlled trial which evaluated the efficacy and safety of 10 weeks of CZP in adults patients with moderate to severe chronic plaque psoriasis who were candidates for systemic treatment </w:t>
      </w:r>
      <w:proofErr w:type="gramStart"/>
      <w:r w:rsidRPr="00445828">
        <w:t>and/or</w:t>
      </w:r>
      <w:proofErr w:type="gramEnd"/>
      <w:r w:rsidRPr="00445828">
        <w:t xml:space="preserve"> phototherapy.</w:t>
      </w:r>
      <w:r w:rsidR="004332FB" w:rsidRPr="00445828">
        <w:t xml:space="preserve"> </w:t>
      </w:r>
      <w:r w:rsidRPr="00445828">
        <w:t>Study C87044 was a follow-up trial to Study C87040, whereby patients who had responded to treatment in Study C87040 (achieved at least a PASI 75 response), and who subsequently relapsed (a</w:t>
      </w:r>
      <w:r w:rsidR="004332FB" w:rsidRPr="00445828">
        <w:t xml:space="preserve"> &gt; </w:t>
      </w:r>
      <w:r w:rsidRPr="00445828">
        <w:t>50% reduction in maximum improvement in PASI from baseline) within 24 weeks could receive the same therapy for an additional 12 weeks.</w:t>
      </w:r>
      <w:r w:rsidR="004332FB" w:rsidRPr="00445828">
        <w:t xml:space="preserve"> </w:t>
      </w:r>
      <w:r w:rsidRPr="00445828">
        <w:t>Patients received either placebo, CZP 200mg Q2W, or CZP 400mg Q2W (all CZP subjects received an initial 400mg dose of CZP).</w:t>
      </w:r>
    </w:p>
    <w:p w:rsidR="005F769D" w:rsidRPr="00445828" w:rsidRDefault="005F769D" w:rsidP="00464539">
      <w:r w:rsidRPr="00445828">
        <w:t xml:space="preserve">The 2 main efficacy outcomes in Study C87040 were the proportion of patients achieving at least a 75% decrease from baseline in PASI score at </w:t>
      </w:r>
      <w:r w:rsidR="0024294D" w:rsidRPr="00445828">
        <w:t>Week</w:t>
      </w:r>
      <w:r w:rsidRPr="00445828">
        <w:t xml:space="preserve"> 12, and the proportion of patients with a PGA rating of ‘clear’ or ‘almost clear’ (</w:t>
      </w:r>
      <w:r w:rsidR="004332FB" w:rsidRPr="00445828">
        <w:t>that is</w:t>
      </w:r>
      <w:r w:rsidRPr="00445828">
        <w:t xml:space="preserve"> 0 or 1) at </w:t>
      </w:r>
      <w:r w:rsidR="0024294D" w:rsidRPr="00445828">
        <w:t>Week</w:t>
      </w:r>
      <w:r w:rsidRPr="00445828">
        <w:t xml:space="preserve"> 12.</w:t>
      </w:r>
      <w:r w:rsidR="004332FB" w:rsidRPr="00445828">
        <w:t xml:space="preserve"> </w:t>
      </w:r>
      <w:r w:rsidRPr="00445828">
        <w:t xml:space="preserve">The primary efficacy outcome in Study C87044 was the median difference in PASI scores between </w:t>
      </w:r>
      <w:r w:rsidR="0024294D" w:rsidRPr="00445828">
        <w:t>Week</w:t>
      </w:r>
      <w:r w:rsidRPr="00445828">
        <w:t xml:space="preserve"> 12 of Study C87040 (first treatment period) and </w:t>
      </w:r>
      <w:r w:rsidR="0024294D" w:rsidRPr="00445828">
        <w:t>Week</w:t>
      </w:r>
      <w:r w:rsidRPr="00445828">
        <w:t xml:space="preserve"> 12 of Study C87044 (re-treatment phase).</w:t>
      </w:r>
    </w:p>
    <w:p w:rsidR="005F769D" w:rsidRPr="00445828" w:rsidRDefault="005F769D" w:rsidP="00464539">
      <w:r w:rsidRPr="00445828">
        <w:t>Both doses of CZP were superior to placebo (p</w:t>
      </w:r>
      <w:r w:rsidR="004332FB" w:rsidRPr="00445828">
        <w:t xml:space="preserve"> &lt; </w:t>
      </w:r>
      <w:r w:rsidRPr="00445828">
        <w:t xml:space="preserve">0.001) with respect to PASI 75 response </w:t>
      </w:r>
      <w:proofErr w:type="gramStart"/>
      <w:r w:rsidRPr="00445828">
        <w:t>rate</w:t>
      </w:r>
      <w:proofErr w:type="gramEnd"/>
      <w:r w:rsidRPr="00445828">
        <w:t xml:space="preserve"> (74.6%, 82.8%, and 6.8% for CZP 200mg, CZP 400mg, and placebo, respectively), and PGA response rate (52.5%, 72.4%, and 1.7% for CZP 200mg, CZP 400mg, and placebo, respectively).</w:t>
      </w:r>
      <w:r w:rsidR="004332FB" w:rsidRPr="00445828">
        <w:t xml:space="preserve"> </w:t>
      </w:r>
      <w:r w:rsidRPr="00445828">
        <w:t>The median difference in PASI response between the 2 treatment periods was not clinically significant for either dose of CZP.</w:t>
      </w:r>
    </w:p>
    <w:p w:rsidR="005F769D" w:rsidRPr="005F769D" w:rsidRDefault="005F769D" w:rsidP="00464539">
      <w:pPr>
        <w:pStyle w:val="Heading4"/>
        <w:rPr>
          <w:lang w:eastAsia="ja-JP"/>
        </w:rPr>
      </w:pPr>
      <w:r w:rsidRPr="005F769D">
        <w:rPr>
          <w:lang w:eastAsia="ja-JP"/>
        </w:rPr>
        <w:t xml:space="preserve">Efficacy –Active axial </w:t>
      </w:r>
      <w:proofErr w:type="spellStart"/>
      <w:r w:rsidRPr="005F769D">
        <w:rPr>
          <w:lang w:eastAsia="ja-JP"/>
        </w:rPr>
        <w:t>spondyloarthritis</w:t>
      </w:r>
      <w:proofErr w:type="spellEnd"/>
    </w:p>
    <w:p w:rsidR="004332FB" w:rsidRDefault="004332FB" w:rsidP="00464539">
      <w:pPr>
        <w:pStyle w:val="Heading5"/>
        <w:rPr>
          <w:rFonts w:eastAsia="MS Mincho"/>
          <w:lang w:eastAsia="ja-JP"/>
        </w:rPr>
      </w:pPr>
      <w:r>
        <w:rPr>
          <w:rFonts w:eastAsia="MS Mincho"/>
          <w:lang w:eastAsia="ja-JP"/>
        </w:rPr>
        <w:t>Study AS001</w:t>
      </w:r>
    </w:p>
    <w:p w:rsidR="005F769D" w:rsidRPr="004332FB" w:rsidRDefault="005F769D" w:rsidP="00464539">
      <w:r w:rsidRPr="004332FB">
        <w:t xml:space="preserve">This was a randomised, double-blind, parallel-group, placebo-controlled trial to evaluate the efficacy and safety of CZP in adults with active axial </w:t>
      </w:r>
      <w:proofErr w:type="spellStart"/>
      <w:r w:rsidRPr="004332FB">
        <w:t>SpA</w:t>
      </w:r>
      <w:proofErr w:type="spellEnd"/>
      <w:r w:rsidRPr="004332FB">
        <w:t>.</w:t>
      </w:r>
      <w:r w:rsidR="004332FB" w:rsidRPr="004332FB">
        <w:t xml:space="preserve"> </w:t>
      </w:r>
      <w:r w:rsidRPr="004332FB">
        <w:t>It was conducted at 128 centres in North America, Latin America, Western Europe, and Central/Eastern Europe.</w:t>
      </w:r>
      <w:r w:rsidR="004332FB" w:rsidRPr="004332FB">
        <w:t xml:space="preserve"> </w:t>
      </w:r>
      <w:r w:rsidRPr="004332FB">
        <w:t>The study had 5 treatment periods: screening (up to 5 weeks), double-blind treatment period (</w:t>
      </w:r>
      <w:r w:rsidR="0024294D">
        <w:t>Week</w:t>
      </w:r>
      <w:r w:rsidRPr="004332FB">
        <w:t>s 0-24), dose-blind treatment phase (</w:t>
      </w:r>
      <w:r w:rsidR="0024294D">
        <w:t>Week</w:t>
      </w:r>
      <w:r w:rsidRPr="004332FB">
        <w:t>s 24-48), open-label treatment period (</w:t>
      </w:r>
      <w:r w:rsidR="0024294D">
        <w:t>Week</w:t>
      </w:r>
      <w:r w:rsidRPr="004332FB">
        <w:t>s 48-158), and the safety follow-up phase 10 weeks after the last dose of study medication (</w:t>
      </w:r>
      <w:r w:rsidR="0024294D">
        <w:t>Week</w:t>
      </w:r>
      <w:r w:rsidRPr="004332FB">
        <w:t xml:space="preserve"> 166). Only the screening and double-blind treatment period data were submitted, with the latter phases ongoing.</w:t>
      </w:r>
      <w:r w:rsidR="004332FB" w:rsidRPr="004332FB">
        <w:t xml:space="preserve"> </w:t>
      </w:r>
      <w:r w:rsidRPr="004332FB">
        <w:t xml:space="preserve">Patients were randomly allocated in a 1:1:1 ratio to: CZP 400mg Q2W at </w:t>
      </w:r>
      <w:r w:rsidR="0024294D">
        <w:t>Week</w:t>
      </w:r>
      <w:r w:rsidRPr="004332FB">
        <w:t xml:space="preserve">s 0, 2, and 4 followed by CZP 200mg Q2W (starting at </w:t>
      </w:r>
      <w:r w:rsidR="0024294D">
        <w:t>Week</w:t>
      </w:r>
      <w:r w:rsidRPr="004332FB">
        <w:t xml:space="preserve"> 6), CZP 400mg Q2W at </w:t>
      </w:r>
      <w:r w:rsidR="0024294D">
        <w:t>Week</w:t>
      </w:r>
      <w:r w:rsidRPr="004332FB">
        <w:t xml:space="preserve">s 0, 2, and 4 followed by CZP 400mg Q4W (starting at </w:t>
      </w:r>
      <w:r w:rsidR="0024294D">
        <w:t>Week</w:t>
      </w:r>
      <w:r w:rsidRPr="004332FB">
        <w:t xml:space="preserve"> 8), or placebo injections.</w:t>
      </w:r>
      <w:r w:rsidR="004332FB" w:rsidRPr="004332FB">
        <w:t xml:space="preserve"> </w:t>
      </w:r>
      <w:r w:rsidRPr="004332FB">
        <w:t xml:space="preserve">Subjects receiving placebo injections who did not achieve at least a minimal response (defined as the Axial </w:t>
      </w:r>
      <w:proofErr w:type="spellStart"/>
      <w:r w:rsidRPr="004332FB">
        <w:t>Spondyloarthritis</w:t>
      </w:r>
      <w:proofErr w:type="spellEnd"/>
      <w:r w:rsidRPr="004332FB">
        <w:t xml:space="preserve"> International Society 20% response criteria, or ASAS 20) at both the </w:t>
      </w:r>
      <w:r w:rsidR="0024294D">
        <w:t>Week</w:t>
      </w:r>
      <w:r w:rsidRPr="004332FB">
        <w:t xml:space="preserve"> 14 and 16 visits were allocated to blinded CZP escape therapy from </w:t>
      </w:r>
      <w:r w:rsidR="0024294D">
        <w:t>Week</w:t>
      </w:r>
      <w:r w:rsidRPr="004332FB">
        <w:t xml:space="preserve"> 16 onwards (randomised 1:1 to receive CZP 200mg Q2W or CZP 400mg Q4W).</w:t>
      </w:r>
    </w:p>
    <w:p w:rsidR="005F769D" w:rsidRPr="004332FB" w:rsidRDefault="005F769D" w:rsidP="00464539">
      <w:r w:rsidRPr="004332FB">
        <w:t xml:space="preserve">Patients were </w:t>
      </w:r>
      <w:r w:rsidR="004332FB">
        <w:t xml:space="preserve">greater than or equal to </w:t>
      </w:r>
      <w:r w:rsidRPr="004332FB">
        <w:t xml:space="preserve">18 years, with a documented diagnosis of adult-onset axial </w:t>
      </w:r>
      <w:proofErr w:type="spellStart"/>
      <w:r w:rsidRPr="004332FB">
        <w:t>SpA</w:t>
      </w:r>
      <w:proofErr w:type="spellEnd"/>
      <w:r w:rsidRPr="004332FB">
        <w:t xml:space="preserve"> of </w:t>
      </w:r>
      <w:r w:rsidR="004332FB">
        <w:t xml:space="preserve">greater than or equal to </w:t>
      </w:r>
      <w:r w:rsidRPr="004332FB">
        <w:t xml:space="preserve">3 month’s duration as defined by the ASAS criteria. The protocol specified that 50% of the study population had to fulfil both the modified NY criteria for a definite diagnosis of AS, as well as the ASAS criteria. The other 50% of subjects should not have met the modified NY criteria for definite AS, </w:t>
      </w:r>
      <w:proofErr w:type="gramStart"/>
      <w:r w:rsidRPr="004332FB">
        <w:t xml:space="preserve">but </w:t>
      </w:r>
      <w:r w:rsidR="004332FB">
        <w:t xml:space="preserve"> greater</w:t>
      </w:r>
      <w:proofErr w:type="gramEnd"/>
      <w:r w:rsidR="004332FB">
        <w:t xml:space="preserve"> than or equal to </w:t>
      </w:r>
      <w:r w:rsidRPr="004332FB">
        <w:t>50% of those patients (</w:t>
      </w:r>
      <w:r w:rsidR="004332FB">
        <w:t>that is</w:t>
      </w:r>
      <w:r w:rsidRPr="004332FB">
        <w:t xml:space="preserve"> </w:t>
      </w:r>
      <w:r w:rsidR="004332FB">
        <w:t xml:space="preserve"> greater than or equal to </w:t>
      </w:r>
      <w:r w:rsidRPr="004332FB">
        <w:t>25% of the overall study population) had to meet the new ASAS imaging criteria, and the remainder (up to 25% of the overall population) could be enrolled based on meeting the ASAS clinical criteria only. The design allowed for the recruitment of a mix of patients with AS and nr-</w:t>
      </w:r>
      <w:proofErr w:type="spellStart"/>
      <w:r w:rsidRPr="004332FB">
        <w:t>axSpA</w:t>
      </w:r>
      <w:proofErr w:type="spellEnd"/>
      <w:r w:rsidRPr="004332FB">
        <w:t>.</w:t>
      </w:r>
      <w:r w:rsidR="004332FB" w:rsidRPr="004332FB">
        <w:t xml:space="preserve"> </w:t>
      </w:r>
      <w:r w:rsidRPr="004332FB">
        <w:t>Patients had to have been intolerant to, or have had an inadequate response to at least 1 NSAID, and were allowed to be receiving stable corticosteroids (</w:t>
      </w:r>
      <w:r w:rsidR="00780621">
        <w:t>less than or equal to</w:t>
      </w:r>
      <w:r w:rsidRPr="004332FB">
        <w:t xml:space="preserve"> 10 mg/day) and/or non-biological DMARD treatment for at least 28 days prior to baseline (SSZ</w:t>
      </w:r>
      <w:r w:rsidR="004332FB" w:rsidRPr="004332FB">
        <w:t xml:space="preserve"> &lt; </w:t>
      </w:r>
      <w:r w:rsidRPr="004332FB">
        <w:t>3g daily, MTX</w:t>
      </w:r>
      <w:r w:rsidR="004332FB" w:rsidRPr="004332FB">
        <w:t xml:space="preserve"> &lt; </w:t>
      </w:r>
      <w:r w:rsidRPr="004332FB">
        <w:t xml:space="preserve">25 mg weekly, or </w:t>
      </w:r>
      <w:proofErr w:type="spellStart"/>
      <w:r w:rsidRPr="004332FB">
        <w:t>Hydroxychloroquine</w:t>
      </w:r>
      <w:proofErr w:type="spellEnd"/>
      <w:r w:rsidRPr="004332FB">
        <w:t xml:space="preserve"> (HCQ)</w:t>
      </w:r>
      <w:r w:rsidR="004332FB" w:rsidRPr="004332FB">
        <w:t xml:space="preserve"> &lt; </w:t>
      </w:r>
      <w:r w:rsidRPr="004332FB">
        <w:t>400 mg daily).</w:t>
      </w:r>
      <w:r w:rsidR="004332FB" w:rsidRPr="004332FB">
        <w:t xml:space="preserve"> </w:t>
      </w:r>
      <w:r w:rsidRPr="004332FB">
        <w:t>Subjects were also required to have active disease at baseline with the BASDAI score being</w:t>
      </w:r>
      <w:r w:rsidR="004332FB" w:rsidRPr="004332FB">
        <w:t xml:space="preserve"> &gt; </w:t>
      </w:r>
      <w:r w:rsidRPr="004332FB">
        <w:t>4, spinal pain</w:t>
      </w:r>
      <w:r w:rsidR="004332FB" w:rsidRPr="004332FB">
        <w:t xml:space="preserve"> &gt; </w:t>
      </w:r>
      <w:r w:rsidRPr="004332FB">
        <w:t>4 on a 0 to 10 Numerical Rating Scale (NRS), CRP</w:t>
      </w:r>
      <w:r w:rsidR="004332FB" w:rsidRPr="004332FB">
        <w:t xml:space="preserve"> &gt; </w:t>
      </w:r>
      <w:r w:rsidRPr="004332FB">
        <w:t>ULN and/or current evidence (</w:t>
      </w:r>
      <w:r w:rsidR="004332FB">
        <w:t>that is</w:t>
      </w:r>
      <w:r w:rsidRPr="004332FB">
        <w:t xml:space="preserve">, within the last 3 months from Screening) for </w:t>
      </w:r>
      <w:proofErr w:type="spellStart"/>
      <w:r w:rsidRPr="004332FB">
        <w:t>sacroiliitis</w:t>
      </w:r>
      <w:proofErr w:type="spellEnd"/>
      <w:r w:rsidRPr="004332FB">
        <w:t xml:space="preserve"> on MRI as defined by the ASAS criteria.</w:t>
      </w:r>
      <w:r w:rsidR="004332FB" w:rsidRPr="004332FB">
        <w:t xml:space="preserve"> </w:t>
      </w:r>
      <w:r w:rsidRPr="004332FB">
        <w:t>Exclusion criteria were extensive, including other inflammatory arthritis, recent use of biologic DMARDs, oral prednisone</w:t>
      </w:r>
      <w:r w:rsidR="004332FB" w:rsidRPr="004332FB">
        <w:t xml:space="preserve"> &gt; </w:t>
      </w:r>
      <w:r w:rsidRPr="004332FB">
        <w:t>10 mg/day, and</w:t>
      </w:r>
      <w:r w:rsidR="00445828">
        <w:t xml:space="preserve"> &gt;</w:t>
      </w:r>
      <w:r w:rsidR="004332FB" w:rsidRPr="004332FB">
        <w:t xml:space="preserve"> </w:t>
      </w:r>
      <w:r w:rsidRPr="004332FB">
        <w:t>2 previous biological response modifiers.</w:t>
      </w:r>
    </w:p>
    <w:p w:rsidR="005F769D" w:rsidRPr="004332FB" w:rsidRDefault="005F769D" w:rsidP="00464539">
      <w:r w:rsidRPr="004332FB">
        <w:t>In total, 325 subjects were randomised and received at least 1 dose of study medication (placebo n</w:t>
      </w:r>
      <w:r w:rsidR="004332FB" w:rsidRPr="004332FB">
        <w:t xml:space="preserve"> = </w:t>
      </w:r>
      <w:r w:rsidRPr="004332FB">
        <w:t>107, CZP 200mg Q2W n</w:t>
      </w:r>
      <w:r w:rsidR="004332FB" w:rsidRPr="004332FB">
        <w:t xml:space="preserve"> = </w:t>
      </w:r>
      <w:r w:rsidRPr="004332FB">
        <w:t>111, CZP 400mg Q4W n</w:t>
      </w:r>
      <w:r w:rsidR="004332FB" w:rsidRPr="004332FB">
        <w:t xml:space="preserve"> = </w:t>
      </w:r>
      <w:r w:rsidRPr="004332FB">
        <w:t>107).</w:t>
      </w:r>
      <w:r w:rsidR="004332FB" w:rsidRPr="004332FB">
        <w:t xml:space="preserve"> </w:t>
      </w:r>
      <w:r w:rsidRPr="004332FB">
        <w:t xml:space="preserve">At </w:t>
      </w:r>
      <w:r w:rsidR="0024294D">
        <w:t>Week</w:t>
      </w:r>
      <w:r w:rsidRPr="004332FB">
        <w:t xml:space="preserve"> 16, 52.3% of placebo subjects did not achieve the minimal response criteria, and were re-randomised to CZP (200mg Q2W n</w:t>
      </w:r>
      <w:r w:rsidR="004332FB" w:rsidRPr="004332FB">
        <w:t xml:space="preserve"> = </w:t>
      </w:r>
      <w:r w:rsidRPr="004332FB">
        <w:t>27, 400mg Q4W n</w:t>
      </w:r>
      <w:r w:rsidR="004332FB" w:rsidRPr="004332FB">
        <w:t xml:space="preserve"> = </w:t>
      </w:r>
      <w:r w:rsidRPr="004332FB">
        <w:t>29). The majority of patients (89-95%) in each of the 3 treatment groups completed the 24-week double-blind treatment period.</w:t>
      </w:r>
    </w:p>
    <w:p w:rsidR="005F769D" w:rsidRPr="004332FB" w:rsidRDefault="005F769D" w:rsidP="00464539">
      <w:r w:rsidRPr="004332FB">
        <w:t>Treatment groups were similar at baseline based on demographics, clinical ASAS features, and disease activity: mean age 38 years (range: 19-78 years), 61.5% male, 90% Caucasian, mean disease duration 6.73 years, 78.5% HLA-B27 positive, current inflammatory back pain 98%, elevated CRP levels 80%, evidence of peripheral joint synovitis 41.5%.</w:t>
      </w:r>
      <w:r w:rsidR="004332FB" w:rsidRPr="004332FB">
        <w:t xml:space="preserve"> </w:t>
      </w:r>
      <w:r w:rsidRPr="004332FB">
        <w:t>Differences were noted between the patients with AS and those with nr-</w:t>
      </w:r>
      <w:proofErr w:type="spellStart"/>
      <w:r w:rsidRPr="004332FB">
        <w:t>axSpA</w:t>
      </w:r>
      <w:proofErr w:type="spellEnd"/>
      <w:r w:rsidRPr="004332FB">
        <w:t>.</w:t>
      </w:r>
      <w:r w:rsidR="004332FB" w:rsidRPr="004332FB">
        <w:t xml:space="preserve"> </w:t>
      </w:r>
      <w:r w:rsidRPr="004332FB">
        <w:t xml:space="preserve">AS patients tended to be older (41 </w:t>
      </w:r>
      <w:r w:rsidR="00BA6B85" w:rsidRPr="004332FB">
        <w:t>versus</w:t>
      </w:r>
      <w:r w:rsidRPr="004332FB">
        <w:t xml:space="preserve"> 35 years), male (61.5% </w:t>
      </w:r>
      <w:r w:rsidR="00BA6B85" w:rsidRPr="004332FB">
        <w:t>versus</w:t>
      </w:r>
      <w:r w:rsidRPr="004332FB">
        <w:t xml:space="preserve"> 48.3%), HLA-B27 positive (81.5% </w:t>
      </w:r>
      <w:r w:rsidR="00BA6B85" w:rsidRPr="004332FB">
        <w:t>versus</w:t>
      </w:r>
      <w:r w:rsidRPr="004332FB">
        <w:t xml:space="preserve"> 74.8%), and have a longer mean time since diagnosis (8.24 years vs 4.91 years).</w:t>
      </w:r>
      <w:r w:rsidR="004332FB" w:rsidRPr="004332FB">
        <w:t xml:space="preserve"> </w:t>
      </w:r>
      <w:r w:rsidRPr="004332FB">
        <w:t xml:space="preserve">Consistent with the protocol, </w:t>
      </w:r>
      <w:proofErr w:type="spellStart"/>
      <w:r w:rsidRPr="004332FB">
        <w:t>sacroiliitis</w:t>
      </w:r>
      <w:proofErr w:type="spellEnd"/>
      <w:r w:rsidRPr="004332FB">
        <w:t xml:space="preserve"> (grade </w:t>
      </w:r>
      <w:r w:rsidR="004332FB" w:rsidRPr="004332FB">
        <w:t xml:space="preserve">greater than or equal to </w:t>
      </w:r>
      <w:r w:rsidRPr="004332FB">
        <w:t>2 bilaterally or grade 3-4 unilaterally) was confirmed by x-ray in 100% of subjects classified in the AS subgroup, and in 0% of the nr-</w:t>
      </w:r>
      <w:proofErr w:type="spellStart"/>
      <w:r w:rsidRPr="004332FB">
        <w:t>axSpA</w:t>
      </w:r>
      <w:proofErr w:type="spellEnd"/>
      <w:r w:rsidRPr="004332FB">
        <w:t xml:space="preserve"> subgroup.</w:t>
      </w:r>
      <w:r w:rsidR="004332FB" w:rsidRPr="004332FB">
        <w:t xml:space="preserve"> </w:t>
      </w:r>
      <w:r w:rsidRPr="004332FB">
        <w:t>Other ASAS criteria and baseline disease activity were generally similar between the AS and nr-</w:t>
      </w:r>
      <w:proofErr w:type="spellStart"/>
      <w:r w:rsidRPr="004332FB">
        <w:t>axSpA</w:t>
      </w:r>
      <w:proofErr w:type="spellEnd"/>
      <w:r w:rsidRPr="004332FB">
        <w:t xml:space="preserve"> subpopulations once disease duration is taken into account.</w:t>
      </w:r>
      <w:r w:rsidR="004332FB" w:rsidRPr="004332FB">
        <w:t xml:space="preserve"> </w:t>
      </w:r>
      <w:r w:rsidRPr="004332FB">
        <w:t xml:space="preserve">CRP was higher in the placebo group than in the combined CZP group for the overall axial </w:t>
      </w:r>
      <w:proofErr w:type="spellStart"/>
      <w:r w:rsidRPr="004332FB">
        <w:t>SpA</w:t>
      </w:r>
      <w:proofErr w:type="spellEnd"/>
      <w:r w:rsidRPr="004332FB">
        <w:t xml:space="preserve"> population (22.4 mg/L </w:t>
      </w:r>
      <w:r w:rsidR="00BA6B85" w:rsidRPr="004332FB">
        <w:t>versus</w:t>
      </w:r>
      <w:r w:rsidRPr="004332FB">
        <w:t xml:space="preserve">17.3 mg/L), the AS subgroup (25.2 mg/L </w:t>
      </w:r>
      <w:r w:rsidR="00BA6B85" w:rsidRPr="004332FB">
        <w:t>versus</w:t>
      </w:r>
      <w:r w:rsidRPr="004332FB">
        <w:t xml:space="preserve"> 19.5 mg/L), and the nr-</w:t>
      </w:r>
      <w:proofErr w:type="spellStart"/>
      <w:r w:rsidRPr="004332FB">
        <w:t>axSpA</w:t>
      </w:r>
      <w:proofErr w:type="spellEnd"/>
      <w:r w:rsidRPr="004332FB">
        <w:t xml:space="preserve"> subgroup (19.1 mg/L </w:t>
      </w:r>
      <w:r w:rsidR="00BA6B85" w:rsidRPr="004332FB">
        <w:t>versus</w:t>
      </w:r>
      <w:r w:rsidRPr="004332FB">
        <w:t xml:space="preserve"> 14.5 mg/L).</w:t>
      </w:r>
      <w:r w:rsidR="004332FB" w:rsidRPr="004332FB">
        <w:t xml:space="preserve"> </w:t>
      </w:r>
      <w:r w:rsidRPr="004332FB">
        <w:t xml:space="preserve">Prior use of anti-TNF drugs and DMARDs was higher in the placebo group than the combined CZP group for the overall axial </w:t>
      </w:r>
      <w:proofErr w:type="spellStart"/>
      <w:r w:rsidRPr="004332FB">
        <w:t>SpA</w:t>
      </w:r>
      <w:proofErr w:type="spellEnd"/>
      <w:r w:rsidRPr="004332FB">
        <w:t xml:space="preserve"> population (24.3% </w:t>
      </w:r>
      <w:r w:rsidR="00BA6B85" w:rsidRPr="004332FB">
        <w:t>versus</w:t>
      </w:r>
      <w:r w:rsidRPr="004332FB">
        <w:t xml:space="preserve"> 11.9% and 57.0% </w:t>
      </w:r>
      <w:r w:rsidR="00BA6B85" w:rsidRPr="004332FB">
        <w:t>versus</w:t>
      </w:r>
      <w:r w:rsidRPr="004332FB">
        <w:t xml:space="preserve"> 45.4%, respectively).</w:t>
      </w:r>
      <w:r w:rsidR="004332FB" w:rsidRPr="004332FB">
        <w:t xml:space="preserve"> </w:t>
      </w:r>
      <w:r w:rsidRPr="004332FB">
        <w:t xml:space="preserve">Prior use of anti-TNF drugs was also higher in the placebo group than the combined CZP group for the AS subgroup (20.2% </w:t>
      </w:r>
      <w:r w:rsidR="00BA6B85" w:rsidRPr="004332FB">
        <w:t>versus</w:t>
      </w:r>
      <w:r w:rsidRPr="004332FB">
        <w:t xml:space="preserve"> 16.5%, respectively), and the nr-</w:t>
      </w:r>
      <w:proofErr w:type="spellStart"/>
      <w:r w:rsidRPr="004332FB">
        <w:t>axSpA</w:t>
      </w:r>
      <w:proofErr w:type="spellEnd"/>
      <w:r w:rsidRPr="004332FB">
        <w:t xml:space="preserve"> subgroup (10.9% </w:t>
      </w:r>
      <w:r w:rsidR="00BA6B85" w:rsidRPr="004332FB">
        <w:t>versus</w:t>
      </w:r>
      <w:r w:rsidRPr="004332FB">
        <w:t xml:space="preserve"> 6.2%, respectively).</w:t>
      </w:r>
      <w:r w:rsidR="004332FB" w:rsidRPr="004332FB">
        <w:t xml:space="preserve"> </w:t>
      </w:r>
      <w:r w:rsidRPr="004332FB">
        <w:t xml:space="preserve">The majority of patients reported past (85%) and concomitant (88%) </w:t>
      </w:r>
      <w:proofErr w:type="gramStart"/>
      <w:r w:rsidRPr="004332FB">
        <w:t>NSAID use, with the</w:t>
      </w:r>
      <w:r w:rsidRPr="005F769D">
        <w:rPr>
          <w:lang w:eastAsia="ja-JP"/>
        </w:rPr>
        <w:t xml:space="preserve"> </w:t>
      </w:r>
      <w:r w:rsidRPr="004332FB">
        <w:t>percentage similar in each treatment group, and in those with AS and nr-</w:t>
      </w:r>
      <w:proofErr w:type="spellStart"/>
      <w:r w:rsidRPr="004332FB">
        <w:t>axSpA</w:t>
      </w:r>
      <w:proofErr w:type="spellEnd"/>
      <w:r w:rsidRPr="004332FB">
        <w:t>.</w:t>
      </w:r>
      <w:proofErr w:type="gramEnd"/>
      <w:r w:rsidR="004332FB" w:rsidRPr="004332FB">
        <w:t xml:space="preserve"> </w:t>
      </w:r>
      <w:r w:rsidRPr="004332FB">
        <w:t>Concurrent DMARD (33.3%) and corticosteroid (16.9%) use was similar across the treatment groups.</w:t>
      </w:r>
    </w:p>
    <w:p w:rsidR="005F769D" w:rsidRPr="004332FB" w:rsidRDefault="005F769D" w:rsidP="00464539">
      <w:r w:rsidRPr="004332FB">
        <w:t xml:space="preserve">The primary efficacy outcome was the ASAS 20 response rate at </w:t>
      </w:r>
      <w:r w:rsidR="0024294D">
        <w:t>Week</w:t>
      </w:r>
      <w:r w:rsidRPr="004332FB">
        <w:t xml:space="preserve"> 12.</w:t>
      </w:r>
      <w:r w:rsidR="004332FB" w:rsidRPr="004332FB">
        <w:t xml:space="preserve"> </w:t>
      </w:r>
      <w:r w:rsidRPr="004332FB">
        <w:t xml:space="preserve">In the overall axial </w:t>
      </w:r>
      <w:proofErr w:type="spellStart"/>
      <w:r w:rsidRPr="004332FB">
        <w:t>SpA</w:t>
      </w:r>
      <w:proofErr w:type="spellEnd"/>
      <w:r w:rsidRPr="004332FB">
        <w:t xml:space="preserve"> population, both CZP dose regimens were superior to placebo (57.7% for CZP 200mg Q2W, 63.6% for CZP 400mg Q4W </w:t>
      </w:r>
      <w:r w:rsidR="00BA6B85" w:rsidRPr="004332FB">
        <w:t>versus</w:t>
      </w:r>
      <w:r w:rsidRPr="004332FB">
        <w:t xml:space="preserve"> 38.3% for placebo, p</w:t>
      </w:r>
      <w:r w:rsidR="004332FB" w:rsidRPr="004332FB">
        <w:t xml:space="preserve"> &lt; </w:t>
      </w:r>
      <w:r w:rsidRPr="004332FB">
        <w:t>0.004 and p</w:t>
      </w:r>
      <w:r w:rsidR="004332FB">
        <w:t xml:space="preserve"> &lt; </w:t>
      </w:r>
      <w:r w:rsidRPr="004332FB">
        <w:t xml:space="preserve">0.001 </w:t>
      </w:r>
      <w:r w:rsidR="00BA6B85" w:rsidRPr="004332FB">
        <w:t>versus</w:t>
      </w:r>
      <w:r w:rsidRPr="004332FB">
        <w:t xml:space="preserve"> placebo, respectively).</w:t>
      </w:r>
      <w:r w:rsidR="004332FB" w:rsidRPr="004332FB">
        <w:t xml:space="preserve"> </w:t>
      </w:r>
      <w:r w:rsidRPr="004332FB">
        <w:t>Similar results were seen in both the AS and nr-</w:t>
      </w:r>
      <w:proofErr w:type="spellStart"/>
      <w:r w:rsidRPr="004332FB">
        <w:t>axSpA</w:t>
      </w:r>
      <w:proofErr w:type="spellEnd"/>
      <w:r w:rsidRPr="004332FB">
        <w:t xml:space="preserve"> subpopulations.</w:t>
      </w:r>
      <w:r w:rsidR="004332FB" w:rsidRPr="004332FB">
        <w:t xml:space="preserve"> </w:t>
      </w:r>
      <w:r w:rsidRPr="004332FB">
        <w:t xml:space="preserve">Only two of the subgroup analyses showed a difference in ASAS 20 response rate at </w:t>
      </w:r>
      <w:r w:rsidR="0024294D">
        <w:t>Week</w:t>
      </w:r>
      <w:r w:rsidRPr="004332FB">
        <w:t xml:space="preserve"> 12: patients from Latin America had a smaller treatment difference between CZP and placebo, largely due to a larger placebo response rate (58.3% compared with 23 – 43% elsewhere), and males had a higher response than females (68.1% </w:t>
      </w:r>
      <w:r w:rsidR="00BA6B85" w:rsidRPr="004332FB">
        <w:t>versus</w:t>
      </w:r>
      <w:r w:rsidRPr="004332FB">
        <w:t xml:space="preserve"> 48.2%).</w:t>
      </w:r>
      <w:r w:rsidR="004332FB" w:rsidRPr="004332FB">
        <w:t xml:space="preserve"> </w:t>
      </w:r>
      <w:r w:rsidRPr="004332FB">
        <w:t>This pattern was also seen in the AS and nr-</w:t>
      </w:r>
      <w:proofErr w:type="spellStart"/>
      <w:r w:rsidRPr="004332FB">
        <w:t>axSpA</w:t>
      </w:r>
      <w:proofErr w:type="spellEnd"/>
      <w:r w:rsidRPr="004332FB">
        <w:t xml:space="preserve"> subpopulations.</w:t>
      </w:r>
    </w:p>
    <w:p w:rsidR="00464539" w:rsidRDefault="004332FB" w:rsidP="00464539">
      <w:pPr>
        <w:pStyle w:val="TableTitle"/>
        <w:rPr>
          <w:lang w:eastAsia="en-AU"/>
        </w:rPr>
      </w:pPr>
      <w:proofErr w:type="gramStart"/>
      <w:r>
        <w:rPr>
          <w:lang w:eastAsia="ja-JP"/>
        </w:rPr>
        <w:t>Table 6.</w:t>
      </w:r>
      <w:proofErr w:type="gramEnd"/>
      <w:r>
        <w:rPr>
          <w:lang w:eastAsia="ja-JP"/>
        </w:rPr>
        <w:t xml:space="preserve"> </w:t>
      </w:r>
      <w:r w:rsidR="005F769D" w:rsidRPr="005F769D">
        <w:rPr>
          <w:lang w:eastAsia="en-AU"/>
        </w:rPr>
        <w:t xml:space="preserve">ASAS20 response at Week 12 </w:t>
      </w:r>
      <w:r w:rsidR="005F769D" w:rsidRPr="005F769D">
        <w:rPr>
          <w:rFonts w:hint="eastAsia"/>
          <w:lang w:eastAsia="en-AU"/>
        </w:rPr>
        <w:t>–</w:t>
      </w:r>
      <w:r w:rsidR="005F769D" w:rsidRPr="005F769D">
        <w:rPr>
          <w:lang w:eastAsia="en-AU"/>
        </w:rPr>
        <w:t xml:space="preserve"> primary an</w:t>
      </w:r>
      <w:r w:rsidR="002E5FE2">
        <w:rPr>
          <w:lang w:eastAsia="en-AU"/>
        </w:rPr>
        <w:t xml:space="preserve">alysis with Wald test (RS, with </w:t>
      </w:r>
      <w:r w:rsidR="005F769D" w:rsidRPr="005F769D">
        <w:rPr>
          <w:lang w:eastAsia="en-AU"/>
        </w:rPr>
        <w:t>imputation)</w:t>
      </w:r>
      <w:r w:rsidR="0012628D">
        <w:rPr>
          <w:lang w:eastAsia="en-AU"/>
        </w:rPr>
        <w:t>.</w:t>
      </w:r>
    </w:p>
    <w:p w:rsidR="005F769D" w:rsidRPr="005F769D" w:rsidRDefault="005F769D" w:rsidP="00565457">
      <w:pPr>
        <w:rPr>
          <w:lang w:eastAsia="ja-JP"/>
        </w:rPr>
      </w:pPr>
      <w:r w:rsidRPr="005F769D">
        <w:rPr>
          <w:noProof/>
          <w:lang w:eastAsia="en-AU"/>
        </w:rPr>
        <w:drawing>
          <wp:inline distT="0" distB="0" distL="0" distR="0" wp14:anchorId="04AA7501" wp14:editId="1A57627C">
            <wp:extent cx="5400675" cy="4333875"/>
            <wp:effectExtent l="0" t="0" r="9525" b="9525"/>
            <wp:docPr id="7" name="Picture 7" descr="ASAS20 response at Week 12 – primary analysis with Wald test (RS, with imputation)" title="Table 6. ASAS20 response at Week 12 – primary analysis with Wald test (RS, with impu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srcRect/>
                    <a:stretch>
                      <a:fillRect/>
                    </a:stretch>
                  </pic:blipFill>
                  <pic:spPr bwMode="auto">
                    <a:xfrm>
                      <a:off x="0" y="0"/>
                      <a:ext cx="5400675" cy="4333875"/>
                    </a:xfrm>
                    <a:prstGeom prst="rect">
                      <a:avLst/>
                    </a:prstGeom>
                    <a:noFill/>
                    <a:ln w="9525">
                      <a:noFill/>
                      <a:miter lim="800000"/>
                      <a:headEnd/>
                      <a:tailEnd/>
                    </a:ln>
                  </pic:spPr>
                </pic:pic>
              </a:graphicData>
            </a:graphic>
          </wp:inline>
        </w:drawing>
      </w:r>
    </w:p>
    <w:p w:rsidR="005F769D" w:rsidRPr="004332FB" w:rsidRDefault="005F769D" w:rsidP="00565457">
      <w:r w:rsidRPr="004332FB">
        <w:t xml:space="preserve">The key secondary efficacy variables included: ASAS 20 response rate at </w:t>
      </w:r>
      <w:r w:rsidR="0024294D">
        <w:t>Week</w:t>
      </w:r>
      <w:r w:rsidRPr="004332FB">
        <w:t xml:space="preserve"> 24, mean change from baseline in the BASFI, BASDAI and BASMI scores at Weeks 12 and 24, and two MRI parameters - SPARCC (sacroiliac joint) and </w:t>
      </w:r>
      <w:proofErr w:type="spellStart"/>
      <w:r w:rsidRPr="004332FB">
        <w:t>ASspiMRI</w:t>
      </w:r>
      <w:proofErr w:type="spellEnd"/>
      <w:r w:rsidRPr="004332FB">
        <w:t xml:space="preserve">-a (spinal) scores at </w:t>
      </w:r>
      <w:r w:rsidR="0024294D">
        <w:t>Week</w:t>
      </w:r>
      <w:r w:rsidRPr="004332FB">
        <w:t xml:space="preserve"> 12.</w:t>
      </w:r>
      <w:r w:rsidR="004332FB" w:rsidRPr="004332FB">
        <w:t xml:space="preserve"> </w:t>
      </w:r>
      <w:r w:rsidRPr="004332FB">
        <w:t xml:space="preserve">CZP treatment was superior to placebo for each outcome in the overall axial </w:t>
      </w:r>
      <w:proofErr w:type="spellStart"/>
      <w:r w:rsidRPr="004332FB">
        <w:t>SpA</w:t>
      </w:r>
      <w:proofErr w:type="spellEnd"/>
      <w:r w:rsidRPr="004332FB">
        <w:t xml:space="preserve"> population, with similar results seen in the AS and nr-</w:t>
      </w:r>
      <w:proofErr w:type="spellStart"/>
      <w:r w:rsidRPr="004332FB">
        <w:t>axSpA</w:t>
      </w:r>
      <w:proofErr w:type="spellEnd"/>
      <w:r w:rsidRPr="004332FB">
        <w:t xml:space="preserve"> subpopulations.</w:t>
      </w:r>
      <w:r w:rsidR="004332FB" w:rsidRPr="004332FB">
        <w:t xml:space="preserve"> </w:t>
      </w:r>
      <w:r w:rsidRPr="004332FB">
        <w:t xml:space="preserve">Baseline imbalance in the SPARCC (higher in the placebo group) and </w:t>
      </w:r>
      <w:proofErr w:type="spellStart"/>
      <w:r w:rsidRPr="004332FB">
        <w:t>ASspiMRI</w:t>
      </w:r>
      <w:proofErr w:type="spellEnd"/>
      <w:r w:rsidRPr="004332FB">
        <w:t>-a scores (CZP 400mg</w:t>
      </w:r>
      <w:r w:rsidR="004332FB" w:rsidRPr="004332FB">
        <w:t xml:space="preserve"> &lt; </w:t>
      </w:r>
      <w:r w:rsidRPr="004332FB">
        <w:t>PBO</w:t>
      </w:r>
      <w:r w:rsidR="004332FB" w:rsidRPr="004332FB">
        <w:t xml:space="preserve"> &lt; </w:t>
      </w:r>
      <w:r w:rsidRPr="004332FB">
        <w:t>CZP 200mg; lower in the nr-</w:t>
      </w:r>
      <w:proofErr w:type="spellStart"/>
      <w:r w:rsidRPr="004332FB">
        <w:t>axSpA</w:t>
      </w:r>
      <w:proofErr w:type="spellEnd"/>
      <w:r w:rsidRPr="004332FB">
        <w:t xml:space="preserve"> subpopulation) complicates the interpretation of the MRI parameter results.</w:t>
      </w:r>
      <w:r w:rsidR="004332FB" w:rsidRPr="004332FB">
        <w:t xml:space="preserve"> </w:t>
      </w:r>
      <w:r w:rsidRPr="004332FB">
        <w:t>Quality of life also improved on CZP compared with placebo.</w:t>
      </w:r>
    </w:p>
    <w:p w:rsidR="005F769D" w:rsidRPr="005F769D" w:rsidRDefault="005F769D" w:rsidP="00565457">
      <w:pPr>
        <w:pStyle w:val="Heading4"/>
        <w:rPr>
          <w:lang w:eastAsia="ja-JP"/>
        </w:rPr>
      </w:pPr>
      <w:r w:rsidRPr="005F769D">
        <w:rPr>
          <w:lang w:eastAsia="ja-JP"/>
        </w:rPr>
        <w:t>Safety</w:t>
      </w:r>
    </w:p>
    <w:p w:rsidR="005F769D" w:rsidRPr="004332FB" w:rsidRDefault="005F769D" w:rsidP="00565457">
      <w:r w:rsidRPr="004332FB">
        <w:t>In study PsA001, 332 subjects (including 59 PBO subjects escaping to CZP due to lack of response at Week 16) were exposed to CZP for a mean of 20.1 weeks (range 4 to 24 weeks).</w:t>
      </w:r>
      <w:r w:rsidR="004332FB" w:rsidRPr="004332FB">
        <w:t xml:space="preserve"> </w:t>
      </w:r>
      <w:r w:rsidRPr="004332FB">
        <w:t>In study AS001, 274 subjects (including 56 PBO subjects escaping to CZP due to lack of response at Week 16) were exposed to CZP for a mean of 20.2 weeks (range 4 to 25 weeks).</w:t>
      </w:r>
    </w:p>
    <w:p w:rsidR="005F769D" w:rsidRPr="004332FB" w:rsidRDefault="005F769D" w:rsidP="00565457">
      <w:r w:rsidRPr="004332FB">
        <w:t>In study PsA001, the incidence of treatment emergent adverse events was similar on CZP 200mg (68.1%), CZP 400mg (71.1%), and placebo (67.6%), with most being mild or moderate in severity.</w:t>
      </w:r>
      <w:r w:rsidR="004332FB" w:rsidRPr="004332FB">
        <w:t xml:space="preserve"> </w:t>
      </w:r>
      <w:r w:rsidRPr="004332FB">
        <w:t xml:space="preserve">The most common TEAEs (combined CZP </w:t>
      </w:r>
      <w:r w:rsidR="00BA6B85" w:rsidRPr="004332FB">
        <w:t>versus</w:t>
      </w:r>
      <w:r w:rsidRPr="004332FB">
        <w:t xml:space="preserve"> PBO) were </w:t>
      </w:r>
      <w:proofErr w:type="spellStart"/>
      <w:r w:rsidRPr="004332FB">
        <w:t>nasopharyngitis</w:t>
      </w:r>
      <w:proofErr w:type="spellEnd"/>
      <w:r w:rsidRPr="004332FB">
        <w:t xml:space="preserve"> (8.7% </w:t>
      </w:r>
      <w:r w:rsidR="00BA6B85" w:rsidRPr="004332FB">
        <w:t>versus</w:t>
      </w:r>
      <w:r w:rsidRPr="004332FB">
        <w:t xml:space="preserve"> 7.4%), upper respiratory tract infection (7.8% </w:t>
      </w:r>
      <w:r w:rsidR="00BA6B85" w:rsidRPr="004332FB">
        <w:t>versus</w:t>
      </w:r>
      <w:r w:rsidRPr="004332FB">
        <w:t xml:space="preserve"> 5.1%), headache (3.6% </w:t>
      </w:r>
      <w:r w:rsidR="00BA6B85" w:rsidRPr="004332FB">
        <w:t>versus</w:t>
      </w:r>
      <w:r w:rsidRPr="004332FB">
        <w:t xml:space="preserve"> 1.5%), increased ALT (3.6% </w:t>
      </w:r>
      <w:r w:rsidR="00BA6B85" w:rsidRPr="004332FB">
        <w:t>versus</w:t>
      </w:r>
      <w:r w:rsidRPr="004332FB">
        <w:t xml:space="preserve"> 1.5%), increased </w:t>
      </w:r>
      <w:proofErr w:type="spellStart"/>
      <w:r w:rsidRPr="004332FB">
        <w:t>creatine</w:t>
      </w:r>
      <w:proofErr w:type="spellEnd"/>
      <w:r w:rsidRPr="004332FB">
        <w:t xml:space="preserve"> phosphokinase (3.6% </w:t>
      </w:r>
      <w:r w:rsidR="00BA6B85" w:rsidRPr="004332FB">
        <w:t>versus</w:t>
      </w:r>
      <w:r w:rsidRPr="004332FB">
        <w:t xml:space="preserve"> 2.9%), urinary tract infection (2.1% </w:t>
      </w:r>
      <w:r w:rsidR="00BA6B85" w:rsidRPr="004332FB">
        <w:t>versus</w:t>
      </w:r>
      <w:r w:rsidRPr="004332FB">
        <w:t xml:space="preserve"> 6.6%), and bronchitis (2.4% </w:t>
      </w:r>
      <w:r w:rsidR="00BA6B85" w:rsidRPr="004332FB">
        <w:t>versus</w:t>
      </w:r>
      <w:r w:rsidRPr="004332FB">
        <w:t xml:space="preserve"> 4.4%).</w:t>
      </w:r>
      <w:r w:rsidR="004332FB" w:rsidRPr="004332FB">
        <w:t xml:space="preserve"> </w:t>
      </w:r>
      <w:r w:rsidRPr="004332FB">
        <w:t>The incidence of individual TEAEs were generally similar between the two CZP dose groups.</w:t>
      </w:r>
      <w:r w:rsidR="004332FB" w:rsidRPr="004332FB">
        <w:t xml:space="preserve"> </w:t>
      </w:r>
      <w:r w:rsidRPr="004332FB">
        <w:t>Adverse drug reactions occurred at a similar rate in the CZP and PBO groups with the exception of local injection site reactions.</w:t>
      </w:r>
      <w:r w:rsidR="004332FB" w:rsidRPr="004332FB">
        <w:t xml:space="preserve"> </w:t>
      </w:r>
      <w:r w:rsidRPr="004332FB">
        <w:t>Liver function tests showed increases in AST or ALT (</w:t>
      </w:r>
      <w:r w:rsidR="004332FB" w:rsidRPr="004332FB">
        <w:t xml:space="preserve">greater than or equal to </w:t>
      </w:r>
      <w:r w:rsidRPr="004332FB">
        <w:t>3xULN) more frequently in the combined CZP group (3.6%) than in the placebo group (2.2%).</w:t>
      </w:r>
      <w:r w:rsidR="004332FB" w:rsidRPr="004332FB">
        <w:t xml:space="preserve"> </w:t>
      </w:r>
      <w:r w:rsidRPr="004332FB">
        <w:t xml:space="preserve">Three subjects on CZP 400mg had a bilirubin </w:t>
      </w:r>
      <w:r w:rsidR="004332FB" w:rsidRPr="004332FB">
        <w:t xml:space="preserve">greater than or equal to </w:t>
      </w:r>
      <w:r w:rsidRPr="004332FB">
        <w:t xml:space="preserve">1xULN and an ALT or AST </w:t>
      </w:r>
      <w:r w:rsidR="004332FB" w:rsidRPr="004332FB">
        <w:t xml:space="preserve">greater than or equal </w:t>
      </w:r>
      <w:proofErr w:type="gramStart"/>
      <w:r w:rsidR="004332FB" w:rsidRPr="004332FB">
        <w:t xml:space="preserve">to </w:t>
      </w:r>
      <w:r w:rsidRPr="004332FB">
        <w:t xml:space="preserve"> 3xULN</w:t>
      </w:r>
      <w:proofErr w:type="gramEnd"/>
      <w:r w:rsidRPr="004332FB">
        <w:t xml:space="preserve">, but there was no discussion whether they were potential </w:t>
      </w:r>
      <w:proofErr w:type="spellStart"/>
      <w:r w:rsidRPr="004332FB">
        <w:t>Hy’s</w:t>
      </w:r>
      <w:proofErr w:type="spellEnd"/>
      <w:r w:rsidRPr="004332FB">
        <w:t xml:space="preserve"> law cases.</w:t>
      </w:r>
      <w:r w:rsidR="004332FB" w:rsidRPr="004332FB">
        <w:t xml:space="preserve"> </w:t>
      </w:r>
      <w:r w:rsidRPr="004332FB">
        <w:t>TEAEs of special interest included:</w:t>
      </w:r>
    </w:p>
    <w:p w:rsidR="005F769D" w:rsidRPr="005F769D" w:rsidRDefault="005F769D" w:rsidP="00565457">
      <w:pPr>
        <w:pStyle w:val="ListBullet"/>
        <w:rPr>
          <w:rFonts w:cs="ArialMT"/>
          <w:lang w:eastAsia="ja-JP"/>
        </w:rPr>
      </w:pPr>
      <w:r w:rsidRPr="00565457">
        <w:t>ISRs</w:t>
      </w:r>
      <w:r w:rsidRPr="005F769D">
        <w:rPr>
          <w:lang w:eastAsia="ja-JP"/>
        </w:rPr>
        <w:t xml:space="preserve"> - 6.6% </w:t>
      </w:r>
      <w:r w:rsidR="00BA6B85">
        <w:rPr>
          <w:lang w:eastAsia="ja-JP"/>
        </w:rPr>
        <w:t>versus</w:t>
      </w:r>
      <w:r w:rsidRPr="005F769D">
        <w:rPr>
          <w:lang w:eastAsia="ja-JP"/>
        </w:rPr>
        <w:t xml:space="preserve"> 2.2%, none considered serious</w:t>
      </w:r>
    </w:p>
    <w:p w:rsidR="005F769D" w:rsidRPr="005F769D" w:rsidRDefault="005F769D" w:rsidP="00565457">
      <w:pPr>
        <w:pStyle w:val="ListBullet"/>
        <w:rPr>
          <w:rFonts w:cs="ArialMT"/>
          <w:lang w:eastAsia="ja-JP"/>
        </w:rPr>
      </w:pPr>
      <w:r w:rsidRPr="005F769D">
        <w:rPr>
          <w:lang w:eastAsia="ja-JP"/>
        </w:rPr>
        <w:t xml:space="preserve">Systemic </w:t>
      </w:r>
      <w:r w:rsidRPr="00565457">
        <w:t>hypersensitivity</w:t>
      </w:r>
      <w:r w:rsidRPr="005F769D">
        <w:rPr>
          <w:lang w:eastAsia="ja-JP"/>
        </w:rPr>
        <w:t xml:space="preserve"> reactions - 1.5% </w:t>
      </w:r>
      <w:r w:rsidR="00BA6B85">
        <w:rPr>
          <w:lang w:eastAsia="ja-JP"/>
        </w:rPr>
        <w:t>versus</w:t>
      </w:r>
      <w:r w:rsidRPr="005F769D">
        <w:rPr>
          <w:lang w:eastAsia="ja-JP"/>
        </w:rPr>
        <w:t xml:space="preserve"> 1.5%, none considered severe or serious</w:t>
      </w:r>
    </w:p>
    <w:p w:rsidR="005F769D" w:rsidRPr="005F769D" w:rsidRDefault="005F769D" w:rsidP="00565457">
      <w:pPr>
        <w:pStyle w:val="ListBullet"/>
        <w:rPr>
          <w:rFonts w:cs="ArialMT"/>
          <w:lang w:eastAsia="ja-JP"/>
        </w:rPr>
      </w:pPr>
      <w:r w:rsidRPr="005F769D">
        <w:rPr>
          <w:lang w:eastAsia="ja-JP"/>
        </w:rPr>
        <w:t xml:space="preserve">Cardiovascular events - cardiac disorders 1.5% </w:t>
      </w:r>
      <w:r w:rsidR="00BA6B85">
        <w:rPr>
          <w:lang w:eastAsia="ja-JP"/>
        </w:rPr>
        <w:t>versus</w:t>
      </w:r>
      <w:r w:rsidRPr="005F769D">
        <w:rPr>
          <w:lang w:eastAsia="ja-JP"/>
        </w:rPr>
        <w:t xml:space="preserve"> 0.7%, vascular disorders 3.9% </w:t>
      </w:r>
      <w:r w:rsidR="00BA6B85">
        <w:rPr>
          <w:lang w:eastAsia="ja-JP"/>
        </w:rPr>
        <w:t>versus</w:t>
      </w:r>
      <w:r w:rsidRPr="005F769D">
        <w:rPr>
          <w:lang w:eastAsia="ja-JP"/>
        </w:rPr>
        <w:t xml:space="preserve"> 4.4%.</w:t>
      </w:r>
      <w:r w:rsidR="004332FB">
        <w:rPr>
          <w:lang w:eastAsia="ja-JP"/>
        </w:rPr>
        <w:t xml:space="preserve"> </w:t>
      </w:r>
      <w:r w:rsidRPr="005F769D">
        <w:rPr>
          <w:lang w:eastAsia="ja-JP"/>
        </w:rPr>
        <w:t>With the exception of hypertension, no event was recorded more than once.</w:t>
      </w:r>
      <w:r w:rsidR="004332FB">
        <w:rPr>
          <w:lang w:eastAsia="ja-JP"/>
        </w:rPr>
        <w:t xml:space="preserve"> </w:t>
      </w:r>
      <w:r w:rsidRPr="005F769D">
        <w:rPr>
          <w:lang w:eastAsia="ja-JP"/>
        </w:rPr>
        <w:t>There were 4 SAEs (acute MI, unstable angina, cardiac arrest [fatal], and CVA) all of which occurred on CZP but were considered unrelated to study drug</w:t>
      </w:r>
    </w:p>
    <w:p w:rsidR="005F769D" w:rsidRPr="004332FB" w:rsidRDefault="005F769D" w:rsidP="00565457">
      <w:pPr>
        <w:pStyle w:val="ListBullet"/>
        <w:rPr>
          <w:rFonts w:cs="ArialMT"/>
          <w:lang w:eastAsia="ja-JP"/>
        </w:rPr>
      </w:pPr>
      <w:r w:rsidRPr="005F769D">
        <w:rPr>
          <w:lang w:eastAsia="ja-JP"/>
        </w:rPr>
        <w:t>Autoimmune or demyelinating disease – none reported, however a single case of subacute cutaneous lupus was reported in a 64-year-old female treated with CZP 200mg.</w:t>
      </w:r>
      <w:r w:rsidR="004332FB">
        <w:rPr>
          <w:lang w:eastAsia="ja-JP"/>
        </w:rPr>
        <w:t xml:space="preserve"> </w:t>
      </w:r>
      <w:r w:rsidRPr="005F769D">
        <w:rPr>
          <w:lang w:eastAsia="ja-JP"/>
        </w:rPr>
        <w:t>It was considered moderate in severity, and possibly related to CZP.</w:t>
      </w:r>
    </w:p>
    <w:p w:rsidR="005F769D" w:rsidRPr="004332FB" w:rsidRDefault="005F769D" w:rsidP="00565457">
      <w:r w:rsidRPr="004332FB">
        <w:t>In study AS001, the incidence of TEAEs was higher on CZP 200mg (76.6%) and CZP 400mg (74.8%), than on placebo (62.6%).</w:t>
      </w:r>
      <w:r w:rsidR="004332FB" w:rsidRPr="004332FB">
        <w:t xml:space="preserve"> </w:t>
      </w:r>
      <w:r w:rsidRPr="004332FB">
        <w:t>Most AEs were mild to moderate in severity.</w:t>
      </w:r>
      <w:r w:rsidR="004332FB" w:rsidRPr="004332FB">
        <w:t xml:space="preserve"> </w:t>
      </w:r>
      <w:r w:rsidRPr="004332FB">
        <w:t xml:space="preserve">The most common TEAEs (combined CZP </w:t>
      </w:r>
      <w:r w:rsidR="00BA6B85" w:rsidRPr="004332FB">
        <w:t>versus</w:t>
      </w:r>
      <w:r w:rsidRPr="004332FB">
        <w:t xml:space="preserve"> PBO) were </w:t>
      </w:r>
      <w:proofErr w:type="spellStart"/>
      <w:r w:rsidRPr="004332FB">
        <w:t>nasopharyngitis</w:t>
      </w:r>
      <w:proofErr w:type="spellEnd"/>
      <w:r w:rsidRPr="004332FB">
        <w:t xml:space="preserve"> (8.8% </w:t>
      </w:r>
      <w:r w:rsidR="00BA6B85" w:rsidRPr="004332FB">
        <w:t>versus</w:t>
      </w:r>
      <w:r w:rsidRPr="004332FB">
        <w:t xml:space="preserve"> 6.5%), headache (6.2% </w:t>
      </w:r>
      <w:r w:rsidR="00BA6B85" w:rsidRPr="004332FB">
        <w:t>versus</w:t>
      </w:r>
      <w:r w:rsidRPr="004332FB">
        <w:t xml:space="preserve"> 6.5%), increased </w:t>
      </w:r>
      <w:proofErr w:type="spellStart"/>
      <w:r w:rsidRPr="004332FB">
        <w:t>creatine</w:t>
      </w:r>
      <w:proofErr w:type="spellEnd"/>
      <w:r w:rsidRPr="004332FB">
        <w:t xml:space="preserve"> phosphokinase (5.1% </w:t>
      </w:r>
      <w:r w:rsidR="00BA6B85" w:rsidRPr="004332FB">
        <w:t>versus</w:t>
      </w:r>
      <w:r w:rsidRPr="004332FB">
        <w:t xml:space="preserve"> 1.9%), upper respiratory tract infection (4.0% </w:t>
      </w:r>
      <w:r w:rsidR="00BA6B85" w:rsidRPr="004332FB">
        <w:t>versus</w:t>
      </w:r>
      <w:r w:rsidRPr="004332FB">
        <w:t xml:space="preserve"> 2.8%), hypertension (2.9% </w:t>
      </w:r>
      <w:r w:rsidR="00BA6B85" w:rsidRPr="004332FB">
        <w:t>versus</w:t>
      </w:r>
      <w:r w:rsidRPr="004332FB">
        <w:t xml:space="preserve"> 3.7%), and urinary tract infection (2.6% </w:t>
      </w:r>
      <w:r w:rsidR="00BA6B85" w:rsidRPr="004332FB">
        <w:t>versus</w:t>
      </w:r>
      <w:r w:rsidRPr="004332FB">
        <w:t xml:space="preserve"> 3.7%).</w:t>
      </w:r>
      <w:r w:rsidR="004332FB" w:rsidRPr="004332FB">
        <w:t xml:space="preserve"> </w:t>
      </w:r>
      <w:r w:rsidRPr="004332FB">
        <w:t>The incidence of individual TEAEs were generally similar between the 2 subpopulations (AS and nr-</w:t>
      </w:r>
      <w:proofErr w:type="spellStart"/>
      <w:r w:rsidRPr="004332FB">
        <w:t>axSpA</w:t>
      </w:r>
      <w:proofErr w:type="spellEnd"/>
      <w:r w:rsidRPr="004332FB">
        <w:t>).</w:t>
      </w:r>
      <w:r w:rsidR="004332FB" w:rsidRPr="004332FB">
        <w:t xml:space="preserve"> </w:t>
      </w:r>
      <w:r w:rsidRPr="004332FB">
        <w:t xml:space="preserve">ADRs occurred at a higher rate in the combined CZP group (33.2%) than in the placebo group (20.6%), mainly due to a higher incidence of ISRs (6.6% </w:t>
      </w:r>
      <w:r w:rsidR="00BA6B85" w:rsidRPr="004332FB">
        <w:t>versus</w:t>
      </w:r>
      <w:r w:rsidRPr="004332FB">
        <w:t xml:space="preserve"> 0.9%), and infections and infestations (14.6% </w:t>
      </w:r>
      <w:r w:rsidR="00BA6B85" w:rsidRPr="004332FB">
        <w:t>versus</w:t>
      </w:r>
      <w:r w:rsidRPr="004332FB">
        <w:t xml:space="preserve"> 4.7%).</w:t>
      </w:r>
      <w:r w:rsidR="004332FB" w:rsidRPr="004332FB">
        <w:t xml:space="preserve"> </w:t>
      </w:r>
      <w:r w:rsidRPr="004332FB">
        <w:t xml:space="preserve">Liver function tests showed increases in AST or ALT </w:t>
      </w:r>
      <w:proofErr w:type="gramStart"/>
      <w:r w:rsidRPr="004332FB">
        <w:t>(</w:t>
      </w:r>
      <w:r w:rsidR="004332FB" w:rsidRPr="004332FB">
        <w:t xml:space="preserve"> greater</w:t>
      </w:r>
      <w:proofErr w:type="gramEnd"/>
      <w:r w:rsidR="004332FB" w:rsidRPr="004332FB">
        <w:t xml:space="preserve"> than or equal to </w:t>
      </w:r>
      <w:r w:rsidRPr="004332FB">
        <w:t xml:space="preserve">3xULN) more frequently in the combined CZP group (1.8%) than in the placebo group (0.9%) with no </w:t>
      </w:r>
      <w:proofErr w:type="spellStart"/>
      <w:r w:rsidRPr="004332FB">
        <w:t>Hy’s</w:t>
      </w:r>
      <w:proofErr w:type="spellEnd"/>
      <w:r w:rsidRPr="004332FB">
        <w:t xml:space="preserve"> law cases.</w:t>
      </w:r>
      <w:r w:rsidR="004332FB" w:rsidRPr="004332FB">
        <w:t xml:space="preserve"> </w:t>
      </w:r>
      <w:r w:rsidRPr="004332FB">
        <w:t>TEAEs of special interest included:</w:t>
      </w:r>
    </w:p>
    <w:p w:rsidR="005F769D" w:rsidRPr="005F769D" w:rsidRDefault="005F769D" w:rsidP="00565457">
      <w:pPr>
        <w:pStyle w:val="ListBullet"/>
        <w:rPr>
          <w:rFonts w:cs="ArialMT"/>
          <w:lang w:eastAsia="ja-JP"/>
        </w:rPr>
      </w:pPr>
      <w:r w:rsidRPr="005F769D">
        <w:rPr>
          <w:lang w:eastAsia="ja-JP"/>
        </w:rPr>
        <w:t xml:space="preserve">ISRs - 6.6% </w:t>
      </w:r>
      <w:r w:rsidR="00BA6B85">
        <w:rPr>
          <w:lang w:eastAsia="ja-JP"/>
        </w:rPr>
        <w:t>versus</w:t>
      </w:r>
      <w:r w:rsidRPr="005F769D">
        <w:rPr>
          <w:lang w:eastAsia="ja-JP"/>
        </w:rPr>
        <w:t xml:space="preserve"> 0.9%, none considered serious.</w:t>
      </w:r>
      <w:r w:rsidR="004332FB">
        <w:rPr>
          <w:lang w:eastAsia="ja-JP"/>
        </w:rPr>
        <w:t xml:space="preserve"> </w:t>
      </w:r>
      <w:r w:rsidRPr="005F769D">
        <w:rPr>
          <w:lang w:eastAsia="ja-JP"/>
        </w:rPr>
        <w:t xml:space="preserve">ISRs were higher in the CZP 200mg group than the CZP 400mg group (9.0% </w:t>
      </w:r>
      <w:r w:rsidR="00BA6B85" w:rsidRPr="00565457">
        <w:t>versus</w:t>
      </w:r>
      <w:r w:rsidRPr="005F769D">
        <w:rPr>
          <w:lang w:eastAsia="ja-JP"/>
        </w:rPr>
        <w:t xml:space="preserve"> 4.7%).</w:t>
      </w:r>
    </w:p>
    <w:p w:rsidR="005F769D" w:rsidRPr="005F769D" w:rsidRDefault="005F769D" w:rsidP="00565457">
      <w:pPr>
        <w:pStyle w:val="ListBullet"/>
        <w:rPr>
          <w:rFonts w:cs="ArialMT"/>
          <w:lang w:eastAsia="ja-JP"/>
        </w:rPr>
      </w:pPr>
      <w:r w:rsidRPr="005F769D">
        <w:rPr>
          <w:lang w:eastAsia="ja-JP"/>
        </w:rPr>
        <w:t xml:space="preserve">Systemic </w:t>
      </w:r>
      <w:r w:rsidRPr="00565457">
        <w:t>hypersensitivity</w:t>
      </w:r>
      <w:r w:rsidRPr="005F769D">
        <w:rPr>
          <w:lang w:eastAsia="ja-JP"/>
        </w:rPr>
        <w:t xml:space="preserve"> reactions – 1.8% </w:t>
      </w:r>
      <w:r w:rsidR="00BA6B85">
        <w:rPr>
          <w:lang w:eastAsia="ja-JP"/>
        </w:rPr>
        <w:t>versus</w:t>
      </w:r>
      <w:r w:rsidRPr="005F769D">
        <w:rPr>
          <w:lang w:eastAsia="ja-JP"/>
        </w:rPr>
        <w:t xml:space="preserve"> 2.8%.</w:t>
      </w:r>
    </w:p>
    <w:p w:rsidR="005F769D" w:rsidRPr="005F769D" w:rsidRDefault="005F769D" w:rsidP="00565457">
      <w:pPr>
        <w:pStyle w:val="ListBullet"/>
        <w:rPr>
          <w:rFonts w:cs="ArialMT"/>
          <w:lang w:eastAsia="ja-JP"/>
        </w:rPr>
      </w:pPr>
      <w:r w:rsidRPr="005F769D">
        <w:rPr>
          <w:lang w:eastAsia="ja-JP"/>
        </w:rPr>
        <w:t xml:space="preserve">Cardiovascular events - cardiac disorders 1.8% </w:t>
      </w:r>
      <w:r w:rsidR="00BA6B85">
        <w:rPr>
          <w:lang w:eastAsia="ja-JP"/>
        </w:rPr>
        <w:t>versus</w:t>
      </w:r>
      <w:r w:rsidRPr="005F769D">
        <w:rPr>
          <w:lang w:eastAsia="ja-JP"/>
        </w:rPr>
        <w:t xml:space="preserve"> 0.9%, vascular disorders 5.1% </w:t>
      </w:r>
      <w:r w:rsidR="00BA6B85">
        <w:rPr>
          <w:lang w:eastAsia="ja-JP"/>
        </w:rPr>
        <w:t>versus</w:t>
      </w:r>
      <w:r w:rsidRPr="005F769D">
        <w:rPr>
          <w:lang w:eastAsia="ja-JP"/>
        </w:rPr>
        <w:t xml:space="preserve"> 5.6%.</w:t>
      </w:r>
      <w:r w:rsidR="004332FB">
        <w:rPr>
          <w:lang w:eastAsia="ja-JP"/>
        </w:rPr>
        <w:t xml:space="preserve"> </w:t>
      </w:r>
      <w:r w:rsidRPr="005F769D">
        <w:rPr>
          <w:lang w:eastAsia="ja-JP"/>
        </w:rPr>
        <w:t xml:space="preserve">With the exception of hypertension, no event was recorded more than </w:t>
      </w:r>
      <w:r w:rsidRPr="00565457">
        <w:t>twice</w:t>
      </w:r>
      <w:r w:rsidRPr="005F769D">
        <w:rPr>
          <w:lang w:eastAsia="ja-JP"/>
        </w:rPr>
        <w:t>.</w:t>
      </w:r>
      <w:r w:rsidR="004332FB">
        <w:rPr>
          <w:lang w:eastAsia="ja-JP"/>
        </w:rPr>
        <w:t xml:space="preserve"> </w:t>
      </w:r>
      <w:r w:rsidRPr="005F769D">
        <w:rPr>
          <w:lang w:eastAsia="ja-JP"/>
        </w:rPr>
        <w:t>There was 1 SAE (SVT) which occurred on CZP 400mg but was considered unlikely to be related to study drug</w:t>
      </w:r>
    </w:p>
    <w:p w:rsidR="005F769D" w:rsidRPr="005F769D" w:rsidRDefault="005F769D" w:rsidP="00565457">
      <w:pPr>
        <w:pStyle w:val="ListBullet"/>
        <w:rPr>
          <w:rFonts w:cs="ArialMT"/>
          <w:lang w:eastAsia="ja-JP"/>
        </w:rPr>
      </w:pPr>
      <w:r w:rsidRPr="005F769D">
        <w:rPr>
          <w:lang w:eastAsia="ja-JP"/>
        </w:rPr>
        <w:t xml:space="preserve">Autoimmune or demyelinating disease – a single case of </w:t>
      </w:r>
      <w:proofErr w:type="spellStart"/>
      <w:r w:rsidRPr="005F769D">
        <w:rPr>
          <w:lang w:eastAsia="ja-JP"/>
        </w:rPr>
        <w:t>pustular</w:t>
      </w:r>
      <w:proofErr w:type="spellEnd"/>
      <w:r w:rsidRPr="005F769D">
        <w:rPr>
          <w:lang w:eastAsia="ja-JP"/>
        </w:rPr>
        <w:t xml:space="preserve"> psoriasis was reported in a 32-year-old female treated with CZP 200mg.</w:t>
      </w:r>
      <w:r w:rsidR="004332FB">
        <w:rPr>
          <w:lang w:eastAsia="ja-JP"/>
        </w:rPr>
        <w:t xml:space="preserve"> </w:t>
      </w:r>
      <w:r w:rsidRPr="005F769D">
        <w:rPr>
          <w:lang w:eastAsia="ja-JP"/>
        </w:rPr>
        <w:t>It was not serious, and considered possibly related to CZP.</w:t>
      </w:r>
    </w:p>
    <w:p w:rsidR="005F769D" w:rsidRPr="004332FB" w:rsidRDefault="005F769D" w:rsidP="004332FB">
      <w:r w:rsidRPr="004332FB">
        <w:t>The supportive studies had similar AE profiles to those in the pivotal studies.</w:t>
      </w:r>
      <w:r w:rsidR="004332FB" w:rsidRPr="004332FB">
        <w:t xml:space="preserve"> </w:t>
      </w:r>
      <w:r w:rsidRPr="004332FB">
        <w:t>One patient treated with CZP in Study C87040 developed disseminated tuberculosis, and another subject was a screen failure for study C87044 because of latent tuberculosis.</w:t>
      </w:r>
    </w:p>
    <w:p w:rsidR="005F769D" w:rsidRPr="004332FB" w:rsidRDefault="005F769D" w:rsidP="00565457">
      <w:r w:rsidRPr="004332FB">
        <w:t>Deaths occurred in 2 patients on CZP in study PsA001 but neither was considered related to study medication. There were no deaths in study AS001, C87040 or C87044.</w:t>
      </w:r>
      <w:r w:rsidR="004332FB" w:rsidRPr="004332FB">
        <w:t xml:space="preserve"> </w:t>
      </w:r>
      <w:r w:rsidRPr="004332FB">
        <w:t xml:space="preserve">SAEs were more frequent in the combined CZP group than in the placebo group in PsA001 (6.6% </w:t>
      </w:r>
      <w:r w:rsidR="00BA6B85" w:rsidRPr="004332FB">
        <w:t>versus</w:t>
      </w:r>
      <w:r w:rsidRPr="004332FB">
        <w:t xml:space="preserve"> 4.4%), but occurred at the same frequency in AS001 (4.7% each).</w:t>
      </w:r>
      <w:r w:rsidR="004332FB" w:rsidRPr="004332FB">
        <w:t xml:space="preserve"> </w:t>
      </w:r>
      <w:r w:rsidRPr="004332FB">
        <w:t xml:space="preserve">No individual SAEs occurred in more than 1 subject, with the exception of </w:t>
      </w:r>
      <w:proofErr w:type="spellStart"/>
      <w:r w:rsidRPr="004332FB">
        <w:t>cholelithiasis</w:t>
      </w:r>
      <w:proofErr w:type="spellEnd"/>
      <w:r w:rsidRPr="004332FB">
        <w:t xml:space="preserve"> (2 cases in AS001, both on CZP 400mg).</w:t>
      </w:r>
      <w:r w:rsidR="004332FB" w:rsidRPr="004332FB">
        <w:t xml:space="preserve"> </w:t>
      </w:r>
      <w:r w:rsidRPr="004332FB">
        <w:t>The incidence of serious infections was low in PsA001 (combined CZP 1.2%, PBO 0.7%) and occurred with the same incidence in the CZP and PBO groups in AS001 (4.7% each), with no rare or opportunistic infections reported, and no reported cases of TB.</w:t>
      </w:r>
      <w:r w:rsidR="004332FB" w:rsidRPr="004332FB">
        <w:t xml:space="preserve"> </w:t>
      </w:r>
      <w:r w:rsidRPr="004332FB">
        <w:t xml:space="preserve">Discontinuations due to AEs were more frequent in the combined CZP group than in the placebo group in PsA001 (3.0% </w:t>
      </w:r>
      <w:r w:rsidR="00BA6B85" w:rsidRPr="004332FB">
        <w:t>versus</w:t>
      </w:r>
      <w:r w:rsidRPr="004332FB">
        <w:t xml:space="preserve"> 1.5%), but occurred at a similar frequency in AS001 (2.2% </w:t>
      </w:r>
      <w:r w:rsidR="00BA6B85" w:rsidRPr="004332FB">
        <w:t>versus</w:t>
      </w:r>
      <w:r w:rsidRPr="004332FB">
        <w:t xml:space="preserve"> 1.9%).</w:t>
      </w:r>
      <w:r w:rsidR="004332FB" w:rsidRPr="004332FB">
        <w:t xml:space="preserve"> </w:t>
      </w:r>
      <w:r w:rsidRPr="004332FB">
        <w:t>The only individual AE leading to study withdrawal reported for more than 1 subject was raised serum transaminases (2 cases on CZP 200mg in PsA001).</w:t>
      </w:r>
    </w:p>
    <w:p w:rsidR="005F769D" w:rsidRPr="004332FB" w:rsidRDefault="005F769D" w:rsidP="00565457">
      <w:r w:rsidRPr="004332FB">
        <w:t>Anti-CZP antibodies developed in 11-12% of subjects on CZP in study PsA001 (3.7% on PBO) and in 1 – 4% of subjects on CZP in study AS001 (1.2% on PBO).</w:t>
      </w:r>
      <w:r w:rsidR="004332FB" w:rsidRPr="004332FB">
        <w:t xml:space="preserve"> </w:t>
      </w:r>
      <w:r w:rsidRPr="004332FB">
        <w:t>In study PsA001, AEs and ADRs were higher in Ab +</w:t>
      </w:r>
      <w:proofErr w:type="spellStart"/>
      <w:r w:rsidRPr="004332FB">
        <w:t>ve</w:t>
      </w:r>
      <w:proofErr w:type="spellEnd"/>
      <w:r w:rsidRPr="004332FB">
        <w:t xml:space="preserve"> subjects than in Ab –</w:t>
      </w:r>
      <w:proofErr w:type="spellStart"/>
      <w:r w:rsidRPr="004332FB">
        <w:t>ve</w:t>
      </w:r>
      <w:proofErr w:type="spellEnd"/>
      <w:r w:rsidRPr="004332FB">
        <w:t xml:space="preserve"> subjects, but SAEs and discontinuations due to AEs were similar.</w:t>
      </w:r>
      <w:r w:rsidR="004332FB" w:rsidRPr="004332FB">
        <w:t xml:space="preserve"> </w:t>
      </w:r>
      <w:r w:rsidRPr="004332FB">
        <w:t>There were only 4 TEAEs reported in AS001 after the development of Ab +</w:t>
      </w:r>
      <w:proofErr w:type="spellStart"/>
      <w:r w:rsidRPr="004332FB">
        <w:t>ve</w:t>
      </w:r>
      <w:proofErr w:type="spellEnd"/>
      <w:r w:rsidRPr="004332FB">
        <w:t xml:space="preserve"> status.</w:t>
      </w:r>
      <w:r w:rsidR="004332FB" w:rsidRPr="004332FB">
        <w:t xml:space="preserve"> </w:t>
      </w:r>
      <w:r w:rsidRPr="004332FB">
        <w:t>Ab +</w:t>
      </w:r>
      <w:proofErr w:type="spellStart"/>
      <w:r w:rsidRPr="004332FB">
        <w:t>ve</w:t>
      </w:r>
      <w:proofErr w:type="spellEnd"/>
      <w:r w:rsidRPr="004332FB">
        <w:t xml:space="preserve"> status in study C87040 was not associated with increased incidence or type of AE, but in C87044 there was an apparent association with lack or loss of re-treatment efficacy.</w:t>
      </w:r>
    </w:p>
    <w:p w:rsidR="008E7846" w:rsidRDefault="00386150" w:rsidP="00565457">
      <w:pPr>
        <w:pStyle w:val="Heading3"/>
        <w:rPr>
          <w:lang w:eastAsia="en-AU"/>
        </w:rPr>
      </w:pPr>
      <w:bookmarkStart w:id="137" w:name="_Toc399507659"/>
      <w:r>
        <w:rPr>
          <w:lang w:eastAsia="en-AU"/>
        </w:rPr>
        <w:t xml:space="preserve">Risk </w:t>
      </w:r>
      <w:r w:rsidRPr="00565457">
        <w:t>m</w:t>
      </w:r>
      <w:r w:rsidR="008E7846" w:rsidRPr="00565457">
        <w:t>anagement</w:t>
      </w:r>
      <w:r w:rsidR="008E7846">
        <w:rPr>
          <w:lang w:eastAsia="en-AU"/>
        </w:rPr>
        <w:t xml:space="preserve"> </w:t>
      </w:r>
      <w:r>
        <w:rPr>
          <w:lang w:eastAsia="en-AU"/>
        </w:rPr>
        <w:t>p</w:t>
      </w:r>
      <w:r w:rsidR="008E7846">
        <w:rPr>
          <w:lang w:eastAsia="en-AU"/>
        </w:rPr>
        <w:t>lan</w:t>
      </w:r>
      <w:bookmarkEnd w:id="129"/>
      <w:bookmarkEnd w:id="137"/>
    </w:p>
    <w:p w:rsidR="005F769D" w:rsidRPr="004332FB" w:rsidRDefault="005F769D" w:rsidP="00565457">
      <w:r w:rsidRPr="004332FB">
        <w:t xml:space="preserve">The </w:t>
      </w:r>
      <w:r w:rsidR="004332FB">
        <w:t>TGA</w:t>
      </w:r>
      <w:r w:rsidRPr="004332FB">
        <w:t xml:space="preserve"> has reviewed the </w:t>
      </w:r>
      <w:proofErr w:type="spellStart"/>
      <w:r w:rsidRPr="004332FB">
        <w:t>certolizumab</w:t>
      </w:r>
      <w:proofErr w:type="spellEnd"/>
      <w:r w:rsidRPr="004332FB">
        <w:t xml:space="preserve"> EU RMP (Version 9.3, dated 1 October 2013), plus the Australian Specific Annex (Version: 1.0, dated 31 October 2013).</w:t>
      </w:r>
    </w:p>
    <w:p w:rsidR="005F769D" w:rsidRPr="004332FB" w:rsidRDefault="005F769D" w:rsidP="00565457">
      <w:r w:rsidRPr="004332FB">
        <w:t>The following were outstanding matters and should be followed up with OPR and in the Pre-ACPM Response:</w:t>
      </w:r>
    </w:p>
    <w:p w:rsidR="005F769D" w:rsidRPr="004332FB" w:rsidRDefault="005F769D" w:rsidP="00565457">
      <w:pPr>
        <w:pStyle w:val="ListBullet"/>
      </w:pPr>
      <w:r w:rsidRPr="004332FB">
        <w:t>The sponsor should add the following ongoing safety concerns or provide compelling justification for their exclusion (all the recommended additional safety concerns were supported by ACSOM):</w:t>
      </w:r>
    </w:p>
    <w:p w:rsidR="005F769D" w:rsidRPr="00565457" w:rsidRDefault="005F769D" w:rsidP="00565457">
      <w:pPr>
        <w:pStyle w:val="ListBullet2"/>
      </w:pPr>
      <w:r w:rsidRPr="00565457">
        <w:t>Under “infections including TB and serious opportunistic infections”, add Legionella, Listeria, and Invasive fungal infections</w:t>
      </w:r>
    </w:p>
    <w:p w:rsidR="005F769D" w:rsidRPr="00565457" w:rsidRDefault="005F769D" w:rsidP="00565457">
      <w:pPr>
        <w:pStyle w:val="ListBullet2"/>
      </w:pPr>
      <w:r w:rsidRPr="00565457">
        <w:t xml:space="preserve">Under “demyelinating disorders”, add </w:t>
      </w:r>
      <w:proofErr w:type="spellStart"/>
      <w:r w:rsidRPr="00565457">
        <w:t>Guillain-Barré</w:t>
      </w:r>
      <w:proofErr w:type="spellEnd"/>
      <w:r w:rsidRPr="00565457">
        <w:t xml:space="preserve"> syndrome, demyelinating polyneuropathy and multifocal motor neuropathy</w:t>
      </w:r>
    </w:p>
    <w:p w:rsidR="005F769D" w:rsidRPr="00565457" w:rsidRDefault="005F769D" w:rsidP="00565457">
      <w:pPr>
        <w:pStyle w:val="ListBullet2"/>
      </w:pPr>
      <w:r w:rsidRPr="00565457">
        <w:t>Injection site reactions</w:t>
      </w:r>
    </w:p>
    <w:p w:rsidR="005F769D" w:rsidRPr="00565457" w:rsidRDefault="005F769D" w:rsidP="00565457">
      <w:pPr>
        <w:pStyle w:val="ListBullet2"/>
      </w:pPr>
      <w:r w:rsidRPr="00565457">
        <w:t>HIV or hepatitis C (important missing information)</w:t>
      </w:r>
    </w:p>
    <w:p w:rsidR="005F769D" w:rsidRPr="004332FB" w:rsidRDefault="005F769D" w:rsidP="00565457">
      <w:pPr>
        <w:pStyle w:val="ListBullet"/>
      </w:pPr>
      <w:r w:rsidRPr="004332FB">
        <w:t xml:space="preserve">ACSOM also advised that the safety concerns identified within the FDA warnings and precautions section, including bacterial </w:t>
      </w:r>
      <w:r w:rsidRPr="00565457">
        <w:t>sepsis</w:t>
      </w:r>
      <w:r w:rsidRPr="004332FB">
        <w:t xml:space="preserve">, </w:t>
      </w:r>
      <w:proofErr w:type="spellStart"/>
      <w:r w:rsidRPr="004332FB">
        <w:t>histoplasmosis</w:t>
      </w:r>
      <w:proofErr w:type="spellEnd"/>
      <w:r w:rsidRPr="004332FB">
        <w:t>, hepatotoxicity and adverse outcomes in patients with heart failure, should be added.</w:t>
      </w:r>
    </w:p>
    <w:p w:rsidR="005F769D" w:rsidRPr="009E7816" w:rsidRDefault="005F769D" w:rsidP="00565457">
      <w:pPr>
        <w:pStyle w:val="ListBullet2"/>
        <w:rPr>
          <w:lang w:eastAsia="en-AU"/>
        </w:rPr>
      </w:pPr>
      <w:proofErr w:type="spellStart"/>
      <w:r w:rsidRPr="00565457">
        <w:t>Pharmacovigilance</w:t>
      </w:r>
      <w:proofErr w:type="spellEnd"/>
    </w:p>
    <w:p w:rsidR="005F769D" w:rsidRPr="009E7816" w:rsidRDefault="005F769D" w:rsidP="00565457">
      <w:pPr>
        <w:pStyle w:val="ListBullet3"/>
        <w:rPr>
          <w:lang w:eastAsia="en-AU"/>
        </w:rPr>
      </w:pPr>
      <w:r>
        <w:rPr>
          <w:lang w:eastAsia="en-AU"/>
        </w:rPr>
        <w:t>The s</w:t>
      </w:r>
      <w:r w:rsidRPr="009E7816">
        <w:rPr>
          <w:lang w:eastAsia="en-AU"/>
        </w:rPr>
        <w:t xml:space="preserve">ponsor </w:t>
      </w:r>
      <w:r>
        <w:rPr>
          <w:lang w:eastAsia="en-AU"/>
        </w:rPr>
        <w:t>should advise whether</w:t>
      </w:r>
      <w:r w:rsidRPr="009E7816">
        <w:rPr>
          <w:lang w:eastAsia="en-AU"/>
        </w:rPr>
        <w:t xml:space="preserve"> questionnaires for serious infectio</w:t>
      </w:r>
      <w:r>
        <w:rPr>
          <w:lang w:eastAsia="en-AU"/>
        </w:rPr>
        <w:t xml:space="preserve">n and hepatitis B reactivation are being developed, </w:t>
      </w:r>
      <w:r w:rsidRPr="00565457">
        <w:t>and</w:t>
      </w:r>
      <w:r>
        <w:rPr>
          <w:lang w:eastAsia="en-AU"/>
        </w:rPr>
        <w:t xml:space="preserve"> address how data from post-market questionnaires will be collected and reported.</w:t>
      </w:r>
    </w:p>
    <w:p w:rsidR="005F769D" w:rsidRPr="009E7816" w:rsidRDefault="005F769D" w:rsidP="00565457">
      <w:pPr>
        <w:pStyle w:val="ListBullet3"/>
        <w:rPr>
          <w:lang w:eastAsia="en-AU"/>
        </w:rPr>
      </w:pPr>
      <w:r w:rsidRPr="009E7816">
        <w:rPr>
          <w:lang w:eastAsia="en-AU"/>
        </w:rPr>
        <w:t xml:space="preserve">It is recommended that the </w:t>
      </w:r>
      <w:r w:rsidRPr="00565457">
        <w:t>Sponsor</w:t>
      </w:r>
      <w:r w:rsidRPr="009E7816">
        <w:rPr>
          <w:lang w:eastAsia="en-AU"/>
        </w:rPr>
        <w:t xml:space="preserve"> report on both the </w:t>
      </w:r>
      <w:r>
        <w:rPr>
          <w:lang w:eastAsia="en-AU"/>
        </w:rPr>
        <w:t xml:space="preserve">ongoing </w:t>
      </w:r>
      <w:r w:rsidRPr="009E7816">
        <w:rPr>
          <w:lang w:eastAsia="en-AU"/>
        </w:rPr>
        <w:t xml:space="preserve">ARAD and DANBIO </w:t>
      </w:r>
      <w:r>
        <w:rPr>
          <w:lang w:eastAsia="en-AU"/>
        </w:rPr>
        <w:t xml:space="preserve">registry </w:t>
      </w:r>
      <w:r w:rsidRPr="009E7816">
        <w:rPr>
          <w:lang w:eastAsia="en-AU"/>
        </w:rPr>
        <w:t>studi</w:t>
      </w:r>
      <w:r w:rsidRPr="00565457">
        <w:t>e</w:t>
      </w:r>
      <w:r w:rsidRPr="009E7816">
        <w:rPr>
          <w:lang w:eastAsia="en-AU"/>
        </w:rPr>
        <w:t>s within the PSUR.</w:t>
      </w:r>
    </w:p>
    <w:p w:rsidR="005F769D" w:rsidRPr="009E7816" w:rsidRDefault="005F769D" w:rsidP="00565457">
      <w:pPr>
        <w:pStyle w:val="ListBullet2"/>
        <w:rPr>
          <w:lang w:eastAsia="en-AU"/>
        </w:rPr>
      </w:pPr>
      <w:r>
        <w:rPr>
          <w:lang w:eastAsia="en-AU"/>
        </w:rPr>
        <w:t>The s</w:t>
      </w:r>
      <w:r w:rsidRPr="009E7816">
        <w:rPr>
          <w:lang w:eastAsia="en-AU"/>
        </w:rPr>
        <w:t xml:space="preserve">ponsor </w:t>
      </w:r>
      <w:r>
        <w:rPr>
          <w:lang w:eastAsia="en-AU"/>
        </w:rPr>
        <w:t>should clarify</w:t>
      </w:r>
      <w:r w:rsidRPr="009E7816">
        <w:rPr>
          <w:lang w:eastAsia="en-AU"/>
        </w:rPr>
        <w:t xml:space="preserve"> the </w:t>
      </w:r>
      <w:r>
        <w:rPr>
          <w:lang w:eastAsia="en-AU"/>
        </w:rPr>
        <w:t xml:space="preserve">proposed </w:t>
      </w:r>
      <w:r w:rsidRPr="009E7816">
        <w:rPr>
          <w:lang w:eastAsia="en-AU"/>
        </w:rPr>
        <w:t>risk minimisation plan for Australia, and the inclusion of addition</w:t>
      </w:r>
      <w:r>
        <w:rPr>
          <w:lang w:eastAsia="en-AU"/>
        </w:rPr>
        <w:t>al risk minimisation activities</w:t>
      </w:r>
      <w:r w:rsidRPr="00B10A30">
        <w:rPr>
          <w:lang w:eastAsia="en-AU"/>
        </w:rPr>
        <w:t xml:space="preserve"> </w:t>
      </w:r>
      <w:r>
        <w:rPr>
          <w:lang w:eastAsia="en-AU"/>
        </w:rPr>
        <w:t>(</w:t>
      </w:r>
      <w:r w:rsidRPr="009E7816">
        <w:rPr>
          <w:lang w:eastAsia="en-AU"/>
        </w:rPr>
        <w:t>as applied in the EU</w:t>
      </w:r>
      <w:r>
        <w:rPr>
          <w:lang w:eastAsia="en-AU"/>
        </w:rPr>
        <w:t>), which was inconsistently addressed in the S31 responses.</w:t>
      </w:r>
    </w:p>
    <w:p w:rsidR="005F769D" w:rsidRPr="009E7816" w:rsidRDefault="005F769D" w:rsidP="00565457">
      <w:pPr>
        <w:pStyle w:val="ListBullet2"/>
        <w:rPr>
          <w:lang w:eastAsia="en-AU"/>
        </w:rPr>
      </w:pPr>
      <w:r w:rsidRPr="009E7816">
        <w:rPr>
          <w:lang w:eastAsia="en-AU"/>
        </w:rPr>
        <w:t>Additional advice from ACSOM:</w:t>
      </w:r>
    </w:p>
    <w:p w:rsidR="005F769D" w:rsidRPr="009E7816" w:rsidRDefault="005F769D" w:rsidP="00565457">
      <w:pPr>
        <w:pStyle w:val="ListBullet3"/>
        <w:rPr>
          <w:lang w:eastAsia="en-AU"/>
        </w:rPr>
      </w:pPr>
      <w:r w:rsidRPr="009E7816">
        <w:rPr>
          <w:lang w:eastAsia="en-AU"/>
        </w:rPr>
        <w:t>ACSOM was concerned</w:t>
      </w:r>
      <w:r>
        <w:rPr>
          <w:lang w:eastAsia="en-AU"/>
        </w:rPr>
        <w:t xml:space="preserve"> about the use and interpretation of the</w:t>
      </w:r>
      <w:r w:rsidRPr="009E7816">
        <w:rPr>
          <w:lang w:eastAsia="en-AU"/>
        </w:rPr>
        <w:t xml:space="preserve"> term ‘non-radiographic’</w:t>
      </w:r>
      <w:r>
        <w:rPr>
          <w:lang w:eastAsia="en-AU"/>
        </w:rPr>
        <w:t xml:space="preserve"> </w:t>
      </w:r>
      <w:r w:rsidRPr="009E7816">
        <w:rPr>
          <w:lang w:eastAsia="en-AU"/>
        </w:rPr>
        <w:t xml:space="preserve">in the </w:t>
      </w:r>
      <w:r>
        <w:rPr>
          <w:lang w:eastAsia="en-AU"/>
        </w:rPr>
        <w:t xml:space="preserve">axial </w:t>
      </w:r>
      <w:proofErr w:type="spellStart"/>
      <w:r w:rsidRPr="00565457">
        <w:t>spondyloarthritis</w:t>
      </w:r>
      <w:proofErr w:type="spellEnd"/>
      <w:r>
        <w:rPr>
          <w:lang w:eastAsia="en-AU"/>
        </w:rPr>
        <w:t xml:space="preserve"> </w:t>
      </w:r>
      <w:r w:rsidRPr="009E7816">
        <w:rPr>
          <w:lang w:eastAsia="en-AU"/>
        </w:rPr>
        <w:t>indication.</w:t>
      </w:r>
      <w:r w:rsidR="004332FB">
        <w:rPr>
          <w:lang w:eastAsia="en-AU"/>
        </w:rPr>
        <w:t xml:space="preserve"> </w:t>
      </w:r>
      <w:r w:rsidRPr="009E7816">
        <w:rPr>
          <w:lang w:eastAsia="en-AU"/>
        </w:rPr>
        <w:t xml:space="preserve">ACSOM advised that it would be more appropriate to include a phrase such as ‘when lack of response to DMARDs and NSAIDs’ to ensure clear communication of the intended use of </w:t>
      </w:r>
      <w:proofErr w:type="spellStart"/>
      <w:r w:rsidRPr="009E7816">
        <w:rPr>
          <w:lang w:eastAsia="en-AU"/>
        </w:rPr>
        <w:t>certolizumab</w:t>
      </w:r>
      <w:proofErr w:type="spellEnd"/>
      <w:r w:rsidRPr="009E7816">
        <w:rPr>
          <w:lang w:eastAsia="en-AU"/>
        </w:rPr>
        <w:t>.</w:t>
      </w:r>
    </w:p>
    <w:p w:rsidR="005F769D" w:rsidRPr="009E7816" w:rsidRDefault="005F769D" w:rsidP="00565457">
      <w:pPr>
        <w:pStyle w:val="ListBullet3"/>
        <w:rPr>
          <w:lang w:eastAsia="en-AU"/>
        </w:rPr>
      </w:pPr>
      <w:r w:rsidRPr="009E7816">
        <w:rPr>
          <w:lang w:eastAsia="en-AU"/>
        </w:rPr>
        <w:t xml:space="preserve">ACSOM was also concerned that the term ‘axial </w:t>
      </w:r>
      <w:proofErr w:type="spellStart"/>
      <w:r w:rsidRPr="009E7816">
        <w:rPr>
          <w:lang w:eastAsia="en-AU"/>
        </w:rPr>
        <w:t>spondyloarthritis</w:t>
      </w:r>
      <w:proofErr w:type="spellEnd"/>
      <w:r w:rsidRPr="009E7816">
        <w:rPr>
          <w:lang w:eastAsia="en-AU"/>
        </w:rPr>
        <w:t>’, particularly in association with the term ‘non-radiographic’ would include a large proportion of the population.</w:t>
      </w:r>
      <w:r w:rsidR="004332FB">
        <w:rPr>
          <w:lang w:eastAsia="en-AU"/>
        </w:rPr>
        <w:t xml:space="preserve"> </w:t>
      </w:r>
      <w:r w:rsidRPr="009E7816">
        <w:rPr>
          <w:lang w:eastAsia="en-AU"/>
        </w:rPr>
        <w:t xml:space="preserve">ACSOM underlined the importance of having a clearly defined disease when disease modifying </w:t>
      </w:r>
      <w:r w:rsidRPr="00565457">
        <w:t>agents</w:t>
      </w:r>
      <w:r w:rsidRPr="009E7816">
        <w:rPr>
          <w:lang w:eastAsia="en-AU"/>
        </w:rPr>
        <w:t>, such as TNFα antagonists are used.</w:t>
      </w:r>
    </w:p>
    <w:p w:rsidR="005F769D" w:rsidRDefault="005F769D" w:rsidP="00565457">
      <w:pPr>
        <w:pStyle w:val="ListBullet3"/>
        <w:rPr>
          <w:lang w:eastAsia="en-AU"/>
        </w:rPr>
      </w:pPr>
      <w:r w:rsidRPr="009E7816">
        <w:rPr>
          <w:lang w:eastAsia="en-AU"/>
        </w:rPr>
        <w:t>In addition, ACSOM advised that the use of the marketing terms in the indication ‘</w:t>
      </w:r>
      <w:proofErr w:type="spellStart"/>
      <w:r w:rsidRPr="009E7816">
        <w:rPr>
          <w:lang w:eastAsia="en-AU"/>
        </w:rPr>
        <w:t>Cimzia</w:t>
      </w:r>
      <w:proofErr w:type="spellEnd"/>
      <w:r w:rsidRPr="009E7816">
        <w:rPr>
          <w:lang w:eastAsia="en-AU"/>
        </w:rPr>
        <w:t xml:space="preserve"> has been shown to reduce the rate of progression of peripheral joint damage as measured by X-ray and to </w:t>
      </w:r>
      <w:r w:rsidRPr="00565457">
        <w:t>improve</w:t>
      </w:r>
      <w:r w:rsidRPr="009E7816">
        <w:rPr>
          <w:lang w:eastAsia="en-AU"/>
        </w:rPr>
        <w:t xml:space="preserve"> physical function’ was not appropriate and that such words should be removed from the indication. Such a statement is beyond the scope of defining the intended population.</w:t>
      </w:r>
    </w:p>
    <w:p w:rsidR="005F769D" w:rsidRPr="002604ED" w:rsidRDefault="005F769D" w:rsidP="00565457">
      <w:r w:rsidRPr="002604ED">
        <w:t>Other RMP issues were satisfactorily resolved.</w:t>
      </w:r>
    </w:p>
    <w:p w:rsidR="008E7846" w:rsidRDefault="00AA0ED0" w:rsidP="00565457">
      <w:pPr>
        <w:pStyle w:val="Heading3"/>
      </w:pPr>
      <w:bookmarkStart w:id="138" w:name="_Toc247691531"/>
      <w:bookmarkStart w:id="139" w:name="_Toc314842515"/>
      <w:bookmarkStart w:id="140" w:name="_Toc196046505"/>
      <w:bookmarkStart w:id="141" w:name="_Toc196046949"/>
      <w:bookmarkStart w:id="142" w:name="_Toc399507660"/>
      <w:r>
        <w:t>Risk-</w:t>
      </w:r>
      <w:r w:rsidRPr="00565457">
        <w:t>benefit</w:t>
      </w:r>
      <w:r>
        <w:t xml:space="preserve"> a</w:t>
      </w:r>
      <w:r w:rsidR="008E7846">
        <w:t>nalysis</w:t>
      </w:r>
      <w:bookmarkEnd w:id="138"/>
      <w:bookmarkEnd w:id="139"/>
      <w:bookmarkEnd w:id="142"/>
    </w:p>
    <w:p w:rsidR="00D23139" w:rsidRDefault="00D23139" w:rsidP="00565457">
      <w:pPr>
        <w:pStyle w:val="Heading4"/>
      </w:pPr>
      <w:r w:rsidRPr="00D23139">
        <w:t xml:space="preserve">Delegate’s </w:t>
      </w:r>
      <w:r w:rsidRPr="00565457">
        <w:t>considerations</w:t>
      </w:r>
      <w:r w:rsidRPr="00D23139">
        <w:t xml:space="preserve"> </w:t>
      </w:r>
    </w:p>
    <w:p w:rsidR="004332FB" w:rsidRDefault="005F769D" w:rsidP="00565457">
      <w:pPr>
        <w:pStyle w:val="Heading5"/>
      </w:pPr>
      <w:r w:rsidRPr="00565457">
        <w:t>Efficacy</w:t>
      </w:r>
    </w:p>
    <w:p w:rsidR="005F769D" w:rsidRPr="004934BC" w:rsidRDefault="005F769D" w:rsidP="00565457">
      <w:r w:rsidRPr="004934BC">
        <w:t xml:space="preserve">The efficacy of </w:t>
      </w:r>
      <w:proofErr w:type="spellStart"/>
      <w:r w:rsidRPr="004934BC">
        <w:t>certolizumab</w:t>
      </w:r>
      <w:proofErr w:type="spellEnd"/>
      <w:r w:rsidRPr="004934BC">
        <w:t xml:space="preserve"> for the treatment of adult patients with </w:t>
      </w:r>
      <w:proofErr w:type="spellStart"/>
      <w:r w:rsidRPr="004934BC">
        <w:t>PsA</w:t>
      </w:r>
      <w:proofErr w:type="spellEnd"/>
      <w:r w:rsidRPr="004934BC">
        <w:t xml:space="preserve"> and axial </w:t>
      </w:r>
      <w:proofErr w:type="spellStart"/>
      <w:r w:rsidRPr="004934BC">
        <w:t>SpA</w:t>
      </w:r>
      <w:proofErr w:type="spellEnd"/>
      <w:r w:rsidRPr="004934BC">
        <w:t xml:space="preserve"> is based on one pivotal study in each indication.</w:t>
      </w:r>
      <w:r w:rsidR="004332FB" w:rsidRPr="004934BC">
        <w:t xml:space="preserve"> </w:t>
      </w:r>
      <w:r w:rsidRPr="004934BC">
        <w:t xml:space="preserve">For </w:t>
      </w:r>
      <w:proofErr w:type="spellStart"/>
      <w:r w:rsidRPr="004934BC">
        <w:t>PsA</w:t>
      </w:r>
      <w:proofErr w:type="spellEnd"/>
      <w:r w:rsidRPr="004934BC">
        <w:t xml:space="preserve">, </w:t>
      </w:r>
      <w:proofErr w:type="spellStart"/>
      <w:r w:rsidRPr="004934BC">
        <w:t>certolizumab</w:t>
      </w:r>
      <w:proofErr w:type="spellEnd"/>
      <w:r w:rsidRPr="004934BC">
        <w:t xml:space="preserve"> was superior to placebo for both primary efficacy outcomes.</w:t>
      </w:r>
      <w:r w:rsidR="004332FB" w:rsidRPr="004934BC">
        <w:t xml:space="preserve"> </w:t>
      </w:r>
      <w:r w:rsidRPr="004934BC">
        <w:t>The ACR 20 responder rate at Week 12 was significantly higher for CZP 200mg Q2W (58%) and CZP 400mg Q4W (51.9%) compared with placebo (24.3%).</w:t>
      </w:r>
      <w:r w:rsidR="004332FB" w:rsidRPr="004934BC">
        <w:t xml:space="preserve"> </w:t>
      </w:r>
      <w:r w:rsidRPr="004934BC">
        <w:t xml:space="preserve">There was less progression of x-ray changes at </w:t>
      </w:r>
      <w:r w:rsidR="0024294D" w:rsidRPr="004934BC">
        <w:t>Week</w:t>
      </w:r>
      <w:r w:rsidRPr="004934BC">
        <w:t xml:space="preserve"> 24 (change from baseline in </w:t>
      </w:r>
      <w:proofErr w:type="spellStart"/>
      <w:r w:rsidRPr="004934BC">
        <w:t>mTSS</w:t>
      </w:r>
      <w:proofErr w:type="spellEnd"/>
      <w:r w:rsidRPr="004934BC">
        <w:t>; using post-hoc imputation rules) for CZP 200mg Q2W (0.01) and CZP 400mg Q4W (0.11) compared with placebo (0.28), but only the CZP 200mg result was statistically significant.</w:t>
      </w:r>
      <w:r w:rsidR="004332FB" w:rsidRPr="004934BC">
        <w:t xml:space="preserve"> </w:t>
      </w:r>
      <w:r w:rsidRPr="004934BC">
        <w:t xml:space="preserve">While the </w:t>
      </w:r>
      <w:proofErr w:type="spellStart"/>
      <w:r w:rsidRPr="004934BC">
        <w:t>mTSS</w:t>
      </w:r>
      <w:proofErr w:type="spellEnd"/>
      <w:r w:rsidRPr="004934BC">
        <w:t xml:space="preserve"> results were comparable with those seen for other anti-TNF treatments for </w:t>
      </w:r>
      <w:proofErr w:type="spellStart"/>
      <w:r w:rsidRPr="004934BC">
        <w:t>PsA</w:t>
      </w:r>
      <w:proofErr w:type="spellEnd"/>
      <w:r w:rsidRPr="004934BC">
        <w:t>, the concern is that they are based on post-hoc analyses as the pre-defined analyses led to physiologically implausible results.</w:t>
      </w:r>
      <w:r w:rsidR="004332FB" w:rsidRPr="004934BC">
        <w:t xml:space="preserve"> </w:t>
      </w:r>
      <w:r w:rsidRPr="004934BC">
        <w:t>In addition, longer-term data are needed (see endpoint claims, below).</w:t>
      </w:r>
      <w:r w:rsidR="004332FB" w:rsidRPr="004934BC">
        <w:t xml:space="preserve"> </w:t>
      </w:r>
      <w:r w:rsidRPr="004934BC">
        <w:t xml:space="preserve">For axial </w:t>
      </w:r>
      <w:proofErr w:type="spellStart"/>
      <w:r w:rsidRPr="004934BC">
        <w:t>SpA</w:t>
      </w:r>
      <w:proofErr w:type="spellEnd"/>
      <w:r w:rsidRPr="004934BC">
        <w:t xml:space="preserve">, the ASAS 20 response rate at </w:t>
      </w:r>
      <w:r w:rsidR="0024294D" w:rsidRPr="004934BC">
        <w:t>Week</w:t>
      </w:r>
      <w:r w:rsidRPr="004934BC">
        <w:t xml:space="preserve"> 12 for CZP was higher for both the 200mg Q2W (57.7%) and 400mg Q4W (63.6%) doses compared with placebo (38.3%).</w:t>
      </w:r>
      <w:r w:rsidR="004332FB" w:rsidRPr="004934BC">
        <w:t xml:space="preserve"> </w:t>
      </w:r>
      <w:r w:rsidRPr="004934BC">
        <w:t>Similar results were seen in both the AS and nr-</w:t>
      </w:r>
      <w:proofErr w:type="spellStart"/>
      <w:r w:rsidRPr="004934BC">
        <w:t>axSpA</w:t>
      </w:r>
      <w:proofErr w:type="spellEnd"/>
      <w:r w:rsidRPr="004934BC">
        <w:t xml:space="preserve"> subpopulations.</w:t>
      </w:r>
      <w:r w:rsidR="004332FB" w:rsidRPr="004934BC">
        <w:t xml:space="preserve"> </w:t>
      </w:r>
      <w:r w:rsidRPr="004934BC">
        <w:t>In subgroup analyses for both indications males had a better response than females.</w:t>
      </w:r>
      <w:r w:rsidR="004332FB" w:rsidRPr="004934BC">
        <w:t xml:space="preserve"> </w:t>
      </w:r>
      <w:r w:rsidRPr="004934BC">
        <w:t xml:space="preserve">Key secondary endpoints were supportive for </w:t>
      </w:r>
      <w:proofErr w:type="spellStart"/>
      <w:r w:rsidRPr="004934BC">
        <w:t>PsA</w:t>
      </w:r>
      <w:proofErr w:type="spellEnd"/>
      <w:r w:rsidRPr="004934BC">
        <w:t xml:space="preserve"> (ACR20 response rate, mean change from baseline in HAQ-DI, and PASI 75 response rate at Week 24) and </w:t>
      </w:r>
      <w:proofErr w:type="spellStart"/>
      <w:r w:rsidRPr="004934BC">
        <w:t>axSpA</w:t>
      </w:r>
      <w:proofErr w:type="spellEnd"/>
      <w:r w:rsidRPr="004934BC">
        <w:t xml:space="preserve"> (ASAS 20 at </w:t>
      </w:r>
      <w:r w:rsidR="0024294D" w:rsidRPr="004934BC">
        <w:t>Week</w:t>
      </w:r>
      <w:r w:rsidRPr="004934BC">
        <w:t xml:space="preserve"> 24, BASFI, BASDAI, and BASMI scores at </w:t>
      </w:r>
      <w:r w:rsidR="0024294D" w:rsidRPr="004934BC">
        <w:t>Week</w:t>
      </w:r>
      <w:r w:rsidRPr="004934BC">
        <w:t xml:space="preserve">s 12 and </w:t>
      </w:r>
      <w:proofErr w:type="gramStart"/>
      <w:r w:rsidRPr="004934BC">
        <w:t>24,</w:t>
      </w:r>
      <w:proofErr w:type="gramEnd"/>
      <w:r w:rsidRPr="004934BC">
        <w:t xml:space="preserve"> and two MRI parameters at </w:t>
      </w:r>
      <w:r w:rsidR="0024294D" w:rsidRPr="004934BC">
        <w:t>Week</w:t>
      </w:r>
      <w:r w:rsidRPr="004934BC">
        <w:t xml:space="preserve"> 12).</w:t>
      </w:r>
      <w:r w:rsidR="004332FB" w:rsidRPr="004934BC">
        <w:t xml:space="preserve"> </w:t>
      </w:r>
      <w:r w:rsidRPr="004934BC">
        <w:t xml:space="preserve">Quality of life also improved on CZP compared with placebo in both the </w:t>
      </w:r>
      <w:proofErr w:type="spellStart"/>
      <w:r w:rsidRPr="004934BC">
        <w:t>PsA</w:t>
      </w:r>
      <w:proofErr w:type="spellEnd"/>
      <w:r w:rsidRPr="004934BC">
        <w:t xml:space="preserve"> and axial </w:t>
      </w:r>
      <w:proofErr w:type="spellStart"/>
      <w:r w:rsidRPr="004934BC">
        <w:t>SpA</w:t>
      </w:r>
      <w:proofErr w:type="spellEnd"/>
      <w:r w:rsidRPr="004934BC">
        <w:t xml:space="preserve"> patient populations.</w:t>
      </w:r>
    </w:p>
    <w:p w:rsidR="004332FB" w:rsidRDefault="004332FB" w:rsidP="00565457">
      <w:pPr>
        <w:pStyle w:val="Heading5"/>
      </w:pPr>
      <w:r>
        <w:t>Endpoint claims</w:t>
      </w:r>
    </w:p>
    <w:p w:rsidR="005F769D" w:rsidRPr="004934BC" w:rsidRDefault="005F769D" w:rsidP="00565457">
      <w:r w:rsidRPr="004934BC">
        <w:t xml:space="preserve">For the </w:t>
      </w:r>
      <w:proofErr w:type="spellStart"/>
      <w:r w:rsidRPr="004934BC">
        <w:t>PsA</w:t>
      </w:r>
      <w:proofErr w:type="spellEnd"/>
      <w:r w:rsidRPr="004934BC">
        <w:t xml:space="preserve"> indication, the sponsor proposed inclusion of x-ray and physical function endpoints (</w:t>
      </w:r>
      <w:proofErr w:type="spellStart"/>
      <w:r w:rsidRPr="004934BC">
        <w:t>Cimzia</w:t>
      </w:r>
      <w:proofErr w:type="spellEnd"/>
      <w:r w:rsidRPr="004934BC">
        <w:t xml:space="preserve"> has been shown to reduce the rate of progression of peripheral joint damage as measured by X-ray and to improve physical function).</w:t>
      </w:r>
      <w:r w:rsidR="004332FB" w:rsidRPr="004934BC">
        <w:t xml:space="preserve"> </w:t>
      </w:r>
      <w:r w:rsidRPr="004934BC">
        <w:t>The clinical evaluator does not support inclusion of the x-ray endpoint for two reasons: (</w:t>
      </w:r>
      <w:proofErr w:type="spellStart"/>
      <w:r w:rsidRPr="004934BC">
        <w:t>i</w:t>
      </w:r>
      <w:proofErr w:type="spellEnd"/>
      <w:r w:rsidRPr="004934BC">
        <w:t xml:space="preserve">) the 24 </w:t>
      </w:r>
      <w:r w:rsidR="0024294D" w:rsidRPr="004934BC">
        <w:t>Week</w:t>
      </w:r>
      <w:r w:rsidRPr="004934BC">
        <w:t xml:space="preserve"> time frame is insufficient to justify the claim; and (ii) radiological efficacy was only positive when post-hoc imputation rules were applied.</w:t>
      </w:r>
      <w:r w:rsidR="004332FB" w:rsidRPr="004934BC">
        <w:t xml:space="preserve"> </w:t>
      </w:r>
      <w:r w:rsidRPr="004934BC">
        <w:t xml:space="preserve">Although not specifically addressed in the EMA guideline for </w:t>
      </w:r>
      <w:proofErr w:type="spellStart"/>
      <w:r w:rsidRPr="004934BC">
        <w:t>PsA</w:t>
      </w:r>
      <w:proofErr w:type="spellEnd"/>
      <w:r w:rsidRPr="004934BC">
        <w:t>, these arguments are supported by the RA guideline which recommends not less than one year (ideally two years) of follow-up for x-ray endpoints, and states that the “method for obtaining the final score should be described in detail (</w:t>
      </w:r>
      <w:r w:rsidR="0024294D" w:rsidRPr="004934BC">
        <w:t>for example</w:t>
      </w:r>
      <w:r w:rsidRPr="004934BC">
        <w:t xml:space="preserve"> consensus) and be predefined”.</w:t>
      </w:r>
      <w:r w:rsidR="004332FB" w:rsidRPr="004934BC">
        <w:t xml:space="preserve"> </w:t>
      </w:r>
      <w:r w:rsidRPr="004934BC">
        <w:t>In Australia, 2 years of data are normally submitted for RA indications claiming radiographic benefits.</w:t>
      </w:r>
      <w:r w:rsidR="004332FB" w:rsidRPr="004934BC">
        <w:t xml:space="preserve"> </w:t>
      </w:r>
      <w:r w:rsidRPr="004934BC">
        <w:t xml:space="preserve">Further, the </w:t>
      </w:r>
      <w:r w:rsidR="0024294D" w:rsidRPr="004934BC">
        <w:t>Week</w:t>
      </w:r>
      <w:r w:rsidRPr="004934BC">
        <w:t xml:space="preserve"> 48 data provided by the sponsor in the S31 response did not demonstrate a statistically significant benefit with CZP treatment.</w:t>
      </w:r>
      <w:r w:rsidR="004332FB" w:rsidRPr="004934BC">
        <w:t xml:space="preserve"> </w:t>
      </w:r>
      <w:r w:rsidR="00445828">
        <w:t>The Delegate</w:t>
      </w:r>
      <w:r w:rsidRPr="004934BC">
        <w:t xml:space="preserve"> agree</w:t>
      </w:r>
      <w:r w:rsidR="00445828">
        <w:t>s</w:t>
      </w:r>
      <w:r w:rsidRPr="004934BC">
        <w:t xml:space="preserve"> with these concerns about the radiographic data, and therefore recommend</w:t>
      </w:r>
      <w:r w:rsidR="000F780F">
        <w:t>s</w:t>
      </w:r>
      <w:r w:rsidRPr="004934BC">
        <w:t xml:space="preserve"> that the x-ray claim is removed from the indication.</w:t>
      </w:r>
      <w:r w:rsidR="004332FB" w:rsidRPr="004934BC">
        <w:t xml:space="preserve"> </w:t>
      </w:r>
      <w:r w:rsidRPr="004934BC">
        <w:t>While the physical function endpoint did show improvement with CZP treatment, the results of both endpoints may be more appropriately included in the Clinical Trials section of the PI.</w:t>
      </w:r>
      <w:r w:rsidR="004332FB" w:rsidRPr="004934BC">
        <w:t xml:space="preserve"> </w:t>
      </w:r>
      <w:r w:rsidRPr="004934BC">
        <w:t>ACSOM also support this view, particularly since endpoint claims do not define the population to be treated (</w:t>
      </w:r>
      <w:r w:rsidR="004332FB" w:rsidRPr="004934BC">
        <w:t>that is</w:t>
      </w:r>
      <w:r w:rsidRPr="004934BC">
        <w:t xml:space="preserve"> the indication).</w:t>
      </w:r>
      <w:r w:rsidR="004332FB" w:rsidRPr="004934BC">
        <w:t xml:space="preserve"> </w:t>
      </w:r>
      <w:r w:rsidRPr="004934BC">
        <w:t>ACPM’s advice is requested on this matter.</w:t>
      </w:r>
    </w:p>
    <w:p w:rsidR="004332FB" w:rsidRDefault="004332FB" w:rsidP="00565457">
      <w:pPr>
        <w:pStyle w:val="Heading5"/>
      </w:pPr>
      <w:r>
        <w:t xml:space="preserve">Axial </w:t>
      </w:r>
      <w:proofErr w:type="spellStart"/>
      <w:r>
        <w:t>SpA</w:t>
      </w:r>
      <w:proofErr w:type="spellEnd"/>
      <w:r>
        <w:t xml:space="preserve"> </w:t>
      </w:r>
      <w:r w:rsidRPr="00565457">
        <w:t>subpopulations</w:t>
      </w:r>
    </w:p>
    <w:p w:rsidR="005F769D" w:rsidRPr="004934BC" w:rsidRDefault="005F769D" w:rsidP="00565457">
      <w:r w:rsidRPr="004934BC">
        <w:t>The sponsor has included nr-</w:t>
      </w:r>
      <w:proofErr w:type="spellStart"/>
      <w:r w:rsidRPr="004934BC">
        <w:t>axSpA</w:t>
      </w:r>
      <w:proofErr w:type="spellEnd"/>
      <w:r w:rsidRPr="004934BC">
        <w:t xml:space="preserve"> in the proposed indication.</w:t>
      </w:r>
      <w:r w:rsidR="004332FB" w:rsidRPr="004934BC">
        <w:t xml:space="preserve"> </w:t>
      </w:r>
      <w:r w:rsidRPr="004934BC">
        <w:t xml:space="preserve">The results for this subgroup were comparable to those seen in the overall axial </w:t>
      </w:r>
      <w:proofErr w:type="spellStart"/>
      <w:r w:rsidRPr="004934BC">
        <w:t>SpA</w:t>
      </w:r>
      <w:proofErr w:type="spellEnd"/>
      <w:r w:rsidRPr="004934BC">
        <w:t xml:space="preserve"> population and in those with definite AS; therefore inclusion of this subgroup appears reasonable.</w:t>
      </w:r>
      <w:r w:rsidR="004332FB" w:rsidRPr="004934BC">
        <w:t xml:space="preserve"> </w:t>
      </w:r>
      <w:r w:rsidRPr="004934BC">
        <w:t>However, is nr-</w:t>
      </w:r>
      <w:proofErr w:type="spellStart"/>
      <w:r w:rsidRPr="004934BC">
        <w:t>axSpA</w:t>
      </w:r>
      <w:proofErr w:type="spellEnd"/>
      <w:r w:rsidRPr="004934BC">
        <w:t xml:space="preserve"> sufficiently well-defined and recognised to support its inclusion in the </w:t>
      </w:r>
      <w:proofErr w:type="spellStart"/>
      <w:r w:rsidRPr="004934BC">
        <w:t>axSpA</w:t>
      </w:r>
      <w:proofErr w:type="spellEnd"/>
      <w:r w:rsidRPr="004934BC">
        <w:t xml:space="preserve"> indication?</w:t>
      </w:r>
      <w:r w:rsidR="004332FB" w:rsidRPr="004934BC">
        <w:t xml:space="preserve"> </w:t>
      </w:r>
      <w:r w:rsidRPr="004934BC">
        <w:t>ACPM’s advice is requested on this matter.</w:t>
      </w:r>
    </w:p>
    <w:p w:rsidR="004332FB" w:rsidRDefault="005F769D" w:rsidP="00565457">
      <w:pPr>
        <w:pStyle w:val="Heading5"/>
      </w:pPr>
      <w:r w:rsidRPr="006C4B56">
        <w:t>Safety and RMP</w:t>
      </w:r>
    </w:p>
    <w:p w:rsidR="005F769D" w:rsidRPr="004934BC" w:rsidRDefault="005F769D" w:rsidP="00565457">
      <w:r w:rsidRPr="004934BC">
        <w:t xml:space="preserve">The safety of </w:t>
      </w:r>
      <w:proofErr w:type="spellStart"/>
      <w:r w:rsidRPr="004934BC">
        <w:t>certolizumab</w:t>
      </w:r>
      <w:proofErr w:type="spellEnd"/>
      <w:r w:rsidRPr="004934BC">
        <w:t xml:space="preserve"> has been demonstrated in 606 adult patients with active </w:t>
      </w:r>
      <w:proofErr w:type="spellStart"/>
      <w:r w:rsidRPr="004934BC">
        <w:t>PsA</w:t>
      </w:r>
      <w:proofErr w:type="spellEnd"/>
      <w:r w:rsidRPr="004934BC">
        <w:t xml:space="preserve"> (n</w:t>
      </w:r>
      <w:r w:rsidR="004332FB" w:rsidRPr="004934BC">
        <w:t xml:space="preserve"> = </w:t>
      </w:r>
      <w:r w:rsidRPr="004934BC">
        <w:t xml:space="preserve">332) or axial </w:t>
      </w:r>
      <w:proofErr w:type="spellStart"/>
      <w:r w:rsidRPr="004934BC">
        <w:t>SpA</w:t>
      </w:r>
      <w:proofErr w:type="spellEnd"/>
      <w:r w:rsidRPr="004934BC">
        <w:t xml:space="preserve"> (n</w:t>
      </w:r>
      <w:r w:rsidR="004332FB" w:rsidRPr="004934BC">
        <w:t xml:space="preserve"> = </w:t>
      </w:r>
      <w:r w:rsidRPr="004934BC">
        <w:t>274) over a period of up to 24 weeks.</w:t>
      </w:r>
      <w:r w:rsidR="004332FB" w:rsidRPr="004934BC">
        <w:t xml:space="preserve"> </w:t>
      </w:r>
      <w:r w:rsidRPr="004934BC">
        <w:t xml:space="preserve">The most common TEAEs that were more frequent on CZP in either </w:t>
      </w:r>
      <w:proofErr w:type="spellStart"/>
      <w:r w:rsidRPr="004934BC">
        <w:t>PsA</w:t>
      </w:r>
      <w:proofErr w:type="spellEnd"/>
      <w:r w:rsidRPr="004934BC">
        <w:t xml:space="preserve"> and/or axial </w:t>
      </w:r>
      <w:proofErr w:type="spellStart"/>
      <w:r w:rsidRPr="004934BC">
        <w:t>SpA</w:t>
      </w:r>
      <w:proofErr w:type="spellEnd"/>
      <w:r w:rsidRPr="004934BC">
        <w:t xml:space="preserve"> included: </w:t>
      </w:r>
      <w:proofErr w:type="spellStart"/>
      <w:r w:rsidRPr="004934BC">
        <w:t>nasopharyngitis</w:t>
      </w:r>
      <w:proofErr w:type="spellEnd"/>
      <w:r w:rsidRPr="004934BC">
        <w:t xml:space="preserve">, upper respiratory tract infection, injection site reactions, headache, increased ALT, increased </w:t>
      </w:r>
      <w:proofErr w:type="spellStart"/>
      <w:r w:rsidRPr="004934BC">
        <w:t>creatine</w:t>
      </w:r>
      <w:proofErr w:type="spellEnd"/>
      <w:r w:rsidRPr="004934BC">
        <w:t xml:space="preserve"> phosphokinase, urinary tract infection.</w:t>
      </w:r>
      <w:r w:rsidR="004332FB" w:rsidRPr="004934BC">
        <w:t xml:space="preserve"> </w:t>
      </w:r>
      <w:r w:rsidRPr="004934BC">
        <w:t>TEAEs were mostly mild or moderate in severity, and the incidence of individual TEAEs were generally similar between the two CZP dose groups.</w:t>
      </w:r>
      <w:r w:rsidR="004332FB" w:rsidRPr="004934BC">
        <w:t xml:space="preserve"> </w:t>
      </w:r>
      <w:r w:rsidRPr="004934BC">
        <w:t>In both studies, cardiac disorders were more common in the CZP treatment groups although no individual event (with the exception of hypertension) occurred in more than 2 patients.</w:t>
      </w:r>
      <w:r w:rsidR="004332FB" w:rsidRPr="004934BC">
        <w:t xml:space="preserve"> </w:t>
      </w:r>
      <w:r w:rsidRPr="004934BC">
        <w:t>There were 2 deaths reported (both on CZP), but neither was considered related to study medication.</w:t>
      </w:r>
      <w:r w:rsidR="004332FB" w:rsidRPr="004934BC">
        <w:t xml:space="preserve"> </w:t>
      </w:r>
      <w:r w:rsidRPr="004934BC">
        <w:t xml:space="preserve">Serious adverse events and discontinuations due to adverse events were more frequent on CZP in </w:t>
      </w:r>
      <w:proofErr w:type="spellStart"/>
      <w:r w:rsidRPr="004934BC">
        <w:t>PsA</w:t>
      </w:r>
      <w:proofErr w:type="spellEnd"/>
      <w:r w:rsidRPr="004934BC">
        <w:t xml:space="preserve">, but similar to placebo in axial </w:t>
      </w:r>
      <w:proofErr w:type="spellStart"/>
      <w:r w:rsidRPr="004934BC">
        <w:t>SpA</w:t>
      </w:r>
      <w:proofErr w:type="spellEnd"/>
      <w:r w:rsidRPr="004934BC">
        <w:t>.</w:t>
      </w:r>
      <w:r w:rsidR="004332FB" w:rsidRPr="004934BC">
        <w:t xml:space="preserve"> </w:t>
      </w:r>
      <w:r w:rsidRPr="004934BC">
        <w:t>Malignancies (n</w:t>
      </w:r>
      <w:r w:rsidR="004332FB" w:rsidRPr="004934BC">
        <w:t xml:space="preserve"> = </w:t>
      </w:r>
      <w:r w:rsidRPr="004934BC">
        <w:t>2) and cardiovascular SAEs (n</w:t>
      </w:r>
      <w:r w:rsidR="004332FB" w:rsidRPr="004934BC">
        <w:t xml:space="preserve"> = </w:t>
      </w:r>
      <w:r w:rsidRPr="004934BC">
        <w:t>5) were reported infrequently, but the study durations were too short to adequately address these issues.</w:t>
      </w:r>
      <w:r w:rsidR="004332FB" w:rsidRPr="004934BC">
        <w:t xml:space="preserve"> </w:t>
      </w:r>
      <w:r w:rsidRPr="004934BC">
        <w:t>Anti-CZP antibodies developed in a small percentage of subjects on CZP, but were not consistently associated with AEs or SAEs, and the only apparent association with lack or loss of re-treatment efficacy was in the supportive C87044 study.</w:t>
      </w:r>
      <w:r w:rsidR="004332FB" w:rsidRPr="004934BC">
        <w:t xml:space="preserve"> </w:t>
      </w:r>
      <w:r w:rsidRPr="004934BC">
        <w:t xml:space="preserve">The outstanding safety concerns discussed in the RMP </w:t>
      </w:r>
      <w:r w:rsidR="000A0867" w:rsidRPr="004934BC">
        <w:t xml:space="preserve">section </w:t>
      </w:r>
      <w:r w:rsidRPr="004934BC">
        <w:t>are generally already included in the currently approved PI and therefore their inclusion in the RMP seems appropriate.</w:t>
      </w:r>
    </w:p>
    <w:p w:rsidR="004332FB" w:rsidRDefault="004332FB" w:rsidP="00565457">
      <w:pPr>
        <w:pStyle w:val="Heading5"/>
      </w:pPr>
      <w:r>
        <w:t xml:space="preserve">Data </w:t>
      </w:r>
      <w:r w:rsidRPr="00565457">
        <w:t>deficiencies</w:t>
      </w:r>
    </w:p>
    <w:p w:rsidR="005F769D" w:rsidRPr="00E2252B" w:rsidRDefault="005F769D" w:rsidP="00565457">
      <w:r w:rsidRPr="004332FB">
        <w:t xml:space="preserve">The major deficiency for the </w:t>
      </w:r>
      <w:proofErr w:type="spellStart"/>
      <w:r w:rsidRPr="004332FB">
        <w:t>PsA</w:t>
      </w:r>
      <w:proofErr w:type="spellEnd"/>
      <w:r w:rsidRPr="004332FB">
        <w:t xml:space="preserve"> indication was the reliance on post-hoc analyses to support the claim that CZP reduces the rate of radiographic progression, and the lack of longer-term radiographic data.</w:t>
      </w:r>
    </w:p>
    <w:p w:rsidR="004332FB" w:rsidRDefault="005F769D" w:rsidP="00565457">
      <w:pPr>
        <w:pStyle w:val="Heading5"/>
      </w:pPr>
      <w:r w:rsidRPr="006C4B56">
        <w:t xml:space="preserve">Conditions of </w:t>
      </w:r>
      <w:r w:rsidR="00565457" w:rsidRPr="00565457">
        <w:t>r</w:t>
      </w:r>
      <w:r w:rsidRPr="00565457">
        <w:t>egistration</w:t>
      </w:r>
    </w:p>
    <w:p w:rsidR="005F769D" w:rsidRPr="004332FB" w:rsidRDefault="005F769D" w:rsidP="00565457">
      <w:r w:rsidRPr="004332FB">
        <w:t>The following are proposed as conditions of registration:</w:t>
      </w:r>
    </w:p>
    <w:p w:rsidR="005F769D" w:rsidRPr="004332FB" w:rsidRDefault="005F769D" w:rsidP="00565457">
      <w:pPr>
        <w:pStyle w:val="ListBullet"/>
      </w:pPr>
      <w:r w:rsidRPr="004332FB">
        <w:t xml:space="preserve">The implementation in Australia of the EU Risk </w:t>
      </w:r>
      <w:r w:rsidRPr="00565457">
        <w:t>Management</w:t>
      </w:r>
      <w:r w:rsidRPr="004332FB">
        <w:t xml:space="preserve"> Plan (RMP) for </w:t>
      </w:r>
      <w:proofErr w:type="spellStart"/>
      <w:r w:rsidRPr="004332FB">
        <w:t>Cimzia</w:t>
      </w:r>
      <w:proofErr w:type="spellEnd"/>
      <w:r w:rsidRPr="004332FB">
        <w:t xml:space="preserve"> (Version 9.3, dated 1 October 2013) with the Australian Specific Annex (Version: 1.0, dated 31 October 2013) and RMP agreements</w:t>
      </w:r>
      <w:r w:rsidR="004332FB">
        <w:t xml:space="preserve"> from the Pre-ACPM Response</w:t>
      </w:r>
      <w:r w:rsidRPr="004332FB">
        <w:t>, included with submission PM-2013-00286-2-3, and any subsequent revisions, as agreed with the TGA.</w:t>
      </w:r>
    </w:p>
    <w:p w:rsidR="005F769D" w:rsidRPr="004332FB" w:rsidRDefault="005F769D" w:rsidP="00565457">
      <w:pPr>
        <w:pStyle w:val="ListBullet"/>
      </w:pPr>
      <w:r w:rsidRPr="004332FB">
        <w:t xml:space="preserve">The following studies must be submitted to the TGA, as soon as possible after completion, for </w:t>
      </w:r>
      <w:r w:rsidRPr="00565457">
        <w:t>evaluation</w:t>
      </w:r>
      <w:r w:rsidRPr="004332FB">
        <w:t xml:space="preserve"> as a Category 1 submission:</w:t>
      </w:r>
    </w:p>
    <w:p w:rsidR="005F769D" w:rsidRPr="004332FB" w:rsidRDefault="005F769D" w:rsidP="00565457">
      <w:pPr>
        <w:pStyle w:val="ListBullet2"/>
      </w:pPr>
      <w:proofErr w:type="gramStart"/>
      <w:r w:rsidRPr="004332FB">
        <w:t>the</w:t>
      </w:r>
      <w:proofErr w:type="gramEnd"/>
      <w:r w:rsidRPr="004332FB">
        <w:t xml:space="preserve"> final clinical </w:t>
      </w:r>
      <w:r w:rsidRPr="00565457">
        <w:t>study</w:t>
      </w:r>
      <w:r w:rsidRPr="004332FB">
        <w:t xml:space="preserve"> reports for Studies PsA001 and AS001</w:t>
      </w:r>
      <w:r w:rsidR="004332FB">
        <w:t>.</w:t>
      </w:r>
    </w:p>
    <w:p w:rsidR="004332FB" w:rsidRDefault="005F769D" w:rsidP="00565457">
      <w:pPr>
        <w:pStyle w:val="Heading5"/>
      </w:pPr>
      <w:r>
        <w:t>Questions for the sponsor</w:t>
      </w:r>
    </w:p>
    <w:p w:rsidR="005F769D" w:rsidRPr="004332FB" w:rsidRDefault="005F769D" w:rsidP="00565457">
      <w:r w:rsidRPr="004332FB">
        <w:t>The sponsor is requested to address the following issues in the Pre-ACPM Response:</w:t>
      </w:r>
    </w:p>
    <w:p w:rsidR="005F769D" w:rsidRPr="004332FB" w:rsidRDefault="005F769D" w:rsidP="00565457">
      <w:pPr>
        <w:pStyle w:val="Numberbullet0"/>
        <w:numPr>
          <w:ilvl w:val="0"/>
          <w:numId w:val="20"/>
        </w:numPr>
      </w:pPr>
      <w:r w:rsidRPr="004332FB">
        <w:t xml:space="preserve">It is noted that in July 2013 an FDA Advisory Committee recommended approval of </w:t>
      </w:r>
      <w:proofErr w:type="spellStart"/>
      <w:r w:rsidRPr="004332FB">
        <w:t>certolizumab</w:t>
      </w:r>
      <w:proofErr w:type="spellEnd"/>
      <w:r w:rsidRPr="004332FB">
        <w:t xml:space="preserve"> for the treatment of axial </w:t>
      </w:r>
      <w:proofErr w:type="spellStart"/>
      <w:r w:rsidRPr="004332FB">
        <w:t>spondyloarthritis</w:t>
      </w:r>
      <w:proofErr w:type="spellEnd"/>
      <w:r w:rsidRPr="004332FB">
        <w:t>.</w:t>
      </w:r>
      <w:r w:rsidR="004332FB" w:rsidRPr="004332FB">
        <w:t xml:space="preserve"> </w:t>
      </w:r>
      <w:r w:rsidRPr="004332FB">
        <w:t xml:space="preserve">However the approved indication is for the “treatment of adult patients with active </w:t>
      </w:r>
      <w:proofErr w:type="spellStart"/>
      <w:r w:rsidRPr="004332FB">
        <w:t>ankylosing</w:t>
      </w:r>
      <w:proofErr w:type="spellEnd"/>
      <w:r w:rsidRPr="004332FB">
        <w:t xml:space="preserve"> spondylitis”.</w:t>
      </w:r>
      <w:r w:rsidR="004332FB" w:rsidRPr="004332FB">
        <w:t xml:space="preserve"> </w:t>
      </w:r>
      <w:r w:rsidRPr="004332FB">
        <w:t>Please provide an explanation for the change in the wording of the indication, and whether or not nr-</w:t>
      </w:r>
      <w:proofErr w:type="spellStart"/>
      <w:r w:rsidRPr="004332FB">
        <w:t>axSpA</w:t>
      </w:r>
      <w:proofErr w:type="spellEnd"/>
      <w:r w:rsidRPr="004332FB">
        <w:t xml:space="preserve"> has been approved by the FDA for </w:t>
      </w:r>
      <w:proofErr w:type="spellStart"/>
      <w:r w:rsidRPr="004332FB">
        <w:t>Cimzia</w:t>
      </w:r>
      <w:proofErr w:type="spellEnd"/>
      <w:r w:rsidRPr="004332FB">
        <w:t>.</w:t>
      </w:r>
    </w:p>
    <w:p w:rsidR="005F769D" w:rsidRPr="004332FB" w:rsidRDefault="005F769D" w:rsidP="004332FB">
      <w:pPr>
        <w:pStyle w:val="Numberbullet0"/>
      </w:pPr>
      <w:r w:rsidRPr="004332FB">
        <w:t xml:space="preserve">Are any further studies planned or underway for </w:t>
      </w:r>
      <w:proofErr w:type="spellStart"/>
      <w:r w:rsidRPr="004332FB">
        <w:t>PsA</w:t>
      </w:r>
      <w:proofErr w:type="spellEnd"/>
      <w:r w:rsidRPr="004332FB">
        <w:t xml:space="preserve"> with pre-defined radiographic endpoints and including stratification by baseline </w:t>
      </w:r>
      <w:proofErr w:type="spellStart"/>
      <w:r w:rsidRPr="004332FB">
        <w:t>mTSS</w:t>
      </w:r>
      <w:proofErr w:type="spellEnd"/>
      <w:r w:rsidRPr="004332FB">
        <w:t>?</w:t>
      </w:r>
    </w:p>
    <w:p w:rsidR="005F769D" w:rsidRPr="004332FB" w:rsidRDefault="005F769D" w:rsidP="004332FB">
      <w:pPr>
        <w:pStyle w:val="Numberbullet0"/>
      </w:pPr>
      <w:r w:rsidRPr="004332FB">
        <w:t>Please address all the outstanding RMP matters as discussed above under Risk Management Plan.</w:t>
      </w:r>
    </w:p>
    <w:p w:rsidR="005F769D" w:rsidRPr="004332FB" w:rsidRDefault="005F769D" w:rsidP="004332FB">
      <w:pPr>
        <w:pStyle w:val="Numberbullet0"/>
      </w:pPr>
      <w:r w:rsidRPr="004332FB">
        <w:t xml:space="preserve">Please provide further details on the 3 subjects on CZP 400mg in study PsA001 who had a bilirubin </w:t>
      </w:r>
      <w:r w:rsidR="004332FB" w:rsidRPr="004332FB">
        <w:t xml:space="preserve"> greater than or equal to </w:t>
      </w:r>
      <w:r w:rsidRPr="004332FB">
        <w:t>1xULN and an ALT or AST</w:t>
      </w:r>
      <w:r w:rsidR="00565457">
        <w:t xml:space="preserve"> </w:t>
      </w:r>
      <w:r w:rsidR="004332FB" w:rsidRPr="004332FB">
        <w:t>greater than or equal to</w:t>
      </w:r>
      <w:r w:rsidR="00565457">
        <w:t xml:space="preserve"> </w:t>
      </w:r>
      <w:r w:rsidRPr="004332FB">
        <w:t xml:space="preserve">3xULN, particularly discussing whether they were potential </w:t>
      </w:r>
      <w:proofErr w:type="spellStart"/>
      <w:r w:rsidRPr="004332FB">
        <w:t>Hy’s</w:t>
      </w:r>
      <w:proofErr w:type="spellEnd"/>
      <w:r w:rsidRPr="004332FB">
        <w:t xml:space="preserve"> law cases.</w:t>
      </w:r>
    </w:p>
    <w:p w:rsidR="005F769D" w:rsidRPr="004332FB" w:rsidRDefault="005F769D" w:rsidP="00565457">
      <w:pPr>
        <w:pStyle w:val="Numberbullet0"/>
      </w:pPr>
      <w:r w:rsidRPr="004332FB">
        <w:t xml:space="preserve">Given that cardiac events are a known concern for anti-TNFα agents and that more cardiac disorders were seen with CZP than placebo in both pivotal trials, please </w:t>
      </w:r>
      <w:r w:rsidRPr="00565457">
        <w:t>comment</w:t>
      </w:r>
      <w:r w:rsidRPr="004332FB">
        <w:t xml:space="preserve"> on what studies and </w:t>
      </w:r>
      <w:proofErr w:type="spellStart"/>
      <w:r w:rsidRPr="004332FB">
        <w:t>pharmacovigilance</w:t>
      </w:r>
      <w:proofErr w:type="spellEnd"/>
      <w:r w:rsidRPr="004332FB">
        <w:t xml:space="preserve"> activities are planned or underway to further investigate this issue.</w:t>
      </w:r>
    </w:p>
    <w:p w:rsidR="005F769D" w:rsidRPr="004332FB" w:rsidRDefault="005F769D" w:rsidP="00565457">
      <w:pPr>
        <w:pStyle w:val="Numberbullet0"/>
      </w:pPr>
      <w:r w:rsidRPr="004332FB">
        <w:t>Please provide a breakdown on the number of patients with nr-</w:t>
      </w:r>
      <w:proofErr w:type="spellStart"/>
      <w:r w:rsidRPr="004332FB">
        <w:t>axSpA</w:t>
      </w:r>
      <w:proofErr w:type="spellEnd"/>
      <w:r w:rsidRPr="004332FB">
        <w:t xml:space="preserve"> who had lower grades of </w:t>
      </w:r>
      <w:proofErr w:type="spellStart"/>
      <w:r w:rsidRPr="004332FB">
        <w:t>sacroiliitis</w:t>
      </w:r>
      <w:proofErr w:type="spellEnd"/>
      <w:r w:rsidRPr="004332FB">
        <w:t xml:space="preserve"> on x-ray at baseline (</w:t>
      </w:r>
      <w:r w:rsidR="004332FB">
        <w:t>that is</w:t>
      </w:r>
      <w:r w:rsidR="004332FB" w:rsidRPr="004332FB">
        <w:t xml:space="preserve"> &lt; </w:t>
      </w:r>
      <w:r w:rsidRPr="004332FB">
        <w:t xml:space="preserve">2 bilaterally or grade 1-2 unilaterally) and whether / how this correlates with </w:t>
      </w:r>
      <w:proofErr w:type="spellStart"/>
      <w:r w:rsidRPr="004332FB">
        <w:t>sacroiliitis</w:t>
      </w:r>
      <w:proofErr w:type="spellEnd"/>
      <w:r w:rsidRPr="004332FB">
        <w:t xml:space="preserve"> detected on MRI.</w:t>
      </w:r>
    </w:p>
    <w:p w:rsidR="00D23139" w:rsidRDefault="00D23139" w:rsidP="00565457">
      <w:pPr>
        <w:pStyle w:val="Heading4"/>
      </w:pPr>
      <w:r w:rsidRPr="00565457">
        <w:t>Proposed</w:t>
      </w:r>
      <w:r w:rsidRPr="00D23139">
        <w:t xml:space="preserve"> action</w:t>
      </w:r>
    </w:p>
    <w:p w:rsidR="005F769D" w:rsidRDefault="005F769D" w:rsidP="00565457">
      <w:r>
        <w:t>The Delegate has</w:t>
      </w:r>
      <w:r w:rsidRPr="00801239">
        <w:t xml:space="preserve"> no reason to say, at this time, that the application for </w:t>
      </w:r>
      <w:proofErr w:type="spellStart"/>
      <w:r w:rsidRPr="00801239">
        <w:t>Certolizumab</w:t>
      </w:r>
      <w:proofErr w:type="spellEnd"/>
      <w:r w:rsidRPr="00801239">
        <w:t xml:space="preserve"> should not be approved for registration.</w:t>
      </w:r>
    </w:p>
    <w:p w:rsidR="005F769D" w:rsidRDefault="004332FB" w:rsidP="00565457">
      <w:r>
        <w:t>The D</w:t>
      </w:r>
      <w:r w:rsidR="005F769D" w:rsidRPr="00801239">
        <w:t xml:space="preserve">elegate’s suggested indication </w:t>
      </w:r>
      <w:r w:rsidR="005F769D">
        <w:t xml:space="preserve">for </w:t>
      </w:r>
      <w:r w:rsidR="005F769D" w:rsidRPr="00801239">
        <w:t>p</w:t>
      </w:r>
      <w:r w:rsidR="005F769D" w:rsidRPr="00801239">
        <w:rPr>
          <w:iCs/>
        </w:rPr>
        <w:t>soriatic arthritis</w:t>
      </w:r>
      <w:r w:rsidR="005F769D" w:rsidRPr="00801239">
        <w:t xml:space="preserve"> is as follows:</w:t>
      </w:r>
    </w:p>
    <w:p w:rsidR="005F769D" w:rsidRPr="00565457" w:rsidRDefault="005F769D" w:rsidP="00565457">
      <w:pPr>
        <w:ind w:left="720"/>
        <w:rPr>
          <w:i/>
        </w:rPr>
      </w:pPr>
      <w:proofErr w:type="spellStart"/>
      <w:r w:rsidRPr="00565457">
        <w:rPr>
          <w:i/>
        </w:rPr>
        <w:t>Cimzia</w:t>
      </w:r>
      <w:proofErr w:type="spellEnd"/>
      <w:r w:rsidRPr="00565457">
        <w:rPr>
          <w:i/>
        </w:rPr>
        <w:t xml:space="preserve"> is indicated for the treatment of adult patients with active psoriatic arthritis.</w:t>
      </w:r>
    </w:p>
    <w:p w:rsidR="00D23139" w:rsidRDefault="00D23139" w:rsidP="00565457">
      <w:pPr>
        <w:pStyle w:val="Heading4"/>
      </w:pPr>
      <w:r w:rsidRPr="00565457">
        <w:t>Request</w:t>
      </w:r>
      <w:r w:rsidRPr="00D23139">
        <w:t xml:space="preserve"> for ACPM advice</w:t>
      </w:r>
    </w:p>
    <w:p w:rsidR="005F769D" w:rsidRDefault="005F769D" w:rsidP="00565457">
      <w:r w:rsidRPr="00BF1224">
        <w:t>The committee is requested to provide advice on the following specific issues:</w:t>
      </w:r>
    </w:p>
    <w:p w:rsidR="005F769D" w:rsidRPr="00BF1224" w:rsidRDefault="005F769D" w:rsidP="00565457">
      <w:pPr>
        <w:pStyle w:val="ListBullet"/>
      </w:pPr>
      <w:r>
        <w:t xml:space="preserve">Psoriatic </w:t>
      </w:r>
      <w:r w:rsidRPr="00565457">
        <w:t>Arthritis</w:t>
      </w:r>
    </w:p>
    <w:p w:rsidR="005F769D" w:rsidRPr="007A6C5F" w:rsidRDefault="005F769D" w:rsidP="00565457">
      <w:pPr>
        <w:pStyle w:val="ListBullet2"/>
      </w:pPr>
      <w:r>
        <w:t>The modified Total Sharp Score (</w:t>
      </w:r>
      <w:proofErr w:type="spellStart"/>
      <w:r>
        <w:t>mTSS</w:t>
      </w:r>
      <w:proofErr w:type="spellEnd"/>
      <w:r>
        <w:t>) was one of the two primary efficacy outcomes.</w:t>
      </w:r>
      <w:r w:rsidR="004332FB">
        <w:t xml:space="preserve"> </w:t>
      </w:r>
      <w:r>
        <w:t xml:space="preserve">The </w:t>
      </w:r>
      <w:proofErr w:type="spellStart"/>
      <w:r>
        <w:t>mTSS</w:t>
      </w:r>
      <w:proofErr w:type="spellEnd"/>
      <w:r>
        <w:t xml:space="preserve"> protocol-defined </w:t>
      </w:r>
      <w:r w:rsidRPr="00565457">
        <w:t>imputation</w:t>
      </w:r>
      <w:r>
        <w:t xml:space="preserve"> rules for patients with missing x-ray data led to </w:t>
      </w:r>
      <w:r w:rsidRPr="008F3291">
        <w:t>physiologically implausible</w:t>
      </w:r>
      <w:r>
        <w:t xml:space="preserve"> (high)</w:t>
      </w:r>
      <w:r w:rsidRPr="008F3291">
        <w:t xml:space="preserve"> </w:t>
      </w:r>
      <w:r>
        <w:t>results,</w:t>
      </w:r>
      <w:r w:rsidRPr="008F3291">
        <w:rPr>
          <w:rFonts w:eastAsia="TimesNewRoman" w:cs="TimesNewRoman"/>
          <w:lang w:eastAsia="en-AU"/>
        </w:rPr>
        <w:t xml:space="preserve"> </w:t>
      </w:r>
      <w:r>
        <w:rPr>
          <w:rFonts w:eastAsia="TimesNewRoman" w:cs="TimesNewRoman"/>
          <w:lang w:eastAsia="en-AU"/>
        </w:rPr>
        <w:t>so</w:t>
      </w:r>
      <w:r w:rsidRPr="008F3291">
        <w:rPr>
          <w:rFonts w:eastAsia="TimesNewRoman" w:cs="TimesNewRoman"/>
          <w:lang w:eastAsia="en-AU"/>
        </w:rPr>
        <w:t xml:space="preserve"> post-hoc </w:t>
      </w:r>
      <w:r w:rsidRPr="00543668">
        <w:t>analyses were performed.</w:t>
      </w:r>
      <w:r w:rsidR="004332FB">
        <w:t xml:space="preserve"> </w:t>
      </w:r>
      <w:r>
        <w:t xml:space="preserve">On this basis, </w:t>
      </w:r>
      <w:r w:rsidRPr="00543668">
        <w:t xml:space="preserve">is </w:t>
      </w:r>
      <w:r>
        <w:t>it reasonable to include</w:t>
      </w:r>
      <w:r w:rsidRPr="00543668">
        <w:t xml:space="preserve"> the radiographic endpoint </w:t>
      </w:r>
      <w:r>
        <w:t>in the proposed indication?</w:t>
      </w:r>
    </w:p>
    <w:p w:rsidR="005F769D" w:rsidRPr="00BF1224" w:rsidRDefault="005F769D" w:rsidP="00565457">
      <w:pPr>
        <w:pStyle w:val="ListBullet2"/>
      </w:pPr>
      <w:r>
        <w:t xml:space="preserve">Inclusion of a second (physical function) endpoint was also proposed for the </w:t>
      </w:r>
      <w:proofErr w:type="spellStart"/>
      <w:r>
        <w:t>PsA</w:t>
      </w:r>
      <w:proofErr w:type="spellEnd"/>
      <w:r>
        <w:t xml:space="preserve"> indication.</w:t>
      </w:r>
      <w:r w:rsidR="004332FB">
        <w:t xml:space="preserve"> </w:t>
      </w:r>
      <w:r>
        <w:t xml:space="preserve">Although improvement in </w:t>
      </w:r>
      <w:r w:rsidRPr="00565457">
        <w:t>physical</w:t>
      </w:r>
      <w:r>
        <w:t xml:space="preserve"> function was demonstrated with CZP treatment, would this be more appropriately addressed in the Clinical Trials section of the PI?</w:t>
      </w:r>
    </w:p>
    <w:p w:rsidR="005F769D" w:rsidRPr="00BF1224" w:rsidRDefault="005F769D" w:rsidP="00565457">
      <w:pPr>
        <w:pStyle w:val="ListBullet"/>
      </w:pPr>
      <w:r>
        <w:t xml:space="preserve">Axial </w:t>
      </w:r>
      <w:proofErr w:type="spellStart"/>
      <w:r w:rsidRPr="00565457">
        <w:t>Spondyloarthritis</w:t>
      </w:r>
      <w:proofErr w:type="spellEnd"/>
    </w:p>
    <w:p w:rsidR="005F769D" w:rsidRPr="00801239" w:rsidRDefault="005F769D" w:rsidP="00565457">
      <w:pPr>
        <w:pStyle w:val="ListBullet2"/>
      </w:pPr>
      <w:proofErr w:type="spellStart"/>
      <w:proofErr w:type="gramStart"/>
      <w:r w:rsidRPr="00801239">
        <w:t>axSpA</w:t>
      </w:r>
      <w:proofErr w:type="spellEnd"/>
      <w:proofErr w:type="gramEnd"/>
      <w:r w:rsidRPr="00801239">
        <w:t xml:space="preserve"> </w:t>
      </w:r>
      <w:r w:rsidRPr="00565457">
        <w:t>includes</w:t>
      </w:r>
      <w:r w:rsidRPr="00801239">
        <w:t xml:space="preserve"> patients with </w:t>
      </w:r>
      <w:proofErr w:type="spellStart"/>
      <w:r w:rsidRPr="00801239">
        <w:t>ankylosing</w:t>
      </w:r>
      <w:proofErr w:type="spellEnd"/>
      <w:r w:rsidRPr="00801239">
        <w:t xml:space="preserve"> spondylitis (AS) and </w:t>
      </w:r>
      <w:r>
        <w:t>nr-</w:t>
      </w:r>
      <w:proofErr w:type="spellStart"/>
      <w:r>
        <w:t>axSpA</w:t>
      </w:r>
      <w:proofErr w:type="spellEnd"/>
      <w:r w:rsidRPr="00801239">
        <w:t>.</w:t>
      </w:r>
      <w:r w:rsidR="004332FB">
        <w:t xml:space="preserve"> </w:t>
      </w:r>
      <w:r w:rsidRPr="00801239">
        <w:t>Is nr-</w:t>
      </w:r>
      <w:proofErr w:type="spellStart"/>
      <w:r w:rsidRPr="00801239">
        <w:t>axSpA</w:t>
      </w:r>
      <w:proofErr w:type="spellEnd"/>
      <w:r w:rsidRPr="00801239">
        <w:t xml:space="preserve"> sufficiently well-defined and recognised to support its inclusion in the </w:t>
      </w:r>
      <w:proofErr w:type="spellStart"/>
      <w:r w:rsidRPr="00801239">
        <w:t>axSpA</w:t>
      </w:r>
      <w:proofErr w:type="spellEnd"/>
      <w:r w:rsidRPr="00801239">
        <w:t xml:space="preserve"> indication?</w:t>
      </w:r>
    </w:p>
    <w:p w:rsidR="005F769D" w:rsidRPr="005F769D" w:rsidRDefault="005F769D" w:rsidP="00565457">
      <w:r w:rsidRPr="00BF1224">
        <w:t>The committee is also requested to provide advice on any other issues that it thinks may be relevant to a decision on whether or not to approve this application.</w:t>
      </w:r>
    </w:p>
    <w:p w:rsidR="00D23139" w:rsidRDefault="00D23139" w:rsidP="00565457">
      <w:pPr>
        <w:pStyle w:val="Heading4"/>
      </w:pPr>
      <w:r w:rsidRPr="00D23139">
        <w:t xml:space="preserve">Response from </w:t>
      </w:r>
      <w:r w:rsidR="002808C2">
        <w:t>s</w:t>
      </w:r>
      <w:r w:rsidR="00565457">
        <w:t>ponsor</w:t>
      </w:r>
    </w:p>
    <w:p w:rsidR="00F71C2B" w:rsidRDefault="005F769D" w:rsidP="00565457">
      <w:pPr>
        <w:pStyle w:val="Numberbullet0"/>
        <w:numPr>
          <w:ilvl w:val="0"/>
          <w:numId w:val="21"/>
        </w:numPr>
      </w:pPr>
      <w:r w:rsidRPr="004332FB">
        <w:t>The assessors correctly note that the Arthritis Advisory Committee on 23 July 2013 supported</w:t>
      </w:r>
      <w:r w:rsidR="00F71C2B">
        <w:t xml:space="preserve"> </w:t>
      </w:r>
      <w:r w:rsidRPr="004332FB">
        <w:t>both the demonstration of safety and efficacy as well as supported an approval for the indication</w:t>
      </w:r>
      <w:r w:rsidR="00F71C2B">
        <w:t xml:space="preserve"> </w:t>
      </w:r>
      <w:r w:rsidRPr="004332FB">
        <w:t xml:space="preserve">of active axial </w:t>
      </w:r>
      <w:proofErr w:type="spellStart"/>
      <w:r w:rsidRPr="004332FB">
        <w:t>spondyloarthritis</w:t>
      </w:r>
      <w:proofErr w:type="spellEnd"/>
      <w:r w:rsidRPr="004332FB">
        <w:t xml:space="preserve"> (</w:t>
      </w:r>
      <w:proofErr w:type="spellStart"/>
      <w:r w:rsidRPr="004332FB">
        <w:t>axSpA</w:t>
      </w:r>
      <w:proofErr w:type="spellEnd"/>
      <w:r w:rsidRPr="004332FB">
        <w:t xml:space="preserve">), including patients with </w:t>
      </w:r>
      <w:proofErr w:type="spellStart"/>
      <w:r w:rsidRPr="004332FB">
        <w:t>ankylosing</w:t>
      </w:r>
      <w:proofErr w:type="spellEnd"/>
      <w:r w:rsidRPr="004332FB">
        <w:t xml:space="preserve"> spondylitis (AS).</w:t>
      </w:r>
      <w:r w:rsidR="00F71C2B">
        <w:t xml:space="preserve"> </w:t>
      </w:r>
      <w:r w:rsidRPr="004332FB">
        <w:t>Despite the positive outcome and support from the Advisory Committee, the FDA did not grant</w:t>
      </w:r>
      <w:r w:rsidR="00F71C2B">
        <w:t xml:space="preserve"> </w:t>
      </w:r>
      <w:r w:rsidRPr="004332FB">
        <w:t xml:space="preserve">an indication for treatment of </w:t>
      </w:r>
      <w:proofErr w:type="spellStart"/>
      <w:r w:rsidRPr="004332FB">
        <w:t>axSpA</w:t>
      </w:r>
      <w:proofErr w:type="spellEnd"/>
      <w:r w:rsidRPr="004332FB">
        <w:t>. In contrast, the Committee for Human Medicinal Products</w:t>
      </w:r>
      <w:r w:rsidR="00F71C2B">
        <w:t xml:space="preserve"> </w:t>
      </w:r>
      <w:r w:rsidRPr="004332FB">
        <w:t xml:space="preserve">(CHMP) recommended the approval of both </w:t>
      </w:r>
      <w:proofErr w:type="spellStart"/>
      <w:r w:rsidRPr="004332FB">
        <w:t>Humira</w:t>
      </w:r>
      <w:proofErr w:type="spellEnd"/>
      <w:r w:rsidRPr="004332FB">
        <w:t xml:space="preserve"> and </w:t>
      </w:r>
      <w:proofErr w:type="spellStart"/>
      <w:r w:rsidRPr="004332FB">
        <w:t>Cimzia</w:t>
      </w:r>
      <w:proofErr w:type="spellEnd"/>
      <w:r w:rsidRPr="004332FB">
        <w:t xml:space="preserve"> for treatment of adult patients</w:t>
      </w:r>
      <w:r w:rsidR="00F71C2B">
        <w:t xml:space="preserve"> </w:t>
      </w:r>
      <w:r w:rsidRPr="004332FB">
        <w:t xml:space="preserve">with severe active </w:t>
      </w:r>
      <w:proofErr w:type="spellStart"/>
      <w:r w:rsidRPr="004332FB">
        <w:t>axSpA</w:t>
      </w:r>
      <w:proofErr w:type="spellEnd"/>
      <w:r w:rsidRPr="004332FB">
        <w:t>.</w:t>
      </w:r>
      <w:r w:rsidR="00F71C2B">
        <w:t xml:space="preserve"> </w:t>
      </w:r>
    </w:p>
    <w:p w:rsidR="005F769D" w:rsidRPr="00F71C2B" w:rsidRDefault="000F780F" w:rsidP="00565457">
      <w:r w:rsidRPr="004332FB">
        <w:t xml:space="preserve">The concept of </w:t>
      </w:r>
      <w:proofErr w:type="spellStart"/>
      <w:r w:rsidRPr="004332FB">
        <w:t>axSpA</w:t>
      </w:r>
      <w:proofErr w:type="spellEnd"/>
      <w:r w:rsidRPr="004332FB">
        <w:t xml:space="preserve"> as one disease spectrum, whic</w:t>
      </w:r>
      <w:r>
        <w:t>h includes both AS patients and p</w:t>
      </w:r>
      <w:r w:rsidRPr="004332FB">
        <w:t>atients</w:t>
      </w:r>
      <w:r>
        <w:t xml:space="preserve"> </w:t>
      </w:r>
      <w:r w:rsidRPr="00F71C2B">
        <w:t>without clear signs of structural changes in the sacroiliac joints (SIJ) on plain x-ray (nr-</w:t>
      </w:r>
      <w:proofErr w:type="spellStart"/>
      <w:r w:rsidRPr="00F71C2B">
        <w:t>axSpA</w:t>
      </w:r>
      <w:proofErr w:type="spellEnd"/>
      <w:r w:rsidRPr="00F71C2B">
        <w:t>), is</w:t>
      </w:r>
      <w:r>
        <w:t xml:space="preserve"> </w:t>
      </w:r>
      <w:r w:rsidRPr="00F71C2B">
        <w:t>now well accepted by rheumatologists in the US, EU and Australia (see Other Delegate’s</w:t>
      </w:r>
      <w:r>
        <w:t xml:space="preserve"> </w:t>
      </w:r>
      <w:r w:rsidRPr="00F71C2B">
        <w:t>Comments</w:t>
      </w:r>
      <w:r>
        <w:t>)</w:t>
      </w:r>
      <w:r w:rsidRPr="00F71C2B">
        <w:t>. This is reflected in the update to the 2010 ASAS (The Assessment of</w:t>
      </w:r>
      <w:r>
        <w:t xml:space="preserve"> </w:t>
      </w:r>
      <w:proofErr w:type="spellStart"/>
      <w:r w:rsidRPr="00F71C2B">
        <w:t>Spondyloarthritis</w:t>
      </w:r>
      <w:proofErr w:type="spellEnd"/>
      <w:r w:rsidRPr="00F71C2B">
        <w:t xml:space="preserve"> International Society) recommendations for the use of anti-TNF agents in axial</w:t>
      </w:r>
      <w:r>
        <w:t xml:space="preserve"> </w:t>
      </w:r>
      <w:proofErr w:type="spellStart"/>
      <w:r w:rsidRPr="00F71C2B">
        <w:t>spondyloarthritis</w:t>
      </w:r>
      <w:proofErr w:type="spellEnd"/>
      <w:r w:rsidRPr="00F71C2B">
        <w:t xml:space="preserve"> (van der </w:t>
      </w:r>
      <w:proofErr w:type="spellStart"/>
      <w:r w:rsidRPr="00F71C2B">
        <w:t>Heijde</w:t>
      </w:r>
      <w:proofErr w:type="spellEnd"/>
      <w:r w:rsidRPr="00F71C2B">
        <w:t xml:space="preserve"> et al 20111). These recommendations, which represent the</w:t>
      </w:r>
      <w:r>
        <w:t xml:space="preserve"> </w:t>
      </w:r>
      <w:r w:rsidRPr="00F71C2B">
        <w:t>collective views of the ASAS organisation which has members from all over the world including</w:t>
      </w:r>
      <w:r>
        <w:t xml:space="preserve"> </w:t>
      </w:r>
      <w:r w:rsidRPr="00F71C2B">
        <w:t>the US, EU and Australia, are an update of the 2006 recommendations which were focused solely</w:t>
      </w:r>
      <w:r>
        <w:t xml:space="preserve"> </w:t>
      </w:r>
      <w:r w:rsidRPr="00F71C2B">
        <w:t xml:space="preserve">on AS. The recommendations were updated and broadened to </w:t>
      </w:r>
      <w:proofErr w:type="spellStart"/>
      <w:r w:rsidRPr="00F71C2B">
        <w:t>axSpA</w:t>
      </w:r>
      <w:proofErr w:type="spellEnd"/>
      <w:r w:rsidRPr="00F71C2B">
        <w:t xml:space="preserve"> to enable earlier treatment</w:t>
      </w:r>
      <w:r>
        <w:t xml:space="preserve"> </w:t>
      </w:r>
      <w:r w:rsidRPr="00F71C2B">
        <w:t>as a consequence of the growing recognition that the burden of the disease is similar between AS</w:t>
      </w:r>
      <w:r>
        <w:t xml:space="preserve"> </w:t>
      </w:r>
      <w:r w:rsidRPr="00F71C2B">
        <w:t>and nr-</w:t>
      </w:r>
      <w:proofErr w:type="spellStart"/>
      <w:r w:rsidRPr="00F71C2B">
        <w:t>axSpA</w:t>
      </w:r>
      <w:proofErr w:type="spellEnd"/>
      <w:r w:rsidRPr="00F71C2B">
        <w:t xml:space="preserve"> patients. Furthermore, in clinical practice, it is the burden of disease that determines</w:t>
      </w:r>
      <w:r>
        <w:t xml:space="preserve"> </w:t>
      </w:r>
      <w:r w:rsidRPr="00F71C2B">
        <w:t xml:space="preserve">therapeutic intervention in </w:t>
      </w:r>
      <w:proofErr w:type="spellStart"/>
      <w:r w:rsidRPr="00F71C2B">
        <w:t>axSpA</w:t>
      </w:r>
      <w:proofErr w:type="spellEnd"/>
      <w:r w:rsidRPr="00F71C2B">
        <w:t>, not whether or not patients have sufficient structural damage to</w:t>
      </w:r>
      <w:r>
        <w:t xml:space="preserve"> </w:t>
      </w:r>
      <w:r w:rsidRPr="00F71C2B">
        <w:t xml:space="preserve">fulfil the </w:t>
      </w:r>
      <w:proofErr w:type="spellStart"/>
      <w:r w:rsidRPr="00F71C2B">
        <w:t>mNY</w:t>
      </w:r>
      <w:proofErr w:type="spellEnd"/>
      <w:r w:rsidRPr="00F71C2B">
        <w:t xml:space="preserve"> classification criteria for AS, especially in light of well-known difficulties in</w:t>
      </w:r>
      <w:r>
        <w:t xml:space="preserve"> </w:t>
      </w:r>
      <w:r w:rsidRPr="00F71C2B">
        <w:t>interpreting SIJ x-rays. This approach is very similar to other rheumatic diseases, such as RA,</w:t>
      </w:r>
      <w:r>
        <w:t xml:space="preserve"> </w:t>
      </w:r>
      <w:r w:rsidRPr="00F71C2B">
        <w:t>where treatment is not restricted t</w:t>
      </w:r>
      <w:r>
        <w:t xml:space="preserve">o patients with erosive disease. </w:t>
      </w:r>
      <w:r w:rsidRPr="00F71C2B">
        <w:t>In AS001 disease burden at baseline as indicated by BASDAI, a measure of disease activity, was</w:t>
      </w:r>
      <w:r>
        <w:t xml:space="preserve"> </w:t>
      </w:r>
      <w:r w:rsidRPr="00F71C2B">
        <w:t xml:space="preserve">very similar in the AS and </w:t>
      </w:r>
      <w:r>
        <w:t>nr-</w:t>
      </w:r>
      <w:proofErr w:type="spellStart"/>
      <w:r>
        <w:t>axSpA</w:t>
      </w:r>
      <w:proofErr w:type="spellEnd"/>
      <w:r>
        <w:t xml:space="preserve"> subpopulations (Table 7</w:t>
      </w:r>
      <w:r w:rsidRPr="00F71C2B">
        <w:t>). While spinal mobility (BASMI)</w:t>
      </w:r>
      <w:r>
        <w:t xml:space="preserve"> </w:t>
      </w:r>
      <w:r w:rsidRPr="00F71C2B">
        <w:t>and function (BASFI) were markedly impaired in the nr-</w:t>
      </w:r>
      <w:proofErr w:type="spellStart"/>
      <w:r w:rsidRPr="00F71C2B">
        <w:t>axSpA</w:t>
      </w:r>
      <w:proofErr w:type="spellEnd"/>
      <w:r w:rsidRPr="00F71C2B">
        <w:t xml:space="preserve"> subpopulation, BASMI and</w:t>
      </w:r>
      <w:r>
        <w:t xml:space="preserve"> </w:t>
      </w:r>
      <w:r w:rsidRPr="00F71C2B">
        <w:t>BASFI scores were lower relative to the AS subjects which may be a consequence of permanent</w:t>
      </w:r>
      <w:r>
        <w:t xml:space="preserve"> </w:t>
      </w:r>
      <w:r w:rsidRPr="00F71C2B">
        <w:t>structural changes in the AS subpopulation</w:t>
      </w:r>
      <w:r w:rsidR="005F769D" w:rsidRPr="00F71C2B">
        <w:t>.</w:t>
      </w:r>
    </w:p>
    <w:p w:rsidR="005F769D" w:rsidRPr="00F71C2B" w:rsidRDefault="005F769D" w:rsidP="00565457">
      <w:pPr>
        <w:pStyle w:val="TableTitle"/>
      </w:pPr>
      <w:proofErr w:type="gramStart"/>
      <w:r w:rsidRPr="00F71C2B">
        <w:t xml:space="preserve">Table </w:t>
      </w:r>
      <w:r w:rsidR="00445828">
        <w:t>7</w:t>
      </w:r>
      <w:r w:rsidR="00F71C2B">
        <w:t>.</w:t>
      </w:r>
      <w:proofErr w:type="gramEnd"/>
      <w:r w:rsidRPr="00F71C2B">
        <w:t xml:space="preserve"> </w:t>
      </w:r>
      <w:r w:rsidRPr="00565457">
        <w:t>Demographic</w:t>
      </w:r>
      <w:r w:rsidRPr="00F71C2B">
        <w:t xml:space="preserve"> and Baseline Characteristics of Subpopulations (RS)</w:t>
      </w:r>
    </w:p>
    <w:p w:rsidR="005F769D" w:rsidRDefault="002E5FE2" w:rsidP="00565457">
      <w:r>
        <w:rPr>
          <w:noProof/>
          <w:lang w:eastAsia="en-AU"/>
        </w:rPr>
        <w:drawing>
          <wp:inline distT="0" distB="0" distL="0" distR="0" wp14:anchorId="2569EE97" wp14:editId="6BF2CB87">
            <wp:extent cx="5400040" cy="5161915"/>
            <wp:effectExtent l="0" t="0" r="0" b="635"/>
            <wp:docPr id="11" name="Picture 11" descr="Demographic and Baseline Characteristics of Subpopulations (RS)" title="Table 7. Demographic and Baseline Characteristics of Subpopulations (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JPG"/>
                    <pic:cNvPicPr/>
                  </pic:nvPicPr>
                  <pic:blipFill>
                    <a:blip r:embed="rId20">
                      <a:extLst>
                        <a:ext uri="{28A0092B-C50C-407E-A947-70E740481C1C}">
                          <a14:useLocalDpi xmlns:a14="http://schemas.microsoft.com/office/drawing/2010/main" val="0"/>
                        </a:ext>
                      </a:extLst>
                    </a:blip>
                    <a:stretch>
                      <a:fillRect/>
                    </a:stretch>
                  </pic:blipFill>
                  <pic:spPr>
                    <a:xfrm>
                      <a:off x="0" y="0"/>
                      <a:ext cx="5400040" cy="5161915"/>
                    </a:xfrm>
                    <a:prstGeom prst="rect">
                      <a:avLst/>
                    </a:prstGeom>
                  </pic:spPr>
                </pic:pic>
              </a:graphicData>
            </a:graphic>
          </wp:inline>
        </w:drawing>
      </w:r>
    </w:p>
    <w:p w:rsidR="005F769D" w:rsidRPr="00F71C2B" w:rsidRDefault="005F769D" w:rsidP="00565457">
      <w:r w:rsidRPr="00F71C2B">
        <w:t xml:space="preserve">During the review of the EU </w:t>
      </w:r>
      <w:proofErr w:type="spellStart"/>
      <w:r w:rsidRPr="00F71C2B">
        <w:t>Humira</w:t>
      </w:r>
      <w:proofErr w:type="spellEnd"/>
      <w:r w:rsidRPr="00F71C2B">
        <w:t xml:space="preserve"> </w:t>
      </w:r>
      <w:proofErr w:type="spellStart"/>
      <w:r w:rsidRPr="00F71C2B">
        <w:t>axSpA</w:t>
      </w:r>
      <w:proofErr w:type="spellEnd"/>
      <w:r w:rsidRPr="00F71C2B">
        <w:t xml:space="preserve"> application (the first product to undergo review for</w:t>
      </w:r>
      <w:r w:rsidR="00F71C2B">
        <w:t xml:space="preserve"> </w:t>
      </w:r>
      <w:r w:rsidRPr="00F71C2B">
        <w:t xml:space="preserve">an </w:t>
      </w:r>
      <w:proofErr w:type="spellStart"/>
      <w:r w:rsidRPr="00F71C2B">
        <w:t>AxSpA</w:t>
      </w:r>
      <w:proofErr w:type="spellEnd"/>
      <w:r w:rsidRPr="00F71C2B">
        <w:t xml:space="preserve"> indication), </w:t>
      </w:r>
      <w:proofErr w:type="gramStart"/>
      <w:r w:rsidRPr="00F71C2B">
        <w:t>an</w:t>
      </w:r>
      <w:proofErr w:type="gramEnd"/>
      <w:r w:rsidRPr="00F71C2B">
        <w:t xml:space="preserve"> European expert panel advised the CHMP. There was con</w:t>
      </w:r>
      <w:r w:rsidR="00C726FD">
        <w:t>s</w:t>
      </w:r>
      <w:r w:rsidRPr="00F71C2B">
        <w:t>ensus</w:t>
      </w:r>
      <w:r w:rsidR="00F71C2B">
        <w:t xml:space="preserve"> </w:t>
      </w:r>
      <w:r w:rsidRPr="00F71C2B">
        <w:t xml:space="preserve">amongst the experts that </w:t>
      </w:r>
      <w:proofErr w:type="spellStart"/>
      <w:r w:rsidRPr="00F71C2B">
        <w:t>axSpA</w:t>
      </w:r>
      <w:proofErr w:type="spellEnd"/>
      <w:r w:rsidRPr="00F71C2B">
        <w:t xml:space="preserve"> is a clinical entity sufficiently well established for the purpose of</w:t>
      </w:r>
      <w:r w:rsidR="00F71C2B">
        <w:t xml:space="preserve"> </w:t>
      </w:r>
      <w:r w:rsidRPr="00F71C2B">
        <w:t>issuing a marketing authorisation (</w:t>
      </w:r>
      <w:proofErr w:type="spellStart"/>
      <w:r w:rsidRPr="00F71C2B">
        <w:t>Humira</w:t>
      </w:r>
      <w:proofErr w:type="spellEnd"/>
      <w:r w:rsidRPr="00F71C2B">
        <w:t xml:space="preserve"> E</w:t>
      </w:r>
      <w:r w:rsidR="00445828">
        <w:t>PAR)</w:t>
      </w:r>
      <w:r w:rsidRPr="00F71C2B">
        <w:t>.</w:t>
      </w:r>
      <w:r w:rsidR="00F71C2B">
        <w:t xml:space="preserve"> </w:t>
      </w:r>
      <w:r w:rsidRPr="00F71C2B">
        <w:t xml:space="preserve">Recognising the fact that not all </w:t>
      </w:r>
      <w:proofErr w:type="spellStart"/>
      <w:r w:rsidRPr="00F71C2B">
        <w:t>axSpA</w:t>
      </w:r>
      <w:proofErr w:type="spellEnd"/>
      <w:r w:rsidRPr="00F71C2B">
        <w:t xml:space="preserve"> patients require treatment with anti-TNF therapy, the</w:t>
      </w:r>
      <w:r w:rsidR="00F71C2B">
        <w:t xml:space="preserve"> </w:t>
      </w:r>
      <w:r w:rsidRPr="00F71C2B">
        <w:t>EMA restricted the nr-</w:t>
      </w:r>
      <w:proofErr w:type="spellStart"/>
      <w:r w:rsidRPr="00F71C2B">
        <w:t>axSpA</w:t>
      </w:r>
      <w:proofErr w:type="spellEnd"/>
      <w:r w:rsidRPr="00F71C2B">
        <w:t xml:space="preserve"> indication statement for </w:t>
      </w:r>
      <w:proofErr w:type="spellStart"/>
      <w:r w:rsidRPr="00F71C2B">
        <w:t>Humira</w:t>
      </w:r>
      <w:proofErr w:type="spellEnd"/>
      <w:r w:rsidRPr="00F71C2B">
        <w:t xml:space="preserve"> to patients with “severe axial</w:t>
      </w:r>
      <w:r w:rsidR="00F71C2B">
        <w:t xml:space="preserve"> </w:t>
      </w:r>
      <w:proofErr w:type="spellStart"/>
      <w:r w:rsidRPr="00F71C2B">
        <w:t>spondyloarthritis</w:t>
      </w:r>
      <w:proofErr w:type="spellEnd"/>
      <w:r w:rsidRPr="00F71C2B">
        <w:t xml:space="preserve"> without radiographic evidence of AS but with objective signs of inflammation</w:t>
      </w:r>
      <w:r w:rsidR="00F71C2B">
        <w:t xml:space="preserve"> </w:t>
      </w:r>
      <w:r w:rsidRPr="00F71C2B">
        <w:t>by elevated C-reactive protein and /or magnetic resonance imaging, who have had an inadequate</w:t>
      </w:r>
      <w:r w:rsidR="00F71C2B">
        <w:t xml:space="preserve"> </w:t>
      </w:r>
      <w:r w:rsidRPr="00F71C2B">
        <w:t>response to, or are intolerant to non-steroidal anti-inflammatory drugs”. By restricting the label to</w:t>
      </w:r>
      <w:r w:rsidR="00F71C2B">
        <w:t xml:space="preserve"> </w:t>
      </w:r>
      <w:r w:rsidRPr="00F71C2B">
        <w:t>those patients with the most refractory and severe disease, with clear objective signs of</w:t>
      </w:r>
      <w:r w:rsidR="00F71C2B">
        <w:t xml:space="preserve"> </w:t>
      </w:r>
      <w:r w:rsidRPr="00F71C2B">
        <w:t xml:space="preserve">inflammation, the potential concerns about inappropriate treatment of </w:t>
      </w:r>
      <w:proofErr w:type="spellStart"/>
      <w:r w:rsidRPr="00F71C2B">
        <w:t>axSpA</w:t>
      </w:r>
      <w:proofErr w:type="spellEnd"/>
      <w:r w:rsidRPr="00F71C2B">
        <w:t xml:space="preserve"> patients that may not</w:t>
      </w:r>
      <w:r w:rsidR="00F71C2B">
        <w:t xml:space="preserve"> </w:t>
      </w:r>
      <w:r w:rsidRPr="00F71C2B">
        <w:t>have a positive risk benefit with anti-TNF therapy were addressed.</w:t>
      </w:r>
      <w:r w:rsidR="00F71C2B">
        <w:t xml:space="preserve"> </w:t>
      </w:r>
      <w:r w:rsidRPr="00F71C2B">
        <w:t>These considerations were also taken into account during the CHMP review and positive CHMP</w:t>
      </w:r>
      <w:r w:rsidR="00F71C2B">
        <w:t xml:space="preserve"> </w:t>
      </w:r>
      <w:r w:rsidRPr="00F71C2B">
        <w:t xml:space="preserve">recommendation of </w:t>
      </w:r>
      <w:proofErr w:type="spellStart"/>
      <w:r w:rsidRPr="00F71C2B">
        <w:t>Cimzia</w:t>
      </w:r>
      <w:proofErr w:type="spellEnd"/>
      <w:r w:rsidRPr="00F71C2B">
        <w:t xml:space="preserve"> for the treatment of severe active axial </w:t>
      </w:r>
      <w:proofErr w:type="spellStart"/>
      <w:r w:rsidRPr="00F71C2B">
        <w:t>spondyloarthritis</w:t>
      </w:r>
      <w:proofErr w:type="spellEnd"/>
      <w:r w:rsidRPr="00F71C2B">
        <w:t xml:space="preserve"> by requiring</w:t>
      </w:r>
      <w:r w:rsidR="00F71C2B">
        <w:t xml:space="preserve"> </w:t>
      </w:r>
      <w:r w:rsidRPr="00F71C2B">
        <w:t xml:space="preserve">the same conditions in the approved </w:t>
      </w:r>
      <w:proofErr w:type="spellStart"/>
      <w:r w:rsidRPr="00F71C2B">
        <w:t>SmPC</w:t>
      </w:r>
      <w:proofErr w:type="spellEnd"/>
      <w:r w:rsidRPr="00F71C2B">
        <w:t xml:space="preserve">. In order to ensure that treatment with </w:t>
      </w:r>
      <w:proofErr w:type="spellStart"/>
      <w:r w:rsidRPr="00F71C2B">
        <w:t>Cimzia</w:t>
      </w:r>
      <w:proofErr w:type="spellEnd"/>
      <w:r w:rsidRPr="00F71C2B">
        <w:t xml:space="preserve"> is given</w:t>
      </w:r>
      <w:r w:rsidR="00F71C2B">
        <w:t xml:space="preserve"> </w:t>
      </w:r>
      <w:r w:rsidRPr="00F71C2B">
        <w:t>only to eligible patients, UCB would accept to update the Australian PI to reflect these conditions</w:t>
      </w:r>
      <w:r w:rsidR="00F71C2B">
        <w:t xml:space="preserve"> </w:t>
      </w:r>
      <w:r w:rsidRPr="00F71C2B">
        <w:t>for nr-</w:t>
      </w:r>
      <w:proofErr w:type="spellStart"/>
      <w:r w:rsidRPr="00F71C2B">
        <w:t>axSpA</w:t>
      </w:r>
      <w:proofErr w:type="spellEnd"/>
      <w:r w:rsidRPr="00F71C2B">
        <w:t>.</w:t>
      </w:r>
    </w:p>
    <w:p w:rsidR="00F71C2B" w:rsidRDefault="005F769D" w:rsidP="00565457">
      <w:pPr>
        <w:pStyle w:val="Numberbullet0"/>
        <w:numPr>
          <w:ilvl w:val="0"/>
          <w:numId w:val="19"/>
        </w:numPr>
      </w:pPr>
      <w:r w:rsidRPr="00F71C2B">
        <w:t xml:space="preserve">No further studies are planned or underway for </w:t>
      </w:r>
      <w:proofErr w:type="spellStart"/>
      <w:r w:rsidRPr="00F71C2B">
        <w:t>PsA</w:t>
      </w:r>
      <w:proofErr w:type="spellEnd"/>
      <w:r w:rsidRPr="00F71C2B">
        <w:t xml:space="preserve"> with pre-defined radiographic </w:t>
      </w:r>
      <w:r w:rsidRPr="00565457">
        <w:t>endpoints</w:t>
      </w:r>
      <w:r w:rsidRPr="00F71C2B">
        <w:t>.</w:t>
      </w:r>
    </w:p>
    <w:p w:rsidR="005F769D" w:rsidRPr="00F71C2B" w:rsidRDefault="005F769D" w:rsidP="00565457">
      <w:pPr>
        <w:pStyle w:val="Numberbullet0"/>
      </w:pPr>
      <w:r w:rsidRPr="00F71C2B">
        <w:t xml:space="preserve">OPR’s </w:t>
      </w:r>
      <w:r w:rsidRPr="00565457">
        <w:t>comments</w:t>
      </w:r>
      <w:r w:rsidRPr="00F71C2B">
        <w:t xml:space="preserve"> on the RMP are addressed in the “Response to RMP Advice-Round 2</w:t>
      </w:r>
      <w:r w:rsidR="00F71C2B">
        <w:t xml:space="preserve"> </w:t>
      </w:r>
      <w:r w:rsidRPr="00F71C2B">
        <w:t>Assessment” document included with this response.</w:t>
      </w:r>
    </w:p>
    <w:p w:rsidR="005F769D" w:rsidRPr="00F71C2B" w:rsidRDefault="005F769D" w:rsidP="00565457">
      <w:pPr>
        <w:pStyle w:val="Numberbullet0"/>
      </w:pPr>
      <w:r w:rsidRPr="00F71C2B">
        <w:t>During the Week 24 Double-Blind Treatment Period of PsA001, a total of 3 subjects in the</w:t>
      </w:r>
      <w:r w:rsidR="00F71C2B">
        <w:t xml:space="preserve"> </w:t>
      </w:r>
      <w:proofErr w:type="spellStart"/>
      <w:r w:rsidRPr="00F71C2B">
        <w:t>certolizumab</w:t>
      </w:r>
      <w:proofErr w:type="spellEnd"/>
      <w:r w:rsidRPr="00F71C2B">
        <w:t xml:space="preserve"> </w:t>
      </w:r>
      <w:proofErr w:type="spellStart"/>
      <w:r w:rsidRPr="00F71C2B">
        <w:t>pegol</w:t>
      </w:r>
      <w:proofErr w:type="spellEnd"/>
      <w:r w:rsidRPr="00F71C2B">
        <w:t xml:space="preserve"> (CZP) 400mg every 4 weeks (Q4W) group had simultaneous post-Baseline</w:t>
      </w:r>
      <w:r w:rsidR="00F71C2B">
        <w:t xml:space="preserve"> </w:t>
      </w:r>
      <w:r w:rsidRPr="00F71C2B">
        <w:t xml:space="preserve">liver function test elevations of bilirubin </w:t>
      </w:r>
      <w:r w:rsidR="004332FB" w:rsidRPr="00F71C2B">
        <w:t xml:space="preserve"> greater than or equal to </w:t>
      </w:r>
      <w:r w:rsidRPr="00F71C2B">
        <w:t>1x upper limit of normal (ULN) and alanine</w:t>
      </w:r>
      <w:r w:rsidR="00F71C2B">
        <w:t xml:space="preserve"> </w:t>
      </w:r>
      <w:r w:rsidRPr="00F71C2B">
        <w:t xml:space="preserve">aminotransferase or aspartate aminotransferase </w:t>
      </w:r>
      <w:r w:rsidR="004332FB" w:rsidRPr="00F71C2B">
        <w:t xml:space="preserve"> greater than or equal to </w:t>
      </w:r>
      <w:r w:rsidRPr="00F71C2B">
        <w:t>3xUL</w:t>
      </w:r>
      <w:r w:rsidR="00F71C2B">
        <w:t>N (PsA001 Week 24</w:t>
      </w:r>
      <w:r w:rsidRPr="00F71C2B">
        <w:t>).</w:t>
      </w:r>
      <w:r w:rsidR="00F71C2B">
        <w:t xml:space="preserve">  </w:t>
      </w:r>
      <w:r w:rsidRPr="00F71C2B">
        <w:t xml:space="preserve">(Subject 454-00248, Subject 458-00452, and </w:t>
      </w:r>
      <w:r w:rsidRPr="00565457">
        <w:t>Subject</w:t>
      </w:r>
      <w:r w:rsidRPr="00F71C2B">
        <w:t xml:space="preserve"> 705-00568).</w:t>
      </w:r>
      <w:r w:rsidR="00F71C2B">
        <w:t xml:space="preserve"> </w:t>
      </w:r>
      <w:r w:rsidRPr="00F71C2B">
        <w:t>As of 16 Nov 2012, an additional subject (Subject 454-00143) in the CZP 400mg Q4W group met</w:t>
      </w:r>
      <w:r w:rsidR="00F71C2B">
        <w:t xml:space="preserve"> </w:t>
      </w:r>
      <w:r w:rsidRPr="00F71C2B">
        <w:t>the above criteria for elevated lab values (PsA001 [da</w:t>
      </w:r>
      <w:r w:rsidR="00F71C2B">
        <w:t xml:space="preserve">ta </w:t>
      </w:r>
      <w:proofErr w:type="spellStart"/>
      <w:r w:rsidR="00F71C2B">
        <w:t>cutoff</w:t>
      </w:r>
      <w:proofErr w:type="spellEnd"/>
      <w:r w:rsidR="00F71C2B">
        <w:t xml:space="preserve"> 16 Nov 2012]</w:t>
      </w:r>
      <w:r w:rsidRPr="00F71C2B">
        <w:t>.</w:t>
      </w:r>
      <w:r w:rsidR="00F71C2B">
        <w:t xml:space="preserve"> </w:t>
      </w:r>
      <w:r w:rsidRPr="00F71C2B">
        <w:t>These subjects presented with different combinations of risk factors at Baseline including current</w:t>
      </w:r>
      <w:r w:rsidR="00F71C2B">
        <w:t xml:space="preserve"> </w:t>
      </w:r>
      <w:r w:rsidRPr="00F71C2B">
        <w:t>and former alcohol and tobacco use (3 subjects); in addition, Subject 454-00143 had a history of</w:t>
      </w:r>
      <w:r w:rsidR="00F71C2B">
        <w:t xml:space="preserve"> </w:t>
      </w:r>
      <w:r w:rsidRPr="00F71C2B">
        <w:t xml:space="preserve">liver </w:t>
      </w:r>
      <w:proofErr w:type="spellStart"/>
      <w:r w:rsidRPr="00F71C2B">
        <w:t>steatosis</w:t>
      </w:r>
      <w:proofErr w:type="spellEnd"/>
      <w:r w:rsidRPr="00F71C2B">
        <w:t xml:space="preserve">. Transient high levels of transaminase values were observed in each subject. </w:t>
      </w:r>
      <w:r w:rsidR="00F71C2B">
        <w:t xml:space="preserve"> T</w:t>
      </w:r>
      <w:r w:rsidRPr="00F71C2B">
        <w:t>aken</w:t>
      </w:r>
      <w:r w:rsidR="00F71C2B">
        <w:t xml:space="preserve"> </w:t>
      </w:r>
      <w:r w:rsidRPr="00F71C2B">
        <w:t>together, these data suggest that factors other than CZP treatment contributed to the elevated</w:t>
      </w:r>
      <w:r w:rsidR="00F71C2B">
        <w:t xml:space="preserve"> </w:t>
      </w:r>
      <w:r w:rsidRPr="00F71C2B">
        <w:t xml:space="preserve">values. None of the subjects had concomitant bilirubin and AST/ALT elevations meeting </w:t>
      </w:r>
      <w:proofErr w:type="spellStart"/>
      <w:r w:rsidRPr="00F71C2B">
        <w:t>Hy’s</w:t>
      </w:r>
      <w:proofErr w:type="spellEnd"/>
      <w:r w:rsidR="00F71C2B">
        <w:t xml:space="preserve"> </w:t>
      </w:r>
      <w:r w:rsidRPr="00F71C2B">
        <w:t>law criteria.</w:t>
      </w:r>
    </w:p>
    <w:p w:rsidR="005F769D" w:rsidRPr="00F71C2B" w:rsidRDefault="005F769D" w:rsidP="00565457">
      <w:pPr>
        <w:pStyle w:val="Numberbullet0"/>
      </w:pPr>
      <w:r w:rsidRPr="00F71C2B">
        <w:t>Cardiac events are indeed a known concern for anti-TNF agents including CZP.</w:t>
      </w:r>
      <w:r w:rsidR="00F71C2B">
        <w:t xml:space="preserve"> </w:t>
      </w:r>
      <w:r w:rsidRPr="00F71C2B">
        <w:t>With reference to the submitted the safety data collected up to 31 May 2012 in the 2 new</w:t>
      </w:r>
      <w:r w:rsidR="00F71C2B">
        <w:t xml:space="preserve"> </w:t>
      </w:r>
      <w:r w:rsidRPr="00F71C2B">
        <w:t>indications (</w:t>
      </w:r>
      <w:proofErr w:type="spellStart"/>
      <w:r w:rsidRPr="00F71C2B">
        <w:t>PsA</w:t>
      </w:r>
      <w:proofErr w:type="spellEnd"/>
      <w:r w:rsidRPr="00F71C2B">
        <w:t xml:space="preserve"> and </w:t>
      </w:r>
      <w:proofErr w:type="spellStart"/>
      <w:r w:rsidRPr="00F71C2B">
        <w:t>axSpA</w:t>
      </w:r>
      <w:proofErr w:type="spellEnd"/>
      <w:r w:rsidRPr="00F71C2B">
        <w:t>) along with a safety pooling refresh of clinical trials conducted in RA</w:t>
      </w:r>
      <w:r w:rsidR="00F71C2B">
        <w:t xml:space="preserve"> </w:t>
      </w:r>
      <w:r w:rsidRPr="00F71C2B">
        <w:t xml:space="preserve">up to 30 November 2011. The </w:t>
      </w:r>
      <w:r w:rsidRPr="00565457">
        <w:t>incidence</w:t>
      </w:r>
      <w:r w:rsidRPr="00F71C2B">
        <w:t xml:space="preserve"> and incidence rates per 100 pat/years for the </w:t>
      </w:r>
      <w:proofErr w:type="spellStart"/>
      <w:r w:rsidRPr="00F71C2B">
        <w:t>MedDRA</w:t>
      </w:r>
      <w:proofErr w:type="spellEnd"/>
      <w:r w:rsidR="00F71C2B">
        <w:t xml:space="preserve"> </w:t>
      </w:r>
      <w:r w:rsidRPr="00F71C2B">
        <w:t>SOC “Cardiac Disorders” in the placebo controlled studies/study periods for PBO and CZP (any</w:t>
      </w:r>
      <w:r w:rsidR="00F71C2B">
        <w:t xml:space="preserve"> </w:t>
      </w:r>
      <w:r w:rsidRPr="00F71C2B">
        <w:t>dose) as well as in all st</w:t>
      </w:r>
      <w:r w:rsidR="00F71C2B">
        <w:t xml:space="preserve">udies are summarized in this response. </w:t>
      </w:r>
      <w:r w:rsidRPr="00F71C2B">
        <w:t>When corrected for exposure, there was an increase of cardiac events compared to PBO in RA</w:t>
      </w:r>
      <w:r w:rsidR="00F71C2B">
        <w:t xml:space="preserve"> </w:t>
      </w:r>
      <w:r w:rsidRPr="00F71C2B">
        <w:t xml:space="preserve">and </w:t>
      </w:r>
      <w:proofErr w:type="spellStart"/>
      <w:r w:rsidRPr="00F71C2B">
        <w:t>PsA</w:t>
      </w:r>
      <w:proofErr w:type="spellEnd"/>
      <w:r w:rsidRPr="00F71C2B">
        <w:t xml:space="preserve"> but not in </w:t>
      </w:r>
      <w:proofErr w:type="spellStart"/>
      <w:r w:rsidRPr="00F71C2B">
        <w:t>axSpA</w:t>
      </w:r>
      <w:proofErr w:type="spellEnd"/>
      <w:r w:rsidRPr="00F71C2B">
        <w:t>. However, incidence rates were higher in the All CZP group in</w:t>
      </w:r>
      <w:r w:rsidR="00F71C2B">
        <w:t xml:space="preserve"> </w:t>
      </w:r>
      <w:r w:rsidRPr="00F71C2B">
        <w:t>Placebo-controlled studies compared with the All CZP group in All Studies, suggesting that there</w:t>
      </w:r>
      <w:r w:rsidR="00F71C2B">
        <w:t xml:space="preserve"> </w:t>
      </w:r>
      <w:r w:rsidRPr="00F71C2B">
        <w:t>is no increase for Cardiac Events with long-term exposure.</w:t>
      </w:r>
    </w:p>
    <w:p w:rsidR="005F769D" w:rsidRPr="00F71C2B" w:rsidRDefault="005F769D" w:rsidP="00565457">
      <w:pPr>
        <w:pStyle w:val="TableTitle"/>
      </w:pPr>
      <w:proofErr w:type="gramStart"/>
      <w:r w:rsidRPr="00F71C2B">
        <w:t xml:space="preserve">Table </w:t>
      </w:r>
      <w:r w:rsidR="00B9198A">
        <w:t>8</w:t>
      </w:r>
      <w:r w:rsidRPr="00F71C2B">
        <w:t>.</w:t>
      </w:r>
      <w:proofErr w:type="gramEnd"/>
      <w:r w:rsidRPr="00F71C2B">
        <w:t xml:space="preserve"> </w:t>
      </w:r>
      <w:proofErr w:type="gramStart"/>
      <w:r w:rsidRPr="00F71C2B">
        <w:t xml:space="preserve">Cardiac events in </w:t>
      </w:r>
      <w:r w:rsidRPr="00565457">
        <w:t>Clinical</w:t>
      </w:r>
      <w:r w:rsidRPr="00F71C2B">
        <w:t xml:space="preserve"> Trials</w:t>
      </w:r>
      <w:r w:rsidR="002E5FE2">
        <w:t>.</w:t>
      </w:r>
      <w:proofErr w:type="gramEnd"/>
    </w:p>
    <w:p w:rsidR="005F769D" w:rsidRDefault="005F769D" w:rsidP="00565457">
      <w:pPr>
        <w:rPr>
          <w:b/>
          <w:bCs/>
        </w:rPr>
      </w:pPr>
      <w:r>
        <w:rPr>
          <w:noProof/>
          <w:lang w:eastAsia="en-AU"/>
        </w:rPr>
        <w:drawing>
          <wp:inline distT="0" distB="0" distL="0" distR="0" wp14:anchorId="5C76EE7B" wp14:editId="59A7C8DD">
            <wp:extent cx="5400040" cy="1515011"/>
            <wp:effectExtent l="0" t="0" r="0" b="9525"/>
            <wp:docPr id="10" name="Picture 10" descr="Cardiac events in Clinical Trials." title="Table 8. Cardiac events in Clinical Tri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400040" cy="1515011"/>
                    </a:xfrm>
                    <a:prstGeom prst="rect">
                      <a:avLst/>
                    </a:prstGeom>
                  </pic:spPr>
                </pic:pic>
              </a:graphicData>
            </a:graphic>
          </wp:inline>
        </w:drawing>
      </w:r>
    </w:p>
    <w:p w:rsidR="005F769D" w:rsidRPr="00F71C2B" w:rsidRDefault="005F769D" w:rsidP="00565457">
      <w:r w:rsidRPr="00F71C2B">
        <w:t>No specific clinical studies are planned to investigate this further. This risk is appropriately</w:t>
      </w:r>
      <w:r w:rsidR="00F71C2B">
        <w:t xml:space="preserve"> </w:t>
      </w:r>
      <w:r w:rsidRPr="00F71C2B">
        <w:t>addressed in the PI (contraindications, precautions and adverse effects sections) as well as in the</w:t>
      </w:r>
      <w:r w:rsidR="00F71C2B">
        <w:t xml:space="preserve"> </w:t>
      </w:r>
      <w:r w:rsidRPr="00F71C2B">
        <w:t>RMP.</w:t>
      </w:r>
    </w:p>
    <w:p w:rsidR="005F769D" w:rsidRPr="00F71C2B" w:rsidRDefault="005F769D" w:rsidP="00565457">
      <w:pPr>
        <w:pStyle w:val="Numberbullet0"/>
      </w:pPr>
      <w:r w:rsidRPr="00F71C2B">
        <w:t xml:space="preserve">There were </w:t>
      </w:r>
      <w:r w:rsidRPr="00565457">
        <w:t>147</w:t>
      </w:r>
      <w:r w:rsidRPr="00F71C2B">
        <w:t xml:space="preserve"> subjects in the AS001 study that had a Baseline x-ray of</w:t>
      </w:r>
      <w:r w:rsidR="004332FB" w:rsidRPr="00F71C2B">
        <w:t xml:space="preserve"> &lt; </w:t>
      </w:r>
      <w:r w:rsidRPr="00F71C2B">
        <w:t xml:space="preserve">2 bilaterally or grade 1-2 unilaterally. Among these subjects, 80 (54.4%) had </w:t>
      </w:r>
      <w:proofErr w:type="spellStart"/>
      <w:r w:rsidRPr="00F71C2B">
        <w:t>sacroiliitis</w:t>
      </w:r>
      <w:proofErr w:type="spellEnd"/>
      <w:r w:rsidRPr="00F71C2B">
        <w:t xml:space="preserve"> on MRI, while 67 (45.6%) had</w:t>
      </w:r>
      <w:r w:rsidR="00F71C2B" w:rsidRPr="00F71C2B">
        <w:t xml:space="preserve"> </w:t>
      </w:r>
      <w:r w:rsidRPr="00F71C2B">
        <w:t xml:space="preserve">no </w:t>
      </w:r>
      <w:proofErr w:type="spellStart"/>
      <w:r w:rsidRPr="00F71C2B">
        <w:t>sacroiliitis</w:t>
      </w:r>
      <w:proofErr w:type="spellEnd"/>
      <w:r w:rsidRPr="00F71C2B">
        <w:t xml:space="preserve"> due to either a missing or a negative MRI.</w:t>
      </w:r>
    </w:p>
    <w:p w:rsidR="00F71C2B" w:rsidRDefault="005F769D" w:rsidP="00565457">
      <w:pPr>
        <w:pStyle w:val="Numberbullet0"/>
      </w:pPr>
      <w:r>
        <w:t xml:space="preserve">Other Delegate’s </w:t>
      </w:r>
      <w:r w:rsidRPr="00565457">
        <w:t>Comments</w:t>
      </w:r>
      <w:r w:rsidR="00F71C2B">
        <w:t>:</w:t>
      </w:r>
    </w:p>
    <w:p w:rsidR="00F71C2B" w:rsidRPr="00565457" w:rsidRDefault="00780621" w:rsidP="00565457">
      <w:pPr>
        <w:pStyle w:val="Numberbullet2"/>
        <w:rPr>
          <w:i/>
        </w:rPr>
      </w:pPr>
      <w:r w:rsidRPr="00565457">
        <w:rPr>
          <w:i/>
        </w:rPr>
        <w:t>‘</w:t>
      </w:r>
      <w:proofErr w:type="spellStart"/>
      <w:r w:rsidR="005F769D" w:rsidRPr="00565457">
        <w:rPr>
          <w:i/>
        </w:rPr>
        <w:t>Certolizumab</w:t>
      </w:r>
      <w:proofErr w:type="spellEnd"/>
      <w:r w:rsidR="005F769D" w:rsidRPr="00565457">
        <w:rPr>
          <w:i/>
        </w:rPr>
        <w:t xml:space="preserve"> was approved in the USA in September 2013 (</w:t>
      </w:r>
      <w:proofErr w:type="spellStart"/>
      <w:r w:rsidR="005F769D" w:rsidRPr="00565457">
        <w:rPr>
          <w:i/>
        </w:rPr>
        <w:t>PsA</w:t>
      </w:r>
      <w:proofErr w:type="spellEnd"/>
      <w:r w:rsidR="005F769D" w:rsidRPr="00565457">
        <w:rPr>
          <w:i/>
        </w:rPr>
        <w:t>) and October</w:t>
      </w:r>
      <w:r w:rsidR="00F71C2B" w:rsidRPr="00565457">
        <w:rPr>
          <w:i/>
        </w:rPr>
        <w:t xml:space="preserve"> </w:t>
      </w:r>
      <w:r w:rsidR="005F769D" w:rsidRPr="00565457">
        <w:rPr>
          <w:i/>
        </w:rPr>
        <w:t xml:space="preserve">2013 (AS), and in Canada in January 2014 (indications below). The </w:t>
      </w:r>
      <w:proofErr w:type="spellStart"/>
      <w:r w:rsidR="005F769D" w:rsidRPr="00565457">
        <w:rPr>
          <w:i/>
        </w:rPr>
        <w:t>certolizumab</w:t>
      </w:r>
      <w:proofErr w:type="spellEnd"/>
      <w:r w:rsidR="005F769D" w:rsidRPr="00565457">
        <w:rPr>
          <w:i/>
        </w:rPr>
        <w:t xml:space="preserve"> submission is</w:t>
      </w:r>
      <w:r w:rsidR="00F71C2B" w:rsidRPr="00565457">
        <w:rPr>
          <w:i/>
        </w:rPr>
        <w:t xml:space="preserve"> </w:t>
      </w:r>
      <w:r w:rsidR="005F769D" w:rsidRPr="00565457">
        <w:rPr>
          <w:i/>
        </w:rPr>
        <w:t>under evaluation in the EU. It has not been submitted in Switzerland, or New Zealand.</w:t>
      </w:r>
      <w:r w:rsidRPr="00565457">
        <w:rPr>
          <w:i/>
        </w:rPr>
        <w:t>’</w:t>
      </w:r>
    </w:p>
    <w:p w:rsidR="00F71C2B" w:rsidRDefault="005F769D" w:rsidP="00565457">
      <w:pPr>
        <w:pStyle w:val="Numberbullet3"/>
      </w:pPr>
      <w:r w:rsidRPr="00F71C2B">
        <w:t>Response</w:t>
      </w:r>
      <w:r w:rsidR="00F71C2B">
        <w:t xml:space="preserve">: </w:t>
      </w:r>
      <w:r w:rsidRPr="00F71C2B">
        <w:t>Approval in the EU was received on 18 Oct 2013 (</w:t>
      </w:r>
      <w:proofErr w:type="spellStart"/>
      <w:r w:rsidRPr="00F71C2B">
        <w:t>axSpA</w:t>
      </w:r>
      <w:proofErr w:type="spellEnd"/>
      <w:r w:rsidRPr="00F71C2B">
        <w:t>, both AS and nr-</w:t>
      </w:r>
      <w:proofErr w:type="spellStart"/>
      <w:r w:rsidRPr="00F71C2B">
        <w:t>axSpA</w:t>
      </w:r>
      <w:proofErr w:type="spellEnd"/>
      <w:r w:rsidRPr="00F71C2B">
        <w:t xml:space="preserve">) and on 25 </w:t>
      </w:r>
      <w:r w:rsidRPr="00565457">
        <w:t>Nov</w:t>
      </w:r>
      <w:r w:rsidR="00F71C2B" w:rsidRPr="00565457">
        <w:t>ember</w:t>
      </w:r>
      <w:r w:rsidR="00F71C2B">
        <w:t xml:space="preserve"> </w:t>
      </w:r>
      <w:r w:rsidRPr="00F71C2B">
        <w:t>2013 (</w:t>
      </w:r>
      <w:proofErr w:type="spellStart"/>
      <w:r w:rsidRPr="00F71C2B">
        <w:t>PsA</w:t>
      </w:r>
      <w:proofErr w:type="spellEnd"/>
      <w:r w:rsidRPr="00F71C2B">
        <w:t>), and in Canada on (</w:t>
      </w:r>
      <w:proofErr w:type="spellStart"/>
      <w:r w:rsidRPr="00F71C2B">
        <w:t>PsA</w:t>
      </w:r>
      <w:proofErr w:type="spellEnd"/>
      <w:r w:rsidRPr="00F71C2B">
        <w:t xml:space="preserve"> on 2 Jan</w:t>
      </w:r>
      <w:r w:rsidR="00F71C2B">
        <w:t>uary</w:t>
      </w:r>
      <w:r w:rsidRPr="00F71C2B">
        <w:t xml:space="preserve"> 2014 and AS on 15 Jan</w:t>
      </w:r>
      <w:r w:rsidR="00F71C2B">
        <w:t>uary</w:t>
      </w:r>
      <w:r w:rsidRPr="00F71C2B">
        <w:t xml:space="preserve"> 2014). The full approved</w:t>
      </w:r>
      <w:r w:rsidR="00F71C2B">
        <w:t xml:space="preserve"> </w:t>
      </w:r>
      <w:r w:rsidRPr="00F71C2B">
        <w:t>indications for these countries are provided in the current international regulatory status and PI</w:t>
      </w:r>
      <w:r w:rsidR="00F71C2B">
        <w:t xml:space="preserve"> </w:t>
      </w:r>
      <w:r w:rsidRPr="00F71C2B">
        <w:t xml:space="preserve">documents provided with this response. CZP is under evaluation in Switzerland for </w:t>
      </w:r>
      <w:proofErr w:type="spellStart"/>
      <w:r w:rsidRPr="00F71C2B">
        <w:t>PsA</w:t>
      </w:r>
      <w:proofErr w:type="spellEnd"/>
      <w:r w:rsidR="00F71C2B">
        <w:t xml:space="preserve"> </w:t>
      </w:r>
      <w:r w:rsidRPr="00F71C2B">
        <w:t>(submitted Mar</w:t>
      </w:r>
      <w:r w:rsidR="00F71C2B">
        <w:t>ch</w:t>
      </w:r>
      <w:r w:rsidRPr="00F71C2B">
        <w:t xml:space="preserve"> 2013) and </w:t>
      </w:r>
      <w:proofErr w:type="spellStart"/>
      <w:r w:rsidRPr="00F71C2B">
        <w:t>axSpA</w:t>
      </w:r>
      <w:proofErr w:type="spellEnd"/>
      <w:r w:rsidRPr="00F71C2B">
        <w:t xml:space="preserve"> (submitted Apr</w:t>
      </w:r>
      <w:r w:rsidR="00F71C2B">
        <w:t>il</w:t>
      </w:r>
      <w:r w:rsidRPr="00F71C2B">
        <w:t xml:space="preserve"> 2013).</w:t>
      </w:r>
      <w:r w:rsidR="00F71C2B">
        <w:t>T</w:t>
      </w:r>
    </w:p>
    <w:p w:rsidR="00780621" w:rsidRPr="00565457" w:rsidRDefault="00780621" w:rsidP="00565457">
      <w:pPr>
        <w:pStyle w:val="Numberbullet2"/>
        <w:rPr>
          <w:i/>
        </w:rPr>
      </w:pPr>
      <w:r w:rsidRPr="00565457">
        <w:rPr>
          <w:i/>
        </w:rPr>
        <w:t>‘</w:t>
      </w:r>
      <w:r w:rsidR="00F71C2B" w:rsidRPr="00565457">
        <w:rPr>
          <w:i/>
        </w:rPr>
        <w:t>T</w:t>
      </w:r>
      <w:r w:rsidR="005F769D" w:rsidRPr="00565457">
        <w:rPr>
          <w:i/>
        </w:rPr>
        <w:t xml:space="preserve">he clinical evaluator has recommended approval (Clinical Evaluation </w:t>
      </w:r>
      <w:proofErr w:type="gramStart"/>
      <w:r w:rsidR="005F769D" w:rsidRPr="00565457">
        <w:rPr>
          <w:i/>
        </w:rPr>
        <w:t>Report</w:t>
      </w:r>
      <w:r w:rsidR="00F71C2B" w:rsidRPr="00565457">
        <w:rPr>
          <w:i/>
        </w:rPr>
        <w:t>(</w:t>
      </w:r>
      <w:proofErr w:type="gramEnd"/>
      <w:r w:rsidR="00F71C2B" w:rsidRPr="00565457">
        <w:rPr>
          <w:i/>
        </w:rPr>
        <w:t>CER)</w:t>
      </w:r>
      <w:r w:rsidR="005F769D" w:rsidRPr="00565457">
        <w:rPr>
          <w:i/>
        </w:rPr>
        <w:t xml:space="preserve">) to extend the indication for </w:t>
      </w:r>
      <w:proofErr w:type="spellStart"/>
      <w:r w:rsidR="005F769D" w:rsidRPr="00565457">
        <w:rPr>
          <w:i/>
        </w:rPr>
        <w:t>certolizumab</w:t>
      </w:r>
      <w:proofErr w:type="spellEnd"/>
      <w:r w:rsidR="005F769D" w:rsidRPr="00565457">
        <w:rPr>
          <w:i/>
        </w:rPr>
        <w:t xml:space="preserve"> to include the treatment of active </w:t>
      </w:r>
      <w:proofErr w:type="spellStart"/>
      <w:r w:rsidR="005F769D" w:rsidRPr="00565457">
        <w:rPr>
          <w:i/>
        </w:rPr>
        <w:t>PsA</w:t>
      </w:r>
      <w:proofErr w:type="spellEnd"/>
      <w:r w:rsidR="00F71C2B" w:rsidRPr="00565457">
        <w:rPr>
          <w:i/>
        </w:rPr>
        <w:t xml:space="preserve"> </w:t>
      </w:r>
      <w:r w:rsidR="005F769D" w:rsidRPr="00565457">
        <w:rPr>
          <w:i/>
        </w:rPr>
        <w:t xml:space="preserve">and axial </w:t>
      </w:r>
      <w:proofErr w:type="spellStart"/>
      <w:r w:rsidR="005F769D" w:rsidRPr="00565457">
        <w:rPr>
          <w:i/>
        </w:rPr>
        <w:t>SpA</w:t>
      </w:r>
      <w:proofErr w:type="spellEnd"/>
      <w:r w:rsidR="005F769D" w:rsidRPr="00565457">
        <w:rPr>
          <w:i/>
        </w:rPr>
        <w:t>. However the evaluator does not recommend acceptance of the proposed claim of</w:t>
      </w:r>
      <w:r w:rsidR="00F71C2B" w:rsidRPr="00565457">
        <w:rPr>
          <w:i/>
        </w:rPr>
        <w:t xml:space="preserve"> </w:t>
      </w:r>
      <w:r w:rsidR="005F769D" w:rsidRPr="00565457">
        <w:rPr>
          <w:i/>
        </w:rPr>
        <w:t>radiographic bene</w:t>
      </w:r>
      <w:r w:rsidRPr="00565457">
        <w:rPr>
          <w:i/>
        </w:rPr>
        <w:t xml:space="preserve">fit in patients with active </w:t>
      </w:r>
      <w:proofErr w:type="spellStart"/>
      <w:r w:rsidRPr="00565457">
        <w:rPr>
          <w:i/>
        </w:rPr>
        <w:t>PsA</w:t>
      </w:r>
      <w:proofErr w:type="spellEnd"/>
      <w:r w:rsidRPr="00565457">
        <w:rPr>
          <w:i/>
        </w:rPr>
        <w:t>, and d</w:t>
      </w:r>
      <w:r w:rsidR="005F769D" w:rsidRPr="00565457">
        <w:rPr>
          <w:i/>
        </w:rPr>
        <w:t xml:space="preserve">ata deficiencies: The major deficiency for the </w:t>
      </w:r>
      <w:proofErr w:type="spellStart"/>
      <w:r w:rsidR="005F769D" w:rsidRPr="00565457">
        <w:rPr>
          <w:i/>
        </w:rPr>
        <w:t>PsA</w:t>
      </w:r>
      <w:proofErr w:type="spellEnd"/>
      <w:r w:rsidR="005F769D" w:rsidRPr="00565457">
        <w:rPr>
          <w:i/>
        </w:rPr>
        <w:t xml:space="preserve"> indication was the reliance on</w:t>
      </w:r>
      <w:r w:rsidRPr="00565457">
        <w:rPr>
          <w:i/>
        </w:rPr>
        <w:t xml:space="preserve"> </w:t>
      </w:r>
      <w:r w:rsidR="005F769D" w:rsidRPr="00565457">
        <w:rPr>
          <w:i/>
        </w:rPr>
        <w:t>post-hoc analyses to support the claim that CZP reduces the rate of radiographic progression,</w:t>
      </w:r>
      <w:r w:rsidRPr="00565457">
        <w:rPr>
          <w:i/>
        </w:rPr>
        <w:t xml:space="preserve"> </w:t>
      </w:r>
      <w:r w:rsidR="005F769D" w:rsidRPr="00565457">
        <w:rPr>
          <w:i/>
        </w:rPr>
        <w:t>and the lack of longer-term radiographic data</w:t>
      </w:r>
      <w:r w:rsidRPr="00565457">
        <w:rPr>
          <w:i/>
        </w:rPr>
        <w:t>’</w:t>
      </w:r>
      <w:r w:rsidR="005F769D" w:rsidRPr="00565457">
        <w:rPr>
          <w:i/>
        </w:rPr>
        <w:t>.</w:t>
      </w:r>
    </w:p>
    <w:p w:rsidR="00780621" w:rsidRDefault="005F769D" w:rsidP="00565457">
      <w:pPr>
        <w:pStyle w:val="Numberbullet3"/>
      </w:pPr>
      <w:r w:rsidRPr="00F71C2B">
        <w:t>Response</w:t>
      </w:r>
      <w:r w:rsidR="00780621">
        <w:t xml:space="preserve">: </w:t>
      </w:r>
      <w:r w:rsidRPr="00F71C2B">
        <w:t xml:space="preserve">The statistical model used to support the claim of reduced radiographic </w:t>
      </w:r>
      <w:r w:rsidRPr="00565457">
        <w:t>progression</w:t>
      </w:r>
      <w:r w:rsidRPr="00F71C2B">
        <w:t xml:space="preserve"> is as</w:t>
      </w:r>
      <w:r w:rsidR="00780621">
        <w:t xml:space="preserve"> </w:t>
      </w:r>
      <w:r w:rsidRPr="00F71C2B">
        <w:t>originally specified in the statistical analysis plan, but it is acknowledged that rules used to impute</w:t>
      </w:r>
      <w:r w:rsidR="00780621">
        <w:t xml:space="preserve"> </w:t>
      </w:r>
      <w:r w:rsidRPr="00F71C2B">
        <w:t>x-</w:t>
      </w:r>
      <w:proofErr w:type="gramStart"/>
      <w:r w:rsidRPr="00F71C2B">
        <w:t>rays,</w:t>
      </w:r>
      <w:proofErr w:type="gramEnd"/>
      <w:r w:rsidRPr="00F71C2B">
        <w:t xml:space="preserve"> the </w:t>
      </w:r>
      <w:proofErr w:type="spellStart"/>
      <w:r w:rsidRPr="00F71C2B">
        <w:t>mTSS</w:t>
      </w:r>
      <w:proofErr w:type="spellEnd"/>
      <w:r w:rsidRPr="00F71C2B">
        <w:t xml:space="preserve"> change from Baseline at Week 24 was imputed as the median change instead of</w:t>
      </w:r>
      <w:r w:rsidR="00780621">
        <w:t xml:space="preserve"> </w:t>
      </w:r>
      <w:r w:rsidRPr="00F71C2B">
        <w:t xml:space="preserve">being based on the maximum among all observed </w:t>
      </w:r>
      <w:proofErr w:type="spellStart"/>
      <w:r w:rsidRPr="00F71C2B">
        <w:t>mTSS</w:t>
      </w:r>
      <w:proofErr w:type="spellEnd"/>
      <w:r w:rsidRPr="00F71C2B">
        <w:t xml:space="preserve"> values. The two principal reasons for this</w:t>
      </w:r>
      <w:r w:rsidR="00780621">
        <w:t xml:space="preserve"> change were</w:t>
      </w:r>
    </w:p>
    <w:p w:rsidR="00780621" w:rsidRDefault="005F769D" w:rsidP="00565457">
      <w:pPr>
        <w:pStyle w:val="Numberbullet3"/>
        <w:numPr>
          <w:ilvl w:val="3"/>
          <w:numId w:val="16"/>
        </w:numPr>
        <w:tabs>
          <w:tab w:val="clear" w:pos="2880"/>
          <w:tab w:val="num" w:pos="1701"/>
        </w:tabs>
        <w:ind w:left="1701" w:hanging="425"/>
      </w:pPr>
      <w:proofErr w:type="gramStart"/>
      <w:r w:rsidRPr="00F71C2B">
        <w:t>the</w:t>
      </w:r>
      <w:proofErr w:type="gramEnd"/>
      <w:r w:rsidRPr="00F71C2B">
        <w:t xml:space="preserve"> pre-defined approach resulted in physiologically implausible changes in </w:t>
      </w:r>
      <w:proofErr w:type="spellStart"/>
      <w:r w:rsidRPr="00F71C2B">
        <w:t>mTSS</w:t>
      </w:r>
      <w:proofErr w:type="spellEnd"/>
      <w:r w:rsidR="00780621">
        <w:t xml:space="preserve"> </w:t>
      </w:r>
      <w:r w:rsidRPr="00F71C2B">
        <w:t xml:space="preserve">for these subjects and </w:t>
      </w:r>
      <w:r w:rsidR="00C726FD" w:rsidRPr="00F71C2B">
        <w:t xml:space="preserve">to align with the approach used in a recent </w:t>
      </w:r>
      <w:proofErr w:type="spellStart"/>
      <w:r w:rsidR="00C726FD" w:rsidRPr="00F71C2B">
        <w:t>PsA</w:t>
      </w:r>
      <w:proofErr w:type="spellEnd"/>
      <w:r w:rsidR="00C726FD" w:rsidRPr="00F71C2B">
        <w:t xml:space="preserve"> approval for analysis of</w:t>
      </w:r>
      <w:r w:rsidR="00C726FD">
        <w:t xml:space="preserve"> </w:t>
      </w:r>
      <w:proofErr w:type="spellStart"/>
      <w:r w:rsidR="00C726FD" w:rsidRPr="00F71C2B">
        <w:t>mTSS</w:t>
      </w:r>
      <w:proofErr w:type="spellEnd"/>
      <w:r w:rsidR="00C726FD" w:rsidRPr="00F71C2B">
        <w:t xml:space="preserve"> data (See “Missing data imputation rules” of </w:t>
      </w:r>
      <w:proofErr w:type="spellStart"/>
      <w:r w:rsidR="00C726FD" w:rsidRPr="00F71C2B">
        <w:t>Simponi</w:t>
      </w:r>
      <w:proofErr w:type="spellEnd"/>
      <w:r w:rsidR="00C726FD" w:rsidRPr="00F71C2B">
        <w:t xml:space="preserve"> EPAR Assessment</w:t>
      </w:r>
      <w:r w:rsidR="00C726FD">
        <w:t xml:space="preserve"> </w:t>
      </w:r>
      <w:r w:rsidR="00C726FD" w:rsidRPr="00F71C2B">
        <w:t>Re</w:t>
      </w:r>
      <w:r w:rsidR="00C726FD">
        <w:t>port).</w:t>
      </w:r>
    </w:p>
    <w:p w:rsidR="00780621" w:rsidRDefault="005F769D" w:rsidP="00780621">
      <w:pPr>
        <w:pStyle w:val="Numberbullet3"/>
        <w:numPr>
          <w:ilvl w:val="0"/>
          <w:numId w:val="0"/>
        </w:numPr>
        <w:autoSpaceDE w:val="0"/>
        <w:autoSpaceDN w:val="0"/>
        <w:adjustRightInd w:val="0"/>
        <w:spacing w:before="0" w:line="240" w:lineRule="auto"/>
        <w:ind w:left="1276"/>
        <w:rPr>
          <w:rFonts w:ascii="TimesNewRoman" w:eastAsiaTheme="minorHAnsi" w:hAnsi="TimesNewRoman" w:cs="TimesNewRoman"/>
          <w:sz w:val="23"/>
          <w:szCs w:val="23"/>
        </w:rPr>
      </w:pPr>
      <w:r w:rsidRPr="00F71C2B">
        <w:t>While the principle of adhering to pre-defined analysis methods is certainly important, a post-hoc</w:t>
      </w:r>
      <w:r w:rsidR="00780621">
        <w:t xml:space="preserve"> </w:t>
      </w:r>
      <w:r w:rsidRPr="00F71C2B">
        <w:t>imputation approach should not be discounted when it provides more reasonable imputed values</w:t>
      </w:r>
      <w:r w:rsidR="00780621">
        <w:t xml:space="preserve"> </w:t>
      </w:r>
      <w:r w:rsidRPr="00F71C2B">
        <w:t>and is based on well-accepted methods. It should also be noted that the statistically significant</w:t>
      </w:r>
      <w:r w:rsidR="00780621">
        <w:t xml:space="preserve"> </w:t>
      </w:r>
      <w:r w:rsidRPr="00F71C2B">
        <w:t>result observed at Week 24 was supported by 2 additional sensitivity analyses applying other</w:t>
      </w:r>
      <w:r w:rsidR="00780621">
        <w:t xml:space="preserve"> </w:t>
      </w:r>
      <w:r w:rsidRPr="00F71C2B">
        <w:t>imputation approac</w:t>
      </w:r>
      <w:r w:rsidR="00780621">
        <w:t>hes (Source: PsA001 Week 24 CSR)</w:t>
      </w:r>
      <w:r w:rsidRPr="00F71C2B">
        <w:t>. Furthermore, FDA used yet</w:t>
      </w:r>
      <w:r w:rsidR="00780621">
        <w:t xml:space="preserve"> </w:t>
      </w:r>
      <w:r w:rsidRPr="00780621">
        <w:rPr>
          <w:rFonts w:ascii="TimesNewRoman" w:eastAsiaTheme="minorHAnsi" w:hAnsi="TimesNewRoman" w:cs="TimesNewRoman"/>
          <w:sz w:val="23"/>
          <w:szCs w:val="23"/>
        </w:rPr>
        <w:t>another method for handling these missing data which also resulted in a statistically significant</w:t>
      </w:r>
      <w:r w:rsidR="00780621" w:rsidRPr="00780621">
        <w:rPr>
          <w:rFonts w:ascii="TimesNewRoman" w:eastAsiaTheme="minorHAnsi" w:hAnsi="TimesNewRoman" w:cs="TimesNewRoman"/>
          <w:sz w:val="23"/>
          <w:szCs w:val="23"/>
        </w:rPr>
        <w:t xml:space="preserve"> </w:t>
      </w:r>
      <w:r w:rsidRPr="00780621">
        <w:rPr>
          <w:rFonts w:ascii="TimesNewRoman" w:eastAsiaTheme="minorHAnsi" w:hAnsi="TimesNewRoman" w:cs="TimesNewRoman"/>
          <w:sz w:val="23"/>
          <w:szCs w:val="23"/>
        </w:rPr>
        <w:t>difference compared to placebo. The consistency among the conclusions for these various</w:t>
      </w:r>
      <w:r w:rsidR="00780621" w:rsidRPr="00780621">
        <w:rPr>
          <w:rFonts w:ascii="TimesNewRoman" w:eastAsiaTheme="minorHAnsi" w:hAnsi="TimesNewRoman" w:cs="TimesNewRoman"/>
          <w:sz w:val="23"/>
          <w:szCs w:val="23"/>
        </w:rPr>
        <w:t xml:space="preserve"> </w:t>
      </w:r>
      <w:r w:rsidRPr="00780621">
        <w:rPr>
          <w:rFonts w:ascii="TimesNewRoman" w:eastAsiaTheme="minorHAnsi" w:hAnsi="TimesNewRoman" w:cs="TimesNewRoman"/>
          <w:sz w:val="23"/>
          <w:szCs w:val="23"/>
        </w:rPr>
        <w:t>sensitivity analyses is supportive of the robustness of the claim of inhibition of radiographic</w:t>
      </w:r>
      <w:r w:rsidR="00780621" w:rsidRPr="00780621">
        <w:rPr>
          <w:rFonts w:ascii="TimesNewRoman" w:eastAsiaTheme="minorHAnsi" w:hAnsi="TimesNewRoman" w:cs="TimesNewRoman"/>
          <w:sz w:val="23"/>
          <w:szCs w:val="23"/>
        </w:rPr>
        <w:t xml:space="preserve"> </w:t>
      </w:r>
      <w:r w:rsidRPr="00780621">
        <w:rPr>
          <w:rFonts w:ascii="TimesNewRoman" w:eastAsiaTheme="minorHAnsi" w:hAnsi="TimesNewRoman" w:cs="TimesNewRoman"/>
          <w:sz w:val="23"/>
          <w:szCs w:val="23"/>
        </w:rPr>
        <w:t>progression at Week 24.</w:t>
      </w:r>
      <w:r w:rsidR="00780621" w:rsidRPr="00780621">
        <w:rPr>
          <w:rFonts w:ascii="TimesNewRoman" w:eastAsiaTheme="minorHAnsi" w:hAnsi="TimesNewRoman" w:cs="TimesNewRoman"/>
          <w:sz w:val="23"/>
          <w:szCs w:val="23"/>
        </w:rPr>
        <w:t xml:space="preserve"> </w:t>
      </w:r>
    </w:p>
    <w:p w:rsidR="00780621" w:rsidRDefault="005F769D" w:rsidP="00780621">
      <w:pPr>
        <w:pStyle w:val="Numberbullet3"/>
        <w:numPr>
          <w:ilvl w:val="0"/>
          <w:numId w:val="0"/>
        </w:numPr>
        <w:autoSpaceDE w:val="0"/>
        <w:autoSpaceDN w:val="0"/>
        <w:adjustRightInd w:val="0"/>
        <w:spacing w:before="0" w:line="240" w:lineRule="auto"/>
        <w:ind w:left="1276"/>
        <w:rPr>
          <w:rFonts w:ascii="TimesNewRoman" w:eastAsiaTheme="minorHAnsi" w:hAnsi="TimesNewRoman" w:cs="TimesNewRoman"/>
          <w:sz w:val="23"/>
          <w:szCs w:val="23"/>
        </w:rPr>
      </w:pPr>
      <w:r w:rsidRPr="00780621">
        <w:rPr>
          <w:rFonts w:ascii="TimesNewRoman" w:eastAsiaTheme="minorHAnsi" w:hAnsi="TimesNewRoman" w:cs="TimesNewRoman"/>
          <w:sz w:val="23"/>
          <w:szCs w:val="23"/>
        </w:rPr>
        <w:t xml:space="preserve">The </w:t>
      </w:r>
      <w:proofErr w:type="spellStart"/>
      <w:r w:rsidRPr="00780621">
        <w:rPr>
          <w:rFonts w:ascii="TimesNewRoman" w:eastAsiaTheme="minorHAnsi" w:hAnsi="TimesNewRoman" w:cs="TimesNewRoman"/>
          <w:sz w:val="23"/>
          <w:szCs w:val="23"/>
        </w:rPr>
        <w:t>mTSS</w:t>
      </w:r>
      <w:proofErr w:type="spellEnd"/>
      <w:r w:rsidRPr="00780621">
        <w:rPr>
          <w:rFonts w:ascii="TimesNewRoman" w:eastAsiaTheme="minorHAnsi" w:hAnsi="TimesNewRoman" w:cs="TimesNewRoman"/>
          <w:sz w:val="23"/>
          <w:szCs w:val="23"/>
        </w:rPr>
        <w:t xml:space="preserve"> data at Week 48 in the overall population indicate that subjects on CZP experienced</w:t>
      </w:r>
      <w:r w:rsidR="00780621" w:rsidRPr="00780621">
        <w:rPr>
          <w:rFonts w:ascii="TimesNewRoman" w:eastAsiaTheme="minorHAnsi" w:hAnsi="TimesNewRoman" w:cs="TimesNewRoman"/>
          <w:sz w:val="23"/>
          <w:szCs w:val="23"/>
        </w:rPr>
        <w:t xml:space="preserve"> </w:t>
      </w:r>
      <w:r w:rsidRPr="00780621">
        <w:rPr>
          <w:rFonts w:ascii="TimesNewRoman" w:eastAsiaTheme="minorHAnsi" w:hAnsi="TimesNewRoman" w:cs="TimesNewRoman"/>
          <w:sz w:val="23"/>
          <w:szCs w:val="23"/>
        </w:rPr>
        <w:t>greater inhibition of structural damage as compared to extrapolated placebo, though this</w:t>
      </w:r>
      <w:r w:rsidR="00780621" w:rsidRPr="00780621">
        <w:rPr>
          <w:rFonts w:ascii="TimesNewRoman" w:eastAsiaTheme="minorHAnsi" w:hAnsi="TimesNewRoman" w:cs="TimesNewRoman"/>
          <w:sz w:val="23"/>
          <w:szCs w:val="23"/>
        </w:rPr>
        <w:t xml:space="preserve"> </w:t>
      </w:r>
      <w:r w:rsidRPr="00780621">
        <w:rPr>
          <w:rFonts w:ascii="TimesNewRoman" w:eastAsiaTheme="minorHAnsi" w:hAnsi="TimesNewRoman" w:cs="TimesNewRoman"/>
          <w:sz w:val="23"/>
          <w:szCs w:val="23"/>
        </w:rPr>
        <w:t>difference did not reach statistical significance. As part of the CHMP review, the agency</w:t>
      </w:r>
      <w:r w:rsidR="00780621" w:rsidRPr="00780621">
        <w:rPr>
          <w:rFonts w:ascii="TimesNewRoman" w:eastAsiaTheme="minorHAnsi" w:hAnsi="TimesNewRoman" w:cs="TimesNewRoman"/>
          <w:sz w:val="23"/>
          <w:szCs w:val="23"/>
        </w:rPr>
        <w:t xml:space="preserve"> </w:t>
      </w:r>
      <w:r w:rsidRPr="00780621">
        <w:rPr>
          <w:rFonts w:ascii="TimesNewRoman" w:eastAsiaTheme="minorHAnsi" w:hAnsi="TimesNewRoman" w:cs="TimesNewRoman"/>
          <w:sz w:val="23"/>
          <w:szCs w:val="23"/>
        </w:rPr>
        <w:t>requested an analysis of changes in structural damage in subjects with and without structural</w:t>
      </w:r>
      <w:r w:rsidR="00780621" w:rsidRPr="00780621">
        <w:rPr>
          <w:rFonts w:ascii="TimesNewRoman" w:eastAsiaTheme="minorHAnsi" w:hAnsi="TimesNewRoman" w:cs="TimesNewRoman"/>
          <w:sz w:val="23"/>
          <w:szCs w:val="23"/>
        </w:rPr>
        <w:t xml:space="preserve"> </w:t>
      </w:r>
      <w:r w:rsidRPr="00780621">
        <w:rPr>
          <w:rFonts w:ascii="TimesNewRoman" w:eastAsiaTheme="minorHAnsi" w:hAnsi="TimesNewRoman" w:cs="TimesNewRoman"/>
          <w:sz w:val="23"/>
          <w:szCs w:val="23"/>
        </w:rPr>
        <w:t>changes at Baseline to further establish the effects of CZP in reducing progression of structural</w:t>
      </w:r>
      <w:r w:rsidR="00780621" w:rsidRPr="00780621">
        <w:rPr>
          <w:rFonts w:ascii="TimesNewRoman" w:eastAsiaTheme="minorHAnsi" w:hAnsi="TimesNewRoman" w:cs="TimesNewRoman"/>
          <w:sz w:val="23"/>
          <w:szCs w:val="23"/>
        </w:rPr>
        <w:t xml:space="preserve"> </w:t>
      </w:r>
      <w:r w:rsidRPr="00780621">
        <w:rPr>
          <w:rFonts w:ascii="TimesNewRoman" w:eastAsiaTheme="minorHAnsi" w:hAnsi="TimesNewRoman" w:cs="TimesNewRoman"/>
          <w:sz w:val="23"/>
          <w:szCs w:val="23"/>
        </w:rPr>
        <w:t>damage. Although no commonly accepted cut-off to define structural damage at Baseline is</w:t>
      </w:r>
      <w:r w:rsidR="00780621" w:rsidRPr="00780621">
        <w:rPr>
          <w:rFonts w:ascii="TimesNewRoman" w:eastAsiaTheme="minorHAnsi" w:hAnsi="TimesNewRoman" w:cs="TimesNewRoman"/>
          <w:sz w:val="23"/>
          <w:szCs w:val="23"/>
        </w:rPr>
        <w:t xml:space="preserve"> </w:t>
      </w:r>
      <w:r w:rsidRPr="00780621">
        <w:rPr>
          <w:rFonts w:ascii="TimesNewRoman" w:eastAsiaTheme="minorHAnsi" w:hAnsi="TimesNewRoman" w:cs="TimesNewRoman"/>
          <w:sz w:val="23"/>
          <w:szCs w:val="23"/>
        </w:rPr>
        <w:t xml:space="preserve">currently available for </w:t>
      </w:r>
      <w:proofErr w:type="spellStart"/>
      <w:r w:rsidRPr="00780621">
        <w:rPr>
          <w:rFonts w:ascii="TimesNewRoman" w:eastAsiaTheme="minorHAnsi" w:hAnsi="TimesNewRoman" w:cs="TimesNewRoman"/>
          <w:sz w:val="23"/>
          <w:szCs w:val="23"/>
        </w:rPr>
        <w:t>PsA</w:t>
      </w:r>
      <w:proofErr w:type="spellEnd"/>
      <w:r w:rsidRPr="00780621">
        <w:rPr>
          <w:rFonts w:ascii="TimesNewRoman" w:eastAsiaTheme="minorHAnsi" w:hAnsi="TimesNewRoman" w:cs="TimesNewRoman"/>
          <w:sz w:val="23"/>
          <w:szCs w:val="23"/>
        </w:rPr>
        <w:t xml:space="preserve">, consultation with external experts suggested </w:t>
      </w:r>
      <w:proofErr w:type="gramStart"/>
      <w:r w:rsidRPr="00780621">
        <w:rPr>
          <w:rFonts w:ascii="TimesNewRoman" w:eastAsiaTheme="minorHAnsi" w:hAnsi="TimesNewRoman" w:cs="TimesNewRoman"/>
          <w:sz w:val="23"/>
          <w:szCs w:val="23"/>
        </w:rPr>
        <w:t>a</w:t>
      </w:r>
      <w:proofErr w:type="gramEnd"/>
      <w:r w:rsidRPr="00780621">
        <w:rPr>
          <w:rFonts w:ascii="TimesNewRoman" w:eastAsiaTheme="minorHAnsi" w:hAnsi="TimesNewRoman" w:cs="TimesNewRoman"/>
          <w:sz w:val="23"/>
          <w:szCs w:val="23"/>
        </w:rPr>
        <w:t xml:space="preserve"> </w:t>
      </w:r>
      <w:proofErr w:type="spellStart"/>
      <w:r w:rsidRPr="00780621">
        <w:rPr>
          <w:rFonts w:ascii="TimesNewRoman" w:eastAsiaTheme="minorHAnsi" w:hAnsi="TimesNewRoman" w:cs="TimesNewRoman"/>
          <w:sz w:val="23"/>
          <w:szCs w:val="23"/>
        </w:rPr>
        <w:t>mTSS</w:t>
      </w:r>
      <w:proofErr w:type="spellEnd"/>
      <w:r w:rsidRPr="00780621">
        <w:rPr>
          <w:rFonts w:ascii="TimesNewRoman" w:eastAsiaTheme="minorHAnsi" w:hAnsi="TimesNewRoman" w:cs="TimesNewRoman"/>
          <w:sz w:val="23"/>
          <w:szCs w:val="23"/>
        </w:rPr>
        <w:t xml:space="preserve"> score of “6,”</w:t>
      </w:r>
      <w:r w:rsidR="00780621" w:rsidRPr="00780621">
        <w:rPr>
          <w:rFonts w:ascii="TimesNewRoman" w:eastAsiaTheme="minorHAnsi" w:hAnsi="TimesNewRoman" w:cs="TimesNewRoman"/>
          <w:sz w:val="23"/>
          <w:szCs w:val="23"/>
        </w:rPr>
        <w:t xml:space="preserve"> </w:t>
      </w:r>
      <w:r w:rsidRPr="00780621">
        <w:rPr>
          <w:rFonts w:ascii="TimesNewRoman" w:eastAsiaTheme="minorHAnsi" w:hAnsi="TimesNewRoman" w:cs="TimesNewRoman"/>
          <w:sz w:val="23"/>
          <w:szCs w:val="23"/>
        </w:rPr>
        <w:t xml:space="preserve">which was also the median </w:t>
      </w:r>
      <w:proofErr w:type="spellStart"/>
      <w:r w:rsidRPr="00780621">
        <w:rPr>
          <w:rFonts w:ascii="TimesNewRoman" w:eastAsiaTheme="minorHAnsi" w:hAnsi="TimesNewRoman" w:cs="TimesNewRoman"/>
          <w:sz w:val="23"/>
          <w:szCs w:val="23"/>
        </w:rPr>
        <w:t>mTSS</w:t>
      </w:r>
      <w:proofErr w:type="spellEnd"/>
      <w:r w:rsidRPr="00780621">
        <w:rPr>
          <w:rFonts w:ascii="TimesNewRoman" w:eastAsiaTheme="minorHAnsi" w:hAnsi="TimesNewRoman" w:cs="TimesNewRoman"/>
          <w:sz w:val="23"/>
          <w:szCs w:val="23"/>
        </w:rPr>
        <w:t xml:space="preserve"> score at BL in PsA001, as a reasonable cut-off to define the</w:t>
      </w:r>
      <w:r w:rsidR="00780621" w:rsidRPr="00780621">
        <w:rPr>
          <w:rFonts w:ascii="TimesNewRoman" w:eastAsiaTheme="minorHAnsi" w:hAnsi="TimesNewRoman" w:cs="TimesNewRoman"/>
          <w:sz w:val="23"/>
          <w:szCs w:val="23"/>
        </w:rPr>
        <w:t xml:space="preserve"> </w:t>
      </w:r>
      <w:r w:rsidRPr="00780621">
        <w:rPr>
          <w:rFonts w:ascii="TimesNewRoman" w:eastAsiaTheme="minorHAnsi" w:hAnsi="TimesNewRoman" w:cs="TimesNewRoman"/>
          <w:sz w:val="23"/>
          <w:szCs w:val="23"/>
        </w:rPr>
        <w:t>presence of structural damage at Baseline – this was also accepted by the CHMP.</w:t>
      </w:r>
      <w:r w:rsidR="00780621" w:rsidRPr="00780621">
        <w:rPr>
          <w:rFonts w:ascii="TimesNewRoman" w:eastAsiaTheme="minorHAnsi" w:hAnsi="TimesNewRoman" w:cs="TimesNewRoman"/>
          <w:sz w:val="23"/>
          <w:szCs w:val="23"/>
        </w:rPr>
        <w:t xml:space="preserve"> </w:t>
      </w:r>
    </w:p>
    <w:p w:rsidR="00780621" w:rsidRDefault="005F769D" w:rsidP="00780621">
      <w:pPr>
        <w:pStyle w:val="Numberbullet3"/>
        <w:numPr>
          <w:ilvl w:val="0"/>
          <w:numId w:val="0"/>
        </w:numPr>
        <w:autoSpaceDE w:val="0"/>
        <w:autoSpaceDN w:val="0"/>
        <w:adjustRightInd w:val="0"/>
        <w:spacing w:before="0" w:line="240" w:lineRule="auto"/>
        <w:ind w:left="1276"/>
        <w:rPr>
          <w:rFonts w:ascii="TimesNewRoman" w:eastAsiaTheme="minorHAnsi" w:hAnsi="TimesNewRoman" w:cs="TimesNewRoman"/>
          <w:sz w:val="23"/>
          <w:szCs w:val="23"/>
        </w:rPr>
      </w:pPr>
      <w:r w:rsidRPr="00780621">
        <w:rPr>
          <w:rFonts w:ascii="TimesNewRoman" w:eastAsiaTheme="minorHAnsi" w:hAnsi="TimesNewRoman" w:cs="TimesNewRoman"/>
          <w:sz w:val="23"/>
          <w:szCs w:val="23"/>
        </w:rPr>
        <w:t xml:space="preserve">When a subgroup analysis was done for subjects with Baseline </w:t>
      </w:r>
      <w:proofErr w:type="spellStart"/>
      <w:r w:rsidRPr="00780621">
        <w:rPr>
          <w:rFonts w:ascii="TimesNewRoman" w:eastAsiaTheme="minorHAnsi" w:hAnsi="TimesNewRoman" w:cs="TimesNewRoman"/>
          <w:sz w:val="23"/>
          <w:szCs w:val="23"/>
        </w:rPr>
        <w:t>mTSS</w:t>
      </w:r>
      <w:proofErr w:type="spellEnd"/>
      <w:r w:rsidR="004332FB" w:rsidRPr="00780621">
        <w:rPr>
          <w:rFonts w:ascii="TimesNewRoman" w:eastAsiaTheme="minorHAnsi" w:hAnsi="TimesNewRoman" w:cs="TimesNewRoman"/>
          <w:sz w:val="23"/>
          <w:szCs w:val="23"/>
        </w:rPr>
        <w:t xml:space="preserve"> &gt; </w:t>
      </w:r>
      <w:r w:rsidRPr="00780621">
        <w:rPr>
          <w:rFonts w:ascii="TimesNewRoman" w:eastAsiaTheme="minorHAnsi" w:hAnsi="TimesNewRoman" w:cs="TimesNewRoman"/>
          <w:sz w:val="23"/>
          <w:szCs w:val="23"/>
        </w:rPr>
        <w:t>6, the treatment difference</w:t>
      </w:r>
      <w:r w:rsidR="00780621" w:rsidRPr="00780621">
        <w:rPr>
          <w:rFonts w:ascii="TimesNewRoman" w:eastAsiaTheme="minorHAnsi" w:hAnsi="TimesNewRoman" w:cs="TimesNewRoman"/>
          <w:sz w:val="23"/>
          <w:szCs w:val="23"/>
        </w:rPr>
        <w:t xml:space="preserve"> </w:t>
      </w:r>
      <w:r w:rsidRPr="00780621">
        <w:rPr>
          <w:rFonts w:ascii="TimesNewRoman" w:eastAsiaTheme="minorHAnsi" w:hAnsi="TimesNewRoman" w:cs="TimesNewRoman"/>
          <w:sz w:val="23"/>
          <w:szCs w:val="23"/>
        </w:rPr>
        <w:t>between combined CZP and placebo reached statistical significance (p</w:t>
      </w:r>
      <w:r w:rsidR="004332FB" w:rsidRPr="00780621">
        <w:rPr>
          <w:rFonts w:ascii="TimesNewRoman" w:eastAsiaTheme="minorHAnsi" w:hAnsi="TimesNewRoman" w:cs="TimesNewRoman"/>
          <w:sz w:val="23"/>
          <w:szCs w:val="23"/>
        </w:rPr>
        <w:t xml:space="preserve"> =</w:t>
      </w:r>
      <w:r w:rsidR="00780621">
        <w:rPr>
          <w:rFonts w:ascii="TimesNewRoman" w:eastAsiaTheme="minorHAnsi" w:hAnsi="TimesNewRoman" w:cs="TimesNewRoman"/>
          <w:sz w:val="23"/>
          <w:szCs w:val="23"/>
        </w:rPr>
        <w:t> </w:t>
      </w:r>
      <w:r w:rsidRPr="00780621">
        <w:rPr>
          <w:rFonts w:ascii="TimesNewRoman" w:eastAsiaTheme="minorHAnsi" w:hAnsi="TimesNewRoman" w:cs="TimesNewRoman"/>
          <w:sz w:val="23"/>
          <w:szCs w:val="23"/>
        </w:rPr>
        <w:t>0.005) at Week 24.</w:t>
      </w:r>
      <w:r w:rsidR="00780621" w:rsidRPr="00780621">
        <w:rPr>
          <w:rFonts w:ascii="TimesNewRoman" w:eastAsiaTheme="minorHAnsi" w:hAnsi="TimesNewRoman" w:cs="TimesNewRoman"/>
          <w:sz w:val="23"/>
          <w:szCs w:val="23"/>
        </w:rPr>
        <w:t xml:space="preserve"> </w:t>
      </w:r>
      <w:r w:rsidRPr="00780621">
        <w:rPr>
          <w:rFonts w:ascii="TimesNewRoman" w:eastAsiaTheme="minorHAnsi" w:hAnsi="TimesNewRoman" w:cs="TimesNewRoman"/>
          <w:sz w:val="23"/>
          <w:szCs w:val="23"/>
        </w:rPr>
        <w:t>Additionally, the treatment difference between combined CZP and extrapolated placebo for this</w:t>
      </w:r>
      <w:r w:rsidR="00780621">
        <w:rPr>
          <w:rFonts w:ascii="TimesNewRoman" w:eastAsiaTheme="minorHAnsi" w:hAnsi="TimesNewRoman" w:cs="TimesNewRoman"/>
          <w:sz w:val="23"/>
          <w:szCs w:val="23"/>
        </w:rPr>
        <w:t xml:space="preserve"> </w:t>
      </w:r>
      <w:r w:rsidRPr="005F769D">
        <w:rPr>
          <w:rFonts w:ascii="TimesNewRoman" w:eastAsiaTheme="minorHAnsi" w:hAnsi="TimesNewRoman" w:cs="TimesNewRoman"/>
          <w:sz w:val="23"/>
          <w:szCs w:val="23"/>
        </w:rPr>
        <w:t>group of subjects was statistically significant (p</w:t>
      </w:r>
      <w:r w:rsidR="004332FB">
        <w:rPr>
          <w:rFonts w:ascii="TimesNewRoman" w:eastAsiaTheme="minorHAnsi" w:hAnsi="TimesNewRoman" w:cs="TimesNewRoman"/>
          <w:sz w:val="23"/>
          <w:szCs w:val="23"/>
        </w:rPr>
        <w:t xml:space="preserve"> = </w:t>
      </w:r>
      <w:r w:rsidRPr="005F769D">
        <w:rPr>
          <w:rFonts w:ascii="TimesNewRoman" w:eastAsiaTheme="minorHAnsi" w:hAnsi="TimesNewRoman" w:cs="TimesNewRoman"/>
          <w:sz w:val="23"/>
          <w:szCs w:val="23"/>
        </w:rPr>
        <w:t xml:space="preserve">0.048) at Week 48. </w:t>
      </w:r>
      <w:proofErr w:type="gramStart"/>
      <w:r w:rsidRPr="005F769D">
        <w:rPr>
          <w:rFonts w:ascii="TimesNewRoman" w:eastAsiaTheme="minorHAnsi" w:hAnsi="TimesNewRoman" w:cs="TimesNewRoman"/>
          <w:sz w:val="23"/>
          <w:szCs w:val="23"/>
        </w:rPr>
        <w:t>Conversely, subjects with</w:t>
      </w:r>
      <w:r w:rsidR="00780621">
        <w:rPr>
          <w:rFonts w:ascii="TimesNewRoman" w:eastAsiaTheme="minorHAnsi" w:hAnsi="TimesNewRoman" w:cs="TimesNewRoman"/>
          <w:sz w:val="23"/>
          <w:szCs w:val="23"/>
        </w:rPr>
        <w:t xml:space="preserve"> </w:t>
      </w:r>
      <w:r w:rsidRPr="005F769D">
        <w:rPr>
          <w:rFonts w:ascii="TimesNewRoman" w:eastAsiaTheme="minorHAnsi" w:hAnsi="TimesNewRoman" w:cs="TimesNewRoman"/>
          <w:sz w:val="23"/>
          <w:szCs w:val="23"/>
        </w:rPr>
        <w:t xml:space="preserve">Baseline </w:t>
      </w:r>
      <w:proofErr w:type="spellStart"/>
      <w:r w:rsidRPr="005F769D">
        <w:rPr>
          <w:rFonts w:ascii="TimesNewRoman" w:eastAsiaTheme="minorHAnsi" w:hAnsi="TimesNewRoman" w:cs="TimesNewRoman"/>
          <w:sz w:val="23"/>
          <w:szCs w:val="23"/>
        </w:rPr>
        <w:t>mTSS</w:t>
      </w:r>
      <w:proofErr w:type="spellEnd"/>
      <w:r w:rsidR="00780621">
        <w:rPr>
          <w:rFonts w:ascii="TimesNewRoman" w:eastAsiaTheme="minorHAnsi" w:hAnsi="TimesNewRoman" w:cs="TimesNewRoman"/>
          <w:sz w:val="23"/>
          <w:szCs w:val="23"/>
        </w:rPr>
        <w:t xml:space="preserve"> less than or equal to </w:t>
      </w:r>
      <w:r w:rsidRPr="005F769D">
        <w:rPr>
          <w:rFonts w:ascii="TimesNewRoman" w:eastAsiaTheme="minorHAnsi" w:hAnsi="TimesNewRoman" w:cs="TimesNewRoman"/>
          <w:sz w:val="23"/>
          <w:szCs w:val="23"/>
        </w:rPr>
        <w:t>6 showed little radiographic progression in any treatment group at either time</w:t>
      </w:r>
      <w:r w:rsidR="00780621">
        <w:rPr>
          <w:rFonts w:ascii="TimesNewRoman" w:eastAsiaTheme="minorHAnsi" w:hAnsi="TimesNewRoman" w:cs="TimesNewRoman"/>
          <w:sz w:val="23"/>
          <w:szCs w:val="23"/>
        </w:rPr>
        <w:t xml:space="preserve"> </w:t>
      </w:r>
      <w:r w:rsidRPr="005F769D">
        <w:rPr>
          <w:rFonts w:ascii="TimesNewRoman" w:eastAsiaTheme="minorHAnsi" w:hAnsi="TimesNewRoman" w:cs="TimesNewRoman"/>
          <w:sz w:val="23"/>
          <w:szCs w:val="23"/>
        </w:rPr>
        <w:t>point.</w:t>
      </w:r>
      <w:proofErr w:type="gramEnd"/>
      <w:r w:rsidRPr="005F769D">
        <w:rPr>
          <w:rFonts w:ascii="TimesNewRoman" w:eastAsiaTheme="minorHAnsi" w:hAnsi="TimesNewRoman" w:cs="TimesNewRoman"/>
          <w:sz w:val="23"/>
          <w:szCs w:val="23"/>
        </w:rPr>
        <w:t xml:space="preserve"> Taken together, these results indicate a clear trend towards inhibition of structural damage</w:t>
      </w:r>
      <w:r w:rsidR="00780621">
        <w:rPr>
          <w:rFonts w:ascii="TimesNewRoman" w:eastAsiaTheme="minorHAnsi" w:hAnsi="TimesNewRoman" w:cs="TimesNewRoman"/>
          <w:sz w:val="23"/>
          <w:szCs w:val="23"/>
        </w:rPr>
        <w:t xml:space="preserve"> </w:t>
      </w:r>
      <w:r w:rsidRPr="005F769D">
        <w:rPr>
          <w:rFonts w:ascii="TimesNewRoman" w:eastAsiaTheme="minorHAnsi" w:hAnsi="TimesNewRoman" w:cs="TimesNewRoman"/>
          <w:sz w:val="23"/>
          <w:szCs w:val="23"/>
        </w:rPr>
        <w:t>by CZP treatment. As such, this approach was accepted and agreed by both FDA and CHMP as</w:t>
      </w:r>
      <w:r w:rsidR="00780621">
        <w:rPr>
          <w:rFonts w:ascii="TimesNewRoman" w:eastAsiaTheme="minorHAnsi" w:hAnsi="TimesNewRoman" w:cs="TimesNewRoman"/>
          <w:sz w:val="23"/>
          <w:szCs w:val="23"/>
        </w:rPr>
        <w:t xml:space="preserve"> </w:t>
      </w:r>
      <w:r w:rsidRPr="005F769D">
        <w:rPr>
          <w:rFonts w:ascii="TimesNewRoman" w:eastAsiaTheme="minorHAnsi" w:hAnsi="TimesNewRoman" w:cs="TimesNewRoman"/>
          <w:sz w:val="23"/>
          <w:szCs w:val="23"/>
        </w:rPr>
        <w:t xml:space="preserve">part of their approval of </w:t>
      </w:r>
      <w:proofErr w:type="spellStart"/>
      <w:r w:rsidRPr="005F769D">
        <w:rPr>
          <w:rFonts w:ascii="TimesNewRoman" w:eastAsiaTheme="minorHAnsi" w:hAnsi="TimesNewRoman" w:cs="TimesNewRoman"/>
          <w:sz w:val="23"/>
          <w:szCs w:val="23"/>
        </w:rPr>
        <w:t>PsA</w:t>
      </w:r>
      <w:proofErr w:type="spellEnd"/>
      <w:r w:rsidRPr="005F769D">
        <w:rPr>
          <w:rFonts w:ascii="TimesNewRoman" w:eastAsiaTheme="minorHAnsi" w:hAnsi="TimesNewRoman" w:cs="TimesNewRoman"/>
          <w:sz w:val="23"/>
          <w:szCs w:val="23"/>
        </w:rPr>
        <w:t xml:space="preserve"> with the resulting inclusion of the inhibition of structural damage</w:t>
      </w:r>
      <w:r w:rsidR="00780621">
        <w:rPr>
          <w:rFonts w:ascii="TimesNewRoman" w:eastAsiaTheme="minorHAnsi" w:hAnsi="TimesNewRoman" w:cs="TimesNewRoman"/>
          <w:sz w:val="23"/>
          <w:szCs w:val="23"/>
        </w:rPr>
        <w:t xml:space="preserve"> </w:t>
      </w:r>
      <w:r w:rsidRPr="005F769D">
        <w:rPr>
          <w:rFonts w:ascii="TimesNewRoman" w:eastAsiaTheme="minorHAnsi" w:hAnsi="TimesNewRoman" w:cs="TimesNewRoman"/>
          <w:sz w:val="23"/>
          <w:szCs w:val="23"/>
        </w:rPr>
        <w:t>progression in the EU and US prescribing information.</w:t>
      </w:r>
      <w:r w:rsidR="00780621">
        <w:rPr>
          <w:rFonts w:ascii="TimesNewRoman" w:eastAsiaTheme="minorHAnsi" w:hAnsi="TimesNewRoman" w:cs="TimesNewRoman"/>
          <w:sz w:val="23"/>
          <w:szCs w:val="23"/>
        </w:rPr>
        <w:t xml:space="preserve"> </w:t>
      </w:r>
    </w:p>
    <w:p w:rsidR="00780621" w:rsidRPr="00780621" w:rsidRDefault="00780621" w:rsidP="005F769D">
      <w:pPr>
        <w:pStyle w:val="Numberbullet2"/>
        <w:autoSpaceDE w:val="0"/>
        <w:autoSpaceDN w:val="0"/>
        <w:adjustRightInd w:val="0"/>
        <w:spacing w:before="0" w:after="0" w:line="240" w:lineRule="auto"/>
        <w:rPr>
          <w:rFonts w:ascii="TimesNewRoman" w:eastAsiaTheme="minorHAnsi" w:hAnsi="TimesNewRoman" w:cs="TimesNewRoman"/>
          <w:i/>
          <w:sz w:val="23"/>
          <w:szCs w:val="23"/>
        </w:rPr>
      </w:pPr>
      <w:r>
        <w:t>‘</w:t>
      </w:r>
      <w:r w:rsidR="005F769D" w:rsidRPr="00780621">
        <w:rPr>
          <w:i/>
        </w:rPr>
        <w:t xml:space="preserve">Endpoint claims: For the </w:t>
      </w:r>
      <w:proofErr w:type="spellStart"/>
      <w:r w:rsidR="005F769D" w:rsidRPr="00780621">
        <w:rPr>
          <w:i/>
        </w:rPr>
        <w:t>PsA</w:t>
      </w:r>
      <w:proofErr w:type="spellEnd"/>
      <w:r w:rsidR="005F769D" w:rsidRPr="00780621">
        <w:rPr>
          <w:i/>
        </w:rPr>
        <w:t xml:space="preserve"> indication, the sponsor proposed inclusion of x-ray</w:t>
      </w:r>
      <w:r w:rsidRPr="00780621">
        <w:rPr>
          <w:i/>
        </w:rPr>
        <w:t xml:space="preserve"> </w:t>
      </w:r>
      <w:r w:rsidR="005F769D" w:rsidRPr="00780621">
        <w:rPr>
          <w:i/>
        </w:rPr>
        <w:t>and physical function endpoints (</w:t>
      </w:r>
      <w:proofErr w:type="spellStart"/>
      <w:r w:rsidR="005F769D" w:rsidRPr="00780621">
        <w:rPr>
          <w:i/>
        </w:rPr>
        <w:t>Cimzia</w:t>
      </w:r>
      <w:proofErr w:type="spellEnd"/>
      <w:r w:rsidR="005F769D" w:rsidRPr="00780621">
        <w:rPr>
          <w:i/>
        </w:rPr>
        <w:t xml:space="preserve"> has been shown to reduce the rate of progression of</w:t>
      </w:r>
      <w:r w:rsidRPr="00780621">
        <w:rPr>
          <w:i/>
        </w:rPr>
        <w:t xml:space="preserve"> </w:t>
      </w:r>
      <w:r w:rsidR="005F769D" w:rsidRPr="00780621">
        <w:rPr>
          <w:i/>
        </w:rPr>
        <w:t>peripheral joint damage as measured by X-ray and to improve physical f</w:t>
      </w:r>
      <w:r w:rsidRPr="00780621">
        <w:rPr>
          <w:i/>
        </w:rPr>
        <w:t xml:space="preserve">unction). </w:t>
      </w:r>
      <w:r w:rsidR="005F769D" w:rsidRPr="00780621">
        <w:rPr>
          <w:i/>
        </w:rPr>
        <w:t>While the physical function endpoint did show improvement with CZP treatment, the results of</w:t>
      </w:r>
      <w:r w:rsidRPr="00780621">
        <w:rPr>
          <w:i/>
        </w:rPr>
        <w:t xml:space="preserve"> </w:t>
      </w:r>
      <w:r w:rsidR="005F769D" w:rsidRPr="00780621">
        <w:rPr>
          <w:i/>
        </w:rPr>
        <w:t>both endpoints may be more appropriately included in the Clinical Trials section of the Pl.</w:t>
      </w:r>
      <w:r w:rsidRPr="00780621">
        <w:rPr>
          <w:i/>
        </w:rPr>
        <w:t xml:space="preserve"> </w:t>
      </w:r>
      <w:r w:rsidR="005F769D" w:rsidRPr="00780621">
        <w:rPr>
          <w:i/>
        </w:rPr>
        <w:t>ACSOM also support this view, particularly since endpoint claims do not define the population to</w:t>
      </w:r>
      <w:r w:rsidRPr="00780621">
        <w:rPr>
          <w:i/>
        </w:rPr>
        <w:t xml:space="preserve"> </w:t>
      </w:r>
      <w:r w:rsidR="005F769D" w:rsidRPr="00780621">
        <w:rPr>
          <w:i/>
        </w:rPr>
        <w:t>be treated (</w:t>
      </w:r>
      <w:r w:rsidR="004332FB" w:rsidRPr="00780621">
        <w:rPr>
          <w:i/>
        </w:rPr>
        <w:t>that is</w:t>
      </w:r>
      <w:r w:rsidR="005F769D" w:rsidRPr="00780621">
        <w:rPr>
          <w:i/>
        </w:rPr>
        <w:t xml:space="preserve"> the indication). ACPM's advice is requested on this matter.</w:t>
      </w:r>
      <w:r>
        <w:rPr>
          <w:i/>
        </w:rPr>
        <w:t>’</w:t>
      </w:r>
    </w:p>
    <w:p w:rsidR="005F769D" w:rsidRPr="00780621" w:rsidRDefault="005F769D" w:rsidP="00780621">
      <w:pPr>
        <w:pStyle w:val="Numberbullet3"/>
        <w:rPr>
          <w:rFonts w:ascii="TimesNewRoman" w:eastAsiaTheme="minorHAnsi" w:hAnsi="TimesNewRoman" w:cs="TimesNewRoman"/>
          <w:sz w:val="23"/>
          <w:szCs w:val="23"/>
        </w:rPr>
      </w:pPr>
      <w:r w:rsidRPr="00780621">
        <w:t>Response</w:t>
      </w:r>
      <w:r w:rsidR="00780621">
        <w:t xml:space="preserve">: </w:t>
      </w:r>
      <w:r w:rsidRPr="00780621">
        <w:rPr>
          <w:rFonts w:ascii="TimesNewRoman" w:eastAsiaTheme="minorHAnsi" w:hAnsi="TimesNewRoman" w:cs="TimesNewRoman"/>
          <w:sz w:val="23"/>
          <w:szCs w:val="23"/>
        </w:rPr>
        <w:t>The HAQ-DI scores obtained from Study PsA001 clearly demonstrate CZP treatment improves</w:t>
      </w:r>
      <w:r w:rsidR="00780621" w:rsidRPr="00780621">
        <w:rPr>
          <w:rFonts w:ascii="TimesNewRoman" w:eastAsiaTheme="minorHAnsi" w:hAnsi="TimesNewRoman" w:cs="TimesNewRoman"/>
          <w:sz w:val="23"/>
          <w:szCs w:val="23"/>
        </w:rPr>
        <w:t xml:space="preserve"> </w:t>
      </w:r>
      <w:r w:rsidRPr="00780621">
        <w:rPr>
          <w:rFonts w:ascii="TimesNewRoman" w:eastAsiaTheme="minorHAnsi" w:hAnsi="TimesNewRoman" w:cs="TimesNewRoman"/>
          <w:sz w:val="23"/>
          <w:szCs w:val="23"/>
        </w:rPr>
        <w:t xml:space="preserve">physical function for subjects with active </w:t>
      </w:r>
      <w:proofErr w:type="spellStart"/>
      <w:r w:rsidRPr="00780621">
        <w:rPr>
          <w:rFonts w:ascii="TimesNewRoman" w:eastAsiaTheme="minorHAnsi" w:hAnsi="TimesNewRoman" w:cs="TimesNewRoman"/>
          <w:sz w:val="23"/>
          <w:szCs w:val="23"/>
        </w:rPr>
        <w:t>PsA.</w:t>
      </w:r>
      <w:proofErr w:type="spellEnd"/>
      <w:r w:rsidRPr="00780621">
        <w:rPr>
          <w:rFonts w:ascii="TimesNewRoman" w:eastAsiaTheme="minorHAnsi" w:hAnsi="TimesNewRoman" w:cs="TimesNewRoman"/>
          <w:sz w:val="23"/>
          <w:szCs w:val="23"/>
        </w:rPr>
        <w:t xml:space="preserve"> UCB proposes alignment of the </w:t>
      </w:r>
      <w:proofErr w:type="spellStart"/>
      <w:r w:rsidRPr="00780621">
        <w:rPr>
          <w:rFonts w:ascii="TimesNewRoman" w:eastAsiaTheme="minorHAnsi" w:hAnsi="TimesNewRoman" w:cs="TimesNewRoman"/>
          <w:sz w:val="23"/>
          <w:szCs w:val="23"/>
        </w:rPr>
        <w:t>PsA</w:t>
      </w:r>
      <w:proofErr w:type="spellEnd"/>
      <w:r w:rsidRPr="00780621">
        <w:rPr>
          <w:rFonts w:ascii="TimesNewRoman" w:eastAsiaTheme="minorHAnsi" w:hAnsi="TimesNewRoman" w:cs="TimesNewRoman"/>
          <w:sz w:val="23"/>
          <w:szCs w:val="23"/>
        </w:rPr>
        <w:t xml:space="preserve"> indication</w:t>
      </w:r>
      <w:r w:rsidR="00780621" w:rsidRPr="00780621">
        <w:rPr>
          <w:rFonts w:ascii="TimesNewRoman" w:eastAsiaTheme="minorHAnsi" w:hAnsi="TimesNewRoman" w:cs="TimesNewRoman"/>
          <w:sz w:val="23"/>
          <w:szCs w:val="23"/>
        </w:rPr>
        <w:t xml:space="preserve"> </w:t>
      </w:r>
      <w:r w:rsidRPr="00780621">
        <w:rPr>
          <w:rFonts w:ascii="TimesNewRoman" w:eastAsiaTheme="minorHAnsi" w:hAnsi="TimesNewRoman" w:cs="TimesNewRoman"/>
          <w:sz w:val="23"/>
          <w:szCs w:val="23"/>
        </w:rPr>
        <w:t>with other TNF-α inhibitors currently approved on the Australian market where “improve</w:t>
      </w:r>
      <w:r w:rsidR="00780621" w:rsidRPr="00780621">
        <w:rPr>
          <w:rFonts w:ascii="TimesNewRoman" w:eastAsiaTheme="minorHAnsi" w:hAnsi="TimesNewRoman" w:cs="TimesNewRoman"/>
          <w:sz w:val="23"/>
          <w:szCs w:val="23"/>
        </w:rPr>
        <w:t xml:space="preserve"> </w:t>
      </w:r>
      <w:r w:rsidRPr="00780621">
        <w:rPr>
          <w:rFonts w:ascii="TimesNewRoman" w:eastAsiaTheme="minorHAnsi" w:hAnsi="TimesNewRoman" w:cs="TimesNewRoman"/>
          <w:sz w:val="23"/>
          <w:szCs w:val="23"/>
        </w:rPr>
        <w:t>physical function” or similar, is included in the indication (</w:t>
      </w:r>
      <w:proofErr w:type="spellStart"/>
      <w:r w:rsidRPr="00780621">
        <w:rPr>
          <w:rFonts w:ascii="TimesNewRoman" w:eastAsiaTheme="minorHAnsi" w:hAnsi="TimesNewRoman" w:cs="TimesNewRoman"/>
          <w:sz w:val="23"/>
          <w:szCs w:val="23"/>
        </w:rPr>
        <w:t>eg</w:t>
      </w:r>
      <w:proofErr w:type="spellEnd"/>
      <w:r w:rsidRPr="00780621">
        <w:rPr>
          <w:rFonts w:ascii="TimesNewRoman" w:eastAsiaTheme="minorHAnsi" w:hAnsi="TimesNewRoman" w:cs="TimesNewRoman"/>
          <w:sz w:val="23"/>
          <w:szCs w:val="23"/>
        </w:rPr>
        <w:t xml:space="preserve"> infliximab, </w:t>
      </w:r>
      <w:proofErr w:type="spellStart"/>
      <w:r w:rsidRPr="00780621">
        <w:rPr>
          <w:rFonts w:ascii="TimesNewRoman" w:eastAsiaTheme="minorHAnsi" w:hAnsi="TimesNewRoman" w:cs="TimesNewRoman"/>
          <w:sz w:val="23"/>
          <w:szCs w:val="23"/>
        </w:rPr>
        <w:t>etanercept</w:t>
      </w:r>
      <w:proofErr w:type="spellEnd"/>
      <w:r w:rsidRPr="00780621">
        <w:rPr>
          <w:rFonts w:ascii="TimesNewRoman" w:eastAsiaTheme="minorHAnsi" w:hAnsi="TimesNewRoman" w:cs="TimesNewRoman"/>
          <w:sz w:val="23"/>
          <w:szCs w:val="23"/>
        </w:rPr>
        <w:t xml:space="preserve">, </w:t>
      </w:r>
      <w:proofErr w:type="spellStart"/>
      <w:r w:rsidRPr="00780621">
        <w:rPr>
          <w:rFonts w:ascii="TimesNewRoman" w:eastAsiaTheme="minorHAnsi" w:hAnsi="TimesNewRoman" w:cs="TimesNewRoman"/>
          <w:sz w:val="23"/>
          <w:szCs w:val="23"/>
        </w:rPr>
        <w:t>golimumab</w:t>
      </w:r>
      <w:proofErr w:type="spellEnd"/>
      <w:r w:rsidRPr="00780621">
        <w:rPr>
          <w:rFonts w:ascii="TimesNewRoman" w:eastAsiaTheme="minorHAnsi" w:hAnsi="TimesNewRoman" w:cs="TimesNewRoman"/>
          <w:sz w:val="23"/>
          <w:szCs w:val="23"/>
        </w:rPr>
        <w:t>;</w:t>
      </w:r>
      <w:r w:rsidR="00780621" w:rsidRPr="00780621">
        <w:rPr>
          <w:rFonts w:ascii="TimesNewRoman" w:eastAsiaTheme="minorHAnsi" w:hAnsi="TimesNewRoman" w:cs="TimesNewRoman"/>
          <w:sz w:val="23"/>
          <w:szCs w:val="23"/>
        </w:rPr>
        <w:t xml:space="preserve"> </w:t>
      </w:r>
      <w:r w:rsidR="00780621">
        <w:rPr>
          <w:rFonts w:ascii="TimesNewRoman" w:eastAsiaTheme="minorHAnsi" w:hAnsi="TimesNewRoman" w:cs="TimesNewRoman"/>
          <w:sz w:val="23"/>
          <w:szCs w:val="23"/>
        </w:rPr>
        <w:t>(Reference, r</w:t>
      </w:r>
      <w:r w:rsidRPr="00780621">
        <w:rPr>
          <w:rFonts w:ascii="TimesNewRoman" w:eastAsiaTheme="minorHAnsi" w:hAnsi="TimesNewRoman" w:cs="TimesNewRoman"/>
          <w:sz w:val="23"/>
          <w:szCs w:val="23"/>
        </w:rPr>
        <w:t>equest for ACPM’s Advice).</w:t>
      </w:r>
    </w:p>
    <w:p w:rsidR="00780621" w:rsidRPr="00780621" w:rsidRDefault="00780621" w:rsidP="005F769D">
      <w:pPr>
        <w:pStyle w:val="Numberbullet2"/>
        <w:autoSpaceDE w:val="0"/>
        <w:autoSpaceDN w:val="0"/>
        <w:adjustRightInd w:val="0"/>
        <w:spacing w:before="0" w:after="0" w:line="240" w:lineRule="auto"/>
        <w:rPr>
          <w:rFonts w:ascii="TimesNewRoman" w:eastAsiaTheme="minorHAnsi" w:hAnsi="TimesNewRoman" w:cs="TimesNewRoman"/>
          <w:sz w:val="23"/>
          <w:szCs w:val="23"/>
        </w:rPr>
      </w:pPr>
      <w:r>
        <w:t>‘</w:t>
      </w:r>
      <w:r w:rsidR="005F769D" w:rsidRPr="00780621">
        <w:rPr>
          <w:i/>
        </w:rPr>
        <w:t>The concerns noted by the evaluator for both indications included:</w:t>
      </w:r>
      <w:r w:rsidRPr="00780621">
        <w:rPr>
          <w:i/>
        </w:rPr>
        <w:t xml:space="preserve"> </w:t>
      </w:r>
      <w:r w:rsidR="005F769D" w:rsidRPr="00780621">
        <w:rPr>
          <w:i/>
        </w:rPr>
        <w:t>Increased risk of infection, including tuberculosis and other serious opportunistic infections.</w:t>
      </w:r>
      <w:r w:rsidRPr="00780621">
        <w:rPr>
          <w:i/>
        </w:rPr>
        <w:t xml:space="preserve"> </w:t>
      </w:r>
      <w:proofErr w:type="gramStart"/>
      <w:r w:rsidRPr="00780621">
        <w:rPr>
          <w:i/>
        </w:rPr>
        <w:t>l</w:t>
      </w:r>
      <w:r w:rsidR="005F769D" w:rsidRPr="00780621">
        <w:rPr>
          <w:i/>
        </w:rPr>
        <w:t>ocal</w:t>
      </w:r>
      <w:proofErr w:type="gramEnd"/>
      <w:r w:rsidR="005F769D" w:rsidRPr="00780621">
        <w:rPr>
          <w:i/>
        </w:rPr>
        <w:t xml:space="preserve"> injection site reactions, which are generally mild and transient, and do not result in</w:t>
      </w:r>
      <w:r w:rsidRPr="00780621">
        <w:rPr>
          <w:i/>
        </w:rPr>
        <w:t xml:space="preserve"> </w:t>
      </w:r>
      <w:r w:rsidR="005F769D" w:rsidRPr="00780621">
        <w:rPr>
          <w:i/>
        </w:rPr>
        <w:t>perman</w:t>
      </w:r>
      <w:r w:rsidRPr="00780621">
        <w:rPr>
          <w:i/>
        </w:rPr>
        <w:t>ent discontinuation from CZP.</w:t>
      </w:r>
      <w:r>
        <w:rPr>
          <w:i/>
        </w:rPr>
        <w:t>’</w:t>
      </w:r>
    </w:p>
    <w:p w:rsidR="005F769D" w:rsidRPr="005F769D" w:rsidRDefault="00780621" w:rsidP="00780621">
      <w:pPr>
        <w:pStyle w:val="Numberbullet3"/>
      </w:pPr>
      <w:r>
        <w:t xml:space="preserve">Response: </w:t>
      </w:r>
      <w:r w:rsidR="005F769D" w:rsidRPr="00780621">
        <w:t>UCB acknowledge these comments. However the safety profile of CZP in PsA001 and AS001</w:t>
      </w:r>
      <w:r>
        <w:t xml:space="preserve"> </w:t>
      </w:r>
      <w:r w:rsidR="005F769D" w:rsidRPr="00780621">
        <w:t>was consistent with that expected in subjects with inflammatory joint diseases receiving other</w:t>
      </w:r>
      <w:r w:rsidRPr="00780621">
        <w:t xml:space="preserve"> </w:t>
      </w:r>
      <w:r w:rsidR="005F769D" w:rsidRPr="00780621">
        <w:t>anti-TNF agents and with previous studies in CZP. These adverse events are appropriately</w:t>
      </w:r>
      <w:r>
        <w:t xml:space="preserve"> </w:t>
      </w:r>
      <w:r w:rsidR="005F769D" w:rsidRPr="005F769D">
        <w:t>addressed in the PI, as well as in the RMP.</w:t>
      </w:r>
    </w:p>
    <w:p w:rsidR="00780621" w:rsidRPr="00780621" w:rsidRDefault="00780621" w:rsidP="005F769D">
      <w:pPr>
        <w:pStyle w:val="Numberbullet2"/>
        <w:autoSpaceDE w:val="0"/>
        <w:autoSpaceDN w:val="0"/>
        <w:adjustRightInd w:val="0"/>
        <w:spacing w:before="0" w:after="0" w:line="240" w:lineRule="auto"/>
        <w:rPr>
          <w:rFonts w:ascii="TimesNewRoman" w:eastAsiaTheme="minorHAnsi" w:hAnsi="TimesNewRoman" w:cs="TimesNewRoman"/>
          <w:i/>
          <w:sz w:val="23"/>
          <w:szCs w:val="23"/>
        </w:rPr>
      </w:pPr>
      <w:r>
        <w:t>‘</w:t>
      </w:r>
      <w:r w:rsidR="005F769D" w:rsidRPr="00780621">
        <w:rPr>
          <w:i/>
        </w:rPr>
        <w:t xml:space="preserve">Axial </w:t>
      </w:r>
      <w:proofErr w:type="spellStart"/>
      <w:r w:rsidR="005F769D" w:rsidRPr="00780621">
        <w:rPr>
          <w:i/>
        </w:rPr>
        <w:t>SpA</w:t>
      </w:r>
      <w:proofErr w:type="spellEnd"/>
      <w:r w:rsidR="005F769D" w:rsidRPr="00780621">
        <w:rPr>
          <w:i/>
        </w:rPr>
        <w:t xml:space="preserve"> subpopulations: The sponsor has included nr-</w:t>
      </w:r>
      <w:proofErr w:type="spellStart"/>
      <w:r w:rsidR="005F769D" w:rsidRPr="00780621">
        <w:rPr>
          <w:i/>
        </w:rPr>
        <w:t>axSpA</w:t>
      </w:r>
      <w:proofErr w:type="spellEnd"/>
      <w:r w:rsidR="005F769D" w:rsidRPr="00780621">
        <w:rPr>
          <w:i/>
        </w:rPr>
        <w:t xml:space="preserve"> in the proposed</w:t>
      </w:r>
      <w:r w:rsidRPr="00780621">
        <w:rPr>
          <w:i/>
        </w:rPr>
        <w:t xml:space="preserve"> </w:t>
      </w:r>
      <w:r w:rsidR="005F769D" w:rsidRPr="00780621">
        <w:rPr>
          <w:i/>
        </w:rPr>
        <w:t xml:space="preserve">indication. The results for this subgroup were comparable to those seen in the overall axial </w:t>
      </w:r>
      <w:proofErr w:type="spellStart"/>
      <w:r w:rsidR="005F769D" w:rsidRPr="00780621">
        <w:rPr>
          <w:i/>
        </w:rPr>
        <w:t>SpA</w:t>
      </w:r>
      <w:proofErr w:type="spellEnd"/>
      <w:r w:rsidRPr="00780621">
        <w:rPr>
          <w:i/>
        </w:rPr>
        <w:t xml:space="preserve"> </w:t>
      </w:r>
      <w:r w:rsidR="005F769D" w:rsidRPr="00780621">
        <w:rPr>
          <w:i/>
        </w:rPr>
        <w:t>population and in those with definite AS; therefore inclusion of this subgroup appears reasonable.</w:t>
      </w:r>
      <w:r w:rsidRPr="00780621">
        <w:rPr>
          <w:i/>
        </w:rPr>
        <w:t xml:space="preserve"> </w:t>
      </w:r>
      <w:r w:rsidR="005F769D" w:rsidRPr="00780621">
        <w:rPr>
          <w:i/>
        </w:rPr>
        <w:t>However, is nr-</w:t>
      </w:r>
      <w:proofErr w:type="spellStart"/>
      <w:r w:rsidR="005F769D" w:rsidRPr="00780621">
        <w:rPr>
          <w:i/>
        </w:rPr>
        <w:t>axSpA</w:t>
      </w:r>
      <w:proofErr w:type="spellEnd"/>
      <w:r w:rsidR="005F769D" w:rsidRPr="00780621">
        <w:rPr>
          <w:i/>
        </w:rPr>
        <w:t xml:space="preserve"> sufficiently well-defined and recognised to support its inclusion in the</w:t>
      </w:r>
      <w:r w:rsidRPr="00780621">
        <w:rPr>
          <w:i/>
        </w:rPr>
        <w:t xml:space="preserve"> </w:t>
      </w:r>
      <w:proofErr w:type="spellStart"/>
      <w:r w:rsidR="005F769D" w:rsidRPr="00780621">
        <w:rPr>
          <w:i/>
        </w:rPr>
        <w:t>axSpA</w:t>
      </w:r>
      <w:proofErr w:type="spellEnd"/>
      <w:r w:rsidR="005F769D" w:rsidRPr="00780621">
        <w:rPr>
          <w:i/>
        </w:rPr>
        <w:t xml:space="preserve"> indication? ACPM's advice is requested on this matter.</w:t>
      </w:r>
      <w:r>
        <w:rPr>
          <w:i/>
        </w:rPr>
        <w:t>’</w:t>
      </w:r>
      <w:r w:rsidRPr="00780621">
        <w:rPr>
          <w:i/>
        </w:rPr>
        <w:t xml:space="preserve"> </w:t>
      </w:r>
    </w:p>
    <w:p w:rsidR="005F769D" w:rsidRPr="005F769D" w:rsidRDefault="005F769D" w:rsidP="00780621">
      <w:pPr>
        <w:pStyle w:val="Numberbullet3"/>
      </w:pPr>
      <w:r w:rsidRPr="00780621">
        <w:t>Response</w:t>
      </w:r>
      <w:r w:rsidR="00780621">
        <w:t xml:space="preserve">: </w:t>
      </w:r>
      <w:r w:rsidR="0038088A">
        <w:t>[information redacted]</w:t>
      </w:r>
    </w:p>
    <w:p w:rsidR="00780621" w:rsidRPr="00780621" w:rsidRDefault="00780621" w:rsidP="005F769D">
      <w:pPr>
        <w:pStyle w:val="Numberbullet2"/>
        <w:autoSpaceDE w:val="0"/>
        <w:autoSpaceDN w:val="0"/>
        <w:adjustRightInd w:val="0"/>
        <w:spacing w:before="0" w:after="0" w:line="240" w:lineRule="auto"/>
        <w:rPr>
          <w:rFonts w:ascii="TimesNewRoman" w:eastAsiaTheme="minorHAnsi" w:hAnsi="TimesNewRoman" w:cs="TimesNewRoman"/>
          <w:i/>
          <w:sz w:val="23"/>
          <w:szCs w:val="23"/>
        </w:rPr>
      </w:pPr>
      <w:r>
        <w:t>‘</w:t>
      </w:r>
      <w:r w:rsidR="005F769D" w:rsidRPr="00780621">
        <w:rPr>
          <w:i/>
        </w:rPr>
        <w:t>Conditions of Registration: The following are proposed as conditions of registration:</w:t>
      </w:r>
      <w:r w:rsidRPr="00780621">
        <w:rPr>
          <w:i/>
        </w:rPr>
        <w:t xml:space="preserve"> </w:t>
      </w:r>
      <w:r w:rsidR="005F769D" w:rsidRPr="00780621">
        <w:rPr>
          <w:i/>
        </w:rPr>
        <w:t xml:space="preserve">1) The implementation in Australia of the EU Risk Management Plan (RMP) for </w:t>
      </w:r>
      <w:proofErr w:type="spellStart"/>
      <w:r w:rsidR="005F769D" w:rsidRPr="00780621">
        <w:rPr>
          <w:i/>
        </w:rPr>
        <w:t>Cimzia</w:t>
      </w:r>
      <w:proofErr w:type="spellEnd"/>
      <w:r w:rsidR="005F769D" w:rsidRPr="00780621">
        <w:rPr>
          <w:i/>
        </w:rPr>
        <w:t xml:space="preserve"> (Version</w:t>
      </w:r>
      <w:r w:rsidRPr="00780621">
        <w:rPr>
          <w:i/>
        </w:rPr>
        <w:t xml:space="preserve"> </w:t>
      </w:r>
      <w:r w:rsidR="005F769D" w:rsidRPr="00780621">
        <w:rPr>
          <w:i/>
        </w:rPr>
        <w:t>9.3, dated 1 October 2013) with the Australian Specific Annex (Version: 1.0, dated 31 October</w:t>
      </w:r>
      <w:r w:rsidRPr="00780621">
        <w:rPr>
          <w:i/>
        </w:rPr>
        <w:t xml:space="preserve"> </w:t>
      </w:r>
      <w:r w:rsidR="005F769D" w:rsidRPr="00780621">
        <w:rPr>
          <w:i/>
        </w:rPr>
        <w:t>2013) and RMP agreements from the Pre-ACPM Response of [date], included with submission</w:t>
      </w:r>
      <w:r w:rsidRPr="00780621">
        <w:rPr>
          <w:i/>
        </w:rPr>
        <w:t xml:space="preserve"> </w:t>
      </w:r>
      <w:r w:rsidR="005F769D" w:rsidRPr="00780621">
        <w:rPr>
          <w:i/>
        </w:rPr>
        <w:t>PM-2013- 00286-2-3, and any subsequent revisions, as agreed with the TGA.</w:t>
      </w:r>
      <w:r w:rsidRPr="00780621">
        <w:rPr>
          <w:i/>
        </w:rPr>
        <w:t xml:space="preserve"> </w:t>
      </w:r>
      <w:r w:rsidR="005F769D" w:rsidRPr="00780621">
        <w:rPr>
          <w:i/>
        </w:rPr>
        <w:t xml:space="preserve">2) </w:t>
      </w:r>
      <w:proofErr w:type="gramStart"/>
      <w:r w:rsidR="005F769D" w:rsidRPr="00780621">
        <w:rPr>
          <w:i/>
        </w:rPr>
        <w:t>The</w:t>
      </w:r>
      <w:proofErr w:type="gramEnd"/>
      <w:r w:rsidR="005F769D" w:rsidRPr="00780621">
        <w:rPr>
          <w:i/>
        </w:rPr>
        <w:t xml:space="preserve"> following studies must be submitted to the TGA, as soon as possible after completion, for</w:t>
      </w:r>
      <w:r w:rsidRPr="00780621">
        <w:rPr>
          <w:i/>
        </w:rPr>
        <w:t xml:space="preserve"> </w:t>
      </w:r>
      <w:r w:rsidR="005F769D" w:rsidRPr="00780621">
        <w:rPr>
          <w:i/>
        </w:rPr>
        <w:t>evaluation as a Category 1 submission:</w:t>
      </w:r>
      <w:r w:rsidRPr="00780621">
        <w:rPr>
          <w:i/>
        </w:rPr>
        <w:t xml:space="preserve"> </w:t>
      </w:r>
      <w:r w:rsidR="005F769D" w:rsidRPr="00780621">
        <w:rPr>
          <w:i/>
        </w:rPr>
        <w:t>• the final clinical study reports for Studies PsA001 and AS001</w:t>
      </w:r>
      <w:r w:rsidRPr="00780621">
        <w:rPr>
          <w:i/>
        </w:rPr>
        <w:t>.</w:t>
      </w:r>
      <w:r>
        <w:rPr>
          <w:i/>
        </w:rPr>
        <w:t>’</w:t>
      </w:r>
      <w:r w:rsidRPr="00780621">
        <w:rPr>
          <w:i/>
        </w:rPr>
        <w:t xml:space="preserve"> </w:t>
      </w:r>
    </w:p>
    <w:p w:rsidR="005F769D" w:rsidRPr="00780621" w:rsidRDefault="005F769D" w:rsidP="005F769D">
      <w:pPr>
        <w:pStyle w:val="Numberbullet3"/>
        <w:autoSpaceDE w:val="0"/>
        <w:autoSpaceDN w:val="0"/>
        <w:adjustRightInd w:val="0"/>
        <w:spacing w:before="0" w:after="0" w:line="240" w:lineRule="auto"/>
        <w:rPr>
          <w:rFonts w:ascii="TimesNewRoman" w:eastAsiaTheme="minorHAnsi" w:hAnsi="TimesNewRoman" w:cs="TimesNewRoman"/>
          <w:sz w:val="23"/>
          <w:szCs w:val="23"/>
        </w:rPr>
      </w:pPr>
      <w:r w:rsidRPr="00780621">
        <w:t>Response</w:t>
      </w:r>
      <w:r w:rsidR="00780621">
        <w:t xml:space="preserve">: </w:t>
      </w:r>
      <w:r w:rsidRPr="00780621">
        <w:rPr>
          <w:rFonts w:ascii="TimesNewRoman" w:eastAsiaTheme="minorHAnsi" w:hAnsi="TimesNewRoman" w:cs="TimesNewRoman"/>
          <w:sz w:val="23"/>
          <w:szCs w:val="23"/>
        </w:rPr>
        <w:t>UCB acknowledges the proposed conditions of registration.</w:t>
      </w:r>
    </w:p>
    <w:p w:rsidR="008E7846" w:rsidRDefault="008E7846" w:rsidP="00565457">
      <w:pPr>
        <w:pStyle w:val="Heading4"/>
      </w:pPr>
      <w:r>
        <w:t xml:space="preserve">Advisory </w:t>
      </w:r>
      <w:r w:rsidR="00565457">
        <w:t>c</w:t>
      </w:r>
      <w:r>
        <w:t xml:space="preserve">ommittee </w:t>
      </w:r>
      <w:r w:rsidR="00565457" w:rsidRPr="00565457">
        <w:t>c</w:t>
      </w:r>
      <w:r w:rsidRPr="00565457">
        <w:t>onsiderations</w:t>
      </w:r>
    </w:p>
    <w:p w:rsidR="008E7846" w:rsidRDefault="00D23139" w:rsidP="00565457">
      <w:r w:rsidRPr="00D23139">
        <w:t>The Advisory Committee on Prescription Medicines (ACPM), having considered the evaluations and the Delegate’s overview, as well as the sponsor’s response to these documents, advised the following:</w:t>
      </w:r>
    </w:p>
    <w:p w:rsidR="005F769D" w:rsidRPr="0029526A" w:rsidRDefault="005F769D" w:rsidP="00565457">
      <w:pPr>
        <w:rPr>
          <w:lang w:eastAsia="ja-JP"/>
        </w:rPr>
      </w:pPr>
      <w:r w:rsidRPr="0029526A">
        <w:rPr>
          <w:lang w:eastAsia="ja-JP"/>
        </w:rPr>
        <w:t>The submission seeks to register an extension of indications for a currently registered product.</w:t>
      </w:r>
    </w:p>
    <w:p w:rsidR="005F769D" w:rsidRPr="00780621" w:rsidRDefault="005F769D" w:rsidP="00565457">
      <w:r w:rsidRPr="00780621">
        <w:t xml:space="preserve">The ACPM, taking into account the submitted evidence of efficacy, safety and quality, agreed with the delegate and considered </w:t>
      </w:r>
      <w:proofErr w:type="spellStart"/>
      <w:r w:rsidR="00780621">
        <w:t>Cimzia</w:t>
      </w:r>
      <w:proofErr w:type="spellEnd"/>
      <w:r w:rsidRPr="00780621">
        <w:t xml:space="preserve"> solution for injection containing 200 mg/mL of </w:t>
      </w:r>
      <w:proofErr w:type="spellStart"/>
      <w:r w:rsidRPr="00780621">
        <w:t>certolizumab</w:t>
      </w:r>
      <w:proofErr w:type="spellEnd"/>
      <w:r w:rsidRPr="00780621">
        <w:t xml:space="preserve"> to have a positive benefit–risk prof</w:t>
      </w:r>
      <w:r w:rsidR="00565457">
        <w:t>ile for the amended indication;</w:t>
      </w:r>
    </w:p>
    <w:p w:rsidR="0024294D" w:rsidRPr="00565457" w:rsidRDefault="00565457" w:rsidP="00565457">
      <w:pPr>
        <w:pStyle w:val="ListBullet"/>
        <w:numPr>
          <w:ilvl w:val="0"/>
          <w:numId w:val="0"/>
        </w:numPr>
        <w:ind w:left="360"/>
        <w:rPr>
          <w:i/>
        </w:rPr>
      </w:pPr>
      <w:r w:rsidRPr="00565457">
        <w:rPr>
          <w:i/>
        </w:rPr>
        <w:t>Psoriatic arthritis:</w:t>
      </w:r>
    </w:p>
    <w:p w:rsidR="005F769D" w:rsidRPr="00565457" w:rsidRDefault="0024294D" w:rsidP="00565457">
      <w:pPr>
        <w:pStyle w:val="ListBullet2"/>
        <w:numPr>
          <w:ilvl w:val="0"/>
          <w:numId w:val="0"/>
        </w:numPr>
        <w:ind w:left="720"/>
        <w:rPr>
          <w:i/>
        </w:rPr>
      </w:pPr>
      <w:proofErr w:type="spellStart"/>
      <w:r w:rsidRPr="00565457">
        <w:rPr>
          <w:i/>
        </w:rPr>
        <w:t>Cimzia</w:t>
      </w:r>
      <w:proofErr w:type="spellEnd"/>
      <w:r w:rsidRPr="00565457">
        <w:rPr>
          <w:i/>
        </w:rPr>
        <w:t xml:space="preserve"> </w:t>
      </w:r>
      <w:r w:rsidR="005F769D" w:rsidRPr="00565457">
        <w:rPr>
          <w:i/>
        </w:rPr>
        <w:t xml:space="preserve">is indicated for the treatment of adult patients with active psoriatic arthritis. </w:t>
      </w:r>
    </w:p>
    <w:p w:rsidR="0024294D" w:rsidRPr="00565457" w:rsidRDefault="0024294D" w:rsidP="00565457">
      <w:pPr>
        <w:pStyle w:val="ListBullet"/>
        <w:numPr>
          <w:ilvl w:val="0"/>
          <w:numId w:val="0"/>
        </w:numPr>
        <w:ind w:left="360"/>
        <w:rPr>
          <w:i/>
        </w:rPr>
      </w:pPr>
      <w:proofErr w:type="spellStart"/>
      <w:r w:rsidRPr="00565457">
        <w:rPr>
          <w:i/>
        </w:rPr>
        <w:t>A</w:t>
      </w:r>
      <w:r w:rsidR="005F769D" w:rsidRPr="00565457">
        <w:rPr>
          <w:i/>
        </w:rPr>
        <w:t>nkylosing</w:t>
      </w:r>
      <w:proofErr w:type="spellEnd"/>
      <w:r w:rsidR="005F769D" w:rsidRPr="00565457">
        <w:rPr>
          <w:i/>
        </w:rPr>
        <w:t xml:space="preserve"> spondylitis:</w:t>
      </w:r>
    </w:p>
    <w:p w:rsidR="005F769D" w:rsidRPr="00565457" w:rsidRDefault="005F769D" w:rsidP="00565457">
      <w:pPr>
        <w:pStyle w:val="ListBullet2"/>
        <w:numPr>
          <w:ilvl w:val="0"/>
          <w:numId w:val="0"/>
        </w:numPr>
        <w:ind w:left="720"/>
        <w:rPr>
          <w:i/>
        </w:rPr>
      </w:pPr>
      <w:proofErr w:type="spellStart"/>
      <w:r w:rsidRPr="00565457">
        <w:rPr>
          <w:i/>
        </w:rPr>
        <w:t>Cimzia</w:t>
      </w:r>
      <w:proofErr w:type="spellEnd"/>
      <w:r w:rsidRPr="00565457">
        <w:rPr>
          <w:i/>
        </w:rPr>
        <w:t xml:space="preserve"> is indicated for the treatment of adult patients with </w:t>
      </w:r>
      <w:proofErr w:type="spellStart"/>
      <w:r w:rsidRPr="00565457">
        <w:rPr>
          <w:i/>
        </w:rPr>
        <w:t>ankylosing</w:t>
      </w:r>
      <w:proofErr w:type="spellEnd"/>
      <w:r w:rsidRPr="00565457">
        <w:rPr>
          <w:i/>
        </w:rPr>
        <w:t xml:space="preserve"> spondylitis</w:t>
      </w:r>
    </w:p>
    <w:p w:rsidR="005F769D" w:rsidRPr="0024294D" w:rsidRDefault="005F769D" w:rsidP="00565457">
      <w:r w:rsidRPr="0024294D">
        <w:t xml:space="preserve">The ACPM concluded that the evidence provided in the sponsor’s submission did not satisfactorily establish the safety and efficacy of the non-radiographic </w:t>
      </w:r>
      <w:proofErr w:type="spellStart"/>
      <w:r w:rsidRPr="0024294D">
        <w:t>ankylosing</w:t>
      </w:r>
      <w:proofErr w:type="spellEnd"/>
      <w:r w:rsidRPr="0024294D">
        <w:t xml:space="preserve"> spondylitis (nr-</w:t>
      </w:r>
      <w:proofErr w:type="spellStart"/>
      <w:r w:rsidRPr="0024294D">
        <w:t>axSPA</w:t>
      </w:r>
      <w:proofErr w:type="spellEnd"/>
      <w:r w:rsidRPr="0024294D">
        <w:t>) indication.</w:t>
      </w:r>
    </w:p>
    <w:p w:rsidR="005F769D" w:rsidRPr="0024294D" w:rsidRDefault="005F769D" w:rsidP="00565457">
      <w:r w:rsidRPr="0024294D">
        <w:t xml:space="preserve">In making these recommendations the ACPM </w:t>
      </w:r>
    </w:p>
    <w:p w:rsidR="005F769D" w:rsidRPr="0029526A" w:rsidRDefault="005F769D" w:rsidP="00565457">
      <w:pPr>
        <w:pStyle w:val="ListBullet"/>
        <w:rPr>
          <w:lang w:eastAsia="ja-JP"/>
        </w:rPr>
      </w:pPr>
      <w:r w:rsidRPr="00565457">
        <w:t>noted</w:t>
      </w:r>
      <w:r w:rsidRPr="0029526A">
        <w:rPr>
          <w:lang w:eastAsia="ja-JP"/>
        </w:rPr>
        <w:t xml:space="preserve"> that the </w:t>
      </w:r>
      <w:r w:rsidRPr="0029526A">
        <w:rPr>
          <w:lang w:val="en-US" w:eastAsia="ja-JP"/>
        </w:rPr>
        <w:t>24 week results from the trial was insufficient to justify the claim for a radiographic endpoint and the relevant EMA guidelines suggest 12 months (ideally 24 months) of follow up for radiographic data</w:t>
      </w:r>
    </w:p>
    <w:p w:rsidR="005F769D" w:rsidRPr="0029526A" w:rsidRDefault="005F769D" w:rsidP="00565457">
      <w:pPr>
        <w:pStyle w:val="ListBullet"/>
        <w:rPr>
          <w:lang w:eastAsia="ja-JP"/>
        </w:rPr>
      </w:pPr>
      <w:r w:rsidRPr="0029526A">
        <w:rPr>
          <w:lang w:eastAsia="ja-JP"/>
        </w:rPr>
        <w:t xml:space="preserve">advised that, in general, physical function claims should not be included in indications and </w:t>
      </w:r>
      <w:r w:rsidRPr="00565457">
        <w:t>agreed</w:t>
      </w:r>
      <w:r w:rsidRPr="0029526A">
        <w:rPr>
          <w:lang w:eastAsia="ja-JP"/>
        </w:rPr>
        <w:t xml:space="preserve"> with the delegate that the </w:t>
      </w:r>
      <w:r w:rsidRPr="0029526A">
        <w:rPr>
          <w:lang w:val="en-US" w:eastAsia="ja-JP"/>
        </w:rPr>
        <w:t xml:space="preserve">physical function claim is better placed in the </w:t>
      </w:r>
      <w:r w:rsidRPr="0029526A">
        <w:rPr>
          <w:i/>
          <w:lang w:val="en-US" w:eastAsia="ja-JP"/>
        </w:rPr>
        <w:t>Clinical Trials</w:t>
      </w:r>
      <w:r w:rsidRPr="0029526A">
        <w:rPr>
          <w:lang w:val="en-US" w:eastAsia="ja-JP"/>
        </w:rPr>
        <w:t xml:space="preserve"> section of the PI</w:t>
      </w:r>
    </w:p>
    <w:p w:rsidR="005F769D" w:rsidRPr="0029526A" w:rsidRDefault="005F769D" w:rsidP="00565457">
      <w:pPr>
        <w:pStyle w:val="ListBullet"/>
        <w:rPr>
          <w:lang w:eastAsia="ja-JP"/>
        </w:rPr>
      </w:pPr>
      <w:r w:rsidRPr="0029526A">
        <w:rPr>
          <w:lang w:eastAsia="ja-JP"/>
        </w:rPr>
        <w:t xml:space="preserve">noted evidence was sufficient for the approval for </w:t>
      </w:r>
      <w:proofErr w:type="spellStart"/>
      <w:r w:rsidRPr="0029526A">
        <w:rPr>
          <w:lang w:eastAsia="ja-JP"/>
        </w:rPr>
        <w:t>ankylosing</w:t>
      </w:r>
      <w:proofErr w:type="spellEnd"/>
      <w:r w:rsidRPr="0029526A">
        <w:rPr>
          <w:lang w:eastAsia="ja-JP"/>
        </w:rPr>
        <w:t xml:space="preserve"> spondylitis (consistent indication with </w:t>
      </w:r>
      <w:r w:rsidRPr="00565457">
        <w:t>other</w:t>
      </w:r>
      <w:r w:rsidRPr="0029526A">
        <w:rPr>
          <w:lang w:eastAsia="ja-JP"/>
        </w:rPr>
        <w:t xml:space="preserve"> TNF inhibitors)</w:t>
      </w:r>
    </w:p>
    <w:p w:rsidR="005F769D" w:rsidRPr="0029526A" w:rsidRDefault="005F769D" w:rsidP="00565457">
      <w:pPr>
        <w:pStyle w:val="Heading5"/>
        <w:rPr>
          <w:rFonts w:eastAsia="MS Mincho"/>
          <w:lang w:eastAsia="ja-JP"/>
        </w:rPr>
      </w:pPr>
      <w:r w:rsidRPr="00565457">
        <w:rPr>
          <w:rFonts w:eastAsia="MS Mincho"/>
        </w:rPr>
        <w:t>Proposed</w:t>
      </w:r>
      <w:r w:rsidRPr="0029526A">
        <w:rPr>
          <w:rFonts w:eastAsia="MS Mincho"/>
          <w:lang w:eastAsia="ja-JP"/>
        </w:rPr>
        <w:t xml:space="preserve"> conditions of registration:</w:t>
      </w:r>
    </w:p>
    <w:p w:rsidR="005F769D" w:rsidRPr="0029526A" w:rsidRDefault="005F769D" w:rsidP="005F769D">
      <w:pPr>
        <w:adjustRightInd w:val="0"/>
        <w:snapToGrid w:val="0"/>
        <w:spacing w:before="0" w:after="240"/>
        <w:rPr>
          <w:rFonts w:eastAsia="MS Mincho"/>
          <w:bCs/>
          <w:highlight w:val="yellow"/>
          <w:lang w:eastAsia="ja-JP"/>
        </w:rPr>
      </w:pPr>
      <w:r w:rsidRPr="0029526A">
        <w:rPr>
          <w:rFonts w:eastAsia="MS Mincho" w:cs="Calibri"/>
          <w:color w:val="000000"/>
          <w:lang w:eastAsia="ja-JP"/>
        </w:rPr>
        <w:t>T</w:t>
      </w:r>
      <w:r w:rsidRPr="0029526A">
        <w:rPr>
          <w:rFonts w:eastAsia="MS Mincho"/>
          <w:bCs/>
          <w:lang w:eastAsia="ja-JP"/>
        </w:rPr>
        <w:t xml:space="preserve">he ACPM agreed with the delegate on the proposed conditions of registration </w:t>
      </w:r>
    </w:p>
    <w:p w:rsidR="005F769D" w:rsidRPr="0029526A" w:rsidRDefault="005F769D" w:rsidP="00565457">
      <w:pPr>
        <w:pStyle w:val="Heading5"/>
        <w:rPr>
          <w:rFonts w:eastAsia="MS Mincho"/>
          <w:u w:val="single"/>
          <w:lang w:eastAsia="ja-JP"/>
        </w:rPr>
      </w:pPr>
      <w:r w:rsidRPr="00565457">
        <w:rPr>
          <w:rFonts w:eastAsia="MS Mincho"/>
        </w:rPr>
        <w:t>Proposed</w:t>
      </w:r>
      <w:r w:rsidRPr="0029526A">
        <w:rPr>
          <w:rFonts w:eastAsia="MS Mincho"/>
          <w:lang w:eastAsia="ja-JP"/>
        </w:rPr>
        <w:t xml:space="preserve"> Product Information (PI)/Consumer Medicine Information (CMI) amendments:</w:t>
      </w:r>
      <w:r w:rsidRPr="0029526A">
        <w:rPr>
          <w:rFonts w:eastAsia="MS Mincho"/>
          <w:highlight w:val="yellow"/>
          <w:lang w:eastAsia="ja-JP"/>
        </w:rPr>
        <w:t xml:space="preserve"> </w:t>
      </w:r>
    </w:p>
    <w:p w:rsidR="005F769D" w:rsidRPr="0024294D" w:rsidRDefault="005F769D" w:rsidP="00565457">
      <w:r w:rsidRPr="0024294D">
        <w:t xml:space="preserve">The ACPM agreed with the delegate to the proposed amendments to the Product Information (PI) and Consumer Medicine Information (CMI) and specifically advised on the inclusion of the following: </w:t>
      </w:r>
    </w:p>
    <w:p w:rsidR="005F769D" w:rsidRPr="0024294D" w:rsidRDefault="005F769D" w:rsidP="00565457">
      <w:pPr>
        <w:pStyle w:val="ListBullet"/>
      </w:pPr>
      <w:r w:rsidRPr="0024294D">
        <w:t xml:space="preserve">a </w:t>
      </w:r>
      <w:r w:rsidRPr="00565457">
        <w:t>statement</w:t>
      </w:r>
      <w:r w:rsidRPr="0024294D">
        <w:t xml:space="preserve"> in the Clinical Trials section of the PI regarding </w:t>
      </w:r>
      <w:r w:rsidR="00614095">
        <w:t xml:space="preserve">modified </w:t>
      </w:r>
      <w:r w:rsidRPr="0024294D">
        <w:t>Total Sharp Score (</w:t>
      </w:r>
      <w:proofErr w:type="spellStart"/>
      <w:r w:rsidRPr="0024294D">
        <w:t>mTSS</w:t>
      </w:r>
      <w:proofErr w:type="spellEnd"/>
      <w:r w:rsidRPr="0024294D">
        <w:t xml:space="preserve">) should either be remove or state that due to large amount of missing data, only a post-hoc analysis suggested </w:t>
      </w:r>
      <w:proofErr w:type="spellStart"/>
      <w:r w:rsidRPr="0024294D">
        <w:t>Cimzia</w:t>
      </w:r>
      <w:proofErr w:type="spellEnd"/>
      <w:r w:rsidRPr="0024294D">
        <w:t xml:space="preserve"> had an effect on x-ray progression </w:t>
      </w:r>
    </w:p>
    <w:p w:rsidR="005F769D" w:rsidRPr="0029526A" w:rsidRDefault="005F769D" w:rsidP="00565457">
      <w:pPr>
        <w:pStyle w:val="ListBullet"/>
        <w:rPr>
          <w:lang w:eastAsia="ja-JP"/>
        </w:rPr>
      </w:pPr>
      <w:proofErr w:type="gramStart"/>
      <w:r w:rsidRPr="00565457">
        <w:t>removal</w:t>
      </w:r>
      <w:proofErr w:type="gramEnd"/>
      <w:r w:rsidRPr="0024294D">
        <w:t xml:space="preserve"> of i</w:t>
      </w:r>
      <w:r w:rsidR="00485052">
        <w:t>nformation about the PASI in th</w:t>
      </w:r>
      <w:r w:rsidRPr="0024294D">
        <w:t>e</w:t>
      </w:r>
      <w:r w:rsidR="00485052">
        <w:t xml:space="preserve"> </w:t>
      </w:r>
      <w:r w:rsidRPr="0024294D">
        <w:t>PI. This is not an application for use in</w:t>
      </w:r>
      <w:r w:rsidRPr="0029526A">
        <w:rPr>
          <w:lang w:val="en-US" w:eastAsia="ja-JP"/>
        </w:rPr>
        <w:t xml:space="preserve"> psoriasis.</w:t>
      </w:r>
    </w:p>
    <w:p w:rsidR="005F769D" w:rsidRPr="0029526A" w:rsidRDefault="005F769D" w:rsidP="00565457">
      <w:pPr>
        <w:pStyle w:val="Heading5"/>
        <w:rPr>
          <w:rFonts w:eastAsia="MS Mincho"/>
          <w:highlight w:val="yellow"/>
          <w:lang w:eastAsia="ja-JP"/>
        </w:rPr>
      </w:pPr>
      <w:r w:rsidRPr="0029526A">
        <w:rPr>
          <w:rFonts w:eastAsia="MS Mincho"/>
          <w:lang w:eastAsia="ja-JP"/>
        </w:rPr>
        <w:t xml:space="preserve">Specific </w:t>
      </w:r>
      <w:r w:rsidR="00565457" w:rsidRPr="00565457">
        <w:rPr>
          <w:rFonts w:eastAsia="MS Mincho"/>
        </w:rPr>
        <w:t>a</w:t>
      </w:r>
      <w:r w:rsidRPr="00565457">
        <w:rPr>
          <w:rFonts w:eastAsia="MS Mincho"/>
        </w:rPr>
        <w:t>dvice</w:t>
      </w:r>
      <w:r w:rsidRPr="0029526A">
        <w:rPr>
          <w:rFonts w:eastAsia="MS Mincho"/>
          <w:lang w:eastAsia="ja-JP"/>
        </w:rPr>
        <w:t>:</w:t>
      </w:r>
    </w:p>
    <w:p w:rsidR="005F769D" w:rsidRPr="0024294D" w:rsidRDefault="005F769D" w:rsidP="00CF6836">
      <w:pPr>
        <w:pStyle w:val="Heading6"/>
      </w:pPr>
      <w:r w:rsidRPr="0024294D">
        <w:t xml:space="preserve">Psoriatic </w:t>
      </w:r>
      <w:r w:rsidR="00565457">
        <w:t>a</w:t>
      </w:r>
      <w:r w:rsidRPr="0024294D">
        <w:t>rthritis</w:t>
      </w:r>
    </w:p>
    <w:p w:rsidR="005F769D" w:rsidRPr="0029526A" w:rsidRDefault="005F769D" w:rsidP="00CF6836">
      <w:pPr>
        <w:pStyle w:val="Numberbullet0"/>
        <w:numPr>
          <w:ilvl w:val="0"/>
          <w:numId w:val="17"/>
        </w:numPr>
        <w:rPr>
          <w:lang w:eastAsia="ja-JP"/>
        </w:rPr>
      </w:pPr>
      <w:r w:rsidRPr="0029526A">
        <w:rPr>
          <w:lang w:eastAsia="ja-JP"/>
        </w:rPr>
        <w:t>The modified Total Sharp Score (</w:t>
      </w:r>
      <w:proofErr w:type="spellStart"/>
      <w:r w:rsidRPr="0029526A">
        <w:rPr>
          <w:lang w:eastAsia="ja-JP"/>
        </w:rPr>
        <w:t>mTSS</w:t>
      </w:r>
      <w:proofErr w:type="spellEnd"/>
      <w:r w:rsidRPr="0029526A">
        <w:rPr>
          <w:lang w:eastAsia="ja-JP"/>
        </w:rPr>
        <w:t xml:space="preserve">) was one of the two primary efficacy outcomes. The </w:t>
      </w:r>
      <w:proofErr w:type="spellStart"/>
      <w:r w:rsidRPr="0029526A">
        <w:rPr>
          <w:lang w:eastAsia="ja-JP"/>
        </w:rPr>
        <w:t>mTSS</w:t>
      </w:r>
      <w:proofErr w:type="spellEnd"/>
      <w:r w:rsidRPr="0029526A">
        <w:rPr>
          <w:lang w:eastAsia="ja-JP"/>
        </w:rPr>
        <w:t xml:space="preserve"> </w:t>
      </w:r>
      <w:r w:rsidRPr="00CF6836">
        <w:t>protocol</w:t>
      </w:r>
      <w:r w:rsidRPr="0029526A">
        <w:rPr>
          <w:lang w:eastAsia="ja-JP"/>
        </w:rPr>
        <w:t>-defined imputation rules for patients with missing x-ray data led to physiologically implausible (high) results, so post-hoc analyses were performed. On this basis, is it reasonable to include the radiographic endpoint in the proposed indication?</w:t>
      </w:r>
    </w:p>
    <w:p w:rsidR="005F769D" w:rsidRPr="0024294D" w:rsidRDefault="005F769D" w:rsidP="00CF6836">
      <w:r w:rsidRPr="0024294D">
        <w:t>The ACPM advised removal of this statement due the high rate of missing x-ray data.</w:t>
      </w:r>
    </w:p>
    <w:p w:rsidR="005F769D" w:rsidRPr="0024294D" w:rsidRDefault="005F769D" w:rsidP="00CF6836">
      <w:pPr>
        <w:pStyle w:val="Numberbullet0"/>
      </w:pPr>
      <w:r w:rsidRPr="0024294D">
        <w:t xml:space="preserve">Inclusion of a second (physical function) endpoint was also proposed for the </w:t>
      </w:r>
      <w:proofErr w:type="spellStart"/>
      <w:r w:rsidRPr="0024294D">
        <w:t>PsA</w:t>
      </w:r>
      <w:proofErr w:type="spellEnd"/>
      <w:r w:rsidRPr="0024294D">
        <w:t xml:space="preserve"> indication. Although improvement in physical function was demonstrated with CZP treatment, would this be more appropriately addressed in the Clinical Trials section of the PI?</w:t>
      </w:r>
    </w:p>
    <w:p w:rsidR="005F769D" w:rsidRPr="0024294D" w:rsidRDefault="005F769D" w:rsidP="00CF6836">
      <w:r w:rsidRPr="0024294D">
        <w:t>The ACPM agreed with the delegate that the physical function claim would be better placed in the Clinical Trials section.</w:t>
      </w:r>
    </w:p>
    <w:p w:rsidR="005F769D" w:rsidRPr="0024294D" w:rsidRDefault="005F769D" w:rsidP="00CF6836">
      <w:pPr>
        <w:pStyle w:val="Heading6"/>
      </w:pPr>
      <w:r w:rsidRPr="0024294D">
        <w:t xml:space="preserve">Axial </w:t>
      </w:r>
      <w:proofErr w:type="spellStart"/>
      <w:r w:rsidRPr="0024294D">
        <w:t>Spondyloarthritis</w:t>
      </w:r>
      <w:proofErr w:type="spellEnd"/>
    </w:p>
    <w:p w:rsidR="005F769D" w:rsidRPr="0029526A" w:rsidRDefault="005F769D" w:rsidP="0024294D">
      <w:pPr>
        <w:pStyle w:val="Numberbullet0"/>
        <w:rPr>
          <w:lang w:eastAsia="ja-JP"/>
        </w:rPr>
      </w:pPr>
      <w:proofErr w:type="spellStart"/>
      <w:proofErr w:type="gramStart"/>
      <w:r w:rsidRPr="0029526A">
        <w:rPr>
          <w:lang w:eastAsia="ja-JP"/>
        </w:rPr>
        <w:t>axSpA</w:t>
      </w:r>
      <w:proofErr w:type="spellEnd"/>
      <w:proofErr w:type="gramEnd"/>
      <w:r w:rsidRPr="0029526A">
        <w:rPr>
          <w:lang w:eastAsia="ja-JP"/>
        </w:rPr>
        <w:t xml:space="preserve"> includes patients with </w:t>
      </w:r>
      <w:proofErr w:type="spellStart"/>
      <w:r w:rsidRPr="0029526A">
        <w:rPr>
          <w:lang w:eastAsia="ja-JP"/>
        </w:rPr>
        <w:t>ankylosing</w:t>
      </w:r>
      <w:proofErr w:type="spellEnd"/>
      <w:r w:rsidRPr="0029526A">
        <w:rPr>
          <w:lang w:eastAsia="ja-JP"/>
        </w:rPr>
        <w:t xml:space="preserve"> spondylitis (AS) and nr-</w:t>
      </w:r>
      <w:proofErr w:type="spellStart"/>
      <w:r w:rsidRPr="0029526A">
        <w:rPr>
          <w:lang w:eastAsia="ja-JP"/>
        </w:rPr>
        <w:t>axSpA</w:t>
      </w:r>
      <w:proofErr w:type="spellEnd"/>
      <w:r w:rsidRPr="0029526A">
        <w:rPr>
          <w:lang w:eastAsia="ja-JP"/>
        </w:rPr>
        <w:t>. Is nr-</w:t>
      </w:r>
      <w:proofErr w:type="spellStart"/>
      <w:r w:rsidRPr="0029526A">
        <w:rPr>
          <w:lang w:eastAsia="ja-JP"/>
        </w:rPr>
        <w:t>axSpA</w:t>
      </w:r>
      <w:proofErr w:type="spellEnd"/>
      <w:r w:rsidRPr="0029526A">
        <w:rPr>
          <w:lang w:eastAsia="ja-JP"/>
        </w:rPr>
        <w:t xml:space="preserve"> sufficiently well-defined and recognised to support its inclusion in the </w:t>
      </w:r>
      <w:proofErr w:type="spellStart"/>
      <w:r w:rsidRPr="0029526A">
        <w:rPr>
          <w:lang w:eastAsia="ja-JP"/>
        </w:rPr>
        <w:t>axSpA</w:t>
      </w:r>
      <w:proofErr w:type="spellEnd"/>
      <w:r w:rsidRPr="0029526A">
        <w:rPr>
          <w:lang w:eastAsia="ja-JP"/>
        </w:rPr>
        <w:t xml:space="preserve"> indication?</w:t>
      </w:r>
    </w:p>
    <w:p w:rsidR="005F769D" w:rsidRPr="0024294D" w:rsidRDefault="005F769D" w:rsidP="00CF6836">
      <w:r w:rsidRPr="0024294D">
        <w:t>The validity of nr-</w:t>
      </w:r>
      <w:proofErr w:type="spellStart"/>
      <w:r w:rsidRPr="0024294D">
        <w:t>axSpA</w:t>
      </w:r>
      <w:proofErr w:type="spellEnd"/>
      <w:r w:rsidRPr="0024294D">
        <w:t xml:space="preserve"> as a recognised diagnosis is not questioned and includes ASAS valid criteria. However, the nr-</w:t>
      </w:r>
      <w:proofErr w:type="spellStart"/>
      <w:r w:rsidRPr="0024294D">
        <w:t>axSPA</w:t>
      </w:r>
      <w:proofErr w:type="spellEnd"/>
      <w:r w:rsidRPr="0024294D">
        <w:t xml:space="preserve"> patients are subgroups of the overall study population and the diagnosis of these subjects for the trial is not conclusive as the primary </w:t>
      </w:r>
      <w:proofErr w:type="spellStart"/>
      <w:r w:rsidRPr="0024294D">
        <w:t>criterium</w:t>
      </w:r>
      <w:proofErr w:type="spellEnd"/>
      <w:r w:rsidRPr="0024294D">
        <w:t xml:space="preserve"> is radiographic evidence of AS. Radiography is a blunt instrument and the use of objective signs of inflammation by elevated CRP and/or MRI would be more convincing. The ACPM advised that further information is required before approving indication for nr-</w:t>
      </w:r>
      <w:proofErr w:type="spellStart"/>
      <w:r w:rsidRPr="0024294D">
        <w:t>axSPA</w:t>
      </w:r>
      <w:proofErr w:type="spellEnd"/>
      <w:r w:rsidRPr="0024294D">
        <w:t>. A new study along these lines is being developed.</w:t>
      </w:r>
    </w:p>
    <w:p w:rsidR="005F769D" w:rsidRPr="0024294D" w:rsidRDefault="005F769D" w:rsidP="00CF6836">
      <w:r w:rsidRPr="0024294D">
        <w:t>The ACPM advised that the implementation by the sponsor of the recommendations outlined above to the satisfaction of the TGA, in addition to the evidence of efficacy and safety provided would support the safe and effective use of this product.</w:t>
      </w:r>
    </w:p>
    <w:p w:rsidR="008E7846" w:rsidRPr="002E238E" w:rsidRDefault="008E7846" w:rsidP="00CF6836">
      <w:pPr>
        <w:pStyle w:val="Heading3"/>
      </w:pPr>
      <w:bookmarkStart w:id="143" w:name="_Toc247691532"/>
      <w:bookmarkStart w:id="144" w:name="_Toc314842516"/>
      <w:bookmarkStart w:id="145" w:name="_Toc399507661"/>
      <w:bookmarkEnd w:id="68"/>
      <w:bookmarkEnd w:id="140"/>
      <w:bookmarkEnd w:id="141"/>
      <w:r w:rsidRPr="00CF6836">
        <w:t>Outcome</w:t>
      </w:r>
      <w:bookmarkEnd w:id="143"/>
      <w:bookmarkEnd w:id="144"/>
      <w:bookmarkEnd w:id="145"/>
    </w:p>
    <w:p w:rsidR="00D23139" w:rsidRDefault="00D23139" w:rsidP="00CF6836">
      <w:bookmarkStart w:id="146" w:name="_Toc247691533"/>
      <w:bookmarkStart w:id="147" w:name="_Toc314842517"/>
      <w:r w:rsidRPr="00D23139">
        <w:t xml:space="preserve">Based on a review of quality, safety and efficacy, TGA approved the registration of </w:t>
      </w:r>
      <w:proofErr w:type="spellStart"/>
      <w:r w:rsidR="0024294D">
        <w:t>Cimzia</w:t>
      </w:r>
      <w:proofErr w:type="spellEnd"/>
      <w:r w:rsidR="0024294D">
        <w:t xml:space="preserve"> </w:t>
      </w:r>
      <w:proofErr w:type="spellStart"/>
      <w:r w:rsidR="0024294D">
        <w:t>certolizumab</w:t>
      </w:r>
      <w:proofErr w:type="spellEnd"/>
      <w:r w:rsidR="0024294D">
        <w:t xml:space="preserve"> </w:t>
      </w:r>
      <w:proofErr w:type="spellStart"/>
      <w:r w:rsidR="0024294D">
        <w:t>pegol</w:t>
      </w:r>
      <w:proofErr w:type="spellEnd"/>
      <w:r w:rsidR="0024294D">
        <w:t xml:space="preserve"> (</w:t>
      </w:r>
      <w:proofErr w:type="spellStart"/>
      <w:proofErr w:type="gramStart"/>
      <w:r w:rsidR="0024294D">
        <w:t>rbe</w:t>
      </w:r>
      <w:proofErr w:type="spellEnd"/>
      <w:proofErr w:type="gramEnd"/>
      <w:r w:rsidR="0024294D">
        <w:t xml:space="preserve">) 200 mg/mL solution for injection – prefilled syringe </w:t>
      </w:r>
      <w:r w:rsidRPr="00D23139">
        <w:t>indicated for:</w:t>
      </w:r>
    </w:p>
    <w:p w:rsidR="0024294D" w:rsidRPr="00CF6836" w:rsidRDefault="0024294D" w:rsidP="00CF6836">
      <w:pPr>
        <w:ind w:left="720"/>
        <w:rPr>
          <w:i/>
          <w:lang w:eastAsia="ja-JP"/>
        </w:rPr>
      </w:pPr>
      <w:r w:rsidRPr="00CF6836">
        <w:rPr>
          <w:i/>
          <w:lang w:eastAsia="ja-JP"/>
        </w:rPr>
        <w:t xml:space="preserve">Psoriatic arthritis: </w:t>
      </w:r>
      <w:proofErr w:type="spellStart"/>
      <w:r w:rsidRPr="00CF6836">
        <w:rPr>
          <w:i/>
          <w:lang w:eastAsia="ja-JP"/>
        </w:rPr>
        <w:t>Cimzia</w:t>
      </w:r>
      <w:proofErr w:type="spellEnd"/>
      <w:r w:rsidRPr="00CF6836">
        <w:rPr>
          <w:i/>
          <w:lang w:eastAsia="ja-JP"/>
        </w:rPr>
        <w:t xml:space="preserve"> is indicated for the treatment of adult patients with active psoriatic arthritis where response to previous disease-modifying anti-rheumatic drug therapy (DMARDs) has been inadequate. </w:t>
      </w:r>
      <w:proofErr w:type="spellStart"/>
      <w:r w:rsidRPr="00CF6836">
        <w:rPr>
          <w:i/>
          <w:lang w:eastAsia="ja-JP"/>
        </w:rPr>
        <w:t>Cimzia</w:t>
      </w:r>
      <w:proofErr w:type="spellEnd"/>
      <w:r w:rsidRPr="00CF6836">
        <w:rPr>
          <w:i/>
          <w:lang w:eastAsia="ja-JP"/>
        </w:rPr>
        <w:t xml:space="preserve"> has been shown to improve physical function.</w:t>
      </w:r>
    </w:p>
    <w:p w:rsidR="00507563" w:rsidRPr="00CF6836" w:rsidRDefault="00507563" w:rsidP="00CF6836">
      <w:pPr>
        <w:ind w:left="720"/>
        <w:rPr>
          <w:i/>
          <w:lang w:eastAsia="ja-JP"/>
        </w:rPr>
      </w:pPr>
      <w:proofErr w:type="spellStart"/>
      <w:r w:rsidRPr="00CF6836">
        <w:rPr>
          <w:i/>
          <w:lang w:eastAsia="ja-JP"/>
        </w:rPr>
        <w:t>Ankylosing</w:t>
      </w:r>
      <w:proofErr w:type="spellEnd"/>
      <w:r w:rsidRPr="00CF6836">
        <w:rPr>
          <w:i/>
          <w:lang w:eastAsia="ja-JP"/>
        </w:rPr>
        <w:t xml:space="preserve"> Spondylitis: </w:t>
      </w:r>
      <w:proofErr w:type="spellStart"/>
      <w:r w:rsidRPr="00CF6836">
        <w:rPr>
          <w:i/>
          <w:lang w:eastAsia="ja-JP"/>
        </w:rPr>
        <w:t>Cimzia</w:t>
      </w:r>
      <w:proofErr w:type="spellEnd"/>
      <w:r w:rsidRPr="00CF6836">
        <w:rPr>
          <w:i/>
          <w:lang w:eastAsia="ja-JP"/>
        </w:rPr>
        <w:t xml:space="preserve"> is indicated for the treatment of adult patients with active, </w:t>
      </w:r>
      <w:proofErr w:type="spellStart"/>
      <w:r w:rsidRPr="00CF6836">
        <w:rPr>
          <w:i/>
          <w:lang w:eastAsia="ja-JP"/>
        </w:rPr>
        <w:t>ankylosing</w:t>
      </w:r>
      <w:proofErr w:type="spellEnd"/>
      <w:r w:rsidRPr="00CF6836">
        <w:rPr>
          <w:i/>
          <w:lang w:eastAsia="ja-JP"/>
        </w:rPr>
        <w:t xml:space="preserve"> spondylitis who have been intolerant to or have had inadequate response to at least one </w:t>
      </w:r>
      <w:proofErr w:type="spellStart"/>
      <w:r w:rsidRPr="00CF6836">
        <w:rPr>
          <w:i/>
          <w:lang w:eastAsia="ja-JP"/>
        </w:rPr>
        <w:t>nonsteroidal</w:t>
      </w:r>
      <w:proofErr w:type="spellEnd"/>
      <w:r w:rsidRPr="00CF6836">
        <w:rPr>
          <w:i/>
          <w:lang w:eastAsia="ja-JP"/>
        </w:rPr>
        <w:t xml:space="preserve"> anti-inflammatory drug (NSAID).</w:t>
      </w:r>
    </w:p>
    <w:p w:rsidR="0024294D" w:rsidRPr="00D23139" w:rsidRDefault="003747C1" w:rsidP="00CF6836">
      <w:fldSimple w:instr=" MERGEFIELD &quot;DOSAGE&quot; ">
        <w:r w:rsidR="0024294D">
          <w:rPr>
            <w:noProof/>
          </w:rPr>
          <w:t>The same loading and maintenance dosage regimen used for RA is proposed for the additional indications of psoriatic arthritis (PsA) and axial spondyloarthritis (axSpA).</w:t>
        </w:r>
      </w:fldSimple>
    </w:p>
    <w:p w:rsidR="00D23139" w:rsidRPr="00D23139" w:rsidRDefault="00D23139" w:rsidP="00CF6836">
      <w:pPr>
        <w:pStyle w:val="Heading4"/>
      </w:pPr>
      <w:r w:rsidRPr="00D23139">
        <w:t>Specific conditions of registration applying to these goods</w:t>
      </w:r>
    </w:p>
    <w:p w:rsidR="00D23139" w:rsidRPr="0024294D" w:rsidRDefault="0024294D" w:rsidP="00CF6836">
      <w:pPr>
        <w:pStyle w:val="ListBullet"/>
      </w:pPr>
      <w:r w:rsidRPr="0024294D">
        <w:t xml:space="preserve">The </w:t>
      </w:r>
      <w:proofErr w:type="spellStart"/>
      <w:r w:rsidRPr="0024294D">
        <w:t>Cimzia</w:t>
      </w:r>
      <w:proofErr w:type="spellEnd"/>
      <w:r w:rsidRPr="0024294D">
        <w:t xml:space="preserve"> (</w:t>
      </w:r>
      <w:proofErr w:type="spellStart"/>
      <w:r w:rsidRPr="0024294D">
        <w:t>certolizumab</w:t>
      </w:r>
      <w:proofErr w:type="spellEnd"/>
      <w:r w:rsidRPr="0024294D">
        <w:t xml:space="preserve"> </w:t>
      </w:r>
      <w:proofErr w:type="spellStart"/>
      <w:r w:rsidRPr="0024294D">
        <w:t>pegol</w:t>
      </w:r>
      <w:proofErr w:type="spellEnd"/>
      <w:r w:rsidRPr="0024294D">
        <w:t xml:space="preserve"> (</w:t>
      </w:r>
      <w:proofErr w:type="spellStart"/>
      <w:r w:rsidRPr="0024294D">
        <w:t>rbe</w:t>
      </w:r>
      <w:proofErr w:type="spellEnd"/>
      <w:r w:rsidRPr="0024294D">
        <w:t>)) EU Risk Management Plan (RMP), version 9.3,</w:t>
      </w:r>
      <w:r>
        <w:t xml:space="preserve"> </w:t>
      </w:r>
      <w:r w:rsidRPr="0024294D">
        <w:t xml:space="preserve">dated </w:t>
      </w:r>
      <w:r>
        <w:t>1</w:t>
      </w:r>
      <w:r w:rsidRPr="0024294D">
        <w:t xml:space="preserve"> October 201.3 with the Australian Specific Annex (Version: 1.0, dated 24</w:t>
      </w:r>
      <w:r>
        <w:t xml:space="preserve"> J</w:t>
      </w:r>
      <w:r w:rsidRPr="0024294D">
        <w:t xml:space="preserve">anuary 2014) and pre-ACPM response from 24 </w:t>
      </w:r>
      <w:r w:rsidR="00575F03">
        <w:t>J</w:t>
      </w:r>
      <w:r w:rsidRPr="0024294D">
        <w:t>anuary 2014, included with</w:t>
      </w:r>
      <w:r>
        <w:t xml:space="preserve"> </w:t>
      </w:r>
      <w:r w:rsidRPr="0024294D">
        <w:t>submission PM-</w:t>
      </w:r>
      <w:r w:rsidRPr="00CF6836">
        <w:t>2013</w:t>
      </w:r>
      <w:r w:rsidRPr="0024294D">
        <w:t>-00286-2-3, and any subsequent revisions, as agreed with the TGA</w:t>
      </w:r>
      <w:r>
        <w:t xml:space="preserve"> </w:t>
      </w:r>
      <w:r w:rsidRPr="0024294D">
        <w:t>will be implemented in Australia</w:t>
      </w:r>
      <w:r>
        <w:t>.</w:t>
      </w:r>
    </w:p>
    <w:p w:rsidR="008E7846" w:rsidRDefault="008E7846" w:rsidP="00CF6836">
      <w:pPr>
        <w:pStyle w:val="Heading2"/>
      </w:pPr>
      <w:bookmarkStart w:id="148" w:name="_Toc399507662"/>
      <w:proofErr w:type="gramStart"/>
      <w:r>
        <w:t>Attachment 1.</w:t>
      </w:r>
      <w:proofErr w:type="gramEnd"/>
      <w:r>
        <w:tab/>
        <w:t xml:space="preserve">Product </w:t>
      </w:r>
      <w:r w:rsidR="00AA0ED0" w:rsidRPr="00CF6836">
        <w:t>I</w:t>
      </w:r>
      <w:r w:rsidRPr="00CF6836">
        <w:t>nformation</w:t>
      </w:r>
      <w:bookmarkEnd w:id="146"/>
      <w:bookmarkEnd w:id="147"/>
      <w:bookmarkEnd w:id="148"/>
    </w:p>
    <w:p w:rsidR="00C80137" w:rsidRDefault="002B3624" w:rsidP="00C80137">
      <w:pPr>
        <w:rPr>
          <w:color w:val="000000"/>
          <w:lang w:eastAsia="en-AU"/>
        </w:rPr>
      </w:pPr>
      <w:r w:rsidRPr="002B3624">
        <w:t xml:space="preserve">The </w:t>
      </w:r>
      <w:r w:rsidR="00527AA4">
        <w:t>PI</w:t>
      </w:r>
      <w:r w:rsidR="0024294D">
        <w:t xml:space="preserve"> approved for </w:t>
      </w:r>
      <w:proofErr w:type="spellStart"/>
      <w:r w:rsidR="0024294D">
        <w:t>Cimzia</w:t>
      </w:r>
      <w:proofErr w:type="spellEnd"/>
      <w:r w:rsidR="0024294D">
        <w:t xml:space="preserve"> </w:t>
      </w:r>
      <w:r w:rsidRPr="002B3624">
        <w:t xml:space="preserve">at the time this </w:t>
      </w:r>
      <w:proofErr w:type="spellStart"/>
      <w:r w:rsidRPr="002B3624">
        <w:t>AusPAR</w:t>
      </w:r>
      <w:proofErr w:type="spellEnd"/>
      <w:r w:rsidRPr="002B3624">
        <w:t xml:space="preserve"> was published is at Attachment 1. For the most recent </w:t>
      </w:r>
      <w:r w:rsidR="001F0528">
        <w:t>PI,</w:t>
      </w:r>
      <w:r w:rsidRPr="002B3624">
        <w:t xml:space="preserve"> please refer to the TGA website at</w:t>
      </w:r>
      <w:r w:rsidR="00527AA4">
        <w:t xml:space="preserve"> </w:t>
      </w:r>
      <w:r w:rsidR="00CF6836">
        <w:t>&lt;</w:t>
      </w:r>
      <w:hyperlink r:id="rId22" w:history="1">
        <w:r w:rsidRPr="000734D8">
          <w:rPr>
            <w:rStyle w:val="Hyperlink"/>
          </w:rPr>
          <w:t>http://www.tga.gov.au/hp/information-medicines-pi.htm</w:t>
        </w:r>
      </w:hyperlink>
      <w:r w:rsidR="00CF6836">
        <w:t>&gt;</w:t>
      </w:r>
    </w:p>
    <w:p w:rsidR="00C80137" w:rsidRDefault="00C80137" w:rsidP="00CF6836">
      <w:pPr>
        <w:pStyle w:val="Heading2"/>
        <w:rPr>
          <w:lang w:eastAsia="en-AU"/>
        </w:rPr>
      </w:pPr>
      <w:bookmarkStart w:id="149" w:name="_Toc399507663"/>
      <w:proofErr w:type="gramStart"/>
      <w:r w:rsidRPr="00CF6836">
        <w:t>Attachment</w:t>
      </w:r>
      <w:r>
        <w:rPr>
          <w:lang w:eastAsia="en-AU"/>
        </w:rPr>
        <w:t xml:space="preserve"> 2.</w:t>
      </w:r>
      <w:proofErr w:type="gramEnd"/>
      <w:r>
        <w:rPr>
          <w:lang w:eastAsia="en-AU"/>
        </w:rPr>
        <w:t xml:space="preserve"> Extract from the Clinical Evaluation Report</w:t>
      </w:r>
      <w:bookmarkEnd w:id="149"/>
    </w:p>
    <w:p w:rsidR="00291957" w:rsidRDefault="00291957" w:rsidP="00CF6836">
      <w:pPr>
        <w:rPr>
          <w:lang w:eastAsia="ja-JP"/>
        </w:rPr>
      </w:pPr>
    </w:p>
    <w:p w:rsidR="00C80137" w:rsidRPr="001D043B" w:rsidRDefault="00C80137" w:rsidP="00CF6836">
      <w:pPr>
        <w:sectPr w:rsidR="00C80137" w:rsidRPr="001D043B" w:rsidSect="00B452CE">
          <w:headerReference w:type="even" r:id="rId23"/>
          <w:headerReference w:type="default" r:id="rId24"/>
          <w:headerReference w:type="first" r:id="rId25"/>
          <w:footerReference w:type="first" r:id="rId26"/>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AD5F20">
        <w:trPr>
          <w:trHeight w:hRule="exact" w:val="704"/>
        </w:trPr>
        <w:tc>
          <w:tcPr>
            <w:tcW w:w="9175" w:type="dxa"/>
          </w:tcPr>
          <w:p w:rsidR="001C32CD" w:rsidRPr="00487162" w:rsidRDefault="001C32CD" w:rsidP="00AD5F20">
            <w:pPr>
              <w:pStyle w:val="TGASignoff"/>
            </w:pPr>
            <w:r w:rsidRPr="00487162">
              <w:t>Therapeutic Goods Administration</w:t>
            </w:r>
          </w:p>
        </w:tc>
      </w:tr>
      <w:tr w:rsidR="001C32CD" w:rsidRPr="004C239D" w:rsidTr="00AD5F20">
        <w:trPr>
          <w:trHeight w:val="1221"/>
        </w:trPr>
        <w:tc>
          <w:tcPr>
            <w:tcW w:w="9175" w:type="dxa"/>
            <w:tcMar>
              <w:top w:w="28" w:type="dxa"/>
            </w:tcMar>
          </w:tcPr>
          <w:p w:rsidR="001C32CD" w:rsidRPr="00487162" w:rsidRDefault="001C32CD" w:rsidP="00AD5F20">
            <w:pPr>
              <w:pStyle w:val="Address"/>
            </w:pPr>
            <w:r w:rsidRPr="00487162">
              <w:t>PO Box 100 Woden ACT 2606 Australia</w:t>
            </w:r>
          </w:p>
          <w:p w:rsidR="001C32CD" w:rsidRPr="00487162" w:rsidRDefault="001C32CD" w:rsidP="00AD5F20">
            <w:pPr>
              <w:pStyle w:val="Address"/>
            </w:pPr>
            <w:r w:rsidRPr="00487162">
              <w:t xml:space="preserve">Email: </w:t>
            </w:r>
            <w:hyperlink r:id="rId27" w:history="1">
              <w:r w:rsidRPr="004C239D">
                <w:rPr>
                  <w:rStyle w:val="Hyperlink"/>
                </w:rPr>
                <w:t>info@tga.gov.au</w:t>
              </w:r>
            </w:hyperlink>
            <w:r w:rsidR="004332FB">
              <w:t xml:space="preserve"> </w:t>
            </w:r>
            <w:r w:rsidRPr="00487162">
              <w:t>Phone: 1800 020 653</w:t>
            </w:r>
            <w:r w:rsidR="004332FB">
              <w:t xml:space="preserve"> </w:t>
            </w:r>
            <w:r w:rsidRPr="00487162">
              <w:t>Fax: 02 6232 8605</w:t>
            </w:r>
          </w:p>
          <w:p w:rsidR="001C32CD" w:rsidRPr="004C239D" w:rsidRDefault="003747C1" w:rsidP="00AD5F20">
            <w:pPr>
              <w:pStyle w:val="Address"/>
              <w:spacing w:line="260" w:lineRule="atLeast"/>
              <w:rPr>
                <w:b/>
                <w:color w:val="0000FF"/>
                <w:u w:val="single"/>
              </w:rPr>
            </w:pPr>
            <w:hyperlink r:id="rId28" w:history="1">
              <w:r w:rsidR="001C32CD" w:rsidRPr="00607888">
                <w:rPr>
                  <w:rStyle w:val="Hyperlink"/>
                  <w:b/>
                </w:rPr>
                <w:t>http://www.tga.gov.au</w:t>
              </w:r>
            </w:hyperlink>
          </w:p>
        </w:tc>
      </w:tr>
    </w:tbl>
    <w:p w:rsidR="00774E1D" w:rsidRPr="008A5E0B" w:rsidRDefault="00774E1D" w:rsidP="004C239D"/>
    <w:sectPr w:rsidR="00774E1D" w:rsidRPr="008A5E0B" w:rsidSect="001C32CD">
      <w:headerReference w:type="even" r:id="rId29"/>
      <w:headerReference w:type="default" r:id="rId30"/>
      <w:footerReference w:type="default" r:id="rId31"/>
      <w:headerReference w:type="first" r:id="rId32"/>
      <w:footerReference w:type="first" r:id="rId33"/>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457" w:rsidRDefault="00565457" w:rsidP="00C40A36">
      <w:pPr>
        <w:spacing w:after="0"/>
      </w:pPr>
      <w:r>
        <w:separator/>
      </w:r>
    </w:p>
  </w:endnote>
  <w:endnote w:type="continuationSeparator" w:id="0">
    <w:p w:rsidR="00565457" w:rsidRDefault="00565457"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MT">
    <w:altName w:val="Arial Unicode MS"/>
    <w:panose1 w:val="00000000000000000000"/>
    <w:charset w:val="80"/>
    <w:family w:val="auto"/>
    <w:notTrueType/>
    <w:pitch w:val="default"/>
    <w:sig w:usb0="00000003" w:usb1="08070000" w:usb2="00000010" w:usb3="00000000" w:csb0="00020001" w:csb1="00000000"/>
  </w:font>
  <w:font w:name="TimesNewRomanPS-Bold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Cambria"/>
    <w:panose1 w:val="00000000000000000000"/>
    <w:charset w:val="4D"/>
    <w:family w:val="roman"/>
    <w:notTrueType/>
    <w:pitch w:val="default"/>
    <w:sig w:usb0="00000003" w:usb1="08070000" w:usb2="00000010" w:usb3="00000000" w:csb0="00020001" w:csb1="00000000"/>
  </w:font>
  <w:font w:name="Helv">
    <w:altName w:val="Arial"/>
    <w:panose1 w:val="020B0604020202030204"/>
    <w:charset w:val="00"/>
    <w:family w:val="swiss"/>
    <w:notTrueTyp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565457" w:rsidRPr="00487162" w:rsidTr="00DB750B">
      <w:trPr>
        <w:trHeight w:val="269"/>
      </w:trPr>
      <w:tc>
        <w:tcPr>
          <w:tcW w:w="7371" w:type="dxa"/>
          <w:tcMar>
            <w:top w:w="142" w:type="dxa"/>
            <w:bottom w:w="0" w:type="dxa"/>
          </w:tcMar>
        </w:tcPr>
        <w:p w:rsidR="00565457" w:rsidRPr="00487162" w:rsidRDefault="00565457" w:rsidP="00485F60">
          <w:pPr>
            <w:pStyle w:val="Footer"/>
          </w:pPr>
          <w:proofErr w:type="spellStart"/>
          <w:r w:rsidRPr="00487162">
            <w:t>AusPAR</w:t>
          </w:r>
          <w:proofErr w:type="spellEnd"/>
          <w:r w:rsidRPr="00487162">
            <w:t xml:space="preserve"> </w:t>
          </w:r>
          <w:proofErr w:type="spellStart"/>
          <w:r>
            <w:t>Cimzia</w:t>
          </w:r>
          <w:proofErr w:type="spellEnd"/>
          <w:r>
            <w:t xml:space="preserve"> </w:t>
          </w:r>
          <w:r w:rsidRPr="00485F60">
            <w:t xml:space="preserve">UCB Australia Pty Ltd </w:t>
          </w:r>
          <w:r>
            <w:t>PM-2013-00286-2-3</w:t>
          </w:r>
          <w:r w:rsidRPr="00487162">
            <w:t xml:space="preserve"> </w:t>
          </w:r>
          <w:r>
            <w:t>Final 15 August 2014</w:t>
          </w:r>
        </w:p>
      </w:tc>
      <w:tc>
        <w:tcPr>
          <w:tcW w:w="1490" w:type="dxa"/>
          <w:tcMar>
            <w:top w:w="142" w:type="dxa"/>
            <w:bottom w:w="0" w:type="dxa"/>
          </w:tcMar>
        </w:tcPr>
        <w:p w:rsidR="00565457" w:rsidRPr="00487162" w:rsidRDefault="00565457" w:rsidP="00DB750B">
          <w:pPr>
            <w:pStyle w:val="Footer"/>
            <w:jc w:val="right"/>
          </w:pPr>
          <w:r w:rsidRPr="00487162">
            <w:t xml:space="preserve">Page </w:t>
          </w:r>
          <w:r>
            <w:fldChar w:fldCharType="begin"/>
          </w:r>
          <w:r>
            <w:instrText xml:space="preserve"> PAGE  \* Arabic </w:instrText>
          </w:r>
          <w:r>
            <w:fldChar w:fldCharType="separate"/>
          </w:r>
          <w:r w:rsidR="00CF6836">
            <w:rPr>
              <w:noProof/>
            </w:rPr>
            <w:t>58</w:t>
          </w:r>
          <w:r>
            <w:fldChar w:fldCharType="end"/>
          </w:r>
          <w:r w:rsidRPr="00487162">
            <w:t xml:space="preserve"> of </w:t>
          </w:r>
          <w:fldSimple w:instr=" NUMPAGES  \* Arabic ">
            <w:r w:rsidR="00CF6836">
              <w:rPr>
                <w:noProof/>
              </w:rPr>
              <w:t>60</w:t>
            </w:r>
          </w:fldSimple>
        </w:p>
      </w:tc>
    </w:tr>
  </w:tbl>
  <w:p w:rsidR="00565457" w:rsidRDefault="00565457"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565457" w:rsidRPr="00487162" w:rsidTr="00E45619">
      <w:trPr>
        <w:trHeight w:val="269"/>
      </w:trPr>
      <w:tc>
        <w:tcPr>
          <w:tcW w:w="4519" w:type="dxa"/>
          <w:tcBorders>
            <w:top w:val="single" w:sz="4" w:space="0" w:color="auto"/>
          </w:tcBorders>
          <w:tcMar>
            <w:top w:w="142" w:type="dxa"/>
            <w:bottom w:w="0" w:type="dxa"/>
          </w:tcMar>
        </w:tcPr>
        <w:p w:rsidR="00565457" w:rsidRPr="00487162" w:rsidRDefault="00565457" w:rsidP="00FE1DEE">
          <w:pPr>
            <w:pStyle w:val="Footer"/>
          </w:pPr>
          <w:r w:rsidRPr="00487162">
            <w:t>Document title, Part #, Section # - Section title</w:t>
          </w:r>
        </w:p>
        <w:p w:rsidR="00565457" w:rsidRPr="00487162" w:rsidRDefault="00565457" w:rsidP="00FE1DEE">
          <w:pPr>
            <w:pStyle w:val="Footer"/>
          </w:pPr>
          <w:r w:rsidRPr="00487162">
            <w:t>V1.0 October 2010</w:t>
          </w:r>
        </w:p>
      </w:tc>
      <w:tc>
        <w:tcPr>
          <w:tcW w:w="4342" w:type="dxa"/>
          <w:tcBorders>
            <w:top w:val="single" w:sz="4" w:space="0" w:color="auto"/>
          </w:tcBorders>
          <w:tcMar>
            <w:top w:w="142" w:type="dxa"/>
            <w:bottom w:w="0" w:type="dxa"/>
          </w:tcMar>
        </w:tcPr>
        <w:p w:rsidR="00565457" w:rsidRPr="00487162" w:rsidRDefault="00565457"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15</w:t>
            </w:r>
          </w:fldSimple>
        </w:p>
      </w:tc>
    </w:tr>
  </w:tbl>
  <w:p w:rsidR="00565457" w:rsidRDefault="005654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457" w:rsidRPr="001C32CD" w:rsidRDefault="00565457"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565457" w:rsidTr="0010601F">
      <w:trPr>
        <w:trHeight w:val="108"/>
      </w:trPr>
      <w:tc>
        <w:tcPr>
          <w:tcW w:w="8875" w:type="dxa"/>
          <w:gridSpan w:val="2"/>
          <w:tcBorders>
            <w:bottom w:val="single" w:sz="4" w:space="0" w:color="auto"/>
          </w:tcBorders>
          <w:tcMar>
            <w:right w:w="284" w:type="dxa"/>
          </w:tcMar>
        </w:tcPr>
        <w:p w:rsidR="00565457" w:rsidRDefault="00565457" w:rsidP="006E08B3">
          <w:pPr>
            <w:pStyle w:val="Heading3"/>
          </w:pPr>
          <w:r>
            <w:t>Copyright</w:t>
          </w:r>
        </w:p>
        <w:p w:rsidR="00565457" w:rsidRDefault="00565457" w:rsidP="006E08B3">
          <w:r>
            <w:rPr>
              <w:rFonts w:cs="Arial"/>
            </w:rPr>
            <w:t>©</w:t>
          </w:r>
          <w:r>
            <w:t xml:space="preserve"> Commonwealth of Australia [add year]</w:t>
          </w:r>
        </w:p>
        <w:p w:rsidR="00565457" w:rsidRDefault="00565457" w:rsidP="006E08B3"/>
        <w:p w:rsidR="00565457" w:rsidRDefault="00565457"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565457" w:rsidRDefault="00565457" w:rsidP="006E08B3"/>
        <w:p w:rsidR="00565457" w:rsidRDefault="00565457" w:rsidP="006E08B3">
          <w:pPr>
            <w:pStyle w:val="Heading3"/>
          </w:pPr>
          <w:r>
            <w:t>Confidentiality</w:t>
          </w:r>
        </w:p>
        <w:p w:rsidR="00565457" w:rsidRDefault="00565457"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565457" w:rsidRDefault="00565457" w:rsidP="006E08B3"/>
        <w:p w:rsidR="00565457" w:rsidRDefault="00565457" w:rsidP="006E08B3">
          <w:r>
            <w:t>For submission made by individuals, all personal details, other than your name, will be removed from your submission before it is published on the TGA’s Internet site.</w:t>
          </w:r>
        </w:p>
        <w:p w:rsidR="00565457" w:rsidRDefault="00565457" w:rsidP="006E08B3"/>
        <w:p w:rsidR="00565457" w:rsidRDefault="00565457"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565457" w:rsidTr="0010601F">
      <w:trPr>
        <w:trHeight w:val="417"/>
      </w:trPr>
      <w:tc>
        <w:tcPr>
          <w:tcW w:w="4519" w:type="dxa"/>
          <w:tcBorders>
            <w:top w:val="single" w:sz="4" w:space="0" w:color="auto"/>
          </w:tcBorders>
          <w:tcMar>
            <w:top w:w="142" w:type="dxa"/>
            <w:bottom w:w="0" w:type="dxa"/>
          </w:tcMar>
        </w:tcPr>
        <w:p w:rsidR="00565457" w:rsidRDefault="00565457" w:rsidP="006E08B3">
          <w:r>
            <w:t>Document title, Part #, Section # - Section title</w:t>
          </w:r>
        </w:p>
        <w:p w:rsidR="00565457" w:rsidRDefault="00565457" w:rsidP="006E08B3">
          <w:r>
            <w:t>V1.0 October 2010</w:t>
          </w:r>
        </w:p>
      </w:tc>
      <w:tc>
        <w:tcPr>
          <w:tcW w:w="4356" w:type="dxa"/>
          <w:tcBorders>
            <w:top w:val="single" w:sz="4" w:space="0" w:color="auto"/>
          </w:tcBorders>
          <w:tcMar>
            <w:top w:w="142" w:type="dxa"/>
            <w:bottom w:w="0" w:type="dxa"/>
          </w:tcMar>
        </w:tcPr>
        <w:p w:rsidR="00565457" w:rsidRDefault="00565457"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15</w:t>
            </w:r>
          </w:fldSimple>
          <w:r>
            <w:t xml:space="preserve"> </w:t>
          </w:r>
        </w:p>
      </w:tc>
    </w:tr>
  </w:tbl>
  <w:p w:rsidR="00565457" w:rsidRDefault="0056545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457" w:rsidRDefault="00565457" w:rsidP="00C40A36">
      <w:pPr>
        <w:spacing w:after="0"/>
      </w:pPr>
      <w:r>
        <w:separator/>
      </w:r>
    </w:p>
  </w:footnote>
  <w:footnote w:type="continuationSeparator" w:id="0">
    <w:p w:rsidR="00565457" w:rsidRDefault="00565457" w:rsidP="00C40A36">
      <w:pPr>
        <w:spacing w:after="0"/>
      </w:pPr>
      <w:r>
        <w:continuationSeparator/>
      </w:r>
    </w:p>
  </w:footnote>
  <w:footnote w:id="1">
    <w:p w:rsidR="00565457" w:rsidRDefault="00565457">
      <w:pPr>
        <w:pStyle w:val="FootnoteText"/>
      </w:pPr>
      <w:r>
        <w:rPr>
          <w:rStyle w:val="FootnoteReference"/>
        </w:rPr>
        <w:footnoteRef/>
      </w:r>
      <w:r>
        <w:t xml:space="preserve"> </w:t>
      </w:r>
      <w:r w:rsidRPr="00D112DA">
        <w:t xml:space="preserve">Han C, </w:t>
      </w:r>
      <w:r>
        <w:t xml:space="preserve">et al. (2006) </w:t>
      </w:r>
      <w:proofErr w:type="gramStart"/>
      <w:r w:rsidRPr="00D112DA">
        <w:t>Cardiovascular</w:t>
      </w:r>
      <w:proofErr w:type="gramEnd"/>
      <w:r w:rsidRPr="00D112DA">
        <w:t xml:space="preserve"> disease and risk factors in patients with rheumatoid arthritis, psoriatic arthritis, and </w:t>
      </w:r>
      <w:proofErr w:type="spellStart"/>
      <w:r w:rsidRPr="00D112DA">
        <w:t>ankylosing</w:t>
      </w:r>
      <w:proofErr w:type="spellEnd"/>
      <w:r w:rsidRPr="00D112DA">
        <w:t xml:space="preserve"> spondylitis. </w:t>
      </w:r>
      <w:proofErr w:type="gramStart"/>
      <w:r w:rsidRPr="00B95429">
        <w:rPr>
          <w:i/>
        </w:rPr>
        <w:t xml:space="preserve">J </w:t>
      </w:r>
      <w:proofErr w:type="spellStart"/>
      <w:r w:rsidRPr="00B95429">
        <w:rPr>
          <w:i/>
        </w:rPr>
        <w:t>Rheumatol</w:t>
      </w:r>
      <w:proofErr w:type="spellEnd"/>
      <w:r w:rsidRPr="00B95429">
        <w:rPr>
          <w:i/>
        </w:rPr>
        <w:t>.</w:t>
      </w:r>
      <w:proofErr w:type="gramEnd"/>
      <w:r>
        <w:t xml:space="preserve"> 33</w:t>
      </w:r>
      <w:r w:rsidRPr="00D112DA">
        <w:t>:</w:t>
      </w:r>
      <w:r>
        <w:t xml:space="preserve"> </w:t>
      </w:r>
      <w:r w:rsidRPr="00D112DA">
        <w:t>2167-</w:t>
      </w:r>
      <w:r>
        <w:t>21</w:t>
      </w:r>
      <w:r w:rsidRPr="00D112DA">
        <w:t>72</w:t>
      </w:r>
      <w:r>
        <w:t>.</w:t>
      </w:r>
    </w:p>
  </w:footnote>
  <w:footnote w:id="2">
    <w:p w:rsidR="00565457" w:rsidRDefault="00565457">
      <w:pPr>
        <w:pStyle w:val="FootnoteText"/>
      </w:pPr>
      <w:r>
        <w:rPr>
          <w:rStyle w:val="FootnoteReference"/>
        </w:rPr>
        <w:footnoteRef/>
      </w:r>
      <w:r>
        <w:t xml:space="preserve"> Further discussion of the evaluator’s statement can be found in the sponsor’s response.</w:t>
      </w:r>
    </w:p>
  </w:footnote>
  <w:footnote w:id="3">
    <w:p w:rsidR="00565457" w:rsidRDefault="00565457">
      <w:pPr>
        <w:pStyle w:val="FootnoteText"/>
      </w:pPr>
      <w:r>
        <w:rPr>
          <w:rStyle w:val="FootnoteReference"/>
        </w:rPr>
        <w:footnoteRef/>
      </w:r>
      <w:r>
        <w:t xml:space="preserve"> The reconciliation of issues outlined above is discussed in Table 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457" w:rsidRDefault="00565457"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457" w:rsidRDefault="00565457">
    <w:pPr>
      <w:rPr>
        <w:noProof/>
        <w:lang w:eastAsia="en-AU"/>
      </w:rPr>
    </w:pPr>
    <w:r w:rsidRPr="00347824">
      <w:rPr>
        <w:noProof/>
        <w:lang w:eastAsia="en-AU"/>
      </w:rPr>
      <w:drawing>
        <wp:anchor distT="0" distB="0" distL="114300" distR="114300" simplePos="0" relativeHeight="251658240" behindDoc="1" locked="0" layoutInCell="1" allowOverlap="1" wp14:anchorId="4176ADCE" wp14:editId="00F69E1E">
          <wp:simplePos x="0" y="0"/>
          <wp:positionH relativeFrom="column">
            <wp:posOffset>-1089660</wp:posOffset>
          </wp:positionH>
          <wp:positionV relativeFrom="paragraph">
            <wp:posOffset>-585470</wp:posOffset>
          </wp:positionV>
          <wp:extent cx="7572375" cy="10706100"/>
          <wp:effectExtent l="19050" t="0" r="0" b="0"/>
          <wp:wrapNone/>
          <wp:docPr id="4"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565457" w:rsidRDefault="00565457" w:rsidP="00593AD1">
    <w:pPr>
      <w:pStyle w:val="HeaderNoLine"/>
    </w:pPr>
    <w:r>
      <w:rPr>
        <w:noProof/>
        <w:lang w:eastAsia="en-AU"/>
      </w:rPr>
      <w:drawing>
        <wp:inline distT="0" distB="0" distL="0" distR="0" wp14:anchorId="101C960E" wp14:editId="33B5508F">
          <wp:extent cx="5394960" cy="7635240"/>
          <wp:effectExtent l="0" t="0" r="0" b="3810"/>
          <wp:docPr id="1" name="Picture 1"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4960" cy="763524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457" w:rsidRDefault="0056545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457" w:rsidRDefault="00565457">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457" w:rsidRDefault="00565457">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457" w:rsidRDefault="0056545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457" w:rsidRDefault="00565457"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457" w:rsidRDefault="00565457" w:rsidP="006E08B3">
    <w:r>
      <w:t>Therapeutic Goods Administration</w:t>
    </w:r>
  </w:p>
  <w:p w:rsidR="00565457" w:rsidRDefault="00565457"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87304"/>
    <w:multiLevelType w:val="multilevel"/>
    <w:tmpl w:val="41DAD6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
    <w:nsid w:val="18873A4F"/>
    <w:multiLevelType w:val="hybridMultilevel"/>
    <w:tmpl w:val="4C5AA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226F47BE"/>
    <w:multiLevelType w:val="hybridMultilevel"/>
    <w:tmpl w:val="7A58EA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246D1EA1"/>
    <w:multiLevelType w:val="hybridMultilevel"/>
    <w:tmpl w:val="D1D67504"/>
    <w:lvl w:ilvl="0" w:tplc="33A21C06">
      <w:numFmt w:val="bullet"/>
      <w:lvlText w:val="-"/>
      <w:lvlJc w:val="left"/>
      <w:pPr>
        <w:ind w:left="720" w:hanging="360"/>
      </w:pPr>
      <w:rPr>
        <w:rFonts w:ascii="SymbolMT" w:eastAsia="SymbolMT" w:hAnsi="TimesNewRomanPS-BoldMT" w:cs="SymbolMT"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61A38E6"/>
    <w:multiLevelType w:val="hybridMultilevel"/>
    <w:tmpl w:val="0A20E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7E444C"/>
    <w:multiLevelType w:val="hybridMultilevel"/>
    <w:tmpl w:val="AB58FD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2"/>
  </w:num>
  <w:num w:numId="4">
    <w:abstractNumId w:val="1"/>
  </w:num>
  <w:num w:numId="5">
    <w:abstractNumId w:val="7"/>
  </w:num>
  <w:num w:numId="6">
    <w:abstractNumId w:val="4"/>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linkToQuery/>
    <w:dataType w:val="native"/>
    <w:connectString w:val="Provider=Microsoft.ACE.OLEDB.12.0;User ID=Admin;Data Source=C:\Users\rossve\Desktop\297 ACPM item SPREADSHEET.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Item 2 and 3$'`"/>
    <w:viewMergedData/>
    <w:activeRecord w:val="9"/>
    <w:odso>
      <w:udl w:val="Provider=Microsoft.ACE.OLEDB.12.0;User ID=Admin;Data Source=C:\Users\rossve\Desktop\297 ACPM item SPREADSHEET.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Item 2 and 3$'"/>
      <w:src r:id="rId2"/>
      <w:colDelim w:val="9"/>
      <w:type w:val="database"/>
      <w:fHdr/>
      <w:fieldMapData>
        <w:column w:val="0"/>
        <w:lid w:val="en-GB"/>
      </w:fieldMapData>
      <w:fieldMapData>
        <w:column w:val="0"/>
        <w:lid w:val="en-GB"/>
      </w:fieldMapData>
      <w:fieldMapData>
        <w:type w:val="dbColumn"/>
        <w:name w:val="First Name"/>
        <w:mappedName w:val="First Name"/>
        <w:column w:val="29"/>
        <w:lid w:val="en-GB"/>
      </w:fieldMapData>
      <w:fieldMapData>
        <w:column w:val="0"/>
        <w:lid w:val="en-GB"/>
      </w:fieldMapData>
      <w:fieldMapData>
        <w:type w:val="dbColumn"/>
        <w:name w:val="Last Name"/>
        <w:mappedName w:val="Last Name"/>
        <w:column w:val="30"/>
        <w:lid w:val="en-GB"/>
      </w:fieldMapData>
      <w:fieldMapData>
        <w:column w:val="0"/>
        <w:lid w:val="en-GB"/>
      </w:fieldMapData>
      <w:fieldMapData>
        <w:column w:val="0"/>
        <w:lid w:val="en-GB"/>
      </w:fieldMapData>
      <w:fieldMapData>
        <w:column w:val="0"/>
        <w:lid w:val="en-GB"/>
      </w:fieldMapData>
      <w:fieldMapData>
        <w:type w:val="dbColumn"/>
        <w:name w:val="Company name"/>
        <w:mappedName w:val="Company"/>
        <w:column w:val="32"/>
        <w:lid w:val="en-GB"/>
      </w:fieldMapData>
      <w:fieldMapData>
        <w:type w:val="dbColumn"/>
        <w:name w:val="Address1"/>
        <w:mappedName w:val="Address 1"/>
        <w:column w:val="33"/>
        <w:lid w:val="en-GB"/>
      </w:fieldMapData>
      <w:fieldMapData>
        <w:type w:val="dbColumn"/>
        <w:name w:val="Address2"/>
        <w:mappedName w:val="Address 2"/>
        <w:column w:val="34"/>
        <w:lid w:val="en-GB"/>
      </w:fieldMapData>
      <w:fieldMapData>
        <w:type w:val="dbColumn"/>
        <w:name w:val="City"/>
        <w:mappedName w:val="City"/>
        <w:column w:val="35"/>
        <w:lid w:val="en-GB"/>
      </w:fieldMapData>
      <w:fieldMapData>
        <w:type w:val="dbColumn"/>
        <w:name w:val="State"/>
        <w:mappedName w:val="State"/>
        <w:column w:val="36"/>
        <w:lid w:val="en-GB"/>
      </w:fieldMapData>
      <w:fieldMapData>
        <w:type w:val="dbColumn"/>
        <w:name w:val="Postcode"/>
        <w:mappedName w:val="Postal Code"/>
        <w:column w:val="37"/>
        <w:lid w:val="en-GB"/>
      </w:fieldMapData>
      <w:fieldMapData>
        <w:column w:val="0"/>
        <w:lid w:val="en-GB"/>
      </w:fieldMapData>
      <w:fieldMapData>
        <w:type w:val="dbColumn"/>
        <w:name w:val="Phone"/>
        <w:mappedName w:val="Business Phone"/>
        <w:column w:val="39"/>
        <w:lid w:val="en-GB"/>
      </w:fieldMapData>
      <w:fieldMapData>
        <w:type w:val="dbColumn"/>
        <w:name w:val="Fax"/>
        <w:mappedName w:val="Business Fax"/>
        <w:column w:val="38"/>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odso>
  </w:mailMerge>
  <w:revisionView w:markup="0"/>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3C9"/>
    <w:rsid w:val="00002031"/>
    <w:rsid w:val="00004734"/>
    <w:rsid w:val="00006B22"/>
    <w:rsid w:val="0001276A"/>
    <w:rsid w:val="00017BDE"/>
    <w:rsid w:val="000246AE"/>
    <w:rsid w:val="00025C67"/>
    <w:rsid w:val="00044772"/>
    <w:rsid w:val="00045E8A"/>
    <w:rsid w:val="00050D03"/>
    <w:rsid w:val="0005559E"/>
    <w:rsid w:val="000604D6"/>
    <w:rsid w:val="000734D8"/>
    <w:rsid w:val="00077775"/>
    <w:rsid w:val="00090471"/>
    <w:rsid w:val="00091864"/>
    <w:rsid w:val="00096AA7"/>
    <w:rsid w:val="000A00ED"/>
    <w:rsid w:val="000A0867"/>
    <w:rsid w:val="000A3AED"/>
    <w:rsid w:val="000B3532"/>
    <w:rsid w:val="000B3A75"/>
    <w:rsid w:val="000C1AC4"/>
    <w:rsid w:val="000C690F"/>
    <w:rsid w:val="000D1295"/>
    <w:rsid w:val="000D1C90"/>
    <w:rsid w:val="000D2396"/>
    <w:rsid w:val="000D391B"/>
    <w:rsid w:val="000D3D6D"/>
    <w:rsid w:val="000D4FC7"/>
    <w:rsid w:val="000E2C5C"/>
    <w:rsid w:val="000F4869"/>
    <w:rsid w:val="000F5B42"/>
    <w:rsid w:val="000F6E6F"/>
    <w:rsid w:val="000F780F"/>
    <w:rsid w:val="0010601F"/>
    <w:rsid w:val="0010788A"/>
    <w:rsid w:val="00107A31"/>
    <w:rsid w:val="00110EA5"/>
    <w:rsid w:val="00112147"/>
    <w:rsid w:val="00112F56"/>
    <w:rsid w:val="0011789F"/>
    <w:rsid w:val="00125318"/>
    <w:rsid w:val="0012628D"/>
    <w:rsid w:val="001305A2"/>
    <w:rsid w:val="00133238"/>
    <w:rsid w:val="0014197B"/>
    <w:rsid w:val="00144202"/>
    <w:rsid w:val="001447CD"/>
    <w:rsid w:val="001516B1"/>
    <w:rsid w:val="00154EBB"/>
    <w:rsid w:val="00156316"/>
    <w:rsid w:val="00162D14"/>
    <w:rsid w:val="00165389"/>
    <w:rsid w:val="001742E2"/>
    <w:rsid w:val="0017693F"/>
    <w:rsid w:val="0018110E"/>
    <w:rsid w:val="00181684"/>
    <w:rsid w:val="001843C6"/>
    <w:rsid w:val="001850E0"/>
    <w:rsid w:val="001A20E0"/>
    <w:rsid w:val="001A2158"/>
    <w:rsid w:val="001A525F"/>
    <w:rsid w:val="001A6E36"/>
    <w:rsid w:val="001B09F9"/>
    <w:rsid w:val="001B5C90"/>
    <w:rsid w:val="001B6448"/>
    <w:rsid w:val="001C32CD"/>
    <w:rsid w:val="001D2984"/>
    <w:rsid w:val="001E07CF"/>
    <w:rsid w:val="001E59F1"/>
    <w:rsid w:val="001F0528"/>
    <w:rsid w:val="001F49EB"/>
    <w:rsid w:val="001F6CBA"/>
    <w:rsid w:val="00200966"/>
    <w:rsid w:val="00201D4E"/>
    <w:rsid w:val="002076C9"/>
    <w:rsid w:val="00220B8A"/>
    <w:rsid w:val="002257F3"/>
    <w:rsid w:val="00233456"/>
    <w:rsid w:val="002339A5"/>
    <w:rsid w:val="00240110"/>
    <w:rsid w:val="0024294D"/>
    <w:rsid w:val="00257848"/>
    <w:rsid w:val="0027084A"/>
    <w:rsid w:val="002808C2"/>
    <w:rsid w:val="00286434"/>
    <w:rsid w:val="002866A2"/>
    <w:rsid w:val="00286C59"/>
    <w:rsid w:val="00291957"/>
    <w:rsid w:val="002942D1"/>
    <w:rsid w:val="0029501A"/>
    <w:rsid w:val="002A5613"/>
    <w:rsid w:val="002B1638"/>
    <w:rsid w:val="002B3624"/>
    <w:rsid w:val="002E40B3"/>
    <w:rsid w:val="002E4C9A"/>
    <w:rsid w:val="002E5FE2"/>
    <w:rsid w:val="002F11F8"/>
    <w:rsid w:val="002F3F56"/>
    <w:rsid w:val="002F44B5"/>
    <w:rsid w:val="00302C33"/>
    <w:rsid w:val="00311AC0"/>
    <w:rsid w:val="0032583B"/>
    <w:rsid w:val="00326FE9"/>
    <w:rsid w:val="00327883"/>
    <w:rsid w:val="00335504"/>
    <w:rsid w:val="00347824"/>
    <w:rsid w:val="00350567"/>
    <w:rsid w:val="003521E8"/>
    <w:rsid w:val="00362586"/>
    <w:rsid w:val="00365FFB"/>
    <w:rsid w:val="003728F3"/>
    <w:rsid w:val="003747C1"/>
    <w:rsid w:val="0037496E"/>
    <w:rsid w:val="003763C9"/>
    <w:rsid w:val="0038088A"/>
    <w:rsid w:val="00386150"/>
    <w:rsid w:val="003874CE"/>
    <w:rsid w:val="00390900"/>
    <w:rsid w:val="003A7F6C"/>
    <w:rsid w:val="003B4D60"/>
    <w:rsid w:val="003B7E39"/>
    <w:rsid w:val="003C58DC"/>
    <w:rsid w:val="003D1E62"/>
    <w:rsid w:val="003E125C"/>
    <w:rsid w:val="003E2486"/>
    <w:rsid w:val="003E3208"/>
    <w:rsid w:val="003E7A35"/>
    <w:rsid w:val="003F0B04"/>
    <w:rsid w:val="0040134E"/>
    <w:rsid w:val="00421B87"/>
    <w:rsid w:val="004267C7"/>
    <w:rsid w:val="0042729E"/>
    <w:rsid w:val="004332FB"/>
    <w:rsid w:val="004334C7"/>
    <w:rsid w:val="00440A2D"/>
    <w:rsid w:val="00445828"/>
    <w:rsid w:val="004564A7"/>
    <w:rsid w:val="004617BF"/>
    <w:rsid w:val="00463658"/>
    <w:rsid w:val="00464539"/>
    <w:rsid w:val="004722CC"/>
    <w:rsid w:val="00473CB7"/>
    <w:rsid w:val="00485052"/>
    <w:rsid w:val="00485F60"/>
    <w:rsid w:val="004934BC"/>
    <w:rsid w:val="004936E4"/>
    <w:rsid w:val="00494E60"/>
    <w:rsid w:val="00497487"/>
    <w:rsid w:val="004B7B76"/>
    <w:rsid w:val="004C239D"/>
    <w:rsid w:val="004C2DCA"/>
    <w:rsid w:val="004F0C4A"/>
    <w:rsid w:val="004F0F38"/>
    <w:rsid w:val="00501921"/>
    <w:rsid w:val="00507563"/>
    <w:rsid w:val="00527AA4"/>
    <w:rsid w:val="00530354"/>
    <w:rsid w:val="0053625B"/>
    <w:rsid w:val="0054078D"/>
    <w:rsid w:val="005434C6"/>
    <w:rsid w:val="00543936"/>
    <w:rsid w:val="00543B39"/>
    <w:rsid w:val="00546154"/>
    <w:rsid w:val="00550096"/>
    <w:rsid w:val="00555280"/>
    <w:rsid w:val="00557FF9"/>
    <w:rsid w:val="00565457"/>
    <w:rsid w:val="00575F03"/>
    <w:rsid w:val="00576378"/>
    <w:rsid w:val="00577130"/>
    <w:rsid w:val="00577945"/>
    <w:rsid w:val="00577E38"/>
    <w:rsid w:val="00585322"/>
    <w:rsid w:val="005857C6"/>
    <w:rsid w:val="00592F6E"/>
    <w:rsid w:val="00593AD1"/>
    <w:rsid w:val="005A1C40"/>
    <w:rsid w:val="005A68B6"/>
    <w:rsid w:val="005C5570"/>
    <w:rsid w:val="005C79A4"/>
    <w:rsid w:val="005D5442"/>
    <w:rsid w:val="005F14A0"/>
    <w:rsid w:val="005F769D"/>
    <w:rsid w:val="00603F32"/>
    <w:rsid w:val="00605AD4"/>
    <w:rsid w:val="00614095"/>
    <w:rsid w:val="00625A6E"/>
    <w:rsid w:val="00632398"/>
    <w:rsid w:val="00640FC3"/>
    <w:rsid w:val="00642020"/>
    <w:rsid w:val="0065337B"/>
    <w:rsid w:val="0065419D"/>
    <w:rsid w:val="006604D8"/>
    <w:rsid w:val="00664A5B"/>
    <w:rsid w:val="006652B8"/>
    <w:rsid w:val="00670500"/>
    <w:rsid w:val="006763D2"/>
    <w:rsid w:val="00680C08"/>
    <w:rsid w:val="006931B1"/>
    <w:rsid w:val="006A15C0"/>
    <w:rsid w:val="006A4C20"/>
    <w:rsid w:val="006C3E1B"/>
    <w:rsid w:val="006C3E2A"/>
    <w:rsid w:val="006C642F"/>
    <w:rsid w:val="006D03E5"/>
    <w:rsid w:val="006D5D3E"/>
    <w:rsid w:val="006E08B3"/>
    <w:rsid w:val="006F17AC"/>
    <w:rsid w:val="006F25B8"/>
    <w:rsid w:val="006F572E"/>
    <w:rsid w:val="007046D6"/>
    <w:rsid w:val="00705DB0"/>
    <w:rsid w:val="00720239"/>
    <w:rsid w:val="00722B57"/>
    <w:rsid w:val="00730F8A"/>
    <w:rsid w:val="0074253D"/>
    <w:rsid w:val="00743FE9"/>
    <w:rsid w:val="0074429B"/>
    <w:rsid w:val="0075281F"/>
    <w:rsid w:val="007615BC"/>
    <w:rsid w:val="00762F05"/>
    <w:rsid w:val="007652FF"/>
    <w:rsid w:val="00770EF1"/>
    <w:rsid w:val="00773EF7"/>
    <w:rsid w:val="00774E1D"/>
    <w:rsid w:val="0077675A"/>
    <w:rsid w:val="00780355"/>
    <w:rsid w:val="00780621"/>
    <w:rsid w:val="007819FD"/>
    <w:rsid w:val="00785721"/>
    <w:rsid w:val="00793A59"/>
    <w:rsid w:val="007A0C0F"/>
    <w:rsid w:val="007B6132"/>
    <w:rsid w:val="007B6E9F"/>
    <w:rsid w:val="007C1216"/>
    <w:rsid w:val="007C1AF7"/>
    <w:rsid w:val="007C7859"/>
    <w:rsid w:val="007D0D7E"/>
    <w:rsid w:val="007D3A08"/>
    <w:rsid w:val="00805D27"/>
    <w:rsid w:val="008104AB"/>
    <w:rsid w:val="00821776"/>
    <w:rsid w:val="008321F5"/>
    <w:rsid w:val="00832369"/>
    <w:rsid w:val="00834660"/>
    <w:rsid w:val="00836BC2"/>
    <w:rsid w:val="0084079A"/>
    <w:rsid w:val="00840AB5"/>
    <w:rsid w:val="0085156D"/>
    <w:rsid w:val="00854C55"/>
    <w:rsid w:val="0085641B"/>
    <w:rsid w:val="00857136"/>
    <w:rsid w:val="00885B11"/>
    <w:rsid w:val="00886D15"/>
    <w:rsid w:val="00887DD8"/>
    <w:rsid w:val="00896018"/>
    <w:rsid w:val="008960DD"/>
    <w:rsid w:val="0089635C"/>
    <w:rsid w:val="008A0BA3"/>
    <w:rsid w:val="008A2B9D"/>
    <w:rsid w:val="008A3BA8"/>
    <w:rsid w:val="008A3D9F"/>
    <w:rsid w:val="008A3FED"/>
    <w:rsid w:val="008A5E0B"/>
    <w:rsid w:val="008A6D59"/>
    <w:rsid w:val="008B4B03"/>
    <w:rsid w:val="008B596F"/>
    <w:rsid w:val="008C159F"/>
    <w:rsid w:val="008C1623"/>
    <w:rsid w:val="008C1850"/>
    <w:rsid w:val="008C51A9"/>
    <w:rsid w:val="008E7846"/>
    <w:rsid w:val="008F1CCC"/>
    <w:rsid w:val="008F2967"/>
    <w:rsid w:val="008F6943"/>
    <w:rsid w:val="00902A21"/>
    <w:rsid w:val="00902D42"/>
    <w:rsid w:val="00906D24"/>
    <w:rsid w:val="0091264B"/>
    <w:rsid w:val="00920330"/>
    <w:rsid w:val="009219D7"/>
    <w:rsid w:val="00922D53"/>
    <w:rsid w:val="00923B70"/>
    <w:rsid w:val="00924482"/>
    <w:rsid w:val="00925909"/>
    <w:rsid w:val="00930237"/>
    <w:rsid w:val="00940A89"/>
    <w:rsid w:val="00946EA5"/>
    <w:rsid w:val="00963C08"/>
    <w:rsid w:val="0098585A"/>
    <w:rsid w:val="00995AB3"/>
    <w:rsid w:val="009A23FE"/>
    <w:rsid w:val="009A4CED"/>
    <w:rsid w:val="009A51A4"/>
    <w:rsid w:val="009A690D"/>
    <w:rsid w:val="009B1D12"/>
    <w:rsid w:val="009B416B"/>
    <w:rsid w:val="009B43ED"/>
    <w:rsid w:val="009C4BD5"/>
    <w:rsid w:val="009D4D99"/>
    <w:rsid w:val="009D7B77"/>
    <w:rsid w:val="009E0BB0"/>
    <w:rsid w:val="009E3FBB"/>
    <w:rsid w:val="00A102E4"/>
    <w:rsid w:val="00A12C42"/>
    <w:rsid w:val="00A14DF7"/>
    <w:rsid w:val="00A1588F"/>
    <w:rsid w:val="00A16208"/>
    <w:rsid w:val="00A21294"/>
    <w:rsid w:val="00A3246D"/>
    <w:rsid w:val="00A36FA7"/>
    <w:rsid w:val="00A44DDB"/>
    <w:rsid w:val="00A475B7"/>
    <w:rsid w:val="00A47AF7"/>
    <w:rsid w:val="00A47C3E"/>
    <w:rsid w:val="00A50226"/>
    <w:rsid w:val="00A60BAD"/>
    <w:rsid w:val="00A84E36"/>
    <w:rsid w:val="00A964D1"/>
    <w:rsid w:val="00AA0ED0"/>
    <w:rsid w:val="00AC2B40"/>
    <w:rsid w:val="00AC2BB2"/>
    <w:rsid w:val="00AC2C3C"/>
    <w:rsid w:val="00AC512D"/>
    <w:rsid w:val="00AD0083"/>
    <w:rsid w:val="00AD3935"/>
    <w:rsid w:val="00AD5F20"/>
    <w:rsid w:val="00AE65EB"/>
    <w:rsid w:val="00AE67A7"/>
    <w:rsid w:val="00AE7D3E"/>
    <w:rsid w:val="00AF1D94"/>
    <w:rsid w:val="00AF60C5"/>
    <w:rsid w:val="00AF6FA2"/>
    <w:rsid w:val="00AF79AC"/>
    <w:rsid w:val="00B009C6"/>
    <w:rsid w:val="00B01548"/>
    <w:rsid w:val="00B01DC8"/>
    <w:rsid w:val="00B01F8A"/>
    <w:rsid w:val="00B02C8C"/>
    <w:rsid w:val="00B21D29"/>
    <w:rsid w:val="00B25034"/>
    <w:rsid w:val="00B310A1"/>
    <w:rsid w:val="00B33588"/>
    <w:rsid w:val="00B33863"/>
    <w:rsid w:val="00B37D17"/>
    <w:rsid w:val="00B4175E"/>
    <w:rsid w:val="00B452CE"/>
    <w:rsid w:val="00B54C25"/>
    <w:rsid w:val="00B702ED"/>
    <w:rsid w:val="00B76B91"/>
    <w:rsid w:val="00B77EB1"/>
    <w:rsid w:val="00B811C6"/>
    <w:rsid w:val="00B855B0"/>
    <w:rsid w:val="00B9198A"/>
    <w:rsid w:val="00B92E08"/>
    <w:rsid w:val="00B95429"/>
    <w:rsid w:val="00BA6B85"/>
    <w:rsid w:val="00BC622A"/>
    <w:rsid w:val="00BE0A78"/>
    <w:rsid w:val="00BE79F0"/>
    <w:rsid w:val="00BF046D"/>
    <w:rsid w:val="00BF1190"/>
    <w:rsid w:val="00BF5D04"/>
    <w:rsid w:val="00C04293"/>
    <w:rsid w:val="00C1164D"/>
    <w:rsid w:val="00C16861"/>
    <w:rsid w:val="00C404A6"/>
    <w:rsid w:val="00C40A36"/>
    <w:rsid w:val="00C44419"/>
    <w:rsid w:val="00C45E7B"/>
    <w:rsid w:val="00C471B1"/>
    <w:rsid w:val="00C6316B"/>
    <w:rsid w:val="00C634A9"/>
    <w:rsid w:val="00C64586"/>
    <w:rsid w:val="00C70D53"/>
    <w:rsid w:val="00C726FD"/>
    <w:rsid w:val="00C73D0B"/>
    <w:rsid w:val="00C7713D"/>
    <w:rsid w:val="00C772FF"/>
    <w:rsid w:val="00C80137"/>
    <w:rsid w:val="00C801AF"/>
    <w:rsid w:val="00C80256"/>
    <w:rsid w:val="00C9747E"/>
    <w:rsid w:val="00CA2104"/>
    <w:rsid w:val="00CA69EF"/>
    <w:rsid w:val="00CB6BC0"/>
    <w:rsid w:val="00CC1B7C"/>
    <w:rsid w:val="00CC727F"/>
    <w:rsid w:val="00CD6CD1"/>
    <w:rsid w:val="00CF15C3"/>
    <w:rsid w:val="00CF2B6F"/>
    <w:rsid w:val="00CF58B6"/>
    <w:rsid w:val="00CF6836"/>
    <w:rsid w:val="00D017ED"/>
    <w:rsid w:val="00D040D3"/>
    <w:rsid w:val="00D04C65"/>
    <w:rsid w:val="00D112DA"/>
    <w:rsid w:val="00D201D2"/>
    <w:rsid w:val="00D224FE"/>
    <w:rsid w:val="00D23139"/>
    <w:rsid w:val="00D42121"/>
    <w:rsid w:val="00D425BB"/>
    <w:rsid w:val="00D56C22"/>
    <w:rsid w:val="00D6493E"/>
    <w:rsid w:val="00D7195D"/>
    <w:rsid w:val="00D7301E"/>
    <w:rsid w:val="00D82792"/>
    <w:rsid w:val="00D83AE1"/>
    <w:rsid w:val="00D855D4"/>
    <w:rsid w:val="00D93466"/>
    <w:rsid w:val="00D9538B"/>
    <w:rsid w:val="00D95A9F"/>
    <w:rsid w:val="00DA1124"/>
    <w:rsid w:val="00DB6124"/>
    <w:rsid w:val="00DB750B"/>
    <w:rsid w:val="00DB75B7"/>
    <w:rsid w:val="00DC6E02"/>
    <w:rsid w:val="00DE02AE"/>
    <w:rsid w:val="00DF1D7F"/>
    <w:rsid w:val="00DF4BE4"/>
    <w:rsid w:val="00E02FB4"/>
    <w:rsid w:val="00E20571"/>
    <w:rsid w:val="00E235F7"/>
    <w:rsid w:val="00E23659"/>
    <w:rsid w:val="00E239D4"/>
    <w:rsid w:val="00E26130"/>
    <w:rsid w:val="00E27B34"/>
    <w:rsid w:val="00E40B22"/>
    <w:rsid w:val="00E45619"/>
    <w:rsid w:val="00E4588F"/>
    <w:rsid w:val="00E46DA3"/>
    <w:rsid w:val="00E51BB1"/>
    <w:rsid w:val="00E624A5"/>
    <w:rsid w:val="00E71870"/>
    <w:rsid w:val="00E7344E"/>
    <w:rsid w:val="00E760E9"/>
    <w:rsid w:val="00E7654E"/>
    <w:rsid w:val="00EB0798"/>
    <w:rsid w:val="00EB40AD"/>
    <w:rsid w:val="00EB586E"/>
    <w:rsid w:val="00EB5FC8"/>
    <w:rsid w:val="00EC66D6"/>
    <w:rsid w:val="00EC7A85"/>
    <w:rsid w:val="00ED3CAD"/>
    <w:rsid w:val="00ED5A41"/>
    <w:rsid w:val="00EE1DE8"/>
    <w:rsid w:val="00F033EC"/>
    <w:rsid w:val="00F04F68"/>
    <w:rsid w:val="00F06E94"/>
    <w:rsid w:val="00F12670"/>
    <w:rsid w:val="00F14B27"/>
    <w:rsid w:val="00F3148D"/>
    <w:rsid w:val="00F325C5"/>
    <w:rsid w:val="00F32FE0"/>
    <w:rsid w:val="00F33163"/>
    <w:rsid w:val="00F35298"/>
    <w:rsid w:val="00F47333"/>
    <w:rsid w:val="00F47E37"/>
    <w:rsid w:val="00F53C07"/>
    <w:rsid w:val="00F54B65"/>
    <w:rsid w:val="00F60DA2"/>
    <w:rsid w:val="00F640B6"/>
    <w:rsid w:val="00F71C2B"/>
    <w:rsid w:val="00F80E40"/>
    <w:rsid w:val="00F83897"/>
    <w:rsid w:val="00F848D9"/>
    <w:rsid w:val="00FA59C6"/>
    <w:rsid w:val="00FA5B82"/>
    <w:rsid w:val="00FA639E"/>
    <w:rsid w:val="00FC25E4"/>
    <w:rsid w:val="00FC4EF7"/>
    <w:rsid w:val="00FD0824"/>
    <w:rsid w:val="00FD119B"/>
    <w:rsid w:val="00FD6FE7"/>
    <w:rsid w:val="00FE1DEE"/>
    <w:rsid w:val="00FF1CB7"/>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CF6836"/>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4"/>
      </w:numPr>
    </w:pPr>
  </w:style>
  <w:style w:type="paragraph" w:customStyle="1" w:styleId="Numberbullet2">
    <w:name w:val="Number bullet 2"/>
    <w:basedOn w:val="ListBullet2"/>
    <w:uiPriority w:val="2"/>
    <w:qFormat/>
    <w:rsid w:val="004C2DCA"/>
    <w:pPr>
      <w:numPr>
        <w:numId w:val="4"/>
      </w:numPr>
    </w:pPr>
  </w:style>
  <w:style w:type="paragraph" w:customStyle="1" w:styleId="Numberbullet3">
    <w:name w:val="Number bullet 3"/>
    <w:basedOn w:val="ListBullet3"/>
    <w:uiPriority w:val="2"/>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semiHidden/>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semiHidden/>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Instructionaltext">
    <w:name w:val="Instructional text"/>
    <w:basedOn w:val="Normal"/>
    <w:link w:val="InstructionaltextChar"/>
    <w:uiPriority w:val="1"/>
    <w:qFormat/>
    <w:rsid w:val="00A44DDB"/>
    <w:rPr>
      <w:i/>
      <w:color w:val="22ABFF" w:themeColor="accent1" w:themeTint="80"/>
      <w:szCs w:val="24"/>
    </w:rPr>
  </w:style>
  <w:style w:type="character" w:customStyle="1" w:styleId="InstructionaltextChar">
    <w:name w:val="Instructional text Char"/>
    <w:basedOn w:val="DefaultParagraphFont"/>
    <w:link w:val="Instructionaltext"/>
    <w:uiPriority w:val="1"/>
    <w:rsid w:val="00AD3935"/>
    <w:rPr>
      <w:rFonts w:ascii="Cambria" w:eastAsia="Cambria" w:hAnsi="Cambria" w:cs="Times New Roman"/>
      <w:i/>
      <w:color w:val="22ABFF" w:themeColor="accent1" w:themeTint="80"/>
      <w:szCs w:val="24"/>
    </w:rPr>
  </w:style>
  <w:style w:type="paragraph" w:styleId="ListParagraph">
    <w:name w:val="List Paragraph"/>
    <w:basedOn w:val="Normal"/>
    <w:uiPriority w:val="34"/>
    <w:qFormat/>
    <w:rsid w:val="00AD5F20"/>
    <w:pPr>
      <w:adjustRightInd w:val="0"/>
      <w:snapToGrid w:val="0"/>
      <w:spacing w:before="180" w:after="180"/>
      <w:ind w:left="720"/>
      <w:contextualSpacing/>
    </w:pPr>
    <w:rPr>
      <w:rFonts w:eastAsia="MS Mincho"/>
      <w:szCs w:val="20"/>
      <w:lang w:eastAsia="ja-JP"/>
    </w:rPr>
  </w:style>
  <w:style w:type="paragraph" w:customStyle="1" w:styleId="Default">
    <w:name w:val="Default"/>
    <w:rsid w:val="00C04293"/>
    <w:pPr>
      <w:autoSpaceDE w:val="0"/>
      <w:autoSpaceDN w:val="0"/>
      <w:adjustRightInd w:val="0"/>
      <w:spacing w:after="0" w:line="240" w:lineRule="auto"/>
    </w:pPr>
    <w:rPr>
      <w:rFonts w:ascii="Times New Roman" w:eastAsia="MS Mincho" w:hAnsi="Times New Roman" w:cs="Times New Roman"/>
      <w:color w:val="000000"/>
      <w:sz w:val="24"/>
      <w:szCs w:val="24"/>
      <w:lang w:eastAsia="en-AU"/>
    </w:rPr>
  </w:style>
  <w:style w:type="character" w:styleId="CommentReference">
    <w:name w:val="annotation reference"/>
    <w:basedOn w:val="DefaultParagraphFont"/>
    <w:uiPriority w:val="99"/>
    <w:semiHidden/>
    <w:unhideWhenUsed/>
    <w:rsid w:val="00FA59C6"/>
    <w:rPr>
      <w:sz w:val="16"/>
      <w:szCs w:val="16"/>
    </w:rPr>
  </w:style>
  <w:style w:type="paragraph" w:styleId="CommentText">
    <w:name w:val="annotation text"/>
    <w:basedOn w:val="Normal"/>
    <w:link w:val="CommentTextChar"/>
    <w:uiPriority w:val="99"/>
    <w:semiHidden/>
    <w:unhideWhenUsed/>
    <w:rsid w:val="00FA59C6"/>
    <w:pPr>
      <w:spacing w:line="240" w:lineRule="auto"/>
    </w:pPr>
    <w:rPr>
      <w:sz w:val="20"/>
      <w:szCs w:val="20"/>
    </w:rPr>
  </w:style>
  <w:style w:type="character" w:customStyle="1" w:styleId="CommentTextChar">
    <w:name w:val="Comment Text Char"/>
    <w:basedOn w:val="DefaultParagraphFont"/>
    <w:link w:val="CommentText"/>
    <w:uiPriority w:val="99"/>
    <w:semiHidden/>
    <w:rsid w:val="00FA59C6"/>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A59C6"/>
    <w:rPr>
      <w:b/>
      <w:bCs/>
    </w:rPr>
  </w:style>
  <w:style w:type="character" w:customStyle="1" w:styleId="CommentSubjectChar">
    <w:name w:val="Comment Subject Char"/>
    <w:basedOn w:val="CommentTextChar"/>
    <w:link w:val="CommentSubject"/>
    <w:uiPriority w:val="99"/>
    <w:semiHidden/>
    <w:rsid w:val="00FA59C6"/>
    <w:rPr>
      <w:rFonts w:ascii="Cambria" w:eastAsia="Cambria" w:hAnsi="Cambria" w:cs="Times New Roman"/>
      <w:b/>
      <w:bCs/>
      <w:sz w:val="20"/>
      <w:szCs w:val="20"/>
    </w:rPr>
  </w:style>
  <w:style w:type="paragraph" w:customStyle="1" w:styleId="C-BodyText">
    <w:name w:val="C-Body Text"/>
    <w:rsid w:val="00902D42"/>
    <w:pPr>
      <w:spacing w:before="120" w:after="120" w:line="280" w:lineRule="atLeast"/>
    </w:pPr>
    <w:rPr>
      <w:rFonts w:ascii="Times New Roman" w:eastAsia="Times New Roman" w:hAnsi="Times New Roman" w:cs="Times New Roman"/>
      <w:sz w:val="24"/>
      <w:szCs w:val="20"/>
      <w:lang w:val="en-US"/>
    </w:rPr>
  </w:style>
  <w:style w:type="paragraph" w:customStyle="1" w:styleId="C-TableHeader">
    <w:name w:val="C-Table Header"/>
    <w:next w:val="C-TableText"/>
    <w:rsid w:val="00902D42"/>
    <w:pPr>
      <w:keepNext/>
      <w:spacing w:before="60" w:after="60" w:line="240" w:lineRule="auto"/>
    </w:pPr>
    <w:rPr>
      <w:rFonts w:ascii="Times New Roman" w:eastAsia="Times New Roman" w:hAnsi="Times New Roman" w:cs="Times New Roman"/>
      <w:b/>
      <w:szCs w:val="20"/>
      <w:lang w:val="en-US"/>
    </w:rPr>
  </w:style>
  <w:style w:type="paragraph" w:customStyle="1" w:styleId="C-TableText">
    <w:name w:val="C-Table Text"/>
    <w:rsid w:val="00902D42"/>
    <w:pPr>
      <w:spacing w:before="60" w:after="60" w:line="240" w:lineRule="auto"/>
    </w:pPr>
    <w:rPr>
      <w:rFonts w:ascii="Times New Roman" w:eastAsia="Times New Roman" w:hAnsi="Times New Roman" w:cs="Times New Roman"/>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List Bullet" w:semiHidden="0" w:unhideWhenUsed="0" w:qFormat="1"/>
    <w:lsdException w:name="List Bullet 2" w:semiHidden="0" w:unhideWhenUsed="0" w:qFormat="1"/>
    <w:lsdException w:name="List Bullet 3"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CF6836"/>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AD0083"/>
    <w:pPr>
      <w:keepNext/>
      <w:spacing w:after="60" w:line="180" w:lineRule="atLeast"/>
      <w:outlineLvl w:val="6"/>
    </w:pPr>
    <w:rPr>
      <w:rFonts w:eastAsia="Times New Roman"/>
      <w:bCs/>
      <w:sz w:val="1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paragraph" w:customStyle="1" w:styleId="FlowChartWhiteHeading">
    <w:name w:val="Flow Chart White Heading"/>
    <w:basedOn w:val="Normal"/>
    <w:rsid w:val="00F3148D"/>
    <w:pPr>
      <w:spacing w:after="0"/>
      <w:jc w:val="center"/>
    </w:pPr>
    <w:rPr>
      <w:b/>
      <w:color w:val="FFFFFF"/>
    </w:rPr>
  </w:style>
  <w:style w:type="paragraph" w:customStyle="1" w:styleId="FlowChartBlackHeading">
    <w:name w:val="Flow Chart Black Heading"/>
    <w:basedOn w:val="FlowChartWhiteHeading"/>
    <w:rsid w:val="00F3148D"/>
    <w:rPr>
      <w:color w:val="auto"/>
    </w:rPr>
  </w:style>
  <w:style w:type="paragraph" w:customStyle="1" w:styleId="FlowChartWhiteText">
    <w:name w:val="Flow Chart White Text"/>
    <w:basedOn w:val="Normal"/>
    <w:rsid w:val="00F3148D"/>
    <w:pPr>
      <w:spacing w:after="0"/>
      <w:jc w:val="center"/>
    </w:pPr>
    <w:rPr>
      <w:color w:val="FFFFFF"/>
    </w:rPr>
  </w:style>
  <w:style w:type="paragraph" w:customStyle="1" w:styleId="FlowchartText">
    <w:name w:val="Flowchart Text"/>
    <w:basedOn w:val="Normal"/>
    <w:rsid w:val="00F3148D"/>
    <w:pPr>
      <w:jc w:val="center"/>
    </w:p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AD0083"/>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4"/>
      </w:numPr>
    </w:pPr>
  </w:style>
  <w:style w:type="paragraph" w:customStyle="1" w:styleId="Numberbullet2">
    <w:name w:val="Number bullet 2"/>
    <w:basedOn w:val="ListBullet2"/>
    <w:uiPriority w:val="2"/>
    <w:qFormat/>
    <w:rsid w:val="004C2DCA"/>
    <w:pPr>
      <w:numPr>
        <w:numId w:val="4"/>
      </w:numPr>
    </w:pPr>
  </w:style>
  <w:style w:type="paragraph" w:customStyle="1" w:styleId="Numberbullet3">
    <w:name w:val="Number bullet 3"/>
    <w:basedOn w:val="ListBullet3"/>
    <w:uiPriority w:val="2"/>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semiHidden/>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semiHidden/>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Instructionaltext">
    <w:name w:val="Instructional text"/>
    <w:basedOn w:val="Normal"/>
    <w:link w:val="InstructionaltextChar"/>
    <w:uiPriority w:val="1"/>
    <w:qFormat/>
    <w:rsid w:val="00A44DDB"/>
    <w:rPr>
      <w:i/>
      <w:color w:val="22ABFF" w:themeColor="accent1" w:themeTint="80"/>
      <w:szCs w:val="24"/>
    </w:rPr>
  </w:style>
  <w:style w:type="character" w:customStyle="1" w:styleId="InstructionaltextChar">
    <w:name w:val="Instructional text Char"/>
    <w:basedOn w:val="DefaultParagraphFont"/>
    <w:link w:val="Instructionaltext"/>
    <w:uiPriority w:val="1"/>
    <w:rsid w:val="00AD3935"/>
    <w:rPr>
      <w:rFonts w:ascii="Cambria" w:eastAsia="Cambria" w:hAnsi="Cambria" w:cs="Times New Roman"/>
      <w:i/>
      <w:color w:val="22ABFF" w:themeColor="accent1" w:themeTint="80"/>
      <w:szCs w:val="24"/>
    </w:rPr>
  </w:style>
  <w:style w:type="paragraph" w:styleId="ListParagraph">
    <w:name w:val="List Paragraph"/>
    <w:basedOn w:val="Normal"/>
    <w:uiPriority w:val="34"/>
    <w:qFormat/>
    <w:rsid w:val="00AD5F20"/>
    <w:pPr>
      <w:adjustRightInd w:val="0"/>
      <w:snapToGrid w:val="0"/>
      <w:spacing w:before="180" w:after="180"/>
      <w:ind w:left="720"/>
      <w:contextualSpacing/>
    </w:pPr>
    <w:rPr>
      <w:rFonts w:eastAsia="MS Mincho"/>
      <w:szCs w:val="20"/>
      <w:lang w:eastAsia="ja-JP"/>
    </w:rPr>
  </w:style>
  <w:style w:type="paragraph" w:customStyle="1" w:styleId="Default">
    <w:name w:val="Default"/>
    <w:rsid w:val="00C04293"/>
    <w:pPr>
      <w:autoSpaceDE w:val="0"/>
      <w:autoSpaceDN w:val="0"/>
      <w:adjustRightInd w:val="0"/>
      <w:spacing w:after="0" w:line="240" w:lineRule="auto"/>
    </w:pPr>
    <w:rPr>
      <w:rFonts w:ascii="Times New Roman" w:eastAsia="MS Mincho" w:hAnsi="Times New Roman" w:cs="Times New Roman"/>
      <w:color w:val="000000"/>
      <w:sz w:val="24"/>
      <w:szCs w:val="24"/>
      <w:lang w:eastAsia="en-AU"/>
    </w:rPr>
  </w:style>
  <w:style w:type="character" w:styleId="CommentReference">
    <w:name w:val="annotation reference"/>
    <w:basedOn w:val="DefaultParagraphFont"/>
    <w:uiPriority w:val="99"/>
    <w:semiHidden/>
    <w:unhideWhenUsed/>
    <w:rsid w:val="00FA59C6"/>
    <w:rPr>
      <w:sz w:val="16"/>
      <w:szCs w:val="16"/>
    </w:rPr>
  </w:style>
  <w:style w:type="paragraph" w:styleId="CommentText">
    <w:name w:val="annotation text"/>
    <w:basedOn w:val="Normal"/>
    <w:link w:val="CommentTextChar"/>
    <w:uiPriority w:val="99"/>
    <w:semiHidden/>
    <w:unhideWhenUsed/>
    <w:rsid w:val="00FA59C6"/>
    <w:pPr>
      <w:spacing w:line="240" w:lineRule="auto"/>
    </w:pPr>
    <w:rPr>
      <w:sz w:val="20"/>
      <w:szCs w:val="20"/>
    </w:rPr>
  </w:style>
  <w:style w:type="character" w:customStyle="1" w:styleId="CommentTextChar">
    <w:name w:val="Comment Text Char"/>
    <w:basedOn w:val="DefaultParagraphFont"/>
    <w:link w:val="CommentText"/>
    <w:uiPriority w:val="99"/>
    <w:semiHidden/>
    <w:rsid w:val="00FA59C6"/>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A59C6"/>
    <w:rPr>
      <w:b/>
      <w:bCs/>
    </w:rPr>
  </w:style>
  <w:style w:type="character" w:customStyle="1" w:styleId="CommentSubjectChar">
    <w:name w:val="Comment Subject Char"/>
    <w:basedOn w:val="CommentTextChar"/>
    <w:link w:val="CommentSubject"/>
    <w:uiPriority w:val="99"/>
    <w:semiHidden/>
    <w:rsid w:val="00FA59C6"/>
    <w:rPr>
      <w:rFonts w:ascii="Cambria" w:eastAsia="Cambria" w:hAnsi="Cambria" w:cs="Times New Roman"/>
      <w:b/>
      <w:bCs/>
      <w:sz w:val="20"/>
      <w:szCs w:val="20"/>
    </w:rPr>
  </w:style>
  <w:style w:type="paragraph" w:customStyle="1" w:styleId="C-BodyText">
    <w:name w:val="C-Body Text"/>
    <w:rsid w:val="00902D42"/>
    <w:pPr>
      <w:spacing w:before="120" w:after="120" w:line="280" w:lineRule="atLeast"/>
    </w:pPr>
    <w:rPr>
      <w:rFonts w:ascii="Times New Roman" w:eastAsia="Times New Roman" w:hAnsi="Times New Roman" w:cs="Times New Roman"/>
      <w:sz w:val="24"/>
      <w:szCs w:val="20"/>
      <w:lang w:val="en-US"/>
    </w:rPr>
  </w:style>
  <w:style w:type="paragraph" w:customStyle="1" w:styleId="C-TableHeader">
    <w:name w:val="C-Table Header"/>
    <w:next w:val="C-TableText"/>
    <w:rsid w:val="00902D42"/>
    <w:pPr>
      <w:keepNext/>
      <w:spacing w:before="60" w:after="60" w:line="240" w:lineRule="auto"/>
    </w:pPr>
    <w:rPr>
      <w:rFonts w:ascii="Times New Roman" w:eastAsia="Times New Roman" w:hAnsi="Times New Roman" w:cs="Times New Roman"/>
      <w:b/>
      <w:szCs w:val="20"/>
      <w:lang w:val="en-US"/>
    </w:rPr>
  </w:style>
  <w:style w:type="paragraph" w:customStyle="1" w:styleId="C-TableText">
    <w:name w:val="C-Table Text"/>
    <w:rsid w:val="00902D42"/>
    <w:pPr>
      <w:spacing w:before="60" w:after="60" w:line="240" w:lineRule="auto"/>
    </w:pPr>
    <w:rPr>
      <w:rFonts w:ascii="Times New Roman" w:eastAsia="Times New Roman" w:hAnsi="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6.em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header" Target="header5.xml"/><Relationship Id="rId33"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JP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header" Target="header3.xml"/><Relationship Id="rId28" Type="http://schemas.openxmlformats.org/officeDocument/2006/relationships/hyperlink" Target="http://www.tga.gov.au" TargetMode="External"/><Relationship Id="rId10" Type="http://schemas.openxmlformats.org/officeDocument/2006/relationships/hyperlink" Target="mailto:tga.copyright@tga.gov.au" TargetMode="External"/><Relationship Id="rId19" Type="http://schemas.openxmlformats.org/officeDocument/2006/relationships/image" Target="media/image7.emf"/><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tga.gov.au" TargetMode="External"/><Relationship Id="rId14" Type="http://schemas.openxmlformats.org/officeDocument/2006/relationships/hyperlink" Target="http://www.tga.gov.au/hp/information-medicines-pi.htm" TargetMode="External"/><Relationship Id="rId22" Type="http://schemas.openxmlformats.org/officeDocument/2006/relationships/hyperlink" Target="http://www.tga.gov.au/hp/information-medicines-pi.htm" TargetMode="External"/><Relationship Id="rId27" Type="http://schemas.openxmlformats.org/officeDocument/2006/relationships/hyperlink" Target="mailto:info@tga.gov.au" TargetMode="External"/><Relationship Id="rId30" Type="http://schemas.openxmlformats.org/officeDocument/2006/relationships/header" Target="header7.xm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2" Type="http://schemas.openxmlformats.org/officeDocument/2006/relationships/mailMergeSource" Target="file:///C:\Users\degooh\Desktop\296%20ACPM%20item%20SPREADSHEET.XLS" TargetMode="External"/><Relationship Id="rId1" Type="http://schemas.openxmlformats.org/officeDocument/2006/relationships/attachedTemplate" Target="file:///C:\Users\phijes\Desktop\AusPAR%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64988-9EC9-4E16-B058-98792982B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AusPAR template.dotx</Template>
  <TotalTime>60</TotalTime>
  <Pages>60</Pages>
  <Words>22134</Words>
  <Characters>126168</Characters>
  <Application>Microsoft Office Word</Application>
  <DocSecurity>0</DocSecurity>
  <Lines>1051</Lines>
  <Paragraphs>296</Paragraphs>
  <ScaleCrop>false</ScaleCrop>
  <HeadingPairs>
    <vt:vector size="2" baseType="variant">
      <vt:variant>
        <vt:lpstr>Title</vt:lpstr>
      </vt:variant>
      <vt:variant>
        <vt:i4>1</vt:i4>
      </vt:variant>
    </vt:vector>
  </HeadingPairs>
  <TitlesOfParts>
    <vt:vector size="1" baseType="lpstr">
      <vt:lpstr>Australian public assessment report for Certolizumab</vt:lpstr>
    </vt:vector>
  </TitlesOfParts>
  <Company>Department of Health Therapeutic Goods Administration</Company>
  <LinksUpToDate>false</LinksUpToDate>
  <CharactersWithSpaces>148006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Certolizumab</dc:title>
  <dc:subject>prescription medicine regulation</dc:subject>
  <dc:creator>Therapeutic Goods Administration</dc:creator>
  <cp:keywords>auspar, prescription, medicine, assessment, regulation, australia, certolizumab, cimzia, ucb</cp:keywords>
  <cp:lastModifiedBy>Searson, Lisa</cp:lastModifiedBy>
  <cp:revision>3</cp:revision>
  <cp:lastPrinted>2010-12-20T22:59:00Z</cp:lastPrinted>
  <dcterms:created xsi:type="dcterms:W3CDTF">2014-09-26T04:06:00Z</dcterms:created>
  <dcterms:modified xsi:type="dcterms:W3CDTF">2014-09-26T05:13:00Z</dcterms:modified>
  <cp:category>external publication</cp:category>
</cp:coreProperties>
</file>