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07FCA440" w14:textId="77777777" w:rsidTr="00BF1190">
        <w:trPr>
          <w:trHeight w:val="1863"/>
        </w:trPr>
        <w:tc>
          <w:tcPr>
            <w:tcW w:w="3652" w:type="dxa"/>
            <w:tcBorders>
              <w:top w:val="nil"/>
              <w:left w:val="nil"/>
              <w:bottom w:val="nil"/>
              <w:right w:val="nil"/>
            </w:tcBorders>
          </w:tcPr>
          <w:p w14:paraId="2866BA0F" w14:textId="77777777" w:rsidR="008E7846" w:rsidRPr="00096AA7" w:rsidRDefault="00305008" w:rsidP="00096AA7">
            <w:pPr>
              <w:rPr>
                <w:rFonts w:ascii="Arial" w:hAnsi="Arial" w:cs="Arial"/>
                <w:b/>
                <w:color w:val="002C47"/>
                <w:sz w:val="36"/>
                <w:szCs w:val="36"/>
              </w:rPr>
            </w:pPr>
            <w:r>
              <w:rPr>
                <w:rFonts w:ascii="Arial" w:hAnsi="Arial" w:cs="Arial"/>
                <w:b/>
                <w:color w:val="002C47"/>
                <w:sz w:val="36"/>
                <w:szCs w:val="36"/>
              </w:rPr>
              <w:t>November</w:t>
            </w:r>
            <w:r w:rsidR="006712DF">
              <w:rPr>
                <w:rFonts w:ascii="Arial" w:hAnsi="Arial" w:cs="Arial"/>
                <w:b/>
                <w:color w:val="002C47"/>
                <w:sz w:val="36"/>
                <w:szCs w:val="36"/>
              </w:rPr>
              <w:t xml:space="preserve"> 2019</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6607CA40" w14:textId="77777777" w:rsidTr="0032583B">
        <w:trPr>
          <w:trHeight w:val="868"/>
        </w:trPr>
        <w:tc>
          <w:tcPr>
            <w:tcW w:w="9079" w:type="dxa"/>
          </w:tcPr>
          <w:p w14:paraId="0235D3B7" w14:textId="77777777" w:rsidR="0032583B" w:rsidRPr="00A964D1" w:rsidRDefault="0032583B" w:rsidP="006712DF">
            <w:pPr>
              <w:pStyle w:val="Title"/>
              <w:rPr>
                <w:color w:val="FFFFFF" w:themeColor="background1"/>
              </w:rPr>
            </w:pPr>
            <w:r w:rsidRPr="00A964D1">
              <w:rPr>
                <w:color w:val="FFFFFF" w:themeColor="background1"/>
              </w:rPr>
              <w:t xml:space="preserve">Australian Public Assessment Report for </w:t>
            </w:r>
            <w:proofErr w:type="spellStart"/>
            <w:r w:rsidR="006712DF" w:rsidRPr="006712DF">
              <w:rPr>
                <w:color w:val="FFFFFF" w:themeColor="background1"/>
              </w:rPr>
              <w:t>Cenegermin</w:t>
            </w:r>
            <w:proofErr w:type="spellEnd"/>
            <w:r w:rsidR="006712DF" w:rsidRPr="006712DF">
              <w:rPr>
                <w:color w:val="FFFFFF" w:themeColor="background1"/>
              </w:rPr>
              <w:t xml:space="preserve"> (</w:t>
            </w:r>
            <w:proofErr w:type="spellStart"/>
            <w:r w:rsidR="006712DF" w:rsidRPr="006712DF">
              <w:rPr>
                <w:color w:val="FFFFFF" w:themeColor="background1"/>
              </w:rPr>
              <w:t>rbe</w:t>
            </w:r>
            <w:proofErr w:type="spellEnd"/>
            <w:r w:rsidR="006712DF" w:rsidRPr="006712DF">
              <w:rPr>
                <w:color w:val="FFFFFF" w:themeColor="background1"/>
              </w:rPr>
              <w:t>)</w:t>
            </w:r>
          </w:p>
        </w:tc>
      </w:tr>
      <w:tr w:rsidR="0032583B" w:rsidRPr="00B64760" w14:paraId="5DB7EE6E" w14:textId="77777777" w:rsidTr="0032583B">
        <w:tc>
          <w:tcPr>
            <w:tcW w:w="9079" w:type="dxa"/>
          </w:tcPr>
          <w:p w14:paraId="53E6F0FD" w14:textId="77777777" w:rsidR="0032583B" w:rsidRPr="008E7846" w:rsidRDefault="0032583B" w:rsidP="006712DF">
            <w:pPr>
              <w:pStyle w:val="Subtitle"/>
              <w:rPr>
                <w:color w:val="FFFFFF" w:themeColor="background1"/>
              </w:rPr>
            </w:pPr>
            <w:r w:rsidRPr="008E7846">
              <w:rPr>
                <w:color w:val="FFFFFF" w:themeColor="background1"/>
              </w:rPr>
              <w:t xml:space="preserve">Proprietary Product Name: </w:t>
            </w:r>
            <w:r w:rsidR="006712DF">
              <w:rPr>
                <w:color w:val="FFFFFF" w:themeColor="background1"/>
              </w:rPr>
              <w:t>Oxervate</w:t>
            </w:r>
          </w:p>
        </w:tc>
      </w:tr>
      <w:tr w:rsidR="0032583B" w:rsidRPr="00B64760" w14:paraId="40F05063" w14:textId="77777777" w:rsidTr="0032583B">
        <w:trPr>
          <w:trHeight w:val="486"/>
        </w:trPr>
        <w:tc>
          <w:tcPr>
            <w:tcW w:w="9079" w:type="dxa"/>
          </w:tcPr>
          <w:p w14:paraId="7442C79A" w14:textId="77777777" w:rsidR="0032583B" w:rsidRPr="008E7846" w:rsidRDefault="0032583B" w:rsidP="006712DF">
            <w:pPr>
              <w:pStyle w:val="Subtitle"/>
              <w:rPr>
                <w:color w:val="FFFFFF" w:themeColor="background1"/>
              </w:rPr>
            </w:pPr>
            <w:r w:rsidRPr="008E7846">
              <w:rPr>
                <w:color w:val="FFFFFF" w:themeColor="background1"/>
              </w:rPr>
              <w:t xml:space="preserve">Sponsor: </w:t>
            </w:r>
            <w:r w:rsidR="006712DF">
              <w:rPr>
                <w:color w:val="FFFFFF" w:themeColor="background1"/>
              </w:rPr>
              <w:t>JACE Pharma Pty Ltd</w:t>
            </w:r>
          </w:p>
        </w:tc>
      </w:tr>
    </w:tbl>
    <w:p w14:paraId="5E48C01A" w14:textId="77777777" w:rsidR="008E7846" w:rsidRPr="0085156D" w:rsidRDefault="008E7846" w:rsidP="0085156D">
      <w:r w:rsidRPr="0085156D">
        <w:br w:type="page"/>
      </w:r>
    </w:p>
    <w:p w14:paraId="27FE92FE" w14:textId="77777777" w:rsidR="008E7846" w:rsidRPr="001F6CBA" w:rsidRDefault="008E7846" w:rsidP="008E7846">
      <w:pPr>
        <w:pStyle w:val="NonTOCHeading2"/>
      </w:pPr>
      <w:r w:rsidRPr="001F6CBA">
        <w:lastRenderedPageBreak/>
        <w:t>About the Therapeutic Goods Administration (TGA)</w:t>
      </w:r>
    </w:p>
    <w:p w14:paraId="6C59E32D"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4F6D2B6F"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2A28255B"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612DDA57"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371E23FB" w14:textId="77777777"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14:paraId="1A572F00" w14:textId="77777777" w:rsidR="008E7846" w:rsidRDefault="008E7846" w:rsidP="00875A6B">
      <w:pPr>
        <w:pStyle w:val="NonTOCHeading2"/>
      </w:pPr>
      <w:r>
        <w:t>About AusPARs</w:t>
      </w:r>
    </w:p>
    <w:p w14:paraId="1DB2CC2C"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6F4F7E29" w14:textId="77777777" w:rsidR="008E7846" w:rsidRDefault="008E7846" w:rsidP="008E7846">
      <w:pPr>
        <w:pStyle w:val="ListBullet"/>
        <w:numPr>
          <w:ilvl w:val="0"/>
          <w:numId w:val="3"/>
        </w:numPr>
        <w:ind w:left="357" w:hanging="357"/>
      </w:pPr>
      <w:r>
        <w:t>AusPARs are prepared and published by the TGA.</w:t>
      </w:r>
    </w:p>
    <w:p w14:paraId="57A7E45A" w14:textId="77777777"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14:paraId="5EF03B77"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41263E37"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732D92BA" w14:textId="77777777" w:rsidR="00924482" w:rsidRPr="00DF1D7F" w:rsidRDefault="00924482" w:rsidP="00F54B65">
      <w:pPr>
        <w:pStyle w:val="LegalSubheading"/>
        <w:spacing w:before="3120"/>
      </w:pPr>
      <w:r w:rsidRPr="00DF1D7F">
        <w:t>Copyright</w:t>
      </w:r>
    </w:p>
    <w:p w14:paraId="3662E61A" w14:textId="77777777" w:rsidR="00924482" w:rsidRDefault="00924482" w:rsidP="00924482">
      <w:pPr>
        <w:pStyle w:val="LegalCopy"/>
      </w:pPr>
      <w:r w:rsidRPr="00191B3B">
        <w:rPr>
          <w:rFonts w:cs="Arial"/>
          <w:lang w:val="en-GB"/>
        </w:rPr>
        <w:t>© Comm</w:t>
      </w:r>
      <w:r>
        <w:rPr>
          <w:rFonts w:cs="Arial"/>
          <w:lang w:val="en-GB"/>
        </w:rPr>
        <w:t>onwealth of Australia 201</w:t>
      </w:r>
      <w:r w:rsidR="00C52E24">
        <w:rPr>
          <w:rFonts w:cs="Arial"/>
          <w:lang w:val="en-GB"/>
        </w:rPr>
        <w:t>9</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14:paraId="0B224918" w14:textId="77777777" w:rsidR="00924482" w:rsidRDefault="00924482" w:rsidP="00924482">
      <w:pPr>
        <w:pStyle w:val="LegalCopy"/>
        <w:sectPr w:rsidR="00924482" w:rsidSect="003D1E62">
          <w:headerReference w:type="even" r:id="rId10"/>
          <w:headerReference w:type="default" r:id="rId11"/>
          <w:footerReference w:type="even" r:id="rId12"/>
          <w:footerReference w:type="default" r:id="rId13"/>
          <w:headerReference w:type="first" r:id="rId14"/>
          <w:footerReference w:type="first" r:id="rId15"/>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3D5AC26F" w14:textId="77777777" w:rsidR="0089635C" w:rsidRPr="0089635C" w:rsidRDefault="0089635C" w:rsidP="0010788A">
          <w:pPr>
            <w:pStyle w:val="Contents"/>
          </w:pPr>
          <w:r w:rsidRPr="0010788A">
            <w:t>Conte</w:t>
          </w:r>
          <w:bookmarkStart w:id="2" w:name="_GoBack"/>
          <w:bookmarkEnd w:id="2"/>
          <w:r w:rsidRPr="0010788A">
            <w:t>nts</w:t>
          </w:r>
        </w:p>
        <w:p w14:paraId="19AD7AF0" w14:textId="19D860EB" w:rsidR="00597FBE"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27992627" w:history="1">
            <w:r w:rsidR="00597FBE" w:rsidRPr="00064199">
              <w:rPr>
                <w:rStyle w:val="Hyperlink"/>
                <w:noProof/>
              </w:rPr>
              <w:t>Common abbreviations</w:t>
            </w:r>
            <w:r w:rsidR="00597FBE">
              <w:rPr>
                <w:noProof/>
                <w:webHidden/>
              </w:rPr>
              <w:tab/>
            </w:r>
            <w:r w:rsidR="00597FBE">
              <w:rPr>
                <w:noProof/>
                <w:webHidden/>
              </w:rPr>
              <w:fldChar w:fldCharType="begin"/>
            </w:r>
            <w:r w:rsidR="00597FBE">
              <w:rPr>
                <w:noProof/>
                <w:webHidden/>
              </w:rPr>
              <w:instrText xml:space="preserve"> PAGEREF _Toc27992627 \h </w:instrText>
            </w:r>
            <w:r w:rsidR="00597FBE">
              <w:rPr>
                <w:noProof/>
                <w:webHidden/>
              </w:rPr>
            </w:r>
            <w:r w:rsidR="00597FBE">
              <w:rPr>
                <w:noProof/>
                <w:webHidden/>
              </w:rPr>
              <w:fldChar w:fldCharType="separate"/>
            </w:r>
            <w:r w:rsidR="00597FBE">
              <w:rPr>
                <w:noProof/>
                <w:webHidden/>
              </w:rPr>
              <w:t>4</w:t>
            </w:r>
            <w:r w:rsidR="00597FBE">
              <w:rPr>
                <w:noProof/>
                <w:webHidden/>
              </w:rPr>
              <w:fldChar w:fldCharType="end"/>
            </w:r>
          </w:hyperlink>
        </w:p>
        <w:p w14:paraId="2F51F8EB" w14:textId="4AE06978" w:rsidR="00597FBE" w:rsidRDefault="00597FBE">
          <w:pPr>
            <w:pStyle w:val="TOC2"/>
            <w:rPr>
              <w:rFonts w:asciiTheme="minorHAnsi" w:eastAsiaTheme="minorEastAsia" w:hAnsiTheme="minorHAnsi" w:cstheme="minorBidi"/>
              <w:b w:val="0"/>
              <w:noProof/>
              <w:sz w:val="22"/>
              <w:lang w:eastAsia="en-AU"/>
            </w:rPr>
          </w:pPr>
          <w:hyperlink w:anchor="_Toc27992628" w:history="1">
            <w:r w:rsidRPr="00064199">
              <w:rPr>
                <w:rStyle w:val="Hyperlink"/>
                <w:noProof/>
              </w:rPr>
              <w:t>I. Introduction to product submission</w:t>
            </w:r>
            <w:r>
              <w:rPr>
                <w:noProof/>
                <w:webHidden/>
              </w:rPr>
              <w:tab/>
            </w:r>
            <w:r>
              <w:rPr>
                <w:noProof/>
                <w:webHidden/>
              </w:rPr>
              <w:fldChar w:fldCharType="begin"/>
            </w:r>
            <w:r>
              <w:rPr>
                <w:noProof/>
                <w:webHidden/>
              </w:rPr>
              <w:instrText xml:space="preserve"> PAGEREF _Toc27992628 \h </w:instrText>
            </w:r>
            <w:r>
              <w:rPr>
                <w:noProof/>
                <w:webHidden/>
              </w:rPr>
            </w:r>
            <w:r>
              <w:rPr>
                <w:noProof/>
                <w:webHidden/>
              </w:rPr>
              <w:fldChar w:fldCharType="separate"/>
            </w:r>
            <w:r>
              <w:rPr>
                <w:noProof/>
                <w:webHidden/>
              </w:rPr>
              <w:t>6</w:t>
            </w:r>
            <w:r>
              <w:rPr>
                <w:noProof/>
                <w:webHidden/>
              </w:rPr>
              <w:fldChar w:fldCharType="end"/>
            </w:r>
          </w:hyperlink>
        </w:p>
        <w:p w14:paraId="76C71DE5" w14:textId="796B1217" w:rsidR="00597FBE" w:rsidRDefault="00597FBE">
          <w:pPr>
            <w:pStyle w:val="TOC3"/>
            <w:rPr>
              <w:rFonts w:asciiTheme="minorHAnsi" w:eastAsiaTheme="minorEastAsia" w:hAnsiTheme="minorHAnsi" w:cstheme="minorBidi"/>
              <w:noProof/>
              <w:lang w:eastAsia="en-AU"/>
            </w:rPr>
          </w:pPr>
          <w:hyperlink w:anchor="_Toc27992629" w:history="1">
            <w:r w:rsidRPr="00064199">
              <w:rPr>
                <w:rStyle w:val="Hyperlink"/>
                <w:noProof/>
                <w:lang w:eastAsia="en-AU"/>
              </w:rPr>
              <w:t>Submission details</w:t>
            </w:r>
            <w:r>
              <w:rPr>
                <w:noProof/>
                <w:webHidden/>
              </w:rPr>
              <w:tab/>
            </w:r>
            <w:r>
              <w:rPr>
                <w:noProof/>
                <w:webHidden/>
              </w:rPr>
              <w:fldChar w:fldCharType="begin"/>
            </w:r>
            <w:r>
              <w:rPr>
                <w:noProof/>
                <w:webHidden/>
              </w:rPr>
              <w:instrText xml:space="preserve"> PAGEREF _Toc27992629 \h </w:instrText>
            </w:r>
            <w:r>
              <w:rPr>
                <w:noProof/>
                <w:webHidden/>
              </w:rPr>
            </w:r>
            <w:r>
              <w:rPr>
                <w:noProof/>
                <w:webHidden/>
              </w:rPr>
              <w:fldChar w:fldCharType="separate"/>
            </w:r>
            <w:r>
              <w:rPr>
                <w:noProof/>
                <w:webHidden/>
              </w:rPr>
              <w:t>6</w:t>
            </w:r>
            <w:r>
              <w:rPr>
                <w:noProof/>
                <w:webHidden/>
              </w:rPr>
              <w:fldChar w:fldCharType="end"/>
            </w:r>
          </w:hyperlink>
        </w:p>
        <w:p w14:paraId="4FD2C1D1" w14:textId="1734D07F" w:rsidR="00597FBE" w:rsidRDefault="00597FBE">
          <w:pPr>
            <w:pStyle w:val="TOC3"/>
            <w:rPr>
              <w:rFonts w:asciiTheme="minorHAnsi" w:eastAsiaTheme="minorEastAsia" w:hAnsiTheme="minorHAnsi" w:cstheme="minorBidi"/>
              <w:noProof/>
              <w:lang w:eastAsia="en-AU"/>
            </w:rPr>
          </w:pPr>
          <w:hyperlink w:anchor="_Toc27992630" w:history="1">
            <w:r w:rsidRPr="00064199">
              <w:rPr>
                <w:rStyle w:val="Hyperlink"/>
                <w:noProof/>
              </w:rPr>
              <w:t>Product background</w:t>
            </w:r>
            <w:r>
              <w:rPr>
                <w:noProof/>
                <w:webHidden/>
              </w:rPr>
              <w:tab/>
            </w:r>
            <w:r>
              <w:rPr>
                <w:noProof/>
                <w:webHidden/>
              </w:rPr>
              <w:fldChar w:fldCharType="begin"/>
            </w:r>
            <w:r>
              <w:rPr>
                <w:noProof/>
                <w:webHidden/>
              </w:rPr>
              <w:instrText xml:space="preserve"> PAGEREF _Toc27992630 \h </w:instrText>
            </w:r>
            <w:r>
              <w:rPr>
                <w:noProof/>
                <w:webHidden/>
              </w:rPr>
            </w:r>
            <w:r>
              <w:rPr>
                <w:noProof/>
                <w:webHidden/>
              </w:rPr>
              <w:fldChar w:fldCharType="separate"/>
            </w:r>
            <w:r>
              <w:rPr>
                <w:noProof/>
                <w:webHidden/>
              </w:rPr>
              <w:t>6</w:t>
            </w:r>
            <w:r>
              <w:rPr>
                <w:noProof/>
                <w:webHidden/>
              </w:rPr>
              <w:fldChar w:fldCharType="end"/>
            </w:r>
          </w:hyperlink>
        </w:p>
        <w:p w14:paraId="636250DB" w14:textId="371145D1" w:rsidR="00597FBE" w:rsidRDefault="00597FBE">
          <w:pPr>
            <w:pStyle w:val="TOC3"/>
            <w:rPr>
              <w:rFonts w:asciiTheme="minorHAnsi" w:eastAsiaTheme="minorEastAsia" w:hAnsiTheme="minorHAnsi" w:cstheme="minorBidi"/>
              <w:noProof/>
              <w:lang w:eastAsia="en-AU"/>
            </w:rPr>
          </w:pPr>
          <w:hyperlink w:anchor="_Toc27992631" w:history="1">
            <w:r w:rsidRPr="00064199">
              <w:rPr>
                <w:rStyle w:val="Hyperlink"/>
                <w:noProof/>
              </w:rPr>
              <w:t>Regulatory status</w:t>
            </w:r>
            <w:r>
              <w:rPr>
                <w:noProof/>
                <w:webHidden/>
              </w:rPr>
              <w:tab/>
            </w:r>
            <w:r>
              <w:rPr>
                <w:noProof/>
                <w:webHidden/>
              </w:rPr>
              <w:fldChar w:fldCharType="begin"/>
            </w:r>
            <w:r>
              <w:rPr>
                <w:noProof/>
                <w:webHidden/>
              </w:rPr>
              <w:instrText xml:space="preserve"> PAGEREF _Toc27992631 \h </w:instrText>
            </w:r>
            <w:r>
              <w:rPr>
                <w:noProof/>
                <w:webHidden/>
              </w:rPr>
            </w:r>
            <w:r>
              <w:rPr>
                <w:noProof/>
                <w:webHidden/>
              </w:rPr>
              <w:fldChar w:fldCharType="separate"/>
            </w:r>
            <w:r>
              <w:rPr>
                <w:noProof/>
                <w:webHidden/>
              </w:rPr>
              <w:t>7</w:t>
            </w:r>
            <w:r>
              <w:rPr>
                <w:noProof/>
                <w:webHidden/>
              </w:rPr>
              <w:fldChar w:fldCharType="end"/>
            </w:r>
          </w:hyperlink>
        </w:p>
        <w:p w14:paraId="4DC4CAE8" w14:textId="4BB71779" w:rsidR="00597FBE" w:rsidRDefault="00597FBE">
          <w:pPr>
            <w:pStyle w:val="TOC3"/>
            <w:rPr>
              <w:rFonts w:asciiTheme="minorHAnsi" w:eastAsiaTheme="minorEastAsia" w:hAnsiTheme="minorHAnsi" w:cstheme="minorBidi"/>
              <w:noProof/>
              <w:lang w:eastAsia="en-AU"/>
            </w:rPr>
          </w:pPr>
          <w:hyperlink w:anchor="_Toc27992632" w:history="1">
            <w:r w:rsidRPr="00064199">
              <w:rPr>
                <w:rStyle w:val="Hyperlink"/>
                <w:noProof/>
              </w:rPr>
              <w:t>Product Information</w:t>
            </w:r>
            <w:r>
              <w:rPr>
                <w:noProof/>
                <w:webHidden/>
              </w:rPr>
              <w:tab/>
            </w:r>
            <w:r>
              <w:rPr>
                <w:noProof/>
                <w:webHidden/>
              </w:rPr>
              <w:fldChar w:fldCharType="begin"/>
            </w:r>
            <w:r>
              <w:rPr>
                <w:noProof/>
                <w:webHidden/>
              </w:rPr>
              <w:instrText xml:space="preserve"> PAGEREF _Toc27992632 \h </w:instrText>
            </w:r>
            <w:r>
              <w:rPr>
                <w:noProof/>
                <w:webHidden/>
              </w:rPr>
            </w:r>
            <w:r>
              <w:rPr>
                <w:noProof/>
                <w:webHidden/>
              </w:rPr>
              <w:fldChar w:fldCharType="separate"/>
            </w:r>
            <w:r>
              <w:rPr>
                <w:noProof/>
                <w:webHidden/>
              </w:rPr>
              <w:t>8</w:t>
            </w:r>
            <w:r>
              <w:rPr>
                <w:noProof/>
                <w:webHidden/>
              </w:rPr>
              <w:fldChar w:fldCharType="end"/>
            </w:r>
          </w:hyperlink>
        </w:p>
        <w:p w14:paraId="11A90EF6" w14:textId="71034B36" w:rsidR="00597FBE" w:rsidRDefault="00597FBE">
          <w:pPr>
            <w:pStyle w:val="TOC2"/>
            <w:rPr>
              <w:rFonts w:asciiTheme="minorHAnsi" w:eastAsiaTheme="minorEastAsia" w:hAnsiTheme="minorHAnsi" w:cstheme="minorBidi"/>
              <w:b w:val="0"/>
              <w:noProof/>
              <w:sz w:val="22"/>
              <w:lang w:eastAsia="en-AU"/>
            </w:rPr>
          </w:pPr>
          <w:hyperlink w:anchor="_Toc27992633" w:history="1">
            <w:r w:rsidRPr="00064199">
              <w:rPr>
                <w:rStyle w:val="Hyperlink"/>
                <w:noProof/>
              </w:rPr>
              <w:t>II. Registration timeline</w:t>
            </w:r>
            <w:r>
              <w:rPr>
                <w:noProof/>
                <w:webHidden/>
              </w:rPr>
              <w:tab/>
            </w:r>
            <w:r>
              <w:rPr>
                <w:noProof/>
                <w:webHidden/>
              </w:rPr>
              <w:fldChar w:fldCharType="begin"/>
            </w:r>
            <w:r>
              <w:rPr>
                <w:noProof/>
                <w:webHidden/>
              </w:rPr>
              <w:instrText xml:space="preserve"> PAGEREF _Toc27992633 \h </w:instrText>
            </w:r>
            <w:r>
              <w:rPr>
                <w:noProof/>
                <w:webHidden/>
              </w:rPr>
            </w:r>
            <w:r>
              <w:rPr>
                <w:noProof/>
                <w:webHidden/>
              </w:rPr>
              <w:fldChar w:fldCharType="separate"/>
            </w:r>
            <w:r>
              <w:rPr>
                <w:noProof/>
                <w:webHidden/>
              </w:rPr>
              <w:t>8</w:t>
            </w:r>
            <w:r>
              <w:rPr>
                <w:noProof/>
                <w:webHidden/>
              </w:rPr>
              <w:fldChar w:fldCharType="end"/>
            </w:r>
          </w:hyperlink>
        </w:p>
        <w:p w14:paraId="1DAF9D54" w14:textId="70CD9F63" w:rsidR="00597FBE" w:rsidRDefault="00597FBE">
          <w:pPr>
            <w:pStyle w:val="TOC2"/>
            <w:rPr>
              <w:rFonts w:asciiTheme="minorHAnsi" w:eastAsiaTheme="minorEastAsia" w:hAnsiTheme="minorHAnsi" w:cstheme="minorBidi"/>
              <w:b w:val="0"/>
              <w:noProof/>
              <w:sz w:val="22"/>
              <w:lang w:eastAsia="en-AU"/>
            </w:rPr>
          </w:pPr>
          <w:hyperlink w:anchor="_Toc27992634" w:history="1">
            <w:r w:rsidRPr="00064199">
              <w:rPr>
                <w:rStyle w:val="Hyperlink"/>
                <w:noProof/>
              </w:rPr>
              <w:t>III. Submission overview and risk/benefit assessment</w:t>
            </w:r>
            <w:r>
              <w:rPr>
                <w:noProof/>
                <w:webHidden/>
              </w:rPr>
              <w:tab/>
            </w:r>
            <w:r>
              <w:rPr>
                <w:noProof/>
                <w:webHidden/>
              </w:rPr>
              <w:fldChar w:fldCharType="begin"/>
            </w:r>
            <w:r>
              <w:rPr>
                <w:noProof/>
                <w:webHidden/>
              </w:rPr>
              <w:instrText xml:space="preserve"> PAGEREF _Toc27992634 \h </w:instrText>
            </w:r>
            <w:r>
              <w:rPr>
                <w:noProof/>
                <w:webHidden/>
              </w:rPr>
            </w:r>
            <w:r>
              <w:rPr>
                <w:noProof/>
                <w:webHidden/>
              </w:rPr>
              <w:fldChar w:fldCharType="separate"/>
            </w:r>
            <w:r>
              <w:rPr>
                <w:noProof/>
                <w:webHidden/>
              </w:rPr>
              <w:t>9</w:t>
            </w:r>
            <w:r>
              <w:rPr>
                <w:noProof/>
                <w:webHidden/>
              </w:rPr>
              <w:fldChar w:fldCharType="end"/>
            </w:r>
          </w:hyperlink>
        </w:p>
        <w:p w14:paraId="75336E90" w14:textId="2F4E819C" w:rsidR="00597FBE" w:rsidRDefault="00597FBE">
          <w:pPr>
            <w:pStyle w:val="TOC3"/>
            <w:rPr>
              <w:rFonts w:asciiTheme="minorHAnsi" w:eastAsiaTheme="minorEastAsia" w:hAnsiTheme="minorHAnsi" w:cstheme="minorBidi"/>
              <w:noProof/>
              <w:lang w:eastAsia="en-AU"/>
            </w:rPr>
          </w:pPr>
          <w:hyperlink w:anchor="_Toc27992635" w:history="1">
            <w:r w:rsidRPr="00064199">
              <w:rPr>
                <w:rStyle w:val="Hyperlink"/>
                <w:noProof/>
              </w:rPr>
              <w:t>Quality</w:t>
            </w:r>
            <w:r>
              <w:rPr>
                <w:noProof/>
                <w:webHidden/>
              </w:rPr>
              <w:tab/>
            </w:r>
            <w:r>
              <w:rPr>
                <w:noProof/>
                <w:webHidden/>
              </w:rPr>
              <w:fldChar w:fldCharType="begin"/>
            </w:r>
            <w:r>
              <w:rPr>
                <w:noProof/>
                <w:webHidden/>
              </w:rPr>
              <w:instrText xml:space="preserve"> PAGEREF _Toc27992635 \h </w:instrText>
            </w:r>
            <w:r>
              <w:rPr>
                <w:noProof/>
                <w:webHidden/>
              </w:rPr>
            </w:r>
            <w:r>
              <w:rPr>
                <w:noProof/>
                <w:webHidden/>
              </w:rPr>
              <w:fldChar w:fldCharType="separate"/>
            </w:r>
            <w:r>
              <w:rPr>
                <w:noProof/>
                <w:webHidden/>
              </w:rPr>
              <w:t>9</w:t>
            </w:r>
            <w:r>
              <w:rPr>
                <w:noProof/>
                <w:webHidden/>
              </w:rPr>
              <w:fldChar w:fldCharType="end"/>
            </w:r>
          </w:hyperlink>
        </w:p>
        <w:p w14:paraId="51257C5A" w14:textId="517BA37B" w:rsidR="00597FBE" w:rsidRDefault="00597FBE">
          <w:pPr>
            <w:pStyle w:val="TOC3"/>
            <w:rPr>
              <w:rFonts w:asciiTheme="minorHAnsi" w:eastAsiaTheme="minorEastAsia" w:hAnsiTheme="minorHAnsi" w:cstheme="minorBidi"/>
              <w:noProof/>
              <w:lang w:eastAsia="en-AU"/>
            </w:rPr>
          </w:pPr>
          <w:hyperlink w:anchor="_Toc27992636" w:history="1">
            <w:r w:rsidRPr="00064199">
              <w:rPr>
                <w:rStyle w:val="Hyperlink"/>
                <w:noProof/>
              </w:rPr>
              <w:t>Nonclinical</w:t>
            </w:r>
            <w:r>
              <w:rPr>
                <w:noProof/>
                <w:webHidden/>
              </w:rPr>
              <w:tab/>
            </w:r>
            <w:r>
              <w:rPr>
                <w:noProof/>
                <w:webHidden/>
              </w:rPr>
              <w:fldChar w:fldCharType="begin"/>
            </w:r>
            <w:r>
              <w:rPr>
                <w:noProof/>
                <w:webHidden/>
              </w:rPr>
              <w:instrText xml:space="preserve"> PAGEREF _Toc27992636 \h </w:instrText>
            </w:r>
            <w:r>
              <w:rPr>
                <w:noProof/>
                <w:webHidden/>
              </w:rPr>
            </w:r>
            <w:r>
              <w:rPr>
                <w:noProof/>
                <w:webHidden/>
              </w:rPr>
              <w:fldChar w:fldCharType="separate"/>
            </w:r>
            <w:r>
              <w:rPr>
                <w:noProof/>
                <w:webHidden/>
              </w:rPr>
              <w:t>9</w:t>
            </w:r>
            <w:r>
              <w:rPr>
                <w:noProof/>
                <w:webHidden/>
              </w:rPr>
              <w:fldChar w:fldCharType="end"/>
            </w:r>
          </w:hyperlink>
        </w:p>
        <w:p w14:paraId="26207438" w14:textId="393B3591" w:rsidR="00597FBE" w:rsidRDefault="00597FBE">
          <w:pPr>
            <w:pStyle w:val="TOC3"/>
            <w:rPr>
              <w:rFonts w:asciiTheme="minorHAnsi" w:eastAsiaTheme="minorEastAsia" w:hAnsiTheme="minorHAnsi" w:cstheme="minorBidi"/>
              <w:noProof/>
              <w:lang w:eastAsia="en-AU"/>
            </w:rPr>
          </w:pPr>
          <w:hyperlink w:anchor="_Toc27992637" w:history="1">
            <w:r w:rsidRPr="00064199">
              <w:rPr>
                <w:rStyle w:val="Hyperlink"/>
                <w:noProof/>
              </w:rPr>
              <w:t>Clinical</w:t>
            </w:r>
            <w:r>
              <w:rPr>
                <w:noProof/>
                <w:webHidden/>
              </w:rPr>
              <w:tab/>
            </w:r>
            <w:r>
              <w:rPr>
                <w:noProof/>
                <w:webHidden/>
              </w:rPr>
              <w:fldChar w:fldCharType="begin"/>
            </w:r>
            <w:r>
              <w:rPr>
                <w:noProof/>
                <w:webHidden/>
              </w:rPr>
              <w:instrText xml:space="preserve"> PAGEREF _Toc27992637 \h </w:instrText>
            </w:r>
            <w:r>
              <w:rPr>
                <w:noProof/>
                <w:webHidden/>
              </w:rPr>
            </w:r>
            <w:r>
              <w:rPr>
                <w:noProof/>
                <w:webHidden/>
              </w:rPr>
              <w:fldChar w:fldCharType="separate"/>
            </w:r>
            <w:r>
              <w:rPr>
                <w:noProof/>
                <w:webHidden/>
              </w:rPr>
              <w:t>11</w:t>
            </w:r>
            <w:r>
              <w:rPr>
                <w:noProof/>
                <w:webHidden/>
              </w:rPr>
              <w:fldChar w:fldCharType="end"/>
            </w:r>
          </w:hyperlink>
        </w:p>
        <w:p w14:paraId="461754EC" w14:textId="5B1A5147" w:rsidR="00597FBE" w:rsidRDefault="00597FBE">
          <w:pPr>
            <w:pStyle w:val="TOC3"/>
            <w:rPr>
              <w:rFonts w:asciiTheme="minorHAnsi" w:eastAsiaTheme="minorEastAsia" w:hAnsiTheme="minorHAnsi" w:cstheme="minorBidi"/>
              <w:noProof/>
              <w:lang w:eastAsia="en-AU"/>
            </w:rPr>
          </w:pPr>
          <w:hyperlink w:anchor="_Toc27992638" w:history="1">
            <w:r w:rsidRPr="00064199">
              <w:rPr>
                <w:rStyle w:val="Hyperlink"/>
                <w:noProof/>
                <w:lang w:eastAsia="en-AU"/>
              </w:rPr>
              <w:t>Risk management plan</w:t>
            </w:r>
            <w:r>
              <w:rPr>
                <w:noProof/>
                <w:webHidden/>
              </w:rPr>
              <w:tab/>
            </w:r>
            <w:r>
              <w:rPr>
                <w:noProof/>
                <w:webHidden/>
              </w:rPr>
              <w:fldChar w:fldCharType="begin"/>
            </w:r>
            <w:r>
              <w:rPr>
                <w:noProof/>
                <w:webHidden/>
              </w:rPr>
              <w:instrText xml:space="preserve"> PAGEREF _Toc27992638 \h </w:instrText>
            </w:r>
            <w:r>
              <w:rPr>
                <w:noProof/>
                <w:webHidden/>
              </w:rPr>
            </w:r>
            <w:r>
              <w:rPr>
                <w:noProof/>
                <w:webHidden/>
              </w:rPr>
              <w:fldChar w:fldCharType="separate"/>
            </w:r>
            <w:r>
              <w:rPr>
                <w:noProof/>
                <w:webHidden/>
              </w:rPr>
              <w:t>18</w:t>
            </w:r>
            <w:r>
              <w:rPr>
                <w:noProof/>
                <w:webHidden/>
              </w:rPr>
              <w:fldChar w:fldCharType="end"/>
            </w:r>
          </w:hyperlink>
        </w:p>
        <w:p w14:paraId="0821ADA4" w14:textId="36AE5579" w:rsidR="00597FBE" w:rsidRDefault="00597FBE">
          <w:pPr>
            <w:pStyle w:val="TOC3"/>
            <w:rPr>
              <w:rFonts w:asciiTheme="minorHAnsi" w:eastAsiaTheme="minorEastAsia" w:hAnsiTheme="minorHAnsi" w:cstheme="minorBidi"/>
              <w:noProof/>
              <w:lang w:eastAsia="en-AU"/>
            </w:rPr>
          </w:pPr>
          <w:hyperlink w:anchor="_Toc27992639" w:history="1">
            <w:r w:rsidRPr="00064199">
              <w:rPr>
                <w:rStyle w:val="Hyperlink"/>
                <w:noProof/>
              </w:rPr>
              <w:t>Risk-benefit analysis</w:t>
            </w:r>
            <w:r>
              <w:rPr>
                <w:noProof/>
                <w:webHidden/>
              </w:rPr>
              <w:tab/>
            </w:r>
            <w:r>
              <w:rPr>
                <w:noProof/>
                <w:webHidden/>
              </w:rPr>
              <w:fldChar w:fldCharType="begin"/>
            </w:r>
            <w:r>
              <w:rPr>
                <w:noProof/>
                <w:webHidden/>
              </w:rPr>
              <w:instrText xml:space="preserve"> PAGEREF _Toc27992639 \h </w:instrText>
            </w:r>
            <w:r>
              <w:rPr>
                <w:noProof/>
                <w:webHidden/>
              </w:rPr>
            </w:r>
            <w:r>
              <w:rPr>
                <w:noProof/>
                <w:webHidden/>
              </w:rPr>
              <w:fldChar w:fldCharType="separate"/>
            </w:r>
            <w:r>
              <w:rPr>
                <w:noProof/>
                <w:webHidden/>
              </w:rPr>
              <w:t>20</w:t>
            </w:r>
            <w:r>
              <w:rPr>
                <w:noProof/>
                <w:webHidden/>
              </w:rPr>
              <w:fldChar w:fldCharType="end"/>
            </w:r>
          </w:hyperlink>
        </w:p>
        <w:p w14:paraId="0F0F2022" w14:textId="34F21F63" w:rsidR="00597FBE" w:rsidRDefault="00597FBE">
          <w:pPr>
            <w:pStyle w:val="TOC3"/>
            <w:rPr>
              <w:rFonts w:asciiTheme="minorHAnsi" w:eastAsiaTheme="minorEastAsia" w:hAnsiTheme="minorHAnsi" w:cstheme="minorBidi"/>
              <w:noProof/>
              <w:lang w:eastAsia="en-AU"/>
            </w:rPr>
          </w:pPr>
          <w:hyperlink w:anchor="_Toc27992640" w:history="1">
            <w:r w:rsidRPr="00064199">
              <w:rPr>
                <w:rStyle w:val="Hyperlink"/>
                <w:noProof/>
              </w:rPr>
              <w:t>Outcome</w:t>
            </w:r>
            <w:r>
              <w:rPr>
                <w:noProof/>
                <w:webHidden/>
              </w:rPr>
              <w:tab/>
            </w:r>
            <w:r>
              <w:rPr>
                <w:noProof/>
                <w:webHidden/>
              </w:rPr>
              <w:fldChar w:fldCharType="begin"/>
            </w:r>
            <w:r>
              <w:rPr>
                <w:noProof/>
                <w:webHidden/>
              </w:rPr>
              <w:instrText xml:space="preserve"> PAGEREF _Toc27992640 \h </w:instrText>
            </w:r>
            <w:r>
              <w:rPr>
                <w:noProof/>
                <w:webHidden/>
              </w:rPr>
            </w:r>
            <w:r>
              <w:rPr>
                <w:noProof/>
                <w:webHidden/>
              </w:rPr>
              <w:fldChar w:fldCharType="separate"/>
            </w:r>
            <w:r>
              <w:rPr>
                <w:noProof/>
                <w:webHidden/>
              </w:rPr>
              <w:t>22</w:t>
            </w:r>
            <w:r>
              <w:rPr>
                <w:noProof/>
                <w:webHidden/>
              </w:rPr>
              <w:fldChar w:fldCharType="end"/>
            </w:r>
          </w:hyperlink>
        </w:p>
        <w:p w14:paraId="52506AA1" w14:textId="30383C46" w:rsidR="00597FBE" w:rsidRDefault="00597FBE">
          <w:pPr>
            <w:pStyle w:val="TOC2"/>
            <w:rPr>
              <w:rFonts w:asciiTheme="minorHAnsi" w:eastAsiaTheme="minorEastAsia" w:hAnsiTheme="minorHAnsi" w:cstheme="minorBidi"/>
              <w:b w:val="0"/>
              <w:noProof/>
              <w:sz w:val="22"/>
              <w:lang w:eastAsia="en-AU"/>
            </w:rPr>
          </w:pPr>
          <w:hyperlink w:anchor="_Toc27992641" w:history="1">
            <w:r w:rsidRPr="00064199">
              <w:rPr>
                <w:rStyle w:val="Hyperlink"/>
                <w:noProof/>
              </w:rPr>
              <w:t>Attachment 1. Product Information</w:t>
            </w:r>
            <w:r>
              <w:rPr>
                <w:noProof/>
                <w:webHidden/>
              </w:rPr>
              <w:tab/>
            </w:r>
            <w:r>
              <w:rPr>
                <w:noProof/>
                <w:webHidden/>
              </w:rPr>
              <w:fldChar w:fldCharType="begin"/>
            </w:r>
            <w:r>
              <w:rPr>
                <w:noProof/>
                <w:webHidden/>
              </w:rPr>
              <w:instrText xml:space="preserve"> PAGEREF _Toc27992641 \h </w:instrText>
            </w:r>
            <w:r>
              <w:rPr>
                <w:noProof/>
                <w:webHidden/>
              </w:rPr>
            </w:r>
            <w:r>
              <w:rPr>
                <w:noProof/>
                <w:webHidden/>
              </w:rPr>
              <w:fldChar w:fldCharType="separate"/>
            </w:r>
            <w:r>
              <w:rPr>
                <w:noProof/>
                <w:webHidden/>
              </w:rPr>
              <w:t>23</w:t>
            </w:r>
            <w:r>
              <w:rPr>
                <w:noProof/>
                <w:webHidden/>
              </w:rPr>
              <w:fldChar w:fldCharType="end"/>
            </w:r>
          </w:hyperlink>
        </w:p>
        <w:p w14:paraId="0EA62089" w14:textId="538E6B0C" w:rsidR="003A7F6C" w:rsidRPr="00B811C6" w:rsidRDefault="00DB6124" w:rsidP="00B811C6">
          <w:pPr>
            <w:pStyle w:val="TOC2"/>
          </w:pPr>
          <w:r>
            <w:fldChar w:fldCharType="end"/>
          </w:r>
        </w:p>
      </w:sdtContent>
    </w:sdt>
    <w:bookmarkStart w:id="3" w:name="_Toc314842482" w:displacedByCustomXml="prev"/>
    <w:p w14:paraId="163AEFC7" w14:textId="77777777" w:rsidR="00FD119B" w:rsidRDefault="00FD119B">
      <w:pPr>
        <w:spacing w:before="0" w:after="200" w:line="0" w:lineRule="auto"/>
      </w:pPr>
      <w:r>
        <w:br w:type="page"/>
      </w:r>
    </w:p>
    <w:p w14:paraId="6E0D6E1F" w14:textId="77777777" w:rsidR="00C52E24" w:rsidRPr="00C52E24" w:rsidRDefault="00441C3F" w:rsidP="00305008">
      <w:pPr>
        <w:pStyle w:val="Heading2"/>
      </w:pPr>
      <w:bookmarkStart w:id="4" w:name="_Toc351716269"/>
      <w:bookmarkStart w:id="5" w:name="_Toc351718881"/>
      <w:bookmarkStart w:id="6" w:name="_Toc355338616"/>
      <w:bookmarkStart w:id="7" w:name="_Toc356306144"/>
      <w:bookmarkStart w:id="8" w:name="_Toc27992627"/>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09"/>
        <w:gridCol w:w="6911"/>
      </w:tblGrid>
      <w:tr w:rsidR="006D3191" w:rsidRPr="00FD119B" w14:paraId="02410E2C" w14:textId="77777777" w:rsidTr="00FD119B">
        <w:trPr>
          <w:cnfStyle w:val="100000000000" w:firstRow="1" w:lastRow="0" w:firstColumn="0" w:lastColumn="0" w:oddVBand="0" w:evenVBand="0" w:oddHBand="0" w:evenHBand="0" w:firstRowFirstColumn="0" w:firstRowLastColumn="0" w:lastRowFirstColumn="0" w:lastRowLastColumn="0"/>
        </w:trPr>
        <w:tc>
          <w:tcPr>
            <w:tcW w:w="1809" w:type="dxa"/>
          </w:tcPr>
          <w:p w14:paraId="337B450C" w14:textId="77777777" w:rsidR="006D3191" w:rsidRPr="00FD119B" w:rsidRDefault="006D3191" w:rsidP="00FD119B">
            <w:pPr>
              <w:keepNext w:val="0"/>
              <w:ind w:left="0" w:right="0"/>
              <w:rPr>
                <w:szCs w:val="22"/>
                <w:lang w:eastAsia="en-US"/>
              </w:rPr>
            </w:pPr>
            <w:r w:rsidRPr="00FD119B">
              <w:rPr>
                <w:szCs w:val="22"/>
                <w:lang w:eastAsia="en-US"/>
              </w:rPr>
              <w:t>Abbreviation</w:t>
            </w:r>
          </w:p>
        </w:tc>
        <w:tc>
          <w:tcPr>
            <w:tcW w:w="6911" w:type="dxa"/>
          </w:tcPr>
          <w:p w14:paraId="1B14A66B" w14:textId="77777777" w:rsidR="006D3191" w:rsidRPr="00FD119B" w:rsidRDefault="006D3191" w:rsidP="00FD119B">
            <w:pPr>
              <w:keepNext w:val="0"/>
              <w:ind w:left="0" w:right="0"/>
              <w:rPr>
                <w:szCs w:val="22"/>
                <w:lang w:eastAsia="en-US"/>
              </w:rPr>
            </w:pPr>
            <w:r w:rsidRPr="00FD119B">
              <w:rPr>
                <w:szCs w:val="22"/>
                <w:lang w:eastAsia="en-US"/>
              </w:rPr>
              <w:t>Meaning</w:t>
            </w:r>
          </w:p>
        </w:tc>
      </w:tr>
      <w:tr w:rsidR="005F2AAA" w:rsidRPr="00FD119B" w14:paraId="0F2807AA" w14:textId="77777777" w:rsidTr="00FD119B">
        <w:tc>
          <w:tcPr>
            <w:tcW w:w="1809" w:type="dxa"/>
          </w:tcPr>
          <w:p w14:paraId="70F36E21" w14:textId="0DBAB829" w:rsidR="005F2AAA" w:rsidRDefault="005F2AAA" w:rsidP="00305008">
            <w:pPr>
              <w:jc w:val="both"/>
            </w:pPr>
            <w:r>
              <w:t>ACM</w:t>
            </w:r>
          </w:p>
        </w:tc>
        <w:tc>
          <w:tcPr>
            <w:tcW w:w="6911" w:type="dxa"/>
          </w:tcPr>
          <w:p w14:paraId="45D4C8CC" w14:textId="4F37C799" w:rsidR="005F2AAA" w:rsidRDefault="005F2AAA" w:rsidP="00305008">
            <w:pPr>
              <w:jc w:val="both"/>
            </w:pPr>
            <w:r>
              <w:t>Advisory Committee on Medicines</w:t>
            </w:r>
          </w:p>
        </w:tc>
      </w:tr>
      <w:tr w:rsidR="006D3191" w:rsidRPr="00FD119B" w14:paraId="0D1708B0" w14:textId="77777777" w:rsidTr="00FD119B">
        <w:tc>
          <w:tcPr>
            <w:tcW w:w="1809" w:type="dxa"/>
          </w:tcPr>
          <w:p w14:paraId="14C96369" w14:textId="77777777" w:rsidR="006D3191" w:rsidRDefault="006D3191" w:rsidP="00305008">
            <w:pPr>
              <w:jc w:val="both"/>
            </w:pPr>
            <w:r>
              <w:t>ADR</w:t>
            </w:r>
          </w:p>
        </w:tc>
        <w:tc>
          <w:tcPr>
            <w:tcW w:w="6911" w:type="dxa"/>
          </w:tcPr>
          <w:p w14:paraId="0CF77A2F" w14:textId="77777777" w:rsidR="006D3191" w:rsidRDefault="006D3191" w:rsidP="00305008">
            <w:pPr>
              <w:jc w:val="both"/>
            </w:pPr>
            <w:r>
              <w:t>Adverse drug reaction</w:t>
            </w:r>
          </w:p>
        </w:tc>
      </w:tr>
      <w:tr w:rsidR="006D3191" w:rsidRPr="00FD119B" w14:paraId="0278D111" w14:textId="77777777" w:rsidTr="00FD119B">
        <w:tc>
          <w:tcPr>
            <w:tcW w:w="1809" w:type="dxa"/>
          </w:tcPr>
          <w:p w14:paraId="47B4F079" w14:textId="77777777" w:rsidR="006D3191" w:rsidRDefault="006D3191" w:rsidP="00305008">
            <w:pPr>
              <w:jc w:val="both"/>
            </w:pPr>
            <w:r>
              <w:t>AE</w:t>
            </w:r>
          </w:p>
        </w:tc>
        <w:tc>
          <w:tcPr>
            <w:tcW w:w="6911" w:type="dxa"/>
          </w:tcPr>
          <w:p w14:paraId="037A3611" w14:textId="7A3B63EB" w:rsidR="006D3191" w:rsidRDefault="006D3191" w:rsidP="00305008">
            <w:pPr>
              <w:jc w:val="both"/>
            </w:pPr>
            <w:r>
              <w:t>Adverse event</w:t>
            </w:r>
            <w:r w:rsidR="00CA50DC">
              <w:t>(s)</w:t>
            </w:r>
          </w:p>
        </w:tc>
      </w:tr>
      <w:tr w:rsidR="00CB6833" w:rsidRPr="00FD119B" w14:paraId="33F45A62" w14:textId="77777777" w:rsidTr="00FD119B">
        <w:tc>
          <w:tcPr>
            <w:tcW w:w="1809" w:type="dxa"/>
          </w:tcPr>
          <w:p w14:paraId="6FF7065D" w14:textId="403C43D5" w:rsidR="00CB6833" w:rsidRDefault="00CB6833" w:rsidP="00305008">
            <w:pPr>
              <w:jc w:val="both"/>
            </w:pPr>
            <w:r>
              <w:t>ARTG</w:t>
            </w:r>
          </w:p>
        </w:tc>
        <w:tc>
          <w:tcPr>
            <w:tcW w:w="6911" w:type="dxa"/>
          </w:tcPr>
          <w:p w14:paraId="72BC1166" w14:textId="6303213C" w:rsidR="00CB6833" w:rsidRDefault="00CB6833" w:rsidP="00305008">
            <w:pPr>
              <w:jc w:val="both"/>
            </w:pPr>
            <w:r>
              <w:t>Australian Register of Therapeutic Goods</w:t>
            </w:r>
          </w:p>
        </w:tc>
      </w:tr>
      <w:tr w:rsidR="00F44532" w:rsidRPr="00FD119B" w14:paraId="2CDB6520" w14:textId="77777777" w:rsidTr="00FD119B">
        <w:tc>
          <w:tcPr>
            <w:tcW w:w="1809" w:type="dxa"/>
          </w:tcPr>
          <w:p w14:paraId="56DF10C8" w14:textId="1A4AABF5" w:rsidR="00F44532" w:rsidRDefault="00F44532" w:rsidP="00305008">
            <w:pPr>
              <w:jc w:val="both"/>
            </w:pPr>
            <w:r>
              <w:t>ASA</w:t>
            </w:r>
          </w:p>
        </w:tc>
        <w:tc>
          <w:tcPr>
            <w:tcW w:w="6911" w:type="dxa"/>
          </w:tcPr>
          <w:p w14:paraId="4693BD8B" w14:textId="3D9E9A7E" w:rsidR="00F44532" w:rsidRDefault="00F44532" w:rsidP="00305008">
            <w:pPr>
              <w:jc w:val="both"/>
            </w:pPr>
            <w:r>
              <w:t>Australian</w:t>
            </w:r>
            <w:r w:rsidR="00E40158">
              <w:noBreakHyphen/>
              <w:t>s</w:t>
            </w:r>
            <w:r>
              <w:t xml:space="preserve">pecific </w:t>
            </w:r>
            <w:r w:rsidR="00E40158">
              <w:t>a</w:t>
            </w:r>
            <w:r>
              <w:t>nnex</w:t>
            </w:r>
          </w:p>
        </w:tc>
      </w:tr>
      <w:tr w:rsidR="006D3191" w:rsidRPr="00FD119B" w14:paraId="2ACEF6C5" w14:textId="77777777" w:rsidTr="00FD119B">
        <w:tc>
          <w:tcPr>
            <w:tcW w:w="1809" w:type="dxa"/>
          </w:tcPr>
          <w:p w14:paraId="1D59B04F" w14:textId="77777777" w:rsidR="006D3191" w:rsidRDefault="006D3191" w:rsidP="00305008">
            <w:pPr>
              <w:jc w:val="both"/>
            </w:pPr>
            <w:r>
              <w:t>BAX</w:t>
            </w:r>
          </w:p>
        </w:tc>
        <w:tc>
          <w:tcPr>
            <w:tcW w:w="6911" w:type="dxa"/>
          </w:tcPr>
          <w:p w14:paraId="14CD80B2" w14:textId="77777777" w:rsidR="006D3191" w:rsidRDefault="006D3191" w:rsidP="00794C57">
            <w:pPr>
              <w:jc w:val="both"/>
            </w:pPr>
            <w:r>
              <w:t>Bcl-</w:t>
            </w:r>
            <w:r w:rsidRPr="00794C57">
              <w:t>2-associated X protein</w:t>
            </w:r>
          </w:p>
        </w:tc>
      </w:tr>
      <w:tr w:rsidR="006D3191" w:rsidRPr="00FD119B" w14:paraId="1D06598B" w14:textId="77777777" w:rsidTr="00FD119B">
        <w:tc>
          <w:tcPr>
            <w:tcW w:w="1809" w:type="dxa"/>
          </w:tcPr>
          <w:p w14:paraId="60DDAFB1" w14:textId="77777777" w:rsidR="006D3191" w:rsidRDefault="006D3191" w:rsidP="00305008">
            <w:pPr>
              <w:jc w:val="both"/>
            </w:pPr>
            <w:r>
              <w:t>BCDVA</w:t>
            </w:r>
          </w:p>
        </w:tc>
        <w:tc>
          <w:tcPr>
            <w:tcW w:w="6911" w:type="dxa"/>
          </w:tcPr>
          <w:p w14:paraId="33AA081F" w14:textId="77777777" w:rsidR="006D3191" w:rsidRDefault="006D3191" w:rsidP="00305008">
            <w:pPr>
              <w:jc w:val="both"/>
            </w:pPr>
            <w:r>
              <w:t>Best corrected distance visual acuity</w:t>
            </w:r>
          </w:p>
        </w:tc>
      </w:tr>
      <w:tr w:rsidR="00F44532" w:rsidRPr="00FD119B" w14:paraId="69DAC088" w14:textId="77777777" w:rsidTr="00FD119B">
        <w:tc>
          <w:tcPr>
            <w:tcW w:w="1809" w:type="dxa"/>
          </w:tcPr>
          <w:p w14:paraId="168D4A10" w14:textId="2E62F213" w:rsidR="00F44532" w:rsidRDefault="00F44532" w:rsidP="00305008">
            <w:pPr>
              <w:jc w:val="both"/>
            </w:pPr>
            <w:r>
              <w:t>BCVA</w:t>
            </w:r>
          </w:p>
        </w:tc>
        <w:tc>
          <w:tcPr>
            <w:tcW w:w="6911" w:type="dxa"/>
          </w:tcPr>
          <w:p w14:paraId="455F08A0" w14:textId="338C0E28" w:rsidR="00F44532" w:rsidRDefault="00F44532" w:rsidP="00305008">
            <w:pPr>
              <w:jc w:val="both"/>
            </w:pPr>
            <w:r>
              <w:rPr>
                <w:bCs/>
              </w:rPr>
              <w:t>B</w:t>
            </w:r>
            <w:r w:rsidRPr="00BD02E6">
              <w:rPr>
                <w:bCs/>
              </w:rPr>
              <w:t>est corrected visual acuity</w:t>
            </w:r>
          </w:p>
        </w:tc>
      </w:tr>
      <w:tr w:rsidR="006D3191" w:rsidRPr="00FD119B" w14:paraId="4552DA68" w14:textId="77777777" w:rsidTr="00FD119B">
        <w:tc>
          <w:tcPr>
            <w:tcW w:w="1809" w:type="dxa"/>
          </w:tcPr>
          <w:p w14:paraId="17A5D987" w14:textId="77777777" w:rsidR="006D3191" w:rsidRDefault="006D3191" w:rsidP="00305008">
            <w:pPr>
              <w:jc w:val="both"/>
            </w:pPr>
            <w:r>
              <w:t>Bcl-2</w:t>
            </w:r>
          </w:p>
        </w:tc>
        <w:tc>
          <w:tcPr>
            <w:tcW w:w="6911" w:type="dxa"/>
          </w:tcPr>
          <w:p w14:paraId="5096D414" w14:textId="77777777" w:rsidR="006D3191" w:rsidRDefault="006D3191" w:rsidP="00794C57">
            <w:pPr>
              <w:jc w:val="both"/>
            </w:pPr>
            <w:r w:rsidRPr="00794C57">
              <w:t>B-cell lymphoma 2</w:t>
            </w:r>
          </w:p>
        </w:tc>
      </w:tr>
      <w:tr w:rsidR="00691946" w:rsidRPr="00FD119B" w14:paraId="0A6E9E8F" w14:textId="77777777" w:rsidTr="00FD119B">
        <w:tc>
          <w:tcPr>
            <w:tcW w:w="1809" w:type="dxa"/>
          </w:tcPr>
          <w:p w14:paraId="0E8266B0" w14:textId="6263A204" w:rsidR="00691946" w:rsidRDefault="00691946" w:rsidP="00305008">
            <w:pPr>
              <w:jc w:val="both"/>
            </w:pPr>
            <w:r>
              <w:t>CI</w:t>
            </w:r>
          </w:p>
        </w:tc>
        <w:tc>
          <w:tcPr>
            <w:tcW w:w="6911" w:type="dxa"/>
          </w:tcPr>
          <w:p w14:paraId="3BAA2C34" w14:textId="728D0883" w:rsidR="00691946" w:rsidRDefault="00691946" w:rsidP="00305008">
            <w:pPr>
              <w:jc w:val="both"/>
            </w:pPr>
            <w:r>
              <w:t>Confidence interval</w:t>
            </w:r>
          </w:p>
        </w:tc>
      </w:tr>
      <w:tr w:rsidR="00F44532" w:rsidRPr="00FD119B" w14:paraId="5E968C89" w14:textId="77777777" w:rsidTr="00FD119B">
        <w:tc>
          <w:tcPr>
            <w:tcW w:w="1809" w:type="dxa"/>
          </w:tcPr>
          <w:p w14:paraId="37C2C44D" w14:textId="62ED6E9D" w:rsidR="00F44532" w:rsidRDefault="00F44532" w:rsidP="00305008">
            <w:pPr>
              <w:jc w:val="both"/>
            </w:pPr>
            <w:r>
              <w:t>CMI</w:t>
            </w:r>
          </w:p>
        </w:tc>
        <w:tc>
          <w:tcPr>
            <w:tcW w:w="6911" w:type="dxa"/>
          </w:tcPr>
          <w:p w14:paraId="45F18C0C" w14:textId="5494574F" w:rsidR="00F44532" w:rsidRDefault="00F44532" w:rsidP="00305008">
            <w:pPr>
              <w:jc w:val="both"/>
            </w:pPr>
            <w:r>
              <w:t>Consumer Medicines Information</w:t>
            </w:r>
          </w:p>
        </w:tc>
      </w:tr>
      <w:tr w:rsidR="006D3191" w:rsidRPr="00FD119B" w14:paraId="3F6B512E" w14:textId="77777777" w:rsidTr="00FD119B">
        <w:tc>
          <w:tcPr>
            <w:tcW w:w="1809" w:type="dxa"/>
          </w:tcPr>
          <w:p w14:paraId="7AFBD742" w14:textId="77777777" w:rsidR="006D3191" w:rsidRDefault="006D3191" w:rsidP="00305008">
            <w:pPr>
              <w:jc w:val="both"/>
            </w:pPr>
            <w:r>
              <w:t>CNS</w:t>
            </w:r>
          </w:p>
        </w:tc>
        <w:tc>
          <w:tcPr>
            <w:tcW w:w="6911" w:type="dxa"/>
          </w:tcPr>
          <w:p w14:paraId="2A7E03FA" w14:textId="77777777" w:rsidR="006D3191" w:rsidRDefault="006D3191" w:rsidP="00305008">
            <w:pPr>
              <w:jc w:val="both"/>
            </w:pPr>
            <w:r>
              <w:t>Central nervous system</w:t>
            </w:r>
          </w:p>
        </w:tc>
      </w:tr>
      <w:tr w:rsidR="006D3191" w:rsidRPr="00FD119B" w14:paraId="6C08295B" w14:textId="77777777" w:rsidTr="00FD119B">
        <w:tc>
          <w:tcPr>
            <w:tcW w:w="1809" w:type="dxa"/>
          </w:tcPr>
          <w:p w14:paraId="7ADC8BF8" w14:textId="77777777" w:rsidR="006D3191" w:rsidRDefault="006D3191" w:rsidP="00305008">
            <w:pPr>
              <w:jc w:val="both"/>
            </w:pPr>
            <w:r>
              <w:t>EC</w:t>
            </w:r>
            <w:r w:rsidRPr="00693106">
              <w:rPr>
                <w:vertAlign w:val="subscript"/>
              </w:rPr>
              <w:t>50</w:t>
            </w:r>
          </w:p>
        </w:tc>
        <w:tc>
          <w:tcPr>
            <w:tcW w:w="6911" w:type="dxa"/>
          </w:tcPr>
          <w:p w14:paraId="79F2A09A" w14:textId="77777777" w:rsidR="006D3191" w:rsidRDefault="006D3191" w:rsidP="00693106">
            <w:pPr>
              <w:jc w:val="both"/>
            </w:pPr>
            <w:r>
              <w:t>Half maximal effective concentration</w:t>
            </w:r>
          </w:p>
        </w:tc>
      </w:tr>
      <w:tr w:rsidR="006D3191" w:rsidRPr="00FD119B" w14:paraId="5501E991" w14:textId="77777777" w:rsidTr="00FD119B">
        <w:tc>
          <w:tcPr>
            <w:tcW w:w="1809" w:type="dxa"/>
          </w:tcPr>
          <w:p w14:paraId="725DECA7" w14:textId="77777777" w:rsidR="006D3191" w:rsidRDefault="006D3191" w:rsidP="00305008">
            <w:pPr>
              <w:jc w:val="both"/>
            </w:pPr>
            <w:r>
              <w:t>EMA</w:t>
            </w:r>
          </w:p>
        </w:tc>
        <w:tc>
          <w:tcPr>
            <w:tcW w:w="6911" w:type="dxa"/>
          </w:tcPr>
          <w:p w14:paraId="184CCA84" w14:textId="3BC44367" w:rsidR="006D3191" w:rsidRDefault="006D3191" w:rsidP="00305008">
            <w:pPr>
              <w:jc w:val="both"/>
            </w:pPr>
            <w:r>
              <w:t>European Medicines Agency</w:t>
            </w:r>
            <w:r w:rsidR="008867A2">
              <w:t xml:space="preserve"> (EU)</w:t>
            </w:r>
          </w:p>
        </w:tc>
      </w:tr>
      <w:tr w:rsidR="002018D4" w:rsidRPr="00FD119B" w14:paraId="59F4DF22" w14:textId="77777777" w:rsidTr="00FD119B">
        <w:tc>
          <w:tcPr>
            <w:tcW w:w="1809" w:type="dxa"/>
          </w:tcPr>
          <w:p w14:paraId="0D24C589" w14:textId="2220F0C6" w:rsidR="002018D4" w:rsidRDefault="002018D4" w:rsidP="00305008">
            <w:pPr>
              <w:jc w:val="both"/>
            </w:pPr>
            <w:r>
              <w:t>EDTRS</w:t>
            </w:r>
          </w:p>
        </w:tc>
        <w:tc>
          <w:tcPr>
            <w:tcW w:w="6911" w:type="dxa"/>
          </w:tcPr>
          <w:p w14:paraId="56BADE74" w14:textId="64C1921A" w:rsidR="002018D4" w:rsidRDefault="002018D4" w:rsidP="00305008">
            <w:pPr>
              <w:jc w:val="both"/>
            </w:pPr>
            <w:r>
              <w:t>Early Treatment Diabetic Retinopathy Study</w:t>
            </w:r>
          </w:p>
        </w:tc>
      </w:tr>
      <w:tr w:rsidR="006D3191" w:rsidRPr="00FD119B" w14:paraId="10D22868" w14:textId="77777777" w:rsidTr="00FD119B">
        <w:tc>
          <w:tcPr>
            <w:tcW w:w="1809" w:type="dxa"/>
          </w:tcPr>
          <w:p w14:paraId="3B57B6F9" w14:textId="77777777" w:rsidR="006D3191" w:rsidRDefault="006D3191" w:rsidP="00305008">
            <w:pPr>
              <w:jc w:val="both"/>
            </w:pPr>
            <w:r>
              <w:t>EU</w:t>
            </w:r>
          </w:p>
        </w:tc>
        <w:tc>
          <w:tcPr>
            <w:tcW w:w="6911" w:type="dxa"/>
          </w:tcPr>
          <w:p w14:paraId="2F1341DB" w14:textId="77777777" w:rsidR="006D3191" w:rsidRDefault="006D3191" w:rsidP="00305008">
            <w:pPr>
              <w:jc w:val="both"/>
            </w:pPr>
            <w:r>
              <w:t>European Union</w:t>
            </w:r>
          </w:p>
        </w:tc>
      </w:tr>
      <w:tr w:rsidR="0028551A" w:rsidRPr="00FD119B" w14:paraId="1B1365C8" w14:textId="77777777" w:rsidTr="00FD119B">
        <w:tc>
          <w:tcPr>
            <w:tcW w:w="1809" w:type="dxa"/>
          </w:tcPr>
          <w:p w14:paraId="4BD7610F" w14:textId="2029B923" w:rsidR="0028551A" w:rsidRDefault="0028551A" w:rsidP="00305008">
            <w:pPr>
              <w:jc w:val="both"/>
            </w:pPr>
            <w:r>
              <w:t>EU-RMP</w:t>
            </w:r>
          </w:p>
        </w:tc>
        <w:tc>
          <w:tcPr>
            <w:tcW w:w="6911" w:type="dxa"/>
          </w:tcPr>
          <w:p w14:paraId="20B356BD" w14:textId="14DFF00A" w:rsidR="0028551A" w:rsidRDefault="0028551A" w:rsidP="0028551A">
            <w:pPr>
              <w:jc w:val="both"/>
            </w:pPr>
            <w:r>
              <w:t>European Union-Risk Management Plan</w:t>
            </w:r>
          </w:p>
        </w:tc>
      </w:tr>
      <w:tr w:rsidR="006D3191" w:rsidRPr="00FD119B" w14:paraId="7F2E4C85" w14:textId="77777777" w:rsidTr="00FD119B">
        <w:tc>
          <w:tcPr>
            <w:tcW w:w="1809" w:type="dxa"/>
          </w:tcPr>
          <w:p w14:paraId="1F9094D2" w14:textId="214AFC64" w:rsidR="006D3191" w:rsidRDefault="006D3191" w:rsidP="00305008">
            <w:pPr>
              <w:jc w:val="both"/>
            </w:pPr>
            <w:r>
              <w:t>F0</w:t>
            </w:r>
          </w:p>
        </w:tc>
        <w:tc>
          <w:tcPr>
            <w:tcW w:w="6911" w:type="dxa"/>
          </w:tcPr>
          <w:p w14:paraId="08AA0FD6" w14:textId="4DC8D662" w:rsidR="006D3191" w:rsidRDefault="006D3191" w:rsidP="006D3191">
            <w:pPr>
              <w:jc w:val="both"/>
            </w:pPr>
            <w:r>
              <w:t>Parental strain animals</w:t>
            </w:r>
          </w:p>
        </w:tc>
      </w:tr>
      <w:tr w:rsidR="006D3191" w:rsidRPr="00FD119B" w14:paraId="10CBD122" w14:textId="77777777" w:rsidTr="00FD119B">
        <w:tc>
          <w:tcPr>
            <w:tcW w:w="1809" w:type="dxa"/>
          </w:tcPr>
          <w:p w14:paraId="240F62C6" w14:textId="2CE20E89" w:rsidR="006D3191" w:rsidRDefault="006D3191" w:rsidP="00305008">
            <w:pPr>
              <w:jc w:val="both"/>
            </w:pPr>
            <w:r>
              <w:t>F1</w:t>
            </w:r>
          </w:p>
        </w:tc>
        <w:tc>
          <w:tcPr>
            <w:tcW w:w="6911" w:type="dxa"/>
          </w:tcPr>
          <w:p w14:paraId="7D4D1281" w14:textId="692F1326" w:rsidR="006D3191" w:rsidRDefault="006D3191" w:rsidP="006D3191">
            <w:pPr>
              <w:jc w:val="both"/>
            </w:pPr>
            <w:r>
              <w:t>First filial generatio</w:t>
            </w:r>
            <w:r w:rsidR="00E40158">
              <w:t>n</w:t>
            </w:r>
          </w:p>
        </w:tc>
      </w:tr>
      <w:tr w:rsidR="006D3191" w:rsidRPr="00FD119B" w14:paraId="66A08F02" w14:textId="77777777" w:rsidTr="00FD119B">
        <w:tc>
          <w:tcPr>
            <w:tcW w:w="1809" w:type="dxa"/>
          </w:tcPr>
          <w:p w14:paraId="6964D9F2" w14:textId="77777777" w:rsidR="006D3191" w:rsidRDefault="006D3191" w:rsidP="00305008">
            <w:pPr>
              <w:jc w:val="both"/>
            </w:pPr>
            <w:r>
              <w:t>FDA</w:t>
            </w:r>
          </w:p>
        </w:tc>
        <w:tc>
          <w:tcPr>
            <w:tcW w:w="6911" w:type="dxa"/>
          </w:tcPr>
          <w:p w14:paraId="5D0A13A5" w14:textId="77777777" w:rsidR="006D3191" w:rsidRDefault="006D3191" w:rsidP="00305008">
            <w:pPr>
              <w:jc w:val="both"/>
            </w:pPr>
            <w:r>
              <w:t>Food and Drug Administration (USA)</w:t>
            </w:r>
          </w:p>
        </w:tc>
      </w:tr>
      <w:tr w:rsidR="00275C7C" w:rsidRPr="00FD119B" w14:paraId="1011A598" w14:textId="77777777" w:rsidTr="00FD119B">
        <w:tc>
          <w:tcPr>
            <w:tcW w:w="1809" w:type="dxa"/>
          </w:tcPr>
          <w:p w14:paraId="69E8BB8F" w14:textId="100A815A" w:rsidR="00275C7C" w:rsidRDefault="00275C7C" w:rsidP="00305008">
            <w:pPr>
              <w:jc w:val="both"/>
            </w:pPr>
            <w:r>
              <w:t>GLP</w:t>
            </w:r>
          </w:p>
        </w:tc>
        <w:tc>
          <w:tcPr>
            <w:tcW w:w="6911" w:type="dxa"/>
          </w:tcPr>
          <w:p w14:paraId="2070524A" w14:textId="7E1117F5" w:rsidR="00275C7C" w:rsidRDefault="00275C7C" w:rsidP="00305008">
            <w:pPr>
              <w:jc w:val="both"/>
            </w:pPr>
            <w:r>
              <w:t>Good Laboratory Practice</w:t>
            </w:r>
          </w:p>
        </w:tc>
      </w:tr>
      <w:tr w:rsidR="006D3191" w:rsidRPr="00FD119B" w14:paraId="2FBE648F" w14:textId="77777777" w:rsidTr="00FD119B">
        <w:tc>
          <w:tcPr>
            <w:tcW w:w="1809" w:type="dxa"/>
          </w:tcPr>
          <w:p w14:paraId="6A3EE827" w14:textId="77777777" w:rsidR="006D3191" w:rsidRDefault="006D3191" w:rsidP="00305008">
            <w:pPr>
              <w:jc w:val="both"/>
            </w:pPr>
            <w:r>
              <w:t>IC</w:t>
            </w:r>
            <w:r w:rsidRPr="00C73281">
              <w:rPr>
                <w:vertAlign w:val="subscript"/>
              </w:rPr>
              <w:t>50</w:t>
            </w:r>
          </w:p>
        </w:tc>
        <w:tc>
          <w:tcPr>
            <w:tcW w:w="6911" w:type="dxa"/>
          </w:tcPr>
          <w:p w14:paraId="0A5D1369" w14:textId="77777777" w:rsidR="006D3191" w:rsidRDefault="006D3191" w:rsidP="00305008">
            <w:pPr>
              <w:jc w:val="both"/>
            </w:pPr>
            <w:r>
              <w:t>Half maximal inhibitory concentration</w:t>
            </w:r>
          </w:p>
        </w:tc>
      </w:tr>
      <w:tr w:rsidR="006D3191" w:rsidRPr="00FD119B" w14:paraId="37106A6C" w14:textId="77777777" w:rsidTr="00FD119B">
        <w:tc>
          <w:tcPr>
            <w:tcW w:w="1809" w:type="dxa"/>
          </w:tcPr>
          <w:p w14:paraId="36248B61" w14:textId="77777777" w:rsidR="006D3191" w:rsidRDefault="006D3191" w:rsidP="00305008">
            <w:pPr>
              <w:jc w:val="both"/>
            </w:pPr>
            <w:r>
              <w:t>ICH</w:t>
            </w:r>
          </w:p>
        </w:tc>
        <w:tc>
          <w:tcPr>
            <w:tcW w:w="6911" w:type="dxa"/>
          </w:tcPr>
          <w:p w14:paraId="3303E261" w14:textId="57CF1398" w:rsidR="006D3191" w:rsidRDefault="006D3191" w:rsidP="00305008">
            <w:pPr>
              <w:jc w:val="both"/>
            </w:pPr>
            <w:r>
              <w:t>International Conference o</w:t>
            </w:r>
            <w:r w:rsidR="00E40158">
              <w:t>n</w:t>
            </w:r>
            <w:r>
              <w:t xml:space="preserve"> Harmonisation</w:t>
            </w:r>
          </w:p>
        </w:tc>
      </w:tr>
      <w:tr w:rsidR="006D3191" w:rsidRPr="00FD119B" w14:paraId="264498BE" w14:textId="77777777" w:rsidTr="00FD119B">
        <w:tc>
          <w:tcPr>
            <w:tcW w:w="1809" w:type="dxa"/>
          </w:tcPr>
          <w:p w14:paraId="512BFD25" w14:textId="77777777" w:rsidR="006D3191" w:rsidRDefault="006D3191" w:rsidP="00305008">
            <w:pPr>
              <w:jc w:val="both"/>
            </w:pPr>
            <w:r>
              <w:t>ITT</w:t>
            </w:r>
          </w:p>
        </w:tc>
        <w:tc>
          <w:tcPr>
            <w:tcW w:w="6911" w:type="dxa"/>
          </w:tcPr>
          <w:p w14:paraId="1F9B5CD2" w14:textId="77777777" w:rsidR="006D3191" w:rsidRDefault="006D3191" w:rsidP="00305008">
            <w:pPr>
              <w:jc w:val="both"/>
            </w:pPr>
            <w:r>
              <w:t>Intention-to-treat</w:t>
            </w:r>
          </w:p>
        </w:tc>
      </w:tr>
      <w:tr w:rsidR="006D3191" w:rsidRPr="00FD119B" w14:paraId="6CB6DC64" w14:textId="77777777" w:rsidTr="00FD119B">
        <w:tc>
          <w:tcPr>
            <w:tcW w:w="1809" w:type="dxa"/>
          </w:tcPr>
          <w:p w14:paraId="080F0184" w14:textId="77777777" w:rsidR="006D3191" w:rsidRDefault="006D3191" w:rsidP="00305008">
            <w:pPr>
              <w:jc w:val="both"/>
            </w:pPr>
            <w:r>
              <w:t>Ki</w:t>
            </w:r>
          </w:p>
        </w:tc>
        <w:tc>
          <w:tcPr>
            <w:tcW w:w="6911" w:type="dxa"/>
          </w:tcPr>
          <w:p w14:paraId="42B9CB3E" w14:textId="77777777" w:rsidR="006D3191" w:rsidRDefault="006D3191" w:rsidP="00693106">
            <w:pPr>
              <w:jc w:val="both"/>
            </w:pPr>
            <w:r>
              <w:t>Inhibitory constant</w:t>
            </w:r>
          </w:p>
        </w:tc>
      </w:tr>
      <w:tr w:rsidR="007B0865" w:rsidRPr="00FD119B" w14:paraId="0BD11E93" w14:textId="77777777" w:rsidTr="00FD119B">
        <w:tc>
          <w:tcPr>
            <w:tcW w:w="1809" w:type="dxa"/>
          </w:tcPr>
          <w:p w14:paraId="3EEE62BA" w14:textId="4676708B" w:rsidR="007B0865" w:rsidRDefault="007B0865" w:rsidP="00305008">
            <w:pPr>
              <w:jc w:val="both"/>
            </w:pPr>
            <w:r>
              <w:lastRenderedPageBreak/>
              <w:t>LOCF</w:t>
            </w:r>
          </w:p>
        </w:tc>
        <w:tc>
          <w:tcPr>
            <w:tcW w:w="6911" w:type="dxa"/>
          </w:tcPr>
          <w:p w14:paraId="5A4E604C" w14:textId="287A0236" w:rsidR="007B0865" w:rsidRDefault="007B0865" w:rsidP="00305008">
            <w:pPr>
              <w:jc w:val="both"/>
            </w:pPr>
            <w:r>
              <w:t>Last observation carried forward</w:t>
            </w:r>
          </w:p>
        </w:tc>
      </w:tr>
      <w:tr w:rsidR="006D3191" w:rsidRPr="00FD119B" w14:paraId="0171B8E2" w14:textId="77777777" w:rsidTr="00FD119B">
        <w:tc>
          <w:tcPr>
            <w:tcW w:w="1809" w:type="dxa"/>
          </w:tcPr>
          <w:p w14:paraId="62656335" w14:textId="77777777" w:rsidR="006D3191" w:rsidRDefault="006D3191" w:rsidP="00305008">
            <w:pPr>
              <w:jc w:val="both"/>
            </w:pPr>
            <w:proofErr w:type="spellStart"/>
            <w:r>
              <w:t>LogMAR</w:t>
            </w:r>
            <w:proofErr w:type="spellEnd"/>
          </w:p>
        </w:tc>
        <w:tc>
          <w:tcPr>
            <w:tcW w:w="6911" w:type="dxa"/>
          </w:tcPr>
          <w:p w14:paraId="669BC8C2" w14:textId="77777777" w:rsidR="006D3191" w:rsidRDefault="006D3191" w:rsidP="00305008">
            <w:pPr>
              <w:jc w:val="both"/>
            </w:pPr>
            <w:r>
              <w:t>Logarithm of the minimum angle of resolution</w:t>
            </w:r>
          </w:p>
        </w:tc>
      </w:tr>
      <w:tr w:rsidR="006D3191" w:rsidRPr="00FD119B" w14:paraId="0503EF3F" w14:textId="77777777" w:rsidTr="00FD119B">
        <w:tc>
          <w:tcPr>
            <w:tcW w:w="1809" w:type="dxa"/>
          </w:tcPr>
          <w:p w14:paraId="6FAEAD14" w14:textId="77777777" w:rsidR="006D3191" w:rsidRDefault="006D3191" w:rsidP="00305008">
            <w:pPr>
              <w:jc w:val="both"/>
            </w:pPr>
            <w:proofErr w:type="spellStart"/>
            <w:r>
              <w:t>mNGF</w:t>
            </w:r>
            <w:proofErr w:type="spellEnd"/>
          </w:p>
        </w:tc>
        <w:tc>
          <w:tcPr>
            <w:tcW w:w="6911" w:type="dxa"/>
          </w:tcPr>
          <w:p w14:paraId="1B32C032" w14:textId="77777777" w:rsidR="006D3191" w:rsidRDefault="006D3191" w:rsidP="00305008">
            <w:pPr>
              <w:jc w:val="both"/>
            </w:pPr>
            <w:r>
              <w:t>Murine nerve growth factor</w:t>
            </w:r>
          </w:p>
        </w:tc>
      </w:tr>
      <w:tr w:rsidR="006D3191" w:rsidRPr="00FD119B" w14:paraId="739D987E" w14:textId="77777777" w:rsidTr="00FD119B">
        <w:tc>
          <w:tcPr>
            <w:tcW w:w="1809" w:type="dxa"/>
          </w:tcPr>
          <w:p w14:paraId="612ABCC8" w14:textId="77777777" w:rsidR="006D3191" w:rsidRDefault="006D3191" w:rsidP="00305008">
            <w:pPr>
              <w:jc w:val="both"/>
            </w:pPr>
            <w:r>
              <w:t>NGF</w:t>
            </w:r>
          </w:p>
        </w:tc>
        <w:tc>
          <w:tcPr>
            <w:tcW w:w="6911" w:type="dxa"/>
          </w:tcPr>
          <w:p w14:paraId="3F993546" w14:textId="77777777" w:rsidR="006D3191" w:rsidRDefault="006D3191" w:rsidP="00305008">
            <w:pPr>
              <w:jc w:val="both"/>
            </w:pPr>
            <w:r>
              <w:t>Nerve growth factor</w:t>
            </w:r>
          </w:p>
        </w:tc>
      </w:tr>
      <w:tr w:rsidR="006D3191" w:rsidRPr="00FD119B" w14:paraId="7DFDED80" w14:textId="77777777" w:rsidTr="00FD119B">
        <w:tc>
          <w:tcPr>
            <w:tcW w:w="1809" w:type="dxa"/>
          </w:tcPr>
          <w:p w14:paraId="7FF00059" w14:textId="77777777" w:rsidR="006D3191" w:rsidRDefault="006D3191" w:rsidP="00305008">
            <w:pPr>
              <w:jc w:val="both"/>
            </w:pPr>
            <w:r>
              <w:t>NK</w:t>
            </w:r>
          </w:p>
        </w:tc>
        <w:tc>
          <w:tcPr>
            <w:tcW w:w="6911" w:type="dxa"/>
          </w:tcPr>
          <w:p w14:paraId="354A49CC" w14:textId="77777777" w:rsidR="006D3191" w:rsidRDefault="006D3191" w:rsidP="00305008">
            <w:pPr>
              <w:jc w:val="both"/>
            </w:pPr>
            <w:r>
              <w:t>Neurotrophic keratitis</w:t>
            </w:r>
          </w:p>
        </w:tc>
      </w:tr>
      <w:tr w:rsidR="006D3191" w:rsidRPr="00FD119B" w14:paraId="14F35F06" w14:textId="77777777" w:rsidTr="00FD119B">
        <w:tc>
          <w:tcPr>
            <w:tcW w:w="1809" w:type="dxa"/>
          </w:tcPr>
          <w:p w14:paraId="118D31E7" w14:textId="77777777" w:rsidR="006D3191" w:rsidRDefault="006D3191" w:rsidP="00305008">
            <w:pPr>
              <w:jc w:val="both"/>
            </w:pPr>
            <w:proofErr w:type="spellStart"/>
            <w:r>
              <w:t>nM</w:t>
            </w:r>
            <w:proofErr w:type="spellEnd"/>
          </w:p>
        </w:tc>
        <w:tc>
          <w:tcPr>
            <w:tcW w:w="6911" w:type="dxa"/>
          </w:tcPr>
          <w:p w14:paraId="70C01BB2" w14:textId="77777777" w:rsidR="006D3191" w:rsidRDefault="006D3191" w:rsidP="006D3191">
            <w:pPr>
              <w:jc w:val="both"/>
            </w:pPr>
            <w:proofErr w:type="spellStart"/>
            <w:r>
              <w:t>Nanomolar</w:t>
            </w:r>
            <w:proofErr w:type="spellEnd"/>
          </w:p>
        </w:tc>
      </w:tr>
      <w:tr w:rsidR="006D3191" w:rsidRPr="00FD119B" w14:paraId="31A5F696" w14:textId="77777777" w:rsidTr="00FD119B">
        <w:tc>
          <w:tcPr>
            <w:tcW w:w="1809" w:type="dxa"/>
          </w:tcPr>
          <w:p w14:paraId="1F7850A2" w14:textId="77777777" w:rsidR="006D3191" w:rsidRDefault="006D3191" w:rsidP="00305008">
            <w:pPr>
              <w:jc w:val="both"/>
            </w:pPr>
            <w:r>
              <w:t>p75LNGFR</w:t>
            </w:r>
          </w:p>
        </w:tc>
        <w:tc>
          <w:tcPr>
            <w:tcW w:w="6911" w:type="dxa"/>
          </w:tcPr>
          <w:p w14:paraId="65BA2839" w14:textId="77777777" w:rsidR="006D3191" w:rsidRDefault="006D3191" w:rsidP="00693106">
            <w:pPr>
              <w:jc w:val="both"/>
            </w:pPr>
            <w:r>
              <w:t>Low-affinity nerve growth factor receptor p75</w:t>
            </w:r>
          </w:p>
        </w:tc>
      </w:tr>
      <w:tr w:rsidR="006D3191" w:rsidRPr="00FD119B" w14:paraId="308E3582" w14:textId="77777777" w:rsidTr="00FD119B">
        <w:tc>
          <w:tcPr>
            <w:tcW w:w="1809" w:type="dxa"/>
          </w:tcPr>
          <w:p w14:paraId="46F1B734" w14:textId="77777777" w:rsidR="006D3191" w:rsidRDefault="006D3191" w:rsidP="00305008">
            <w:pPr>
              <w:jc w:val="both"/>
            </w:pPr>
            <w:r>
              <w:t>P7NTR</w:t>
            </w:r>
          </w:p>
        </w:tc>
        <w:tc>
          <w:tcPr>
            <w:tcW w:w="6911" w:type="dxa"/>
          </w:tcPr>
          <w:p w14:paraId="420E1025" w14:textId="77777777" w:rsidR="006D3191" w:rsidRDefault="006D3191" w:rsidP="00305008">
            <w:pPr>
              <w:jc w:val="both"/>
            </w:pPr>
            <w:r>
              <w:t>P75 neurotrophic receptor</w:t>
            </w:r>
          </w:p>
        </w:tc>
      </w:tr>
      <w:tr w:rsidR="006D3191" w:rsidRPr="00FD119B" w14:paraId="74A6FCBD" w14:textId="77777777" w:rsidTr="00FD119B">
        <w:tc>
          <w:tcPr>
            <w:tcW w:w="1809" w:type="dxa"/>
          </w:tcPr>
          <w:p w14:paraId="1CC04C97" w14:textId="77777777" w:rsidR="006D3191" w:rsidRDefault="006D3191" w:rsidP="00305008">
            <w:pPr>
              <w:jc w:val="both"/>
            </w:pPr>
            <w:r>
              <w:t>PED</w:t>
            </w:r>
          </w:p>
        </w:tc>
        <w:tc>
          <w:tcPr>
            <w:tcW w:w="6911" w:type="dxa"/>
          </w:tcPr>
          <w:p w14:paraId="1846F162" w14:textId="77777777" w:rsidR="006D3191" w:rsidRDefault="006D3191" w:rsidP="00305008">
            <w:pPr>
              <w:jc w:val="both"/>
            </w:pPr>
            <w:r>
              <w:t>Persistent epithelial defect</w:t>
            </w:r>
          </w:p>
        </w:tc>
      </w:tr>
      <w:tr w:rsidR="00F44532" w:rsidRPr="00FD119B" w14:paraId="7508D630" w14:textId="77777777" w:rsidTr="00FD119B">
        <w:tc>
          <w:tcPr>
            <w:tcW w:w="1809" w:type="dxa"/>
          </w:tcPr>
          <w:p w14:paraId="2C156DC3" w14:textId="3762EB85" w:rsidR="00F44532" w:rsidRDefault="00F44532" w:rsidP="00305008">
            <w:pPr>
              <w:jc w:val="both"/>
            </w:pPr>
            <w:r>
              <w:t>PI</w:t>
            </w:r>
          </w:p>
        </w:tc>
        <w:tc>
          <w:tcPr>
            <w:tcW w:w="6911" w:type="dxa"/>
          </w:tcPr>
          <w:p w14:paraId="4D208E88" w14:textId="08A60E02" w:rsidR="00F44532" w:rsidRDefault="00F44532" w:rsidP="00305008">
            <w:pPr>
              <w:jc w:val="both"/>
            </w:pPr>
            <w:r>
              <w:t>Product Information</w:t>
            </w:r>
          </w:p>
        </w:tc>
      </w:tr>
      <w:tr w:rsidR="006D3191" w:rsidRPr="00FD119B" w14:paraId="06DF5E22" w14:textId="77777777" w:rsidTr="00FD119B">
        <w:tc>
          <w:tcPr>
            <w:tcW w:w="1809" w:type="dxa"/>
          </w:tcPr>
          <w:p w14:paraId="453ACB15" w14:textId="77777777" w:rsidR="006D3191" w:rsidRDefault="006D3191" w:rsidP="00305008">
            <w:pPr>
              <w:jc w:val="both"/>
            </w:pPr>
            <w:r>
              <w:t>PK</w:t>
            </w:r>
          </w:p>
        </w:tc>
        <w:tc>
          <w:tcPr>
            <w:tcW w:w="6911" w:type="dxa"/>
          </w:tcPr>
          <w:p w14:paraId="7B8DB82C" w14:textId="2D71F18E" w:rsidR="006D3191" w:rsidRDefault="006D3191" w:rsidP="00305008">
            <w:pPr>
              <w:jc w:val="both"/>
            </w:pPr>
            <w:r>
              <w:t>Pharmacokinetic</w:t>
            </w:r>
            <w:r w:rsidR="008867A2">
              <w:t>(</w:t>
            </w:r>
            <w:r>
              <w:t>s</w:t>
            </w:r>
            <w:r w:rsidR="008867A2">
              <w:t>)</w:t>
            </w:r>
          </w:p>
        </w:tc>
      </w:tr>
      <w:tr w:rsidR="006D3191" w:rsidRPr="00FD119B" w14:paraId="01753F75" w14:textId="77777777" w:rsidTr="00FD119B">
        <w:tc>
          <w:tcPr>
            <w:tcW w:w="1809" w:type="dxa"/>
          </w:tcPr>
          <w:p w14:paraId="422AF26D" w14:textId="77777777" w:rsidR="006D3191" w:rsidRDefault="006D3191" w:rsidP="00305008">
            <w:pPr>
              <w:jc w:val="both"/>
            </w:pPr>
            <w:proofErr w:type="spellStart"/>
            <w:r>
              <w:t>pM</w:t>
            </w:r>
            <w:proofErr w:type="spellEnd"/>
          </w:p>
        </w:tc>
        <w:tc>
          <w:tcPr>
            <w:tcW w:w="6911" w:type="dxa"/>
          </w:tcPr>
          <w:p w14:paraId="04A322A8" w14:textId="77777777" w:rsidR="006D3191" w:rsidRDefault="006D3191" w:rsidP="00794C57">
            <w:pPr>
              <w:jc w:val="both"/>
            </w:pPr>
            <w:proofErr w:type="spellStart"/>
            <w:r>
              <w:t>Picomolar</w:t>
            </w:r>
            <w:proofErr w:type="spellEnd"/>
          </w:p>
        </w:tc>
      </w:tr>
      <w:tr w:rsidR="0028551A" w:rsidRPr="00FD119B" w14:paraId="16A0E4EB" w14:textId="77777777" w:rsidTr="00FD119B">
        <w:tc>
          <w:tcPr>
            <w:tcW w:w="1809" w:type="dxa"/>
          </w:tcPr>
          <w:p w14:paraId="27ECF43F" w14:textId="61B9E2D9" w:rsidR="0028551A" w:rsidRDefault="0028551A" w:rsidP="00305008">
            <w:pPr>
              <w:jc w:val="both"/>
            </w:pPr>
            <w:r>
              <w:t>PSUR</w:t>
            </w:r>
          </w:p>
        </w:tc>
        <w:tc>
          <w:tcPr>
            <w:tcW w:w="6911" w:type="dxa"/>
          </w:tcPr>
          <w:p w14:paraId="4862F013" w14:textId="4F1309A5" w:rsidR="0028551A" w:rsidRDefault="0028551A" w:rsidP="0028551A">
            <w:pPr>
              <w:jc w:val="both"/>
            </w:pPr>
            <w:r>
              <w:t>Periodic safety update report</w:t>
            </w:r>
          </w:p>
        </w:tc>
      </w:tr>
      <w:tr w:rsidR="00CB6833" w:rsidRPr="00FD119B" w14:paraId="28C9B795" w14:textId="77777777" w:rsidTr="00FD119B">
        <w:tc>
          <w:tcPr>
            <w:tcW w:w="1809" w:type="dxa"/>
          </w:tcPr>
          <w:p w14:paraId="72698647" w14:textId="4D33FC13" w:rsidR="00CB6833" w:rsidRDefault="00CB6833" w:rsidP="00305008">
            <w:pPr>
              <w:jc w:val="both"/>
            </w:pPr>
            <w:proofErr w:type="spellStart"/>
            <w:r>
              <w:t>rbe</w:t>
            </w:r>
            <w:proofErr w:type="spellEnd"/>
          </w:p>
        </w:tc>
        <w:tc>
          <w:tcPr>
            <w:tcW w:w="6911" w:type="dxa"/>
          </w:tcPr>
          <w:p w14:paraId="55513E23" w14:textId="280107D9" w:rsidR="00CB6833" w:rsidRDefault="00CB6833" w:rsidP="00305008">
            <w:pPr>
              <w:jc w:val="both"/>
            </w:pPr>
            <w:r>
              <w:t>Recombinant biological entity</w:t>
            </w:r>
          </w:p>
        </w:tc>
      </w:tr>
      <w:tr w:rsidR="006D3191" w:rsidRPr="00FD119B" w14:paraId="71BFAEB5" w14:textId="77777777" w:rsidTr="00FD119B">
        <w:tc>
          <w:tcPr>
            <w:tcW w:w="1809" w:type="dxa"/>
          </w:tcPr>
          <w:p w14:paraId="4B575A3A" w14:textId="77777777" w:rsidR="006D3191" w:rsidRDefault="006D3191" w:rsidP="00305008">
            <w:pPr>
              <w:jc w:val="both"/>
            </w:pPr>
            <w:proofErr w:type="spellStart"/>
            <w:r>
              <w:t>rhNGF</w:t>
            </w:r>
            <w:proofErr w:type="spellEnd"/>
          </w:p>
        </w:tc>
        <w:tc>
          <w:tcPr>
            <w:tcW w:w="6911" w:type="dxa"/>
          </w:tcPr>
          <w:p w14:paraId="712D4BBE" w14:textId="77777777" w:rsidR="006D3191" w:rsidRDefault="006D3191" w:rsidP="00305008">
            <w:pPr>
              <w:jc w:val="both"/>
            </w:pPr>
            <w:r>
              <w:t>Recombinant human nerve growth factor</w:t>
            </w:r>
          </w:p>
        </w:tc>
      </w:tr>
      <w:tr w:rsidR="006D3191" w:rsidRPr="00FD119B" w14:paraId="43CE3ADA" w14:textId="77777777" w:rsidTr="00FD119B">
        <w:tc>
          <w:tcPr>
            <w:tcW w:w="1809" w:type="dxa"/>
          </w:tcPr>
          <w:p w14:paraId="619E4B2A" w14:textId="77777777" w:rsidR="006D3191" w:rsidRDefault="006D3191" w:rsidP="00305008">
            <w:pPr>
              <w:jc w:val="both"/>
            </w:pPr>
            <w:r>
              <w:t>RMP</w:t>
            </w:r>
          </w:p>
        </w:tc>
        <w:tc>
          <w:tcPr>
            <w:tcW w:w="6911" w:type="dxa"/>
          </w:tcPr>
          <w:p w14:paraId="10B67C60" w14:textId="22903714" w:rsidR="006D3191" w:rsidRDefault="006D3191" w:rsidP="00E40158">
            <w:pPr>
              <w:jc w:val="both"/>
            </w:pPr>
            <w:r>
              <w:t xml:space="preserve">Risk </w:t>
            </w:r>
            <w:r w:rsidR="00E40158">
              <w:t>management p</w:t>
            </w:r>
            <w:r>
              <w:t>lan</w:t>
            </w:r>
          </w:p>
        </w:tc>
      </w:tr>
      <w:tr w:rsidR="006D3191" w:rsidRPr="00FD119B" w14:paraId="400C48E8" w14:textId="77777777" w:rsidTr="00FD119B">
        <w:tc>
          <w:tcPr>
            <w:tcW w:w="1809" w:type="dxa"/>
          </w:tcPr>
          <w:p w14:paraId="54D459CE" w14:textId="77777777" w:rsidR="006D3191" w:rsidRDefault="006D3191" w:rsidP="00305008">
            <w:pPr>
              <w:jc w:val="both"/>
            </w:pPr>
            <w:r>
              <w:t>SC</w:t>
            </w:r>
          </w:p>
        </w:tc>
        <w:tc>
          <w:tcPr>
            <w:tcW w:w="6911" w:type="dxa"/>
          </w:tcPr>
          <w:p w14:paraId="71861624" w14:textId="77777777" w:rsidR="006D3191" w:rsidRDefault="006D3191" w:rsidP="00BD58DD">
            <w:pPr>
              <w:jc w:val="both"/>
            </w:pPr>
            <w:r>
              <w:t>Subcutaneous</w:t>
            </w:r>
          </w:p>
        </w:tc>
      </w:tr>
      <w:tr w:rsidR="006D3191" w:rsidRPr="00FD119B" w14:paraId="5DAB8E86" w14:textId="77777777" w:rsidTr="00FD119B">
        <w:tc>
          <w:tcPr>
            <w:tcW w:w="1809" w:type="dxa"/>
          </w:tcPr>
          <w:p w14:paraId="3255C06D" w14:textId="77777777" w:rsidR="006D3191" w:rsidRDefault="006D3191" w:rsidP="00305008">
            <w:pPr>
              <w:jc w:val="both"/>
            </w:pPr>
            <w:r>
              <w:t>SD</w:t>
            </w:r>
          </w:p>
        </w:tc>
        <w:tc>
          <w:tcPr>
            <w:tcW w:w="6911" w:type="dxa"/>
          </w:tcPr>
          <w:p w14:paraId="1EC3EEC4" w14:textId="77777777" w:rsidR="006D3191" w:rsidRDefault="006D3191" w:rsidP="00305008">
            <w:pPr>
              <w:jc w:val="both"/>
            </w:pPr>
            <w:r>
              <w:t>Standard deviation</w:t>
            </w:r>
          </w:p>
        </w:tc>
      </w:tr>
      <w:tr w:rsidR="00D14ED4" w:rsidRPr="00FD119B" w14:paraId="7DE79596" w14:textId="77777777" w:rsidTr="00FD119B">
        <w:tc>
          <w:tcPr>
            <w:tcW w:w="1809" w:type="dxa"/>
          </w:tcPr>
          <w:p w14:paraId="1A3A6069" w14:textId="1CAD3B47" w:rsidR="00D14ED4" w:rsidRDefault="00D14ED4" w:rsidP="00305008">
            <w:pPr>
              <w:jc w:val="both"/>
            </w:pPr>
            <w:r>
              <w:t>TEAE</w:t>
            </w:r>
          </w:p>
        </w:tc>
        <w:tc>
          <w:tcPr>
            <w:tcW w:w="6911" w:type="dxa"/>
          </w:tcPr>
          <w:p w14:paraId="4C915145" w14:textId="3AEC2BF1" w:rsidR="00D14ED4" w:rsidRDefault="00D14ED4" w:rsidP="00305008">
            <w:pPr>
              <w:jc w:val="both"/>
            </w:pPr>
            <w:r w:rsidRPr="00D14ED4">
              <w:t>Treatment emergent adverse event</w:t>
            </w:r>
            <w:r>
              <w:t>(</w:t>
            </w:r>
            <w:r w:rsidRPr="00D14ED4">
              <w:t>s</w:t>
            </w:r>
            <w:r>
              <w:t>)</w:t>
            </w:r>
          </w:p>
        </w:tc>
      </w:tr>
      <w:tr w:rsidR="0028551A" w:rsidRPr="00FD119B" w14:paraId="598625BD" w14:textId="77777777" w:rsidTr="00FD119B">
        <w:tc>
          <w:tcPr>
            <w:tcW w:w="1809" w:type="dxa"/>
          </w:tcPr>
          <w:p w14:paraId="28A2DBB2" w14:textId="574927EF" w:rsidR="0028551A" w:rsidRDefault="0028551A" w:rsidP="00305008">
            <w:pPr>
              <w:jc w:val="both"/>
            </w:pPr>
            <w:r w:rsidRPr="006A3527">
              <w:t>TESAE</w:t>
            </w:r>
          </w:p>
        </w:tc>
        <w:tc>
          <w:tcPr>
            <w:tcW w:w="6911" w:type="dxa"/>
          </w:tcPr>
          <w:p w14:paraId="0AD2F177" w14:textId="13F260E5" w:rsidR="0028551A" w:rsidRPr="00D14ED4" w:rsidRDefault="0028551A" w:rsidP="00305008">
            <w:pPr>
              <w:jc w:val="both"/>
            </w:pPr>
            <w:r>
              <w:t>T</w:t>
            </w:r>
            <w:r w:rsidRPr="006A3527">
              <w:t>reatment emergent serious adverse event</w:t>
            </w:r>
          </w:p>
        </w:tc>
      </w:tr>
      <w:tr w:rsidR="006D3191" w:rsidRPr="00FD119B" w14:paraId="29A53613" w14:textId="77777777" w:rsidTr="00FD119B">
        <w:tc>
          <w:tcPr>
            <w:tcW w:w="1809" w:type="dxa"/>
          </w:tcPr>
          <w:p w14:paraId="059DF4EB" w14:textId="77777777" w:rsidR="006D3191" w:rsidRDefault="006D3191" w:rsidP="00305008">
            <w:pPr>
              <w:jc w:val="both"/>
            </w:pPr>
            <w:proofErr w:type="spellStart"/>
            <w:r>
              <w:t>TrkA</w:t>
            </w:r>
            <w:proofErr w:type="spellEnd"/>
          </w:p>
        </w:tc>
        <w:tc>
          <w:tcPr>
            <w:tcW w:w="6911" w:type="dxa"/>
          </w:tcPr>
          <w:p w14:paraId="17C9894E" w14:textId="77777777" w:rsidR="006D3191" w:rsidRDefault="006D3191" w:rsidP="00305008">
            <w:pPr>
              <w:jc w:val="both"/>
            </w:pPr>
            <w:r>
              <w:t>Tropomyosin receptor kinase A</w:t>
            </w:r>
          </w:p>
        </w:tc>
      </w:tr>
      <w:tr w:rsidR="006D3191" w:rsidRPr="00FD119B" w14:paraId="7B85DFE5" w14:textId="77777777" w:rsidTr="00FD119B">
        <w:tc>
          <w:tcPr>
            <w:tcW w:w="1809" w:type="dxa"/>
          </w:tcPr>
          <w:p w14:paraId="2ACB38D3" w14:textId="3179EA5E" w:rsidR="006D3191" w:rsidRDefault="00E40158" w:rsidP="00305008">
            <w:pPr>
              <w:jc w:val="both"/>
            </w:pPr>
            <w:r>
              <w:t>µ</w:t>
            </w:r>
            <w:r w:rsidR="006D3191">
              <w:t>g/mL</w:t>
            </w:r>
          </w:p>
        </w:tc>
        <w:tc>
          <w:tcPr>
            <w:tcW w:w="6911" w:type="dxa"/>
          </w:tcPr>
          <w:p w14:paraId="514FC002" w14:textId="77777777" w:rsidR="006D3191" w:rsidRDefault="006D3191" w:rsidP="006D3191">
            <w:pPr>
              <w:jc w:val="both"/>
            </w:pPr>
            <w:r>
              <w:t>Micrograms per millilitre</w:t>
            </w:r>
          </w:p>
        </w:tc>
      </w:tr>
    </w:tbl>
    <w:p w14:paraId="0A940570" w14:textId="77777777" w:rsidR="00FD119B" w:rsidRDefault="00FD119B" w:rsidP="00FD119B"/>
    <w:p w14:paraId="6BA161B1" w14:textId="77777777" w:rsidR="00FD119B" w:rsidRPr="00FD119B" w:rsidRDefault="00FD119B" w:rsidP="00FD119B">
      <w:pPr>
        <w:spacing w:before="0" w:after="200" w:line="0" w:lineRule="auto"/>
        <w:rPr>
          <w:b/>
          <w:i/>
          <w:sz w:val="24"/>
          <w:szCs w:val="24"/>
        </w:rPr>
      </w:pPr>
      <w:r w:rsidRPr="00FD119B">
        <w:rPr>
          <w:b/>
          <w:i/>
          <w:sz w:val="24"/>
          <w:szCs w:val="24"/>
        </w:rPr>
        <w:br w:type="page"/>
      </w:r>
    </w:p>
    <w:p w14:paraId="292DB27F" w14:textId="77777777" w:rsidR="008E7846" w:rsidRDefault="00F53C07" w:rsidP="008E7846">
      <w:pPr>
        <w:pStyle w:val="Heading2"/>
      </w:pPr>
      <w:bookmarkStart w:id="9" w:name="_Toc27992628"/>
      <w:r>
        <w:lastRenderedPageBreak/>
        <w:t>I.</w:t>
      </w:r>
      <w:r w:rsidR="008E7846">
        <w:t xml:space="preserve"> Introduction to product submission</w:t>
      </w:r>
      <w:bookmarkEnd w:id="3"/>
      <w:bookmarkEnd w:id="0"/>
      <w:bookmarkEnd w:id="9"/>
    </w:p>
    <w:p w14:paraId="59257AE4" w14:textId="77777777" w:rsidR="008E7846" w:rsidRDefault="008E7846" w:rsidP="008E7846">
      <w:pPr>
        <w:pStyle w:val="Heading3"/>
        <w:rPr>
          <w:lang w:eastAsia="en-AU"/>
        </w:rPr>
      </w:pPr>
      <w:bookmarkStart w:id="10" w:name="_Toc247691502"/>
      <w:bookmarkStart w:id="11" w:name="_Toc314842483"/>
      <w:bookmarkStart w:id="12" w:name="_Toc27992629"/>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14:paraId="105AD941" w14:textId="77777777" w:rsidTr="003735BC">
        <w:tc>
          <w:tcPr>
            <w:tcW w:w="2907" w:type="dxa"/>
          </w:tcPr>
          <w:p w14:paraId="0DE864FB"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2776B718" w14:textId="77777777" w:rsidR="008E7846" w:rsidRPr="003D1E62" w:rsidRDefault="006712DF" w:rsidP="001B5C90">
            <w:r>
              <w:t>New biological entity</w:t>
            </w:r>
          </w:p>
        </w:tc>
      </w:tr>
      <w:tr w:rsidR="008E7846" w:rsidRPr="003D1E62" w14:paraId="349FB072" w14:textId="77777777" w:rsidTr="003735BC">
        <w:tc>
          <w:tcPr>
            <w:tcW w:w="2907" w:type="dxa"/>
          </w:tcPr>
          <w:p w14:paraId="084D5BAC" w14:textId="77777777" w:rsidR="008E7846" w:rsidRPr="003D1E62" w:rsidRDefault="008E7846" w:rsidP="003D1E62">
            <w:r w:rsidRPr="003D1E62">
              <w:rPr>
                <w:i/>
              </w:rPr>
              <w:t>Decision</w:t>
            </w:r>
            <w:r w:rsidRPr="003D1E62">
              <w:t>:</w:t>
            </w:r>
          </w:p>
        </w:tc>
        <w:tc>
          <w:tcPr>
            <w:tcW w:w="6307" w:type="dxa"/>
          </w:tcPr>
          <w:p w14:paraId="1AC28CC9" w14:textId="77777777" w:rsidR="008E7846" w:rsidRPr="003D1E62" w:rsidRDefault="006712DF" w:rsidP="006712DF">
            <w:r>
              <w:t>Approved</w:t>
            </w:r>
          </w:p>
        </w:tc>
      </w:tr>
      <w:tr w:rsidR="008E7846" w:rsidRPr="003D1E62" w14:paraId="3A0C016E" w14:textId="77777777" w:rsidTr="003735BC">
        <w:tc>
          <w:tcPr>
            <w:tcW w:w="2907" w:type="dxa"/>
          </w:tcPr>
          <w:p w14:paraId="6D40CC72"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69F012BE" w14:textId="77777777" w:rsidR="008E7846" w:rsidRPr="003D1E62" w:rsidRDefault="006712DF" w:rsidP="001B5C90">
            <w:r w:rsidRPr="006D5125">
              <w:t>16 September 2019</w:t>
            </w:r>
          </w:p>
        </w:tc>
      </w:tr>
      <w:tr w:rsidR="00ED2922" w:rsidRPr="003D1E62" w14:paraId="6C9516F0" w14:textId="77777777" w:rsidTr="003735BC">
        <w:tc>
          <w:tcPr>
            <w:tcW w:w="2907" w:type="dxa"/>
          </w:tcPr>
          <w:p w14:paraId="799F9CD8" w14:textId="77777777" w:rsidR="00ED2922" w:rsidRPr="00441C3F" w:rsidRDefault="00ED2922" w:rsidP="001B5C90">
            <w:pPr>
              <w:rPr>
                <w:i/>
              </w:rPr>
            </w:pPr>
            <w:r w:rsidRPr="00441C3F">
              <w:rPr>
                <w:i/>
              </w:rPr>
              <w:t>Date of entry onto ARTG</w:t>
            </w:r>
            <w:r w:rsidR="00500337">
              <w:rPr>
                <w:i/>
              </w:rPr>
              <w:t>:</w:t>
            </w:r>
          </w:p>
        </w:tc>
        <w:tc>
          <w:tcPr>
            <w:tcW w:w="6307" w:type="dxa"/>
          </w:tcPr>
          <w:p w14:paraId="7B50FA09" w14:textId="77777777" w:rsidR="00ED2922" w:rsidRPr="00441C3F" w:rsidRDefault="006712DF" w:rsidP="00D153D8">
            <w:pPr>
              <w:rPr>
                <w:i/>
              </w:rPr>
            </w:pPr>
            <w:r>
              <w:t>1 October 2019</w:t>
            </w:r>
          </w:p>
        </w:tc>
      </w:tr>
      <w:tr w:rsidR="00500337" w:rsidRPr="003D1E62" w14:paraId="66640F2A" w14:textId="77777777" w:rsidTr="003735BC">
        <w:tc>
          <w:tcPr>
            <w:tcW w:w="2907" w:type="dxa"/>
          </w:tcPr>
          <w:p w14:paraId="2E9DF624" w14:textId="77777777" w:rsidR="00500337" w:rsidRPr="00441C3F" w:rsidRDefault="00305008" w:rsidP="001B5C90">
            <w:pPr>
              <w:rPr>
                <w:i/>
              </w:rPr>
            </w:pPr>
            <w:r>
              <w:rPr>
                <w:i/>
              </w:rPr>
              <w:t>ARTG number</w:t>
            </w:r>
            <w:r w:rsidR="00500337">
              <w:rPr>
                <w:i/>
              </w:rPr>
              <w:t>:</w:t>
            </w:r>
          </w:p>
        </w:tc>
        <w:tc>
          <w:tcPr>
            <w:tcW w:w="6307" w:type="dxa"/>
          </w:tcPr>
          <w:p w14:paraId="7CF88DC7" w14:textId="77777777" w:rsidR="00500337" w:rsidRPr="00441C3F" w:rsidRDefault="006712DF" w:rsidP="00EC463D">
            <w:r w:rsidRPr="006D5125">
              <w:t>310960</w:t>
            </w:r>
          </w:p>
        </w:tc>
      </w:tr>
      <w:tr w:rsidR="003735BC" w:rsidRPr="003D1E62" w14:paraId="54CB0376" w14:textId="77777777" w:rsidTr="003735BC">
        <w:tc>
          <w:tcPr>
            <w:tcW w:w="2907" w:type="dxa"/>
          </w:tcPr>
          <w:p w14:paraId="27A6B279"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p>
        </w:tc>
        <w:tc>
          <w:tcPr>
            <w:tcW w:w="6307" w:type="dxa"/>
          </w:tcPr>
          <w:p w14:paraId="41199B3B" w14:textId="77777777" w:rsidR="003735BC" w:rsidRDefault="006712DF" w:rsidP="003735BC">
            <w:r>
              <w:t>Yes</w:t>
            </w:r>
          </w:p>
          <w:p w14:paraId="0E650705" w14:textId="77777777" w:rsidR="003735BC" w:rsidRPr="00487162" w:rsidRDefault="003735BC" w:rsidP="003735BC">
            <w:r>
              <w:t xml:space="preserve">This product will remain in the scheme for 5 years, starting on the date the product is first supplied in </w:t>
            </w:r>
            <w:r w:rsidR="006712DF">
              <w:t>Australia.</w:t>
            </w:r>
          </w:p>
        </w:tc>
      </w:tr>
      <w:tr w:rsidR="008E7846" w:rsidRPr="00487162" w14:paraId="46982364" w14:textId="77777777" w:rsidTr="00BF1190">
        <w:tc>
          <w:tcPr>
            <w:tcW w:w="2907" w:type="dxa"/>
          </w:tcPr>
          <w:p w14:paraId="30E31F38" w14:textId="77777777" w:rsidR="008E7846" w:rsidRPr="00487162" w:rsidRDefault="00305008" w:rsidP="00E45619">
            <w:pPr>
              <w:rPr>
                <w:i/>
              </w:rPr>
            </w:pPr>
            <w:r>
              <w:rPr>
                <w:i/>
              </w:rPr>
              <w:t>Active ingredient</w:t>
            </w:r>
            <w:r w:rsidR="001B5C90">
              <w:rPr>
                <w:i/>
              </w:rPr>
              <w:t>:</w:t>
            </w:r>
          </w:p>
        </w:tc>
        <w:tc>
          <w:tcPr>
            <w:tcW w:w="6307" w:type="dxa"/>
          </w:tcPr>
          <w:p w14:paraId="1431690F" w14:textId="77777777" w:rsidR="008E7846" w:rsidRPr="00487162" w:rsidRDefault="006712DF" w:rsidP="00E55CB0">
            <w:proofErr w:type="spellStart"/>
            <w:r w:rsidRPr="006D5125">
              <w:t>Cenegermin</w:t>
            </w:r>
            <w:proofErr w:type="spellEnd"/>
            <w:r w:rsidRPr="006D5125">
              <w:t xml:space="preserve"> (</w:t>
            </w:r>
            <w:proofErr w:type="spellStart"/>
            <w:r w:rsidRPr="006D5125">
              <w:t>rbe</w:t>
            </w:r>
            <w:proofErr w:type="spellEnd"/>
            <w:r w:rsidRPr="006D5125">
              <w:t>)</w:t>
            </w:r>
          </w:p>
        </w:tc>
      </w:tr>
      <w:tr w:rsidR="008E7846" w:rsidRPr="00487162" w14:paraId="56C9CA40" w14:textId="77777777" w:rsidTr="00BF1190">
        <w:tc>
          <w:tcPr>
            <w:tcW w:w="2907" w:type="dxa"/>
          </w:tcPr>
          <w:p w14:paraId="55927CFB" w14:textId="77777777" w:rsidR="008E7846" w:rsidRPr="00487162" w:rsidRDefault="008E7846" w:rsidP="001B5C90">
            <w:pPr>
              <w:rPr>
                <w:i/>
              </w:rPr>
            </w:pPr>
            <w:r w:rsidRPr="00487162">
              <w:rPr>
                <w:i/>
              </w:rPr>
              <w:t>Product</w:t>
            </w:r>
            <w:r w:rsidR="00305008">
              <w:rPr>
                <w:i/>
              </w:rPr>
              <w:t xml:space="preserve"> name</w:t>
            </w:r>
            <w:r w:rsidR="001B5C90">
              <w:rPr>
                <w:i/>
              </w:rPr>
              <w:t>:</w:t>
            </w:r>
          </w:p>
        </w:tc>
        <w:tc>
          <w:tcPr>
            <w:tcW w:w="6307" w:type="dxa"/>
          </w:tcPr>
          <w:p w14:paraId="6FD1983A" w14:textId="77777777" w:rsidR="008E7846" w:rsidRPr="00487162" w:rsidRDefault="006712DF" w:rsidP="00E45619">
            <w:r w:rsidRPr="006D5125">
              <w:t>Oxervate</w:t>
            </w:r>
          </w:p>
        </w:tc>
      </w:tr>
      <w:tr w:rsidR="008E7846" w:rsidRPr="00487162" w14:paraId="426CF710" w14:textId="77777777" w:rsidTr="00BF1190">
        <w:tc>
          <w:tcPr>
            <w:tcW w:w="2907" w:type="dxa"/>
          </w:tcPr>
          <w:p w14:paraId="1660E9B8"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1EF303F9" w14:textId="77777777" w:rsidR="006712DF" w:rsidRPr="006D5125" w:rsidRDefault="006712DF" w:rsidP="006712DF">
            <w:r w:rsidRPr="006D5125">
              <w:t>JACE Pharma Pty Ltd</w:t>
            </w:r>
          </w:p>
          <w:p w14:paraId="6BEC2FE9" w14:textId="77777777" w:rsidR="006712DF" w:rsidRDefault="006712DF" w:rsidP="006712DF">
            <w:r w:rsidRPr="006D5125">
              <w:t xml:space="preserve">7 </w:t>
            </w:r>
            <w:proofErr w:type="spellStart"/>
            <w:r w:rsidRPr="006D5125">
              <w:t>Clunies</w:t>
            </w:r>
            <w:proofErr w:type="spellEnd"/>
            <w:r w:rsidRPr="006D5125">
              <w:t xml:space="preserve"> Ross Court</w:t>
            </w:r>
            <w:r>
              <w:t>,</w:t>
            </w:r>
          </w:p>
          <w:p w14:paraId="5EF6F049" w14:textId="77777777" w:rsidR="008E7846" w:rsidRPr="00487162" w:rsidRDefault="006712DF" w:rsidP="006712DF">
            <w:r w:rsidRPr="006D5125">
              <w:t>Eight Mile Plains QLD 4113</w:t>
            </w:r>
          </w:p>
        </w:tc>
      </w:tr>
      <w:tr w:rsidR="008E7846" w:rsidRPr="00487162" w14:paraId="5E9C3679" w14:textId="77777777" w:rsidTr="00BF1190">
        <w:tc>
          <w:tcPr>
            <w:tcW w:w="2907" w:type="dxa"/>
          </w:tcPr>
          <w:p w14:paraId="694EF2C8" w14:textId="77777777" w:rsidR="008E7846" w:rsidRPr="00487162" w:rsidRDefault="00305008" w:rsidP="00E45619">
            <w:pPr>
              <w:rPr>
                <w:i/>
              </w:rPr>
            </w:pPr>
            <w:r>
              <w:rPr>
                <w:i/>
              </w:rPr>
              <w:t>Dose form</w:t>
            </w:r>
            <w:r w:rsidR="001B5C90">
              <w:rPr>
                <w:i/>
              </w:rPr>
              <w:t>:</w:t>
            </w:r>
          </w:p>
        </w:tc>
        <w:tc>
          <w:tcPr>
            <w:tcW w:w="6307" w:type="dxa"/>
          </w:tcPr>
          <w:p w14:paraId="14C4D7EC" w14:textId="77777777" w:rsidR="008E7846" w:rsidRPr="00487162" w:rsidRDefault="006712DF" w:rsidP="00E45619">
            <w:r w:rsidRPr="006D5125">
              <w:t>Eye drops, Solution</w:t>
            </w:r>
          </w:p>
        </w:tc>
      </w:tr>
      <w:tr w:rsidR="008E7846" w:rsidRPr="00487162" w14:paraId="6E1D346E" w14:textId="77777777" w:rsidTr="00BF1190">
        <w:tc>
          <w:tcPr>
            <w:tcW w:w="2907" w:type="dxa"/>
          </w:tcPr>
          <w:p w14:paraId="29E2B393" w14:textId="77777777" w:rsidR="008E7846" w:rsidRPr="00487162" w:rsidRDefault="00305008" w:rsidP="00E45619">
            <w:pPr>
              <w:rPr>
                <w:i/>
              </w:rPr>
            </w:pPr>
            <w:r>
              <w:rPr>
                <w:i/>
              </w:rPr>
              <w:t>Strength</w:t>
            </w:r>
            <w:r w:rsidR="008E7846" w:rsidRPr="00487162">
              <w:rPr>
                <w:i/>
              </w:rPr>
              <w:t xml:space="preserve">: </w:t>
            </w:r>
          </w:p>
        </w:tc>
        <w:tc>
          <w:tcPr>
            <w:tcW w:w="6307" w:type="dxa"/>
          </w:tcPr>
          <w:p w14:paraId="790FCC4A" w14:textId="77777777" w:rsidR="008E7846" w:rsidRPr="00487162" w:rsidRDefault="004F67B7" w:rsidP="00E45619">
            <w:r w:rsidRPr="006D5125">
              <w:t>20 µg/mL</w:t>
            </w:r>
          </w:p>
        </w:tc>
      </w:tr>
      <w:tr w:rsidR="008E7846" w:rsidRPr="00487162" w14:paraId="19715885" w14:textId="77777777" w:rsidTr="00BF1190">
        <w:tc>
          <w:tcPr>
            <w:tcW w:w="2907" w:type="dxa"/>
          </w:tcPr>
          <w:p w14:paraId="71716269" w14:textId="77777777" w:rsidR="008E7846" w:rsidRPr="00487162" w:rsidRDefault="00305008" w:rsidP="00E45619">
            <w:pPr>
              <w:rPr>
                <w:i/>
              </w:rPr>
            </w:pPr>
            <w:r>
              <w:rPr>
                <w:i/>
              </w:rPr>
              <w:t>Container</w:t>
            </w:r>
            <w:r w:rsidR="008E7846" w:rsidRPr="00487162">
              <w:rPr>
                <w:i/>
              </w:rPr>
              <w:t>:</w:t>
            </w:r>
          </w:p>
        </w:tc>
        <w:tc>
          <w:tcPr>
            <w:tcW w:w="6307" w:type="dxa"/>
          </w:tcPr>
          <w:p w14:paraId="25D93920" w14:textId="77777777" w:rsidR="008E7846" w:rsidRPr="00487162" w:rsidRDefault="00305008" w:rsidP="00E45619">
            <w:r w:rsidRPr="006D5125">
              <w:t>Vial</w:t>
            </w:r>
          </w:p>
        </w:tc>
      </w:tr>
      <w:tr w:rsidR="008E7846" w:rsidRPr="00487162" w14:paraId="3265D2A7" w14:textId="77777777" w:rsidTr="00BF1190">
        <w:tc>
          <w:tcPr>
            <w:tcW w:w="2907" w:type="dxa"/>
          </w:tcPr>
          <w:p w14:paraId="2C5D9C44" w14:textId="77777777" w:rsidR="008E7846" w:rsidRPr="00487162" w:rsidRDefault="00305008" w:rsidP="00E45619">
            <w:pPr>
              <w:rPr>
                <w:i/>
              </w:rPr>
            </w:pPr>
            <w:r>
              <w:rPr>
                <w:i/>
              </w:rPr>
              <w:t>Pack size</w:t>
            </w:r>
            <w:r w:rsidR="008E7846" w:rsidRPr="00487162">
              <w:rPr>
                <w:i/>
              </w:rPr>
              <w:t>:</w:t>
            </w:r>
          </w:p>
        </w:tc>
        <w:tc>
          <w:tcPr>
            <w:tcW w:w="6307" w:type="dxa"/>
          </w:tcPr>
          <w:p w14:paraId="1E40AE27" w14:textId="77777777" w:rsidR="008E7846" w:rsidRPr="00487162" w:rsidRDefault="00305008" w:rsidP="00E45619">
            <w:r w:rsidRPr="006D5125">
              <w:t>7/carton</w:t>
            </w:r>
          </w:p>
        </w:tc>
      </w:tr>
      <w:tr w:rsidR="008E7846" w:rsidRPr="00487162" w14:paraId="151D09DB" w14:textId="77777777" w:rsidTr="00BF1190">
        <w:tc>
          <w:tcPr>
            <w:tcW w:w="2907" w:type="dxa"/>
          </w:tcPr>
          <w:p w14:paraId="074F2B43"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033B4D9C" w14:textId="77777777" w:rsidR="008E7846" w:rsidRPr="00305008" w:rsidRDefault="00305008" w:rsidP="00E45619">
            <w:pPr>
              <w:rPr>
                <w:rFonts w:eastAsia="MS Mincho"/>
                <w:i/>
                <w:lang w:eastAsia="ja-JP"/>
              </w:rPr>
            </w:pPr>
            <w:r w:rsidRPr="00305008">
              <w:rPr>
                <w:i/>
              </w:rPr>
              <w:t>Treatment of moderate (persistent epithelial defect) or severe (corneal ulcer) neurotrophic keratitis in adults.</w:t>
            </w:r>
          </w:p>
        </w:tc>
      </w:tr>
      <w:tr w:rsidR="008E7846" w:rsidRPr="00487162" w14:paraId="02AADCB9" w14:textId="77777777" w:rsidTr="00BF1190">
        <w:tc>
          <w:tcPr>
            <w:tcW w:w="2907" w:type="dxa"/>
          </w:tcPr>
          <w:p w14:paraId="160FC22C" w14:textId="77777777" w:rsidR="008E7846" w:rsidRPr="00487162" w:rsidRDefault="00305008" w:rsidP="00E45619">
            <w:pPr>
              <w:rPr>
                <w:i/>
              </w:rPr>
            </w:pPr>
            <w:r>
              <w:rPr>
                <w:i/>
              </w:rPr>
              <w:t>Route</w:t>
            </w:r>
            <w:r w:rsidR="008E7846" w:rsidRPr="00487162">
              <w:rPr>
                <w:i/>
              </w:rPr>
              <w:t xml:space="preserve"> of administration:</w:t>
            </w:r>
          </w:p>
        </w:tc>
        <w:tc>
          <w:tcPr>
            <w:tcW w:w="6307" w:type="dxa"/>
          </w:tcPr>
          <w:p w14:paraId="7598D185" w14:textId="77777777" w:rsidR="008E7846" w:rsidRPr="00487162" w:rsidRDefault="00305008" w:rsidP="00E45619">
            <w:r w:rsidRPr="006D5125">
              <w:t>Ophthalmic</w:t>
            </w:r>
          </w:p>
        </w:tc>
      </w:tr>
      <w:tr w:rsidR="008E7846" w:rsidRPr="00487162" w14:paraId="01E14755" w14:textId="77777777" w:rsidTr="00BF1190">
        <w:tc>
          <w:tcPr>
            <w:tcW w:w="2907" w:type="dxa"/>
          </w:tcPr>
          <w:p w14:paraId="6FE24CFE" w14:textId="77777777" w:rsidR="008E7846" w:rsidRPr="00487162" w:rsidRDefault="008E7846" w:rsidP="00E45619">
            <w:pPr>
              <w:rPr>
                <w:i/>
              </w:rPr>
            </w:pPr>
            <w:r w:rsidRPr="00487162">
              <w:rPr>
                <w:i/>
              </w:rPr>
              <w:t>Dosage:</w:t>
            </w:r>
          </w:p>
        </w:tc>
        <w:tc>
          <w:tcPr>
            <w:tcW w:w="6307" w:type="dxa"/>
          </w:tcPr>
          <w:p w14:paraId="57B0976C" w14:textId="77777777" w:rsidR="0030665C" w:rsidRPr="00F44532" w:rsidRDefault="0030665C" w:rsidP="00305008">
            <w:r w:rsidRPr="00F44532">
              <w:t>Adults</w:t>
            </w:r>
          </w:p>
          <w:p w14:paraId="2CADF16A" w14:textId="77777777" w:rsidR="00305008" w:rsidRDefault="00305008" w:rsidP="00305008">
            <w:r w:rsidRPr="006D5125">
              <w:t xml:space="preserve">The recommended dose is one drop of </w:t>
            </w:r>
            <w:r>
              <w:t>Oxervate</w:t>
            </w:r>
            <w:r w:rsidRPr="006D5125">
              <w:t xml:space="preserve"> in the conjunctival sac of the affected eye(s), 6 times a day at 2 hourly intervals, starting from the morning and within 12 hours. Treatment shoul</w:t>
            </w:r>
            <w:r>
              <w:t>d be continued for eight weeks.</w:t>
            </w:r>
          </w:p>
          <w:p w14:paraId="2813278E" w14:textId="4816B253" w:rsidR="008E7846" w:rsidRPr="00487162" w:rsidRDefault="00305008" w:rsidP="00305008">
            <w:r w:rsidRPr="006D5125">
              <w:t>For further information refer to the Product Information</w:t>
            </w:r>
            <w:r w:rsidR="00F44532">
              <w:t xml:space="preserve"> (PI)</w:t>
            </w:r>
            <w:r w:rsidRPr="006D5125">
              <w:t>.</w:t>
            </w:r>
          </w:p>
        </w:tc>
      </w:tr>
    </w:tbl>
    <w:p w14:paraId="3A7A4C10" w14:textId="77777777" w:rsidR="008E7846" w:rsidRDefault="008E7846" w:rsidP="008E7846">
      <w:pPr>
        <w:pStyle w:val="Heading3"/>
      </w:pPr>
      <w:bookmarkStart w:id="13" w:name="_Toc247691503"/>
      <w:bookmarkStart w:id="14" w:name="_Toc314842484"/>
      <w:bookmarkStart w:id="15" w:name="_Toc27992630"/>
      <w:r>
        <w:t>Product background</w:t>
      </w:r>
      <w:bookmarkEnd w:id="13"/>
      <w:bookmarkEnd w:id="14"/>
      <w:bookmarkEnd w:id="15"/>
    </w:p>
    <w:p w14:paraId="00C4E6E6" w14:textId="77777777" w:rsidR="008E7846" w:rsidRDefault="00940A89" w:rsidP="00940A89">
      <w:r w:rsidRPr="00940A89">
        <w:t xml:space="preserve">This AusPAR describes the application by </w:t>
      </w:r>
      <w:r w:rsidR="0004695E" w:rsidRPr="006D5125">
        <w:t>JACE Pharma Pty Ltd</w:t>
      </w:r>
      <w:r w:rsidR="0004695E" w:rsidRPr="00940A89">
        <w:t xml:space="preserve"> </w:t>
      </w:r>
      <w:r w:rsidR="0004695E">
        <w:t>(</w:t>
      </w:r>
      <w:r w:rsidRPr="00940A89">
        <w:t>the sponsor</w:t>
      </w:r>
      <w:r w:rsidR="0004695E">
        <w:t>)</w:t>
      </w:r>
      <w:r w:rsidRPr="00940A89">
        <w:t xml:space="preserve"> to register </w:t>
      </w:r>
      <w:r w:rsidR="0004695E">
        <w:t>Oxervate (</w:t>
      </w:r>
      <w:proofErr w:type="spellStart"/>
      <w:r w:rsidR="0004695E">
        <w:t>cenegermin</w:t>
      </w:r>
      <w:proofErr w:type="spellEnd"/>
      <w:r w:rsidR="00BD02E6">
        <w:t xml:space="preserve"> </w:t>
      </w:r>
      <w:proofErr w:type="spellStart"/>
      <w:r w:rsidR="00BD02E6">
        <w:t>rbe</w:t>
      </w:r>
      <w:proofErr w:type="spellEnd"/>
      <w:r w:rsidR="0004695E">
        <w:t>) eye drop solution</w:t>
      </w:r>
      <w:r w:rsidRPr="00940A89">
        <w:t xml:space="preserve"> f</w:t>
      </w:r>
      <w:r w:rsidR="0004695E">
        <w:t>or the following indication:</w:t>
      </w:r>
    </w:p>
    <w:p w14:paraId="1CDAAAF2" w14:textId="77777777" w:rsidR="0004695E" w:rsidRPr="0004695E" w:rsidRDefault="0004695E" w:rsidP="0004695E">
      <w:pPr>
        <w:ind w:left="720"/>
        <w:rPr>
          <w:i/>
        </w:rPr>
      </w:pPr>
      <w:r w:rsidRPr="0004695E">
        <w:rPr>
          <w:i/>
        </w:rPr>
        <w:lastRenderedPageBreak/>
        <w:t>[…] treatment of moderate (persistent epithelial defect) or severe (corneal ulcer) neurotrophic keratitis in adults.</w:t>
      </w:r>
    </w:p>
    <w:p w14:paraId="316D0437" w14:textId="55B0C701" w:rsidR="004814B5" w:rsidRDefault="004814B5" w:rsidP="009A3316">
      <w:r w:rsidRPr="004814B5">
        <w:t>Neurotrophic keratitis (NK)</w:t>
      </w:r>
      <w:r w:rsidR="004B4F57">
        <w:t xml:space="preserve"> is a rare, degenerative corneal disease induced by an impairment of trigeminal corneal innervation, leading to a decrease or absence of corneal sensation. </w:t>
      </w:r>
      <w:r w:rsidR="00AE24C0" w:rsidRPr="008231F6">
        <w:t>Many ocular and systemic diseases can cause lesions at different levels of the fifth cranial</w:t>
      </w:r>
      <w:r w:rsidR="00AE24C0">
        <w:t xml:space="preserve"> </w:t>
      </w:r>
      <w:r w:rsidR="00AE24C0" w:rsidRPr="008231F6">
        <w:t>nerve and, as a consequence, an impairment of corneal sensorial innervation. The most</w:t>
      </w:r>
      <w:r w:rsidR="00AE24C0">
        <w:t xml:space="preserve"> </w:t>
      </w:r>
      <w:r w:rsidR="00AE24C0" w:rsidRPr="008231F6">
        <w:t xml:space="preserve">common </w:t>
      </w:r>
      <w:r w:rsidR="00AE24C0">
        <w:t>factors</w:t>
      </w:r>
      <w:r w:rsidR="00AE24C0" w:rsidRPr="008231F6">
        <w:t xml:space="preserve"> that lead to NK are herpetic infections of the cornea, surgery for</w:t>
      </w:r>
      <w:r w:rsidR="00AE24C0">
        <w:t xml:space="preserve"> </w:t>
      </w:r>
      <w:r w:rsidR="00AE24C0" w:rsidRPr="008231F6">
        <w:t>trigeminal neuralgia, and surgery for acoustic neuroma</w:t>
      </w:r>
      <w:r w:rsidR="00AE24C0">
        <w:t xml:space="preserve">. </w:t>
      </w:r>
      <w:r w:rsidR="004B4F57">
        <w:t>Disease severity is classified into three stages according to the Mackie classification</w:t>
      </w:r>
      <w:r w:rsidR="00CB6833">
        <w:t>;</w:t>
      </w:r>
      <w:r w:rsidR="00AE24C0">
        <w:rPr>
          <w:rStyle w:val="FootnoteReference"/>
        </w:rPr>
        <w:footnoteReference w:id="1"/>
      </w:r>
      <w:r w:rsidR="004B4F57">
        <w:t xml:space="preserve"> and the disease is treated accordingly. The presence of epithelial dystr</w:t>
      </w:r>
      <w:r w:rsidR="00BE1EB1">
        <w:t>ophy or punctuate keratopathy (S</w:t>
      </w:r>
      <w:r w:rsidR="004B4F57">
        <w:t xml:space="preserve">tage 1) requires discontinuation of all topical medications and administration of preservative-free artificial tears. In the majority of patients, this treatment is sufficient to </w:t>
      </w:r>
      <w:r w:rsidR="0043205B">
        <w:t xml:space="preserve">delay </w:t>
      </w:r>
      <w:r w:rsidR="004B4F57">
        <w:t>the progression of</w:t>
      </w:r>
      <w:r w:rsidR="00BE1EB1">
        <w:t xml:space="preserve"> S</w:t>
      </w:r>
      <w:r w:rsidR="004B4F57">
        <w:t>tage 1 disease. When a persistent epi</w:t>
      </w:r>
      <w:r w:rsidR="00BE1EB1">
        <w:t>thelial defect (PED) develops (S</w:t>
      </w:r>
      <w:r w:rsidR="004B4F57">
        <w:t>tage 2), the goal of treatment is to avoid further progression of the disease to a frank corneal ulcer, and the sam</w:t>
      </w:r>
      <w:r w:rsidR="00BE1EB1">
        <w:t>e therapeutic approaches as in S</w:t>
      </w:r>
      <w:r w:rsidR="004B4F57">
        <w:t xml:space="preserve">tage 1 are used, though, with a lower rate of success. Therapeutic contact lenses have been used with some efficacy, but may increase the risk of microbial keratitis and corneal ulceration. </w:t>
      </w:r>
      <w:r w:rsidR="00BE1EB1">
        <w:t>When a corneal ulcer develops (S</w:t>
      </w:r>
      <w:r w:rsidR="004B4F57">
        <w:t>tage 3), therapy is aimed at promoting corneal healing, and preventing corneal melting and perforation. Surgical procedures at this stage can preserve or restore ocular integrity but they often sacrifice cosmetic appearance and visual function.</w:t>
      </w:r>
      <w:r w:rsidR="00BE1EB1">
        <w:t xml:space="preserve"> </w:t>
      </w:r>
      <w:r>
        <w:t>There are also no medications available that can improve corneal sensitivity, thus there is no possibility for NK patients to be cured and disease-free.</w:t>
      </w:r>
    </w:p>
    <w:p w14:paraId="0E54162A" w14:textId="4CFF6C25" w:rsidR="004814B5" w:rsidRDefault="00347420" w:rsidP="009A3316">
      <w:r>
        <w:t>Nerve growth factor (</w:t>
      </w:r>
      <w:r w:rsidR="004814B5">
        <w:t>NGF</w:t>
      </w:r>
      <w:r>
        <w:t>)</w:t>
      </w:r>
      <w:r w:rsidR="004814B5">
        <w:t xml:space="preserve"> is a polypeptide that is naturally present in the eye and is essential for the survival and growth of sympathetic and sensory neurons and for differentiation of neurons in the central nervous system (CNS).</w:t>
      </w:r>
      <w:r>
        <w:t xml:space="preserve"> </w:t>
      </w:r>
      <w:r w:rsidR="004814B5">
        <w:t>NGF binds with two entirely distinct classes of receptors: 1) tropomyosin receptor kinase A (</w:t>
      </w:r>
      <w:proofErr w:type="spellStart"/>
      <w:r w:rsidR="004814B5">
        <w:t>TrkA</w:t>
      </w:r>
      <w:proofErr w:type="spellEnd"/>
      <w:r w:rsidR="004814B5">
        <w:t>), a transmembrane tyrosine kinase that is also known as high-affinity NGF receptor; and 2)</w:t>
      </w:r>
      <w:r w:rsidR="00CB6833">
        <w:t> </w:t>
      </w:r>
      <w:r w:rsidR="004814B5">
        <w:t xml:space="preserve">low-affinity NGF receptor (p75 LNGFR), also called p75 </w:t>
      </w:r>
      <w:proofErr w:type="spellStart"/>
      <w:r w:rsidR="004814B5">
        <w:t>neurotrophin</w:t>
      </w:r>
      <w:proofErr w:type="spellEnd"/>
      <w:r w:rsidR="004814B5">
        <w:t xml:space="preserve"> receptor (p75NTR). NGF and </w:t>
      </w:r>
      <w:proofErr w:type="spellStart"/>
      <w:r w:rsidR="004814B5">
        <w:t>TrkA</w:t>
      </w:r>
      <w:proofErr w:type="spellEnd"/>
      <w:r w:rsidR="004814B5">
        <w:t xml:space="preserve"> are expressed on structures of the anterior segment of the eye (iris, ciliary body, lens, cornea and conjunctiva), by the lacrimal gland, and by many intraocular tissues. Activation of these receptors by NGF plays a role</w:t>
      </w:r>
      <w:r>
        <w:t xml:space="preserve"> in the </w:t>
      </w:r>
      <w:proofErr w:type="spellStart"/>
      <w:r>
        <w:t>trophism</w:t>
      </w:r>
      <w:proofErr w:type="spellEnd"/>
      <w:r>
        <w:t xml:space="preserve"> of the cornea. </w:t>
      </w:r>
      <w:r w:rsidR="004814B5">
        <w:t xml:space="preserve">NGF appears to modulate some of the principal functions of epithelial cells and fibroblasts, either directly or via the induction of other cytokines/growth factors. Specifically, NGF induces </w:t>
      </w:r>
      <w:r w:rsidR="004814B5" w:rsidRPr="00347420">
        <w:rPr>
          <w:i/>
        </w:rPr>
        <w:t>in vitro</w:t>
      </w:r>
      <w:r w:rsidR="004814B5">
        <w:t xml:space="preserve"> corneal epithelial cell proliferation and differentiation and it is involved in maintaining </w:t>
      </w:r>
      <w:proofErr w:type="spellStart"/>
      <w:r w:rsidR="004814B5">
        <w:t>limbal</w:t>
      </w:r>
      <w:proofErr w:type="spellEnd"/>
      <w:r w:rsidR="004814B5">
        <w:t xml:space="preserve"> epithelial stem cell potential.</w:t>
      </w:r>
    </w:p>
    <w:p w14:paraId="03EC289B" w14:textId="1A603079" w:rsidR="004814B5" w:rsidRDefault="00347420" w:rsidP="009A3316">
      <w:r>
        <w:t xml:space="preserve">The active drug substance of </w:t>
      </w:r>
      <w:proofErr w:type="spellStart"/>
      <w:r>
        <w:t>cenegermin</w:t>
      </w:r>
      <w:proofErr w:type="spellEnd"/>
      <w:r>
        <w:t xml:space="preserve"> is a recombinant form of human NGF (</w:t>
      </w:r>
      <w:proofErr w:type="spellStart"/>
      <w:r>
        <w:t>rhNGF</w:t>
      </w:r>
      <w:proofErr w:type="spellEnd"/>
      <w:r>
        <w:t xml:space="preserve">) produced in </w:t>
      </w:r>
      <w:r w:rsidR="006D3191" w:rsidRPr="006D3191">
        <w:rPr>
          <w:i/>
        </w:rPr>
        <w:t>Escherichia</w:t>
      </w:r>
      <w:r w:rsidRPr="00347420">
        <w:rPr>
          <w:i/>
        </w:rPr>
        <w:t xml:space="preserve"> coli</w:t>
      </w:r>
      <w:r>
        <w:t xml:space="preserve">. </w:t>
      </w:r>
      <w:proofErr w:type="spellStart"/>
      <w:r w:rsidR="004814B5">
        <w:t>rhNGF</w:t>
      </w:r>
      <w:proofErr w:type="spellEnd"/>
      <w:r w:rsidR="004814B5">
        <w:t xml:space="preserve"> production in mammalian cells does not achieve good yields, so a manufacturing process based on the use of recombina</w:t>
      </w:r>
      <w:r w:rsidR="009A3316">
        <w:t xml:space="preserve">nt </w:t>
      </w:r>
      <w:r w:rsidR="009A3316" w:rsidRPr="00347420">
        <w:rPr>
          <w:i/>
        </w:rPr>
        <w:t>E. coli</w:t>
      </w:r>
      <w:r w:rsidR="009A3316">
        <w:t xml:space="preserve"> was developed by </w:t>
      </w:r>
      <w:proofErr w:type="spellStart"/>
      <w:r w:rsidR="009A3316">
        <w:t>Dompé</w:t>
      </w:r>
      <w:proofErr w:type="spellEnd"/>
      <w:r w:rsidR="004814B5">
        <w:t xml:space="preserve"> </w:t>
      </w:r>
      <w:proofErr w:type="spellStart"/>
      <w:r w:rsidR="009A3316" w:rsidRPr="009A3316">
        <w:t>farmaceutici</w:t>
      </w:r>
      <w:proofErr w:type="spellEnd"/>
      <w:r w:rsidR="009A3316" w:rsidRPr="009A3316">
        <w:t xml:space="preserve"> S.p.A</w:t>
      </w:r>
      <w:r w:rsidR="009A3316">
        <w:t xml:space="preserve"> </w:t>
      </w:r>
      <w:r w:rsidR="004814B5">
        <w:t xml:space="preserve">so that an ophthalmic formulation of </w:t>
      </w:r>
      <w:proofErr w:type="spellStart"/>
      <w:r w:rsidR="004814B5">
        <w:t>r</w:t>
      </w:r>
      <w:r w:rsidR="009A3316">
        <w:t>hNGF</w:t>
      </w:r>
      <w:proofErr w:type="spellEnd"/>
      <w:r w:rsidR="009A3316">
        <w:t xml:space="preserve"> could be developed. </w:t>
      </w:r>
      <w:r w:rsidR="004814B5">
        <w:t xml:space="preserve">Clinical development was initially based upon findings of efficacy in more than 100 patients with NK </w:t>
      </w:r>
      <w:r w:rsidR="00AE24C0">
        <w:t xml:space="preserve">who were treated with </w:t>
      </w:r>
      <w:r w:rsidR="0043205B">
        <w:t>murine-derived NGF (</w:t>
      </w:r>
      <w:proofErr w:type="spellStart"/>
      <w:r w:rsidR="00AE24C0">
        <w:t>mNGF</w:t>
      </w:r>
      <w:proofErr w:type="spellEnd"/>
      <w:r w:rsidR="00275C7C">
        <w:t>)</w:t>
      </w:r>
      <w:r w:rsidR="0043205B">
        <w:t>, extracted from submaxillary glands of mice</w:t>
      </w:r>
      <w:r w:rsidR="00AE24C0">
        <w:t>. Non</w:t>
      </w:r>
      <w:r w:rsidR="004814B5">
        <w:t xml:space="preserve">clinical studies showed that the biological activity of </w:t>
      </w:r>
      <w:proofErr w:type="spellStart"/>
      <w:r w:rsidR="004814B5">
        <w:t>rhNGF</w:t>
      </w:r>
      <w:proofErr w:type="spellEnd"/>
      <w:r w:rsidR="004814B5">
        <w:t xml:space="preserve"> was similar or possibly superior to that of </w:t>
      </w:r>
      <w:proofErr w:type="spellStart"/>
      <w:r w:rsidR="004814B5">
        <w:t>mNGF</w:t>
      </w:r>
      <w:proofErr w:type="spellEnd"/>
      <w:r w:rsidR="004814B5">
        <w:t>.</w:t>
      </w:r>
    </w:p>
    <w:p w14:paraId="15DE8047" w14:textId="77777777" w:rsidR="008E7846" w:rsidRPr="003F31A2" w:rsidRDefault="00386150" w:rsidP="008E7846">
      <w:pPr>
        <w:pStyle w:val="Heading3"/>
      </w:pPr>
      <w:bookmarkStart w:id="16" w:name="_Toc314842485"/>
      <w:bookmarkStart w:id="17" w:name="_Toc247691504"/>
      <w:bookmarkStart w:id="18" w:name="_Toc27992631"/>
      <w:r>
        <w:t>Regulatory s</w:t>
      </w:r>
      <w:r w:rsidR="008E7846">
        <w:t>tatus</w:t>
      </w:r>
      <w:bookmarkEnd w:id="16"/>
      <w:bookmarkEnd w:id="17"/>
      <w:bookmarkEnd w:id="18"/>
    </w:p>
    <w:p w14:paraId="13EBDF97" w14:textId="6B259C0B" w:rsidR="00305008" w:rsidRDefault="00305008" w:rsidP="00305008">
      <w:bookmarkStart w:id="19" w:name="_Toc247691505"/>
      <w:bookmarkStart w:id="20" w:name="_Toc314842486"/>
      <w:r>
        <w:t>Oxervate (</w:t>
      </w:r>
      <w:proofErr w:type="spellStart"/>
      <w:r>
        <w:t>cenegermin</w:t>
      </w:r>
      <w:proofErr w:type="spellEnd"/>
      <w:r w:rsidR="00275C7C">
        <w:t xml:space="preserve"> </w:t>
      </w:r>
      <w:proofErr w:type="spellStart"/>
      <w:r w:rsidR="00275C7C">
        <w:t>rbe</w:t>
      </w:r>
      <w:proofErr w:type="spellEnd"/>
      <w:r>
        <w:t xml:space="preserve">) is considered a new biological entity for </w:t>
      </w:r>
      <w:r w:rsidR="0004695E">
        <w:t>Australian regulatory purposes.</w:t>
      </w:r>
    </w:p>
    <w:p w14:paraId="5AED5562" w14:textId="155B4D4B" w:rsidR="00305008" w:rsidRDefault="00305008" w:rsidP="00305008">
      <w:r>
        <w:lastRenderedPageBreak/>
        <w:t>Oxervate (</w:t>
      </w:r>
      <w:proofErr w:type="spellStart"/>
      <w:r>
        <w:t>cenegermin</w:t>
      </w:r>
      <w:proofErr w:type="spellEnd"/>
      <w:r w:rsidR="00275C7C">
        <w:t xml:space="preserve"> </w:t>
      </w:r>
      <w:proofErr w:type="spellStart"/>
      <w:r w:rsidR="00275C7C">
        <w:t>rbe</w:t>
      </w:r>
      <w:proofErr w:type="spellEnd"/>
      <w:r>
        <w:t xml:space="preserve">) was granted Orphan Drug </w:t>
      </w:r>
      <w:r w:rsidR="00275C7C">
        <w:t>d</w:t>
      </w:r>
      <w:r>
        <w:t>esignation on 23 May 2018 for the ‘treatment of neurotrophic keratitis’.</w:t>
      </w:r>
      <w:r w:rsidR="0004695E">
        <w:t xml:space="preserve"> Designation for pr</w:t>
      </w:r>
      <w:r w:rsidR="0011581A">
        <w:t>iority review was granted on 30 </w:t>
      </w:r>
      <w:r w:rsidR="0004695E">
        <w:t>August 2018.</w:t>
      </w:r>
    </w:p>
    <w:p w14:paraId="1F57485A" w14:textId="7BAD197A" w:rsidR="0004695E" w:rsidRPr="0004695E" w:rsidRDefault="00940A89" w:rsidP="0004695E">
      <w:r w:rsidRPr="00940A89">
        <w:t xml:space="preserve">At the time the TGA considered this application, a similar application had been approved </w:t>
      </w:r>
      <w:r w:rsidR="0004695E">
        <w:t xml:space="preserve">in the European Union (EU; </w:t>
      </w:r>
      <w:r w:rsidR="00BE1EB1">
        <w:t xml:space="preserve">approved on </w:t>
      </w:r>
      <w:r w:rsidR="0004695E">
        <w:t>6 July 2017), Canada (</w:t>
      </w:r>
      <w:r w:rsidR="00BE1EB1">
        <w:t xml:space="preserve">approved on </w:t>
      </w:r>
      <w:r w:rsidR="0004695E">
        <w:t xml:space="preserve">8 February 2019), the United States of America (USA; </w:t>
      </w:r>
      <w:r w:rsidR="00BE1EB1">
        <w:t xml:space="preserve">approved on </w:t>
      </w:r>
      <w:r w:rsidR="0004695E">
        <w:t>22 August 2018), Switzerland (</w:t>
      </w:r>
      <w:r w:rsidR="00BE1EB1">
        <w:t xml:space="preserve">approved on </w:t>
      </w:r>
      <w:r w:rsidR="0004695E">
        <w:t>6 September 2018) and Israel (</w:t>
      </w:r>
      <w:r w:rsidR="00BE1EB1">
        <w:t>approved on 23 January 2019).</w:t>
      </w:r>
    </w:p>
    <w:p w14:paraId="727F6DD3" w14:textId="77777777" w:rsidR="008E7846" w:rsidRDefault="008E7846" w:rsidP="00940A89">
      <w:pPr>
        <w:pStyle w:val="Heading3"/>
      </w:pPr>
      <w:bookmarkStart w:id="21" w:name="_Toc27992632"/>
      <w:r>
        <w:t>Product Information</w:t>
      </w:r>
      <w:bookmarkEnd w:id="19"/>
      <w:bookmarkEnd w:id="20"/>
      <w:bookmarkEnd w:id="21"/>
    </w:p>
    <w:p w14:paraId="1DA51C49" w14:textId="77777777" w:rsidR="00940A89" w:rsidRDefault="006136D7" w:rsidP="00940A89">
      <w:bookmarkStart w:id="22" w:name="_Toc247691506"/>
      <w:bookmarkStart w:id="23"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6" w:history="1">
        <w:r w:rsidR="00441C3F" w:rsidRPr="00441C3F">
          <w:rPr>
            <w:rStyle w:val="Hyperlink"/>
          </w:rPr>
          <w:t>https://www.tga.gov.au/product-information-pi</w:t>
        </w:r>
      </w:hyperlink>
      <w:r w:rsidR="00441C3F">
        <w:t>&gt;</w:t>
      </w:r>
      <w:r w:rsidR="00940A89" w:rsidRPr="00940A89">
        <w:t>.</w:t>
      </w:r>
    </w:p>
    <w:p w14:paraId="623ACDE5" w14:textId="77777777" w:rsidR="00500337" w:rsidRDefault="0004695E" w:rsidP="00500337">
      <w:pPr>
        <w:pStyle w:val="Heading2"/>
      </w:pPr>
      <w:bookmarkStart w:id="24" w:name="_Toc504480011"/>
      <w:bookmarkStart w:id="25" w:name="_Toc27992633"/>
      <w:r>
        <w:t>II. Registration time</w:t>
      </w:r>
      <w:r w:rsidR="00500337">
        <w:t>line</w:t>
      </w:r>
      <w:bookmarkEnd w:id="24"/>
      <w:bookmarkEnd w:id="25"/>
    </w:p>
    <w:p w14:paraId="04F9BEEF" w14:textId="097742A3" w:rsidR="006A58A8" w:rsidRDefault="007B0865" w:rsidP="0004695E">
      <w:r>
        <w:fldChar w:fldCharType="begin"/>
      </w:r>
      <w:r>
        <w:instrText xml:space="preserve"> REF _Ref24009975 \h </w:instrText>
      </w:r>
      <w:r>
        <w:fldChar w:fldCharType="separate"/>
      </w:r>
      <w:r>
        <w:t xml:space="preserve">Table </w:t>
      </w:r>
      <w:r>
        <w:rPr>
          <w:noProof/>
        </w:rPr>
        <w:t>1</w:t>
      </w:r>
      <w:r>
        <w:fldChar w:fldCharType="end"/>
      </w:r>
      <w:r>
        <w:t xml:space="preserve"> </w:t>
      </w:r>
      <w:r w:rsidR="00500337">
        <w:t>captures the key steps and dates for this application and which are detail</w:t>
      </w:r>
      <w:r w:rsidR="0004695E">
        <w:t>ed and discussed in this AusPAR.</w:t>
      </w:r>
    </w:p>
    <w:p w14:paraId="7C1E8A26" w14:textId="11084EAD" w:rsidR="00500337" w:rsidRDefault="007B0865" w:rsidP="007B0865">
      <w:pPr>
        <w:pStyle w:val="TableTitle"/>
      </w:pPr>
      <w:bookmarkStart w:id="26" w:name="_Ref24009975"/>
      <w:r>
        <w:t xml:space="preserve">Table </w:t>
      </w:r>
      <w:r w:rsidR="008C1DC6">
        <w:fldChar w:fldCharType="begin"/>
      </w:r>
      <w:r w:rsidR="008C1DC6">
        <w:instrText xml:space="preserve"> SEQ Table \* ARABIC </w:instrText>
      </w:r>
      <w:r w:rsidR="008C1DC6">
        <w:fldChar w:fldCharType="separate"/>
      </w:r>
      <w:r>
        <w:rPr>
          <w:noProof/>
        </w:rPr>
        <w:t>1</w:t>
      </w:r>
      <w:r w:rsidR="008C1DC6">
        <w:rPr>
          <w:noProof/>
        </w:rPr>
        <w:fldChar w:fldCharType="end"/>
      </w:r>
      <w:bookmarkEnd w:id="26"/>
      <w:r w:rsidR="0004695E">
        <w:t xml:space="preserve">: </w:t>
      </w:r>
      <w:r w:rsidR="006A58A8" w:rsidRPr="006A58A8">
        <w:t>Timeline f</w:t>
      </w:r>
      <w:r w:rsidR="0004695E">
        <w:t>or Submission PM-2018-04728-1-5</w:t>
      </w:r>
    </w:p>
    <w:tbl>
      <w:tblPr>
        <w:tblStyle w:val="TableTGAblue"/>
        <w:tblW w:w="0" w:type="auto"/>
        <w:tblLook w:val="04A0" w:firstRow="1" w:lastRow="0" w:firstColumn="1" w:lastColumn="0" w:noHBand="0" w:noVBand="1"/>
      </w:tblPr>
      <w:tblGrid>
        <w:gridCol w:w="4360"/>
        <w:gridCol w:w="4360"/>
      </w:tblGrid>
      <w:tr w:rsidR="00500337" w14:paraId="31B076B3" w14:textId="77777777" w:rsidTr="00500337">
        <w:trPr>
          <w:cnfStyle w:val="100000000000" w:firstRow="1" w:lastRow="0" w:firstColumn="0" w:lastColumn="0" w:oddVBand="0" w:evenVBand="0" w:oddHBand="0" w:evenHBand="0" w:firstRowFirstColumn="0" w:firstRowLastColumn="0" w:lastRowFirstColumn="0" w:lastRowLastColumn="0"/>
          <w:cantSplit/>
        </w:trPr>
        <w:tc>
          <w:tcPr>
            <w:tcW w:w="4360" w:type="dxa"/>
          </w:tcPr>
          <w:p w14:paraId="3AA6BDE7" w14:textId="77777777" w:rsidR="00500337" w:rsidRDefault="00500337" w:rsidP="00500337">
            <w:pPr>
              <w:ind w:left="0" w:right="0"/>
            </w:pPr>
            <w:r>
              <w:t>Description</w:t>
            </w:r>
          </w:p>
        </w:tc>
        <w:tc>
          <w:tcPr>
            <w:tcW w:w="4360" w:type="dxa"/>
          </w:tcPr>
          <w:p w14:paraId="29D0288D" w14:textId="77777777" w:rsidR="00500337" w:rsidRDefault="00500337" w:rsidP="00500337">
            <w:pPr>
              <w:ind w:left="0" w:right="0"/>
            </w:pPr>
            <w:r>
              <w:t>Date</w:t>
            </w:r>
          </w:p>
        </w:tc>
      </w:tr>
      <w:tr w:rsidR="0004695E" w14:paraId="1CC26969" w14:textId="77777777" w:rsidTr="00500337">
        <w:tc>
          <w:tcPr>
            <w:tcW w:w="4360" w:type="dxa"/>
          </w:tcPr>
          <w:p w14:paraId="59C683D2" w14:textId="12CC2392" w:rsidR="0004695E" w:rsidRDefault="00275C7C" w:rsidP="0004695E">
            <w:r>
              <w:t>Granted p</w:t>
            </w:r>
            <w:r w:rsidR="0004695E">
              <w:t xml:space="preserve">ositive </w:t>
            </w:r>
            <w:r>
              <w:t>D</w:t>
            </w:r>
            <w:r w:rsidR="0004695E">
              <w:t>esignations for:</w:t>
            </w:r>
          </w:p>
          <w:p w14:paraId="2FBC047A" w14:textId="22A01EFA" w:rsidR="0004695E" w:rsidRDefault="0004695E" w:rsidP="0004695E">
            <w:r>
              <w:t>Orphan</w:t>
            </w:r>
            <w:r w:rsidR="00275C7C">
              <w:t xml:space="preserve"> Drug</w:t>
            </w:r>
          </w:p>
          <w:p w14:paraId="5B049974" w14:textId="77777777" w:rsidR="0004695E" w:rsidRDefault="0004695E" w:rsidP="0004695E">
            <w:r>
              <w:t>Priority review</w:t>
            </w:r>
          </w:p>
        </w:tc>
        <w:tc>
          <w:tcPr>
            <w:tcW w:w="4360" w:type="dxa"/>
          </w:tcPr>
          <w:p w14:paraId="5A7FEEE0" w14:textId="77777777" w:rsidR="0004695E" w:rsidRPr="0054045B" w:rsidRDefault="0004695E" w:rsidP="0004695E"/>
          <w:p w14:paraId="78FBEB40" w14:textId="77777777" w:rsidR="0004695E" w:rsidRPr="00782047" w:rsidRDefault="0004695E" w:rsidP="0004695E">
            <w:r w:rsidRPr="0054045B">
              <w:t xml:space="preserve">23 </w:t>
            </w:r>
            <w:r w:rsidRPr="00782047">
              <w:t>May 2018</w:t>
            </w:r>
          </w:p>
          <w:p w14:paraId="737CFB52" w14:textId="77777777" w:rsidR="0004695E" w:rsidRPr="00782047" w:rsidRDefault="0004695E" w:rsidP="0004695E">
            <w:r w:rsidRPr="00782047">
              <w:t>30 August 2018</w:t>
            </w:r>
          </w:p>
        </w:tc>
      </w:tr>
      <w:tr w:rsidR="0004695E" w14:paraId="361F4847" w14:textId="77777777" w:rsidTr="00500337">
        <w:tc>
          <w:tcPr>
            <w:tcW w:w="4360" w:type="dxa"/>
          </w:tcPr>
          <w:p w14:paraId="695294EB" w14:textId="77777777" w:rsidR="0004695E" w:rsidRDefault="0004695E" w:rsidP="0004695E">
            <w:r>
              <w:t>Submission dossier accepted and first round evaluation commenced</w:t>
            </w:r>
          </w:p>
        </w:tc>
        <w:tc>
          <w:tcPr>
            <w:tcW w:w="4360" w:type="dxa"/>
          </w:tcPr>
          <w:p w14:paraId="2027E8EB" w14:textId="77777777" w:rsidR="0004695E" w:rsidRPr="00782047" w:rsidRDefault="0004695E" w:rsidP="0004695E">
            <w:r w:rsidRPr="00030F93">
              <w:t>31 October 2018</w:t>
            </w:r>
          </w:p>
        </w:tc>
      </w:tr>
      <w:tr w:rsidR="0004695E" w14:paraId="089F5BD5" w14:textId="77777777" w:rsidTr="00500337">
        <w:tc>
          <w:tcPr>
            <w:tcW w:w="4360" w:type="dxa"/>
          </w:tcPr>
          <w:p w14:paraId="69249B84" w14:textId="77777777" w:rsidR="0004695E" w:rsidRDefault="0004695E" w:rsidP="0004695E">
            <w:r>
              <w:t>Evaluation completed</w:t>
            </w:r>
          </w:p>
        </w:tc>
        <w:tc>
          <w:tcPr>
            <w:tcW w:w="4360" w:type="dxa"/>
          </w:tcPr>
          <w:p w14:paraId="3C6EFAFC" w14:textId="77777777" w:rsidR="0004695E" w:rsidRPr="00782047" w:rsidRDefault="0004695E" w:rsidP="0004695E">
            <w:r w:rsidRPr="00030F93">
              <w:t>18 June 2019</w:t>
            </w:r>
          </w:p>
        </w:tc>
      </w:tr>
      <w:tr w:rsidR="0004695E" w14:paraId="261AFB9D" w14:textId="77777777" w:rsidTr="00500337">
        <w:tc>
          <w:tcPr>
            <w:tcW w:w="4360" w:type="dxa"/>
          </w:tcPr>
          <w:p w14:paraId="6492BC64" w14:textId="77777777" w:rsidR="0004695E" w:rsidRDefault="0004695E" w:rsidP="0004695E">
            <w:r>
              <w:t>Delegate’s Overall benefit-risk assessment and request for Advisory Committee advice</w:t>
            </w:r>
          </w:p>
        </w:tc>
        <w:tc>
          <w:tcPr>
            <w:tcW w:w="4360" w:type="dxa"/>
          </w:tcPr>
          <w:p w14:paraId="6C522324" w14:textId="77777777" w:rsidR="0004695E" w:rsidRPr="00782047" w:rsidRDefault="0004695E" w:rsidP="0004695E">
            <w:r w:rsidRPr="00030F93">
              <w:t>1 July 2019</w:t>
            </w:r>
          </w:p>
        </w:tc>
      </w:tr>
      <w:tr w:rsidR="0004695E" w14:paraId="4272DAA4" w14:textId="77777777" w:rsidTr="00500337">
        <w:tc>
          <w:tcPr>
            <w:tcW w:w="4360" w:type="dxa"/>
          </w:tcPr>
          <w:p w14:paraId="74338049" w14:textId="77777777" w:rsidR="0004695E" w:rsidRDefault="0004695E" w:rsidP="0004695E">
            <w:r>
              <w:t>Sponsor’s pre-Advisory Committee response</w:t>
            </w:r>
          </w:p>
        </w:tc>
        <w:tc>
          <w:tcPr>
            <w:tcW w:w="4360" w:type="dxa"/>
          </w:tcPr>
          <w:p w14:paraId="76CD70F2" w14:textId="77777777" w:rsidR="0004695E" w:rsidRPr="00030F93" w:rsidRDefault="0004695E" w:rsidP="0004695E">
            <w:r w:rsidRPr="00030F93">
              <w:t>17 July 2019</w:t>
            </w:r>
          </w:p>
        </w:tc>
      </w:tr>
      <w:tr w:rsidR="0004695E" w14:paraId="1AC95524" w14:textId="77777777" w:rsidTr="00500337">
        <w:tc>
          <w:tcPr>
            <w:tcW w:w="4360" w:type="dxa"/>
          </w:tcPr>
          <w:p w14:paraId="4B3AA09E" w14:textId="77777777" w:rsidR="0004695E" w:rsidRDefault="0004695E" w:rsidP="0004695E">
            <w:r>
              <w:t>Advisory Committee meeting</w:t>
            </w:r>
          </w:p>
        </w:tc>
        <w:tc>
          <w:tcPr>
            <w:tcW w:w="4360" w:type="dxa"/>
          </w:tcPr>
          <w:p w14:paraId="23309B7A" w14:textId="77777777" w:rsidR="0004695E" w:rsidRPr="00030F93" w:rsidRDefault="0004695E" w:rsidP="0004695E">
            <w:r w:rsidRPr="00030F93">
              <w:t>1-2 August 2019</w:t>
            </w:r>
          </w:p>
        </w:tc>
      </w:tr>
      <w:tr w:rsidR="0004695E" w14:paraId="1BD24D92" w14:textId="77777777" w:rsidTr="00500337">
        <w:tc>
          <w:tcPr>
            <w:tcW w:w="4360" w:type="dxa"/>
          </w:tcPr>
          <w:p w14:paraId="38D3F3EF" w14:textId="77777777" w:rsidR="0004695E" w:rsidRDefault="0004695E" w:rsidP="0004695E">
            <w:r>
              <w:t>Registration decision (Outcome)</w:t>
            </w:r>
          </w:p>
        </w:tc>
        <w:tc>
          <w:tcPr>
            <w:tcW w:w="4360" w:type="dxa"/>
          </w:tcPr>
          <w:p w14:paraId="3641F7F5" w14:textId="77777777" w:rsidR="0004695E" w:rsidRPr="00030F93" w:rsidRDefault="0004695E" w:rsidP="0004695E">
            <w:r w:rsidRPr="00030F93">
              <w:t>16 September 2019</w:t>
            </w:r>
          </w:p>
        </w:tc>
      </w:tr>
      <w:tr w:rsidR="0004695E" w14:paraId="1B6CAB7C" w14:textId="77777777" w:rsidTr="00500337">
        <w:tc>
          <w:tcPr>
            <w:tcW w:w="4360" w:type="dxa"/>
          </w:tcPr>
          <w:p w14:paraId="6DF68C2A" w14:textId="77777777" w:rsidR="0004695E" w:rsidRDefault="0004695E" w:rsidP="0004695E">
            <w:r>
              <w:t>Completion of administrative activities and registration on ARTG</w:t>
            </w:r>
          </w:p>
        </w:tc>
        <w:tc>
          <w:tcPr>
            <w:tcW w:w="4360" w:type="dxa"/>
          </w:tcPr>
          <w:p w14:paraId="266C14F4" w14:textId="77777777" w:rsidR="0004695E" w:rsidRPr="00030F93" w:rsidRDefault="0004695E" w:rsidP="0004695E">
            <w:r>
              <w:t>1 October 2019</w:t>
            </w:r>
          </w:p>
        </w:tc>
      </w:tr>
      <w:tr w:rsidR="0004695E" w14:paraId="571133E4" w14:textId="77777777" w:rsidTr="006D5317">
        <w:trPr>
          <w:cantSplit/>
        </w:trPr>
        <w:tc>
          <w:tcPr>
            <w:tcW w:w="4360" w:type="dxa"/>
          </w:tcPr>
          <w:p w14:paraId="32FB7B88" w14:textId="77777777" w:rsidR="0004695E" w:rsidRDefault="0004695E" w:rsidP="0004695E">
            <w:r>
              <w:t>Number of working days from submission dossier acceptance to registration decision*</w:t>
            </w:r>
          </w:p>
        </w:tc>
        <w:tc>
          <w:tcPr>
            <w:tcW w:w="4360" w:type="dxa"/>
          </w:tcPr>
          <w:p w14:paraId="74BECED2" w14:textId="77777777" w:rsidR="0004695E" w:rsidRPr="00030F93" w:rsidRDefault="0004695E" w:rsidP="0004695E">
            <w:r w:rsidRPr="00030F93">
              <w:t>181</w:t>
            </w:r>
          </w:p>
        </w:tc>
      </w:tr>
    </w:tbl>
    <w:p w14:paraId="4A00975B" w14:textId="77777777" w:rsidR="00500337" w:rsidRDefault="00500337" w:rsidP="00500337">
      <w:pPr>
        <w:pStyle w:val="TableDescription"/>
      </w:pPr>
      <w:r>
        <w:t>*Target timeframe for priority applications is 150 working days from acceptance for evaluation to the decision.</w:t>
      </w:r>
    </w:p>
    <w:p w14:paraId="3DF99BB8" w14:textId="77777777" w:rsidR="008E7846" w:rsidRPr="00792A32" w:rsidRDefault="00456765" w:rsidP="008E7846">
      <w:pPr>
        <w:pStyle w:val="Heading2"/>
      </w:pPr>
      <w:bookmarkStart w:id="27" w:name="_Toc196046504"/>
      <w:bookmarkStart w:id="28" w:name="_Toc247691527"/>
      <w:bookmarkStart w:id="29" w:name="_Toc314842510"/>
      <w:bookmarkStart w:id="30" w:name="_Toc163441390"/>
      <w:bookmarkStart w:id="31" w:name="_Toc27992634"/>
      <w:bookmarkEnd w:id="22"/>
      <w:bookmarkEnd w:id="23"/>
      <w:bookmarkEnd w:id="1"/>
      <w:r>
        <w:lastRenderedPageBreak/>
        <w:t>I</w:t>
      </w:r>
      <w:r w:rsidR="00DA64CB">
        <w:t>I</w:t>
      </w:r>
      <w:r w:rsidR="008E7846">
        <w:t xml:space="preserve">I. </w:t>
      </w:r>
      <w:r w:rsidR="0004695E">
        <w:t>Submission overview</w:t>
      </w:r>
      <w:r w:rsidR="008E7846" w:rsidRPr="00792A32">
        <w:t xml:space="preserve"> and </w:t>
      </w:r>
      <w:r w:rsidR="008E7846">
        <w:t>r</w:t>
      </w:r>
      <w:r w:rsidR="008E7846" w:rsidRPr="00792A32">
        <w:t>isk/</w:t>
      </w:r>
      <w:r w:rsidR="008E7846">
        <w:t>b</w:t>
      </w:r>
      <w:r w:rsidR="008E7846" w:rsidRPr="00792A32">
        <w:t xml:space="preserve">enefit </w:t>
      </w:r>
      <w:r w:rsidR="008E7846">
        <w:t>a</w:t>
      </w:r>
      <w:r w:rsidR="008E7846" w:rsidRPr="00792A32">
        <w:t>ssessment</w:t>
      </w:r>
      <w:bookmarkEnd w:id="27"/>
      <w:bookmarkEnd w:id="28"/>
      <w:bookmarkEnd w:id="29"/>
      <w:bookmarkEnd w:id="31"/>
    </w:p>
    <w:p w14:paraId="2BD7B40B" w14:textId="77777777" w:rsidR="008E7846" w:rsidRDefault="008E7846" w:rsidP="008E7846">
      <w:bookmarkStart w:id="32" w:name="_Toc247691528"/>
      <w:r>
        <w:t xml:space="preserve">The submission was summarised in the following </w:t>
      </w:r>
      <w:r w:rsidRPr="00EF5C48">
        <w:t xml:space="preserve">Delegate’s </w:t>
      </w:r>
      <w:r>
        <w:t>overview</w:t>
      </w:r>
      <w:r w:rsidRPr="00EF5C48">
        <w:t xml:space="preserve"> and recommendation</w:t>
      </w:r>
      <w:r w:rsidR="0004695E">
        <w:t>s.</w:t>
      </w:r>
    </w:p>
    <w:p w14:paraId="0D22C771" w14:textId="77777777" w:rsidR="008E7846" w:rsidRDefault="008E7846" w:rsidP="008E7846">
      <w:pPr>
        <w:pStyle w:val="Heading3"/>
      </w:pPr>
      <w:bookmarkStart w:id="33" w:name="_Toc314842511"/>
      <w:bookmarkStart w:id="34" w:name="_Toc27992635"/>
      <w:r>
        <w:t>Quality</w:t>
      </w:r>
      <w:bookmarkEnd w:id="32"/>
      <w:bookmarkEnd w:id="33"/>
      <w:bookmarkEnd w:id="34"/>
    </w:p>
    <w:p w14:paraId="0A49EB6F" w14:textId="54D58233" w:rsidR="004B4F57" w:rsidRDefault="004B4F57" w:rsidP="004B4F57">
      <w:r>
        <w:t xml:space="preserve">The drug substance developed by </w:t>
      </w:r>
      <w:proofErr w:type="spellStart"/>
      <w:r w:rsidR="00275C7C">
        <w:t>Dompé</w:t>
      </w:r>
      <w:proofErr w:type="spellEnd"/>
      <w:r w:rsidR="00275C7C">
        <w:t xml:space="preserve"> </w:t>
      </w:r>
      <w:proofErr w:type="spellStart"/>
      <w:r w:rsidR="00275C7C" w:rsidRPr="009A3316">
        <w:t>farmaceutici</w:t>
      </w:r>
      <w:proofErr w:type="spellEnd"/>
      <w:r w:rsidR="00275C7C" w:rsidRPr="009A3316">
        <w:t xml:space="preserve"> S.p.A</w:t>
      </w:r>
      <w:r w:rsidR="00275C7C">
        <w:t xml:space="preserve">. </w:t>
      </w:r>
      <w:r>
        <w:t xml:space="preserve">is expressed in </w:t>
      </w:r>
      <w:r w:rsidRPr="0011581A">
        <w:rPr>
          <w:i/>
        </w:rPr>
        <w:t>E. coli</w:t>
      </w:r>
      <w:r>
        <w:t xml:space="preserve"> as pro-protein, from which the pro-sequence is cleaved with trypsin to produce ma</w:t>
      </w:r>
      <w:r w:rsidR="0011581A">
        <w:t>ture NGF. In this process, pro-</w:t>
      </w:r>
      <w:r>
        <w:t xml:space="preserve">NGF is produced as inclusion bodies of </w:t>
      </w:r>
      <w:r w:rsidRPr="0011581A">
        <w:rPr>
          <w:i/>
        </w:rPr>
        <w:t>E. coli</w:t>
      </w:r>
      <w:r>
        <w:t>, then solubilised in a strong denaturing agent and subsequently refolded to the native conformation. The recombinant human pro-NGF is captured from refolded product using a chromatographic step and, successively, the pro</w:t>
      </w:r>
      <w:r w:rsidR="006D3191">
        <w:noBreakHyphen/>
      </w:r>
      <w:r>
        <w:t xml:space="preserve">sequence is cleaved with trypsin to generate </w:t>
      </w:r>
      <w:proofErr w:type="spellStart"/>
      <w:r>
        <w:t>rhNGF</w:t>
      </w:r>
      <w:proofErr w:type="spellEnd"/>
      <w:r>
        <w:t>. Further purification to homogeneity is achieved using two successive chromatographic columns. After buffer exchange and formulation, the drug substance protein solution is filtered and sent to final filling.</w:t>
      </w:r>
    </w:p>
    <w:p w14:paraId="50D9A956" w14:textId="08D8BA21" w:rsidR="004B4F57" w:rsidRDefault="004B4F57" w:rsidP="004B4F57">
      <w:proofErr w:type="spellStart"/>
      <w:r>
        <w:t>Cenegermin</w:t>
      </w:r>
      <w:proofErr w:type="spellEnd"/>
      <w:r>
        <w:t xml:space="preserve"> is delivered as 20 </w:t>
      </w:r>
      <w:r w:rsidR="006D3191">
        <w:t>micrograms per millilitre (</w:t>
      </w:r>
      <w:r w:rsidR="00275C7C">
        <w:t>µ</w:t>
      </w:r>
      <w:r w:rsidR="006D3191">
        <w:t>g/mL)</w:t>
      </w:r>
      <w:r>
        <w:t xml:space="preserve"> preservative-free sterile eye drop solution (ophthalmic solution). It is presented in vials for daily use, with 1</w:t>
      </w:r>
      <w:r w:rsidR="00275C7C">
        <w:t> </w:t>
      </w:r>
      <w:r>
        <w:t>drop being admini</w:t>
      </w:r>
      <w:r w:rsidR="0011581A">
        <w:t xml:space="preserve">stered 6 times daily, after a 2 </w:t>
      </w:r>
      <w:r>
        <w:t>hour interval from the previous administration.</w:t>
      </w:r>
    </w:p>
    <w:p w14:paraId="494221EE" w14:textId="04665C30" w:rsidR="004B4F57" w:rsidRDefault="0011581A" w:rsidP="004B4F57">
      <w:r>
        <w:t>Oxervate</w:t>
      </w:r>
      <w:r w:rsidR="004B4F57">
        <w:t xml:space="preserve"> </w:t>
      </w:r>
      <w:r w:rsidR="00275C7C">
        <w:t>(</w:t>
      </w:r>
      <w:proofErr w:type="spellStart"/>
      <w:r w:rsidR="00275C7C">
        <w:t>cenergermin</w:t>
      </w:r>
      <w:proofErr w:type="spellEnd"/>
      <w:r w:rsidR="00275C7C">
        <w:t xml:space="preserve">) </w:t>
      </w:r>
      <w:r w:rsidR="004B4F57">
        <w:t>is dispensed from the pharmacy as a frozen solution. The patient will receive a weekly kit with seven multi-dose vials and will store them in a refrigerator until use. Each box of drug product is provided in combination with a de</w:t>
      </w:r>
      <w:r>
        <w:t>livery system which includes 45 </w:t>
      </w:r>
      <w:r w:rsidR="004B4F57">
        <w:t>pipettes, 8 vial adapters and 45 disinfectant wipes. Each of the vials is for multi</w:t>
      </w:r>
      <w:r>
        <w:t>-</w:t>
      </w:r>
      <w:r w:rsidR="004B4F57">
        <w:t xml:space="preserve">dose use over the course of a single day. The product must be kept refrigerated and the opened vial can be stored in the fridge or </w:t>
      </w:r>
      <w:r w:rsidR="004B4F57" w:rsidRPr="0011581A">
        <w:t>below 25</w:t>
      </w:r>
      <w:r>
        <w:t>°C</w:t>
      </w:r>
      <w:r w:rsidR="004B4F57" w:rsidRPr="0011581A">
        <w:t>,</w:t>
      </w:r>
      <w:r w:rsidR="004B4F57">
        <w:t xml:space="preserve"> but must be used within 12</w:t>
      </w:r>
      <w:r w:rsidR="00275C7C">
        <w:t> </w:t>
      </w:r>
      <w:r w:rsidR="004B4F57">
        <w:t>hours. The biological evaluator considered the accuracy of the pipette in delivering this dose and considered this to be acceptable (8%</w:t>
      </w:r>
      <w:r w:rsidRPr="0011581A">
        <w:t xml:space="preserve"> relative standard deviation</w:t>
      </w:r>
      <w:r w:rsidR="004B4F57">
        <w:t xml:space="preserve">). The stability for in use </w:t>
      </w:r>
      <w:r w:rsidR="006D3191">
        <w:t>conditions was also acceptable.</w:t>
      </w:r>
    </w:p>
    <w:p w14:paraId="091C9190" w14:textId="26592284" w:rsidR="00730F8A" w:rsidRDefault="004B4F57" w:rsidP="004B4F57">
      <w:r>
        <w:t xml:space="preserve">The initial formulation contained </w:t>
      </w:r>
      <w:proofErr w:type="spellStart"/>
      <w:r>
        <w:t>rhNGF</w:t>
      </w:r>
      <w:proofErr w:type="spellEnd"/>
      <w:r>
        <w:t xml:space="preserve"> as a concentration of up to 180</w:t>
      </w:r>
      <w:r w:rsidR="0011581A">
        <w:t xml:space="preserve"> </w:t>
      </w:r>
      <w:r>
        <w:t>µg/</w:t>
      </w:r>
      <w:proofErr w:type="spellStart"/>
      <w:r>
        <w:t>m</w:t>
      </w:r>
      <w:r w:rsidR="00275C7C">
        <w:t>L</w:t>
      </w:r>
      <w:r>
        <w:t>.</w:t>
      </w:r>
      <w:proofErr w:type="spellEnd"/>
      <w:r>
        <w:t xml:space="preserve"> The same formulation but with lower concentrations (10 and 20</w:t>
      </w:r>
      <w:r w:rsidR="0011581A">
        <w:t xml:space="preserve"> µg/ml) was used in one of the Phase I</w:t>
      </w:r>
      <w:r>
        <w:t>/II clinical studies. Due to a trend in the preliminary results of this study, and manufacturing considerations suggesting oxidation may affect the quality and stability of the product, a small amount of an anti-oxidant (L-methionine) was added. Subsequently 3</w:t>
      </w:r>
      <w:r w:rsidR="00275C7C">
        <w:t> </w:t>
      </w:r>
      <w:r>
        <w:t>further clinical studies were performed.</w:t>
      </w:r>
    </w:p>
    <w:p w14:paraId="2808FC95" w14:textId="77777777" w:rsidR="004B4F57" w:rsidRDefault="004B4F57" w:rsidP="004B4F57">
      <w:r>
        <w:t>The biological evaluator recommended approval.</w:t>
      </w:r>
    </w:p>
    <w:p w14:paraId="7BCEAD9A" w14:textId="77777777" w:rsidR="008E7846" w:rsidRDefault="008E7846" w:rsidP="008E7846">
      <w:pPr>
        <w:pStyle w:val="Heading3"/>
      </w:pPr>
      <w:bookmarkStart w:id="35" w:name="_Toc314842512"/>
      <w:bookmarkStart w:id="36" w:name="_Toc27992636"/>
      <w:r>
        <w:t>Nonclinical</w:t>
      </w:r>
      <w:bookmarkEnd w:id="35"/>
      <w:bookmarkEnd w:id="36"/>
    </w:p>
    <w:p w14:paraId="42E6E61B" w14:textId="2F651FBA" w:rsidR="004B4F57" w:rsidRDefault="004B4F57" w:rsidP="004B4F57">
      <w:pPr>
        <w:pStyle w:val="ListBullet"/>
      </w:pPr>
      <w:r>
        <w:t xml:space="preserve">The submitted </w:t>
      </w:r>
      <w:r w:rsidR="0011581A">
        <w:t>nonclinical</w:t>
      </w:r>
      <w:r>
        <w:t xml:space="preserve"> dossier was in accordance with the relevant </w:t>
      </w:r>
      <w:r w:rsidR="0011581A">
        <w:t>International Conference o</w:t>
      </w:r>
      <w:r w:rsidR="00275C7C">
        <w:t>n</w:t>
      </w:r>
      <w:r w:rsidR="0011581A">
        <w:t xml:space="preserve"> Harmonisation (</w:t>
      </w:r>
      <w:r>
        <w:t>ICH</w:t>
      </w:r>
      <w:r w:rsidR="0011581A">
        <w:t>)</w:t>
      </w:r>
      <w:r>
        <w:t xml:space="preserve"> guideline for the nonclinical assessment of biological medicines (ICH S6).</w:t>
      </w:r>
      <w:r w:rsidR="0011581A">
        <w:rPr>
          <w:rStyle w:val="FootnoteReference"/>
        </w:rPr>
        <w:footnoteReference w:id="2"/>
      </w:r>
      <w:r>
        <w:t xml:space="preserve"> The overall quality of the nonclinical dossier was high. Pivotal safety-related (toxicity) studies were </w:t>
      </w:r>
      <w:r w:rsidR="00C73281">
        <w:t>Good Laboratory Practice (</w:t>
      </w:r>
      <w:r>
        <w:t>GLP</w:t>
      </w:r>
      <w:r w:rsidR="00C73281">
        <w:t>)</w:t>
      </w:r>
      <w:r>
        <w:t xml:space="preserve"> compliant.</w:t>
      </w:r>
    </w:p>
    <w:p w14:paraId="2F1668B6" w14:textId="70D11008" w:rsidR="004B4F57" w:rsidRDefault="004B4F57" w:rsidP="00794C57">
      <w:pPr>
        <w:pStyle w:val="ListBullet"/>
      </w:pPr>
      <w:r>
        <w:t xml:space="preserve">Under </w:t>
      </w:r>
      <w:r w:rsidRPr="00C73281">
        <w:rPr>
          <w:i/>
        </w:rPr>
        <w:t>in vitro</w:t>
      </w:r>
      <w:r>
        <w:t xml:space="preserve"> conditions, </w:t>
      </w:r>
      <w:proofErr w:type="spellStart"/>
      <w:r>
        <w:t>rhNGF</w:t>
      </w:r>
      <w:proofErr w:type="spellEnd"/>
      <w:r>
        <w:t xml:space="preserve"> exhibited </w:t>
      </w:r>
      <w:proofErr w:type="spellStart"/>
      <w:r>
        <w:t>nanomolar</w:t>
      </w:r>
      <w:proofErr w:type="spellEnd"/>
      <w:r w:rsidR="00C73281">
        <w:t xml:space="preserve"> (</w:t>
      </w:r>
      <w:proofErr w:type="spellStart"/>
      <w:r w:rsidR="00C73281">
        <w:t>nM</w:t>
      </w:r>
      <w:proofErr w:type="spellEnd"/>
      <w:r w:rsidR="00C73281">
        <w:t>)</w:t>
      </w:r>
      <w:r>
        <w:t xml:space="preserve"> affinity for its major receptor target, </w:t>
      </w:r>
      <w:proofErr w:type="spellStart"/>
      <w:r>
        <w:t>TrkA</w:t>
      </w:r>
      <w:proofErr w:type="spellEnd"/>
      <w:r>
        <w:t xml:space="preserve"> (</w:t>
      </w:r>
      <w:r w:rsidR="00C73281">
        <w:t>half maximal inhibitory concentration (</w:t>
      </w:r>
      <w:r>
        <w:t>IC</w:t>
      </w:r>
      <w:r w:rsidRPr="00C73281">
        <w:rPr>
          <w:vertAlign w:val="subscript"/>
        </w:rPr>
        <w:t>50</w:t>
      </w:r>
      <w:r w:rsidR="00C73281">
        <w:t>)</w:t>
      </w:r>
      <w:r>
        <w:t xml:space="preserve"> 7.45 </w:t>
      </w:r>
      <w:proofErr w:type="spellStart"/>
      <w:r>
        <w:t>nM</w:t>
      </w:r>
      <w:proofErr w:type="spellEnd"/>
      <w:r>
        <w:t xml:space="preserve">; </w:t>
      </w:r>
      <w:r w:rsidR="00693106">
        <w:t>inhibitory constant (</w:t>
      </w:r>
      <w:r>
        <w:t>Ki</w:t>
      </w:r>
      <w:r w:rsidR="00693106">
        <w:t>)</w:t>
      </w:r>
      <w:r>
        <w:t xml:space="preserve"> 3.73 </w:t>
      </w:r>
      <w:proofErr w:type="spellStart"/>
      <w:r>
        <w:t>nM</w:t>
      </w:r>
      <w:proofErr w:type="spellEnd"/>
      <w:r>
        <w:t>). The other target, the low-affini</w:t>
      </w:r>
      <w:r w:rsidR="00693106">
        <w:t>ty nerve growth factor receptor</w:t>
      </w:r>
      <w:r>
        <w:t xml:space="preserve"> p75 </w:t>
      </w:r>
      <w:r w:rsidR="00693106">
        <w:t>(p75</w:t>
      </w:r>
      <w:r>
        <w:t>LNGFR</w:t>
      </w:r>
      <w:r w:rsidR="00693106">
        <w:t>)</w:t>
      </w:r>
      <w:r>
        <w:t xml:space="preserve"> was not assessed. Trophic activity by </w:t>
      </w:r>
      <w:proofErr w:type="spellStart"/>
      <w:r>
        <w:t>rhNGF</w:t>
      </w:r>
      <w:proofErr w:type="spellEnd"/>
      <w:r>
        <w:t xml:space="preserve"> was evident in rat and </w:t>
      </w:r>
      <w:r>
        <w:lastRenderedPageBreak/>
        <w:t xml:space="preserve">human cell lines, with increases in neurite projections, neurite length and markers denoting neurite development and differentiation. Potency of the proliferative effects of </w:t>
      </w:r>
      <w:proofErr w:type="spellStart"/>
      <w:r>
        <w:t>rhNGF</w:t>
      </w:r>
      <w:proofErr w:type="spellEnd"/>
      <w:r>
        <w:t xml:space="preserve"> ranged between </w:t>
      </w:r>
      <w:r w:rsidR="00693106">
        <w:t>half maximal effective concentration (</w:t>
      </w:r>
      <w:r>
        <w:t>EC</w:t>
      </w:r>
      <w:r w:rsidRPr="00693106">
        <w:rPr>
          <w:vertAlign w:val="subscript"/>
        </w:rPr>
        <w:t>50</w:t>
      </w:r>
      <w:r w:rsidR="00693106">
        <w:t>)</w:t>
      </w:r>
      <w:r>
        <w:t xml:space="preserve"> values of 9.2 to 28 </w:t>
      </w:r>
      <w:proofErr w:type="spellStart"/>
      <w:r w:rsidR="00693106">
        <w:t>picomolar</w:t>
      </w:r>
      <w:proofErr w:type="spellEnd"/>
      <w:r w:rsidR="00693106">
        <w:t xml:space="preserve"> (</w:t>
      </w:r>
      <w:proofErr w:type="spellStart"/>
      <w:r>
        <w:t>pM</w:t>
      </w:r>
      <w:proofErr w:type="spellEnd"/>
      <w:r w:rsidR="00693106">
        <w:t>)</w:t>
      </w:r>
      <w:r>
        <w:t xml:space="preserve">. Under </w:t>
      </w:r>
      <w:r w:rsidRPr="00794C57">
        <w:rPr>
          <w:i/>
        </w:rPr>
        <w:t>in vivo</w:t>
      </w:r>
      <w:r>
        <w:t xml:space="preserve"> conditions, </w:t>
      </w:r>
      <w:proofErr w:type="spellStart"/>
      <w:r>
        <w:t>rhNGF</w:t>
      </w:r>
      <w:proofErr w:type="spellEnd"/>
      <w:r>
        <w:t xml:space="preserve"> increased conjunctival goblet cell density and production of mucins to protect the ocular surface. Moreover, </w:t>
      </w:r>
      <w:proofErr w:type="spellStart"/>
      <w:r>
        <w:t>rhNGF</w:t>
      </w:r>
      <w:proofErr w:type="spellEnd"/>
      <w:r>
        <w:t xml:space="preserve"> attenuated retinal cell death and led to increases in pro-mitotic markers (</w:t>
      </w:r>
      <w:proofErr w:type="spellStart"/>
      <w:r>
        <w:t>TrkA</w:t>
      </w:r>
      <w:proofErr w:type="spellEnd"/>
      <w:r>
        <w:t xml:space="preserve"> and </w:t>
      </w:r>
      <w:r w:rsidR="00BD58DD">
        <w:t>B</w:t>
      </w:r>
      <w:r w:rsidR="00BD58DD">
        <w:noBreakHyphen/>
      </w:r>
      <w:r w:rsidR="00794C57" w:rsidRPr="00794C57">
        <w:t xml:space="preserve">cell lymphoma 2 </w:t>
      </w:r>
      <w:r w:rsidR="00794C57">
        <w:t>(</w:t>
      </w:r>
      <w:r>
        <w:t>Bcl-2</w:t>
      </w:r>
      <w:r w:rsidR="00794C57">
        <w:t>)</w:t>
      </w:r>
      <w:r>
        <w:t xml:space="preserve">) but decreases in </w:t>
      </w:r>
      <w:proofErr w:type="spellStart"/>
      <w:r>
        <w:t>apoptopic</w:t>
      </w:r>
      <w:proofErr w:type="spellEnd"/>
      <w:r>
        <w:t xml:space="preserve"> sig</w:t>
      </w:r>
      <w:r w:rsidR="00794C57">
        <w:t xml:space="preserve">nals (caspases 3 and </w:t>
      </w:r>
      <w:r>
        <w:t xml:space="preserve">9, </w:t>
      </w:r>
      <w:proofErr w:type="spellStart"/>
      <w:r>
        <w:t>annexin</w:t>
      </w:r>
      <w:proofErr w:type="spellEnd"/>
      <w:r>
        <w:t xml:space="preserve">-V, </w:t>
      </w:r>
      <w:r w:rsidR="00275C7C">
        <w:t xml:space="preserve">and </w:t>
      </w:r>
      <w:r w:rsidR="00794C57">
        <w:t>Bcl-</w:t>
      </w:r>
      <w:r w:rsidR="00794C57" w:rsidRPr="00794C57">
        <w:t>2-associated X protein</w:t>
      </w:r>
      <w:r w:rsidR="00794C57">
        <w:t xml:space="preserve"> (</w:t>
      </w:r>
      <w:r>
        <w:t>BAX</w:t>
      </w:r>
      <w:r w:rsidR="00794C57">
        <w:t>)</w:t>
      </w:r>
      <w:r>
        <w:t>).</w:t>
      </w:r>
    </w:p>
    <w:p w14:paraId="09BBCBDD" w14:textId="77777777" w:rsidR="004B4F57" w:rsidRDefault="004B4F57" w:rsidP="004B4F57">
      <w:pPr>
        <w:pStyle w:val="ListBullet"/>
      </w:pPr>
      <w:r>
        <w:t xml:space="preserve">No dedicated secondary pharmacodynamics studies were conducted. The negligible systemic exposure and selectivity for </w:t>
      </w:r>
      <w:proofErr w:type="spellStart"/>
      <w:r>
        <w:t>TrkA</w:t>
      </w:r>
      <w:proofErr w:type="spellEnd"/>
      <w:r>
        <w:t xml:space="preserve"> and p75 receptors by </w:t>
      </w:r>
      <w:proofErr w:type="spellStart"/>
      <w:r>
        <w:t>rhNGF</w:t>
      </w:r>
      <w:proofErr w:type="spellEnd"/>
      <w:r>
        <w:t xml:space="preserve"> indicate that off-target effects are unlikely. Safety pharmacology assessments of </w:t>
      </w:r>
      <w:proofErr w:type="spellStart"/>
      <w:r>
        <w:t>rhNGF</w:t>
      </w:r>
      <w:proofErr w:type="spellEnd"/>
      <w:r>
        <w:t xml:space="preserve"> were limited to the CNS, where a functional observational battery found no treatment-related effects on behaviour, reflexes, locomotor function and grip strength.</w:t>
      </w:r>
    </w:p>
    <w:p w14:paraId="0488842D" w14:textId="4BEC6CAC" w:rsidR="004B4F57" w:rsidRDefault="004B4F57" w:rsidP="004B4F57">
      <w:pPr>
        <w:pStyle w:val="ListBullet"/>
      </w:pPr>
      <w:r>
        <w:t xml:space="preserve">Repeat dose toxicity studies by the clinical (topical eye drops) and subcutaneous </w:t>
      </w:r>
      <w:r w:rsidR="006D3191">
        <w:t xml:space="preserve">(SC) </w:t>
      </w:r>
      <w:r>
        <w:t>routes were conducted in rats (up to 26 weeks) and in rabbits (up to 13 weeks). Doses</w:t>
      </w:r>
      <w:r w:rsidR="0086018A">
        <w:t xml:space="preserve"> used in the rat were up to 3.8 </w:t>
      </w:r>
      <w:r>
        <w:t xml:space="preserve">times as high as the human relative dose, while rabbit doses ranged between 12 and 23 times the human relative dose (as </w:t>
      </w:r>
      <w:r w:rsidR="00275C7C">
        <w:t>µ</w:t>
      </w:r>
      <w:r>
        <w:t xml:space="preserve">g/day applied to the eyes). </w:t>
      </w:r>
      <w:proofErr w:type="spellStart"/>
      <w:r>
        <w:t>Cenegermin</w:t>
      </w:r>
      <w:proofErr w:type="spellEnd"/>
      <w:r>
        <w:t>/</w:t>
      </w:r>
      <w:proofErr w:type="spellStart"/>
      <w:r>
        <w:t>rhNGF</w:t>
      </w:r>
      <w:proofErr w:type="spellEnd"/>
      <w:r>
        <w:t xml:space="preserve"> was well tolerated by both species and by either route of administration, with findings being relatively benign and mostly limited to the eye (transient conjunctival redness, minimal grade iris lesions). The inclusion of the antioxidant excipient L-methionine in the formulation used in some rabbit studies was well-tolerated with no distinguishing toxicities observed. Overall, </w:t>
      </w:r>
      <w:proofErr w:type="spellStart"/>
      <w:r>
        <w:t>rhNGF</w:t>
      </w:r>
      <w:proofErr w:type="spellEnd"/>
      <w:r>
        <w:t xml:space="preserve"> administered by the clinical route was well tolerated by both species.</w:t>
      </w:r>
    </w:p>
    <w:p w14:paraId="0443703E" w14:textId="77777777" w:rsidR="004B4F57" w:rsidRDefault="004B4F57" w:rsidP="004B4F57">
      <w:pPr>
        <w:pStyle w:val="ListBullet"/>
      </w:pPr>
      <w:r>
        <w:t xml:space="preserve">No </w:t>
      </w:r>
      <w:proofErr w:type="spellStart"/>
      <w:r>
        <w:t>genotoxicity</w:t>
      </w:r>
      <w:proofErr w:type="spellEnd"/>
      <w:r>
        <w:t xml:space="preserve"> were performed. Considering that </w:t>
      </w:r>
      <w:proofErr w:type="spellStart"/>
      <w:r>
        <w:t>rhNGF</w:t>
      </w:r>
      <w:proofErr w:type="spellEnd"/>
      <w:r>
        <w:t xml:space="preserve"> is a recombinant protein not expected to directly interact with DNA or chromosomal material, this is acceptable. Although </w:t>
      </w:r>
      <w:proofErr w:type="spellStart"/>
      <w:r>
        <w:t>rhNGF</w:t>
      </w:r>
      <w:proofErr w:type="spellEnd"/>
      <w:r>
        <w:t xml:space="preserve"> has potential for mitotic growth, carcinogenicity studies are not considered useful because of observed immunogenic responses to </w:t>
      </w:r>
      <w:proofErr w:type="spellStart"/>
      <w:r>
        <w:t>rhNGF</w:t>
      </w:r>
      <w:proofErr w:type="spellEnd"/>
      <w:r>
        <w:t xml:space="preserve"> in laboratory species. Furthermore, due to low systemic exposures and short duration of treatment, </w:t>
      </w:r>
      <w:proofErr w:type="spellStart"/>
      <w:r>
        <w:t>rhNGF</w:t>
      </w:r>
      <w:proofErr w:type="spellEnd"/>
      <w:r>
        <w:t xml:space="preserve"> is not expected to represent a significant risk of carcinogenicity under clinical conditions of use.</w:t>
      </w:r>
    </w:p>
    <w:p w14:paraId="2A35AF59" w14:textId="7D05780F" w:rsidR="004B4F57" w:rsidRDefault="004B4F57" w:rsidP="004B4F57">
      <w:pPr>
        <w:pStyle w:val="ListBullet"/>
      </w:pPr>
      <w:r>
        <w:t xml:space="preserve">Rat fertility assessments did not reveal any treatment-related impairment to male and female fertility. </w:t>
      </w:r>
      <w:proofErr w:type="spellStart"/>
      <w:r>
        <w:t>Embryofetal</w:t>
      </w:r>
      <w:proofErr w:type="spellEnd"/>
      <w:r>
        <w:t xml:space="preserve"> developmental studies in the rat (but not the rabbit) using the SC route showed increased post-implantation losses and developmental abnormalities in the treated groups at very high relative exposure levels. The high incidence of anti-</w:t>
      </w:r>
      <w:proofErr w:type="spellStart"/>
      <w:r>
        <w:t>rhNGF</w:t>
      </w:r>
      <w:proofErr w:type="spellEnd"/>
      <w:r>
        <w:t xml:space="preserve"> antibodies in rabbits may have attenuated the effects of </w:t>
      </w:r>
      <w:proofErr w:type="spellStart"/>
      <w:r>
        <w:t>rhNGF</w:t>
      </w:r>
      <w:proofErr w:type="spellEnd"/>
      <w:r>
        <w:t xml:space="preserve"> enough to reduce its potential influence on </w:t>
      </w:r>
      <w:proofErr w:type="spellStart"/>
      <w:r>
        <w:t>embryofetal</w:t>
      </w:r>
      <w:proofErr w:type="spellEnd"/>
      <w:r>
        <w:t xml:space="preserve"> development. This may also explain the absence of adverse findings in the rat pre-/postnatal development study where anti-</w:t>
      </w:r>
      <w:proofErr w:type="spellStart"/>
      <w:r>
        <w:t>rhNGF</w:t>
      </w:r>
      <w:proofErr w:type="spellEnd"/>
      <w:r>
        <w:t xml:space="preserve"> antibodies were found in almost all </w:t>
      </w:r>
      <w:r w:rsidR="00C72E6C">
        <w:t>parental strain (</w:t>
      </w:r>
      <w:r>
        <w:t>F0</w:t>
      </w:r>
      <w:r w:rsidR="00C72E6C">
        <w:t>)</w:t>
      </w:r>
      <w:r>
        <w:t xml:space="preserve"> and </w:t>
      </w:r>
      <w:r w:rsidR="00C72E6C">
        <w:t>first filial generation (</w:t>
      </w:r>
      <w:r>
        <w:t>F1</w:t>
      </w:r>
      <w:r w:rsidR="00C72E6C">
        <w:t>)</w:t>
      </w:r>
      <w:r>
        <w:t xml:space="preserve"> animals. Despite these uncertainties, the negligible systemic exposure to </w:t>
      </w:r>
      <w:proofErr w:type="spellStart"/>
      <w:r>
        <w:t>cenegermin</w:t>
      </w:r>
      <w:proofErr w:type="spellEnd"/>
      <w:r>
        <w:t xml:space="preserve"> observed with clinical use suggest that risk of re</w:t>
      </w:r>
      <w:r w:rsidR="00C72E6C">
        <w:t>productive toxicity by Oxervate</w:t>
      </w:r>
      <w:r w:rsidR="00275C7C">
        <w:t xml:space="preserve"> </w:t>
      </w:r>
      <w:proofErr w:type="spellStart"/>
      <w:r w:rsidR="00275C7C">
        <w:t>cenegermin</w:t>
      </w:r>
      <w:proofErr w:type="spellEnd"/>
      <w:r w:rsidR="00275C7C">
        <w:t xml:space="preserve"> (</w:t>
      </w:r>
      <w:proofErr w:type="spellStart"/>
      <w:r w:rsidR="00275C7C">
        <w:t>rbe</w:t>
      </w:r>
      <w:proofErr w:type="spellEnd"/>
      <w:r w:rsidR="00275C7C">
        <w:t>)</w:t>
      </w:r>
      <w:r>
        <w:t xml:space="preserve"> will be negligible.</w:t>
      </w:r>
    </w:p>
    <w:p w14:paraId="6894C558" w14:textId="55199C68" w:rsidR="004B4F57" w:rsidRDefault="00C72E6C" w:rsidP="004B4F57">
      <w:r>
        <w:t>There were no non</w:t>
      </w:r>
      <w:r w:rsidR="004B4F57">
        <w:t>clinical objections to the registration.</w:t>
      </w:r>
    </w:p>
    <w:p w14:paraId="2E639CE8" w14:textId="55DBD22E" w:rsidR="004B4F57" w:rsidRDefault="004B4F57" w:rsidP="004B4F57">
      <w:r>
        <w:t xml:space="preserve">The evaluator recommended the pregnancy category be changed to </w:t>
      </w:r>
      <w:r w:rsidR="00275C7C">
        <w:t xml:space="preserve">Category </w:t>
      </w:r>
      <w:r>
        <w:t>B3.</w:t>
      </w:r>
      <w:r w:rsidR="007B0865">
        <w:rPr>
          <w:rStyle w:val="FootnoteReference"/>
        </w:rPr>
        <w:footnoteReference w:id="3"/>
      </w:r>
    </w:p>
    <w:p w14:paraId="3E874540" w14:textId="42836856" w:rsidR="00DC1948" w:rsidRPr="00DC1948" w:rsidRDefault="004B4F57" w:rsidP="004B4F57">
      <w:r>
        <w:t xml:space="preserve">It was noted that although the systemic exposures of </w:t>
      </w:r>
      <w:proofErr w:type="spellStart"/>
      <w:r>
        <w:t>rhNGF</w:t>
      </w:r>
      <w:proofErr w:type="spellEnd"/>
      <w:r>
        <w:t xml:space="preserve"> is likely to be negligible with the clinical use of </w:t>
      </w:r>
      <w:r w:rsidR="00C72E6C">
        <w:t>Oxervate</w:t>
      </w:r>
      <w:r>
        <w:t xml:space="preserve">, the proposed Australian pregnancy </w:t>
      </w:r>
      <w:r w:rsidR="00275C7C">
        <w:t>C</w:t>
      </w:r>
      <w:r>
        <w:t>ategory B1</w:t>
      </w:r>
      <w:r w:rsidR="007B0865">
        <w:t>;</w:t>
      </w:r>
      <w:r w:rsidR="007B0865">
        <w:rPr>
          <w:rStyle w:val="FootnoteReference"/>
        </w:rPr>
        <w:footnoteReference w:id="4"/>
      </w:r>
      <w:r>
        <w:t xml:space="preserve"> was not consistent with the observed adv</w:t>
      </w:r>
      <w:r w:rsidR="008867A2">
        <w:t xml:space="preserve">erse </w:t>
      </w:r>
      <w:proofErr w:type="spellStart"/>
      <w:r w:rsidR="008867A2">
        <w:t>embryofetal</w:t>
      </w:r>
      <w:proofErr w:type="spellEnd"/>
      <w:r w:rsidR="008867A2">
        <w:t xml:space="preserve"> effects in </w:t>
      </w:r>
      <w:r>
        <w:t>rat</w:t>
      </w:r>
      <w:r w:rsidR="008867A2">
        <w:t>s</w:t>
      </w:r>
      <w:r>
        <w:t>.</w:t>
      </w:r>
    </w:p>
    <w:p w14:paraId="66788156" w14:textId="77777777" w:rsidR="008E7846" w:rsidRDefault="008E7846" w:rsidP="008E7846">
      <w:pPr>
        <w:pStyle w:val="Heading3"/>
      </w:pPr>
      <w:bookmarkStart w:id="37" w:name="_Toc247691530"/>
      <w:bookmarkStart w:id="38" w:name="_Toc314842513"/>
      <w:bookmarkStart w:id="39" w:name="_Toc27992637"/>
      <w:r>
        <w:lastRenderedPageBreak/>
        <w:t>Clinical</w:t>
      </w:r>
      <w:bookmarkEnd w:id="37"/>
      <w:bookmarkEnd w:id="38"/>
      <w:bookmarkEnd w:id="39"/>
    </w:p>
    <w:p w14:paraId="4F5438FE" w14:textId="63460AD6" w:rsidR="00C72E6C" w:rsidRDefault="00C72E6C" w:rsidP="007B6132">
      <w:bookmarkStart w:id="40" w:name="_Toc314842514"/>
      <w:r>
        <w:t xml:space="preserve">See </w:t>
      </w:r>
      <w:r>
        <w:fldChar w:fldCharType="begin"/>
      </w:r>
      <w:r>
        <w:instrText xml:space="preserve"> REF _Ref23858100 \h </w:instrText>
      </w:r>
      <w:r>
        <w:fldChar w:fldCharType="separate"/>
      </w:r>
      <w:r w:rsidR="007B0865">
        <w:t xml:space="preserve">Table </w:t>
      </w:r>
      <w:r w:rsidR="007B0865">
        <w:rPr>
          <w:noProof/>
        </w:rPr>
        <w:t>2</w:t>
      </w:r>
      <w:r>
        <w:fldChar w:fldCharType="end"/>
      </w:r>
      <w:r>
        <w:t xml:space="preserve"> for the clinical studies included in the dossier.</w:t>
      </w:r>
    </w:p>
    <w:p w14:paraId="3806BF52" w14:textId="4EBFBEC7" w:rsidR="007B6132" w:rsidRDefault="00C72E6C" w:rsidP="00C72E6C">
      <w:pPr>
        <w:pStyle w:val="TableTitle"/>
      </w:pPr>
      <w:bookmarkStart w:id="41" w:name="_Ref23858100"/>
      <w:r>
        <w:t xml:space="preserve">Table </w:t>
      </w:r>
      <w:r w:rsidR="008C1DC6">
        <w:fldChar w:fldCharType="begin"/>
      </w:r>
      <w:r w:rsidR="008C1DC6">
        <w:instrText xml:space="preserve"> SEQ Table \* ARABIC </w:instrText>
      </w:r>
      <w:r w:rsidR="008C1DC6">
        <w:fldChar w:fldCharType="separate"/>
      </w:r>
      <w:r w:rsidR="007B0865">
        <w:rPr>
          <w:noProof/>
        </w:rPr>
        <w:t>2</w:t>
      </w:r>
      <w:r w:rsidR="008C1DC6">
        <w:rPr>
          <w:noProof/>
        </w:rPr>
        <w:fldChar w:fldCharType="end"/>
      </w:r>
      <w:bookmarkEnd w:id="41"/>
      <w:r>
        <w:t>: Clinical studies included in the dossier</w:t>
      </w:r>
    </w:p>
    <w:tbl>
      <w:tblPr>
        <w:tblStyle w:val="TableTGAblue"/>
        <w:tblW w:w="0" w:type="auto"/>
        <w:tblLook w:val="04A0" w:firstRow="1" w:lastRow="0" w:firstColumn="1" w:lastColumn="0" w:noHBand="0" w:noVBand="1"/>
      </w:tblPr>
      <w:tblGrid>
        <w:gridCol w:w="2370"/>
        <w:gridCol w:w="2173"/>
        <w:gridCol w:w="3913"/>
      </w:tblGrid>
      <w:tr w:rsidR="004B4F57" w:rsidRPr="002018D4" w14:paraId="291E6AFA" w14:textId="77777777" w:rsidTr="006D5317">
        <w:trPr>
          <w:cnfStyle w:val="100000000000" w:firstRow="1" w:lastRow="0" w:firstColumn="0" w:lastColumn="0" w:oddVBand="0" w:evenVBand="0" w:oddHBand="0" w:evenHBand="0" w:firstRowFirstColumn="0" w:firstRowLastColumn="0" w:lastRowFirstColumn="0" w:lastRowLastColumn="0"/>
          <w:trHeight w:val="443"/>
        </w:trPr>
        <w:tc>
          <w:tcPr>
            <w:tcW w:w="2370" w:type="dxa"/>
          </w:tcPr>
          <w:p w14:paraId="75E68906" w14:textId="77777777" w:rsidR="004B4F57" w:rsidRPr="006D5317" w:rsidRDefault="004B4F57" w:rsidP="006D5317">
            <w:r w:rsidRPr="002018D4">
              <w:t>Type</w:t>
            </w:r>
          </w:p>
        </w:tc>
        <w:tc>
          <w:tcPr>
            <w:tcW w:w="2173" w:type="dxa"/>
          </w:tcPr>
          <w:p w14:paraId="28239C06" w14:textId="77777777" w:rsidR="004B4F57" w:rsidRPr="006D5317" w:rsidRDefault="004B4F57" w:rsidP="006D5317">
            <w:r w:rsidRPr="002018D4">
              <w:t>Study number</w:t>
            </w:r>
          </w:p>
        </w:tc>
        <w:tc>
          <w:tcPr>
            <w:tcW w:w="3913" w:type="dxa"/>
          </w:tcPr>
          <w:p w14:paraId="79255AEF" w14:textId="77777777" w:rsidR="004B4F57" w:rsidRPr="006D5317" w:rsidRDefault="004B4F57" w:rsidP="006D5317">
            <w:r w:rsidRPr="002018D4">
              <w:t>Description</w:t>
            </w:r>
          </w:p>
        </w:tc>
      </w:tr>
      <w:tr w:rsidR="004B4F57" w:rsidRPr="002018D4" w14:paraId="3C3FAB5F" w14:textId="77777777" w:rsidTr="006D5317">
        <w:trPr>
          <w:trHeight w:val="433"/>
        </w:trPr>
        <w:tc>
          <w:tcPr>
            <w:tcW w:w="2370" w:type="dxa"/>
          </w:tcPr>
          <w:p w14:paraId="0EFABEE2" w14:textId="2C649417" w:rsidR="004B4F57" w:rsidRPr="002018D4" w:rsidRDefault="004B4F57" w:rsidP="006D5317">
            <w:r w:rsidRPr="002018D4">
              <w:t xml:space="preserve">Clinical </w:t>
            </w:r>
            <w:r w:rsidR="002018D4">
              <w:t>p</w:t>
            </w:r>
            <w:r w:rsidRPr="002018D4">
              <w:t>harmacology</w:t>
            </w:r>
          </w:p>
        </w:tc>
        <w:tc>
          <w:tcPr>
            <w:tcW w:w="2173" w:type="dxa"/>
          </w:tcPr>
          <w:p w14:paraId="44799135" w14:textId="77777777" w:rsidR="004B4F57" w:rsidRPr="002018D4" w:rsidRDefault="004B4F57" w:rsidP="006D5317">
            <w:r w:rsidRPr="002018D4">
              <w:t>NGF0112</w:t>
            </w:r>
          </w:p>
        </w:tc>
        <w:tc>
          <w:tcPr>
            <w:tcW w:w="3913" w:type="dxa"/>
          </w:tcPr>
          <w:p w14:paraId="06C4856F" w14:textId="56FD50F1" w:rsidR="004B4F57" w:rsidRPr="002018D4" w:rsidRDefault="008867A2" w:rsidP="006D5317">
            <w:r w:rsidRPr="002018D4">
              <w:t>Pharmacokinetics (</w:t>
            </w:r>
            <w:r w:rsidR="004B4F57" w:rsidRPr="002018D4">
              <w:t>PK</w:t>
            </w:r>
            <w:r w:rsidRPr="002018D4">
              <w:t>)</w:t>
            </w:r>
            <w:r w:rsidR="004B4F57" w:rsidRPr="002018D4">
              <w:t xml:space="preserve"> in healthy population</w:t>
            </w:r>
            <w:r w:rsidR="002018D4">
              <w:t xml:space="preserve"> (</w:t>
            </w:r>
            <w:r w:rsidR="004B4F57" w:rsidRPr="002018D4">
              <w:t xml:space="preserve"> single and multiple doses</w:t>
            </w:r>
            <w:r w:rsidR="002018D4">
              <w:t>)</w:t>
            </w:r>
          </w:p>
        </w:tc>
      </w:tr>
      <w:tr w:rsidR="004B4F57" w:rsidRPr="002018D4" w14:paraId="78E1084F" w14:textId="77777777" w:rsidTr="006D5317">
        <w:trPr>
          <w:trHeight w:val="443"/>
        </w:trPr>
        <w:tc>
          <w:tcPr>
            <w:tcW w:w="2370" w:type="dxa"/>
          </w:tcPr>
          <w:p w14:paraId="719E3041" w14:textId="77777777" w:rsidR="004B4F57" w:rsidRPr="002018D4" w:rsidRDefault="004B4F57" w:rsidP="006D5317">
            <w:r w:rsidRPr="002018D4">
              <w:t>Clinical and pharmacology</w:t>
            </w:r>
          </w:p>
        </w:tc>
        <w:tc>
          <w:tcPr>
            <w:tcW w:w="2173" w:type="dxa"/>
          </w:tcPr>
          <w:p w14:paraId="5CAE1829" w14:textId="77777777" w:rsidR="004B4F57" w:rsidRPr="002018D4" w:rsidRDefault="004B4F57" w:rsidP="006D5317">
            <w:r w:rsidRPr="002018D4">
              <w:t>NGF0212</w:t>
            </w:r>
          </w:p>
        </w:tc>
        <w:tc>
          <w:tcPr>
            <w:tcW w:w="3913" w:type="dxa"/>
          </w:tcPr>
          <w:p w14:paraId="1DE1C220" w14:textId="2CBC403E" w:rsidR="004B4F57" w:rsidRPr="002018D4" w:rsidRDefault="00B73065" w:rsidP="006D5317">
            <w:r w:rsidRPr="002018D4">
              <w:t>Multi</w:t>
            </w:r>
            <w:r w:rsidR="006D5317">
              <w:t>-</w:t>
            </w:r>
            <w:r w:rsidRPr="002018D4">
              <w:t xml:space="preserve">dose </w:t>
            </w:r>
            <w:r w:rsidR="004B4F57" w:rsidRPr="002018D4">
              <w:t>PK, dose finding, efficacy and safety in NK</w:t>
            </w:r>
          </w:p>
        </w:tc>
      </w:tr>
      <w:tr w:rsidR="004B4F57" w:rsidRPr="002018D4" w14:paraId="244D3498" w14:textId="77777777" w:rsidTr="006D5317">
        <w:trPr>
          <w:trHeight w:val="433"/>
        </w:trPr>
        <w:tc>
          <w:tcPr>
            <w:tcW w:w="2370" w:type="dxa"/>
          </w:tcPr>
          <w:p w14:paraId="6C08B1DD" w14:textId="245CD19D" w:rsidR="004B4F57" w:rsidRPr="002018D4" w:rsidRDefault="001C7470" w:rsidP="006D5317">
            <w:r w:rsidRPr="002018D4">
              <w:t>Safety and efficacy</w:t>
            </w:r>
          </w:p>
        </w:tc>
        <w:tc>
          <w:tcPr>
            <w:tcW w:w="2173" w:type="dxa"/>
          </w:tcPr>
          <w:p w14:paraId="249C4C2B" w14:textId="77777777" w:rsidR="004B4F57" w:rsidRPr="002018D4" w:rsidRDefault="004B4F57" w:rsidP="006D5317">
            <w:r w:rsidRPr="002018D4">
              <w:t>NGF0214</w:t>
            </w:r>
          </w:p>
        </w:tc>
        <w:tc>
          <w:tcPr>
            <w:tcW w:w="3913" w:type="dxa"/>
          </w:tcPr>
          <w:p w14:paraId="1B22E238" w14:textId="0FD1E6B7" w:rsidR="004B4F57" w:rsidRPr="002018D4" w:rsidRDefault="00C729A0" w:rsidP="006D5317">
            <w:r w:rsidRPr="002018D4">
              <w:t>E</w:t>
            </w:r>
            <w:r w:rsidR="004B4F57" w:rsidRPr="002018D4">
              <w:t>fficacy and safety in NK</w:t>
            </w:r>
          </w:p>
        </w:tc>
      </w:tr>
      <w:tr w:rsidR="004B4F57" w:rsidRPr="002018D4" w14:paraId="1AE499CC" w14:textId="77777777" w:rsidTr="006D5317">
        <w:trPr>
          <w:trHeight w:val="443"/>
        </w:trPr>
        <w:tc>
          <w:tcPr>
            <w:tcW w:w="2370" w:type="dxa"/>
          </w:tcPr>
          <w:p w14:paraId="40E7722D" w14:textId="77777777" w:rsidR="004B4F57" w:rsidRPr="002018D4" w:rsidRDefault="004B4F57" w:rsidP="006D5317">
            <w:r w:rsidRPr="002018D4">
              <w:t>Safety</w:t>
            </w:r>
          </w:p>
        </w:tc>
        <w:tc>
          <w:tcPr>
            <w:tcW w:w="2173" w:type="dxa"/>
          </w:tcPr>
          <w:p w14:paraId="0A1402B7" w14:textId="77777777" w:rsidR="004B4F57" w:rsidRPr="002018D4" w:rsidRDefault="004B4F57" w:rsidP="006D5317">
            <w:r w:rsidRPr="002018D4">
              <w:t>NGF0113</w:t>
            </w:r>
          </w:p>
        </w:tc>
        <w:tc>
          <w:tcPr>
            <w:tcW w:w="3913" w:type="dxa"/>
          </w:tcPr>
          <w:p w14:paraId="3CB8DC34" w14:textId="77777777" w:rsidR="004B4F57" w:rsidRPr="002018D4" w:rsidRDefault="004B4F57" w:rsidP="006D5317">
            <w:r w:rsidRPr="002018D4">
              <w:t xml:space="preserve">Study in retinitis </w:t>
            </w:r>
            <w:proofErr w:type="spellStart"/>
            <w:r w:rsidRPr="002018D4">
              <w:t>pigmentosa</w:t>
            </w:r>
            <w:proofErr w:type="spellEnd"/>
          </w:p>
        </w:tc>
      </w:tr>
      <w:tr w:rsidR="004B4F57" w:rsidRPr="002018D4" w14:paraId="2A0F8017" w14:textId="77777777" w:rsidTr="006D5317">
        <w:trPr>
          <w:trHeight w:val="216"/>
        </w:trPr>
        <w:tc>
          <w:tcPr>
            <w:tcW w:w="2370" w:type="dxa"/>
          </w:tcPr>
          <w:p w14:paraId="4EECF7F5" w14:textId="77777777" w:rsidR="004B4F57" w:rsidRPr="002018D4" w:rsidRDefault="004B4F57" w:rsidP="006D5317">
            <w:r w:rsidRPr="002018D4">
              <w:t>Safety</w:t>
            </w:r>
          </w:p>
        </w:tc>
        <w:tc>
          <w:tcPr>
            <w:tcW w:w="2173" w:type="dxa"/>
          </w:tcPr>
          <w:p w14:paraId="73F14B77" w14:textId="77777777" w:rsidR="004B4F57" w:rsidRPr="002018D4" w:rsidRDefault="004B4F57" w:rsidP="006D5317">
            <w:r w:rsidRPr="002018D4">
              <w:t>NGF0213</w:t>
            </w:r>
          </w:p>
        </w:tc>
        <w:tc>
          <w:tcPr>
            <w:tcW w:w="3913" w:type="dxa"/>
          </w:tcPr>
          <w:p w14:paraId="0AE90FCA" w14:textId="77777777" w:rsidR="004B4F57" w:rsidRPr="002018D4" w:rsidRDefault="004B4F57" w:rsidP="006D5317">
            <w:r w:rsidRPr="002018D4">
              <w:t>Study in dry eye</w:t>
            </w:r>
          </w:p>
        </w:tc>
      </w:tr>
      <w:tr w:rsidR="004B4F57" w:rsidRPr="002018D4" w14:paraId="327406F0" w14:textId="77777777" w:rsidTr="006D5317">
        <w:trPr>
          <w:trHeight w:val="433"/>
        </w:trPr>
        <w:tc>
          <w:tcPr>
            <w:tcW w:w="2370" w:type="dxa"/>
          </w:tcPr>
          <w:p w14:paraId="2FB1C5AD" w14:textId="77777777" w:rsidR="004B4F57" w:rsidRPr="002018D4" w:rsidRDefault="004B4F57" w:rsidP="006D5317">
            <w:r w:rsidRPr="002018D4">
              <w:t>Device usability</w:t>
            </w:r>
          </w:p>
        </w:tc>
        <w:tc>
          <w:tcPr>
            <w:tcW w:w="2173" w:type="dxa"/>
          </w:tcPr>
          <w:p w14:paraId="51F95716" w14:textId="77777777" w:rsidR="004B4F57" w:rsidRPr="002018D4" w:rsidRDefault="004B4F57" w:rsidP="006D5317">
            <w:r w:rsidRPr="002018D4">
              <w:t>NEST-4-127</w:t>
            </w:r>
          </w:p>
        </w:tc>
        <w:tc>
          <w:tcPr>
            <w:tcW w:w="3913" w:type="dxa"/>
          </w:tcPr>
          <w:p w14:paraId="658ECDA4" w14:textId="77777777" w:rsidR="004B4F57" w:rsidRPr="002018D4" w:rsidRDefault="004B4F57" w:rsidP="006D5317">
            <w:r w:rsidRPr="002018D4">
              <w:t>Healthy subjects</w:t>
            </w:r>
          </w:p>
        </w:tc>
      </w:tr>
    </w:tbl>
    <w:p w14:paraId="7825FA6E" w14:textId="747DDB33" w:rsidR="004B4F57" w:rsidRDefault="004B4F57" w:rsidP="008867A2">
      <w:r>
        <w:t>T</w:t>
      </w:r>
      <w:r w:rsidRPr="008407D4">
        <w:t xml:space="preserve">he submission </w:t>
      </w:r>
      <w:r>
        <w:t xml:space="preserve">did not include paediatric data. The sponsor has stated that they had an agreed paediatric investigation plan in Europe for the use of </w:t>
      </w:r>
      <w:r w:rsidR="008867A2">
        <w:t>Oxervate in children &lt; </w:t>
      </w:r>
      <w:r>
        <w:t>18</w:t>
      </w:r>
      <w:r w:rsidR="008867A2">
        <w:t> </w:t>
      </w:r>
      <w:r>
        <w:t xml:space="preserve">years. There was a requirement to perform toxicology studies in rats and rabbits, as well as a qualitative review of toxicology data from animals or humans. However it is unclear to the delegate if these studies have been performed, and if the </w:t>
      </w:r>
      <w:r w:rsidR="008867A2">
        <w:t>European Medicines Agency (</w:t>
      </w:r>
      <w:r>
        <w:t>EMA</w:t>
      </w:r>
      <w:r w:rsidR="008867A2">
        <w:t>)</w:t>
      </w:r>
      <w:r>
        <w:t xml:space="preserve"> have approved use in the paediatric population. The evaluator has stated that the sponsor submitted paediatric data in the </w:t>
      </w:r>
      <w:r w:rsidR="008867A2">
        <w:t>USA Food and Drug Administration (</w:t>
      </w:r>
      <w:r>
        <w:t>FDA</w:t>
      </w:r>
      <w:r w:rsidR="008867A2">
        <w:t xml:space="preserve">) for the 2 to 11 years and 12 to </w:t>
      </w:r>
      <w:r>
        <w:t>17 years age group. In the USA, the product is approved for use in paediatric patients over 2 years of age.</w:t>
      </w:r>
    </w:p>
    <w:p w14:paraId="3A359759" w14:textId="2F7DD80A" w:rsidR="004B4F57" w:rsidRDefault="004B4F57" w:rsidP="008867A2">
      <w:pPr>
        <w:rPr>
          <w:b/>
        </w:rPr>
      </w:pPr>
      <w:r>
        <w:t xml:space="preserve">The human cornea has reached full growth and maturation by 2 years, and that there is no clinical difference between </w:t>
      </w:r>
      <w:r w:rsidR="002018D4">
        <w:t>NK</w:t>
      </w:r>
      <w:r>
        <w:t xml:space="preserve"> in child or adults.</w:t>
      </w:r>
    </w:p>
    <w:p w14:paraId="34FC0733" w14:textId="77777777" w:rsidR="004B4F57" w:rsidRDefault="004B4F57" w:rsidP="00C72E6C">
      <w:pPr>
        <w:pStyle w:val="Heading4"/>
      </w:pPr>
      <w:r w:rsidRPr="003F08CF">
        <w:t>Pharmacology</w:t>
      </w:r>
    </w:p>
    <w:p w14:paraId="6138E237" w14:textId="24BE3C0D" w:rsidR="004B4F57" w:rsidRPr="00E71E04" w:rsidRDefault="008867A2" w:rsidP="008867A2">
      <w:r>
        <w:t>PK S</w:t>
      </w:r>
      <w:r w:rsidR="004B4F57" w:rsidRPr="00E71E04">
        <w:t>tudy NGF0112 studied the systemic exposure of NGF i</w:t>
      </w:r>
      <w:r>
        <w:t xml:space="preserve">n healthy adults who received 1 drop of NGF at 1 to </w:t>
      </w:r>
      <w:r w:rsidR="004B4F57" w:rsidRPr="00E71E04">
        <w:t>3 times a day. The concentration</w:t>
      </w:r>
      <w:r>
        <w:t xml:space="preserve"> of formulation varied from 20 to 180 µg/</w:t>
      </w:r>
      <w:proofErr w:type="spellStart"/>
      <w:r>
        <w:t>mL</w:t>
      </w:r>
      <w:r w:rsidR="004B4F57" w:rsidRPr="00E71E04">
        <w:t>.</w:t>
      </w:r>
      <w:proofErr w:type="spellEnd"/>
      <w:r w:rsidR="004B4F57" w:rsidRPr="00E71E04">
        <w:t xml:space="preserve"> The serum concentrations were found to be not significantly different to baseline, and in many cases bel</w:t>
      </w:r>
      <w:r>
        <w:t>ow the level of quantification.</w:t>
      </w:r>
    </w:p>
    <w:p w14:paraId="06CB8B11" w14:textId="1CB9019C" w:rsidR="004B4F57" w:rsidRPr="00E71E04" w:rsidRDefault="004B4F57" w:rsidP="008867A2">
      <w:r w:rsidRPr="00E71E04">
        <w:t>No evidence of systemic absor</w:t>
      </w:r>
      <w:r w:rsidR="008867A2">
        <w:t>ption was also demonstrated in S</w:t>
      </w:r>
      <w:r w:rsidRPr="00E71E04">
        <w:t>tudy NGF0212 when patients received 2 drops of the 20</w:t>
      </w:r>
      <w:r w:rsidR="002018D4">
        <w:t xml:space="preserve"> </w:t>
      </w:r>
      <w:r w:rsidRPr="00E71E04">
        <w:t>µg/m</w:t>
      </w:r>
      <w:r w:rsidR="002018D4">
        <w:t>L</w:t>
      </w:r>
      <w:r w:rsidRPr="00E71E04">
        <w:t xml:space="preserve"> solu</w:t>
      </w:r>
      <w:r w:rsidR="00C72E6C">
        <w:t>tion 6 times a day for 8 weeks.</w:t>
      </w:r>
    </w:p>
    <w:p w14:paraId="0414175C" w14:textId="684029D9" w:rsidR="004B4F57" w:rsidRPr="00E71E04" w:rsidRDefault="004B4F57" w:rsidP="008867A2">
      <w:r w:rsidRPr="00E71E04">
        <w:t xml:space="preserve">Data on pharmacodynamics came from </w:t>
      </w:r>
      <w:r w:rsidRPr="008867A2">
        <w:rPr>
          <w:i/>
        </w:rPr>
        <w:t>in</w:t>
      </w:r>
      <w:r w:rsidR="008867A2" w:rsidRPr="008867A2">
        <w:rPr>
          <w:i/>
        </w:rPr>
        <w:t xml:space="preserve"> </w:t>
      </w:r>
      <w:r w:rsidRPr="008867A2">
        <w:rPr>
          <w:i/>
        </w:rPr>
        <w:t>vitro</w:t>
      </w:r>
      <w:r w:rsidRPr="00E71E04">
        <w:t xml:space="preserve"> s</w:t>
      </w:r>
      <w:r w:rsidR="00C72E6C">
        <w:t>tudies and studies in animals.</w:t>
      </w:r>
    </w:p>
    <w:p w14:paraId="6F3493F6" w14:textId="1C38864A" w:rsidR="004B4F57" w:rsidRPr="00C72E6C" w:rsidRDefault="004B4F57" w:rsidP="008867A2">
      <w:r w:rsidRPr="00E71E04">
        <w:t xml:space="preserve">In humans, </w:t>
      </w:r>
      <w:r w:rsidR="008867A2">
        <w:t>NGF</w:t>
      </w:r>
      <w:r w:rsidRPr="00E71E04">
        <w:t xml:space="preserve"> receptors are expressed in the anterior segment of the eye (cornea, conjunctiva, iris, ciliary body, and lens), by the lacrimal gland, and by posterio</w:t>
      </w:r>
      <w:r w:rsidR="00C72E6C">
        <w:t>r segment intraocular tissues.</w:t>
      </w:r>
    </w:p>
    <w:p w14:paraId="2EC2DEE5" w14:textId="0FE32B62" w:rsidR="004B4F57" w:rsidRPr="00A264AE" w:rsidRDefault="004B4F57" w:rsidP="00C72E6C">
      <w:pPr>
        <w:pStyle w:val="Heading4"/>
      </w:pPr>
      <w:r w:rsidRPr="003F08CF">
        <w:lastRenderedPageBreak/>
        <w:t>Efficacy</w:t>
      </w:r>
    </w:p>
    <w:p w14:paraId="04EDD3F5" w14:textId="2E3E724A" w:rsidR="004B4F57" w:rsidRPr="00A264AE" w:rsidRDefault="00C72E6C" w:rsidP="00C72E6C">
      <w:pPr>
        <w:pStyle w:val="Heading5"/>
      </w:pPr>
      <w:r>
        <w:t>Dose finding studies</w:t>
      </w:r>
    </w:p>
    <w:p w14:paraId="3192B5E4" w14:textId="4EB935F0" w:rsidR="004B4F57" w:rsidRPr="00C72E6C" w:rsidRDefault="004B4F57" w:rsidP="00C72E6C">
      <w:r w:rsidRPr="00A264AE">
        <w:t>The 20</w:t>
      </w:r>
      <w:r w:rsidR="00C72E6C">
        <w:t xml:space="preserve"> </w:t>
      </w:r>
      <w:r w:rsidR="008867A2">
        <w:t>µg/mL</w:t>
      </w:r>
      <w:r w:rsidRPr="00A264AE">
        <w:t xml:space="preserve"> </w:t>
      </w:r>
      <w:r>
        <w:t xml:space="preserve">formulation was used due to results of pre-clinical studies, a literature review of </w:t>
      </w:r>
      <w:proofErr w:type="spellStart"/>
      <w:r>
        <w:t>mNGF</w:t>
      </w:r>
      <w:proofErr w:type="spellEnd"/>
      <w:r>
        <w:t xml:space="preserve"> and </w:t>
      </w:r>
      <w:r w:rsidRPr="00A264AE">
        <w:t>a dose finding study comparing 10 and 20</w:t>
      </w:r>
      <w:r w:rsidR="00C72E6C">
        <w:t xml:space="preserve"> </w:t>
      </w:r>
      <w:r w:rsidR="008867A2">
        <w:t>µg/mL</w:t>
      </w:r>
      <w:r w:rsidRPr="00A264AE">
        <w:t xml:space="preserve"> strength formulations</w:t>
      </w:r>
      <w:r w:rsidR="008867A2">
        <w:t>. The 20</w:t>
      </w:r>
      <w:r w:rsidR="002018D4">
        <w:t xml:space="preserve"> </w:t>
      </w:r>
      <w:r w:rsidR="008867A2">
        <w:t>µg/mL</w:t>
      </w:r>
      <w:r>
        <w:t xml:space="preserve"> formulation was found to be more efficacious on some parameters th</w:t>
      </w:r>
      <w:r w:rsidR="008867A2">
        <w:t>an the 10</w:t>
      </w:r>
      <w:r w:rsidR="002018D4">
        <w:t xml:space="preserve"> </w:t>
      </w:r>
      <w:r w:rsidR="008867A2">
        <w:t>µg/mL</w:t>
      </w:r>
      <w:r>
        <w:t xml:space="preserve"> formulation. However, the frequency of dosing was not tested. It is unclear why an 8 week period was chosen.</w:t>
      </w:r>
    </w:p>
    <w:p w14:paraId="6458C8AA" w14:textId="514EB407" w:rsidR="004B4F57" w:rsidRPr="00A264AE" w:rsidRDefault="008867A2" w:rsidP="00C72E6C">
      <w:pPr>
        <w:pStyle w:val="Heading5"/>
      </w:pPr>
      <w:r>
        <w:t>Pivotal S</w:t>
      </w:r>
      <w:r w:rsidR="004B4F57" w:rsidRPr="00A264AE">
        <w:t>tudy NGF0212</w:t>
      </w:r>
    </w:p>
    <w:p w14:paraId="360C8AC3" w14:textId="3B01E982" w:rsidR="004B4F57" w:rsidRDefault="002018D4" w:rsidP="00C72E6C">
      <w:pPr>
        <w:rPr>
          <w:bCs/>
        </w:rPr>
      </w:pPr>
      <w:r>
        <w:rPr>
          <w:bCs/>
        </w:rPr>
        <w:t>Study NGF0212 was a</w:t>
      </w:r>
      <w:r w:rsidR="008867A2">
        <w:rPr>
          <w:bCs/>
        </w:rPr>
        <w:t xml:space="preserve">n 8 </w:t>
      </w:r>
      <w:r w:rsidR="004B4F57" w:rsidRPr="00A264AE">
        <w:rPr>
          <w:bCs/>
        </w:rPr>
        <w:t xml:space="preserve">week Phase I/II, </w:t>
      </w:r>
      <w:r w:rsidR="008867A2">
        <w:rPr>
          <w:bCs/>
        </w:rPr>
        <w:t>multicentre, randomised, double masked, vehicle controlled parallel </w:t>
      </w:r>
      <w:r w:rsidR="008867A2" w:rsidRPr="00A264AE">
        <w:rPr>
          <w:bCs/>
        </w:rPr>
        <w:t>group study</w:t>
      </w:r>
      <w:r w:rsidR="004B4F57" w:rsidRPr="00A264AE">
        <w:rPr>
          <w:bCs/>
        </w:rPr>
        <w:t xml:space="preserve"> with a 4</w:t>
      </w:r>
      <w:r w:rsidR="008867A2">
        <w:rPr>
          <w:bCs/>
        </w:rPr>
        <w:t>8 or 56 week follow</w:t>
      </w:r>
      <w:r>
        <w:rPr>
          <w:bCs/>
        </w:rPr>
        <w:t xml:space="preserve"> </w:t>
      </w:r>
      <w:r w:rsidR="008867A2" w:rsidRPr="00A264AE">
        <w:rPr>
          <w:bCs/>
        </w:rPr>
        <w:t>up period to evaluate the safety and</w:t>
      </w:r>
      <w:r w:rsidR="00CA50DC">
        <w:rPr>
          <w:bCs/>
        </w:rPr>
        <w:t xml:space="preserve"> efficacy of two doses (10 </w:t>
      </w:r>
      <w:r>
        <w:rPr>
          <w:bCs/>
        </w:rPr>
        <w:t>µ</w:t>
      </w:r>
      <w:r w:rsidR="00CA50DC">
        <w:rPr>
          <w:bCs/>
        </w:rPr>
        <w:t xml:space="preserve">g/mL and 20 </w:t>
      </w:r>
      <w:r>
        <w:rPr>
          <w:bCs/>
        </w:rPr>
        <w:t>µ</w:t>
      </w:r>
      <w:r w:rsidR="00CA50DC">
        <w:rPr>
          <w:bCs/>
        </w:rPr>
        <w:t>g/mL</w:t>
      </w:r>
      <w:r w:rsidR="008867A2" w:rsidRPr="00A264AE">
        <w:rPr>
          <w:bCs/>
        </w:rPr>
        <w:t xml:space="preserve">) of </w:t>
      </w:r>
      <w:proofErr w:type="spellStart"/>
      <w:r w:rsidR="008867A2">
        <w:rPr>
          <w:bCs/>
        </w:rPr>
        <w:t>rhNGF</w:t>
      </w:r>
      <w:proofErr w:type="spellEnd"/>
      <w:r w:rsidR="008867A2" w:rsidRPr="00A264AE">
        <w:rPr>
          <w:bCs/>
        </w:rPr>
        <w:t xml:space="preserve"> eye drops solution versus vehicle in patien</w:t>
      </w:r>
      <w:r w:rsidR="008867A2">
        <w:rPr>
          <w:bCs/>
        </w:rPr>
        <w:t>ts with S</w:t>
      </w:r>
      <w:r w:rsidR="008867A2" w:rsidRPr="00A264AE">
        <w:rPr>
          <w:bCs/>
        </w:rPr>
        <w:t xml:space="preserve">tage 2 </w:t>
      </w:r>
      <w:r w:rsidR="008867A2">
        <w:rPr>
          <w:bCs/>
        </w:rPr>
        <w:t>and 3 NK.</w:t>
      </w:r>
    </w:p>
    <w:p w14:paraId="1A34380E" w14:textId="70F0A362" w:rsidR="004B4F57" w:rsidRDefault="004B4F57" w:rsidP="00C72E6C">
      <w:pPr>
        <w:rPr>
          <w:bCs/>
        </w:rPr>
      </w:pPr>
      <w:r>
        <w:rPr>
          <w:bCs/>
        </w:rPr>
        <w:t>The primary efficacy endpoint was complete corneal healing, as measured by the central reading centre evaluating clinica</w:t>
      </w:r>
      <w:r w:rsidR="00C72E6C">
        <w:rPr>
          <w:bCs/>
        </w:rPr>
        <w:t>l pictures of corneal staining.</w:t>
      </w:r>
    </w:p>
    <w:p w14:paraId="09E8FC93" w14:textId="72A08564" w:rsidR="004B4F57" w:rsidRDefault="004B4F57" w:rsidP="00C72E6C">
      <w:pPr>
        <w:rPr>
          <w:bCs/>
        </w:rPr>
      </w:pPr>
      <w:r>
        <w:rPr>
          <w:bCs/>
        </w:rPr>
        <w:t>Secondary endpoints included complete healing as measured by the investigator, duration of complete healing, improvement in visual acuity, improvement in corneal sensitivity, percentage of patients achiev</w:t>
      </w:r>
      <w:r w:rsidR="00C72E6C">
        <w:rPr>
          <w:bCs/>
        </w:rPr>
        <w:t>ing complete corneal clearing.</w:t>
      </w:r>
    </w:p>
    <w:p w14:paraId="0327C6AD" w14:textId="1DBE8581" w:rsidR="00CA50DC" w:rsidRDefault="004B4F57" w:rsidP="00C72E6C">
      <w:pPr>
        <w:rPr>
          <w:bCs/>
        </w:rPr>
      </w:pPr>
      <w:r>
        <w:rPr>
          <w:bCs/>
        </w:rPr>
        <w:t>The in</w:t>
      </w:r>
      <w:r w:rsidR="00C72E6C">
        <w:rPr>
          <w:bCs/>
        </w:rPr>
        <w:t xml:space="preserve">clusion criteria and exclusion </w:t>
      </w:r>
      <w:r w:rsidR="002018D4">
        <w:rPr>
          <w:bCs/>
        </w:rPr>
        <w:t xml:space="preserve">were </w:t>
      </w:r>
      <w:r>
        <w:rPr>
          <w:bCs/>
        </w:rPr>
        <w:t xml:space="preserve">described in detail </w:t>
      </w:r>
      <w:r w:rsidR="002018D4">
        <w:rPr>
          <w:bCs/>
        </w:rPr>
        <w:t>in</w:t>
      </w:r>
      <w:r w:rsidR="00CA50DC">
        <w:rPr>
          <w:bCs/>
        </w:rPr>
        <w:t xml:space="preserve"> the clinical evaluation report, and included</w:t>
      </w:r>
      <w:r w:rsidR="002018D4">
        <w:rPr>
          <w:bCs/>
        </w:rPr>
        <w:t>:</w:t>
      </w:r>
    </w:p>
    <w:p w14:paraId="24200494" w14:textId="137C6333" w:rsidR="00CA50DC" w:rsidRDefault="006D5317" w:rsidP="00597FBE">
      <w:pPr>
        <w:pStyle w:val="ListBullet"/>
      </w:pPr>
      <w:r>
        <w:t>A</w:t>
      </w:r>
      <w:r w:rsidR="002018D4">
        <w:t xml:space="preserve">dults </w:t>
      </w:r>
      <w:r w:rsidR="00CA50DC">
        <w:t>with Stage 2 or S</w:t>
      </w:r>
      <w:r w:rsidR="004B4F57">
        <w:t>tage 3 NK in one eye that had been present for at least 2 we</w:t>
      </w:r>
      <w:r w:rsidR="00CA50DC">
        <w:t>eks and refractory to treatment;</w:t>
      </w:r>
    </w:p>
    <w:p w14:paraId="7945C012" w14:textId="21F39B61" w:rsidR="00CA50DC" w:rsidRDefault="006D5317" w:rsidP="00CA50DC">
      <w:pPr>
        <w:pStyle w:val="ListBullet"/>
      </w:pPr>
      <w:r>
        <w:t>T</w:t>
      </w:r>
      <w:r w:rsidR="002018D4">
        <w:t xml:space="preserve">he </w:t>
      </w:r>
      <w:r w:rsidR="004B4F57">
        <w:t>defect had to have no evidence of improveme</w:t>
      </w:r>
      <w:r w:rsidR="00CA50DC">
        <w:t>nt within 2 weeks of enrolment;</w:t>
      </w:r>
    </w:p>
    <w:p w14:paraId="15099DB6" w14:textId="2FBA834B" w:rsidR="00CA50DC" w:rsidRDefault="006D5317" w:rsidP="00CA50DC">
      <w:pPr>
        <w:pStyle w:val="ListBullet"/>
      </w:pPr>
      <w:r>
        <w:t>B</w:t>
      </w:r>
      <w:r w:rsidR="002018D4">
        <w:t xml:space="preserve">est </w:t>
      </w:r>
      <w:r w:rsidR="00CA50DC">
        <w:t>corrected distance visual acuity (BCDVA) score</w:t>
      </w:r>
      <w:r w:rsidR="004B4F57">
        <w:t xml:space="preserve"> was ≤</w:t>
      </w:r>
      <w:r w:rsidR="00CA50DC">
        <w:t xml:space="preserve"> </w:t>
      </w:r>
      <w:r w:rsidR="004B4F57">
        <w:t>75</w:t>
      </w:r>
      <w:r w:rsidR="00CA50DC">
        <w:t xml:space="preserve"> </w:t>
      </w:r>
      <w:r w:rsidR="00CA50DC" w:rsidRPr="00CA50DC">
        <w:t xml:space="preserve">Early Treatment Diabetic Retinopathy Study </w:t>
      </w:r>
      <w:r w:rsidR="00CA50DC">
        <w:t>(</w:t>
      </w:r>
      <w:r w:rsidR="004B4F57">
        <w:t>EDTRS</w:t>
      </w:r>
      <w:r w:rsidR="00CA50DC">
        <w:t>)</w:t>
      </w:r>
      <w:r w:rsidR="004B4F57">
        <w:t xml:space="preserve"> </w:t>
      </w:r>
      <w:r w:rsidR="00CA50DC">
        <w:t>letters (</w:t>
      </w:r>
      <w:r w:rsidR="004B4F57">
        <w:t>≥</w:t>
      </w:r>
      <w:r w:rsidR="00CA50DC">
        <w:t xml:space="preserve"> + 0.2 logarithm of the minimum angle of resolution (</w:t>
      </w:r>
      <w:proofErr w:type="spellStart"/>
      <w:r w:rsidR="00CA50DC">
        <w:t>logMAR</w:t>
      </w:r>
      <w:proofErr w:type="spellEnd"/>
      <w:r w:rsidR="00CA50DC">
        <w:t>) or ≤ 20/32</w:t>
      </w:r>
      <w:r w:rsidR="00FE476F">
        <w:t xml:space="preserve"> using the S</w:t>
      </w:r>
      <w:r w:rsidR="00CA50DC">
        <w:t>nellen</w:t>
      </w:r>
      <w:r w:rsidR="00FE476F">
        <w:t xml:space="preserve"> chart</w:t>
      </w:r>
      <w:r w:rsidR="00CA50DC">
        <w:t>);</w:t>
      </w:r>
      <w:r w:rsidR="00FE476F">
        <w:t xml:space="preserve"> and</w:t>
      </w:r>
    </w:p>
    <w:p w14:paraId="03B53060" w14:textId="6A563C80" w:rsidR="00CA50DC" w:rsidRDefault="006D5317" w:rsidP="00CA50DC">
      <w:pPr>
        <w:pStyle w:val="ListBullet"/>
      </w:pPr>
      <w:r>
        <w:t>E</w:t>
      </w:r>
      <w:r w:rsidR="004B4F57">
        <w:t xml:space="preserve">vidence </w:t>
      </w:r>
      <w:r w:rsidR="00CA50DC">
        <w:t>of reduced corneal sensitivity.</w:t>
      </w:r>
    </w:p>
    <w:p w14:paraId="6D2B2E5B" w14:textId="24F9C25E" w:rsidR="004B4F57" w:rsidRDefault="004B4F57" w:rsidP="00C72E6C">
      <w:pPr>
        <w:rPr>
          <w:bCs/>
        </w:rPr>
      </w:pPr>
      <w:r>
        <w:rPr>
          <w:bCs/>
        </w:rPr>
        <w:t xml:space="preserve">Patients were not </w:t>
      </w:r>
      <w:r w:rsidR="00B73065">
        <w:rPr>
          <w:bCs/>
        </w:rPr>
        <w:t xml:space="preserve">allowed </w:t>
      </w:r>
      <w:r>
        <w:rPr>
          <w:bCs/>
        </w:rPr>
        <w:t>to wear contact lenses. Patients with evidence of corneal</w:t>
      </w:r>
      <w:r w:rsidR="00CA50DC">
        <w:rPr>
          <w:bCs/>
        </w:rPr>
        <w:t xml:space="preserve"> ulceration in the posterior one third</w:t>
      </w:r>
      <w:r>
        <w:rPr>
          <w:bCs/>
        </w:rPr>
        <w:t xml:space="preserve"> of the eye, corneal melting or perfora</w:t>
      </w:r>
      <w:r w:rsidR="00C72E6C">
        <w:rPr>
          <w:bCs/>
        </w:rPr>
        <w:t>tion of the eye were excluded.</w:t>
      </w:r>
    </w:p>
    <w:p w14:paraId="4EC55443" w14:textId="6457FC89" w:rsidR="004B4F57" w:rsidRDefault="00CA50DC" w:rsidP="00C72E6C">
      <w:pPr>
        <w:rPr>
          <w:bCs/>
        </w:rPr>
      </w:pPr>
      <w:r>
        <w:rPr>
          <w:bCs/>
        </w:rPr>
        <w:t>Subjects were randomised in Phase I</w:t>
      </w:r>
      <w:r w:rsidR="004B4F57">
        <w:rPr>
          <w:bCs/>
        </w:rPr>
        <w:t xml:space="preserve"> to the following treatment arms: </w:t>
      </w:r>
      <w:proofErr w:type="spellStart"/>
      <w:r w:rsidR="004B4F57">
        <w:rPr>
          <w:bCs/>
        </w:rPr>
        <w:t>rhNGF</w:t>
      </w:r>
      <w:proofErr w:type="spellEnd"/>
      <w:r>
        <w:rPr>
          <w:bCs/>
        </w:rPr>
        <w:t xml:space="preserve"> </w:t>
      </w:r>
      <w:r w:rsidR="004B4F57">
        <w:rPr>
          <w:bCs/>
        </w:rPr>
        <w:t>10</w:t>
      </w:r>
      <w:r>
        <w:rPr>
          <w:bCs/>
        </w:rPr>
        <w:t xml:space="preserve"> µg/mL</w:t>
      </w:r>
      <w:r w:rsidR="007B0865">
        <w:rPr>
          <w:bCs/>
        </w:rPr>
        <w:t xml:space="preserve">, </w:t>
      </w:r>
      <w:proofErr w:type="spellStart"/>
      <w:r w:rsidR="007B0865">
        <w:rPr>
          <w:bCs/>
        </w:rPr>
        <w:t>rh</w:t>
      </w:r>
      <w:r w:rsidR="004B4F57">
        <w:rPr>
          <w:bCs/>
        </w:rPr>
        <w:t>NGF</w:t>
      </w:r>
      <w:proofErr w:type="spellEnd"/>
      <w:r>
        <w:rPr>
          <w:bCs/>
        </w:rPr>
        <w:t xml:space="preserve"> </w:t>
      </w:r>
      <w:r w:rsidR="004B4F57">
        <w:rPr>
          <w:bCs/>
        </w:rPr>
        <w:t>20</w:t>
      </w:r>
      <w:r>
        <w:rPr>
          <w:bCs/>
        </w:rPr>
        <w:t xml:space="preserve"> µg/mL</w:t>
      </w:r>
      <w:r w:rsidR="004B4F57">
        <w:rPr>
          <w:bCs/>
        </w:rPr>
        <w:t xml:space="preserve"> or </w:t>
      </w:r>
      <w:r>
        <w:rPr>
          <w:bCs/>
        </w:rPr>
        <w:t>vehicle control. In Phase II</w:t>
      </w:r>
      <w:r w:rsidR="004B4F57">
        <w:rPr>
          <w:bCs/>
        </w:rPr>
        <w:t>, patients previously in the active arm stopped treatment if the defect was healed, or continued the current dose. Patients previously in the control arm were randomised to one of</w:t>
      </w:r>
      <w:r w:rsidR="007B0865">
        <w:rPr>
          <w:bCs/>
        </w:rPr>
        <w:t xml:space="preserve"> the two treatment groups for 8 </w:t>
      </w:r>
      <w:r w:rsidR="004B4F57">
        <w:rPr>
          <w:bCs/>
        </w:rPr>
        <w:t xml:space="preserve">weeks. Patients who had a corneal defect which healed with </w:t>
      </w:r>
      <w:proofErr w:type="spellStart"/>
      <w:r w:rsidR="004B4F57">
        <w:rPr>
          <w:bCs/>
        </w:rPr>
        <w:t>rhNGF</w:t>
      </w:r>
      <w:proofErr w:type="spellEnd"/>
      <w:r w:rsidR="004B4F57">
        <w:rPr>
          <w:bCs/>
        </w:rPr>
        <w:t xml:space="preserve"> but recurred were able to be treated. It is unclear what sort of training patients</w:t>
      </w:r>
      <w:r>
        <w:rPr>
          <w:bCs/>
        </w:rPr>
        <w:t xml:space="preserve"> had to </w:t>
      </w:r>
      <w:proofErr w:type="spellStart"/>
      <w:r>
        <w:rPr>
          <w:bCs/>
        </w:rPr>
        <w:t>instill</w:t>
      </w:r>
      <w:proofErr w:type="spellEnd"/>
      <w:r>
        <w:rPr>
          <w:bCs/>
        </w:rPr>
        <w:t xml:space="preserve"> the eye drops.</w:t>
      </w:r>
    </w:p>
    <w:p w14:paraId="0E6B84A6" w14:textId="15271A38" w:rsidR="004B4F57" w:rsidRDefault="00CA50DC" w:rsidP="00C72E6C">
      <w:pPr>
        <w:rPr>
          <w:bCs/>
        </w:rPr>
      </w:pPr>
      <w:r>
        <w:rPr>
          <w:bCs/>
        </w:rPr>
        <w:t>In Phase I</w:t>
      </w:r>
      <w:r w:rsidR="00FE476F">
        <w:rPr>
          <w:bCs/>
        </w:rPr>
        <w:t>,</w:t>
      </w:r>
      <w:r w:rsidR="004B4F57">
        <w:rPr>
          <w:bCs/>
        </w:rPr>
        <w:t xml:space="preserve"> 18 patients were e</w:t>
      </w:r>
      <w:r>
        <w:rPr>
          <w:bCs/>
        </w:rPr>
        <w:t>nrolled to evaluate safety</w:t>
      </w:r>
      <w:r w:rsidR="00FE476F">
        <w:rPr>
          <w:bCs/>
        </w:rPr>
        <w:t>;</w:t>
      </w:r>
      <w:r>
        <w:rPr>
          <w:bCs/>
        </w:rPr>
        <w:t xml:space="preserve"> in P</w:t>
      </w:r>
      <w:r w:rsidR="004B4F57">
        <w:rPr>
          <w:bCs/>
        </w:rPr>
        <w:t>hase II</w:t>
      </w:r>
      <w:r w:rsidR="00FE476F">
        <w:rPr>
          <w:bCs/>
        </w:rPr>
        <w:t>,</w:t>
      </w:r>
      <w:r w:rsidR="004B4F57">
        <w:rPr>
          <w:bCs/>
        </w:rPr>
        <w:t xml:space="preserve"> the study was powered to detect a 30% improv</w:t>
      </w:r>
      <w:r w:rsidR="00C72E6C">
        <w:rPr>
          <w:bCs/>
        </w:rPr>
        <w:t>ement in corneal healing.</w:t>
      </w:r>
    </w:p>
    <w:p w14:paraId="796BC0FA" w14:textId="6ED2C5DB" w:rsidR="004B4F57" w:rsidRDefault="004B4F57" w:rsidP="00C72E6C">
      <w:r w:rsidRPr="00361AFA">
        <w:t>The primary endpoint for this study was complete healing evaluated at Week 4. Compl</w:t>
      </w:r>
      <w:r w:rsidR="00CA50DC">
        <w:t>ete healing was defined by the s</w:t>
      </w:r>
      <w:r w:rsidRPr="00361AFA">
        <w:t>ponsor (and agreed by the EMA) as the percentage of patients experiencing complete healing, defined as the greatest diame</w:t>
      </w:r>
      <w:r w:rsidR="00CA50DC">
        <w:t xml:space="preserve">ter of the corneal fluorescein </w:t>
      </w:r>
      <w:r w:rsidRPr="00361AFA">
        <w:t xml:space="preserve">staining in the area of the PED or corneal ulcer, as determined by the reading centre, being less than 0.5 mm at the Week 4 visit. This was later amended at the prompting of the FDA to be defined as no corneal fluorescein staining in the area of the PED or corneal ulcer, and non-persistent lesions in the </w:t>
      </w:r>
      <w:r w:rsidR="00CA50DC">
        <w:t>surrounding area of the cornea.</w:t>
      </w:r>
    </w:p>
    <w:p w14:paraId="35D72E68" w14:textId="66741510" w:rsidR="004B4F57" w:rsidRPr="00CF2060" w:rsidRDefault="00C72E6C" w:rsidP="00C72E6C">
      <w:pPr>
        <w:pStyle w:val="Heading6"/>
      </w:pPr>
      <w:r>
        <w:lastRenderedPageBreak/>
        <w:t>Phase I</w:t>
      </w:r>
    </w:p>
    <w:p w14:paraId="1B1C21BA" w14:textId="2A9B4923" w:rsidR="004B4F57" w:rsidRDefault="004B4F57" w:rsidP="00C72E6C">
      <w:pPr>
        <w:rPr>
          <w:rFonts w:asciiTheme="minorHAnsi" w:hAnsiTheme="minorHAnsi"/>
        </w:rPr>
      </w:pPr>
      <w:r>
        <w:rPr>
          <w:rFonts w:asciiTheme="minorHAnsi" w:hAnsiTheme="minorHAnsi"/>
        </w:rPr>
        <w:t>T</w:t>
      </w:r>
      <w:r w:rsidRPr="006575F7">
        <w:rPr>
          <w:rFonts w:asciiTheme="minorHAnsi" w:hAnsiTheme="minorHAnsi"/>
        </w:rPr>
        <w:t>here</w:t>
      </w:r>
      <w:r>
        <w:rPr>
          <w:rFonts w:asciiTheme="minorHAnsi" w:hAnsiTheme="minorHAnsi"/>
        </w:rPr>
        <w:t xml:space="preserve"> were 7 patients in each of the NGF groups, and 4 in the vehicle control group. 2</w:t>
      </w:r>
      <w:r w:rsidR="00FE476F">
        <w:rPr>
          <w:rFonts w:asciiTheme="minorHAnsi" w:hAnsiTheme="minorHAnsi"/>
        </w:rPr>
        <w:t> </w:t>
      </w:r>
      <w:r>
        <w:rPr>
          <w:rFonts w:asciiTheme="minorHAnsi" w:hAnsiTheme="minorHAnsi"/>
        </w:rPr>
        <w:t>patients from the 10</w:t>
      </w:r>
      <w:r w:rsidR="00CA50DC">
        <w:rPr>
          <w:rFonts w:asciiTheme="minorHAnsi" w:hAnsiTheme="minorHAnsi"/>
        </w:rPr>
        <w:t xml:space="preserve"> µg/mL</w:t>
      </w:r>
      <w:r>
        <w:rPr>
          <w:rFonts w:asciiTheme="minorHAnsi" w:hAnsiTheme="minorHAnsi"/>
        </w:rPr>
        <w:t xml:space="preserve"> and vehicle control gr</w:t>
      </w:r>
      <w:r w:rsidR="00CA50DC">
        <w:rPr>
          <w:rFonts w:asciiTheme="minorHAnsi" w:hAnsiTheme="minorHAnsi"/>
        </w:rPr>
        <w:t>oup were withdrawn due to adverse events (AE).</w:t>
      </w:r>
    </w:p>
    <w:p w14:paraId="2D07F767" w14:textId="3EFE5B06" w:rsidR="004B4F57" w:rsidRDefault="00CA50DC" w:rsidP="00C72E6C">
      <w:pPr>
        <w:rPr>
          <w:rFonts w:asciiTheme="minorHAnsi" w:hAnsiTheme="minorHAnsi"/>
        </w:rPr>
      </w:pPr>
      <w:r>
        <w:rPr>
          <w:rFonts w:asciiTheme="minorHAnsi" w:hAnsiTheme="minorHAnsi"/>
        </w:rPr>
        <w:t>10 patients had Stage 2 NK, 8 had S</w:t>
      </w:r>
      <w:r w:rsidR="004B4F57">
        <w:rPr>
          <w:rFonts w:asciiTheme="minorHAnsi" w:hAnsiTheme="minorHAnsi"/>
        </w:rPr>
        <w:t xml:space="preserve">tage 3 NK. The duration of NK before treatment was greater in those who received </w:t>
      </w:r>
      <w:proofErr w:type="spellStart"/>
      <w:r w:rsidR="004B4F57">
        <w:rPr>
          <w:rFonts w:asciiTheme="minorHAnsi" w:hAnsiTheme="minorHAnsi"/>
        </w:rPr>
        <w:t>rhNGF</w:t>
      </w:r>
      <w:proofErr w:type="spellEnd"/>
      <w:r w:rsidR="004B4F57">
        <w:rPr>
          <w:rFonts w:asciiTheme="minorHAnsi" w:hAnsiTheme="minorHAnsi"/>
        </w:rPr>
        <w:t xml:space="preserve"> (approximately 12 months) versus those in the placebo group (approximately 5 m</w:t>
      </w:r>
      <w:r>
        <w:rPr>
          <w:rFonts w:asciiTheme="minorHAnsi" w:hAnsiTheme="minorHAnsi"/>
        </w:rPr>
        <w:t>onths).</w:t>
      </w:r>
    </w:p>
    <w:p w14:paraId="25AAE52A" w14:textId="542926A4" w:rsidR="004B4F57" w:rsidRDefault="00CA50DC" w:rsidP="00C72E6C">
      <w:pPr>
        <w:rPr>
          <w:rFonts w:asciiTheme="minorHAnsi" w:hAnsiTheme="minorHAnsi"/>
        </w:rPr>
      </w:pPr>
      <w:r>
        <w:rPr>
          <w:rFonts w:asciiTheme="minorHAnsi" w:hAnsiTheme="minorHAnsi"/>
        </w:rPr>
        <w:t>At W</w:t>
      </w:r>
      <w:r w:rsidR="004B4F57">
        <w:rPr>
          <w:rFonts w:asciiTheme="minorHAnsi" w:hAnsiTheme="minorHAnsi"/>
        </w:rPr>
        <w:t xml:space="preserve">eek 4, complete </w:t>
      </w:r>
      <w:r>
        <w:rPr>
          <w:rFonts w:asciiTheme="minorHAnsi" w:hAnsiTheme="minorHAnsi"/>
        </w:rPr>
        <w:t xml:space="preserve">healing of NK was achieved by 3 out of </w:t>
      </w:r>
      <w:r w:rsidR="004B4F57">
        <w:rPr>
          <w:rFonts w:asciiTheme="minorHAnsi" w:hAnsiTheme="minorHAnsi"/>
        </w:rPr>
        <w:t xml:space="preserve">7 </w:t>
      </w:r>
      <w:r w:rsidR="00FE476F">
        <w:rPr>
          <w:rFonts w:asciiTheme="minorHAnsi" w:hAnsiTheme="minorHAnsi"/>
        </w:rPr>
        <w:t xml:space="preserve">patients </w:t>
      </w:r>
      <w:r w:rsidR="004B4F57">
        <w:rPr>
          <w:rFonts w:asciiTheme="minorHAnsi" w:hAnsiTheme="minorHAnsi"/>
        </w:rPr>
        <w:t>in the 10</w:t>
      </w:r>
      <w:r>
        <w:rPr>
          <w:rFonts w:asciiTheme="minorHAnsi" w:hAnsiTheme="minorHAnsi"/>
        </w:rPr>
        <w:t xml:space="preserve"> µg/mL group, 3 out of </w:t>
      </w:r>
      <w:r w:rsidR="004B4F57">
        <w:rPr>
          <w:rFonts w:asciiTheme="minorHAnsi" w:hAnsiTheme="minorHAnsi"/>
        </w:rPr>
        <w:t>7 in the 20</w:t>
      </w:r>
      <w:r>
        <w:rPr>
          <w:rFonts w:asciiTheme="minorHAnsi" w:hAnsiTheme="minorHAnsi"/>
        </w:rPr>
        <w:t xml:space="preserve"> µg/mL group and 1 out of 4 in the placebo group. At W</w:t>
      </w:r>
      <w:r w:rsidR="004B4F57">
        <w:rPr>
          <w:rFonts w:asciiTheme="minorHAnsi" w:hAnsiTheme="minorHAnsi"/>
        </w:rPr>
        <w:t>eek 8, com</w:t>
      </w:r>
      <w:r>
        <w:rPr>
          <w:rFonts w:asciiTheme="minorHAnsi" w:hAnsiTheme="minorHAnsi"/>
        </w:rPr>
        <w:t xml:space="preserve">plete healing was achieved by 4 out of </w:t>
      </w:r>
      <w:r w:rsidR="004B4F57">
        <w:rPr>
          <w:rFonts w:asciiTheme="minorHAnsi" w:hAnsiTheme="minorHAnsi"/>
        </w:rPr>
        <w:t>6 patients in the 10</w:t>
      </w:r>
      <w:r>
        <w:rPr>
          <w:rFonts w:asciiTheme="minorHAnsi" w:hAnsiTheme="minorHAnsi"/>
        </w:rPr>
        <w:t xml:space="preserve"> µg/mL group, 6 out of </w:t>
      </w:r>
      <w:r w:rsidR="004B4F57">
        <w:rPr>
          <w:rFonts w:asciiTheme="minorHAnsi" w:hAnsiTheme="minorHAnsi"/>
        </w:rPr>
        <w:t>7 in the 20</w:t>
      </w:r>
      <w:r>
        <w:rPr>
          <w:rFonts w:asciiTheme="minorHAnsi" w:hAnsiTheme="minorHAnsi"/>
        </w:rPr>
        <w:t> µg/mL</w:t>
      </w:r>
      <w:r w:rsidR="004B4F57">
        <w:rPr>
          <w:rFonts w:asciiTheme="minorHAnsi" w:hAnsiTheme="minorHAnsi"/>
        </w:rPr>
        <w:t xml:space="preserve"> grou</w:t>
      </w:r>
      <w:r>
        <w:rPr>
          <w:rFonts w:asciiTheme="minorHAnsi" w:hAnsiTheme="minorHAnsi"/>
        </w:rPr>
        <w:t xml:space="preserve">p and 1 out of </w:t>
      </w:r>
      <w:r w:rsidR="004B4F57">
        <w:rPr>
          <w:rFonts w:asciiTheme="minorHAnsi" w:hAnsiTheme="minorHAnsi"/>
        </w:rPr>
        <w:t xml:space="preserve">2 </w:t>
      </w:r>
      <w:r>
        <w:rPr>
          <w:rFonts w:asciiTheme="minorHAnsi" w:hAnsiTheme="minorHAnsi"/>
        </w:rPr>
        <w:t>in the vehicle control group. A</w:t>
      </w:r>
      <w:r w:rsidR="004B4F57">
        <w:rPr>
          <w:rFonts w:asciiTheme="minorHAnsi" w:hAnsiTheme="minorHAnsi"/>
        </w:rPr>
        <w:t xml:space="preserve"> 15 letter improvement in BC</w:t>
      </w:r>
      <w:r w:rsidR="006C587B">
        <w:rPr>
          <w:rFonts w:asciiTheme="minorHAnsi" w:hAnsiTheme="minorHAnsi"/>
        </w:rPr>
        <w:t xml:space="preserve">DVA was achieved by 3 out of </w:t>
      </w:r>
      <w:r w:rsidR="004B4F57">
        <w:rPr>
          <w:rFonts w:asciiTheme="minorHAnsi" w:hAnsiTheme="minorHAnsi"/>
        </w:rPr>
        <w:t>7 patients in the 20</w:t>
      </w:r>
      <w:r w:rsidR="006C587B">
        <w:rPr>
          <w:rFonts w:asciiTheme="minorHAnsi" w:hAnsiTheme="minorHAnsi"/>
        </w:rPr>
        <w:t xml:space="preserve"> µg/mL group by W</w:t>
      </w:r>
      <w:r w:rsidR="004B4F57">
        <w:rPr>
          <w:rFonts w:asciiTheme="minorHAnsi" w:hAnsiTheme="minorHAnsi"/>
        </w:rPr>
        <w:t>eek 8, but no patient in the vehicle control group. An improvement in cornea</w:t>
      </w:r>
      <w:r w:rsidR="006C587B">
        <w:rPr>
          <w:rFonts w:asciiTheme="minorHAnsi" w:hAnsiTheme="minorHAnsi"/>
        </w:rPr>
        <w:t xml:space="preserve">l sensitivity was achieved by 3 out of </w:t>
      </w:r>
      <w:r w:rsidR="004B4F57">
        <w:rPr>
          <w:rFonts w:asciiTheme="minorHAnsi" w:hAnsiTheme="minorHAnsi"/>
        </w:rPr>
        <w:t>5 patients in the 20</w:t>
      </w:r>
      <w:r w:rsidR="006C587B">
        <w:rPr>
          <w:rFonts w:asciiTheme="minorHAnsi" w:hAnsiTheme="minorHAnsi"/>
        </w:rPr>
        <w:t xml:space="preserve"> </w:t>
      </w:r>
      <w:r w:rsidR="004B4F57">
        <w:rPr>
          <w:rFonts w:asciiTheme="minorHAnsi" w:hAnsiTheme="minorHAnsi"/>
        </w:rPr>
        <w:t>µ</w:t>
      </w:r>
      <w:r w:rsidR="006C587B">
        <w:rPr>
          <w:rFonts w:asciiTheme="minorHAnsi" w:hAnsiTheme="minorHAnsi"/>
        </w:rPr>
        <w:t xml:space="preserve">g/mL group and 2 out of </w:t>
      </w:r>
      <w:r w:rsidR="004B4F57">
        <w:rPr>
          <w:rFonts w:asciiTheme="minorHAnsi" w:hAnsiTheme="minorHAnsi"/>
        </w:rPr>
        <w:t>2 patients in the v</w:t>
      </w:r>
      <w:r w:rsidR="006C587B">
        <w:rPr>
          <w:rFonts w:asciiTheme="minorHAnsi" w:hAnsiTheme="minorHAnsi"/>
        </w:rPr>
        <w:t>ehicle control group at Week 8.</w:t>
      </w:r>
    </w:p>
    <w:p w14:paraId="5E57F611" w14:textId="7AB00217" w:rsidR="004B4F57" w:rsidRDefault="004B4F57" w:rsidP="00C72E6C">
      <w:pPr>
        <w:rPr>
          <w:rFonts w:asciiTheme="minorHAnsi" w:hAnsiTheme="minorHAnsi"/>
        </w:rPr>
      </w:pPr>
      <w:r>
        <w:rPr>
          <w:rFonts w:asciiTheme="minorHAnsi" w:hAnsiTheme="minorHAnsi"/>
        </w:rPr>
        <w:t>Of tho</w:t>
      </w:r>
      <w:r w:rsidR="006C587B">
        <w:rPr>
          <w:rFonts w:asciiTheme="minorHAnsi" w:hAnsiTheme="minorHAnsi"/>
        </w:rPr>
        <w:t>se patients who were healed at Week 8, most remained healed at W</w:t>
      </w:r>
      <w:r>
        <w:rPr>
          <w:rFonts w:asciiTheme="minorHAnsi" w:hAnsiTheme="minorHAnsi"/>
        </w:rPr>
        <w:t xml:space="preserve">eek 56. More patients in the </w:t>
      </w:r>
      <w:proofErr w:type="spellStart"/>
      <w:r>
        <w:rPr>
          <w:rFonts w:asciiTheme="minorHAnsi" w:hAnsiTheme="minorHAnsi"/>
        </w:rPr>
        <w:t>rhNGF</w:t>
      </w:r>
      <w:proofErr w:type="spellEnd"/>
      <w:r>
        <w:rPr>
          <w:rFonts w:asciiTheme="minorHAnsi" w:hAnsiTheme="minorHAnsi"/>
        </w:rPr>
        <w:t xml:space="preserve"> group gained visual acuity during this period. Corneal sensitivity also improved d</w:t>
      </w:r>
      <w:r w:rsidR="006C587B">
        <w:rPr>
          <w:rFonts w:asciiTheme="minorHAnsi" w:hAnsiTheme="minorHAnsi"/>
        </w:rPr>
        <w:t>uring the follow up period.</w:t>
      </w:r>
    </w:p>
    <w:p w14:paraId="6F87DCBD" w14:textId="2024BF07" w:rsidR="004B4F57" w:rsidRPr="00CF2060" w:rsidRDefault="00C72E6C" w:rsidP="00C72E6C">
      <w:pPr>
        <w:pStyle w:val="Heading6"/>
      </w:pPr>
      <w:r>
        <w:t>Phase II</w:t>
      </w:r>
    </w:p>
    <w:p w14:paraId="4A2C3472" w14:textId="12245D38" w:rsidR="004B4F57" w:rsidRDefault="004B4F57" w:rsidP="006C587B">
      <w:r>
        <w:t>T</w:t>
      </w:r>
      <w:r w:rsidRPr="006575F7">
        <w:t xml:space="preserve">here were </w:t>
      </w:r>
      <w:r>
        <w:t>52 patients in each of the NGF groups and control gr</w:t>
      </w:r>
      <w:r w:rsidR="006C587B">
        <w:t xml:space="preserve">oup. The </w:t>
      </w:r>
      <w:r w:rsidR="007B0865">
        <w:t>dropout</w:t>
      </w:r>
      <w:r w:rsidR="006C587B">
        <w:t xml:space="preserve"> rate was high;</w:t>
      </w:r>
      <w:r>
        <w:t xml:space="preserve"> 33.3%. </w:t>
      </w:r>
      <w:r w:rsidR="006C587B">
        <w:t>AE</w:t>
      </w:r>
      <w:r>
        <w:t xml:space="preserve"> occurred in 9 patients in each of the NGF groups and 2 in the vehicle control group. 23 of the 52 patients which were initially randomised to the control group were subsequently randomised to </w:t>
      </w:r>
      <w:proofErr w:type="spellStart"/>
      <w:r>
        <w:t>rhNGF</w:t>
      </w:r>
      <w:proofErr w:type="spellEnd"/>
      <w:r>
        <w:t>.</w:t>
      </w:r>
    </w:p>
    <w:p w14:paraId="14A29298" w14:textId="0DDE7BDA" w:rsidR="004B4F57" w:rsidRDefault="006C587B" w:rsidP="006C587B">
      <w:r>
        <w:t>76 patients had Stage 2 NK and 80 patients had S</w:t>
      </w:r>
      <w:r w:rsidR="004B4F57">
        <w:t>tage 3 NK. The mean time since initial diagnosis was 28 months in the 10 µg group, 30 months in the 20 µg group and 24 mo</w:t>
      </w:r>
      <w:r w:rsidR="00C72E6C">
        <w:t>nths in the placebo group.</w:t>
      </w:r>
    </w:p>
    <w:p w14:paraId="3BDE91BC" w14:textId="0AF1CB96" w:rsidR="004B4F57" w:rsidRDefault="004B4F57" w:rsidP="006C587B">
      <w:r>
        <w:t xml:space="preserve">Complete healing was achieved by over 50% in each of the </w:t>
      </w:r>
      <w:proofErr w:type="spellStart"/>
      <w:r>
        <w:t>rhNGF</w:t>
      </w:r>
      <w:proofErr w:type="spellEnd"/>
      <w:r>
        <w:t xml:space="preserve"> groups compared to 20% of the control group. The response was numerically greater in the 20</w:t>
      </w:r>
      <w:r w:rsidR="006C587B">
        <w:t xml:space="preserve"> µg/mL</w:t>
      </w:r>
      <w:r>
        <w:t xml:space="preserve"> group. The improvement in response rate over vehicle control was statistically significant for both groups.</w:t>
      </w:r>
    </w:p>
    <w:p w14:paraId="64899BD5" w14:textId="68B50938" w:rsidR="004B4F57" w:rsidRDefault="00F84CE7" w:rsidP="00F84CE7">
      <w:pPr>
        <w:pStyle w:val="TableTitle"/>
      </w:pPr>
      <w:r>
        <w:t xml:space="preserve">Table </w:t>
      </w:r>
      <w:r w:rsidR="008C1DC6">
        <w:fldChar w:fldCharType="begin"/>
      </w:r>
      <w:r w:rsidR="008C1DC6">
        <w:instrText xml:space="preserve"> SEQ Table \* ARABIC </w:instrText>
      </w:r>
      <w:r w:rsidR="008C1DC6">
        <w:fldChar w:fldCharType="separate"/>
      </w:r>
      <w:r w:rsidR="007B0865">
        <w:rPr>
          <w:noProof/>
        </w:rPr>
        <w:t>3</w:t>
      </w:r>
      <w:r w:rsidR="008C1DC6">
        <w:rPr>
          <w:noProof/>
        </w:rPr>
        <w:fldChar w:fldCharType="end"/>
      </w:r>
      <w:r>
        <w:t xml:space="preserve">: </w:t>
      </w:r>
      <w:r w:rsidRPr="00F84CE7">
        <w:t>Study NGF0212 Summary and primary efficacy analysis of percentage of patients who achieved complete healing at Week 4 (LOCF) as det</w:t>
      </w:r>
      <w:r>
        <w:t>ermined by the reading centre, Phase II</w:t>
      </w:r>
      <w:r w:rsidRPr="00F84CE7">
        <w:t xml:space="preserve"> (ITT population)</w:t>
      </w:r>
    </w:p>
    <w:p w14:paraId="6ADC9EC1" w14:textId="0835ED9E" w:rsidR="006C587B" w:rsidRDefault="006C587B" w:rsidP="007B0865">
      <w:r>
        <w:rPr>
          <w:noProof/>
          <w:lang w:eastAsia="en-AU"/>
        </w:rPr>
        <w:drawing>
          <wp:inline distT="0" distB="0" distL="0" distR="0" wp14:anchorId="17E98A5C" wp14:editId="43A0BCBF">
            <wp:extent cx="5400040" cy="1978025"/>
            <wp:effectExtent l="0" t="0" r="0" b="3175"/>
            <wp:docPr id="1" name="Picture 1" descr="Study NGF0212: Summary and primary efficacy analysis of percentage of patients who achieved complete healing at Week 4 (LOCF) as determined by the reading centre, Phase II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00040" cy="1978025"/>
                    </a:xfrm>
                    <a:prstGeom prst="rect">
                      <a:avLst/>
                    </a:prstGeom>
                  </pic:spPr>
                </pic:pic>
              </a:graphicData>
            </a:graphic>
          </wp:inline>
        </w:drawing>
      </w:r>
    </w:p>
    <w:p w14:paraId="0E2C1F9C" w14:textId="77777777" w:rsidR="004B4F57" w:rsidRPr="001E12C5" w:rsidRDefault="004B4F57" w:rsidP="004B4F57">
      <w:pPr>
        <w:kinsoku w:val="0"/>
        <w:overflowPunct w:val="0"/>
        <w:autoSpaceDE w:val="0"/>
        <w:autoSpaceDN w:val="0"/>
        <w:spacing w:before="9" w:after="0" w:line="240" w:lineRule="auto"/>
        <w:rPr>
          <w:rFonts w:ascii="Times New Roman" w:eastAsiaTheme="minorHAnsi" w:hAnsi="Times New Roman"/>
          <w:sz w:val="4"/>
          <w:szCs w:val="4"/>
        </w:rPr>
      </w:pPr>
    </w:p>
    <w:p w14:paraId="08FF6050" w14:textId="7C6C2236" w:rsidR="004B4F57" w:rsidRPr="006C587B" w:rsidRDefault="00F84CE7" w:rsidP="006C587B">
      <w:pPr>
        <w:pStyle w:val="TableDescription"/>
      </w:pPr>
      <w:r w:rsidRPr="006C587B">
        <w:t>CI = confidence interval; ITT = intent-to-treat; LOCF = l</w:t>
      </w:r>
      <w:r w:rsidR="006C587B">
        <w:t>ast observation carried forward</w:t>
      </w:r>
      <w:r w:rsidR="006C587B" w:rsidRPr="006C587B">
        <w:t>. Top n</w:t>
      </w:r>
      <w:r w:rsidRPr="006C587B">
        <w:t xml:space="preserve"> counts relate to the number of patients randomized to each treatment at Baseline.</w:t>
      </w:r>
      <w:r w:rsidR="006C587B" w:rsidRPr="006C587B">
        <w:t xml:space="preserve"> </w:t>
      </w:r>
      <w:r w:rsidRPr="006C587B">
        <w:t xml:space="preserve">The significance level for the statistical tests is 0.0294 (adjusted according to </w:t>
      </w:r>
      <w:proofErr w:type="spellStart"/>
      <w:r w:rsidRPr="006C587B">
        <w:t>Pocock</w:t>
      </w:r>
      <w:proofErr w:type="spellEnd"/>
      <w:r w:rsidRPr="006C587B">
        <w:t>).</w:t>
      </w:r>
      <w:r w:rsidR="006C587B" w:rsidRPr="006C587B">
        <w:t xml:space="preserve"> </w:t>
      </w:r>
      <w:r w:rsidR="006C587B">
        <w:t xml:space="preserve">a = </w:t>
      </w:r>
      <w:proofErr w:type="spellStart"/>
      <w:r w:rsidR="006C587B">
        <w:t>rhNGF</w:t>
      </w:r>
      <w:proofErr w:type="spellEnd"/>
      <w:r w:rsidR="006C587B">
        <w:t xml:space="preserve"> 10 </w:t>
      </w:r>
      <w:proofErr w:type="spellStart"/>
      <w:r w:rsidR="006C587B">
        <w:t>μg</w:t>
      </w:r>
      <w:proofErr w:type="spellEnd"/>
      <w:r w:rsidR="006C587B">
        <w:t xml:space="preserve">/mL and </w:t>
      </w:r>
      <w:proofErr w:type="spellStart"/>
      <w:r w:rsidR="006C587B">
        <w:t>rhNGF</w:t>
      </w:r>
      <w:proofErr w:type="spellEnd"/>
      <w:r w:rsidR="006C587B">
        <w:t xml:space="preserve"> 20 </w:t>
      </w:r>
      <w:proofErr w:type="spellStart"/>
      <w:r w:rsidR="006C587B">
        <w:t>μg</w:t>
      </w:r>
      <w:proofErr w:type="spellEnd"/>
      <w:r w:rsidR="006C587B">
        <w:t>/mL</w:t>
      </w:r>
      <w:r w:rsidRPr="006C587B">
        <w:t xml:space="preserve"> were </w:t>
      </w:r>
      <w:r w:rsidRPr="006C587B">
        <w:lastRenderedPageBreak/>
        <w:t>each compared against the vehicle control group.</w:t>
      </w:r>
      <w:r w:rsidR="006C587B" w:rsidRPr="006C587B">
        <w:t xml:space="preserve"> b </w:t>
      </w:r>
      <w:r w:rsidR="006C587B">
        <w:t xml:space="preserve">= </w:t>
      </w:r>
      <w:r w:rsidR="006C587B" w:rsidRPr="006C587B">
        <w:t xml:space="preserve">Asymptotic (Wald) CI. </w:t>
      </w:r>
      <w:r w:rsidRPr="006C587B">
        <w:t xml:space="preserve">c </w:t>
      </w:r>
      <w:r w:rsidR="006C587B">
        <w:t xml:space="preserve">= </w:t>
      </w:r>
      <w:r w:rsidRPr="006C587B">
        <w:t>Asymptotic p-value based on Pearson statistic from Chi-Square test.</w:t>
      </w:r>
    </w:p>
    <w:p w14:paraId="55F262F2" w14:textId="75E89E5B" w:rsidR="004B4F57" w:rsidRPr="003D00C3" w:rsidRDefault="006C587B" w:rsidP="00F84CE7">
      <w:r>
        <w:t>At W</w:t>
      </w:r>
      <w:r w:rsidR="004B4F57">
        <w:t xml:space="preserve">eek 8, </w:t>
      </w:r>
      <w:r>
        <w:t xml:space="preserve">there were numerically greater </w:t>
      </w:r>
      <w:r w:rsidR="004B4F57">
        <w:t>gains in BC</w:t>
      </w:r>
      <w:r>
        <w:t>D</w:t>
      </w:r>
      <w:r w:rsidR="004B4F57">
        <w:t xml:space="preserve">VA in the </w:t>
      </w:r>
      <w:proofErr w:type="spellStart"/>
      <w:r w:rsidR="004B4F57">
        <w:t>rhNGF</w:t>
      </w:r>
      <w:proofErr w:type="spellEnd"/>
      <w:r w:rsidR="004B4F57">
        <w:t xml:space="preserve"> groups than the vehicle control group, these were only statistically significant for the 10</w:t>
      </w:r>
      <w:r w:rsidR="00691946">
        <w:t xml:space="preserve"> µg/mL group. </w:t>
      </w:r>
      <w:r w:rsidR="004B4F57">
        <w:t>A</w:t>
      </w:r>
      <w:r w:rsidR="00FE476F">
        <w:t> </w:t>
      </w:r>
      <w:r w:rsidR="004B4F57" w:rsidRPr="003D00C3">
        <w:t xml:space="preserve">15 letter gain in BCDVA score at Week 8 </w:t>
      </w:r>
      <w:r w:rsidR="004B4F57">
        <w:t xml:space="preserve">was achieved by </w:t>
      </w:r>
      <w:r w:rsidR="004B4F57" w:rsidRPr="003D00C3">
        <w:t>27.5%</w:t>
      </w:r>
      <w:r w:rsidR="00691946">
        <w:t xml:space="preserve"> </w:t>
      </w:r>
      <w:r w:rsidR="004B4F57">
        <w:t>(</w:t>
      </w:r>
      <w:r w:rsidR="00FE476F">
        <w:t>confidence interval (</w:t>
      </w:r>
      <w:r w:rsidR="004B4F57" w:rsidRPr="003D00C3">
        <w:t>CI</w:t>
      </w:r>
      <w:r w:rsidR="00FE476F">
        <w:t>)</w:t>
      </w:r>
      <w:r w:rsidR="004B4F57" w:rsidRPr="003D00C3">
        <w:t>: 8.33, 46.67; p</w:t>
      </w:r>
      <w:r w:rsidR="00691946">
        <w:t> </w:t>
      </w:r>
      <w:r w:rsidR="004B4F57" w:rsidRPr="003D00C3">
        <w:t>=</w:t>
      </w:r>
      <w:r w:rsidR="00691946">
        <w:t> 0.008</w:t>
      </w:r>
      <w:r w:rsidR="004B4F57">
        <w:t xml:space="preserve">) more than placebo </w:t>
      </w:r>
      <w:r w:rsidR="00691946">
        <w:t xml:space="preserve">for </w:t>
      </w:r>
      <w:proofErr w:type="spellStart"/>
      <w:r w:rsidR="00691946">
        <w:t>rhNGF</w:t>
      </w:r>
      <w:proofErr w:type="spellEnd"/>
      <w:r w:rsidR="00691946">
        <w:t xml:space="preserve"> 10 </w:t>
      </w:r>
      <w:proofErr w:type="spellStart"/>
      <w:r w:rsidR="00691946">
        <w:t>μg</w:t>
      </w:r>
      <w:proofErr w:type="spellEnd"/>
      <w:r w:rsidR="00691946">
        <w:t>/mL</w:t>
      </w:r>
      <w:r w:rsidR="004B4F57" w:rsidRPr="003D00C3">
        <w:t xml:space="preserve"> and 19.0%</w:t>
      </w:r>
      <w:r w:rsidR="004B4F57">
        <w:t xml:space="preserve"> (</w:t>
      </w:r>
      <w:r w:rsidR="004B4F57" w:rsidRPr="003D00C3">
        <w:t>CI: -0.91, 38.83</w:t>
      </w:r>
      <w:r w:rsidR="004B4F57">
        <w:t>; p</w:t>
      </w:r>
      <w:r w:rsidR="00691946">
        <w:t xml:space="preserve"> </w:t>
      </w:r>
      <w:r w:rsidR="004B4F57">
        <w:t>=</w:t>
      </w:r>
      <w:r w:rsidR="00691946">
        <w:t xml:space="preserve"> </w:t>
      </w:r>
      <w:r w:rsidR="004B4F57">
        <w:t xml:space="preserve">0.068) </w:t>
      </w:r>
      <w:r w:rsidR="00691946">
        <w:t xml:space="preserve">for </w:t>
      </w:r>
      <w:proofErr w:type="spellStart"/>
      <w:r w:rsidR="00691946">
        <w:t>rhNGF</w:t>
      </w:r>
      <w:proofErr w:type="spellEnd"/>
      <w:r w:rsidR="00691946">
        <w:t xml:space="preserve"> 20 </w:t>
      </w:r>
      <w:proofErr w:type="spellStart"/>
      <w:r w:rsidR="00691946">
        <w:t>μg</w:t>
      </w:r>
      <w:proofErr w:type="spellEnd"/>
      <w:r w:rsidR="00691946">
        <w:t>/mL</w:t>
      </w:r>
      <w:r w:rsidR="004B4F57" w:rsidRPr="003D00C3">
        <w:t>)</w:t>
      </w:r>
      <w:r w:rsidR="004B4F57">
        <w:t>. There was no difference in the improve</w:t>
      </w:r>
      <w:r w:rsidR="00691946">
        <w:t>ment in corneal sensitivity at Week 4 and W</w:t>
      </w:r>
      <w:r w:rsidR="004B4F57">
        <w:t xml:space="preserve">eek 8 between </w:t>
      </w:r>
      <w:proofErr w:type="spellStart"/>
      <w:r w:rsidR="004B4F57">
        <w:t>rhNGF</w:t>
      </w:r>
      <w:proofErr w:type="spellEnd"/>
      <w:r w:rsidR="004B4F57">
        <w:t xml:space="preserve"> and vehicle.</w:t>
      </w:r>
    </w:p>
    <w:p w14:paraId="4ECAB368" w14:textId="77777777" w:rsidR="004B4F57" w:rsidRDefault="004B4F57" w:rsidP="00F84CE7">
      <w:r w:rsidRPr="003D00C3">
        <w:t xml:space="preserve">Differences in results were observed when </w:t>
      </w:r>
      <w:r>
        <w:t xml:space="preserve">described based on endpoint analysis by reading centre or the investigator. There was also a difference in healing noted at week 4, 6 and 8. I suspect this reflected the variable nature of the condition. </w:t>
      </w:r>
    </w:p>
    <w:p w14:paraId="51518049" w14:textId="640BE606" w:rsidR="004B4F57" w:rsidRDefault="00F84CE7" w:rsidP="00F84CE7">
      <w:pPr>
        <w:pStyle w:val="TableTitle"/>
        <w:rPr>
          <w:rFonts w:asciiTheme="minorHAnsi" w:hAnsiTheme="minorHAnsi"/>
        </w:rPr>
      </w:pPr>
      <w:r>
        <w:t xml:space="preserve">Table </w:t>
      </w:r>
      <w:r w:rsidR="008C1DC6">
        <w:fldChar w:fldCharType="begin"/>
      </w:r>
      <w:r w:rsidR="008C1DC6">
        <w:instrText xml:space="preserve"> SEQ Table \* ARABIC </w:instrText>
      </w:r>
      <w:r w:rsidR="008C1DC6">
        <w:fldChar w:fldCharType="separate"/>
      </w:r>
      <w:r w:rsidR="007B0865">
        <w:rPr>
          <w:noProof/>
        </w:rPr>
        <w:t>4</w:t>
      </w:r>
      <w:r w:rsidR="008C1DC6">
        <w:rPr>
          <w:noProof/>
        </w:rPr>
        <w:fldChar w:fldCharType="end"/>
      </w:r>
      <w:r>
        <w:t xml:space="preserve">: </w:t>
      </w:r>
      <w:r w:rsidR="00691946">
        <w:rPr>
          <w:lang w:eastAsia="ja-JP"/>
        </w:rPr>
        <w:t>Study NGF0212</w:t>
      </w:r>
      <w:r>
        <w:rPr>
          <w:lang w:eastAsia="ja-JP"/>
        </w:rPr>
        <w:t xml:space="preserve"> </w:t>
      </w:r>
      <w:r w:rsidRPr="002023E8">
        <w:rPr>
          <w:lang w:eastAsia="ja-JP"/>
        </w:rPr>
        <w:t>Summary and analysis of percentage of patients who achieved complete healing at Week 8 (LOCF) as determined by the Reading Centre (ITT population)</w:t>
      </w:r>
    </w:p>
    <w:p w14:paraId="3EB352C0" w14:textId="54046CEA" w:rsidR="004B4F57" w:rsidRPr="003D00C3" w:rsidRDefault="00691946" w:rsidP="00691946">
      <w:bookmarkStart w:id="42" w:name="Table_10_Study_NGF0212:_Summary_of_perce"/>
      <w:bookmarkEnd w:id="42"/>
      <w:r>
        <w:rPr>
          <w:noProof/>
          <w:lang w:eastAsia="en-AU"/>
        </w:rPr>
        <w:drawing>
          <wp:inline distT="0" distB="0" distL="0" distR="0" wp14:anchorId="48D339BB" wp14:editId="534223EB">
            <wp:extent cx="5400040" cy="1939925"/>
            <wp:effectExtent l="0" t="0" r="0" b="3175"/>
            <wp:docPr id="2" name="Picture 2" descr="Study NGF0212: Summary and analysis of percentage of patients who achieved complete healing at Week 8 (LOCF) as determined by the Reading Centre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00040" cy="1939925"/>
                    </a:xfrm>
                    <a:prstGeom prst="rect">
                      <a:avLst/>
                    </a:prstGeom>
                  </pic:spPr>
                </pic:pic>
              </a:graphicData>
            </a:graphic>
          </wp:inline>
        </w:drawing>
      </w:r>
    </w:p>
    <w:p w14:paraId="33D01DD3" w14:textId="142CFF65" w:rsidR="004B4F57" w:rsidRDefault="00691946" w:rsidP="00691946">
      <w:pPr>
        <w:pStyle w:val="TableDescription"/>
      </w:pPr>
      <w:r>
        <w:t xml:space="preserve">CI = confidence interval; ITT = intent-to-treat; LOCF = last observation carried forward; </w:t>
      </w:r>
      <w:proofErr w:type="spellStart"/>
      <w:r>
        <w:t>rhNGF</w:t>
      </w:r>
      <w:proofErr w:type="spellEnd"/>
      <w:r>
        <w:t xml:space="preserve"> = recombinant human nerve growth factor. Top n counts relate to the number of patients randomized to each treatment at Baseline. The significance level for the statistical tests is 0.0294 (adjusted according to </w:t>
      </w:r>
      <w:proofErr w:type="spellStart"/>
      <w:r>
        <w:t>Pocock</w:t>
      </w:r>
      <w:proofErr w:type="spellEnd"/>
      <w:r>
        <w:t xml:space="preserve">).a = </w:t>
      </w:r>
      <w:proofErr w:type="spellStart"/>
      <w:r>
        <w:t>rhNGF</w:t>
      </w:r>
      <w:proofErr w:type="spellEnd"/>
      <w:r>
        <w:t xml:space="preserve"> 10 </w:t>
      </w:r>
      <w:proofErr w:type="spellStart"/>
      <w:r>
        <w:t>μg</w:t>
      </w:r>
      <w:proofErr w:type="spellEnd"/>
      <w:r>
        <w:t xml:space="preserve">/mL and </w:t>
      </w:r>
      <w:proofErr w:type="spellStart"/>
      <w:r>
        <w:t>rhNGF</w:t>
      </w:r>
      <w:proofErr w:type="spellEnd"/>
      <w:r>
        <w:t xml:space="preserve"> 20 </w:t>
      </w:r>
      <w:proofErr w:type="spellStart"/>
      <w:r>
        <w:t>μg</w:t>
      </w:r>
      <w:proofErr w:type="spellEnd"/>
      <w:r>
        <w:t xml:space="preserve">/mL were each compared against the vehicle control group. b = Asymptotic (Wald) CI. c </w:t>
      </w:r>
      <w:r w:rsidR="007B0865">
        <w:t xml:space="preserve">= </w:t>
      </w:r>
      <w:r>
        <w:t>Asymptotic p-value based on Pearson statistic from Chi-Square test.</w:t>
      </w:r>
    </w:p>
    <w:p w14:paraId="08CAA8C3" w14:textId="401CE5FE" w:rsidR="004B4F57" w:rsidRPr="00F84CE7" w:rsidRDefault="004B4F57" w:rsidP="00691946">
      <w:r w:rsidRPr="00026A00">
        <w:t>Of the 100 patients who had a response available after 12 weeks of follo</w:t>
      </w:r>
      <w:r w:rsidR="00691946">
        <w:t>w up (at Week </w:t>
      </w:r>
      <w:r w:rsidRPr="00026A00">
        <w:t>20/28), 2 patie</w:t>
      </w:r>
      <w:r w:rsidR="00691946">
        <w:t xml:space="preserve">nts (5.1%) in the </w:t>
      </w:r>
      <w:proofErr w:type="spellStart"/>
      <w:r w:rsidR="00691946">
        <w:t>rhNGF</w:t>
      </w:r>
      <w:proofErr w:type="spellEnd"/>
      <w:r w:rsidR="00691946">
        <w:t xml:space="preserve"> 10 </w:t>
      </w:r>
      <w:r w:rsidR="00FE476F">
        <w:t>µ</w:t>
      </w:r>
      <w:r w:rsidR="00691946">
        <w:t>g/mL</w:t>
      </w:r>
      <w:r w:rsidRPr="00026A00">
        <w:t xml:space="preserve"> group and 4 patients (10.0%) in the </w:t>
      </w:r>
      <w:proofErr w:type="spellStart"/>
      <w:r w:rsidRPr="00026A00">
        <w:t>rhNGF</w:t>
      </w:r>
      <w:proofErr w:type="spellEnd"/>
      <w:r w:rsidRPr="00026A00">
        <w:t xml:space="preserve"> 20 </w:t>
      </w:r>
      <w:r w:rsidR="00FE476F">
        <w:t>µ</w:t>
      </w:r>
      <w:r w:rsidRPr="00026A00">
        <w:t>g/m</w:t>
      </w:r>
      <w:r w:rsidR="00FE476F">
        <w:t>L</w:t>
      </w:r>
      <w:r w:rsidRPr="00026A00">
        <w:t xml:space="preserve"> group had a recurrence of PED or corneal ulcer. None of the 21 completely healed patients in the vehicle control group with a response available had a recurrence at this time poin</w:t>
      </w:r>
      <w:r w:rsidR="00691946">
        <w:t>t during the follow-up period.</w:t>
      </w:r>
    </w:p>
    <w:p w14:paraId="108FCCF2" w14:textId="7253EE71" w:rsidR="004B4F57" w:rsidRDefault="004B4F57" w:rsidP="00691946">
      <w:r>
        <w:t>The difference in the percentage of patients who achieved complete healing with no residual staining at W</w:t>
      </w:r>
      <w:r w:rsidR="00691946">
        <w:t xml:space="preserve">eek 8 between the </w:t>
      </w:r>
      <w:proofErr w:type="spellStart"/>
      <w:r w:rsidR="00691946">
        <w:t>rhNGF</w:t>
      </w:r>
      <w:proofErr w:type="spellEnd"/>
      <w:r w:rsidR="00691946">
        <w:t xml:space="preserve"> 20 </w:t>
      </w:r>
      <w:r w:rsidR="00FE476F">
        <w:t>µ</w:t>
      </w:r>
      <w:r w:rsidR="00691946">
        <w:t>g/mL</w:t>
      </w:r>
      <w:r>
        <w:t xml:space="preserve"> group and the vehicle control group was 38.7% (97.06% CI: 18.72, 58.62), and was stati</w:t>
      </w:r>
      <w:r w:rsidR="00F84CE7">
        <w:t>stically significant (p</w:t>
      </w:r>
      <w:r w:rsidR="00691946">
        <w:t xml:space="preserve"> </w:t>
      </w:r>
      <w:r w:rsidR="00F84CE7">
        <w:t>&lt;</w:t>
      </w:r>
      <w:r w:rsidR="00691946">
        <w:t xml:space="preserve"> 0.001).</w:t>
      </w:r>
    </w:p>
    <w:p w14:paraId="1E71BC3F" w14:textId="194CD776" w:rsidR="004B4F57" w:rsidRDefault="004B4F57" w:rsidP="00691946">
      <w:pPr>
        <w:rPr>
          <w:b/>
        </w:rPr>
      </w:pPr>
      <w:r>
        <w:t>At 48 weeks, 83.9, 80 and 95% of patients in the 10</w:t>
      </w:r>
      <w:r w:rsidR="00691946">
        <w:t xml:space="preserve"> </w:t>
      </w:r>
      <w:r w:rsidR="00FE476F">
        <w:t>µ</w:t>
      </w:r>
      <w:r w:rsidR="00691946">
        <w:t>g/mL</w:t>
      </w:r>
      <w:r>
        <w:t>, 20</w:t>
      </w:r>
      <w:r w:rsidR="00691946">
        <w:t xml:space="preserve"> </w:t>
      </w:r>
      <w:r w:rsidR="00FE476F">
        <w:t>µ</w:t>
      </w:r>
      <w:r w:rsidR="00691946">
        <w:t>g/mL</w:t>
      </w:r>
      <w:r>
        <w:t xml:space="preserve"> and placebo groups remained completely healed. An increase in BC</w:t>
      </w:r>
      <w:r w:rsidR="00691946">
        <w:t>D</w:t>
      </w:r>
      <w:r>
        <w:t xml:space="preserve">VA of over 15 letters was achieved in 58%, </w:t>
      </w:r>
      <w:r w:rsidR="00F84CE7">
        <w:t xml:space="preserve">37% and 28% of these patients. </w:t>
      </w:r>
      <w:r>
        <w:t xml:space="preserve">Improved corneal sensitivity was observed almost all of </w:t>
      </w:r>
      <w:r w:rsidR="00F84CE7">
        <w:t>those patients who had healing.</w:t>
      </w:r>
    </w:p>
    <w:p w14:paraId="0C4F70AA" w14:textId="77777777" w:rsidR="004B4F57" w:rsidRPr="00361AFA" w:rsidRDefault="004B4F57" w:rsidP="00F84CE7">
      <w:pPr>
        <w:pStyle w:val="Heading5"/>
      </w:pPr>
      <w:r w:rsidRPr="00361AFA">
        <w:t>Study NGF0214</w:t>
      </w:r>
    </w:p>
    <w:p w14:paraId="05A51676" w14:textId="7B869505" w:rsidR="004B4F57" w:rsidRPr="00F84CE7" w:rsidRDefault="00FE476F" w:rsidP="00F84CE7">
      <w:pPr>
        <w:rPr>
          <w:rFonts w:asciiTheme="minorHAnsi" w:hAnsiTheme="minorHAnsi"/>
        </w:rPr>
      </w:pPr>
      <w:r>
        <w:t>Study NGF0214 was a</w:t>
      </w:r>
      <w:r w:rsidR="00691946">
        <w:t>n 8 w</w:t>
      </w:r>
      <w:r w:rsidR="004B4F57" w:rsidRPr="00361AFA">
        <w:t xml:space="preserve">eek Phase II, </w:t>
      </w:r>
      <w:r w:rsidR="008232D7">
        <w:t xml:space="preserve">multicentre, randomised, double </w:t>
      </w:r>
      <w:r w:rsidR="00691946" w:rsidRPr="00361AFA">
        <w:t>masked, vehicle controlled, parallel group study w</w:t>
      </w:r>
      <w:r w:rsidR="004B4F57" w:rsidRPr="00361AFA">
        <w:t xml:space="preserve">ith a 24 or 32 </w:t>
      </w:r>
      <w:r w:rsidR="00691946">
        <w:t xml:space="preserve">week follow </w:t>
      </w:r>
      <w:r w:rsidR="00691946" w:rsidRPr="00361AFA">
        <w:t xml:space="preserve">up period to evaluate the efficacy of a formulation containing anti-oxidant of </w:t>
      </w:r>
      <w:proofErr w:type="spellStart"/>
      <w:r w:rsidR="00691946">
        <w:t>rhNGF</w:t>
      </w:r>
      <w:proofErr w:type="spellEnd"/>
      <w:r w:rsidR="004B4F57" w:rsidRPr="00361AFA">
        <w:t xml:space="preserve"> in 20 </w:t>
      </w:r>
      <w:r>
        <w:rPr>
          <w:rFonts w:eastAsiaTheme="minorHAnsi" w:cs="Cambria"/>
          <w:color w:val="000000"/>
        </w:rPr>
        <w:t>µ</w:t>
      </w:r>
      <w:r w:rsidR="00691946" w:rsidRPr="00361AFA">
        <w:rPr>
          <w:rFonts w:eastAsiaTheme="minorHAnsi" w:cs="Cambria"/>
          <w:color w:val="000000"/>
        </w:rPr>
        <w:t>g</w:t>
      </w:r>
      <w:r w:rsidR="00691946" w:rsidRPr="00361AFA">
        <w:t xml:space="preserve"> </w:t>
      </w:r>
      <w:r w:rsidR="00691946">
        <w:t>/mL</w:t>
      </w:r>
      <w:r w:rsidR="004B4F57" w:rsidRPr="00361AFA">
        <w:t xml:space="preserve">, </w:t>
      </w:r>
      <w:r w:rsidR="008232D7" w:rsidRPr="00361AFA">
        <w:t>eye drops solution versus vehicle containing anti-oxidant in patients with</w:t>
      </w:r>
      <w:r w:rsidR="004B4F57" w:rsidRPr="00361AFA">
        <w:t xml:space="preserve"> Stage 2 or 3 </w:t>
      </w:r>
      <w:r w:rsidR="008232D7">
        <w:t>NK</w:t>
      </w:r>
      <w:r w:rsidR="004B4F57">
        <w:rPr>
          <w:rFonts w:asciiTheme="minorHAnsi" w:hAnsiTheme="minorHAnsi"/>
        </w:rPr>
        <w:t>.</w:t>
      </w:r>
    </w:p>
    <w:p w14:paraId="295B563B" w14:textId="6C5C6680" w:rsidR="004B4F57" w:rsidRPr="00361AFA" w:rsidRDefault="004B4F57" w:rsidP="00F84CE7">
      <w:pPr>
        <w:rPr>
          <w:rFonts w:eastAsiaTheme="minorHAnsi" w:cs="Cambria"/>
          <w:color w:val="000000"/>
        </w:rPr>
      </w:pPr>
      <w:r w:rsidRPr="006D5317">
        <w:rPr>
          <w:rFonts w:eastAsiaTheme="minorHAnsi" w:cs="Cambria"/>
          <w:i/>
          <w:color w:val="000000"/>
        </w:rPr>
        <w:t>Primary</w:t>
      </w:r>
      <w:r w:rsidR="008232D7" w:rsidRPr="006D5317">
        <w:rPr>
          <w:rFonts w:eastAsiaTheme="minorHAnsi" w:cs="Cambria"/>
          <w:i/>
          <w:color w:val="000000"/>
        </w:rPr>
        <w:t xml:space="preserve"> efficacy endpoint</w:t>
      </w:r>
      <w:r w:rsidRPr="008232D7">
        <w:rPr>
          <w:rFonts w:eastAsiaTheme="minorHAnsi" w:cs="Cambria"/>
          <w:color w:val="000000"/>
        </w:rPr>
        <w:t>: To</w:t>
      </w:r>
      <w:r w:rsidRPr="00361AFA">
        <w:rPr>
          <w:rFonts w:eastAsiaTheme="minorHAnsi" w:cs="Cambria"/>
          <w:color w:val="000000"/>
        </w:rPr>
        <w:t xml:space="preserve"> ev</w:t>
      </w:r>
      <w:r w:rsidR="008232D7">
        <w:rPr>
          <w:rFonts w:eastAsiaTheme="minorHAnsi" w:cs="Cambria"/>
          <w:color w:val="000000"/>
        </w:rPr>
        <w:t xml:space="preserve">aluate the efficacy of 20 </w:t>
      </w:r>
      <w:r w:rsidR="00FE476F">
        <w:rPr>
          <w:rFonts w:eastAsiaTheme="minorHAnsi" w:cs="Cambria"/>
          <w:color w:val="000000"/>
        </w:rPr>
        <w:t>µ</w:t>
      </w:r>
      <w:r w:rsidR="008232D7">
        <w:rPr>
          <w:rFonts w:eastAsiaTheme="minorHAnsi" w:cs="Cambria"/>
          <w:color w:val="000000"/>
        </w:rPr>
        <w:t>g/mL</w:t>
      </w:r>
      <w:r w:rsidRPr="00361AFA">
        <w:rPr>
          <w:rFonts w:eastAsiaTheme="minorHAnsi" w:cs="Cambria"/>
          <w:color w:val="000000"/>
        </w:rPr>
        <w:t xml:space="preserve"> 6 times a day of </w:t>
      </w:r>
      <w:proofErr w:type="spellStart"/>
      <w:r w:rsidRPr="00361AFA">
        <w:rPr>
          <w:rFonts w:eastAsiaTheme="minorHAnsi" w:cs="Cambria"/>
          <w:color w:val="000000"/>
        </w:rPr>
        <w:t>rhNGF</w:t>
      </w:r>
      <w:proofErr w:type="spellEnd"/>
      <w:r w:rsidRPr="00361AFA">
        <w:rPr>
          <w:rFonts w:eastAsiaTheme="minorHAnsi" w:cs="Cambria"/>
          <w:color w:val="000000"/>
        </w:rPr>
        <w:t xml:space="preserve"> containing anti-oxidant, eye drops solution compared to vehicle (formulation containing </w:t>
      </w:r>
      <w:r w:rsidRPr="00361AFA">
        <w:rPr>
          <w:rFonts w:eastAsiaTheme="minorHAnsi" w:cs="Cambria"/>
          <w:color w:val="000000"/>
        </w:rPr>
        <w:lastRenderedPageBreak/>
        <w:t>anti-oxidant) given 6 times a day in inducing a complete healing of Stage 2 (PED) and 3 (corneal ulcer) NK as measured by the central reading centre, evaluating the clinical pictures o</w:t>
      </w:r>
      <w:r w:rsidR="008232D7">
        <w:rPr>
          <w:rFonts w:eastAsiaTheme="minorHAnsi" w:cs="Cambria"/>
          <w:color w:val="000000"/>
        </w:rPr>
        <w:t>f corneal fluorescein staining.</w:t>
      </w:r>
    </w:p>
    <w:p w14:paraId="3007D31A" w14:textId="67872988" w:rsidR="004B4F57" w:rsidRPr="00361AFA" w:rsidRDefault="004B4F57" w:rsidP="00F84CE7">
      <w:pPr>
        <w:rPr>
          <w:rFonts w:eastAsiaTheme="minorHAnsi" w:cs="Cambria"/>
          <w:color w:val="000000"/>
        </w:rPr>
      </w:pPr>
      <w:r w:rsidRPr="006D5317">
        <w:rPr>
          <w:rFonts w:eastAsiaTheme="minorHAnsi" w:cs="Cambria"/>
          <w:i/>
          <w:color w:val="000000"/>
        </w:rPr>
        <w:t>Secondary</w:t>
      </w:r>
      <w:r w:rsidR="008232D7" w:rsidRPr="006D5317">
        <w:rPr>
          <w:rFonts w:eastAsiaTheme="minorHAnsi" w:cs="Cambria"/>
          <w:i/>
          <w:color w:val="000000"/>
        </w:rPr>
        <w:t xml:space="preserve"> efficacy endpoint</w:t>
      </w:r>
      <w:r w:rsidRPr="008232D7">
        <w:rPr>
          <w:rFonts w:eastAsiaTheme="minorHAnsi" w:cs="Cambria"/>
          <w:color w:val="000000"/>
        </w:rPr>
        <w:t>: To</w:t>
      </w:r>
      <w:r w:rsidRPr="00361AFA">
        <w:rPr>
          <w:rFonts w:eastAsiaTheme="minorHAnsi" w:cs="Cambria"/>
          <w:color w:val="000000"/>
        </w:rPr>
        <w:t xml:space="preserve"> assess the duration of complete healing, improvement in visual acuity and improvement in corneal sensitivity, and percentage of patients achieving complete corneal clearing defined as complete absence of stainin</w:t>
      </w:r>
      <w:r w:rsidR="008232D7">
        <w:rPr>
          <w:rFonts w:eastAsiaTheme="minorHAnsi" w:cs="Cambria"/>
          <w:color w:val="000000"/>
        </w:rPr>
        <w:t>g on the modified Oxford Scale.</w:t>
      </w:r>
    </w:p>
    <w:p w14:paraId="538491F2" w14:textId="007C8A4A" w:rsidR="004B4F57" w:rsidRDefault="004B4F57" w:rsidP="00F84CE7">
      <w:pPr>
        <w:rPr>
          <w:rFonts w:eastAsiaTheme="minorHAnsi" w:cs="Cambria"/>
          <w:color w:val="000000"/>
        </w:rPr>
      </w:pPr>
      <w:r w:rsidRPr="00361AFA">
        <w:rPr>
          <w:rFonts w:eastAsiaTheme="minorHAnsi" w:cs="Cambria"/>
          <w:color w:val="000000"/>
        </w:rPr>
        <w:t>The study had an 8 week double blind, randomised, controlled treatment per</w:t>
      </w:r>
      <w:r w:rsidR="008232D7">
        <w:rPr>
          <w:rFonts w:eastAsiaTheme="minorHAnsi" w:cs="Cambria"/>
          <w:color w:val="000000"/>
        </w:rPr>
        <w:t xml:space="preserve">iod and a 24 or 32 week, follow </w:t>
      </w:r>
      <w:r w:rsidRPr="00361AFA">
        <w:rPr>
          <w:rFonts w:eastAsiaTheme="minorHAnsi" w:cs="Cambria"/>
          <w:color w:val="000000"/>
        </w:rPr>
        <w:t>up period. The duration of the follow up period of 24 weeks (approximately 6 months) or 32 weeks (approximately 8 months) was determined by the randomised treatment received and the clinical outcome fo</w:t>
      </w:r>
      <w:r w:rsidR="008232D7">
        <w:rPr>
          <w:rFonts w:eastAsiaTheme="minorHAnsi" w:cs="Cambria"/>
          <w:color w:val="000000"/>
        </w:rPr>
        <w:t>llowing the completion of the 8 </w:t>
      </w:r>
      <w:r w:rsidRPr="00361AFA">
        <w:rPr>
          <w:rFonts w:eastAsiaTheme="minorHAnsi" w:cs="Cambria"/>
          <w:color w:val="000000"/>
        </w:rPr>
        <w:t>week controlled treatment period. The maximum study duration was 40 w</w:t>
      </w:r>
      <w:r w:rsidR="008232D7">
        <w:rPr>
          <w:rFonts w:eastAsiaTheme="minorHAnsi" w:cs="Cambria"/>
          <w:color w:val="000000"/>
        </w:rPr>
        <w:t>eeks (approximately 10 months).</w:t>
      </w:r>
    </w:p>
    <w:p w14:paraId="67977E1A" w14:textId="38D5E0CD" w:rsidR="004B4F57" w:rsidRDefault="004B4F57" w:rsidP="00F84CE7">
      <w:pPr>
        <w:rPr>
          <w:rFonts w:eastAsiaTheme="minorHAnsi" w:cs="Cambria"/>
          <w:color w:val="000000"/>
        </w:rPr>
      </w:pPr>
      <w:r>
        <w:rPr>
          <w:rFonts w:eastAsiaTheme="minorHAnsi" w:cs="Cambria"/>
          <w:color w:val="000000"/>
        </w:rPr>
        <w:t>Inclusion and exclusion cri</w:t>
      </w:r>
      <w:r w:rsidR="00F84CE7">
        <w:rPr>
          <w:rFonts w:eastAsiaTheme="minorHAnsi" w:cs="Cambria"/>
          <w:color w:val="000000"/>
        </w:rPr>
        <w:t xml:space="preserve">teria were similar to </w:t>
      </w:r>
      <w:r w:rsidR="008232D7">
        <w:rPr>
          <w:rFonts w:eastAsiaTheme="minorHAnsi" w:cs="Cambria"/>
          <w:color w:val="000000"/>
        </w:rPr>
        <w:t xml:space="preserve">Study </w:t>
      </w:r>
      <w:r w:rsidR="00F84CE7">
        <w:rPr>
          <w:rFonts w:eastAsiaTheme="minorHAnsi" w:cs="Cambria"/>
          <w:color w:val="000000"/>
        </w:rPr>
        <w:t>NGF 0212.</w:t>
      </w:r>
    </w:p>
    <w:p w14:paraId="39CD9BFD" w14:textId="79425258" w:rsidR="004B4F57" w:rsidRDefault="004B4F57" w:rsidP="00F84CE7">
      <w:pPr>
        <w:rPr>
          <w:rFonts w:eastAsiaTheme="minorHAnsi" w:cs="Cambria"/>
          <w:color w:val="000000"/>
        </w:rPr>
      </w:pPr>
      <w:r>
        <w:rPr>
          <w:rFonts w:eastAsiaTheme="minorHAnsi" w:cs="Cambria"/>
          <w:color w:val="000000"/>
        </w:rPr>
        <w:t xml:space="preserve">Patients in the initial vehicle control group were allowed to be treated with </w:t>
      </w:r>
      <w:proofErr w:type="spellStart"/>
      <w:r>
        <w:rPr>
          <w:rFonts w:eastAsiaTheme="minorHAnsi" w:cs="Cambria"/>
          <w:color w:val="000000"/>
        </w:rPr>
        <w:t>rhNGF</w:t>
      </w:r>
      <w:proofErr w:type="spellEnd"/>
      <w:r>
        <w:rPr>
          <w:rFonts w:eastAsiaTheme="minorHAnsi" w:cs="Cambria"/>
          <w:color w:val="000000"/>
        </w:rPr>
        <w:t xml:space="preserve"> in the next treatment period. Patients were allowed an additional treatment fo</w:t>
      </w:r>
      <w:r w:rsidR="008232D7">
        <w:rPr>
          <w:rFonts w:eastAsiaTheme="minorHAnsi" w:cs="Cambria"/>
          <w:color w:val="000000"/>
        </w:rPr>
        <w:t>r 8 weeks for recurrence.</w:t>
      </w:r>
    </w:p>
    <w:p w14:paraId="005DE605" w14:textId="4E24F902" w:rsidR="008232D7" w:rsidRDefault="008232D7" w:rsidP="008232D7">
      <w:pPr>
        <w:pStyle w:val="FigureTitle"/>
        <w:rPr>
          <w:rFonts w:asciiTheme="minorHAnsi" w:hAnsiTheme="minorHAnsi"/>
        </w:rPr>
      </w:pPr>
      <w:r>
        <w:t xml:space="preserve">Figure </w:t>
      </w:r>
      <w:r w:rsidR="008C1DC6">
        <w:fldChar w:fldCharType="begin"/>
      </w:r>
      <w:r w:rsidR="008C1DC6">
        <w:instrText xml:space="preserve"> SEQ Figure \* ARABIC </w:instrText>
      </w:r>
      <w:r w:rsidR="008C1DC6">
        <w:fldChar w:fldCharType="separate"/>
      </w:r>
      <w:r>
        <w:rPr>
          <w:noProof/>
        </w:rPr>
        <w:t>1</w:t>
      </w:r>
      <w:r w:rsidR="008C1DC6">
        <w:rPr>
          <w:noProof/>
        </w:rPr>
        <w:fldChar w:fldCharType="end"/>
      </w:r>
      <w:r>
        <w:t>: Study NGF0214 Patient disposition</w:t>
      </w:r>
    </w:p>
    <w:p w14:paraId="1FE60C02" w14:textId="77777777" w:rsidR="004B4F57" w:rsidRDefault="004B4F57" w:rsidP="00597FBE">
      <w:r>
        <w:rPr>
          <w:noProof/>
          <w:lang w:eastAsia="en-AU"/>
        </w:rPr>
        <w:drawing>
          <wp:inline distT="0" distB="0" distL="0" distR="0" wp14:anchorId="37F5B8C6" wp14:editId="6671D703">
            <wp:extent cx="3284220" cy="3375660"/>
            <wp:effectExtent l="0" t="0" r="0" b="0"/>
            <wp:docPr id="8" name="Picture 8" descr="Study NGF0214 Patient disposition. 52 patients were intially screened; 4 (7.7%) failed screening, 48 were randomised (92.3%). ITT population; 24 patients randomised to each of rhNGF or vehicle. Of these all 24 received the vehicle, and 23 (95.8%) received rhNGF while 1 (4.2%) did not. In the vehicle group 9 (37.5%) doscontinued during the controlled treatment period; 3 (12.5%) due to AE and 6 (25%) terminated (entered uncontrolled period, see note**). In the rhNGF group 6 patients discontinued during the controlled treatment period; 4 (16.7%) due to AE and 2 (8.3%) due to other reasons. In the vehicle group 15 patients (62.5%) completed the controlled treatment period; of these patients 7 (29.2%) were completely healed at Week 8 (vehicle arm entered follow up period) and 8 (33.3%) were not completely healed at Week 8 (vehicle arm entered uncontrolled period). In the rhNFG group 18 patients (75%) completed the controlled treatment period; 14 (58.3%) completely healed at Week 8, 4 (16.7%) were not completely healed at Week 8. 13 patients (54.1%) in the vehicle groups entered the uncontrolled treatment period and received rhNGF. 16 patients (66.7%) in the vehicle group and 15 (62.5%) in the rhNGF group completed the follow up per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84220" cy="3375660"/>
                    </a:xfrm>
                    <a:prstGeom prst="rect">
                      <a:avLst/>
                    </a:prstGeom>
                    <a:noFill/>
                    <a:ln>
                      <a:noFill/>
                    </a:ln>
                  </pic:spPr>
                </pic:pic>
              </a:graphicData>
            </a:graphic>
          </wp:inline>
        </w:drawing>
      </w:r>
    </w:p>
    <w:p w14:paraId="35CFCB77" w14:textId="384B713C" w:rsidR="004B4F57" w:rsidRDefault="008232D7" w:rsidP="008232D7">
      <w:pPr>
        <w:pStyle w:val="TableDescription"/>
      </w:pPr>
      <w:r>
        <w:t xml:space="preserve">Percentages are based on the ITT population. Patients should only have one reason for not completing the study.+ One patient [Information redacted] had been randomized to </w:t>
      </w:r>
      <w:proofErr w:type="spellStart"/>
      <w:r>
        <w:t>rhNGF</w:t>
      </w:r>
      <w:proofErr w:type="spellEnd"/>
      <w:r>
        <w:t xml:space="preserve">, although not eligible for this study, and discontinued from the study before receiving any study medication. ++ Percentage of screened patients. *In the </w:t>
      </w:r>
      <w:proofErr w:type="spellStart"/>
      <w:r>
        <w:t>rhNGF</w:t>
      </w:r>
      <w:proofErr w:type="spellEnd"/>
      <w:r>
        <w:t xml:space="preserve"> group one patient was worried about her treated eye after she had experienced an adverse event (possible ocular infection) and withdrew from the study; the other [Information redacted] had non-controlled intraocular pressure and glaucoma specialist recommended patient not to participate in the study. ** Six patients of the vehicle group terminated controlled period prematurely and continued directly into uncontrolled treatment period. Therefore, they did not have a reason for discontinuing the controlled period. *** In the vehicle group 7 patients were not completely healed at Week 8 and entered into the uncontrolled treatment phase. One patient as considered as not completely healed at Week 8, but did not enter uncontrolled treatment period upon discretion of the investigator.</w:t>
      </w:r>
    </w:p>
    <w:p w14:paraId="7FBD6719" w14:textId="21C7E166" w:rsidR="004B4F57" w:rsidRDefault="00D14ED4" w:rsidP="00597FBE">
      <w:pPr>
        <w:pageBreakBefore/>
      </w:pPr>
      <w:r>
        <w:lastRenderedPageBreak/>
        <w:t>As in S</w:t>
      </w:r>
      <w:r w:rsidR="004B4F57">
        <w:t xml:space="preserve">tudy NGF0212, there was a large </w:t>
      </w:r>
      <w:r>
        <w:t>dropout</w:t>
      </w:r>
      <w:r w:rsidR="004B4F57">
        <w:t xml:space="preserve"> ra</w:t>
      </w:r>
      <w:r>
        <w:t xml:space="preserve">te during the study with only 2 out of 3 of patients completing, 2 out of </w:t>
      </w:r>
      <w:r w:rsidR="004B4F57">
        <w:t xml:space="preserve">24 </w:t>
      </w:r>
      <w:r>
        <w:t xml:space="preserve">patients in the </w:t>
      </w:r>
      <w:proofErr w:type="spellStart"/>
      <w:r>
        <w:t>rhNGF</w:t>
      </w:r>
      <w:proofErr w:type="spellEnd"/>
      <w:r>
        <w:t xml:space="preserve"> group and 2 out of </w:t>
      </w:r>
      <w:r w:rsidR="004B4F57">
        <w:t xml:space="preserve">24 patients in the vehicle control group withdrew due to AE. 6 patients from the vehicle controlled treatment period entered the uncontrolled treatment period in </w:t>
      </w:r>
      <w:r>
        <w:t>order to access the study drug.</w:t>
      </w:r>
    </w:p>
    <w:p w14:paraId="2029263E" w14:textId="1031D7DF" w:rsidR="004B4F57" w:rsidRDefault="004B4F57" w:rsidP="00D14ED4">
      <w:r>
        <w:t xml:space="preserve">There was a statistically significant difference in favour of </w:t>
      </w:r>
      <w:proofErr w:type="spellStart"/>
      <w:r>
        <w:t>rhNGF</w:t>
      </w:r>
      <w:proofErr w:type="spellEnd"/>
      <w:r>
        <w:t xml:space="preserve"> between the percentages of patients reaching complete healin</w:t>
      </w:r>
      <w:r w:rsidR="00D14ED4">
        <w:t xml:space="preserve">g at Week 8: 69.6% in the </w:t>
      </w:r>
      <w:proofErr w:type="spellStart"/>
      <w:r w:rsidR="00D14ED4">
        <w:t>rhNGF</w:t>
      </w:r>
      <w:proofErr w:type="spellEnd"/>
      <w:r w:rsidR="00D14ED4">
        <w:t xml:space="preserve"> </w:t>
      </w:r>
      <w:r>
        <w:t>treated gr</w:t>
      </w:r>
      <w:r w:rsidR="00D14ED4">
        <w:t xml:space="preserve">oup versus 29.2% in the vehicle </w:t>
      </w:r>
      <w:r>
        <w:t>treated group; p</w:t>
      </w:r>
      <w:r w:rsidR="00D14ED4">
        <w:t xml:space="preserve"> </w:t>
      </w:r>
      <w:r>
        <w:t>=</w:t>
      </w:r>
      <w:r w:rsidR="00D14ED4">
        <w:t xml:space="preserve"> </w:t>
      </w:r>
      <w:r>
        <w:t>0.006. Similar results were seen</w:t>
      </w:r>
      <w:r w:rsidR="00D14ED4">
        <w:t xml:space="preserve"> with the sensitivity analyses.</w:t>
      </w:r>
    </w:p>
    <w:p w14:paraId="65ACCB3F" w14:textId="42C85534" w:rsidR="004B4F57" w:rsidRDefault="004B4F57" w:rsidP="00D14ED4">
      <w:r>
        <w:t xml:space="preserve">There was a statistically significant difference in favour of </w:t>
      </w:r>
      <w:proofErr w:type="spellStart"/>
      <w:r>
        <w:t>rhNGF</w:t>
      </w:r>
      <w:proofErr w:type="spellEnd"/>
      <w:r>
        <w:t xml:space="preserve"> between the percentages of patients reaching no corneal fluorescei</w:t>
      </w:r>
      <w:r w:rsidR="00D14ED4">
        <w:t xml:space="preserve">n staining at Week 8: 65.2% (15 out of </w:t>
      </w:r>
      <w:r>
        <w:t xml:space="preserve">23) in the </w:t>
      </w:r>
      <w:proofErr w:type="spellStart"/>
      <w:r>
        <w:t>rhNG</w:t>
      </w:r>
      <w:r w:rsidR="00D14ED4">
        <w:t>F</w:t>
      </w:r>
      <w:proofErr w:type="spellEnd"/>
      <w:r w:rsidR="00D14ED4">
        <w:t xml:space="preserve"> treated group versus 16.7% (4 out of </w:t>
      </w:r>
      <w:r>
        <w:t>24) in the vehicle treated group; p</w:t>
      </w:r>
      <w:r w:rsidR="00D14ED4">
        <w:t xml:space="preserve"> </w:t>
      </w:r>
      <w:r>
        <w:t>&lt;</w:t>
      </w:r>
      <w:r w:rsidR="00D14ED4">
        <w:t xml:space="preserve"> 0.001.</w:t>
      </w:r>
    </w:p>
    <w:p w14:paraId="30FE2EF7" w14:textId="4D948BFB" w:rsidR="004B4F57" w:rsidRDefault="004B4F57" w:rsidP="00D14ED4">
      <w:r>
        <w:t>There was no statistically significant difference in improvement in visual acuity</w:t>
      </w:r>
      <w:r w:rsidR="00D14ED4">
        <w:t xml:space="preserve"> between the two treatments at Week 8. The</w:t>
      </w:r>
      <w:r>
        <w:t xml:space="preserve"> mean (</w:t>
      </w:r>
      <w:r w:rsidR="00D14ED4">
        <w:t>standard deviation (</w:t>
      </w:r>
      <w:r>
        <w:t>SD</w:t>
      </w:r>
      <w:r w:rsidR="00D14ED4">
        <w:t>)</w:t>
      </w:r>
      <w:r>
        <w:t xml:space="preserve">) change from baseline in BCDVA was 4.48 (9.825) in the </w:t>
      </w:r>
      <w:proofErr w:type="spellStart"/>
      <w:r>
        <w:t>rhNGF</w:t>
      </w:r>
      <w:proofErr w:type="spellEnd"/>
      <w:r>
        <w:t xml:space="preserve"> group and 4.33</w:t>
      </w:r>
      <w:r w:rsidR="00D14ED4">
        <w:t xml:space="preserve"> (10.399) in the vehicle group.</w:t>
      </w:r>
    </w:p>
    <w:p w14:paraId="225C95F8" w14:textId="69CEA3C6" w:rsidR="004B4F57" w:rsidRPr="005D293B" w:rsidRDefault="004B4F57" w:rsidP="00D14ED4">
      <w:r>
        <w:t>There was no statistically significant difference for impr</w:t>
      </w:r>
      <w:r w:rsidR="00D14ED4">
        <w:t xml:space="preserve">ovement in corneal sensitivity </w:t>
      </w:r>
      <w:r>
        <w:t>between the two treatments (p</w:t>
      </w:r>
      <w:r w:rsidR="00D14ED4">
        <w:t xml:space="preserve"> </w:t>
      </w:r>
      <w:r>
        <w:t>=</w:t>
      </w:r>
      <w:r w:rsidR="00D14ED4">
        <w:t xml:space="preserve"> 0.207).</w:t>
      </w:r>
    </w:p>
    <w:p w14:paraId="66327101" w14:textId="34EE635B" w:rsidR="004B4F57" w:rsidRPr="00D14ED4" w:rsidRDefault="004B4F57" w:rsidP="00D14ED4">
      <w:pPr>
        <w:pStyle w:val="Heading4"/>
      </w:pPr>
      <w:r w:rsidRPr="003F08CF">
        <w:t>Safety</w:t>
      </w:r>
    </w:p>
    <w:p w14:paraId="382633F1" w14:textId="77777777" w:rsidR="004B4F57" w:rsidRPr="006A3527" w:rsidRDefault="004B4F57" w:rsidP="006A3527">
      <w:r w:rsidRPr="006A3527">
        <w:t>The evaluator was uncertain if the sponsor had provided the most recent safety analysis.</w:t>
      </w:r>
    </w:p>
    <w:p w14:paraId="1574282D" w14:textId="1BDBB864" w:rsidR="004B4F57" w:rsidRPr="006A3527" w:rsidRDefault="004B4F57" w:rsidP="006A3527">
      <w:r w:rsidRPr="006A3527">
        <w:t>The sponsor had included two safety pools in the summary of clinical safety. The primary safety pool incl</w:t>
      </w:r>
      <w:r w:rsidR="00D14ED4" w:rsidRPr="006A3527">
        <w:t>uded data from the two pivotal s</w:t>
      </w:r>
      <w:r w:rsidRPr="006A3527">
        <w:t>tudies</w:t>
      </w:r>
      <w:r w:rsidR="00D14ED4" w:rsidRPr="006A3527">
        <w:t>; Studies NGF0212 and NGF</w:t>
      </w:r>
      <w:r w:rsidRPr="006A3527">
        <w:t>0214. The secondary safety pool contained data from all five studies, including one in retinitis</w:t>
      </w:r>
      <w:r w:rsidR="00D14ED4" w:rsidRPr="006A3527">
        <w:t xml:space="preserve"> </w:t>
      </w:r>
      <w:proofErr w:type="spellStart"/>
      <w:r w:rsidR="00D14ED4" w:rsidRPr="006A3527">
        <w:t>pigmentosa</w:t>
      </w:r>
      <w:proofErr w:type="spellEnd"/>
      <w:r w:rsidR="00D14ED4" w:rsidRPr="006A3527">
        <w:t xml:space="preserve"> and one in dry eye.</w:t>
      </w:r>
    </w:p>
    <w:p w14:paraId="4A07F3EC" w14:textId="0BD3DD5F" w:rsidR="004B4F57" w:rsidRPr="006A3527" w:rsidRDefault="004B4F57" w:rsidP="006A3527">
      <w:r w:rsidRPr="006A3527">
        <w:t xml:space="preserve">In the </w:t>
      </w:r>
      <w:proofErr w:type="spellStart"/>
      <w:r w:rsidRPr="006A3527">
        <w:t>rhNGF</w:t>
      </w:r>
      <w:proofErr w:type="spellEnd"/>
      <w:r w:rsidRPr="006A3527">
        <w:t xml:space="preserve"> pool, 78 </w:t>
      </w:r>
      <w:r w:rsidR="00D14ED4" w:rsidRPr="006A3527">
        <w:t xml:space="preserve">patients had been exposed for 6 to </w:t>
      </w:r>
      <w:r w:rsidRPr="006A3527">
        <w:t>8 weeks, the longest period of exposure was 12 weeks. In the secondary pool, 315 pati</w:t>
      </w:r>
      <w:r w:rsidR="00D14ED4" w:rsidRPr="006A3527">
        <w:t xml:space="preserve">ents had received </w:t>
      </w:r>
      <w:proofErr w:type="spellStart"/>
      <w:r w:rsidR="00D14ED4" w:rsidRPr="006A3527">
        <w:t>rhNGF</w:t>
      </w:r>
      <w:proofErr w:type="spellEnd"/>
      <w:r w:rsidR="00D14ED4" w:rsidRPr="006A3527">
        <w:t xml:space="preserve"> for &gt; 1 </w:t>
      </w:r>
      <w:r w:rsidRPr="006A3527">
        <w:t>day, 181 had received treatment for 8 weeks and 40 patients had rec</w:t>
      </w:r>
      <w:r w:rsidR="00D14ED4" w:rsidRPr="006A3527">
        <w:t>eived treatment for 24 weeks.</w:t>
      </w:r>
    </w:p>
    <w:p w14:paraId="6F30A22D" w14:textId="1BCF259D" w:rsidR="004B4F57" w:rsidRPr="006A3527" w:rsidRDefault="004B4F57" w:rsidP="006A3527">
      <w:r w:rsidRPr="006A3527">
        <w:t xml:space="preserve">There were more </w:t>
      </w:r>
      <w:r w:rsidR="00D14ED4" w:rsidRPr="006A3527">
        <w:t>treatment emergent adverse events (</w:t>
      </w:r>
      <w:r w:rsidRPr="006A3527">
        <w:t>TEAE</w:t>
      </w:r>
      <w:r w:rsidR="00D14ED4" w:rsidRPr="006A3527">
        <w:t>)</w:t>
      </w:r>
      <w:r w:rsidRPr="006A3527">
        <w:t xml:space="preserve"> in patients receiving </w:t>
      </w:r>
      <w:proofErr w:type="spellStart"/>
      <w:r w:rsidRPr="006A3527">
        <w:t>rhNGF</w:t>
      </w:r>
      <w:proofErr w:type="spellEnd"/>
      <w:r w:rsidRPr="006A3527">
        <w:t xml:space="preserve"> than those with vehicle control, with some dose effe</w:t>
      </w:r>
      <w:r w:rsidR="00D14ED4" w:rsidRPr="006A3527">
        <w:t xml:space="preserve">cts. There were high number of </w:t>
      </w:r>
      <w:r w:rsidRPr="006A3527">
        <w:t>patients discontinuing treatment during the study, the reason for this is unclear.</w:t>
      </w:r>
    </w:p>
    <w:p w14:paraId="37CA87EB" w14:textId="7AD9F482" w:rsidR="004B4F57" w:rsidRPr="00FD67A4" w:rsidRDefault="006A3527" w:rsidP="006A3527">
      <w:pPr>
        <w:pStyle w:val="TableTitle"/>
      </w:pPr>
      <w:r>
        <w:t xml:space="preserve">Table </w:t>
      </w:r>
      <w:r w:rsidR="008C1DC6">
        <w:fldChar w:fldCharType="begin"/>
      </w:r>
      <w:r w:rsidR="008C1DC6">
        <w:instrText xml:space="preserve"> SEQ Table \* ARABIC </w:instrText>
      </w:r>
      <w:r w:rsidR="008C1DC6">
        <w:fldChar w:fldCharType="separate"/>
      </w:r>
      <w:r w:rsidR="008E6140">
        <w:rPr>
          <w:noProof/>
        </w:rPr>
        <w:t>5</w:t>
      </w:r>
      <w:r w:rsidR="008C1DC6">
        <w:rPr>
          <w:noProof/>
        </w:rPr>
        <w:fldChar w:fldCharType="end"/>
      </w:r>
      <w:r w:rsidR="004B4F57" w:rsidRPr="00FD67A4">
        <w:t xml:space="preserve">: Overview of </w:t>
      </w:r>
      <w:r w:rsidR="00FE476F">
        <w:t>tr</w:t>
      </w:r>
      <w:r w:rsidR="00AF49DB">
        <w:t>eatment emergent adverse events</w:t>
      </w:r>
      <w:r w:rsidR="00FE476F" w:rsidRPr="00FD67A4">
        <w:t xml:space="preserve"> </w:t>
      </w:r>
      <w:r w:rsidR="004B4F57" w:rsidRPr="00FD67A4">
        <w:t>in the secondary safety pool</w:t>
      </w:r>
    </w:p>
    <w:p w14:paraId="1AD90A4C" w14:textId="525077A0" w:rsidR="004B4F57" w:rsidRDefault="006A3527" w:rsidP="006A3527">
      <w:bookmarkStart w:id="43" w:name="Table_37_Exposure_to_rhNGF_by_age_and_ge"/>
      <w:bookmarkStart w:id="44" w:name="Table_38_Exposure_to_rhNGF_by_racial_gro"/>
      <w:bookmarkStart w:id="45" w:name="8.4._Adverse_events"/>
      <w:bookmarkStart w:id="46" w:name="8.4.1._All_adverse_events_(irrespective_"/>
      <w:bookmarkStart w:id="47" w:name="8.4.1.1._Integrated_safety_analyses_–_se"/>
      <w:bookmarkStart w:id="48" w:name="Table_39_Overview_of_TEAEs_-_Secondary_S"/>
      <w:bookmarkEnd w:id="43"/>
      <w:bookmarkEnd w:id="44"/>
      <w:bookmarkEnd w:id="45"/>
      <w:bookmarkEnd w:id="46"/>
      <w:bookmarkEnd w:id="47"/>
      <w:bookmarkEnd w:id="48"/>
      <w:r>
        <w:rPr>
          <w:noProof/>
          <w:lang w:eastAsia="en-AU"/>
        </w:rPr>
        <w:drawing>
          <wp:inline distT="0" distB="0" distL="0" distR="0" wp14:anchorId="740A04EC" wp14:editId="2C39E83E">
            <wp:extent cx="5400040" cy="2555240"/>
            <wp:effectExtent l="0" t="0" r="0" b="0"/>
            <wp:docPr id="5" name="Picture 5" descr="Overview of TEAE in the secondary safety p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00040" cy="2555240"/>
                    </a:xfrm>
                    <a:prstGeom prst="rect">
                      <a:avLst/>
                    </a:prstGeom>
                  </pic:spPr>
                </pic:pic>
              </a:graphicData>
            </a:graphic>
          </wp:inline>
        </w:drawing>
      </w:r>
    </w:p>
    <w:p w14:paraId="470A0E96" w14:textId="357F03B7" w:rsidR="006A3527" w:rsidRPr="006A3527" w:rsidRDefault="006A3527" w:rsidP="006A3527">
      <w:pPr>
        <w:pStyle w:val="TableDescription"/>
      </w:pPr>
      <w:r w:rsidRPr="006A3527">
        <w:lastRenderedPageBreak/>
        <w:t xml:space="preserve">ADR = adverse drug reaction; n = number of subjects/patients; </w:t>
      </w:r>
      <w:proofErr w:type="spellStart"/>
      <w:r w:rsidRPr="006A3527">
        <w:t>rhNGF</w:t>
      </w:r>
      <w:proofErr w:type="spellEnd"/>
      <w:r w:rsidRPr="006A3527">
        <w:t xml:space="preserve"> = recombinant human nerve growth factor; TEAE = treatment emergent adverse events; TESAE = treatment emergent serious adverse event</w:t>
      </w:r>
      <w:r w:rsidR="0028551A">
        <w:t>.</w:t>
      </w:r>
    </w:p>
    <w:p w14:paraId="136CC6F3" w14:textId="7BE43780" w:rsidR="004B4F57" w:rsidRPr="00FD67A4" w:rsidRDefault="006A3527" w:rsidP="006A3527">
      <w:pPr>
        <w:pStyle w:val="TableTitle"/>
      </w:pPr>
      <w:r>
        <w:t xml:space="preserve">Table </w:t>
      </w:r>
      <w:r w:rsidR="008C1DC6">
        <w:fldChar w:fldCharType="begin"/>
      </w:r>
      <w:r w:rsidR="008C1DC6">
        <w:instrText xml:space="preserve"> SEQ Table \* ARABIC </w:instrText>
      </w:r>
      <w:r w:rsidR="008C1DC6">
        <w:fldChar w:fldCharType="separate"/>
      </w:r>
      <w:r w:rsidR="007B0865">
        <w:rPr>
          <w:noProof/>
        </w:rPr>
        <w:t>6</w:t>
      </w:r>
      <w:r w:rsidR="008C1DC6">
        <w:rPr>
          <w:noProof/>
        </w:rPr>
        <w:fldChar w:fldCharType="end"/>
      </w:r>
      <w:r w:rsidR="004B4F57" w:rsidRPr="00FD67A4">
        <w:t xml:space="preserve">: Summary of </w:t>
      </w:r>
      <w:r w:rsidR="00AF49DB">
        <w:t>adverse events</w:t>
      </w:r>
      <w:r w:rsidR="00AF49DB" w:rsidRPr="00FD67A4">
        <w:t xml:space="preserve"> </w:t>
      </w:r>
      <w:r w:rsidR="004B4F57" w:rsidRPr="00FD67A4">
        <w:t xml:space="preserve">by </w:t>
      </w:r>
      <w:r w:rsidRPr="00222A63">
        <w:rPr>
          <w:lang w:eastAsia="ja-JP"/>
        </w:rPr>
        <w:t>System Organ Class or by</w:t>
      </w:r>
      <w:r>
        <w:rPr>
          <w:lang w:eastAsia="ja-JP"/>
        </w:rPr>
        <w:t xml:space="preserve"> </w:t>
      </w:r>
      <w:r w:rsidRPr="00222A63">
        <w:rPr>
          <w:lang w:eastAsia="ja-JP"/>
        </w:rPr>
        <w:t xml:space="preserve">Preferred Term </w:t>
      </w:r>
      <w:r>
        <w:t xml:space="preserve">occurring in ≥ 5% of patients </w:t>
      </w:r>
      <w:r w:rsidR="004B4F57" w:rsidRPr="00FD67A4">
        <w:t>in the primary safety pool</w:t>
      </w:r>
    </w:p>
    <w:p w14:paraId="03140241" w14:textId="20E9ABB9" w:rsidR="004B4F57" w:rsidRPr="00412706" w:rsidRDefault="00412706" w:rsidP="00412706">
      <w:pPr>
        <w:spacing w:before="0" w:after="0" w:line="240" w:lineRule="auto"/>
        <w:rPr>
          <w:rFonts w:asciiTheme="minorHAnsi" w:hAnsiTheme="minorHAnsi"/>
          <w:b/>
        </w:rPr>
      </w:pPr>
      <w:r>
        <w:rPr>
          <w:noProof/>
          <w:lang w:eastAsia="en-AU"/>
        </w:rPr>
        <w:drawing>
          <wp:inline distT="0" distB="0" distL="0" distR="0" wp14:anchorId="63C61DBD" wp14:editId="66AFAE95">
            <wp:extent cx="5400040" cy="5531485"/>
            <wp:effectExtent l="0" t="0" r="0" b="0"/>
            <wp:docPr id="6" name="Picture 6" descr="Summary of AE by System Organ Class or by Preferred Term occurring in ≥ 5% of patients in the primary safety p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00040" cy="5531485"/>
                    </a:xfrm>
                    <a:prstGeom prst="rect">
                      <a:avLst/>
                    </a:prstGeom>
                  </pic:spPr>
                </pic:pic>
              </a:graphicData>
            </a:graphic>
          </wp:inline>
        </w:drawing>
      </w:r>
    </w:p>
    <w:p w14:paraId="188CD462" w14:textId="79C8AD4F" w:rsidR="004B4F57" w:rsidRDefault="004B4F57" w:rsidP="00412706">
      <w:r w:rsidRPr="009E349E">
        <w:t xml:space="preserve">In the secondary safety pool, eye irritation and eye pain occurred more commonly in the </w:t>
      </w:r>
      <w:proofErr w:type="spellStart"/>
      <w:r w:rsidRPr="009E349E">
        <w:t>rhNGF</w:t>
      </w:r>
      <w:proofErr w:type="spellEnd"/>
      <w:r w:rsidRPr="009E349E">
        <w:t xml:space="preserve"> group</w:t>
      </w:r>
      <w:r>
        <w:t>.</w:t>
      </w:r>
    </w:p>
    <w:p w14:paraId="6F77DFAF" w14:textId="2D7AAD29" w:rsidR="004B4F57" w:rsidRDefault="004B4F57" w:rsidP="00412706">
      <w:r>
        <w:t>There were very few serious adverse effects attributable to the study drug.</w:t>
      </w:r>
    </w:p>
    <w:p w14:paraId="313CA90F" w14:textId="51001E68" w:rsidR="004B4F57" w:rsidRDefault="004B4F57" w:rsidP="00412706">
      <w:r>
        <w:t>In the analysis of secondary safe</w:t>
      </w:r>
      <w:r w:rsidR="0028551A">
        <w:t>ty, a total of 12 TEAE</w:t>
      </w:r>
      <w:r w:rsidR="00AF49DB">
        <w:t>s</w:t>
      </w:r>
      <w:r>
        <w:t xml:space="preserve"> led to discontinuation in 8 patients allocated to any dose of </w:t>
      </w:r>
      <w:proofErr w:type="spellStart"/>
      <w:r>
        <w:t>rhNGF</w:t>
      </w:r>
      <w:proofErr w:type="spellEnd"/>
      <w:r>
        <w:t>. Ten TEAEs in 6 patients led to discontinuation during treatment with the recommended d</w:t>
      </w:r>
      <w:r w:rsidR="0028551A">
        <w:t xml:space="preserve">osage of </w:t>
      </w:r>
      <w:proofErr w:type="spellStart"/>
      <w:r w:rsidR="0028551A">
        <w:t>rhNGF</w:t>
      </w:r>
      <w:proofErr w:type="spellEnd"/>
      <w:r w:rsidR="0028551A">
        <w:t>. A total of 4 AE</w:t>
      </w:r>
      <w:r>
        <w:t xml:space="preserve"> in 4 patients in vehicle groups led to discontinuation. The rates of patients discontinuing study drug because of AEs was slightly lower wi</w:t>
      </w:r>
      <w:r w:rsidR="0028551A">
        <w:t xml:space="preserve">th </w:t>
      </w:r>
      <w:proofErr w:type="spellStart"/>
      <w:r w:rsidR="0028551A">
        <w:t>rhNGF</w:t>
      </w:r>
      <w:proofErr w:type="spellEnd"/>
      <w:r w:rsidR="0028551A">
        <w:t xml:space="preserve"> than with vehicle (2.5 to 3.6% versus</w:t>
      </w:r>
      <w:r>
        <w:t xml:space="preserve"> 3.8%), mainly due to discontinuation due to disease progression.</w:t>
      </w:r>
    </w:p>
    <w:p w14:paraId="7F2E6615" w14:textId="7A80ED00" w:rsidR="004B4F57" w:rsidRPr="00A36C77" w:rsidRDefault="004B4F57" w:rsidP="00412706">
      <w:pPr>
        <w:rPr>
          <w:rFonts w:eastAsiaTheme="minorHAnsi" w:cs="Cambria"/>
          <w:color w:val="000000"/>
        </w:rPr>
      </w:pPr>
      <w:r w:rsidRPr="00A36C77">
        <w:rPr>
          <w:rFonts w:eastAsiaTheme="minorHAnsi" w:cs="Cambria"/>
          <w:color w:val="000000"/>
        </w:rPr>
        <w:t xml:space="preserve">In Study </w:t>
      </w:r>
      <w:r w:rsidRPr="000D4378">
        <w:rPr>
          <w:rFonts w:eastAsiaTheme="minorHAnsi" w:cs="Cambria"/>
          <w:bCs/>
          <w:color w:val="000000"/>
        </w:rPr>
        <w:t>NGF0212</w:t>
      </w:r>
      <w:r w:rsidRPr="000D4378">
        <w:rPr>
          <w:rFonts w:eastAsiaTheme="minorHAnsi" w:cs="Cambria"/>
          <w:color w:val="000000"/>
        </w:rPr>
        <w:t>,</w:t>
      </w:r>
      <w:r w:rsidRPr="00A36C77">
        <w:rPr>
          <w:rFonts w:eastAsiaTheme="minorHAnsi" w:cs="Cambria"/>
          <w:color w:val="000000"/>
        </w:rPr>
        <w:t xml:space="preserve"> 13 patients experienced 20 AEs leading to discontinuation: 9 patients in the </w:t>
      </w:r>
      <w:proofErr w:type="spellStart"/>
      <w:r>
        <w:rPr>
          <w:rFonts w:eastAsiaTheme="minorHAnsi" w:cs="Cambria"/>
          <w:color w:val="000000"/>
        </w:rPr>
        <w:t>rh</w:t>
      </w:r>
      <w:r w:rsidRPr="00A36C77">
        <w:rPr>
          <w:rFonts w:eastAsiaTheme="minorHAnsi" w:cs="Cambria"/>
          <w:color w:val="000000"/>
        </w:rPr>
        <w:t>NGF</w:t>
      </w:r>
      <w:proofErr w:type="spellEnd"/>
      <w:r w:rsidRPr="00A36C77">
        <w:rPr>
          <w:rFonts w:eastAsiaTheme="minorHAnsi" w:cs="Cambria"/>
          <w:color w:val="000000"/>
        </w:rPr>
        <w:t xml:space="preserve"> 20</w:t>
      </w:r>
      <w:r w:rsidR="0028551A">
        <w:rPr>
          <w:rFonts w:eastAsiaTheme="minorHAnsi" w:cs="Cambria"/>
          <w:color w:val="000000"/>
        </w:rPr>
        <w:t xml:space="preserve"> </w:t>
      </w:r>
      <w:r w:rsidR="00AF49DB">
        <w:rPr>
          <w:rFonts w:eastAsiaTheme="minorHAnsi" w:cs="Cambria"/>
          <w:color w:val="000000"/>
        </w:rPr>
        <w:t>µ</w:t>
      </w:r>
      <w:r w:rsidRPr="00A36C77">
        <w:rPr>
          <w:rFonts w:eastAsiaTheme="minorHAnsi" w:cs="Cambria"/>
          <w:color w:val="000000"/>
        </w:rPr>
        <w:t xml:space="preserve">g/mL group and 4 (7.7%) patients in the vehicle control group. Disease progression was the most frequently reported AE leading to discontinuation during the controlled treatment period, occurring in 5 patients (3.2%) overall (2 patients in the </w:t>
      </w:r>
      <w:proofErr w:type="spellStart"/>
      <w:r w:rsidRPr="00A36C77">
        <w:rPr>
          <w:rFonts w:eastAsiaTheme="minorHAnsi" w:cs="Cambria"/>
          <w:color w:val="000000"/>
        </w:rPr>
        <w:lastRenderedPageBreak/>
        <w:t>rhNGF</w:t>
      </w:r>
      <w:proofErr w:type="spellEnd"/>
      <w:r w:rsidRPr="00A36C77">
        <w:rPr>
          <w:rFonts w:eastAsiaTheme="minorHAnsi" w:cs="Cambria"/>
          <w:color w:val="000000"/>
        </w:rPr>
        <w:t xml:space="preserve"> 20 </w:t>
      </w:r>
      <w:r w:rsidR="00AF49DB">
        <w:rPr>
          <w:rFonts w:eastAsiaTheme="minorHAnsi" w:cs="Cambria"/>
          <w:color w:val="000000"/>
        </w:rPr>
        <w:t>µ</w:t>
      </w:r>
      <w:r w:rsidRPr="00A36C77">
        <w:rPr>
          <w:rFonts w:eastAsiaTheme="minorHAnsi" w:cs="Cambria"/>
          <w:color w:val="000000"/>
        </w:rPr>
        <w:t>g/m</w:t>
      </w:r>
      <w:r w:rsidR="00AF49DB">
        <w:rPr>
          <w:rFonts w:eastAsiaTheme="minorHAnsi" w:cs="Cambria"/>
          <w:color w:val="000000"/>
        </w:rPr>
        <w:t>L</w:t>
      </w:r>
      <w:r w:rsidRPr="00A36C77">
        <w:rPr>
          <w:rFonts w:eastAsiaTheme="minorHAnsi" w:cs="Cambria"/>
          <w:color w:val="000000"/>
        </w:rPr>
        <w:t xml:space="preserve"> group and 3 patients in the vehicle control group). This was followed by reduced visual acuity which occurred in 4 patients (3.8%) overall, (2 patients in the </w:t>
      </w:r>
      <w:proofErr w:type="spellStart"/>
      <w:r w:rsidRPr="00A36C77">
        <w:rPr>
          <w:rFonts w:eastAsiaTheme="minorHAnsi" w:cs="Cambria"/>
          <w:color w:val="000000"/>
        </w:rPr>
        <w:t>rhNGF</w:t>
      </w:r>
      <w:proofErr w:type="spellEnd"/>
      <w:r w:rsidRPr="00A36C77">
        <w:rPr>
          <w:rFonts w:eastAsiaTheme="minorHAnsi" w:cs="Cambria"/>
          <w:color w:val="000000"/>
        </w:rPr>
        <w:t xml:space="preserve"> 20 </w:t>
      </w:r>
      <w:r w:rsidR="00AF49DB">
        <w:rPr>
          <w:rFonts w:eastAsiaTheme="minorHAnsi" w:cs="Cambria"/>
          <w:color w:val="000000"/>
        </w:rPr>
        <w:t>µ</w:t>
      </w:r>
      <w:r w:rsidRPr="00A36C77">
        <w:rPr>
          <w:rFonts w:eastAsiaTheme="minorHAnsi" w:cs="Cambria"/>
          <w:color w:val="000000"/>
        </w:rPr>
        <w:t>g/m</w:t>
      </w:r>
      <w:r w:rsidR="00AF49DB">
        <w:rPr>
          <w:rFonts w:eastAsiaTheme="minorHAnsi" w:cs="Cambria"/>
          <w:color w:val="000000"/>
        </w:rPr>
        <w:t>L</w:t>
      </w:r>
      <w:r w:rsidRPr="00A36C77">
        <w:rPr>
          <w:rFonts w:eastAsiaTheme="minorHAnsi" w:cs="Cambria"/>
          <w:color w:val="000000"/>
        </w:rPr>
        <w:t xml:space="preserve"> group and 2 patients in the veh</w:t>
      </w:r>
      <w:r w:rsidR="0028551A">
        <w:rPr>
          <w:rFonts w:eastAsiaTheme="minorHAnsi" w:cs="Cambria"/>
          <w:color w:val="000000"/>
        </w:rPr>
        <w:t>icle control group).</w:t>
      </w:r>
    </w:p>
    <w:p w14:paraId="320F3854" w14:textId="35A94BA7" w:rsidR="004B4F57" w:rsidRDefault="004B4F57" w:rsidP="00412706">
      <w:pPr>
        <w:rPr>
          <w:rFonts w:eastAsiaTheme="minorHAnsi" w:cs="Cambria"/>
          <w:color w:val="000000"/>
        </w:rPr>
      </w:pPr>
      <w:r w:rsidRPr="00A36C77">
        <w:rPr>
          <w:rFonts w:eastAsiaTheme="minorHAnsi" w:cs="Cambria"/>
          <w:color w:val="000000"/>
        </w:rPr>
        <w:t xml:space="preserve">In Study </w:t>
      </w:r>
      <w:r w:rsidRPr="000D4378">
        <w:rPr>
          <w:rFonts w:eastAsiaTheme="minorHAnsi" w:cs="Cambria"/>
          <w:bCs/>
          <w:color w:val="000000"/>
        </w:rPr>
        <w:t>NGF0214</w:t>
      </w:r>
      <w:r w:rsidRPr="000D4378">
        <w:rPr>
          <w:rFonts w:eastAsiaTheme="minorHAnsi" w:cs="Cambria"/>
          <w:color w:val="000000"/>
        </w:rPr>
        <w:t>:</w:t>
      </w:r>
      <w:r w:rsidRPr="00A36C77">
        <w:rPr>
          <w:rFonts w:eastAsiaTheme="minorHAnsi" w:cs="Cambria"/>
          <w:color w:val="000000"/>
        </w:rPr>
        <w:t xml:space="preserve"> 5 patien</w:t>
      </w:r>
      <w:r w:rsidR="0028551A">
        <w:rPr>
          <w:rFonts w:eastAsiaTheme="minorHAnsi" w:cs="Cambria"/>
          <w:color w:val="000000"/>
        </w:rPr>
        <w:t xml:space="preserve">ts (21.7%) in the </w:t>
      </w:r>
      <w:proofErr w:type="spellStart"/>
      <w:r w:rsidR="0028551A">
        <w:rPr>
          <w:rFonts w:eastAsiaTheme="minorHAnsi" w:cs="Cambria"/>
          <w:color w:val="000000"/>
        </w:rPr>
        <w:t>rhNGF</w:t>
      </w:r>
      <w:proofErr w:type="spellEnd"/>
      <w:r w:rsidR="0028551A">
        <w:rPr>
          <w:rFonts w:eastAsiaTheme="minorHAnsi" w:cs="Cambria"/>
          <w:color w:val="000000"/>
        </w:rPr>
        <w:t xml:space="preserve"> 20 </w:t>
      </w:r>
      <w:r w:rsidR="00AF49DB">
        <w:rPr>
          <w:rFonts w:eastAsiaTheme="minorHAnsi" w:cs="Cambria"/>
          <w:color w:val="000000"/>
        </w:rPr>
        <w:t>µ</w:t>
      </w:r>
      <w:r w:rsidR="0028551A">
        <w:rPr>
          <w:rFonts w:eastAsiaTheme="minorHAnsi" w:cs="Cambria"/>
          <w:color w:val="000000"/>
        </w:rPr>
        <w:t>g/mL</w:t>
      </w:r>
      <w:r w:rsidRPr="00A36C77">
        <w:rPr>
          <w:rFonts w:eastAsiaTheme="minorHAnsi" w:cs="Cambria"/>
          <w:color w:val="000000"/>
        </w:rPr>
        <w:t xml:space="preserve"> group and 7 patients (29.2%) in the vehicle contr</w:t>
      </w:r>
      <w:r w:rsidR="0028551A">
        <w:rPr>
          <w:rFonts w:eastAsiaTheme="minorHAnsi" w:cs="Cambria"/>
          <w:color w:val="000000"/>
        </w:rPr>
        <w:t>ol group discontinued due to AE</w:t>
      </w:r>
      <w:r w:rsidRPr="00A36C77">
        <w:rPr>
          <w:rFonts w:eastAsiaTheme="minorHAnsi" w:cs="Cambria"/>
          <w:color w:val="000000"/>
        </w:rPr>
        <w:t>. Disease progression was the most frequent cause of discontinuation (10.6% patients, 3 patients in the vehicle g</w:t>
      </w:r>
      <w:r w:rsidR="0028551A">
        <w:rPr>
          <w:rFonts w:eastAsiaTheme="minorHAnsi" w:cs="Cambria"/>
          <w:color w:val="000000"/>
        </w:rPr>
        <w:t xml:space="preserve">roup and 2 in the </w:t>
      </w:r>
      <w:proofErr w:type="spellStart"/>
      <w:r w:rsidR="0028551A">
        <w:rPr>
          <w:rFonts w:eastAsiaTheme="minorHAnsi" w:cs="Cambria"/>
          <w:color w:val="000000"/>
        </w:rPr>
        <w:t>rhNGF</w:t>
      </w:r>
      <w:proofErr w:type="spellEnd"/>
      <w:r w:rsidR="0028551A">
        <w:rPr>
          <w:rFonts w:eastAsiaTheme="minorHAnsi" w:cs="Cambria"/>
          <w:color w:val="000000"/>
        </w:rPr>
        <w:t xml:space="preserve"> 20 </w:t>
      </w:r>
      <w:r w:rsidR="00AF49DB">
        <w:rPr>
          <w:rFonts w:eastAsiaTheme="minorHAnsi" w:cs="Cambria"/>
          <w:color w:val="000000"/>
        </w:rPr>
        <w:t>µ</w:t>
      </w:r>
      <w:r w:rsidR="0028551A">
        <w:rPr>
          <w:rFonts w:eastAsiaTheme="minorHAnsi" w:cs="Cambria"/>
          <w:color w:val="000000"/>
        </w:rPr>
        <w:t>g/mL</w:t>
      </w:r>
      <w:r w:rsidRPr="00A36C77">
        <w:rPr>
          <w:rFonts w:eastAsiaTheme="minorHAnsi" w:cs="Cambria"/>
          <w:color w:val="000000"/>
        </w:rPr>
        <w:t xml:space="preserve"> group) followed by corneal thinning (6.4% patients, 2</w:t>
      </w:r>
      <w:r w:rsidR="00AF49DB">
        <w:rPr>
          <w:rFonts w:eastAsiaTheme="minorHAnsi" w:cs="Cambria"/>
          <w:color w:val="000000"/>
        </w:rPr>
        <w:t> </w:t>
      </w:r>
      <w:r w:rsidRPr="00A36C77">
        <w:rPr>
          <w:rFonts w:eastAsiaTheme="minorHAnsi" w:cs="Cambria"/>
          <w:color w:val="000000"/>
        </w:rPr>
        <w:t>patients in the vehicle group and on</w:t>
      </w:r>
      <w:r w:rsidR="0028551A">
        <w:rPr>
          <w:rFonts w:eastAsiaTheme="minorHAnsi" w:cs="Cambria"/>
          <w:color w:val="000000"/>
        </w:rPr>
        <w:t xml:space="preserve">e in the </w:t>
      </w:r>
      <w:proofErr w:type="spellStart"/>
      <w:r w:rsidR="0028551A">
        <w:rPr>
          <w:rFonts w:eastAsiaTheme="minorHAnsi" w:cs="Cambria"/>
          <w:color w:val="000000"/>
        </w:rPr>
        <w:t>rhNGF</w:t>
      </w:r>
      <w:proofErr w:type="spellEnd"/>
      <w:r w:rsidR="0028551A">
        <w:rPr>
          <w:rFonts w:eastAsiaTheme="minorHAnsi" w:cs="Cambria"/>
          <w:color w:val="000000"/>
        </w:rPr>
        <w:t xml:space="preserve"> 20 </w:t>
      </w:r>
      <w:r w:rsidR="00AF49DB">
        <w:rPr>
          <w:rFonts w:eastAsiaTheme="minorHAnsi" w:cs="Cambria"/>
          <w:color w:val="000000"/>
        </w:rPr>
        <w:t>µ</w:t>
      </w:r>
      <w:r w:rsidR="0028551A">
        <w:rPr>
          <w:rFonts w:eastAsiaTheme="minorHAnsi" w:cs="Cambria"/>
          <w:color w:val="000000"/>
        </w:rPr>
        <w:t>g/mL</w:t>
      </w:r>
      <w:r w:rsidR="00412706">
        <w:rPr>
          <w:rFonts w:eastAsiaTheme="minorHAnsi" w:cs="Cambria"/>
          <w:color w:val="000000"/>
        </w:rPr>
        <w:t xml:space="preserve"> group).</w:t>
      </w:r>
    </w:p>
    <w:p w14:paraId="0A77316D" w14:textId="1224C1C2" w:rsidR="004B4F57" w:rsidRPr="009E349E" w:rsidRDefault="004B4F57" w:rsidP="00412706">
      <w:r>
        <w:t>Four patients (2.6%) reported at least 1 AE leading to discontinuation of study dr</w:t>
      </w:r>
      <w:r w:rsidR="0028551A">
        <w:t xml:space="preserve">ug during the follow </w:t>
      </w:r>
      <w:r>
        <w:t>up period:</w:t>
      </w:r>
      <w:r w:rsidR="0028551A">
        <w:t xml:space="preserve"> 1 patient in the </w:t>
      </w:r>
      <w:proofErr w:type="spellStart"/>
      <w:r w:rsidR="0028551A">
        <w:t>rhNGF</w:t>
      </w:r>
      <w:proofErr w:type="spellEnd"/>
      <w:r w:rsidR="0028551A">
        <w:t xml:space="preserve"> 10 </w:t>
      </w:r>
      <w:r w:rsidR="00AF49DB">
        <w:t>µ</w:t>
      </w:r>
      <w:r w:rsidR="0028551A">
        <w:t>g/mL</w:t>
      </w:r>
      <w:r>
        <w:t xml:space="preserve"> group (disease progression), </w:t>
      </w:r>
      <w:r w:rsidR="0028551A">
        <w:t xml:space="preserve">2 patients in the </w:t>
      </w:r>
      <w:proofErr w:type="spellStart"/>
      <w:r w:rsidR="0028551A">
        <w:t>rhNGF</w:t>
      </w:r>
      <w:proofErr w:type="spellEnd"/>
      <w:r w:rsidR="0028551A">
        <w:t xml:space="preserve"> 20 </w:t>
      </w:r>
      <w:proofErr w:type="spellStart"/>
      <w:r w:rsidR="0028551A">
        <w:t>μg</w:t>
      </w:r>
      <w:proofErr w:type="spellEnd"/>
      <w:r w:rsidR="0028551A">
        <w:t>/mL</w:t>
      </w:r>
      <w:r>
        <w:t xml:space="preserve"> group (disease progression/lack of efficacy, and keratitis, uveitis and bacterial infection) and 1 patient in the vehicle con</w:t>
      </w:r>
      <w:r w:rsidR="00412706">
        <w:t>trol group (ophthalmic herpes).</w:t>
      </w:r>
    </w:p>
    <w:p w14:paraId="19AFDCD2" w14:textId="68238D40" w:rsidR="004B4F57" w:rsidRPr="00F8009A" w:rsidRDefault="00412706" w:rsidP="00412706">
      <w:pPr>
        <w:pStyle w:val="Heading5"/>
      </w:pPr>
      <w:r>
        <w:t>Immunogenicity</w:t>
      </w:r>
    </w:p>
    <w:p w14:paraId="2DDDE2F4" w14:textId="16040F84" w:rsidR="004B4F57" w:rsidRDefault="004B4F57" w:rsidP="00412706">
      <w:r>
        <w:t xml:space="preserve">Immunogenicity was evaluated in four of the five </w:t>
      </w:r>
      <w:proofErr w:type="spellStart"/>
      <w:r>
        <w:t>rhNGF</w:t>
      </w:r>
      <w:proofErr w:type="spellEnd"/>
      <w:r>
        <w:t xml:space="preserve"> clinical studies: in healthy </w:t>
      </w:r>
      <w:r w:rsidR="00412706">
        <w:t>volunteers (S</w:t>
      </w:r>
      <w:r w:rsidRPr="000D4378">
        <w:t xml:space="preserve">tudy </w:t>
      </w:r>
      <w:r w:rsidRPr="000D4378">
        <w:rPr>
          <w:bCs/>
        </w:rPr>
        <w:t>NGF0112</w:t>
      </w:r>
      <w:r w:rsidR="00412706">
        <w:t>), in two NK (S</w:t>
      </w:r>
      <w:r w:rsidRPr="000D4378">
        <w:t xml:space="preserve">tudies </w:t>
      </w:r>
      <w:r w:rsidRPr="000D4378">
        <w:rPr>
          <w:bCs/>
        </w:rPr>
        <w:t xml:space="preserve">NGF0212 </w:t>
      </w:r>
      <w:r w:rsidRPr="000D4378">
        <w:t xml:space="preserve">and </w:t>
      </w:r>
      <w:r w:rsidRPr="000D4378">
        <w:rPr>
          <w:bCs/>
        </w:rPr>
        <w:t>NGF0214</w:t>
      </w:r>
      <w:r w:rsidRPr="000D4378">
        <w:t>), and i</w:t>
      </w:r>
      <w:r w:rsidR="00412706">
        <w:t xml:space="preserve">n one in retinitis </w:t>
      </w:r>
      <w:proofErr w:type="spellStart"/>
      <w:r w:rsidR="00412706">
        <w:t>pigmentosa</w:t>
      </w:r>
      <w:proofErr w:type="spellEnd"/>
      <w:r w:rsidR="00412706">
        <w:t xml:space="preserve"> (S</w:t>
      </w:r>
      <w:r w:rsidRPr="000D4378">
        <w:t xml:space="preserve">tudy </w:t>
      </w:r>
      <w:r w:rsidRPr="000D4378">
        <w:rPr>
          <w:bCs/>
        </w:rPr>
        <w:t>NGF0113</w:t>
      </w:r>
      <w:r w:rsidRPr="000D4378">
        <w:t>). None of the studies showed that patients developed systemic antibodies to the study drug.</w:t>
      </w:r>
    </w:p>
    <w:p w14:paraId="7025B868" w14:textId="58C73AB0" w:rsidR="00412706" w:rsidRDefault="00412706" w:rsidP="00412706">
      <w:pPr>
        <w:pStyle w:val="Heading4"/>
      </w:pPr>
      <w:r>
        <w:t>Post marketing experience</w:t>
      </w:r>
    </w:p>
    <w:p w14:paraId="406F706B" w14:textId="362591C9" w:rsidR="004B4F57" w:rsidRPr="007B6132" w:rsidRDefault="004B4F57" w:rsidP="00412706">
      <w:r>
        <w:t xml:space="preserve">The sponsor submitted two </w:t>
      </w:r>
      <w:r w:rsidR="00412706">
        <w:t>periodic safety update reports (</w:t>
      </w:r>
      <w:r>
        <w:t>PSUR</w:t>
      </w:r>
      <w:r w:rsidR="00412706">
        <w:t>)</w:t>
      </w:r>
      <w:r>
        <w:t>. The cumulative post market exposure is estimated to be 130 patients. It included 4 cases of off label use in children.</w:t>
      </w:r>
    </w:p>
    <w:p w14:paraId="306F650C" w14:textId="77777777" w:rsidR="008E7846" w:rsidRDefault="00386150" w:rsidP="007B6132">
      <w:pPr>
        <w:pStyle w:val="Heading3"/>
        <w:rPr>
          <w:lang w:eastAsia="en-AU"/>
        </w:rPr>
      </w:pPr>
      <w:bookmarkStart w:id="49" w:name="_Toc27992638"/>
      <w:r>
        <w:rPr>
          <w:lang w:eastAsia="en-AU"/>
        </w:rPr>
        <w:t>Risk m</w:t>
      </w:r>
      <w:r w:rsidR="008E7846">
        <w:rPr>
          <w:lang w:eastAsia="en-AU"/>
        </w:rPr>
        <w:t xml:space="preserve">anagement </w:t>
      </w:r>
      <w:r>
        <w:rPr>
          <w:lang w:eastAsia="en-AU"/>
        </w:rPr>
        <w:t>p</w:t>
      </w:r>
      <w:r w:rsidR="008E7846">
        <w:rPr>
          <w:lang w:eastAsia="en-AU"/>
        </w:rPr>
        <w:t>lan</w:t>
      </w:r>
      <w:bookmarkEnd w:id="40"/>
      <w:bookmarkEnd w:id="49"/>
    </w:p>
    <w:p w14:paraId="3C84382E" w14:textId="596D8148" w:rsidR="004B4F57" w:rsidRDefault="0028551A" w:rsidP="00412706">
      <w:pPr>
        <w:pStyle w:val="ListBullet"/>
      </w:pPr>
      <w:r>
        <w:t>The sponsor</w:t>
      </w:r>
      <w:r w:rsidR="004B4F57">
        <w:t xml:space="preserve"> submitted </w:t>
      </w:r>
      <w:r>
        <w:t>European Union-</w:t>
      </w:r>
      <w:r w:rsidR="00AF49DB">
        <w:t xml:space="preserve">risk management plan </w:t>
      </w:r>
      <w:r>
        <w:t>(</w:t>
      </w:r>
      <w:r w:rsidR="004B4F57">
        <w:t>EU-RMP</w:t>
      </w:r>
      <w:r>
        <w:t>) version 1.0 (16 May 2017; data lock point</w:t>
      </w:r>
      <w:r w:rsidR="004B4F57">
        <w:t xml:space="preserve"> 22 February 2017) and </w:t>
      </w:r>
      <w:r>
        <w:t>Australian</w:t>
      </w:r>
      <w:r w:rsidR="00AF49DB">
        <w:noBreakHyphen/>
        <w:t>s</w:t>
      </w:r>
      <w:r>
        <w:t xml:space="preserve">pecific </w:t>
      </w:r>
      <w:r w:rsidR="00AF49DB">
        <w:t>a</w:t>
      </w:r>
      <w:r>
        <w:t>nnex (</w:t>
      </w:r>
      <w:r w:rsidR="004B4F57">
        <w:t>ASA</w:t>
      </w:r>
      <w:r>
        <w:t>)</w:t>
      </w:r>
      <w:r w:rsidR="004B4F57">
        <w:t xml:space="preserve"> version 1.0 (22 February 2017) in support of the application. In response to rolling questions sent 18 March 2019, the sponsor has submitted updated ASA version 1.1 (21 March 2019).</w:t>
      </w:r>
    </w:p>
    <w:p w14:paraId="376C06BE" w14:textId="3377D6B1" w:rsidR="008E7846" w:rsidRDefault="004B4F57" w:rsidP="00412706">
      <w:pPr>
        <w:pStyle w:val="ListBullet"/>
      </w:pPr>
      <w:r>
        <w:t xml:space="preserve">The proposed summary of safety concerns and their associated risk monitoring and mitigation strategies are summarised </w:t>
      </w:r>
      <w:r w:rsidR="00412706">
        <w:t xml:space="preserve">in </w:t>
      </w:r>
      <w:r w:rsidR="00412706">
        <w:fldChar w:fldCharType="begin"/>
      </w:r>
      <w:r w:rsidR="00412706">
        <w:instrText xml:space="preserve"> REF _Ref24007183 \h </w:instrText>
      </w:r>
      <w:r w:rsidR="00412706">
        <w:fldChar w:fldCharType="separate"/>
      </w:r>
      <w:r w:rsidR="0028551A">
        <w:t xml:space="preserve">Table </w:t>
      </w:r>
      <w:r w:rsidR="0028551A">
        <w:rPr>
          <w:noProof/>
        </w:rPr>
        <w:t>7</w:t>
      </w:r>
      <w:r w:rsidR="00412706">
        <w:fldChar w:fldCharType="end"/>
      </w:r>
      <w:r w:rsidR="00412706">
        <w:t xml:space="preserve">, </w:t>
      </w:r>
      <w:r>
        <w:t>below.</w:t>
      </w:r>
      <w:r>
        <w:rPr>
          <w:rStyle w:val="FootnoteReference"/>
          <w:lang w:eastAsia="en-AU"/>
        </w:rPr>
        <w:footnoteReference w:id="5"/>
      </w:r>
    </w:p>
    <w:p w14:paraId="7F3DE1E0" w14:textId="429F945F" w:rsidR="00412706" w:rsidRDefault="00412706" w:rsidP="00597FBE">
      <w:pPr>
        <w:pStyle w:val="TableTitle"/>
        <w:pageBreakBefore/>
      </w:pPr>
      <w:bookmarkStart w:id="50" w:name="_Ref24007183"/>
      <w:r>
        <w:lastRenderedPageBreak/>
        <w:t xml:space="preserve">Table </w:t>
      </w:r>
      <w:r w:rsidR="008C1DC6">
        <w:fldChar w:fldCharType="begin"/>
      </w:r>
      <w:r w:rsidR="008C1DC6">
        <w:instrText xml:space="preserve"> SEQ Table \* ARABIC </w:instrText>
      </w:r>
      <w:r w:rsidR="008C1DC6">
        <w:fldChar w:fldCharType="separate"/>
      </w:r>
      <w:r w:rsidR="0028551A">
        <w:rPr>
          <w:noProof/>
        </w:rPr>
        <w:t>7</w:t>
      </w:r>
      <w:r w:rsidR="008C1DC6">
        <w:rPr>
          <w:noProof/>
        </w:rPr>
        <w:fldChar w:fldCharType="end"/>
      </w:r>
      <w:bookmarkEnd w:id="50"/>
      <w:r>
        <w:t>: Risk management plan for Oxervate</w:t>
      </w:r>
    </w:p>
    <w:tbl>
      <w:tblPr>
        <w:tblStyle w:val="TableTGAblue"/>
        <w:tblW w:w="9469" w:type="dxa"/>
        <w:tblLayout w:type="fixed"/>
        <w:tblLook w:val="04A0" w:firstRow="1" w:lastRow="0" w:firstColumn="1" w:lastColumn="0" w:noHBand="0" w:noVBand="1"/>
      </w:tblPr>
      <w:tblGrid>
        <w:gridCol w:w="1327"/>
        <w:gridCol w:w="3884"/>
        <w:gridCol w:w="993"/>
        <w:gridCol w:w="1134"/>
        <w:gridCol w:w="992"/>
        <w:gridCol w:w="1139"/>
      </w:tblGrid>
      <w:tr w:rsidR="004B4F57" w:rsidRPr="00597FBE" w14:paraId="3633EFF4" w14:textId="77777777" w:rsidTr="00412706">
        <w:trPr>
          <w:cnfStyle w:val="100000000000" w:firstRow="1" w:lastRow="0" w:firstColumn="0" w:lastColumn="0" w:oddVBand="0" w:evenVBand="0" w:oddHBand="0" w:evenHBand="0" w:firstRowFirstColumn="0" w:firstRowLastColumn="0" w:lastRowFirstColumn="0" w:lastRowLastColumn="0"/>
          <w:trHeight w:val="131"/>
        </w:trPr>
        <w:tc>
          <w:tcPr>
            <w:tcW w:w="5211" w:type="dxa"/>
            <w:gridSpan w:val="2"/>
            <w:vMerge w:val="restart"/>
          </w:tcPr>
          <w:p w14:paraId="464B6C2F" w14:textId="77777777" w:rsidR="004B4F57" w:rsidRPr="00597FBE" w:rsidRDefault="004B4F57" w:rsidP="00597FBE">
            <w:pPr>
              <w:rPr>
                <w:b w:val="0"/>
                <w:sz w:val="20"/>
                <w:szCs w:val="20"/>
              </w:rPr>
            </w:pPr>
            <w:r w:rsidRPr="00597FBE">
              <w:rPr>
                <w:sz w:val="20"/>
                <w:szCs w:val="20"/>
              </w:rPr>
              <w:t>Summary of safety concerns</w:t>
            </w:r>
          </w:p>
        </w:tc>
        <w:tc>
          <w:tcPr>
            <w:tcW w:w="2127" w:type="dxa"/>
            <w:gridSpan w:val="2"/>
          </w:tcPr>
          <w:p w14:paraId="568213A6" w14:textId="77777777" w:rsidR="004B4F57" w:rsidRPr="00597FBE" w:rsidRDefault="004B4F57" w:rsidP="00597FBE">
            <w:pPr>
              <w:rPr>
                <w:b w:val="0"/>
                <w:sz w:val="20"/>
                <w:szCs w:val="20"/>
              </w:rPr>
            </w:pPr>
            <w:r w:rsidRPr="00597FBE">
              <w:rPr>
                <w:sz w:val="20"/>
                <w:szCs w:val="20"/>
              </w:rPr>
              <w:t>Pharmacovigilance</w:t>
            </w:r>
          </w:p>
        </w:tc>
        <w:tc>
          <w:tcPr>
            <w:tcW w:w="2131" w:type="dxa"/>
            <w:gridSpan w:val="2"/>
          </w:tcPr>
          <w:p w14:paraId="5738B992" w14:textId="77777777" w:rsidR="004B4F57" w:rsidRPr="00597FBE" w:rsidRDefault="004B4F57" w:rsidP="00597FBE">
            <w:pPr>
              <w:rPr>
                <w:b w:val="0"/>
                <w:sz w:val="20"/>
                <w:szCs w:val="20"/>
              </w:rPr>
            </w:pPr>
            <w:r w:rsidRPr="00597FBE">
              <w:rPr>
                <w:sz w:val="20"/>
                <w:szCs w:val="20"/>
              </w:rPr>
              <w:t>Risk Minimisation</w:t>
            </w:r>
          </w:p>
        </w:tc>
      </w:tr>
      <w:tr w:rsidR="004B4F57" w:rsidRPr="00597FBE" w14:paraId="2FFD13A8" w14:textId="77777777" w:rsidTr="00412706">
        <w:trPr>
          <w:trHeight w:val="150"/>
        </w:trPr>
        <w:tc>
          <w:tcPr>
            <w:tcW w:w="5211" w:type="dxa"/>
            <w:gridSpan w:val="2"/>
            <w:vMerge/>
          </w:tcPr>
          <w:p w14:paraId="01893C49" w14:textId="77777777" w:rsidR="004B4F57" w:rsidRPr="00597FBE" w:rsidRDefault="004B4F57" w:rsidP="00597FBE">
            <w:pPr>
              <w:rPr>
                <w:sz w:val="20"/>
                <w:szCs w:val="20"/>
              </w:rPr>
            </w:pPr>
          </w:p>
        </w:tc>
        <w:tc>
          <w:tcPr>
            <w:tcW w:w="993" w:type="dxa"/>
          </w:tcPr>
          <w:p w14:paraId="08DA6B6E" w14:textId="77777777" w:rsidR="004B4F57" w:rsidRPr="00597FBE" w:rsidRDefault="004B4F57" w:rsidP="00597FBE">
            <w:pPr>
              <w:rPr>
                <w:sz w:val="20"/>
                <w:szCs w:val="20"/>
              </w:rPr>
            </w:pPr>
            <w:r w:rsidRPr="00597FBE">
              <w:rPr>
                <w:sz w:val="20"/>
                <w:szCs w:val="20"/>
              </w:rPr>
              <w:t>Routine</w:t>
            </w:r>
          </w:p>
        </w:tc>
        <w:tc>
          <w:tcPr>
            <w:tcW w:w="1134" w:type="dxa"/>
          </w:tcPr>
          <w:p w14:paraId="3E580333" w14:textId="77777777" w:rsidR="004B4F57" w:rsidRPr="00597FBE" w:rsidRDefault="004B4F57" w:rsidP="00597FBE">
            <w:pPr>
              <w:rPr>
                <w:sz w:val="20"/>
                <w:szCs w:val="20"/>
              </w:rPr>
            </w:pPr>
            <w:r w:rsidRPr="00597FBE">
              <w:rPr>
                <w:sz w:val="20"/>
                <w:szCs w:val="20"/>
              </w:rPr>
              <w:t>Additional</w:t>
            </w:r>
          </w:p>
        </w:tc>
        <w:tc>
          <w:tcPr>
            <w:tcW w:w="992" w:type="dxa"/>
          </w:tcPr>
          <w:p w14:paraId="517F8F42" w14:textId="77777777" w:rsidR="004B4F57" w:rsidRPr="00597FBE" w:rsidRDefault="004B4F57" w:rsidP="00597FBE">
            <w:pPr>
              <w:rPr>
                <w:sz w:val="20"/>
                <w:szCs w:val="20"/>
              </w:rPr>
            </w:pPr>
            <w:r w:rsidRPr="00597FBE">
              <w:rPr>
                <w:sz w:val="20"/>
                <w:szCs w:val="20"/>
              </w:rPr>
              <w:t>Routine</w:t>
            </w:r>
          </w:p>
        </w:tc>
        <w:tc>
          <w:tcPr>
            <w:tcW w:w="1139" w:type="dxa"/>
          </w:tcPr>
          <w:p w14:paraId="25A7C353" w14:textId="77777777" w:rsidR="004B4F57" w:rsidRPr="00597FBE" w:rsidRDefault="004B4F57" w:rsidP="00597FBE">
            <w:pPr>
              <w:rPr>
                <w:sz w:val="20"/>
                <w:szCs w:val="20"/>
              </w:rPr>
            </w:pPr>
            <w:r w:rsidRPr="00597FBE">
              <w:rPr>
                <w:sz w:val="20"/>
                <w:szCs w:val="20"/>
              </w:rPr>
              <w:t>Additional*</w:t>
            </w:r>
          </w:p>
        </w:tc>
      </w:tr>
      <w:tr w:rsidR="004B4F57" w:rsidRPr="00597FBE" w14:paraId="62FC07ED" w14:textId="77777777" w:rsidTr="00412706">
        <w:trPr>
          <w:trHeight w:val="137"/>
        </w:trPr>
        <w:tc>
          <w:tcPr>
            <w:tcW w:w="1327" w:type="dxa"/>
          </w:tcPr>
          <w:p w14:paraId="1AE7D8F8" w14:textId="77777777" w:rsidR="004B4F57" w:rsidRPr="00597FBE" w:rsidRDefault="004B4F57" w:rsidP="00597FBE">
            <w:pPr>
              <w:rPr>
                <w:sz w:val="20"/>
                <w:szCs w:val="20"/>
              </w:rPr>
            </w:pPr>
            <w:r w:rsidRPr="00597FBE">
              <w:rPr>
                <w:sz w:val="20"/>
                <w:szCs w:val="20"/>
              </w:rPr>
              <w:t>Important identified risks</w:t>
            </w:r>
          </w:p>
        </w:tc>
        <w:tc>
          <w:tcPr>
            <w:tcW w:w="3884" w:type="dxa"/>
          </w:tcPr>
          <w:p w14:paraId="4B7B59C4" w14:textId="77777777" w:rsidR="004B4F57" w:rsidRPr="00597FBE" w:rsidRDefault="004B4F57" w:rsidP="00597FBE">
            <w:pPr>
              <w:rPr>
                <w:sz w:val="20"/>
                <w:szCs w:val="20"/>
              </w:rPr>
            </w:pPr>
            <w:r w:rsidRPr="00597FBE">
              <w:rPr>
                <w:sz w:val="20"/>
                <w:szCs w:val="20"/>
              </w:rPr>
              <w:t>Nil</w:t>
            </w:r>
          </w:p>
        </w:tc>
        <w:tc>
          <w:tcPr>
            <w:tcW w:w="993" w:type="dxa"/>
          </w:tcPr>
          <w:p w14:paraId="562F8C78" w14:textId="77777777" w:rsidR="004B4F57" w:rsidRPr="00597FBE" w:rsidRDefault="004B4F57" w:rsidP="00597FBE">
            <w:pPr>
              <w:rPr>
                <w:sz w:val="20"/>
                <w:szCs w:val="20"/>
              </w:rPr>
            </w:pPr>
            <w:r w:rsidRPr="00597FBE">
              <w:rPr>
                <w:sz w:val="20"/>
                <w:szCs w:val="20"/>
              </w:rPr>
              <w:t>–</w:t>
            </w:r>
          </w:p>
        </w:tc>
        <w:tc>
          <w:tcPr>
            <w:tcW w:w="1134" w:type="dxa"/>
          </w:tcPr>
          <w:p w14:paraId="792CB061" w14:textId="77777777" w:rsidR="004B4F57" w:rsidRPr="00597FBE" w:rsidRDefault="004B4F57" w:rsidP="00597FBE">
            <w:pPr>
              <w:rPr>
                <w:sz w:val="20"/>
                <w:szCs w:val="20"/>
              </w:rPr>
            </w:pPr>
            <w:r w:rsidRPr="00597FBE">
              <w:rPr>
                <w:sz w:val="20"/>
                <w:szCs w:val="20"/>
              </w:rPr>
              <w:t>–</w:t>
            </w:r>
          </w:p>
        </w:tc>
        <w:tc>
          <w:tcPr>
            <w:tcW w:w="992" w:type="dxa"/>
          </w:tcPr>
          <w:p w14:paraId="427782CF" w14:textId="77777777" w:rsidR="004B4F57" w:rsidRPr="00597FBE" w:rsidRDefault="004B4F57" w:rsidP="00597FBE">
            <w:pPr>
              <w:rPr>
                <w:sz w:val="20"/>
                <w:szCs w:val="20"/>
              </w:rPr>
            </w:pPr>
            <w:r w:rsidRPr="00597FBE">
              <w:rPr>
                <w:sz w:val="20"/>
                <w:szCs w:val="20"/>
              </w:rPr>
              <w:t>–</w:t>
            </w:r>
          </w:p>
        </w:tc>
        <w:tc>
          <w:tcPr>
            <w:tcW w:w="1139" w:type="dxa"/>
          </w:tcPr>
          <w:p w14:paraId="7DE2058E" w14:textId="77777777" w:rsidR="004B4F57" w:rsidRPr="00597FBE" w:rsidRDefault="004B4F57" w:rsidP="00597FBE">
            <w:pPr>
              <w:rPr>
                <w:sz w:val="20"/>
                <w:szCs w:val="20"/>
              </w:rPr>
            </w:pPr>
            <w:r w:rsidRPr="00597FBE">
              <w:rPr>
                <w:sz w:val="20"/>
                <w:szCs w:val="20"/>
              </w:rPr>
              <w:t>–</w:t>
            </w:r>
          </w:p>
        </w:tc>
      </w:tr>
      <w:tr w:rsidR="004B4F57" w:rsidRPr="00597FBE" w14:paraId="0DEB9F33" w14:textId="77777777" w:rsidTr="00412706">
        <w:trPr>
          <w:trHeight w:val="159"/>
        </w:trPr>
        <w:tc>
          <w:tcPr>
            <w:tcW w:w="1327" w:type="dxa"/>
          </w:tcPr>
          <w:p w14:paraId="79C90C4D" w14:textId="77777777" w:rsidR="004B4F57" w:rsidRPr="00597FBE" w:rsidRDefault="004B4F57" w:rsidP="00597FBE">
            <w:pPr>
              <w:rPr>
                <w:sz w:val="20"/>
                <w:szCs w:val="20"/>
              </w:rPr>
            </w:pPr>
            <w:r w:rsidRPr="00597FBE">
              <w:rPr>
                <w:sz w:val="20"/>
                <w:szCs w:val="20"/>
              </w:rPr>
              <w:t>Important potential risks</w:t>
            </w:r>
          </w:p>
        </w:tc>
        <w:tc>
          <w:tcPr>
            <w:tcW w:w="3884" w:type="dxa"/>
          </w:tcPr>
          <w:p w14:paraId="30E9D3D2" w14:textId="77777777" w:rsidR="004B4F57" w:rsidRPr="00597FBE" w:rsidRDefault="004B4F57" w:rsidP="00597FBE">
            <w:pPr>
              <w:rPr>
                <w:sz w:val="20"/>
                <w:szCs w:val="20"/>
              </w:rPr>
            </w:pPr>
            <w:r w:rsidRPr="00597FBE">
              <w:rPr>
                <w:sz w:val="20"/>
                <w:szCs w:val="20"/>
              </w:rPr>
              <w:t>Serious corneal disorders</w:t>
            </w:r>
          </w:p>
        </w:tc>
        <w:tc>
          <w:tcPr>
            <w:tcW w:w="993" w:type="dxa"/>
          </w:tcPr>
          <w:p w14:paraId="156FDDDB" w14:textId="77777777" w:rsidR="004B4F57" w:rsidRPr="00597FBE" w:rsidRDefault="004B4F57" w:rsidP="00597FBE">
            <w:pPr>
              <w:rPr>
                <w:sz w:val="20"/>
                <w:szCs w:val="20"/>
              </w:rPr>
            </w:pPr>
            <w:r w:rsidRPr="00597FBE">
              <w:rPr>
                <w:sz w:val="20"/>
                <w:szCs w:val="20"/>
              </w:rPr>
              <w:sym w:font="Wingdings" w:char="F0FC"/>
            </w:r>
            <w:r w:rsidRPr="00597FBE">
              <w:rPr>
                <w:sz w:val="20"/>
                <w:szCs w:val="20"/>
              </w:rPr>
              <w:t>†</w:t>
            </w:r>
          </w:p>
        </w:tc>
        <w:tc>
          <w:tcPr>
            <w:tcW w:w="1134" w:type="dxa"/>
          </w:tcPr>
          <w:p w14:paraId="7F9EE7BB" w14:textId="77777777" w:rsidR="004B4F57" w:rsidRPr="00597FBE" w:rsidRDefault="004B4F57" w:rsidP="00597FBE">
            <w:pPr>
              <w:rPr>
                <w:sz w:val="20"/>
                <w:szCs w:val="20"/>
              </w:rPr>
            </w:pPr>
            <w:r w:rsidRPr="00597FBE">
              <w:rPr>
                <w:sz w:val="20"/>
                <w:szCs w:val="20"/>
              </w:rPr>
              <w:t>–</w:t>
            </w:r>
          </w:p>
        </w:tc>
        <w:tc>
          <w:tcPr>
            <w:tcW w:w="992" w:type="dxa"/>
          </w:tcPr>
          <w:p w14:paraId="0E2CF496" w14:textId="77777777" w:rsidR="004B4F57" w:rsidRPr="00597FBE" w:rsidRDefault="004B4F57" w:rsidP="00597FBE">
            <w:pPr>
              <w:rPr>
                <w:sz w:val="20"/>
                <w:szCs w:val="20"/>
              </w:rPr>
            </w:pPr>
            <w:r w:rsidRPr="00597FBE">
              <w:rPr>
                <w:sz w:val="20"/>
                <w:szCs w:val="20"/>
              </w:rPr>
              <w:sym w:font="Wingdings" w:char="F0FC"/>
            </w:r>
          </w:p>
        </w:tc>
        <w:tc>
          <w:tcPr>
            <w:tcW w:w="1139" w:type="dxa"/>
          </w:tcPr>
          <w:p w14:paraId="6DAFD783" w14:textId="77777777" w:rsidR="004B4F57" w:rsidRPr="00597FBE" w:rsidRDefault="004B4F57" w:rsidP="00597FBE">
            <w:pPr>
              <w:rPr>
                <w:sz w:val="20"/>
                <w:szCs w:val="20"/>
              </w:rPr>
            </w:pPr>
            <w:r w:rsidRPr="00597FBE">
              <w:rPr>
                <w:sz w:val="20"/>
                <w:szCs w:val="20"/>
              </w:rPr>
              <w:t>–</w:t>
            </w:r>
          </w:p>
        </w:tc>
      </w:tr>
      <w:tr w:rsidR="004B4F57" w:rsidRPr="00597FBE" w14:paraId="5825CEA2" w14:textId="77777777" w:rsidTr="00412706">
        <w:trPr>
          <w:trHeight w:val="178"/>
        </w:trPr>
        <w:tc>
          <w:tcPr>
            <w:tcW w:w="1327" w:type="dxa"/>
            <w:vMerge w:val="restart"/>
          </w:tcPr>
          <w:p w14:paraId="23471C81" w14:textId="77777777" w:rsidR="004B4F57" w:rsidRPr="00597FBE" w:rsidRDefault="004B4F57" w:rsidP="00597FBE">
            <w:pPr>
              <w:rPr>
                <w:sz w:val="20"/>
                <w:szCs w:val="20"/>
              </w:rPr>
            </w:pPr>
            <w:r w:rsidRPr="00597FBE">
              <w:rPr>
                <w:sz w:val="20"/>
                <w:szCs w:val="20"/>
              </w:rPr>
              <w:t>Missing information</w:t>
            </w:r>
          </w:p>
        </w:tc>
        <w:tc>
          <w:tcPr>
            <w:tcW w:w="3884" w:type="dxa"/>
          </w:tcPr>
          <w:p w14:paraId="7A1D4472" w14:textId="77777777" w:rsidR="004B4F57" w:rsidRPr="00597FBE" w:rsidRDefault="004B4F57" w:rsidP="00597FBE">
            <w:pPr>
              <w:rPr>
                <w:sz w:val="20"/>
                <w:szCs w:val="20"/>
              </w:rPr>
            </w:pPr>
            <w:r w:rsidRPr="00597FBE">
              <w:rPr>
                <w:sz w:val="20"/>
                <w:szCs w:val="20"/>
              </w:rPr>
              <w:t>Use in patients with active ocular cancer</w:t>
            </w:r>
          </w:p>
        </w:tc>
        <w:tc>
          <w:tcPr>
            <w:tcW w:w="993" w:type="dxa"/>
          </w:tcPr>
          <w:p w14:paraId="4FD7C379" w14:textId="77777777" w:rsidR="004B4F57" w:rsidRPr="00597FBE" w:rsidRDefault="004B4F57" w:rsidP="00597FBE">
            <w:pPr>
              <w:rPr>
                <w:sz w:val="20"/>
                <w:szCs w:val="20"/>
              </w:rPr>
            </w:pPr>
            <w:r w:rsidRPr="00597FBE">
              <w:rPr>
                <w:sz w:val="20"/>
                <w:szCs w:val="20"/>
              </w:rPr>
              <w:sym w:font="Wingdings" w:char="F0FC"/>
            </w:r>
          </w:p>
        </w:tc>
        <w:tc>
          <w:tcPr>
            <w:tcW w:w="1134" w:type="dxa"/>
          </w:tcPr>
          <w:p w14:paraId="2372CEC1" w14:textId="77777777" w:rsidR="004B4F57" w:rsidRPr="00597FBE" w:rsidRDefault="004B4F57" w:rsidP="00597FBE">
            <w:pPr>
              <w:rPr>
                <w:sz w:val="20"/>
                <w:szCs w:val="20"/>
              </w:rPr>
            </w:pPr>
            <w:r w:rsidRPr="00597FBE">
              <w:rPr>
                <w:sz w:val="20"/>
                <w:szCs w:val="20"/>
              </w:rPr>
              <w:t>–</w:t>
            </w:r>
          </w:p>
        </w:tc>
        <w:tc>
          <w:tcPr>
            <w:tcW w:w="992" w:type="dxa"/>
          </w:tcPr>
          <w:p w14:paraId="067274C5" w14:textId="77777777" w:rsidR="004B4F57" w:rsidRPr="00597FBE" w:rsidRDefault="004B4F57" w:rsidP="00597FBE">
            <w:pPr>
              <w:rPr>
                <w:sz w:val="20"/>
                <w:szCs w:val="20"/>
              </w:rPr>
            </w:pPr>
            <w:r w:rsidRPr="00597FBE">
              <w:rPr>
                <w:sz w:val="20"/>
                <w:szCs w:val="20"/>
              </w:rPr>
              <w:sym w:font="Wingdings" w:char="F0FC"/>
            </w:r>
          </w:p>
        </w:tc>
        <w:tc>
          <w:tcPr>
            <w:tcW w:w="1139" w:type="dxa"/>
          </w:tcPr>
          <w:p w14:paraId="6FF654F3" w14:textId="77777777" w:rsidR="004B4F57" w:rsidRPr="00597FBE" w:rsidRDefault="004B4F57" w:rsidP="00597FBE">
            <w:pPr>
              <w:rPr>
                <w:sz w:val="20"/>
                <w:szCs w:val="20"/>
              </w:rPr>
            </w:pPr>
            <w:r w:rsidRPr="00597FBE">
              <w:rPr>
                <w:sz w:val="20"/>
                <w:szCs w:val="20"/>
              </w:rPr>
              <w:t>–</w:t>
            </w:r>
          </w:p>
        </w:tc>
      </w:tr>
      <w:tr w:rsidR="004B4F57" w:rsidRPr="00597FBE" w14:paraId="134AFE5D" w14:textId="77777777" w:rsidTr="00412706">
        <w:trPr>
          <w:trHeight w:val="103"/>
        </w:trPr>
        <w:tc>
          <w:tcPr>
            <w:tcW w:w="1327" w:type="dxa"/>
            <w:vMerge/>
          </w:tcPr>
          <w:p w14:paraId="3D750D78" w14:textId="77777777" w:rsidR="004B4F57" w:rsidRPr="00597FBE" w:rsidRDefault="004B4F57" w:rsidP="00597FBE">
            <w:pPr>
              <w:rPr>
                <w:sz w:val="20"/>
                <w:szCs w:val="20"/>
              </w:rPr>
            </w:pPr>
          </w:p>
        </w:tc>
        <w:tc>
          <w:tcPr>
            <w:tcW w:w="3884" w:type="dxa"/>
          </w:tcPr>
          <w:p w14:paraId="4E928EA8" w14:textId="77777777" w:rsidR="004B4F57" w:rsidRPr="00597FBE" w:rsidRDefault="004B4F57" w:rsidP="00597FBE">
            <w:pPr>
              <w:rPr>
                <w:sz w:val="20"/>
                <w:szCs w:val="20"/>
              </w:rPr>
            </w:pPr>
            <w:r w:rsidRPr="00597FBE">
              <w:rPr>
                <w:sz w:val="20"/>
                <w:szCs w:val="20"/>
              </w:rPr>
              <w:t>Use in patients with active eye infections</w:t>
            </w:r>
          </w:p>
        </w:tc>
        <w:tc>
          <w:tcPr>
            <w:tcW w:w="993" w:type="dxa"/>
          </w:tcPr>
          <w:p w14:paraId="6777A99B" w14:textId="77777777" w:rsidR="004B4F57" w:rsidRPr="00597FBE" w:rsidRDefault="004B4F57" w:rsidP="00597FBE">
            <w:pPr>
              <w:rPr>
                <w:sz w:val="20"/>
                <w:szCs w:val="20"/>
              </w:rPr>
            </w:pPr>
            <w:r w:rsidRPr="00597FBE">
              <w:rPr>
                <w:sz w:val="20"/>
                <w:szCs w:val="20"/>
              </w:rPr>
              <w:sym w:font="Wingdings" w:char="F0FC"/>
            </w:r>
          </w:p>
        </w:tc>
        <w:tc>
          <w:tcPr>
            <w:tcW w:w="1134" w:type="dxa"/>
          </w:tcPr>
          <w:p w14:paraId="74B292B2" w14:textId="77777777" w:rsidR="004B4F57" w:rsidRPr="00597FBE" w:rsidRDefault="004B4F57" w:rsidP="00597FBE">
            <w:pPr>
              <w:rPr>
                <w:sz w:val="20"/>
                <w:szCs w:val="20"/>
              </w:rPr>
            </w:pPr>
            <w:r w:rsidRPr="00597FBE">
              <w:rPr>
                <w:sz w:val="20"/>
                <w:szCs w:val="20"/>
              </w:rPr>
              <w:t>–</w:t>
            </w:r>
          </w:p>
        </w:tc>
        <w:tc>
          <w:tcPr>
            <w:tcW w:w="992" w:type="dxa"/>
          </w:tcPr>
          <w:p w14:paraId="01B2AC61" w14:textId="77777777" w:rsidR="004B4F57" w:rsidRPr="00597FBE" w:rsidRDefault="004B4F57" w:rsidP="00597FBE">
            <w:pPr>
              <w:rPr>
                <w:sz w:val="20"/>
                <w:szCs w:val="20"/>
              </w:rPr>
            </w:pPr>
            <w:r w:rsidRPr="00597FBE">
              <w:rPr>
                <w:sz w:val="20"/>
                <w:szCs w:val="20"/>
              </w:rPr>
              <w:sym w:font="Wingdings" w:char="F0FC"/>
            </w:r>
          </w:p>
        </w:tc>
        <w:tc>
          <w:tcPr>
            <w:tcW w:w="1139" w:type="dxa"/>
          </w:tcPr>
          <w:p w14:paraId="3E8BC680" w14:textId="77777777" w:rsidR="004B4F57" w:rsidRPr="00597FBE" w:rsidRDefault="004B4F57" w:rsidP="00597FBE">
            <w:pPr>
              <w:rPr>
                <w:sz w:val="20"/>
                <w:szCs w:val="20"/>
              </w:rPr>
            </w:pPr>
            <w:r w:rsidRPr="00597FBE">
              <w:rPr>
                <w:sz w:val="20"/>
                <w:szCs w:val="20"/>
              </w:rPr>
              <w:t>–</w:t>
            </w:r>
          </w:p>
        </w:tc>
      </w:tr>
      <w:tr w:rsidR="004B4F57" w:rsidRPr="00597FBE" w14:paraId="2BA39224" w14:textId="77777777" w:rsidTr="00412706">
        <w:trPr>
          <w:trHeight w:val="103"/>
        </w:trPr>
        <w:tc>
          <w:tcPr>
            <w:tcW w:w="1327" w:type="dxa"/>
            <w:vMerge/>
          </w:tcPr>
          <w:p w14:paraId="3F0CE271" w14:textId="77777777" w:rsidR="004B4F57" w:rsidRPr="00597FBE" w:rsidRDefault="004B4F57" w:rsidP="00597FBE">
            <w:pPr>
              <w:rPr>
                <w:sz w:val="20"/>
                <w:szCs w:val="20"/>
              </w:rPr>
            </w:pPr>
          </w:p>
        </w:tc>
        <w:tc>
          <w:tcPr>
            <w:tcW w:w="3884" w:type="dxa"/>
          </w:tcPr>
          <w:p w14:paraId="6C57ECC7" w14:textId="77777777" w:rsidR="004B4F57" w:rsidRPr="00597FBE" w:rsidRDefault="004B4F57" w:rsidP="00597FBE">
            <w:pPr>
              <w:rPr>
                <w:sz w:val="20"/>
                <w:szCs w:val="20"/>
              </w:rPr>
            </w:pPr>
            <w:r w:rsidRPr="00597FBE">
              <w:rPr>
                <w:sz w:val="20"/>
                <w:szCs w:val="20"/>
              </w:rPr>
              <w:t>Use in patients with corneal melting or impending perforation requiring immediate surgery</w:t>
            </w:r>
          </w:p>
        </w:tc>
        <w:tc>
          <w:tcPr>
            <w:tcW w:w="993" w:type="dxa"/>
          </w:tcPr>
          <w:p w14:paraId="0423856F" w14:textId="77777777" w:rsidR="004B4F57" w:rsidRPr="00597FBE" w:rsidRDefault="004B4F57" w:rsidP="00597FBE">
            <w:pPr>
              <w:rPr>
                <w:sz w:val="20"/>
                <w:szCs w:val="20"/>
              </w:rPr>
            </w:pPr>
            <w:r w:rsidRPr="00597FBE">
              <w:rPr>
                <w:sz w:val="20"/>
                <w:szCs w:val="20"/>
              </w:rPr>
              <w:sym w:font="Wingdings" w:char="F0FC"/>
            </w:r>
          </w:p>
        </w:tc>
        <w:tc>
          <w:tcPr>
            <w:tcW w:w="1134" w:type="dxa"/>
          </w:tcPr>
          <w:p w14:paraId="61C29F9B" w14:textId="77777777" w:rsidR="004B4F57" w:rsidRPr="00597FBE" w:rsidRDefault="004B4F57" w:rsidP="00597FBE">
            <w:pPr>
              <w:rPr>
                <w:sz w:val="20"/>
                <w:szCs w:val="20"/>
              </w:rPr>
            </w:pPr>
            <w:r w:rsidRPr="00597FBE">
              <w:rPr>
                <w:sz w:val="20"/>
                <w:szCs w:val="20"/>
              </w:rPr>
              <w:t>–</w:t>
            </w:r>
          </w:p>
        </w:tc>
        <w:tc>
          <w:tcPr>
            <w:tcW w:w="992" w:type="dxa"/>
          </w:tcPr>
          <w:p w14:paraId="0271E490" w14:textId="77777777" w:rsidR="004B4F57" w:rsidRPr="00597FBE" w:rsidRDefault="004B4F57" w:rsidP="00597FBE">
            <w:pPr>
              <w:rPr>
                <w:sz w:val="20"/>
                <w:szCs w:val="20"/>
              </w:rPr>
            </w:pPr>
            <w:r w:rsidRPr="00597FBE">
              <w:rPr>
                <w:sz w:val="20"/>
                <w:szCs w:val="20"/>
              </w:rPr>
              <w:sym w:font="Wingdings" w:char="F0FC"/>
            </w:r>
          </w:p>
        </w:tc>
        <w:tc>
          <w:tcPr>
            <w:tcW w:w="1139" w:type="dxa"/>
          </w:tcPr>
          <w:p w14:paraId="665A2753" w14:textId="77777777" w:rsidR="004B4F57" w:rsidRPr="00597FBE" w:rsidRDefault="004B4F57" w:rsidP="00597FBE">
            <w:pPr>
              <w:rPr>
                <w:sz w:val="20"/>
                <w:szCs w:val="20"/>
              </w:rPr>
            </w:pPr>
            <w:r w:rsidRPr="00597FBE">
              <w:rPr>
                <w:sz w:val="20"/>
                <w:szCs w:val="20"/>
              </w:rPr>
              <w:t>–</w:t>
            </w:r>
          </w:p>
        </w:tc>
      </w:tr>
      <w:tr w:rsidR="004B4F57" w:rsidRPr="00597FBE" w14:paraId="2370A483" w14:textId="77777777" w:rsidTr="00412706">
        <w:trPr>
          <w:trHeight w:val="103"/>
        </w:trPr>
        <w:tc>
          <w:tcPr>
            <w:tcW w:w="1327" w:type="dxa"/>
            <w:vMerge/>
          </w:tcPr>
          <w:p w14:paraId="3D2A4AA4" w14:textId="77777777" w:rsidR="004B4F57" w:rsidRPr="00597FBE" w:rsidRDefault="004B4F57" w:rsidP="00597FBE">
            <w:pPr>
              <w:rPr>
                <w:sz w:val="20"/>
                <w:szCs w:val="20"/>
              </w:rPr>
            </w:pPr>
          </w:p>
        </w:tc>
        <w:tc>
          <w:tcPr>
            <w:tcW w:w="3884" w:type="dxa"/>
          </w:tcPr>
          <w:p w14:paraId="1A7E4E12" w14:textId="77777777" w:rsidR="004B4F57" w:rsidRPr="00597FBE" w:rsidRDefault="004B4F57" w:rsidP="00597FBE">
            <w:pPr>
              <w:rPr>
                <w:sz w:val="20"/>
                <w:szCs w:val="20"/>
              </w:rPr>
            </w:pPr>
            <w:r w:rsidRPr="00597FBE">
              <w:rPr>
                <w:sz w:val="20"/>
                <w:szCs w:val="20"/>
              </w:rPr>
              <w:t xml:space="preserve">Concomitant use with topical ophthalmic products that impair the healing process including corticosteroids and eye drops containing preservatives such as </w:t>
            </w:r>
            <w:proofErr w:type="spellStart"/>
            <w:r w:rsidRPr="00597FBE">
              <w:rPr>
                <w:sz w:val="20"/>
                <w:szCs w:val="20"/>
              </w:rPr>
              <w:t>benzalkonium</w:t>
            </w:r>
            <w:proofErr w:type="spellEnd"/>
            <w:r w:rsidRPr="00597FBE">
              <w:rPr>
                <w:sz w:val="20"/>
                <w:szCs w:val="20"/>
              </w:rPr>
              <w:t xml:space="preserve"> chloride polyquaternium-1, </w:t>
            </w:r>
            <w:proofErr w:type="spellStart"/>
            <w:r w:rsidRPr="00597FBE">
              <w:rPr>
                <w:sz w:val="20"/>
                <w:szCs w:val="20"/>
              </w:rPr>
              <w:t>benzododecinium</w:t>
            </w:r>
            <w:proofErr w:type="spellEnd"/>
            <w:r w:rsidRPr="00597FBE">
              <w:rPr>
                <w:sz w:val="20"/>
                <w:szCs w:val="20"/>
              </w:rPr>
              <w:t xml:space="preserve"> bromide, </w:t>
            </w:r>
            <w:proofErr w:type="spellStart"/>
            <w:r w:rsidRPr="00597FBE">
              <w:rPr>
                <w:sz w:val="20"/>
                <w:szCs w:val="20"/>
              </w:rPr>
              <w:t>cetrimide</w:t>
            </w:r>
            <w:proofErr w:type="spellEnd"/>
            <w:r w:rsidRPr="00597FBE">
              <w:rPr>
                <w:sz w:val="20"/>
                <w:szCs w:val="20"/>
              </w:rPr>
              <w:t xml:space="preserve"> and other quaternary ammonium derivatives</w:t>
            </w:r>
          </w:p>
        </w:tc>
        <w:tc>
          <w:tcPr>
            <w:tcW w:w="993" w:type="dxa"/>
          </w:tcPr>
          <w:p w14:paraId="7A85CFDE" w14:textId="77777777" w:rsidR="004B4F57" w:rsidRPr="00597FBE" w:rsidRDefault="004B4F57" w:rsidP="00597FBE">
            <w:pPr>
              <w:rPr>
                <w:sz w:val="20"/>
                <w:szCs w:val="20"/>
              </w:rPr>
            </w:pPr>
            <w:r w:rsidRPr="00597FBE">
              <w:rPr>
                <w:sz w:val="20"/>
                <w:szCs w:val="20"/>
              </w:rPr>
              <w:sym w:font="Wingdings" w:char="F0FC"/>
            </w:r>
          </w:p>
        </w:tc>
        <w:tc>
          <w:tcPr>
            <w:tcW w:w="1134" w:type="dxa"/>
          </w:tcPr>
          <w:p w14:paraId="7A8474DA" w14:textId="77777777" w:rsidR="004B4F57" w:rsidRPr="00597FBE" w:rsidRDefault="004B4F57" w:rsidP="00597FBE">
            <w:pPr>
              <w:rPr>
                <w:sz w:val="20"/>
                <w:szCs w:val="20"/>
              </w:rPr>
            </w:pPr>
            <w:r w:rsidRPr="00597FBE">
              <w:rPr>
                <w:sz w:val="20"/>
                <w:szCs w:val="20"/>
              </w:rPr>
              <w:t>–</w:t>
            </w:r>
          </w:p>
        </w:tc>
        <w:tc>
          <w:tcPr>
            <w:tcW w:w="992" w:type="dxa"/>
          </w:tcPr>
          <w:p w14:paraId="4683BD1D" w14:textId="77777777" w:rsidR="004B4F57" w:rsidRPr="00597FBE" w:rsidRDefault="004B4F57" w:rsidP="00597FBE">
            <w:pPr>
              <w:rPr>
                <w:sz w:val="20"/>
                <w:szCs w:val="20"/>
              </w:rPr>
            </w:pPr>
            <w:r w:rsidRPr="00597FBE">
              <w:rPr>
                <w:sz w:val="20"/>
                <w:szCs w:val="20"/>
              </w:rPr>
              <w:sym w:font="Wingdings" w:char="F0FC"/>
            </w:r>
          </w:p>
        </w:tc>
        <w:tc>
          <w:tcPr>
            <w:tcW w:w="1139" w:type="dxa"/>
          </w:tcPr>
          <w:p w14:paraId="46FAED5B" w14:textId="77777777" w:rsidR="004B4F57" w:rsidRPr="00597FBE" w:rsidRDefault="004B4F57" w:rsidP="00597FBE">
            <w:pPr>
              <w:rPr>
                <w:sz w:val="20"/>
                <w:szCs w:val="20"/>
              </w:rPr>
            </w:pPr>
            <w:r w:rsidRPr="00597FBE">
              <w:rPr>
                <w:sz w:val="20"/>
                <w:szCs w:val="20"/>
              </w:rPr>
              <w:t>–</w:t>
            </w:r>
          </w:p>
        </w:tc>
      </w:tr>
      <w:tr w:rsidR="004B4F57" w:rsidRPr="00597FBE" w14:paraId="765F2B46" w14:textId="77777777" w:rsidTr="00412706">
        <w:trPr>
          <w:trHeight w:val="103"/>
        </w:trPr>
        <w:tc>
          <w:tcPr>
            <w:tcW w:w="1327" w:type="dxa"/>
            <w:vMerge/>
          </w:tcPr>
          <w:p w14:paraId="3363F102" w14:textId="77777777" w:rsidR="004B4F57" w:rsidRPr="00597FBE" w:rsidRDefault="004B4F57" w:rsidP="00597FBE">
            <w:pPr>
              <w:rPr>
                <w:sz w:val="20"/>
                <w:szCs w:val="20"/>
              </w:rPr>
            </w:pPr>
          </w:p>
        </w:tc>
        <w:tc>
          <w:tcPr>
            <w:tcW w:w="3884" w:type="dxa"/>
          </w:tcPr>
          <w:p w14:paraId="1C21B524" w14:textId="77777777" w:rsidR="004B4F57" w:rsidRPr="00597FBE" w:rsidRDefault="004B4F57" w:rsidP="00597FBE">
            <w:pPr>
              <w:rPr>
                <w:sz w:val="20"/>
                <w:szCs w:val="20"/>
              </w:rPr>
            </w:pPr>
            <w:r w:rsidRPr="00597FBE">
              <w:rPr>
                <w:sz w:val="20"/>
                <w:szCs w:val="20"/>
              </w:rPr>
              <w:t>Off-label use</w:t>
            </w:r>
          </w:p>
        </w:tc>
        <w:tc>
          <w:tcPr>
            <w:tcW w:w="993" w:type="dxa"/>
          </w:tcPr>
          <w:p w14:paraId="542EF0A2" w14:textId="77777777" w:rsidR="004B4F57" w:rsidRPr="00597FBE" w:rsidRDefault="004B4F57" w:rsidP="00597FBE">
            <w:pPr>
              <w:rPr>
                <w:sz w:val="20"/>
                <w:szCs w:val="20"/>
              </w:rPr>
            </w:pPr>
            <w:r w:rsidRPr="00597FBE">
              <w:rPr>
                <w:sz w:val="20"/>
                <w:szCs w:val="20"/>
              </w:rPr>
              <w:sym w:font="Wingdings" w:char="F0FC"/>
            </w:r>
          </w:p>
        </w:tc>
        <w:tc>
          <w:tcPr>
            <w:tcW w:w="1134" w:type="dxa"/>
          </w:tcPr>
          <w:p w14:paraId="27D2466D" w14:textId="77777777" w:rsidR="004B4F57" w:rsidRPr="00597FBE" w:rsidRDefault="004B4F57" w:rsidP="00597FBE">
            <w:pPr>
              <w:rPr>
                <w:sz w:val="20"/>
                <w:szCs w:val="20"/>
              </w:rPr>
            </w:pPr>
            <w:r w:rsidRPr="00597FBE">
              <w:rPr>
                <w:sz w:val="20"/>
                <w:szCs w:val="20"/>
              </w:rPr>
              <w:t>–</w:t>
            </w:r>
          </w:p>
        </w:tc>
        <w:tc>
          <w:tcPr>
            <w:tcW w:w="992" w:type="dxa"/>
          </w:tcPr>
          <w:p w14:paraId="48E499B1" w14:textId="77777777" w:rsidR="004B4F57" w:rsidRPr="00597FBE" w:rsidRDefault="004B4F57" w:rsidP="00597FBE">
            <w:pPr>
              <w:rPr>
                <w:sz w:val="20"/>
                <w:szCs w:val="20"/>
              </w:rPr>
            </w:pPr>
            <w:r w:rsidRPr="00597FBE">
              <w:rPr>
                <w:sz w:val="20"/>
                <w:szCs w:val="20"/>
              </w:rPr>
              <w:sym w:font="Wingdings" w:char="F0FC"/>
            </w:r>
          </w:p>
        </w:tc>
        <w:tc>
          <w:tcPr>
            <w:tcW w:w="1139" w:type="dxa"/>
          </w:tcPr>
          <w:p w14:paraId="04E8E9D4" w14:textId="77777777" w:rsidR="004B4F57" w:rsidRPr="00597FBE" w:rsidRDefault="004B4F57" w:rsidP="00597FBE">
            <w:pPr>
              <w:rPr>
                <w:sz w:val="20"/>
                <w:szCs w:val="20"/>
              </w:rPr>
            </w:pPr>
            <w:r w:rsidRPr="00597FBE">
              <w:rPr>
                <w:sz w:val="20"/>
                <w:szCs w:val="20"/>
              </w:rPr>
              <w:t>–</w:t>
            </w:r>
          </w:p>
        </w:tc>
      </w:tr>
      <w:tr w:rsidR="004B4F57" w:rsidRPr="00597FBE" w14:paraId="5AE84A68" w14:textId="77777777" w:rsidTr="00412706">
        <w:trPr>
          <w:trHeight w:val="140"/>
        </w:trPr>
        <w:tc>
          <w:tcPr>
            <w:tcW w:w="1327" w:type="dxa"/>
            <w:vMerge/>
          </w:tcPr>
          <w:p w14:paraId="3C0C24A6" w14:textId="77777777" w:rsidR="004B4F57" w:rsidRPr="00597FBE" w:rsidRDefault="004B4F57" w:rsidP="00597FBE">
            <w:pPr>
              <w:rPr>
                <w:sz w:val="20"/>
                <w:szCs w:val="20"/>
              </w:rPr>
            </w:pPr>
          </w:p>
        </w:tc>
        <w:tc>
          <w:tcPr>
            <w:tcW w:w="3884" w:type="dxa"/>
          </w:tcPr>
          <w:p w14:paraId="38E6D6D6" w14:textId="77777777" w:rsidR="004B4F57" w:rsidRPr="00597FBE" w:rsidRDefault="004B4F57" w:rsidP="00597FBE">
            <w:pPr>
              <w:rPr>
                <w:sz w:val="20"/>
                <w:szCs w:val="20"/>
              </w:rPr>
            </w:pPr>
            <w:r w:rsidRPr="00597FBE">
              <w:rPr>
                <w:sz w:val="20"/>
                <w:szCs w:val="20"/>
              </w:rPr>
              <w:t>Use with contact lenses</w:t>
            </w:r>
          </w:p>
        </w:tc>
        <w:tc>
          <w:tcPr>
            <w:tcW w:w="993" w:type="dxa"/>
          </w:tcPr>
          <w:p w14:paraId="0ACCA41D" w14:textId="77777777" w:rsidR="004B4F57" w:rsidRPr="00597FBE" w:rsidRDefault="004B4F57" w:rsidP="00597FBE">
            <w:pPr>
              <w:rPr>
                <w:sz w:val="20"/>
                <w:szCs w:val="20"/>
              </w:rPr>
            </w:pPr>
            <w:r w:rsidRPr="00597FBE">
              <w:rPr>
                <w:sz w:val="20"/>
                <w:szCs w:val="20"/>
              </w:rPr>
              <w:sym w:font="Wingdings" w:char="F0FC"/>
            </w:r>
          </w:p>
        </w:tc>
        <w:tc>
          <w:tcPr>
            <w:tcW w:w="1134" w:type="dxa"/>
          </w:tcPr>
          <w:p w14:paraId="67C0B43D" w14:textId="77777777" w:rsidR="004B4F57" w:rsidRPr="00597FBE" w:rsidRDefault="004B4F57" w:rsidP="00597FBE">
            <w:pPr>
              <w:rPr>
                <w:sz w:val="20"/>
                <w:szCs w:val="20"/>
              </w:rPr>
            </w:pPr>
            <w:r w:rsidRPr="00597FBE">
              <w:rPr>
                <w:sz w:val="20"/>
                <w:szCs w:val="20"/>
              </w:rPr>
              <w:t>–</w:t>
            </w:r>
          </w:p>
        </w:tc>
        <w:tc>
          <w:tcPr>
            <w:tcW w:w="992" w:type="dxa"/>
          </w:tcPr>
          <w:p w14:paraId="66CF81D7" w14:textId="77777777" w:rsidR="004B4F57" w:rsidRPr="00597FBE" w:rsidRDefault="004B4F57" w:rsidP="00597FBE">
            <w:pPr>
              <w:rPr>
                <w:sz w:val="20"/>
                <w:szCs w:val="20"/>
              </w:rPr>
            </w:pPr>
            <w:r w:rsidRPr="00597FBE">
              <w:rPr>
                <w:sz w:val="20"/>
                <w:szCs w:val="20"/>
              </w:rPr>
              <w:sym w:font="Wingdings" w:char="F0FC"/>
            </w:r>
          </w:p>
        </w:tc>
        <w:tc>
          <w:tcPr>
            <w:tcW w:w="1139" w:type="dxa"/>
          </w:tcPr>
          <w:p w14:paraId="41B514B5" w14:textId="77777777" w:rsidR="004B4F57" w:rsidRPr="00597FBE" w:rsidRDefault="004B4F57" w:rsidP="00597FBE">
            <w:pPr>
              <w:rPr>
                <w:sz w:val="20"/>
                <w:szCs w:val="20"/>
              </w:rPr>
            </w:pPr>
            <w:r w:rsidRPr="00597FBE">
              <w:rPr>
                <w:sz w:val="20"/>
                <w:szCs w:val="20"/>
              </w:rPr>
              <w:t>–</w:t>
            </w:r>
          </w:p>
        </w:tc>
      </w:tr>
      <w:tr w:rsidR="004B4F57" w:rsidRPr="00597FBE" w14:paraId="417A8499" w14:textId="77777777" w:rsidTr="00412706">
        <w:trPr>
          <w:trHeight w:val="140"/>
        </w:trPr>
        <w:tc>
          <w:tcPr>
            <w:tcW w:w="1327" w:type="dxa"/>
            <w:vMerge/>
          </w:tcPr>
          <w:p w14:paraId="1C7B4BC7" w14:textId="77777777" w:rsidR="004B4F57" w:rsidRPr="00597FBE" w:rsidRDefault="004B4F57" w:rsidP="00597FBE">
            <w:pPr>
              <w:rPr>
                <w:sz w:val="20"/>
                <w:szCs w:val="20"/>
              </w:rPr>
            </w:pPr>
          </w:p>
        </w:tc>
        <w:tc>
          <w:tcPr>
            <w:tcW w:w="3884" w:type="dxa"/>
          </w:tcPr>
          <w:p w14:paraId="4116DC85" w14:textId="77777777" w:rsidR="004B4F57" w:rsidRPr="00597FBE" w:rsidRDefault="004B4F57" w:rsidP="00597FBE">
            <w:pPr>
              <w:rPr>
                <w:sz w:val="20"/>
                <w:szCs w:val="20"/>
              </w:rPr>
            </w:pPr>
            <w:r w:rsidRPr="00597FBE">
              <w:rPr>
                <w:sz w:val="20"/>
                <w:szCs w:val="20"/>
              </w:rPr>
              <w:t>Use in pregnancy</w:t>
            </w:r>
          </w:p>
        </w:tc>
        <w:tc>
          <w:tcPr>
            <w:tcW w:w="993" w:type="dxa"/>
          </w:tcPr>
          <w:p w14:paraId="2516C23E" w14:textId="77777777" w:rsidR="004B4F57" w:rsidRPr="00597FBE" w:rsidRDefault="004B4F57" w:rsidP="00597FBE">
            <w:pPr>
              <w:rPr>
                <w:sz w:val="20"/>
                <w:szCs w:val="20"/>
              </w:rPr>
            </w:pPr>
            <w:r w:rsidRPr="00597FBE">
              <w:rPr>
                <w:sz w:val="20"/>
                <w:szCs w:val="20"/>
              </w:rPr>
              <w:sym w:font="Wingdings" w:char="F0FC"/>
            </w:r>
          </w:p>
        </w:tc>
        <w:tc>
          <w:tcPr>
            <w:tcW w:w="1134" w:type="dxa"/>
          </w:tcPr>
          <w:p w14:paraId="75269BE3" w14:textId="77777777" w:rsidR="004B4F57" w:rsidRPr="00597FBE" w:rsidRDefault="004B4F57" w:rsidP="00597FBE">
            <w:pPr>
              <w:rPr>
                <w:sz w:val="20"/>
                <w:szCs w:val="20"/>
              </w:rPr>
            </w:pPr>
            <w:r w:rsidRPr="00597FBE">
              <w:rPr>
                <w:sz w:val="20"/>
                <w:szCs w:val="20"/>
              </w:rPr>
              <w:t>–</w:t>
            </w:r>
          </w:p>
        </w:tc>
        <w:tc>
          <w:tcPr>
            <w:tcW w:w="992" w:type="dxa"/>
          </w:tcPr>
          <w:p w14:paraId="65374BB9" w14:textId="77777777" w:rsidR="004B4F57" w:rsidRPr="00597FBE" w:rsidRDefault="004B4F57" w:rsidP="00597FBE">
            <w:pPr>
              <w:rPr>
                <w:sz w:val="20"/>
                <w:szCs w:val="20"/>
              </w:rPr>
            </w:pPr>
            <w:r w:rsidRPr="00597FBE">
              <w:rPr>
                <w:sz w:val="20"/>
                <w:szCs w:val="20"/>
              </w:rPr>
              <w:sym w:font="Wingdings" w:char="F0FC"/>
            </w:r>
          </w:p>
        </w:tc>
        <w:tc>
          <w:tcPr>
            <w:tcW w:w="1139" w:type="dxa"/>
          </w:tcPr>
          <w:p w14:paraId="1560E694" w14:textId="77777777" w:rsidR="004B4F57" w:rsidRPr="00597FBE" w:rsidRDefault="004B4F57" w:rsidP="00597FBE">
            <w:pPr>
              <w:rPr>
                <w:sz w:val="20"/>
                <w:szCs w:val="20"/>
              </w:rPr>
            </w:pPr>
            <w:r w:rsidRPr="00597FBE">
              <w:rPr>
                <w:sz w:val="20"/>
                <w:szCs w:val="20"/>
              </w:rPr>
              <w:t>–</w:t>
            </w:r>
          </w:p>
        </w:tc>
      </w:tr>
    </w:tbl>
    <w:p w14:paraId="143DAA57" w14:textId="7D3CC3B4" w:rsidR="004B4F57" w:rsidRPr="00412706" w:rsidRDefault="004B4F57" w:rsidP="00412706">
      <w:pPr>
        <w:pStyle w:val="TableDescription"/>
      </w:pPr>
      <w:r w:rsidRPr="00412706">
        <w:t>* The sponsor has included a weekly dose recording card as an aide to correct dosing. † Specific adverse drug</w:t>
      </w:r>
      <w:r w:rsidR="00412706">
        <w:t xml:space="preserve"> reaction follow </w:t>
      </w:r>
      <w:r w:rsidRPr="00412706">
        <w:t>up form</w:t>
      </w:r>
    </w:p>
    <w:p w14:paraId="1CBC8D65" w14:textId="77777777" w:rsidR="004B4F57" w:rsidRDefault="004B4F57" w:rsidP="00412706">
      <w:pPr>
        <w:pStyle w:val="ListBullet"/>
      </w:pPr>
      <w:r>
        <w:t>The sponsor has proposed routine pharmacovigilance and no additional pharmacovigilance activities. This is acceptable in the context of global pharmacovigilance for this product.</w:t>
      </w:r>
    </w:p>
    <w:p w14:paraId="0889219A" w14:textId="551907D3" w:rsidR="004B4F57" w:rsidRDefault="004B4F57" w:rsidP="00412706">
      <w:pPr>
        <w:pStyle w:val="ListBullet"/>
      </w:pPr>
      <w:r>
        <w:t xml:space="preserve">The sponsor has proposed routine risk minimisation for all safety concerns. During evaluation the sponsor agreed to made changes to the </w:t>
      </w:r>
      <w:r w:rsidR="00412706">
        <w:t>Consumer Medicines Information (</w:t>
      </w:r>
      <w:r>
        <w:t>CMI</w:t>
      </w:r>
      <w:r w:rsidR="00412706">
        <w:t>)</w:t>
      </w:r>
      <w:r>
        <w:t xml:space="preserve"> for clarity and to include the CMI in the product package. The risk minimisation activities are acceptable.</w:t>
      </w:r>
    </w:p>
    <w:p w14:paraId="0FDAD67B" w14:textId="77777777" w:rsidR="008E7846" w:rsidRDefault="00AA0ED0" w:rsidP="008E7846">
      <w:pPr>
        <w:pStyle w:val="Heading3"/>
      </w:pPr>
      <w:bookmarkStart w:id="51" w:name="_Toc247691531"/>
      <w:bookmarkStart w:id="52" w:name="_Toc314842515"/>
      <w:bookmarkStart w:id="53" w:name="_Toc196046505"/>
      <w:bookmarkStart w:id="54" w:name="_Toc196046949"/>
      <w:bookmarkStart w:id="55" w:name="_Toc27992639"/>
      <w:r>
        <w:lastRenderedPageBreak/>
        <w:t>Risk-benefit a</w:t>
      </w:r>
      <w:r w:rsidR="008E7846">
        <w:t>nalysis</w:t>
      </w:r>
      <w:bookmarkEnd w:id="51"/>
      <w:bookmarkEnd w:id="52"/>
      <w:bookmarkEnd w:id="55"/>
    </w:p>
    <w:p w14:paraId="5962F5BD" w14:textId="13B7741B" w:rsidR="00D23139" w:rsidRDefault="00586D41" w:rsidP="00D23139">
      <w:pPr>
        <w:pStyle w:val="Heading4"/>
      </w:pPr>
      <w:r>
        <w:t>Delegate’s considerations</w:t>
      </w:r>
    </w:p>
    <w:p w14:paraId="447A3152" w14:textId="77777777" w:rsidR="004B4F57" w:rsidRDefault="004B4F57" w:rsidP="004B4F57">
      <w:pPr>
        <w:pStyle w:val="Heading5"/>
      </w:pPr>
      <w:r>
        <w:t>Discussion</w:t>
      </w:r>
    </w:p>
    <w:p w14:paraId="1EC2F294" w14:textId="7ACF48B0" w:rsidR="004B4F57" w:rsidRDefault="00412706" w:rsidP="00412706">
      <w:r>
        <w:t>NK</w:t>
      </w:r>
      <w:r w:rsidR="004B4F57">
        <w:t xml:space="preserve"> is a </w:t>
      </w:r>
      <w:r w:rsidR="004B4F57" w:rsidRPr="00D8706B">
        <w:t xml:space="preserve">rare disease </w:t>
      </w:r>
      <w:r w:rsidR="004B4F57">
        <w:t>with significant morbidity in some cases.</w:t>
      </w:r>
    </w:p>
    <w:p w14:paraId="48D01971" w14:textId="1584D662" w:rsidR="004B4F57" w:rsidRDefault="004B4F57" w:rsidP="00412706">
      <w:r>
        <w:t>The contents of the dossier reflected the topical nature of the product and rarity of the disease. Statistically significant and clinically important improvements in the healing of corneal defects were noted in the pivotal clinical studies. However, there was limited evidence of improvements in visual acuity or corneal sensitivity. Long term follow up for up to 48 weeks suggested that most eyes remained healed. Patients with contact lenses and corneal perforation were excluded from the study.</w:t>
      </w:r>
    </w:p>
    <w:p w14:paraId="726CDC04" w14:textId="77777777" w:rsidR="004B4F57" w:rsidRPr="00F74799" w:rsidRDefault="004B4F57" w:rsidP="00412706">
      <w:r>
        <w:t xml:space="preserve">The period of treatment in the pivotal studies was 8 weeks. The number of eyes that healed increased from 4 to 8 weeks. Published studies using </w:t>
      </w:r>
      <w:proofErr w:type="spellStart"/>
      <w:r>
        <w:t>mNGF</w:t>
      </w:r>
      <w:proofErr w:type="spellEnd"/>
      <w:r>
        <w:t xml:space="preserve"> have used eye drops until complete corneal healing. Thus optimal duration of therapy may be longer than that proposed.</w:t>
      </w:r>
    </w:p>
    <w:p w14:paraId="554168BB" w14:textId="6C60B93C" w:rsidR="004B4F57" w:rsidRDefault="004B4F57" w:rsidP="00412706">
      <w:r>
        <w:t xml:space="preserve">Most </w:t>
      </w:r>
      <w:r w:rsidR="0028551A">
        <w:t>AE</w:t>
      </w:r>
      <w:r w:rsidR="005F2AAA">
        <w:t>s</w:t>
      </w:r>
      <w:r w:rsidRPr="00D8706B">
        <w:t xml:space="preserve"> </w:t>
      </w:r>
      <w:r>
        <w:t xml:space="preserve">were </w:t>
      </w:r>
      <w:r w:rsidRPr="00D8706B">
        <w:t xml:space="preserve">mild. </w:t>
      </w:r>
      <w:r>
        <w:t>Oxervate does cause irritation and pain.</w:t>
      </w:r>
    </w:p>
    <w:p w14:paraId="495BC1B3" w14:textId="77777777" w:rsidR="004B4F57" w:rsidRPr="004B4F57" w:rsidRDefault="004B4F57" w:rsidP="00412706">
      <w:r>
        <w:t>In the clinical study using the formulation containing anti-oxidant methionine, there was less improvement in the control arm and a greater number of adverse events. The sponsor has attributed this to a different study population. It is difficult to draw conclusions from one study. However, whether methionine has an impact on the efficacy and safety of the formulation is uncertain.</w:t>
      </w:r>
    </w:p>
    <w:p w14:paraId="6022BBDA" w14:textId="77777777" w:rsidR="004B4F57" w:rsidRPr="00E4655D" w:rsidRDefault="004B4F57" w:rsidP="004B4F57">
      <w:pPr>
        <w:pStyle w:val="Heading6"/>
      </w:pPr>
      <w:r>
        <w:t>Overall impression</w:t>
      </w:r>
    </w:p>
    <w:p w14:paraId="6560989F" w14:textId="32041C7B" w:rsidR="004B4F57" w:rsidRDefault="00A27D3C" w:rsidP="00412706">
      <w:r>
        <w:t>The Delegate was of</w:t>
      </w:r>
      <w:r w:rsidR="004B4F57">
        <w:t xml:space="preserve"> the opinion that this treatment offers a significant benefit to a group of patients who risk poor visual outcomes from their condition. The AE profile is acceptable.</w:t>
      </w:r>
    </w:p>
    <w:p w14:paraId="3F361CF0" w14:textId="2F346019" w:rsidR="004B4F57" w:rsidRDefault="00A27D3C" w:rsidP="00412706">
      <w:r>
        <w:t>However, the Delegate</w:t>
      </w:r>
      <w:r w:rsidR="00F44532">
        <w:t xml:space="preserve"> had</w:t>
      </w:r>
      <w:r w:rsidR="004B4F57">
        <w:t xml:space="preserve"> some questions to the sponsor in relation to educational materials around the storage and administration.</w:t>
      </w:r>
      <w:r>
        <w:rPr>
          <w:rStyle w:val="FootnoteReference"/>
        </w:rPr>
        <w:footnoteReference w:id="6"/>
      </w:r>
      <w:r w:rsidR="004B4F57">
        <w:t xml:space="preserve"> Further studies into longer period of treatment, and long term efficacy and safety would be recommended.</w:t>
      </w:r>
    </w:p>
    <w:p w14:paraId="336AC20B" w14:textId="429D57AB" w:rsidR="004B4F57" w:rsidRPr="00412706" w:rsidRDefault="00A27D3C" w:rsidP="00412706">
      <w:r>
        <w:t>The Delegate</w:t>
      </w:r>
      <w:r w:rsidR="004B4F57">
        <w:t xml:space="preserve"> note</w:t>
      </w:r>
      <w:r>
        <w:t>s that</w:t>
      </w:r>
      <w:r w:rsidR="004B4F57">
        <w:t xml:space="preserve"> there are routine risk mitigation and pharmacovigilance activities</w:t>
      </w:r>
      <w:r>
        <w:t>.</w:t>
      </w:r>
    </w:p>
    <w:p w14:paraId="4748E64F" w14:textId="77777777" w:rsidR="00456765" w:rsidRDefault="004B4F57" w:rsidP="004B4F57">
      <w:pPr>
        <w:pStyle w:val="Heading5"/>
      </w:pPr>
      <w:r>
        <w:t>Summary of issues</w:t>
      </w:r>
    </w:p>
    <w:p w14:paraId="52B84B33" w14:textId="4198A45C" w:rsidR="004B4F57" w:rsidRDefault="004B4F57" w:rsidP="006D5317">
      <w:pPr>
        <w:pStyle w:val="ListBullet"/>
      </w:pPr>
      <w:r>
        <w:t xml:space="preserve">This indication was given </w:t>
      </w:r>
      <w:r w:rsidR="005F2AAA">
        <w:t xml:space="preserve">Orphan Drug </w:t>
      </w:r>
      <w:r>
        <w:t>designation.</w:t>
      </w:r>
    </w:p>
    <w:p w14:paraId="0329CFF4" w14:textId="77777777" w:rsidR="004B4F57" w:rsidRDefault="004B4F57" w:rsidP="006D5317">
      <w:pPr>
        <w:pStyle w:val="ListBullet"/>
      </w:pPr>
      <w:r>
        <w:t>The submission was accepted as a priority review.</w:t>
      </w:r>
    </w:p>
    <w:p w14:paraId="761B70BF" w14:textId="7D8CF2FD" w:rsidR="004B4F57" w:rsidRDefault="004B4F57" w:rsidP="006D5317">
      <w:pPr>
        <w:pStyle w:val="ListBullet"/>
      </w:pPr>
      <w:r>
        <w:t xml:space="preserve">This medicine is a new biological eye drop solution containing </w:t>
      </w:r>
      <w:proofErr w:type="spellStart"/>
      <w:r w:rsidR="00F44532">
        <w:t>rhNGF</w:t>
      </w:r>
      <w:proofErr w:type="spellEnd"/>
      <w:r w:rsidR="00F44532">
        <w:t>.</w:t>
      </w:r>
    </w:p>
    <w:p w14:paraId="15C13691" w14:textId="4B851D4B" w:rsidR="004B4F57" w:rsidRDefault="004B4F57" w:rsidP="006D5317">
      <w:pPr>
        <w:pStyle w:val="ListBullet"/>
      </w:pPr>
      <w:r>
        <w:t>There were 2 pivotal studies evaluating an 8 week course of treatment. Both studies showed statistically and clinically significant in healing in corneal defects. However, the impa</w:t>
      </w:r>
      <w:r w:rsidR="00F44532">
        <w:t>ct on visual acuity was limited;</w:t>
      </w:r>
      <w:r>
        <w:t xml:space="preserve"> less than 60% of those who heale</w:t>
      </w:r>
      <w:r w:rsidR="00F44532">
        <w:t>d had improved visual outcomes.</w:t>
      </w:r>
    </w:p>
    <w:p w14:paraId="305727BA" w14:textId="4D7B10CB" w:rsidR="004B4F57" w:rsidRDefault="004B4F57" w:rsidP="006D5317">
      <w:pPr>
        <w:pStyle w:val="ListBullet"/>
      </w:pPr>
      <w:r>
        <w:t xml:space="preserve">There is limited </w:t>
      </w:r>
      <w:r w:rsidR="00586D41">
        <w:t>long-term</w:t>
      </w:r>
      <w:r>
        <w:t xml:space="preserve"> efficacy data.</w:t>
      </w:r>
    </w:p>
    <w:p w14:paraId="1A9BD640" w14:textId="6F8A1370" w:rsidR="004B4F57" w:rsidRPr="00456765" w:rsidRDefault="004B4F57" w:rsidP="006D5317">
      <w:pPr>
        <w:pStyle w:val="ListBullet"/>
      </w:pPr>
      <w:r>
        <w:t xml:space="preserve">There is limited </w:t>
      </w:r>
      <w:r w:rsidR="00586D41">
        <w:t>long-term</w:t>
      </w:r>
      <w:r>
        <w:t xml:space="preserve"> safety data.</w:t>
      </w:r>
    </w:p>
    <w:p w14:paraId="67771A42" w14:textId="77777777" w:rsidR="00D23139" w:rsidRDefault="00D23139" w:rsidP="00D23139">
      <w:pPr>
        <w:pStyle w:val="Heading4"/>
      </w:pPr>
      <w:r w:rsidRPr="00D23139">
        <w:t>Proposed action</w:t>
      </w:r>
    </w:p>
    <w:p w14:paraId="5F373AFA" w14:textId="77777777" w:rsidR="00456765" w:rsidRPr="00456765" w:rsidRDefault="004B4F57" w:rsidP="00A27D3C">
      <w:r>
        <w:t>The Delegate has</w:t>
      </w:r>
      <w:r w:rsidRPr="004B4F57">
        <w:t xml:space="preserve"> no reason to say, at this time, that the application for Oxervate should not be approved for registration.</w:t>
      </w:r>
    </w:p>
    <w:p w14:paraId="64DE8353" w14:textId="77777777" w:rsidR="00D23139" w:rsidRDefault="00A22D57" w:rsidP="00D23139">
      <w:pPr>
        <w:pStyle w:val="Heading4"/>
      </w:pPr>
      <w:r>
        <w:lastRenderedPageBreak/>
        <w:t>Request for AC</w:t>
      </w:r>
      <w:r w:rsidR="00D23139" w:rsidRPr="00D23139">
        <w:t>M advice</w:t>
      </w:r>
    </w:p>
    <w:p w14:paraId="476106AE" w14:textId="77777777" w:rsidR="004B4F57" w:rsidRDefault="004B4F57" w:rsidP="00F44532">
      <w:pPr>
        <w:pStyle w:val="Numberbullet0"/>
      </w:pPr>
      <w:r>
        <w:t>Is an improvement in corneal healing a valid endpoint to assess efficacy? Comment on the limited improvement in visual acuity and corneal sensitivity.</w:t>
      </w:r>
    </w:p>
    <w:p w14:paraId="704A20E4" w14:textId="07179B31" w:rsidR="004B4F57" w:rsidRDefault="004B4F57" w:rsidP="00F44532">
      <w:pPr>
        <w:pStyle w:val="Numberbullet0"/>
      </w:pPr>
      <w:r>
        <w:t>What is the most appropriate measure to asse</w:t>
      </w:r>
      <w:r w:rsidR="00F44532">
        <w:t>ss improvement in visual acuity;</w:t>
      </w:r>
      <w:r>
        <w:t xml:space="preserve"> mean change in </w:t>
      </w:r>
      <w:r w:rsidR="00F44532" w:rsidRPr="00BD02E6">
        <w:rPr>
          <w:bCs/>
        </w:rPr>
        <w:t xml:space="preserve">best corrected visual acuity </w:t>
      </w:r>
      <w:r w:rsidR="00F44532">
        <w:rPr>
          <w:bCs/>
        </w:rPr>
        <w:t>(</w:t>
      </w:r>
      <w:r>
        <w:t>BCVA</w:t>
      </w:r>
      <w:r w:rsidR="00F44532">
        <w:t>)</w:t>
      </w:r>
      <w:r>
        <w:t xml:space="preserve"> or improvement over 15 letters?</w:t>
      </w:r>
    </w:p>
    <w:p w14:paraId="66DCC94E" w14:textId="77777777" w:rsidR="004B4F57" w:rsidRDefault="004B4F57" w:rsidP="00F44532">
      <w:pPr>
        <w:pStyle w:val="Numberbullet0"/>
      </w:pPr>
      <w:r>
        <w:t>Comment on the PI and CMI in relation to instructions for storage, handing and administration. Is this information clear enough? Do you have any further advice on how this may be improved?</w:t>
      </w:r>
    </w:p>
    <w:p w14:paraId="3F23A68E" w14:textId="77777777" w:rsidR="00456765" w:rsidRPr="00456765" w:rsidRDefault="004B4F57" w:rsidP="00F44532">
      <w:pPr>
        <w:pStyle w:val="Numberbullet0"/>
      </w:pPr>
      <w:r>
        <w:t>Is it feasible for patients with contact lenses to administer eye drops so frequently? Patients with contact lenses were excluded from the clinical trials, however in the PI it is recommended that patients with contact lenses remove these before eye drops are used then reinsert them 15 minutes later. Could changing contact lenses so frequently risk other complications?</w:t>
      </w:r>
    </w:p>
    <w:p w14:paraId="55B95AAB" w14:textId="77777777" w:rsidR="008E7846" w:rsidRDefault="008E7846" w:rsidP="008E7846">
      <w:pPr>
        <w:pStyle w:val="Heading4"/>
      </w:pPr>
      <w:r>
        <w:t>Advisory Committee Considerations</w:t>
      </w:r>
      <w:r w:rsidR="00456765">
        <w:rPr>
          <w:rStyle w:val="FootnoteReference"/>
        </w:rPr>
        <w:footnoteReference w:id="7"/>
      </w:r>
    </w:p>
    <w:p w14:paraId="42D83E18" w14:textId="77777777" w:rsidR="008E7846" w:rsidRDefault="00456765" w:rsidP="008E7846">
      <w:pPr>
        <w:rPr>
          <w:bCs/>
        </w:rPr>
      </w:pPr>
      <w:r w:rsidRPr="00456765">
        <w:rPr>
          <w:bCs/>
        </w:rPr>
        <w:t>The Advisory Committee on Medicines (ACM), having considered the evaluations and the Delegate’s overview, as well as the sponsor’s response to these d</w:t>
      </w:r>
      <w:r w:rsidR="00BD02E6">
        <w:rPr>
          <w:bCs/>
        </w:rPr>
        <w:t>ocuments, advised the following.</w:t>
      </w:r>
    </w:p>
    <w:p w14:paraId="7CD2EEBD" w14:textId="253062D3" w:rsidR="00BD02E6" w:rsidRPr="00BD02E6" w:rsidRDefault="00BD02E6" w:rsidP="00BD02E6">
      <w:pPr>
        <w:rPr>
          <w:bCs/>
        </w:rPr>
      </w:pPr>
      <w:r w:rsidRPr="00BD02E6">
        <w:rPr>
          <w:bCs/>
        </w:rPr>
        <w:t xml:space="preserve">The ACM considered the referral for advice from the TGA Delegate in relation to the submission to register Oxervate eye drop solution, containing 20 </w:t>
      </w:r>
      <w:r w:rsidR="00F44532">
        <w:rPr>
          <w:bCs/>
        </w:rPr>
        <w:t>µg/mL</w:t>
      </w:r>
      <w:r w:rsidRPr="00BD02E6">
        <w:rPr>
          <w:bCs/>
        </w:rPr>
        <w:t xml:space="preserve"> of </w:t>
      </w:r>
      <w:proofErr w:type="spellStart"/>
      <w:r w:rsidRPr="00BD02E6">
        <w:rPr>
          <w:bCs/>
        </w:rPr>
        <w:t>cenegermin</w:t>
      </w:r>
      <w:proofErr w:type="spellEnd"/>
      <w:r w:rsidRPr="00BD02E6">
        <w:rPr>
          <w:bCs/>
        </w:rPr>
        <w:t>.</w:t>
      </w:r>
    </w:p>
    <w:p w14:paraId="431DC890" w14:textId="77777777" w:rsidR="00BD02E6" w:rsidRPr="00BD02E6" w:rsidRDefault="00BD02E6" w:rsidP="00BD02E6">
      <w:pPr>
        <w:rPr>
          <w:bCs/>
        </w:rPr>
      </w:pPr>
      <w:r w:rsidRPr="00BD02E6">
        <w:rPr>
          <w:bCs/>
        </w:rPr>
        <w:t>The ACM considered this product to have an overall positive benefit-risk profile for the proposed indication:</w:t>
      </w:r>
    </w:p>
    <w:p w14:paraId="68A4188C" w14:textId="77777777" w:rsidR="00BD02E6" w:rsidRPr="00BD02E6" w:rsidRDefault="00BD02E6" w:rsidP="00BD02E6">
      <w:pPr>
        <w:ind w:left="720"/>
        <w:rPr>
          <w:bCs/>
          <w:i/>
        </w:rPr>
      </w:pPr>
      <w:r w:rsidRPr="00BD02E6">
        <w:rPr>
          <w:bCs/>
          <w:i/>
        </w:rPr>
        <w:t>The treatment of neurotrophic keratitis.</w:t>
      </w:r>
    </w:p>
    <w:p w14:paraId="7A4EA3B3" w14:textId="77777777" w:rsidR="00BD02E6" w:rsidRPr="00BD02E6" w:rsidRDefault="00BD02E6" w:rsidP="00BD02E6">
      <w:pPr>
        <w:pStyle w:val="Heading5"/>
      </w:pPr>
      <w:r>
        <w:t>Specific a</w:t>
      </w:r>
      <w:r w:rsidRPr="00BD02E6">
        <w:t>dvice</w:t>
      </w:r>
    </w:p>
    <w:p w14:paraId="35EAF8FF" w14:textId="77777777" w:rsidR="00BD02E6" w:rsidRPr="00BD02E6" w:rsidRDefault="00BD02E6" w:rsidP="00BD02E6">
      <w:pPr>
        <w:rPr>
          <w:bCs/>
        </w:rPr>
      </w:pPr>
      <w:r w:rsidRPr="00BD02E6">
        <w:rPr>
          <w:bCs/>
        </w:rPr>
        <w:t>The ACM advised the following in response to the Delegate’s specific request for advice:</w:t>
      </w:r>
    </w:p>
    <w:p w14:paraId="125F28EE" w14:textId="77777777" w:rsidR="00BD02E6" w:rsidRPr="00BD02E6" w:rsidRDefault="00BD02E6" w:rsidP="00BD02E6">
      <w:pPr>
        <w:pStyle w:val="Numberbullet0"/>
        <w:numPr>
          <w:ilvl w:val="0"/>
          <w:numId w:val="32"/>
        </w:numPr>
        <w:rPr>
          <w:b/>
          <w:i/>
        </w:rPr>
      </w:pPr>
      <w:r w:rsidRPr="00BD02E6">
        <w:rPr>
          <w:b/>
          <w:i/>
        </w:rPr>
        <w:t>Is an improvement in corneal healing a valid endpoint to assess efficacy? Comment on the limited improvement in visual acuity and corneal sensitivity.</w:t>
      </w:r>
    </w:p>
    <w:p w14:paraId="67B1E137" w14:textId="02BE3BB4" w:rsidR="00BD02E6" w:rsidRPr="00BD02E6" w:rsidRDefault="00BD02E6" w:rsidP="00BD02E6">
      <w:pPr>
        <w:pStyle w:val="Numberbullet0"/>
        <w:numPr>
          <w:ilvl w:val="0"/>
          <w:numId w:val="0"/>
        </w:numPr>
        <w:ind w:left="425"/>
      </w:pPr>
      <w:r w:rsidRPr="00BD02E6">
        <w:t xml:space="preserve">The ACM was of the opinion that for </w:t>
      </w:r>
      <w:r w:rsidR="005F2AAA">
        <w:t>NK</w:t>
      </w:r>
      <w:r w:rsidRPr="00BD02E6">
        <w:t>, corneal healing is the most appropriate and valid endpoint to assess the efficacy of this product. Corneal healing is important as if unresolved may lead to further complications. The ACM also advised that visual acuity and corneal sensitivity are secondary outcomes and that these may remain impaired despite significant corneal healing.</w:t>
      </w:r>
    </w:p>
    <w:p w14:paraId="2E19E202" w14:textId="0F193049" w:rsidR="00BD02E6" w:rsidRPr="00BD02E6" w:rsidRDefault="00BD02E6" w:rsidP="00BD02E6">
      <w:pPr>
        <w:pStyle w:val="Numberbullet0"/>
        <w:numPr>
          <w:ilvl w:val="0"/>
          <w:numId w:val="32"/>
        </w:numPr>
        <w:rPr>
          <w:b/>
          <w:bCs/>
          <w:i/>
        </w:rPr>
      </w:pPr>
      <w:r w:rsidRPr="00BD02E6">
        <w:rPr>
          <w:b/>
          <w:bCs/>
          <w:i/>
        </w:rPr>
        <w:t>What is the most appropriate measure to asse</w:t>
      </w:r>
      <w:r w:rsidR="00F44532">
        <w:rPr>
          <w:b/>
          <w:bCs/>
          <w:i/>
        </w:rPr>
        <w:t>ss improvement in visual acuity;</w:t>
      </w:r>
      <w:r w:rsidRPr="00BD02E6">
        <w:rPr>
          <w:b/>
          <w:bCs/>
          <w:i/>
        </w:rPr>
        <w:t xml:space="preserve"> mean change in BCVA or improvement over 15 letters?</w:t>
      </w:r>
    </w:p>
    <w:p w14:paraId="32003733" w14:textId="1A5ADA23" w:rsidR="00BD02E6" w:rsidRPr="00BD02E6" w:rsidRDefault="00BD02E6" w:rsidP="00BD02E6">
      <w:pPr>
        <w:pStyle w:val="Numberbullet0"/>
        <w:numPr>
          <w:ilvl w:val="0"/>
          <w:numId w:val="0"/>
        </w:numPr>
        <w:ind w:left="425"/>
        <w:rPr>
          <w:bCs/>
        </w:rPr>
      </w:pPr>
      <w:r w:rsidRPr="00BD02E6">
        <w:rPr>
          <w:bCs/>
        </w:rPr>
        <w:t xml:space="preserve">The ACM advised that mean change in </w:t>
      </w:r>
      <w:r w:rsidR="005F2AAA">
        <w:rPr>
          <w:bCs/>
        </w:rPr>
        <w:t>BCVA</w:t>
      </w:r>
      <w:r w:rsidRPr="00BD02E6">
        <w:rPr>
          <w:bCs/>
        </w:rPr>
        <w:t xml:space="preserve"> would be an appropriate measure to assess improvement in visual acuity for this product.</w:t>
      </w:r>
    </w:p>
    <w:p w14:paraId="4D527C83" w14:textId="77777777" w:rsidR="00BD02E6" w:rsidRPr="00BD02E6" w:rsidRDefault="00BD02E6" w:rsidP="00BD02E6">
      <w:pPr>
        <w:pStyle w:val="Numberbullet0"/>
        <w:rPr>
          <w:b/>
          <w:i/>
        </w:rPr>
      </w:pPr>
      <w:r w:rsidRPr="00BD02E6">
        <w:rPr>
          <w:b/>
          <w:i/>
        </w:rPr>
        <w:lastRenderedPageBreak/>
        <w:t>Comment on the PI and CMI in relation to instructions for storage, handing and administration. Is this information clear enough? Do you have any further advice on how this may be improved?</w:t>
      </w:r>
    </w:p>
    <w:p w14:paraId="707F9763" w14:textId="77777777" w:rsidR="00BD02E6" w:rsidRPr="00BD02E6" w:rsidRDefault="00BD02E6" w:rsidP="00BD02E6">
      <w:pPr>
        <w:pStyle w:val="Numberbullet0"/>
        <w:numPr>
          <w:ilvl w:val="0"/>
          <w:numId w:val="0"/>
        </w:numPr>
        <w:ind w:left="425"/>
      </w:pPr>
      <w:r w:rsidRPr="00BD02E6">
        <w:t>The ACM was of the view that while the PI and CMI were reasonably comprehensive, the language used in the CMI in particular should be simplified to be more user friendly. The ACM considered that while there are instructions on use of the product in the CMI, the accompanying video provides significantly more clarity on the required technique for administration. However, the ACM noted that this is a US video and was not made for Australian conditions, and in particular expressed concern about access to and storage of the medication for patients in regional and remote areas.</w:t>
      </w:r>
    </w:p>
    <w:p w14:paraId="69DF9D16" w14:textId="77777777" w:rsidR="00BD02E6" w:rsidRPr="00BD02E6" w:rsidRDefault="00BD02E6" w:rsidP="00BD02E6">
      <w:pPr>
        <w:pStyle w:val="Numberbullet0"/>
        <w:rPr>
          <w:b/>
          <w:i/>
        </w:rPr>
      </w:pPr>
      <w:r w:rsidRPr="00BD02E6">
        <w:rPr>
          <w:b/>
          <w:i/>
        </w:rPr>
        <w:t>Is it feasible for patients with contact lenses to administer eye drops so frequently? Patients with contact lenses were excluded from the clinical trials, however in the PI it is recommended that patients with contact lenses remove these before eye drops are used then reinsert them 15 minutes later. Could changing contact lenses so frequently risk other complications?</w:t>
      </w:r>
    </w:p>
    <w:p w14:paraId="429A3307" w14:textId="77777777" w:rsidR="00BD02E6" w:rsidRPr="00BD02E6" w:rsidRDefault="00BD02E6" w:rsidP="00BD02E6">
      <w:pPr>
        <w:pStyle w:val="Numberbullet0"/>
        <w:numPr>
          <w:ilvl w:val="0"/>
          <w:numId w:val="0"/>
        </w:numPr>
        <w:ind w:left="425"/>
      </w:pPr>
      <w:r w:rsidRPr="00BD02E6">
        <w:t>The ACM was of the view that the use of contact lenses in conjunction with this product was</w:t>
      </w:r>
      <w:r>
        <w:t xml:space="preserve"> absolutely contraindicated, as the repeated removal of contact lenses would directly impair corneal healing.</w:t>
      </w:r>
    </w:p>
    <w:p w14:paraId="30A46BCF" w14:textId="77777777" w:rsidR="00BD02E6" w:rsidRDefault="00BD02E6" w:rsidP="00BD02E6">
      <w:pPr>
        <w:pStyle w:val="Heading5"/>
      </w:pPr>
      <w:r>
        <w:t>General advice</w:t>
      </w:r>
    </w:p>
    <w:p w14:paraId="2EC8BCFE" w14:textId="77777777" w:rsidR="00BD02E6" w:rsidRDefault="00BD02E6" w:rsidP="00BD02E6">
      <w:r>
        <w:t>The ACM noted that the method of disposal of this product after patients have completed their course of treatment has not been specified in the PI/CMI and recommended that this be included.</w:t>
      </w:r>
    </w:p>
    <w:p w14:paraId="6607191D" w14:textId="77777777" w:rsidR="00456765" w:rsidRPr="00A322B3" w:rsidRDefault="00BD02E6" w:rsidP="00BD02E6">
      <w:r>
        <w:t>The ACM noted that there is currently no commitment from the sponsor to perform long term studies of efficacy and safety. The ACM was of the opinion that this is important for a novel therapy such as this.</w:t>
      </w:r>
    </w:p>
    <w:p w14:paraId="395B5A42" w14:textId="77777777" w:rsidR="008E7846" w:rsidRPr="002E238E" w:rsidRDefault="008E7846" w:rsidP="008E7846">
      <w:pPr>
        <w:pStyle w:val="Heading3"/>
      </w:pPr>
      <w:bookmarkStart w:id="56" w:name="_Toc247691532"/>
      <w:bookmarkStart w:id="57" w:name="_Toc314842516"/>
      <w:bookmarkStart w:id="58" w:name="_Toc27992640"/>
      <w:bookmarkEnd w:id="30"/>
      <w:bookmarkEnd w:id="53"/>
      <w:bookmarkEnd w:id="54"/>
      <w:r>
        <w:t>Outcome</w:t>
      </w:r>
      <w:bookmarkEnd w:id="56"/>
      <w:bookmarkEnd w:id="57"/>
      <w:bookmarkEnd w:id="58"/>
    </w:p>
    <w:p w14:paraId="00A25EF6" w14:textId="77777777" w:rsidR="00D23139" w:rsidRDefault="00D23139" w:rsidP="00D23139">
      <w:bookmarkStart w:id="59" w:name="_Toc247691533"/>
      <w:bookmarkStart w:id="60" w:name="_Toc314842517"/>
      <w:r w:rsidRPr="00D23139">
        <w:t xml:space="preserve">Based on a review of quality, safety and efficacy, TGA approved the registration of </w:t>
      </w:r>
      <w:r w:rsidR="00BD02E6" w:rsidRPr="00BD02E6">
        <w:t xml:space="preserve">Oxervate </w:t>
      </w:r>
      <w:proofErr w:type="spellStart"/>
      <w:r w:rsidR="00BD02E6" w:rsidRPr="00BD02E6">
        <w:t>cenegermin</w:t>
      </w:r>
      <w:proofErr w:type="spellEnd"/>
      <w:r w:rsidR="00BD02E6" w:rsidRPr="00BD02E6">
        <w:t xml:space="preserve"> (</w:t>
      </w:r>
      <w:proofErr w:type="spellStart"/>
      <w:r w:rsidR="00BD02E6" w:rsidRPr="00BD02E6">
        <w:t>rbe</w:t>
      </w:r>
      <w:proofErr w:type="spellEnd"/>
      <w:r w:rsidR="00BD02E6" w:rsidRPr="00BD02E6">
        <w:t xml:space="preserve">) 20 </w:t>
      </w:r>
      <w:r w:rsidR="00BD02E6">
        <w:t>µg</w:t>
      </w:r>
      <w:r w:rsidR="00BD02E6" w:rsidRPr="00BD02E6">
        <w:t>/mL eye drops</w:t>
      </w:r>
      <w:r w:rsidRPr="00D23139">
        <w:t>, indicated for:</w:t>
      </w:r>
    </w:p>
    <w:p w14:paraId="7021B3B1" w14:textId="77777777" w:rsidR="00D23139" w:rsidRPr="00BD02E6" w:rsidRDefault="00BD02E6" w:rsidP="00BD02E6">
      <w:pPr>
        <w:ind w:left="720"/>
        <w:rPr>
          <w:i/>
        </w:rPr>
      </w:pPr>
      <w:r w:rsidRPr="00BD02E6">
        <w:rPr>
          <w:i/>
        </w:rPr>
        <w:t>Treatment of moderate (persistent epithelial defect) or severe (corneal ulcer) neurotrophic keratitis in adults.</w:t>
      </w:r>
    </w:p>
    <w:p w14:paraId="57F79393" w14:textId="77777777" w:rsidR="00D23139" w:rsidRPr="00D23139" w:rsidRDefault="00D23139" w:rsidP="00D23139">
      <w:pPr>
        <w:pStyle w:val="Heading4"/>
      </w:pPr>
      <w:r w:rsidRPr="00D23139">
        <w:t>Specific conditions of registration applying to these goods</w:t>
      </w:r>
    </w:p>
    <w:p w14:paraId="4FE54099" w14:textId="77777777" w:rsidR="00BD02E6" w:rsidRPr="00515407" w:rsidRDefault="00BD02E6" w:rsidP="00BD02E6">
      <w:pPr>
        <w:pStyle w:val="ListBullet"/>
      </w:pPr>
      <w:r>
        <w:t>Oxervate</w:t>
      </w:r>
      <w:r w:rsidRPr="00515407">
        <w:t xml:space="preserve"> </w:t>
      </w:r>
      <w:proofErr w:type="spellStart"/>
      <w:r w:rsidRPr="00515407">
        <w:t>cenegermin</w:t>
      </w:r>
      <w:proofErr w:type="spellEnd"/>
      <w:r w:rsidRPr="00515407">
        <w:t xml:space="preserve"> (</w:t>
      </w:r>
      <w:proofErr w:type="spellStart"/>
      <w:r w:rsidRPr="00515407">
        <w:t>rbe</w:t>
      </w:r>
      <w:proofErr w:type="spellEnd"/>
      <w:r w:rsidRPr="00515407">
        <w:t xml:space="preserve">) is to be included in the Black Triangle Scheme. The PI and CMI for </w:t>
      </w:r>
      <w:r>
        <w:t>Oxervate</w:t>
      </w:r>
      <w:r w:rsidRPr="00515407">
        <w:t xml:space="preserve"> must include the black triangle symbol and mandatory accompanying text for five years, which starts from the date that the sponsor notifies the TGA of supply of the product. </w:t>
      </w:r>
    </w:p>
    <w:p w14:paraId="28EC1163" w14:textId="2885A243" w:rsidR="00BD02E6" w:rsidRDefault="00BD02E6" w:rsidP="00BD02E6">
      <w:pPr>
        <w:pStyle w:val="ListBullet"/>
      </w:pPr>
      <w:r w:rsidRPr="00515407">
        <w:t xml:space="preserve">The </w:t>
      </w:r>
      <w:r>
        <w:t>Oxervate</w:t>
      </w:r>
      <w:r w:rsidRPr="00515407">
        <w:t xml:space="preserve"> </w:t>
      </w:r>
      <w:proofErr w:type="spellStart"/>
      <w:r w:rsidRPr="00515407">
        <w:t>cenegermin</w:t>
      </w:r>
      <w:proofErr w:type="spellEnd"/>
      <w:r w:rsidRPr="00515407">
        <w:t xml:space="preserve"> (</w:t>
      </w:r>
      <w:proofErr w:type="spellStart"/>
      <w:r w:rsidRPr="00515407">
        <w:t>rbe</w:t>
      </w:r>
      <w:proofErr w:type="spellEnd"/>
      <w:r w:rsidRPr="00515407">
        <w:t>) EU-Risk Management Plan (EU-RMP), version 1.0, dated 16 May 2017 (data lock point 22 February 2017), with Australian</w:t>
      </w:r>
      <w:r w:rsidR="005F2AAA">
        <w:noBreakHyphen/>
        <w:t>s</w:t>
      </w:r>
      <w:r w:rsidRPr="00515407">
        <w:t xml:space="preserve">pecific </w:t>
      </w:r>
      <w:r w:rsidR="005F2AAA">
        <w:t>a</w:t>
      </w:r>
      <w:r w:rsidR="005F2AAA" w:rsidRPr="00515407">
        <w:t>nnex</w:t>
      </w:r>
      <w:r w:rsidR="005F2AAA">
        <w:t xml:space="preserve"> </w:t>
      </w:r>
      <w:r>
        <w:t>(ASA)</w:t>
      </w:r>
      <w:r w:rsidRPr="00515407">
        <w:t>, version 1.2, dated 30 August 2019, included with submission PM</w:t>
      </w:r>
      <w:r w:rsidR="005F2AAA">
        <w:noBreakHyphen/>
      </w:r>
      <w:r w:rsidRPr="00515407">
        <w:t>2018</w:t>
      </w:r>
      <w:r w:rsidR="005F2AAA">
        <w:noBreakHyphen/>
      </w:r>
      <w:r w:rsidRPr="00515407">
        <w:t>04728</w:t>
      </w:r>
      <w:r w:rsidR="005F2AAA">
        <w:noBreakHyphen/>
      </w:r>
      <w:r w:rsidRPr="00515407">
        <w:t>1</w:t>
      </w:r>
      <w:r w:rsidR="005F2AAA">
        <w:noBreakHyphen/>
      </w:r>
      <w:r w:rsidRPr="00515407">
        <w:t>5, to be revised to the satisfaction of the TGA, will be implemented in Australia. An obligatory component of risk management plans is routine pharmacovigilance. Routine pharmacovigilance includes the submission of periodic safety update reports (PSURs).</w:t>
      </w:r>
    </w:p>
    <w:p w14:paraId="0363DAB6" w14:textId="77777777" w:rsidR="00BD02E6" w:rsidRDefault="00BD02E6" w:rsidP="00BD02E6">
      <w:pPr>
        <w:pStyle w:val="ListBullet"/>
        <w:numPr>
          <w:ilvl w:val="0"/>
          <w:numId w:val="0"/>
        </w:numPr>
        <w:ind w:left="360"/>
      </w:pPr>
      <w:r w:rsidRPr="00F44271">
        <w:t>Reports are to be provided in line with the current published list of EU reference dates and frequency of submission of PSURs until the period covered by such reports is not less than three years from the</w:t>
      </w:r>
      <w:r>
        <w:t xml:space="preserve"> date of this approval letter.</w:t>
      </w:r>
    </w:p>
    <w:p w14:paraId="28CA2021" w14:textId="77777777" w:rsidR="00BD02E6" w:rsidRPr="00F44271" w:rsidRDefault="00BD02E6" w:rsidP="00BD02E6">
      <w:pPr>
        <w:pStyle w:val="ListBullet"/>
        <w:numPr>
          <w:ilvl w:val="0"/>
          <w:numId w:val="0"/>
        </w:numPr>
        <w:ind w:left="360"/>
      </w:pPr>
      <w:r w:rsidRPr="00F44271">
        <w:lastRenderedPageBreak/>
        <w:t>The reports are to at least meet the requirements for PSURs as described in the European M</w:t>
      </w:r>
      <w:r w:rsidR="0030665C">
        <w:t>edicines Agency’s Guideline on Good Pharmacovigilance P</w:t>
      </w:r>
      <w:r w:rsidRPr="00F44271">
        <w:t>ractices (GVP) Module VII-Periodic Safety Update Report (Rev 1), Part VII.B Structures and processes. Note that submission of a PSUR does not constitute an application to vary the</w:t>
      </w:r>
      <w:r>
        <w:t xml:space="preserve"> registration.</w:t>
      </w:r>
    </w:p>
    <w:p w14:paraId="6D3F6BAD" w14:textId="77777777" w:rsidR="00BD02E6" w:rsidRPr="00515407" w:rsidRDefault="00BD02E6" w:rsidP="00BD02E6">
      <w:pPr>
        <w:pStyle w:val="ListBullet"/>
      </w:pPr>
      <w:r>
        <w:t>The sponsor is</w:t>
      </w:r>
      <w:r w:rsidRPr="00515407">
        <w:t xml:space="preserve"> required to provide the TGA with a copy of the proposed educational materials, including instructional video, for approval before the medicine is marketed.</w:t>
      </w:r>
    </w:p>
    <w:p w14:paraId="3512B5F2" w14:textId="77777777" w:rsidR="00BD02E6" w:rsidRPr="00515407" w:rsidRDefault="00BD02E6" w:rsidP="00BD02E6">
      <w:pPr>
        <w:pStyle w:val="ListBullet"/>
      </w:pPr>
      <w:r>
        <w:t xml:space="preserve">The sponsor is </w:t>
      </w:r>
      <w:r w:rsidRPr="00515407">
        <w:t>required to update the ASA with the details of the educational program. This should include how health care providers, pharmacists and patients can access educational materials.</w:t>
      </w:r>
    </w:p>
    <w:p w14:paraId="29DAE68C" w14:textId="77777777" w:rsidR="00BD02E6" w:rsidRPr="00515407" w:rsidRDefault="00BD02E6" w:rsidP="00BD02E6">
      <w:pPr>
        <w:pStyle w:val="ListBullet"/>
      </w:pPr>
      <w:r w:rsidRPr="00515407">
        <w:t>Batch release testing &amp; compliance with Certified Product Details (CPD)</w:t>
      </w:r>
    </w:p>
    <w:p w14:paraId="4DCB5656" w14:textId="77777777" w:rsidR="00BD02E6" w:rsidRPr="00515407" w:rsidRDefault="00BD02E6" w:rsidP="0030665C">
      <w:pPr>
        <w:pStyle w:val="ListBullet2"/>
      </w:pPr>
      <w:r w:rsidRPr="00515407">
        <w:t xml:space="preserve">All batches of </w:t>
      </w:r>
      <w:r>
        <w:t>Oxervate</w:t>
      </w:r>
      <w:r w:rsidRPr="00515407">
        <w:t xml:space="preserve"> imported into/manufactured in Australia must comply with the product details and specifications approved during evaluation and detailed in the Certified Product Details (CPD).</w:t>
      </w:r>
    </w:p>
    <w:p w14:paraId="0CBBF40B" w14:textId="77777777" w:rsidR="00BD02E6" w:rsidRPr="00515407" w:rsidRDefault="00BD02E6" w:rsidP="0030665C">
      <w:pPr>
        <w:pStyle w:val="ListBullet2"/>
      </w:pPr>
      <w:r w:rsidRPr="00515407">
        <w:t xml:space="preserve">Each batch of </w:t>
      </w:r>
      <w:r>
        <w:t>Oxervate</w:t>
      </w:r>
      <w:r w:rsidRPr="00515407">
        <w:t xml:space="preserve"> imported into/manufactured in Australia is not released for sale until samples and/or the manufacturer’s release data have been assessed and endorsed for release by the TGA Laboratories Branch. Outcomes of laboratory testing are published biannually in the TGA Database of Laboratory Testing Results </w:t>
      </w:r>
      <w:r w:rsidRPr="0030665C">
        <w:t>http://www.tga.gov.au/ws-labs-index</w:t>
      </w:r>
      <w:r w:rsidRPr="00515407">
        <w:t>.</w:t>
      </w:r>
    </w:p>
    <w:p w14:paraId="218DF276" w14:textId="77777777" w:rsidR="00BD02E6" w:rsidRPr="00515407" w:rsidRDefault="00BD02E6" w:rsidP="0030665C">
      <w:pPr>
        <w:pStyle w:val="ListBullet2"/>
      </w:pPr>
      <w:r w:rsidRPr="00515407">
        <w:t xml:space="preserve">The sponsor should be prepared to provide product samples, reference materials and documentary evidence as defined by the TGA Laboratories Branch. The sponsor must contact </w:t>
      </w:r>
      <w:r w:rsidRPr="0030665C">
        <w:t>Biochemistry.Testing@health.gov.au</w:t>
      </w:r>
      <w:r w:rsidRPr="00515407">
        <w:t xml:space="preserve"> for specific material requirements related to the batch release testing/assessment of the product. More information on TGA testing of biological medicines is available at </w:t>
      </w:r>
      <w:r w:rsidRPr="0030665C">
        <w:t>https://www.tga.gov.au/publication/testing-biological-medicines</w:t>
      </w:r>
      <w:r w:rsidRPr="00515407">
        <w:t>.</w:t>
      </w:r>
    </w:p>
    <w:p w14:paraId="5D9B4FA3" w14:textId="77777777" w:rsidR="00456765" w:rsidRDefault="00BD02E6" w:rsidP="0030665C">
      <w:pPr>
        <w:pStyle w:val="ListBullet2"/>
        <w:numPr>
          <w:ilvl w:val="0"/>
          <w:numId w:val="0"/>
        </w:numPr>
        <w:ind w:left="720"/>
      </w:pPr>
      <w:r w:rsidRPr="00515407">
        <w:t>This batch release condition will be reviewed and may be modified on the basis of actual batch quality and consistency.</w:t>
      </w:r>
    </w:p>
    <w:p w14:paraId="2A4B17F4" w14:textId="77777777" w:rsidR="008E7846" w:rsidRDefault="00A80B5B" w:rsidP="00D23139">
      <w:pPr>
        <w:pStyle w:val="Heading2"/>
      </w:pPr>
      <w:bookmarkStart w:id="61" w:name="_Toc27992641"/>
      <w:r>
        <w:t xml:space="preserve">Attachment 1. </w:t>
      </w:r>
      <w:r w:rsidR="008E7846">
        <w:t xml:space="preserve">Product </w:t>
      </w:r>
      <w:r w:rsidR="00AA0ED0">
        <w:t>I</w:t>
      </w:r>
      <w:r w:rsidR="008E7846">
        <w:t>nformation</w:t>
      </w:r>
      <w:bookmarkEnd w:id="59"/>
      <w:bookmarkEnd w:id="60"/>
      <w:bookmarkEnd w:id="61"/>
    </w:p>
    <w:p w14:paraId="1DE2A929" w14:textId="77777777" w:rsidR="00770CAC" w:rsidRPr="00EF7AD0" w:rsidRDefault="006136D7" w:rsidP="00EF7AD0">
      <w:pPr>
        <w:rPr>
          <w:color w:val="000000"/>
          <w:lang w:eastAsia="en-AU"/>
        </w:rPr>
      </w:pPr>
      <w:r w:rsidRPr="002B3624">
        <w:t xml:space="preserve">The </w:t>
      </w:r>
      <w:r>
        <w:t>PI</w:t>
      </w:r>
      <w:r w:rsidRPr="002B3624">
        <w:t xml:space="preserve"> for </w:t>
      </w:r>
      <w:r w:rsidR="0030665C">
        <w:t>Oxervate</w:t>
      </w:r>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22" w:history="1">
        <w:r w:rsidR="007C6B9B" w:rsidRPr="007C6B9B">
          <w:rPr>
            <w:rStyle w:val="Hyperlink"/>
          </w:rPr>
          <w:t>https://www.tga.gov.au/product-information-pi</w:t>
        </w:r>
      </w:hyperlink>
      <w:r w:rsidR="0030665C">
        <w:t>&gt;.</w:t>
      </w:r>
    </w:p>
    <w:p w14:paraId="1B80423E" w14:textId="77777777" w:rsidR="00291957" w:rsidRDefault="00291957" w:rsidP="00291957">
      <w:pPr>
        <w:rPr>
          <w:lang w:eastAsia="ja-JP"/>
        </w:rPr>
      </w:pPr>
    </w:p>
    <w:p w14:paraId="227A0EC8" w14:textId="77777777" w:rsidR="00C80137" w:rsidRPr="001D043B" w:rsidRDefault="00C80137" w:rsidP="003A7F6C">
      <w:pPr>
        <w:pStyle w:val="TableTitle"/>
        <w:sectPr w:rsidR="00C80137" w:rsidRPr="001D043B" w:rsidSect="00B452CE">
          <w:headerReference w:type="even" r:id="rId23"/>
          <w:headerReference w:type="default" r:id="rId24"/>
          <w:headerReference w:type="first" r:id="rId25"/>
          <w:footerReference w:type="first" r:id="rId26"/>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6F4E03A2" w14:textId="77777777" w:rsidTr="00A05FA4">
        <w:trPr>
          <w:trHeight w:hRule="exact" w:val="704"/>
        </w:trPr>
        <w:tc>
          <w:tcPr>
            <w:tcW w:w="9175" w:type="dxa"/>
          </w:tcPr>
          <w:p w14:paraId="3F95C25B" w14:textId="77777777" w:rsidR="001C32CD" w:rsidRPr="00487162" w:rsidRDefault="001C32CD" w:rsidP="00A05FA4">
            <w:pPr>
              <w:pStyle w:val="TGASignoff"/>
            </w:pPr>
            <w:r w:rsidRPr="00487162">
              <w:lastRenderedPageBreak/>
              <w:t>Therapeutic Goods Administration</w:t>
            </w:r>
          </w:p>
        </w:tc>
      </w:tr>
      <w:tr w:rsidR="001C32CD" w:rsidRPr="004C239D" w14:paraId="23E06F34" w14:textId="77777777" w:rsidTr="00A05FA4">
        <w:trPr>
          <w:trHeight w:val="1221"/>
        </w:trPr>
        <w:tc>
          <w:tcPr>
            <w:tcW w:w="9175" w:type="dxa"/>
            <w:tcMar>
              <w:top w:w="28" w:type="dxa"/>
            </w:tcMar>
          </w:tcPr>
          <w:p w14:paraId="1EEE513E" w14:textId="77777777" w:rsidR="001C32CD" w:rsidRPr="00487162" w:rsidRDefault="001C32CD" w:rsidP="00A05FA4">
            <w:pPr>
              <w:pStyle w:val="Address"/>
            </w:pPr>
            <w:r w:rsidRPr="00487162">
              <w:t>PO Box 100 Woden ACT 2606 Australia</w:t>
            </w:r>
          </w:p>
          <w:p w14:paraId="37AF86E0" w14:textId="77777777" w:rsidR="001C32CD" w:rsidRPr="00487162" w:rsidRDefault="001C32CD" w:rsidP="00A05FA4">
            <w:pPr>
              <w:pStyle w:val="Address"/>
            </w:pPr>
            <w:r w:rsidRPr="00487162">
              <w:t xml:space="preserve">Email: </w:t>
            </w:r>
            <w:hyperlink r:id="rId27" w:history="1">
              <w:r w:rsidRPr="004C239D">
                <w:rPr>
                  <w:rStyle w:val="Hyperlink"/>
                </w:rPr>
                <w:t>info@tga.gov.au</w:t>
              </w:r>
            </w:hyperlink>
            <w:r w:rsidRPr="00487162">
              <w:t xml:space="preserve">  Phone: 1800 020 653  Fax: 02 6232 8605</w:t>
            </w:r>
          </w:p>
          <w:p w14:paraId="63D60090" w14:textId="77777777" w:rsidR="001C32CD" w:rsidRPr="004C239D" w:rsidRDefault="008C1DC6" w:rsidP="00A05FA4">
            <w:pPr>
              <w:pStyle w:val="Address"/>
              <w:spacing w:line="260" w:lineRule="atLeast"/>
              <w:rPr>
                <w:b/>
                <w:color w:val="0000FF"/>
                <w:u w:val="single"/>
              </w:rPr>
            </w:pPr>
            <w:hyperlink r:id="rId28" w:history="1">
              <w:r w:rsidR="007C6B9B" w:rsidRPr="007C6B9B">
                <w:rPr>
                  <w:rStyle w:val="Hyperlink"/>
                  <w:b/>
                </w:rPr>
                <w:t>https://www.tga.gov.au</w:t>
              </w:r>
            </w:hyperlink>
          </w:p>
        </w:tc>
      </w:tr>
    </w:tbl>
    <w:p w14:paraId="7416DE07" w14:textId="77777777" w:rsidR="00774E1D" w:rsidRPr="008A5E0B" w:rsidRDefault="00774E1D" w:rsidP="004C239D"/>
    <w:sectPr w:rsidR="00774E1D" w:rsidRPr="008A5E0B" w:rsidSect="001C32CD">
      <w:headerReference w:type="even" r:id="rId29"/>
      <w:headerReference w:type="default" r:id="rId30"/>
      <w:footerReference w:type="default" r:id="rId31"/>
      <w:headerReference w:type="first" r:id="rId32"/>
      <w:footerReference w:type="first" r:id="rId33"/>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7F93C" w14:textId="77777777" w:rsidR="006D5317" w:rsidRDefault="006D5317" w:rsidP="00C40A36">
      <w:pPr>
        <w:spacing w:after="0"/>
      </w:pPr>
      <w:r>
        <w:separator/>
      </w:r>
    </w:p>
  </w:endnote>
  <w:endnote w:type="continuationSeparator" w:id="0">
    <w:p w14:paraId="7DB7459E" w14:textId="77777777" w:rsidR="006D5317" w:rsidRDefault="006D5317"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A8138" w14:textId="77777777" w:rsidR="00597FBE" w:rsidRDefault="00597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6D5317" w:rsidRPr="00487162" w14:paraId="7B64E9B5" w14:textId="77777777" w:rsidTr="00DB750B">
      <w:trPr>
        <w:trHeight w:val="269"/>
      </w:trPr>
      <w:tc>
        <w:tcPr>
          <w:tcW w:w="7371" w:type="dxa"/>
          <w:tcMar>
            <w:top w:w="142" w:type="dxa"/>
            <w:bottom w:w="0" w:type="dxa"/>
          </w:tcMar>
        </w:tcPr>
        <w:p w14:paraId="121B7A5F" w14:textId="75ED3BF1" w:rsidR="006D5317" w:rsidRPr="00487162" w:rsidRDefault="00597FBE" w:rsidP="006D5317">
          <w:pPr>
            <w:pStyle w:val="Footer"/>
          </w:pPr>
          <w:r>
            <w:t xml:space="preserve">AusPAR </w:t>
          </w:r>
          <w:r w:rsidR="006D5317" w:rsidRPr="006712DF">
            <w:t xml:space="preserve">Oxervate - </w:t>
          </w:r>
          <w:proofErr w:type="spellStart"/>
          <w:r w:rsidR="006D5317" w:rsidRPr="006712DF">
            <w:t>Cenegermin</w:t>
          </w:r>
          <w:proofErr w:type="spellEnd"/>
          <w:r w:rsidR="006D5317" w:rsidRPr="006712DF">
            <w:t xml:space="preserve"> - JACE Pharma Pty Ltd - PM-2018-04728-1-5</w:t>
          </w:r>
          <w:r w:rsidR="006D5317">
            <w:br/>
            <w:t>FINAL 26 November 2019</w:t>
          </w:r>
        </w:p>
      </w:tc>
      <w:tc>
        <w:tcPr>
          <w:tcW w:w="1490" w:type="dxa"/>
          <w:tcMar>
            <w:top w:w="142" w:type="dxa"/>
            <w:bottom w:w="0" w:type="dxa"/>
          </w:tcMar>
        </w:tcPr>
        <w:p w14:paraId="43324A9B" w14:textId="28DD3904" w:rsidR="006D5317" w:rsidRPr="00487162" w:rsidRDefault="006D5317" w:rsidP="00DB750B">
          <w:pPr>
            <w:pStyle w:val="Footer"/>
            <w:jc w:val="right"/>
          </w:pPr>
          <w:r w:rsidRPr="00487162">
            <w:t xml:space="preserve">Page </w:t>
          </w:r>
          <w:r>
            <w:fldChar w:fldCharType="begin"/>
          </w:r>
          <w:r>
            <w:instrText xml:space="preserve"> PAGE  \* Arabic </w:instrText>
          </w:r>
          <w:r>
            <w:fldChar w:fldCharType="separate"/>
          </w:r>
          <w:r w:rsidR="008C1DC6">
            <w:rPr>
              <w:noProof/>
            </w:rPr>
            <w:t>2</w:t>
          </w:r>
          <w:r>
            <w:fldChar w:fldCharType="end"/>
          </w:r>
          <w:r w:rsidRPr="00487162">
            <w:t xml:space="preserve"> of </w:t>
          </w:r>
          <w:r w:rsidR="008C1DC6">
            <w:fldChar w:fldCharType="begin"/>
          </w:r>
          <w:r w:rsidR="008C1DC6">
            <w:instrText xml:space="preserve"> NUMPAGES  \* Arabic </w:instrText>
          </w:r>
          <w:r w:rsidR="008C1DC6">
            <w:fldChar w:fldCharType="separate"/>
          </w:r>
          <w:r w:rsidR="008C1DC6">
            <w:rPr>
              <w:noProof/>
            </w:rPr>
            <w:t>24</w:t>
          </w:r>
          <w:r w:rsidR="008C1DC6">
            <w:rPr>
              <w:noProof/>
            </w:rPr>
            <w:fldChar w:fldCharType="end"/>
          </w:r>
        </w:p>
      </w:tc>
    </w:tr>
  </w:tbl>
  <w:p w14:paraId="6966B6F1" w14:textId="77777777" w:rsidR="006D5317" w:rsidRDefault="006D5317"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2450B" w14:textId="77777777" w:rsidR="00597FBE" w:rsidRDefault="00597F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6D5317" w:rsidRPr="00487162" w14:paraId="37E9A0BB" w14:textId="77777777" w:rsidTr="00E45619">
      <w:trPr>
        <w:trHeight w:val="269"/>
      </w:trPr>
      <w:tc>
        <w:tcPr>
          <w:tcW w:w="4519" w:type="dxa"/>
          <w:tcBorders>
            <w:top w:val="single" w:sz="4" w:space="0" w:color="auto"/>
          </w:tcBorders>
          <w:tcMar>
            <w:top w:w="142" w:type="dxa"/>
            <w:bottom w:w="0" w:type="dxa"/>
          </w:tcMar>
        </w:tcPr>
        <w:p w14:paraId="2A25036F" w14:textId="77777777" w:rsidR="006D5317" w:rsidRPr="00487162" w:rsidRDefault="006D5317" w:rsidP="00FE1DEE">
          <w:pPr>
            <w:pStyle w:val="Footer"/>
          </w:pPr>
          <w:r w:rsidRPr="00487162">
            <w:t>Document title, Part #, Section # - Section title</w:t>
          </w:r>
        </w:p>
        <w:p w14:paraId="6901800E" w14:textId="77777777" w:rsidR="006D5317" w:rsidRPr="00487162" w:rsidRDefault="006D5317" w:rsidP="00FE1DEE">
          <w:pPr>
            <w:pStyle w:val="Footer"/>
          </w:pPr>
          <w:r w:rsidRPr="00487162">
            <w:t>V1.0 October 2010</w:t>
          </w:r>
        </w:p>
      </w:tc>
      <w:tc>
        <w:tcPr>
          <w:tcW w:w="4342" w:type="dxa"/>
          <w:tcBorders>
            <w:top w:val="single" w:sz="4" w:space="0" w:color="auto"/>
          </w:tcBorders>
          <w:tcMar>
            <w:top w:w="142" w:type="dxa"/>
            <w:bottom w:w="0" w:type="dxa"/>
          </w:tcMar>
        </w:tcPr>
        <w:p w14:paraId="799A84E8" w14:textId="77777777" w:rsidR="006D5317" w:rsidRPr="00487162" w:rsidRDefault="006D5317"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8C1DC6">
            <w:fldChar w:fldCharType="begin"/>
          </w:r>
          <w:r w:rsidR="008C1DC6">
            <w:instrText xml:space="preserve"> NUMPAGES  </w:instrText>
          </w:r>
          <w:r w:rsidR="008C1DC6">
            <w:fldChar w:fldCharType="separate"/>
          </w:r>
          <w:r>
            <w:rPr>
              <w:noProof/>
            </w:rPr>
            <w:t>2</w:t>
          </w:r>
          <w:r w:rsidR="008C1DC6">
            <w:rPr>
              <w:noProof/>
            </w:rPr>
            <w:fldChar w:fldCharType="end"/>
          </w:r>
        </w:p>
      </w:tc>
    </w:tr>
  </w:tbl>
  <w:p w14:paraId="18C807DE" w14:textId="77777777" w:rsidR="006D5317" w:rsidRDefault="006D531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AF344" w14:textId="77777777" w:rsidR="006D5317" w:rsidRPr="001C32CD" w:rsidRDefault="006D5317"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6D5317" w14:paraId="034C5829" w14:textId="77777777" w:rsidTr="0010601F">
      <w:trPr>
        <w:trHeight w:val="108"/>
      </w:trPr>
      <w:tc>
        <w:tcPr>
          <w:tcW w:w="8875" w:type="dxa"/>
          <w:gridSpan w:val="2"/>
          <w:tcBorders>
            <w:bottom w:val="single" w:sz="4" w:space="0" w:color="auto"/>
          </w:tcBorders>
          <w:tcMar>
            <w:right w:w="284" w:type="dxa"/>
          </w:tcMar>
        </w:tcPr>
        <w:p w14:paraId="558D2AF9" w14:textId="77777777" w:rsidR="006D5317" w:rsidRDefault="006D5317" w:rsidP="006E08B3">
          <w:pPr>
            <w:pStyle w:val="Heading3"/>
          </w:pPr>
          <w:r>
            <w:t>Copyright</w:t>
          </w:r>
        </w:p>
        <w:p w14:paraId="23B67B6F" w14:textId="77777777" w:rsidR="006D5317" w:rsidRDefault="006D5317" w:rsidP="006E08B3">
          <w:r>
            <w:rPr>
              <w:rFonts w:cs="Arial"/>
            </w:rPr>
            <w:t>©</w:t>
          </w:r>
          <w:r>
            <w:t xml:space="preserve"> Commonwealth of Australia [add year]</w:t>
          </w:r>
        </w:p>
        <w:p w14:paraId="2AAA1729" w14:textId="77777777" w:rsidR="006D5317" w:rsidRDefault="006D5317" w:rsidP="006E08B3"/>
        <w:p w14:paraId="5A473E75" w14:textId="77777777" w:rsidR="006D5317" w:rsidRDefault="006D5317"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7A34020A" w14:textId="77777777" w:rsidR="006D5317" w:rsidRDefault="006D5317" w:rsidP="006E08B3"/>
        <w:p w14:paraId="383F3D48" w14:textId="77777777" w:rsidR="006D5317" w:rsidRDefault="006D5317" w:rsidP="006E08B3">
          <w:pPr>
            <w:pStyle w:val="Heading3"/>
          </w:pPr>
          <w:r>
            <w:t>Confidentiality</w:t>
          </w:r>
        </w:p>
        <w:p w14:paraId="6D1ED28A" w14:textId="77777777" w:rsidR="006D5317" w:rsidRDefault="006D5317"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527FDABD" w14:textId="77777777" w:rsidR="006D5317" w:rsidRDefault="006D5317" w:rsidP="006E08B3"/>
        <w:p w14:paraId="0DF76000" w14:textId="77777777" w:rsidR="006D5317" w:rsidRDefault="006D5317" w:rsidP="006E08B3">
          <w:r>
            <w:t>For submission made by individuals, all personal details, other than your name, will be removed from your submission before it is published on the TGA’s Internet site.</w:t>
          </w:r>
        </w:p>
        <w:p w14:paraId="662AA395" w14:textId="77777777" w:rsidR="006D5317" w:rsidRDefault="006D5317" w:rsidP="006E08B3"/>
        <w:p w14:paraId="0CD28531" w14:textId="77777777" w:rsidR="006D5317" w:rsidRDefault="006D5317"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6D5317" w14:paraId="761068A9" w14:textId="77777777" w:rsidTr="0010601F">
      <w:trPr>
        <w:trHeight w:val="417"/>
      </w:trPr>
      <w:tc>
        <w:tcPr>
          <w:tcW w:w="4519" w:type="dxa"/>
          <w:tcBorders>
            <w:top w:val="single" w:sz="4" w:space="0" w:color="auto"/>
          </w:tcBorders>
          <w:tcMar>
            <w:top w:w="142" w:type="dxa"/>
            <w:bottom w:w="0" w:type="dxa"/>
          </w:tcMar>
        </w:tcPr>
        <w:p w14:paraId="22DEC894" w14:textId="77777777" w:rsidR="006D5317" w:rsidRDefault="006D5317" w:rsidP="006E08B3">
          <w:r>
            <w:t>Document title, Part #, Section # - Section title</w:t>
          </w:r>
        </w:p>
        <w:p w14:paraId="57C1ABA2" w14:textId="77777777" w:rsidR="006D5317" w:rsidRDefault="006D5317" w:rsidP="006E08B3">
          <w:r>
            <w:t>V1.0 October 2010</w:t>
          </w:r>
        </w:p>
      </w:tc>
      <w:tc>
        <w:tcPr>
          <w:tcW w:w="4356" w:type="dxa"/>
          <w:tcBorders>
            <w:top w:val="single" w:sz="4" w:space="0" w:color="auto"/>
          </w:tcBorders>
          <w:tcMar>
            <w:top w:w="142" w:type="dxa"/>
            <w:bottom w:w="0" w:type="dxa"/>
          </w:tcMar>
        </w:tcPr>
        <w:p w14:paraId="3BE25CD7" w14:textId="77777777" w:rsidR="006D5317" w:rsidRDefault="006D5317"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8C1DC6">
            <w:fldChar w:fldCharType="begin"/>
          </w:r>
          <w:r w:rsidR="008C1DC6">
            <w:instrText xml:space="preserve"> NUMPAGES  \* Arabic </w:instrText>
          </w:r>
          <w:r w:rsidR="008C1DC6">
            <w:fldChar w:fldCharType="separate"/>
          </w:r>
          <w:r>
            <w:rPr>
              <w:noProof/>
            </w:rPr>
            <w:t>2</w:t>
          </w:r>
          <w:r w:rsidR="008C1DC6">
            <w:rPr>
              <w:noProof/>
            </w:rPr>
            <w:fldChar w:fldCharType="end"/>
          </w:r>
          <w:r>
            <w:t xml:space="preserve">  </w:t>
          </w:r>
        </w:p>
      </w:tc>
    </w:tr>
  </w:tbl>
  <w:p w14:paraId="6E8C2350" w14:textId="77777777" w:rsidR="006D5317" w:rsidRDefault="006D531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DB576" w14:textId="77777777" w:rsidR="006D5317" w:rsidRDefault="006D5317" w:rsidP="00C40A36">
      <w:pPr>
        <w:spacing w:after="0"/>
      </w:pPr>
      <w:r>
        <w:separator/>
      </w:r>
    </w:p>
  </w:footnote>
  <w:footnote w:type="continuationSeparator" w:id="0">
    <w:p w14:paraId="251AD0BD" w14:textId="77777777" w:rsidR="006D5317" w:rsidRDefault="006D5317" w:rsidP="00C40A36">
      <w:pPr>
        <w:spacing w:after="0"/>
      </w:pPr>
      <w:r>
        <w:continuationSeparator/>
      </w:r>
    </w:p>
  </w:footnote>
  <w:footnote w:id="1">
    <w:p w14:paraId="6750FE40" w14:textId="77777777" w:rsidR="006D5317" w:rsidRDefault="006D5317" w:rsidP="00AE24C0">
      <w:pPr>
        <w:pStyle w:val="FootnoteText"/>
      </w:pPr>
      <w:r>
        <w:rPr>
          <w:rStyle w:val="FootnoteReference"/>
        </w:rPr>
        <w:footnoteRef/>
      </w:r>
      <w:r>
        <w:t xml:space="preserve"> </w:t>
      </w:r>
      <w:proofErr w:type="spellStart"/>
      <w:r>
        <w:t>Bonini</w:t>
      </w:r>
      <w:proofErr w:type="spellEnd"/>
      <w:r>
        <w:t xml:space="preserve"> S, et al. (2003), Neurotrophic keratitis. </w:t>
      </w:r>
      <w:r w:rsidRPr="00AE24C0">
        <w:rPr>
          <w:i/>
        </w:rPr>
        <w:t>Eye</w:t>
      </w:r>
      <w:r>
        <w:t>; 17: 989-995.</w:t>
      </w:r>
    </w:p>
  </w:footnote>
  <w:footnote w:id="2">
    <w:p w14:paraId="1398CFA0" w14:textId="6E766C1C" w:rsidR="006D5317" w:rsidRDefault="006D5317">
      <w:pPr>
        <w:pStyle w:val="FootnoteText"/>
      </w:pPr>
      <w:r>
        <w:rPr>
          <w:rStyle w:val="FootnoteReference"/>
        </w:rPr>
        <w:footnoteRef/>
      </w:r>
      <w:r>
        <w:t xml:space="preserve"> European Medicines Agency (EMA), </w:t>
      </w:r>
      <w:r w:rsidRPr="00C73281">
        <w:t>Committee for medicinal products for human use (CHMP)</w:t>
      </w:r>
      <w:r>
        <w:t xml:space="preserve">, ICH guideline S6 (R1); </w:t>
      </w:r>
      <w:r w:rsidRPr="00C73281">
        <w:t>preclinical safety evaluation of biotechnology-derived pharmaceuticals</w:t>
      </w:r>
      <w:r>
        <w:t xml:space="preserve">, </w:t>
      </w:r>
      <w:r w:rsidRPr="00C73281">
        <w:t>EMA/CHMP/ICH/731268/1998</w:t>
      </w:r>
      <w:r>
        <w:t>, June 2011.</w:t>
      </w:r>
    </w:p>
  </w:footnote>
  <w:footnote w:id="3">
    <w:p w14:paraId="607284CB" w14:textId="727986A3" w:rsidR="006D5317" w:rsidRDefault="006D5317" w:rsidP="007B0865">
      <w:pPr>
        <w:pStyle w:val="FootnoteText"/>
      </w:pPr>
      <w:r>
        <w:rPr>
          <w:rStyle w:val="FootnoteReference"/>
        </w:rPr>
        <w:footnoteRef/>
      </w:r>
      <w:r>
        <w:t xml:space="preserve"> Pregnancy category B3: Drugs which have been taken by only a limited number of pregnant women and women of childbearing age, without an increase in the frequency of malformation or other direct or indirect harmful effects on the human </w:t>
      </w:r>
      <w:proofErr w:type="spellStart"/>
      <w:r>
        <w:t>fetus</w:t>
      </w:r>
      <w:proofErr w:type="spellEnd"/>
      <w:r>
        <w:t xml:space="preserve"> having been observed. Studies in animals have shown evidence of an increased occurrence of </w:t>
      </w:r>
      <w:proofErr w:type="spellStart"/>
      <w:r>
        <w:t>fetal</w:t>
      </w:r>
      <w:proofErr w:type="spellEnd"/>
      <w:r>
        <w:t xml:space="preserve"> damage, the significance of which is considered uncertain in humans.</w:t>
      </w:r>
    </w:p>
  </w:footnote>
  <w:footnote w:id="4">
    <w:p w14:paraId="08B14F90" w14:textId="09FBF3A1" w:rsidR="006D5317" w:rsidRDefault="006D5317" w:rsidP="007B0865">
      <w:pPr>
        <w:pStyle w:val="FootnoteText"/>
      </w:pPr>
      <w:r>
        <w:rPr>
          <w:rStyle w:val="FootnoteReference"/>
        </w:rPr>
        <w:footnoteRef/>
      </w:r>
      <w:r>
        <w:t xml:space="preserve"> Pregnancy category B1: Drugs which have been taken by only a limited number of pregnant women and women of childbearing age, without an increase in the frequency of malformation or other direct or indirect harmful effects on the human </w:t>
      </w:r>
      <w:proofErr w:type="spellStart"/>
      <w:r>
        <w:t>fetus</w:t>
      </w:r>
      <w:proofErr w:type="spellEnd"/>
      <w:r>
        <w:t xml:space="preserve"> having been observed. Studies in animals have not shown evidence of an increased occurrence of </w:t>
      </w:r>
      <w:proofErr w:type="spellStart"/>
      <w:r>
        <w:t>fetal</w:t>
      </w:r>
      <w:proofErr w:type="spellEnd"/>
      <w:r>
        <w:t xml:space="preserve"> damage.</w:t>
      </w:r>
    </w:p>
  </w:footnote>
  <w:footnote w:id="5">
    <w:p w14:paraId="2936C6D3" w14:textId="77777777" w:rsidR="006D5317" w:rsidRDefault="006D5317" w:rsidP="004B4F57">
      <w:pPr>
        <w:pStyle w:val="FootnoteText"/>
      </w:pPr>
      <w:r>
        <w:rPr>
          <w:rStyle w:val="FootnoteReference"/>
        </w:rPr>
        <w:footnoteRef/>
      </w:r>
      <w:r>
        <w:t xml:space="preserve"> </w:t>
      </w:r>
      <w:r w:rsidRPr="00F12492">
        <w:rPr>
          <w:i/>
        </w:rPr>
        <w:t>Routine risk minimisation</w:t>
      </w:r>
      <w:r>
        <w:t xml:space="preserve"> activities may be limited to ensuring that suitable warnings are included in the product information or by careful use of labelling and packaging.</w:t>
      </w:r>
    </w:p>
    <w:p w14:paraId="357663DF" w14:textId="77777777" w:rsidR="006D5317" w:rsidRDefault="006D5317" w:rsidP="004B4F57">
      <w:pPr>
        <w:pStyle w:val="FootnoteText"/>
      </w:pPr>
      <w:r w:rsidRPr="00F12492">
        <w:rPr>
          <w:i/>
        </w:rPr>
        <w:t>Routine pharmacovigilance</w:t>
      </w:r>
      <w:r>
        <w:t xml:space="preserve"> practices involve the following activities:</w:t>
      </w:r>
    </w:p>
    <w:p w14:paraId="19E225F9" w14:textId="77777777" w:rsidR="006D5317" w:rsidRDefault="006D5317" w:rsidP="004B4F57">
      <w:pPr>
        <w:pStyle w:val="FootnoteText"/>
        <w:numPr>
          <w:ilvl w:val="0"/>
          <w:numId w:val="28"/>
        </w:numPr>
      </w:pPr>
      <w:r>
        <w:t>All suspected adverse reactions that are reported to the personnel of the company are collected and collated in an accessible manner;</w:t>
      </w:r>
    </w:p>
    <w:p w14:paraId="13D791A2" w14:textId="77777777" w:rsidR="006D5317" w:rsidRDefault="006D5317" w:rsidP="004B4F57">
      <w:pPr>
        <w:pStyle w:val="FootnoteText"/>
        <w:numPr>
          <w:ilvl w:val="0"/>
          <w:numId w:val="28"/>
        </w:numPr>
      </w:pPr>
      <w:r>
        <w:t>Reporting to regulatory authorities;</w:t>
      </w:r>
    </w:p>
    <w:p w14:paraId="4FFAB4F7" w14:textId="77777777" w:rsidR="006D5317" w:rsidRDefault="006D5317" w:rsidP="004B4F57">
      <w:pPr>
        <w:pStyle w:val="FootnoteText"/>
        <w:numPr>
          <w:ilvl w:val="0"/>
          <w:numId w:val="28"/>
        </w:numPr>
      </w:pPr>
      <w:r>
        <w:t>Continuous monitoring of the safety profiles of approved products including signal detection and updating of labelling;</w:t>
      </w:r>
    </w:p>
    <w:p w14:paraId="5FFD3BA6" w14:textId="77777777" w:rsidR="006D5317" w:rsidRDefault="006D5317" w:rsidP="004B4F57">
      <w:pPr>
        <w:pStyle w:val="FootnoteText"/>
        <w:numPr>
          <w:ilvl w:val="0"/>
          <w:numId w:val="28"/>
        </w:numPr>
      </w:pPr>
      <w:r>
        <w:t>Submission of PSURs;</w:t>
      </w:r>
    </w:p>
    <w:p w14:paraId="10E639EE" w14:textId="77777777" w:rsidR="006D5317" w:rsidRPr="00F12492" w:rsidRDefault="006D5317" w:rsidP="004B4F57">
      <w:pPr>
        <w:pStyle w:val="FootnoteText"/>
        <w:numPr>
          <w:ilvl w:val="0"/>
          <w:numId w:val="28"/>
        </w:numPr>
        <w:rPr>
          <w:lang w:val="en-US"/>
        </w:rPr>
      </w:pPr>
      <w:r>
        <w:t>Meeting other local regulatory agency requirements.</w:t>
      </w:r>
    </w:p>
  </w:footnote>
  <w:footnote w:id="6">
    <w:p w14:paraId="6EC9AC7C" w14:textId="4D04C08C" w:rsidR="006D5317" w:rsidRDefault="006D5317">
      <w:pPr>
        <w:pStyle w:val="FootnoteText"/>
      </w:pPr>
      <w:r>
        <w:rPr>
          <w:rStyle w:val="FootnoteReference"/>
        </w:rPr>
        <w:footnoteRef/>
      </w:r>
      <w:r>
        <w:t xml:space="preserve"> These questions and the sponsor’s response are beyond the scope of this AusPAR.</w:t>
      </w:r>
    </w:p>
  </w:footnote>
  <w:footnote w:id="7">
    <w:p w14:paraId="6B492524" w14:textId="77777777" w:rsidR="006D5317" w:rsidRDefault="006D5317"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7022D36E" w14:textId="77777777" w:rsidR="006D5317" w:rsidRPr="00456765" w:rsidRDefault="006D5317"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887A4" w14:textId="77777777" w:rsidR="00597FBE" w:rsidRDefault="00597F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19B42" w14:textId="77777777" w:rsidR="006D5317" w:rsidRDefault="006D5317"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9B8AF" w14:textId="77777777" w:rsidR="006D5317" w:rsidRDefault="006D5317">
    <w:pPr>
      <w:rPr>
        <w:noProof/>
        <w:lang w:eastAsia="en-AU"/>
      </w:rPr>
    </w:pPr>
    <w:r w:rsidRPr="00347824">
      <w:rPr>
        <w:noProof/>
        <w:lang w:eastAsia="en-AU"/>
      </w:rPr>
      <w:drawing>
        <wp:anchor distT="0" distB="0" distL="114300" distR="114300" simplePos="0" relativeHeight="251659264" behindDoc="1" locked="0" layoutInCell="1" allowOverlap="1" wp14:anchorId="0FD84621" wp14:editId="770716E8">
          <wp:simplePos x="0" y="0"/>
          <wp:positionH relativeFrom="column">
            <wp:posOffset>-1089660</wp:posOffset>
          </wp:positionH>
          <wp:positionV relativeFrom="paragraph">
            <wp:posOffset>-585470</wp:posOffset>
          </wp:positionV>
          <wp:extent cx="7572375" cy="10706100"/>
          <wp:effectExtent l="19050" t="0" r="0" b="0"/>
          <wp:wrapNone/>
          <wp:docPr id="9"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183EE679" w14:textId="4786B829" w:rsidR="006D5317" w:rsidRDefault="006D5317" w:rsidP="00593AD1">
    <w:pPr>
      <w:pStyle w:val="HeaderNoLin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75852" w14:textId="77777777" w:rsidR="006D5317" w:rsidRDefault="006D53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29FE3" w14:textId="77777777" w:rsidR="006D5317" w:rsidRDefault="006D5317">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69B67" w14:textId="77777777" w:rsidR="006D5317" w:rsidRDefault="006D5317">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03987" w14:textId="77777777" w:rsidR="006D5317" w:rsidRDefault="006D531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FA534" w14:textId="77777777" w:rsidR="006D5317" w:rsidRDefault="006D5317"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8A21C" w14:textId="77777777" w:rsidR="006D5317" w:rsidRDefault="006D5317" w:rsidP="006E08B3">
    <w:r>
      <w:t>Therapeutic Goods Administration</w:t>
    </w:r>
  </w:p>
  <w:p w14:paraId="10600BB4" w14:textId="77777777" w:rsidR="006D5317" w:rsidRDefault="006D5317"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5750BAE"/>
    <w:multiLevelType w:val="hybridMultilevel"/>
    <w:tmpl w:val="A6DE12C2"/>
    <w:lvl w:ilvl="0" w:tplc="BAB2ED5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68F13E9"/>
    <w:multiLevelType w:val="multilevel"/>
    <w:tmpl w:val="707CE63C"/>
    <w:styleLink w:val="ListBullets"/>
    <w:lvl w:ilvl="0">
      <w:numFmt w:val="bullet"/>
      <w:pStyle w:val="ListBullet"/>
      <w:lvlText w:val="•"/>
      <w:lvlJc w:val="left"/>
      <w:pPr>
        <w:ind w:left="360" w:hanging="360"/>
      </w:pPr>
      <w:rPr>
        <w:rFonts w:ascii="Cambria" w:eastAsia="Cambria" w:hAnsi="Cambria" w:cs="Times New Roman"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456D16D0"/>
    <w:multiLevelType w:val="hybridMultilevel"/>
    <w:tmpl w:val="EB68B5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6"/>
  </w:num>
  <w:num w:numId="4">
    <w:abstractNumId w:val="6"/>
  </w:num>
  <w:num w:numId="5">
    <w:abstractNumId w:val="0"/>
  </w:num>
  <w:num w:numId="6">
    <w:abstractNumId w:val="6"/>
  </w:num>
  <w:num w:numId="7">
    <w:abstractNumId w:val="6"/>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6"/>
  </w:num>
  <w:num w:numId="14">
    <w:abstractNumId w:val="6"/>
  </w:num>
  <w:num w:numId="15">
    <w:abstractNumId w:val="6"/>
  </w:num>
  <w:num w:numId="16">
    <w:abstractNumId w:val="5"/>
  </w:num>
  <w:num w:numId="17">
    <w:abstractNumId w:val="5"/>
  </w:num>
  <w:num w:numId="18">
    <w:abstractNumId w:val="5"/>
  </w:num>
  <w:num w:numId="19">
    <w:abstractNumId w:val="6"/>
  </w:num>
  <w:num w:numId="20">
    <w:abstractNumId w:val="6"/>
  </w:num>
  <w:num w:numId="21">
    <w:abstractNumId w:val="6"/>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8"/>
  </w:num>
  <w:num w:numId="28">
    <w:abstractNumId w:val="9"/>
  </w:num>
  <w:num w:numId="29">
    <w:abstractNumId w:val="4"/>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0DA"/>
    <w:rsid w:val="00002031"/>
    <w:rsid w:val="00004734"/>
    <w:rsid w:val="00006B22"/>
    <w:rsid w:val="0001276A"/>
    <w:rsid w:val="00023868"/>
    <w:rsid w:val="000246AE"/>
    <w:rsid w:val="00025C67"/>
    <w:rsid w:val="00044772"/>
    <w:rsid w:val="0004541C"/>
    <w:rsid w:val="0004695E"/>
    <w:rsid w:val="0005559E"/>
    <w:rsid w:val="000604D6"/>
    <w:rsid w:val="000734D8"/>
    <w:rsid w:val="00077775"/>
    <w:rsid w:val="00090471"/>
    <w:rsid w:val="00096AA7"/>
    <w:rsid w:val="000A3AED"/>
    <w:rsid w:val="000B3532"/>
    <w:rsid w:val="000B3A75"/>
    <w:rsid w:val="000C00C2"/>
    <w:rsid w:val="000C690F"/>
    <w:rsid w:val="000D1295"/>
    <w:rsid w:val="000D391B"/>
    <w:rsid w:val="000D3D6D"/>
    <w:rsid w:val="000D4FC7"/>
    <w:rsid w:val="000E6196"/>
    <w:rsid w:val="000F4869"/>
    <w:rsid w:val="000F5B42"/>
    <w:rsid w:val="000F6E6F"/>
    <w:rsid w:val="0010601F"/>
    <w:rsid w:val="0010788A"/>
    <w:rsid w:val="00107A31"/>
    <w:rsid w:val="00110EA5"/>
    <w:rsid w:val="00112F56"/>
    <w:rsid w:val="0011581A"/>
    <w:rsid w:val="00124ACD"/>
    <w:rsid w:val="00125318"/>
    <w:rsid w:val="001305A2"/>
    <w:rsid w:val="00133238"/>
    <w:rsid w:val="00133A1B"/>
    <w:rsid w:val="0014197B"/>
    <w:rsid w:val="001447CD"/>
    <w:rsid w:val="001516B1"/>
    <w:rsid w:val="00154EBB"/>
    <w:rsid w:val="00156316"/>
    <w:rsid w:val="00161181"/>
    <w:rsid w:val="00162D14"/>
    <w:rsid w:val="00163780"/>
    <w:rsid w:val="00165389"/>
    <w:rsid w:val="0017693F"/>
    <w:rsid w:val="0018110E"/>
    <w:rsid w:val="00181684"/>
    <w:rsid w:val="001843C6"/>
    <w:rsid w:val="001850E0"/>
    <w:rsid w:val="00194B78"/>
    <w:rsid w:val="001A03AF"/>
    <w:rsid w:val="001A2158"/>
    <w:rsid w:val="001A525F"/>
    <w:rsid w:val="001B09F9"/>
    <w:rsid w:val="001B5C90"/>
    <w:rsid w:val="001B6448"/>
    <w:rsid w:val="001C32CD"/>
    <w:rsid w:val="001C7470"/>
    <w:rsid w:val="001D2984"/>
    <w:rsid w:val="001E07CF"/>
    <w:rsid w:val="001E59F1"/>
    <w:rsid w:val="001F2CEE"/>
    <w:rsid w:val="001F49EB"/>
    <w:rsid w:val="001F6CBA"/>
    <w:rsid w:val="002018D4"/>
    <w:rsid w:val="00201D4E"/>
    <w:rsid w:val="002076C9"/>
    <w:rsid w:val="00220B8A"/>
    <w:rsid w:val="002257F3"/>
    <w:rsid w:val="00233456"/>
    <w:rsid w:val="002339A5"/>
    <w:rsid w:val="00257848"/>
    <w:rsid w:val="0027084A"/>
    <w:rsid w:val="00275C7C"/>
    <w:rsid w:val="00280265"/>
    <w:rsid w:val="0028551A"/>
    <w:rsid w:val="00286434"/>
    <w:rsid w:val="00286C59"/>
    <w:rsid w:val="00291957"/>
    <w:rsid w:val="002942D1"/>
    <w:rsid w:val="0029501A"/>
    <w:rsid w:val="002A3721"/>
    <w:rsid w:val="002B1638"/>
    <w:rsid w:val="002B3624"/>
    <w:rsid w:val="002D0952"/>
    <w:rsid w:val="002E40B3"/>
    <w:rsid w:val="002E4C9A"/>
    <w:rsid w:val="002F11F8"/>
    <w:rsid w:val="002F3F56"/>
    <w:rsid w:val="002F44B5"/>
    <w:rsid w:val="002F5122"/>
    <w:rsid w:val="00305008"/>
    <w:rsid w:val="0030665C"/>
    <w:rsid w:val="00311AC0"/>
    <w:rsid w:val="003176FC"/>
    <w:rsid w:val="0032583B"/>
    <w:rsid w:val="00327883"/>
    <w:rsid w:val="00335504"/>
    <w:rsid w:val="00340C18"/>
    <w:rsid w:val="003442FD"/>
    <w:rsid w:val="00347420"/>
    <w:rsid w:val="00347824"/>
    <w:rsid w:val="00350567"/>
    <w:rsid w:val="003521E8"/>
    <w:rsid w:val="00370CE3"/>
    <w:rsid w:val="003728F3"/>
    <w:rsid w:val="003735BC"/>
    <w:rsid w:val="0037496E"/>
    <w:rsid w:val="00383221"/>
    <w:rsid w:val="00386150"/>
    <w:rsid w:val="003874CE"/>
    <w:rsid w:val="00390900"/>
    <w:rsid w:val="00391676"/>
    <w:rsid w:val="003A7F6C"/>
    <w:rsid w:val="003B4D60"/>
    <w:rsid w:val="003B7E39"/>
    <w:rsid w:val="003C58DC"/>
    <w:rsid w:val="003D1E62"/>
    <w:rsid w:val="003E0B99"/>
    <w:rsid w:val="003E2486"/>
    <w:rsid w:val="003E3208"/>
    <w:rsid w:val="003F0B04"/>
    <w:rsid w:val="0040134E"/>
    <w:rsid w:val="00412706"/>
    <w:rsid w:val="0041782B"/>
    <w:rsid w:val="0043205B"/>
    <w:rsid w:val="004334C7"/>
    <w:rsid w:val="00440A2D"/>
    <w:rsid w:val="00441C3F"/>
    <w:rsid w:val="00444D1A"/>
    <w:rsid w:val="0045186A"/>
    <w:rsid w:val="004564A7"/>
    <w:rsid w:val="00456765"/>
    <w:rsid w:val="004617BF"/>
    <w:rsid w:val="00463658"/>
    <w:rsid w:val="004637A0"/>
    <w:rsid w:val="004722CC"/>
    <w:rsid w:val="004814B5"/>
    <w:rsid w:val="00490483"/>
    <w:rsid w:val="004936E4"/>
    <w:rsid w:val="00494E60"/>
    <w:rsid w:val="00497487"/>
    <w:rsid w:val="004A2771"/>
    <w:rsid w:val="004A6189"/>
    <w:rsid w:val="004A7390"/>
    <w:rsid w:val="004B4F57"/>
    <w:rsid w:val="004B7B76"/>
    <w:rsid w:val="004C239D"/>
    <w:rsid w:val="004C2DCA"/>
    <w:rsid w:val="004C61D2"/>
    <w:rsid w:val="004F0C4A"/>
    <w:rsid w:val="004F0F38"/>
    <w:rsid w:val="004F47D6"/>
    <w:rsid w:val="004F67B7"/>
    <w:rsid w:val="00500337"/>
    <w:rsid w:val="00501921"/>
    <w:rsid w:val="00530354"/>
    <w:rsid w:val="0053625B"/>
    <w:rsid w:val="005434C6"/>
    <w:rsid w:val="00543B39"/>
    <w:rsid w:val="00546154"/>
    <w:rsid w:val="00550096"/>
    <w:rsid w:val="00555280"/>
    <w:rsid w:val="00557FF9"/>
    <w:rsid w:val="00562327"/>
    <w:rsid w:val="005711D5"/>
    <w:rsid w:val="00576378"/>
    <w:rsid w:val="00577130"/>
    <w:rsid w:val="00577945"/>
    <w:rsid w:val="00577E38"/>
    <w:rsid w:val="00585322"/>
    <w:rsid w:val="005857C6"/>
    <w:rsid w:val="00586D41"/>
    <w:rsid w:val="00592F6E"/>
    <w:rsid w:val="00593AD1"/>
    <w:rsid w:val="00597FBE"/>
    <w:rsid w:val="005A68B6"/>
    <w:rsid w:val="005C5570"/>
    <w:rsid w:val="005C79A4"/>
    <w:rsid w:val="005D5442"/>
    <w:rsid w:val="005F2AAA"/>
    <w:rsid w:val="00603F32"/>
    <w:rsid w:val="00605AD4"/>
    <w:rsid w:val="006136D7"/>
    <w:rsid w:val="00625A6E"/>
    <w:rsid w:val="00632398"/>
    <w:rsid w:val="00640FC3"/>
    <w:rsid w:val="00642020"/>
    <w:rsid w:val="006430EE"/>
    <w:rsid w:val="0065337B"/>
    <w:rsid w:val="0065419D"/>
    <w:rsid w:val="006603BC"/>
    <w:rsid w:val="006604D8"/>
    <w:rsid w:val="00664A5B"/>
    <w:rsid w:val="0066735C"/>
    <w:rsid w:val="006712DF"/>
    <w:rsid w:val="006763D2"/>
    <w:rsid w:val="00680C08"/>
    <w:rsid w:val="006916A0"/>
    <w:rsid w:val="00691946"/>
    <w:rsid w:val="00693106"/>
    <w:rsid w:val="006931B1"/>
    <w:rsid w:val="006A15C0"/>
    <w:rsid w:val="006A3527"/>
    <w:rsid w:val="006A58A8"/>
    <w:rsid w:val="006C3E2A"/>
    <w:rsid w:val="006C587B"/>
    <w:rsid w:val="006C642F"/>
    <w:rsid w:val="006D03E5"/>
    <w:rsid w:val="006D3191"/>
    <w:rsid w:val="006D5317"/>
    <w:rsid w:val="006D5D3E"/>
    <w:rsid w:val="006E08B3"/>
    <w:rsid w:val="006E642A"/>
    <w:rsid w:val="006F17AC"/>
    <w:rsid w:val="006F25B8"/>
    <w:rsid w:val="006F572E"/>
    <w:rsid w:val="007046D6"/>
    <w:rsid w:val="00705DB0"/>
    <w:rsid w:val="00722B57"/>
    <w:rsid w:val="00730F8A"/>
    <w:rsid w:val="00735A8C"/>
    <w:rsid w:val="0074253D"/>
    <w:rsid w:val="0074429B"/>
    <w:rsid w:val="007615BC"/>
    <w:rsid w:val="00762F05"/>
    <w:rsid w:val="007652FF"/>
    <w:rsid w:val="00770CAC"/>
    <w:rsid w:val="00770EF1"/>
    <w:rsid w:val="00773EF7"/>
    <w:rsid w:val="00774E1D"/>
    <w:rsid w:val="007765D8"/>
    <w:rsid w:val="0077675A"/>
    <w:rsid w:val="00780355"/>
    <w:rsid w:val="007819FD"/>
    <w:rsid w:val="00782358"/>
    <w:rsid w:val="00785717"/>
    <w:rsid w:val="00785721"/>
    <w:rsid w:val="00793A59"/>
    <w:rsid w:val="00794C57"/>
    <w:rsid w:val="007A46F5"/>
    <w:rsid w:val="007A6505"/>
    <w:rsid w:val="007B0865"/>
    <w:rsid w:val="007B59D7"/>
    <w:rsid w:val="007B6132"/>
    <w:rsid w:val="007B6E9F"/>
    <w:rsid w:val="007C1216"/>
    <w:rsid w:val="007C1AF7"/>
    <w:rsid w:val="007C6B9B"/>
    <w:rsid w:val="007D3FDB"/>
    <w:rsid w:val="00805D27"/>
    <w:rsid w:val="00806DCB"/>
    <w:rsid w:val="00821776"/>
    <w:rsid w:val="008232D7"/>
    <w:rsid w:val="008321F5"/>
    <w:rsid w:val="00832369"/>
    <w:rsid w:val="00834660"/>
    <w:rsid w:val="00836BC2"/>
    <w:rsid w:val="0085156D"/>
    <w:rsid w:val="008526C2"/>
    <w:rsid w:val="00852B28"/>
    <w:rsid w:val="0085641B"/>
    <w:rsid w:val="00857136"/>
    <w:rsid w:val="0086018A"/>
    <w:rsid w:val="00875A6B"/>
    <w:rsid w:val="00885B11"/>
    <w:rsid w:val="008867A2"/>
    <w:rsid w:val="00886D15"/>
    <w:rsid w:val="00887DD8"/>
    <w:rsid w:val="00891BA9"/>
    <w:rsid w:val="00896018"/>
    <w:rsid w:val="008960DD"/>
    <w:rsid w:val="0089635C"/>
    <w:rsid w:val="008A2B9D"/>
    <w:rsid w:val="008A3D9F"/>
    <w:rsid w:val="008A5E0B"/>
    <w:rsid w:val="008A6D59"/>
    <w:rsid w:val="008B4B03"/>
    <w:rsid w:val="008B4E21"/>
    <w:rsid w:val="008B596F"/>
    <w:rsid w:val="008C159F"/>
    <w:rsid w:val="008C1623"/>
    <w:rsid w:val="008C1850"/>
    <w:rsid w:val="008C1DC6"/>
    <w:rsid w:val="008C51A9"/>
    <w:rsid w:val="008E143D"/>
    <w:rsid w:val="008E6140"/>
    <w:rsid w:val="008E7846"/>
    <w:rsid w:val="008F02E5"/>
    <w:rsid w:val="008F1CCC"/>
    <w:rsid w:val="008F2967"/>
    <w:rsid w:val="008F6943"/>
    <w:rsid w:val="00902A21"/>
    <w:rsid w:val="0091523F"/>
    <w:rsid w:val="00920330"/>
    <w:rsid w:val="009219D7"/>
    <w:rsid w:val="00922D53"/>
    <w:rsid w:val="00923B70"/>
    <w:rsid w:val="00924482"/>
    <w:rsid w:val="00930237"/>
    <w:rsid w:val="00937C17"/>
    <w:rsid w:val="00940A89"/>
    <w:rsid w:val="00941F77"/>
    <w:rsid w:val="00946EA5"/>
    <w:rsid w:val="00963C08"/>
    <w:rsid w:val="009752A5"/>
    <w:rsid w:val="0098585A"/>
    <w:rsid w:val="009A3316"/>
    <w:rsid w:val="009A4CED"/>
    <w:rsid w:val="009A690D"/>
    <w:rsid w:val="009B1D12"/>
    <w:rsid w:val="009B416B"/>
    <w:rsid w:val="009C4BD5"/>
    <w:rsid w:val="009D7B77"/>
    <w:rsid w:val="009E0BB0"/>
    <w:rsid w:val="009E3FBB"/>
    <w:rsid w:val="009F09C0"/>
    <w:rsid w:val="009F0E49"/>
    <w:rsid w:val="009F7353"/>
    <w:rsid w:val="00A04F85"/>
    <w:rsid w:val="00A05FA4"/>
    <w:rsid w:val="00A102E4"/>
    <w:rsid w:val="00A1219C"/>
    <w:rsid w:val="00A12C42"/>
    <w:rsid w:val="00A14DF7"/>
    <w:rsid w:val="00A22D57"/>
    <w:rsid w:val="00A27D3C"/>
    <w:rsid w:val="00A3246D"/>
    <w:rsid w:val="00A36FA7"/>
    <w:rsid w:val="00A44DDB"/>
    <w:rsid w:val="00A475B7"/>
    <w:rsid w:val="00A47AF7"/>
    <w:rsid w:val="00A47C3E"/>
    <w:rsid w:val="00A50226"/>
    <w:rsid w:val="00A60BAD"/>
    <w:rsid w:val="00A77F87"/>
    <w:rsid w:val="00A80B5B"/>
    <w:rsid w:val="00A84E36"/>
    <w:rsid w:val="00A964D1"/>
    <w:rsid w:val="00AA0ED0"/>
    <w:rsid w:val="00AC2B40"/>
    <w:rsid w:val="00AC2BB2"/>
    <w:rsid w:val="00AC2C3C"/>
    <w:rsid w:val="00AC512D"/>
    <w:rsid w:val="00AD0083"/>
    <w:rsid w:val="00AD3935"/>
    <w:rsid w:val="00AE24C0"/>
    <w:rsid w:val="00AE65EB"/>
    <w:rsid w:val="00AE67A7"/>
    <w:rsid w:val="00AF1D94"/>
    <w:rsid w:val="00AF49DB"/>
    <w:rsid w:val="00AF60C5"/>
    <w:rsid w:val="00B009C6"/>
    <w:rsid w:val="00B01548"/>
    <w:rsid w:val="00B130C5"/>
    <w:rsid w:val="00B13EBD"/>
    <w:rsid w:val="00B21D29"/>
    <w:rsid w:val="00B25034"/>
    <w:rsid w:val="00B33588"/>
    <w:rsid w:val="00B33863"/>
    <w:rsid w:val="00B37D17"/>
    <w:rsid w:val="00B4175E"/>
    <w:rsid w:val="00B41C85"/>
    <w:rsid w:val="00B452CE"/>
    <w:rsid w:val="00B54C25"/>
    <w:rsid w:val="00B73065"/>
    <w:rsid w:val="00B76B91"/>
    <w:rsid w:val="00B77EB1"/>
    <w:rsid w:val="00B811C6"/>
    <w:rsid w:val="00B855B0"/>
    <w:rsid w:val="00B92E08"/>
    <w:rsid w:val="00BC622A"/>
    <w:rsid w:val="00BD02E6"/>
    <w:rsid w:val="00BD58DD"/>
    <w:rsid w:val="00BE0A78"/>
    <w:rsid w:val="00BE1EB1"/>
    <w:rsid w:val="00BE79F0"/>
    <w:rsid w:val="00BF046D"/>
    <w:rsid w:val="00BF1190"/>
    <w:rsid w:val="00BF3774"/>
    <w:rsid w:val="00BF5D04"/>
    <w:rsid w:val="00C009AA"/>
    <w:rsid w:val="00C1164D"/>
    <w:rsid w:val="00C16861"/>
    <w:rsid w:val="00C346AB"/>
    <w:rsid w:val="00C404A6"/>
    <w:rsid w:val="00C40A36"/>
    <w:rsid w:val="00C44419"/>
    <w:rsid w:val="00C45E7B"/>
    <w:rsid w:val="00C471B1"/>
    <w:rsid w:val="00C52E24"/>
    <w:rsid w:val="00C6316B"/>
    <w:rsid w:val="00C634A9"/>
    <w:rsid w:val="00C6437E"/>
    <w:rsid w:val="00C64586"/>
    <w:rsid w:val="00C70D53"/>
    <w:rsid w:val="00C729A0"/>
    <w:rsid w:val="00C72E6C"/>
    <w:rsid w:val="00C73281"/>
    <w:rsid w:val="00C73D0B"/>
    <w:rsid w:val="00C772FF"/>
    <w:rsid w:val="00C80137"/>
    <w:rsid w:val="00C801AF"/>
    <w:rsid w:val="00C80256"/>
    <w:rsid w:val="00C94CD4"/>
    <w:rsid w:val="00C9747E"/>
    <w:rsid w:val="00CA50DC"/>
    <w:rsid w:val="00CB6833"/>
    <w:rsid w:val="00CB6BC0"/>
    <w:rsid w:val="00CC1B7C"/>
    <w:rsid w:val="00CC727F"/>
    <w:rsid w:val="00CF15C3"/>
    <w:rsid w:val="00CF2B6F"/>
    <w:rsid w:val="00CF2F3E"/>
    <w:rsid w:val="00CF58B6"/>
    <w:rsid w:val="00D0062D"/>
    <w:rsid w:val="00D017ED"/>
    <w:rsid w:val="00D030DA"/>
    <w:rsid w:val="00D040D3"/>
    <w:rsid w:val="00D04C65"/>
    <w:rsid w:val="00D14ED4"/>
    <w:rsid w:val="00D153D8"/>
    <w:rsid w:val="00D201D2"/>
    <w:rsid w:val="00D224FE"/>
    <w:rsid w:val="00D23139"/>
    <w:rsid w:val="00D425BB"/>
    <w:rsid w:val="00D453FA"/>
    <w:rsid w:val="00D6493E"/>
    <w:rsid w:val="00D7195D"/>
    <w:rsid w:val="00D7256E"/>
    <w:rsid w:val="00D7301E"/>
    <w:rsid w:val="00D83AE1"/>
    <w:rsid w:val="00D855D4"/>
    <w:rsid w:val="00D902C9"/>
    <w:rsid w:val="00D93466"/>
    <w:rsid w:val="00DA1124"/>
    <w:rsid w:val="00DA64CB"/>
    <w:rsid w:val="00DB06B8"/>
    <w:rsid w:val="00DB6124"/>
    <w:rsid w:val="00DB750B"/>
    <w:rsid w:val="00DB75B7"/>
    <w:rsid w:val="00DC0A2F"/>
    <w:rsid w:val="00DC1948"/>
    <w:rsid w:val="00DC6E02"/>
    <w:rsid w:val="00DD28CD"/>
    <w:rsid w:val="00DE02AE"/>
    <w:rsid w:val="00DE39D1"/>
    <w:rsid w:val="00DF1D7F"/>
    <w:rsid w:val="00DF4BE4"/>
    <w:rsid w:val="00E02382"/>
    <w:rsid w:val="00E02FB4"/>
    <w:rsid w:val="00E04CF5"/>
    <w:rsid w:val="00E13FC7"/>
    <w:rsid w:val="00E20571"/>
    <w:rsid w:val="00E235F7"/>
    <w:rsid w:val="00E23659"/>
    <w:rsid w:val="00E239D4"/>
    <w:rsid w:val="00E26130"/>
    <w:rsid w:val="00E40158"/>
    <w:rsid w:val="00E40B22"/>
    <w:rsid w:val="00E44ED1"/>
    <w:rsid w:val="00E45619"/>
    <w:rsid w:val="00E4588F"/>
    <w:rsid w:val="00E46DA3"/>
    <w:rsid w:val="00E51BB1"/>
    <w:rsid w:val="00E55CB0"/>
    <w:rsid w:val="00E624A5"/>
    <w:rsid w:val="00E64BA4"/>
    <w:rsid w:val="00E7344E"/>
    <w:rsid w:val="00E82665"/>
    <w:rsid w:val="00EB0798"/>
    <w:rsid w:val="00EB40AD"/>
    <w:rsid w:val="00EB586E"/>
    <w:rsid w:val="00EB5FC8"/>
    <w:rsid w:val="00EC463D"/>
    <w:rsid w:val="00EC7A85"/>
    <w:rsid w:val="00ED2922"/>
    <w:rsid w:val="00ED3CAD"/>
    <w:rsid w:val="00ED5A41"/>
    <w:rsid w:val="00EE1DE8"/>
    <w:rsid w:val="00EE27C2"/>
    <w:rsid w:val="00EF4BAD"/>
    <w:rsid w:val="00EF59DC"/>
    <w:rsid w:val="00EF7AD0"/>
    <w:rsid w:val="00F033EC"/>
    <w:rsid w:val="00F04F68"/>
    <w:rsid w:val="00F12670"/>
    <w:rsid w:val="00F14B27"/>
    <w:rsid w:val="00F3148D"/>
    <w:rsid w:val="00F325C5"/>
    <w:rsid w:val="00F32FE0"/>
    <w:rsid w:val="00F35298"/>
    <w:rsid w:val="00F44532"/>
    <w:rsid w:val="00F47333"/>
    <w:rsid w:val="00F47E37"/>
    <w:rsid w:val="00F53C07"/>
    <w:rsid w:val="00F54B65"/>
    <w:rsid w:val="00F600C2"/>
    <w:rsid w:val="00F640B6"/>
    <w:rsid w:val="00F66DF2"/>
    <w:rsid w:val="00F80E40"/>
    <w:rsid w:val="00F848D9"/>
    <w:rsid w:val="00F84CE7"/>
    <w:rsid w:val="00FA5069"/>
    <w:rsid w:val="00FA5B82"/>
    <w:rsid w:val="00FA639E"/>
    <w:rsid w:val="00FC1FCA"/>
    <w:rsid w:val="00FC25E4"/>
    <w:rsid w:val="00FC4EF7"/>
    <w:rsid w:val="00FD0824"/>
    <w:rsid w:val="00FD119B"/>
    <w:rsid w:val="00FD1EDC"/>
    <w:rsid w:val="00FE1DEE"/>
    <w:rsid w:val="00FE476F"/>
    <w:rsid w:val="00FF2126"/>
    <w:rsid w:val="00FF5755"/>
    <w:rsid w:val="00FF69BE"/>
    <w:rsid w:val="00FF75A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49B5C1"/>
  <w15:docId w15:val="{95BB68CC-8A17-4BE1-9866-B8E6CCF4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597FBE"/>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Default">
    <w:name w:val="Default"/>
    <w:rsid w:val="004B4F57"/>
    <w:pPr>
      <w:autoSpaceDE w:val="0"/>
      <w:autoSpaceDN w:val="0"/>
      <w:adjustRightInd w:val="0"/>
      <w:spacing w:after="0" w:line="240" w:lineRule="auto"/>
    </w:pPr>
    <w:rPr>
      <w:rFonts w:ascii="Cambria" w:hAnsi="Cambria" w:cs="Cambria"/>
      <w:color w:val="000000"/>
      <w:sz w:val="24"/>
      <w:szCs w:val="24"/>
    </w:rPr>
  </w:style>
  <w:style w:type="character" w:customStyle="1" w:styleId="TabletextChar">
    <w:name w:val="Table text Char"/>
    <w:basedOn w:val="DefaultParagraphFont"/>
    <w:link w:val="Tabletext"/>
    <w:rsid w:val="004B4F57"/>
    <w:rPr>
      <w:rFonts w:ascii="Cambria" w:eastAsia="Cambria" w:hAnsi="Cambria" w:cs="Times New Roman"/>
      <w:sz w:val="19"/>
    </w:rPr>
  </w:style>
  <w:style w:type="paragraph" w:styleId="ListParagraph">
    <w:name w:val="List Paragraph"/>
    <w:basedOn w:val="Normal"/>
    <w:uiPriority w:val="34"/>
    <w:rsid w:val="004B4F57"/>
    <w:pPr>
      <w:adjustRightInd w:val="0"/>
      <w:snapToGrid w:val="0"/>
      <w:spacing w:before="180" w:after="180"/>
      <w:ind w:left="720"/>
      <w:contextualSpacing/>
    </w:pPr>
    <w:rPr>
      <w:rFonts w:eastAsia="MS Mincho"/>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449203">
      <w:bodyDiv w:val="1"/>
      <w:marLeft w:val="0"/>
      <w:marRight w:val="0"/>
      <w:marTop w:val="0"/>
      <w:marBottom w:val="0"/>
      <w:divBdr>
        <w:top w:val="none" w:sz="0" w:space="0" w:color="auto"/>
        <w:left w:val="none" w:sz="0" w:space="0" w:color="auto"/>
        <w:bottom w:val="none" w:sz="0" w:space="0" w:color="auto"/>
        <w:right w:val="none" w:sz="0" w:space="0" w:color="auto"/>
      </w:divBdr>
    </w:div>
    <w:div w:id="1500189827">
      <w:bodyDiv w:val="1"/>
      <w:marLeft w:val="0"/>
      <w:marRight w:val="0"/>
      <w:marTop w:val="0"/>
      <w:marBottom w:val="0"/>
      <w:divBdr>
        <w:top w:val="none" w:sz="0" w:space="0" w:color="auto"/>
        <w:left w:val="none" w:sz="0" w:space="0" w:color="auto"/>
        <w:bottom w:val="none" w:sz="0" w:space="0" w:color="auto"/>
        <w:right w:val="none" w:sz="0" w:space="0" w:color="auto"/>
      </w:divBdr>
      <w:divsChild>
        <w:div w:id="710686816">
          <w:marLeft w:val="0"/>
          <w:marRight w:val="0"/>
          <w:marTop w:val="0"/>
          <w:marBottom w:val="0"/>
          <w:divBdr>
            <w:top w:val="none" w:sz="0" w:space="0" w:color="auto"/>
            <w:left w:val="none" w:sz="0" w:space="0" w:color="auto"/>
            <w:bottom w:val="none" w:sz="0" w:space="0" w:color="auto"/>
            <w:right w:val="none" w:sz="0" w:space="0" w:color="auto"/>
          </w:divBdr>
          <w:divsChild>
            <w:div w:id="322467169">
              <w:marLeft w:val="0"/>
              <w:marRight w:val="0"/>
              <w:marTop w:val="0"/>
              <w:marBottom w:val="0"/>
              <w:divBdr>
                <w:top w:val="none" w:sz="0" w:space="0" w:color="auto"/>
                <w:left w:val="none" w:sz="0" w:space="0" w:color="auto"/>
                <w:bottom w:val="none" w:sz="0" w:space="0" w:color="auto"/>
                <w:right w:val="none" w:sz="0" w:space="0" w:color="auto"/>
              </w:divBdr>
              <w:divsChild>
                <w:div w:id="1305431966">
                  <w:marLeft w:val="0"/>
                  <w:marRight w:val="0"/>
                  <w:marTop w:val="0"/>
                  <w:marBottom w:val="0"/>
                  <w:divBdr>
                    <w:top w:val="none" w:sz="0" w:space="0" w:color="auto"/>
                    <w:left w:val="none" w:sz="0" w:space="0" w:color="auto"/>
                    <w:bottom w:val="none" w:sz="0" w:space="0" w:color="auto"/>
                    <w:right w:val="none" w:sz="0" w:space="0" w:color="auto"/>
                  </w:divBdr>
                  <w:divsChild>
                    <w:div w:id="1306008783">
                      <w:marLeft w:val="0"/>
                      <w:marRight w:val="0"/>
                      <w:marTop w:val="0"/>
                      <w:marBottom w:val="0"/>
                      <w:divBdr>
                        <w:top w:val="none" w:sz="0" w:space="0" w:color="auto"/>
                        <w:left w:val="none" w:sz="0" w:space="0" w:color="auto"/>
                        <w:bottom w:val="none" w:sz="0" w:space="0" w:color="auto"/>
                        <w:right w:val="none" w:sz="0" w:space="0" w:color="auto"/>
                      </w:divBdr>
                      <w:divsChild>
                        <w:div w:id="521435290">
                          <w:marLeft w:val="0"/>
                          <w:marRight w:val="0"/>
                          <w:marTop w:val="0"/>
                          <w:marBottom w:val="0"/>
                          <w:divBdr>
                            <w:top w:val="none" w:sz="0" w:space="0" w:color="auto"/>
                            <w:left w:val="none" w:sz="0" w:space="0" w:color="auto"/>
                            <w:bottom w:val="none" w:sz="0" w:space="0" w:color="auto"/>
                            <w:right w:val="none" w:sz="0" w:space="0" w:color="auto"/>
                          </w:divBdr>
                          <w:divsChild>
                            <w:div w:id="40862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457875">
      <w:bodyDiv w:val="1"/>
      <w:marLeft w:val="0"/>
      <w:marRight w:val="0"/>
      <w:marTop w:val="0"/>
      <w:marBottom w:val="0"/>
      <w:divBdr>
        <w:top w:val="none" w:sz="0" w:space="0" w:color="auto"/>
        <w:left w:val="none" w:sz="0" w:space="0" w:color="auto"/>
        <w:bottom w:val="none" w:sz="0" w:space="0" w:color="auto"/>
        <w:right w:val="none" w:sz="0" w:space="0" w:color="auto"/>
      </w:divBdr>
      <w:divsChild>
        <w:div w:id="884954230">
          <w:marLeft w:val="0"/>
          <w:marRight w:val="0"/>
          <w:marTop w:val="0"/>
          <w:marBottom w:val="0"/>
          <w:divBdr>
            <w:top w:val="none" w:sz="0" w:space="0" w:color="auto"/>
            <w:left w:val="none" w:sz="0" w:space="0" w:color="auto"/>
            <w:bottom w:val="none" w:sz="0" w:space="0" w:color="auto"/>
            <w:right w:val="none" w:sz="0" w:space="0" w:color="auto"/>
          </w:divBdr>
          <w:divsChild>
            <w:div w:id="769013915">
              <w:marLeft w:val="0"/>
              <w:marRight w:val="0"/>
              <w:marTop w:val="0"/>
              <w:marBottom w:val="0"/>
              <w:divBdr>
                <w:top w:val="none" w:sz="0" w:space="0" w:color="auto"/>
                <w:left w:val="none" w:sz="0" w:space="0" w:color="auto"/>
                <w:bottom w:val="none" w:sz="0" w:space="0" w:color="auto"/>
                <w:right w:val="none" w:sz="0" w:space="0" w:color="auto"/>
              </w:divBdr>
              <w:divsChild>
                <w:div w:id="1844007819">
                  <w:marLeft w:val="0"/>
                  <w:marRight w:val="0"/>
                  <w:marTop w:val="0"/>
                  <w:marBottom w:val="0"/>
                  <w:divBdr>
                    <w:top w:val="none" w:sz="0" w:space="0" w:color="auto"/>
                    <w:left w:val="none" w:sz="0" w:space="0" w:color="auto"/>
                    <w:bottom w:val="none" w:sz="0" w:space="0" w:color="auto"/>
                    <w:right w:val="none" w:sz="0" w:space="0" w:color="auto"/>
                  </w:divBdr>
                  <w:divsChild>
                    <w:div w:id="1498762695">
                      <w:marLeft w:val="0"/>
                      <w:marRight w:val="0"/>
                      <w:marTop w:val="0"/>
                      <w:marBottom w:val="0"/>
                      <w:divBdr>
                        <w:top w:val="none" w:sz="0" w:space="0" w:color="auto"/>
                        <w:left w:val="none" w:sz="0" w:space="0" w:color="auto"/>
                        <w:bottom w:val="none" w:sz="0" w:space="0" w:color="auto"/>
                        <w:right w:val="none" w:sz="0" w:space="0" w:color="auto"/>
                      </w:divBdr>
                      <w:divsChild>
                        <w:div w:id="1525170693">
                          <w:marLeft w:val="0"/>
                          <w:marRight w:val="0"/>
                          <w:marTop w:val="0"/>
                          <w:marBottom w:val="0"/>
                          <w:divBdr>
                            <w:top w:val="none" w:sz="0" w:space="0" w:color="auto"/>
                            <w:left w:val="none" w:sz="0" w:space="0" w:color="auto"/>
                            <w:bottom w:val="none" w:sz="0" w:space="0" w:color="auto"/>
                            <w:right w:val="none" w:sz="0" w:space="0" w:color="auto"/>
                          </w:divBdr>
                          <w:divsChild>
                            <w:div w:id="36421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681833">
      <w:bodyDiv w:val="1"/>
      <w:marLeft w:val="0"/>
      <w:marRight w:val="0"/>
      <w:marTop w:val="0"/>
      <w:marBottom w:val="0"/>
      <w:divBdr>
        <w:top w:val="none" w:sz="0" w:space="0" w:color="auto"/>
        <w:left w:val="none" w:sz="0" w:space="0" w:color="auto"/>
        <w:bottom w:val="none" w:sz="0" w:space="0" w:color="auto"/>
        <w:right w:val="none" w:sz="0" w:space="0" w:color="auto"/>
      </w:divBdr>
    </w:div>
    <w:div w:id="156390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eader" Target="header6.xm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tga.gov.au/product-information-pi" TargetMode="External"/><Relationship Id="rId20" Type="http://schemas.openxmlformats.org/officeDocument/2006/relationships/image" Target="media/image5.pn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5.xml"/><Relationship Id="rId32"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hyperlink" Target="https://www.tga.gov.au" TargetMode="External"/><Relationship Id="rId10" Type="http://schemas.openxmlformats.org/officeDocument/2006/relationships/header" Target="header1.xml"/><Relationship Id="rId19" Type="http://schemas.openxmlformats.org/officeDocument/2006/relationships/image" Target="media/image4.emf"/><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hyperlink" Target="https://www.tga.gov.au/product-information-pi" TargetMode="External"/><Relationship Id="rId27" Type="http://schemas.openxmlformats.org/officeDocument/2006/relationships/hyperlink" Target="mailto:info@tga.gov.au" TargetMode="External"/><Relationship Id="rId30" Type="http://schemas.openxmlformats.org/officeDocument/2006/relationships/header" Target="header8.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5601A-E237-46ED-B9AA-58E7455BA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7537</Words>
  <Characters>42966</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Australian public assessment for...</vt:lpstr>
    </vt:vector>
  </TitlesOfParts>
  <Company>Department of Health Therapeutic Goods Administration</Company>
  <LinksUpToDate>false</LinksUpToDate>
  <CharactersWithSpaces>50403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Cenegermin (rbe)</dc:title>
  <dc:subject>prescription medicines</dc:subject>
  <dc:creator> Therapeutic Goods Administration</dc:creator>
  <cp:keywords>AusPARs</cp:keywords>
  <cp:lastPrinted>2019-08-14T04:30:00Z</cp:lastPrinted>
  <dcterms:created xsi:type="dcterms:W3CDTF">2019-12-23T00:24:00Z</dcterms:created>
  <dcterms:modified xsi:type="dcterms:W3CDTF">2019-12-23T00:26:00Z</dcterms:modified>
  <cp:category/>
</cp:coreProperties>
</file>