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0EAA3E22" w14:textId="77777777" w:rsidTr="00BF1190">
        <w:trPr>
          <w:trHeight w:val="1863"/>
        </w:trPr>
        <w:tc>
          <w:tcPr>
            <w:tcW w:w="3652" w:type="dxa"/>
            <w:tcBorders>
              <w:top w:val="nil"/>
              <w:left w:val="nil"/>
              <w:bottom w:val="nil"/>
              <w:right w:val="nil"/>
            </w:tcBorders>
          </w:tcPr>
          <w:p w14:paraId="26CC822A" w14:textId="4B8573ED" w:rsidR="008E7846" w:rsidRPr="00096AA7" w:rsidRDefault="00AB6023" w:rsidP="00096AA7">
            <w:pPr>
              <w:rPr>
                <w:rFonts w:ascii="Arial" w:hAnsi="Arial" w:cs="Arial"/>
                <w:b/>
                <w:color w:val="002C47"/>
                <w:sz w:val="36"/>
                <w:szCs w:val="36"/>
              </w:rPr>
            </w:pPr>
            <w:r>
              <w:rPr>
                <w:rFonts w:ascii="Arial" w:hAnsi="Arial" w:cs="Arial"/>
                <w:b/>
                <w:color w:val="002C47"/>
                <w:sz w:val="36"/>
                <w:szCs w:val="36"/>
              </w:rPr>
              <w:t xml:space="preserve">February </w:t>
            </w:r>
            <w:r w:rsidR="00F60AA7">
              <w:rPr>
                <w:rFonts w:ascii="Arial" w:hAnsi="Arial" w:cs="Arial"/>
                <w:b/>
                <w:color w:val="002C47"/>
                <w:sz w:val="36"/>
                <w:szCs w:val="36"/>
              </w:rPr>
              <w:t>2020</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096FAC9D" w14:textId="77777777" w:rsidTr="0032583B">
        <w:trPr>
          <w:trHeight w:val="868"/>
        </w:trPr>
        <w:tc>
          <w:tcPr>
            <w:tcW w:w="9079" w:type="dxa"/>
          </w:tcPr>
          <w:p w14:paraId="341E4CA9" w14:textId="70161489" w:rsidR="0032583B" w:rsidRPr="00854B09" w:rsidRDefault="0032583B" w:rsidP="00854B09">
            <w:pPr>
              <w:pStyle w:val="Title"/>
              <w:framePr w:hSpace="0" w:wrap="auto" w:vAnchor="margin" w:yAlign="inline"/>
            </w:pPr>
            <w:r w:rsidRPr="00854B09">
              <w:t>Australia</w:t>
            </w:r>
            <w:r w:rsidR="005E2185" w:rsidRPr="00854B09">
              <w:t>n Public Ass</w:t>
            </w:r>
            <w:r w:rsidR="00D320F4" w:rsidRPr="00854B09">
              <w:t>essment Report for Ceftazidime/</w:t>
            </w:r>
            <w:r w:rsidR="00576FFD" w:rsidRPr="00854B09">
              <w:t>A</w:t>
            </w:r>
            <w:r w:rsidR="005E2185" w:rsidRPr="00854B09">
              <w:t>vibactam</w:t>
            </w:r>
          </w:p>
        </w:tc>
      </w:tr>
      <w:tr w:rsidR="0032583B" w:rsidRPr="00B64760" w14:paraId="08DCD6C1" w14:textId="77777777" w:rsidTr="0032583B">
        <w:tc>
          <w:tcPr>
            <w:tcW w:w="9079" w:type="dxa"/>
          </w:tcPr>
          <w:p w14:paraId="1C3DC5E0" w14:textId="77777777" w:rsidR="0032583B" w:rsidRPr="008E7846" w:rsidRDefault="005E2185" w:rsidP="00854B09">
            <w:pPr>
              <w:pStyle w:val="Subtitle"/>
              <w:framePr w:hSpace="0" w:wrap="auto" w:vAnchor="margin" w:yAlign="inline"/>
            </w:pPr>
            <w:r>
              <w:t xml:space="preserve">Proprietary Product Name: </w:t>
            </w:r>
            <w:r w:rsidRPr="006F48EE">
              <w:t>Zavicefta</w:t>
            </w:r>
          </w:p>
        </w:tc>
      </w:tr>
      <w:tr w:rsidR="0032583B" w:rsidRPr="00B64760" w14:paraId="500D5DBA" w14:textId="77777777" w:rsidTr="0032583B">
        <w:trPr>
          <w:trHeight w:val="486"/>
        </w:trPr>
        <w:tc>
          <w:tcPr>
            <w:tcW w:w="9079" w:type="dxa"/>
          </w:tcPr>
          <w:p w14:paraId="1B275C51" w14:textId="77777777" w:rsidR="0032583B" w:rsidRPr="008E7846" w:rsidRDefault="0032583B" w:rsidP="00854B09">
            <w:pPr>
              <w:pStyle w:val="Subtitle"/>
              <w:framePr w:hSpace="0" w:wrap="auto" w:vAnchor="margin" w:yAlign="inline"/>
            </w:pPr>
            <w:r w:rsidRPr="008E7846">
              <w:t xml:space="preserve">Sponsor: </w:t>
            </w:r>
            <w:r w:rsidR="005E2185" w:rsidRPr="009C3876">
              <w:t>Pfizer Australia Pty Ltd</w:t>
            </w:r>
          </w:p>
        </w:tc>
      </w:tr>
    </w:tbl>
    <w:p w14:paraId="2BD17B4B" w14:textId="77777777" w:rsidR="008E7846" w:rsidRPr="0085156D" w:rsidRDefault="008E7846" w:rsidP="0085156D">
      <w:r w:rsidRPr="0085156D">
        <w:br w:type="page"/>
      </w:r>
    </w:p>
    <w:p w14:paraId="1E73B41B" w14:textId="77777777" w:rsidR="008E7846" w:rsidRPr="001F6CBA" w:rsidRDefault="008E7846" w:rsidP="008E7846">
      <w:pPr>
        <w:pStyle w:val="NonTOCHeading2"/>
      </w:pPr>
      <w:r w:rsidRPr="001F6CBA">
        <w:lastRenderedPageBreak/>
        <w:t>About the Therapeutic Goods Administration (TGA)</w:t>
      </w:r>
    </w:p>
    <w:p w14:paraId="57D12AB3" w14:textId="77777777" w:rsidR="008E7846" w:rsidRDefault="008E7846" w:rsidP="00854B09">
      <w:pPr>
        <w:pStyle w:val="ListBullet"/>
      </w:pPr>
      <w:r>
        <w:t xml:space="preserve">The Therapeutic Goods Administration (TGA) is </w:t>
      </w:r>
      <w:r w:rsidR="00E624A5">
        <w:t xml:space="preserve">part </w:t>
      </w:r>
      <w:r>
        <w:t>of the Australian Government Department of Health and is responsible for regulating medicines and medical devices.</w:t>
      </w:r>
    </w:p>
    <w:p w14:paraId="0E600C64" w14:textId="77777777" w:rsidR="008E7846" w:rsidRDefault="00C80137" w:rsidP="00854B09">
      <w:pPr>
        <w:pStyle w:val="ListBullet"/>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15C8195E" w14:textId="77777777" w:rsidR="008E7846" w:rsidRDefault="008E7846" w:rsidP="00854B09">
      <w:pPr>
        <w:pStyle w:val="ListBullet"/>
      </w:pPr>
      <w:r>
        <w:t>The work of the TGA is based on applying scientific and clinical expertise to decision-making, to ensure that the benefits to consumers outweigh any risks associated with the use of medicines and medical devices.</w:t>
      </w:r>
    </w:p>
    <w:p w14:paraId="3881F81A" w14:textId="77777777" w:rsidR="008E7846" w:rsidRDefault="008E7846" w:rsidP="00854B09">
      <w:pPr>
        <w:pStyle w:val="ListBullet"/>
      </w:pPr>
      <w:r>
        <w:t>The TGA relies on the public, healthcare professionals and industry to report problems with medicines or medical devices. TGA investigates reports received by it to determine any necessary regulatory action.</w:t>
      </w:r>
    </w:p>
    <w:p w14:paraId="6D17C5D3" w14:textId="77777777"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440D1B53" w14:textId="77777777" w:rsidR="008E7846" w:rsidRDefault="008E7846" w:rsidP="00875A6B">
      <w:pPr>
        <w:pStyle w:val="NonTOCHeading2"/>
      </w:pPr>
      <w:r>
        <w:t>About AusPARs</w:t>
      </w:r>
    </w:p>
    <w:p w14:paraId="45DE19BE"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748E58A6" w14:textId="77777777" w:rsidR="008E7846" w:rsidRDefault="008E7846" w:rsidP="008E7846">
      <w:pPr>
        <w:pStyle w:val="ListBullet"/>
        <w:numPr>
          <w:ilvl w:val="0"/>
          <w:numId w:val="3"/>
        </w:numPr>
        <w:ind w:left="357" w:hanging="357"/>
      </w:pPr>
      <w:r>
        <w:t>AusPARs are prepared and published by the TGA.</w:t>
      </w:r>
    </w:p>
    <w:p w14:paraId="13EBD537"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595F4AAA"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37C031A0"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633CA71B" w14:textId="77777777" w:rsidR="00924482" w:rsidRPr="00DF1D7F" w:rsidRDefault="00924482" w:rsidP="00F54B65">
      <w:pPr>
        <w:pStyle w:val="LegalSubheading"/>
        <w:spacing w:before="3120"/>
      </w:pPr>
      <w:r w:rsidRPr="00DF1D7F">
        <w:t>Copyright</w:t>
      </w:r>
    </w:p>
    <w:p w14:paraId="28E3AACD" w14:textId="77777777" w:rsidR="00924482" w:rsidRDefault="00924482" w:rsidP="00924482">
      <w:pPr>
        <w:pStyle w:val="LegalCopy"/>
      </w:pPr>
      <w:r w:rsidRPr="00191B3B">
        <w:rPr>
          <w:rFonts w:cs="Arial"/>
          <w:lang w:val="en-GB"/>
        </w:rPr>
        <w:t>© Comm</w:t>
      </w:r>
      <w:r w:rsidR="00DF0CEB">
        <w:rPr>
          <w:rFonts w:cs="Arial"/>
          <w:lang w:val="en-GB"/>
        </w:rPr>
        <w:t>onwealth of Australia 2020</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14:paraId="411C34D8" w14:textId="77777777"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7224090C" w14:textId="77777777" w:rsidR="0089635C" w:rsidRPr="0089635C" w:rsidRDefault="0089635C" w:rsidP="0010788A">
          <w:pPr>
            <w:pStyle w:val="Contents"/>
          </w:pPr>
          <w:r w:rsidRPr="0010788A">
            <w:t>Contents</w:t>
          </w:r>
        </w:p>
        <w:bookmarkStart w:id="2" w:name="_GoBack"/>
        <w:bookmarkEnd w:id="2"/>
        <w:p w14:paraId="3A153FD0" w14:textId="04E16C3B" w:rsidR="00FC03C0" w:rsidRDefault="00960520">
          <w:pPr>
            <w:pStyle w:val="TOC2"/>
            <w:rPr>
              <w:rFonts w:asciiTheme="minorHAnsi" w:eastAsiaTheme="minorEastAsia" w:hAnsiTheme="minorHAnsi" w:cstheme="minorBidi"/>
              <w:b w:val="0"/>
              <w:noProof/>
              <w:sz w:val="22"/>
              <w:lang w:eastAsia="en-AU"/>
            </w:rPr>
          </w:pPr>
          <w:r>
            <w:fldChar w:fldCharType="begin"/>
          </w:r>
          <w:r>
            <w:instrText xml:space="preserve"> TOC \o "3-3" \h \z \t "Heading 1,1,Heading 2,2" </w:instrText>
          </w:r>
          <w:r>
            <w:fldChar w:fldCharType="separate"/>
          </w:r>
          <w:hyperlink w:anchor="_Toc34385592" w:history="1">
            <w:r w:rsidR="00FC03C0" w:rsidRPr="00740135">
              <w:rPr>
                <w:rStyle w:val="Hyperlink"/>
                <w:noProof/>
              </w:rPr>
              <w:t>Common abbreviations</w:t>
            </w:r>
            <w:r w:rsidR="00FC03C0">
              <w:rPr>
                <w:noProof/>
                <w:webHidden/>
              </w:rPr>
              <w:tab/>
            </w:r>
            <w:r w:rsidR="00FC03C0">
              <w:rPr>
                <w:noProof/>
                <w:webHidden/>
              </w:rPr>
              <w:fldChar w:fldCharType="begin"/>
            </w:r>
            <w:r w:rsidR="00FC03C0">
              <w:rPr>
                <w:noProof/>
                <w:webHidden/>
              </w:rPr>
              <w:instrText xml:space="preserve"> PAGEREF _Toc34385592 \h </w:instrText>
            </w:r>
            <w:r w:rsidR="00FC03C0">
              <w:rPr>
                <w:noProof/>
                <w:webHidden/>
              </w:rPr>
            </w:r>
            <w:r w:rsidR="00FC03C0">
              <w:rPr>
                <w:noProof/>
                <w:webHidden/>
              </w:rPr>
              <w:fldChar w:fldCharType="separate"/>
            </w:r>
            <w:r w:rsidR="00FC03C0">
              <w:rPr>
                <w:noProof/>
                <w:webHidden/>
              </w:rPr>
              <w:t>4</w:t>
            </w:r>
            <w:r w:rsidR="00FC03C0">
              <w:rPr>
                <w:noProof/>
                <w:webHidden/>
              </w:rPr>
              <w:fldChar w:fldCharType="end"/>
            </w:r>
          </w:hyperlink>
        </w:p>
        <w:p w14:paraId="5C3DDF8F" w14:textId="6BB08323" w:rsidR="00FC03C0" w:rsidRDefault="00FC03C0">
          <w:pPr>
            <w:pStyle w:val="TOC2"/>
            <w:rPr>
              <w:rFonts w:asciiTheme="minorHAnsi" w:eastAsiaTheme="minorEastAsia" w:hAnsiTheme="minorHAnsi" w:cstheme="minorBidi"/>
              <w:b w:val="0"/>
              <w:noProof/>
              <w:sz w:val="22"/>
              <w:lang w:eastAsia="en-AU"/>
            </w:rPr>
          </w:pPr>
          <w:hyperlink w:anchor="_Toc34385593" w:history="1">
            <w:r w:rsidRPr="00740135">
              <w:rPr>
                <w:rStyle w:val="Hyperlink"/>
                <w:noProof/>
              </w:rPr>
              <w:t>I. Introduction to product submission</w:t>
            </w:r>
            <w:r>
              <w:rPr>
                <w:noProof/>
                <w:webHidden/>
              </w:rPr>
              <w:tab/>
            </w:r>
            <w:r>
              <w:rPr>
                <w:noProof/>
                <w:webHidden/>
              </w:rPr>
              <w:fldChar w:fldCharType="begin"/>
            </w:r>
            <w:r>
              <w:rPr>
                <w:noProof/>
                <w:webHidden/>
              </w:rPr>
              <w:instrText xml:space="preserve"> PAGEREF _Toc34385593 \h </w:instrText>
            </w:r>
            <w:r>
              <w:rPr>
                <w:noProof/>
                <w:webHidden/>
              </w:rPr>
            </w:r>
            <w:r>
              <w:rPr>
                <w:noProof/>
                <w:webHidden/>
              </w:rPr>
              <w:fldChar w:fldCharType="separate"/>
            </w:r>
            <w:r>
              <w:rPr>
                <w:noProof/>
                <w:webHidden/>
              </w:rPr>
              <w:t>8</w:t>
            </w:r>
            <w:r>
              <w:rPr>
                <w:noProof/>
                <w:webHidden/>
              </w:rPr>
              <w:fldChar w:fldCharType="end"/>
            </w:r>
          </w:hyperlink>
        </w:p>
        <w:p w14:paraId="4CB6585A" w14:textId="434B1601" w:rsidR="00FC03C0" w:rsidRDefault="00FC03C0">
          <w:pPr>
            <w:pStyle w:val="TOC3"/>
            <w:rPr>
              <w:rFonts w:asciiTheme="minorHAnsi" w:eastAsiaTheme="minorEastAsia" w:hAnsiTheme="minorHAnsi" w:cstheme="minorBidi"/>
              <w:noProof/>
              <w:lang w:eastAsia="en-AU"/>
            </w:rPr>
          </w:pPr>
          <w:hyperlink w:anchor="_Toc34385594" w:history="1">
            <w:r w:rsidRPr="00740135">
              <w:rPr>
                <w:rStyle w:val="Hyperlink"/>
                <w:noProof/>
                <w:lang w:eastAsia="en-AU"/>
              </w:rPr>
              <w:t>Submission details</w:t>
            </w:r>
            <w:r>
              <w:rPr>
                <w:noProof/>
                <w:webHidden/>
              </w:rPr>
              <w:tab/>
            </w:r>
            <w:r>
              <w:rPr>
                <w:noProof/>
                <w:webHidden/>
              </w:rPr>
              <w:fldChar w:fldCharType="begin"/>
            </w:r>
            <w:r>
              <w:rPr>
                <w:noProof/>
                <w:webHidden/>
              </w:rPr>
              <w:instrText xml:space="preserve"> PAGEREF _Toc34385594 \h </w:instrText>
            </w:r>
            <w:r>
              <w:rPr>
                <w:noProof/>
                <w:webHidden/>
              </w:rPr>
            </w:r>
            <w:r>
              <w:rPr>
                <w:noProof/>
                <w:webHidden/>
              </w:rPr>
              <w:fldChar w:fldCharType="separate"/>
            </w:r>
            <w:r>
              <w:rPr>
                <w:noProof/>
                <w:webHidden/>
              </w:rPr>
              <w:t>8</w:t>
            </w:r>
            <w:r>
              <w:rPr>
                <w:noProof/>
                <w:webHidden/>
              </w:rPr>
              <w:fldChar w:fldCharType="end"/>
            </w:r>
          </w:hyperlink>
        </w:p>
        <w:p w14:paraId="0A6841A6" w14:textId="490E719C" w:rsidR="00FC03C0" w:rsidRDefault="00FC03C0">
          <w:pPr>
            <w:pStyle w:val="TOC3"/>
            <w:rPr>
              <w:rFonts w:asciiTheme="minorHAnsi" w:eastAsiaTheme="minorEastAsia" w:hAnsiTheme="minorHAnsi" w:cstheme="minorBidi"/>
              <w:noProof/>
              <w:lang w:eastAsia="en-AU"/>
            </w:rPr>
          </w:pPr>
          <w:hyperlink w:anchor="_Toc34385595" w:history="1">
            <w:r w:rsidRPr="00740135">
              <w:rPr>
                <w:rStyle w:val="Hyperlink"/>
                <w:noProof/>
              </w:rPr>
              <w:t>Product background</w:t>
            </w:r>
            <w:r>
              <w:rPr>
                <w:noProof/>
                <w:webHidden/>
              </w:rPr>
              <w:tab/>
            </w:r>
            <w:r>
              <w:rPr>
                <w:noProof/>
                <w:webHidden/>
              </w:rPr>
              <w:fldChar w:fldCharType="begin"/>
            </w:r>
            <w:r>
              <w:rPr>
                <w:noProof/>
                <w:webHidden/>
              </w:rPr>
              <w:instrText xml:space="preserve"> PAGEREF _Toc34385595 \h </w:instrText>
            </w:r>
            <w:r>
              <w:rPr>
                <w:noProof/>
                <w:webHidden/>
              </w:rPr>
            </w:r>
            <w:r>
              <w:rPr>
                <w:noProof/>
                <w:webHidden/>
              </w:rPr>
              <w:fldChar w:fldCharType="separate"/>
            </w:r>
            <w:r>
              <w:rPr>
                <w:noProof/>
                <w:webHidden/>
              </w:rPr>
              <w:t>9</w:t>
            </w:r>
            <w:r>
              <w:rPr>
                <w:noProof/>
                <w:webHidden/>
              </w:rPr>
              <w:fldChar w:fldCharType="end"/>
            </w:r>
          </w:hyperlink>
        </w:p>
        <w:p w14:paraId="5CAB45AF" w14:textId="73C285CE" w:rsidR="00FC03C0" w:rsidRDefault="00FC03C0">
          <w:pPr>
            <w:pStyle w:val="TOC3"/>
            <w:rPr>
              <w:rFonts w:asciiTheme="minorHAnsi" w:eastAsiaTheme="minorEastAsia" w:hAnsiTheme="minorHAnsi" w:cstheme="minorBidi"/>
              <w:noProof/>
              <w:lang w:eastAsia="en-AU"/>
            </w:rPr>
          </w:pPr>
          <w:hyperlink w:anchor="_Toc34385596" w:history="1">
            <w:r w:rsidRPr="00740135">
              <w:rPr>
                <w:rStyle w:val="Hyperlink"/>
                <w:noProof/>
              </w:rPr>
              <w:t>Regulatory status</w:t>
            </w:r>
            <w:r>
              <w:rPr>
                <w:noProof/>
                <w:webHidden/>
              </w:rPr>
              <w:tab/>
            </w:r>
            <w:r>
              <w:rPr>
                <w:noProof/>
                <w:webHidden/>
              </w:rPr>
              <w:fldChar w:fldCharType="begin"/>
            </w:r>
            <w:r>
              <w:rPr>
                <w:noProof/>
                <w:webHidden/>
              </w:rPr>
              <w:instrText xml:space="preserve"> PAGEREF _Toc34385596 \h </w:instrText>
            </w:r>
            <w:r>
              <w:rPr>
                <w:noProof/>
                <w:webHidden/>
              </w:rPr>
            </w:r>
            <w:r>
              <w:rPr>
                <w:noProof/>
                <w:webHidden/>
              </w:rPr>
              <w:fldChar w:fldCharType="separate"/>
            </w:r>
            <w:r>
              <w:rPr>
                <w:noProof/>
                <w:webHidden/>
              </w:rPr>
              <w:t>10</w:t>
            </w:r>
            <w:r>
              <w:rPr>
                <w:noProof/>
                <w:webHidden/>
              </w:rPr>
              <w:fldChar w:fldCharType="end"/>
            </w:r>
          </w:hyperlink>
        </w:p>
        <w:p w14:paraId="319D363F" w14:textId="5FC0F045" w:rsidR="00FC03C0" w:rsidRDefault="00FC03C0">
          <w:pPr>
            <w:pStyle w:val="TOC3"/>
            <w:rPr>
              <w:rFonts w:asciiTheme="minorHAnsi" w:eastAsiaTheme="minorEastAsia" w:hAnsiTheme="minorHAnsi" w:cstheme="minorBidi"/>
              <w:noProof/>
              <w:lang w:eastAsia="en-AU"/>
            </w:rPr>
          </w:pPr>
          <w:hyperlink w:anchor="_Toc34385597" w:history="1">
            <w:r w:rsidRPr="00740135">
              <w:rPr>
                <w:rStyle w:val="Hyperlink"/>
                <w:noProof/>
              </w:rPr>
              <w:t>Product Information</w:t>
            </w:r>
            <w:r>
              <w:rPr>
                <w:noProof/>
                <w:webHidden/>
              </w:rPr>
              <w:tab/>
            </w:r>
            <w:r>
              <w:rPr>
                <w:noProof/>
                <w:webHidden/>
              </w:rPr>
              <w:fldChar w:fldCharType="begin"/>
            </w:r>
            <w:r>
              <w:rPr>
                <w:noProof/>
                <w:webHidden/>
              </w:rPr>
              <w:instrText xml:space="preserve"> PAGEREF _Toc34385597 \h </w:instrText>
            </w:r>
            <w:r>
              <w:rPr>
                <w:noProof/>
                <w:webHidden/>
              </w:rPr>
            </w:r>
            <w:r>
              <w:rPr>
                <w:noProof/>
                <w:webHidden/>
              </w:rPr>
              <w:fldChar w:fldCharType="separate"/>
            </w:r>
            <w:r>
              <w:rPr>
                <w:noProof/>
                <w:webHidden/>
              </w:rPr>
              <w:t>11</w:t>
            </w:r>
            <w:r>
              <w:rPr>
                <w:noProof/>
                <w:webHidden/>
              </w:rPr>
              <w:fldChar w:fldCharType="end"/>
            </w:r>
          </w:hyperlink>
        </w:p>
        <w:p w14:paraId="7736E966" w14:textId="7D73C856" w:rsidR="00FC03C0" w:rsidRDefault="00FC03C0">
          <w:pPr>
            <w:pStyle w:val="TOC2"/>
            <w:rPr>
              <w:rFonts w:asciiTheme="minorHAnsi" w:eastAsiaTheme="minorEastAsia" w:hAnsiTheme="minorHAnsi" w:cstheme="minorBidi"/>
              <w:b w:val="0"/>
              <w:noProof/>
              <w:sz w:val="22"/>
              <w:lang w:eastAsia="en-AU"/>
            </w:rPr>
          </w:pPr>
          <w:hyperlink w:anchor="_Toc34385598" w:history="1">
            <w:r w:rsidRPr="00740135">
              <w:rPr>
                <w:rStyle w:val="Hyperlink"/>
                <w:noProof/>
              </w:rPr>
              <w:t>II. Registration timeline</w:t>
            </w:r>
            <w:r>
              <w:rPr>
                <w:noProof/>
                <w:webHidden/>
              </w:rPr>
              <w:tab/>
            </w:r>
            <w:r>
              <w:rPr>
                <w:noProof/>
                <w:webHidden/>
              </w:rPr>
              <w:fldChar w:fldCharType="begin"/>
            </w:r>
            <w:r>
              <w:rPr>
                <w:noProof/>
                <w:webHidden/>
              </w:rPr>
              <w:instrText xml:space="preserve"> PAGEREF _Toc34385598 \h </w:instrText>
            </w:r>
            <w:r>
              <w:rPr>
                <w:noProof/>
                <w:webHidden/>
              </w:rPr>
            </w:r>
            <w:r>
              <w:rPr>
                <w:noProof/>
                <w:webHidden/>
              </w:rPr>
              <w:fldChar w:fldCharType="separate"/>
            </w:r>
            <w:r>
              <w:rPr>
                <w:noProof/>
                <w:webHidden/>
              </w:rPr>
              <w:t>12</w:t>
            </w:r>
            <w:r>
              <w:rPr>
                <w:noProof/>
                <w:webHidden/>
              </w:rPr>
              <w:fldChar w:fldCharType="end"/>
            </w:r>
          </w:hyperlink>
        </w:p>
        <w:p w14:paraId="10A4D815" w14:textId="37CAEB06" w:rsidR="00FC03C0" w:rsidRDefault="00FC03C0">
          <w:pPr>
            <w:pStyle w:val="TOC2"/>
            <w:rPr>
              <w:rFonts w:asciiTheme="minorHAnsi" w:eastAsiaTheme="minorEastAsia" w:hAnsiTheme="minorHAnsi" w:cstheme="minorBidi"/>
              <w:b w:val="0"/>
              <w:noProof/>
              <w:sz w:val="22"/>
              <w:lang w:eastAsia="en-AU"/>
            </w:rPr>
          </w:pPr>
          <w:hyperlink w:anchor="_Toc34385599" w:history="1">
            <w:r w:rsidRPr="00740135">
              <w:rPr>
                <w:rStyle w:val="Hyperlink"/>
                <w:noProof/>
              </w:rPr>
              <w:t>III. Submission overview and risk/benefit assessment</w:t>
            </w:r>
            <w:r>
              <w:rPr>
                <w:noProof/>
                <w:webHidden/>
              </w:rPr>
              <w:tab/>
            </w:r>
            <w:r>
              <w:rPr>
                <w:noProof/>
                <w:webHidden/>
              </w:rPr>
              <w:fldChar w:fldCharType="begin"/>
            </w:r>
            <w:r>
              <w:rPr>
                <w:noProof/>
                <w:webHidden/>
              </w:rPr>
              <w:instrText xml:space="preserve"> PAGEREF _Toc34385599 \h </w:instrText>
            </w:r>
            <w:r>
              <w:rPr>
                <w:noProof/>
                <w:webHidden/>
              </w:rPr>
            </w:r>
            <w:r>
              <w:rPr>
                <w:noProof/>
                <w:webHidden/>
              </w:rPr>
              <w:fldChar w:fldCharType="separate"/>
            </w:r>
            <w:r>
              <w:rPr>
                <w:noProof/>
                <w:webHidden/>
              </w:rPr>
              <w:t>12</w:t>
            </w:r>
            <w:r>
              <w:rPr>
                <w:noProof/>
                <w:webHidden/>
              </w:rPr>
              <w:fldChar w:fldCharType="end"/>
            </w:r>
          </w:hyperlink>
        </w:p>
        <w:p w14:paraId="1F025202" w14:textId="33FFCCAC" w:rsidR="00FC03C0" w:rsidRDefault="00FC03C0">
          <w:pPr>
            <w:pStyle w:val="TOC3"/>
            <w:rPr>
              <w:rFonts w:asciiTheme="minorHAnsi" w:eastAsiaTheme="minorEastAsia" w:hAnsiTheme="minorHAnsi" w:cstheme="minorBidi"/>
              <w:noProof/>
              <w:lang w:eastAsia="en-AU"/>
            </w:rPr>
          </w:pPr>
          <w:hyperlink w:anchor="_Toc34385600" w:history="1">
            <w:r w:rsidRPr="00740135">
              <w:rPr>
                <w:rStyle w:val="Hyperlink"/>
                <w:noProof/>
              </w:rPr>
              <w:t>Quality</w:t>
            </w:r>
            <w:r>
              <w:rPr>
                <w:noProof/>
                <w:webHidden/>
              </w:rPr>
              <w:tab/>
            </w:r>
            <w:r>
              <w:rPr>
                <w:noProof/>
                <w:webHidden/>
              </w:rPr>
              <w:fldChar w:fldCharType="begin"/>
            </w:r>
            <w:r>
              <w:rPr>
                <w:noProof/>
                <w:webHidden/>
              </w:rPr>
              <w:instrText xml:space="preserve"> PAGEREF _Toc34385600 \h </w:instrText>
            </w:r>
            <w:r>
              <w:rPr>
                <w:noProof/>
                <w:webHidden/>
              </w:rPr>
            </w:r>
            <w:r>
              <w:rPr>
                <w:noProof/>
                <w:webHidden/>
              </w:rPr>
              <w:fldChar w:fldCharType="separate"/>
            </w:r>
            <w:r>
              <w:rPr>
                <w:noProof/>
                <w:webHidden/>
              </w:rPr>
              <w:t>12</w:t>
            </w:r>
            <w:r>
              <w:rPr>
                <w:noProof/>
                <w:webHidden/>
              </w:rPr>
              <w:fldChar w:fldCharType="end"/>
            </w:r>
          </w:hyperlink>
        </w:p>
        <w:p w14:paraId="3710C8EE" w14:textId="473F19AE" w:rsidR="00FC03C0" w:rsidRDefault="00FC03C0">
          <w:pPr>
            <w:pStyle w:val="TOC3"/>
            <w:rPr>
              <w:rFonts w:asciiTheme="minorHAnsi" w:eastAsiaTheme="minorEastAsia" w:hAnsiTheme="minorHAnsi" w:cstheme="minorBidi"/>
              <w:noProof/>
              <w:lang w:eastAsia="en-AU"/>
            </w:rPr>
          </w:pPr>
          <w:hyperlink w:anchor="_Toc34385601" w:history="1">
            <w:r w:rsidRPr="00740135">
              <w:rPr>
                <w:rStyle w:val="Hyperlink"/>
                <w:noProof/>
              </w:rPr>
              <w:t>Nonclinical</w:t>
            </w:r>
            <w:r>
              <w:rPr>
                <w:noProof/>
                <w:webHidden/>
              </w:rPr>
              <w:tab/>
            </w:r>
            <w:r>
              <w:rPr>
                <w:noProof/>
                <w:webHidden/>
              </w:rPr>
              <w:fldChar w:fldCharType="begin"/>
            </w:r>
            <w:r>
              <w:rPr>
                <w:noProof/>
                <w:webHidden/>
              </w:rPr>
              <w:instrText xml:space="preserve"> PAGEREF _Toc34385601 \h </w:instrText>
            </w:r>
            <w:r>
              <w:rPr>
                <w:noProof/>
                <w:webHidden/>
              </w:rPr>
            </w:r>
            <w:r>
              <w:rPr>
                <w:noProof/>
                <w:webHidden/>
              </w:rPr>
              <w:fldChar w:fldCharType="separate"/>
            </w:r>
            <w:r>
              <w:rPr>
                <w:noProof/>
                <w:webHidden/>
              </w:rPr>
              <w:t>13</w:t>
            </w:r>
            <w:r>
              <w:rPr>
                <w:noProof/>
                <w:webHidden/>
              </w:rPr>
              <w:fldChar w:fldCharType="end"/>
            </w:r>
          </w:hyperlink>
        </w:p>
        <w:p w14:paraId="19F920C3" w14:textId="441CFE47" w:rsidR="00FC03C0" w:rsidRDefault="00FC03C0">
          <w:pPr>
            <w:pStyle w:val="TOC3"/>
            <w:rPr>
              <w:rFonts w:asciiTheme="minorHAnsi" w:eastAsiaTheme="minorEastAsia" w:hAnsiTheme="minorHAnsi" w:cstheme="minorBidi"/>
              <w:noProof/>
              <w:lang w:eastAsia="en-AU"/>
            </w:rPr>
          </w:pPr>
          <w:hyperlink w:anchor="_Toc34385602" w:history="1">
            <w:r w:rsidRPr="00740135">
              <w:rPr>
                <w:rStyle w:val="Hyperlink"/>
                <w:noProof/>
              </w:rPr>
              <w:t>Clinical</w:t>
            </w:r>
            <w:r>
              <w:rPr>
                <w:noProof/>
                <w:webHidden/>
              </w:rPr>
              <w:tab/>
            </w:r>
            <w:r>
              <w:rPr>
                <w:noProof/>
                <w:webHidden/>
              </w:rPr>
              <w:fldChar w:fldCharType="begin"/>
            </w:r>
            <w:r>
              <w:rPr>
                <w:noProof/>
                <w:webHidden/>
              </w:rPr>
              <w:instrText xml:space="preserve"> PAGEREF _Toc34385602 \h </w:instrText>
            </w:r>
            <w:r>
              <w:rPr>
                <w:noProof/>
                <w:webHidden/>
              </w:rPr>
            </w:r>
            <w:r>
              <w:rPr>
                <w:noProof/>
                <w:webHidden/>
              </w:rPr>
              <w:fldChar w:fldCharType="separate"/>
            </w:r>
            <w:r>
              <w:rPr>
                <w:noProof/>
                <w:webHidden/>
              </w:rPr>
              <w:t>14</w:t>
            </w:r>
            <w:r>
              <w:rPr>
                <w:noProof/>
                <w:webHidden/>
              </w:rPr>
              <w:fldChar w:fldCharType="end"/>
            </w:r>
          </w:hyperlink>
        </w:p>
        <w:p w14:paraId="056AAB91" w14:textId="576B8537" w:rsidR="00FC03C0" w:rsidRDefault="00FC03C0">
          <w:pPr>
            <w:pStyle w:val="TOC3"/>
            <w:rPr>
              <w:rFonts w:asciiTheme="minorHAnsi" w:eastAsiaTheme="minorEastAsia" w:hAnsiTheme="minorHAnsi" w:cstheme="minorBidi"/>
              <w:noProof/>
              <w:lang w:eastAsia="en-AU"/>
            </w:rPr>
          </w:pPr>
          <w:hyperlink w:anchor="_Toc34385603" w:history="1">
            <w:r w:rsidRPr="00740135">
              <w:rPr>
                <w:rStyle w:val="Hyperlink"/>
                <w:noProof/>
                <w:lang w:eastAsia="en-AU"/>
              </w:rPr>
              <w:t>Risk management plan</w:t>
            </w:r>
            <w:r>
              <w:rPr>
                <w:noProof/>
                <w:webHidden/>
              </w:rPr>
              <w:tab/>
            </w:r>
            <w:r>
              <w:rPr>
                <w:noProof/>
                <w:webHidden/>
              </w:rPr>
              <w:fldChar w:fldCharType="begin"/>
            </w:r>
            <w:r>
              <w:rPr>
                <w:noProof/>
                <w:webHidden/>
              </w:rPr>
              <w:instrText xml:space="preserve"> PAGEREF _Toc34385603 \h </w:instrText>
            </w:r>
            <w:r>
              <w:rPr>
                <w:noProof/>
                <w:webHidden/>
              </w:rPr>
            </w:r>
            <w:r>
              <w:rPr>
                <w:noProof/>
                <w:webHidden/>
              </w:rPr>
              <w:fldChar w:fldCharType="separate"/>
            </w:r>
            <w:r>
              <w:rPr>
                <w:noProof/>
                <w:webHidden/>
              </w:rPr>
              <w:t>29</w:t>
            </w:r>
            <w:r>
              <w:rPr>
                <w:noProof/>
                <w:webHidden/>
              </w:rPr>
              <w:fldChar w:fldCharType="end"/>
            </w:r>
          </w:hyperlink>
        </w:p>
        <w:p w14:paraId="68447B2B" w14:textId="09EB71D5" w:rsidR="00FC03C0" w:rsidRDefault="00FC03C0">
          <w:pPr>
            <w:pStyle w:val="TOC3"/>
            <w:rPr>
              <w:rFonts w:asciiTheme="minorHAnsi" w:eastAsiaTheme="minorEastAsia" w:hAnsiTheme="minorHAnsi" w:cstheme="minorBidi"/>
              <w:noProof/>
              <w:lang w:eastAsia="en-AU"/>
            </w:rPr>
          </w:pPr>
          <w:hyperlink w:anchor="_Toc34385604" w:history="1">
            <w:r w:rsidRPr="00740135">
              <w:rPr>
                <w:rStyle w:val="Hyperlink"/>
                <w:noProof/>
              </w:rPr>
              <w:t>Risk-benefit analysis</w:t>
            </w:r>
            <w:r>
              <w:rPr>
                <w:noProof/>
                <w:webHidden/>
              </w:rPr>
              <w:tab/>
            </w:r>
            <w:r>
              <w:rPr>
                <w:noProof/>
                <w:webHidden/>
              </w:rPr>
              <w:fldChar w:fldCharType="begin"/>
            </w:r>
            <w:r>
              <w:rPr>
                <w:noProof/>
                <w:webHidden/>
              </w:rPr>
              <w:instrText xml:space="preserve"> PAGEREF _Toc34385604 \h </w:instrText>
            </w:r>
            <w:r>
              <w:rPr>
                <w:noProof/>
                <w:webHidden/>
              </w:rPr>
            </w:r>
            <w:r>
              <w:rPr>
                <w:noProof/>
                <w:webHidden/>
              </w:rPr>
              <w:fldChar w:fldCharType="separate"/>
            </w:r>
            <w:r>
              <w:rPr>
                <w:noProof/>
                <w:webHidden/>
              </w:rPr>
              <w:t>31</w:t>
            </w:r>
            <w:r>
              <w:rPr>
                <w:noProof/>
                <w:webHidden/>
              </w:rPr>
              <w:fldChar w:fldCharType="end"/>
            </w:r>
          </w:hyperlink>
        </w:p>
        <w:p w14:paraId="263601E1" w14:textId="15D0D3BF" w:rsidR="00FC03C0" w:rsidRDefault="00FC03C0">
          <w:pPr>
            <w:pStyle w:val="TOC3"/>
            <w:rPr>
              <w:rFonts w:asciiTheme="minorHAnsi" w:eastAsiaTheme="minorEastAsia" w:hAnsiTheme="minorHAnsi" w:cstheme="minorBidi"/>
              <w:noProof/>
              <w:lang w:eastAsia="en-AU"/>
            </w:rPr>
          </w:pPr>
          <w:hyperlink w:anchor="_Toc34385605" w:history="1">
            <w:r w:rsidRPr="00740135">
              <w:rPr>
                <w:rStyle w:val="Hyperlink"/>
                <w:noProof/>
              </w:rPr>
              <w:t>Outcome</w:t>
            </w:r>
            <w:r>
              <w:rPr>
                <w:noProof/>
                <w:webHidden/>
              </w:rPr>
              <w:tab/>
            </w:r>
            <w:r>
              <w:rPr>
                <w:noProof/>
                <w:webHidden/>
              </w:rPr>
              <w:fldChar w:fldCharType="begin"/>
            </w:r>
            <w:r>
              <w:rPr>
                <w:noProof/>
                <w:webHidden/>
              </w:rPr>
              <w:instrText xml:space="preserve"> PAGEREF _Toc34385605 \h </w:instrText>
            </w:r>
            <w:r>
              <w:rPr>
                <w:noProof/>
                <w:webHidden/>
              </w:rPr>
            </w:r>
            <w:r>
              <w:rPr>
                <w:noProof/>
                <w:webHidden/>
              </w:rPr>
              <w:fldChar w:fldCharType="separate"/>
            </w:r>
            <w:r>
              <w:rPr>
                <w:noProof/>
                <w:webHidden/>
              </w:rPr>
              <w:t>37</w:t>
            </w:r>
            <w:r>
              <w:rPr>
                <w:noProof/>
                <w:webHidden/>
              </w:rPr>
              <w:fldChar w:fldCharType="end"/>
            </w:r>
          </w:hyperlink>
        </w:p>
        <w:p w14:paraId="00F2E5BD" w14:textId="01C36028" w:rsidR="00FC03C0" w:rsidRDefault="00FC03C0">
          <w:pPr>
            <w:pStyle w:val="TOC2"/>
            <w:rPr>
              <w:rFonts w:asciiTheme="minorHAnsi" w:eastAsiaTheme="minorEastAsia" w:hAnsiTheme="minorHAnsi" w:cstheme="minorBidi"/>
              <w:b w:val="0"/>
              <w:noProof/>
              <w:sz w:val="22"/>
              <w:lang w:eastAsia="en-AU"/>
            </w:rPr>
          </w:pPr>
          <w:hyperlink w:anchor="_Toc34385606" w:history="1">
            <w:r w:rsidRPr="00740135">
              <w:rPr>
                <w:rStyle w:val="Hyperlink"/>
                <w:noProof/>
              </w:rPr>
              <w:t>Attachment 1. Product Information</w:t>
            </w:r>
            <w:r>
              <w:rPr>
                <w:noProof/>
                <w:webHidden/>
              </w:rPr>
              <w:tab/>
            </w:r>
            <w:r>
              <w:rPr>
                <w:noProof/>
                <w:webHidden/>
              </w:rPr>
              <w:fldChar w:fldCharType="begin"/>
            </w:r>
            <w:r>
              <w:rPr>
                <w:noProof/>
                <w:webHidden/>
              </w:rPr>
              <w:instrText xml:space="preserve"> PAGEREF _Toc34385606 \h </w:instrText>
            </w:r>
            <w:r>
              <w:rPr>
                <w:noProof/>
                <w:webHidden/>
              </w:rPr>
            </w:r>
            <w:r>
              <w:rPr>
                <w:noProof/>
                <w:webHidden/>
              </w:rPr>
              <w:fldChar w:fldCharType="separate"/>
            </w:r>
            <w:r>
              <w:rPr>
                <w:noProof/>
                <w:webHidden/>
              </w:rPr>
              <w:t>37</w:t>
            </w:r>
            <w:r>
              <w:rPr>
                <w:noProof/>
                <w:webHidden/>
              </w:rPr>
              <w:fldChar w:fldCharType="end"/>
            </w:r>
          </w:hyperlink>
        </w:p>
        <w:p w14:paraId="20477FF6" w14:textId="117113E7" w:rsidR="003A7F6C" w:rsidRPr="00B811C6" w:rsidRDefault="00960520" w:rsidP="00B811C6">
          <w:pPr>
            <w:pStyle w:val="TOC2"/>
          </w:pPr>
          <w:r>
            <w:fldChar w:fldCharType="end"/>
          </w:r>
        </w:p>
      </w:sdtContent>
    </w:sdt>
    <w:bookmarkStart w:id="3" w:name="_Toc314842482" w:displacedByCustomXml="prev"/>
    <w:p w14:paraId="3D3CEB8F" w14:textId="77777777" w:rsidR="00C52E24" w:rsidRPr="00C52E24" w:rsidRDefault="00441C3F" w:rsidP="00854B09">
      <w:pPr>
        <w:pStyle w:val="Heading2"/>
        <w:pageBreakBefore/>
        <w:spacing w:before="0"/>
      </w:pPr>
      <w:bookmarkStart w:id="4" w:name="_Toc351716269"/>
      <w:bookmarkStart w:id="5" w:name="_Toc351718881"/>
      <w:bookmarkStart w:id="6" w:name="_Toc355338616"/>
      <w:bookmarkStart w:id="7" w:name="_Toc356306144"/>
      <w:bookmarkStart w:id="8" w:name="_Toc34385592"/>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FD119B" w:rsidRPr="00FD119B" w14:paraId="6988F748" w14:textId="77777777" w:rsidTr="00FD119B">
        <w:trPr>
          <w:cnfStyle w:val="100000000000" w:firstRow="1" w:lastRow="0" w:firstColumn="0" w:lastColumn="0" w:oddVBand="0" w:evenVBand="0" w:oddHBand="0" w:evenHBand="0" w:firstRowFirstColumn="0" w:firstRowLastColumn="0" w:lastRowFirstColumn="0" w:lastRowLastColumn="0"/>
        </w:trPr>
        <w:tc>
          <w:tcPr>
            <w:tcW w:w="1809" w:type="dxa"/>
          </w:tcPr>
          <w:p w14:paraId="65259EB2" w14:textId="77777777"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14:paraId="6F45F305" w14:textId="77777777" w:rsidR="00FD119B" w:rsidRPr="00FD119B" w:rsidRDefault="00FD119B" w:rsidP="00FD119B">
            <w:pPr>
              <w:keepNext w:val="0"/>
              <w:ind w:left="0" w:right="0"/>
              <w:rPr>
                <w:szCs w:val="22"/>
                <w:lang w:eastAsia="en-US"/>
              </w:rPr>
            </w:pPr>
            <w:r w:rsidRPr="00FD119B">
              <w:rPr>
                <w:szCs w:val="22"/>
                <w:lang w:eastAsia="en-US"/>
              </w:rPr>
              <w:t>Meaning</w:t>
            </w:r>
          </w:p>
        </w:tc>
      </w:tr>
      <w:tr w:rsidR="005E2185" w:rsidRPr="00FD119B" w14:paraId="3221E602" w14:textId="77777777" w:rsidTr="00FD119B">
        <w:tc>
          <w:tcPr>
            <w:tcW w:w="1809" w:type="dxa"/>
          </w:tcPr>
          <w:p w14:paraId="468377B9" w14:textId="5889199F" w:rsidR="005E2185" w:rsidRPr="000B42EA" w:rsidRDefault="002D3180" w:rsidP="005E2185">
            <w:pPr>
              <w:autoSpaceDE w:val="0"/>
              <w:autoSpaceDN w:val="0"/>
              <w:adjustRightInd w:val="0"/>
              <w:rPr>
                <w:rFonts w:asciiTheme="minorHAnsi" w:eastAsiaTheme="minorHAnsi" w:hAnsiTheme="minorHAnsi" w:cs="Verdana"/>
              </w:rPr>
            </w:pPr>
            <w:r>
              <w:rPr>
                <w:rFonts w:asciiTheme="minorHAnsi" w:eastAsiaTheme="minorHAnsi" w:hAnsiTheme="minorHAnsi" w:cs="Verdana"/>
              </w:rPr>
              <w:t>%fT</w:t>
            </w:r>
            <w:r w:rsidR="00DE3F56">
              <w:rPr>
                <w:rFonts w:asciiTheme="minorHAnsi" w:eastAsiaTheme="minorHAnsi" w:hAnsiTheme="minorHAnsi" w:cs="Verdana"/>
              </w:rPr>
              <w:t xml:space="preserve"> </w:t>
            </w:r>
            <w:r>
              <w:rPr>
                <w:rFonts w:asciiTheme="minorHAnsi" w:eastAsiaTheme="minorHAnsi" w:hAnsiTheme="minorHAnsi" w:cs="Verdana"/>
              </w:rPr>
              <w:t>&gt;</w:t>
            </w:r>
            <w:r w:rsidR="00DE3F56">
              <w:rPr>
                <w:rFonts w:asciiTheme="minorHAnsi" w:eastAsiaTheme="minorHAnsi" w:hAnsiTheme="minorHAnsi" w:cs="Verdana"/>
              </w:rPr>
              <w:t xml:space="preserve"> </w:t>
            </w:r>
            <w:r>
              <w:rPr>
                <w:rFonts w:asciiTheme="minorHAnsi" w:eastAsiaTheme="minorHAnsi" w:hAnsiTheme="minorHAnsi" w:cs="Verdana"/>
              </w:rPr>
              <w:t>MIC</w:t>
            </w:r>
          </w:p>
        </w:tc>
        <w:tc>
          <w:tcPr>
            <w:tcW w:w="6911" w:type="dxa"/>
          </w:tcPr>
          <w:p w14:paraId="3C94C3A2" w14:textId="77777777" w:rsidR="005E2185" w:rsidRPr="000B42EA" w:rsidRDefault="005E2185" w:rsidP="005E2185">
            <w:pPr>
              <w:autoSpaceDE w:val="0"/>
              <w:autoSpaceDN w:val="0"/>
              <w:adjustRightInd w:val="0"/>
              <w:rPr>
                <w:rFonts w:asciiTheme="minorHAnsi" w:eastAsiaTheme="minorHAnsi" w:hAnsiTheme="minorHAnsi" w:cs="Verdana"/>
              </w:rPr>
            </w:pPr>
            <w:r w:rsidRPr="000B42EA">
              <w:rPr>
                <w:rFonts w:asciiTheme="minorHAnsi" w:eastAsiaTheme="minorHAnsi" w:hAnsiTheme="minorHAnsi" w:cs="Verdana"/>
              </w:rPr>
              <w:t>Percentage of free drug concentration &gt; minimum inhibitory concentration over a dosing time interval</w:t>
            </w:r>
          </w:p>
        </w:tc>
      </w:tr>
      <w:tr w:rsidR="002A56F1" w:rsidRPr="00FD119B" w14:paraId="42E26A34" w14:textId="77777777" w:rsidTr="00FD119B">
        <w:tc>
          <w:tcPr>
            <w:tcW w:w="1809" w:type="dxa"/>
          </w:tcPr>
          <w:p w14:paraId="5981B17E" w14:textId="77777777" w:rsidR="002A56F1" w:rsidRPr="000B42EA" w:rsidRDefault="002A56F1" w:rsidP="005E2185">
            <w:pPr>
              <w:autoSpaceDE w:val="0"/>
              <w:autoSpaceDN w:val="0"/>
              <w:adjustRightInd w:val="0"/>
              <w:rPr>
                <w:rFonts w:asciiTheme="minorHAnsi" w:eastAsiaTheme="minorHAnsi" w:hAnsiTheme="minorHAnsi" w:cs="Verdana"/>
              </w:rPr>
            </w:pPr>
            <w:r w:rsidRPr="00890A11">
              <w:t>ACM</w:t>
            </w:r>
          </w:p>
        </w:tc>
        <w:tc>
          <w:tcPr>
            <w:tcW w:w="6911" w:type="dxa"/>
          </w:tcPr>
          <w:p w14:paraId="5F8315A6" w14:textId="77777777" w:rsidR="002A56F1" w:rsidRPr="000B42EA" w:rsidRDefault="002A56F1" w:rsidP="002A56F1">
            <w:pPr>
              <w:autoSpaceDE w:val="0"/>
              <w:autoSpaceDN w:val="0"/>
              <w:adjustRightInd w:val="0"/>
              <w:rPr>
                <w:rFonts w:asciiTheme="minorHAnsi" w:eastAsiaTheme="minorHAnsi" w:hAnsiTheme="minorHAnsi" w:cs="Verdana"/>
              </w:rPr>
            </w:pPr>
            <w:r>
              <w:t>Advisory Committee on Medicines</w:t>
            </w:r>
          </w:p>
        </w:tc>
      </w:tr>
      <w:tr w:rsidR="005E2185" w:rsidRPr="00FD119B" w14:paraId="6E37E414" w14:textId="77777777" w:rsidTr="00FD119B">
        <w:tc>
          <w:tcPr>
            <w:tcW w:w="1809" w:type="dxa"/>
          </w:tcPr>
          <w:p w14:paraId="0311321F" w14:textId="77777777" w:rsidR="005E2185" w:rsidRPr="000B42EA" w:rsidRDefault="005E2185" w:rsidP="005E2185">
            <w:pPr>
              <w:autoSpaceDE w:val="0"/>
              <w:autoSpaceDN w:val="0"/>
              <w:adjustRightInd w:val="0"/>
              <w:rPr>
                <w:rFonts w:asciiTheme="minorHAnsi" w:eastAsiaTheme="minorHAnsi" w:hAnsiTheme="minorHAnsi" w:cs="Verdana"/>
              </w:rPr>
            </w:pPr>
            <w:r w:rsidRPr="000B42EA">
              <w:rPr>
                <w:rFonts w:asciiTheme="minorHAnsi" w:eastAsiaTheme="minorHAnsi" w:hAnsiTheme="minorHAnsi" w:cs="Verdana"/>
              </w:rPr>
              <w:t>AE</w:t>
            </w:r>
          </w:p>
        </w:tc>
        <w:tc>
          <w:tcPr>
            <w:tcW w:w="6911" w:type="dxa"/>
          </w:tcPr>
          <w:p w14:paraId="45BC91F3" w14:textId="77777777" w:rsidR="005E2185" w:rsidRPr="000B42EA" w:rsidRDefault="005E2185" w:rsidP="005E2185">
            <w:pPr>
              <w:autoSpaceDE w:val="0"/>
              <w:autoSpaceDN w:val="0"/>
              <w:adjustRightInd w:val="0"/>
              <w:rPr>
                <w:rFonts w:asciiTheme="minorHAnsi" w:eastAsiaTheme="minorHAnsi" w:hAnsiTheme="minorHAnsi" w:cs="Verdana"/>
              </w:rPr>
            </w:pPr>
            <w:r w:rsidRPr="000B42EA">
              <w:rPr>
                <w:rFonts w:asciiTheme="minorHAnsi" w:eastAsiaTheme="minorHAnsi" w:hAnsiTheme="minorHAnsi" w:cs="Verdana"/>
              </w:rPr>
              <w:t>Adverse event</w:t>
            </w:r>
          </w:p>
        </w:tc>
      </w:tr>
      <w:tr w:rsidR="002A56F1" w:rsidRPr="00FD119B" w14:paraId="55F3BA48" w14:textId="77777777" w:rsidTr="00FD119B">
        <w:tc>
          <w:tcPr>
            <w:tcW w:w="1809" w:type="dxa"/>
          </w:tcPr>
          <w:p w14:paraId="7135CB13" w14:textId="77777777" w:rsidR="002A56F1" w:rsidRPr="000B42EA" w:rsidRDefault="002A56F1" w:rsidP="005E2185">
            <w:pPr>
              <w:autoSpaceDE w:val="0"/>
              <w:autoSpaceDN w:val="0"/>
              <w:adjustRightInd w:val="0"/>
              <w:rPr>
                <w:rFonts w:asciiTheme="minorHAnsi" w:eastAsiaTheme="minorHAnsi" w:hAnsiTheme="minorHAnsi" w:cs="Verdana"/>
              </w:rPr>
            </w:pPr>
            <w:r>
              <w:t>AGAR</w:t>
            </w:r>
          </w:p>
        </w:tc>
        <w:tc>
          <w:tcPr>
            <w:tcW w:w="6911" w:type="dxa"/>
          </w:tcPr>
          <w:p w14:paraId="37BC82D3" w14:textId="77777777" w:rsidR="002A56F1" w:rsidRPr="000B42EA" w:rsidRDefault="002A56F1" w:rsidP="002A56F1">
            <w:pPr>
              <w:autoSpaceDE w:val="0"/>
              <w:autoSpaceDN w:val="0"/>
              <w:adjustRightInd w:val="0"/>
              <w:rPr>
                <w:rFonts w:asciiTheme="minorHAnsi" w:eastAsiaTheme="minorHAnsi" w:hAnsiTheme="minorHAnsi" w:cs="Verdana"/>
              </w:rPr>
            </w:pPr>
            <w:r w:rsidRPr="00E31DB6">
              <w:t>Australian Group on Antimicrobial Resistance</w:t>
            </w:r>
          </w:p>
        </w:tc>
      </w:tr>
      <w:tr w:rsidR="00BD0DBD" w:rsidRPr="00FD119B" w14:paraId="443CBD27" w14:textId="77777777" w:rsidTr="00FD119B">
        <w:tc>
          <w:tcPr>
            <w:tcW w:w="1809" w:type="dxa"/>
          </w:tcPr>
          <w:p w14:paraId="023E5000" w14:textId="77777777" w:rsidR="00BD0DBD" w:rsidRPr="000B42EA" w:rsidRDefault="00BD0DBD" w:rsidP="005E2185">
            <w:pPr>
              <w:autoSpaceDE w:val="0"/>
              <w:autoSpaceDN w:val="0"/>
              <w:adjustRightInd w:val="0"/>
              <w:rPr>
                <w:rFonts w:asciiTheme="minorHAnsi" w:eastAsiaTheme="minorHAnsi" w:hAnsiTheme="minorHAnsi" w:cs="Verdana"/>
              </w:rPr>
            </w:pPr>
            <w:r>
              <w:t>ALT</w:t>
            </w:r>
          </w:p>
        </w:tc>
        <w:tc>
          <w:tcPr>
            <w:tcW w:w="6911" w:type="dxa"/>
          </w:tcPr>
          <w:p w14:paraId="2B8FBC6F" w14:textId="77777777" w:rsidR="00BD0DBD" w:rsidRPr="000B42EA" w:rsidRDefault="00BD0DBD" w:rsidP="00BD0DBD">
            <w:pPr>
              <w:autoSpaceDE w:val="0"/>
              <w:autoSpaceDN w:val="0"/>
              <w:adjustRightInd w:val="0"/>
              <w:rPr>
                <w:rFonts w:asciiTheme="minorHAnsi" w:eastAsiaTheme="minorHAnsi" w:hAnsiTheme="minorHAnsi" w:cs="Verdana"/>
              </w:rPr>
            </w:pPr>
            <w:r>
              <w:t>A</w:t>
            </w:r>
            <w:r w:rsidRPr="00BD0DBD">
              <w:t>lanine aminotransferase</w:t>
            </w:r>
          </w:p>
        </w:tc>
      </w:tr>
      <w:tr w:rsidR="00D53B88" w:rsidRPr="00FD119B" w14:paraId="73FAE30B" w14:textId="77777777" w:rsidTr="00FD119B">
        <w:tc>
          <w:tcPr>
            <w:tcW w:w="1809" w:type="dxa"/>
          </w:tcPr>
          <w:p w14:paraId="69314EF1" w14:textId="77777777" w:rsidR="00D53B88" w:rsidRPr="000B42EA" w:rsidRDefault="00D53B88" w:rsidP="005E2185">
            <w:pPr>
              <w:autoSpaceDE w:val="0"/>
              <w:autoSpaceDN w:val="0"/>
              <w:adjustRightInd w:val="0"/>
              <w:rPr>
                <w:rFonts w:asciiTheme="minorHAnsi" w:eastAsiaTheme="minorHAnsi" w:hAnsiTheme="minorHAnsi" w:cs="Verdana"/>
              </w:rPr>
            </w:pPr>
            <w:r w:rsidRPr="0067668B">
              <w:t>AmpC</w:t>
            </w:r>
          </w:p>
        </w:tc>
        <w:tc>
          <w:tcPr>
            <w:tcW w:w="6911" w:type="dxa"/>
          </w:tcPr>
          <w:p w14:paraId="23AE6239" w14:textId="6ECC14D8" w:rsidR="00D53B88" w:rsidRPr="000B42EA" w:rsidRDefault="00D53B88" w:rsidP="00DB6D4D">
            <w:pPr>
              <w:autoSpaceDE w:val="0"/>
              <w:autoSpaceDN w:val="0"/>
              <w:adjustRightInd w:val="0"/>
              <w:rPr>
                <w:rFonts w:asciiTheme="minorHAnsi" w:eastAsiaTheme="minorHAnsi" w:hAnsiTheme="minorHAnsi" w:cs="Verdana"/>
              </w:rPr>
            </w:pPr>
            <w:r>
              <w:rPr>
                <w:rFonts w:eastAsia="TimesNewRoman"/>
              </w:rPr>
              <w:t xml:space="preserve">AmpC </w:t>
            </w:r>
            <w:r w:rsidR="00090D52">
              <w:rPr>
                <w:rFonts w:eastAsia="TimesNewRoman"/>
              </w:rPr>
              <w:t>beta (</w:t>
            </w:r>
            <w:r w:rsidR="00DB6D4D">
              <w:rPr>
                <w:rFonts w:eastAsia="TimesNewRoman"/>
              </w:rPr>
              <w:sym w:font="Symbol" w:char="F062"/>
            </w:r>
            <w:r w:rsidR="00090D52">
              <w:rPr>
                <w:rFonts w:eastAsia="TimesNewRoman"/>
              </w:rPr>
              <w:t>)</w:t>
            </w:r>
            <w:r w:rsidRPr="00A05DD8">
              <w:rPr>
                <w:rFonts w:eastAsia="TimesNewRoman"/>
              </w:rPr>
              <w:t>-</w:t>
            </w:r>
            <w:r>
              <w:rPr>
                <w:rFonts w:eastAsia="TimesNewRoman"/>
              </w:rPr>
              <w:t>lactamases</w:t>
            </w:r>
          </w:p>
        </w:tc>
      </w:tr>
      <w:tr w:rsidR="0049528A" w:rsidRPr="00FD119B" w14:paraId="53F179DD" w14:textId="77777777" w:rsidTr="00FD119B">
        <w:tc>
          <w:tcPr>
            <w:tcW w:w="1809" w:type="dxa"/>
          </w:tcPr>
          <w:p w14:paraId="7AE521FE" w14:textId="77777777" w:rsidR="0049528A" w:rsidRPr="000B42EA" w:rsidRDefault="0049528A" w:rsidP="005E2185">
            <w:pPr>
              <w:autoSpaceDE w:val="0"/>
              <w:autoSpaceDN w:val="0"/>
              <w:adjustRightInd w:val="0"/>
              <w:rPr>
                <w:rFonts w:asciiTheme="minorHAnsi" w:eastAsiaTheme="minorHAnsi" w:hAnsiTheme="minorHAnsi" w:cs="Verdana"/>
              </w:rPr>
            </w:pPr>
            <w:r>
              <w:t>ARTG</w:t>
            </w:r>
          </w:p>
        </w:tc>
        <w:tc>
          <w:tcPr>
            <w:tcW w:w="6911" w:type="dxa"/>
          </w:tcPr>
          <w:p w14:paraId="4355F6FF" w14:textId="77777777" w:rsidR="0049528A" w:rsidRPr="000B42EA" w:rsidRDefault="0049528A" w:rsidP="0049528A">
            <w:pPr>
              <w:autoSpaceDE w:val="0"/>
              <w:autoSpaceDN w:val="0"/>
              <w:adjustRightInd w:val="0"/>
              <w:rPr>
                <w:rFonts w:asciiTheme="minorHAnsi" w:eastAsiaTheme="minorHAnsi" w:hAnsiTheme="minorHAnsi" w:cs="Verdana"/>
              </w:rPr>
            </w:pPr>
            <w:r>
              <w:t>Australian Register of Therapeutic Goods</w:t>
            </w:r>
          </w:p>
        </w:tc>
      </w:tr>
      <w:tr w:rsidR="005E2185" w:rsidRPr="00FD119B" w14:paraId="541152E1" w14:textId="77777777" w:rsidTr="00FD119B">
        <w:tc>
          <w:tcPr>
            <w:tcW w:w="1809" w:type="dxa"/>
          </w:tcPr>
          <w:p w14:paraId="71DCFC55" w14:textId="77777777" w:rsidR="005E2185" w:rsidRPr="001A3D34" w:rsidRDefault="005E2185" w:rsidP="001A3D34">
            <w:pPr>
              <w:rPr>
                <w:vertAlign w:val="subscript"/>
              </w:rPr>
            </w:pPr>
            <w:r w:rsidRPr="000B42EA">
              <w:t>AUC</w:t>
            </w:r>
            <w:r w:rsidR="00090D52">
              <w:rPr>
                <w:vertAlign w:val="subscript"/>
              </w:rPr>
              <w:t>inf</w:t>
            </w:r>
          </w:p>
        </w:tc>
        <w:tc>
          <w:tcPr>
            <w:tcW w:w="6911" w:type="dxa"/>
          </w:tcPr>
          <w:p w14:paraId="45C93C0B" w14:textId="23EBD88C" w:rsidR="005E2185" w:rsidRPr="000B42EA" w:rsidRDefault="005E2185" w:rsidP="005E2185">
            <w:pPr>
              <w:autoSpaceDE w:val="0"/>
              <w:autoSpaceDN w:val="0"/>
              <w:adjustRightInd w:val="0"/>
              <w:rPr>
                <w:rFonts w:asciiTheme="minorHAnsi" w:eastAsiaTheme="minorHAnsi" w:hAnsiTheme="minorHAnsi" w:cs="Verdana"/>
              </w:rPr>
            </w:pPr>
            <w:r w:rsidRPr="000B42EA">
              <w:rPr>
                <w:rFonts w:asciiTheme="minorHAnsi" w:eastAsiaTheme="minorHAnsi" w:hAnsiTheme="minorHAnsi" w:cs="Verdana"/>
              </w:rPr>
              <w:t xml:space="preserve">Area under the plasma concentration-time curve from time </w:t>
            </w:r>
            <w:r w:rsidR="00090D52">
              <w:rPr>
                <w:rFonts w:asciiTheme="minorHAnsi" w:eastAsiaTheme="minorHAnsi" w:hAnsiTheme="minorHAnsi" w:cs="Verdana"/>
              </w:rPr>
              <w:t>zero</w:t>
            </w:r>
            <w:r w:rsidRPr="000B42EA">
              <w:rPr>
                <w:rFonts w:asciiTheme="minorHAnsi" w:eastAsiaTheme="minorHAnsi" w:hAnsiTheme="minorHAnsi" w:cs="Verdana"/>
              </w:rPr>
              <w:t xml:space="preserve"> </w:t>
            </w:r>
            <w:r w:rsidR="00090D52">
              <w:rPr>
                <w:rFonts w:asciiTheme="minorHAnsi" w:eastAsiaTheme="minorHAnsi" w:hAnsiTheme="minorHAnsi" w:cs="Verdana"/>
              </w:rPr>
              <w:t xml:space="preserve">extrapolated </w:t>
            </w:r>
            <w:r w:rsidRPr="000B42EA">
              <w:rPr>
                <w:rFonts w:asciiTheme="minorHAnsi" w:eastAsiaTheme="minorHAnsi" w:hAnsiTheme="minorHAnsi" w:cs="Verdana"/>
              </w:rPr>
              <w:t>to infinity</w:t>
            </w:r>
          </w:p>
        </w:tc>
      </w:tr>
      <w:tr w:rsidR="005E2185" w:rsidRPr="00FD119B" w14:paraId="3D2A59D7" w14:textId="77777777" w:rsidTr="00FD119B">
        <w:tc>
          <w:tcPr>
            <w:tcW w:w="1809" w:type="dxa"/>
          </w:tcPr>
          <w:p w14:paraId="37A55642" w14:textId="77777777" w:rsidR="005E2185" w:rsidRPr="000B42EA" w:rsidRDefault="005E2185" w:rsidP="005E2185">
            <w:pPr>
              <w:autoSpaceDE w:val="0"/>
              <w:autoSpaceDN w:val="0"/>
              <w:adjustRightInd w:val="0"/>
              <w:rPr>
                <w:rFonts w:asciiTheme="minorHAnsi" w:eastAsiaTheme="minorHAnsi" w:hAnsiTheme="minorHAnsi" w:cs="Verdana"/>
              </w:rPr>
            </w:pPr>
            <w:r w:rsidRPr="000B42EA">
              <w:rPr>
                <w:rFonts w:asciiTheme="minorHAnsi" w:eastAsiaTheme="minorHAnsi" w:hAnsiTheme="minorHAnsi" w:cs="Verdana"/>
              </w:rPr>
              <w:t>AUC</w:t>
            </w:r>
            <w:r w:rsidRPr="007203C8">
              <w:rPr>
                <w:rFonts w:asciiTheme="minorHAnsi" w:eastAsiaTheme="minorHAnsi" w:hAnsiTheme="minorHAnsi" w:cs="Verdana"/>
                <w:vertAlign w:val="subscript"/>
              </w:rPr>
              <w:t>0-t</w:t>
            </w:r>
          </w:p>
        </w:tc>
        <w:tc>
          <w:tcPr>
            <w:tcW w:w="6911" w:type="dxa"/>
          </w:tcPr>
          <w:p w14:paraId="5CEAF79E" w14:textId="12D6AC35" w:rsidR="005E2185" w:rsidRPr="000B42EA" w:rsidRDefault="005E2185" w:rsidP="005E2185">
            <w:pPr>
              <w:autoSpaceDE w:val="0"/>
              <w:autoSpaceDN w:val="0"/>
              <w:adjustRightInd w:val="0"/>
              <w:rPr>
                <w:rFonts w:asciiTheme="minorHAnsi" w:eastAsiaTheme="minorHAnsi" w:hAnsiTheme="minorHAnsi" w:cs="Verdana"/>
              </w:rPr>
            </w:pPr>
            <w:r w:rsidRPr="000B42EA">
              <w:rPr>
                <w:rFonts w:asciiTheme="minorHAnsi" w:eastAsiaTheme="minorHAnsi" w:hAnsiTheme="minorHAnsi" w:cs="Verdana"/>
              </w:rPr>
              <w:t xml:space="preserve">Area under the plasma concentration-time curve from time </w:t>
            </w:r>
            <w:r w:rsidR="00090D52">
              <w:rPr>
                <w:rFonts w:asciiTheme="minorHAnsi" w:eastAsiaTheme="minorHAnsi" w:hAnsiTheme="minorHAnsi" w:cs="Verdana"/>
              </w:rPr>
              <w:t>zero</w:t>
            </w:r>
            <w:r w:rsidRPr="000B42EA">
              <w:rPr>
                <w:rFonts w:asciiTheme="minorHAnsi" w:eastAsiaTheme="minorHAnsi" w:hAnsiTheme="minorHAnsi" w:cs="Verdana"/>
              </w:rPr>
              <w:t xml:space="preserve"> to time </w:t>
            </w:r>
            <w:r w:rsidR="00090D52">
              <w:rPr>
                <w:rFonts w:asciiTheme="minorHAnsi" w:eastAsiaTheme="minorHAnsi" w:hAnsiTheme="minorHAnsi" w:cs="Verdana"/>
              </w:rPr>
              <w:t>(</w:t>
            </w:r>
            <w:r w:rsidRPr="000B42EA">
              <w:rPr>
                <w:rFonts w:asciiTheme="minorHAnsi" w:eastAsiaTheme="minorHAnsi" w:hAnsiTheme="minorHAnsi" w:cs="Verdana"/>
              </w:rPr>
              <w:t>t</w:t>
            </w:r>
            <w:r w:rsidR="00090D52">
              <w:rPr>
                <w:rFonts w:asciiTheme="minorHAnsi" w:eastAsiaTheme="minorHAnsi" w:hAnsiTheme="minorHAnsi" w:cs="Verdana"/>
              </w:rPr>
              <w:t>)</w:t>
            </w:r>
            <w:r w:rsidRPr="000B42EA">
              <w:rPr>
                <w:rFonts w:asciiTheme="minorHAnsi" w:eastAsiaTheme="minorHAnsi" w:hAnsiTheme="minorHAnsi" w:cs="Verdana"/>
              </w:rPr>
              <w:t xml:space="preserve"> corresponding to the last quantifiable concentration</w:t>
            </w:r>
          </w:p>
        </w:tc>
      </w:tr>
      <w:tr w:rsidR="005E2185" w:rsidRPr="00FD119B" w14:paraId="0EEDDEAB" w14:textId="77777777" w:rsidTr="00FD119B">
        <w:tc>
          <w:tcPr>
            <w:tcW w:w="1809" w:type="dxa"/>
          </w:tcPr>
          <w:p w14:paraId="1CC56719" w14:textId="77777777" w:rsidR="005E2185" w:rsidRPr="000B42EA" w:rsidRDefault="005E2185" w:rsidP="005E2185">
            <w:pPr>
              <w:autoSpaceDE w:val="0"/>
              <w:autoSpaceDN w:val="0"/>
              <w:adjustRightInd w:val="0"/>
              <w:rPr>
                <w:rFonts w:asciiTheme="minorHAnsi" w:eastAsiaTheme="minorHAnsi" w:hAnsiTheme="minorHAnsi" w:cs="Verdana"/>
              </w:rPr>
            </w:pPr>
            <w:r w:rsidRPr="000B42EA">
              <w:rPr>
                <w:rFonts w:asciiTheme="minorHAnsi" w:eastAsiaTheme="minorHAnsi" w:hAnsiTheme="minorHAnsi" w:cs="Verdana"/>
              </w:rPr>
              <w:t>BAT</w:t>
            </w:r>
          </w:p>
        </w:tc>
        <w:tc>
          <w:tcPr>
            <w:tcW w:w="6911" w:type="dxa"/>
          </w:tcPr>
          <w:p w14:paraId="5C10E353" w14:textId="77777777" w:rsidR="005E2185" w:rsidRPr="000B42EA" w:rsidRDefault="005E2185" w:rsidP="005E2185">
            <w:pPr>
              <w:autoSpaceDE w:val="0"/>
              <w:autoSpaceDN w:val="0"/>
              <w:adjustRightInd w:val="0"/>
              <w:rPr>
                <w:rFonts w:asciiTheme="minorHAnsi" w:eastAsiaTheme="minorHAnsi" w:hAnsiTheme="minorHAnsi" w:cs="Verdana"/>
              </w:rPr>
            </w:pPr>
            <w:r w:rsidRPr="000B42EA">
              <w:rPr>
                <w:rFonts w:asciiTheme="minorHAnsi" w:eastAsiaTheme="minorHAnsi" w:hAnsiTheme="minorHAnsi" w:cs="Verdana"/>
              </w:rPr>
              <w:t>Best available therapy</w:t>
            </w:r>
          </w:p>
        </w:tc>
      </w:tr>
      <w:tr w:rsidR="00323E5F" w:rsidRPr="00FD119B" w14:paraId="72FE80DB" w14:textId="77777777" w:rsidTr="00FD119B">
        <w:tc>
          <w:tcPr>
            <w:tcW w:w="1809" w:type="dxa"/>
          </w:tcPr>
          <w:p w14:paraId="5683EEBB" w14:textId="77777777" w:rsidR="00323E5F" w:rsidRPr="000B42EA" w:rsidRDefault="00576FFD" w:rsidP="005E2185">
            <w:pPr>
              <w:autoSpaceDE w:val="0"/>
              <w:autoSpaceDN w:val="0"/>
              <w:adjustRightInd w:val="0"/>
              <w:rPr>
                <w:rFonts w:asciiTheme="minorHAnsi" w:eastAsiaTheme="minorHAnsi" w:hAnsiTheme="minorHAnsi" w:cs="Verdana"/>
              </w:rPr>
            </w:pPr>
            <w:r>
              <w:rPr>
                <w:rFonts w:asciiTheme="minorHAnsi" w:eastAsiaTheme="minorHAnsi" w:hAnsiTheme="minorHAnsi" w:cs="Verdana"/>
              </w:rPr>
              <w:t>β</w:t>
            </w:r>
            <w:r w:rsidR="00323E5F">
              <w:rPr>
                <w:rFonts w:asciiTheme="minorHAnsi" w:eastAsiaTheme="minorHAnsi" w:hAnsiTheme="minorHAnsi" w:cs="Verdana"/>
              </w:rPr>
              <w:t>-lactamase</w:t>
            </w:r>
          </w:p>
        </w:tc>
        <w:tc>
          <w:tcPr>
            <w:tcW w:w="6911" w:type="dxa"/>
          </w:tcPr>
          <w:p w14:paraId="1E6A6702" w14:textId="77777777" w:rsidR="00323E5F" w:rsidRPr="000B42EA" w:rsidRDefault="00323E5F" w:rsidP="005E2185">
            <w:pPr>
              <w:autoSpaceDE w:val="0"/>
              <w:autoSpaceDN w:val="0"/>
              <w:adjustRightInd w:val="0"/>
              <w:rPr>
                <w:rFonts w:asciiTheme="minorHAnsi" w:eastAsiaTheme="minorHAnsi" w:hAnsiTheme="minorHAnsi" w:cs="Verdana"/>
              </w:rPr>
            </w:pPr>
            <w:r>
              <w:rPr>
                <w:rFonts w:asciiTheme="minorHAnsi" w:eastAsiaTheme="minorHAnsi" w:hAnsiTheme="minorHAnsi" w:cs="Verdana"/>
              </w:rPr>
              <w:t>Beta lactamase</w:t>
            </w:r>
          </w:p>
        </w:tc>
      </w:tr>
      <w:tr w:rsidR="005E2185" w:rsidRPr="00FD119B" w14:paraId="5DEB5E16" w14:textId="77777777" w:rsidTr="00FD119B">
        <w:tc>
          <w:tcPr>
            <w:tcW w:w="1809" w:type="dxa"/>
          </w:tcPr>
          <w:p w14:paraId="28A23630" w14:textId="77777777" w:rsidR="005E2185" w:rsidRPr="000B42EA" w:rsidRDefault="008C1E7C" w:rsidP="005E2185">
            <w:pPr>
              <w:autoSpaceDE w:val="0"/>
              <w:autoSpaceDN w:val="0"/>
              <w:adjustRightInd w:val="0"/>
              <w:rPr>
                <w:rFonts w:asciiTheme="minorHAnsi" w:eastAsiaTheme="minorHAnsi" w:hAnsiTheme="minorHAnsi" w:cs="Verdana"/>
              </w:rPr>
            </w:pPr>
            <w:r>
              <w:rPr>
                <w:rFonts w:asciiTheme="minorHAnsi" w:eastAsiaTheme="minorHAnsi" w:hAnsiTheme="minorHAnsi" w:cs="Verdana"/>
              </w:rPr>
              <w:t>CAZ-AVI</w:t>
            </w:r>
          </w:p>
        </w:tc>
        <w:tc>
          <w:tcPr>
            <w:tcW w:w="6911" w:type="dxa"/>
          </w:tcPr>
          <w:p w14:paraId="7205A72D" w14:textId="77777777" w:rsidR="005E2185" w:rsidRPr="000B42EA" w:rsidRDefault="005E2185" w:rsidP="005E2185">
            <w:pPr>
              <w:autoSpaceDE w:val="0"/>
              <w:autoSpaceDN w:val="0"/>
              <w:adjustRightInd w:val="0"/>
              <w:rPr>
                <w:rFonts w:asciiTheme="minorHAnsi" w:eastAsiaTheme="minorHAnsi" w:hAnsiTheme="minorHAnsi" w:cs="Verdana"/>
              </w:rPr>
            </w:pPr>
            <w:r w:rsidRPr="000B42EA">
              <w:rPr>
                <w:rFonts w:asciiTheme="minorHAnsi" w:eastAsiaTheme="minorHAnsi" w:hAnsiTheme="minorHAnsi" w:cs="Verdana"/>
              </w:rPr>
              <w:t>Ceftazidime</w:t>
            </w:r>
            <w:r w:rsidR="008C1E7C">
              <w:rPr>
                <w:rFonts w:asciiTheme="minorHAnsi" w:eastAsiaTheme="minorHAnsi" w:hAnsiTheme="minorHAnsi" w:cs="Verdana"/>
              </w:rPr>
              <w:t>/</w:t>
            </w:r>
            <w:r w:rsidRPr="000B42EA">
              <w:rPr>
                <w:rFonts w:asciiTheme="minorHAnsi" w:eastAsiaTheme="minorHAnsi" w:hAnsiTheme="minorHAnsi" w:cs="Verdana"/>
              </w:rPr>
              <w:t>avibactam</w:t>
            </w:r>
          </w:p>
        </w:tc>
      </w:tr>
      <w:tr w:rsidR="005E2185" w:rsidRPr="00FD119B" w14:paraId="1564581D" w14:textId="77777777" w:rsidTr="00FD119B">
        <w:tc>
          <w:tcPr>
            <w:tcW w:w="1809" w:type="dxa"/>
          </w:tcPr>
          <w:p w14:paraId="29854BD5" w14:textId="77777777" w:rsidR="005E2185" w:rsidRPr="000B42EA" w:rsidRDefault="005E2185" w:rsidP="005E2185">
            <w:pPr>
              <w:autoSpaceDE w:val="0"/>
              <w:autoSpaceDN w:val="0"/>
              <w:adjustRightInd w:val="0"/>
              <w:rPr>
                <w:rFonts w:asciiTheme="minorHAnsi" w:eastAsiaTheme="minorHAnsi" w:hAnsiTheme="minorHAnsi" w:cs="Verdana"/>
              </w:rPr>
            </w:pPr>
            <w:r w:rsidRPr="000B42EA">
              <w:rPr>
                <w:rFonts w:asciiTheme="minorHAnsi" w:eastAsiaTheme="minorHAnsi" w:hAnsiTheme="minorHAnsi" w:cs="Verdana"/>
              </w:rPr>
              <w:t>CI</w:t>
            </w:r>
          </w:p>
        </w:tc>
        <w:tc>
          <w:tcPr>
            <w:tcW w:w="6911" w:type="dxa"/>
          </w:tcPr>
          <w:p w14:paraId="79BAFC0C" w14:textId="77777777" w:rsidR="005E2185" w:rsidRPr="000B42EA" w:rsidRDefault="005E2185" w:rsidP="005E2185">
            <w:pPr>
              <w:autoSpaceDE w:val="0"/>
              <w:autoSpaceDN w:val="0"/>
              <w:adjustRightInd w:val="0"/>
              <w:rPr>
                <w:rFonts w:asciiTheme="minorHAnsi" w:eastAsiaTheme="minorHAnsi" w:hAnsiTheme="minorHAnsi" w:cs="Verdana"/>
              </w:rPr>
            </w:pPr>
            <w:r w:rsidRPr="000B42EA">
              <w:rPr>
                <w:rFonts w:asciiTheme="minorHAnsi" w:eastAsiaTheme="minorHAnsi" w:hAnsiTheme="minorHAnsi" w:cs="Verdana"/>
              </w:rPr>
              <w:t>Confidence interval</w:t>
            </w:r>
          </w:p>
        </w:tc>
      </w:tr>
      <w:tr w:rsidR="005E2185" w:rsidRPr="00FD119B" w14:paraId="3F7FFF16" w14:textId="77777777" w:rsidTr="00FD119B">
        <w:tc>
          <w:tcPr>
            <w:tcW w:w="1809" w:type="dxa"/>
          </w:tcPr>
          <w:p w14:paraId="45951ED6" w14:textId="77777777" w:rsidR="005E2185" w:rsidRPr="000B42EA" w:rsidRDefault="0049528A" w:rsidP="005E2185">
            <w:pPr>
              <w:autoSpaceDE w:val="0"/>
              <w:autoSpaceDN w:val="0"/>
              <w:adjustRightInd w:val="0"/>
              <w:rPr>
                <w:rFonts w:asciiTheme="minorHAnsi" w:eastAsiaTheme="minorHAnsi" w:hAnsiTheme="minorHAnsi" w:cs="Verdana"/>
              </w:rPr>
            </w:pPr>
            <w:r>
              <w:rPr>
                <w:rFonts w:asciiTheme="minorHAnsi" w:eastAsiaTheme="minorHAnsi" w:hAnsiTheme="minorHAnsi" w:cs="Verdana"/>
              </w:rPr>
              <w:t>cIAI</w:t>
            </w:r>
          </w:p>
        </w:tc>
        <w:tc>
          <w:tcPr>
            <w:tcW w:w="6911" w:type="dxa"/>
          </w:tcPr>
          <w:p w14:paraId="04CCCA78" w14:textId="77777777" w:rsidR="005E2185" w:rsidRPr="000B42EA" w:rsidRDefault="005E2185" w:rsidP="005E2185">
            <w:pPr>
              <w:autoSpaceDE w:val="0"/>
              <w:autoSpaceDN w:val="0"/>
              <w:adjustRightInd w:val="0"/>
              <w:rPr>
                <w:rFonts w:asciiTheme="minorHAnsi" w:eastAsiaTheme="minorHAnsi" w:hAnsiTheme="minorHAnsi" w:cs="Verdana"/>
              </w:rPr>
            </w:pPr>
            <w:r w:rsidRPr="000B42EA">
              <w:rPr>
                <w:rFonts w:asciiTheme="minorHAnsi" w:eastAsiaTheme="minorHAnsi" w:hAnsiTheme="minorHAnsi" w:cs="Verdana"/>
              </w:rPr>
              <w:t>Complicated intra-abdominal infection</w:t>
            </w:r>
          </w:p>
        </w:tc>
      </w:tr>
      <w:tr w:rsidR="0049528A" w:rsidRPr="00FD119B" w14:paraId="734E7049" w14:textId="77777777" w:rsidTr="00FD119B">
        <w:tc>
          <w:tcPr>
            <w:tcW w:w="1809" w:type="dxa"/>
          </w:tcPr>
          <w:p w14:paraId="2C69D040" w14:textId="77777777" w:rsidR="0049528A" w:rsidRDefault="0049528A" w:rsidP="005E2185">
            <w:pPr>
              <w:autoSpaceDE w:val="0"/>
              <w:autoSpaceDN w:val="0"/>
              <w:adjustRightInd w:val="0"/>
              <w:rPr>
                <w:rFonts w:asciiTheme="minorHAnsi" w:eastAsiaTheme="minorHAnsi" w:hAnsiTheme="minorHAnsi" w:cs="Verdana"/>
              </w:rPr>
            </w:pPr>
            <w:r>
              <w:rPr>
                <w:rFonts w:asciiTheme="minorHAnsi" w:eastAsiaTheme="minorHAnsi" w:hAnsiTheme="minorHAnsi" w:cs="Verdana"/>
              </w:rPr>
              <w:t>cUTI</w:t>
            </w:r>
          </w:p>
        </w:tc>
        <w:tc>
          <w:tcPr>
            <w:tcW w:w="6911" w:type="dxa"/>
          </w:tcPr>
          <w:p w14:paraId="7266F83F" w14:textId="77777777" w:rsidR="0049528A" w:rsidRPr="000B42EA" w:rsidRDefault="0049528A" w:rsidP="005E2185">
            <w:pPr>
              <w:autoSpaceDE w:val="0"/>
              <w:autoSpaceDN w:val="0"/>
              <w:adjustRightInd w:val="0"/>
              <w:rPr>
                <w:rFonts w:asciiTheme="minorHAnsi" w:eastAsiaTheme="minorHAnsi" w:hAnsiTheme="minorHAnsi" w:cs="Verdana"/>
              </w:rPr>
            </w:pPr>
            <w:r>
              <w:rPr>
                <w:rFonts w:asciiTheme="minorHAnsi" w:eastAsiaTheme="minorHAnsi" w:hAnsiTheme="minorHAnsi" w:cs="Verdana"/>
              </w:rPr>
              <w:t>Complicated urinary tract infection</w:t>
            </w:r>
          </w:p>
        </w:tc>
      </w:tr>
      <w:tr w:rsidR="00E82538" w:rsidRPr="00FD119B" w14:paraId="401C0DCE" w14:textId="77777777" w:rsidTr="00FD119B">
        <w:tc>
          <w:tcPr>
            <w:tcW w:w="1809" w:type="dxa"/>
          </w:tcPr>
          <w:p w14:paraId="233693D6" w14:textId="77777777" w:rsidR="00E82538" w:rsidRPr="000B42EA" w:rsidRDefault="00E82538" w:rsidP="005E2185">
            <w:pPr>
              <w:autoSpaceDE w:val="0"/>
              <w:autoSpaceDN w:val="0"/>
              <w:adjustRightInd w:val="0"/>
              <w:rPr>
                <w:rFonts w:asciiTheme="minorHAnsi" w:eastAsiaTheme="minorHAnsi" w:hAnsiTheme="minorHAnsi" w:cs="Verdana"/>
              </w:rPr>
            </w:pPr>
            <w:r w:rsidRPr="00C4644E">
              <w:t>CMI</w:t>
            </w:r>
          </w:p>
        </w:tc>
        <w:tc>
          <w:tcPr>
            <w:tcW w:w="6911" w:type="dxa"/>
          </w:tcPr>
          <w:p w14:paraId="7FD24132" w14:textId="77777777" w:rsidR="00E82538" w:rsidRPr="000B42EA" w:rsidRDefault="00E82538" w:rsidP="00E82538">
            <w:pPr>
              <w:autoSpaceDE w:val="0"/>
              <w:autoSpaceDN w:val="0"/>
              <w:adjustRightInd w:val="0"/>
              <w:rPr>
                <w:rFonts w:asciiTheme="minorHAnsi" w:eastAsiaTheme="minorHAnsi" w:hAnsiTheme="minorHAnsi" w:cs="Verdana"/>
              </w:rPr>
            </w:pPr>
            <w:r>
              <w:t>Consumer Medicine</w:t>
            </w:r>
            <w:r w:rsidR="00621F59">
              <w:t>s</w:t>
            </w:r>
            <w:r>
              <w:t xml:space="preserve"> </w:t>
            </w:r>
            <w:r w:rsidR="00621F59">
              <w:t>I</w:t>
            </w:r>
            <w:r>
              <w:t>nformation</w:t>
            </w:r>
          </w:p>
        </w:tc>
      </w:tr>
      <w:tr w:rsidR="00A673D3" w:rsidRPr="00FD119B" w14:paraId="0A2D5385" w14:textId="77777777" w:rsidTr="00FD119B">
        <w:tc>
          <w:tcPr>
            <w:tcW w:w="1809" w:type="dxa"/>
          </w:tcPr>
          <w:p w14:paraId="0F4A6E62" w14:textId="77777777" w:rsidR="00A673D3" w:rsidRPr="000B42EA" w:rsidRDefault="00A673D3" w:rsidP="005E2185">
            <w:pPr>
              <w:autoSpaceDE w:val="0"/>
              <w:autoSpaceDN w:val="0"/>
              <w:adjustRightInd w:val="0"/>
              <w:rPr>
                <w:rFonts w:asciiTheme="minorHAnsi" w:eastAsiaTheme="minorHAnsi" w:hAnsiTheme="minorHAnsi" w:cs="Verdana"/>
              </w:rPr>
            </w:pPr>
            <w:r>
              <w:t>cMITT</w:t>
            </w:r>
          </w:p>
        </w:tc>
        <w:tc>
          <w:tcPr>
            <w:tcW w:w="6911" w:type="dxa"/>
          </w:tcPr>
          <w:p w14:paraId="35795136" w14:textId="77777777" w:rsidR="00A673D3" w:rsidRPr="000B42EA" w:rsidRDefault="00A673D3" w:rsidP="00A673D3">
            <w:pPr>
              <w:autoSpaceDE w:val="0"/>
              <w:autoSpaceDN w:val="0"/>
              <w:adjustRightInd w:val="0"/>
              <w:rPr>
                <w:rFonts w:asciiTheme="minorHAnsi" w:eastAsiaTheme="minorHAnsi" w:hAnsiTheme="minorHAnsi" w:cs="Verdana"/>
              </w:rPr>
            </w:pPr>
            <w:r>
              <w:t>C</w:t>
            </w:r>
            <w:r w:rsidR="00755D0D">
              <w:t xml:space="preserve">linically </w:t>
            </w:r>
            <w:r>
              <w:t>modified intent to treat</w:t>
            </w:r>
          </w:p>
        </w:tc>
      </w:tr>
      <w:tr w:rsidR="0049528A" w:rsidRPr="00FD119B" w14:paraId="6FC4BE47" w14:textId="77777777" w:rsidTr="00FD119B">
        <w:tc>
          <w:tcPr>
            <w:tcW w:w="1809" w:type="dxa"/>
          </w:tcPr>
          <w:p w14:paraId="07E9D310" w14:textId="77777777" w:rsidR="0049528A" w:rsidRPr="000B42EA" w:rsidRDefault="0049528A" w:rsidP="005E2185">
            <w:pPr>
              <w:autoSpaceDE w:val="0"/>
              <w:autoSpaceDN w:val="0"/>
              <w:adjustRightInd w:val="0"/>
              <w:rPr>
                <w:rFonts w:asciiTheme="minorHAnsi" w:eastAsiaTheme="minorHAnsi" w:hAnsiTheme="minorHAnsi" w:cs="Verdana"/>
              </w:rPr>
            </w:pPr>
            <w:r>
              <w:t>COR</w:t>
            </w:r>
            <w:r>
              <w:noBreakHyphen/>
              <w:t>B</w:t>
            </w:r>
          </w:p>
        </w:tc>
        <w:tc>
          <w:tcPr>
            <w:tcW w:w="6911" w:type="dxa"/>
          </w:tcPr>
          <w:p w14:paraId="3052B3B4" w14:textId="77777777" w:rsidR="0049528A" w:rsidRPr="000B42EA" w:rsidRDefault="0049528A" w:rsidP="0049528A">
            <w:pPr>
              <w:autoSpaceDE w:val="0"/>
              <w:autoSpaceDN w:val="0"/>
              <w:adjustRightInd w:val="0"/>
              <w:rPr>
                <w:rFonts w:asciiTheme="minorHAnsi" w:eastAsiaTheme="minorHAnsi" w:hAnsiTheme="minorHAnsi" w:cs="Verdana"/>
              </w:rPr>
            </w:pPr>
            <w:r>
              <w:t>Comparable Overseas Regulator</w:t>
            </w:r>
            <w:r w:rsidRPr="00367925">
              <w:t xml:space="preserve"> </w:t>
            </w:r>
            <w:r>
              <w:t>approach B</w:t>
            </w:r>
          </w:p>
        </w:tc>
      </w:tr>
      <w:tr w:rsidR="002A56F1" w:rsidRPr="00FD119B" w14:paraId="23F69AFE" w14:textId="77777777" w:rsidTr="00FD119B">
        <w:tc>
          <w:tcPr>
            <w:tcW w:w="1809" w:type="dxa"/>
          </w:tcPr>
          <w:p w14:paraId="69C4AB57" w14:textId="77777777" w:rsidR="002A56F1" w:rsidRDefault="002A56F1" w:rsidP="005E2185">
            <w:pPr>
              <w:autoSpaceDE w:val="0"/>
              <w:autoSpaceDN w:val="0"/>
              <w:adjustRightInd w:val="0"/>
            </w:pPr>
            <w:r>
              <w:t>CrCL</w:t>
            </w:r>
          </w:p>
        </w:tc>
        <w:tc>
          <w:tcPr>
            <w:tcW w:w="6911" w:type="dxa"/>
          </w:tcPr>
          <w:p w14:paraId="38EE2B0E" w14:textId="77777777" w:rsidR="002A56F1" w:rsidRDefault="002A56F1" w:rsidP="002A56F1">
            <w:pPr>
              <w:autoSpaceDE w:val="0"/>
              <w:autoSpaceDN w:val="0"/>
              <w:adjustRightInd w:val="0"/>
            </w:pPr>
            <w:r>
              <w:t>Creatinine clearance</w:t>
            </w:r>
          </w:p>
        </w:tc>
      </w:tr>
      <w:tr w:rsidR="00AD0190" w:rsidRPr="00FD119B" w14:paraId="1D6825C4" w14:textId="77777777" w:rsidTr="00FD119B">
        <w:tc>
          <w:tcPr>
            <w:tcW w:w="1809" w:type="dxa"/>
          </w:tcPr>
          <w:p w14:paraId="46A4D31F" w14:textId="77777777" w:rsidR="00AD0190" w:rsidRDefault="00AD0190" w:rsidP="005E2185">
            <w:pPr>
              <w:autoSpaceDE w:val="0"/>
              <w:autoSpaceDN w:val="0"/>
              <w:adjustRightInd w:val="0"/>
            </w:pPr>
            <w:r>
              <w:t>CYP</w:t>
            </w:r>
            <w:r w:rsidRPr="006308F2">
              <w:t>450</w:t>
            </w:r>
          </w:p>
        </w:tc>
        <w:tc>
          <w:tcPr>
            <w:tcW w:w="6911" w:type="dxa"/>
          </w:tcPr>
          <w:p w14:paraId="3C4425BA" w14:textId="77777777" w:rsidR="00AD0190" w:rsidRDefault="00AD0190" w:rsidP="00AD0190">
            <w:pPr>
              <w:autoSpaceDE w:val="0"/>
              <w:autoSpaceDN w:val="0"/>
              <w:adjustRightInd w:val="0"/>
            </w:pPr>
            <w:r>
              <w:t>Cytochrome P450</w:t>
            </w:r>
          </w:p>
        </w:tc>
      </w:tr>
      <w:tr w:rsidR="005E2185" w:rsidRPr="00FD119B" w14:paraId="5E67AB14" w14:textId="77777777" w:rsidTr="00FD119B">
        <w:tc>
          <w:tcPr>
            <w:tcW w:w="1809" w:type="dxa"/>
          </w:tcPr>
          <w:p w14:paraId="3F7D97D6" w14:textId="77777777" w:rsidR="005E2185" w:rsidRPr="000B42EA" w:rsidRDefault="005E2185" w:rsidP="005E2185">
            <w:pPr>
              <w:autoSpaceDE w:val="0"/>
              <w:autoSpaceDN w:val="0"/>
              <w:adjustRightInd w:val="0"/>
              <w:rPr>
                <w:rFonts w:asciiTheme="minorHAnsi" w:eastAsiaTheme="minorHAnsi" w:hAnsiTheme="minorHAnsi" w:cs="Verdana"/>
              </w:rPr>
            </w:pPr>
            <w:r w:rsidRPr="000B42EA">
              <w:rPr>
                <w:rFonts w:asciiTheme="minorHAnsi" w:eastAsiaTheme="minorHAnsi" w:hAnsiTheme="minorHAnsi" w:cs="Verdana"/>
              </w:rPr>
              <w:t>CT</w:t>
            </w:r>
          </w:p>
        </w:tc>
        <w:tc>
          <w:tcPr>
            <w:tcW w:w="6911" w:type="dxa"/>
          </w:tcPr>
          <w:p w14:paraId="5036B918" w14:textId="77777777" w:rsidR="005E2185" w:rsidRPr="000B42EA" w:rsidRDefault="005E2185" w:rsidP="005E2185">
            <w:pPr>
              <w:autoSpaceDE w:val="0"/>
              <w:autoSpaceDN w:val="0"/>
              <w:adjustRightInd w:val="0"/>
              <w:rPr>
                <w:rFonts w:asciiTheme="minorHAnsi" w:eastAsiaTheme="minorHAnsi" w:hAnsiTheme="minorHAnsi" w:cs="Verdana"/>
              </w:rPr>
            </w:pPr>
            <w:r w:rsidRPr="000B42EA">
              <w:rPr>
                <w:rFonts w:asciiTheme="minorHAnsi" w:eastAsiaTheme="minorHAnsi" w:hAnsiTheme="minorHAnsi" w:cs="Verdana"/>
              </w:rPr>
              <w:t>Critical threshold concentration</w:t>
            </w:r>
          </w:p>
        </w:tc>
      </w:tr>
      <w:tr w:rsidR="005E2185" w:rsidRPr="00FD119B" w14:paraId="12FAF2ED" w14:textId="77777777" w:rsidTr="00FD119B">
        <w:tc>
          <w:tcPr>
            <w:tcW w:w="1809" w:type="dxa"/>
          </w:tcPr>
          <w:p w14:paraId="4A1B048B" w14:textId="77777777" w:rsidR="005E2185" w:rsidRPr="000B42EA" w:rsidRDefault="007203C8" w:rsidP="005E2185">
            <w:pPr>
              <w:autoSpaceDE w:val="0"/>
              <w:autoSpaceDN w:val="0"/>
              <w:adjustRightInd w:val="0"/>
              <w:rPr>
                <w:rFonts w:asciiTheme="minorHAnsi" w:eastAsiaTheme="minorHAnsi" w:hAnsiTheme="minorHAnsi" w:cs="Verdana"/>
              </w:rPr>
            </w:pPr>
            <w:r>
              <w:rPr>
                <w:rFonts w:asciiTheme="minorHAnsi" w:eastAsiaTheme="minorHAnsi" w:hAnsiTheme="minorHAnsi" w:cs="Verdana"/>
              </w:rPr>
              <w:t>CrCL</w:t>
            </w:r>
          </w:p>
        </w:tc>
        <w:tc>
          <w:tcPr>
            <w:tcW w:w="6911" w:type="dxa"/>
          </w:tcPr>
          <w:p w14:paraId="098A2004" w14:textId="77777777" w:rsidR="005E2185" w:rsidRPr="000B42EA" w:rsidRDefault="005E2185" w:rsidP="005E2185">
            <w:pPr>
              <w:autoSpaceDE w:val="0"/>
              <w:autoSpaceDN w:val="0"/>
              <w:adjustRightInd w:val="0"/>
              <w:rPr>
                <w:rFonts w:asciiTheme="minorHAnsi" w:eastAsiaTheme="minorHAnsi" w:hAnsiTheme="minorHAnsi" w:cs="Verdana"/>
              </w:rPr>
            </w:pPr>
            <w:r w:rsidRPr="000B42EA">
              <w:rPr>
                <w:rFonts w:asciiTheme="minorHAnsi" w:eastAsiaTheme="minorHAnsi" w:hAnsiTheme="minorHAnsi" w:cs="Verdana"/>
              </w:rPr>
              <w:t>Creatinine clearance</w:t>
            </w:r>
          </w:p>
        </w:tc>
      </w:tr>
      <w:tr w:rsidR="005E2185" w:rsidRPr="00FD119B" w14:paraId="1CF797D9" w14:textId="77777777" w:rsidTr="00FD119B">
        <w:tc>
          <w:tcPr>
            <w:tcW w:w="1809" w:type="dxa"/>
          </w:tcPr>
          <w:p w14:paraId="0B86CC87" w14:textId="77777777" w:rsidR="005E2185" w:rsidRPr="000B42EA" w:rsidRDefault="005E2185" w:rsidP="005E2185">
            <w:pPr>
              <w:autoSpaceDE w:val="0"/>
              <w:autoSpaceDN w:val="0"/>
              <w:adjustRightInd w:val="0"/>
              <w:rPr>
                <w:rFonts w:asciiTheme="minorHAnsi" w:eastAsiaTheme="minorHAnsi" w:hAnsiTheme="minorHAnsi" w:cs="Verdana"/>
              </w:rPr>
            </w:pPr>
            <w:r w:rsidRPr="000B42EA">
              <w:rPr>
                <w:rFonts w:asciiTheme="minorHAnsi" w:eastAsiaTheme="minorHAnsi" w:hAnsiTheme="minorHAnsi" w:cs="Verdana"/>
              </w:rPr>
              <w:t>CXL</w:t>
            </w:r>
          </w:p>
        </w:tc>
        <w:tc>
          <w:tcPr>
            <w:tcW w:w="6911" w:type="dxa"/>
          </w:tcPr>
          <w:p w14:paraId="4D60FDDB" w14:textId="77777777" w:rsidR="005E2185" w:rsidRPr="000B42EA" w:rsidRDefault="005E2185" w:rsidP="005E2185">
            <w:pPr>
              <w:autoSpaceDE w:val="0"/>
              <w:autoSpaceDN w:val="0"/>
              <w:adjustRightInd w:val="0"/>
              <w:rPr>
                <w:rFonts w:asciiTheme="minorHAnsi" w:eastAsiaTheme="minorHAnsi" w:hAnsiTheme="minorHAnsi" w:cs="Verdana"/>
              </w:rPr>
            </w:pPr>
            <w:r w:rsidRPr="000B42EA">
              <w:rPr>
                <w:rFonts w:asciiTheme="minorHAnsi" w:eastAsiaTheme="minorHAnsi" w:hAnsiTheme="minorHAnsi" w:cs="Verdana"/>
              </w:rPr>
              <w:t>Ceftaroline fosamil avibactam</w:t>
            </w:r>
          </w:p>
        </w:tc>
      </w:tr>
      <w:tr w:rsidR="005D567A" w:rsidRPr="00FD119B" w14:paraId="274C0451" w14:textId="77777777" w:rsidTr="00FD119B">
        <w:tc>
          <w:tcPr>
            <w:tcW w:w="1809" w:type="dxa"/>
          </w:tcPr>
          <w:p w14:paraId="63D032F1" w14:textId="77777777" w:rsidR="005D567A" w:rsidRPr="000B42EA" w:rsidRDefault="005D567A" w:rsidP="005E2185">
            <w:pPr>
              <w:autoSpaceDE w:val="0"/>
              <w:autoSpaceDN w:val="0"/>
              <w:adjustRightInd w:val="0"/>
              <w:rPr>
                <w:rFonts w:asciiTheme="minorHAnsi" w:eastAsiaTheme="minorHAnsi" w:hAnsiTheme="minorHAnsi" w:cs="Verdana"/>
              </w:rPr>
            </w:pPr>
            <w:r>
              <w:lastRenderedPageBreak/>
              <w:t>DAE</w:t>
            </w:r>
          </w:p>
        </w:tc>
        <w:tc>
          <w:tcPr>
            <w:tcW w:w="6911" w:type="dxa"/>
          </w:tcPr>
          <w:p w14:paraId="453F4522" w14:textId="77777777" w:rsidR="005D567A" w:rsidRPr="000B42EA" w:rsidRDefault="005D567A" w:rsidP="005D567A">
            <w:pPr>
              <w:autoSpaceDE w:val="0"/>
              <w:autoSpaceDN w:val="0"/>
              <w:adjustRightInd w:val="0"/>
              <w:rPr>
                <w:rFonts w:asciiTheme="minorHAnsi" w:eastAsiaTheme="minorHAnsi" w:hAnsiTheme="minorHAnsi" w:cs="Verdana"/>
              </w:rPr>
            </w:pPr>
            <w:r>
              <w:t>Discontinuation of study drug due to adverse events</w:t>
            </w:r>
          </w:p>
        </w:tc>
      </w:tr>
      <w:tr w:rsidR="005E2185" w:rsidRPr="00FD119B" w14:paraId="1C03469A" w14:textId="77777777" w:rsidTr="00FD119B">
        <w:tc>
          <w:tcPr>
            <w:tcW w:w="1809" w:type="dxa"/>
          </w:tcPr>
          <w:p w14:paraId="2A4E5E89" w14:textId="77777777" w:rsidR="005E2185" w:rsidRPr="000B42EA" w:rsidRDefault="005E2185" w:rsidP="005E2185">
            <w:pPr>
              <w:autoSpaceDE w:val="0"/>
              <w:autoSpaceDN w:val="0"/>
              <w:adjustRightInd w:val="0"/>
              <w:rPr>
                <w:rFonts w:asciiTheme="minorHAnsi" w:eastAsiaTheme="minorHAnsi" w:hAnsiTheme="minorHAnsi" w:cs="Verdana"/>
              </w:rPr>
            </w:pPr>
            <w:r w:rsidRPr="000B42EA">
              <w:rPr>
                <w:rFonts w:asciiTheme="minorHAnsi" w:eastAsiaTheme="minorHAnsi" w:hAnsiTheme="minorHAnsi" w:cs="Verdana"/>
              </w:rPr>
              <w:t>DDI</w:t>
            </w:r>
          </w:p>
        </w:tc>
        <w:tc>
          <w:tcPr>
            <w:tcW w:w="6911" w:type="dxa"/>
          </w:tcPr>
          <w:p w14:paraId="1B8D6FB5" w14:textId="77777777" w:rsidR="005E2185" w:rsidRPr="000B42EA" w:rsidRDefault="005E2185" w:rsidP="005E2185">
            <w:pPr>
              <w:autoSpaceDE w:val="0"/>
              <w:autoSpaceDN w:val="0"/>
              <w:adjustRightInd w:val="0"/>
              <w:rPr>
                <w:rFonts w:asciiTheme="minorHAnsi" w:eastAsiaTheme="minorHAnsi" w:hAnsiTheme="minorHAnsi" w:cs="Verdana"/>
              </w:rPr>
            </w:pPr>
            <w:r w:rsidRPr="000B42EA">
              <w:rPr>
                <w:rFonts w:asciiTheme="minorHAnsi" w:eastAsiaTheme="minorHAnsi" w:hAnsiTheme="minorHAnsi" w:cs="Verdana"/>
              </w:rPr>
              <w:t>Drug-drug interaction</w:t>
            </w:r>
          </w:p>
        </w:tc>
      </w:tr>
      <w:tr w:rsidR="00B87FF3" w:rsidRPr="00FD119B" w14:paraId="2F836A59" w14:textId="77777777" w:rsidTr="00FD119B">
        <w:tc>
          <w:tcPr>
            <w:tcW w:w="1809" w:type="dxa"/>
          </w:tcPr>
          <w:p w14:paraId="44B83F3D" w14:textId="77777777" w:rsidR="00B87FF3" w:rsidRPr="000B42EA" w:rsidRDefault="00B87FF3" w:rsidP="005E2185">
            <w:pPr>
              <w:autoSpaceDE w:val="0"/>
              <w:autoSpaceDN w:val="0"/>
              <w:adjustRightInd w:val="0"/>
              <w:rPr>
                <w:rFonts w:asciiTheme="minorHAnsi" w:eastAsiaTheme="minorHAnsi" w:hAnsiTheme="minorHAnsi" w:cs="Verdana"/>
              </w:rPr>
            </w:pPr>
            <w:r w:rsidRPr="00737452">
              <w:t>DILI</w:t>
            </w:r>
          </w:p>
        </w:tc>
        <w:tc>
          <w:tcPr>
            <w:tcW w:w="6911" w:type="dxa"/>
          </w:tcPr>
          <w:p w14:paraId="6B5ED0F6" w14:textId="77777777" w:rsidR="00B87FF3" w:rsidRPr="000B42EA" w:rsidRDefault="00B87FF3" w:rsidP="00B87FF3">
            <w:pPr>
              <w:autoSpaceDE w:val="0"/>
              <w:autoSpaceDN w:val="0"/>
              <w:adjustRightInd w:val="0"/>
              <w:rPr>
                <w:rFonts w:asciiTheme="minorHAnsi" w:eastAsiaTheme="minorHAnsi" w:hAnsiTheme="minorHAnsi" w:cs="Verdana"/>
              </w:rPr>
            </w:pPr>
            <w:r>
              <w:t>Drug induced liver injury</w:t>
            </w:r>
          </w:p>
        </w:tc>
      </w:tr>
      <w:tr w:rsidR="003D52BE" w:rsidRPr="00FD119B" w14:paraId="0ADCF6BC" w14:textId="77777777" w:rsidTr="00FD119B">
        <w:tc>
          <w:tcPr>
            <w:tcW w:w="1809" w:type="dxa"/>
          </w:tcPr>
          <w:p w14:paraId="5F93B145" w14:textId="77777777" w:rsidR="003D52BE" w:rsidRPr="00737452" w:rsidRDefault="003D52BE" w:rsidP="005E2185">
            <w:pPr>
              <w:autoSpaceDE w:val="0"/>
              <w:autoSpaceDN w:val="0"/>
              <w:adjustRightInd w:val="0"/>
            </w:pPr>
            <w:r>
              <w:t>DLP</w:t>
            </w:r>
          </w:p>
        </w:tc>
        <w:tc>
          <w:tcPr>
            <w:tcW w:w="6911" w:type="dxa"/>
          </w:tcPr>
          <w:p w14:paraId="40049535" w14:textId="77777777" w:rsidR="003D52BE" w:rsidRDefault="003D52BE" w:rsidP="003D52BE">
            <w:pPr>
              <w:autoSpaceDE w:val="0"/>
              <w:autoSpaceDN w:val="0"/>
              <w:adjustRightInd w:val="0"/>
            </w:pPr>
            <w:r>
              <w:t>Data lock point</w:t>
            </w:r>
          </w:p>
        </w:tc>
      </w:tr>
      <w:tr w:rsidR="00BD0DBD" w:rsidRPr="00FD119B" w14:paraId="310D14DD" w14:textId="77777777" w:rsidTr="00FD119B">
        <w:tc>
          <w:tcPr>
            <w:tcW w:w="1809" w:type="dxa"/>
          </w:tcPr>
          <w:p w14:paraId="59F25406" w14:textId="77777777" w:rsidR="00BD0DBD" w:rsidRPr="000B42EA" w:rsidRDefault="00BD0DBD" w:rsidP="005E2185">
            <w:pPr>
              <w:rPr>
                <w:rFonts w:asciiTheme="minorHAnsi" w:eastAsiaTheme="minorHAnsi" w:hAnsiTheme="minorHAnsi" w:cs="Verdana"/>
              </w:rPr>
            </w:pPr>
            <w:r>
              <w:t>EM</w:t>
            </w:r>
          </w:p>
        </w:tc>
        <w:tc>
          <w:tcPr>
            <w:tcW w:w="6911" w:type="dxa"/>
          </w:tcPr>
          <w:p w14:paraId="408E6031" w14:textId="77777777" w:rsidR="00BD0DBD" w:rsidRPr="000B42EA" w:rsidRDefault="00BD0DBD" w:rsidP="00BD0DBD">
            <w:pPr>
              <w:rPr>
                <w:rFonts w:asciiTheme="minorHAnsi" w:eastAsiaTheme="minorHAnsi" w:hAnsiTheme="minorHAnsi" w:cs="Verdana"/>
              </w:rPr>
            </w:pPr>
            <w:r>
              <w:t>Erythema multiforme</w:t>
            </w:r>
          </w:p>
        </w:tc>
      </w:tr>
      <w:tr w:rsidR="0049528A" w:rsidRPr="00FD119B" w14:paraId="49342C86" w14:textId="77777777" w:rsidTr="00FD119B">
        <w:tc>
          <w:tcPr>
            <w:tcW w:w="1809" w:type="dxa"/>
          </w:tcPr>
          <w:p w14:paraId="5DE62CB0" w14:textId="77777777" w:rsidR="0049528A" w:rsidRPr="000B42EA" w:rsidRDefault="0049528A" w:rsidP="005E2185">
            <w:pPr>
              <w:rPr>
                <w:rFonts w:asciiTheme="minorHAnsi" w:eastAsiaTheme="minorHAnsi" w:hAnsiTheme="minorHAnsi" w:cs="Verdana"/>
              </w:rPr>
            </w:pPr>
            <w:r>
              <w:t>EMA</w:t>
            </w:r>
          </w:p>
        </w:tc>
        <w:tc>
          <w:tcPr>
            <w:tcW w:w="6911" w:type="dxa"/>
          </w:tcPr>
          <w:p w14:paraId="624D43F0" w14:textId="77777777" w:rsidR="0049528A" w:rsidRPr="000B42EA" w:rsidRDefault="0049528A" w:rsidP="0049528A">
            <w:pPr>
              <w:rPr>
                <w:rFonts w:asciiTheme="minorHAnsi" w:eastAsiaTheme="minorHAnsi" w:hAnsiTheme="minorHAnsi" w:cs="Verdana"/>
              </w:rPr>
            </w:pPr>
            <w:r>
              <w:t>European Medicines Agency</w:t>
            </w:r>
            <w:r w:rsidR="00090D52">
              <w:t xml:space="preserve"> (EU)</w:t>
            </w:r>
          </w:p>
        </w:tc>
      </w:tr>
      <w:tr w:rsidR="005E2185" w:rsidRPr="00FD119B" w14:paraId="1B1F47FB" w14:textId="77777777" w:rsidTr="00FD119B">
        <w:tc>
          <w:tcPr>
            <w:tcW w:w="1809" w:type="dxa"/>
          </w:tcPr>
          <w:p w14:paraId="719CDE74" w14:textId="77777777" w:rsidR="005E2185" w:rsidRPr="000B42EA" w:rsidRDefault="005E2185" w:rsidP="005E2185">
            <w:pPr>
              <w:rPr>
                <w:rFonts w:asciiTheme="minorHAnsi" w:eastAsiaTheme="minorHAnsi" w:hAnsiTheme="minorHAnsi" w:cs="Verdana"/>
              </w:rPr>
            </w:pPr>
            <w:r w:rsidRPr="000B42EA">
              <w:rPr>
                <w:rFonts w:asciiTheme="minorHAnsi" w:eastAsiaTheme="minorHAnsi" w:hAnsiTheme="minorHAnsi" w:cs="Verdana"/>
              </w:rPr>
              <w:t>EOT</w:t>
            </w:r>
          </w:p>
        </w:tc>
        <w:tc>
          <w:tcPr>
            <w:tcW w:w="6911" w:type="dxa"/>
          </w:tcPr>
          <w:p w14:paraId="2A0EF6D0" w14:textId="77777777" w:rsidR="005E2185" w:rsidRPr="000B42EA" w:rsidRDefault="009D221D" w:rsidP="005E2185">
            <w:pPr>
              <w:rPr>
                <w:rFonts w:asciiTheme="minorHAnsi" w:eastAsiaTheme="minorHAnsi" w:hAnsiTheme="minorHAnsi" w:cs="Verdana"/>
              </w:rPr>
            </w:pPr>
            <w:r>
              <w:rPr>
                <w:rFonts w:asciiTheme="minorHAnsi" w:eastAsiaTheme="minorHAnsi" w:hAnsiTheme="minorHAnsi" w:cs="Verdana"/>
              </w:rPr>
              <w:t>End of treatment</w:t>
            </w:r>
          </w:p>
        </w:tc>
      </w:tr>
      <w:tr w:rsidR="005E2185" w:rsidRPr="00FD119B" w14:paraId="6E3CFA66" w14:textId="77777777" w:rsidTr="00FD119B">
        <w:tc>
          <w:tcPr>
            <w:tcW w:w="1809" w:type="dxa"/>
          </w:tcPr>
          <w:p w14:paraId="1A19276D" w14:textId="77777777" w:rsidR="005E2185" w:rsidRPr="000B42EA" w:rsidRDefault="005E2185" w:rsidP="005E2185">
            <w:pPr>
              <w:rPr>
                <w:rFonts w:asciiTheme="minorHAnsi" w:eastAsiaTheme="minorHAnsi" w:hAnsiTheme="minorHAnsi" w:cs="Verdana"/>
              </w:rPr>
            </w:pPr>
            <w:r w:rsidRPr="000B42EA">
              <w:rPr>
                <w:rFonts w:asciiTheme="minorHAnsi" w:eastAsiaTheme="minorHAnsi" w:hAnsiTheme="minorHAnsi" w:cs="Verdana"/>
              </w:rPr>
              <w:t>ESBL</w:t>
            </w:r>
          </w:p>
        </w:tc>
        <w:tc>
          <w:tcPr>
            <w:tcW w:w="6911" w:type="dxa"/>
          </w:tcPr>
          <w:p w14:paraId="520A3FC3" w14:textId="77777777" w:rsidR="005E2185" w:rsidRPr="000B42EA" w:rsidRDefault="005E2185" w:rsidP="005E2185">
            <w:pPr>
              <w:rPr>
                <w:rFonts w:asciiTheme="minorHAnsi" w:eastAsiaTheme="minorHAnsi" w:hAnsiTheme="minorHAnsi" w:cs="Verdana"/>
              </w:rPr>
            </w:pPr>
            <w:r w:rsidRPr="000B42EA">
              <w:rPr>
                <w:rFonts w:asciiTheme="minorHAnsi" w:eastAsiaTheme="minorHAnsi" w:hAnsiTheme="minorHAnsi" w:cs="Verdana"/>
              </w:rPr>
              <w:t xml:space="preserve">Extended spectrum </w:t>
            </w:r>
            <w:r w:rsidR="00090D52">
              <w:rPr>
                <w:rFonts w:asciiTheme="minorHAnsi" w:eastAsiaTheme="minorHAnsi" w:hAnsiTheme="minorHAnsi" w:cs="Verdana"/>
              </w:rPr>
              <w:t>beta (</w:t>
            </w:r>
            <w:r w:rsidRPr="000B42EA">
              <w:rPr>
                <w:rFonts w:asciiTheme="minorHAnsi" w:eastAsiaTheme="minorHAnsi" w:hAnsiTheme="minorHAnsi" w:cs="Verdana"/>
              </w:rPr>
              <w:t>β</w:t>
            </w:r>
            <w:r w:rsidR="00090D52">
              <w:rPr>
                <w:rFonts w:asciiTheme="minorHAnsi" w:eastAsiaTheme="minorHAnsi" w:hAnsiTheme="minorHAnsi" w:cs="Verdana"/>
              </w:rPr>
              <w:t>)</w:t>
            </w:r>
            <w:r w:rsidRPr="000B42EA">
              <w:rPr>
                <w:rFonts w:asciiTheme="minorHAnsi" w:eastAsiaTheme="minorHAnsi" w:hAnsiTheme="minorHAnsi" w:cs="Verdana"/>
              </w:rPr>
              <w:t>-lactamase</w:t>
            </w:r>
          </w:p>
        </w:tc>
      </w:tr>
      <w:tr w:rsidR="005E2185" w:rsidRPr="00FD119B" w14:paraId="138294A6" w14:textId="77777777" w:rsidTr="00FD119B">
        <w:tc>
          <w:tcPr>
            <w:tcW w:w="1809" w:type="dxa"/>
          </w:tcPr>
          <w:p w14:paraId="345EFDBC" w14:textId="77777777" w:rsidR="005E2185" w:rsidRPr="000B42EA" w:rsidRDefault="005E2185" w:rsidP="005E2185">
            <w:pPr>
              <w:rPr>
                <w:rFonts w:asciiTheme="minorHAnsi" w:eastAsiaTheme="minorHAnsi" w:hAnsiTheme="minorHAnsi" w:cs="Verdana"/>
              </w:rPr>
            </w:pPr>
            <w:r w:rsidRPr="000B42EA">
              <w:rPr>
                <w:rFonts w:asciiTheme="minorHAnsi" w:eastAsiaTheme="minorHAnsi" w:hAnsiTheme="minorHAnsi" w:cs="Verdana"/>
              </w:rPr>
              <w:t>ESRD</w:t>
            </w:r>
          </w:p>
        </w:tc>
        <w:tc>
          <w:tcPr>
            <w:tcW w:w="6911" w:type="dxa"/>
          </w:tcPr>
          <w:p w14:paraId="3B38F7AE" w14:textId="77777777" w:rsidR="005E2185" w:rsidRPr="000B42EA" w:rsidRDefault="005E2185" w:rsidP="005E2185">
            <w:pPr>
              <w:rPr>
                <w:rFonts w:asciiTheme="minorHAnsi" w:eastAsiaTheme="minorHAnsi" w:hAnsiTheme="minorHAnsi" w:cs="Verdana"/>
              </w:rPr>
            </w:pPr>
            <w:r w:rsidRPr="000B42EA">
              <w:rPr>
                <w:rFonts w:asciiTheme="minorHAnsi" w:eastAsiaTheme="minorHAnsi" w:hAnsiTheme="minorHAnsi" w:cs="Verdana"/>
              </w:rPr>
              <w:t>End stage renal disease</w:t>
            </w:r>
          </w:p>
        </w:tc>
      </w:tr>
      <w:tr w:rsidR="00F60AA7" w:rsidRPr="00FD119B" w14:paraId="13868757" w14:textId="77777777" w:rsidTr="00FD119B">
        <w:tc>
          <w:tcPr>
            <w:tcW w:w="1809" w:type="dxa"/>
          </w:tcPr>
          <w:p w14:paraId="138D4DE5" w14:textId="77777777" w:rsidR="00F60AA7" w:rsidRPr="000B42EA" w:rsidRDefault="00F60AA7" w:rsidP="005E2185">
            <w:pPr>
              <w:rPr>
                <w:rFonts w:asciiTheme="minorHAnsi" w:eastAsiaTheme="minorHAnsi" w:hAnsiTheme="minorHAnsi" w:cs="Verdana"/>
              </w:rPr>
            </w:pPr>
            <w:r>
              <w:rPr>
                <w:rFonts w:asciiTheme="minorHAnsi" w:eastAsiaTheme="minorHAnsi" w:hAnsiTheme="minorHAnsi" w:cs="Verdana"/>
              </w:rPr>
              <w:t>EU</w:t>
            </w:r>
          </w:p>
        </w:tc>
        <w:tc>
          <w:tcPr>
            <w:tcW w:w="6911" w:type="dxa"/>
          </w:tcPr>
          <w:p w14:paraId="2EF1F667" w14:textId="77777777" w:rsidR="00F60AA7" w:rsidRPr="000B42EA" w:rsidRDefault="00F60AA7" w:rsidP="005E2185">
            <w:pPr>
              <w:rPr>
                <w:rFonts w:asciiTheme="minorHAnsi" w:eastAsiaTheme="minorHAnsi" w:hAnsiTheme="minorHAnsi" w:cs="Verdana"/>
              </w:rPr>
            </w:pPr>
            <w:r>
              <w:rPr>
                <w:rFonts w:asciiTheme="minorHAnsi" w:eastAsiaTheme="minorHAnsi" w:hAnsiTheme="minorHAnsi" w:cs="Verdana"/>
              </w:rPr>
              <w:t>European Union</w:t>
            </w:r>
          </w:p>
        </w:tc>
      </w:tr>
      <w:tr w:rsidR="003D52BE" w:rsidRPr="00FD119B" w14:paraId="60E29982" w14:textId="77777777" w:rsidTr="00FD119B">
        <w:tc>
          <w:tcPr>
            <w:tcW w:w="1809" w:type="dxa"/>
          </w:tcPr>
          <w:p w14:paraId="2B02D7BE" w14:textId="77777777" w:rsidR="003D52BE" w:rsidRDefault="003D52BE" w:rsidP="005E2185">
            <w:pPr>
              <w:rPr>
                <w:rFonts w:asciiTheme="minorHAnsi" w:eastAsiaTheme="minorHAnsi" w:hAnsiTheme="minorHAnsi" w:cs="Verdana"/>
              </w:rPr>
            </w:pPr>
            <w:r>
              <w:t>EU-RMP</w:t>
            </w:r>
          </w:p>
        </w:tc>
        <w:tc>
          <w:tcPr>
            <w:tcW w:w="6911" w:type="dxa"/>
          </w:tcPr>
          <w:p w14:paraId="271B6446" w14:textId="4FAFA858" w:rsidR="003D52BE" w:rsidRDefault="003D52BE" w:rsidP="00090D52">
            <w:pPr>
              <w:rPr>
                <w:rFonts w:asciiTheme="minorHAnsi" w:eastAsiaTheme="minorHAnsi" w:hAnsiTheme="minorHAnsi" w:cs="Verdana"/>
              </w:rPr>
            </w:pPr>
            <w:r>
              <w:t xml:space="preserve">European Union </w:t>
            </w:r>
            <w:r w:rsidR="00090D52">
              <w:t>r</w:t>
            </w:r>
            <w:r>
              <w:t xml:space="preserve">isk </w:t>
            </w:r>
            <w:r w:rsidR="00090D52">
              <w:t>management p</w:t>
            </w:r>
            <w:r>
              <w:t>lan</w:t>
            </w:r>
          </w:p>
        </w:tc>
      </w:tr>
      <w:tr w:rsidR="00D25EE9" w:rsidRPr="00FD119B" w14:paraId="28A13BE5" w14:textId="77777777" w:rsidTr="00FD119B">
        <w:tc>
          <w:tcPr>
            <w:tcW w:w="1809" w:type="dxa"/>
          </w:tcPr>
          <w:p w14:paraId="70280663" w14:textId="77777777" w:rsidR="00D25EE9" w:rsidRDefault="00D25EE9" w:rsidP="005E2185">
            <w:pPr>
              <w:rPr>
                <w:rFonts w:asciiTheme="minorHAnsi" w:eastAsiaTheme="minorHAnsi" w:hAnsiTheme="minorHAnsi" w:cs="Verdana"/>
              </w:rPr>
            </w:pPr>
            <w:r>
              <w:t>FDA</w:t>
            </w:r>
          </w:p>
        </w:tc>
        <w:tc>
          <w:tcPr>
            <w:tcW w:w="6911" w:type="dxa"/>
          </w:tcPr>
          <w:p w14:paraId="4A89EEF6" w14:textId="77777777" w:rsidR="00D25EE9" w:rsidRDefault="00D25EE9" w:rsidP="00D25EE9">
            <w:pPr>
              <w:rPr>
                <w:rFonts w:asciiTheme="minorHAnsi" w:eastAsiaTheme="minorHAnsi" w:hAnsiTheme="minorHAnsi" w:cs="Verdana"/>
              </w:rPr>
            </w:pPr>
            <w:r>
              <w:t>Food and Drug Administration (USA)</w:t>
            </w:r>
          </w:p>
        </w:tc>
      </w:tr>
      <w:tr w:rsidR="005E2185" w:rsidRPr="00FD119B" w14:paraId="51C0ED60" w14:textId="77777777" w:rsidTr="00FD119B">
        <w:tc>
          <w:tcPr>
            <w:tcW w:w="1809" w:type="dxa"/>
          </w:tcPr>
          <w:p w14:paraId="4C838294" w14:textId="77777777" w:rsidR="005E2185" w:rsidRPr="000B42EA" w:rsidRDefault="005E2185" w:rsidP="005E2185">
            <w:pPr>
              <w:rPr>
                <w:rFonts w:asciiTheme="minorHAnsi" w:eastAsiaTheme="minorHAnsi" w:hAnsiTheme="minorHAnsi" w:cs="Verdana"/>
              </w:rPr>
            </w:pPr>
            <w:r w:rsidRPr="000B42EA">
              <w:rPr>
                <w:rFonts w:asciiTheme="minorHAnsi" w:eastAsiaTheme="minorHAnsi" w:hAnsiTheme="minorHAnsi" w:cs="Verdana"/>
              </w:rPr>
              <w:t>fT</w:t>
            </w:r>
            <w:r w:rsidR="007203C8">
              <w:rPr>
                <w:rFonts w:asciiTheme="minorHAnsi" w:eastAsiaTheme="minorHAnsi" w:hAnsiTheme="minorHAnsi" w:cs="Verdana"/>
              </w:rPr>
              <w:t xml:space="preserve"> </w:t>
            </w:r>
            <w:r w:rsidRPr="000B42EA">
              <w:rPr>
                <w:rFonts w:asciiTheme="minorHAnsi" w:eastAsiaTheme="minorHAnsi" w:hAnsiTheme="minorHAnsi" w:cs="Verdana"/>
              </w:rPr>
              <w:t>&gt;</w:t>
            </w:r>
            <w:r w:rsidR="007203C8">
              <w:rPr>
                <w:rFonts w:asciiTheme="minorHAnsi" w:eastAsiaTheme="minorHAnsi" w:hAnsiTheme="minorHAnsi" w:cs="Verdana"/>
              </w:rPr>
              <w:t xml:space="preserve"> </w:t>
            </w:r>
            <w:r w:rsidRPr="000B42EA">
              <w:rPr>
                <w:rFonts w:asciiTheme="minorHAnsi" w:eastAsiaTheme="minorHAnsi" w:hAnsiTheme="minorHAnsi" w:cs="Verdana"/>
              </w:rPr>
              <w:t>CT</w:t>
            </w:r>
          </w:p>
        </w:tc>
        <w:tc>
          <w:tcPr>
            <w:tcW w:w="6911" w:type="dxa"/>
          </w:tcPr>
          <w:p w14:paraId="6C353F0E" w14:textId="77777777" w:rsidR="005E2185" w:rsidRPr="000B42EA" w:rsidRDefault="005E2185" w:rsidP="005E2185">
            <w:pPr>
              <w:rPr>
                <w:rFonts w:asciiTheme="minorHAnsi" w:eastAsiaTheme="minorHAnsi" w:hAnsiTheme="minorHAnsi" w:cs="Verdana"/>
              </w:rPr>
            </w:pPr>
            <w:r w:rsidRPr="000B42EA">
              <w:rPr>
                <w:rFonts w:asciiTheme="minorHAnsi" w:eastAsiaTheme="minorHAnsi" w:hAnsiTheme="minorHAnsi" w:cs="Verdana"/>
              </w:rPr>
              <w:t>Time plasma concentration of free drug meets or exce</w:t>
            </w:r>
            <w:r w:rsidR="007203C8">
              <w:rPr>
                <w:rFonts w:asciiTheme="minorHAnsi" w:eastAsiaTheme="minorHAnsi" w:hAnsiTheme="minorHAnsi" w:cs="Verdana"/>
              </w:rPr>
              <w:t xml:space="preserve">eds threshold concentration </w:t>
            </w:r>
            <w:r w:rsidR="00090D52">
              <w:rPr>
                <w:rFonts w:asciiTheme="minorHAnsi" w:eastAsiaTheme="minorHAnsi" w:hAnsiTheme="minorHAnsi" w:cs="Verdana"/>
              </w:rPr>
              <w:t>(</w:t>
            </w:r>
            <w:r w:rsidR="007203C8">
              <w:rPr>
                <w:rFonts w:asciiTheme="minorHAnsi" w:eastAsiaTheme="minorHAnsi" w:hAnsiTheme="minorHAnsi" w:cs="Verdana"/>
              </w:rPr>
              <w:t>i</w:t>
            </w:r>
            <w:r w:rsidRPr="000B42EA">
              <w:rPr>
                <w:rFonts w:asciiTheme="minorHAnsi" w:eastAsiaTheme="minorHAnsi" w:hAnsiTheme="minorHAnsi" w:cs="Verdana"/>
              </w:rPr>
              <w:t>ntravenous</w:t>
            </w:r>
            <w:r w:rsidR="00090D52">
              <w:rPr>
                <w:rFonts w:asciiTheme="minorHAnsi" w:eastAsiaTheme="minorHAnsi" w:hAnsiTheme="minorHAnsi" w:cs="Verdana"/>
              </w:rPr>
              <w:t>)</w:t>
            </w:r>
          </w:p>
        </w:tc>
      </w:tr>
      <w:tr w:rsidR="007203C8" w:rsidRPr="00FD119B" w14:paraId="0CB7A0D9" w14:textId="77777777" w:rsidTr="00FD119B">
        <w:tc>
          <w:tcPr>
            <w:tcW w:w="1809" w:type="dxa"/>
          </w:tcPr>
          <w:p w14:paraId="715F6E4A" w14:textId="77777777" w:rsidR="007203C8" w:rsidRPr="000B42EA" w:rsidRDefault="007203C8" w:rsidP="005E2185">
            <w:pPr>
              <w:rPr>
                <w:rFonts w:asciiTheme="minorHAnsi" w:eastAsiaTheme="minorHAnsi" w:hAnsiTheme="minorHAnsi" w:cs="Verdana"/>
              </w:rPr>
            </w:pPr>
            <w:r>
              <w:t>GVP</w:t>
            </w:r>
          </w:p>
        </w:tc>
        <w:tc>
          <w:tcPr>
            <w:tcW w:w="6911" w:type="dxa"/>
          </w:tcPr>
          <w:p w14:paraId="7516F4BB" w14:textId="77777777" w:rsidR="007203C8" w:rsidRPr="000B42EA" w:rsidRDefault="007203C8" w:rsidP="007203C8">
            <w:pPr>
              <w:rPr>
                <w:rFonts w:asciiTheme="minorHAnsi" w:eastAsiaTheme="minorHAnsi" w:hAnsiTheme="minorHAnsi" w:cs="Verdana"/>
              </w:rPr>
            </w:pPr>
            <w:r>
              <w:t>Good Pharmacovigilance Practice</w:t>
            </w:r>
            <w:r w:rsidR="00090D52">
              <w:t>(s)</w:t>
            </w:r>
          </w:p>
        </w:tc>
      </w:tr>
      <w:tr w:rsidR="0049528A" w:rsidRPr="00FD119B" w14:paraId="46D7772E" w14:textId="77777777" w:rsidTr="00FD119B">
        <w:tc>
          <w:tcPr>
            <w:tcW w:w="1809" w:type="dxa"/>
          </w:tcPr>
          <w:p w14:paraId="7BA2627F" w14:textId="77777777" w:rsidR="0049528A" w:rsidRPr="000B42EA" w:rsidRDefault="0049528A" w:rsidP="005E2185">
            <w:pPr>
              <w:rPr>
                <w:rFonts w:asciiTheme="minorHAnsi" w:eastAsiaTheme="minorHAnsi" w:hAnsiTheme="minorHAnsi" w:cs="Verdana"/>
              </w:rPr>
            </w:pPr>
            <w:r>
              <w:rPr>
                <w:rFonts w:asciiTheme="minorHAnsi" w:eastAsiaTheme="minorHAnsi" w:hAnsiTheme="minorHAnsi" w:cs="Verdana"/>
              </w:rPr>
              <w:t>HAP</w:t>
            </w:r>
          </w:p>
        </w:tc>
        <w:tc>
          <w:tcPr>
            <w:tcW w:w="6911" w:type="dxa"/>
          </w:tcPr>
          <w:p w14:paraId="1FA98EC9" w14:textId="77777777" w:rsidR="0049528A" w:rsidRPr="000B42EA" w:rsidRDefault="0049528A" w:rsidP="005E2185">
            <w:pPr>
              <w:rPr>
                <w:rFonts w:asciiTheme="minorHAnsi" w:eastAsiaTheme="minorHAnsi" w:hAnsiTheme="minorHAnsi" w:cs="Verdana"/>
              </w:rPr>
            </w:pPr>
            <w:r>
              <w:rPr>
                <w:rFonts w:asciiTheme="minorHAnsi" w:eastAsiaTheme="minorHAnsi" w:hAnsiTheme="minorHAnsi" w:cs="Verdana"/>
              </w:rPr>
              <w:t xml:space="preserve">Hospital-acquired </w:t>
            </w:r>
            <w:r w:rsidR="002D3180">
              <w:rPr>
                <w:rFonts w:asciiTheme="minorHAnsi" w:eastAsiaTheme="minorHAnsi" w:hAnsiTheme="minorHAnsi" w:cs="Verdana"/>
              </w:rPr>
              <w:t>pneumonia</w:t>
            </w:r>
          </w:p>
        </w:tc>
      </w:tr>
      <w:tr w:rsidR="0006414D" w:rsidRPr="00FD119B" w14:paraId="1D1FE5D3" w14:textId="77777777" w:rsidTr="00FD119B">
        <w:tc>
          <w:tcPr>
            <w:tcW w:w="1809" w:type="dxa"/>
          </w:tcPr>
          <w:p w14:paraId="53040876" w14:textId="77777777" w:rsidR="0006414D" w:rsidRDefault="0006414D" w:rsidP="005E2185">
            <w:pPr>
              <w:rPr>
                <w:rFonts w:asciiTheme="minorHAnsi" w:eastAsiaTheme="minorHAnsi" w:hAnsiTheme="minorHAnsi" w:cs="Verdana"/>
              </w:rPr>
            </w:pPr>
            <w:r>
              <w:rPr>
                <w:noProof/>
              </w:rPr>
              <w:t>HCAP</w:t>
            </w:r>
          </w:p>
        </w:tc>
        <w:tc>
          <w:tcPr>
            <w:tcW w:w="6911" w:type="dxa"/>
          </w:tcPr>
          <w:p w14:paraId="5CC56E28" w14:textId="77777777" w:rsidR="0006414D" w:rsidRDefault="0006414D" w:rsidP="0006414D">
            <w:pPr>
              <w:rPr>
                <w:rFonts w:asciiTheme="minorHAnsi" w:eastAsiaTheme="minorHAnsi" w:hAnsiTheme="minorHAnsi" w:cs="Verdana"/>
              </w:rPr>
            </w:pPr>
            <w:r>
              <w:rPr>
                <w:noProof/>
              </w:rPr>
              <w:t>Healthcare associated pneumonia</w:t>
            </w:r>
          </w:p>
        </w:tc>
      </w:tr>
      <w:tr w:rsidR="00D72D27" w:rsidRPr="00FD119B" w14:paraId="55A18B12" w14:textId="77777777" w:rsidTr="00FD119B">
        <w:tc>
          <w:tcPr>
            <w:tcW w:w="1809" w:type="dxa"/>
          </w:tcPr>
          <w:p w14:paraId="6BC09BB4" w14:textId="77777777" w:rsidR="00D72D27" w:rsidRDefault="00D72D27" w:rsidP="005E2185">
            <w:pPr>
              <w:rPr>
                <w:noProof/>
              </w:rPr>
            </w:pPr>
            <w:r>
              <w:rPr>
                <w:noProof/>
              </w:rPr>
              <w:t>ICH</w:t>
            </w:r>
          </w:p>
        </w:tc>
        <w:tc>
          <w:tcPr>
            <w:tcW w:w="6911" w:type="dxa"/>
          </w:tcPr>
          <w:p w14:paraId="5722303D" w14:textId="77777777" w:rsidR="00D72D27" w:rsidRDefault="00D72D27" w:rsidP="0006414D">
            <w:pPr>
              <w:rPr>
                <w:noProof/>
              </w:rPr>
            </w:pPr>
            <w:r>
              <w:rPr>
                <w:noProof/>
              </w:rPr>
              <w:t>International Conference on Harmonisation</w:t>
            </w:r>
          </w:p>
        </w:tc>
      </w:tr>
      <w:tr w:rsidR="00AD0190" w:rsidRPr="00FD119B" w14:paraId="49EDF046" w14:textId="77777777" w:rsidTr="00FD119B">
        <w:tc>
          <w:tcPr>
            <w:tcW w:w="1809" w:type="dxa"/>
          </w:tcPr>
          <w:p w14:paraId="3161157F" w14:textId="77777777" w:rsidR="00AD0190" w:rsidRDefault="00AD0190" w:rsidP="005E2185">
            <w:pPr>
              <w:rPr>
                <w:rFonts w:asciiTheme="minorHAnsi" w:eastAsiaTheme="minorHAnsi" w:hAnsiTheme="minorHAnsi" w:cs="Verdana"/>
              </w:rPr>
            </w:pPr>
            <w:r w:rsidRPr="000A0CE7">
              <w:t>IMP</w:t>
            </w:r>
          </w:p>
        </w:tc>
        <w:tc>
          <w:tcPr>
            <w:tcW w:w="6911" w:type="dxa"/>
          </w:tcPr>
          <w:p w14:paraId="74826873" w14:textId="77777777" w:rsidR="00AD0190" w:rsidRDefault="00AD0190" w:rsidP="00AD0190">
            <w:pPr>
              <w:rPr>
                <w:rFonts w:asciiTheme="minorHAnsi" w:eastAsiaTheme="minorHAnsi" w:hAnsiTheme="minorHAnsi" w:cs="Verdana"/>
              </w:rPr>
            </w:pPr>
            <w:r>
              <w:t>Active-on-imipenem</w:t>
            </w:r>
          </w:p>
        </w:tc>
      </w:tr>
      <w:tr w:rsidR="009E06E1" w:rsidRPr="00FD119B" w14:paraId="636A022C" w14:textId="77777777" w:rsidTr="00FD119B">
        <w:tc>
          <w:tcPr>
            <w:tcW w:w="1809" w:type="dxa"/>
          </w:tcPr>
          <w:p w14:paraId="482787DE" w14:textId="77777777" w:rsidR="009E06E1" w:rsidRDefault="009E06E1" w:rsidP="005E2185">
            <w:pPr>
              <w:rPr>
                <w:rFonts w:asciiTheme="minorHAnsi" w:eastAsiaTheme="minorHAnsi" w:hAnsiTheme="minorHAnsi" w:cs="Verdana"/>
              </w:rPr>
            </w:pPr>
            <w:r>
              <w:rPr>
                <w:rFonts w:asciiTheme="minorHAnsi" w:eastAsiaTheme="minorHAnsi" w:hAnsiTheme="minorHAnsi" w:cs="Verdana"/>
              </w:rPr>
              <w:t>IV</w:t>
            </w:r>
          </w:p>
        </w:tc>
        <w:tc>
          <w:tcPr>
            <w:tcW w:w="6911" w:type="dxa"/>
          </w:tcPr>
          <w:p w14:paraId="2F9432B4" w14:textId="77777777" w:rsidR="009E06E1" w:rsidRDefault="009E06E1" w:rsidP="005E2185">
            <w:pPr>
              <w:rPr>
                <w:rFonts w:asciiTheme="minorHAnsi" w:eastAsiaTheme="minorHAnsi" w:hAnsiTheme="minorHAnsi" w:cs="Verdana"/>
              </w:rPr>
            </w:pPr>
            <w:r>
              <w:rPr>
                <w:rFonts w:asciiTheme="minorHAnsi" w:eastAsiaTheme="minorHAnsi" w:hAnsiTheme="minorHAnsi" w:cs="Verdana"/>
              </w:rPr>
              <w:t>Intravenous</w:t>
            </w:r>
          </w:p>
        </w:tc>
      </w:tr>
      <w:tr w:rsidR="005E2185" w:rsidRPr="00FD119B" w14:paraId="6A62F335" w14:textId="77777777" w:rsidTr="00FD119B">
        <w:tc>
          <w:tcPr>
            <w:tcW w:w="1809" w:type="dxa"/>
          </w:tcPr>
          <w:p w14:paraId="74E24991" w14:textId="77777777" w:rsidR="005E2185" w:rsidRPr="000B42EA" w:rsidRDefault="005E2185" w:rsidP="005E2185">
            <w:pPr>
              <w:rPr>
                <w:rFonts w:asciiTheme="minorHAnsi" w:eastAsiaTheme="minorHAnsi" w:hAnsiTheme="minorHAnsi" w:cs="Verdana"/>
              </w:rPr>
            </w:pPr>
            <w:r w:rsidRPr="000B42EA">
              <w:rPr>
                <w:rFonts w:asciiTheme="minorHAnsi" w:eastAsiaTheme="minorHAnsi" w:hAnsiTheme="minorHAnsi" w:cs="Verdana"/>
              </w:rPr>
              <w:t>KPC</w:t>
            </w:r>
          </w:p>
        </w:tc>
        <w:tc>
          <w:tcPr>
            <w:tcW w:w="6911" w:type="dxa"/>
          </w:tcPr>
          <w:p w14:paraId="282D3BFC" w14:textId="77777777" w:rsidR="005E2185" w:rsidRPr="000B42EA" w:rsidRDefault="005E2185" w:rsidP="005E2185">
            <w:pPr>
              <w:rPr>
                <w:rFonts w:asciiTheme="minorHAnsi" w:eastAsiaTheme="minorHAnsi" w:hAnsiTheme="minorHAnsi" w:cs="Verdana"/>
              </w:rPr>
            </w:pPr>
            <w:r w:rsidRPr="001A3D34">
              <w:rPr>
                <w:rFonts w:asciiTheme="minorHAnsi" w:eastAsiaTheme="minorHAnsi" w:hAnsiTheme="minorHAnsi" w:cs="Verdana"/>
                <w:i/>
              </w:rPr>
              <w:t>Klebsiella pneumoniae</w:t>
            </w:r>
            <w:r w:rsidRPr="000B42EA">
              <w:rPr>
                <w:rFonts w:asciiTheme="minorHAnsi" w:eastAsiaTheme="minorHAnsi" w:hAnsiTheme="minorHAnsi" w:cs="Verdana"/>
              </w:rPr>
              <w:t xml:space="preserve"> carbapenemase</w:t>
            </w:r>
          </w:p>
        </w:tc>
      </w:tr>
      <w:tr w:rsidR="005E2185" w:rsidRPr="00FD119B" w14:paraId="51398D7A" w14:textId="77777777" w:rsidTr="00FD119B">
        <w:tc>
          <w:tcPr>
            <w:tcW w:w="1809" w:type="dxa"/>
          </w:tcPr>
          <w:p w14:paraId="71192F16" w14:textId="77777777" w:rsidR="005E2185" w:rsidRPr="000B42EA" w:rsidRDefault="005E2185" w:rsidP="005E2185">
            <w:pPr>
              <w:rPr>
                <w:rFonts w:asciiTheme="minorHAnsi" w:eastAsiaTheme="minorHAnsi" w:hAnsiTheme="minorHAnsi" w:cs="Verdana"/>
              </w:rPr>
            </w:pPr>
            <w:r w:rsidRPr="000B42EA">
              <w:rPr>
                <w:rFonts w:asciiTheme="minorHAnsi" w:eastAsiaTheme="minorHAnsi" w:hAnsiTheme="minorHAnsi" w:cs="Verdana"/>
              </w:rPr>
              <w:t>LFU</w:t>
            </w:r>
          </w:p>
        </w:tc>
        <w:tc>
          <w:tcPr>
            <w:tcW w:w="6911" w:type="dxa"/>
          </w:tcPr>
          <w:p w14:paraId="6E306257" w14:textId="77777777" w:rsidR="005E2185" w:rsidRPr="000B42EA" w:rsidRDefault="000721C6" w:rsidP="005E2185">
            <w:pPr>
              <w:rPr>
                <w:rFonts w:asciiTheme="minorHAnsi" w:eastAsiaTheme="minorHAnsi" w:hAnsiTheme="minorHAnsi" w:cs="Verdana"/>
              </w:rPr>
            </w:pPr>
            <w:r>
              <w:rPr>
                <w:rFonts w:asciiTheme="minorHAnsi" w:eastAsiaTheme="minorHAnsi" w:hAnsiTheme="minorHAnsi" w:cs="Verdana"/>
              </w:rPr>
              <w:t xml:space="preserve">Late follow </w:t>
            </w:r>
            <w:r w:rsidR="005E2185" w:rsidRPr="000B42EA">
              <w:rPr>
                <w:rFonts w:asciiTheme="minorHAnsi" w:eastAsiaTheme="minorHAnsi" w:hAnsiTheme="minorHAnsi" w:cs="Verdana"/>
              </w:rPr>
              <w:t>up</w:t>
            </w:r>
          </w:p>
        </w:tc>
      </w:tr>
      <w:tr w:rsidR="005E2185" w:rsidRPr="00FD119B" w14:paraId="4355341C" w14:textId="77777777" w:rsidTr="00FD119B">
        <w:tc>
          <w:tcPr>
            <w:tcW w:w="1809" w:type="dxa"/>
          </w:tcPr>
          <w:p w14:paraId="27F5747D" w14:textId="77777777" w:rsidR="005E2185" w:rsidRPr="000B42EA" w:rsidRDefault="005E2185" w:rsidP="005E2185">
            <w:pPr>
              <w:rPr>
                <w:rFonts w:asciiTheme="minorHAnsi" w:eastAsiaTheme="minorHAnsi" w:hAnsiTheme="minorHAnsi" w:cs="Verdana"/>
              </w:rPr>
            </w:pPr>
            <w:r w:rsidRPr="000B42EA">
              <w:rPr>
                <w:rFonts w:asciiTheme="minorHAnsi" w:eastAsiaTheme="minorHAnsi" w:hAnsiTheme="minorHAnsi" w:cs="Verdana"/>
              </w:rPr>
              <w:t>MIC</w:t>
            </w:r>
          </w:p>
        </w:tc>
        <w:tc>
          <w:tcPr>
            <w:tcW w:w="6911" w:type="dxa"/>
          </w:tcPr>
          <w:p w14:paraId="0E8299DC" w14:textId="77777777" w:rsidR="005E2185" w:rsidRPr="000B42EA" w:rsidRDefault="005E2185" w:rsidP="005E2185">
            <w:pPr>
              <w:rPr>
                <w:rFonts w:asciiTheme="minorHAnsi" w:eastAsiaTheme="minorHAnsi" w:hAnsiTheme="minorHAnsi" w:cs="Verdana"/>
              </w:rPr>
            </w:pPr>
            <w:r w:rsidRPr="000B42EA">
              <w:rPr>
                <w:rFonts w:asciiTheme="minorHAnsi" w:eastAsiaTheme="minorHAnsi" w:hAnsiTheme="minorHAnsi" w:cs="Verdana"/>
              </w:rPr>
              <w:t>Minimum inhibitory concentration</w:t>
            </w:r>
          </w:p>
        </w:tc>
      </w:tr>
      <w:tr w:rsidR="005E2185" w:rsidRPr="00FD119B" w14:paraId="0055CC58" w14:textId="77777777" w:rsidTr="00FD119B">
        <w:tc>
          <w:tcPr>
            <w:tcW w:w="1809" w:type="dxa"/>
          </w:tcPr>
          <w:p w14:paraId="36BCEFF0" w14:textId="77777777" w:rsidR="005E2185" w:rsidRPr="000B42EA" w:rsidRDefault="005E2185" w:rsidP="005E2185">
            <w:pPr>
              <w:rPr>
                <w:rFonts w:asciiTheme="minorHAnsi" w:eastAsiaTheme="minorHAnsi" w:hAnsiTheme="minorHAnsi" w:cs="Verdana"/>
              </w:rPr>
            </w:pPr>
            <w:r w:rsidRPr="000B42EA">
              <w:rPr>
                <w:rFonts w:asciiTheme="minorHAnsi" w:eastAsiaTheme="minorHAnsi" w:hAnsiTheme="minorHAnsi" w:cs="Verdana"/>
              </w:rPr>
              <w:t>MITT</w:t>
            </w:r>
          </w:p>
        </w:tc>
        <w:tc>
          <w:tcPr>
            <w:tcW w:w="6911" w:type="dxa"/>
          </w:tcPr>
          <w:p w14:paraId="094D94E5" w14:textId="77777777" w:rsidR="005E2185" w:rsidRPr="000B42EA" w:rsidRDefault="005E2185" w:rsidP="005E2185">
            <w:pPr>
              <w:rPr>
                <w:rFonts w:asciiTheme="minorHAnsi" w:eastAsiaTheme="minorHAnsi" w:hAnsiTheme="minorHAnsi" w:cs="Verdana"/>
              </w:rPr>
            </w:pPr>
            <w:r w:rsidRPr="000B42EA">
              <w:rPr>
                <w:rFonts w:asciiTheme="minorHAnsi" w:eastAsiaTheme="minorHAnsi" w:hAnsiTheme="minorHAnsi" w:cs="Verdana"/>
              </w:rPr>
              <w:t>Modified intention to treat</w:t>
            </w:r>
          </w:p>
        </w:tc>
      </w:tr>
      <w:tr w:rsidR="005E2185" w:rsidRPr="00FD119B" w14:paraId="672C2742" w14:textId="77777777" w:rsidTr="00FD119B">
        <w:tc>
          <w:tcPr>
            <w:tcW w:w="1809" w:type="dxa"/>
          </w:tcPr>
          <w:p w14:paraId="768CF374" w14:textId="77777777" w:rsidR="005E2185" w:rsidRPr="000B42EA" w:rsidRDefault="005E2185" w:rsidP="005E2185">
            <w:pPr>
              <w:rPr>
                <w:rFonts w:asciiTheme="minorHAnsi" w:eastAsiaTheme="minorHAnsi" w:hAnsiTheme="minorHAnsi" w:cs="Verdana"/>
              </w:rPr>
            </w:pPr>
            <w:r w:rsidRPr="000B42EA">
              <w:rPr>
                <w:rFonts w:asciiTheme="minorHAnsi" w:eastAsiaTheme="minorHAnsi" w:hAnsiTheme="minorHAnsi" w:cs="Verdana"/>
              </w:rPr>
              <w:t>mMITT</w:t>
            </w:r>
          </w:p>
        </w:tc>
        <w:tc>
          <w:tcPr>
            <w:tcW w:w="6911" w:type="dxa"/>
          </w:tcPr>
          <w:p w14:paraId="18649EC8" w14:textId="21191DF0" w:rsidR="005E2185" w:rsidRPr="000B42EA" w:rsidRDefault="005E2185" w:rsidP="00090D52">
            <w:pPr>
              <w:rPr>
                <w:rFonts w:asciiTheme="minorHAnsi" w:eastAsiaTheme="minorHAnsi" w:hAnsiTheme="minorHAnsi" w:cs="Verdana"/>
              </w:rPr>
            </w:pPr>
            <w:r w:rsidRPr="000B42EA">
              <w:rPr>
                <w:rFonts w:asciiTheme="minorHAnsi" w:eastAsiaTheme="minorHAnsi" w:hAnsiTheme="minorHAnsi" w:cs="Verdana"/>
              </w:rPr>
              <w:t>Microbiologically modified intention to treat</w:t>
            </w:r>
            <w:r w:rsidR="00BD0DBD">
              <w:rPr>
                <w:rFonts w:asciiTheme="minorHAnsi" w:eastAsiaTheme="minorHAnsi" w:hAnsiTheme="minorHAnsi" w:cs="Verdana"/>
              </w:rPr>
              <w:t xml:space="preserve">. </w:t>
            </w:r>
            <w:r w:rsidR="00BD0DBD" w:rsidRPr="00BD0DBD">
              <w:rPr>
                <w:rFonts w:asciiTheme="minorHAnsi" w:eastAsiaTheme="minorHAnsi" w:hAnsiTheme="minorHAnsi" w:cs="Verdana"/>
              </w:rPr>
              <w:t xml:space="preserve">In the </w:t>
            </w:r>
            <w:r w:rsidR="00BD0DBD">
              <w:rPr>
                <w:rFonts w:asciiTheme="minorHAnsi" w:eastAsiaTheme="minorHAnsi" w:hAnsiTheme="minorHAnsi" w:cs="Verdana"/>
              </w:rPr>
              <w:t xml:space="preserve">RECLAIM </w:t>
            </w:r>
            <w:r w:rsidR="00090D52">
              <w:rPr>
                <w:rFonts w:asciiTheme="minorHAnsi" w:eastAsiaTheme="minorHAnsi" w:hAnsiTheme="minorHAnsi" w:cs="Verdana"/>
              </w:rPr>
              <w:t>trial</w:t>
            </w:r>
            <w:r w:rsidR="00BD0DBD">
              <w:rPr>
                <w:rFonts w:asciiTheme="minorHAnsi" w:eastAsiaTheme="minorHAnsi" w:hAnsiTheme="minorHAnsi" w:cs="Verdana"/>
              </w:rPr>
              <w:t xml:space="preserve">: all patients </w:t>
            </w:r>
            <w:r w:rsidR="00BD0DBD" w:rsidRPr="00BD0DBD">
              <w:rPr>
                <w:rFonts w:asciiTheme="minorHAnsi" w:eastAsiaTheme="minorHAnsi" w:hAnsiTheme="minorHAnsi" w:cs="Verdana"/>
              </w:rPr>
              <w:t>who met the disease definition of</w:t>
            </w:r>
            <w:r w:rsidR="00090D52">
              <w:t xml:space="preserve"> </w:t>
            </w:r>
            <w:r w:rsidR="00090D52">
              <w:rPr>
                <w:rFonts w:asciiTheme="minorHAnsi" w:eastAsiaTheme="minorHAnsi" w:hAnsiTheme="minorHAnsi" w:cs="Verdana"/>
              </w:rPr>
              <w:t>c</w:t>
            </w:r>
            <w:r w:rsidR="00090D52" w:rsidRPr="00090D52">
              <w:rPr>
                <w:rFonts w:asciiTheme="minorHAnsi" w:eastAsiaTheme="minorHAnsi" w:hAnsiTheme="minorHAnsi" w:cs="Verdana"/>
              </w:rPr>
              <w:t>omplicated intra-abdominal infection</w:t>
            </w:r>
            <w:r w:rsidR="00BD0DBD" w:rsidRPr="00BD0DBD">
              <w:rPr>
                <w:rFonts w:asciiTheme="minorHAnsi" w:eastAsiaTheme="minorHAnsi" w:hAnsiTheme="minorHAnsi" w:cs="Verdana"/>
              </w:rPr>
              <w:t xml:space="preserve"> </w:t>
            </w:r>
            <w:r w:rsidR="00090D52">
              <w:rPr>
                <w:rFonts w:asciiTheme="minorHAnsi" w:eastAsiaTheme="minorHAnsi" w:hAnsiTheme="minorHAnsi" w:cs="Verdana"/>
              </w:rPr>
              <w:t>(</w:t>
            </w:r>
            <w:r w:rsidR="00BD0DBD" w:rsidRPr="00BD0DBD">
              <w:rPr>
                <w:rFonts w:asciiTheme="minorHAnsi" w:eastAsiaTheme="minorHAnsi" w:hAnsiTheme="minorHAnsi" w:cs="Verdana"/>
              </w:rPr>
              <w:t>cIAI</w:t>
            </w:r>
            <w:r w:rsidR="00090D52">
              <w:rPr>
                <w:rFonts w:asciiTheme="minorHAnsi" w:eastAsiaTheme="minorHAnsi" w:hAnsiTheme="minorHAnsi" w:cs="Verdana"/>
              </w:rPr>
              <w:t>)</w:t>
            </w:r>
            <w:r w:rsidR="00BD0DBD" w:rsidRPr="00BD0DBD">
              <w:rPr>
                <w:rFonts w:asciiTheme="minorHAnsi" w:eastAsiaTheme="minorHAnsi" w:hAnsiTheme="minorHAnsi" w:cs="Verdana"/>
              </w:rPr>
              <w:t xml:space="preserve"> and had ≥</w:t>
            </w:r>
            <w:r w:rsidR="00090D52">
              <w:rPr>
                <w:rFonts w:asciiTheme="minorHAnsi" w:eastAsiaTheme="minorHAnsi" w:hAnsiTheme="minorHAnsi" w:cs="Verdana"/>
              </w:rPr>
              <w:t> </w:t>
            </w:r>
            <w:r w:rsidR="00BD0DBD">
              <w:rPr>
                <w:rFonts w:asciiTheme="minorHAnsi" w:eastAsiaTheme="minorHAnsi" w:hAnsiTheme="minorHAnsi" w:cs="Verdana"/>
              </w:rPr>
              <w:t>1</w:t>
            </w:r>
            <w:r w:rsidR="00090D52">
              <w:rPr>
                <w:rFonts w:asciiTheme="minorHAnsi" w:eastAsiaTheme="minorHAnsi" w:hAnsiTheme="minorHAnsi" w:cs="Verdana"/>
              </w:rPr>
              <w:t> </w:t>
            </w:r>
            <w:r w:rsidR="00BD0DBD">
              <w:rPr>
                <w:rFonts w:asciiTheme="minorHAnsi" w:eastAsiaTheme="minorHAnsi" w:hAnsiTheme="minorHAnsi" w:cs="Verdana"/>
              </w:rPr>
              <w:t>baseline</w:t>
            </w:r>
            <w:r w:rsidR="00BD0DBD" w:rsidRPr="00BD0DBD">
              <w:rPr>
                <w:rFonts w:asciiTheme="minorHAnsi" w:eastAsiaTheme="minorHAnsi" w:hAnsiTheme="minorHAnsi" w:cs="Verdana"/>
              </w:rPr>
              <w:t xml:space="preserve"> pathogen</w:t>
            </w:r>
          </w:p>
        </w:tc>
      </w:tr>
      <w:tr w:rsidR="005E2185" w:rsidRPr="00FD119B" w14:paraId="744A7F71" w14:textId="77777777" w:rsidTr="00FD119B">
        <w:tc>
          <w:tcPr>
            <w:tcW w:w="1809" w:type="dxa"/>
          </w:tcPr>
          <w:p w14:paraId="23EB0F8E" w14:textId="77777777" w:rsidR="005E2185" w:rsidRPr="000B42EA" w:rsidRDefault="005E2185" w:rsidP="005E2185">
            <w:pPr>
              <w:rPr>
                <w:rFonts w:asciiTheme="minorHAnsi" w:eastAsiaTheme="minorHAnsi" w:hAnsiTheme="minorHAnsi" w:cs="Verdana"/>
              </w:rPr>
            </w:pPr>
            <w:r w:rsidRPr="000B42EA">
              <w:rPr>
                <w:rFonts w:asciiTheme="minorHAnsi" w:eastAsiaTheme="minorHAnsi" w:hAnsiTheme="minorHAnsi" w:cs="Verdana"/>
              </w:rPr>
              <w:lastRenderedPageBreak/>
              <w:t>MTZ</w:t>
            </w:r>
          </w:p>
        </w:tc>
        <w:tc>
          <w:tcPr>
            <w:tcW w:w="6911" w:type="dxa"/>
          </w:tcPr>
          <w:p w14:paraId="0BC088BD" w14:textId="77777777" w:rsidR="005E2185" w:rsidRPr="000B42EA" w:rsidRDefault="005E2185" w:rsidP="005E2185">
            <w:pPr>
              <w:rPr>
                <w:rFonts w:asciiTheme="minorHAnsi" w:eastAsiaTheme="minorHAnsi" w:hAnsiTheme="minorHAnsi" w:cs="Verdana"/>
              </w:rPr>
            </w:pPr>
            <w:r w:rsidRPr="000B42EA">
              <w:rPr>
                <w:rFonts w:asciiTheme="minorHAnsi" w:eastAsiaTheme="minorHAnsi" w:hAnsiTheme="minorHAnsi" w:cs="Verdana"/>
              </w:rPr>
              <w:t>Metronidazole</w:t>
            </w:r>
          </w:p>
        </w:tc>
      </w:tr>
      <w:tr w:rsidR="00AD0190" w:rsidRPr="00FD119B" w14:paraId="2664F8FF" w14:textId="77777777" w:rsidTr="00FD119B">
        <w:tc>
          <w:tcPr>
            <w:tcW w:w="1809" w:type="dxa"/>
          </w:tcPr>
          <w:p w14:paraId="69080883" w14:textId="77777777" w:rsidR="00AD0190" w:rsidRPr="000B42EA" w:rsidRDefault="00AD0190" w:rsidP="005E2185">
            <w:pPr>
              <w:rPr>
                <w:rFonts w:asciiTheme="minorHAnsi" w:eastAsiaTheme="minorHAnsi" w:hAnsiTheme="minorHAnsi" w:cs="Verdana"/>
              </w:rPr>
            </w:pPr>
            <w:r w:rsidRPr="001D65FC">
              <w:t>NDM</w:t>
            </w:r>
          </w:p>
        </w:tc>
        <w:tc>
          <w:tcPr>
            <w:tcW w:w="6911" w:type="dxa"/>
          </w:tcPr>
          <w:p w14:paraId="743B6A2B" w14:textId="6365ED3F" w:rsidR="00AD0190" w:rsidRPr="000B42EA" w:rsidRDefault="00AD0190" w:rsidP="00090D52">
            <w:pPr>
              <w:rPr>
                <w:rFonts w:asciiTheme="minorHAnsi" w:eastAsiaTheme="minorHAnsi" w:hAnsiTheme="minorHAnsi" w:cs="Verdana"/>
              </w:rPr>
            </w:pPr>
            <w:r>
              <w:rPr>
                <w:lang w:val="en"/>
              </w:rPr>
              <w:t>New Delhi metallo-</w:t>
            </w:r>
            <w:r w:rsidR="00090D52">
              <w:rPr>
                <w:lang w:val="en"/>
              </w:rPr>
              <w:t>beta</w:t>
            </w:r>
            <w:r>
              <w:rPr>
                <w:lang w:val="en"/>
              </w:rPr>
              <w:t>-lactamase</w:t>
            </w:r>
          </w:p>
        </w:tc>
      </w:tr>
      <w:tr w:rsidR="005E2185" w:rsidRPr="00FD119B" w14:paraId="331D74B7" w14:textId="77777777" w:rsidTr="00FD119B">
        <w:tc>
          <w:tcPr>
            <w:tcW w:w="1809" w:type="dxa"/>
          </w:tcPr>
          <w:p w14:paraId="0AB10E67" w14:textId="77777777" w:rsidR="005E2185" w:rsidRPr="000B42EA" w:rsidRDefault="005E2185" w:rsidP="005E2185">
            <w:pPr>
              <w:rPr>
                <w:rFonts w:asciiTheme="minorHAnsi" w:eastAsiaTheme="minorHAnsi" w:hAnsiTheme="minorHAnsi" w:cs="Verdana"/>
              </w:rPr>
            </w:pPr>
            <w:r w:rsidRPr="000B42EA">
              <w:rPr>
                <w:rFonts w:asciiTheme="minorHAnsi" w:eastAsiaTheme="minorHAnsi" w:hAnsiTheme="minorHAnsi" w:cs="Verdana"/>
              </w:rPr>
              <w:t>NP</w:t>
            </w:r>
          </w:p>
        </w:tc>
        <w:tc>
          <w:tcPr>
            <w:tcW w:w="6911" w:type="dxa"/>
          </w:tcPr>
          <w:p w14:paraId="45824EFF" w14:textId="77777777" w:rsidR="005E2185" w:rsidRPr="000B42EA" w:rsidRDefault="00F53490" w:rsidP="005E2185">
            <w:pPr>
              <w:rPr>
                <w:rFonts w:asciiTheme="minorHAnsi" w:eastAsiaTheme="minorHAnsi" w:hAnsiTheme="minorHAnsi" w:cs="Verdana"/>
              </w:rPr>
            </w:pPr>
            <w:r>
              <w:rPr>
                <w:rFonts w:asciiTheme="minorHAnsi" w:eastAsiaTheme="minorHAnsi" w:hAnsiTheme="minorHAnsi" w:cs="Verdana"/>
              </w:rPr>
              <w:t>Nosocomial p</w:t>
            </w:r>
            <w:r w:rsidR="005E2185" w:rsidRPr="000B42EA">
              <w:rPr>
                <w:rFonts w:asciiTheme="minorHAnsi" w:eastAsiaTheme="minorHAnsi" w:hAnsiTheme="minorHAnsi" w:cs="Verdana"/>
              </w:rPr>
              <w:t>neumonia</w:t>
            </w:r>
          </w:p>
        </w:tc>
      </w:tr>
      <w:tr w:rsidR="005E2185" w:rsidRPr="00FD119B" w14:paraId="6F011282" w14:textId="77777777" w:rsidTr="00FD119B">
        <w:tc>
          <w:tcPr>
            <w:tcW w:w="1809" w:type="dxa"/>
          </w:tcPr>
          <w:p w14:paraId="0C134F6C" w14:textId="77777777" w:rsidR="005E2185" w:rsidRPr="000B42EA" w:rsidRDefault="005E2185" w:rsidP="005E2185">
            <w:pPr>
              <w:rPr>
                <w:rFonts w:asciiTheme="minorHAnsi" w:eastAsiaTheme="minorHAnsi" w:hAnsiTheme="minorHAnsi" w:cs="Verdana"/>
              </w:rPr>
            </w:pPr>
            <w:r w:rsidRPr="000B42EA">
              <w:rPr>
                <w:rFonts w:asciiTheme="minorHAnsi" w:eastAsiaTheme="minorHAnsi" w:hAnsiTheme="minorHAnsi" w:cs="Verdana"/>
              </w:rPr>
              <w:t>OAT</w:t>
            </w:r>
          </w:p>
        </w:tc>
        <w:tc>
          <w:tcPr>
            <w:tcW w:w="6911" w:type="dxa"/>
          </w:tcPr>
          <w:p w14:paraId="5BDAABE3" w14:textId="77777777" w:rsidR="005E2185" w:rsidRPr="000B42EA" w:rsidRDefault="005E2185" w:rsidP="005E2185">
            <w:pPr>
              <w:rPr>
                <w:rFonts w:asciiTheme="minorHAnsi" w:eastAsiaTheme="minorHAnsi" w:hAnsiTheme="minorHAnsi" w:cs="Verdana"/>
              </w:rPr>
            </w:pPr>
            <w:r w:rsidRPr="000B42EA">
              <w:rPr>
                <w:rFonts w:asciiTheme="minorHAnsi" w:eastAsiaTheme="minorHAnsi" w:hAnsiTheme="minorHAnsi" w:cs="Verdana"/>
              </w:rPr>
              <w:t>Organic anion transporter</w:t>
            </w:r>
          </w:p>
        </w:tc>
      </w:tr>
      <w:tr w:rsidR="005E2185" w:rsidRPr="00FD119B" w14:paraId="5BC0A760" w14:textId="77777777" w:rsidTr="00FD119B">
        <w:tc>
          <w:tcPr>
            <w:tcW w:w="1809" w:type="dxa"/>
          </w:tcPr>
          <w:p w14:paraId="172FE669" w14:textId="77777777" w:rsidR="005E2185" w:rsidRPr="000B42EA" w:rsidRDefault="005E2185" w:rsidP="005E2185">
            <w:pPr>
              <w:rPr>
                <w:rFonts w:asciiTheme="minorHAnsi" w:eastAsiaTheme="minorHAnsi" w:hAnsiTheme="minorHAnsi" w:cs="Verdana"/>
              </w:rPr>
            </w:pPr>
            <w:r w:rsidRPr="000B42EA">
              <w:rPr>
                <w:rFonts w:asciiTheme="minorHAnsi" w:eastAsiaTheme="minorHAnsi" w:hAnsiTheme="minorHAnsi" w:cs="Verdana"/>
              </w:rPr>
              <w:t>PD</w:t>
            </w:r>
          </w:p>
        </w:tc>
        <w:tc>
          <w:tcPr>
            <w:tcW w:w="6911" w:type="dxa"/>
          </w:tcPr>
          <w:p w14:paraId="23A71440" w14:textId="77777777" w:rsidR="005E2185" w:rsidRPr="000B42EA" w:rsidRDefault="008C1E7C" w:rsidP="005E2185">
            <w:pPr>
              <w:rPr>
                <w:rFonts w:asciiTheme="minorHAnsi" w:eastAsiaTheme="minorHAnsi" w:hAnsiTheme="minorHAnsi" w:cs="Verdana"/>
              </w:rPr>
            </w:pPr>
            <w:r>
              <w:rPr>
                <w:rFonts w:asciiTheme="minorHAnsi" w:eastAsiaTheme="minorHAnsi" w:hAnsiTheme="minorHAnsi" w:cs="Verdana"/>
              </w:rPr>
              <w:t>Pharmacodynamic(s)</w:t>
            </w:r>
          </w:p>
        </w:tc>
      </w:tr>
      <w:tr w:rsidR="008F6012" w:rsidRPr="00FD119B" w14:paraId="28D267F2" w14:textId="77777777" w:rsidTr="00FD119B">
        <w:tc>
          <w:tcPr>
            <w:tcW w:w="1809" w:type="dxa"/>
          </w:tcPr>
          <w:p w14:paraId="08E1FCB3" w14:textId="77777777" w:rsidR="008F6012" w:rsidRPr="000B42EA" w:rsidRDefault="008F6012" w:rsidP="005E2185">
            <w:pPr>
              <w:rPr>
                <w:rFonts w:asciiTheme="minorHAnsi" w:eastAsiaTheme="minorHAnsi" w:hAnsiTheme="minorHAnsi" w:cs="Verdana"/>
              </w:rPr>
            </w:pPr>
            <w:r w:rsidRPr="00940A89">
              <w:t>PI</w:t>
            </w:r>
          </w:p>
        </w:tc>
        <w:tc>
          <w:tcPr>
            <w:tcW w:w="6911" w:type="dxa"/>
          </w:tcPr>
          <w:p w14:paraId="60A804F0" w14:textId="77777777" w:rsidR="008F6012" w:rsidRPr="000B42EA" w:rsidRDefault="008F6012" w:rsidP="008F6012">
            <w:pPr>
              <w:rPr>
                <w:rFonts w:asciiTheme="minorHAnsi" w:eastAsiaTheme="minorHAnsi" w:hAnsiTheme="minorHAnsi" w:cs="Verdana"/>
              </w:rPr>
            </w:pPr>
            <w:r>
              <w:t>Product Information</w:t>
            </w:r>
          </w:p>
        </w:tc>
      </w:tr>
      <w:tr w:rsidR="005E2185" w:rsidRPr="00FD119B" w14:paraId="21E50B3A" w14:textId="77777777" w:rsidTr="00FD119B">
        <w:tc>
          <w:tcPr>
            <w:tcW w:w="1809" w:type="dxa"/>
          </w:tcPr>
          <w:p w14:paraId="2AEA72F3" w14:textId="77777777" w:rsidR="005E2185" w:rsidRPr="000B42EA" w:rsidRDefault="005E2185" w:rsidP="005E2185">
            <w:pPr>
              <w:rPr>
                <w:rFonts w:asciiTheme="minorHAnsi" w:eastAsiaTheme="minorHAnsi" w:hAnsiTheme="minorHAnsi" w:cs="Verdana"/>
              </w:rPr>
            </w:pPr>
            <w:r w:rsidRPr="000B42EA">
              <w:rPr>
                <w:rFonts w:asciiTheme="minorHAnsi" w:eastAsiaTheme="minorHAnsi" w:hAnsiTheme="minorHAnsi" w:cs="Verdana"/>
              </w:rPr>
              <w:t>PK</w:t>
            </w:r>
          </w:p>
        </w:tc>
        <w:tc>
          <w:tcPr>
            <w:tcW w:w="6911" w:type="dxa"/>
          </w:tcPr>
          <w:p w14:paraId="7F48AB6A" w14:textId="77777777" w:rsidR="005E2185" w:rsidRPr="000B42EA" w:rsidRDefault="005E2185" w:rsidP="005E2185">
            <w:pPr>
              <w:rPr>
                <w:rFonts w:asciiTheme="minorHAnsi" w:eastAsiaTheme="minorHAnsi" w:hAnsiTheme="minorHAnsi" w:cs="Verdana"/>
              </w:rPr>
            </w:pPr>
            <w:r w:rsidRPr="000B42EA">
              <w:rPr>
                <w:rFonts w:asciiTheme="minorHAnsi" w:eastAsiaTheme="minorHAnsi" w:hAnsiTheme="minorHAnsi" w:cs="Verdana"/>
              </w:rPr>
              <w:t>Pharmacokinetic(s)</w:t>
            </w:r>
          </w:p>
        </w:tc>
      </w:tr>
      <w:tr w:rsidR="005E2185" w:rsidRPr="00FD119B" w14:paraId="596711D6" w14:textId="77777777" w:rsidTr="00FD119B">
        <w:tc>
          <w:tcPr>
            <w:tcW w:w="1809" w:type="dxa"/>
          </w:tcPr>
          <w:p w14:paraId="6AEC8483" w14:textId="77777777" w:rsidR="005E2185" w:rsidRPr="000B42EA" w:rsidRDefault="005E2185" w:rsidP="005E2185">
            <w:pPr>
              <w:rPr>
                <w:rFonts w:asciiTheme="minorHAnsi" w:eastAsiaTheme="minorHAnsi" w:hAnsiTheme="minorHAnsi" w:cs="Verdana"/>
              </w:rPr>
            </w:pPr>
            <w:r w:rsidRPr="000B42EA">
              <w:rPr>
                <w:rFonts w:asciiTheme="minorHAnsi" w:eastAsiaTheme="minorHAnsi" w:hAnsiTheme="minorHAnsi" w:cs="Verdana"/>
              </w:rPr>
              <w:t>PK/PD</w:t>
            </w:r>
          </w:p>
        </w:tc>
        <w:tc>
          <w:tcPr>
            <w:tcW w:w="6911" w:type="dxa"/>
          </w:tcPr>
          <w:p w14:paraId="0EA48AA2" w14:textId="77777777" w:rsidR="005E2185" w:rsidRPr="000B42EA" w:rsidRDefault="00B87FF3" w:rsidP="005E2185">
            <w:pPr>
              <w:rPr>
                <w:rFonts w:asciiTheme="minorHAnsi" w:eastAsiaTheme="minorHAnsi" w:hAnsiTheme="minorHAnsi" w:cs="Verdana"/>
              </w:rPr>
            </w:pPr>
            <w:r>
              <w:rPr>
                <w:rFonts w:asciiTheme="minorHAnsi" w:eastAsiaTheme="minorHAnsi" w:hAnsiTheme="minorHAnsi" w:cs="Verdana"/>
              </w:rPr>
              <w:t>Pharmacokinetics/</w:t>
            </w:r>
            <w:r w:rsidR="005E2185" w:rsidRPr="000B42EA">
              <w:rPr>
                <w:rFonts w:asciiTheme="minorHAnsi" w:eastAsiaTheme="minorHAnsi" w:hAnsiTheme="minorHAnsi" w:cs="Verdana"/>
              </w:rPr>
              <w:t>pharmacodynamics</w:t>
            </w:r>
          </w:p>
        </w:tc>
      </w:tr>
      <w:tr w:rsidR="005A012A" w:rsidRPr="00FD119B" w14:paraId="1ED28CDB" w14:textId="77777777" w:rsidTr="00FD119B">
        <w:tc>
          <w:tcPr>
            <w:tcW w:w="1809" w:type="dxa"/>
          </w:tcPr>
          <w:p w14:paraId="6224264B" w14:textId="77777777" w:rsidR="005A012A" w:rsidRPr="000B42EA" w:rsidRDefault="005A012A" w:rsidP="005E2185">
            <w:pPr>
              <w:rPr>
                <w:rFonts w:asciiTheme="minorHAnsi" w:eastAsiaTheme="minorHAnsi" w:hAnsiTheme="minorHAnsi" w:cs="Verdana"/>
              </w:rPr>
            </w:pPr>
            <w:r>
              <w:t>PSUR</w:t>
            </w:r>
          </w:p>
        </w:tc>
        <w:tc>
          <w:tcPr>
            <w:tcW w:w="6911" w:type="dxa"/>
          </w:tcPr>
          <w:p w14:paraId="1FDDE623" w14:textId="77777777" w:rsidR="005A012A" w:rsidRDefault="005A012A" w:rsidP="005A012A">
            <w:pPr>
              <w:rPr>
                <w:rFonts w:asciiTheme="minorHAnsi" w:eastAsiaTheme="minorHAnsi" w:hAnsiTheme="minorHAnsi" w:cs="Verdana"/>
              </w:rPr>
            </w:pPr>
            <w:r>
              <w:t>Periodic safety update reports</w:t>
            </w:r>
          </w:p>
        </w:tc>
      </w:tr>
      <w:tr w:rsidR="00B87FF3" w:rsidRPr="00FD119B" w14:paraId="0633F6D4" w14:textId="77777777" w:rsidTr="00FD119B">
        <w:tc>
          <w:tcPr>
            <w:tcW w:w="1809" w:type="dxa"/>
          </w:tcPr>
          <w:p w14:paraId="0E72739F" w14:textId="77777777" w:rsidR="00B87FF3" w:rsidRPr="000B42EA" w:rsidRDefault="00B87FF3" w:rsidP="005E2185">
            <w:pPr>
              <w:rPr>
                <w:rFonts w:asciiTheme="minorHAnsi" w:eastAsiaTheme="minorHAnsi" w:hAnsiTheme="minorHAnsi" w:cs="Verdana"/>
              </w:rPr>
            </w:pPr>
            <w:r>
              <w:rPr>
                <w:rFonts w:asciiTheme="minorHAnsi" w:eastAsiaTheme="minorHAnsi" w:hAnsiTheme="minorHAnsi" w:cs="Verdana"/>
              </w:rPr>
              <w:t>PT</w:t>
            </w:r>
          </w:p>
        </w:tc>
        <w:tc>
          <w:tcPr>
            <w:tcW w:w="6911" w:type="dxa"/>
          </w:tcPr>
          <w:p w14:paraId="57CA47DE" w14:textId="77777777" w:rsidR="00B87FF3" w:rsidRDefault="00B87FF3" w:rsidP="005E2185">
            <w:pPr>
              <w:rPr>
                <w:rFonts w:asciiTheme="minorHAnsi" w:eastAsiaTheme="minorHAnsi" w:hAnsiTheme="minorHAnsi" w:cs="Verdana"/>
              </w:rPr>
            </w:pPr>
            <w:r>
              <w:rPr>
                <w:rFonts w:asciiTheme="minorHAnsi" w:eastAsiaTheme="minorHAnsi" w:hAnsiTheme="minorHAnsi" w:cs="Verdana"/>
              </w:rPr>
              <w:t>Preferred Term</w:t>
            </w:r>
          </w:p>
        </w:tc>
      </w:tr>
      <w:tr w:rsidR="005E2185" w:rsidRPr="00FD119B" w14:paraId="1CB13723" w14:textId="77777777" w:rsidTr="00FD119B">
        <w:tc>
          <w:tcPr>
            <w:tcW w:w="1809" w:type="dxa"/>
          </w:tcPr>
          <w:p w14:paraId="1290DB11" w14:textId="77777777" w:rsidR="005E2185" w:rsidRPr="000B42EA" w:rsidRDefault="005E2185" w:rsidP="005E2185">
            <w:pPr>
              <w:jc w:val="both"/>
              <w:rPr>
                <w:rFonts w:asciiTheme="minorHAnsi" w:eastAsiaTheme="minorHAnsi" w:hAnsiTheme="minorHAnsi" w:cs="Verdana"/>
              </w:rPr>
            </w:pPr>
            <w:r w:rsidRPr="000B42EA">
              <w:rPr>
                <w:rFonts w:asciiTheme="minorHAnsi" w:eastAsiaTheme="minorHAnsi" w:hAnsiTheme="minorHAnsi" w:cs="Verdana"/>
              </w:rPr>
              <w:t>PTA</w:t>
            </w:r>
          </w:p>
        </w:tc>
        <w:tc>
          <w:tcPr>
            <w:tcW w:w="6911" w:type="dxa"/>
          </w:tcPr>
          <w:p w14:paraId="5A30C98E" w14:textId="77777777" w:rsidR="005E2185" w:rsidRPr="000B42EA" w:rsidRDefault="005E2185" w:rsidP="005E2185">
            <w:pPr>
              <w:jc w:val="both"/>
              <w:rPr>
                <w:rFonts w:asciiTheme="minorHAnsi" w:eastAsiaTheme="minorHAnsi" w:hAnsiTheme="minorHAnsi" w:cs="Verdana"/>
              </w:rPr>
            </w:pPr>
            <w:r w:rsidRPr="000B42EA">
              <w:rPr>
                <w:rFonts w:asciiTheme="minorHAnsi" w:eastAsiaTheme="minorHAnsi" w:hAnsiTheme="minorHAnsi" w:cs="Verdana"/>
              </w:rPr>
              <w:t>Probability of PK/PD target attainment</w:t>
            </w:r>
          </w:p>
        </w:tc>
      </w:tr>
      <w:tr w:rsidR="005E2185" w:rsidRPr="00FD119B" w14:paraId="72F900F1" w14:textId="77777777" w:rsidTr="00FD119B">
        <w:tc>
          <w:tcPr>
            <w:tcW w:w="1809" w:type="dxa"/>
          </w:tcPr>
          <w:p w14:paraId="559CF86E" w14:textId="77777777" w:rsidR="005E2185" w:rsidRPr="000B42EA" w:rsidRDefault="005E2185" w:rsidP="007203C8">
            <w:r>
              <w:t xml:space="preserve">q8h, </w:t>
            </w:r>
            <w:r w:rsidRPr="000B42EA">
              <w:t>q12h, q24h, q48h</w:t>
            </w:r>
          </w:p>
        </w:tc>
        <w:tc>
          <w:tcPr>
            <w:tcW w:w="6911" w:type="dxa"/>
          </w:tcPr>
          <w:p w14:paraId="01F36F14" w14:textId="77777777" w:rsidR="005E2185" w:rsidRPr="000B42EA" w:rsidRDefault="005E2185" w:rsidP="005E2185">
            <w:pPr>
              <w:jc w:val="both"/>
              <w:rPr>
                <w:rFonts w:asciiTheme="minorHAnsi" w:eastAsiaTheme="minorHAnsi" w:hAnsiTheme="minorHAnsi" w:cs="Verdana"/>
              </w:rPr>
            </w:pPr>
            <w:r w:rsidRPr="000B42EA">
              <w:rPr>
                <w:rFonts w:asciiTheme="minorHAnsi" w:eastAsiaTheme="minorHAnsi" w:hAnsiTheme="minorHAnsi" w:cs="Verdana"/>
              </w:rPr>
              <w:t xml:space="preserve">Every 8, 12, 24, </w:t>
            </w:r>
            <w:r w:rsidR="00090D52">
              <w:rPr>
                <w:rFonts w:asciiTheme="minorHAnsi" w:eastAsiaTheme="minorHAnsi" w:hAnsiTheme="minorHAnsi" w:cs="Verdana"/>
              </w:rPr>
              <w:t xml:space="preserve">or </w:t>
            </w:r>
            <w:r w:rsidRPr="000B42EA">
              <w:rPr>
                <w:rFonts w:asciiTheme="minorHAnsi" w:eastAsiaTheme="minorHAnsi" w:hAnsiTheme="minorHAnsi" w:cs="Verdana"/>
              </w:rPr>
              <w:t>48 hours, respectively</w:t>
            </w:r>
          </w:p>
        </w:tc>
      </w:tr>
      <w:tr w:rsidR="005E2185" w:rsidRPr="00FD119B" w14:paraId="75821380" w14:textId="77777777" w:rsidTr="00FD119B">
        <w:tc>
          <w:tcPr>
            <w:tcW w:w="1809" w:type="dxa"/>
          </w:tcPr>
          <w:p w14:paraId="55A623F9" w14:textId="77777777" w:rsidR="005E2185" w:rsidRPr="000B42EA" w:rsidRDefault="005E2185" w:rsidP="005E2185">
            <w:pPr>
              <w:rPr>
                <w:rFonts w:asciiTheme="minorHAnsi" w:eastAsiaTheme="minorHAnsi" w:hAnsiTheme="minorHAnsi" w:cs="Verdana"/>
              </w:rPr>
            </w:pPr>
            <w:r w:rsidRPr="000B42EA">
              <w:rPr>
                <w:rFonts w:asciiTheme="minorHAnsi" w:eastAsiaTheme="minorHAnsi" w:hAnsiTheme="minorHAnsi" w:cs="Verdana"/>
              </w:rPr>
              <w:t>RECAPTURE</w:t>
            </w:r>
          </w:p>
        </w:tc>
        <w:tc>
          <w:tcPr>
            <w:tcW w:w="6911" w:type="dxa"/>
          </w:tcPr>
          <w:p w14:paraId="61BEF321" w14:textId="77777777" w:rsidR="005E2185" w:rsidRPr="000B42EA" w:rsidRDefault="005E2185" w:rsidP="005E2185">
            <w:pPr>
              <w:rPr>
                <w:rFonts w:asciiTheme="minorHAnsi" w:eastAsiaTheme="minorHAnsi" w:hAnsiTheme="minorHAnsi" w:cs="Verdana"/>
              </w:rPr>
            </w:pPr>
            <w:r w:rsidRPr="000B42EA">
              <w:rPr>
                <w:rFonts w:asciiTheme="minorHAnsi" w:eastAsiaTheme="minorHAnsi" w:hAnsiTheme="minorHAnsi" w:cs="Verdana"/>
              </w:rPr>
              <w:t>Studies D4280C00002 and D4280C00004, in patients with c</w:t>
            </w:r>
            <w:r w:rsidR="00090D52">
              <w:rPr>
                <w:rFonts w:asciiTheme="minorHAnsi" w:eastAsiaTheme="minorHAnsi" w:hAnsiTheme="minorHAnsi" w:cs="Verdana"/>
              </w:rPr>
              <w:t>omplicated urinary tract infection (c</w:t>
            </w:r>
            <w:r w:rsidRPr="000B42EA">
              <w:rPr>
                <w:rFonts w:asciiTheme="minorHAnsi" w:eastAsiaTheme="minorHAnsi" w:hAnsiTheme="minorHAnsi" w:cs="Verdana"/>
              </w:rPr>
              <w:t>UTI</w:t>
            </w:r>
            <w:r w:rsidR="00090D52">
              <w:rPr>
                <w:rFonts w:asciiTheme="minorHAnsi" w:eastAsiaTheme="minorHAnsi" w:hAnsiTheme="minorHAnsi" w:cs="Verdana"/>
              </w:rPr>
              <w:t>)</w:t>
            </w:r>
          </w:p>
        </w:tc>
      </w:tr>
      <w:tr w:rsidR="005E2185" w:rsidRPr="00FD119B" w14:paraId="52DAEB6F" w14:textId="77777777" w:rsidTr="00FD119B">
        <w:tc>
          <w:tcPr>
            <w:tcW w:w="1809" w:type="dxa"/>
          </w:tcPr>
          <w:p w14:paraId="1A32FF87" w14:textId="36E3063C" w:rsidR="005E2185" w:rsidRPr="000B42EA" w:rsidRDefault="005E2185" w:rsidP="005E2185">
            <w:pPr>
              <w:rPr>
                <w:rFonts w:asciiTheme="minorHAnsi" w:eastAsiaTheme="minorHAnsi" w:hAnsiTheme="minorHAnsi" w:cs="Verdana"/>
              </w:rPr>
            </w:pPr>
            <w:r w:rsidRPr="000B42EA">
              <w:rPr>
                <w:rFonts w:asciiTheme="minorHAnsi" w:eastAsiaTheme="minorHAnsi" w:hAnsiTheme="minorHAnsi" w:cs="Verdana"/>
              </w:rPr>
              <w:t>RECLAIM</w:t>
            </w:r>
          </w:p>
        </w:tc>
        <w:tc>
          <w:tcPr>
            <w:tcW w:w="6911" w:type="dxa"/>
          </w:tcPr>
          <w:p w14:paraId="3181926B" w14:textId="77777777" w:rsidR="005E2185" w:rsidRPr="000B42EA" w:rsidRDefault="005E2185" w:rsidP="005E2185">
            <w:pPr>
              <w:rPr>
                <w:rFonts w:asciiTheme="minorHAnsi" w:eastAsiaTheme="minorHAnsi" w:hAnsiTheme="minorHAnsi" w:cs="Verdana"/>
              </w:rPr>
            </w:pPr>
            <w:r w:rsidRPr="000B42EA">
              <w:rPr>
                <w:rFonts w:asciiTheme="minorHAnsi" w:eastAsiaTheme="minorHAnsi" w:hAnsiTheme="minorHAnsi" w:cs="Verdana"/>
              </w:rPr>
              <w:t xml:space="preserve">Studies D4280C00001 and D4280C00005, in patients with </w:t>
            </w:r>
            <w:r w:rsidR="00090D52">
              <w:rPr>
                <w:rFonts w:asciiTheme="minorHAnsi" w:eastAsiaTheme="minorHAnsi" w:hAnsiTheme="minorHAnsi" w:cs="Verdana"/>
              </w:rPr>
              <w:t>complicated intra-abdominal infection (</w:t>
            </w:r>
            <w:r w:rsidRPr="000B42EA">
              <w:rPr>
                <w:rFonts w:asciiTheme="minorHAnsi" w:eastAsiaTheme="minorHAnsi" w:hAnsiTheme="minorHAnsi" w:cs="Verdana"/>
              </w:rPr>
              <w:t>cIAI</w:t>
            </w:r>
            <w:r w:rsidR="00090D52">
              <w:rPr>
                <w:rFonts w:asciiTheme="minorHAnsi" w:eastAsiaTheme="minorHAnsi" w:hAnsiTheme="minorHAnsi" w:cs="Verdana"/>
              </w:rPr>
              <w:t>)</w:t>
            </w:r>
          </w:p>
        </w:tc>
      </w:tr>
      <w:tr w:rsidR="00E04329" w:rsidRPr="00FD119B" w14:paraId="6752B7B5" w14:textId="77777777" w:rsidTr="00FD119B">
        <w:tc>
          <w:tcPr>
            <w:tcW w:w="1809" w:type="dxa"/>
          </w:tcPr>
          <w:p w14:paraId="3386F5FD" w14:textId="77777777" w:rsidR="00E04329" w:rsidRPr="000B42EA" w:rsidRDefault="00E04329" w:rsidP="005E2185">
            <w:pPr>
              <w:rPr>
                <w:rFonts w:asciiTheme="minorHAnsi" w:eastAsiaTheme="minorHAnsi" w:hAnsiTheme="minorHAnsi" w:cs="Verdana"/>
              </w:rPr>
            </w:pPr>
            <w:r>
              <w:rPr>
                <w:rFonts w:asciiTheme="minorHAnsi" w:eastAsiaTheme="minorHAnsi" w:hAnsiTheme="minorHAnsi" w:cs="Verdana"/>
              </w:rPr>
              <w:t>RECLAIM 3</w:t>
            </w:r>
          </w:p>
        </w:tc>
        <w:tc>
          <w:tcPr>
            <w:tcW w:w="6911" w:type="dxa"/>
          </w:tcPr>
          <w:p w14:paraId="5B97BDA1" w14:textId="77777777" w:rsidR="00E04329" w:rsidRPr="000B42EA" w:rsidRDefault="00E04329" w:rsidP="005E2185">
            <w:pPr>
              <w:rPr>
                <w:rFonts w:asciiTheme="minorHAnsi" w:eastAsiaTheme="minorHAnsi" w:hAnsiTheme="minorHAnsi" w:cs="Verdana"/>
              </w:rPr>
            </w:pPr>
            <w:r>
              <w:rPr>
                <w:rFonts w:asciiTheme="minorHAnsi" w:eastAsiaTheme="minorHAnsi" w:hAnsiTheme="minorHAnsi" w:cs="Verdana"/>
              </w:rPr>
              <w:t xml:space="preserve">Study </w:t>
            </w:r>
            <w:r w:rsidRPr="00E04329">
              <w:rPr>
                <w:rFonts w:asciiTheme="minorHAnsi" w:eastAsiaTheme="minorHAnsi" w:hAnsiTheme="minorHAnsi" w:cs="Verdana"/>
              </w:rPr>
              <w:t>D4280C00018</w:t>
            </w:r>
          </w:p>
        </w:tc>
      </w:tr>
      <w:tr w:rsidR="005E2185" w:rsidRPr="00FD119B" w14:paraId="79B54377" w14:textId="77777777" w:rsidTr="00FD119B">
        <w:tc>
          <w:tcPr>
            <w:tcW w:w="1809" w:type="dxa"/>
          </w:tcPr>
          <w:p w14:paraId="6B5E7C02" w14:textId="77777777" w:rsidR="005E2185" w:rsidRPr="000B42EA" w:rsidRDefault="005E2185" w:rsidP="005E2185">
            <w:pPr>
              <w:rPr>
                <w:rFonts w:asciiTheme="minorHAnsi" w:eastAsiaTheme="minorHAnsi" w:hAnsiTheme="minorHAnsi" w:cs="Verdana"/>
              </w:rPr>
            </w:pPr>
            <w:r w:rsidRPr="000B42EA">
              <w:rPr>
                <w:rFonts w:asciiTheme="minorHAnsi" w:eastAsiaTheme="minorHAnsi" w:hAnsiTheme="minorHAnsi" w:cs="Verdana"/>
              </w:rPr>
              <w:t>REPRISE</w:t>
            </w:r>
          </w:p>
        </w:tc>
        <w:tc>
          <w:tcPr>
            <w:tcW w:w="6911" w:type="dxa"/>
          </w:tcPr>
          <w:p w14:paraId="22C85017" w14:textId="77777777" w:rsidR="005E2185" w:rsidRPr="000B42EA" w:rsidRDefault="005E2185" w:rsidP="005E2185">
            <w:pPr>
              <w:rPr>
                <w:rFonts w:asciiTheme="minorHAnsi" w:eastAsiaTheme="minorHAnsi" w:hAnsiTheme="minorHAnsi" w:cs="Verdana"/>
              </w:rPr>
            </w:pPr>
            <w:r w:rsidRPr="000B42EA">
              <w:rPr>
                <w:rFonts w:asciiTheme="minorHAnsi" w:eastAsiaTheme="minorHAnsi" w:hAnsiTheme="minorHAnsi" w:cs="Verdana"/>
              </w:rPr>
              <w:t xml:space="preserve">Study D4280C00006, in patients with </w:t>
            </w:r>
            <w:r w:rsidR="00575CAE">
              <w:rPr>
                <w:rFonts w:asciiTheme="minorHAnsi" w:eastAsiaTheme="minorHAnsi" w:hAnsiTheme="minorHAnsi" w:cs="Verdana"/>
              </w:rPr>
              <w:t>ceftazidime-</w:t>
            </w:r>
            <w:r w:rsidRPr="000B42EA">
              <w:rPr>
                <w:rFonts w:asciiTheme="minorHAnsi" w:eastAsiaTheme="minorHAnsi" w:hAnsiTheme="minorHAnsi" w:cs="Verdana"/>
              </w:rPr>
              <w:t>resistant pathogens</w:t>
            </w:r>
          </w:p>
        </w:tc>
      </w:tr>
      <w:tr w:rsidR="005E2185" w:rsidRPr="00FD119B" w14:paraId="7B95B5A9" w14:textId="77777777" w:rsidTr="00FD119B">
        <w:tc>
          <w:tcPr>
            <w:tcW w:w="1809" w:type="dxa"/>
          </w:tcPr>
          <w:p w14:paraId="39EA2684" w14:textId="77777777" w:rsidR="005E2185" w:rsidRPr="000B42EA" w:rsidRDefault="005E2185" w:rsidP="005E2185">
            <w:pPr>
              <w:rPr>
                <w:rFonts w:asciiTheme="minorHAnsi" w:eastAsiaTheme="minorHAnsi" w:hAnsiTheme="minorHAnsi" w:cs="Verdana"/>
              </w:rPr>
            </w:pPr>
            <w:r w:rsidRPr="000B42EA">
              <w:rPr>
                <w:rFonts w:asciiTheme="minorHAnsi" w:eastAsiaTheme="minorHAnsi" w:hAnsiTheme="minorHAnsi" w:cs="Verdana"/>
              </w:rPr>
              <w:t>REPROVE</w:t>
            </w:r>
          </w:p>
        </w:tc>
        <w:tc>
          <w:tcPr>
            <w:tcW w:w="6911" w:type="dxa"/>
          </w:tcPr>
          <w:p w14:paraId="66D45A36" w14:textId="77777777" w:rsidR="005E2185" w:rsidRPr="000B42EA" w:rsidRDefault="005E2185" w:rsidP="005E2185">
            <w:pPr>
              <w:rPr>
                <w:rFonts w:asciiTheme="minorHAnsi" w:eastAsiaTheme="minorHAnsi" w:hAnsiTheme="minorHAnsi" w:cs="Verdana"/>
              </w:rPr>
            </w:pPr>
            <w:r w:rsidRPr="000B42EA">
              <w:rPr>
                <w:rFonts w:asciiTheme="minorHAnsi" w:eastAsiaTheme="minorHAnsi" w:hAnsiTheme="minorHAnsi" w:cs="Verdana"/>
              </w:rPr>
              <w:t xml:space="preserve">Study D4281C00001, in patients with </w:t>
            </w:r>
            <w:r w:rsidR="00090D52">
              <w:rPr>
                <w:rFonts w:asciiTheme="minorHAnsi" w:eastAsiaTheme="minorHAnsi" w:hAnsiTheme="minorHAnsi" w:cs="Verdana"/>
              </w:rPr>
              <w:t>nosocomial pneumonia (</w:t>
            </w:r>
            <w:r w:rsidRPr="000B42EA">
              <w:rPr>
                <w:rFonts w:asciiTheme="minorHAnsi" w:eastAsiaTheme="minorHAnsi" w:hAnsiTheme="minorHAnsi" w:cs="Verdana"/>
              </w:rPr>
              <w:t>NP</w:t>
            </w:r>
            <w:r w:rsidR="00090D52">
              <w:rPr>
                <w:rFonts w:asciiTheme="minorHAnsi" w:eastAsiaTheme="minorHAnsi" w:hAnsiTheme="minorHAnsi" w:cs="Verdana"/>
              </w:rPr>
              <w:t>)</w:t>
            </w:r>
            <w:r w:rsidRPr="000B42EA">
              <w:rPr>
                <w:rFonts w:asciiTheme="minorHAnsi" w:eastAsiaTheme="minorHAnsi" w:hAnsiTheme="minorHAnsi" w:cs="Verdana"/>
              </w:rPr>
              <w:t xml:space="preserve">, including </w:t>
            </w:r>
            <w:r w:rsidR="00090D52">
              <w:rPr>
                <w:rFonts w:asciiTheme="minorHAnsi" w:eastAsiaTheme="minorHAnsi" w:hAnsiTheme="minorHAnsi" w:cs="Verdana"/>
              </w:rPr>
              <w:t xml:space="preserve">ventilator associated </w:t>
            </w:r>
            <w:r w:rsidR="00323E5F">
              <w:rPr>
                <w:rFonts w:asciiTheme="minorHAnsi" w:eastAsiaTheme="minorHAnsi" w:hAnsiTheme="minorHAnsi" w:cs="Verdana"/>
              </w:rPr>
              <w:t>pneumonia (</w:t>
            </w:r>
            <w:r w:rsidRPr="000B42EA">
              <w:rPr>
                <w:rFonts w:asciiTheme="minorHAnsi" w:eastAsiaTheme="minorHAnsi" w:hAnsiTheme="minorHAnsi" w:cs="Verdana"/>
              </w:rPr>
              <w:t>VAP</w:t>
            </w:r>
            <w:r w:rsidR="00323E5F">
              <w:rPr>
                <w:rFonts w:asciiTheme="minorHAnsi" w:eastAsiaTheme="minorHAnsi" w:hAnsiTheme="minorHAnsi" w:cs="Verdana"/>
              </w:rPr>
              <w:t>)</w:t>
            </w:r>
          </w:p>
        </w:tc>
      </w:tr>
      <w:tr w:rsidR="005E2185" w:rsidRPr="00FD119B" w14:paraId="7EAED606" w14:textId="77777777" w:rsidTr="00FD119B">
        <w:tc>
          <w:tcPr>
            <w:tcW w:w="1809" w:type="dxa"/>
          </w:tcPr>
          <w:p w14:paraId="396711C0" w14:textId="77777777" w:rsidR="005E2185" w:rsidRPr="000B42EA" w:rsidRDefault="005E2185" w:rsidP="005E2185">
            <w:pPr>
              <w:rPr>
                <w:rFonts w:asciiTheme="minorHAnsi" w:eastAsiaTheme="minorHAnsi" w:hAnsiTheme="minorHAnsi" w:cs="Verdana"/>
              </w:rPr>
            </w:pPr>
            <w:r w:rsidRPr="000B42EA">
              <w:rPr>
                <w:rFonts w:asciiTheme="minorHAnsi" w:eastAsiaTheme="minorHAnsi" w:hAnsiTheme="minorHAnsi" w:cs="Verdana"/>
              </w:rPr>
              <w:t>RMP</w:t>
            </w:r>
          </w:p>
        </w:tc>
        <w:tc>
          <w:tcPr>
            <w:tcW w:w="6911" w:type="dxa"/>
          </w:tcPr>
          <w:p w14:paraId="4220C83E" w14:textId="29FBF194" w:rsidR="005E2185" w:rsidRPr="000B42EA" w:rsidRDefault="005E2185" w:rsidP="00090D52">
            <w:pPr>
              <w:rPr>
                <w:rFonts w:asciiTheme="minorHAnsi" w:eastAsiaTheme="minorHAnsi" w:hAnsiTheme="minorHAnsi" w:cs="Verdana"/>
              </w:rPr>
            </w:pPr>
            <w:r w:rsidRPr="000B42EA">
              <w:rPr>
                <w:rFonts w:asciiTheme="minorHAnsi" w:eastAsiaTheme="minorHAnsi" w:hAnsiTheme="minorHAnsi" w:cs="Verdana"/>
              </w:rPr>
              <w:t xml:space="preserve">Risk </w:t>
            </w:r>
            <w:r w:rsidR="00090D52">
              <w:rPr>
                <w:rFonts w:asciiTheme="minorHAnsi" w:eastAsiaTheme="minorHAnsi" w:hAnsiTheme="minorHAnsi" w:cs="Verdana"/>
              </w:rPr>
              <w:t>m</w:t>
            </w:r>
            <w:r w:rsidR="00090D52" w:rsidRPr="000B42EA">
              <w:rPr>
                <w:rFonts w:asciiTheme="minorHAnsi" w:eastAsiaTheme="minorHAnsi" w:hAnsiTheme="minorHAnsi" w:cs="Verdana"/>
              </w:rPr>
              <w:t xml:space="preserve">anagement </w:t>
            </w:r>
            <w:r w:rsidR="00090D52">
              <w:rPr>
                <w:rFonts w:asciiTheme="minorHAnsi" w:eastAsiaTheme="minorHAnsi" w:hAnsiTheme="minorHAnsi" w:cs="Verdana"/>
              </w:rPr>
              <w:t>p</w:t>
            </w:r>
            <w:r w:rsidRPr="000B42EA">
              <w:rPr>
                <w:rFonts w:asciiTheme="minorHAnsi" w:eastAsiaTheme="minorHAnsi" w:hAnsiTheme="minorHAnsi" w:cs="Verdana"/>
              </w:rPr>
              <w:t>lan</w:t>
            </w:r>
          </w:p>
        </w:tc>
      </w:tr>
      <w:tr w:rsidR="005E2185" w:rsidRPr="00FD119B" w14:paraId="555E2B71" w14:textId="77777777" w:rsidTr="00FD119B">
        <w:tc>
          <w:tcPr>
            <w:tcW w:w="1809" w:type="dxa"/>
          </w:tcPr>
          <w:p w14:paraId="1455ACC7" w14:textId="77777777" w:rsidR="005E2185" w:rsidRPr="000B42EA" w:rsidRDefault="005E2185" w:rsidP="005E2185">
            <w:pPr>
              <w:rPr>
                <w:rFonts w:asciiTheme="minorHAnsi" w:eastAsiaTheme="minorHAnsi" w:hAnsiTheme="minorHAnsi" w:cs="Verdana"/>
              </w:rPr>
            </w:pPr>
            <w:r w:rsidRPr="000B42EA">
              <w:rPr>
                <w:rFonts w:asciiTheme="minorHAnsi" w:eastAsiaTheme="minorHAnsi" w:hAnsiTheme="minorHAnsi" w:cs="Verdana"/>
              </w:rPr>
              <w:t>SAE</w:t>
            </w:r>
          </w:p>
        </w:tc>
        <w:tc>
          <w:tcPr>
            <w:tcW w:w="6911" w:type="dxa"/>
          </w:tcPr>
          <w:p w14:paraId="35D206DD" w14:textId="77777777" w:rsidR="005E2185" w:rsidRPr="000B42EA" w:rsidRDefault="005E2185" w:rsidP="005E2185">
            <w:pPr>
              <w:rPr>
                <w:rFonts w:asciiTheme="minorHAnsi" w:eastAsiaTheme="minorHAnsi" w:hAnsiTheme="minorHAnsi" w:cs="Verdana"/>
              </w:rPr>
            </w:pPr>
            <w:r w:rsidRPr="000B42EA">
              <w:rPr>
                <w:rFonts w:asciiTheme="minorHAnsi" w:eastAsiaTheme="minorHAnsi" w:hAnsiTheme="minorHAnsi" w:cs="Verdana"/>
              </w:rPr>
              <w:t>Serious adverse event</w:t>
            </w:r>
          </w:p>
        </w:tc>
      </w:tr>
      <w:tr w:rsidR="00B87FF3" w:rsidRPr="00FD119B" w14:paraId="6557389F" w14:textId="77777777" w:rsidTr="00FD119B">
        <w:tc>
          <w:tcPr>
            <w:tcW w:w="1809" w:type="dxa"/>
          </w:tcPr>
          <w:p w14:paraId="18B5821E" w14:textId="77777777" w:rsidR="00B87FF3" w:rsidRPr="000B42EA" w:rsidRDefault="00B87FF3" w:rsidP="005E2185">
            <w:pPr>
              <w:rPr>
                <w:rFonts w:asciiTheme="minorHAnsi" w:eastAsiaTheme="minorHAnsi" w:hAnsiTheme="minorHAnsi" w:cs="Verdana"/>
              </w:rPr>
            </w:pPr>
            <w:r>
              <w:t>SJS</w:t>
            </w:r>
          </w:p>
        </w:tc>
        <w:tc>
          <w:tcPr>
            <w:tcW w:w="6911" w:type="dxa"/>
          </w:tcPr>
          <w:p w14:paraId="064D7A3D" w14:textId="77777777" w:rsidR="00B87FF3" w:rsidRDefault="00B87FF3" w:rsidP="00B87FF3">
            <w:pPr>
              <w:rPr>
                <w:rFonts w:asciiTheme="minorHAnsi" w:eastAsiaTheme="minorHAnsi" w:hAnsiTheme="minorHAnsi" w:cs="Verdana"/>
              </w:rPr>
            </w:pPr>
            <w:r>
              <w:t>Stevens-Johnson syndrome</w:t>
            </w:r>
          </w:p>
        </w:tc>
      </w:tr>
      <w:tr w:rsidR="00B87FF3" w:rsidRPr="00FD119B" w14:paraId="72600C56" w14:textId="77777777" w:rsidTr="00FD119B">
        <w:tc>
          <w:tcPr>
            <w:tcW w:w="1809" w:type="dxa"/>
          </w:tcPr>
          <w:p w14:paraId="5E240A05" w14:textId="77777777" w:rsidR="00B87FF3" w:rsidRPr="000B42EA" w:rsidRDefault="00B87FF3" w:rsidP="005E2185">
            <w:pPr>
              <w:rPr>
                <w:rFonts w:asciiTheme="minorHAnsi" w:eastAsiaTheme="minorHAnsi" w:hAnsiTheme="minorHAnsi" w:cs="Verdana"/>
              </w:rPr>
            </w:pPr>
            <w:r>
              <w:t>TEN</w:t>
            </w:r>
          </w:p>
        </w:tc>
        <w:tc>
          <w:tcPr>
            <w:tcW w:w="6911" w:type="dxa"/>
          </w:tcPr>
          <w:p w14:paraId="27A14EFD" w14:textId="77777777" w:rsidR="00B87FF3" w:rsidRPr="000B42EA" w:rsidRDefault="00B87FF3" w:rsidP="00B87FF3">
            <w:pPr>
              <w:rPr>
                <w:rFonts w:asciiTheme="minorHAnsi" w:eastAsiaTheme="minorHAnsi" w:hAnsiTheme="minorHAnsi" w:cs="Verdana"/>
              </w:rPr>
            </w:pPr>
            <w:r>
              <w:t>Toxic epidermal necrolysis</w:t>
            </w:r>
          </w:p>
        </w:tc>
      </w:tr>
      <w:tr w:rsidR="005E2185" w:rsidRPr="00FD119B" w14:paraId="111287EE" w14:textId="77777777" w:rsidTr="00FD119B">
        <w:tc>
          <w:tcPr>
            <w:tcW w:w="1809" w:type="dxa"/>
          </w:tcPr>
          <w:p w14:paraId="69C62392" w14:textId="77777777" w:rsidR="005E2185" w:rsidRPr="000B42EA" w:rsidRDefault="005E2185" w:rsidP="005E2185">
            <w:pPr>
              <w:rPr>
                <w:rFonts w:asciiTheme="minorHAnsi" w:eastAsiaTheme="minorHAnsi" w:hAnsiTheme="minorHAnsi" w:cs="Verdana"/>
              </w:rPr>
            </w:pPr>
            <w:r w:rsidRPr="000B42EA">
              <w:rPr>
                <w:rFonts w:asciiTheme="minorHAnsi" w:eastAsiaTheme="minorHAnsi" w:hAnsiTheme="minorHAnsi" w:cs="Verdana"/>
              </w:rPr>
              <w:t>TOC</w:t>
            </w:r>
          </w:p>
        </w:tc>
        <w:tc>
          <w:tcPr>
            <w:tcW w:w="6911" w:type="dxa"/>
          </w:tcPr>
          <w:p w14:paraId="714F7A44" w14:textId="77777777" w:rsidR="005E2185" w:rsidRPr="000B42EA" w:rsidRDefault="005E2185" w:rsidP="005E2185">
            <w:pPr>
              <w:rPr>
                <w:rFonts w:asciiTheme="minorHAnsi" w:eastAsiaTheme="minorHAnsi" w:hAnsiTheme="minorHAnsi" w:cs="Verdana"/>
              </w:rPr>
            </w:pPr>
            <w:r w:rsidRPr="000B42EA">
              <w:rPr>
                <w:rFonts w:asciiTheme="minorHAnsi" w:eastAsiaTheme="minorHAnsi" w:hAnsiTheme="minorHAnsi" w:cs="Verdana"/>
              </w:rPr>
              <w:t>Test of cure</w:t>
            </w:r>
          </w:p>
        </w:tc>
      </w:tr>
      <w:tr w:rsidR="00AD0190" w:rsidRPr="00FD119B" w14:paraId="208CDB80" w14:textId="77777777" w:rsidTr="00FD119B">
        <w:tc>
          <w:tcPr>
            <w:tcW w:w="1809" w:type="dxa"/>
          </w:tcPr>
          <w:p w14:paraId="0EF56771" w14:textId="77777777" w:rsidR="00AD0190" w:rsidRPr="000B42EA" w:rsidRDefault="00AD0190" w:rsidP="005E2185">
            <w:pPr>
              <w:rPr>
                <w:rFonts w:asciiTheme="minorHAnsi" w:eastAsiaTheme="minorHAnsi" w:hAnsiTheme="minorHAnsi" w:cs="Verdana"/>
              </w:rPr>
            </w:pPr>
            <w:r w:rsidRPr="006308F2">
              <w:t>UGT1A1</w:t>
            </w:r>
          </w:p>
        </w:tc>
        <w:tc>
          <w:tcPr>
            <w:tcW w:w="6911" w:type="dxa"/>
          </w:tcPr>
          <w:p w14:paraId="778E1371" w14:textId="77777777" w:rsidR="00AD0190" w:rsidRPr="000B42EA" w:rsidRDefault="00AD0190" w:rsidP="00AD0190">
            <w:pPr>
              <w:rPr>
                <w:rFonts w:asciiTheme="minorHAnsi" w:eastAsiaTheme="minorHAnsi" w:hAnsiTheme="minorHAnsi" w:cs="Verdana"/>
              </w:rPr>
            </w:pPr>
            <w:r w:rsidRPr="00AD0190">
              <w:t>UDP glucuronosyltransferase family 1 member A1</w:t>
            </w:r>
          </w:p>
        </w:tc>
      </w:tr>
      <w:tr w:rsidR="00BD0DBD" w:rsidRPr="00FD119B" w14:paraId="79078AF3" w14:textId="77777777" w:rsidTr="00FD119B">
        <w:tc>
          <w:tcPr>
            <w:tcW w:w="1809" w:type="dxa"/>
          </w:tcPr>
          <w:p w14:paraId="56CD844E" w14:textId="77777777" w:rsidR="00BD0DBD" w:rsidRPr="006308F2" w:rsidRDefault="00BD0DBD" w:rsidP="005E2185">
            <w:r>
              <w:lastRenderedPageBreak/>
              <w:t>ULN</w:t>
            </w:r>
          </w:p>
        </w:tc>
        <w:tc>
          <w:tcPr>
            <w:tcW w:w="6911" w:type="dxa"/>
          </w:tcPr>
          <w:p w14:paraId="25599721" w14:textId="77777777" w:rsidR="00BD0DBD" w:rsidRPr="00AD0190" w:rsidRDefault="00BD0DBD" w:rsidP="00BD0DBD">
            <w:r>
              <w:t>Upper limit of normal</w:t>
            </w:r>
          </w:p>
        </w:tc>
      </w:tr>
      <w:tr w:rsidR="00F60AA7" w:rsidRPr="00FD119B" w14:paraId="5386520D" w14:textId="77777777" w:rsidTr="00FD119B">
        <w:tc>
          <w:tcPr>
            <w:tcW w:w="1809" w:type="dxa"/>
          </w:tcPr>
          <w:p w14:paraId="316A94CC" w14:textId="77777777" w:rsidR="00F60AA7" w:rsidRPr="000B42EA" w:rsidRDefault="00F60AA7" w:rsidP="005E2185">
            <w:pPr>
              <w:rPr>
                <w:rFonts w:asciiTheme="minorHAnsi" w:eastAsiaTheme="minorHAnsi" w:hAnsiTheme="minorHAnsi" w:cs="Verdana"/>
              </w:rPr>
            </w:pPr>
            <w:r>
              <w:rPr>
                <w:rFonts w:asciiTheme="minorHAnsi" w:eastAsiaTheme="minorHAnsi" w:hAnsiTheme="minorHAnsi" w:cs="Verdana"/>
              </w:rPr>
              <w:t>USA</w:t>
            </w:r>
          </w:p>
        </w:tc>
        <w:tc>
          <w:tcPr>
            <w:tcW w:w="6911" w:type="dxa"/>
          </w:tcPr>
          <w:p w14:paraId="60DB2E26" w14:textId="77777777" w:rsidR="00F60AA7" w:rsidRPr="000B42EA" w:rsidRDefault="00F60AA7" w:rsidP="005E2185">
            <w:pPr>
              <w:rPr>
                <w:rFonts w:asciiTheme="minorHAnsi" w:eastAsiaTheme="minorHAnsi" w:hAnsiTheme="minorHAnsi" w:cs="Verdana"/>
              </w:rPr>
            </w:pPr>
            <w:r>
              <w:rPr>
                <w:rFonts w:asciiTheme="minorHAnsi" w:eastAsiaTheme="minorHAnsi" w:hAnsiTheme="minorHAnsi" w:cs="Verdana"/>
              </w:rPr>
              <w:t>United States of America</w:t>
            </w:r>
          </w:p>
        </w:tc>
      </w:tr>
      <w:tr w:rsidR="005E2185" w:rsidRPr="00FD119B" w14:paraId="045D083C" w14:textId="77777777" w:rsidTr="00FD119B">
        <w:tc>
          <w:tcPr>
            <w:tcW w:w="1809" w:type="dxa"/>
          </w:tcPr>
          <w:p w14:paraId="6306AC4A" w14:textId="77777777" w:rsidR="005E2185" w:rsidRPr="000B42EA" w:rsidRDefault="005E2185" w:rsidP="005E2185">
            <w:pPr>
              <w:rPr>
                <w:rFonts w:asciiTheme="minorHAnsi" w:eastAsiaTheme="minorHAnsi" w:hAnsiTheme="minorHAnsi" w:cs="Verdana"/>
              </w:rPr>
            </w:pPr>
            <w:r w:rsidRPr="000B42EA">
              <w:rPr>
                <w:rFonts w:asciiTheme="minorHAnsi" w:eastAsiaTheme="minorHAnsi" w:hAnsiTheme="minorHAnsi" w:cs="Verdana"/>
              </w:rPr>
              <w:t>VAP</w:t>
            </w:r>
          </w:p>
        </w:tc>
        <w:tc>
          <w:tcPr>
            <w:tcW w:w="6911" w:type="dxa"/>
          </w:tcPr>
          <w:p w14:paraId="120C7E7C" w14:textId="77777777" w:rsidR="005E2185" w:rsidRPr="000B42EA" w:rsidRDefault="005E2185" w:rsidP="005E2185">
            <w:pPr>
              <w:rPr>
                <w:rFonts w:asciiTheme="minorHAnsi" w:eastAsiaTheme="minorHAnsi" w:hAnsiTheme="minorHAnsi" w:cs="Verdana"/>
              </w:rPr>
            </w:pPr>
            <w:r w:rsidRPr="000B42EA">
              <w:rPr>
                <w:rFonts w:asciiTheme="minorHAnsi" w:eastAsiaTheme="minorHAnsi" w:hAnsiTheme="minorHAnsi" w:cs="Verdana"/>
              </w:rPr>
              <w:t>Ventilator associated pneumonia</w:t>
            </w:r>
          </w:p>
        </w:tc>
      </w:tr>
      <w:tr w:rsidR="00AD0190" w:rsidRPr="00FD119B" w14:paraId="4ABEE330" w14:textId="77777777" w:rsidTr="00FD119B">
        <w:tc>
          <w:tcPr>
            <w:tcW w:w="1809" w:type="dxa"/>
          </w:tcPr>
          <w:p w14:paraId="00118738" w14:textId="77777777" w:rsidR="00AD0190" w:rsidRDefault="00AD0190" w:rsidP="005E2185">
            <w:pPr>
              <w:rPr>
                <w:rFonts w:asciiTheme="minorHAnsi" w:eastAsiaTheme="minorHAnsi" w:hAnsiTheme="minorHAnsi" w:cs="Verdana"/>
              </w:rPr>
            </w:pPr>
            <w:r w:rsidRPr="000A0CE7">
              <w:t>VIM</w:t>
            </w:r>
          </w:p>
        </w:tc>
        <w:tc>
          <w:tcPr>
            <w:tcW w:w="6911" w:type="dxa"/>
          </w:tcPr>
          <w:p w14:paraId="3B7D2345" w14:textId="40546C71" w:rsidR="00AD0190" w:rsidRPr="000B42EA" w:rsidRDefault="00AD0190" w:rsidP="00AD0190">
            <w:pPr>
              <w:rPr>
                <w:rFonts w:asciiTheme="minorHAnsi" w:eastAsiaTheme="minorHAnsi" w:hAnsiTheme="minorHAnsi" w:cs="Verdana"/>
              </w:rPr>
            </w:pPr>
            <w:r w:rsidRPr="009E06E1">
              <w:t>Verona integ</w:t>
            </w:r>
            <w:r>
              <w:t>ron-encoded metallo-</w:t>
            </w:r>
            <w:r w:rsidR="00323E5F">
              <w:t>beta</w:t>
            </w:r>
            <w:r>
              <w:t>-lactamase</w:t>
            </w:r>
          </w:p>
        </w:tc>
      </w:tr>
    </w:tbl>
    <w:p w14:paraId="0B948E76" w14:textId="77777777" w:rsidR="008E7846" w:rsidRDefault="00F53C07" w:rsidP="00DB6D4D">
      <w:pPr>
        <w:pStyle w:val="Heading2"/>
        <w:pageBreakBefore/>
        <w:spacing w:before="0"/>
      </w:pPr>
      <w:bookmarkStart w:id="9" w:name="_Toc34385593"/>
      <w:r>
        <w:lastRenderedPageBreak/>
        <w:t>I.</w:t>
      </w:r>
      <w:r w:rsidR="008E7846">
        <w:t xml:space="preserve"> Introduction to product submission</w:t>
      </w:r>
      <w:bookmarkEnd w:id="0"/>
      <w:bookmarkEnd w:id="3"/>
      <w:bookmarkEnd w:id="9"/>
    </w:p>
    <w:p w14:paraId="5D29FFC2" w14:textId="77777777" w:rsidR="008E7846" w:rsidRDefault="008E7846" w:rsidP="008E7846">
      <w:pPr>
        <w:pStyle w:val="Heading3"/>
        <w:rPr>
          <w:lang w:eastAsia="en-AU"/>
        </w:rPr>
      </w:pPr>
      <w:bookmarkStart w:id="10" w:name="_Toc247691502"/>
      <w:bookmarkStart w:id="11" w:name="_Toc314842483"/>
      <w:bookmarkStart w:id="12" w:name="_Toc34385594"/>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5E2185" w:rsidRPr="003D1E62" w14:paraId="090ED965" w14:textId="77777777" w:rsidTr="003735BC">
        <w:tc>
          <w:tcPr>
            <w:tcW w:w="2907" w:type="dxa"/>
          </w:tcPr>
          <w:p w14:paraId="2F45ACD7" w14:textId="77777777" w:rsidR="005E2185" w:rsidRPr="003D1E62" w:rsidRDefault="005E2185" w:rsidP="005E2185">
            <w:pPr>
              <w:rPr>
                <w:i/>
              </w:rPr>
            </w:pPr>
            <w:r>
              <w:rPr>
                <w:i/>
              </w:rPr>
              <w:t>Type of s</w:t>
            </w:r>
            <w:r w:rsidRPr="003D1E62">
              <w:rPr>
                <w:i/>
              </w:rPr>
              <w:t>ubmission</w:t>
            </w:r>
            <w:r>
              <w:rPr>
                <w:i/>
              </w:rPr>
              <w:t>:</w:t>
            </w:r>
          </w:p>
        </w:tc>
        <w:tc>
          <w:tcPr>
            <w:tcW w:w="6307" w:type="dxa"/>
          </w:tcPr>
          <w:p w14:paraId="1F047525" w14:textId="77777777" w:rsidR="005E2185" w:rsidRPr="004D23C8" w:rsidRDefault="005E2185" w:rsidP="005E2185">
            <w:r w:rsidRPr="004D23C8">
              <w:t>A new fixed dose combination containing one new chemical entity</w:t>
            </w:r>
          </w:p>
        </w:tc>
      </w:tr>
      <w:tr w:rsidR="005E2185" w:rsidRPr="003D1E62" w14:paraId="1D721822" w14:textId="77777777" w:rsidTr="003735BC">
        <w:tc>
          <w:tcPr>
            <w:tcW w:w="2907" w:type="dxa"/>
          </w:tcPr>
          <w:p w14:paraId="19B6C013" w14:textId="77777777" w:rsidR="005E2185" w:rsidRPr="003D1E62" w:rsidRDefault="005E2185" w:rsidP="005E2185">
            <w:r w:rsidRPr="003D1E62">
              <w:rPr>
                <w:i/>
              </w:rPr>
              <w:t>Decision</w:t>
            </w:r>
            <w:r w:rsidRPr="003D1E62">
              <w:t>:</w:t>
            </w:r>
          </w:p>
        </w:tc>
        <w:tc>
          <w:tcPr>
            <w:tcW w:w="6307" w:type="dxa"/>
          </w:tcPr>
          <w:p w14:paraId="12F35E37" w14:textId="77777777" w:rsidR="005E2185" w:rsidRPr="004D23C8" w:rsidRDefault="005E2185" w:rsidP="005E2185">
            <w:r w:rsidRPr="004D23C8">
              <w:t>Approved</w:t>
            </w:r>
          </w:p>
        </w:tc>
      </w:tr>
      <w:tr w:rsidR="005E2185" w:rsidRPr="003D1E62" w14:paraId="7AD8EAB5" w14:textId="77777777" w:rsidTr="003735BC">
        <w:tc>
          <w:tcPr>
            <w:tcW w:w="2907" w:type="dxa"/>
          </w:tcPr>
          <w:p w14:paraId="3D149403" w14:textId="77777777" w:rsidR="005E2185" w:rsidRPr="003D1E62" w:rsidRDefault="005E2185" w:rsidP="005E2185">
            <w:pPr>
              <w:rPr>
                <w:i/>
              </w:rPr>
            </w:pPr>
            <w:r w:rsidRPr="003D1E62">
              <w:rPr>
                <w:i/>
              </w:rPr>
              <w:t xml:space="preserve">Date of </w:t>
            </w:r>
            <w:r>
              <w:rPr>
                <w:i/>
              </w:rPr>
              <w:t>d</w:t>
            </w:r>
            <w:r w:rsidRPr="003D1E62">
              <w:rPr>
                <w:i/>
              </w:rPr>
              <w:t>ecision:</w:t>
            </w:r>
          </w:p>
        </w:tc>
        <w:tc>
          <w:tcPr>
            <w:tcW w:w="6307" w:type="dxa"/>
          </w:tcPr>
          <w:p w14:paraId="597F11C0" w14:textId="77777777" w:rsidR="005E2185" w:rsidRPr="004D23C8" w:rsidRDefault="005E2185" w:rsidP="005E2185">
            <w:r w:rsidRPr="004D23C8">
              <w:t>21 February 2019</w:t>
            </w:r>
          </w:p>
        </w:tc>
      </w:tr>
      <w:tr w:rsidR="005E2185" w:rsidRPr="003D1E62" w14:paraId="7E8A2422" w14:textId="77777777" w:rsidTr="003735BC">
        <w:tc>
          <w:tcPr>
            <w:tcW w:w="2907" w:type="dxa"/>
          </w:tcPr>
          <w:p w14:paraId="6EB11A89" w14:textId="77777777" w:rsidR="005E2185" w:rsidRPr="00441C3F" w:rsidRDefault="005E2185" w:rsidP="005E2185">
            <w:pPr>
              <w:rPr>
                <w:i/>
              </w:rPr>
            </w:pPr>
            <w:r w:rsidRPr="00441C3F">
              <w:rPr>
                <w:i/>
              </w:rPr>
              <w:t>Date of entry onto ARTG</w:t>
            </w:r>
            <w:r>
              <w:rPr>
                <w:i/>
              </w:rPr>
              <w:t>:</w:t>
            </w:r>
          </w:p>
        </w:tc>
        <w:tc>
          <w:tcPr>
            <w:tcW w:w="6307" w:type="dxa"/>
          </w:tcPr>
          <w:p w14:paraId="1B53F27B" w14:textId="77777777" w:rsidR="005E2185" w:rsidRPr="004D23C8" w:rsidRDefault="005E2185" w:rsidP="005E2185">
            <w:r w:rsidRPr="004D23C8">
              <w:t>22 February 2019</w:t>
            </w:r>
          </w:p>
        </w:tc>
      </w:tr>
      <w:tr w:rsidR="005E2185" w:rsidRPr="003D1E62" w14:paraId="39948107" w14:textId="77777777" w:rsidTr="003735BC">
        <w:tc>
          <w:tcPr>
            <w:tcW w:w="2907" w:type="dxa"/>
          </w:tcPr>
          <w:p w14:paraId="1499292F" w14:textId="77777777" w:rsidR="005E2185" w:rsidRPr="00441C3F" w:rsidRDefault="005E2185" w:rsidP="005E2185">
            <w:pPr>
              <w:rPr>
                <w:i/>
              </w:rPr>
            </w:pPr>
            <w:r>
              <w:rPr>
                <w:i/>
              </w:rPr>
              <w:t>ARTG number:</w:t>
            </w:r>
          </w:p>
        </w:tc>
        <w:tc>
          <w:tcPr>
            <w:tcW w:w="6307" w:type="dxa"/>
          </w:tcPr>
          <w:p w14:paraId="52CDBB3A" w14:textId="77777777" w:rsidR="005E2185" w:rsidRPr="004D23C8" w:rsidRDefault="005E2185" w:rsidP="005E2185">
            <w:r w:rsidRPr="004D23C8">
              <w:t>301205</w:t>
            </w:r>
          </w:p>
        </w:tc>
      </w:tr>
      <w:tr w:rsidR="005E2185" w:rsidRPr="003D1E62" w14:paraId="5EE880F9" w14:textId="77777777" w:rsidTr="003735BC">
        <w:tc>
          <w:tcPr>
            <w:tcW w:w="2907" w:type="dxa"/>
          </w:tcPr>
          <w:p w14:paraId="1126C509" w14:textId="77777777" w:rsidR="005E2185" w:rsidRDefault="005E2185" w:rsidP="005E2185">
            <w:pPr>
              <w:rPr>
                <w:i/>
              </w:rPr>
            </w:pPr>
            <w:r>
              <w:rPr>
                <w:rFonts w:ascii="Wingdings 3" w:hAnsi="Wingdings 3"/>
                <w:sz w:val="34"/>
                <w:szCs w:val="34"/>
                <w:lang w:eastAsia="en-AU"/>
              </w:rPr>
              <w:t></w:t>
            </w:r>
            <w:r w:rsidRPr="003735BC">
              <w:rPr>
                <w:i/>
              </w:rPr>
              <w:t>Black Triangle Scheme</w:t>
            </w:r>
          </w:p>
        </w:tc>
        <w:tc>
          <w:tcPr>
            <w:tcW w:w="6307" w:type="dxa"/>
          </w:tcPr>
          <w:p w14:paraId="1761956E" w14:textId="77777777" w:rsidR="005E2185" w:rsidRDefault="005E2185" w:rsidP="005E2185">
            <w:r w:rsidRPr="004D23C8">
              <w:t>Yes</w:t>
            </w:r>
          </w:p>
          <w:p w14:paraId="15AE686B" w14:textId="77777777" w:rsidR="00D320F4" w:rsidRPr="004D23C8" w:rsidRDefault="00D320F4" w:rsidP="005E2185">
            <w:r>
              <w:t xml:space="preserve">This product will remain in the scheme for 5 years, starting on the date the product is first supplied in </w:t>
            </w:r>
            <w:r w:rsidRPr="00D453FA">
              <w:t>Australia</w:t>
            </w:r>
            <w:r>
              <w:t>.</w:t>
            </w:r>
          </w:p>
        </w:tc>
      </w:tr>
    </w:tbl>
    <w:p w14:paraId="18A8C1D4" w14:textId="77777777" w:rsidR="008E7846" w:rsidRDefault="008E7846" w:rsidP="008E7846"/>
    <w:tbl>
      <w:tblPr>
        <w:tblW w:w="9214" w:type="dxa"/>
        <w:tblInd w:w="108" w:type="dxa"/>
        <w:tblLook w:val="01E0" w:firstRow="1" w:lastRow="1" w:firstColumn="1" w:lastColumn="1" w:noHBand="0" w:noVBand="0"/>
      </w:tblPr>
      <w:tblGrid>
        <w:gridCol w:w="2907"/>
        <w:gridCol w:w="6307"/>
      </w:tblGrid>
      <w:tr w:rsidR="005E2185" w:rsidRPr="00487162" w14:paraId="0EC24EC2" w14:textId="77777777" w:rsidTr="005E2185">
        <w:tc>
          <w:tcPr>
            <w:tcW w:w="2907" w:type="dxa"/>
          </w:tcPr>
          <w:p w14:paraId="1D208EAD" w14:textId="77777777" w:rsidR="005E2185" w:rsidRPr="00487162" w:rsidRDefault="005E2185" w:rsidP="005E2185">
            <w:pPr>
              <w:rPr>
                <w:i/>
              </w:rPr>
            </w:pPr>
            <w:r>
              <w:rPr>
                <w:i/>
              </w:rPr>
              <w:t>Active ingredients:</w:t>
            </w:r>
          </w:p>
        </w:tc>
        <w:tc>
          <w:tcPr>
            <w:tcW w:w="6307" w:type="dxa"/>
          </w:tcPr>
          <w:p w14:paraId="050E4038" w14:textId="77777777" w:rsidR="005E2185" w:rsidRPr="00487162" w:rsidRDefault="005E2185" w:rsidP="005E2185">
            <w:r>
              <w:t>C</w:t>
            </w:r>
            <w:r w:rsidRPr="008E27C9">
              <w:t>eftazidime pentahydrate</w:t>
            </w:r>
            <w:r w:rsidR="00D320F4">
              <w:t>/a</w:t>
            </w:r>
            <w:r w:rsidRPr="008E27C9">
              <w:t>vibactam sodium</w:t>
            </w:r>
          </w:p>
        </w:tc>
      </w:tr>
      <w:tr w:rsidR="005E2185" w:rsidRPr="00487162" w14:paraId="1F991A2B" w14:textId="77777777" w:rsidTr="005E2185">
        <w:tc>
          <w:tcPr>
            <w:tcW w:w="2907" w:type="dxa"/>
          </w:tcPr>
          <w:p w14:paraId="4F54149C" w14:textId="77777777" w:rsidR="005E2185" w:rsidRPr="00487162" w:rsidRDefault="005E2185" w:rsidP="005E2185">
            <w:pPr>
              <w:rPr>
                <w:i/>
              </w:rPr>
            </w:pPr>
            <w:r w:rsidRPr="00487162">
              <w:rPr>
                <w:i/>
              </w:rPr>
              <w:t>Product</w:t>
            </w:r>
            <w:r>
              <w:rPr>
                <w:i/>
              </w:rPr>
              <w:t xml:space="preserve"> name:</w:t>
            </w:r>
          </w:p>
        </w:tc>
        <w:tc>
          <w:tcPr>
            <w:tcW w:w="6307" w:type="dxa"/>
          </w:tcPr>
          <w:p w14:paraId="67A77DFC" w14:textId="77777777" w:rsidR="005E2185" w:rsidRPr="00487162" w:rsidRDefault="005E2185" w:rsidP="005E2185">
            <w:r w:rsidRPr="008E27C9">
              <w:t>Z</w:t>
            </w:r>
            <w:r>
              <w:t>avicefta</w:t>
            </w:r>
          </w:p>
        </w:tc>
      </w:tr>
      <w:tr w:rsidR="005E2185" w:rsidRPr="00487162" w14:paraId="227691F6" w14:textId="77777777" w:rsidTr="005E2185">
        <w:tc>
          <w:tcPr>
            <w:tcW w:w="2907" w:type="dxa"/>
          </w:tcPr>
          <w:p w14:paraId="4F8DB37E" w14:textId="77777777" w:rsidR="005E2185" w:rsidRPr="00487162" w:rsidRDefault="005E2185" w:rsidP="005E2185">
            <w:pPr>
              <w:rPr>
                <w:i/>
              </w:rPr>
            </w:pPr>
            <w:r w:rsidRPr="00487162">
              <w:rPr>
                <w:i/>
              </w:rPr>
              <w:t xml:space="preserve">Sponsor’s </w:t>
            </w:r>
            <w:r>
              <w:rPr>
                <w:i/>
              </w:rPr>
              <w:t>n</w:t>
            </w:r>
            <w:r w:rsidRPr="00487162">
              <w:rPr>
                <w:i/>
              </w:rPr>
              <w:t xml:space="preserve">ame and </w:t>
            </w:r>
            <w:r>
              <w:rPr>
                <w:i/>
              </w:rPr>
              <w:t>a</w:t>
            </w:r>
            <w:r w:rsidRPr="00487162">
              <w:rPr>
                <w:i/>
              </w:rPr>
              <w:t>ddress:</w:t>
            </w:r>
          </w:p>
        </w:tc>
        <w:tc>
          <w:tcPr>
            <w:tcW w:w="6307" w:type="dxa"/>
          </w:tcPr>
          <w:p w14:paraId="0A2BDABE" w14:textId="77777777" w:rsidR="005E2185" w:rsidRDefault="005E2185" w:rsidP="005E2185">
            <w:r w:rsidRPr="004345BE">
              <w:t>Pfizer Australia Pty Ltd</w:t>
            </w:r>
          </w:p>
          <w:p w14:paraId="4F736910" w14:textId="77777777" w:rsidR="005E2185" w:rsidRDefault="00D320F4" w:rsidP="005E2185">
            <w:r>
              <w:t>Level 17 151 Clarence Street,</w:t>
            </w:r>
          </w:p>
          <w:p w14:paraId="199273F1" w14:textId="77777777" w:rsidR="005E2185" w:rsidRPr="00487162" w:rsidRDefault="005E2185" w:rsidP="005E2185">
            <w:r>
              <w:t>Sydney, NSW, 2000</w:t>
            </w:r>
          </w:p>
        </w:tc>
      </w:tr>
      <w:tr w:rsidR="005E2185" w:rsidRPr="00487162" w14:paraId="3FE34B50" w14:textId="77777777" w:rsidTr="005E2185">
        <w:tc>
          <w:tcPr>
            <w:tcW w:w="2907" w:type="dxa"/>
          </w:tcPr>
          <w:p w14:paraId="39CA40B1" w14:textId="77777777" w:rsidR="005E2185" w:rsidRPr="00487162" w:rsidRDefault="005E2185" w:rsidP="005E2185">
            <w:pPr>
              <w:rPr>
                <w:i/>
              </w:rPr>
            </w:pPr>
            <w:r>
              <w:rPr>
                <w:i/>
              </w:rPr>
              <w:t>Dose form:</w:t>
            </w:r>
          </w:p>
        </w:tc>
        <w:tc>
          <w:tcPr>
            <w:tcW w:w="6307" w:type="dxa"/>
          </w:tcPr>
          <w:p w14:paraId="1F20943B" w14:textId="77777777" w:rsidR="005E2185" w:rsidRPr="00487162" w:rsidRDefault="005E2185" w:rsidP="005E2185">
            <w:r>
              <w:t>Powder for i</w:t>
            </w:r>
            <w:r w:rsidRPr="004345BE">
              <w:t>njection</w:t>
            </w:r>
          </w:p>
        </w:tc>
      </w:tr>
      <w:tr w:rsidR="005E2185" w:rsidRPr="00487162" w14:paraId="02FFC46C" w14:textId="77777777" w:rsidTr="005E2185">
        <w:tc>
          <w:tcPr>
            <w:tcW w:w="2907" w:type="dxa"/>
          </w:tcPr>
          <w:p w14:paraId="0DCD1887" w14:textId="27A7E800" w:rsidR="005E2185" w:rsidRPr="00487162" w:rsidRDefault="005E2185" w:rsidP="005E2185">
            <w:pPr>
              <w:rPr>
                <w:i/>
              </w:rPr>
            </w:pPr>
            <w:r>
              <w:rPr>
                <w:i/>
              </w:rPr>
              <w:t>Strength</w:t>
            </w:r>
            <w:r w:rsidR="000E48F6">
              <w:rPr>
                <w:i/>
              </w:rPr>
              <w:t>:</w:t>
            </w:r>
          </w:p>
        </w:tc>
        <w:tc>
          <w:tcPr>
            <w:tcW w:w="6307" w:type="dxa"/>
          </w:tcPr>
          <w:p w14:paraId="1032AC11" w14:textId="77777777" w:rsidR="005E2185" w:rsidRPr="00487162" w:rsidRDefault="005E2185" w:rsidP="005E2185">
            <w:r>
              <w:t>2000 mg ceftazidime and 500 mg avibactam</w:t>
            </w:r>
            <w:r w:rsidR="00D320F4">
              <w:t xml:space="preserve"> fixed dose combination</w:t>
            </w:r>
          </w:p>
        </w:tc>
      </w:tr>
      <w:tr w:rsidR="005E2185" w:rsidRPr="00487162" w14:paraId="304C1C97" w14:textId="77777777" w:rsidTr="005E2185">
        <w:tc>
          <w:tcPr>
            <w:tcW w:w="2907" w:type="dxa"/>
          </w:tcPr>
          <w:p w14:paraId="291F1836" w14:textId="77777777" w:rsidR="005E2185" w:rsidRPr="00487162" w:rsidRDefault="005E2185" w:rsidP="005E2185">
            <w:pPr>
              <w:rPr>
                <w:i/>
              </w:rPr>
            </w:pPr>
            <w:r>
              <w:rPr>
                <w:i/>
              </w:rPr>
              <w:t>Container</w:t>
            </w:r>
            <w:r w:rsidRPr="00487162">
              <w:rPr>
                <w:i/>
              </w:rPr>
              <w:t>:</w:t>
            </w:r>
          </w:p>
        </w:tc>
        <w:tc>
          <w:tcPr>
            <w:tcW w:w="6307" w:type="dxa"/>
          </w:tcPr>
          <w:p w14:paraId="28F09335" w14:textId="77777777" w:rsidR="005E2185" w:rsidRPr="00487162" w:rsidRDefault="005E2185" w:rsidP="005E2185">
            <w:r>
              <w:t>Vial</w:t>
            </w:r>
          </w:p>
        </w:tc>
      </w:tr>
      <w:tr w:rsidR="005E2185" w:rsidRPr="00487162" w14:paraId="06070C07" w14:textId="77777777" w:rsidTr="005E2185">
        <w:tc>
          <w:tcPr>
            <w:tcW w:w="2907" w:type="dxa"/>
          </w:tcPr>
          <w:p w14:paraId="72F19981" w14:textId="77777777" w:rsidR="005E2185" w:rsidRPr="00487162" w:rsidRDefault="005E2185" w:rsidP="005E2185">
            <w:pPr>
              <w:rPr>
                <w:i/>
              </w:rPr>
            </w:pPr>
            <w:r>
              <w:rPr>
                <w:i/>
              </w:rPr>
              <w:t>Pack size</w:t>
            </w:r>
            <w:r w:rsidRPr="00487162">
              <w:rPr>
                <w:i/>
              </w:rPr>
              <w:t>:</w:t>
            </w:r>
          </w:p>
        </w:tc>
        <w:tc>
          <w:tcPr>
            <w:tcW w:w="6307" w:type="dxa"/>
          </w:tcPr>
          <w:p w14:paraId="399AE319" w14:textId="77777777" w:rsidR="005E2185" w:rsidRPr="00487162" w:rsidRDefault="00D320F4" w:rsidP="00D320F4">
            <w:r>
              <w:t>10</w:t>
            </w:r>
          </w:p>
        </w:tc>
      </w:tr>
      <w:tr w:rsidR="005E2185" w:rsidRPr="00487162" w14:paraId="5B648A8F" w14:textId="77777777" w:rsidTr="005E2185">
        <w:tc>
          <w:tcPr>
            <w:tcW w:w="2907" w:type="dxa"/>
          </w:tcPr>
          <w:p w14:paraId="57652921" w14:textId="77777777" w:rsidR="005E2185" w:rsidRPr="00487162" w:rsidRDefault="005E2185" w:rsidP="005E2185">
            <w:pPr>
              <w:rPr>
                <w:i/>
              </w:rPr>
            </w:pPr>
            <w:r w:rsidRPr="00487162">
              <w:rPr>
                <w:i/>
              </w:rPr>
              <w:t xml:space="preserve">Approved </w:t>
            </w:r>
            <w:r>
              <w:rPr>
                <w:i/>
              </w:rPr>
              <w:t>t</w:t>
            </w:r>
            <w:r w:rsidRPr="00487162">
              <w:rPr>
                <w:i/>
              </w:rPr>
              <w:t>herapeutic use:</w:t>
            </w:r>
          </w:p>
        </w:tc>
        <w:tc>
          <w:tcPr>
            <w:tcW w:w="6307" w:type="dxa"/>
          </w:tcPr>
          <w:p w14:paraId="5EE7C6DB" w14:textId="77777777" w:rsidR="005E2185" w:rsidRPr="004345BE" w:rsidRDefault="005E2185" w:rsidP="005E2185">
            <w:pPr>
              <w:rPr>
                <w:i/>
              </w:rPr>
            </w:pPr>
            <w:r w:rsidRPr="004345BE">
              <w:rPr>
                <w:i/>
              </w:rPr>
              <w:t>Z</w:t>
            </w:r>
            <w:r>
              <w:rPr>
                <w:i/>
              </w:rPr>
              <w:t>avicefta</w:t>
            </w:r>
            <w:r w:rsidRPr="004345BE">
              <w:rPr>
                <w:i/>
              </w:rPr>
              <w:t xml:space="preserve"> is indicated for the treatment of the following infections in adults</w:t>
            </w:r>
            <w:r>
              <w:rPr>
                <w:i/>
              </w:rPr>
              <w:t xml:space="preserve"> </w:t>
            </w:r>
            <w:r w:rsidRPr="00DA6631">
              <w:rPr>
                <w:i/>
              </w:rPr>
              <w:t>(see sections 4.4 Special warnings and precautions for use and 5.1 Pharmacodynamic properties):</w:t>
            </w:r>
          </w:p>
          <w:p w14:paraId="7CC4A0AA" w14:textId="77777777" w:rsidR="005E2185" w:rsidRPr="00B27628" w:rsidRDefault="005E2185" w:rsidP="005E2185">
            <w:pPr>
              <w:pStyle w:val="ListBullet"/>
              <w:numPr>
                <w:ilvl w:val="0"/>
                <w:numId w:val="3"/>
              </w:numPr>
              <w:rPr>
                <w:i/>
              </w:rPr>
            </w:pPr>
            <w:r w:rsidRPr="00B27628">
              <w:rPr>
                <w:i/>
              </w:rPr>
              <w:t>Complicated intra-abdominal infection (cIAI), in</w:t>
            </w:r>
            <w:r>
              <w:rPr>
                <w:i/>
              </w:rPr>
              <w:t xml:space="preserve"> combination with metronidazole.</w:t>
            </w:r>
          </w:p>
          <w:p w14:paraId="1E54832F" w14:textId="77777777" w:rsidR="005E2185" w:rsidRPr="00B27628" w:rsidRDefault="005E2185" w:rsidP="005E2185">
            <w:pPr>
              <w:pStyle w:val="ListBullet"/>
              <w:numPr>
                <w:ilvl w:val="0"/>
                <w:numId w:val="3"/>
              </w:numPr>
              <w:rPr>
                <w:i/>
              </w:rPr>
            </w:pPr>
            <w:r w:rsidRPr="00B27628">
              <w:rPr>
                <w:i/>
              </w:rPr>
              <w:t>Complicated urinary tract infection (cUTI), including pyelonephritis.</w:t>
            </w:r>
          </w:p>
          <w:p w14:paraId="2B396B6E" w14:textId="77777777" w:rsidR="005E2185" w:rsidRPr="00B27628" w:rsidRDefault="005E2185" w:rsidP="005E2185">
            <w:pPr>
              <w:pStyle w:val="ListBullet"/>
              <w:numPr>
                <w:ilvl w:val="0"/>
                <w:numId w:val="3"/>
              </w:numPr>
              <w:rPr>
                <w:i/>
              </w:rPr>
            </w:pPr>
            <w:r w:rsidRPr="00B27628">
              <w:rPr>
                <w:i/>
              </w:rPr>
              <w:t>Hospital-acquired pneumonia (HAP), including ventilator associated pneumonia (VAP).</w:t>
            </w:r>
          </w:p>
          <w:p w14:paraId="54DB2E21" w14:textId="77777777" w:rsidR="005E2185" w:rsidRPr="004345BE" w:rsidRDefault="005E2185" w:rsidP="005E2185">
            <w:pPr>
              <w:rPr>
                <w:i/>
              </w:rPr>
            </w:pPr>
            <w:r w:rsidRPr="004345BE">
              <w:rPr>
                <w:i/>
              </w:rPr>
              <w:t>Consideration should be given to official guidance on the appropriate use of antibacterial agents.</w:t>
            </w:r>
          </w:p>
          <w:p w14:paraId="778599A7" w14:textId="77777777" w:rsidR="005E2185" w:rsidRPr="004345BE" w:rsidRDefault="005E2185" w:rsidP="005E2185">
            <w:r w:rsidRPr="004345BE">
              <w:rPr>
                <w:i/>
              </w:rPr>
              <w:t>Z</w:t>
            </w:r>
            <w:r>
              <w:rPr>
                <w:i/>
              </w:rPr>
              <w:t>avicefta</w:t>
            </w:r>
            <w:r w:rsidRPr="004345BE">
              <w:rPr>
                <w:i/>
              </w:rPr>
              <w:t xml:space="preserve"> should be used in combination with an antibacterial </w:t>
            </w:r>
            <w:r w:rsidRPr="004345BE">
              <w:rPr>
                <w:i/>
              </w:rPr>
              <w:lastRenderedPageBreak/>
              <w:t>agent(s) active against Gram-positive and/or anaerobic pathogens when these are known or suspected to be contributing to the infectious process.</w:t>
            </w:r>
          </w:p>
        </w:tc>
      </w:tr>
      <w:tr w:rsidR="005E2185" w:rsidRPr="00487162" w14:paraId="2BDB201E" w14:textId="77777777" w:rsidTr="005E2185">
        <w:tc>
          <w:tcPr>
            <w:tcW w:w="2907" w:type="dxa"/>
          </w:tcPr>
          <w:p w14:paraId="3B24898F" w14:textId="77777777" w:rsidR="005E2185" w:rsidRPr="00487162" w:rsidRDefault="005E2185" w:rsidP="005E2185">
            <w:pPr>
              <w:rPr>
                <w:i/>
              </w:rPr>
            </w:pPr>
            <w:r>
              <w:rPr>
                <w:i/>
              </w:rPr>
              <w:lastRenderedPageBreak/>
              <w:t>Route</w:t>
            </w:r>
            <w:r w:rsidRPr="00487162">
              <w:rPr>
                <w:i/>
              </w:rPr>
              <w:t xml:space="preserve"> of administration:</w:t>
            </w:r>
          </w:p>
        </w:tc>
        <w:tc>
          <w:tcPr>
            <w:tcW w:w="6307" w:type="dxa"/>
          </w:tcPr>
          <w:p w14:paraId="03BE0539" w14:textId="77777777" w:rsidR="005E2185" w:rsidRPr="00487162" w:rsidRDefault="005E2185" w:rsidP="005E2185">
            <w:r>
              <w:t>Intravenous infusion</w:t>
            </w:r>
          </w:p>
        </w:tc>
      </w:tr>
      <w:tr w:rsidR="005E2185" w:rsidRPr="00487162" w14:paraId="01889873" w14:textId="77777777" w:rsidTr="005E2185">
        <w:tc>
          <w:tcPr>
            <w:tcW w:w="2907" w:type="dxa"/>
          </w:tcPr>
          <w:p w14:paraId="106BF286" w14:textId="77777777" w:rsidR="005E2185" w:rsidRPr="00487162" w:rsidRDefault="005E2185" w:rsidP="005E2185">
            <w:pPr>
              <w:rPr>
                <w:i/>
              </w:rPr>
            </w:pPr>
            <w:r w:rsidRPr="00487162">
              <w:rPr>
                <w:i/>
              </w:rPr>
              <w:t>Dosage:</w:t>
            </w:r>
          </w:p>
        </w:tc>
        <w:tc>
          <w:tcPr>
            <w:tcW w:w="6307" w:type="dxa"/>
          </w:tcPr>
          <w:p w14:paraId="1843A712" w14:textId="77777777" w:rsidR="00D320F4" w:rsidRDefault="005E2185" w:rsidP="005E2185">
            <w:r>
              <w:t>The recommended dosage is 1 vial where each vial contains 2000 mg ceftazidime and 500 mg avibactam. Treat</w:t>
            </w:r>
            <w:r w:rsidR="00D320F4">
              <w:t>ment is repeated every 8 hours.</w:t>
            </w:r>
          </w:p>
          <w:p w14:paraId="766D0D57" w14:textId="77777777" w:rsidR="00D320F4" w:rsidRDefault="00D320F4" w:rsidP="00D320F4">
            <w:r>
              <w:t>The duration of treatment should be guided by the severity of the infection, the pathogen(s) and the patient’s clinical and bacteriological progress.</w:t>
            </w:r>
          </w:p>
          <w:p w14:paraId="50A5BE76" w14:textId="77777777" w:rsidR="005E2185" w:rsidRPr="00487162" w:rsidRDefault="005E2185" w:rsidP="00D320F4">
            <w:r>
              <w:t xml:space="preserve">For </w:t>
            </w:r>
            <w:r w:rsidR="00D320F4">
              <w:t xml:space="preserve">further information </w:t>
            </w:r>
            <w:r>
              <w:t>see the Product Information</w:t>
            </w:r>
            <w:r w:rsidR="00D320F4">
              <w:t xml:space="preserve"> (PI)</w:t>
            </w:r>
            <w:r>
              <w:t>.</w:t>
            </w:r>
          </w:p>
        </w:tc>
      </w:tr>
    </w:tbl>
    <w:p w14:paraId="704D369C" w14:textId="77777777" w:rsidR="008E7846" w:rsidRDefault="008E7846" w:rsidP="008E7846">
      <w:pPr>
        <w:pStyle w:val="Heading3"/>
      </w:pPr>
      <w:bookmarkStart w:id="13" w:name="_Toc247691503"/>
      <w:bookmarkStart w:id="14" w:name="_Toc314842484"/>
      <w:bookmarkStart w:id="15" w:name="_Toc34385595"/>
      <w:r>
        <w:t>Product background</w:t>
      </w:r>
      <w:bookmarkEnd w:id="13"/>
      <w:bookmarkEnd w:id="14"/>
      <w:bookmarkEnd w:id="15"/>
    </w:p>
    <w:p w14:paraId="5D34FFC6" w14:textId="77777777" w:rsidR="005E2185" w:rsidRDefault="005E2185" w:rsidP="004763BE">
      <w:r w:rsidRPr="00940A89">
        <w:t xml:space="preserve">This AusPAR describes the application by </w:t>
      </w:r>
      <w:r w:rsidRPr="004345BE">
        <w:t>Pfizer Australia Pty Ltd</w:t>
      </w:r>
      <w:r w:rsidRPr="00940A89">
        <w:t xml:space="preserve"> </w:t>
      </w:r>
      <w:r>
        <w:t>(</w:t>
      </w:r>
      <w:r w:rsidRPr="00940A89">
        <w:t>the sponsor</w:t>
      </w:r>
      <w:r>
        <w:t>)</w:t>
      </w:r>
      <w:r w:rsidRPr="00940A89">
        <w:t xml:space="preserve"> to register </w:t>
      </w:r>
      <w:r w:rsidRPr="00A70DDA">
        <w:rPr>
          <w:lang w:eastAsia="en-AU"/>
        </w:rPr>
        <w:t>Zavicefta</w:t>
      </w:r>
      <w:r w:rsidRPr="00BE2381">
        <w:rPr>
          <w:lang w:eastAsia="en-AU"/>
        </w:rPr>
        <w:t xml:space="preserve"> </w:t>
      </w:r>
      <w:r w:rsidR="00F60AA7">
        <w:rPr>
          <w:lang w:eastAsia="en-AU"/>
        </w:rPr>
        <w:t>2000/500 (</w:t>
      </w:r>
      <w:r w:rsidR="00576FFD">
        <w:rPr>
          <w:lang w:eastAsia="en-AU"/>
        </w:rPr>
        <w:t xml:space="preserve">containing 2000 mg </w:t>
      </w:r>
      <w:r w:rsidR="00F60AA7">
        <w:rPr>
          <w:lang w:eastAsia="en-AU"/>
        </w:rPr>
        <w:t>ceftazidime</w:t>
      </w:r>
      <w:r>
        <w:rPr>
          <w:lang w:eastAsia="en-AU"/>
        </w:rPr>
        <w:t>/</w:t>
      </w:r>
      <w:r w:rsidR="00576FFD">
        <w:rPr>
          <w:lang w:eastAsia="en-AU"/>
        </w:rPr>
        <w:t xml:space="preserve">500 mg </w:t>
      </w:r>
      <w:r>
        <w:rPr>
          <w:lang w:eastAsia="en-AU"/>
        </w:rPr>
        <w:t>a</w:t>
      </w:r>
      <w:r w:rsidRPr="00BE2381">
        <w:rPr>
          <w:lang w:eastAsia="en-AU"/>
        </w:rPr>
        <w:t xml:space="preserve">vibactam), which is a new fixed drug combination </w:t>
      </w:r>
      <w:r>
        <w:rPr>
          <w:lang w:eastAsia="en-AU"/>
        </w:rPr>
        <w:t xml:space="preserve">of a new ingredient avibactam, </w:t>
      </w:r>
      <w:r w:rsidRPr="00BE2381">
        <w:rPr>
          <w:lang w:eastAsia="en-AU"/>
        </w:rPr>
        <w:t xml:space="preserve">with </w:t>
      </w:r>
      <w:r>
        <w:rPr>
          <w:lang w:eastAsia="en-AU"/>
        </w:rPr>
        <w:t xml:space="preserve">a </w:t>
      </w:r>
      <w:r w:rsidRPr="00BE2381">
        <w:rPr>
          <w:lang w:eastAsia="en-AU"/>
        </w:rPr>
        <w:t>previous</w:t>
      </w:r>
      <w:r>
        <w:rPr>
          <w:lang w:eastAsia="en-AU"/>
        </w:rPr>
        <w:t>ly approved active ingredient (c</w:t>
      </w:r>
      <w:r w:rsidRPr="00BE2381">
        <w:rPr>
          <w:lang w:eastAsia="en-AU"/>
        </w:rPr>
        <w:t>eftazidime)</w:t>
      </w:r>
      <w:r>
        <w:t xml:space="preserve"> for the following indication:</w:t>
      </w:r>
    </w:p>
    <w:p w14:paraId="5545331C" w14:textId="77777777" w:rsidR="00361EA3" w:rsidRPr="00361EA3" w:rsidRDefault="00361EA3" w:rsidP="00361EA3">
      <w:pPr>
        <w:ind w:left="360"/>
        <w:rPr>
          <w:i/>
        </w:rPr>
      </w:pPr>
      <w:r w:rsidRPr="00361EA3">
        <w:rPr>
          <w:i/>
        </w:rPr>
        <w:t>Zavicefta 2000/500 is indicated for:</w:t>
      </w:r>
    </w:p>
    <w:p w14:paraId="5AC68D64" w14:textId="77777777" w:rsidR="00361EA3" w:rsidRPr="00361EA3" w:rsidRDefault="00361EA3" w:rsidP="00361EA3">
      <w:pPr>
        <w:pStyle w:val="ListBullet"/>
        <w:ind w:left="720"/>
        <w:rPr>
          <w:i/>
        </w:rPr>
      </w:pPr>
      <w:r w:rsidRPr="00361EA3">
        <w:rPr>
          <w:i/>
        </w:rPr>
        <w:t>Complicated intra-abdominal infection (cIAI)</w:t>
      </w:r>
    </w:p>
    <w:p w14:paraId="0E2B1577" w14:textId="77777777" w:rsidR="00361EA3" w:rsidRPr="00361EA3" w:rsidRDefault="00361EA3" w:rsidP="00361EA3">
      <w:pPr>
        <w:pStyle w:val="ListBullet"/>
        <w:ind w:left="720"/>
        <w:rPr>
          <w:i/>
        </w:rPr>
      </w:pPr>
      <w:r w:rsidRPr="00361EA3">
        <w:rPr>
          <w:i/>
        </w:rPr>
        <w:t>Complicated urinary tract infection (cUTI), including pyelonephritis</w:t>
      </w:r>
    </w:p>
    <w:p w14:paraId="25E32B6E" w14:textId="77777777" w:rsidR="00361EA3" w:rsidRPr="00361EA3" w:rsidRDefault="00361EA3" w:rsidP="00361EA3">
      <w:pPr>
        <w:pStyle w:val="ListBullet"/>
        <w:ind w:left="720"/>
        <w:rPr>
          <w:i/>
        </w:rPr>
      </w:pPr>
      <w:r w:rsidRPr="00361EA3">
        <w:rPr>
          <w:i/>
        </w:rPr>
        <w:t>Hospital-acquired pneumonia (HAP), including ventilator associated pneumonia (VAP)</w:t>
      </w:r>
    </w:p>
    <w:p w14:paraId="1705F374" w14:textId="77777777" w:rsidR="005E2185" w:rsidRPr="00361EA3" w:rsidRDefault="00361EA3" w:rsidP="00361EA3">
      <w:pPr>
        <w:pStyle w:val="ListBullet"/>
        <w:ind w:left="720"/>
        <w:rPr>
          <w:i/>
        </w:rPr>
      </w:pPr>
      <w:r w:rsidRPr="00361EA3">
        <w:rPr>
          <w:i/>
        </w:rPr>
        <w:t>Infections due to aerobic gram-negative organisms in adult patients with limited treatment options.</w:t>
      </w:r>
    </w:p>
    <w:p w14:paraId="5A597079" w14:textId="04F0CC87" w:rsidR="005E2185" w:rsidRDefault="005E2185" w:rsidP="005E2185">
      <w:r>
        <w:t>Ceft</w:t>
      </w:r>
      <w:r w:rsidR="00F60AA7">
        <w:t>azidime</w:t>
      </w:r>
      <w:r>
        <w:t xml:space="preserve"> is a third generation, parenteral cephalosporin with a well-established clinical use over last 3 decades since its initial av</w:t>
      </w:r>
      <w:r w:rsidR="00F60AA7">
        <w:t>ailability in 1980s. Avibactam</w:t>
      </w:r>
      <w:r>
        <w:t xml:space="preserve"> is a novel, first</w:t>
      </w:r>
      <w:r w:rsidR="00323E5F">
        <w:noBreakHyphen/>
      </w:r>
      <w:r>
        <w:t>in</w:t>
      </w:r>
      <w:r w:rsidR="00323E5F">
        <w:noBreakHyphen/>
      </w:r>
      <w:r>
        <w:t xml:space="preserve">class, non-β-lactam </w:t>
      </w:r>
      <w:r w:rsidR="004763BE">
        <w:sym w:font="Symbol" w:char="F062"/>
      </w:r>
      <w:r>
        <w:t xml:space="preserve">-lactamase inhibitor. The proposed product is a fixed dose combination of </w:t>
      </w:r>
      <w:r w:rsidR="00F60AA7">
        <w:t>ceftazidime</w:t>
      </w:r>
      <w:r>
        <w:t xml:space="preserve"> and </w:t>
      </w:r>
      <w:r w:rsidR="00F60AA7">
        <w:t>avibactam</w:t>
      </w:r>
      <w:r>
        <w:t xml:space="preserve"> to be supplied as sterile powder for injection in </w:t>
      </w:r>
      <w:r w:rsidR="0049528A">
        <w:t xml:space="preserve">a </w:t>
      </w:r>
      <w:r>
        <w:t>glass vial.</w:t>
      </w:r>
    </w:p>
    <w:p w14:paraId="343CA8CD" w14:textId="77777777" w:rsidR="005E2185" w:rsidRDefault="005E2185" w:rsidP="005E2185">
      <w:r>
        <w:t xml:space="preserve">At </w:t>
      </w:r>
      <w:r w:rsidR="00F60AA7">
        <w:t>the time of submission</w:t>
      </w:r>
      <w:r>
        <w:t xml:space="preserve">, the registered β-lactamase inhibitors on the </w:t>
      </w:r>
      <w:r w:rsidR="0049528A">
        <w:t>Australian Register of Therapeutic Goods (</w:t>
      </w:r>
      <w:r>
        <w:t>ARTG</w:t>
      </w:r>
      <w:r w:rsidR="0049528A">
        <w:t>)</w:t>
      </w:r>
      <w:r>
        <w:t xml:space="preserve"> include clavulanic acid (with amoxicillin) and tazobactam (with piperacillin).</w:t>
      </w:r>
    </w:p>
    <w:p w14:paraId="162487F5" w14:textId="6DCCCBF1" w:rsidR="005E2185" w:rsidRDefault="005E2185" w:rsidP="005E2185">
      <w:r>
        <w:t xml:space="preserve">The </w:t>
      </w:r>
      <w:r w:rsidR="00F60AA7">
        <w:t>ceftazidime</w:t>
      </w:r>
      <w:r>
        <w:t>/</w:t>
      </w:r>
      <w:r w:rsidR="00F60AA7">
        <w:t>avibactam</w:t>
      </w:r>
      <w:r>
        <w:t xml:space="preserve"> combination is intended to overcome β-lactamase</w:t>
      </w:r>
      <w:r w:rsidR="00323E5F">
        <w:t xml:space="preserve"> </w:t>
      </w:r>
      <w:r>
        <w:t xml:space="preserve">mediated </w:t>
      </w:r>
      <w:r w:rsidR="00F60AA7">
        <w:t>ceftazidime</w:t>
      </w:r>
      <w:r>
        <w:t xml:space="preserve"> resistance among </w:t>
      </w:r>
      <w:r w:rsidRPr="00D371DF">
        <w:rPr>
          <w:i/>
        </w:rPr>
        <w:t>Enterobacteriaceae</w:t>
      </w:r>
      <w:r>
        <w:t xml:space="preserve"> and </w:t>
      </w:r>
      <w:r w:rsidRPr="00D371DF">
        <w:rPr>
          <w:i/>
        </w:rPr>
        <w:t>Pseudomonas aeruginosa</w:t>
      </w:r>
      <w:r w:rsidR="00320E39">
        <w:t>.</w:t>
      </w:r>
    </w:p>
    <w:p w14:paraId="1280806C" w14:textId="69520EE9" w:rsidR="00940A89" w:rsidRDefault="00320E39" w:rsidP="00940A89">
      <w:r w:rsidRPr="00367925">
        <w:t xml:space="preserve">This application was submitted through the </w:t>
      </w:r>
      <w:r>
        <w:t>TGA’s Comparable Overseas Regulator</w:t>
      </w:r>
      <w:r w:rsidRPr="00367925">
        <w:t xml:space="preserve"> </w:t>
      </w:r>
      <w:r>
        <w:t>approach B (COR</w:t>
      </w:r>
      <w:r>
        <w:noBreakHyphen/>
        <w:t xml:space="preserve">B) </w:t>
      </w:r>
      <w:r w:rsidRPr="00367925">
        <w:t>process</w:t>
      </w:r>
      <w:r w:rsidR="00DE3F56">
        <w:t xml:space="preserve"> (</w:t>
      </w:r>
      <w:r>
        <w:t>European Medicines Agency (EMA)</w:t>
      </w:r>
      <w:r w:rsidR="00DE3F56">
        <w:t>)</w:t>
      </w:r>
      <w:r>
        <w:t>.</w:t>
      </w:r>
      <w:r w:rsidR="00D90F71">
        <w:rPr>
          <w:rStyle w:val="FootnoteReference"/>
        </w:rPr>
        <w:footnoteReference w:id="1"/>
      </w:r>
      <w:r>
        <w:t xml:space="preserve"> T</w:t>
      </w:r>
      <w:r w:rsidR="005E2185">
        <w:t>h</w:t>
      </w:r>
      <w:r>
        <w:t>e full dossier was</w:t>
      </w:r>
      <w:r w:rsidR="005E2185">
        <w:t xml:space="preserve"> also submitted to the TGA.</w:t>
      </w:r>
    </w:p>
    <w:p w14:paraId="66CB6E79" w14:textId="77777777" w:rsidR="008E7846" w:rsidRPr="003F31A2" w:rsidRDefault="00386150" w:rsidP="008E7846">
      <w:pPr>
        <w:pStyle w:val="Heading3"/>
      </w:pPr>
      <w:bookmarkStart w:id="16" w:name="_Toc314842485"/>
      <w:bookmarkStart w:id="17" w:name="_Toc247691504"/>
      <w:bookmarkStart w:id="18" w:name="_Toc34385596"/>
      <w:r>
        <w:lastRenderedPageBreak/>
        <w:t>Regulatory s</w:t>
      </w:r>
      <w:r w:rsidR="008E7846">
        <w:t>tatus</w:t>
      </w:r>
      <w:bookmarkEnd w:id="16"/>
      <w:bookmarkEnd w:id="17"/>
      <w:bookmarkEnd w:id="18"/>
    </w:p>
    <w:p w14:paraId="2559FD7D" w14:textId="77777777" w:rsidR="00940A89" w:rsidRDefault="00E459D8" w:rsidP="00E459D8">
      <w:bookmarkStart w:id="19" w:name="_Toc247691505"/>
      <w:bookmarkStart w:id="20" w:name="_Toc314842486"/>
      <w:r>
        <w:t>Zavicefta (</w:t>
      </w:r>
      <w:r>
        <w:rPr>
          <w:lang w:eastAsia="en-AU"/>
        </w:rPr>
        <w:t>ceftazidime/a</w:t>
      </w:r>
      <w:r w:rsidRPr="00BE2381">
        <w:rPr>
          <w:lang w:eastAsia="en-AU"/>
        </w:rPr>
        <w:t>vibactam</w:t>
      </w:r>
      <w:r>
        <w:t xml:space="preserve">) is a </w:t>
      </w:r>
      <w:r w:rsidRPr="004D23C8">
        <w:t>new fixed dose combination containing one new chemical entity</w:t>
      </w:r>
      <w:r>
        <w:t xml:space="preserve"> (</w:t>
      </w:r>
      <w:r w:rsidRPr="00BE2381">
        <w:rPr>
          <w:rFonts w:eastAsia="Calibri"/>
        </w:rPr>
        <w:t>avibactam</w:t>
      </w:r>
      <w:r>
        <w:rPr>
          <w:rFonts w:eastAsia="Calibri"/>
        </w:rPr>
        <w:t>) for Australian regulatory purposes.</w:t>
      </w:r>
    </w:p>
    <w:p w14:paraId="085E5C9C" w14:textId="77777777" w:rsidR="00940A89" w:rsidRDefault="00940A89" w:rsidP="00E459D8">
      <w:r w:rsidRPr="00940A89">
        <w:t xml:space="preserve">At the time the TGA considered this application, a similar application had been approved </w:t>
      </w:r>
      <w:r w:rsidR="0040159B">
        <w:t xml:space="preserve">more than 10 countries globally, including </w:t>
      </w:r>
      <w:r w:rsidR="0076484F">
        <w:t>in the European Union (EU) and United States of America</w:t>
      </w:r>
      <w:r w:rsidR="00F60AA7">
        <w:t xml:space="preserve"> (USA)</w:t>
      </w:r>
      <w:r w:rsidR="0076484F">
        <w:t>, and</w:t>
      </w:r>
      <w:r w:rsidRPr="00940A89">
        <w:t xml:space="preserve"> was under co</w:t>
      </w:r>
      <w:r w:rsidR="0076484F">
        <w:t>nsideration in more than 30 countries, including Singapore and Switzerland</w:t>
      </w:r>
      <w:r w:rsidR="00320E39">
        <w:t xml:space="preserve"> (</w:t>
      </w:r>
      <w:r w:rsidR="00320E39">
        <w:fldChar w:fldCharType="begin"/>
      </w:r>
      <w:r w:rsidR="00320E39">
        <w:instrText xml:space="preserve"> REF _Ref28001661 \h </w:instrText>
      </w:r>
      <w:r w:rsidR="00320E39">
        <w:fldChar w:fldCharType="separate"/>
      </w:r>
      <w:r w:rsidR="00320E39">
        <w:t xml:space="preserve">Table </w:t>
      </w:r>
      <w:r w:rsidR="00320E39">
        <w:rPr>
          <w:noProof/>
        </w:rPr>
        <w:t>1</w:t>
      </w:r>
      <w:r w:rsidR="00320E39">
        <w:fldChar w:fldCharType="end"/>
      </w:r>
      <w:r w:rsidR="00320E39">
        <w:t>)</w:t>
      </w:r>
      <w:r>
        <w:t>.</w:t>
      </w:r>
    </w:p>
    <w:p w14:paraId="271388FE" w14:textId="77777777" w:rsidR="005E2185" w:rsidRPr="00E57609" w:rsidRDefault="005E2185" w:rsidP="00E459D8">
      <w:r w:rsidRPr="00E57609">
        <w:t>The Australian dossier is based predominantly on the European initial market authorisation application submitted on the 24 March 2015 and approved on 24 June 2016 and the subsequent post approval commitment variation approved on 23 February 2017.</w:t>
      </w:r>
    </w:p>
    <w:p w14:paraId="337B3438" w14:textId="77777777" w:rsidR="005E2185" w:rsidRDefault="005E2185" w:rsidP="00E459D8">
      <w:pPr>
        <w:rPr>
          <w:rFonts w:asciiTheme="minorHAnsi" w:hAnsiTheme="minorHAnsi"/>
        </w:rPr>
      </w:pPr>
      <w:r>
        <w:rPr>
          <w:rFonts w:asciiTheme="minorHAnsi" w:hAnsiTheme="minorHAnsi"/>
        </w:rPr>
        <w:t>The therapeutic indications and dosing instruction sought in Australia are same as those ap</w:t>
      </w:r>
      <w:r w:rsidR="00E459D8">
        <w:rPr>
          <w:rFonts w:asciiTheme="minorHAnsi" w:hAnsiTheme="minorHAnsi"/>
        </w:rPr>
        <w:t xml:space="preserve">proved in the </w:t>
      </w:r>
      <w:r w:rsidR="00F66F5D">
        <w:rPr>
          <w:rFonts w:asciiTheme="minorHAnsi" w:hAnsiTheme="minorHAnsi"/>
        </w:rPr>
        <w:t>EU</w:t>
      </w:r>
      <w:r w:rsidR="00E459D8">
        <w:rPr>
          <w:rFonts w:asciiTheme="minorHAnsi" w:hAnsiTheme="minorHAnsi"/>
        </w:rPr>
        <w:t>.</w:t>
      </w:r>
    </w:p>
    <w:p w14:paraId="188F07D0" w14:textId="77777777" w:rsidR="005E2185" w:rsidRDefault="0076484F" w:rsidP="0076484F">
      <w:pPr>
        <w:pStyle w:val="TableTitle"/>
      </w:pPr>
      <w:bookmarkStart w:id="21" w:name="_Ref28001661"/>
      <w:r>
        <w:t xml:space="preserve">Table </w:t>
      </w:r>
      <w:fldSimple w:instr=" SEQ Table \* ARABIC ">
        <w:r w:rsidR="00E82538">
          <w:rPr>
            <w:noProof/>
          </w:rPr>
          <w:t>1</w:t>
        </w:r>
      </w:fldSimple>
      <w:bookmarkEnd w:id="21"/>
      <w:r>
        <w:t xml:space="preserve">: </w:t>
      </w:r>
      <w:r w:rsidR="00E459D8">
        <w:t>International regulatory status as of 14 January 2019</w:t>
      </w:r>
      <w:r w:rsidR="00F66F5D">
        <w:t xml:space="preserve"> (European Union and United States of America</w:t>
      </w:r>
      <w:r w:rsidR="0040159B">
        <w:t xml:space="preserve"> only)</w:t>
      </w:r>
    </w:p>
    <w:tbl>
      <w:tblPr>
        <w:tblStyle w:val="TableTGAblue"/>
        <w:tblW w:w="0" w:type="auto"/>
        <w:tblLook w:val="04A0" w:firstRow="1" w:lastRow="0" w:firstColumn="1" w:lastColumn="0" w:noHBand="0" w:noVBand="1"/>
      </w:tblPr>
      <w:tblGrid>
        <w:gridCol w:w="1267"/>
        <w:gridCol w:w="1313"/>
        <w:gridCol w:w="1423"/>
        <w:gridCol w:w="4717"/>
      </w:tblGrid>
      <w:tr w:rsidR="0076484F" w:rsidRPr="0076484F" w14:paraId="554F1F86" w14:textId="77777777" w:rsidTr="0076484F">
        <w:trPr>
          <w:cnfStyle w:val="100000000000" w:firstRow="1" w:lastRow="0" w:firstColumn="0" w:lastColumn="0" w:oddVBand="0" w:evenVBand="0" w:oddHBand="0" w:evenHBand="0" w:firstRowFirstColumn="0" w:firstRowLastColumn="0" w:lastRowFirstColumn="0" w:lastRowLastColumn="0"/>
        </w:trPr>
        <w:tc>
          <w:tcPr>
            <w:tcW w:w="1267" w:type="dxa"/>
          </w:tcPr>
          <w:p w14:paraId="422B6445" w14:textId="77777777" w:rsidR="00E459D8" w:rsidRPr="0076484F" w:rsidRDefault="00E459D8" w:rsidP="0076484F">
            <w:pPr>
              <w:ind w:left="0" w:right="0"/>
              <w:rPr>
                <w:sz w:val="20"/>
                <w:szCs w:val="20"/>
              </w:rPr>
            </w:pPr>
            <w:r w:rsidRPr="0076484F">
              <w:rPr>
                <w:sz w:val="20"/>
                <w:szCs w:val="20"/>
              </w:rPr>
              <w:t>Region</w:t>
            </w:r>
          </w:p>
        </w:tc>
        <w:tc>
          <w:tcPr>
            <w:tcW w:w="1313" w:type="dxa"/>
          </w:tcPr>
          <w:p w14:paraId="15B27D44" w14:textId="77777777" w:rsidR="00E459D8" w:rsidRPr="0076484F" w:rsidRDefault="00E459D8" w:rsidP="0076484F">
            <w:pPr>
              <w:ind w:left="0" w:right="0"/>
              <w:rPr>
                <w:sz w:val="20"/>
                <w:szCs w:val="20"/>
              </w:rPr>
            </w:pPr>
            <w:r w:rsidRPr="0076484F">
              <w:rPr>
                <w:sz w:val="20"/>
                <w:szCs w:val="20"/>
              </w:rPr>
              <w:t>Submission date</w:t>
            </w:r>
          </w:p>
        </w:tc>
        <w:tc>
          <w:tcPr>
            <w:tcW w:w="1422" w:type="dxa"/>
          </w:tcPr>
          <w:p w14:paraId="7B7C5724" w14:textId="77777777" w:rsidR="00E459D8" w:rsidRPr="0076484F" w:rsidRDefault="00E459D8" w:rsidP="0076484F">
            <w:pPr>
              <w:ind w:left="0" w:right="0"/>
              <w:rPr>
                <w:sz w:val="20"/>
                <w:szCs w:val="20"/>
              </w:rPr>
            </w:pPr>
            <w:r w:rsidRPr="0076484F">
              <w:rPr>
                <w:sz w:val="20"/>
                <w:szCs w:val="20"/>
              </w:rPr>
              <w:t>Status</w:t>
            </w:r>
          </w:p>
        </w:tc>
        <w:tc>
          <w:tcPr>
            <w:tcW w:w="4718" w:type="dxa"/>
          </w:tcPr>
          <w:p w14:paraId="6C27FE2E" w14:textId="77777777" w:rsidR="00E459D8" w:rsidRPr="0076484F" w:rsidRDefault="00E459D8" w:rsidP="0076484F">
            <w:pPr>
              <w:ind w:left="0" w:right="0"/>
              <w:rPr>
                <w:sz w:val="20"/>
                <w:szCs w:val="20"/>
              </w:rPr>
            </w:pPr>
            <w:r w:rsidRPr="0076484F">
              <w:rPr>
                <w:sz w:val="20"/>
                <w:szCs w:val="20"/>
              </w:rPr>
              <w:t>Indications</w:t>
            </w:r>
          </w:p>
        </w:tc>
      </w:tr>
      <w:tr w:rsidR="0076484F" w:rsidRPr="0076484F" w14:paraId="56C283EA" w14:textId="77777777" w:rsidTr="0076484F">
        <w:tc>
          <w:tcPr>
            <w:tcW w:w="1267" w:type="dxa"/>
            <w:vMerge w:val="restart"/>
          </w:tcPr>
          <w:p w14:paraId="57793869" w14:textId="77777777" w:rsidR="0040159B" w:rsidRPr="0076484F" w:rsidRDefault="0040159B" w:rsidP="0076484F">
            <w:pPr>
              <w:ind w:left="0" w:right="0"/>
              <w:rPr>
                <w:sz w:val="20"/>
                <w:szCs w:val="20"/>
              </w:rPr>
            </w:pPr>
            <w:r w:rsidRPr="0076484F">
              <w:rPr>
                <w:sz w:val="20"/>
                <w:szCs w:val="20"/>
              </w:rPr>
              <w:t>EU (Centralised Procedure)</w:t>
            </w:r>
          </w:p>
        </w:tc>
        <w:tc>
          <w:tcPr>
            <w:tcW w:w="1313" w:type="dxa"/>
          </w:tcPr>
          <w:p w14:paraId="60760117" w14:textId="77777777" w:rsidR="0040159B" w:rsidRPr="0076484F" w:rsidRDefault="0040159B" w:rsidP="0076484F">
            <w:pPr>
              <w:ind w:left="0" w:right="0"/>
              <w:rPr>
                <w:sz w:val="20"/>
                <w:szCs w:val="20"/>
              </w:rPr>
            </w:pPr>
            <w:r w:rsidRPr="0076484F">
              <w:rPr>
                <w:sz w:val="20"/>
                <w:szCs w:val="20"/>
              </w:rPr>
              <w:t>24 March 2015</w:t>
            </w:r>
          </w:p>
        </w:tc>
        <w:tc>
          <w:tcPr>
            <w:tcW w:w="1422" w:type="dxa"/>
          </w:tcPr>
          <w:p w14:paraId="2A14AD3E" w14:textId="77777777" w:rsidR="0040159B" w:rsidRPr="0076484F" w:rsidRDefault="0040159B" w:rsidP="0076484F">
            <w:pPr>
              <w:ind w:left="0" w:right="0"/>
              <w:rPr>
                <w:sz w:val="20"/>
                <w:szCs w:val="20"/>
              </w:rPr>
            </w:pPr>
            <w:r w:rsidRPr="0076484F">
              <w:rPr>
                <w:sz w:val="20"/>
                <w:szCs w:val="20"/>
              </w:rPr>
              <w:t>Approved on 24 June 2016, Norway: 24 June 2016; Iceland: 12 July 2016, Liechtenstein: 30 June 2016</w:t>
            </w:r>
          </w:p>
        </w:tc>
        <w:tc>
          <w:tcPr>
            <w:tcW w:w="4718" w:type="dxa"/>
          </w:tcPr>
          <w:p w14:paraId="7646EDD9" w14:textId="77777777" w:rsidR="0040159B" w:rsidRPr="0076484F" w:rsidRDefault="0040159B" w:rsidP="0076484F">
            <w:pPr>
              <w:ind w:left="0" w:right="0"/>
              <w:rPr>
                <w:i/>
                <w:sz w:val="20"/>
                <w:szCs w:val="20"/>
              </w:rPr>
            </w:pPr>
            <w:r w:rsidRPr="0076484F">
              <w:rPr>
                <w:i/>
                <w:sz w:val="20"/>
                <w:szCs w:val="20"/>
              </w:rPr>
              <w:t>In adults for the treatment of:</w:t>
            </w:r>
          </w:p>
          <w:p w14:paraId="1A1FA53B" w14:textId="77777777" w:rsidR="0040159B" w:rsidRPr="0049528A" w:rsidRDefault="0040159B" w:rsidP="0049528A">
            <w:pPr>
              <w:pStyle w:val="ListBullet"/>
              <w:rPr>
                <w:i/>
                <w:sz w:val="20"/>
                <w:szCs w:val="20"/>
              </w:rPr>
            </w:pPr>
            <w:r w:rsidRPr="0049528A">
              <w:rPr>
                <w:i/>
                <w:sz w:val="20"/>
                <w:szCs w:val="20"/>
              </w:rPr>
              <w:t>cIAI*^</w:t>
            </w:r>
          </w:p>
          <w:p w14:paraId="4B12849A" w14:textId="77777777" w:rsidR="0040159B" w:rsidRPr="0049528A" w:rsidRDefault="0040159B" w:rsidP="0049528A">
            <w:pPr>
              <w:pStyle w:val="ListBullet"/>
              <w:rPr>
                <w:i/>
                <w:sz w:val="20"/>
                <w:szCs w:val="20"/>
              </w:rPr>
            </w:pPr>
            <w:r w:rsidRPr="0049528A">
              <w:rPr>
                <w:i/>
                <w:sz w:val="20"/>
                <w:szCs w:val="20"/>
              </w:rPr>
              <w:t>cUTI including pyelonephritis^</w:t>
            </w:r>
          </w:p>
          <w:p w14:paraId="2075DC51" w14:textId="77777777" w:rsidR="0040159B" w:rsidRPr="0049528A" w:rsidRDefault="0040159B" w:rsidP="0049528A">
            <w:pPr>
              <w:pStyle w:val="ListBullet"/>
              <w:rPr>
                <w:i/>
                <w:sz w:val="20"/>
                <w:szCs w:val="20"/>
              </w:rPr>
            </w:pPr>
            <w:r w:rsidRPr="0049528A">
              <w:rPr>
                <w:i/>
                <w:sz w:val="20"/>
                <w:szCs w:val="20"/>
              </w:rPr>
              <w:t>HAP including VAP^</w:t>
            </w:r>
          </w:p>
          <w:p w14:paraId="6491D721" w14:textId="77777777" w:rsidR="0040159B" w:rsidRPr="0049528A" w:rsidRDefault="0040159B" w:rsidP="0049528A">
            <w:pPr>
              <w:pStyle w:val="ListBullet"/>
              <w:rPr>
                <w:i/>
                <w:sz w:val="20"/>
                <w:szCs w:val="20"/>
              </w:rPr>
            </w:pPr>
            <w:r w:rsidRPr="0049528A">
              <w:rPr>
                <w:i/>
                <w:sz w:val="20"/>
                <w:szCs w:val="20"/>
              </w:rPr>
              <w:t>infections due to aerobic Gram-negative organisms in patients with limited treatment options *^ with cross reference to the following statements under Dosage and Administration section</w:t>
            </w:r>
          </w:p>
          <w:p w14:paraId="49F706AC" w14:textId="77777777" w:rsidR="0040159B" w:rsidRPr="0076484F" w:rsidRDefault="0040159B" w:rsidP="0076484F">
            <w:pPr>
              <w:ind w:left="0" w:right="0"/>
              <w:rPr>
                <w:i/>
                <w:sz w:val="20"/>
                <w:szCs w:val="20"/>
              </w:rPr>
            </w:pPr>
            <w:r w:rsidRPr="0076484F">
              <w:rPr>
                <w:i/>
                <w:sz w:val="20"/>
                <w:szCs w:val="20"/>
              </w:rPr>
              <w:t>*To be used in combination with metronidazole when anaerobic pathogens are known or suspected to be contributing to the infectious process.</w:t>
            </w:r>
          </w:p>
          <w:p w14:paraId="24C7CDBA" w14:textId="77777777" w:rsidR="0040159B" w:rsidRPr="0076484F" w:rsidRDefault="0040159B" w:rsidP="0076484F">
            <w:pPr>
              <w:ind w:left="0" w:right="0"/>
              <w:rPr>
                <w:i/>
                <w:sz w:val="20"/>
                <w:szCs w:val="20"/>
              </w:rPr>
            </w:pPr>
            <w:r w:rsidRPr="0076484F">
              <w:rPr>
                <w:i/>
                <w:sz w:val="20"/>
                <w:szCs w:val="20"/>
              </w:rPr>
              <w:t>^To be used in combination with an antibacterial agent active against Gram-positive pathogens when these are known or suspected to be contributing to the infectious process.</w:t>
            </w:r>
          </w:p>
          <w:p w14:paraId="202C18DC" w14:textId="77777777" w:rsidR="0040159B" w:rsidRPr="0076484F" w:rsidRDefault="0040159B" w:rsidP="0076484F">
            <w:pPr>
              <w:ind w:left="0" w:right="0"/>
              <w:rPr>
                <w:i/>
                <w:sz w:val="20"/>
                <w:szCs w:val="20"/>
              </w:rPr>
            </w:pPr>
            <w:r w:rsidRPr="0076484F">
              <w:rPr>
                <w:i/>
                <w:sz w:val="20"/>
                <w:szCs w:val="20"/>
              </w:rPr>
              <w:t>Consideration should be given to official guidance on the appropriate use of antibacterial agents.</w:t>
            </w:r>
          </w:p>
        </w:tc>
      </w:tr>
      <w:tr w:rsidR="0076484F" w:rsidRPr="0076484F" w14:paraId="1148B9B9" w14:textId="77777777" w:rsidTr="0076484F">
        <w:tc>
          <w:tcPr>
            <w:tcW w:w="1267" w:type="dxa"/>
            <w:vMerge/>
          </w:tcPr>
          <w:p w14:paraId="7F4B9998" w14:textId="77777777" w:rsidR="0040159B" w:rsidRPr="0076484F" w:rsidRDefault="0040159B" w:rsidP="0076484F">
            <w:pPr>
              <w:ind w:left="0" w:right="0"/>
              <w:rPr>
                <w:sz w:val="20"/>
                <w:szCs w:val="20"/>
              </w:rPr>
            </w:pPr>
          </w:p>
        </w:tc>
        <w:tc>
          <w:tcPr>
            <w:tcW w:w="1313" w:type="dxa"/>
          </w:tcPr>
          <w:p w14:paraId="12506A83" w14:textId="77777777" w:rsidR="0040159B" w:rsidRPr="0076484F" w:rsidRDefault="0040159B" w:rsidP="0076484F">
            <w:pPr>
              <w:ind w:left="0" w:right="0"/>
              <w:rPr>
                <w:sz w:val="20"/>
                <w:szCs w:val="20"/>
              </w:rPr>
            </w:pPr>
            <w:r w:rsidRPr="0076484F">
              <w:rPr>
                <w:sz w:val="20"/>
                <w:szCs w:val="20"/>
              </w:rPr>
              <w:t>2 December 2016</w:t>
            </w:r>
          </w:p>
        </w:tc>
        <w:tc>
          <w:tcPr>
            <w:tcW w:w="1422" w:type="dxa"/>
          </w:tcPr>
          <w:p w14:paraId="3212D4AB" w14:textId="77777777" w:rsidR="0040159B" w:rsidRPr="0076484F" w:rsidRDefault="0040159B" w:rsidP="0076484F">
            <w:pPr>
              <w:ind w:left="0" w:right="0"/>
              <w:rPr>
                <w:sz w:val="20"/>
                <w:szCs w:val="20"/>
              </w:rPr>
            </w:pPr>
            <w:r w:rsidRPr="0076484F">
              <w:rPr>
                <w:sz w:val="20"/>
                <w:szCs w:val="20"/>
              </w:rPr>
              <w:t>23 Feb</w:t>
            </w:r>
            <w:r w:rsidR="00F66F5D">
              <w:rPr>
                <w:sz w:val="20"/>
                <w:szCs w:val="20"/>
              </w:rPr>
              <w:t>ruary</w:t>
            </w:r>
            <w:r w:rsidRPr="0076484F">
              <w:rPr>
                <w:sz w:val="20"/>
                <w:szCs w:val="20"/>
              </w:rPr>
              <w:t xml:space="preserve"> 2017</w:t>
            </w:r>
          </w:p>
        </w:tc>
        <w:tc>
          <w:tcPr>
            <w:tcW w:w="4718" w:type="dxa"/>
          </w:tcPr>
          <w:p w14:paraId="17757CFD" w14:textId="677EF6DA" w:rsidR="0040159B" w:rsidRPr="00320E39" w:rsidRDefault="0040159B" w:rsidP="0076484F">
            <w:pPr>
              <w:ind w:left="0" w:right="0"/>
              <w:rPr>
                <w:sz w:val="20"/>
                <w:szCs w:val="20"/>
              </w:rPr>
            </w:pPr>
            <w:r w:rsidRPr="00320E39">
              <w:rPr>
                <w:sz w:val="20"/>
                <w:szCs w:val="20"/>
              </w:rPr>
              <w:t>Completed R</w:t>
            </w:r>
            <w:r w:rsidR="00C761C3">
              <w:rPr>
                <w:sz w:val="20"/>
                <w:szCs w:val="20"/>
              </w:rPr>
              <w:t>EPROVE</w:t>
            </w:r>
            <w:r w:rsidRPr="00320E39">
              <w:rPr>
                <w:sz w:val="20"/>
                <w:szCs w:val="20"/>
              </w:rPr>
              <w:t xml:space="preserve"> </w:t>
            </w:r>
            <w:r w:rsidR="00C761C3">
              <w:rPr>
                <w:sz w:val="20"/>
                <w:szCs w:val="20"/>
              </w:rPr>
              <w:t>trial</w:t>
            </w:r>
            <w:r w:rsidRPr="00320E39">
              <w:rPr>
                <w:sz w:val="20"/>
                <w:szCs w:val="20"/>
              </w:rPr>
              <w:t xml:space="preserve"> (supportive study) for HAP</w:t>
            </w:r>
          </w:p>
        </w:tc>
      </w:tr>
      <w:tr w:rsidR="0076484F" w:rsidRPr="0076484F" w14:paraId="2ABCACFA" w14:textId="77777777" w:rsidTr="001A3D34">
        <w:trPr>
          <w:cantSplit/>
        </w:trPr>
        <w:tc>
          <w:tcPr>
            <w:tcW w:w="1267" w:type="dxa"/>
          </w:tcPr>
          <w:p w14:paraId="2E09B072" w14:textId="77777777" w:rsidR="00E459D8" w:rsidRPr="0076484F" w:rsidRDefault="00F66F5D" w:rsidP="0076484F">
            <w:pPr>
              <w:ind w:left="0" w:right="0"/>
              <w:rPr>
                <w:sz w:val="20"/>
                <w:szCs w:val="20"/>
              </w:rPr>
            </w:pPr>
            <w:r>
              <w:rPr>
                <w:sz w:val="20"/>
                <w:szCs w:val="20"/>
              </w:rPr>
              <w:lastRenderedPageBreak/>
              <w:t>USA</w:t>
            </w:r>
          </w:p>
        </w:tc>
        <w:tc>
          <w:tcPr>
            <w:tcW w:w="1313" w:type="dxa"/>
          </w:tcPr>
          <w:p w14:paraId="44C2CEC5" w14:textId="77777777" w:rsidR="00E459D8" w:rsidRPr="0076484F" w:rsidRDefault="0076484F" w:rsidP="0076484F">
            <w:pPr>
              <w:ind w:left="0" w:right="0"/>
              <w:rPr>
                <w:sz w:val="20"/>
                <w:szCs w:val="20"/>
              </w:rPr>
            </w:pPr>
            <w:r>
              <w:rPr>
                <w:sz w:val="20"/>
                <w:szCs w:val="20"/>
              </w:rPr>
              <w:t xml:space="preserve">25 June 2014 under the trade name, Avycaz by Forest Laboratories LLC, an </w:t>
            </w:r>
            <w:r w:rsidR="0040159B" w:rsidRPr="0076484F">
              <w:rPr>
                <w:sz w:val="20"/>
                <w:szCs w:val="20"/>
              </w:rPr>
              <w:t>affiliate of Allergan</w:t>
            </w:r>
          </w:p>
        </w:tc>
        <w:tc>
          <w:tcPr>
            <w:tcW w:w="1422" w:type="dxa"/>
          </w:tcPr>
          <w:p w14:paraId="00832EBE" w14:textId="77777777" w:rsidR="0040159B" w:rsidRPr="0076484F" w:rsidRDefault="0040159B" w:rsidP="0076484F">
            <w:pPr>
              <w:ind w:left="0" w:right="0"/>
              <w:rPr>
                <w:sz w:val="20"/>
                <w:szCs w:val="20"/>
              </w:rPr>
            </w:pPr>
            <w:r w:rsidRPr="0076484F">
              <w:rPr>
                <w:sz w:val="20"/>
                <w:szCs w:val="20"/>
              </w:rPr>
              <w:t>Initial: 25 February 2015.</w:t>
            </w:r>
          </w:p>
          <w:p w14:paraId="43A4D3F7" w14:textId="77777777" w:rsidR="00E459D8" w:rsidRPr="0076484F" w:rsidRDefault="0040159B" w:rsidP="0076484F">
            <w:pPr>
              <w:ind w:left="0" w:right="0"/>
              <w:rPr>
                <w:sz w:val="20"/>
                <w:szCs w:val="20"/>
              </w:rPr>
            </w:pPr>
            <w:r w:rsidRPr="0076484F">
              <w:rPr>
                <w:sz w:val="20"/>
                <w:szCs w:val="20"/>
              </w:rPr>
              <w:t>Indi</w:t>
            </w:r>
            <w:r w:rsidR="0076484F">
              <w:rPr>
                <w:sz w:val="20"/>
                <w:szCs w:val="20"/>
              </w:rPr>
              <w:t xml:space="preserve">cation extensions: 22 June 2016 (cIAI limitations removal); 26 January 2017 (cUTI limitations </w:t>
            </w:r>
            <w:r w:rsidRPr="0076484F">
              <w:rPr>
                <w:sz w:val="20"/>
                <w:szCs w:val="20"/>
              </w:rPr>
              <w:t>removal</w:t>
            </w:r>
          </w:p>
        </w:tc>
        <w:tc>
          <w:tcPr>
            <w:tcW w:w="4718" w:type="dxa"/>
          </w:tcPr>
          <w:p w14:paraId="25647344" w14:textId="77777777" w:rsidR="0040159B" w:rsidRPr="0076484F" w:rsidRDefault="0076484F" w:rsidP="0076484F">
            <w:pPr>
              <w:ind w:left="0" w:right="0"/>
              <w:rPr>
                <w:i/>
                <w:sz w:val="20"/>
                <w:szCs w:val="20"/>
              </w:rPr>
            </w:pPr>
            <w:r w:rsidRPr="0076484F">
              <w:rPr>
                <w:i/>
                <w:sz w:val="20"/>
                <w:szCs w:val="20"/>
              </w:rPr>
              <w:t>Avycaz</w:t>
            </w:r>
            <w:r w:rsidR="0040159B" w:rsidRPr="0076484F">
              <w:rPr>
                <w:i/>
                <w:sz w:val="20"/>
                <w:szCs w:val="20"/>
              </w:rPr>
              <w:t xml:space="preserve"> (ceftazidime</w:t>
            </w:r>
            <w:r w:rsidRPr="0076484F">
              <w:rPr>
                <w:i/>
                <w:sz w:val="20"/>
                <w:szCs w:val="20"/>
              </w:rPr>
              <w:t xml:space="preserve"> and avibactam) in </w:t>
            </w:r>
            <w:r w:rsidR="0040159B" w:rsidRPr="0076484F">
              <w:rPr>
                <w:i/>
                <w:sz w:val="20"/>
                <w:szCs w:val="20"/>
              </w:rPr>
              <w:t>combination with metr</w:t>
            </w:r>
            <w:r w:rsidRPr="0076484F">
              <w:rPr>
                <w:i/>
                <w:sz w:val="20"/>
                <w:szCs w:val="20"/>
              </w:rPr>
              <w:t xml:space="preserve">onidazole, is indicated for the </w:t>
            </w:r>
            <w:r w:rsidR="0040159B" w:rsidRPr="0076484F">
              <w:rPr>
                <w:i/>
                <w:sz w:val="20"/>
                <w:szCs w:val="20"/>
              </w:rPr>
              <w:t>treatment of complic</w:t>
            </w:r>
            <w:r w:rsidRPr="0076484F">
              <w:rPr>
                <w:i/>
                <w:sz w:val="20"/>
                <w:szCs w:val="20"/>
              </w:rPr>
              <w:t xml:space="preserve">ated intra-abdominal infections </w:t>
            </w:r>
            <w:r w:rsidR="0040159B" w:rsidRPr="0076484F">
              <w:rPr>
                <w:i/>
                <w:sz w:val="20"/>
                <w:szCs w:val="20"/>
              </w:rPr>
              <w:t>(cIAI) caused by the fol</w:t>
            </w:r>
            <w:r w:rsidRPr="0076484F">
              <w:rPr>
                <w:i/>
                <w:sz w:val="20"/>
                <w:szCs w:val="20"/>
              </w:rPr>
              <w:t>lowing susceptible Gram</w:t>
            </w:r>
            <w:r w:rsidR="00C761C3">
              <w:rPr>
                <w:i/>
                <w:sz w:val="20"/>
                <w:szCs w:val="20"/>
              </w:rPr>
              <w:t xml:space="preserve"> </w:t>
            </w:r>
            <w:r w:rsidRPr="0076484F">
              <w:rPr>
                <w:i/>
                <w:sz w:val="20"/>
                <w:szCs w:val="20"/>
              </w:rPr>
              <w:t xml:space="preserve">negative </w:t>
            </w:r>
            <w:r w:rsidR="0040159B" w:rsidRPr="0076484F">
              <w:rPr>
                <w:i/>
                <w:sz w:val="20"/>
                <w:szCs w:val="20"/>
              </w:rPr>
              <w:t>microorganism</w:t>
            </w:r>
            <w:r w:rsidRPr="0076484F">
              <w:rPr>
                <w:i/>
                <w:sz w:val="20"/>
                <w:szCs w:val="20"/>
              </w:rPr>
              <w:t xml:space="preserve">s: Escherichia coli, Klebsiella </w:t>
            </w:r>
            <w:r w:rsidR="0040159B" w:rsidRPr="0076484F">
              <w:rPr>
                <w:i/>
                <w:sz w:val="20"/>
                <w:szCs w:val="20"/>
              </w:rPr>
              <w:t xml:space="preserve">pneumoniae, Proteus mirabilis, </w:t>
            </w:r>
            <w:r w:rsidRPr="0076484F">
              <w:rPr>
                <w:i/>
                <w:sz w:val="20"/>
                <w:szCs w:val="20"/>
              </w:rPr>
              <w:t xml:space="preserve">Enterobacter cloacae, </w:t>
            </w:r>
            <w:r w:rsidR="0040159B" w:rsidRPr="0076484F">
              <w:rPr>
                <w:i/>
                <w:sz w:val="20"/>
                <w:szCs w:val="20"/>
              </w:rPr>
              <w:t>Klebsiella oxytoca, Citrobacter freundii complex, and Pseudomonas aeruginosa in patients 18 years or older.</w:t>
            </w:r>
          </w:p>
          <w:p w14:paraId="19A6B00D" w14:textId="77777777" w:rsidR="00E459D8" w:rsidRPr="0076484F" w:rsidRDefault="0076484F" w:rsidP="0076484F">
            <w:pPr>
              <w:ind w:left="0" w:right="0"/>
              <w:rPr>
                <w:i/>
                <w:sz w:val="20"/>
                <w:szCs w:val="20"/>
              </w:rPr>
            </w:pPr>
            <w:r w:rsidRPr="0076484F">
              <w:rPr>
                <w:i/>
                <w:sz w:val="20"/>
                <w:szCs w:val="20"/>
              </w:rPr>
              <w:t>Avycaz</w:t>
            </w:r>
            <w:r w:rsidR="0040159B" w:rsidRPr="0076484F">
              <w:rPr>
                <w:i/>
                <w:sz w:val="20"/>
                <w:szCs w:val="20"/>
              </w:rPr>
              <w:t xml:space="preserve"> (ceftazid</w:t>
            </w:r>
            <w:r w:rsidRPr="0076484F">
              <w:rPr>
                <w:i/>
                <w:sz w:val="20"/>
                <w:szCs w:val="20"/>
              </w:rPr>
              <w:t xml:space="preserve">ime and avibactam) is indicated </w:t>
            </w:r>
            <w:r w:rsidR="0040159B" w:rsidRPr="0076484F">
              <w:rPr>
                <w:i/>
                <w:sz w:val="20"/>
                <w:szCs w:val="20"/>
              </w:rPr>
              <w:t>for the treatme</w:t>
            </w:r>
            <w:r w:rsidRPr="0076484F">
              <w:rPr>
                <w:i/>
                <w:sz w:val="20"/>
                <w:szCs w:val="20"/>
              </w:rPr>
              <w:t xml:space="preserve">nt of complicated urinary tract </w:t>
            </w:r>
            <w:r w:rsidR="0040159B" w:rsidRPr="0076484F">
              <w:rPr>
                <w:i/>
                <w:sz w:val="20"/>
                <w:szCs w:val="20"/>
              </w:rPr>
              <w:t>infections (cUTI) inc</w:t>
            </w:r>
            <w:r w:rsidRPr="0076484F">
              <w:rPr>
                <w:i/>
                <w:sz w:val="20"/>
                <w:szCs w:val="20"/>
              </w:rPr>
              <w:t xml:space="preserve">luding pyelonephritis caused by </w:t>
            </w:r>
            <w:r w:rsidR="0040159B" w:rsidRPr="0076484F">
              <w:rPr>
                <w:i/>
                <w:sz w:val="20"/>
                <w:szCs w:val="20"/>
              </w:rPr>
              <w:t>the following susceptible Gram-n</w:t>
            </w:r>
            <w:r w:rsidRPr="0076484F">
              <w:rPr>
                <w:i/>
                <w:sz w:val="20"/>
                <w:szCs w:val="20"/>
              </w:rPr>
              <w:t xml:space="preserve">egative </w:t>
            </w:r>
            <w:r w:rsidR="0040159B" w:rsidRPr="0076484F">
              <w:rPr>
                <w:i/>
                <w:sz w:val="20"/>
                <w:szCs w:val="20"/>
              </w:rPr>
              <w:t>microorganism</w:t>
            </w:r>
            <w:r w:rsidRPr="0076484F">
              <w:rPr>
                <w:i/>
                <w:sz w:val="20"/>
                <w:szCs w:val="20"/>
              </w:rPr>
              <w:t xml:space="preserve">s: Escherichia coli, Klebsiella </w:t>
            </w:r>
            <w:r w:rsidR="0040159B" w:rsidRPr="0076484F">
              <w:rPr>
                <w:i/>
                <w:sz w:val="20"/>
                <w:szCs w:val="20"/>
              </w:rPr>
              <w:t>pneumoniae, Enterobacter cloacae, Citrobacter</w:t>
            </w:r>
            <w:r w:rsidRPr="0076484F">
              <w:rPr>
                <w:i/>
                <w:sz w:val="20"/>
                <w:szCs w:val="20"/>
              </w:rPr>
              <w:t xml:space="preserve"> </w:t>
            </w:r>
            <w:r w:rsidR="0040159B" w:rsidRPr="0076484F">
              <w:rPr>
                <w:i/>
                <w:sz w:val="20"/>
                <w:szCs w:val="20"/>
              </w:rPr>
              <w:t xml:space="preserve">freundii complex, Proteus mirabilis, and </w:t>
            </w:r>
            <w:r w:rsidRPr="0076484F">
              <w:rPr>
                <w:i/>
                <w:sz w:val="20"/>
                <w:szCs w:val="20"/>
              </w:rPr>
              <w:t xml:space="preserve">Pseudomonas </w:t>
            </w:r>
            <w:r w:rsidR="0040159B" w:rsidRPr="0076484F">
              <w:rPr>
                <w:i/>
                <w:sz w:val="20"/>
                <w:szCs w:val="20"/>
              </w:rPr>
              <w:t>aeruginosa in patients 18 years or older.</w:t>
            </w:r>
          </w:p>
        </w:tc>
      </w:tr>
      <w:tr w:rsidR="0076484F" w:rsidRPr="0076484F" w14:paraId="676A5254" w14:textId="77777777" w:rsidTr="0076484F">
        <w:tc>
          <w:tcPr>
            <w:tcW w:w="1267" w:type="dxa"/>
          </w:tcPr>
          <w:p w14:paraId="2344CCE3" w14:textId="77777777" w:rsidR="00E459D8" w:rsidRPr="0076484F" w:rsidRDefault="00E459D8" w:rsidP="0076484F">
            <w:pPr>
              <w:ind w:left="0" w:right="0"/>
              <w:rPr>
                <w:sz w:val="20"/>
                <w:szCs w:val="20"/>
              </w:rPr>
            </w:pPr>
          </w:p>
        </w:tc>
        <w:tc>
          <w:tcPr>
            <w:tcW w:w="1313" w:type="dxa"/>
          </w:tcPr>
          <w:p w14:paraId="2174E0AE" w14:textId="77777777" w:rsidR="00E459D8" w:rsidRPr="0076484F" w:rsidRDefault="0076484F" w:rsidP="0076484F">
            <w:pPr>
              <w:ind w:left="0" w:right="0"/>
              <w:rPr>
                <w:sz w:val="20"/>
                <w:szCs w:val="20"/>
              </w:rPr>
            </w:pPr>
            <w:r>
              <w:rPr>
                <w:sz w:val="20"/>
                <w:szCs w:val="20"/>
              </w:rPr>
              <w:t xml:space="preserve">2 August </w:t>
            </w:r>
            <w:r w:rsidR="0040159B" w:rsidRPr="0076484F">
              <w:rPr>
                <w:sz w:val="20"/>
                <w:szCs w:val="20"/>
              </w:rPr>
              <w:t>2017</w:t>
            </w:r>
          </w:p>
        </w:tc>
        <w:tc>
          <w:tcPr>
            <w:tcW w:w="1422" w:type="dxa"/>
          </w:tcPr>
          <w:p w14:paraId="1BDC403D" w14:textId="77777777" w:rsidR="00E459D8" w:rsidRPr="0076484F" w:rsidRDefault="0076484F" w:rsidP="0076484F">
            <w:pPr>
              <w:ind w:left="0" w:right="0"/>
              <w:rPr>
                <w:sz w:val="20"/>
                <w:szCs w:val="20"/>
              </w:rPr>
            </w:pPr>
            <w:r>
              <w:rPr>
                <w:sz w:val="20"/>
                <w:szCs w:val="20"/>
              </w:rPr>
              <w:t xml:space="preserve">Approved 1 February </w:t>
            </w:r>
            <w:r w:rsidR="0040159B" w:rsidRPr="0076484F">
              <w:rPr>
                <w:sz w:val="20"/>
                <w:szCs w:val="20"/>
              </w:rPr>
              <w:t>2018</w:t>
            </w:r>
          </w:p>
        </w:tc>
        <w:tc>
          <w:tcPr>
            <w:tcW w:w="4718" w:type="dxa"/>
          </w:tcPr>
          <w:p w14:paraId="6B993382" w14:textId="77777777" w:rsidR="0076484F" w:rsidRPr="00320E39" w:rsidRDefault="0040159B" w:rsidP="0076484F">
            <w:pPr>
              <w:ind w:left="0" w:right="0"/>
              <w:rPr>
                <w:sz w:val="20"/>
                <w:szCs w:val="20"/>
              </w:rPr>
            </w:pPr>
            <w:r w:rsidRPr="00320E39">
              <w:rPr>
                <w:sz w:val="20"/>
                <w:szCs w:val="20"/>
              </w:rPr>
              <w:t>Extension of the i</w:t>
            </w:r>
            <w:r w:rsidR="0076484F" w:rsidRPr="00320E39">
              <w:rPr>
                <w:sz w:val="20"/>
                <w:szCs w:val="20"/>
              </w:rPr>
              <w:t xml:space="preserve">ndication to treatment of adult </w:t>
            </w:r>
            <w:r w:rsidRPr="00320E39">
              <w:rPr>
                <w:sz w:val="20"/>
                <w:szCs w:val="20"/>
              </w:rPr>
              <w:t>pa</w:t>
            </w:r>
            <w:r w:rsidR="0076484F" w:rsidRPr="00320E39">
              <w:rPr>
                <w:sz w:val="20"/>
                <w:szCs w:val="20"/>
              </w:rPr>
              <w:t>tients with HABP including VABP.</w:t>
            </w:r>
          </w:p>
          <w:p w14:paraId="6F59E9C6" w14:textId="77777777" w:rsidR="00E459D8" w:rsidRPr="0076484F" w:rsidRDefault="0076484F" w:rsidP="0076484F">
            <w:pPr>
              <w:ind w:left="0" w:right="0"/>
              <w:rPr>
                <w:i/>
                <w:sz w:val="20"/>
                <w:szCs w:val="20"/>
              </w:rPr>
            </w:pPr>
            <w:r w:rsidRPr="0076484F">
              <w:rPr>
                <w:i/>
                <w:sz w:val="20"/>
                <w:szCs w:val="20"/>
              </w:rPr>
              <w:t>Avycaz</w:t>
            </w:r>
            <w:r w:rsidR="0040159B" w:rsidRPr="0076484F">
              <w:rPr>
                <w:i/>
                <w:sz w:val="20"/>
                <w:szCs w:val="20"/>
              </w:rPr>
              <w:t xml:space="preserve"> (ceftazid</w:t>
            </w:r>
            <w:r w:rsidRPr="0076484F">
              <w:rPr>
                <w:i/>
                <w:sz w:val="20"/>
                <w:szCs w:val="20"/>
              </w:rPr>
              <w:t xml:space="preserve">ime and avibactam) is indicated </w:t>
            </w:r>
            <w:r w:rsidR="0040159B" w:rsidRPr="0076484F">
              <w:rPr>
                <w:i/>
                <w:sz w:val="20"/>
                <w:szCs w:val="20"/>
              </w:rPr>
              <w:t>for the treatment</w:t>
            </w:r>
            <w:r w:rsidRPr="0076484F">
              <w:rPr>
                <w:i/>
                <w:sz w:val="20"/>
                <w:szCs w:val="20"/>
              </w:rPr>
              <w:t xml:space="preserve"> of hospital-acquired bacterial </w:t>
            </w:r>
            <w:r w:rsidR="0040159B" w:rsidRPr="0076484F">
              <w:rPr>
                <w:i/>
                <w:sz w:val="20"/>
                <w:szCs w:val="20"/>
              </w:rPr>
              <w:t xml:space="preserve">pneumonia and </w:t>
            </w:r>
            <w:r w:rsidRPr="0076484F">
              <w:rPr>
                <w:i/>
                <w:sz w:val="20"/>
                <w:szCs w:val="20"/>
              </w:rPr>
              <w:t xml:space="preserve">ventilator-associated bacterial </w:t>
            </w:r>
            <w:r w:rsidR="0040159B" w:rsidRPr="0076484F">
              <w:rPr>
                <w:i/>
                <w:sz w:val="20"/>
                <w:szCs w:val="20"/>
              </w:rPr>
              <w:t>pneumonia (HAB</w:t>
            </w:r>
            <w:r w:rsidRPr="0076484F">
              <w:rPr>
                <w:i/>
                <w:sz w:val="20"/>
                <w:szCs w:val="20"/>
              </w:rPr>
              <w:t xml:space="preserve">P/VABP) caused by the following </w:t>
            </w:r>
            <w:r w:rsidR="0040159B" w:rsidRPr="0076484F">
              <w:rPr>
                <w:i/>
                <w:sz w:val="20"/>
                <w:szCs w:val="20"/>
              </w:rPr>
              <w:t>susceptible Gram-nega</w:t>
            </w:r>
            <w:r w:rsidRPr="0076484F">
              <w:rPr>
                <w:i/>
                <w:sz w:val="20"/>
                <w:szCs w:val="20"/>
              </w:rPr>
              <w:t xml:space="preserve">tive microorganisms: Klebsiella </w:t>
            </w:r>
            <w:r w:rsidR="0040159B" w:rsidRPr="0076484F">
              <w:rPr>
                <w:i/>
                <w:sz w:val="20"/>
                <w:szCs w:val="20"/>
              </w:rPr>
              <w:t>pneumoniae, Enteroba</w:t>
            </w:r>
            <w:r w:rsidRPr="0076484F">
              <w:rPr>
                <w:i/>
                <w:sz w:val="20"/>
                <w:szCs w:val="20"/>
              </w:rPr>
              <w:t xml:space="preserve">cter cloacae, Escherichia coli, </w:t>
            </w:r>
            <w:r w:rsidR="0040159B" w:rsidRPr="0076484F">
              <w:rPr>
                <w:i/>
                <w:sz w:val="20"/>
                <w:szCs w:val="20"/>
              </w:rPr>
              <w:t>Serratia marcescens,</w:t>
            </w:r>
            <w:r w:rsidRPr="0076484F">
              <w:rPr>
                <w:i/>
                <w:sz w:val="20"/>
                <w:szCs w:val="20"/>
              </w:rPr>
              <w:t xml:space="preserve"> Proteus mirabilis, Pseudomonas </w:t>
            </w:r>
            <w:r w:rsidR="0040159B" w:rsidRPr="0076484F">
              <w:rPr>
                <w:i/>
                <w:sz w:val="20"/>
                <w:szCs w:val="20"/>
              </w:rPr>
              <w:t>aeruginosa, and Hae</w:t>
            </w:r>
            <w:r w:rsidRPr="0076484F">
              <w:rPr>
                <w:i/>
                <w:sz w:val="20"/>
                <w:szCs w:val="20"/>
              </w:rPr>
              <w:t xml:space="preserve">mophilus influenzae in patients </w:t>
            </w:r>
            <w:r w:rsidR="0040159B" w:rsidRPr="0076484F">
              <w:rPr>
                <w:i/>
                <w:sz w:val="20"/>
                <w:szCs w:val="20"/>
              </w:rPr>
              <w:t>18 years or older.</w:t>
            </w:r>
          </w:p>
        </w:tc>
      </w:tr>
      <w:tr w:rsidR="0076484F" w:rsidRPr="0076484F" w14:paraId="5F0BE322" w14:textId="77777777" w:rsidTr="0076484F">
        <w:tc>
          <w:tcPr>
            <w:tcW w:w="1267" w:type="dxa"/>
          </w:tcPr>
          <w:p w14:paraId="74E55507" w14:textId="77777777" w:rsidR="00E459D8" w:rsidRPr="0076484F" w:rsidRDefault="00E459D8" w:rsidP="0076484F">
            <w:pPr>
              <w:ind w:left="0" w:right="0"/>
              <w:rPr>
                <w:sz w:val="20"/>
                <w:szCs w:val="20"/>
              </w:rPr>
            </w:pPr>
          </w:p>
        </w:tc>
        <w:tc>
          <w:tcPr>
            <w:tcW w:w="1313" w:type="dxa"/>
          </w:tcPr>
          <w:p w14:paraId="1CFBD8B1" w14:textId="77777777" w:rsidR="00E459D8" w:rsidRPr="0076484F" w:rsidRDefault="0076484F" w:rsidP="0076484F">
            <w:pPr>
              <w:ind w:left="0" w:right="0"/>
              <w:rPr>
                <w:sz w:val="20"/>
                <w:szCs w:val="20"/>
              </w:rPr>
            </w:pPr>
            <w:r>
              <w:rPr>
                <w:sz w:val="20"/>
                <w:szCs w:val="20"/>
              </w:rPr>
              <w:t xml:space="preserve">14 September </w:t>
            </w:r>
            <w:r w:rsidR="0040159B" w:rsidRPr="0076484F">
              <w:rPr>
                <w:sz w:val="20"/>
                <w:szCs w:val="20"/>
              </w:rPr>
              <w:t>2018</w:t>
            </w:r>
          </w:p>
        </w:tc>
        <w:tc>
          <w:tcPr>
            <w:tcW w:w="1422" w:type="dxa"/>
          </w:tcPr>
          <w:p w14:paraId="04B4CE8E" w14:textId="77777777" w:rsidR="00E459D8" w:rsidRPr="0076484F" w:rsidRDefault="0040159B" w:rsidP="0076484F">
            <w:pPr>
              <w:ind w:left="0" w:right="0"/>
              <w:rPr>
                <w:sz w:val="20"/>
                <w:szCs w:val="20"/>
              </w:rPr>
            </w:pPr>
            <w:r w:rsidRPr="0076484F">
              <w:rPr>
                <w:sz w:val="20"/>
                <w:szCs w:val="20"/>
              </w:rPr>
              <w:t>Under consideration</w:t>
            </w:r>
          </w:p>
        </w:tc>
        <w:tc>
          <w:tcPr>
            <w:tcW w:w="4718" w:type="dxa"/>
          </w:tcPr>
          <w:p w14:paraId="2764BF4E" w14:textId="77777777" w:rsidR="00E459D8" w:rsidRPr="00320E39" w:rsidRDefault="0040159B" w:rsidP="0076484F">
            <w:pPr>
              <w:ind w:left="0" w:right="0"/>
              <w:rPr>
                <w:sz w:val="20"/>
                <w:szCs w:val="20"/>
              </w:rPr>
            </w:pPr>
            <w:r w:rsidRPr="00320E39">
              <w:rPr>
                <w:sz w:val="20"/>
                <w:szCs w:val="20"/>
              </w:rPr>
              <w:t>Under consideration</w:t>
            </w:r>
            <w:r w:rsidR="0076484F" w:rsidRPr="00320E39">
              <w:rPr>
                <w:sz w:val="20"/>
                <w:szCs w:val="20"/>
              </w:rPr>
              <w:t>. Extension of indications.</w:t>
            </w:r>
          </w:p>
        </w:tc>
      </w:tr>
    </w:tbl>
    <w:p w14:paraId="610390DB" w14:textId="23C0F46D" w:rsidR="008E7846" w:rsidRDefault="008E7846" w:rsidP="00940A89">
      <w:pPr>
        <w:pStyle w:val="Heading3"/>
      </w:pPr>
      <w:bookmarkStart w:id="22" w:name="_Toc34385597"/>
      <w:r>
        <w:t>Product Information</w:t>
      </w:r>
      <w:bookmarkEnd w:id="19"/>
      <w:bookmarkEnd w:id="20"/>
      <w:bookmarkEnd w:id="22"/>
    </w:p>
    <w:p w14:paraId="60D90A4F" w14:textId="77777777" w:rsidR="00940A89" w:rsidRDefault="006136D7" w:rsidP="00940A89">
      <w:bookmarkStart w:id="23" w:name="_Toc247691506"/>
      <w:bookmarkStart w:id="24"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3" w:history="1">
        <w:r w:rsidR="00441C3F" w:rsidRPr="00441C3F">
          <w:rPr>
            <w:rStyle w:val="Hyperlink"/>
          </w:rPr>
          <w:t>https://www.tga.gov.au/product-information-pi</w:t>
        </w:r>
      </w:hyperlink>
      <w:r w:rsidR="00441C3F">
        <w:t>&gt;</w:t>
      </w:r>
      <w:r w:rsidR="00940A89" w:rsidRPr="00940A89">
        <w:t>.</w:t>
      </w:r>
    </w:p>
    <w:p w14:paraId="016D4FFF" w14:textId="77777777" w:rsidR="00500337" w:rsidRDefault="00D320F4" w:rsidP="00C67E1E">
      <w:pPr>
        <w:pStyle w:val="Heading2"/>
        <w:pageBreakBefore/>
        <w:spacing w:before="0"/>
      </w:pPr>
      <w:bookmarkStart w:id="25" w:name="_Toc504480011"/>
      <w:bookmarkStart w:id="26" w:name="_Toc34385598"/>
      <w:r>
        <w:lastRenderedPageBreak/>
        <w:t>II. Registration</w:t>
      </w:r>
      <w:r w:rsidR="00F60AA7">
        <w:t xml:space="preserve"> </w:t>
      </w:r>
      <w:r>
        <w:t>time</w:t>
      </w:r>
      <w:r w:rsidR="00500337">
        <w:t>line</w:t>
      </w:r>
      <w:bookmarkEnd w:id="25"/>
      <w:bookmarkEnd w:id="26"/>
    </w:p>
    <w:p w14:paraId="59A28E33" w14:textId="77777777" w:rsidR="00500337" w:rsidRDefault="0049528A" w:rsidP="00500337">
      <w:r>
        <w:fldChar w:fldCharType="begin"/>
      </w:r>
      <w:r>
        <w:instrText xml:space="preserve"> REF _Ref30074618 \h </w:instrText>
      </w:r>
      <w:r>
        <w:fldChar w:fldCharType="separate"/>
      </w:r>
      <w:r>
        <w:t xml:space="preserve">Table </w:t>
      </w:r>
      <w:r>
        <w:rPr>
          <w:noProof/>
        </w:rPr>
        <w:t>2</w:t>
      </w:r>
      <w:r>
        <w:fldChar w:fldCharType="end"/>
      </w:r>
      <w:r>
        <w:t xml:space="preserve"> </w:t>
      </w:r>
      <w:r w:rsidR="00500337">
        <w:t>captures the key steps and dates for this application and which are detailed and discussed in this AusPAR.</w:t>
      </w:r>
    </w:p>
    <w:p w14:paraId="4C362CF2" w14:textId="77777777" w:rsidR="00500337" w:rsidRPr="00377BD4" w:rsidRDefault="0049528A" w:rsidP="0049528A">
      <w:pPr>
        <w:pStyle w:val="TableTitle"/>
      </w:pPr>
      <w:bookmarkStart w:id="27" w:name="_Ref30074618"/>
      <w:r>
        <w:t xml:space="preserve">Table </w:t>
      </w:r>
      <w:fldSimple w:instr=" SEQ Table \* ARABIC ">
        <w:r w:rsidR="00E82538">
          <w:rPr>
            <w:noProof/>
          </w:rPr>
          <w:t>2</w:t>
        </w:r>
      </w:fldSimple>
      <w:bookmarkEnd w:id="27"/>
      <w:r>
        <w:t xml:space="preserve">: </w:t>
      </w:r>
      <w:r w:rsidR="006A58A8" w:rsidRPr="006A58A8">
        <w:t xml:space="preserve">Timeline for Submission </w:t>
      </w:r>
      <w:r w:rsidR="005E2185">
        <w:t>PM-2018-00931-1-2</w:t>
      </w:r>
    </w:p>
    <w:tbl>
      <w:tblPr>
        <w:tblStyle w:val="TableTGAblue"/>
        <w:tblW w:w="0" w:type="auto"/>
        <w:tblLook w:val="04A0" w:firstRow="1" w:lastRow="0" w:firstColumn="1" w:lastColumn="0" w:noHBand="0" w:noVBand="1"/>
      </w:tblPr>
      <w:tblGrid>
        <w:gridCol w:w="4360"/>
        <w:gridCol w:w="4360"/>
      </w:tblGrid>
      <w:tr w:rsidR="00500337" w14:paraId="667B1D37" w14:textId="77777777" w:rsidTr="00500337">
        <w:trPr>
          <w:cnfStyle w:val="100000000000" w:firstRow="1" w:lastRow="0" w:firstColumn="0" w:lastColumn="0" w:oddVBand="0" w:evenVBand="0" w:oddHBand="0" w:evenHBand="0" w:firstRowFirstColumn="0" w:firstRowLastColumn="0" w:lastRowFirstColumn="0" w:lastRowLastColumn="0"/>
          <w:cantSplit/>
        </w:trPr>
        <w:tc>
          <w:tcPr>
            <w:tcW w:w="4360" w:type="dxa"/>
          </w:tcPr>
          <w:p w14:paraId="55670CDD" w14:textId="77777777" w:rsidR="00500337" w:rsidRDefault="00500337" w:rsidP="00500337">
            <w:pPr>
              <w:ind w:left="0" w:right="0"/>
            </w:pPr>
            <w:r>
              <w:t>Description</w:t>
            </w:r>
          </w:p>
        </w:tc>
        <w:tc>
          <w:tcPr>
            <w:tcW w:w="4360" w:type="dxa"/>
          </w:tcPr>
          <w:p w14:paraId="6D656907" w14:textId="77777777" w:rsidR="00500337" w:rsidRDefault="00500337" w:rsidP="00500337">
            <w:pPr>
              <w:ind w:left="0" w:right="0"/>
            </w:pPr>
            <w:r>
              <w:t>Date</w:t>
            </w:r>
          </w:p>
        </w:tc>
      </w:tr>
      <w:tr w:rsidR="005E2185" w14:paraId="7077FEA9" w14:textId="77777777" w:rsidTr="00500337">
        <w:tc>
          <w:tcPr>
            <w:tcW w:w="4360" w:type="dxa"/>
          </w:tcPr>
          <w:p w14:paraId="1C1CA192" w14:textId="77777777" w:rsidR="005E2185" w:rsidRDefault="005E2185" w:rsidP="005E2185">
            <w:pPr>
              <w:ind w:left="0" w:right="0"/>
            </w:pPr>
            <w:r>
              <w:t>Submission dossier accepted and first round evaluation commenced</w:t>
            </w:r>
          </w:p>
        </w:tc>
        <w:tc>
          <w:tcPr>
            <w:tcW w:w="4360" w:type="dxa"/>
          </w:tcPr>
          <w:p w14:paraId="116F28AC" w14:textId="77777777" w:rsidR="005E2185" w:rsidRDefault="005E2185" w:rsidP="005E2185">
            <w:pPr>
              <w:ind w:left="0" w:right="0"/>
            </w:pPr>
            <w:r>
              <w:t>30 April 2018</w:t>
            </w:r>
          </w:p>
        </w:tc>
      </w:tr>
      <w:tr w:rsidR="005E2185" w14:paraId="5EB76C39" w14:textId="77777777" w:rsidTr="00500337">
        <w:tc>
          <w:tcPr>
            <w:tcW w:w="4360" w:type="dxa"/>
          </w:tcPr>
          <w:p w14:paraId="467191BB" w14:textId="77777777" w:rsidR="005E2185" w:rsidRDefault="005E2185" w:rsidP="005E2185">
            <w:pPr>
              <w:ind w:left="0" w:right="0"/>
            </w:pPr>
            <w:r>
              <w:t>First round evaluation completed</w:t>
            </w:r>
          </w:p>
        </w:tc>
        <w:tc>
          <w:tcPr>
            <w:tcW w:w="4360" w:type="dxa"/>
          </w:tcPr>
          <w:p w14:paraId="0DF081FC" w14:textId="77777777" w:rsidR="005E2185" w:rsidRDefault="005E2185" w:rsidP="005E2185">
            <w:pPr>
              <w:ind w:left="0" w:right="0"/>
            </w:pPr>
            <w:r>
              <w:t>31 August 2018</w:t>
            </w:r>
          </w:p>
        </w:tc>
      </w:tr>
      <w:tr w:rsidR="005E2185" w14:paraId="1BA1C137" w14:textId="77777777" w:rsidTr="00500337">
        <w:tc>
          <w:tcPr>
            <w:tcW w:w="4360" w:type="dxa"/>
          </w:tcPr>
          <w:p w14:paraId="3DBFB214" w14:textId="77777777" w:rsidR="005E2185" w:rsidRDefault="005E2185" w:rsidP="005E2185">
            <w:pPr>
              <w:ind w:left="0" w:right="0"/>
            </w:pPr>
            <w:r>
              <w:t>Sponsor provides responses on questions raised in first round evaluation</w:t>
            </w:r>
          </w:p>
        </w:tc>
        <w:tc>
          <w:tcPr>
            <w:tcW w:w="4360" w:type="dxa"/>
          </w:tcPr>
          <w:p w14:paraId="7E1F8E44" w14:textId="77777777" w:rsidR="005E2185" w:rsidRDefault="005E2185" w:rsidP="005E2185">
            <w:pPr>
              <w:ind w:left="0" w:right="0"/>
            </w:pPr>
            <w:r>
              <w:t>5 November 2018</w:t>
            </w:r>
          </w:p>
        </w:tc>
      </w:tr>
      <w:tr w:rsidR="005E2185" w14:paraId="0891F89E" w14:textId="77777777" w:rsidTr="00500337">
        <w:tc>
          <w:tcPr>
            <w:tcW w:w="4360" w:type="dxa"/>
          </w:tcPr>
          <w:p w14:paraId="277E0DDC" w14:textId="77777777" w:rsidR="005E2185" w:rsidRDefault="005E2185" w:rsidP="005E2185">
            <w:pPr>
              <w:ind w:left="0" w:right="0"/>
            </w:pPr>
            <w:r>
              <w:t>Second round evaluation completed</w:t>
            </w:r>
          </w:p>
        </w:tc>
        <w:tc>
          <w:tcPr>
            <w:tcW w:w="4360" w:type="dxa"/>
          </w:tcPr>
          <w:p w14:paraId="29E67136" w14:textId="77777777" w:rsidR="005E2185" w:rsidRDefault="005E2185" w:rsidP="005E2185">
            <w:pPr>
              <w:ind w:left="0" w:right="0"/>
            </w:pPr>
            <w:r>
              <w:t>17 December 2018</w:t>
            </w:r>
          </w:p>
        </w:tc>
      </w:tr>
      <w:tr w:rsidR="005E2185" w14:paraId="45012C12" w14:textId="77777777" w:rsidTr="00500337">
        <w:tc>
          <w:tcPr>
            <w:tcW w:w="4360" w:type="dxa"/>
          </w:tcPr>
          <w:p w14:paraId="62FB6A43" w14:textId="77777777" w:rsidR="005E2185" w:rsidRDefault="005E2185" w:rsidP="005E2185">
            <w:pPr>
              <w:ind w:left="0" w:right="0"/>
            </w:pPr>
            <w:r>
              <w:t>Delegate’s Overall benefit-risk assessment and request for Advisory Committee advice</w:t>
            </w:r>
          </w:p>
        </w:tc>
        <w:tc>
          <w:tcPr>
            <w:tcW w:w="4360" w:type="dxa"/>
          </w:tcPr>
          <w:p w14:paraId="62287443" w14:textId="77777777" w:rsidR="005E2185" w:rsidRDefault="005E2185" w:rsidP="005E2185">
            <w:pPr>
              <w:ind w:left="0" w:right="0"/>
            </w:pPr>
            <w:r>
              <w:t xml:space="preserve">21 December 2018 </w:t>
            </w:r>
          </w:p>
        </w:tc>
      </w:tr>
      <w:tr w:rsidR="005E2185" w14:paraId="0F4A65A1" w14:textId="77777777" w:rsidTr="00500337">
        <w:tc>
          <w:tcPr>
            <w:tcW w:w="4360" w:type="dxa"/>
          </w:tcPr>
          <w:p w14:paraId="5904806F" w14:textId="77777777" w:rsidR="005E2185" w:rsidRDefault="005E2185" w:rsidP="005E2185">
            <w:pPr>
              <w:ind w:left="0" w:right="0"/>
            </w:pPr>
            <w:r>
              <w:t>Sponsor’s pre-Advisory Committee response</w:t>
            </w:r>
          </w:p>
        </w:tc>
        <w:tc>
          <w:tcPr>
            <w:tcW w:w="4360" w:type="dxa"/>
          </w:tcPr>
          <w:p w14:paraId="1CC0109F" w14:textId="77777777" w:rsidR="005E2185" w:rsidRDefault="005E2185" w:rsidP="005E2185">
            <w:pPr>
              <w:ind w:left="0" w:right="0"/>
            </w:pPr>
            <w:r>
              <w:t>14 January 2019</w:t>
            </w:r>
          </w:p>
        </w:tc>
      </w:tr>
      <w:tr w:rsidR="005E2185" w14:paraId="734BBEB8" w14:textId="77777777" w:rsidTr="00500337">
        <w:tc>
          <w:tcPr>
            <w:tcW w:w="4360" w:type="dxa"/>
          </w:tcPr>
          <w:p w14:paraId="34297801" w14:textId="77777777" w:rsidR="005E2185" w:rsidRDefault="005E2185" w:rsidP="005E2185">
            <w:pPr>
              <w:ind w:left="0" w:right="0"/>
            </w:pPr>
            <w:r>
              <w:t>Advisory Committee meeting</w:t>
            </w:r>
          </w:p>
        </w:tc>
        <w:tc>
          <w:tcPr>
            <w:tcW w:w="4360" w:type="dxa"/>
          </w:tcPr>
          <w:p w14:paraId="35ED7FC7" w14:textId="77777777" w:rsidR="005E2185" w:rsidRDefault="005E2185" w:rsidP="005E2185">
            <w:pPr>
              <w:ind w:left="0" w:right="0"/>
            </w:pPr>
            <w:r>
              <w:t>4 March 2019</w:t>
            </w:r>
          </w:p>
        </w:tc>
      </w:tr>
      <w:tr w:rsidR="005E2185" w14:paraId="4F3B1ABA" w14:textId="77777777" w:rsidTr="00500337">
        <w:tc>
          <w:tcPr>
            <w:tcW w:w="4360" w:type="dxa"/>
          </w:tcPr>
          <w:p w14:paraId="3BE09959" w14:textId="77777777" w:rsidR="005E2185" w:rsidRDefault="005E2185" w:rsidP="005E2185">
            <w:pPr>
              <w:ind w:left="0" w:right="0"/>
            </w:pPr>
            <w:r>
              <w:t>Registration decision (Outcome)</w:t>
            </w:r>
          </w:p>
        </w:tc>
        <w:tc>
          <w:tcPr>
            <w:tcW w:w="4360" w:type="dxa"/>
          </w:tcPr>
          <w:p w14:paraId="3267B297" w14:textId="77777777" w:rsidR="005E2185" w:rsidRDefault="005E2185" w:rsidP="005E2185">
            <w:pPr>
              <w:ind w:left="0" w:right="0"/>
            </w:pPr>
            <w:r>
              <w:t>21 February 2019</w:t>
            </w:r>
          </w:p>
        </w:tc>
      </w:tr>
      <w:tr w:rsidR="005E2185" w14:paraId="7710581B" w14:textId="77777777" w:rsidTr="00500337">
        <w:tc>
          <w:tcPr>
            <w:tcW w:w="4360" w:type="dxa"/>
          </w:tcPr>
          <w:p w14:paraId="297D438A" w14:textId="77777777" w:rsidR="005E2185" w:rsidRDefault="005E2185" w:rsidP="005E2185">
            <w:pPr>
              <w:ind w:left="0" w:right="0"/>
            </w:pPr>
            <w:r>
              <w:t>Completion of administrative activities and registration on ARTG</w:t>
            </w:r>
          </w:p>
        </w:tc>
        <w:tc>
          <w:tcPr>
            <w:tcW w:w="4360" w:type="dxa"/>
          </w:tcPr>
          <w:p w14:paraId="4594C32C" w14:textId="77777777" w:rsidR="005E2185" w:rsidRDefault="005E2185" w:rsidP="005E2185">
            <w:pPr>
              <w:ind w:left="0" w:right="0"/>
            </w:pPr>
            <w:r>
              <w:t>22 February 2019</w:t>
            </w:r>
          </w:p>
        </w:tc>
      </w:tr>
      <w:tr w:rsidR="005E2185" w14:paraId="6D2228D3" w14:textId="77777777" w:rsidTr="00500337">
        <w:tc>
          <w:tcPr>
            <w:tcW w:w="4360" w:type="dxa"/>
          </w:tcPr>
          <w:p w14:paraId="4910FDF1" w14:textId="77777777" w:rsidR="005E2185" w:rsidRDefault="005E2185" w:rsidP="005E2185">
            <w:pPr>
              <w:ind w:left="0" w:right="0"/>
            </w:pPr>
            <w:r>
              <w:t>Number of working days from submission dossier acceptance to registration decision*</w:t>
            </w:r>
          </w:p>
        </w:tc>
        <w:tc>
          <w:tcPr>
            <w:tcW w:w="4360" w:type="dxa"/>
          </w:tcPr>
          <w:p w14:paraId="2BEAE363" w14:textId="77777777" w:rsidR="005E2185" w:rsidRDefault="005E2185" w:rsidP="005E2185">
            <w:pPr>
              <w:ind w:left="0" w:right="0"/>
            </w:pPr>
            <w:r>
              <w:t>161</w:t>
            </w:r>
          </w:p>
        </w:tc>
      </w:tr>
    </w:tbl>
    <w:p w14:paraId="52851B04" w14:textId="77777777" w:rsidR="00500337" w:rsidRDefault="005E2185" w:rsidP="00320E39">
      <w:pPr>
        <w:pStyle w:val="TableDescription"/>
      </w:pPr>
      <w:r>
        <w:t>*Target</w:t>
      </w:r>
      <w:r w:rsidRPr="00BF3774">
        <w:t xml:space="preserve"> </w:t>
      </w:r>
      <w:r>
        <w:t>timeframe for COR-B applications is 175 working days</w:t>
      </w:r>
    </w:p>
    <w:p w14:paraId="576A45BD" w14:textId="77777777" w:rsidR="008E7846" w:rsidRPr="00792A32" w:rsidRDefault="00456765" w:rsidP="00346979">
      <w:pPr>
        <w:pStyle w:val="Heading2"/>
      </w:pPr>
      <w:bookmarkStart w:id="28" w:name="_Toc196046504"/>
      <w:bookmarkStart w:id="29" w:name="_Toc247691527"/>
      <w:bookmarkStart w:id="30" w:name="_Toc314842510"/>
      <w:bookmarkStart w:id="31" w:name="_Toc163441390"/>
      <w:bookmarkStart w:id="32" w:name="_Toc34385599"/>
      <w:bookmarkEnd w:id="23"/>
      <w:bookmarkEnd w:id="24"/>
      <w:bookmarkEnd w:id="1"/>
      <w:r>
        <w:t>I</w:t>
      </w:r>
      <w:r w:rsidR="00DA64CB">
        <w:t>I</w:t>
      </w:r>
      <w:r w:rsidR="008E7846">
        <w:t xml:space="preserve">I. </w:t>
      </w:r>
      <w:r w:rsidR="005E2185">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8"/>
      <w:bookmarkEnd w:id="29"/>
      <w:bookmarkEnd w:id="30"/>
      <w:bookmarkEnd w:id="32"/>
    </w:p>
    <w:p w14:paraId="230242F9" w14:textId="77777777" w:rsidR="008E7846" w:rsidRDefault="008E7846" w:rsidP="008E7846">
      <w:bookmarkStart w:id="33" w:name="_Toc247691528"/>
      <w:r>
        <w:t xml:space="preserve">The submission was summarised in the following </w:t>
      </w:r>
      <w:r w:rsidRPr="00EF5C48">
        <w:t xml:space="preserve">Delegate’s </w:t>
      </w:r>
      <w:r>
        <w:t>overview</w:t>
      </w:r>
      <w:r w:rsidRPr="00EF5C48">
        <w:t xml:space="preserve"> and recommendation</w:t>
      </w:r>
      <w:r w:rsidR="009C6596">
        <w:t>s.</w:t>
      </w:r>
    </w:p>
    <w:p w14:paraId="28CFFFBC" w14:textId="77777777" w:rsidR="00320E39" w:rsidRDefault="00320E39" w:rsidP="008E7846">
      <w:r w:rsidRPr="00320E39">
        <w:t>This section is a TGA summary of wording used in TGA’s evaluation report, which discussed numerous aspects of overseas evaluation reports and included some information that was commercial-in-confidence.</w:t>
      </w:r>
    </w:p>
    <w:p w14:paraId="4E928864" w14:textId="77777777" w:rsidR="005E2185" w:rsidRDefault="008E7846" w:rsidP="00A76C28">
      <w:pPr>
        <w:pStyle w:val="Heading3"/>
      </w:pPr>
      <w:bookmarkStart w:id="34" w:name="_Toc314842511"/>
      <w:bookmarkStart w:id="35" w:name="_Toc34385600"/>
      <w:r w:rsidRPr="009E06E1">
        <w:t>Quality</w:t>
      </w:r>
      <w:bookmarkEnd w:id="33"/>
      <w:bookmarkEnd w:id="34"/>
      <w:bookmarkEnd w:id="35"/>
    </w:p>
    <w:p w14:paraId="66874DE6" w14:textId="77777777" w:rsidR="00730F8A" w:rsidRDefault="005E2185" w:rsidP="005E2185">
      <w:r>
        <w:t xml:space="preserve">The </w:t>
      </w:r>
      <w:r w:rsidR="008F6012">
        <w:t>quality</w:t>
      </w:r>
      <w:r>
        <w:t xml:space="preserve"> evaluation</w:t>
      </w:r>
      <w:r w:rsidRPr="0083403A">
        <w:t xml:space="preserve"> supports registration. There are no outstanding issues including sterility, endotoxin and toxicological qualification of impurities. The submission does not involve any bioequivalence data. Recommendations for the </w:t>
      </w:r>
      <w:r w:rsidR="008F6012">
        <w:t>PI have been provided. In Phase I and Phase II</w:t>
      </w:r>
      <w:r w:rsidRPr="0083403A">
        <w:t xml:space="preserve"> studies, </w:t>
      </w:r>
      <w:r w:rsidR="00F60AA7">
        <w:t>ceftazidime</w:t>
      </w:r>
      <w:r w:rsidRPr="0083403A">
        <w:t xml:space="preserve"> and </w:t>
      </w:r>
      <w:r w:rsidR="00F60AA7">
        <w:t>avibactam</w:t>
      </w:r>
      <w:r w:rsidRPr="0083403A">
        <w:t xml:space="preserve"> were supplied in separate vials for co-administration in a single infusion solution. The fixed dose </w:t>
      </w:r>
      <w:r w:rsidR="00F60AA7">
        <w:t>ceftazidime</w:t>
      </w:r>
      <w:r w:rsidRPr="0083403A">
        <w:t>/</w:t>
      </w:r>
      <w:r w:rsidR="00F60AA7">
        <w:t>avibactam</w:t>
      </w:r>
      <w:r w:rsidRPr="0083403A">
        <w:t xml:space="preserve"> combinatio</w:t>
      </w:r>
      <w:r w:rsidR="008F6012">
        <w:t>n (2000</w:t>
      </w:r>
      <w:r w:rsidR="00CC2BBB">
        <w:t xml:space="preserve"> mg </w:t>
      </w:r>
      <w:r w:rsidR="008F6012">
        <w:t>/500</w:t>
      </w:r>
      <w:r w:rsidR="00CC2BBB">
        <w:t xml:space="preserve"> mg</w:t>
      </w:r>
      <w:r w:rsidR="008F6012">
        <w:t>) was used in Phase III</w:t>
      </w:r>
      <w:r w:rsidRPr="0083403A">
        <w:t xml:space="preserve"> clinical trials.</w:t>
      </w:r>
    </w:p>
    <w:p w14:paraId="6FC46E22" w14:textId="77777777" w:rsidR="008E7846" w:rsidRDefault="008E7846" w:rsidP="008E7846">
      <w:pPr>
        <w:pStyle w:val="Heading3"/>
      </w:pPr>
      <w:bookmarkStart w:id="36" w:name="_Toc314842512"/>
      <w:bookmarkStart w:id="37" w:name="_Toc34385601"/>
      <w:r>
        <w:lastRenderedPageBreak/>
        <w:t>Nonclinical</w:t>
      </w:r>
      <w:bookmarkEnd w:id="36"/>
      <w:bookmarkEnd w:id="37"/>
    </w:p>
    <w:p w14:paraId="5DC1F8AC" w14:textId="77777777" w:rsidR="005E2185" w:rsidRDefault="005E2185" w:rsidP="005E2185">
      <w:r>
        <w:rPr>
          <w:rFonts w:asciiTheme="minorHAnsi" w:hAnsiTheme="minorHAnsi"/>
        </w:rPr>
        <w:t>The nonclinical evaluator had</w:t>
      </w:r>
      <w:r w:rsidRPr="00122DA3">
        <w:t xml:space="preserve"> no ob</w:t>
      </w:r>
      <w:r>
        <w:t xml:space="preserve">jections </w:t>
      </w:r>
      <w:r w:rsidRPr="00122DA3">
        <w:t xml:space="preserve">to the registration of </w:t>
      </w:r>
      <w:r w:rsidR="00F60AA7" w:rsidRPr="008F6012">
        <w:t>ceftazidime</w:t>
      </w:r>
      <w:r w:rsidRPr="008F6012">
        <w:t>/</w:t>
      </w:r>
      <w:r w:rsidR="00F60AA7" w:rsidRPr="008F6012">
        <w:t>avibactam</w:t>
      </w:r>
      <w:r>
        <w:t xml:space="preserve"> provided safety was adequately addressed by clinical data. Recommenda</w:t>
      </w:r>
      <w:r w:rsidR="008F6012">
        <w:t>tions for the PI were provided.</w:t>
      </w:r>
    </w:p>
    <w:p w14:paraId="756DD518" w14:textId="77777777" w:rsidR="005E2185" w:rsidRDefault="005E2185" w:rsidP="005E2185">
      <w:r>
        <w:t>The following is a summary of nonclinical findings:</w:t>
      </w:r>
    </w:p>
    <w:p w14:paraId="1194E82B" w14:textId="77777777" w:rsidR="005E2185" w:rsidRPr="0074778D" w:rsidRDefault="008F6012" w:rsidP="009C6596">
      <w:pPr>
        <w:pStyle w:val="ListBullet"/>
      </w:pPr>
      <w:r>
        <w:t>A</w:t>
      </w:r>
      <w:r w:rsidR="00F60AA7">
        <w:t>vibactam</w:t>
      </w:r>
      <w:r w:rsidR="005E2185">
        <w:t xml:space="preserve">, </w:t>
      </w:r>
      <w:r>
        <w:rPr>
          <w:lang w:eastAsia="en-AU"/>
        </w:rPr>
        <w:t>ceftazidime</w:t>
      </w:r>
      <w:r w:rsidR="005E2185">
        <w:t>/</w:t>
      </w:r>
      <w:r w:rsidR="00F60AA7">
        <w:t>avibactam</w:t>
      </w:r>
      <w:r w:rsidR="005E2185">
        <w:t xml:space="preserve"> was well tolerated in animal studies. Local effects on </w:t>
      </w:r>
      <w:r w:rsidR="00A94D3D">
        <w:t>intravenous</w:t>
      </w:r>
      <w:r w:rsidR="005E2185">
        <w:t xml:space="preserve"> </w:t>
      </w:r>
      <w:r w:rsidR="009E06E1">
        <w:t xml:space="preserve">(IV) </w:t>
      </w:r>
      <w:r w:rsidR="005E2185">
        <w:t xml:space="preserve">administration were reported for </w:t>
      </w:r>
      <w:r w:rsidR="00F60AA7">
        <w:t>avibactam</w:t>
      </w:r>
      <w:r w:rsidR="005E2185">
        <w:t xml:space="preserve"> and </w:t>
      </w:r>
      <w:r>
        <w:rPr>
          <w:lang w:eastAsia="en-AU"/>
        </w:rPr>
        <w:t>ceftazidime</w:t>
      </w:r>
      <w:r w:rsidR="005E2185">
        <w:t>/</w:t>
      </w:r>
      <w:r w:rsidR="00F60AA7">
        <w:t>avibactam</w:t>
      </w:r>
      <w:r w:rsidR="005E2185">
        <w:t xml:space="preserve">. </w:t>
      </w:r>
      <w:r w:rsidR="00A94D3D">
        <w:t>A</w:t>
      </w:r>
      <w:r w:rsidR="00F60AA7">
        <w:t>vibactam</w:t>
      </w:r>
      <w:r w:rsidR="005E2185" w:rsidRPr="00725C37">
        <w:t xml:space="preserve"> was </w:t>
      </w:r>
      <w:r w:rsidR="005E2185">
        <w:t xml:space="preserve">not shown </w:t>
      </w:r>
      <w:r w:rsidR="005E2185" w:rsidRPr="00725C37">
        <w:t xml:space="preserve">to be phototoxic </w:t>
      </w:r>
      <w:r w:rsidR="005E2185" w:rsidRPr="00725C37">
        <w:rPr>
          <w:i/>
        </w:rPr>
        <w:t>in vitro</w:t>
      </w:r>
      <w:r w:rsidR="005E2185">
        <w:t xml:space="preserve">. </w:t>
      </w:r>
      <w:r w:rsidR="005E2185" w:rsidRPr="00EC15F1">
        <w:rPr>
          <w:i/>
        </w:rPr>
        <w:t>In vitro</w:t>
      </w:r>
      <w:r w:rsidR="00A94D3D">
        <w:t xml:space="preserve"> and</w:t>
      </w:r>
      <w:r w:rsidR="005E2185" w:rsidRPr="009E1647">
        <w:t xml:space="preserve"> </w:t>
      </w:r>
      <w:r w:rsidR="005E2185" w:rsidRPr="00EC15F1">
        <w:rPr>
          <w:i/>
        </w:rPr>
        <w:t>in vivo</w:t>
      </w:r>
      <w:r w:rsidR="005E2185">
        <w:rPr>
          <w:i/>
        </w:rPr>
        <w:t xml:space="preserve"> </w:t>
      </w:r>
      <w:r w:rsidR="005E2185">
        <w:t xml:space="preserve">studies have </w:t>
      </w:r>
      <w:r w:rsidR="005E2185" w:rsidRPr="001D65FC">
        <w:t>confirm</w:t>
      </w:r>
      <w:r w:rsidR="005E2185">
        <w:t>ed</w:t>
      </w:r>
      <w:r w:rsidR="005E2185" w:rsidRPr="001D65FC">
        <w:t xml:space="preserve"> that </w:t>
      </w:r>
      <w:r w:rsidR="00F60AA7">
        <w:t>avibactam</w:t>
      </w:r>
      <w:r w:rsidR="005E2185" w:rsidRPr="001D65FC">
        <w:t xml:space="preserve"> is </w:t>
      </w:r>
      <w:r w:rsidR="005E2185">
        <w:rPr>
          <w:rFonts w:eastAsiaTheme="minorHAnsi"/>
        </w:rPr>
        <w:t>a β-</w:t>
      </w:r>
      <w:r w:rsidR="005E2185" w:rsidRPr="001D65FC">
        <w:rPr>
          <w:rFonts w:eastAsiaTheme="minorHAnsi"/>
        </w:rPr>
        <w:t>lactamase inhibitor</w:t>
      </w:r>
      <w:r w:rsidR="005E2185">
        <w:rPr>
          <w:rFonts w:eastAsiaTheme="minorHAnsi"/>
        </w:rPr>
        <w:t xml:space="preserve"> and that</w:t>
      </w:r>
      <w:r w:rsidR="005E2185" w:rsidRPr="001D65FC">
        <w:rPr>
          <w:rFonts w:eastAsiaTheme="minorHAnsi"/>
        </w:rPr>
        <w:t xml:space="preserve"> </w:t>
      </w:r>
      <w:r w:rsidR="00F60AA7">
        <w:rPr>
          <w:rFonts w:eastAsiaTheme="minorHAnsi"/>
        </w:rPr>
        <w:t>ceftazidime</w:t>
      </w:r>
      <w:r w:rsidR="005E2185" w:rsidRPr="001D65FC">
        <w:rPr>
          <w:rFonts w:eastAsiaTheme="minorHAnsi"/>
        </w:rPr>
        <w:t>/</w:t>
      </w:r>
      <w:r w:rsidR="00F60AA7">
        <w:rPr>
          <w:rFonts w:eastAsiaTheme="minorHAnsi"/>
        </w:rPr>
        <w:t>avibactam</w:t>
      </w:r>
      <w:r w:rsidR="005E2185" w:rsidRPr="001D65FC">
        <w:rPr>
          <w:rFonts w:eastAsiaTheme="minorHAnsi"/>
        </w:rPr>
        <w:t xml:space="preserve"> combination is active against </w:t>
      </w:r>
      <w:r w:rsidR="00F60AA7">
        <w:rPr>
          <w:rFonts w:eastAsiaTheme="minorHAnsi"/>
        </w:rPr>
        <w:t>ceftazidime</w:t>
      </w:r>
      <w:r w:rsidR="005E2185" w:rsidRPr="001D65FC">
        <w:rPr>
          <w:rFonts w:eastAsiaTheme="minorHAnsi"/>
        </w:rPr>
        <w:t>-resis</w:t>
      </w:r>
      <w:r w:rsidR="005E2185">
        <w:rPr>
          <w:rFonts w:eastAsiaTheme="minorHAnsi"/>
        </w:rPr>
        <w:t>tant isolates.</w:t>
      </w:r>
    </w:p>
    <w:p w14:paraId="189B6336" w14:textId="5BD31079" w:rsidR="005E2185" w:rsidRDefault="00A94D3D" w:rsidP="009E06E1">
      <w:pPr>
        <w:pStyle w:val="ListBullet"/>
      </w:pPr>
      <w:r>
        <w:rPr>
          <w:rFonts w:eastAsiaTheme="minorHAnsi"/>
        </w:rPr>
        <w:t>A</w:t>
      </w:r>
      <w:r w:rsidR="00F60AA7">
        <w:rPr>
          <w:rFonts w:eastAsiaTheme="minorHAnsi"/>
        </w:rPr>
        <w:t>vibactam</w:t>
      </w:r>
      <w:r w:rsidR="005E2185">
        <w:t xml:space="preserve"> inhibits class A, class C and some c</w:t>
      </w:r>
      <w:r w:rsidR="005E2185" w:rsidRPr="001D65FC">
        <w:t xml:space="preserve">lass D </w:t>
      </w:r>
      <w:r w:rsidR="005E2185" w:rsidRPr="00C76A03">
        <w:rPr>
          <w:rFonts w:hint="eastAsia"/>
        </w:rPr>
        <w:sym w:font="Symbol" w:char="F062"/>
      </w:r>
      <w:r w:rsidR="005E2185" w:rsidRPr="000A0CE7">
        <w:t>-</w:t>
      </w:r>
      <w:r w:rsidR="005E2185">
        <w:t>lactamases</w:t>
      </w:r>
      <w:r w:rsidR="00CC2BBB">
        <w:t>;</w:t>
      </w:r>
      <w:r w:rsidR="00CC2BBB">
        <w:rPr>
          <w:rStyle w:val="FootnoteReference"/>
        </w:rPr>
        <w:footnoteReference w:id="2"/>
      </w:r>
      <w:r w:rsidR="005E2185" w:rsidRPr="001D65FC">
        <w:t xml:space="preserve"> including extended spectrum </w:t>
      </w:r>
      <w:r w:rsidR="005E2185" w:rsidRPr="00C76A03">
        <w:rPr>
          <w:rFonts w:hint="eastAsia"/>
        </w:rPr>
        <w:sym w:font="Symbol" w:char="F062"/>
      </w:r>
      <w:r w:rsidR="005E2185" w:rsidRPr="000A0CE7">
        <w:t xml:space="preserve">-lactamases </w:t>
      </w:r>
      <w:r w:rsidR="005E2185" w:rsidRPr="001D65FC">
        <w:t>(ESBLs)</w:t>
      </w:r>
      <w:r w:rsidR="005E2185">
        <w:t xml:space="preserve">, Vietnamese extended spectrum </w:t>
      </w:r>
      <w:r w:rsidR="005E2185" w:rsidRPr="00A06D01">
        <w:sym w:font="Symbol" w:char="F062"/>
      </w:r>
      <w:r w:rsidR="005E2185" w:rsidRPr="00A06D01">
        <w:t>-</w:t>
      </w:r>
      <w:r w:rsidR="005E2185">
        <w:t xml:space="preserve">lactamase </w:t>
      </w:r>
      <w:r w:rsidR="005E2185" w:rsidRPr="001D65FC">
        <w:t xml:space="preserve">and </w:t>
      </w:r>
      <w:r w:rsidR="005E2185" w:rsidRPr="00A94D3D">
        <w:rPr>
          <w:i/>
        </w:rPr>
        <w:t>Klebsiella</w:t>
      </w:r>
      <w:r w:rsidR="005E2185" w:rsidRPr="00EC0BC5">
        <w:rPr>
          <w:i/>
        </w:rPr>
        <w:t xml:space="preserve"> pneumoniae </w:t>
      </w:r>
      <w:r w:rsidR="005E2185" w:rsidRPr="00EC0BC5">
        <w:t xml:space="preserve">carbapenemases. </w:t>
      </w:r>
      <w:r>
        <w:t>A</w:t>
      </w:r>
      <w:r w:rsidR="00F60AA7">
        <w:t>vibactam</w:t>
      </w:r>
      <w:r w:rsidR="005E2185">
        <w:t xml:space="preserve"> is not active against </w:t>
      </w:r>
      <w:r w:rsidR="005E2185" w:rsidRPr="00EC0BC5">
        <w:t>Ambler</w:t>
      </w:r>
      <w:r w:rsidR="00D72D27">
        <w:t> </w:t>
      </w:r>
      <w:r w:rsidR="005E2185" w:rsidRPr="00EC0BC5">
        <w:t>structural class B metallo-</w:t>
      </w:r>
      <w:r w:rsidR="005E2185" w:rsidRPr="00B77914">
        <w:rPr>
          <w:rFonts w:hint="eastAsia"/>
        </w:rPr>
        <w:sym w:font="Symbol" w:char="F062"/>
      </w:r>
      <w:r w:rsidR="005E2185" w:rsidRPr="000A0CE7">
        <w:t xml:space="preserve">-lactamases, including </w:t>
      </w:r>
      <w:r w:rsidR="009E06E1" w:rsidRPr="009E06E1">
        <w:t xml:space="preserve">Verona integron-encoded metallo-β-lactamase </w:t>
      </w:r>
      <w:r w:rsidR="009E06E1">
        <w:t>(</w:t>
      </w:r>
      <w:r w:rsidR="005E2185" w:rsidRPr="000A0CE7">
        <w:t>VIM</w:t>
      </w:r>
      <w:r w:rsidR="009E06E1">
        <w:t>)</w:t>
      </w:r>
      <w:r w:rsidR="005E2185" w:rsidRPr="000A0CE7">
        <w:t xml:space="preserve">, </w:t>
      </w:r>
      <w:r w:rsidR="009E06E1" w:rsidRPr="009E06E1">
        <w:t xml:space="preserve">active-on-imipenem </w:t>
      </w:r>
      <w:r w:rsidR="009E06E1">
        <w:t>(</w:t>
      </w:r>
      <w:r w:rsidR="005E2185" w:rsidRPr="000A0CE7">
        <w:t>IMP</w:t>
      </w:r>
      <w:r w:rsidR="009E06E1">
        <w:t>)</w:t>
      </w:r>
      <w:r w:rsidR="005E2185" w:rsidRPr="001D65FC">
        <w:t xml:space="preserve"> and </w:t>
      </w:r>
      <w:r w:rsidR="009E06E1">
        <w:rPr>
          <w:lang w:val="en"/>
        </w:rPr>
        <w:t>New Delhi metallo</w:t>
      </w:r>
      <w:r w:rsidR="00D72D27">
        <w:rPr>
          <w:lang w:val="en"/>
        </w:rPr>
        <w:noBreakHyphen/>
      </w:r>
      <w:r w:rsidR="009E06E1">
        <w:rPr>
          <w:lang w:val="en"/>
        </w:rPr>
        <w:t>β</w:t>
      </w:r>
      <w:r w:rsidR="00D72D27">
        <w:rPr>
          <w:lang w:val="en"/>
        </w:rPr>
        <w:noBreakHyphen/>
      </w:r>
      <w:r w:rsidR="009E06E1">
        <w:rPr>
          <w:lang w:val="en"/>
        </w:rPr>
        <w:t>lactamase (</w:t>
      </w:r>
      <w:r w:rsidR="005E2185" w:rsidRPr="001D65FC">
        <w:t>NDM</w:t>
      </w:r>
      <w:r w:rsidR="009E06E1">
        <w:t>)</w:t>
      </w:r>
      <w:r w:rsidR="005E2185" w:rsidRPr="001D65FC">
        <w:t xml:space="preserve">-type enzymes, and most class D </w:t>
      </w:r>
      <w:r w:rsidR="005E2185" w:rsidRPr="00993E4D">
        <w:rPr>
          <w:rFonts w:hint="eastAsia"/>
        </w:rPr>
        <w:sym w:font="Symbol" w:char="F062"/>
      </w:r>
      <w:r w:rsidR="005E2185" w:rsidRPr="000A0CE7">
        <w:t>-</w:t>
      </w:r>
      <w:r w:rsidR="005E2185">
        <w:t>lactamases.</w:t>
      </w:r>
    </w:p>
    <w:p w14:paraId="1C39BAD4" w14:textId="77777777" w:rsidR="005E2185" w:rsidRDefault="005E2185" w:rsidP="009C6596">
      <w:pPr>
        <w:pStyle w:val="ListBullet"/>
      </w:pPr>
      <w:r>
        <w:t xml:space="preserve">The </w:t>
      </w:r>
      <w:r w:rsidR="00F60AA7">
        <w:t>ceftazidime</w:t>
      </w:r>
      <w:r w:rsidRPr="00336569">
        <w:t>/</w:t>
      </w:r>
      <w:r w:rsidR="00F60AA7">
        <w:t>avibactam</w:t>
      </w:r>
      <w:r w:rsidRPr="00336569">
        <w:t xml:space="preserve"> </w:t>
      </w:r>
      <w:r>
        <w:t xml:space="preserve">combination did not affect </w:t>
      </w:r>
      <w:r w:rsidRPr="00336569">
        <w:t xml:space="preserve">antibacterial </w:t>
      </w:r>
      <w:r>
        <w:t xml:space="preserve">activity of several commonly used antibiotics including </w:t>
      </w:r>
      <w:r w:rsidRPr="00336569">
        <w:t>levofloxacin</w:t>
      </w:r>
      <w:r>
        <w:t xml:space="preserve"> and </w:t>
      </w:r>
      <w:r w:rsidRPr="00336569">
        <w:t>vancomycin</w:t>
      </w:r>
      <w:r>
        <w:t xml:space="preserve"> against a number of bacteria species. </w:t>
      </w:r>
      <w:r w:rsidR="00AD0190">
        <w:t>A</w:t>
      </w:r>
      <w:r w:rsidR="00F60AA7">
        <w:t>vibactam</w:t>
      </w:r>
      <w:r>
        <w:t xml:space="preserve"> itself does not have antimicrobial activity.</w:t>
      </w:r>
    </w:p>
    <w:p w14:paraId="6DC110EF" w14:textId="77777777" w:rsidR="005E2185" w:rsidRDefault="00AD0190" w:rsidP="00AD0190">
      <w:pPr>
        <w:pStyle w:val="ListBullet"/>
      </w:pPr>
      <w:r>
        <w:t>A</w:t>
      </w:r>
      <w:r w:rsidR="00F60AA7">
        <w:t>vibactam</w:t>
      </w:r>
      <w:r w:rsidR="005E2185" w:rsidRPr="006308F2">
        <w:t xml:space="preserve"> showed no signi</w:t>
      </w:r>
      <w:r w:rsidR="005E2185">
        <w:t xml:space="preserve">ficant inhibition of </w:t>
      </w:r>
      <w:r>
        <w:t>cytochrome P450 (</w:t>
      </w:r>
      <w:r w:rsidR="005E2185">
        <w:t>CYP</w:t>
      </w:r>
      <w:r w:rsidR="005E2185" w:rsidRPr="006308F2">
        <w:t>450</w:t>
      </w:r>
      <w:r>
        <w:t>)</w:t>
      </w:r>
      <w:r w:rsidR="005E2185" w:rsidRPr="006308F2">
        <w:t xml:space="preserve"> </w:t>
      </w:r>
      <w:r w:rsidR="005E2185">
        <w:t>co</w:t>
      </w:r>
      <w:r w:rsidR="005E2185" w:rsidRPr="006308F2">
        <w:t xml:space="preserve">enzymes or </w:t>
      </w:r>
      <w:r w:rsidRPr="00AD0190">
        <w:t>UDP glucuronosyltransferase family 1 member A1</w:t>
      </w:r>
      <w:r>
        <w:t xml:space="preserve"> (</w:t>
      </w:r>
      <w:r w:rsidR="005E2185" w:rsidRPr="006308F2">
        <w:t>UGT1A1</w:t>
      </w:r>
      <w:r>
        <w:t>)</w:t>
      </w:r>
      <w:r w:rsidR="005E2185" w:rsidRPr="006308F2">
        <w:t>, and no CYP induction potential within the clinically relevant exposure range</w:t>
      </w:r>
      <w:r w:rsidR="005E2185">
        <w:t xml:space="preserve">. </w:t>
      </w:r>
      <w:r>
        <w:t>A</w:t>
      </w:r>
      <w:r w:rsidR="00F60AA7">
        <w:t>vibactam</w:t>
      </w:r>
      <w:r w:rsidR="005E2185">
        <w:t xml:space="preserve"> is not an inhibitor of most transporters and a weak inhibitor of </w:t>
      </w:r>
      <w:r w:rsidRPr="00AD0190">
        <w:t xml:space="preserve">organic anion transporter 1 </w:t>
      </w:r>
      <w:r>
        <w:t>(</w:t>
      </w:r>
      <w:r w:rsidR="005E2185">
        <w:t>OAT1</w:t>
      </w:r>
      <w:r>
        <w:t>)</w:t>
      </w:r>
      <w:r w:rsidR="005E2185">
        <w:t xml:space="preserve"> and </w:t>
      </w:r>
      <w:r>
        <w:t>organic anion transporter 3 (</w:t>
      </w:r>
      <w:r w:rsidR="005E2185">
        <w:t>OAT3</w:t>
      </w:r>
      <w:r>
        <w:t>)</w:t>
      </w:r>
      <w:r w:rsidR="005E2185">
        <w:t xml:space="preserve">. </w:t>
      </w:r>
      <w:r>
        <w:t>A</w:t>
      </w:r>
      <w:r w:rsidR="00F60AA7">
        <w:t>vibactam</w:t>
      </w:r>
      <w:r w:rsidR="005E2185">
        <w:t xml:space="preserve"> was</w:t>
      </w:r>
      <w:r w:rsidR="005E2185" w:rsidRPr="00970637">
        <w:t xml:space="preserve"> identified a</w:t>
      </w:r>
      <w:r w:rsidR="005E2185">
        <w:t>s a substrate for OAT1 and OAT3.</w:t>
      </w:r>
    </w:p>
    <w:p w14:paraId="22B38A53" w14:textId="77777777" w:rsidR="005E2185" w:rsidRDefault="005E2185" w:rsidP="009C6596">
      <w:pPr>
        <w:pStyle w:val="ListBullet"/>
      </w:pPr>
      <w:r>
        <w:t xml:space="preserve">Genotoxicity studies showed </w:t>
      </w:r>
      <w:r w:rsidR="00F60AA7">
        <w:t>avibactam</w:t>
      </w:r>
      <w:r>
        <w:t xml:space="preserve"> </w:t>
      </w:r>
      <w:r w:rsidRPr="00185090">
        <w:t>was negative in the Ames</w:t>
      </w:r>
      <w:r>
        <w:t xml:space="preserve"> </w:t>
      </w:r>
      <w:r w:rsidRPr="00185090">
        <w:t>assay</w:t>
      </w:r>
      <w:r>
        <w:t xml:space="preserve"> and</w:t>
      </w:r>
      <w:r w:rsidRPr="00185090">
        <w:t xml:space="preserve"> chromosomal aberration assay</w:t>
      </w:r>
      <w:r>
        <w:t>, as well as the</w:t>
      </w:r>
      <w:r w:rsidRPr="00185090">
        <w:t xml:space="preserve"> rat micronucleus test</w:t>
      </w:r>
      <w:r>
        <w:t>. No genotoxicity</w:t>
      </w:r>
      <w:r w:rsidRPr="00E211DC">
        <w:t xml:space="preserve"> studies </w:t>
      </w:r>
      <w:r>
        <w:t>were conducted with</w:t>
      </w:r>
      <w:r w:rsidRPr="00E211DC">
        <w:t xml:space="preserve"> the</w:t>
      </w:r>
      <w:r>
        <w:t xml:space="preserve"> </w:t>
      </w:r>
      <w:r w:rsidR="00F60AA7">
        <w:t>ceftazidime</w:t>
      </w:r>
      <w:r>
        <w:t>/</w:t>
      </w:r>
      <w:r w:rsidR="00F60AA7">
        <w:t>avibactam</w:t>
      </w:r>
      <w:r>
        <w:t xml:space="preserve"> </w:t>
      </w:r>
      <w:r w:rsidRPr="00E211DC">
        <w:t>combination</w:t>
      </w:r>
      <w:r>
        <w:t>. This is considered acceptable</w:t>
      </w:r>
      <w:r>
        <w:rPr>
          <w:rFonts w:hAnsiTheme="minorHAnsi"/>
          <w:lang w:eastAsia="en-AU"/>
        </w:rPr>
        <w:t>.</w:t>
      </w:r>
      <w:r>
        <w:t xml:space="preserve"> N</w:t>
      </w:r>
      <w:r w:rsidRPr="00185090">
        <w:t xml:space="preserve">o carcinogenicity studies </w:t>
      </w:r>
      <w:r>
        <w:t xml:space="preserve">were conducted </w:t>
      </w:r>
      <w:r w:rsidRPr="00185090">
        <w:t xml:space="preserve">with </w:t>
      </w:r>
      <w:r w:rsidR="00F60AA7">
        <w:t>avibactam</w:t>
      </w:r>
      <w:r>
        <w:t xml:space="preserve"> alone or </w:t>
      </w:r>
      <w:r w:rsidRPr="00185090">
        <w:t xml:space="preserve">with </w:t>
      </w:r>
      <w:r w:rsidR="00F60AA7">
        <w:t>ceftazidime</w:t>
      </w:r>
      <w:r>
        <w:t>/</w:t>
      </w:r>
      <w:r w:rsidR="00F60AA7">
        <w:t>avibactam</w:t>
      </w:r>
      <w:r>
        <w:t xml:space="preserve"> since </w:t>
      </w:r>
      <w:r w:rsidRPr="00185090">
        <w:t xml:space="preserve">the intended </w:t>
      </w:r>
      <w:r>
        <w:t xml:space="preserve">duration of therapy is less than </w:t>
      </w:r>
      <w:r w:rsidRPr="00185090">
        <w:t>28 days</w:t>
      </w:r>
      <w:r>
        <w:t>. This is in accordance with</w:t>
      </w:r>
      <w:r w:rsidRPr="00185090">
        <w:t xml:space="preserve"> </w:t>
      </w:r>
      <w:r>
        <w:t>applicable</w:t>
      </w:r>
      <w:r w:rsidR="00D72D27">
        <w:t xml:space="preserve"> International Conference on Harmonisation</w:t>
      </w:r>
      <w:r>
        <w:t xml:space="preserve"> </w:t>
      </w:r>
      <w:r w:rsidR="00D72D27">
        <w:t>(</w:t>
      </w:r>
      <w:r w:rsidRPr="00185090">
        <w:t>ICH</w:t>
      </w:r>
      <w:r w:rsidR="00D72D27">
        <w:t>)</w:t>
      </w:r>
      <w:r w:rsidRPr="00185090">
        <w:t xml:space="preserve"> guideline</w:t>
      </w:r>
      <w:r w:rsidR="00AD0190">
        <w:t>;</w:t>
      </w:r>
      <w:r w:rsidR="00AD0190">
        <w:rPr>
          <w:rStyle w:val="FootnoteReference"/>
        </w:rPr>
        <w:footnoteReference w:id="3"/>
      </w:r>
      <w:r>
        <w:t xml:space="preserve"> and is considered acceptable.</w:t>
      </w:r>
    </w:p>
    <w:p w14:paraId="5CCE6266" w14:textId="77777777" w:rsidR="005E2185" w:rsidRDefault="005E2185" w:rsidP="009C6596">
      <w:pPr>
        <w:pStyle w:val="ListBullet"/>
      </w:pPr>
      <w:r w:rsidRPr="00BD35EA">
        <w:t>Pregnancy Category B</w:t>
      </w:r>
      <w:r>
        <w:t>3</w:t>
      </w:r>
      <w:r w:rsidR="00AD0190">
        <w:t>;</w:t>
      </w:r>
      <w:r w:rsidR="00AD0190">
        <w:rPr>
          <w:rStyle w:val="FootnoteReference"/>
        </w:rPr>
        <w:footnoteReference w:id="4"/>
      </w:r>
      <w:r>
        <w:t xml:space="preserve"> </w:t>
      </w:r>
      <w:r w:rsidRPr="00BD35EA">
        <w:t xml:space="preserve">is </w:t>
      </w:r>
      <w:r>
        <w:t xml:space="preserve">considered </w:t>
      </w:r>
      <w:r w:rsidRPr="00BD35EA">
        <w:t xml:space="preserve">appropriate </w:t>
      </w:r>
      <w:r>
        <w:t xml:space="preserve">for </w:t>
      </w:r>
      <w:r w:rsidR="00F60AA7">
        <w:t>avibactam</w:t>
      </w:r>
      <w:r>
        <w:t xml:space="preserve"> due to the finding of</w:t>
      </w:r>
      <w:r w:rsidRPr="00BD35EA">
        <w:t xml:space="preserve"> </w:t>
      </w:r>
      <w:r>
        <w:t xml:space="preserve">increased pre and post-implantation losses observed </w:t>
      </w:r>
      <w:r w:rsidR="001245CD">
        <w:t>in rats dosed with 500 and 1000 </w:t>
      </w:r>
      <w:r>
        <w:t xml:space="preserve">mg/kg/day of </w:t>
      </w:r>
      <w:r w:rsidR="00F60AA7">
        <w:t>avibactam</w:t>
      </w:r>
      <w:r>
        <w:t xml:space="preserve"> (exposure ratio ≥</w:t>
      </w:r>
      <w:r w:rsidR="001245CD">
        <w:t xml:space="preserve"> 3) and decreased f</w:t>
      </w:r>
      <w:r>
        <w:t xml:space="preserve">etal weight and retarded ossification were seen in rabbits at 300 and 1000 mg/kg/day </w:t>
      </w:r>
      <w:r w:rsidR="00F60AA7">
        <w:t>avibactam</w:t>
      </w:r>
      <w:r w:rsidR="001245CD">
        <w:t xml:space="preserve"> (exposure ratio 5 to 21). No </w:t>
      </w:r>
      <w:r w:rsidR="009C6596" w:rsidRPr="002E3794">
        <w:rPr>
          <w:rFonts w:eastAsia="TimesNewRoman"/>
        </w:rPr>
        <w:t>reproductive toxicology studies</w:t>
      </w:r>
      <w:r w:rsidR="009C6596">
        <w:t xml:space="preserve"> </w:t>
      </w:r>
      <w:r>
        <w:t xml:space="preserve">were conducted with </w:t>
      </w:r>
      <w:r w:rsidR="00F60AA7">
        <w:t>ceftazidime</w:t>
      </w:r>
      <w:r>
        <w:t>/</w:t>
      </w:r>
      <w:r w:rsidR="00F60AA7">
        <w:t>avibactam</w:t>
      </w:r>
      <w:r>
        <w:t>.</w:t>
      </w:r>
    </w:p>
    <w:p w14:paraId="74A1D17F" w14:textId="1BF0D645" w:rsidR="005E2185" w:rsidRDefault="005E2185" w:rsidP="009C6596">
      <w:pPr>
        <w:pStyle w:val="ListBullet"/>
      </w:pPr>
      <w:r w:rsidRPr="00577A0B">
        <w:rPr>
          <w:i/>
        </w:rPr>
        <w:t xml:space="preserve">In vitro </w:t>
      </w:r>
      <w:r w:rsidRPr="00577A0B">
        <w:t xml:space="preserve">resistance development studies found that concentrations of </w:t>
      </w:r>
      <w:r w:rsidR="00F60AA7">
        <w:t>avibactam</w:t>
      </w:r>
      <w:r w:rsidRPr="00577A0B">
        <w:t xml:space="preserve"> greater than 32 mg/L</w:t>
      </w:r>
      <w:r w:rsidRPr="0067668B">
        <w:t xml:space="preserve"> induced </w:t>
      </w:r>
      <w:r w:rsidR="00D53B88">
        <w:rPr>
          <w:rFonts w:eastAsia="TimesNewRoman"/>
        </w:rPr>
        <w:t xml:space="preserve">AmpC </w:t>
      </w:r>
      <w:r w:rsidR="00D53B88" w:rsidRPr="00A05DD8">
        <w:rPr>
          <w:rFonts w:eastAsia="TimesNewRoman"/>
        </w:rPr>
        <w:sym w:font="Symbol" w:char="F062"/>
      </w:r>
      <w:r w:rsidR="00D53B88" w:rsidRPr="00A05DD8">
        <w:rPr>
          <w:rFonts w:eastAsia="TimesNewRoman"/>
        </w:rPr>
        <w:t>-</w:t>
      </w:r>
      <w:r w:rsidR="00D53B88">
        <w:rPr>
          <w:rFonts w:eastAsia="TimesNewRoman"/>
        </w:rPr>
        <w:t>lactamases (</w:t>
      </w:r>
      <w:r w:rsidRPr="0067668B">
        <w:t>AmpC</w:t>
      </w:r>
      <w:r w:rsidR="00D53B88">
        <w:t>)</w:t>
      </w:r>
      <w:r w:rsidRPr="0067668B">
        <w:t xml:space="preserve"> in 3 of 5 wild-type inducible isolates of </w:t>
      </w:r>
      <w:r w:rsidRPr="0067668B">
        <w:rPr>
          <w:i/>
        </w:rPr>
        <w:t>E</w:t>
      </w:r>
      <w:r w:rsidR="00D72D27">
        <w:rPr>
          <w:i/>
        </w:rPr>
        <w:t>nterobacter</w:t>
      </w:r>
      <w:r w:rsidRPr="0067668B">
        <w:rPr>
          <w:i/>
        </w:rPr>
        <w:t xml:space="preserve"> cloacae </w:t>
      </w:r>
      <w:r w:rsidRPr="0067668B">
        <w:t xml:space="preserve">and 4 of 5 isolates of </w:t>
      </w:r>
      <w:r w:rsidR="00D72D27">
        <w:rPr>
          <w:i/>
        </w:rPr>
        <w:t xml:space="preserve">Pseudomonas </w:t>
      </w:r>
      <w:r w:rsidRPr="001250B2">
        <w:rPr>
          <w:i/>
        </w:rPr>
        <w:lastRenderedPageBreak/>
        <w:t>aeruginosa</w:t>
      </w:r>
      <w:r w:rsidRPr="001250B2">
        <w:t>. Many resistant mutants obtained from</w:t>
      </w:r>
      <w:r w:rsidRPr="001A3D34">
        <w:rPr>
          <w:i/>
        </w:rPr>
        <w:t xml:space="preserve"> </w:t>
      </w:r>
      <w:r w:rsidRPr="001A3D34">
        <w:rPr>
          <w:i/>
          <w:iCs/>
        </w:rPr>
        <w:t>Enterobacteriaceae</w:t>
      </w:r>
      <w:r w:rsidRPr="001250B2">
        <w:rPr>
          <w:i/>
          <w:iCs/>
        </w:rPr>
        <w:t xml:space="preserve"> </w:t>
      </w:r>
      <w:r w:rsidRPr="001250B2">
        <w:t xml:space="preserve">and </w:t>
      </w:r>
      <w:r w:rsidRPr="001A3D34">
        <w:rPr>
          <w:i/>
          <w:iCs/>
        </w:rPr>
        <w:t>P.</w:t>
      </w:r>
      <w:r w:rsidRPr="001250B2">
        <w:rPr>
          <w:i/>
          <w:iCs/>
        </w:rPr>
        <w:t xml:space="preserve"> aeruginosa </w:t>
      </w:r>
      <w:r w:rsidRPr="00765A90">
        <w:t>exhibited increases to non-</w:t>
      </w:r>
      <w:r w:rsidRPr="00F50F5E">
        <w:sym w:font="Symbol" w:char="F062"/>
      </w:r>
      <w:r w:rsidRPr="00577A0B">
        <w:t xml:space="preserve">-lactam antibiotics, indicating a permeability or </w:t>
      </w:r>
      <w:r>
        <w:t>efflux mechanism of resistance.</w:t>
      </w:r>
    </w:p>
    <w:p w14:paraId="7EEEEB4C" w14:textId="77777777" w:rsidR="008E7846" w:rsidRDefault="008E7846" w:rsidP="008E7846">
      <w:pPr>
        <w:pStyle w:val="Heading3"/>
      </w:pPr>
      <w:bookmarkStart w:id="38" w:name="_Toc247691530"/>
      <w:bookmarkStart w:id="39" w:name="_Toc314842513"/>
      <w:bookmarkStart w:id="40" w:name="_Toc34385602"/>
      <w:r>
        <w:t>Clinical</w:t>
      </w:r>
      <w:bookmarkEnd w:id="38"/>
      <w:bookmarkEnd w:id="39"/>
      <w:bookmarkEnd w:id="40"/>
    </w:p>
    <w:p w14:paraId="2EC5ADAF" w14:textId="77777777" w:rsidR="005E2185" w:rsidRDefault="005E2185" w:rsidP="005E2185">
      <w:pPr>
        <w:rPr>
          <w:rFonts w:asciiTheme="minorHAnsi" w:hAnsiTheme="minorHAnsi"/>
        </w:rPr>
      </w:pPr>
      <w:bookmarkStart w:id="41" w:name="_Toc314842514"/>
      <w:r>
        <w:rPr>
          <w:rFonts w:asciiTheme="minorHAnsi" w:hAnsiTheme="minorHAnsi"/>
        </w:rPr>
        <w:t>The clinical dos</w:t>
      </w:r>
      <w:r w:rsidR="00D53B88">
        <w:rPr>
          <w:rFonts w:asciiTheme="minorHAnsi" w:hAnsiTheme="minorHAnsi"/>
        </w:rPr>
        <w:t>sier consisted of twelve Phase I</w:t>
      </w:r>
      <w:r>
        <w:rPr>
          <w:rFonts w:asciiTheme="minorHAnsi" w:hAnsiTheme="minorHAnsi"/>
        </w:rPr>
        <w:t xml:space="preserve"> studies of </w:t>
      </w:r>
      <w:r w:rsidR="00F60AA7">
        <w:rPr>
          <w:rFonts w:asciiTheme="minorHAnsi" w:hAnsiTheme="minorHAnsi"/>
        </w:rPr>
        <w:t>avibactam</w:t>
      </w:r>
      <w:r>
        <w:rPr>
          <w:rFonts w:asciiTheme="minorHAnsi" w:hAnsiTheme="minorHAnsi"/>
        </w:rPr>
        <w:t xml:space="preserve"> or </w:t>
      </w:r>
      <w:r w:rsidR="00F60AA7">
        <w:rPr>
          <w:rFonts w:asciiTheme="minorHAnsi" w:hAnsiTheme="minorHAnsi"/>
        </w:rPr>
        <w:t>ceftazidime</w:t>
      </w:r>
      <w:r w:rsidR="00D53B88">
        <w:rPr>
          <w:rFonts w:asciiTheme="minorHAnsi" w:hAnsiTheme="minorHAnsi"/>
        </w:rPr>
        <w:t>/</w:t>
      </w:r>
      <w:r w:rsidR="00F60AA7">
        <w:rPr>
          <w:rFonts w:asciiTheme="minorHAnsi" w:hAnsiTheme="minorHAnsi"/>
        </w:rPr>
        <w:t>avibactam</w:t>
      </w:r>
      <w:r w:rsidR="000D6BAF">
        <w:rPr>
          <w:rFonts w:asciiTheme="minorHAnsi" w:hAnsiTheme="minorHAnsi"/>
        </w:rPr>
        <w:t>, five Phase I</w:t>
      </w:r>
      <w:r>
        <w:rPr>
          <w:rFonts w:asciiTheme="minorHAnsi" w:hAnsiTheme="minorHAnsi"/>
        </w:rPr>
        <w:t xml:space="preserve"> studies of </w:t>
      </w:r>
      <w:r w:rsidR="000D6BAF">
        <w:rPr>
          <w:rFonts w:asciiTheme="minorHAnsi" w:eastAsiaTheme="minorHAnsi" w:hAnsiTheme="minorHAnsi" w:cs="Verdana"/>
        </w:rPr>
        <w:t>c</w:t>
      </w:r>
      <w:r w:rsidR="000D6BAF" w:rsidRPr="000B42EA">
        <w:rPr>
          <w:rFonts w:asciiTheme="minorHAnsi" w:eastAsiaTheme="minorHAnsi" w:hAnsiTheme="minorHAnsi" w:cs="Verdana"/>
        </w:rPr>
        <w:t>eftaroline fosamil avibactam</w:t>
      </w:r>
      <w:r>
        <w:rPr>
          <w:rFonts w:asciiTheme="minorHAnsi" w:hAnsiTheme="minorHAnsi"/>
        </w:rPr>
        <w:t>/</w:t>
      </w:r>
      <w:r w:rsidR="00F60AA7">
        <w:rPr>
          <w:rFonts w:asciiTheme="minorHAnsi" w:hAnsiTheme="minorHAnsi"/>
        </w:rPr>
        <w:t>avibactam</w:t>
      </w:r>
      <w:r>
        <w:rPr>
          <w:rFonts w:asciiTheme="minorHAnsi" w:hAnsiTheme="minorHAnsi"/>
        </w:rPr>
        <w:t xml:space="preserve"> (for </w:t>
      </w:r>
      <w:r w:rsidR="00F60AA7">
        <w:rPr>
          <w:rFonts w:asciiTheme="minorHAnsi" w:hAnsiTheme="minorHAnsi"/>
        </w:rPr>
        <w:t>avibactam</w:t>
      </w:r>
      <w:r w:rsidR="000D6BAF">
        <w:rPr>
          <w:rFonts w:asciiTheme="minorHAnsi" w:hAnsiTheme="minorHAnsi"/>
        </w:rPr>
        <w:t xml:space="preserve"> data), two Phase II</w:t>
      </w:r>
      <w:r>
        <w:rPr>
          <w:rFonts w:asciiTheme="minorHAnsi" w:hAnsiTheme="minorHAnsi"/>
        </w:rPr>
        <w:t xml:space="preserve"> studies of </w:t>
      </w:r>
      <w:r w:rsidR="00F60AA7">
        <w:rPr>
          <w:rFonts w:asciiTheme="minorHAnsi" w:hAnsiTheme="minorHAnsi"/>
        </w:rPr>
        <w:t>ceftazidime</w:t>
      </w:r>
      <w:r w:rsidR="00F53490">
        <w:rPr>
          <w:rFonts w:asciiTheme="minorHAnsi" w:hAnsiTheme="minorHAnsi"/>
        </w:rPr>
        <w:t>/</w:t>
      </w:r>
      <w:r w:rsidR="00F60AA7">
        <w:rPr>
          <w:rFonts w:asciiTheme="minorHAnsi" w:hAnsiTheme="minorHAnsi"/>
        </w:rPr>
        <w:t>avibactam</w:t>
      </w:r>
      <w:r w:rsidR="000D6BAF">
        <w:rPr>
          <w:rFonts w:asciiTheme="minorHAnsi" w:hAnsiTheme="minorHAnsi"/>
        </w:rPr>
        <w:t xml:space="preserve"> and five Phase III</w:t>
      </w:r>
      <w:r>
        <w:rPr>
          <w:rFonts w:asciiTheme="minorHAnsi" w:hAnsiTheme="minorHAnsi"/>
        </w:rPr>
        <w:t xml:space="preserve"> studies of </w:t>
      </w:r>
      <w:r w:rsidR="00F60AA7">
        <w:rPr>
          <w:rFonts w:asciiTheme="minorHAnsi" w:hAnsiTheme="minorHAnsi"/>
        </w:rPr>
        <w:t>ceftazidime</w:t>
      </w:r>
      <w:r>
        <w:rPr>
          <w:rFonts w:asciiTheme="minorHAnsi" w:hAnsiTheme="minorHAnsi"/>
        </w:rPr>
        <w:t>/</w:t>
      </w:r>
      <w:r w:rsidR="00F60AA7">
        <w:rPr>
          <w:rFonts w:asciiTheme="minorHAnsi" w:hAnsiTheme="minorHAnsi"/>
        </w:rPr>
        <w:t>avibactam</w:t>
      </w:r>
      <w:r>
        <w:rPr>
          <w:rFonts w:asciiTheme="minorHAnsi" w:hAnsiTheme="minorHAnsi"/>
        </w:rPr>
        <w:t>.</w:t>
      </w:r>
    </w:p>
    <w:p w14:paraId="70A4DBC7" w14:textId="77777777" w:rsidR="005E2185" w:rsidRDefault="005E2185" w:rsidP="005E2185">
      <w:pPr>
        <w:pStyle w:val="Heading4"/>
      </w:pPr>
      <w:r>
        <w:t>Pharmacokinetics</w:t>
      </w:r>
    </w:p>
    <w:p w14:paraId="7F904CE3" w14:textId="77777777" w:rsidR="005E2185" w:rsidRDefault="005E2185" w:rsidP="005E2185">
      <w:r>
        <w:t xml:space="preserve">Clinical studies have demonstrated lack of interaction between </w:t>
      </w:r>
      <w:r w:rsidR="00F60AA7">
        <w:t>ceftazidime</w:t>
      </w:r>
      <w:r>
        <w:t xml:space="preserve"> and </w:t>
      </w:r>
      <w:r w:rsidR="00F60AA7">
        <w:t>avibactam</w:t>
      </w:r>
      <w:r w:rsidR="000D6BAF">
        <w:t xml:space="preserve"> (S</w:t>
      </w:r>
      <w:r>
        <w:t xml:space="preserve">tudy D4280C00011) or between </w:t>
      </w:r>
      <w:r w:rsidR="00F60AA7">
        <w:t>ceftazidime</w:t>
      </w:r>
      <w:r>
        <w:t>/</w:t>
      </w:r>
      <w:r w:rsidR="00F60AA7">
        <w:t>avibactam</w:t>
      </w:r>
      <w:r w:rsidR="000D6BAF">
        <w:t xml:space="preserve"> and metronidazole (S</w:t>
      </w:r>
      <w:r w:rsidR="00A76C28">
        <w:t>tudy </w:t>
      </w:r>
      <w:r>
        <w:t xml:space="preserve">D4280C00012). Both </w:t>
      </w:r>
      <w:r w:rsidR="00F60AA7">
        <w:t>ceftazidime</w:t>
      </w:r>
      <w:r>
        <w:t xml:space="preserve"> and </w:t>
      </w:r>
      <w:r w:rsidR="00F60AA7">
        <w:t>avibactam</w:t>
      </w:r>
      <w:r>
        <w:t xml:space="preserve"> have simple (excreted unchanged by the kidneys; no meaningful enzyme inhibition or induction), linear pharmacokinetics. </w:t>
      </w:r>
      <w:r w:rsidR="00F60AA7">
        <w:t>avibactam</w:t>
      </w:r>
      <w:r>
        <w:t xml:space="preserve"> appears to have also some active renal tubular excretion in addition to the passive glomerular filtration. Summary</w:t>
      </w:r>
      <w:r w:rsidR="000D6BAF">
        <w:t xml:space="preserve"> of </w:t>
      </w:r>
      <w:r w:rsidR="00F53490">
        <w:t>pharmacokinetic (</w:t>
      </w:r>
      <w:r w:rsidR="000D6BAF">
        <w:t>PK</w:t>
      </w:r>
      <w:r w:rsidR="00F53490">
        <w:t>)</w:t>
      </w:r>
      <w:r w:rsidR="000D6BAF">
        <w:t xml:space="preserve"> features in non-Asian </w:t>
      </w:r>
      <w:r w:rsidR="00D72D27">
        <w:t xml:space="preserve">subjects </w:t>
      </w:r>
      <w:r w:rsidR="000D6BAF">
        <w:t>(versus</w:t>
      </w:r>
      <w:r w:rsidR="00F53490">
        <w:t xml:space="preserve"> Asian</w:t>
      </w:r>
      <w:r w:rsidR="00D72D27">
        <w:t xml:space="preserve"> subjects</w:t>
      </w:r>
      <w:r w:rsidR="00F53490">
        <w:t xml:space="preserve">) is shown in </w:t>
      </w:r>
      <w:r w:rsidR="00F53490">
        <w:fldChar w:fldCharType="begin"/>
      </w:r>
      <w:r w:rsidR="00F53490">
        <w:instrText xml:space="preserve"> REF _Ref30148957 \h </w:instrText>
      </w:r>
      <w:r w:rsidR="00F53490">
        <w:fldChar w:fldCharType="separate"/>
      </w:r>
      <w:r w:rsidR="00F53490">
        <w:t xml:space="preserve">Figure </w:t>
      </w:r>
      <w:r w:rsidR="00F53490">
        <w:rPr>
          <w:noProof/>
        </w:rPr>
        <w:t>1</w:t>
      </w:r>
      <w:r w:rsidR="00F53490">
        <w:fldChar w:fldCharType="end"/>
      </w:r>
      <w:r w:rsidR="00F53490">
        <w:t>.</w:t>
      </w:r>
    </w:p>
    <w:p w14:paraId="5DE29A5F" w14:textId="77777777" w:rsidR="009C6596" w:rsidRDefault="009C6596" w:rsidP="000D6BAF">
      <w:pPr>
        <w:pStyle w:val="FigureTitle"/>
        <w:rPr>
          <w:noProof/>
        </w:rPr>
      </w:pPr>
      <w:bookmarkStart w:id="42" w:name="_Ref30148957"/>
      <w:r>
        <w:t xml:space="preserve">Figure </w:t>
      </w:r>
      <w:fldSimple w:instr=" SEQ Figure \* ARABIC ">
        <w:r w:rsidR="00F53490">
          <w:rPr>
            <w:noProof/>
          </w:rPr>
          <w:t>1</w:t>
        </w:r>
      </w:fldSimple>
      <w:bookmarkEnd w:id="42"/>
      <w:r w:rsidR="000D6BAF">
        <w:rPr>
          <w:noProof/>
        </w:rPr>
        <w:t>:</w:t>
      </w:r>
      <w:r w:rsidR="00F53490">
        <w:t xml:space="preserve"> P</w:t>
      </w:r>
      <w:r w:rsidR="000D6BAF">
        <w:t>harmacokinetic</w:t>
      </w:r>
      <w:r w:rsidR="00F53490">
        <w:t xml:space="preserve"> parameters (geometric mean (</w:t>
      </w:r>
      <w:r w:rsidR="00F53490" w:rsidRPr="00F53490">
        <w:t xml:space="preserve">coefficient of variation </w:t>
      </w:r>
      <w:r w:rsidR="00F53490">
        <w:t>%)</w:t>
      </w:r>
      <w:r>
        <w:t xml:space="preserve"> for 2000 mg c</w:t>
      </w:r>
      <w:r w:rsidR="000D6BAF">
        <w:t xml:space="preserve">eftazidime + 500 mg avibactam 2 </w:t>
      </w:r>
      <w:r>
        <w:t xml:space="preserve">hour IV infusion </w:t>
      </w:r>
      <w:r w:rsidR="00F53490">
        <w:t>every 8 hours</w:t>
      </w:r>
      <w:r>
        <w:t xml:space="preserve"> in Japanese (Study D428C00010), Chinese (Study</w:t>
      </w:r>
      <w:r>
        <w:rPr>
          <w:noProof/>
        </w:rPr>
        <w:t xml:space="preserve"> D4280C00020) and non-Asian</w:t>
      </w:r>
      <w:r w:rsidR="000D6BAF">
        <w:rPr>
          <w:noProof/>
        </w:rPr>
        <w:t xml:space="preserve"> volunteers (Study D4280C00011)</w:t>
      </w:r>
    </w:p>
    <w:p w14:paraId="59491CBB" w14:textId="77777777" w:rsidR="005E2185" w:rsidRDefault="000D6BAF" w:rsidP="00346979">
      <w:r>
        <w:rPr>
          <w:noProof/>
          <w:lang w:eastAsia="en-AU"/>
        </w:rPr>
        <w:drawing>
          <wp:inline distT="0" distB="0" distL="0" distR="0" wp14:anchorId="53821ED3" wp14:editId="41E56C6E">
            <wp:extent cx="5400040" cy="4460875"/>
            <wp:effectExtent l="0" t="0" r="0" b="0"/>
            <wp:docPr id="1" name="Picture 1" descr="Pharmacokinetic parameters (geometric mean (coefficient of variation %) for 2000 mg ceftazidime + 500 mg avibactam 2 hour IV infusion every 8 hours in Japanese (Study D428C00010), Chinese (Study D4280C00020) and non-Asian volunteers (Study D4280C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4460875"/>
                    </a:xfrm>
                    <a:prstGeom prst="rect">
                      <a:avLst/>
                    </a:prstGeom>
                  </pic:spPr>
                </pic:pic>
              </a:graphicData>
            </a:graphic>
          </wp:inline>
        </w:drawing>
      </w:r>
    </w:p>
    <w:p w14:paraId="64E01330" w14:textId="77777777" w:rsidR="005E2185" w:rsidRPr="00F256E4" w:rsidRDefault="005E2185" w:rsidP="005E2185">
      <w:r w:rsidRPr="00F53490">
        <w:rPr>
          <w:i/>
        </w:rPr>
        <w:lastRenderedPageBreak/>
        <w:t>In vitro</w:t>
      </w:r>
      <w:r w:rsidRPr="00F256E4">
        <w:t xml:space="preserve"> uptake of </w:t>
      </w:r>
      <w:r w:rsidR="00F60AA7">
        <w:t>avibactam</w:t>
      </w:r>
      <w:r w:rsidRPr="00F256E4">
        <w:t xml:space="preserve"> is inhibited by probenecid. No clinical study has been done with probenecid. However, concomitant use of probenecid and </w:t>
      </w:r>
      <w:r w:rsidR="00F60AA7">
        <w:t>ceftazidime</w:t>
      </w:r>
      <w:r w:rsidRPr="00F256E4">
        <w:t>/</w:t>
      </w:r>
      <w:r w:rsidR="00F60AA7">
        <w:t>avibactam</w:t>
      </w:r>
      <w:r w:rsidRPr="00F256E4">
        <w:t xml:space="preserve"> is not recommended. The overall potential for drug-drug interactions (DDIs) with </w:t>
      </w:r>
      <w:r w:rsidR="00F60AA7">
        <w:t>ceftazidime</w:t>
      </w:r>
      <w:r w:rsidRPr="00F256E4">
        <w:t>/</w:t>
      </w:r>
      <w:r w:rsidR="00F60AA7">
        <w:t>avibactam</w:t>
      </w:r>
      <w:r w:rsidRPr="00F256E4">
        <w:t xml:space="preserve"> is considered low. Plasma protein binding is low (&lt;</w:t>
      </w:r>
      <w:r w:rsidR="00F53490">
        <w:t xml:space="preserve"> </w:t>
      </w:r>
      <w:r w:rsidRPr="00F256E4">
        <w:t xml:space="preserve">10% for each). There little or no accumulation on 8 hourly dosing. Both </w:t>
      </w:r>
      <w:r w:rsidR="00F60AA7">
        <w:t>ceftazidime</w:t>
      </w:r>
      <w:r w:rsidRPr="00F256E4">
        <w:t xml:space="preserve"> and </w:t>
      </w:r>
      <w:r w:rsidR="00F53490">
        <w:t>avibactam</w:t>
      </w:r>
      <w:r w:rsidRPr="00F256E4">
        <w:t xml:space="preserve"> are haemodialysable.</w:t>
      </w:r>
    </w:p>
    <w:p w14:paraId="034D0FCD" w14:textId="77777777" w:rsidR="005E2185" w:rsidRPr="00F256E4" w:rsidRDefault="005E2185" w:rsidP="005E2185">
      <w:pPr>
        <w:pStyle w:val="Heading4"/>
      </w:pPr>
      <w:r w:rsidRPr="00F256E4">
        <w:t>Pharmacodynamics</w:t>
      </w:r>
    </w:p>
    <w:p w14:paraId="3E63EC83" w14:textId="77777777" w:rsidR="005E2185" w:rsidRPr="00F256E4" w:rsidRDefault="005E2185" w:rsidP="005E2185">
      <w:r w:rsidRPr="00F256E4">
        <w:t xml:space="preserve">The mechanism of action of </w:t>
      </w:r>
      <w:r w:rsidR="00F60AA7">
        <w:t>avibactam</w:t>
      </w:r>
      <w:r w:rsidRPr="00F256E4">
        <w:t xml:space="preserve"> is inhibition of bacterial </w:t>
      </w:r>
      <w:r>
        <w:t>β</w:t>
      </w:r>
      <w:r w:rsidRPr="00F256E4">
        <w:t xml:space="preserve">-lactamases through acylation involving reversible covalent bonding. The mechanism of action of </w:t>
      </w:r>
      <w:r w:rsidR="00F60AA7">
        <w:t>ceftazidime</w:t>
      </w:r>
      <w:r w:rsidRPr="00F256E4">
        <w:t xml:space="preserve"> is bactericidal involving bacterial cell wall proteins resulting in inhibition of cell wall synthesis.</w:t>
      </w:r>
    </w:p>
    <w:p w14:paraId="1A752A8C" w14:textId="116DBF04" w:rsidR="005E2185" w:rsidRPr="00F256E4" w:rsidRDefault="005E2185" w:rsidP="005E2185">
      <w:r w:rsidRPr="00F256E4">
        <w:t xml:space="preserve">Like all cephalosporins, the microbiological effect of </w:t>
      </w:r>
      <w:r w:rsidR="00F60AA7">
        <w:t>ceftazidime</w:t>
      </w:r>
      <w:r w:rsidRPr="00F256E4">
        <w:t xml:space="preserve"> is a function of time (as </w:t>
      </w:r>
      <w:r w:rsidR="00D72D27">
        <w:t>the percentage</w:t>
      </w:r>
      <w:r w:rsidRPr="00F256E4">
        <w:t xml:space="preserve"> of dosing interval) during which (free drug) level of </w:t>
      </w:r>
      <w:r w:rsidR="00F60AA7">
        <w:t>ceftazidime</w:t>
      </w:r>
      <w:r w:rsidRPr="00F256E4">
        <w:t xml:space="preserve"> stays above the relevant m</w:t>
      </w:r>
      <w:r w:rsidR="00F53490">
        <w:t>inimum inhibitory concentration (</w:t>
      </w:r>
      <w:r w:rsidR="00F53490" w:rsidRPr="00F256E4">
        <w:t>MIC</w:t>
      </w:r>
      <w:r w:rsidR="00F53490">
        <w:t>)</w:t>
      </w:r>
      <w:r w:rsidRPr="00F256E4">
        <w:t xml:space="preserve"> for an organism.</w:t>
      </w:r>
    </w:p>
    <w:p w14:paraId="1BEDF5E2" w14:textId="237A8DEE" w:rsidR="005E2185" w:rsidRPr="00F256E4" w:rsidRDefault="00D72D27" w:rsidP="005E2185">
      <w:r>
        <w:t xml:space="preserve">Study </w:t>
      </w:r>
      <w:r w:rsidRPr="00F256E4">
        <w:t>D4280C00007</w:t>
      </w:r>
      <w:r>
        <w:t>, a</w:t>
      </w:r>
      <w:r w:rsidR="005E2185" w:rsidRPr="00F256E4">
        <w:t xml:space="preserve"> placebo-controlled, thorough QT study</w:t>
      </w:r>
      <w:r>
        <w:t>;</w:t>
      </w:r>
      <w:r>
        <w:rPr>
          <w:rStyle w:val="FootnoteReference"/>
        </w:rPr>
        <w:footnoteReference w:id="5"/>
      </w:r>
      <w:r>
        <w:t xml:space="preserve"> </w:t>
      </w:r>
      <w:r w:rsidR="005E2185" w:rsidRPr="00F256E4">
        <w:t xml:space="preserve">of </w:t>
      </w:r>
      <w:r w:rsidR="00F60AA7">
        <w:t>ceftazidime</w:t>
      </w:r>
      <w:r w:rsidR="005E2185" w:rsidRPr="00F256E4">
        <w:t>/</w:t>
      </w:r>
      <w:r w:rsidR="00F60AA7">
        <w:t>avibactam</w:t>
      </w:r>
      <w:r w:rsidR="00F53490">
        <w:t xml:space="preserve"> versus</w:t>
      </w:r>
      <w:r w:rsidR="005E2185" w:rsidRPr="00F256E4">
        <w:t xml:space="preserve"> moxifloxacin did not indicate clinically significant effect on cardiac conduction.</w:t>
      </w:r>
    </w:p>
    <w:p w14:paraId="12FE9B59" w14:textId="77777777" w:rsidR="005E2185" w:rsidRPr="00F256E4" w:rsidRDefault="005E2185" w:rsidP="005E2185">
      <w:pPr>
        <w:pStyle w:val="Heading4"/>
      </w:pPr>
      <w:r w:rsidRPr="00F256E4">
        <w:t>Clinical efficacy</w:t>
      </w:r>
    </w:p>
    <w:p w14:paraId="4C9A5A4E" w14:textId="77777777" w:rsidR="005E2185" w:rsidRDefault="00F53490" w:rsidP="005E2185">
      <w:r>
        <w:t>The 5 pivotal Phase III</w:t>
      </w:r>
      <w:r w:rsidR="005E2185">
        <w:t xml:space="preserve"> clinical t</w:t>
      </w:r>
      <w:r>
        <w:t>rials were preceded by 2 Phase II</w:t>
      </w:r>
      <w:r w:rsidR="005E2185">
        <w:t xml:space="preserve"> studies in </w:t>
      </w:r>
      <w:r>
        <w:t>complicated intra-abdominal infections (cIAI</w:t>
      </w:r>
      <w:r w:rsidR="005E2185">
        <w:t xml:space="preserve">) and </w:t>
      </w:r>
      <w:r>
        <w:t xml:space="preserve">complicated urinary tract infections (cUTI) patients, details shown in </w:t>
      </w:r>
      <w:r>
        <w:fldChar w:fldCharType="begin"/>
      </w:r>
      <w:r>
        <w:instrText xml:space="preserve"> REF _Ref30149309 \h </w:instrText>
      </w:r>
      <w:r>
        <w:fldChar w:fldCharType="separate"/>
      </w:r>
      <w:r>
        <w:t xml:space="preserve">Table </w:t>
      </w:r>
      <w:r>
        <w:rPr>
          <w:noProof/>
        </w:rPr>
        <w:t>3</w:t>
      </w:r>
      <w:r>
        <w:fldChar w:fldCharType="end"/>
      </w:r>
      <w:r>
        <w:t>.</w:t>
      </w:r>
    </w:p>
    <w:p w14:paraId="58874C49" w14:textId="77777777" w:rsidR="00F53490" w:rsidRDefault="00F53490" w:rsidP="00F53490">
      <w:pPr>
        <w:pStyle w:val="TableTitle"/>
      </w:pPr>
      <w:bookmarkStart w:id="43" w:name="_Ref30149309"/>
      <w:r>
        <w:t xml:space="preserve">Table </w:t>
      </w:r>
      <w:fldSimple w:instr=" SEQ Table \* ARABIC ">
        <w:r w:rsidR="00E82538">
          <w:rPr>
            <w:noProof/>
          </w:rPr>
          <w:t>3</w:t>
        </w:r>
      </w:fldSimple>
      <w:bookmarkEnd w:id="43"/>
      <w:r>
        <w:t xml:space="preserve">: Phase II studies of </w:t>
      </w:r>
      <w:r>
        <w:rPr>
          <w:rFonts w:asciiTheme="minorHAnsi" w:hAnsiTheme="minorHAnsi"/>
        </w:rPr>
        <w:t>ceftazidime/avibactam</w:t>
      </w:r>
    </w:p>
    <w:p w14:paraId="59866037" w14:textId="77777777" w:rsidR="005E2185" w:rsidRDefault="005E2185" w:rsidP="005E2185">
      <w:r>
        <w:rPr>
          <w:rFonts w:asciiTheme="minorHAnsi" w:hAnsiTheme="minorHAnsi"/>
          <w:noProof/>
          <w:lang w:eastAsia="en-AU"/>
        </w:rPr>
        <w:drawing>
          <wp:inline distT="0" distB="0" distL="0" distR="0" wp14:anchorId="197D8165" wp14:editId="7ED9B377">
            <wp:extent cx="5400040" cy="1529515"/>
            <wp:effectExtent l="0" t="0" r="0" b="0"/>
            <wp:docPr id="11" name="Picture 11" descr="Phase II studies of ceftazidime/avibact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_2017_CEU2\~acm2017\Feb 2019\DOV\dov\Captu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1529515"/>
                    </a:xfrm>
                    <a:prstGeom prst="rect">
                      <a:avLst/>
                    </a:prstGeom>
                    <a:noFill/>
                    <a:ln>
                      <a:noFill/>
                    </a:ln>
                  </pic:spPr>
                </pic:pic>
              </a:graphicData>
            </a:graphic>
          </wp:inline>
        </w:drawing>
      </w:r>
    </w:p>
    <w:p w14:paraId="1325F3B4" w14:textId="0886C698" w:rsidR="00F53490" w:rsidRDefault="00F53490" w:rsidP="00F53490">
      <w:pPr>
        <w:pStyle w:val="TableDescription"/>
      </w:pPr>
      <w:r>
        <w:t xml:space="preserve">CAZ-AVI = ceftazidime/avibactam, MTZ = </w:t>
      </w:r>
      <w:r>
        <w:rPr>
          <w:rFonts w:eastAsia="Calibri"/>
        </w:rPr>
        <w:t>m</w:t>
      </w:r>
      <w:r w:rsidRPr="00BE2381">
        <w:rPr>
          <w:rFonts w:eastAsia="Calibri"/>
        </w:rPr>
        <w:t>etronidazole</w:t>
      </w:r>
      <w:r w:rsidR="007713CB">
        <w:rPr>
          <w:rFonts w:eastAsia="Calibri"/>
        </w:rPr>
        <w:t>; q6h = 6 hourly; q8h = 8 hourly; TOC = test of cure.</w:t>
      </w:r>
    </w:p>
    <w:p w14:paraId="3202EC13" w14:textId="1B83416A" w:rsidR="005E2185" w:rsidRPr="00E449E6" w:rsidRDefault="00F53490" w:rsidP="005E2185">
      <w:r>
        <w:t>The 5 Phase III</w:t>
      </w:r>
      <w:r w:rsidR="005E2185" w:rsidRPr="00E449E6">
        <w:t xml:space="preserve"> trials (two in cIAI, one in cUTI, one in </w:t>
      </w:r>
      <w:r w:rsidR="00F60AA7">
        <w:t>ceftazidime</w:t>
      </w:r>
      <w:r w:rsidR="005E2185" w:rsidRPr="00E449E6">
        <w:t>-resistant cUTI/cIAI and one in hospital acquired pneumonia (HAP</w:t>
      </w:r>
      <w:r>
        <w:t>;</w:t>
      </w:r>
      <w:r w:rsidR="005E2185" w:rsidRPr="00E449E6">
        <w:t xml:space="preserve"> including ventilat</w:t>
      </w:r>
      <w:r>
        <w:t xml:space="preserve">or associated pneumonia (VAP), </w:t>
      </w:r>
      <w:r w:rsidR="005E2185" w:rsidRPr="00E449E6">
        <w:t>also referred to as nosocomial pneumonia (NP) indication) have been published.</w:t>
      </w:r>
      <w:r w:rsidR="008C1E7C" w:rsidRPr="007713CB">
        <w:rPr>
          <w:rStyle w:val="FootnoteReference"/>
        </w:rPr>
        <w:footnoteReference w:id="6"/>
      </w:r>
      <w:r w:rsidR="007713CB" w:rsidRPr="001A3D34">
        <w:rPr>
          <w:vertAlign w:val="superscript"/>
        </w:rPr>
        <w:t>,</w:t>
      </w:r>
      <w:r w:rsidR="00F011D2" w:rsidRPr="007713CB">
        <w:rPr>
          <w:rStyle w:val="FootnoteReference"/>
        </w:rPr>
        <w:footnoteReference w:id="7"/>
      </w:r>
      <w:r w:rsidR="007713CB" w:rsidRPr="001A3D34">
        <w:rPr>
          <w:vertAlign w:val="superscript"/>
        </w:rPr>
        <w:t>,</w:t>
      </w:r>
      <w:r w:rsidR="00F011D2" w:rsidRPr="007713CB">
        <w:rPr>
          <w:rStyle w:val="FootnoteReference"/>
        </w:rPr>
        <w:footnoteReference w:id="8"/>
      </w:r>
      <w:r w:rsidR="007713CB" w:rsidRPr="001A3D34">
        <w:rPr>
          <w:vertAlign w:val="superscript"/>
        </w:rPr>
        <w:t>,</w:t>
      </w:r>
      <w:r w:rsidR="00F011D2" w:rsidRPr="007713CB">
        <w:rPr>
          <w:rStyle w:val="FootnoteReference"/>
        </w:rPr>
        <w:footnoteReference w:id="9"/>
      </w:r>
      <w:r w:rsidR="007713CB" w:rsidRPr="001A3D34">
        <w:rPr>
          <w:vertAlign w:val="superscript"/>
        </w:rPr>
        <w:t>,</w:t>
      </w:r>
      <w:r w:rsidR="00F011D2" w:rsidRPr="007713CB">
        <w:rPr>
          <w:rStyle w:val="FootnoteReference"/>
        </w:rPr>
        <w:footnoteReference w:id="10"/>
      </w:r>
    </w:p>
    <w:p w14:paraId="35276AC5" w14:textId="3811F59B" w:rsidR="005E2185" w:rsidRPr="00E449E6" w:rsidRDefault="008C1E7C" w:rsidP="008C1E7C">
      <w:r>
        <w:lastRenderedPageBreak/>
        <w:t>Regarding dose selection, a</w:t>
      </w:r>
      <w:r w:rsidR="005E2185" w:rsidRPr="00E449E6">
        <w:t xml:space="preserve"> PK/</w:t>
      </w:r>
      <w:r w:rsidR="00F53490">
        <w:t>pharmacodynamic (</w:t>
      </w:r>
      <w:r w:rsidR="005E2185" w:rsidRPr="00E449E6">
        <w:t>PD</w:t>
      </w:r>
      <w:r w:rsidR="00F53490">
        <w:t>)</w:t>
      </w:r>
      <w:r w:rsidR="005E2185" w:rsidRPr="00E449E6">
        <w:t xml:space="preserve"> target of </w:t>
      </w:r>
      <w:r>
        <w:t>50% free drug concentration &gt; minimum inhibitory concentration over a dosing time interval</w:t>
      </w:r>
      <w:r w:rsidRPr="00E449E6">
        <w:t xml:space="preserve"> </w:t>
      </w:r>
      <w:r>
        <w:t>(</w:t>
      </w:r>
      <w:r w:rsidR="005E2185" w:rsidRPr="00E449E6">
        <w:t>50%T</w:t>
      </w:r>
      <w:r w:rsidR="002D3180">
        <w:t> </w:t>
      </w:r>
      <w:r w:rsidR="005E2185" w:rsidRPr="00E449E6">
        <w:t>&gt;</w:t>
      </w:r>
      <w:r w:rsidR="002D3180">
        <w:t> </w:t>
      </w:r>
      <w:r w:rsidR="005E2185" w:rsidRPr="00E449E6">
        <w:t>MIC</w:t>
      </w:r>
      <w:r>
        <w:t>)</w:t>
      </w:r>
      <w:r w:rsidR="005E2185" w:rsidRPr="00E449E6">
        <w:t xml:space="preserve"> for cephalosporins is an established target for prediction of clinical efficacy and interpretative criteria for MIC breakpoints. This was estimated for </w:t>
      </w:r>
      <w:r w:rsidR="00F60AA7">
        <w:t>avibactam</w:t>
      </w:r>
      <w:r w:rsidR="005E2185" w:rsidRPr="00E449E6">
        <w:t xml:space="preserve"> (in the presence of </w:t>
      </w:r>
      <w:r w:rsidR="00F60AA7">
        <w:t>ceftazidime</w:t>
      </w:r>
      <w:r w:rsidR="005E2185" w:rsidRPr="00E449E6">
        <w:t xml:space="preserve">) in </w:t>
      </w:r>
      <w:r w:rsidR="005E2185" w:rsidRPr="008C1E7C">
        <w:rPr>
          <w:i/>
        </w:rPr>
        <w:t>in vitro</w:t>
      </w:r>
      <w:r w:rsidR="005E2185" w:rsidRPr="00E449E6">
        <w:t xml:space="preserve"> and </w:t>
      </w:r>
      <w:r w:rsidR="005E2185" w:rsidRPr="008C1E7C">
        <w:rPr>
          <w:i/>
        </w:rPr>
        <w:t>in vivo</w:t>
      </w:r>
      <w:r w:rsidR="005E2185" w:rsidRPr="00E449E6">
        <w:t xml:space="preserve"> (animal models of infection) experiments and was based on clinical isolates in contemporary global surveillance studies for </w:t>
      </w:r>
      <w:r w:rsidR="00F60AA7">
        <w:t>ceftazidime</w:t>
      </w:r>
      <w:r>
        <w:t>. Dose selection for Phase III</w:t>
      </w:r>
      <w:r w:rsidR="005E2185" w:rsidRPr="00E449E6">
        <w:t xml:space="preserve"> studies (</w:t>
      </w:r>
      <w:r w:rsidR="00F60AA7">
        <w:t>ceftazidime</w:t>
      </w:r>
      <w:r w:rsidR="005E2185" w:rsidRPr="00E449E6">
        <w:t>/</w:t>
      </w:r>
      <w:r w:rsidR="00F60AA7">
        <w:t>avibactam</w:t>
      </w:r>
      <w:r w:rsidR="005E2185" w:rsidRPr="00E449E6">
        <w:t xml:space="preserve"> 2</w:t>
      </w:r>
      <w:r>
        <w:t>000</w:t>
      </w:r>
      <w:r w:rsidR="007713CB">
        <w:t> mg</w:t>
      </w:r>
      <w:r>
        <w:t>/500</w:t>
      </w:r>
      <w:r w:rsidR="007713CB">
        <w:t xml:space="preserve"> mg </w:t>
      </w:r>
      <w:r>
        <w:t>every 8 hours by IV infusion</w:t>
      </w:r>
      <w:r w:rsidR="005E2185" w:rsidRPr="00E449E6">
        <w:t xml:space="preserve"> over 120 minutes) and breakpoint justification was based on prediction of at least 90% of the patient population achieving plasma exposures that simultaneously achieved 50% T</w:t>
      </w:r>
      <w:r>
        <w:t xml:space="preserve"> </w:t>
      </w:r>
      <w:r w:rsidR="005E2185" w:rsidRPr="00E449E6">
        <w:t>&gt;</w:t>
      </w:r>
      <w:r>
        <w:t xml:space="preserve"> </w:t>
      </w:r>
      <w:r w:rsidR="00F60AA7">
        <w:t>ceftazidime</w:t>
      </w:r>
      <w:r w:rsidR="005E2185" w:rsidRPr="00E449E6">
        <w:t>/</w:t>
      </w:r>
      <w:r w:rsidR="00F60AA7">
        <w:t>avibactam</w:t>
      </w:r>
      <w:r w:rsidR="005E2185" w:rsidRPr="00E449E6">
        <w:t xml:space="preserve"> MIC of 8 mg/L for </w:t>
      </w:r>
      <w:r w:rsidR="00F60AA7">
        <w:t>ceftazidime</w:t>
      </w:r>
      <w:r w:rsidR="005E2185" w:rsidRPr="00E449E6">
        <w:t xml:space="preserve"> and 50%T</w:t>
      </w:r>
      <w:r>
        <w:t xml:space="preserve"> </w:t>
      </w:r>
      <w:r w:rsidR="005E2185" w:rsidRPr="00E449E6">
        <w:t>&gt;</w:t>
      </w:r>
      <w:r>
        <w:t xml:space="preserve"> c</w:t>
      </w:r>
      <w:r w:rsidRPr="008C1E7C">
        <w:t xml:space="preserve">ritical threshold concentration </w:t>
      </w:r>
      <w:r>
        <w:t>(</w:t>
      </w:r>
      <w:r w:rsidR="005E2185" w:rsidRPr="00E449E6">
        <w:t>CT</w:t>
      </w:r>
      <w:r>
        <w:t>)</w:t>
      </w:r>
      <w:r w:rsidR="005E2185" w:rsidRPr="00E449E6">
        <w:t xml:space="preserve"> of 1 mg/L for </w:t>
      </w:r>
      <w:r w:rsidR="00F60AA7">
        <w:t>avibactam</w:t>
      </w:r>
      <w:r w:rsidR="005E2185" w:rsidRPr="00E449E6">
        <w:t>.</w:t>
      </w:r>
    </w:p>
    <w:p w14:paraId="4437E78D" w14:textId="77777777" w:rsidR="005E2185" w:rsidRPr="00E449E6" w:rsidRDefault="005E2185" w:rsidP="005E2185">
      <w:r w:rsidRPr="00E449E6">
        <w:t xml:space="preserve">Clinical PK/PD targets for </w:t>
      </w:r>
      <w:r w:rsidR="00F60AA7">
        <w:t>ceftazidime</w:t>
      </w:r>
      <w:r w:rsidRPr="00E449E6">
        <w:t xml:space="preserve"> and </w:t>
      </w:r>
      <w:r w:rsidR="00F60AA7">
        <w:t>avibactam</w:t>
      </w:r>
      <w:r w:rsidRPr="00E449E6">
        <w:t xml:space="preserve"> could not be establis</w:t>
      </w:r>
      <w:r w:rsidR="008C1E7C">
        <w:t>hed using the subsequent Phase III</w:t>
      </w:r>
      <w:r w:rsidRPr="00E449E6">
        <w:t xml:space="preserve"> data (cIAI and cUTI populations) as there were few patients in ‘unfavourable’ overall microbiological response group and the HAP dataset was too small at that point. The pre-determined PK/PD targets (from non-clinical studies) were used to conduct p</w:t>
      </w:r>
      <w:r w:rsidR="008C1E7C">
        <w:t>robability of</w:t>
      </w:r>
      <w:r w:rsidR="007713CB">
        <w:t xml:space="preserve"> PK/PD</w:t>
      </w:r>
      <w:r w:rsidR="008C1E7C">
        <w:t xml:space="preserve"> target attainment</w:t>
      </w:r>
      <w:r w:rsidRPr="00E449E6">
        <w:t xml:space="preserve"> </w:t>
      </w:r>
      <w:r w:rsidR="008C1E7C">
        <w:t>(</w:t>
      </w:r>
      <w:r w:rsidR="008C1E7C" w:rsidRPr="00E449E6">
        <w:t>PTA</w:t>
      </w:r>
      <w:r w:rsidR="008C1E7C">
        <w:t>)</w:t>
      </w:r>
      <w:r w:rsidR="008C1E7C" w:rsidRPr="00E449E6">
        <w:t xml:space="preserve"> </w:t>
      </w:r>
      <w:r w:rsidRPr="00E449E6">
        <w:t xml:space="preserve">simulations to evaluate the </w:t>
      </w:r>
      <w:r w:rsidR="00F60AA7">
        <w:t>ceftazidime</w:t>
      </w:r>
      <w:r w:rsidRPr="00E449E6">
        <w:t>/</w:t>
      </w:r>
      <w:r w:rsidR="00F60AA7">
        <w:t>avibactam</w:t>
      </w:r>
      <w:r w:rsidRPr="00E449E6">
        <w:t xml:space="preserve"> dose and support the breakpoints.</w:t>
      </w:r>
    </w:p>
    <w:p w14:paraId="2FBAD9DA" w14:textId="77777777" w:rsidR="005E2185" w:rsidRDefault="005E2185" w:rsidP="005E2185">
      <w:r w:rsidRPr="00E449E6">
        <w:t>The final population PK models tha</w:t>
      </w:r>
      <w:r w:rsidR="008C1E7C">
        <w:t>t incorporated available Phase III</w:t>
      </w:r>
      <w:r w:rsidRPr="00E449E6">
        <w:t xml:space="preserve"> data were used to confirm th</w:t>
      </w:r>
      <w:r w:rsidR="008C1E7C">
        <w:t>at the dose selected for Phase III</w:t>
      </w:r>
      <w:r w:rsidRPr="00E449E6">
        <w:t xml:space="preserve"> studies achieved sufficient exposure in &gt;</w:t>
      </w:r>
      <w:r w:rsidR="008C1E7C">
        <w:t xml:space="preserve"> </w:t>
      </w:r>
      <w:r w:rsidRPr="00E449E6">
        <w:t xml:space="preserve">90% patients to meet the preclinical PK/PD targets. The exposure for </w:t>
      </w:r>
      <w:r w:rsidR="00F60AA7">
        <w:t>ceftazidime</w:t>
      </w:r>
      <w:r w:rsidRPr="00E449E6">
        <w:t xml:space="preserve"> and </w:t>
      </w:r>
      <w:r w:rsidR="00F60AA7">
        <w:t>avibactam</w:t>
      </w:r>
      <w:r w:rsidRPr="00E449E6">
        <w:t xml:space="preserve"> was compared in patients with cIAI, cUTI and HAP and shown to be broadly similar. The PTA analyses were also used to establish dose adjustments in patients with renal impairment.</w:t>
      </w:r>
    </w:p>
    <w:p w14:paraId="2E443A91" w14:textId="77777777" w:rsidR="00F011D2" w:rsidRPr="00E449E6" w:rsidRDefault="00F011D2" w:rsidP="002B67E1">
      <w:pPr>
        <w:pStyle w:val="TableTitle"/>
      </w:pPr>
      <w:r>
        <w:lastRenderedPageBreak/>
        <w:t xml:space="preserve">Table </w:t>
      </w:r>
      <w:fldSimple w:instr=" SEQ Table \* ARABIC ">
        <w:r w:rsidR="00E82538">
          <w:rPr>
            <w:noProof/>
          </w:rPr>
          <w:t>4</w:t>
        </w:r>
      </w:fldSimple>
      <w:r>
        <w:t>: P</w:t>
      </w:r>
      <w:r w:rsidR="002B67E1">
        <w:t>harmacology</w:t>
      </w:r>
      <w:r>
        <w:t xml:space="preserve"> parameters</w:t>
      </w:r>
      <w:r w:rsidR="002B67E1">
        <w:t xml:space="preserve"> in s</w:t>
      </w:r>
      <w:r>
        <w:t xml:space="preserve">imulated patients with cIAI by renal function receiving the revised dose regimens (moderate, severe 1, severe 2 renal impairment, and </w:t>
      </w:r>
      <w:r w:rsidR="002B67E1">
        <w:t>end stage renal disease</w:t>
      </w:r>
      <w:r>
        <w:t>) and original dose regimen (normal renal function and mild renal impairment) with ceftazidime-avibactam given</w:t>
      </w:r>
      <w:r w:rsidR="002B67E1">
        <w:t xml:space="preserve"> as a 120 minute intravenous infusion</w:t>
      </w:r>
    </w:p>
    <w:p w14:paraId="0A879343" w14:textId="77777777" w:rsidR="005E2185" w:rsidRDefault="005E2185" w:rsidP="001D06C7">
      <w:r>
        <w:rPr>
          <w:noProof/>
          <w:lang w:eastAsia="en-AU"/>
        </w:rPr>
        <w:drawing>
          <wp:inline distT="0" distB="0" distL="0" distR="0" wp14:anchorId="00C6C9C8" wp14:editId="6537A059">
            <wp:extent cx="5400040" cy="2873375"/>
            <wp:effectExtent l="0" t="0" r="0" b="3175"/>
            <wp:docPr id="2" name="Picture 2" descr="Pharmacology parameters in simulated patients with cIAI by renal function receiving the revised dose regimens (moderate, severe 1, severe 2 renal impairment, and end stage renal disease) and original dose regimen (normal renal function and mild renal impairment) with ceftazidime-avibactam given as a 120 minute intravenous in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6">
                      <a:extLst>
                        <a:ext uri="{28A0092B-C50C-407E-A947-70E740481C1C}">
                          <a14:useLocalDpi xmlns:a14="http://schemas.microsoft.com/office/drawing/2010/main" val="0"/>
                        </a:ext>
                      </a:extLst>
                    </a:blip>
                    <a:stretch>
                      <a:fillRect/>
                    </a:stretch>
                  </pic:blipFill>
                  <pic:spPr>
                    <a:xfrm>
                      <a:off x="0" y="0"/>
                      <a:ext cx="5400040" cy="2873375"/>
                    </a:xfrm>
                    <a:prstGeom prst="rect">
                      <a:avLst/>
                    </a:prstGeom>
                  </pic:spPr>
                </pic:pic>
              </a:graphicData>
            </a:graphic>
          </wp:inline>
        </w:drawing>
      </w:r>
    </w:p>
    <w:p w14:paraId="0E2928DD" w14:textId="5EAA4D2E" w:rsidR="005E2185" w:rsidRDefault="002B67E1" w:rsidP="005E2185">
      <w:r>
        <w:t>The designs of the 5 Phase III</w:t>
      </w:r>
      <w:r w:rsidR="005E2185">
        <w:t xml:space="preserve"> studies were as follows (all were double-blind except </w:t>
      </w:r>
      <w:r w:rsidR="00FD2E20">
        <w:t xml:space="preserve">the </w:t>
      </w:r>
      <w:r w:rsidR="005E2185">
        <w:t>REPRISE</w:t>
      </w:r>
      <w:r w:rsidR="00FD2E20">
        <w:t xml:space="preserve"> trial</w:t>
      </w:r>
      <w:r w:rsidR="005E2185">
        <w:t xml:space="preserve"> which was open-label treatment nominally compared wi</w:t>
      </w:r>
      <w:r>
        <w:t>th the best available therapy (</w:t>
      </w:r>
      <w:r w:rsidR="005E2185">
        <w:t>BAT</w:t>
      </w:r>
      <w:r>
        <w:t>))</w:t>
      </w:r>
    </w:p>
    <w:p w14:paraId="5C11709D" w14:textId="77777777" w:rsidR="002B67E1" w:rsidRDefault="002B67E1" w:rsidP="001D06C7">
      <w:pPr>
        <w:pStyle w:val="TableTitle"/>
      </w:pPr>
      <w:r>
        <w:t xml:space="preserve">Table </w:t>
      </w:r>
      <w:fldSimple w:instr=" SEQ Table \* ARABIC ">
        <w:r w:rsidR="00E82538">
          <w:rPr>
            <w:noProof/>
          </w:rPr>
          <w:t>5</w:t>
        </w:r>
      </w:fldSimple>
      <w:r>
        <w:t>: Designs of the five Phase III studies</w:t>
      </w:r>
    </w:p>
    <w:p w14:paraId="241A1812" w14:textId="77777777" w:rsidR="005E2185" w:rsidRDefault="005E2185" w:rsidP="001D06C7">
      <w:r>
        <w:rPr>
          <w:noProof/>
          <w:lang w:eastAsia="en-AU"/>
        </w:rPr>
        <w:drawing>
          <wp:inline distT="0" distB="0" distL="0" distR="0" wp14:anchorId="220F53FF" wp14:editId="41161E86">
            <wp:extent cx="5400040" cy="3690960"/>
            <wp:effectExtent l="0" t="0" r="0" b="5080"/>
            <wp:docPr id="3" name="Picture 3" descr="Designs of the five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_2017_CEU2\~acm2017\Feb 2019\tables\phase 3 studi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3690960"/>
                    </a:xfrm>
                    <a:prstGeom prst="rect">
                      <a:avLst/>
                    </a:prstGeom>
                    <a:noFill/>
                    <a:ln>
                      <a:noFill/>
                    </a:ln>
                  </pic:spPr>
                </pic:pic>
              </a:graphicData>
            </a:graphic>
          </wp:inline>
        </w:drawing>
      </w:r>
    </w:p>
    <w:p w14:paraId="181A26A2" w14:textId="122E8344" w:rsidR="005E2185" w:rsidRDefault="002B67E1" w:rsidP="005E2185">
      <w:r>
        <w:t>In general, clinical c</w:t>
      </w:r>
      <w:r w:rsidR="005E2185" w:rsidRPr="00986559">
        <w:t xml:space="preserve">ure/response (using modified </w:t>
      </w:r>
      <w:r w:rsidR="009D221D">
        <w:t>intent to treat (M</w:t>
      </w:r>
      <w:r w:rsidR="005E2185" w:rsidRPr="00986559">
        <w:t>ITT</w:t>
      </w:r>
      <w:r w:rsidR="009D221D">
        <w:t>)</w:t>
      </w:r>
      <w:r w:rsidR="005E2185" w:rsidRPr="00986559">
        <w:t xml:space="preserve"> or clinically evaluable population sets) and </w:t>
      </w:r>
      <w:r w:rsidRPr="00986559">
        <w:t>microbiological response</w:t>
      </w:r>
      <w:r w:rsidR="005E2185" w:rsidRPr="00986559">
        <w:t xml:space="preserve">/cure (using microbiological </w:t>
      </w:r>
      <w:r w:rsidR="009D221D" w:rsidRPr="00986559">
        <w:t xml:space="preserve">modified </w:t>
      </w:r>
      <w:r w:rsidR="009D221D">
        <w:t>intent to treat</w:t>
      </w:r>
      <w:r w:rsidR="009D221D" w:rsidRPr="00986559">
        <w:t xml:space="preserve"> </w:t>
      </w:r>
      <w:r w:rsidR="009D221D">
        <w:t>(m</w:t>
      </w:r>
      <w:r w:rsidR="005E2185" w:rsidRPr="00986559">
        <w:t>MITT</w:t>
      </w:r>
      <w:r w:rsidR="009D221D">
        <w:t>)</w:t>
      </w:r>
      <w:r w:rsidR="005E2185" w:rsidRPr="00986559">
        <w:t xml:space="preserve"> or microbiologically evaluable population sets) were </w:t>
      </w:r>
      <w:r w:rsidR="005E2185" w:rsidRPr="00986559">
        <w:lastRenderedPageBreak/>
        <w:t xml:space="preserve">assessed primarily at </w:t>
      </w:r>
      <w:r w:rsidR="009D221D" w:rsidRPr="00986559">
        <w:t xml:space="preserve">test of cure </w:t>
      </w:r>
      <w:r w:rsidR="005E2185" w:rsidRPr="00986559">
        <w:t>(TOC) time</w:t>
      </w:r>
      <w:r w:rsidR="009D221D">
        <w:t xml:space="preserve"> point at 3 to </w:t>
      </w:r>
      <w:r w:rsidR="005E2185" w:rsidRPr="00986559">
        <w:t>4 weeks post randomisation follo</w:t>
      </w:r>
      <w:r w:rsidR="009D221D">
        <w:t xml:space="preserve">wing 5 to </w:t>
      </w:r>
      <w:r w:rsidR="005E2185" w:rsidRPr="00986559">
        <w:t xml:space="preserve">14 days of treatment (except </w:t>
      </w:r>
      <w:r w:rsidR="00FD2E20">
        <w:t xml:space="preserve">the </w:t>
      </w:r>
      <w:r w:rsidR="005E2185" w:rsidRPr="00986559">
        <w:t>REPRISE</w:t>
      </w:r>
      <w:r w:rsidR="00FD2E20">
        <w:t xml:space="preserve"> trial</w:t>
      </w:r>
      <w:r w:rsidR="005E2185" w:rsidRPr="00986559">
        <w:t>). Other time</w:t>
      </w:r>
      <w:r w:rsidR="009D221D">
        <w:t xml:space="preserve"> </w:t>
      </w:r>
      <w:r w:rsidR="005E2185" w:rsidRPr="00986559">
        <w:t>po</w:t>
      </w:r>
      <w:r w:rsidR="009D221D">
        <w:t>ints were end of treatment (EOT)</w:t>
      </w:r>
      <w:r w:rsidR="000721C6">
        <w:t xml:space="preserve"> and last follow up visit (LFU)</w:t>
      </w:r>
      <w:r w:rsidR="005E2185" w:rsidRPr="00986559">
        <w:t xml:space="preserve">. For the cIAI indication, </w:t>
      </w:r>
      <w:r w:rsidR="00F60AA7">
        <w:t>ceftazidime</w:t>
      </w:r>
      <w:r w:rsidR="005E2185" w:rsidRPr="00986559">
        <w:t>/</w:t>
      </w:r>
      <w:r w:rsidR="00F60AA7">
        <w:t>avibactam</w:t>
      </w:r>
      <w:r w:rsidR="005E2185" w:rsidRPr="00986559">
        <w:t xml:space="preserve"> was used in combination with metronidazole. The comparator in all cases was mer</w:t>
      </w:r>
      <w:r w:rsidR="000721C6">
        <w:t xml:space="preserve">openem except in the cUTI </w:t>
      </w:r>
      <w:r w:rsidR="005E2185" w:rsidRPr="00986559">
        <w:t>RECAPTURE</w:t>
      </w:r>
      <w:r w:rsidR="00FD2E20">
        <w:t xml:space="preserve"> trial</w:t>
      </w:r>
      <w:r w:rsidR="005E2185" w:rsidRPr="00986559">
        <w:t xml:space="preserve">, in which the comparator was doripenem. All trials (except </w:t>
      </w:r>
      <w:r w:rsidR="00FD2E20">
        <w:t xml:space="preserve">the </w:t>
      </w:r>
      <w:r w:rsidR="005E2185" w:rsidRPr="00986559">
        <w:t>REPRISE</w:t>
      </w:r>
      <w:r w:rsidR="00FD2E20">
        <w:t xml:space="preserve"> trial</w:t>
      </w:r>
      <w:r w:rsidR="005E2185" w:rsidRPr="00986559">
        <w:t>) w</w:t>
      </w:r>
      <w:r w:rsidR="000721C6">
        <w:t>ere designed as therapeutic non</w:t>
      </w:r>
      <w:r w:rsidR="000721C6">
        <w:noBreakHyphen/>
      </w:r>
      <w:r w:rsidR="005E2185" w:rsidRPr="00986559">
        <w:t>inferiority trials. Pivotal results were a</w:t>
      </w:r>
      <w:r w:rsidR="000721C6">
        <w:t>s follows, below.</w:t>
      </w:r>
    </w:p>
    <w:p w14:paraId="3E48E241" w14:textId="3F9B434C" w:rsidR="002B67E1" w:rsidRDefault="002B67E1" w:rsidP="002B67E1">
      <w:pPr>
        <w:pStyle w:val="Heading5"/>
      </w:pPr>
      <w:r>
        <w:t xml:space="preserve">RECLAIM </w:t>
      </w:r>
      <w:r w:rsidR="00FD2E20">
        <w:t xml:space="preserve">trial </w:t>
      </w:r>
      <w:r>
        <w:t>(</w:t>
      </w:r>
      <w:r w:rsidR="00AF437C">
        <w:t xml:space="preserve">RECLAIM 1 + 2; </w:t>
      </w:r>
      <w:r w:rsidR="00FD2E20" w:rsidRPr="000B42EA">
        <w:rPr>
          <w:rFonts w:asciiTheme="minorHAnsi" w:eastAsiaTheme="minorHAnsi" w:hAnsiTheme="minorHAnsi" w:cs="Verdana"/>
        </w:rPr>
        <w:t xml:space="preserve">Studies D4280C00001 and D4280C00005, in patients with </w:t>
      </w:r>
      <w:r w:rsidR="00FD2E20">
        <w:rPr>
          <w:rFonts w:asciiTheme="minorHAnsi" w:eastAsiaTheme="minorHAnsi" w:hAnsiTheme="minorHAnsi" w:cs="Verdana"/>
        </w:rPr>
        <w:t>complicated intra-abdominal infection)</w:t>
      </w:r>
      <w:r>
        <w:t>)</w:t>
      </w:r>
    </w:p>
    <w:p w14:paraId="0D1CA372" w14:textId="77777777" w:rsidR="005E2185" w:rsidRDefault="005E2185" w:rsidP="005E2185">
      <w:r w:rsidRPr="00986559">
        <w:t>Clinical cure at TOC using MITT</w:t>
      </w:r>
      <w:r w:rsidR="000721C6">
        <w:t xml:space="preserve"> population was achieved by 429 out of </w:t>
      </w:r>
      <w:r w:rsidRPr="00986559">
        <w:t xml:space="preserve">520 (82.5%) </w:t>
      </w:r>
      <w:r w:rsidR="00F60AA7">
        <w:t>ceftazidime</w:t>
      </w:r>
      <w:r w:rsidRPr="00986559">
        <w:t>/</w:t>
      </w:r>
      <w:r w:rsidR="00F60AA7">
        <w:t>avibactam</w:t>
      </w:r>
      <w:r w:rsidR="000721C6">
        <w:t xml:space="preserve"> </w:t>
      </w:r>
      <w:r w:rsidRPr="00986559">
        <w:t>+</w:t>
      </w:r>
      <w:r w:rsidR="000721C6">
        <w:t xml:space="preserve"> </w:t>
      </w:r>
      <w:r w:rsidR="000721C6">
        <w:rPr>
          <w:rFonts w:eastAsia="Calibri"/>
        </w:rPr>
        <w:t>m</w:t>
      </w:r>
      <w:r w:rsidR="000721C6" w:rsidRPr="00BE2381">
        <w:rPr>
          <w:rFonts w:eastAsia="Calibri"/>
        </w:rPr>
        <w:t>etronidazole</w:t>
      </w:r>
      <w:r w:rsidRPr="00986559">
        <w:t xml:space="preserve"> tre</w:t>
      </w:r>
      <w:r w:rsidR="000721C6">
        <w:t xml:space="preserve">ated patients compared with 444 out of </w:t>
      </w:r>
      <w:r w:rsidRPr="00986559">
        <w:t>523 (84.9%) meropenem treated patients. The treatment difference was -2.4% (95%</w:t>
      </w:r>
      <w:r w:rsidR="000721C6">
        <w:t xml:space="preserve"> confidence interval (</w:t>
      </w:r>
      <w:r w:rsidRPr="00986559">
        <w:t>CI</w:t>
      </w:r>
      <w:r w:rsidR="000721C6">
        <w:t>)</w:t>
      </w:r>
      <w:r w:rsidRPr="00986559">
        <w:t xml:space="preserve"> -6.9%</w:t>
      </w:r>
      <w:r w:rsidR="000721C6">
        <w:t xml:space="preserve">, 2.1%), </w:t>
      </w:r>
      <w:r w:rsidR="000721C6">
        <w:fldChar w:fldCharType="begin"/>
      </w:r>
      <w:r w:rsidR="000721C6">
        <w:instrText xml:space="preserve"> REF _Ref30151943 \h </w:instrText>
      </w:r>
      <w:r w:rsidR="000721C6">
        <w:fldChar w:fldCharType="separate"/>
      </w:r>
      <w:r w:rsidR="000721C6">
        <w:t xml:space="preserve">Table </w:t>
      </w:r>
      <w:r w:rsidR="000721C6">
        <w:rPr>
          <w:noProof/>
        </w:rPr>
        <w:t>6</w:t>
      </w:r>
      <w:r w:rsidR="000721C6">
        <w:fldChar w:fldCharType="end"/>
      </w:r>
      <w:r w:rsidR="000721C6">
        <w:t>.</w:t>
      </w:r>
    </w:p>
    <w:p w14:paraId="1EB6F900" w14:textId="1FFACDBE" w:rsidR="000721C6" w:rsidRDefault="000721C6" w:rsidP="000721C6">
      <w:pPr>
        <w:pStyle w:val="TableTitle"/>
      </w:pPr>
      <w:bookmarkStart w:id="44" w:name="_Ref30151943"/>
      <w:r>
        <w:t xml:space="preserve">Table </w:t>
      </w:r>
      <w:fldSimple w:instr=" SEQ Table \* ARABIC ">
        <w:r w:rsidR="00E82538">
          <w:rPr>
            <w:noProof/>
          </w:rPr>
          <w:t>6</w:t>
        </w:r>
      </w:fldSimple>
      <w:bookmarkEnd w:id="44"/>
      <w:r>
        <w:t xml:space="preserve">: RECLAIM </w:t>
      </w:r>
      <w:r w:rsidR="00FD2E20">
        <w:t xml:space="preserve">trial </w:t>
      </w:r>
      <w:r>
        <w:t>clinical response by visit (modified intent to treat analysis set)</w:t>
      </w:r>
    </w:p>
    <w:p w14:paraId="6C7B2B65" w14:textId="77777777" w:rsidR="005E2185" w:rsidRDefault="005E2185" w:rsidP="001D06C7">
      <w:r>
        <w:rPr>
          <w:noProof/>
          <w:lang w:eastAsia="en-AU"/>
        </w:rPr>
        <w:drawing>
          <wp:inline distT="0" distB="0" distL="0" distR="0" wp14:anchorId="089DE010" wp14:editId="2BA97013">
            <wp:extent cx="5321780" cy="3108960"/>
            <wp:effectExtent l="0" t="0" r="0" b="0"/>
            <wp:docPr id="4" name="Picture 4" descr="Study RECLAIM clinical response by visit (modified intent to trea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JPG"/>
                    <pic:cNvPicPr/>
                  </pic:nvPicPr>
                  <pic:blipFill>
                    <a:blip r:embed="rId18">
                      <a:extLst>
                        <a:ext uri="{28A0092B-C50C-407E-A947-70E740481C1C}">
                          <a14:useLocalDpi xmlns:a14="http://schemas.microsoft.com/office/drawing/2010/main" val="0"/>
                        </a:ext>
                      </a:extLst>
                    </a:blip>
                    <a:stretch>
                      <a:fillRect/>
                    </a:stretch>
                  </pic:blipFill>
                  <pic:spPr>
                    <a:xfrm>
                      <a:off x="0" y="0"/>
                      <a:ext cx="5332852" cy="3115428"/>
                    </a:xfrm>
                    <a:prstGeom prst="rect">
                      <a:avLst/>
                    </a:prstGeom>
                  </pic:spPr>
                </pic:pic>
              </a:graphicData>
            </a:graphic>
          </wp:inline>
        </w:drawing>
      </w:r>
    </w:p>
    <w:p w14:paraId="4C3CBCF3" w14:textId="77777777" w:rsidR="00FD2E20" w:rsidRPr="00FD2E20" w:rsidRDefault="00FD2E20" w:rsidP="001A3D34">
      <w:pPr>
        <w:pStyle w:val="TableDescription"/>
      </w:pPr>
      <w:r>
        <w:t>EOT = end of treatment; TOC = test of cure; LFU = last follow up; CAZ-AVI = ceftazidime/avibactam</w:t>
      </w:r>
    </w:p>
    <w:p w14:paraId="51298879" w14:textId="77777777" w:rsidR="005E2185" w:rsidRDefault="005E2185" w:rsidP="000721C6">
      <w:r w:rsidRPr="00986559">
        <w:t>Clinical response</w:t>
      </w:r>
      <w:r w:rsidR="000721C6">
        <w:t xml:space="preserve"> using clinically evaluable</w:t>
      </w:r>
      <w:r w:rsidRPr="00986559">
        <w:t xml:space="preserve"> population was consistent with the MITT analysis. For</w:t>
      </w:r>
      <w:r>
        <w:t xml:space="preserve"> microbiological response, see </w:t>
      </w:r>
      <w:r w:rsidR="0049486C">
        <w:fldChar w:fldCharType="begin"/>
      </w:r>
      <w:r w:rsidR="0049486C">
        <w:instrText xml:space="preserve"> REF _Ref30152107 \h </w:instrText>
      </w:r>
      <w:r w:rsidR="0049486C">
        <w:fldChar w:fldCharType="separate"/>
      </w:r>
      <w:r w:rsidR="0049486C">
        <w:t xml:space="preserve">Table </w:t>
      </w:r>
      <w:r w:rsidR="0049486C">
        <w:rPr>
          <w:noProof/>
        </w:rPr>
        <w:t>7</w:t>
      </w:r>
      <w:r w:rsidR="0049486C">
        <w:fldChar w:fldCharType="end"/>
      </w:r>
      <w:r w:rsidR="0049486C">
        <w:t xml:space="preserve">, </w:t>
      </w:r>
      <w:r>
        <w:t>below.</w:t>
      </w:r>
      <w:r w:rsidRPr="00986559">
        <w:t xml:space="preserve"> Efficacy in patients with baseline renal impairment was significantly lower than in pati</w:t>
      </w:r>
      <w:r w:rsidR="0049486C">
        <w:t xml:space="preserve">ents with normal renal function, </w:t>
      </w:r>
      <w:r w:rsidR="0049486C">
        <w:fldChar w:fldCharType="begin"/>
      </w:r>
      <w:r w:rsidR="0049486C">
        <w:instrText xml:space="preserve"> REF _Ref30152184 \h </w:instrText>
      </w:r>
      <w:r w:rsidR="0049486C">
        <w:fldChar w:fldCharType="separate"/>
      </w:r>
      <w:r w:rsidR="0049486C">
        <w:t xml:space="preserve">Table </w:t>
      </w:r>
      <w:r w:rsidR="0049486C">
        <w:rPr>
          <w:noProof/>
        </w:rPr>
        <w:t>8</w:t>
      </w:r>
      <w:r w:rsidR="0049486C">
        <w:fldChar w:fldCharType="end"/>
      </w:r>
      <w:r w:rsidR="0049486C">
        <w:t>.</w:t>
      </w:r>
    </w:p>
    <w:p w14:paraId="41656DC3" w14:textId="2422EF8F" w:rsidR="0049486C" w:rsidRDefault="0049486C" w:rsidP="0049486C">
      <w:pPr>
        <w:pStyle w:val="TableTitle"/>
      </w:pPr>
      <w:bookmarkStart w:id="45" w:name="_Ref30152107"/>
      <w:r>
        <w:lastRenderedPageBreak/>
        <w:t xml:space="preserve">Table </w:t>
      </w:r>
      <w:fldSimple w:instr=" SEQ Table \* ARABIC ">
        <w:r w:rsidR="00E82538">
          <w:rPr>
            <w:noProof/>
          </w:rPr>
          <w:t>7</w:t>
        </w:r>
      </w:fldSimple>
      <w:bookmarkEnd w:id="45"/>
      <w:r>
        <w:t xml:space="preserve">: RECLAIM </w:t>
      </w:r>
      <w:r w:rsidR="00FD2E20">
        <w:t xml:space="preserve">trial </w:t>
      </w:r>
      <w:r>
        <w:t>(</w:t>
      </w:r>
      <w:r w:rsidR="00FD2E20">
        <w:t xml:space="preserve">in </w:t>
      </w:r>
      <w:r>
        <w:t>cIAI) per-patient microbiological response by scheduled assessment (</w:t>
      </w:r>
      <w:r>
        <w:rPr>
          <w:rFonts w:asciiTheme="minorHAnsi" w:eastAsiaTheme="minorHAnsi" w:hAnsiTheme="minorHAnsi" w:cs="Verdana"/>
        </w:rPr>
        <w:t>m</w:t>
      </w:r>
      <w:r w:rsidRPr="000B42EA">
        <w:rPr>
          <w:rFonts w:asciiTheme="minorHAnsi" w:eastAsiaTheme="minorHAnsi" w:hAnsiTheme="minorHAnsi" w:cs="Verdana"/>
        </w:rPr>
        <w:t>icrobiologically modified intention to treat</w:t>
      </w:r>
      <w:r>
        <w:t xml:space="preserve"> analysis set)</w:t>
      </w:r>
    </w:p>
    <w:p w14:paraId="6B30A994" w14:textId="77777777" w:rsidR="0049486C" w:rsidRDefault="0049486C" w:rsidP="001D06C7">
      <w:r>
        <w:rPr>
          <w:noProof/>
          <w:lang w:eastAsia="en-AU"/>
        </w:rPr>
        <w:drawing>
          <wp:inline distT="0" distB="0" distL="0" distR="0" wp14:anchorId="1E3D4D77" wp14:editId="30D1896D">
            <wp:extent cx="5231215" cy="3379622"/>
            <wp:effectExtent l="0" t="0" r="7620" b="0"/>
            <wp:docPr id="52" name="Picture 52" descr="Study RECLAIM (cIAI) per-patient microbiological response by scheduled assessment (microbiologically modified intention to trea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igure 9.jpg"/>
                    <pic:cNvPicPr/>
                  </pic:nvPicPr>
                  <pic:blipFill>
                    <a:blip r:embed="rId19">
                      <a:extLst>
                        <a:ext uri="{28A0092B-C50C-407E-A947-70E740481C1C}">
                          <a14:useLocalDpi xmlns:a14="http://schemas.microsoft.com/office/drawing/2010/main" val="0"/>
                        </a:ext>
                      </a:extLst>
                    </a:blip>
                    <a:stretch>
                      <a:fillRect/>
                    </a:stretch>
                  </pic:blipFill>
                  <pic:spPr>
                    <a:xfrm>
                      <a:off x="0" y="0"/>
                      <a:ext cx="5236897" cy="3383293"/>
                    </a:xfrm>
                    <a:prstGeom prst="rect">
                      <a:avLst/>
                    </a:prstGeom>
                  </pic:spPr>
                </pic:pic>
              </a:graphicData>
            </a:graphic>
          </wp:inline>
        </w:drawing>
      </w:r>
    </w:p>
    <w:p w14:paraId="44E68781" w14:textId="77777777" w:rsidR="00E04329" w:rsidRDefault="00E04329" w:rsidP="001A3D34">
      <w:pPr>
        <w:pStyle w:val="TableDescription"/>
      </w:pPr>
      <w:r>
        <w:t>EOT = end of treatment; TOC = test of cure; LFU = last follow up; CAZ-AVI = ceftazidime/avibactam</w:t>
      </w:r>
    </w:p>
    <w:p w14:paraId="5AE939B3" w14:textId="25F3E1BE" w:rsidR="0049486C" w:rsidRDefault="0049486C" w:rsidP="0049486C">
      <w:pPr>
        <w:pStyle w:val="TableTitle"/>
      </w:pPr>
      <w:bookmarkStart w:id="46" w:name="_Ref30152184"/>
      <w:r>
        <w:t xml:space="preserve">Table </w:t>
      </w:r>
      <w:fldSimple w:instr=" SEQ Table \* ARABIC ">
        <w:r w:rsidR="00E82538">
          <w:rPr>
            <w:noProof/>
          </w:rPr>
          <w:t>8</w:t>
        </w:r>
      </w:fldSimple>
      <w:bookmarkEnd w:id="46"/>
      <w:r>
        <w:t xml:space="preserve">: RECLAIM </w:t>
      </w:r>
      <w:r w:rsidR="00E04329">
        <w:t xml:space="preserve">trial </w:t>
      </w:r>
      <w:r>
        <w:t>clinical response at end of treatment by baseline renal function (modified intent to treat analysis set)</w:t>
      </w:r>
    </w:p>
    <w:p w14:paraId="40578010" w14:textId="77777777" w:rsidR="005E2185" w:rsidRDefault="005E2185" w:rsidP="001D06C7">
      <w:r>
        <w:rPr>
          <w:noProof/>
          <w:lang w:eastAsia="en-AU"/>
        </w:rPr>
        <w:drawing>
          <wp:inline distT="0" distB="0" distL="0" distR="0" wp14:anchorId="7191E11A" wp14:editId="04759FBB">
            <wp:extent cx="5400040" cy="2216785"/>
            <wp:effectExtent l="0" t="0" r="0" b="0"/>
            <wp:docPr id="5" name="Picture 5" descr="Study RECLAIM clinical response at end of treatment by baseline renal function (modified intent to trea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JPG"/>
                    <pic:cNvPicPr/>
                  </pic:nvPicPr>
                  <pic:blipFill>
                    <a:blip r:embed="rId20">
                      <a:extLst>
                        <a:ext uri="{28A0092B-C50C-407E-A947-70E740481C1C}">
                          <a14:useLocalDpi xmlns:a14="http://schemas.microsoft.com/office/drawing/2010/main" val="0"/>
                        </a:ext>
                      </a:extLst>
                    </a:blip>
                    <a:stretch>
                      <a:fillRect/>
                    </a:stretch>
                  </pic:blipFill>
                  <pic:spPr>
                    <a:xfrm>
                      <a:off x="0" y="0"/>
                      <a:ext cx="5400040" cy="2216785"/>
                    </a:xfrm>
                    <a:prstGeom prst="rect">
                      <a:avLst/>
                    </a:prstGeom>
                  </pic:spPr>
                </pic:pic>
              </a:graphicData>
            </a:graphic>
          </wp:inline>
        </w:drawing>
      </w:r>
    </w:p>
    <w:p w14:paraId="77D8BF33" w14:textId="77777777" w:rsidR="00E04329" w:rsidRDefault="00E04329" w:rsidP="001A3D34">
      <w:pPr>
        <w:pStyle w:val="TableDescription"/>
      </w:pPr>
      <w:r>
        <w:t>CAZ-AVI = ceftazidime/avibactam</w:t>
      </w:r>
    </w:p>
    <w:p w14:paraId="512BFC1D" w14:textId="645A9F68" w:rsidR="002B67E1" w:rsidRDefault="002B67E1" w:rsidP="002B67E1">
      <w:pPr>
        <w:pStyle w:val="Heading5"/>
      </w:pPr>
      <w:r>
        <w:t>RECLAIM</w:t>
      </w:r>
      <w:r w:rsidR="00AF437C">
        <w:t xml:space="preserve"> </w:t>
      </w:r>
      <w:r>
        <w:t>3</w:t>
      </w:r>
      <w:r w:rsidR="00AF437C">
        <w:t xml:space="preserve"> trial</w:t>
      </w:r>
      <w:r>
        <w:t xml:space="preserve"> (</w:t>
      </w:r>
      <w:r w:rsidR="00AF437C">
        <w:t>Study</w:t>
      </w:r>
      <w:r w:rsidR="00AF437C" w:rsidRPr="00AF437C">
        <w:t>D4280C00018</w:t>
      </w:r>
      <w:r w:rsidR="00AF437C">
        <w:t xml:space="preserve">, </w:t>
      </w:r>
      <w:r w:rsidR="00AF437C" w:rsidRPr="00AF437C">
        <w:t>in patients with compl</w:t>
      </w:r>
      <w:r w:rsidR="00AF437C">
        <w:t>icated intra-abdominal infection</w:t>
      </w:r>
      <w:r>
        <w:t>)</w:t>
      </w:r>
    </w:p>
    <w:p w14:paraId="1F73D6A7" w14:textId="77777777" w:rsidR="005E2185" w:rsidRDefault="005E2185" w:rsidP="005E2185">
      <w:r w:rsidRPr="00986559">
        <w:t>Clinical cure at TOC using MITT</w:t>
      </w:r>
      <w:r w:rsidR="0049486C">
        <w:t xml:space="preserve"> population was achieved by 178 out of </w:t>
      </w:r>
      <w:r w:rsidRPr="00986559">
        <w:t xml:space="preserve">214 (83.2%) </w:t>
      </w:r>
      <w:r w:rsidR="00F60AA7">
        <w:t>ceftazidime</w:t>
      </w:r>
      <w:r w:rsidRPr="00986559">
        <w:t>/</w:t>
      </w:r>
      <w:r w:rsidR="00F60AA7">
        <w:t>avibactam</w:t>
      </w:r>
      <w:r w:rsidRPr="00986559">
        <w:t>+</w:t>
      </w:r>
      <w:r w:rsidR="0049486C" w:rsidRPr="0049486C">
        <w:rPr>
          <w:rFonts w:eastAsia="Calibri"/>
        </w:rPr>
        <w:t xml:space="preserve"> </w:t>
      </w:r>
      <w:r w:rsidR="0049486C">
        <w:rPr>
          <w:rFonts w:eastAsia="Calibri"/>
        </w:rPr>
        <w:t>metronidazole</w:t>
      </w:r>
      <w:r w:rsidRPr="00986559">
        <w:t xml:space="preserve"> treated</w:t>
      </w:r>
      <w:r w:rsidR="0049486C">
        <w:t xml:space="preserve"> patients compared with 188 out of </w:t>
      </w:r>
      <w:r w:rsidRPr="00986559">
        <w:t>217 (86.6%) meropenem treated patients. The treatment difference was -3.5% (95%</w:t>
      </w:r>
      <w:r w:rsidR="0049486C">
        <w:t xml:space="preserve"> CI </w:t>
      </w:r>
      <w:r w:rsidR="0049486C">
        <w:noBreakHyphen/>
        <w:t xml:space="preserve">10.33%, 3.35%), </w:t>
      </w:r>
      <w:r w:rsidR="0049486C">
        <w:fldChar w:fldCharType="begin"/>
      </w:r>
      <w:r w:rsidR="0049486C">
        <w:instrText xml:space="preserve"> REF _Ref30152367 \h </w:instrText>
      </w:r>
      <w:r w:rsidR="0049486C">
        <w:fldChar w:fldCharType="separate"/>
      </w:r>
      <w:r w:rsidR="0049486C">
        <w:t xml:space="preserve">Table </w:t>
      </w:r>
      <w:r w:rsidR="0049486C">
        <w:rPr>
          <w:noProof/>
        </w:rPr>
        <w:t>9</w:t>
      </w:r>
      <w:r w:rsidR="0049486C">
        <w:fldChar w:fldCharType="end"/>
      </w:r>
      <w:r w:rsidR="0049486C">
        <w:t>.</w:t>
      </w:r>
    </w:p>
    <w:p w14:paraId="39FE90A5" w14:textId="1AAE8885" w:rsidR="0049486C" w:rsidRDefault="0049486C" w:rsidP="0049486C">
      <w:pPr>
        <w:pStyle w:val="TableTitle"/>
      </w:pPr>
      <w:bookmarkStart w:id="47" w:name="_Ref30152367"/>
      <w:r>
        <w:lastRenderedPageBreak/>
        <w:t xml:space="preserve">Table </w:t>
      </w:r>
      <w:fldSimple w:instr=" SEQ Table \* ARABIC ">
        <w:r w:rsidR="00E82538">
          <w:rPr>
            <w:noProof/>
          </w:rPr>
          <w:t>9</w:t>
        </w:r>
      </w:fldSimple>
      <w:bookmarkEnd w:id="47"/>
      <w:r>
        <w:t>: RECLAIM</w:t>
      </w:r>
      <w:r w:rsidR="00AF437C">
        <w:t xml:space="preserve"> </w:t>
      </w:r>
      <w:r>
        <w:t>3</w:t>
      </w:r>
      <w:r w:rsidR="00AF437C">
        <w:t xml:space="preserve"> trial</w:t>
      </w:r>
      <w:r>
        <w:t xml:space="preserve"> clinical response by visit (modified intent to treat analysis set)</w:t>
      </w:r>
    </w:p>
    <w:p w14:paraId="75FFEAD2" w14:textId="77777777" w:rsidR="005E2185" w:rsidRDefault="005E2185" w:rsidP="001D06C7">
      <w:r>
        <w:rPr>
          <w:noProof/>
          <w:lang w:eastAsia="en-AU"/>
        </w:rPr>
        <w:drawing>
          <wp:inline distT="0" distB="0" distL="0" distR="0" wp14:anchorId="2F7D7106" wp14:editId="7A65AD78">
            <wp:extent cx="5400040" cy="1889760"/>
            <wp:effectExtent l="0" t="0" r="0" b="0"/>
            <wp:docPr id="6" name="Picture 6" descr="Study RECLAIM3 clinical response by visit (modified intent to trea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JPG"/>
                    <pic:cNvPicPr/>
                  </pic:nvPicPr>
                  <pic:blipFill>
                    <a:blip r:embed="rId21">
                      <a:extLst>
                        <a:ext uri="{28A0092B-C50C-407E-A947-70E740481C1C}">
                          <a14:useLocalDpi xmlns:a14="http://schemas.microsoft.com/office/drawing/2010/main" val="0"/>
                        </a:ext>
                      </a:extLst>
                    </a:blip>
                    <a:stretch>
                      <a:fillRect/>
                    </a:stretch>
                  </pic:blipFill>
                  <pic:spPr>
                    <a:xfrm>
                      <a:off x="0" y="0"/>
                      <a:ext cx="5400040" cy="1889760"/>
                    </a:xfrm>
                    <a:prstGeom prst="rect">
                      <a:avLst/>
                    </a:prstGeom>
                  </pic:spPr>
                </pic:pic>
              </a:graphicData>
            </a:graphic>
          </wp:inline>
        </w:drawing>
      </w:r>
    </w:p>
    <w:p w14:paraId="75E0752B" w14:textId="2517F801" w:rsidR="005E2185" w:rsidRDefault="005E2185" w:rsidP="005E2185">
      <w:r w:rsidRPr="00BE6E0B">
        <w:t>Clinical response using</w:t>
      </w:r>
      <w:r w:rsidR="0049486C">
        <w:t xml:space="preserve"> clinically evaluable</w:t>
      </w:r>
      <w:r w:rsidRPr="00BE6E0B">
        <w:t xml:space="preserve"> population was consistent with the MITT analysis. For </w:t>
      </w:r>
      <w:r w:rsidR="0049486C">
        <w:t xml:space="preserve">microbiological response, </w:t>
      </w:r>
      <w:r w:rsidRPr="00BE6E0B">
        <w:t>see</w:t>
      </w:r>
      <w:r w:rsidR="0049486C">
        <w:t xml:space="preserve"> </w:t>
      </w:r>
      <w:r w:rsidR="0049486C">
        <w:fldChar w:fldCharType="begin"/>
      </w:r>
      <w:r w:rsidR="0049486C">
        <w:instrText xml:space="preserve"> REF _Ref30152520 \h </w:instrText>
      </w:r>
      <w:r w:rsidR="0049486C">
        <w:fldChar w:fldCharType="separate"/>
      </w:r>
      <w:r w:rsidR="0049486C">
        <w:t xml:space="preserve">Table </w:t>
      </w:r>
      <w:r w:rsidR="0049486C">
        <w:rPr>
          <w:noProof/>
        </w:rPr>
        <w:t>10</w:t>
      </w:r>
      <w:r w:rsidR="0049486C">
        <w:fldChar w:fldCharType="end"/>
      </w:r>
      <w:r w:rsidRPr="00BE6E0B">
        <w:t>. Clinical response by pathogens b</w:t>
      </w:r>
      <w:r w:rsidR="00DE3F56">
        <w:t>ased on pooled data from Phase II and Phase III</w:t>
      </w:r>
      <w:r w:rsidRPr="00BE6E0B">
        <w:t xml:space="preserve"> cIAI studies</w:t>
      </w:r>
      <w:r w:rsidR="00D25EE9">
        <w:t xml:space="preserve"> is shown in </w:t>
      </w:r>
      <w:r w:rsidR="00D25EE9">
        <w:fldChar w:fldCharType="begin"/>
      </w:r>
      <w:r w:rsidR="00D25EE9">
        <w:instrText xml:space="preserve"> REF _Ref30152602 \h </w:instrText>
      </w:r>
      <w:r w:rsidR="00D25EE9">
        <w:fldChar w:fldCharType="separate"/>
      </w:r>
      <w:r w:rsidR="00D25EE9">
        <w:t xml:space="preserve">Table </w:t>
      </w:r>
      <w:r w:rsidR="00D25EE9">
        <w:rPr>
          <w:noProof/>
        </w:rPr>
        <w:t>11</w:t>
      </w:r>
      <w:r w:rsidR="00D25EE9">
        <w:fldChar w:fldCharType="end"/>
      </w:r>
      <w:r w:rsidR="0049486C">
        <w:t>.</w:t>
      </w:r>
    </w:p>
    <w:p w14:paraId="3EFBEEA1" w14:textId="0EBE2288" w:rsidR="0049486C" w:rsidRDefault="0049486C" w:rsidP="0049486C">
      <w:pPr>
        <w:pStyle w:val="TableTitle"/>
      </w:pPr>
      <w:bookmarkStart w:id="48" w:name="_Ref30152520"/>
      <w:r>
        <w:t xml:space="preserve">Table </w:t>
      </w:r>
      <w:fldSimple w:instr=" SEQ Table \* ARABIC ">
        <w:r w:rsidR="00E82538">
          <w:rPr>
            <w:noProof/>
          </w:rPr>
          <w:t>10</w:t>
        </w:r>
      </w:fldSimple>
      <w:bookmarkEnd w:id="48"/>
      <w:r>
        <w:t>: RECLAIM</w:t>
      </w:r>
      <w:r w:rsidR="00AF437C">
        <w:t xml:space="preserve"> </w:t>
      </w:r>
      <w:r>
        <w:t xml:space="preserve">3 </w:t>
      </w:r>
      <w:r w:rsidR="00AF437C">
        <w:t xml:space="preserve">trial </w:t>
      </w:r>
      <w:r>
        <w:t>per patient microbiological response by scheduled assessment (</w:t>
      </w:r>
      <w:r>
        <w:rPr>
          <w:rFonts w:asciiTheme="minorHAnsi" w:eastAsiaTheme="minorHAnsi" w:hAnsiTheme="minorHAnsi" w:cs="Verdana"/>
        </w:rPr>
        <w:t>m</w:t>
      </w:r>
      <w:r w:rsidRPr="000B42EA">
        <w:rPr>
          <w:rFonts w:asciiTheme="minorHAnsi" w:eastAsiaTheme="minorHAnsi" w:hAnsiTheme="minorHAnsi" w:cs="Verdana"/>
        </w:rPr>
        <w:t>icrobiologically modified intention to treat</w:t>
      </w:r>
      <w:r>
        <w:t xml:space="preserve"> analysis set)</w:t>
      </w:r>
    </w:p>
    <w:p w14:paraId="61FE61A4" w14:textId="77777777" w:rsidR="0049486C" w:rsidRDefault="0049486C" w:rsidP="001D06C7">
      <w:r>
        <w:rPr>
          <w:noProof/>
          <w:lang w:eastAsia="en-AU"/>
        </w:rPr>
        <w:drawing>
          <wp:inline distT="0" distB="0" distL="0" distR="0" wp14:anchorId="29BCE0F0" wp14:editId="4E0E12E8">
            <wp:extent cx="5400040" cy="1760220"/>
            <wp:effectExtent l="0" t="0" r="0" b="0"/>
            <wp:docPr id="51" name="Picture 51" descr="STUDY RECLAIM3 per patient microbiological response by scheduled assessment (microbiologically modified intention to trea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igure 12.jpg"/>
                    <pic:cNvPicPr/>
                  </pic:nvPicPr>
                  <pic:blipFill>
                    <a:blip r:embed="rId22">
                      <a:extLst>
                        <a:ext uri="{28A0092B-C50C-407E-A947-70E740481C1C}">
                          <a14:useLocalDpi xmlns:a14="http://schemas.microsoft.com/office/drawing/2010/main" val="0"/>
                        </a:ext>
                      </a:extLst>
                    </a:blip>
                    <a:stretch>
                      <a:fillRect/>
                    </a:stretch>
                  </pic:blipFill>
                  <pic:spPr>
                    <a:xfrm>
                      <a:off x="0" y="0"/>
                      <a:ext cx="5400040" cy="1760220"/>
                    </a:xfrm>
                    <a:prstGeom prst="rect">
                      <a:avLst/>
                    </a:prstGeom>
                  </pic:spPr>
                </pic:pic>
              </a:graphicData>
            </a:graphic>
          </wp:inline>
        </w:drawing>
      </w:r>
    </w:p>
    <w:p w14:paraId="76F4B188" w14:textId="000452C4" w:rsidR="0049486C" w:rsidRDefault="0049486C" w:rsidP="0049486C">
      <w:pPr>
        <w:pStyle w:val="TableTitle"/>
      </w:pPr>
      <w:bookmarkStart w:id="49" w:name="_Ref30152602"/>
      <w:r>
        <w:t xml:space="preserve">Table </w:t>
      </w:r>
      <w:fldSimple w:instr=" SEQ Table \* ARABIC ">
        <w:r w:rsidR="00E82538">
          <w:rPr>
            <w:noProof/>
          </w:rPr>
          <w:t>11</w:t>
        </w:r>
      </w:fldSimple>
      <w:bookmarkEnd w:id="49"/>
      <w:r>
        <w:t>: RECLAIM</w:t>
      </w:r>
      <w:r w:rsidR="001A3D34">
        <w:t xml:space="preserve"> </w:t>
      </w:r>
      <w:r>
        <w:t xml:space="preserve">3 </w:t>
      </w:r>
      <w:r w:rsidR="00AF437C">
        <w:t xml:space="preserve">trial </w:t>
      </w:r>
      <w:r>
        <w:t xml:space="preserve">per-pathogen clinical response at test of cure, by common (combined frequency of &gt; 10) baseline Gram-negative pathogen (pooled Phase II/III cIAI studies, </w:t>
      </w:r>
      <w:r>
        <w:rPr>
          <w:rFonts w:asciiTheme="minorHAnsi" w:eastAsiaTheme="minorHAnsi" w:hAnsiTheme="minorHAnsi" w:cs="Verdana"/>
        </w:rPr>
        <w:t>m</w:t>
      </w:r>
      <w:r w:rsidRPr="000B42EA">
        <w:rPr>
          <w:rFonts w:asciiTheme="minorHAnsi" w:eastAsiaTheme="minorHAnsi" w:hAnsiTheme="minorHAnsi" w:cs="Verdana"/>
        </w:rPr>
        <w:t>icrobiologically modified intention to treat</w:t>
      </w:r>
      <w:r>
        <w:t xml:space="preserve"> analysis sets)</w:t>
      </w:r>
    </w:p>
    <w:p w14:paraId="244BB042" w14:textId="77777777" w:rsidR="005E2185" w:rsidRDefault="005E2185" w:rsidP="001D06C7">
      <w:r>
        <w:rPr>
          <w:noProof/>
          <w:lang w:eastAsia="en-AU"/>
        </w:rPr>
        <w:drawing>
          <wp:inline distT="0" distB="0" distL="0" distR="0" wp14:anchorId="0CF81F35" wp14:editId="25D1EE53">
            <wp:extent cx="5400040" cy="2759710"/>
            <wp:effectExtent l="0" t="0" r="0" b="2540"/>
            <wp:docPr id="30" name="Picture 30" descr="Study RECLAIM3 per-pathogen clinical response at test of cure, by common (combined frequency of &gt; 10) baseline Gram-negative pathogen (pooled Phase II/III cIAI studies, microbiologically modified intention to treat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5.JPG"/>
                    <pic:cNvPicPr/>
                  </pic:nvPicPr>
                  <pic:blipFill>
                    <a:blip r:embed="rId23">
                      <a:extLst>
                        <a:ext uri="{28A0092B-C50C-407E-A947-70E740481C1C}">
                          <a14:useLocalDpi xmlns:a14="http://schemas.microsoft.com/office/drawing/2010/main" val="0"/>
                        </a:ext>
                      </a:extLst>
                    </a:blip>
                    <a:stretch>
                      <a:fillRect/>
                    </a:stretch>
                  </pic:blipFill>
                  <pic:spPr>
                    <a:xfrm>
                      <a:off x="0" y="0"/>
                      <a:ext cx="5400040" cy="2759710"/>
                    </a:xfrm>
                    <a:prstGeom prst="rect">
                      <a:avLst/>
                    </a:prstGeom>
                  </pic:spPr>
                </pic:pic>
              </a:graphicData>
            </a:graphic>
          </wp:inline>
        </w:drawing>
      </w:r>
    </w:p>
    <w:p w14:paraId="06B5A594" w14:textId="626FD170" w:rsidR="002B67E1" w:rsidRDefault="002B67E1" w:rsidP="002B67E1">
      <w:pPr>
        <w:pStyle w:val="Heading5"/>
      </w:pPr>
      <w:r>
        <w:lastRenderedPageBreak/>
        <w:t>RECAPTURE</w:t>
      </w:r>
      <w:r w:rsidR="00AF437C">
        <w:t xml:space="preserve"> trial</w:t>
      </w:r>
      <w:r>
        <w:t xml:space="preserve"> (</w:t>
      </w:r>
      <w:r w:rsidR="00AF437C" w:rsidRPr="000B42EA">
        <w:rPr>
          <w:rFonts w:asciiTheme="minorHAnsi" w:eastAsiaTheme="minorHAnsi" w:hAnsiTheme="minorHAnsi" w:cs="Verdana"/>
        </w:rPr>
        <w:t>Studies D4280C00002 and D4280C00004, in patients with c</w:t>
      </w:r>
      <w:r w:rsidR="00AF437C">
        <w:rPr>
          <w:rFonts w:asciiTheme="minorHAnsi" w:eastAsiaTheme="minorHAnsi" w:hAnsiTheme="minorHAnsi" w:cs="Verdana"/>
        </w:rPr>
        <w:t>omplicated urinary tract infection (c</w:t>
      </w:r>
      <w:r w:rsidR="00AF437C" w:rsidRPr="000B42EA">
        <w:rPr>
          <w:rFonts w:asciiTheme="minorHAnsi" w:eastAsiaTheme="minorHAnsi" w:hAnsiTheme="minorHAnsi" w:cs="Verdana"/>
        </w:rPr>
        <w:t>UTI</w:t>
      </w:r>
      <w:r w:rsidR="00AF437C">
        <w:rPr>
          <w:rFonts w:asciiTheme="minorHAnsi" w:eastAsiaTheme="minorHAnsi" w:hAnsiTheme="minorHAnsi" w:cs="Verdana"/>
        </w:rPr>
        <w:t>)</w:t>
      </w:r>
      <w:r>
        <w:t>)</w:t>
      </w:r>
    </w:p>
    <w:p w14:paraId="019DCAD4" w14:textId="77777777" w:rsidR="005E2185" w:rsidRDefault="005E2185" w:rsidP="005E2185">
      <w:r>
        <w:t>Microbiological cure at TOC using mMITT</w:t>
      </w:r>
      <w:r w:rsidR="00D25EE9">
        <w:t xml:space="preserve"> population was achieved by 304 out of </w:t>
      </w:r>
      <w:r>
        <w:t xml:space="preserve">393 (77.4%) </w:t>
      </w:r>
      <w:r w:rsidR="00F60AA7">
        <w:t>ceftazidime</w:t>
      </w:r>
      <w:r>
        <w:t>/</w:t>
      </w:r>
      <w:r w:rsidR="00F60AA7">
        <w:t>avibactam</w:t>
      </w:r>
      <w:r>
        <w:t xml:space="preserve"> tre</w:t>
      </w:r>
      <w:r w:rsidR="00D25EE9">
        <w:t xml:space="preserve">ated patients compared with 296 out of </w:t>
      </w:r>
      <w:r>
        <w:t>417 (71.0%) doripenem treated patients. The treatment difference was 6.4% (95%</w:t>
      </w:r>
      <w:r w:rsidR="00D25EE9">
        <w:t xml:space="preserve"> </w:t>
      </w:r>
      <w:r>
        <w:t>CI 0.33%, 12.36%).</w:t>
      </w:r>
    </w:p>
    <w:p w14:paraId="1D7AD300" w14:textId="3FEE9AA9" w:rsidR="005E2185" w:rsidRDefault="005E2185" w:rsidP="005E2185">
      <w:r>
        <w:t xml:space="preserve">The US </w:t>
      </w:r>
      <w:r w:rsidR="00D25EE9">
        <w:t>Food and Drug Administration (</w:t>
      </w:r>
      <w:r>
        <w:t>FDA</w:t>
      </w:r>
      <w:r w:rsidR="00D25EE9">
        <w:t>)</w:t>
      </w:r>
      <w:r>
        <w:t xml:space="preserve"> required a combined efficacy outcome consisting of patient-reported resolution of UTI symptoms and microbiological cure at TOC for wh</w:t>
      </w:r>
      <w:r w:rsidR="00D25EE9">
        <w:t>ich the results were as follows.</w:t>
      </w:r>
    </w:p>
    <w:p w14:paraId="0BFD7262" w14:textId="77777777" w:rsidR="005E2185" w:rsidRDefault="005E2185" w:rsidP="005E2185">
      <w:r>
        <w:t xml:space="preserve">Patient-reported symptomatic response (resolution of symptoms) at TOC was achieved by 332/393 (84.5%) patients in </w:t>
      </w:r>
      <w:r w:rsidR="00F60AA7">
        <w:t>ceftazidime</w:t>
      </w:r>
      <w:r>
        <w:t>/</w:t>
      </w:r>
      <w:r w:rsidR="00F60AA7">
        <w:t>avibactam</w:t>
      </w:r>
      <w:r>
        <w:t xml:space="preserve"> treated group compared with 360/417 (86.3%) doripenem treated patients. The treatment difference was -1.9% (95%</w:t>
      </w:r>
      <w:r w:rsidR="00D25EE9">
        <w:t xml:space="preserve"> </w:t>
      </w:r>
      <w:r>
        <w:t>CI -6.78%, 3.02%). Microbiological response at TOC</w:t>
      </w:r>
      <w:r w:rsidR="00D25EE9">
        <w:t xml:space="preserve"> was achieved as above. The FDA</w:t>
      </w:r>
      <w:r w:rsidR="00D25EE9">
        <w:noBreakHyphen/>
      </w:r>
      <w:r>
        <w:t>required combin</w:t>
      </w:r>
      <w:r w:rsidR="00D25EE9">
        <w:t xml:space="preserve">ed response was achieved by 280 out of </w:t>
      </w:r>
      <w:r>
        <w:t xml:space="preserve">393 (71.2%) </w:t>
      </w:r>
      <w:r w:rsidR="00F60AA7">
        <w:t>ceftazidime</w:t>
      </w:r>
      <w:r>
        <w:t>/</w:t>
      </w:r>
      <w:r w:rsidR="00F60AA7">
        <w:t>avibactam</w:t>
      </w:r>
      <w:r>
        <w:t xml:space="preserve"> tre</w:t>
      </w:r>
      <w:r w:rsidR="00D25EE9">
        <w:t xml:space="preserve">ated patients compared with 269 out of </w:t>
      </w:r>
      <w:r>
        <w:t>417 (64.5%) doripenem treated patients. The treatment difference was 6.7% (9</w:t>
      </w:r>
      <w:r w:rsidR="006122E4">
        <w:t>5%CI 0.30%, 13.12%),</w:t>
      </w:r>
    </w:p>
    <w:p w14:paraId="1519CE3E" w14:textId="25E6259A" w:rsidR="006122E4" w:rsidRDefault="006122E4" w:rsidP="006122E4">
      <w:pPr>
        <w:pStyle w:val="TableTitle"/>
      </w:pPr>
      <w:r>
        <w:t xml:space="preserve">Table </w:t>
      </w:r>
      <w:fldSimple w:instr=" SEQ Table \* ARABIC ">
        <w:r w:rsidR="00E82538">
          <w:rPr>
            <w:noProof/>
          </w:rPr>
          <w:t>12</w:t>
        </w:r>
      </w:fldSimple>
      <w:r>
        <w:t>: RECAPTURE</w:t>
      </w:r>
      <w:r w:rsidR="00AF437C">
        <w:t xml:space="preserve"> trial</w:t>
      </w:r>
      <w:r>
        <w:t xml:space="preserve"> combined patient-reported symptomatic and microbiological response at </w:t>
      </w:r>
      <w:r w:rsidR="00AF437C">
        <w:t xml:space="preserve">test of cure visit </w:t>
      </w:r>
      <w:r>
        <w:t>(</w:t>
      </w:r>
      <w:r>
        <w:rPr>
          <w:rFonts w:asciiTheme="minorHAnsi" w:eastAsiaTheme="minorHAnsi" w:hAnsiTheme="minorHAnsi" w:cs="Verdana"/>
        </w:rPr>
        <w:t>m</w:t>
      </w:r>
      <w:r w:rsidRPr="000B42EA">
        <w:rPr>
          <w:rFonts w:asciiTheme="minorHAnsi" w:eastAsiaTheme="minorHAnsi" w:hAnsiTheme="minorHAnsi" w:cs="Verdana"/>
        </w:rPr>
        <w:t>icrobiologically modified intention to treat</w:t>
      </w:r>
      <w:r>
        <w:t xml:space="preserve"> analysis set)</w:t>
      </w:r>
    </w:p>
    <w:p w14:paraId="1A09D7F0" w14:textId="77777777" w:rsidR="005E2185" w:rsidRDefault="005E2185" w:rsidP="001D06C7">
      <w:r>
        <w:rPr>
          <w:noProof/>
          <w:lang w:eastAsia="en-AU"/>
        </w:rPr>
        <w:drawing>
          <wp:inline distT="0" distB="0" distL="0" distR="0" wp14:anchorId="01B0B73B" wp14:editId="7371F413">
            <wp:extent cx="5400040" cy="2737485"/>
            <wp:effectExtent l="0" t="0" r="0" b="5715"/>
            <wp:docPr id="31" name="Picture 31" descr="Study RECAPTURE combined patient-reported symptomatic and microbiological response at TOC (microbiologically modified intention to trea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6.JPG"/>
                    <pic:cNvPicPr/>
                  </pic:nvPicPr>
                  <pic:blipFill>
                    <a:blip r:embed="rId24">
                      <a:extLst>
                        <a:ext uri="{28A0092B-C50C-407E-A947-70E740481C1C}">
                          <a14:useLocalDpi xmlns:a14="http://schemas.microsoft.com/office/drawing/2010/main" val="0"/>
                        </a:ext>
                      </a:extLst>
                    </a:blip>
                    <a:stretch>
                      <a:fillRect/>
                    </a:stretch>
                  </pic:blipFill>
                  <pic:spPr>
                    <a:xfrm>
                      <a:off x="0" y="0"/>
                      <a:ext cx="5400040" cy="2737485"/>
                    </a:xfrm>
                    <a:prstGeom prst="rect">
                      <a:avLst/>
                    </a:prstGeom>
                  </pic:spPr>
                </pic:pic>
              </a:graphicData>
            </a:graphic>
          </wp:inline>
        </w:drawing>
      </w:r>
    </w:p>
    <w:p w14:paraId="06ADBEE3" w14:textId="77777777" w:rsidR="005E2185" w:rsidRDefault="005E2185" w:rsidP="005E2185">
      <w:r w:rsidRPr="00BE6E0B">
        <w:t xml:space="preserve">Resolution of patient-reported symptoms at Day 5 was reported by 70% and 66% </w:t>
      </w:r>
      <w:r w:rsidR="006122E4">
        <w:t xml:space="preserve">of </w:t>
      </w:r>
      <w:r w:rsidRPr="00BE6E0B">
        <w:t xml:space="preserve">patients in </w:t>
      </w:r>
      <w:r w:rsidR="00F60AA7">
        <w:t>ceftazidime</w:t>
      </w:r>
      <w:r w:rsidRPr="00BE6E0B">
        <w:t>/</w:t>
      </w:r>
      <w:r w:rsidR="00F60AA7">
        <w:t>avibactam</w:t>
      </w:r>
      <w:r w:rsidRPr="00BE6E0B">
        <w:t xml:space="preserve"> and </w:t>
      </w:r>
      <w:r w:rsidR="006122E4">
        <w:t xml:space="preserve">doripenem groups, shown in </w:t>
      </w:r>
      <w:r w:rsidR="006122E4">
        <w:fldChar w:fldCharType="begin"/>
      </w:r>
      <w:r w:rsidR="006122E4">
        <w:instrText xml:space="preserve"> REF _Ref30157276 \h </w:instrText>
      </w:r>
      <w:r w:rsidR="006122E4">
        <w:fldChar w:fldCharType="separate"/>
      </w:r>
      <w:r w:rsidR="006122E4">
        <w:t xml:space="preserve">Table </w:t>
      </w:r>
      <w:r w:rsidR="006122E4">
        <w:rPr>
          <w:noProof/>
        </w:rPr>
        <w:t>13</w:t>
      </w:r>
      <w:r w:rsidR="006122E4">
        <w:fldChar w:fldCharType="end"/>
      </w:r>
      <w:r w:rsidR="006122E4">
        <w:t>.</w:t>
      </w:r>
    </w:p>
    <w:p w14:paraId="5280B822" w14:textId="06A4385B" w:rsidR="006122E4" w:rsidRDefault="006122E4" w:rsidP="006122E4">
      <w:pPr>
        <w:pStyle w:val="TableTitle"/>
      </w:pPr>
      <w:bookmarkStart w:id="50" w:name="_Ref30157276"/>
      <w:r>
        <w:t xml:space="preserve">Table </w:t>
      </w:r>
      <w:fldSimple w:instr=" SEQ Table \* ARABIC ">
        <w:r w:rsidR="00E82538">
          <w:rPr>
            <w:noProof/>
          </w:rPr>
          <w:t>13</w:t>
        </w:r>
      </w:fldSimple>
      <w:bookmarkEnd w:id="50"/>
      <w:r>
        <w:t xml:space="preserve">: RECAPTURE </w:t>
      </w:r>
      <w:r w:rsidR="00AF437C">
        <w:t xml:space="preserve">trial </w:t>
      </w:r>
      <w:r>
        <w:t>patient-reported symptomatic response at Day 5 (</w:t>
      </w:r>
      <w:r>
        <w:rPr>
          <w:rFonts w:asciiTheme="minorHAnsi" w:eastAsiaTheme="minorHAnsi" w:hAnsiTheme="minorHAnsi" w:cs="Verdana"/>
        </w:rPr>
        <w:t>microbiologically modified intention to treat</w:t>
      </w:r>
      <w:r>
        <w:t xml:space="preserve"> analysis set)</w:t>
      </w:r>
    </w:p>
    <w:p w14:paraId="2F24D23F" w14:textId="77777777" w:rsidR="005E2185" w:rsidRDefault="005E2185" w:rsidP="001D06C7">
      <w:r>
        <w:rPr>
          <w:noProof/>
          <w:lang w:eastAsia="en-AU"/>
        </w:rPr>
        <w:drawing>
          <wp:inline distT="0" distB="0" distL="0" distR="0" wp14:anchorId="75AD6C18" wp14:editId="1918DAEB">
            <wp:extent cx="5400040" cy="1604010"/>
            <wp:effectExtent l="0" t="0" r="0" b="0"/>
            <wp:docPr id="9" name="Picture 9" descr="Study RECAPTURE patient-reported symptomatic response at Day 5 (microbiologically modified intention to trea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7.JPG"/>
                    <pic:cNvPicPr/>
                  </pic:nvPicPr>
                  <pic:blipFill>
                    <a:blip r:embed="rId25">
                      <a:extLst>
                        <a:ext uri="{28A0092B-C50C-407E-A947-70E740481C1C}">
                          <a14:useLocalDpi xmlns:a14="http://schemas.microsoft.com/office/drawing/2010/main" val="0"/>
                        </a:ext>
                      </a:extLst>
                    </a:blip>
                    <a:stretch>
                      <a:fillRect/>
                    </a:stretch>
                  </pic:blipFill>
                  <pic:spPr>
                    <a:xfrm>
                      <a:off x="0" y="0"/>
                      <a:ext cx="5400040" cy="1604010"/>
                    </a:xfrm>
                    <a:prstGeom prst="rect">
                      <a:avLst/>
                    </a:prstGeom>
                  </pic:spPr>
                </pic:pic>
              </a:graphicData>
            </a:graphic>
          </wp:inline>
        </w:drawing>
      </w:r>
    </w:p>
    <w:p w14:paraId="32A28D9C" w14:textId="17F43CF6" w:rsidR="002B67E1" w:rsidRDefault="005E2185" w:rsidP="002B67E1">
      <w:pPr>
        <w:pStyle w:val="Heading5"/>
      </w:pPr>
      <w:r w:rsidRPr="00BE6E0B">
        <w:lastRenderedPageBreak/>
        <w:t xml:space="preserve">REPRISE </w:t>
      </w:r>
      <w:r w:rsidR="00AF437C">
        <w:t xml:space="preserve">trial </w:t>
      </w:r>
      <w:r w:rsidRPr="00BE6E0B">
        <w:t>(</w:t>
      </w:r>
      <w:r w:rsidR="00AF437C" w:rsidRPr="000B42EA">
        <w:rPr>
          <w:rFonts w:asciiTheme="minorHAnsi" w:eastAsiaTheme="minorHAnsi" w:hAnsiTheme="minorHAnsi" w:cs="Verdana"/>
        </w:rPr>
        <w:t xml:space="preserve">Study D4280C00006, in patients with </w:t>
      </w:r>
      <w:r w:rsidR="00AF437C">
        <w:rPr>
          <w:rFonts w:asciiTheme="minorHAnsi" w:eastAsiaTheme="minorHAnsi" w:hAnsiTheme="minorHAnsi" w:cs="Verdana"/>
        </w:rPr>
        <w:t>ceftazidime-</w:t>
      </w:r>
      <w:r w:rsidR="00AF437C" w:rsidRPr="000B42EA">
        <w:rPr>
          <w:rFonts w:asciiTheme="minorHAnsi" w:eastAsiaTheme="minorHAnsi" w:hAnsiTheme="minorHAnsi" w:cs="Verdana"/>
        </w:rPr>
        <w:t>resistant pathogens</w:t>
      </w:r>
      <w:r w:rsidR="00AF437C">
        <w:t>)</w:t>
      </w:r>
    </w:p>
    <w:p w14:paraId="211F6188" w14:textId="77777777" w:rsidR="005E2185" w:rsidRDefault="005E2185" w:rsidP="005E2185">
      <w:r w:rsidRPr="00BE6E0B">
        <w:t xml:space="preserve">On treatment with </w:t>
      </w:r>
      <w:r w:rsidR="00F60AA7">
        <w:t>ceftazidime</w:t>
      </w:r>
      <w:r w:rsidRPr="00BE6E0B">
        <w:t>/</w:t>
      </w:r>
      <w:r w:rsidR="00F60AA7">
        <w:t>avibactam</w:t>
      </w:r>
      <w:r w:rsidR="006122E4">
        <w:t xml:space="preserve"> </w:t>
      </w:r>
      <w:r w:rsidRPr="00BE6E0B">
        <w:t>±</w:t>
      </w:r>
      <w:r w:rsidR="006122E4">
        <w:t xml:space="preserve"> </w:t>
      </w:r>
      <w:r w:rsidR="006122E4">
        <w:rPr>
          <w:rFonts w:eastAsia="Calibri"/>
        </w:rPr>
        <w:t>metronidazole</w:t>
      </w:r>
      <w:r w:rsidRPr="00BE6E0B">
        <w:t>, clinical cure rates at TOC</w:t>
      </w:r>
      <w:r w:rsidR="006122E4">
        <w:t xml:space="preserve"> (mMITT set) were 8 out of 10 cIAI patients and 132 out of </w:t>
      </w:r>
      <w:r w:rsidRPr="00BE6E0B">
        <w:t xml:space="preserve">144 (91.7%) cUTI patients. Nominal comparison with the </w:t>
      </w:r>
      <w:r w:rsidR="006122E4">
        <w:t xml:space="preserve">BAT was as follows in </w:t>
      </w:r>
      <w:r w:rsidR="006122E4">
        <w:fldChar w:fldCharType="begin"/>
      </w:r>
      <w:r w:rsidR="006122E4">
        <w:instrText xml:space="preserve"> REF _Ref30157420 \h </w:instrText>
      </w:r>
      <w:r w:rsidR="006122E4">
        <w:fldChar w:fldCharType="separate"/>
      </w:r>
      <w:r w:rsidR="006122E4">
        <w:t xml:space="preserve">Table </w:t>
      </w:r>
      <w:r w:rsidR="006122E4">
        <w:rPr>
          <w:noProof/>
        </w:rPr>
        <w:t>14</w:t>
      </w:r>
      <w:r w:rsidR="006122E4">
        <w:fldChar w:fldCharType="end"/>
      </w:r>
      <w:r w:rsidR="006122E4">
        <w:t>.</w:t>
      </w:r>
    </w:p>
    <w:p w14:paraId="4BED594D" w14:textId="18E58148" w:rsidR="006122E4" w:rsidRDefault="006122E4" w:rsidP="006122E4">
      <w:pPr>
        <w:pStyle w:val="TableTitle"/>
      </w:pPr>
      <w:bookmarkStart w:id="51" w:name="_Ref30157420"/>
      <w:r>
        <w:t xml:space="preserve">Table </w:t>
      </w:r>
      <w:fldSimple w:instr=" SEQ Table \* ARABIC ">
        <w:r w:rsidR="00E82538">
          <w:rPr>
            <w:noProof/>
          </w:rPr>
          <w:t>14</w:t>
        </w:r>
      </w:fldSimple>
      <w:bookmarkEnd w:id="51"/>
      <w:r>
        <w:t xml:space="preserve">: REPRISE </w:t>
      </w:r>
      <w:r w:rsidR="00AF437C">
        <w:t xml:space="preserve">trial </w:t>
      </w:r>
      <w:r>
        <w:t xml:space="preserve">clinical response at test of cure </w:t>
      </w:r>
      <w:r w:rsidR="00AF437C">
        <w:t xml:space="preserve">visit </w:t>
      </w:r>
      <w:r>
        <w:t>(</w:t>
      </w:r>
      <w:r>
        <w:rPr>
          <w:rFonts w:asciiTheme="minorHAnsi" w:eastAsiaTheme="minorHAnsi" w:hAnsiTheme="minorHAnsi" w:cs="Verdana"/>
        </w:rPr>
        <w:t>microbiologically modified intention to treat</w:t>
      </w:r>
      <w:r>
        <w:t xml:space="preserve"> analysis set)</w:t>
      </w:r>
    </w:p>
    <w:p w14:paraId="6B87AFF8" w14:textId="77777777" w:rsidR="005E2185" w:rsidRDefault="005E2185" w:rsidP="001D06C7">
      <w:r>
        <w:rPr>
          <w:noProof/>
          <w:lang w:eastAsia="en-AU"/>
        </w:rPr>
        <w:drawing>
          <wp:inline distT="0" distB="0" distL="0" distR="0" wp14:anchorId="69932922" wp14:editId="4D9DED4B">
            <wp:extent cx="5400040" cy="2105025"/>
            <wp:effectExtent l="0" t="0" r="0" b="9525"/>
            <wp:docPr id="10" name="Picture 10" descr="Study REPRISE clinical response at test of cure (microbiologically modified intention to trea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8.JPG"/>
                    <pic:cNvPicPr/>
                  </pic:nvPicPr>
                  <pic:blipFill>
                    <a:blip r:embed="rId26">
                      <a:extLst>
                        <a:ext uri="{28A0092B-C50C-407E-A947-70E740481C1C}">
                          <a14:useLocalDpi xmlns:a14="http://schemas.microsoft.com/office/drawing/2010/main" val="0"/>
                        </a:ext>
                      </a:extLst>
                    </a:blip>
                    <a:stretch>
                      <a:fillRect/>
                    </a:stretch>
                  </pic:blipFill>
                  <pic:spPr>
                    <a:xfrm>
                      <a:off x="0" y="0"/>
                      <a:ext cx="5400040" cy="2105025"/>
                    </a:xfrm>
                    <a:prstGeom prst="rect">
                      <a:avLst/>
                    </a:prstGeom>
                  </pic:spPr>
                </pic:pic>
              </a:graphicData>
            </a:graphic>
          </wp:inline>
        </w:drawing>
      </w:r>
    </w:p>
    <w:p w14:paraId="4F76A47F" w14:textId="77777777" w:rsidR="005E2185" w:rsidRDefault="00A673D3" w:rsidP="005E2185">
      <w:r>
        <w:fldChar w:fldCharType="begin"/>
      </w:r>
      <w:r>
        <w:instrText xml:space="preserve"> REF _Ref30157671 \h </w:instrText>
      </w:r>
      <w:r>
        <w:fldChar w:fldCharType="separate"/>
      </w:r>
      <w:r>
        <w:t xml:space="preserve">Table </w:t>
      </w:r>
      <w:r>
        <w:rPr>
          <w:noProof/>
        </w:rPr>
        <w:t>15</w:t>
      </w:r>
      <w:r>
        <w:fldChar w:fldCharType="end"/>
      </w:r>
      <w:r>
        <w:t xml:space="preserve"> </w:t>
      </w:r>
      <w:r w:rsidR="005E2185">
        <w:t xml:space="preserve">shows microbiological response. </w:t>
      </w:r>
      <w:r w:rsidR="005E2185" w:rsidRPr="00BE6E0B">
        <w:t>Clinical response by pathogens at TOC based on combined RECAPTU</w:t>
      </w:r>
      <w:r>
        <w:t>R</w:t>
      </w:r>
      <w:r w:rsidR="005E2185" w:rsidRPr="00BE6E0B">
        <w:t>E a</w:t>
      </w:r>
      <w:r>
        <w:t xml:space="preserve">nd REPRISE </w:t>
      </w:r>
      <w:r w:rsidR="00AF437C">
        <w:t xml:space="preserve">trial </w:t>
      </w:r>
      <w:r>
        <w:t xml:space="preserve">data is shown in </w:t>
      </w:r>
      <w:r>
        <w:fldChar w:fldCharType="begin"/>
      </w:r>
      <w:r>
        <w:instrText xml:space="preserve"> REF _Ref30157742 \h </w:instrText>
      </w:r>
      <w:r>
        <w:fldChar w:fldCharType="separate"/>
      </w:r>
      <w:r>
        <w:t xml:space="preserve">Table </w:t>
      </w:r>
      <w:r>
        <w:rPr>
          <w:noProof/>
        </w:rPr>
        <w:t>16</w:t>
      </w:r>
      <w:r>
        <w:fldChar w:fldCharType="end"/>
      </w:r>
      <w:r>
        <w:t>.</w:t>
      </w:r>
    </w:p>
    <w:p w14:paraId="15916917" w14:textId="626FD656" w:rsidR="00A673D3" w:rsidRDefault="00A673D3" w:rsidP="00A673D3">
      <w:pPr>
        <w:pStyle w:val="TableTitle"/>
      </w:pPr>
      <w:bookmarkStart w:id="52" w:name="_Ref30157671"/>
      <w:r>
        <w:t xml:space="preserve">Table </w:t>
      </w:r>
      <w:fldSimple w:instr=" SEQ Table \* ARABIC ">
        <w:r w:rsidR="00E82538">
          <w:rPr>
            <w:noProof/>
          </w:rPr>
          <w:t>15</w:t>
        </w:r>
      </w:fldSimple>
      <w:bookmarkEnd w:id="52"/>
      <w:r>
        <w:t xml:space="preserve">: </w:t>
      </w:r>
      <w:r w:rsidR="00AF437C">
        <w:t>RECAPTURE + REPRISE trials (combined) p</w:t>
      </w:r>
      <w:r>
        <w:t>er patient microbiological response at test of cure (</w:t>
      </w:r>
      <w:r>
        <w:rPr>
          <w:rFonts w:asciiTheme="minorHAnsi" w:eastAsiaTheme="minorHAnsi" w:hAnsiTheme="minorHAnsi" w:cs="Verdana"/>
        </w:rPr>
        <w:t>microbiologically modified intention to treat</w:t>
      </w:r>
      <w:r>
        <w:t xml:space="preserve"> analysis set)</w:t>
      </w:r>
    </w:p>
    <w:p w14:paraId="06795FBD" w14:textId="77777777" w:rsidR="00A673D3" w:rsidRDefault="00A673D3" w:rsidP="001D06C7">
      <w:r>
        <w:rPr>
          <w:noProof/>
          <w:lang w:eastAsia="en-AU"/>
        </w:rPr>
        <w:drawing>
          <wp:inline distT="0" distB="0" distL="0" distR="0" wp14:anchorId="3EA53E52" wp14:editId="6454B517">
            <wp:extent cx="5400040" cy="1447165"/>
            <wp:effectExtent l="0" t="0" r="0" b="635"/>
            <wp:docPr id="41" name="Picture 41" descr="Per patient microbiological response at test of cure (microbiologically modified intention to trea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able 4.jpg"/>
                    <pic:cNvPicPr/>
                  </pic:nvPicPr>
                  <pic:blipFill>
                    <a:blip r:embed="rId27">
                      <a:extLst>
                        <a:ext uri="{28A0092B-C50C-407E-A947-70E740481C1C}">
                          <a14:useLocalDpi xmlns:a14="http://schemas.microsoft.com/office/drawing/2010/main" val="0"/>
                        </a:ext>
                      </a:extLst>
                    </a:blip>
                    <a:stretch>
                      <a:fillRect/>
                    </a:stretch>
                  </pic:blipFill>
                  <pic:spPr>
                    <a:xfrm>
                      <a:off x="0" y="0"/>
                      <a:ext cx="5400040" cy="1447165"/>
                    </a:xfrm>
                    <a:prstGeom prst="rect">
                      <a:avLst/>
                    </a:prstGeom>
                  </pic:spPr>
                </pic:pic>
              </a:graphicData>
            </a:graphic>
          </wp:inline>
        </w:drawing>
      </w:r>
    </w:p>
    <w:p w14:paraId="795A9AF7" w14:textId="11E581D9" w:rsidR="00A673D3" w:rsidRDefault="00A673D3" w:rsidP="00A673D3">
      <w:pPr>
        <w:pStyle w:val="TableTitle"/>
      </w:pPr>
      <w:bookmarkStart w:id="53" w:name="_Ref30157742"/>
      <w:r>
        <w:t xml:space="preserve">Table </w:t>
      </w:r>
      <w:fldSimple w:instr=" SEQ Table \* ARABIC ">
        <w:r w:rsidR="00E82538">
          <w:rPr>
            <w:noProof/>
          </w:rPr>
          <w:t>16</w:t>
        </w:r>
      </w:fldSimple>
      <w:bookmarkEnd w:id="53"/>
      <w:r>
        <w:t xml:space="preserve">: </w:t>
      </w:r>
      <w:r w:rsidR="00AF437C">
        <w:t>RECAPTURE + REPRISE trials (combined) p</w:t>
      </w:r>
      <w:r>
        <w:t xml:space="preserve">er-pathogen clinical response at test of cure, by (combined frequency of ≥ 10) baseline Gram-negative pathogen cUTI patients, </w:t>
      </w:r>
      <w:r>
        <w:rPr>
          <w:rFonts w:asciiTheme="minorHAnsi" w:eastAsiaTheme="minorHAnsi" w:hAnsiTheme="minorHAnsi" w:cs="Verdana"/>
        </w:rPr>
        <w:t>microbiologically modified intention to treat</w:t>
      </w:r>
      <w:r>
        <w:t xml:space="preserve"> sets)</w:t>
      </w:r>
    </w:p>
    <w:p w14:paraId="23F7F69C" w14:textId="77777777" w:rsidR="005E2185" w:rsidRDefault="005E2185" w:rsidP="001D06C7">
      <w:r>
        <w:rPr>
          <w:noProof/>
          <w:lang w:eastAsia="en-AU"/>
        </w:rPr>
        <w:drawing>
          <wp:inline distT="0" distB="0" distL="0" distR="0" wp14:anchorId="20B42360" wp14:editId="39BDE28E">
            <wp:extent cx="5400040" cy="2085975"/>
            <wp:effectExtent l="0" t="0" r="0" b="9525"/>
            <wp:docPr id="12" name="Picture 12" descr="Per-pathogen clinical response at test of cure, by (combined frequency of ≥ 10) baseline Gram-negative pathogen (RECAPTURE and REPRISE cUTI patients, microbiologically modified intention to treat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9.JPG"/>
                    <pic:cNvPicPr/>
                  </pic:nvPicPr>
                  <pic:blipFill>
                    <a:blip r:embed="rId28">
                      <a:extLst>
                        <a:ext uri="{28A0092B-C50C-407E-A947-70E740481C1C}">
                          <a14:useLocalDpi xmlns:a14="http://schemas.microsoft.com/office/drawing/2010/main" val="0"/>
                        </a:ext>
                      </a:extLst>
                    </a:blip>
                    <a:stretch>
                      <a:fillRect/>
                    </a:stretch>
                  </pic:blipFill>
                  <pic:spPr>
                    <a:xfrm>
                      <a:off x="0" y="0"/>
                      <a:ext cx="5400040" cy="2085975"/>
                    </a:xfrm>
                    <a:prstGeom prst="rect">
                      <a:avLst/>
                    </a:prstGeom>
                  </pic:spPr>
                </pic:pic>
              </a:graphicData>
            </a:graphic>
          </wp:inline>
        </w:drawing>
      </w:r>
    </w:p>
    <w:p w14:paraId="7ABC8254" w14:textId="5BC5081D" w:rsidR="002B67E1" w:rsidRDefault="005E2185" w:rsidP="002B67E1">
      <w:pPr>
        <w:pStyle w:val="Heading5"/>
      </w:pPr>
      <w:r w:rsidRPr="00020DBF">
        <w:lastRenderedPageBreak/>
        <w:t>R</w:t>
      </w:r>
      <w:r w:rsidR="002B67E1">
        <w:t xml:space="preserve">EPRISE </w:t>
      </w:r>
      <w:r w:rsidR="00AF437C">
        <w:t xml:space="preserve">trial </w:t>
      </w:r>
      <w:r w:rsidR="002B67E1">
        <w:t>(</w:t>
      </w:r>
      <w:r w:rsidR="00575CAE" w:rsidRPr="000B42EA">
        <w:rPr>
          <w:rFonts w:asciiTheme="minorHAnsi" w:eastAsiaTheme="minorHAnsi" w:hAnsiTheme="minorHAnsi" w:cs="Verdana"/>
        </w:rPr>
        <w:t xml:space="preserve">Study D4280C00006, in patients with </w:t>
      </w:r>
      <w:r w:rsidR="00575CAE">
        <w:rPr>
          <w:rFonts w:asciiTheme="minorHAnsi" w:eastAsiaTheme="minorHAnsi" w:hAnsiTheme="minorHAnsi" w:cs="Verdana"/>
        </w:rPr>
        <w:t>ceftazidime-</w:t>
      </w:r>
      <w:r w:rsidR="00575CAE" w:rsidRPr="000B42EA">
        <w:rPr>
          <w:rFonts w:asciiTheme="minorHAnsi" w:eastAsiaTheme="minorHAnsi" w:hAnsiTheme="minorHAnsi" w:cs="Verdana"/>
        </w:rPr>
        <w:t>resistant pathogens</w:t>
      </w:r>
      <w:r w:rsidR="002B67E1">
        <w:t>)</w:t>
      </w:r>
    </w:p>
    <w:p w14:paraId="2CE0D18B" w14:textId="144D4DE9" w:rsidR="005E2185" w:rsidRDefault="005E2185" w:rsidP="005E2185">
      <w:r w:rsidRPr="00020DBF">
        <w:t>Cli</w:t>
      </w:r>
      <w:r w:rsidR="00A673D3">
        <w:t xml:space="preserve">nical cure at TOC (clinically modified intent to treat (cMITT) set) was achieved by 245 out of </w:t>
      </w:r>
      <w:r w:rsidRPr="00020DBF">
        <w:t xml:space="preserve">356 (68.8%) </w:t>
      </w:r>
      <w:r w:rsidR="00F60AA7">
        <w:t>ceftazidime</w:t>
      </w:r>
      <w:r w:rsidRPr="00020DBF">
        <w:t>/</w:t>
      </w:r>
      <w:r w:rsidR="00F60AA7">
        <w:t>avibactam</w:t>
      </w:r>
      <w:r w:rsidRPr="00020DBF">
        <w:t xml:space="preserve"> tre</w:t>
      </w:r>
      <w:r w:rsidR="00A673D3">
        <w:t xml:space="preserve">ated patients compared with 270 out of </w:t>
      </w:r>
      <w:r w:rsidRPr="00020DBF">
        <w:t>370 (73.0%) meropenem treated patients. The treatment difference was -4.2% (95%</w:t>
      </w:r>
      <w:r w:rsidR="00575CAE">
        <w:t> </w:t>
      </w:r>
      <w:r w:rsidRPr="00020DBF">
        <w:t>CI</w:t>
      </w:r>
      <w:r w:rsidR="00575CAE">
        <w:t> </w:t>
      </w:r>
      <w:r w:rsidR="00575CAE">
        <w:noBreakHyphen/>
      </w:r>
      <w:r w:rsidRPr="00020DBF">
        <w:t>10.76%, 2.46%). The analysis using clinically evaluable set was con</w:t>
      </w:r>
      <w:r w:rsidR="00A673D3">
        <w:t xml:space="preserve">sistent with the cMITT analysis, </w:t>
      </w:r>
      <w:r w:rsidR="00575CAE">
        <w:t xml:space="preserve">shown in </w:t>
      </w:r>
      <w:r w:rsidR="00755D0D">
        <w:fldChar w:fldCharType="begin"/>
      </w:r>
      <w:r w:rsidR="00755D0D">
        <w:instrText xml:space="preserve"> REF _Ref30158177 \h </w:instrText>
      </w:r>
      <w:r w:rsidR="00755D0D">
        <w:fldChar w:fldCharType="separate"/>
      </w:r>
      <w:r w:rsidR="00755D0D">
        <w:t xml:space="preserve">Table </w:t>
      </w:r>
      <w:r w:rsidR="00755D0D">
        <w:rPr>
          <w:noProof/>
        </w:rPr>
        <w:t>17</w:t>
      </w:r>
      <w:r w:rsidR="00755D0D">
        <w:fldChar w:fldCharType="end"/>
      </w:r>
      <w:r w:rsidR="00755D0D">
        <w:t>.</w:t>
      </w:r>
    </w:p>
    <w:p w14:paraId="47D3933E" w14:textId="79ED82FF" w:rsidR="00755D0D" w:rsidRDefault="00755D0D" w:rsidP="00755D0D">
      <w:pPr>
        <w:pStyle w:val="TableTitle"/>
      </w:pPr>
      <w:bookmarkStart w:id="54" w:name="_Ref30158177"/>
      <w:r>
        <w:t xml:space="preserve">Table </w:t>
      </w:r>
      <w:fldSimple w:instr=" SEQ Table \* ARABIC ">
        <w:r w:rsidR="00E82538">
          <w:rPr>
            <w:noProof/>
          </w:rPr>
          <w:t>17</w:t>
        </w:r>
      </w:fldSimple>
      <w:bookmarkEnd w:id="54"/>
      <w:r>
        <w:t>: REPRISE</w:t>
      </w:r>
      <w:r w:rsidR="00575CAE">
        <w:t xml:space="preserve"> trial</w:t>
      </w:r>
      <w:r>
        <w:t xml:space="preserve"> clinical response at test of cure (clinically modified intent to treat and clinically evaluable analysis sets)</w:t>
      </w:r>
    </w:p>
    <w:p w14:paraId="1AC491E2" w14:textId="77777777" w:rsidR="005E2185" w:rsidRDefault="005E2185" w:rsidP="001D06C7">
      <w:r>
        <w:rPr>
          <w:noProof/>
          <w:lang w:eastAsia="en-AU"/>
        </w:rPr>
        <w:drawing>
          <wp:inline distT="0" distB="0" distL="0" distR="0" wp14:anchorId="44A942C5" wp14:editId="2C734999">
            <wp:extent cx="5400040" cy="2262505"/>
            <wp:effectExtent l="0" t="0" r="0" b="4445"/>
            <wp:docPr id="13" name="Picture 13" descr="Study REPRISE clinical response at test of cure (clinically modified intent to treat and clinically evaluable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0.JPG"/>
                    <pic:cNvPicPr/>
                  </pic:nvPicPr>
                  <pic:blipFill>
                    <a:blip r:embed="rId29">
                      <a:extLst>
                        <a:ext uri="{28A0092B-C50C-407E-A947-70E740481C1C}">
                          <a14:useLocalDpi xmlns:a14="http://schemas.microsoft.com/office/drawing/2010/main" val="0"/>
                        </a:ext>
                      </a:extLst>
                    </a:blip>
                    <a:stretch>
                      <a:fillRect/>
                    </a:stretch>
                  </pic:blipFill>
                  <pic:spPr>
                    <a:xfrm>
                      <a:off x="0" y="0"/>
                      <a:ext cx="5400040" cy="2262505"/>
                    </a:xfrm>
                    <a:prstGeom prst="rect">
                      <a:avLst/>
                    </a:prstGeom>
                  </pic:spPr>
                </pic:pic>
              </a:graphicData>
            </a:graphic>
          </wp:inline>
        </w:drawing>
      </w:r>
    </w:p>
    <w:p w14:paraId="021D5536" w14:textId="77777777" w:rsidR="005E2185" w:rsidRDefault="00755D0D" w:rsidP="005E2185">
      <w:r>
        <w:fldChar w:fldCharType="begin"/>
      </w:r>
      <w:r>
        <w:instrText xml:space="preserve"> REF _Ref30158338 \h </w:instrText>
      </w:r>
      <w:r>
        <w:fldChar w:fldCharType="separate"/>
      </w:r>
      <w:r>
        <w:t xml:space="preserve">Table </w:t>
      </w:r>
      <w:r>
        <w:rPr>
          <w:noProof/>
        </w:rPr>
        <w:t>18</w:t>
      </w:r>
      <w:r>
        <w:fldChar w:fldCharType="end"/>
      </w:r>
      <w:r>
        <w:t xml:space="preserve"> </w:t>
      </w:r>
      <w:r w:rsidR="005E2185">
        <w:t>shows microbiological re</w:t>
      </w:r>
      <w:r w:rsidR="00A673D3">
        <w:t>s</w:t>
      </w:r>
      <w:r w:rsidR="005E2185">
        <w:t xml:space="preserve">ponse. Clinical response by pathogens </w:t>
      </w:r>
      <w:r>
        <w:t xml:space="preserve">is shown in </w:t>
      </w:r>
      <w:r>
        <w:fldChar w:fldCharType="begin"/>
      </w:r>
      <w:r>
        <w:instrText xml:space="preserve"> REF _Ref30158352 \h </w:instrText>
      </w:r>
      <w:r>
        <w:fldChar w:fldCharType="separate"/>
      </w:r>
      <w:r>
        <w:t xml:space="preserve">Table </w:t>
      </w:r>
      <w:r>
        <w:rPr>
          <w:noProof/>
        </w:rPr>
        <w:t>19</w:t>
      </w:r>
      <w:r>
        <w:fldChar w:fldCharType="end"/>
      </w:r>
      <w:r>
        <w:t>.</w:t>
      </w:r>
    </w:p>
    <w:p w14:paraId="3A5A9E62" w14:textId="69A72164" w:rsidR="00755D0D" w:rsidRDefault="00755D0D" w:rsidP="00755D0D">
      <w:pPr>
        <w:pStyle w:val="TableTitle"/>
      </w:pPr>
      <w:bookmarkStart w:id="55" w:name="_Ref30158338"/>
      <w:r>
        <w:t xml:space="preserve">Table </w:t>
      </w:r>
      <w:fldSimple w:instr=" SEQ Table \* ARABIC ">
        <w:r w:rsidR="00E82538">
          <w:rPr>
            <w:noProof/>
          </w:rPr>
          <w:t>18</w:t>
        </w:r>
      </w:fldSimple>
      <w:bookmarkEnd w:id="55"/>
      <w:r>
        <w:t xml:space="preserve">: REPRISE </w:t>
      </w:r>
      <w:r w:rsidR="00575CAE">
        <w:t xml:space="preserve">trial </w:t>
      </w:r>
      <w:r>
        <w:t>per-patient microbiological response by scheduled assessment (</w:t>
      </w:r>
      <w:r>
        <w:rPr>
          <w:rFonts w:asciiTheme="minorHAnsi" w:eastAsiaTheme="minorHAnsi" w:hAnsiTheme="minorHAnsi" w:cs="Verdana"/>
        </w:rPr>
        <w:t>microbiologically modified intention to treat</w:t>
      </w:r>
      <w:r>
        <w:t xml:space="preserve"> analysis set)</w:t>
      </w:r>
    </w:p>
    <w:p w14:paraId="417ADE0F" w14:textId="77777777" w:rsidR="00755D0D" w:rsidRDefault="00755D0D" w:rsidP="001D06C7">
      <w:r>
        <w:rPr>
          <w:noProof/>
          <w:lang w:eastAsia="en-AU"/>
        </w:rPr>
        <w:drawing>
          <wp:inline distT="0" distB="0" distL="0" distR="0" wp14:anchorId="5DDB37BD" wp14:editId="3DF6409A">
            <wp:extent cx="5400040" cy="1329055"/>
            <wp:effectExtent l="0" t="0" r="0" b="4445"/>
            <wp:docPr id="39" name="Picture 39" descr="Study REPRISE per-patient microbiological response by scheduled assessment (microbiologically modified intention to trea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able 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0040" cy="1329055"/>
                    </a:xfrm>
                    <a:prstGeom prst="rect">
                      <a:avLst/>
                    </a:prstGeom>
                  </pic:spPr>
                </pic:pic>
              </a:graphicData>
            </a:graphic>
          </wp:inline>
        </w:drawing>
      </w:r>
    </w:p>
    <w:p w14:paraId="21A5C8BB" w14:textId="0E472125" w:rsidR="00755D0D" w:rsidRDefault="00755D0D" w:rsidP="001D06C7">
      <w:pPr>
        <w:pStyle w:val="TableTitle"/>
      </w:pPr>
      <w:bookmarkStart w:id="56" w:name="_Ref30158352"/>
      <w:r>
        <w:lastRenderedPageBreak/>
        <w:t xml:space="preserve">Table </w:t>
      </w:r>
      <w:fldSimple w:instr=" SEQ Table \* ARABIC ">
        <w:r w:rsidR="00E82538">
          <w:rPr>
            <w:noProof/>
          </w:rPr>
          <w:t>19</w:t>
        </w:r>
      </w:fldSimple>
      <w:bookmarkEnd w:id="56"/>
      <w:r>
        <w:t xml:space="preserve">: </w:t>
      </w:r>
      <w:r w:rsidR="00575CAE">
        <w:t>REPROVE trial p</w:t>
      </w:r>
      <w:r>
        <w:t>er-pathogen clinical response at test of cure, by common (combined frequency of ≥ 10) baseline Gram-negative pathogen (</w:t>
      </w:r>
      <w:r>
        <w:rPr>
          <w:rFonts w:asciiTheme="minorHAnsi" w:eastAsiaTheme="minorHAnsi" w:hAnsiTheme="minorHAnsi" w:cs="Verdana"/>
        </w:rPr>
        <w:t>microbiologically modified intention to treat</w:t>
      </w:r>
      <w:r>
        <w:t xml:space="preserve"> analysis sets)</w:t>
      </w:r>
    </w:p>
    <w:p w14:paraId="70127B42" w14:textId="77777777" w:rsidR="005E2185" w:rsidRDefault="005E2185" w:rsidP="001D06C7">
      <w:r>
        <w:rPr>
          <w:noProof/>
          <w:lang w:eastAsia="en-AU"/>
        </w:rPr>
        <w:drawing>
          <wp:inline distT="0" distB="0" distL="0" distR="0" wp14:anchorId="2B191FD9" wp14:editId="7DE7A1BE">
            <wp:extent cx="5400040" cy="2294255"/>
            <wp:effectExtent l="0" t="0" r="0" b="0"/>
            <wp:docPr id="14" name="Picture 14" descr="Study REPRISE per-pathogen clinical response at test of cure, by common (combined frequency of ≥ 10) baseline Gram-negative pathogen (REPROVE, microbiologically modified intention to treat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1.JPG"/>
                    <pic:cNvPicPr/>
                  </pic:nvPicPr>
                  <pic:blipFill>
                    <a:blip r:embed="rId31">
                      <a:extLst>
                        <a:ext uri="{28A0092B-C50C-407E-A947-70E740481C1C}">
                          <a14:useLocalDpi xmlns:a14="http://schemas.microsoft.com/office/drawing/2010/main" val="0"/>
                        </a:ext>
                      </a:extLst>
                    </a:blip>
                    <a:stretch>
                      <a:fillRect/>
                    </a:stretch>
                  </pic:blipFill>
                  <pic:spPr>
                    <a:xfrm>
                      <a:off x="0" y="0"/>
                      <a:ext cx="5400040" cy="2294255"/>
                    </a:xfrm>
                    <a:prstGeom prst="rect">
                      <a:avLst/>
                    </a:prstGeom>
                  </pic:spPr>
                </pic:pic>
              </a:graphicData>
            </a:graphic>
          </wp:inline>
        </w:drawing>
      </w:r>
    </w:p>
    <w:p w14:paraId="100F7E34" w14:textId="77777777" w:rsidR="00755D0D" w:rsidRDefault="00755D0D" w:rsidP="00755D0D">
      <w:pPr>
        <w:pStyle w:val="Heading5"/>
      </w:pPr>
      <w:r>
        <w:t>Summary</w:t>
      </w:r>
    </w:p>
    <w:p w14:paraId="3D6941AB" w14:textId="77777777" w:rsidR="005E2185" w:rsidRDefault="005E2185" w:rsidP="005E2185">
      <w:r w:rsidRPr="007E0D6E">
        <w:t xml:space="preserve">An overall overview of clinical response in clinical development program in patients with </w:t>
      </w:r>
      <w:r w:rsidR="00F60AA7">
        <w:t>ceftazidime</w:t>
      </w:r>
      <w:r w:rsidRPr="007E0D6E">
        <w:t xml:space="preserve">-resistant and </w:t>
      </w:r>
      <w:r w:rsidR="00F60AA7">
        <w:t>ceftazidime</w:t>
      </w:r>
      <w:r w:rsidRPr="007E0D6E">
        <w:t>-sensitive pathogens at baseline by</w:t>
      </w:r>
      <w:r w:rsidR="00755D0D">
        <w:t xml:space="preserve"> each indication was as follows in </w:t>
      </w:r>
      <w:r w:rsidR="00755D0D">
        <w:fldChar w:fldCharType="begin"/>
      </w:r>
      <w:r w:rsidR="00755D0D">
        <w:instrText xml:space="preserve"> REF _Ref30158501 \h </w:instrText>
      </w:r>
      <w:r w:rsidR="00755D0D">
        <w:fldChar w:fldCharType="separate"/>
      </w:r>
      <w:r w:rsidR="00755D0D">
        <w:t xml:space="preserve">Table </w:t>
      </w:r>
      <w:r w:rsidR="00755D0D">
        <w:rPr>
          <w:noProof/>
        </w:rPr>
        <w:t>20</w:t>
      </w:r>
      <w:r w:rsidR="00755D0D">
        <w:fldChar w:fldCharType="end"/>
      </w:r>
      <w:r w:rsidR="00755D0D">
        <w:t>.</w:t>
      </w:r>
    </w:p>
    <w:p w14:paraId="0A09207B" w14:textId="77777777" w:rsidR="00755D0D" w:rsidRDefault="00755D0D" w:rsidP="00755D0D">
      <w:pPr>
        <w:pStyle w:val="TableTitle"/>
      </w:pPr>
      <w:bookmarkStart w:id="57" w:name="_Ref30158501"/>
      <w:r>
        <w:t xml:space="preserve">Table </w:t>
      </w:r>
      <w:fldSimple w:instr=" SEQ Table \* ARABIC ">
        <w:r w:rsidR="00E82538">
          <w:rPr>
            <w:noProof/>
          </w:rPr>
          <w:t>20</w:t>
        </w:r>
      </w:fldSimple>
      <w:bookmarkEnd w:id="57"/>
      <w:r>
        <w:t>: Per-pathogen clinical response at test of cure by Gram-negative baseline pathogen, comparing patients with ceftazidime-resistant pathogens and patients with ceftazidime-susceptible pathogens only</w:t>
      </w:r>
    </w:p>
    <w:p w14:paraId="1B2FBC9E" w14:textId="77777777" w:rsidR="005E2185" w:rsidRDefault="005E2185" w:rsidP="001D06C7">
      <w:r>
        <w:rPr>
          <w:noProof/>
          <w:lang w:eastAsia="en-AU"/>
        </w:rPr>
        <w:drawing>
          <wp:inline distT="0" distB="0" distL="0" distR="0" wp14:anchorId="3A34F507" wp14:editId="1CA8E2E4">
            <wp:extent cx="5400040" cy="2098040"/>
            <wp:effectExtent l="0" t="0" r="0" b="0"/>
            <wp:docPr id="15" name="Picture 15" descr="Per-pathogen clinical response at test of cure by Gram-negative baseline pathogen, comparing patients with ceftazidime-resistant pathogens and patients with ceftazidime-susceptible pathogen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2.JPG"/>
                    <pic:cNvPicPr/>
                  </pic:nvPicPr>
                  <pic:blipFill>
                    <a:blip r:embed="rId32">
                      <a:extLst>
                        <a:ext uri="{28A0092B-C50C-407E-A947-70E740481C1C}">
                          <a14:useLocalDpi xmlns:a14="http://schemas.microsoft.com/office/drawing/2010/main" val="0"/>
                        </a:ext>
                      </a:extLst>
                    </a:blip>
                    <a:stretch>
                      <a:fillRect/>
                    </a:stretch>
                  </pic:blipFill>
                  <pic:spPr>
                    <a:xfrm>
                      <a:off x="0" y="0"/>
                      <a:ext cx="5400040" cy="2098040"/>
                    </a:xfrm>
                    <a:prstGeom prst="rect">
                      <a:avLst/>
                    </a:prstGeom>
                  </pic:spPr>
                </pic:pic>
              </a:graphicData>
            </a:graphic>
          </wp:inline>
        </w:drawing>
      </w:r>
    </w:p>
    <w:p w14:paraId="1163BA24" w14:textId="77777777" w:rsidR="00575CAE" w:rsidRPr="00575CAE" w:rsidRDefault="00575CAE" w:rsidP="001A3D34">
      <w:pPr>
        <w:pStyle w:val="TableDescription"/>
      </w:pPr>
      <w:r>
        <w:t>cIAI = complicated intra-abdominal infection; cUTI = complicated urinary tract infection; NC = nosocomial pneumonia; VAP = ventilator acquired pneumonia; mMITT = m</w:t>
      </w:r>
      <w:r w:rsidRPr="00575CAE">
        <w:t>icrobiologically modified intention to treat</w:t>
      </w:r>
      <w:r>
        <w:t>; CAZ = ceftazidime; AVI = avibactam; CAZ-ACI = ceftazidime/avibactam; MTZ = metronidazole</w:t>
      </w:r>
    </w:p>
    <w:p w14:paraId="39E8A828" w14:textId="77777777" w:rsidR="005E2185" w:rsidRDefault="00F53490" w:rsidP="005E2185">
      <w:pPr>
        <w:pStyle w:val="Heading4"/>
      </w:pPr>
      <w:r>
        <w:t>Clinical s</w:t>
      </w:r>
      <w:r w:rsidR="005E2185">
        <w:t>afety</w:t>
      </w:r>
    </w:p>
    <w:p w14:paraId="2D87DF66" w14:textId="77777777" w:rsidR="005E2185" w:rsidRDefault="005E2185" w:rsidP="005E2185">
      <w:r>
        <w:t xml:space="preserve">Total </w:t>
      </w:r>
      <w:r w:rsidR="00F60AA7">
        <w:t>ceftazidime</w:t>
      </w:r>
      <w:r>
        <w:t>/</w:t>
      </w:r>
      <w:r w:rsidR="00F60AA7">
        <w:t>avibactam</w:t>
      </w:r>
      <w:r>
        <w:t xml:space="preserve"> safety population comprises 2240 healthy volunteers and patients who received at least one dose of </w:t>
      </w:r>
      <w:r w:rsidR="00F60AA7">
        <w:t>ceftazidime</w:t>
      </w:r>
      <w:r>
        <w:t>/</w:t>
      </w:r>
      <w:r w:rsidR="00F60AA7">
        <w:t>avibactam</w:t>
      </w:r>
      <w:r>
        <w:t xml:space="preserve"> including 216 subjects </w:t>
      </w:r>
      <w:r w:rsidR="00F60AA7">
        <w:t>ceftazidime</w:t>
      </w:r>
      <w:r>
        <w:t>/</w:t>
      </w:r>
      <w:r w:rsidR="00F60AA7">
        <w:t>avibactam</w:t>
      </w:r>
      <w:r w:rsidR="00755D0D">
        <w:t xml:space="preserve"> in Phase I</w:t>
      </w:r>
      <w:r>
        <w:t xml:space="preserve"> studies.</w:t>
      </w:r>
    </w:p>
    <w:p w14:paraId="50920FDD" w14:textId="77777777" w:rsidR="005D567A" w:rsidRDefault="005E2185" w:rsidP="005E2185">
      <w:r>
        <w:t xml:space="preserve">Of these, a total of 2024 patients were exposed to </w:t>
      </w:r>
      <w:r w:rsidR="00F60AA7">
        <w:t>ceftazidime</w:t>
      </w:r>
      <w:r>
        <w:t>/</w:t>
      </w:r>
      <w:r w:rsidR="00F60AA7">
        <w:t>avibactam</w:t>
      </w:r>
      <w:r w:rsidR="00755D0D">
        <w:t xml:space="preserve"> in Phase II and III</w:t>
      </w:r>
      <w:r>
        <w:t xml:space="preserve"> studies (857 cIAI patients exposed to </w:t>
      </w:r>
      <w:r w:rsidR="00F60AA7">
        <w:t>ceftazidime</w:t>
      </w:r>
      <w:r>
        <w:t>/</w:t>
      </w:r>
      <w:r w:rsidR="00F60AA7">
        <w:t>avibactam</w:t>
      </w:r>
      <w:r w:rsidR="00755D0D">
        <w:t xml:space="preserve"> </w:t>
      </w:r>
      <w:r>
        <w:t>+</w:t>
      </w:r>
      <w:r w:rsidR="00755D0D">
        <w:t xml:space="preserve"> </w:t>
      </w:r>
      <w:r w:rsidR="00755D0D">
        <w:rPr>
          <w:rFonts w:asciiTheme="minorHAnsi" w:eastAsiaTheme="minorHAnsi" w:hAnsiTheme="minorHAnsi" w:cs="Verdana"/>
        </w:rPr>
        <w:t>metronidazole</w:t>
      </w:r>
      <w:r>
        <w:t xml:space="preserve">, 731 cUTI patients exposed to </w:t>
      </w:r>
      <w:r w:rsidR="00F60AA7">
        <w:t>ceftazidime</w:t>
      </w:r>
      <w:r>
        <w:t>/</w:t>
      </w:r>
      <w:r w:rsidR="00F60AA7">
        <w:t>avibactam</w:t>
      </w:r>
      <w:r>
        <w:t xml:space="preserve"> and 436 HAP patients exposed to </w:t>
      </w:r>
      <w:r w:rsidR="00F60AA7">
        <w:t>ceftazidime</w:t>
      </w:r>
      <w:r>
        <w:t>/</w:t>
      </w:r>
      <w:r w:rsidR="00F60AA7">
        <w:t>avibactam</w:t>
      </w:r>
      <w:r>
        <w:t>). Th</w:t>
      </w:r>
      <w:r w:rsidR="00755D0D">
        <w:t>e mean exposure was 8.2 days (standard deviation</w:t>
      </w:r>
      <w:r>
        <w:t xml:space="preserve"> 3.2) with a range of 1 to 21 days for </w:t>
      </w:r>
      <w:r w:rsidR="00F60AA7">
        <w:t>ceftazidime</w:t>
      </w:r>
      <w:r>
        <w:t>/</w:t>
      </w:r>
      <w:r w:rsidR="00F60AA7">
        <w:t>avibactam</w:t>
      </w:r>
      <w:r w:rsidR="00755D0D">
        <w:t xml:space="preserve"> </w:t>
      </w:r>
      <w:r>
        <w:t>±</w:t>
      </w:r>
      <w:r w:rsidR="00755D0D">
        <w:t xml:space="preserve"> </w:t>
      </w:r>
      <w:r w:rsidR="00755D0D">
        <w:rPr>
          <w:rFonts w:asciiTheme="minorHAnsi" w:eastAsiaTheme="minorHAnsi" w:hAnsiTheme="minorHAnsi" w:cs="Verdana"/>
        </w:rPr>
        <w:t>metronidazole</w:t>
      </w:r>
      <w:r>
        <w:t xml:space="preserve">. The overall reported </w:t>
      </w:r>
      <w:r>
        <w:lastRenderedPageBreak/>
        <w:t xml:space="preserve">incidence of </w:t>
      </w:r>
      <w:r w:rsidR="00755D0D">
        <w:t>adverse events (</w:t>
      </w:r>
      <w:r>
        <w:t>AEs</w:t>
      </w:r>
      <w:r w:rsidR="00755D0D">
        <w:t>)</w:t>
      </w:r>
      <w:r>
        <w:t>/</w:t>
      </w:r>
      <w:r w:rsidR="00755D0D">
        <w:t>serious adverse events (</w:t>
      </w:r>
      <w:r>
        <w:t>SAEs</w:t>
      </w:r>
      <w:r w:rsidR="00755D0D">
        <w:t>)</w:t>
      </w:r>
      <w:r>
        <w:t>/</w:t>
      </w:r>
      <w:r w:rsidR="005D567A">
        <w:t>discontinuation of study drug due to adverse events (</w:t>
      </w:r>
      <w:r>
        <w:t>DAEs</w:t>
      </w:r>
      <w:r w:rsidR="005D567A">
        <w:t xml:space="preserve">) in this dataset was as follows in </w:t>
      </w:r>
      <w:r w:rsidR="005D567A">
        <w:fldChar w:fldCharType="begin"/>
      </w:r>
      <w:r w:rsidR="005D567A">
        <w:instrText xml:space="preserve"> REF _Ref30159042 \h </w:instrText>
      </w:r>
      <w:r w:rsidR="005D567A">
        <w:fldChar w:fldCharType="separate"/>
      </w:r>
      <w:r w:rsidR="005D567A">
        <w:t xml:space="preserve">Table </w:t>
      </w:r>
      <w:r w:rsidR="005D567A">
        <w:rPr>
          <w:noProof/>
        </w:rPr>
        <w:t>21</w:t>
      </w:r>
      <w:r w:rsidR="005D567A">
        <w:fldChar w:fldCharType="end"/>
      </w:r>
      <w:r w:rsidR="005D567A">
        <w:t>.</w:t>
      </w:r>
    </w:p>
    <w:p w14:paraId="0E7779E3" w14:textId="77777777" w:rsidR="005E2185" w:rsidRDefault="005D567A" w:rsidP="005D567A">
      <w:pPr>
        <w:pStyle w:val="TableTitle"/>
      </w:pPr>
      <w:bookmarkStart w:id="58" w:name="_Ref30159042"/>
      <w:r>
        <w:t xml:space="preserve">Table </w:t>
      </w:r>
      <w:fldSimple w:instr=" SEQ Table \* ARABIC ">
        <w:r w:rsidR="00E82538">
          <w:rPr>
            <w:noProof/>
          </w:rPr>
          <w:t>21</w:t>
        </w:r>
      </w:fldSimple>
      <w:bookmarkEnd w:id="58"/>
      <w:r>
        <w:t>: Adverse events up to last visit in any category, Phase II/III pool (safety analysis set)</w:t>
      </w:r>
    </w:p>
    <w:p w14:paraId="188BC2D3" w14:textId="77777777" w:rsidR="005E2185" w:rsidRDefault="005E2185" w:rsidP="00E84245">
      <w:r>
        <w:rPr>
          <w:noProof/>
          <w:lang w:eastAsia="en-AU"/>
        </w:rPr>
        <w:drawing>
          <wp:inline distT="0" distB="0" distL="0" distR="0" wp14:anchorId="1614F409" wp14:editId="3CE2C161">
            <wp:extent cx="5400040" cy="1967865"/>
            <wp:effectExtent l="0" t="0" r="0" b="0"/>
            <wp:docPr id="16" name="Picture 16" descr="Adverse events up to last visit in any category, Phase II/III pool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3.JPG"/>
                    <pic:cNvPicPr/>
                  </pic:nvPicPr>
                  <pic:blipFill>
                    <a:blip r:embed="rId33">
                      <a:extLst>
                        <a:ext uri="{28A0092B-C50C-407E-A947-70E740481C1C}">
                          <a14:useLocalDpi xmlns:a14="http://schemas.microsoft.com/office/drawing/2010/main" val="0"/>
                        </a:ext>
                      </a:extLst>
                    </a:blip>
                    <a:stretch>
                      <a:fillRect/>
                    </a:stretch>
                  </pic:blipFill>
                  <pic:spPr>
                    <a:xfrm>
                      <a:off x="0" y="0"/>
                      <a:ext cx="5400040" cy="1967865"/>
                    </a:xfrm>
                    <a:prstGeom prst="rect">
                      <a:avLst/>
                    </a:prstGeom>
                  </pic:spPr>
                </pic:pic>
              </a:graphicData>
            </a:graphic>
          </wp:inline>
        </w:drawing>
      </w:r>
    </w:p>
    <w:p w14:paraId="44BDC576" w14:textId="77777777" w:rsidR="005E2185" w:rsidRDefault="005E2185" w:rsidP="005E2185">
      <w:pPr>
        <w:spacing w:after="0" w:line="240" w:lineRule="auto"/>
        <w:jc w:val="both"/>
        <w:rPr>
          <w:rFonts w:asciiTheme="minorHAnsi" w:hAnsiTheme="minorHAnsi"/>
        </w:rPr>
      </w:pPr>
      <w:r>
        <w:rPr>
          <w:rFonts w:asciiTheme="minorHAnsi" w:hAnsiTheme="minorHAnsi"/>
        </w:rPr>
        <w:t xml:space="preserve">The distribution of these adverse outcomes in various age strata </w:t>
      </w:r>
      <w:r w:rsidR="005D567A">
        <w:rPr>
          <w:rFonts w:asciiTheme="minorHAnsi" w:hAnsiTheme="minorHAnsi"/>
        </w:rPr>
        <w:t xml:space="preserve">is shown in </w:t>
      </w:r>
      <w:r w:rsidR="005D567A">
        <w:rPr>
          <w:rFonts w:asciiTheme="minorHAnsi" w:hAnsiTheme="minorHAnsi"/>
        </w:rPr>
        <w:fldChar w:fldCharType="begin"/>
      </w:r>
      <w:r w:rsidR="005D567A">
        <w:rPr>
          <w:rFonts w:asciiTheme="minorHAnsi" w:hAnsiTheme="minorHAnsi"/>
        </w:rPr>
        <w:instrText xml:space="preserve"> REF _Ref30159130 \h </w:instrText>
      </w:r>
      <w:r w:rsidR="005D567A">
        <w:rPr>
          <w:rFonts w:asciiTheme="minorHAnsi" w:hAnsiTheme="minorHAnsi"/>
        </w:rPr>
      </w:r>
      <w:r w:rsidR="005D567A">
        <w:rPr>
          <w:rFonts w:asciiTheme="minorHAnsi" w:hAnsiTheme="minorHAnsi"/>
        </w:rPr>
        <w:fldChar w:fldCharType="separate"/>
      </w:r>
      <w:r w:rsidR="005D567A">
        <w:t xml:space="preserve">Table </w:t>
      </w:r>
      <w:r w:rsidR="005D567A">
        <w:rPr>
          <w:noProof/>
        </w:rPr>
        <w:t>22</w:t>
      </w:r>
      <w:r w:rsidR="005D567A">
        <w:rPr>
          <w:rFonts w:asciiTheme="minorHAnsi" w:hAnsiTheme="minorHAnsi"/>
        </w:rPr>
        <w:fldChar w:fldCharType="end"/>
      </w:r>
      <w:r w:rsidR="005D567A">
        <w:rPr>
          <w:rFonts w:asciiTheme="minorHAnsi" w:hAnsiTheme="minorHAnsi"/>
        </w:rPr>
        <w:t>.</w:t>
      </w:r>
    </w:p>
    <w:p w14:paraId="3F4D0B2C" w14:textId="66C1F6B0" w:rsidR="005D567A" w:rsidRPr="005D567A" w:rsidRDefault="005D567A" w:rsidP="005D567A">
      <w:pPr>
        <w:pStyle w:val="TableTitle"/>
        <w:rPr>
          <w:noProof/>
        </w:rPr>
      </w:pPr>
      <w:bookmarkStart w:id="59" w:name="_Ref30159130"/>
      <w:r>
        <w:t xml:space="preserve">Table </w:t>
      </w:r>
      <w:fldSimple w:instr=" SEQ Table \* ARABIC ">
        <w:r w:rsidR="00E82538">
          <w:rPr>
            <w:noProof/>
          </w:rPr>
          <w:t>22</w:t>
        </w:r>
      </w:fldSimple>
      <w:bookmarkEnd w:id="59"/>
      <w:r>
        <w:t>: Adverse events up to the last visit in any category by age group, Phase</w:t>
      </w:r>
      <w:r w:rsidR="00FC1336">
        <w:t> </w:t>
      </w:r>
      <w:r>
        <w:t>II/III pool (safety</w:t>
      </w:r>
      <w:r>
        <w:rPr>
          <w:noProof/>
        </w:rPr>
        <w:t xml:space="preserve"> analysis set)</w:t>
      </w:r>
    </w:p>
    <w:p w14:paraId="09B25F85" w14:textId="77777777" w:rsidR="005E2185" w:rsidRDefault="005E2185" w:rsidP="00E84245">
      <w:r>
        <w:rPr>
          <w:noProof/>
          <w:lang w:eastAsia="en-AU"/>
        </w:rPr>
        <w:drawing>
          <wp:inline distT="0" distB="0" distL="0" distR="0" wp14:anchorId="62218459" wp14:editId="3ADF2991">
            <wp:extent cx="5400040" cy="2103120"/>
            <wp:effectExtent l="0" t="0" r="0" b="0"/>
            <wp:docPr id="17" name="Picture 17" descr="Adverse events up to the last visit in any category by age group, Phase II/III pool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4.JPG"/>
                    <pic:cNvPicPr/>
                  </pic:nvPicPr>
                  <pic:blipFill>
                    <a:blip r:embed="rId34">
                      <a:extLst>
                        <a:ext uri="{28A0092B-C50C-407E-A947-70E740481C1C}">
                          <a14:useLocalDpi xmlns:a14="http://schemas.microsoft.com/office/drawing/2010/main" val="0"/>
                        </a:ext>
                      </a:extLst>
                    </a:blip>
                    <a:stretch>
                      <a:fillRect/>
                    </a:stretch>
                  </pic:blipFill>
                  <pic:spPr>
                    <a:xfrm>
                      <a:off x="0" y="0"/>
                      <a:ext cx="5400040" cy="2103120"/>
                    </a:xfrm>
                    <a:prstGeom prst="rect">
                      <a:avLst/>
                    </a:prstGeom>
                  </pic:spPr>
                </pic:pic>
              </a:graphicData>
            </a:graphic>
          </wp:inline>
        </w:drawing>
      </w:r>
    </w:p>
    <w:p w14:paraId="1B071E33" w14:textId="77777777" w:rsidR="005E2185" w:rsidRDefault="005E2185" w:rsidP="001A3D34">
      <w:r w:rsidRPr="00AB6A0C">
        <w:t>The most common AEs in this dataset</w:t>
      </w:r>
      <w:r w:rsidR="005D567A">
        <w:t xml:space="preserve"> </w:t>
      </w:r>
      <w:r w:rsidR="005D567A" w:rsidRPr="00FC1336">
        <w:t>are</w:t>
      </w:r>
      <w:r w:rsidR="005D567A">
        <w:t xml:space="preserve"> shown in </w:t>
      </w:r>
      <w:r w:rsidR="005D567A">
        <w:fldChar w:fldCharType="begin"/>
      </w:r>
      <w:r w:rsidR="005D567A">
        <w:instrText xml:space="preserve"> REF _Ref30159249 \h </w:instrText>
      </w:r>
      <w:r w:rsidR="005D567A">
        <w:fldChar w:fldCharType="separate"/>
      </w:r>
      <w:r w:rsidR="005D567A">
        <w:t xml:space="preserve">Table </w:t>
      </w:r>
      <w:r w:rsidR="005D567A">
        <w:rPr>
          <w:noProof/>
        </w:rPr>
        <w:t>23</w:t>
      </w:r>
      <w:r w:rsidR="005D567A">
        <w:fldChar w:fldCharType="end"/>
      </w:r>
      <w:r w:rsidR="005D567A">
        <w:t>.</w:t>
      </w:r>
    </w:p>
    <w:p w14:paraId="56DAE8E2" w14:textId="55341861" w:rsidR="00FC1336" w:rsidRDefault="005D567A" w:rsidP="001A3D34">
      <w:pPr>
        <w:pStyle w:val="TableTitle"/>
      </w:pPr>
      <w:bookmarkStart w:id="60" w:name="_Ref30159249"/>
      <w:r>
        <w:lastRenderedPageBreak/>
        <w:t xml:space="preserve">Table </w:t>
      </w:r>
      <w:fldSimple w:instr=" SEQ Table \* ARABIC ">
        <w:r w:rsidR="00E82538">
          <w:rPr>
            <w:noProof/>
          </w:rPr>
          <w:t>23</w:t>
        </w:r>
      </w:fldSimple>
      <w:bookmarkEnd w:id="60"/>
      <w:r>
        <w:t xml:space="preserve">: Most common adverse events (≥ 2% in the ceftazidime-avibactam </w:t>
      </w:r>
      <w:r w:rsidR="00FC1336">
        <w:t>± </w:t>
      </w:r>
      <w:r>
        <w:rPr>
          <w:rFonts w:asciiTheme="minorHAnsi" w:eastAsiaTheme="minorHAnsi" w:hAnsiTheme="minorHAnsi" w:cs="Verdana"/>
        </w:rPr>
        <w:t>metronidazole</w:t>
      </w:r>
      <w:r>
        <w:t xml:space="preserve"> or comparator) up to the last visit by Preferred Term, Phase II/III pool (safety analysis set)</w:t>
      </w:r>
    </w:p>
    <w:p w14:paraId="2724F9CC" w14:textId="77777777" w:rsidR="005E2185" w:rsidRDefault="005E2185" w:rsidP="00E84245">
      <w:r>
        <w:rPr>
          <w:noProof/>
          <w:lang w:eastAsia="en-AU"/>
        </w:rPr>
        <w:drawing>
          <wp:inline distT="0" distB="0" distL="0" distR="0" wp14:anchorId="1E4A7459" wp14:editId="295E378D">
            <wp:extent cx="5400040" cy="3938905"/>
            <wp:effectExtent l="0" t="0" r="0" b="4445"/>
            <wp:docPr id="18" name="Picture 18" descr="Most common adverse events (≥ 2% in the ceftazidime-avibactam +/- metronidazole or comparator) up to the last visit by Preferred Term, Phase II/III pool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5.JPG"/>
                    <pic:cNvPicPr/>
                  </pic:nvPicPr>
                  <pic:blipFill>
                    <a:blip r:embed="rId35">
                      <a:extLst>
                        <a:ext uri="{28A0092B-C50C-407E-A947-70E740481C1C}">
                          <a14:useLocalDpi xmlns:a14="http://schemas.microsoft.com/office/drawing/2010/main" val="0"/>
                        </a:ext>
                      </a:extLst>
                    </a:blip>
                    <a:stretch>
                      <a:fillRect/>
                    </a:stretch>
                  </pic:blipFill>
                  <pic:spPr>
                    <a:xfrm>
                      <a:off x="0" y="0"/>
                      <a:ext cx="5400040" cy="3938905"/>
                    </a:xfrm>
                    <a:prstGeom prst="rect">
                      <a:avLst/>
                    </a:prstGeom>
                  </pic:spPr>
                </pic:pic>
              </a:graphicData>
            </a:graphic>
          </wp:inline>
        </w:drawing>
      </w:r>
    </w:p>
    <w:p w14:paraId="508FDCD4" w14:textId="77777777" w:rsidR="00FC1336" w:rsidRDefault="00FC1336" w:rsidP="001A3D34">
      <w:pPr>
        <w:pStyle w:val="Tabletext"/>
      </w:pPr>
      <w:r>
        <w:t>PT = Preferred Term; CAV-AVI = ceftazidime-avibactam; MTZ = metronidazole; Fortum SmPC 2016 = Fortum (ceftazidime pentrahydrate) Summary of Medicinal Product Characteristics 2016 (European Union)</w:t>
      </w:r>
    </w:p>
    <w:p w14:paraId="3A178310" w14:textId="77777777" w:rsidR="005E2185" w:rsidRDefault="005E2185" w:rsidP="005E2185">
      <w:pPr>
        <w:autoSpaceDE w:val="0"/>
        <w:autoSpaceDN w:val="0"/>
        <w:spacing w:line="240" w:lineRule="auto"/>
        <w:jc w:val="both"/>
        <w:rPr>
          <w:rFonts w:asciiTheme="minorHAnsi" w:hAnsiTheme="minorHAnsi"/>
        </w:rPr>
      </w:pPr>
      <w:r>
        <w:rPr>
          <w:rFonts w:asciiTheme="minorHAnsi" w:hAnsiTheme="minorHAnsi"/>
        </w:rPr>
        <w:t>The following SAE</w:t>
      </w:r>
      <w:r w:rsidR="005D567A">
        <w:rPr>
          <w:rFonts w:asciiTheme="minorHAnsi" w:hAnsiTheme="minorHAnsi"/>
        </w:rPr>
        <w:t xml:space="preserve">s were reported in this dataset, as shown in </w:t>
      </w:r>
      <w:r w:rsidR="005D567A">
        <w:rPr>
          <w:rFonts w:asciiTheme="minorHAnsi" w:hAnsiTheme="minorHAnsi"/>
        </w:rPr>
        <w:fldChar w:fldCharType="begin"/>
      </w:r>
      <w:r w:rsidR="005D567A">
        <w:rPr>
          <w:rFonts w:asciiTheme="minorHAnsi" w:hAnsiTheme="minorHAnsi"/>
        </w:rPr>
        <w:instrText xml:space="preserve"> REF _Ref30159327 \h </w:instrText>
      </w:r>
      <w:r w:rsidR="005D567A">
        <w:rPr>
          <w:rFonts w:asciiTheme="minorHAnsi" w:hAnsiTheme="minorHAnsi"/>
        </w:rPr>
      </w:r>
      <w:r w:rsidR="005D567A">
        <w:rPr>
          <w:rFonts w:asciiTheme="minorHAnsi" w:hAnsiTheme="minorHAnsi"/>
        </w:rPr>
        <w:fldChar w:fldCharType="separate"/>
      </w:r>
      <w:r w:rsidR="005D567A">
        <w:t xml:space="preserve">Table </w:t>
      </w:r>
      <w:r w:rsidR="005D567A">
        <w:rPr>
          <w:noProof/>
        </w:rPr>
        <w:t>24</w:t>
      </w:r>
      <w:r w:rsidR="005D567A">
        <w:rPr>
          <w:rFonts w:asciiTheme="minorHAnsi" w:hAnsiTheme="minorHAnsi"/>
        </w:rPr>
        <w:fldChar w:fldCharType="end"/>
      </w:r>
      <w:r w:rsidR="005D567A">
        <w:rPr>
          <w:rFonts w:asciiTheme="minorHAnsi" w:hAnsiTheme="minorHAnsi"/>
        </w:rPr>
        <w:t>.</w:t>
      </w:r>
    </w:p>
    <w:p w14:paraId="330BD2AE" w14:textId="77777777" w:rsidR="005D567A" w:rsidRPr="005D567A" w:rsidRDefault="005D567A" w:rsidP="005D567A">
      <w:pPr>
        <w:pStyle w:val="TableTitle"/>
      </w:pPr>
      <w:bookmarkStart w:id="61" w:name="_Ref30159327"/>
      <w:r>
        <w:t xml:space="preserve">Table </w:t>
      </w:r>
      <w:fldSimple w:instr=" SEQ Table \* ARABIC ">
        <w:r w:rsidR="00E82538">
          <w:rPr>
            <w:noProof/>
          </w:rPr>
          <w:t>24</w:t>
        </w:r>
      </w:fldSimple>
      <w:bookmarkEnd w:id="61"/>
      <w:r>
        <w:t>: Serious adverse events occurring in &gt; 2 patients up to the last visit by Preferred Term, Phase II/III pool (safety analysis set)</w:t>
      </w:r>
    </w:p>
    <w:p w14:paraId="679E3D31" w14:textId="77777777" w:rsidR="005E2185" w:rsidRDefault="005E2185" w:rsidP="00E84245">
      <w:r>
        <w:rPr>
          <w:noProof/>
          <w:lang w:eastAsia="en-AU"/>
        </w:rPr>
        <w:drawing>
          <wp:inline distT="0" distB="0" distL="0" distR="0" wp14:anchorId="1E85DF10" wp14:editId="10CB1D31">
            <wp:extent cx="5400040" cy="2753995"/>
            <wp:effectExtent l="0" t="0" r="0" b="8255"/>
            <wp:docPr id="19" name="Picture 19" descr="Serious adverse events occurring in &gt; 2 patients up to the last visit by Preferred Term, Phase II/III pool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6.JPG"/>
                    <pic:cNvPicPr/>
                  </pic:nvPicPr>
                  <pic:blipFill>
                    <a:blip r:embed="rId36">
                      <a:extLst>
                        <a:ext uri="{28A0092B-C50C-407E-A947-70E740481C1C}">
                          <a14:useLocalDpi xmlns:a14="http://schemas.microsoft.com/office/drawing/2010/main" val="0"/>
                        </a:ext>
                      </a:extLst>
                    </a:blip>
                    <a:stretch>
                      <a:fillRect/>
                    </a:stretch>
                  </pic:blipFill>
                  <pic:spPr>
                    <a:xfrm>
                      <a:off x="0" y="0"/>
                      <a:ext cx="5400040" cy="2753995"/>
                    </a:xfrm>
                    <a:prstGeom prst="rect">
                      <a:avLst/>
                    </a:prstGeom>
                  </pic:spPr>
                </pic:pic>
              </a:graphicData>
            </a:graphic>
          </wp:inline>
        </w:drawing>
      </w:r>
    </w:p>
    <w:p w14:paraId="3C9E74CA" w14:textId="77777777" w:rsidR="005E2185" w:rsidRDefault="005E2185" w:rsidP="00BA258B">
      <w:r>
        <w:t xml:space="preserve">The deaths reported in this dataset by clinical indication </w:t>
      </w:r>
      <w:r w:rsidR="005D567A">
        <w:t xml:space="preserve">are shown in </w:t>
      </w:r>
      <w:r w:rsidR="00BA258B">
        <w:fldChar w:fldCharType="begin"/>
      </w:r>
      <w:r w:rsidR="00BA258B">
        <w:instrText xml:space="preserve"> REF _Ref30159399 \h  \* MERGEFORMAT </w:instrText>
      </w:r>
      <w:r w:rsidR="00BA258B">
        <w:fldChar w:fldCharType="separate"/>
      </w:r>
      <w:r w:rsidR="00BA258B">
        <w:t xml:space="preserve">Table </w:t>
      </w:r>
      <w:r w:rsidR="00BA258B">
        <w:rPr>
          <w:noProof/>
        </w:rPr>
        <w:t>25</w:t>
      </w:r>
      <w:r w:rsidR="00BA258B">
        <w:fldChar w:fldCharType="end"/>
      </w:r>
      <w:r w:rsidR="00BA258B">
        <w:t>.</w:t>
      </w:r>
    </w:p>
    <w:p w14:paraId="25F34A1E" w14:textId="77777777" w:rsidR="00BA258B" w:rsidRDefault="00BA258B" w:rsidP="00BA258B">
      <w:pPr>
        <w:pStyle w:val="TableTitle"/>
        <w:rPr>
          <w:rFonts w:asciiTheme="minorHAnsi" w:hAnsiTheme="minorHAnsi"/>
        </w:rPr>
      </w:pPr>
      <w:bookmarkStart w:id="62" w:name="_Ref30159399"/>
      <w:r>
        <w:lastRenderedPageBreak/>
        <w:t xml:space="preserve">Table </w:t>
      </w:r>
      <w:fldSimple w:instr=" SEQ Table \* ARABIC ">
        <w:r w:rsidR="00E82538">
          <w:rPr>
            <w:noProof/>
          </w:rPr>
          <w:t>25</w:t>
        </w:r>
      </w:fldSimple>
      <w:bookmarkEnd w:id="62"/>
      <w:r>
        <w:t>: All deaths up to the last visit, Phase II/III pool (safety analysis set)</w:t>
      </w:r>
    </w:p>
    <w:p w14:paraId="016F277C" w14:textId="77777777" w:rsidR="005E2185" w:rsidRDefault="005E2185" w:rsidP="00E84245">
      <w:r>
        <w:rPr>
          <w:noProof/>
          <w:lang w:eastAsia="en-AU"/>
        </w:rPr>
        <w:drawing>
          <wp:inline distT="0" distB="0" distL="0" distR="0" wp14:anchorId="5B2B9300" wp14:editId="1565B3A9">
            <wp:extent cx="5400040" cy="1631950"/>
            <wp:effectExtent l="0" t="0" r="0" b="6350"/>
            <wp:docPr id="20" name="Picture 20" descr="All deaths up to the last visit, Phase II/III pool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7.JPG"/>
                    <pic:cNvPicPr/>
                  </pic:nvPicPr>
                  <pic:blipFill>
                    <a:blip r:embed="rId37">
                      <a:extLst>
                        <a:ext uri="{28A0092B-C50C-407E-A947-70E740481C1C}">
                          <a14:useLocalDpi xmlns:a14="http://schemas.microsoft.com/office/drawing/2010/main" val="0"/>
                        </a:ext>
                      </a:extLst>
                    </a:blip>
                    <a:stretch>
                      <a:fillRect/>
                    </a:stretch>
                  </pic:blipFill>
                  <pic:spPr>
                    <a:xfrm>
                      <a:off x="0" y="0"/>
                      <a:ext cx="5400040" cy="1631950"/>
                    </a:xfrm>
                    <a:prstGeom prst="rect">
                      <a:avLst/>
                    </a:prstGeom>
                  </pic:spPr>
                </pic:pic>
              </a:graphicData>
            </a:graphic>
          </wp:inline>
        </w:drawing>
      </w:r>
    </w:p>
    <w:p w14:paraId="204A7792" w14:textId="77777777" w:rsidR="005E2185" w:rsidRDefault="005E2185" w:rsidP="00BA258B">
      <w:r>
        <w:t xml:space="preserve">The highest mortality was reported in the HAP (NP) indication but was comparable between </w:t>
      </w:r>
      <w:r w:rsidR="00F60AA7">
        <w:t>ceftazidime</w:t>
      </w:r>
      <w:r>
        <w:t>/</w:t>
      </w:r>
      <w:r w:rsidR="00F60AA7">
        <w:t>avibactam</w:t>
      </w:r>
      <w:r>
        <w:t xml:space="preserve"> and meropenem. The distribution of deaths </w:t>
      </w:r>
      <w:r w:rsidR="00BA258B">
        <w:t xml:space="preserve">by time interval was as follows in </w:t>
      </w:r>
      <w:r w:rsidR="00BA258B">
        <w:fldChar w:fldCharType="begin"/>
      </w:r>
      <w:r w:rsidR="00BA258B">
        <w:instrText xml:space="preserve"> REF _Ref30159538 \h </w:instrText>
      </w:r>
      <w:r w:rsidR="00BA258B">
        <w:fldChar w:fldCharType="separate"/>
      </w:r>
      <w:r w:rsidR="00BA258B">
        <w:t xml:space="preserve">Table </w:t>
      </w:r>
      <w:r w:rsidR="00BA258B">
        <w:rPr>
          <w:noProof/>
        </w:rPr>
        <w:t>26</w:t>
      </w:r>
      <w:r w:rsidR="00BA258B">
        <w:fldChar w:fldCharType="end"/>
      </w:r>
      <w:r w:rsidR="00BA258B">
        <w:t>.</w:t>
      </w:r>
    </w:p>
    <w:p w14:paraId="63D9E65E" w14:textId="77777777" w:rsidR="00BA258B" w:rsidRDefault="00BA258B" w:rsidP="00BA258B">
      <w:pPr>
        <w:pStyle w:val="TableTitle"/>
      </w:pPr>
      <w:bookmarkStart w:id="63" w:name="_Ref30159538"/>
      <w:r>
        <w:t xml:space="preserve">Table </w:t>
      </w:r>
      <w:fldSimple w:instr=" SEQ Table \* ARABIC ">
        <w:r w:rsidR="00E82538">
          <w:rPr>
            <w:noProof/>
          </w:rPr>
          <w:t>26</w:t>
        </w:r>
      </w:fldSimple>
      <w:bookmarkEnd w:id="63"/>
      <w:r>
        <w:t>: Number (%) of patients who died by time interval up to the last visit, Phase II/III pool (safety analysis set)</w:t>
      </w:r>
    </w:p>
    <w:p w14:paraId="396790AF" w14:textId="77777777" w:rsidR="005E2185" w:rsidRDefault="005E2185" w:rsidP="00E84245">
      <w:r>
        <w:rPr>
          <w:noProof/>
          <w:lang w:eastAsia="en-AU"/>
        </w:rPr>
        <w:drawing>
          <wp:inline distT="0" distB="0" distL="0" distR="0" wp14:anchorId="48D05B7A" wp14:editId="7C524589">
            <wp:extent cx="5400040" cy="1681480"/>
            <wp:effectExtent l="0" t="0" r="0" b="0"/>
            <wp:docPr id="23" name="Picture 23" descr="Number (%) of patients who died by time interval up to the last visit, Phase II/III pool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8.JPG"/>
                    <pic:cNvPicPr/>
                  </pic:nvPicPr>
                  <pic:blipFill>
                    <a:blip r:embed="rId38">
                      <a:extLst>
                        <a:ext uri="{28A0092B-C50C-407E-A947-70E740481C1C}">
                          <a14:useLocalDpi xmlns:a14="http://schemas.microsoft.com/office/drawing/2010/main" val="0"/>
                        </a:ext>
                      </a:extLst>
                    </a:blip>
                    <a:stretch>
                      <a:fillRect/>
                    </a:stretch>
                  </pic:blipFill>
                  <pic:spPr>
                    <a:xfrm>
                      <a:off x="0" y="0"/>
                      <a:ext cx="5400040" cy="1681480"/>
                    </a:xfrm>
                    <a:prstGeom prst="rect">
                      <a:avLst/>
                    </a:prstGeom>
                  </pic:spPr>
                </pic:pic>
              </a:graphicData>
            </a:graphic>
          </wp:inline>
        </w:drawing>
      </w:r>
    </w:p>
    <w:p w14:paraId="5526545A" w14:textId="77777777" w:rsidR="005E2185" w:rsidRDefault="005E2185" w:rsidP="00BA258B">
      <w:r>
        <w:t>In g</w:t>
      </w:r>
      <w:r w:rsidR="00BA258B">
        <w:t>eneral, higher rates of AE/SAE/d</w:t>
      </w:r>
      <w:r>
        <w:t>eaths were reported with increasi</w:t>
      </w:r>
      <w:r w:rsidR="00BA258B">
        <w:t xml:space="preserve">ng severity of renal impairment, shown in </w:t>
      </w:r>
      <w:r w:rsidR="00BA258B">
        <w:fldChar w:fldCharType="begin"/>
      </w:r>
      <w:r w:rsidR="00BA258B">
        <w:instrText xml:space="preserve"> REF _Ref30159619 \h </w:instrText>
      </w:r>
      <w:r w:rsidR="00BA258B">
        <w:fldChar w:fldCharType="separate"/>
      </w:r>
      <w:r w:rsidR="00BA258B">
        <w:t xml:space="preserve">Table </w:t>
      </w:r>
      <w:r w:rsidR="00BA258B">
        <w:rPr>
          <w:noProof/>
        </w:rPr>
        <w:t>27</w:t>
      </w:r>
      <w:r w:rsidR="00BA258B">
        <w:fldChar w:fldCharType="end"/>
      </w:r>
      <w:r w:rsidR="00BA258B">
        <w:t>.</w:t>
      </w:r>
    </w:p>
    <w:p w14:paraId="3A7EE52D" w14:textId="77777777" w:rsidR="00BA258B" w:rsidRDefault="00BA258B" w:rsidP="00BA258B">
      <w:pPr>
        <w:pStyle w:val="TableTitle"/>
      </w:pPr>
      <w:bookmarkStart w:id="64" w:name="_Ref30159619"/>
      <w:r>
        <w:t xml:space="preserve">Table </w:t>
      </w:r>
      <w:fldSimple w:instr=" SEQ Table \* ARABIC ">
        <w:r w:rsidR="00E82538">
          <w:rPr>
            <w:noProof/>
          </w:rPr>
          <w:t>27</w:t>
        </w:r>
      </w:fldSimple>
      <w:bookmarkEnd w:id="64"/>
      <w:r>
        <w:t>: Adverse events up to the last visit in any category by baseline renal status creatinine clearance (mL/min), Phase II/III pool (safety analysis set)</w:t>
      </w:r>
    </w:p>
    <w:p w14:paraId="312AB914" w14:textId="77777777" w:rsidR="005E2185" w:rsidRDefault="005E2185" w:rsidP="00E84245">
      <w:r>
        <w:rPr>
          <w:noProof/>
          <w:lang w:eastAsia="en-AU"/>
        </w:rPr>
        <w:drawing>
          <wp:inline distT="0" distB="0" distL="0" distR="0" wp14:anchorId="7B42A063" wp14:editId="46E84507">
            <wp:extent cx="5400040" cy="1891665"/>
            <wp:effectExtent l="0" t="0" r="0" b="0"/>
            <wp:docPr id="24" name="Picture 24" descr="Adverse events up to the last visit in any category by baseline renal status creatinine clearance (mL/min), Phase II/III pool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9.JPG"/>
                    <pic:cNvPicPr/>
                  </pic:nvPicPr>
                  <pic:blipFill>
                    <a:blip r:embed="rId39">
                      <a:extLst>
                        <a:ext uri="{28A0092B-C50C-407E-A947-70E740481C1C}">
                          <a14:useLocalDpi xmlns:a14="http://schemas.microsoft.com/office/drawing/2010/main" val="0"/>
                        </a:ext>
                      </a:extLst>
                    </a:blip>
                    <a:stretch>
                      <a:fillRect/>
                    </a:stretch>
                  </pic:blipFill>
                  <pic:spPr>
                    <a:xfrm>
                      <a:off x="0" y="0"/>
                      <a:ext cx="5400040" cy="1891665"/>
                    </a:xfrm>
                    <a:prstGeom prst="rect">
                      <a:avLst/>
                    </a:prstGeom>
                  </pic:spPr>
                </pic:pic>
              </a:graphicData>
            </a:graphic>
          </wp:inline>
        </w:drawing>
      </w:r>
    </w:p>
    <w:p w14:paraId="4F0B03EA" w14:textId="77777777" w:rsidR="005E2185" w:rsidRDefault="005E2185" w:rsidP="005E2185">
      <w:r>
        <w:t xml:space="preserve">The safety topics of interest identified a priori based on class effect for cephalosporins and/or from the ceftazidime were liver disorders, diarrhoea, severe hypersensitivity (no cases of </w:t>
      </w:r>
      <w:r w:rsidR="00BA258B" w:rsidRPr="00BA258B">
        <w:t xml:space="preserve">Stevens-Johnson syndrome </w:t>
      </w:r>
      <w:r w:rsidR="00BA258B">
        <w:t>(</w:t>
      </w:r>
      <w:r>
        <w:t>SJS</w:t>
      </w:r>
      <w:r w:rsidR="00BA258B">
        <w:t>)</w:t>
      </w:r>
      <w:r>
        <w:t xml:space="preserve"> or </w:t>
      </w:r>
      <w:r w:rsidR="00BA258B" w:rsidRPr="00BA258B">
        <w:t xml:space="preserve">toxic epidermal necrolysis </w:t>
      </w:r>
      <w:r w:rsidR="00BA258B">
        <w:t>(</w:t>
      </w:r>
      <w:r>
        <w:t>TEN</w:t>
      </w:r>
      <w:r w:rsidR="00BA258B">
        <w:t>)</w:t>
      </w:r>
      <w:r>
        <w:t xml:space="preserve"> were reported), haematological disorders, and renal disorders.</w:t>
      </w:r>
    </w:p>
    <w:p w14:paraId="74A20511" w14:textId="77777777" w:rsidR="00B87FF3" w:rsidRDefault="005E2185" w:rsidP="005E2185">
      <w:r>
        <w:t xml:space="preserve">Incidence of acute renal injury was higher with </w:t>
      </w:r>
      <w:r w:rsidR="00F60AA7">
        <w:t>ceftazidime</w:t>
      </w:r>
      <w:r>
        <w:t>/</w:t>
      </w:r>
      <w:r w:rsidR="00F60AA7">
        <w:t>avibactam</w:t>
      </w:r>
      <w:r w:rsidR="00B87FF3">
        <w:t xml:space="preserve"> versus comparator in shown in </w:t>
      </w:r>
      <w:r w:rsidR="00B87FF3">
        <w:fldChar w:fldCharType="begin"/>
      </w:r>
      <w:r w:rsidR="00B87FF3">
        <w:instrText xml:space="preserve"> REF _Ref30159831 \h </w:instrText>
      </w:r>
      <w:r w:rsidR="00B87FF3">
        <w:fldChar w:fldCharType="separate"/>
      </w:r>
      <w:r w:rsidR="00B87FF3">
        <w:t xml:space="preserve">Table </w:t>
      </w:r>
      <w:r w:rsidR="00B87FF3">
        <w:rPr>
          <w:noProof/>
        </w:rPr>
        <w:t>28</w:t>
      </w:r>
      <w:r w:rsidR="00B87FF3">
        <w:fldChar w:fldCharType="end"/>
      </w:r>
      <w:r w:rsidR="00B87FF3">
        <w:t>.</w:t>
      </w:r>
    </w:p>
    <w:p w14:paraId="06A94DF2" w14:textId="77777777" w:rsidR="005E2185" w:rsidRDefault="00B87FF3" w:rsidP="00B87FF3">
      <w:pPr>
        <w:pStyle w:val="TableTitle"/>
      </w:pPr>
      <w:bookmarkStart w:id="65" w:name="_Ref30159831"/>
      <w:r>
        <w:lastRenderedPageBreak/>
        <w:t xml:space="preserve">Table </w:t>
      </w:r>
      <w:fldSimple w:instr=" SEQ Table \* ARABIC ">
        <w:r w:rsidR="00E82538">
          <w:rPr>
            <w:noProof/>
          </w:rPr>
          <w:t>28</w:t>
        </w:r>
      </w:fldSimple>
      <w:bookmarkEnd w:id="65"/>
      <w:r>
        <w:t>: Adverse events of renal disorders up to the last visit by Preferred Term, Phase II/III pool (safety analysis set)</w:t>
      </w:r>
    </w:p>
    <w:p w14:paraId="281FFEA1" w14:textId="77777777" w:rsidR="005E2185" w:rsidRDefault="005E2185" w:rsidP="00E84245">
      <w:r>
        <w:rPr>
          <w:noProof/>
          <w:lang w:eastAsia="en-AU"/>
        </w:rPr>
        <w:drawing>
          <wp:inline distT="0" distB="0" distL="0" distR="0" wp14:anchorId="6C16305E" wp14:editId="2A4A7831">
            <wp:extent cx="5400040" cy="2520315"/>
            <wp:effectExtent l="0" t="0" r="0" b="0"/>
            <wp:docPr id="25" name="Picture 25" descr="Adverse events of renal disorders up to the last visit by Preferred Term, Phase II/III pool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0.JPG"/>
                    <pic:cNvPicPr/>
                  </pic:nvPicPr>
                  <pic:blipFill>
                    <a:blip r:embed="rId40">
                      <a:extLst>
                        <a:ext uri="{28A0092B-C50C-407E-A947-70E740481C1C}">
                          <a14:useLocalDpi xmlns:a14="http://schemas.microsoft.com/office/drawing/2010/main" val="0"/>
                        </a:ext>
                      </a:extLst>
                    </a:blip>
                    <a:stretch>
                      <a:fillRect/>
                    </a:stretch>
                  </pic:blipFill>
                  <pic:spPr>
                    <a:xfrm>
                      <a:off x="0" y="0"/>
                      <a:ext cx="5400040" cy="2520315"/>
                    </a:xfrm>
                    <a:prstGeom prst="rect">
                      <a:avLst/>
                    </a:prstGeom>
                  </pic:spPr>
                </pic:pic>
              </a:graphicData>
            </a:graphic>
          </wp:inline>
        </w:drawing>
      </w:r>
    </w:p>
    <w:p w14:paraId="6E78256D" w14:textId="77777777" w:rsidR="005E2185" w:rsidRDefault="005E2185" w:rsidP="005E2185">
      <w:r w:rsidRPr="00737452">
        <w:t>There were no reports of drug induced liver injury (DILI) or patients fulfilling Hy’s criteria.</w:t>
      </w:r>
      <w:r w:rsidR="00B87FF3">
        <w:rPr>
          <w:rStyle w:val="FootnoteReference"/>
        </w:rPr>
        <w:footnoteReference w:id="11"/>
      </w:r>
      <w:r w:rsidRPr="00737452">
        <w:t xml:space="preserve"> Liver relat</w:t>
      </w:r>
      <w:r w:rsidR="00BD0DBD">
        <w:t xml:space="preserve">ed AEs were reported as shown in </w:t>
      </w:r>
      <w:r w:rsidR="00BD0DBD">
        <w:fldChar w:fldCharType="begin"/>
      </w:r>
      <w:r w:rsidR="00BD0DBD">
        <w:instrText xml:space="preserve"> REF _Ref30160245 \h </w:instrText>
      </w:r>
      <w:r w:rsidR="00BD0DBD">
        <w:fldChar w:fldCharType="separate"/>
      </w:r>
      <w:r w:rsidR="00BD0DBD">
        <w:t xml:space="preserve">Table </w:t>
      </w:r>
      <w:r w:rsidR="00BD0DBD">
        <w:rPr>
          <w:noProof/>
        </w:rPr>
        <w:t>29</w:t>
      </w:r>
      <w:r w:rsidR="00BD0DBD">
        <w:fldChar w:fldCharType="end"/>
      </w:r>
      <w:r w:rsidR="00BD0DBD">
        <w:t>.</w:t>
      </w:r>
    </w:p>
    <w:p w14:paraId="1240B69E" w14:textId="710CB2A3" w:rsidR="00BD0DBD" w:rsidRDefault="00BD0DBD" w:rsidP="00BD0DBD">
      <w:pPr>
        <w:pStyle w:val="TableTitle"/>
      </w:pPr>
      <w:bookmarkStart w:id="66" w:name="_Ref30160245"/>
      <w:r>
        <w:t xml:space="preserve">Table </w:t>
      </w:r>
      <w:fldSimple w:instr=" SEQ Table \* ARABIC ">
        <w:r w:rsidR="00E82538">
          <w:rPr>
            <w:noProof/>
          </w:rPr>
          <w:t>29</w:t>
        </w:r>
      </w:fldSimple>
      <w:bookmarkEnd w:id="66"/>
      <w:r>
        <w:t xml:space="preserve">: Most common adverse events of liver disorders (≥ 1% in the ceftazidime/avibactam </w:t>
      </w:r>
      <w:r w:rsidR="002C1E32">
        <w:t xml:space="preserve">± </w:t>
      </w:r>
      <w:r>
        <w:t>metronidazole or comparator) up to the last visit by Preferred Term, Phase II/III pool (safety analysis set)</w:t>
      </w:r>
    </w:p>
    <w:p w14:paraId="57AA9427" w14:textId="77777777" w:rsidR="005E2185" w:rsidRDefault="005E2185" w:rsidP="00E84245">
      <w:r>
        <w:rPr>
          <w:noProof/>
          <w:lang w:eastAsia="en-AU"/>
        </w:rPr>
        <w:drawing>
          <wp:inline distT="0" distB="0" distL="0" distR="0" wp14:anchorId="05F1B4F7" wp14:editId="24B80DF2">
            <wp:extent cx="5400040" cy="1681480"/>
            <wp:effectExtent l="0" t="0" r="0" b="0"/>
            <wp:docPr id="26" name="Picture 26" descr="Most common adverse events of liver disorders (≥ 1% in the ceftazidime/avibactam +/- metronidazole or comparator) up to the last visit by Preferred Term, Phase II/III pool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1.JPG"/>
                    <pic:cNvPicPr/>
                  </pic:nvPicPr>
                  <pic:blipFill>
                    <a:blip r:embed="rId41">
                      <a:extLst>
                        <a:ext uri="{28A0092B-C50C-407E-A947-70E740481C1C}">
                          <a14:useLocalDpi xmlns:a14="http://schemas.microsoft.com/office/drawing/2010/main" val="0"/>
                        </a:ext>
                      </a:extLst>
                    </a:blip>
                    <a:stretch>
                      <a:fillRect/>
                    </a:stretch>
                  </pic:blipFill>
                  <pic:spPr>
                    <a:xfrm>
                      <a:off x="0" y="0"/>
                      <a:ext cx="5400040" cy="1681480"/>
                    </a:xfrm>
                    <a:prstGeom prst="rect">
                      <a:avLst/>
                    </a:prstGeom>
                  </pic:spPr>
                </pic:pic>
              </a:graphicData>
            </a:graphic>
          </wp:inline>
        </w:drawing>
      </w:r>
    </w:p>
    <w:p w14:paraId="46028451" w14:textId="77777777" w:rsidR="005E2185" w:rsidRDefault="005E2185" w:rsidP="005E2185">
      <w:r w:rsidRPr="00C21A06">
        <w:t xml:space="preserve">The reports of hypersensitivity AEs </w:t>
      </w:r>
      <w:r w:rsidR="00BD0DBD">
        <w:t xml:space="preserve">are shown in </w:t>
      </w:r>
      <w:r w:rsidR="00BD0DBD">
        <w:fldChar w:fldCharType="begin"/>
      </w:r>
      <w:r w:rsidR="00BD0DBD">
        <w:instrText xml:space="preserve"> REF _Ref30160363 \h </w:instrText>
      </w:r>
      <w:r w:rsidR="00BD0DBD">
        <w:fldChar w:fldCharType="separate"/>
      </w:r>
      <w:r w:rsidR="00BD0DBD">
        <w:t xml:space="preserve">Table </w:t>
      </w:r>
      <w:r w:rsidR="00BD0DBD">
        <w:rPr>
          <w:noProof/>
        </w:rPr>
        <w:t>30</w:t>
      </w:r>
      <w:r w:rsidR="00BD0DBD">
        <w:fldChar w:fldCharType="end"/>
      </w:r>
      <w:r w:rsidR="00BD0DBD">
        <w:t>.</w:t>
      </w:r>
    </w:p>
    <w:p w14:paraId="699B03B2" w14:textId="1683FE6C" w:rsidR="00BD0DBD" w:rsidRDefault="00BD0DBD" w:rsidP="00BD0DBD">
      <w:pPr>
        <w:pStyle w:val="TableTitle"/>
      </w:pPr>
      <w:bookmarkStart w:id="67" w:name="_Ref30160363"/>
      <w:r>
        <w:lastRenderedPageBreak/>
        <w:t xml:space="preserve">Table </w:t>
      </w:r>
      <w:fldSimple w:instr=" SEQ Table \* ARABIC ">
        <w:r w:rsidR="00E82538">
          <w:rPr>
            <w:noProof/>
          </w:rPr>
          <w:t>30</w:t>
        </w:r>
      </w:fldSimple>
      <w:bookmarkEnd w:id="67"/>
      <w:r>
        <w:t xml:space="preserve">: Most common adverse events of hypersensitivity (≥ 1% in the ceftazidime-avibactam </w:t>
      </w:r>
      <w:r w:rsidR="002C1E32">
        <w:t>±</w:t>
      </w:r>
      <w:r>
        <w:t xml:space="preserve"> m</w:t>
      </w:r>
      <w:r w:rsidRPr="00BD0DBD">
        <w:t>etronidazole</w:t>
      </w:r>
      <w:r>
        <w:t xml:space="preserve"> or comparator) up to the last visit by subgroup and Preferred Term, Phase II/III pool (safety analysis set)</w:t>
      </w:r>
    </w:p>
    <w:p w14:paraId="7AE9AF8F" w14:textId="77777777" w:rsidR="005E2185" w:rsidRDefault="005E2185" w:rsidP="00E84245">
      <w:r>
        <w:rPr>
          <w:noProof/>
          <w:lang w:eastAsia="en-AU"/>
        </w:rPr>
        <w:drawing>
          <wp:inline distT="0" distB="0" distL="0" distR="0" wp14:anchorId="43FBC8D1" wp14:editId="2D53D3D7">
            <wp:extent cx="5400040" cy="2324100"/>
            <wp:effectExtent l="0" t="0" r="0" b="0"/>
            <wp:docPr id="27" name="Picture 27" descr="Most common adverse events of hypersensitivity (≥ 1% in the ceftazidime-avibactam +/- metronidazole or comparator) up to the last visit by subgroup and Preferred Term, Phase II/III pool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2.JPG"/>
                    <pic:cNvPicPr/>
                  </pic:nvPicPr>
                  <pic:blipFill>
                    <a:blip r:embed="rId42">
                      <a:extLst>
                        <a:ext uri="{28A0092B-C50C-407E-A947-70E740481C1C}">
                          <a14:useLocalDpi xmlns:a14="http://schemas.microsoft.com/office/drawing/2010/main" val="0"/>
                        </a:ext>
                      </a:extLst>
                    </a:blip>
                    <a:stretch>
                      <a:fillRect/>
                    </a:stretch>
                  </pic:blipFill>
                  <pic:spPr>
                    <a:xfrm>
                      <a:off x="0" y="0"/>
                      <a:ext cx="5400040" cy="2324100"/>
                    </a:xfrm>
                    <a:prstGeom prst="rect">
                      <a:avLst/>
                    </a:prstGeom>
                  </pic:spPr>
                </pic:pic>
              </a:graphicData>
            </a:graphic>
          </wp:inline>
        </w:drawing>
      </w:r>
    </w:p>
    <w:p w14:paraId="7200F05D" w14:textId="77777777" w:rsidR="005E2185" w:rsidRDefault="005E2185" w:rsidP="00BD0DBD">
      <w:r>
        <w:t xml:space="preserve">No serious skin AEs (TEN, SJS, </w:t>
      </w:r>
      <w:r w:rsidR="00BD0DBD" w:rsidRPr="00BD0DBD">
        <w:t xml:space="preserve">erythema multiforme </w:t>
      </w:r>
      <w:r w:rsidR="00BD0DBD">
        <w:t>(</w:t>
      </w:r>
      <w:r>
        <w:t>EM</w:t>
      </w:r>
      <w:r w:rsidR="00BD0DBD">
        <w:t>)</w:t>
      </w:r>
      <w:r>
        <w:t>) were</w:t>
      </w:r>
      <w:r w:rsidR="00BD0DBD">
        <w:t xml:space="preserve"> reported in this small dataset, see </w:t>
      </w:r>
      <w:r w:rsidR="00001DC8">
        <w:fldChar w:fldCharType="begin"/>
      </w:r>
      <w:r w:rsidR="00001DC8">
        <w:instrText xml:space="preserve"> REF _Ref30160696 \h </w:instrText>
      </w:r>
      <w:r w:rsidR="00001DC8">
        <w:fldChar w:fldCharType="separate"/>
      </w:r>
      <w:r w:rsidR="00001DC8">
        <w:t xml:space="preserve">Table </w:t>
      </w:r>
      <w:r w:rsidR="00001DC8">
        <w:rPr>
          <w:noProof/>
        </w:rPr>
        <w:t>31</w:t>
      </w:r>
      <w:r w:rsidR="00001DC8">
        <w:fldChar w:fldCharType="end"/>
      </w:r>
      <w:r w:rsidR="00001DC8">
        <w:t>.</w:t>
      </w:r>
    </w:p>
    <w:p w14:paraId="291223E3" w14:textId="77777777" w:rsidR="00001DC8" w:rsidRDefault="00001DC8" w:rsidP="00001DC8">
      <w:pPr>
        <w:pStyle w:val="TableTitle"/>
      </w:pPr>
      <w:bookmarkStart w:id="68" w:name="_Ref30160696"/>
      <w:r>
        <w:t xml:space="preserve">Table </w:t>
      </w:r>
      <w:fldSimple w:instr=" SEQ Table \* ARABIC ">
        <w:r w:rsidR="00E82538">
          <w:rPr>
            <w:noProof/>
          </w:rPr>
          <w:t>31</w:t>
        </w:r>
      </w:fldSimple>
      <w:bookmarkEnd w:id="68"/>
      <w:r>
        <w:t>: Adverse drug reactions for ceftazidime/avibactam, Phase II/III pool (safety analysis set)</w:t>
      </w:r>
    </w:p>
    <w:p w14:paraId="37F777EF" w14:textId="77777777" w:rsidR="005E2185" w:rsidRDefault="005E2185" w:rsidP="00E84245">
      <w:r>
        <w:rPr>
          <w:noProof/>
          <w:lang w:eastAsia="en-AU"/>
        </w:rPr>
        <w:drawing>
          <wp:inline distT="0" distB="0" distL="0" distR="0" wp14:anchorId="03F2B7C0" wp14:editId="117FEFA9">
            <wp:extent cx="5511246" cy="3209925"/>
            <wp:effectExtent l="0" t="0" r="0" b="0"/>
            <wp:docPr id="28" name="Picture 28" descr="Adverse drug reactions for ceftazidime/avibactam, Phase II/III pool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3.JPG"/>
                    <pic:cNvPicPr/>
                  </pic:nvPicPr>
                  <pic:blipFill>
                    <a:blip r:embed="rId43">
                      <a:extLst>
                        <a:ext uri="{28A0092B-C50C-407E-A947-70E740481C1C}">
                          <a14:useLocalDpi xmlns:a14="http://schemas.microsoft.com/office/drawing/2010/main" val="0"/>
                        </a:ext>
                      </a:extLst>
                    </a:blip>
                    <a:stretch>
                      <a:fillRect/>
                    </a:stretch>
                  </pic:blipFill>
                  <pic:spPr>
                    <a:xfrm>
                      <a:off x="0" y="0"/>
                      <a:ext cx="5514586" cy="3211870"/>
                    </a:xfrm>
                    <a:prstGeom prst="rect">
                      <a:avLst/>
                    </a:prstGeom>
                  </pic:spPr>
                </pic:pic>
              </a:graphicData>
            </a:graphic>
          </wp:inline>
        </w:drawing>
      </w:r>
    </w:p>
    <w:p w14:paraId="2BC0D5B4" w14:textId="77777777" w:rsidR="005E2185" w:rsidRDefault="005E2185" w:rsidP="00001DC8">
      <w:r w:rsidRPr="00C21A06">
        <w:t xml:space="preserve">Post-market data (3 six monthly </w:t>
      </w:r>
      <w:r w:rsidR="00001DC8">
        <w:t>periodic safety update reports (</w:t>
      </w:r>
      <w:r w:rsidRPr="00C21A06">
        <w:t>PSURs</w:t>
      </w:r>
      <w:r w:rsidR="00001DC8">
        <w:t>)</w:t>
      </w:r>
      <w:r w:rsidRPr="00C21A06">
        <w:t xml:space="preserve"> co</w:t>
      </w:r>
      <w:r w:rsidR="00001DC8">
        <w:t>vering partial period from 2016 to 20</w:t>
      </w:r>
      <w:r w:rsidRPr="00C21A06">
        <w:t>18) are available and have been reviewed.</w:t>
      </w:r>
    </w:p>
    <w:p w14:paraId="1FD337FA" w14:textId="77777777" w:rsidR="00456765" w:rsidRPr="005E2185" w:rsidRDefault="005E2185" w:rsidP="00001DC8">
      <w:pPr>
        <w:rPr>
          <w:rFonts w:asciiTheme="minorHAnsi" w:hAnsiTheme="minorHAnsi"/>
        </w:rPr>
      </w:pPr>
      <w:r>
        <w:rPr>
          <w:rFonts w:asciiTheme="minorHAnsi" w:hAnsiTheme="minorHAnsi"/>
        </w:rPr>
        <w:t xml:space="preserve">Overall, the adverse effects profile is considered acceptable in relation to the proposed clinical use. No new safety signal was identified for </w:t>
      </w:r>
      <w:r w:rsidR="00F60AA7">
        <w:rPr>
          <w:rFonts w:asciiTheme="minorHAnsi" w:hAnsiTheme="minorHAnsi"/>
        </w:rPr>
        <w:t>ceftazidime</w:t>
      </w:r>
      <w:r>
        <w:rPr>
          <w:rFonts w:asciiTheme="minorHAnsi" w:hAnsiTheme="minorHAnsi"/>
        </w:rPr>
        <w:t xml:space="preserve"> in combination with </w:t>
      </w:r>
      <w:r w:rsidR="00F60AA7">
        <w:rPr>
          <w:rFonts w:asciiTheme="minorHAnsi" w:hAnsiTheme="minorHAnsi"/>
        </w:rPr>
        <w:t>avibactam</w:t>
      </w:r>
      <w:r>
        <w:rPr>
          <w:rFonts w:asciiTheme="minorHAnsi" w:hAnsiTheme="minorHAnsi"/>
        </w:rPr>
        <w:t>.</w:t>
      </w:r>
    </w:p>
    <w:p w14:paraId="051746A5" w14:textId="77777777" w:rsidR="008E7846" w:rsidRDefault="00386150" w:rsidP="007B6132">
      <w:pPr>
        <w:pStyle w:val="Heading3"/>
        <w:rPr>
          <w:lang w:eastAsia="en-AU"/>
        </w:rPr>
      </w:pPr>
      <w:bookmarkStart w:id="69" w:name="_Toc34385603"/>
      <w:r>
        <w:rPr>
          <w:lang w:eastAsia="en-AU"/>
        </w:rPr>
        <w:t>Risk m</w:t>
      </w:r>
      <w:r w:rsidR="008E7846">
        <w:rPr>
          <w:lang w:eastAsia="en-AU"/>
        </w:rPr>
        <w:t xml:space="preserve">anagement </w:t>
      </w:r>
      <w:r>
        <w:rPr>
          <w:lang w:eastAsia="en-AU"/>
        </w:rPr>
        <w:t>p</w:t>
      </w:r>
      <w:r w:rsidR="008E7846">
        <w:rPr>
          <w:lang w:eastAsia="en-AU"/>
        </w:rPr>
        <w:t>lan</w:t>
      </w:r>
      <w:bookmarkEnd w:id="41"/>
      <w:bookmarkEnd w:id="69"/>
    </w:p>
    <w:p w14:paraId="68FDCCBB" w14:textId="171BB2CE" w:rsidR="00AF495F" w:rsidRDefault="00AF495F" w:rsidP="00AF495F">
      <w:pPr>
        <w:rPr>
          <w:lang w:eastAsia="en-AU"/>
        </w:rPr>
      </w:pPr>
      <w:r>
        <w:rPr>
          <w:lang w:eastAsia="en-AU"/>
        </w:rPr>
        <w:t xml:space="preserve">The sponsor submitted </w:t>
      </w:r>
      <w:r w:rsidR="003D52BE">
        <w:rPr>
          <w:lang w:eastAsia="en-AU"/>
        </w:rPr>
        <w:t xml:space="preserve">European Union </w:t>
      </w:r>
      <w:r w:rsidR="002C1E32">
        <w:rPr>
          <w:lang w:eastAsia="en-AU"/>
        </w:rPr>
        <w:t>r</w:t>
      </w:r>
      <w:r w:rsidR="003D52BE">
        <w:rPr>
          <w:lang w:eastAsia="en-AU"/>
        </w:rPr>
        <w:t xml:space="preserve">isk </w:t>
      </w:r>
      <w:r w:rsidR="002C1E32">
        <w:rPr>
          <w:lang w:eastAsia="en-AU"/>
        </w:rPr>
        <w:t>management p</w:t>
      </w:r>
      <w:r w:rsidR="003D52BE">
        <w:rPr>
          <w:lang w:eastAsia="en-AU"/>
        </w:rPr>
        <w:t>lan (</w:t>
      </w:r>
      <w:r>
        <w:rPr>
          <w:lang w:eastAsia="en-AU"/>
        </w:rPr>
        <w:t>EU-RMP</w:t>
      </w:r>
      <w:r w:rsidR="003D52BE">
        <w:rPr>
          <w:lang w:eastAsia="en-AU"/>
        </w:rPr>
        <w:t>)</w:t>
      </w:r>
      <w:r>
        <w:rPr>
          <w:lang w:eastAsia="en-AU"/>
        </w:rPr>
        <w:t xml:space="preserve"> version 1.0 (26 April 2016; </w:t>
      </w:r>
      <w:r w:rsidR="003D52BE">
        <w:rPr>
          <w:lang w:eastAsia="en-AU"/>
        </w:rPr>
        <w:t>data lock point (</w:t>
      </w:r>
      <w:r>
        <w:rPr>
          <w:lang w:eastAsia="en-AU"/>
        </w:rPr>
        <w:t>DLP</w:t>
      </w:r>
      <w:r w:rsidR="003D52BE">
        <w:rPr>
          <w:lang w:eastAsia="en-AU"/>
        </w:rPr>
        <w:t>)</w:t>
      </w:r>
      <w:r>
        <w:rPr>
          <w:lang w:eastAsia="en-AU"/>
        </w:rPr>
        <w:t xml:space="preserve"> 24 Aug</w:t>
      </w:r>
      <w:r w:rsidR="003D52BE">
        <w:rPr>
          <w:lang w:eastAsia="en-AU"/>
        </w:rPr>
        <w:t>ust</w:t>
      </w:r>
      <w:r>
        <w:rPr>
          <w:lang w:eastAsia="en-AU"/>
        </w:rPr>
        <w:t xml:space="preserve"> 2015) and </w:t>
      </w:r>
      <w:r w:rsidR="003D52BE">
        <w:rPr>
          <w:lang w:eastAsia="en-AU"/>
        </w:rPr>
        <w:t>Australian Specific Annex (</w:t>
      </w:r>
      <w:r>
        <w:rPr>
          <w:lang w:eastAsia="en-AU"/>
        </w:rPr>
        <w:t>ASA</w:t>
      </w:r>
      <w:r w:rsidR="003D52BE">
        <w:rPr>
          <w:lang w:eastAsia="en-AU"/>
        </w:rPr>
        <w:t>)</w:t>
      </w:r>
      <w:r>
        <w:rPr>
          <w:lang w:eastAsia="en-AU"/>
        </w:rPr>
        <w:t xml:space="preserve"> </w:t>
      </w:r>
      <w:r>
        <w:rPr>
          <w:lang w:eastAsia="en-AU"/>
        </w:rPr>
        <w:lastRenderedPageBreak/>
        <w:t>version 1.0 (25 Jan</w:t>
      </w:r>
      <w:r w:rsidR="003D52BE">
        <w:rPr>
          <w:lang w:eastAsia="en-AU"/>
        </w:rPr>
        <w:t>uary</w:t>
      </w:r>
      <w:r>
        <w:rPr>
          <w:lang w:eastAsia="en-AU"/>
        </w:rPr>
        <w:t xml:space="preserve"> 2018) in support of this application at </w:t>
      </w:r>
      <w:r w:rsidR="003D52BE">
        <w:rPr>
          <w:lang w:eastAsia="en-AU"/>
        </w:rPr>
        <w:t>the first round evaluation</w:t>
      </w:r>
      <w:r>
        <w:rPr>
          <w:lang w:eastAsia="en-AU"/>
        </w:rPr>
        <w:t>; and updated EU-RMP Version 2.0 (20 Dec</w:t>
      </w:r>
      <w:r w:rsidR="003D52BE">
        <w:rPr>
          <w:lang w:eastAsia="en-AU"/>
        </w:rPr>
        <w:t>ember</w:t>
      </w:r>
      <w:r>
        <w:rPr>
          <w:lang w:eastAsia="en-AU"/>
        </w:rPr>
        <w:t xml:space="preserve"> 2017; DLP 24 Aug</w:t>
      </w:r>
      <w:r w:rsidR="003D52BE">
        <w:rPr>
          <w:lang w:eastAsia="en-AU"/>
        </w:rPr>
        <w:t>ust</w:t>
      </w:r>
      <w:r>
        <w:rPr>
          <w:lang w:eastAsia="en-AU"/>
        </w:rPr>
        <w:t xml:space="preserve"> 2017) at </w:t>
      </w:r>
      <w:r w:rsidR="003D52BE">
        <w:rPr>
          <w:lang w:eastAsia="en-AU"/>
        </w:rPr>
        <w:t>the second round evaluation.</w:t>
      </w:r>
    </w:p>
    <w:p w14:paraId="6BA402E3" w14:textId="77777777" w:rsidR="00AF495F" w:rsidRDefault="00AF495F" w:rsidP="00AF495F">
      <w:pPr>
        <w:rPr>
          <w:lang w:eastAsia="en-AU"/>
        </w:rPr>
      </w:pPr>
      <w:r>
        <w:rPr>
          <w:lang w:eastAsia="en-AU"/>
        </w:rPr>
        <w:t xml:space="preserve">The proposed Summary of Safety Concerns and their associated risk monitoring and mitigation </w:t>
      </w:r>
      <w:r w:rsidR="003D52BE">
        <w:rPr>
          <w:lang w:eastAsia="en-AU"/>
        </w:rPr>
        <w:t xml:space="preserve">strategies are summarised below in </w:t>
      </w:r>
      <w:r w:rsidR="003D52BE">
        <w:rPr>
          <w:lang w:eastAsia="en-AU"/>
        </w:rPr>
        <w:fldChar w:fldCharType="begin"/>
      </w:r>
      <w:r w:rsidR="003D52BE">
        <w:rPr>
          <w:lang w:eastAsia="en-AU"/>
        </w:rPr>
        <w:instrText xml:space="preserve"> REF _Ref30161792 \h </w:instrText>
      </w:r>
      <w:r w:rsidR="003D52BE">
        <w:rPr>
          <w:lang w:eastAsia="en-AU"/>
        </w:rPr>
      </w:r>
      <w:r w:rsidR="003D52BE">
        <w:rPr>
          <w:lang w:eastAsia="en-AU"/>
        </w:rPr>
        <w:fldChar w:fldCharType="separate"/>
      </w:r>
      <w:r w:rsidR="003D52BE">
        <w:t xml:space="preserve">Table </w:t>
      </w:r>
      <w:r w:rsidR="003D52BE">
        <w:rPr>
          <w:noProof/>
        </w:rPr>
        <w:t>32</w:t>
      </w:r>
      <w:r w:rsidR="003D52BE">
        <w:rPr>
          <w:lang w:eastAsia="en-AU"/>
        </w:rPr>
        <w:fldChar w:fldCharType="end"/>
      </w:r>
      <w:r w:rsidR="003D52BE">
        <w:rPr>
          <w:lang w:eastAsia="en-AU"/>
        </w:rPr>
        <w:t>.</w:t>
      </w:r>
      <w:r>
        <w:rPr>
          <w:rStyle w:val="FootnoteReference"/>
          <w:lang w:eastAsia="en-AU"/>
        </w:rPr>
        <w:footnoteReference w:id="12"/>
      </w:r>
    </w:p>
    <w:p w14:paraId="0E0FC052" w14:textId="77777777" w:rsidR="00AF495F" w:rsidRDefault="00AF495F" w:rsidP="002C1E32">
      <w:pPr>
        <w:pStyle w:val="TableTitle"/>
      </w:pPr>
      <w:bookmarkStart w:id="70" w:name="_Ref30161792"/>
      <w:r>
        <w:t xml:space="preserve">Table </w:t>
      </w:r>
      <w:fldSimple w:instr=" SEQ Table \* ARABIC ">
        <w:r w:rsidR="00E82538">
          <w:rPr>
            <w:noProof/>
          </w:rPr>
          <w:t>32</w:t>
        </w:r>
      </w:fldSimple>
      <w:bookmarkEnd w:id="70"/>
      <w:r w:rsidR="003D52BE">
        <w:rPr>
          <w:noProof/>
        </w:rPr>
        <w:t>:</w:t>
      </w:r>
      <w:r>
        <w:t xml:space="preserve"> Summary of safety concerns</w:t>
      </w:r>
    </w:p>
    <w:tbl>
      <w:tblPr>
        <w:tblStyle w:val="TableTGAblue"/>
        <w:tblW w:w="9086" w:type="dxa"/>
        <w:tblLayout w:type="fixed"/>
        <w:tblLook w:val="04A0" w:firstRow="1" w:lastRow="0" w:firstColumn="1" w:lastColumn="0" w:noHBand="0" w:noVBand="1"/>
      </w:tblPr>
      <w:tblGrid>
        <w:gridCol w:w="1384"/>
        <w:gridCol w:w="3402"/>
        <w:gridCol w:w="992"/>
        <w:gridCol w:w="1134"/>
        <w:gridCol w:w="993"/>
        <w:gridCol w:w="1181"/>
      </w:tblGrid>
      <w:tr w:rsidR="00AF495F" w:rsidRPr="003D52BE" w14:paraId="38E497A0" w14:textId="77777777" w:rsidTr="008A0EEE">
        <w:trPr>
          <w:cnfStyle w:val="100000000000" w:firstRow="1" w:lastRow="0" w:firstColumn="0" w:lastColumn="0" w:oddVBand="0" w:evenVBand="0" w:oddHBand="0" w:evenHBand="0" w:firstRowFirstColumn="0" w:firstRowLastColumn="0" w:lastRowFirstColumn="0" w:lastRowLastColumn="0"/>
          <w:trHeight w:val="130"/>
        </w:trPr>
        <w:tc>
          <w:tcPr>
            <w:tcW w:w="4786" w:type="dxa"/>
            <w:gridSpan w:val="2"/>
            <w:vMerge w:val="restart"/>
          </w:tcPr>
          <w:p w14:paraId="0D51B507" w14:textId="77777777" w:rsidR="00AF495F" w:rsidRPr="008A0EEE" w:rsidRDefault="00AF495F" w:rsidP="00D90F71">
            <w:pPr>
              <w:ind w:left="0" w:right="0"/>
              <w:rPr>
                <w:sz w:val="20"/>
                <w:szCs w:val="20"/>
              </w:rPr>
            </w:pPr>
            <w:r w:rsidRPr="008A0EEE">
              <w:rPr>
                <w:sz w:val="20"/>
                <w:szCs w:val="20"/>
              </w:rPr>
              <w:t>Summary of safety concerns</w:t>
            </w:r>
          </w:p>
        </w:tc>
        <w:tc>
          <w:tcPr>
            <w:tcW w:w="2126" w:type="dxa"/>
            <w:gridSpan w:val="2"/>
            <w:tcBorders>
              <w:bottom w:val="nil"/>
            </w:tcBorders>
          </w:tcPr>
          <w:p w14:paraId="129A799B" w14:textId="77777777" w:rsidR="00AF495F" w:rsidRPr="008A0EEE" w:rsidRDefault="00AF495F" w:rsidP="00D90F71">
            <w:pPr>
              <w:ind w:left="0" w:right="0"/>
              <w:rPr>
                <w:sz w:val="20"/>
                <w:szCs w:val="20"/>
              </w:rPr>
            </w:pPr>
            <w:r w:rsidRPr="008A0EEE">
              <w:rPr>
                <w:sz w:val="20"/>
                <w:szCs w:val="20"/>
              </w:rPr>
              <w:t>Pharmacovigilance</w:t>
            </w:r>
          </w:p>
        </w:tc>
        <w:tc>
          <w:tcPr>
            <w:tcW w:w="2174" w:type="dxa"/>
            <w:gridSpan w:val="2"/>
            <w:tcBorders>
              <w:bottom w:val="nil"/>
            </w:tcBorders>
          </w:tcPr>
          <w:p w14:paraId="4B37DB4B" w14:textId="77777777" w:rsidR="00AF495F" w:rsidRPr="008A0EEE" w:rsidRDefault="00AF495F" w:rsidP="001A3D34">
            <w:pPr>
              <w:ind w:left="0" w:right="0"/>
              <w:rPr>
                <w:b w:val="0"/>
                <w:sz w:val="20"/>
                <w:szCs w:val="20"/>
                <w:lang w:eastAsia="en-US"/>
              </w:rPr>
            </w:pPr>
            <w:r w:rsidRPr="008A0EEE">
              <w:rPr>
                <w:sz w:val="20"/>
                <w:szCs w:val="20"/>
              </w:rPr>
              <w:t>Risk Minimisation</w:t>
            </w:r>
          </w:p>
        </w:tc>
      </w:tr>
      <w:tr w:rsidR="003D52BE" w:rsidRPr="003D52BE" w14:paraId="07E242AA" w14:textId="77777777" w:rsidTr="008A0EEE">
        <w:trPr>
          <w:trHeight w:val="149"/>
        </w:trPr>
        <w:tc>
          <w:tcPr>
            <w:tcW w:w="4786" w:type="dxa"/>
            <w:gridSpan w:val="2"/>
            <w:vMerge/>
            <w:tcBorders>
              <w:right w:val="nil"/>
            </w:tcBorders>
            <w:shd w:val="clear" w:color="auto" w:fill="006DA7"/>
          </w:tcPr>
          <w:p w14:paraId="3499A4A0" w14:textId="77777777" w:rsidR="00AF495F" w:rsidRPr="008A0EEE" w:rsidRDefault="00AF495F" w:rsidP="001A3D34">
            <w:pPr>
              <w:keepNext/>
              <w:ind w:left="0" w:right="0"/>
              <w:rPr>
                <w:b/>
                <w:color w:val="FFFFFF" w:themeColor="background1"/>
                <w:sz w:val="20"/>
                <w:szCs w:val="20"/>
                <w:lang w:eastAsia="en-US"/>
              </w:rPr>
            </w:pPr>
          </w:p>
        </w:tc>
        <w:tc>
          <w:tcPr>
            <w:tcW w:w="992" w:type="dxa"/>
            <w:tcBorders>
              <w:top w:val="nil"/>
              <w:left w:val="nil"/>
              <w:bottom w:val="single" w:sz="8" w:space="0" w:color="000000" w:themeColor="text1"/>
              <w:right w:val="nil"/>
            </w:tcBorders>
            <w:shd w:val="clear" w:color="auto" w:fill="006DA7"/>
          </w:tcPr>
          <w:p w14:paraId="054D5D41" w14:textId="77777777" w:rsidR="00AF495F" w:rsidRPr="008A0EEE" w:rsidRDefault="00AF495F" w:rsidP="001A3D34">
            <w:pPr>
              <w:keepNext/>
              <w:ind w:left="0" w:right="0"/>
              <w:rPr>
                <w:color w:val="FFFFFF" w:themeColor="background1"/>
                <w:sz w:val="20"/>
                <w:szCs w:val="20"/>
                <w:lang w:eastAsia="en-US"/>
              </w:rPr>
            </w:pPr>
            <w:r w:rsidRPr="008A0EEE">
              <w:rPr>
                <w:color w:val="FFFFFF" w:themeColor="background1"/>
                <w:sz w:val="20"/>
                <w:szCs w:val="20"/>
              </w:rPr>
              <w:t>Routine</w:t>
            </w:r>
          </w:p>
        </w:tc>
        <w:tc>
          <w:tcPr>
            <w:tcW w:w="1134" w:type="dxa"/>
            <w:tcBorders>
              <w:top w:val="nil"/>
              <w:left w:val="nil"/>
              <w:bottom w:val="single" w:sz="8" w:space="0" w:color="000000" w:themeColor="text1"/>
              <w:right w:val="nil"/>
            </w:tcBorders>
            <w:shd w:val="clear" w:color="auto" w:fill="006DA7"/>
          </w:tcPr>
          <w:p w14:paraId="03FF32E6" w14:textId="77777777" w:rsidR="00AF495F" w:rsidRPr="008A0EEE" w:rsidRDefault="00AF495F" w:rsidP="001A3D34">
            <w:pPr>
              <w:keepNext/>
              <w:ind w:left="0" w:right="0"/>
              <w:rPr>
                <w:color w:val="FFFFFF" w:themeColor="background1"/>
                <w:sz w:val="20"/>
                <w:szCs w:val="20"/>
                <w:lang w:eastAsia="en-US"/>
              </w:rPr>
            </w:pPr>
            <w:r w:rsidRPr="008A0EEE">
              <w:rPr>
                <w:color w:val="FFFFFF" w:themeColor="background1"/>
                <w:sz w:val="20"/>
                <w:szCs w:val="20"/>
              </w:rPr>
              <w:t>Additional</w:t>
            </w:r>
          </w:p>
        </w:tc>
        <w:tc>
          <w:tcPr>
            <w:tcW w:w="993" w:type="dxa"/>
            <w:tcBorders>
              <w:top w:val="nil"/>
              <w:left w:val="nil"/>
              <w:bottom w:val="single" w:sz="8" w:space="0" w:color="000000" w:themeColor="text1"/>
              <w:right w:val="nil"/>
            </w:tcBorders>
            <w:shd w:val="clear" w:color="auto" w:fill="006DA7"/>
          </w:tcPr>
          <w:p w14:paraId="70506271" w14:textId="77777777" w:rsidR="00AF495F" w:rsidRPr="008A0EEE" w:rsidRDefault="00AF495F" w:rsidP="001A3D34">
            <w:pPr>
              <w:keepNext/>
              <w:ind w:left="0" w:right="0"/>
              <w:rPr>
                <w:color w:val="FFFFFF" w:themeColor="background1"/>
                <w:sz w:val="20"/>
                <w:szCs w:val="20"/>
                <w:lang w:eastAsia="en-US"/>
              </w:rPr>
            </w:pPr>
            <w:r w:rsidRPr="008A0EEE">
              <w:rPr>
                <w:color w:val="FFFFFF" w:themeColor="background1"/>
                <w:sz w:val="20"/>
                <w:szCs w:val="20"/>
              </w:rPr>
              <w:t>Routine</w:t>
            </w:r>
          </w:p>
        </w:tc>
        <w:tc>
          <w:tcPr>
            <w:tcW w:w="1181" w:type="dxa"/>
            <w:tcBorders>
              <w:top w:val="nil"/>
              <w:left w:val="nil"/>
              <w:bottom w:val="single" w:sz="8" w:space="0" w:color="000000" w:themeColor="text1"/>
              <w:right w:val="single" w:sz="8" w:space="0" w:color="000000" w:themeColor="text1"/>
            </w:tcBorders>
            <w:shd w:val="clear" w:color="auto" w:fill="006DA7"/>
          </w:tcPr>
          <w:p w14:paraId="56DD6E6D" w14:textId="77777777" w:rsidR="00AF495F" w:rsidRPr="008A0EEE" w:rsidRDefault="00AF495F" w:rsidP="001A3D34">
            <w:pPr>
              <w:keepNext/>
              <w:ind w:left="0" w:right="0"/>
              <w:rPr>
                <w:color w:val="FFFFFF" w:themeColor="background1"/>
                <w:sz w:val="20"/>
                <w:szCs w:val="20"/>
                <w:lang w:eastAsia="en-US"/>
              </w:rPr>
            </w:pPr>
            <w:r w:rsidRPr="008A0EEE">
              <w:rPr>
                <w:color w:val="FFFFFF" w:themeColor="background1"/>
                <w:sz w:val="20"/>
                <w:szCs w:val="20"/>
              </w:rPr>
              <w:t>Additional</w:t>
            </w:r>
          </w:p>
        </w:tc>
      </w:tr>
      <w:tr w:rsidR="003D52BE" w:rsidRPr="003D52BE" w14:paraId="4AEC3FAE" w14:textId="77777777" w:rsidTr="008A0EEE">
        <w:trPr>
          <w:trHeight w:val="136"/>
        </w:trPr>
        <w:tc>
          <w:tcPr>
            <w:tcW w:w="1384" w:type="dxa"/>
            <w:vMerge w:val="restart"/>
          </w:tcPr>
          <w:p w14:paraId="0E2418ED" w14:textId="77777777" w:rsidR="00AF495F" w:rsidRPr="003D52BE" w:rsidRDefault="00AF495F" w:rsidP="003D52BE">
            <w:pPr>
              <w:ind w:left="0" w:right="0"/>
              <w:rPr>
                <w:b/>
                <w:sz w:val="20"/>
                <w:szCs w:val="20"/>
              </w:rPr>
            </w:pPr>
            <w:r w:rsidRPr="003D52BE">
              <w:rPr>
                <w:b/>
                <w:sz w:val="20"/>
                <w:szCs w:val="20"/>
              </w:rPr>
              <w:t>Important identified risks</w:t>
            </w:r>
          </w:p>
        </w:tc>
        <w:tc>
          <w:tcPr>
            <w:tcW w:w="3402" w:type="dxa"/>
          </w:tcPr>
          <w:p w14:paraId="19DCF32C" w14:textId="77777777" w:rsidR="00AF495F" w:rsidRPr="003D52BE" w:rsidRDefault="00AF495F" w:rsidP="003D52BE">
            <w:pPr>
              <w:ind w:left="0" w:right="0"/>
              <w:rPr>
                <w:sz w:val="20"/>
                <w:szCs w:val="20"/>
              </w:rPr>
            </w:pPr>
            <w:r w:rsidRPr="003D52BE">
              <w:rPr>
                <w:rFonts w:cs="TimesNewRoman,Italic"/>
                <w:i/>
                <w:iCs/>
                <w:sz w:val="20"/>
                <w:szCs w:val="20"/>
              </w:rPr>
              <w:t>Clostridium difficile</w:t>
            </w:r>
            <w:r w:rsidRPr="003D52BE">
              <w:rPr>
                <w:rFonts w:eastAsia="TimesNewRoman" w:cs="TimesNewRoman"/>
                <w:sz w:val="20"/>
                <w:szCs w:val="20"/>
              </w:rPr>
              <w:t>-associated diarrhoea **</w:t>
            </w:r>
          </w:p>
        </w:tc>
        <w:tc>
          <w:tcPr>
            <w:tcW w:w="992" w:type="dxa"/>
            <w:tcBorders>
              <w:top w:val="single" w:sz="8" w:space="0" w:color="000000" w:themeColor="text1"/>
            </w:tcBorders>
          </w:tcPr>
          <w:p w14:paraId="4C69A5DE" w14:textId="77777777" w:rsidR="00AF495F" w:rsidRPr="003D52BE" w:rsidRDefault="00AF495F" w:rsidP="003D52BE">
            <w:pPr>
              <w:ind w:left="0" w:right="0"/>
              <w:rPr>
                <w:color w:val="auto"/>
                <w:sz w:val="20"/>
                <w:szCs w:val="20"/>
              </w:rPr>
            </w:pPr>
            <w:r w:rsidRPr="003D52BE">
              <w:rPr>
                <w:color w:val="auto"/>
                <w:sz w:val="20"/>
                <w:szCs w:val="20"/>
              </w:rPr>
              <w:sym w:font="Wingdings" w:char="F0FC"/>
            </w:r>
            <w:r w:rsidRPr="003D52BE">
              <w:rPr>
                <w:color w:val="auto"/>
                <w:sz w:val="20"/>
                <w:szCs w:val="20"/>
              </w:rPr>
              <w:t>†</w:t>
            </w:r>
          </w:p>
        </w:tc>
        <w:tc>
          <w:tcPr>
            <w:tcW w:w="1134" w:type="dxa"/>
            <w:tcBorders>
              <w:top w:val="single" w:sz="8" w:space="0" w:color="000000" w:themeColor="text1"/>
            </w:tcBorders>
          </w:tcPr>
          <w:p w14:paraId="0C0D090C" w14:textId="77777777" w:rsidR="00AF495F" w:rsidRPr="003D52BE" w:rsidRDefault="00AF495F" w:rsidP="003D52BE">
            <w:pPr>
              <w:ind w:left="0" w:right="0"/>
              <w:rPr>
                <w:color w:val="auto"/>
                <w:sz w:val="20"/>
                <w:szCs w:val="20"/>
              </w:rPr>
            </w:pPr>
            <w:r w:rsidRPr="003D52BE">
              <w:rPr>
                <w:color w:val="auto"/>
                <w:sz w:val="20"/>
                <w:szCs w:val="20"/>
              </w:rPr>
              <w:t>–</w:t>
            </w:r>
          </w:p>
        </w:tc>
        <w:tc>
          <w:tcPr>
            <w:tcW w:w="993" w:type="dxa"/>
            <w:tcBorders>
              <w:top w:val="single" w:sz="8" w:space="0" w:color="000000" w:themeColor="text1"/>
            </w:tcBorders>
          </w:tcPr>
          <w:p w14:paraId="6B20CB34" w14:textId="77777777" w:rsidR="00AF495F" w:rsidRPr="003D52BE" w:rsidRDefault="00AF495F" w:rsidP="003D52BE">
            <w:pPr>
              <w:ind w:left="0" w:right="0"/>
              <w:rPr>
                <w:color w:val="auto"/>
                <w:sz w:val="20"/>
                <w:szCs w:val="20"/>
              </w:rPr>
            </w:pPr>
            <w:r w:rsidRPr="003D52BE">
              <w:rPr>
                <w:color w:val="auto"/>
                <w:sz w:val="20"/>
                <w:szCs w:val="20"/>
              </w:rPr>
              <w:sym w:font="Wingdings" w:char="F0FC"/>
            </w:r>
          </w:p>
        </w:tc>
        <w:tc>
          <w:tcPr>
            <w:tcW w:w="1181" w:type="dxa"/>
            <w:tcBorders>
              <w:top w:val="single" w:sz="8" w:space="0" w:color="000000" w:themeColor="text1"/>
            </w:tcBorders>
          </w:tcPr>
          <w:p w14:paraId="64206C6B" w14:textId="77777777" w:rsidR="00AF495F" w:rsidRPr="003D52BE" w:rsidRDefault="00AF495F" w:rsidP="003D52BE">
            <w:pPr>
              <w:ind w:left="0" w:right="0"/>
              <w:rPr>
                <w:color w:val="auto"/>
                <w:sz w:val="20"/>
                <w:szCs w:val="20"/>
              </w:rPr>
            </w:pPr>
            <w:r w:rsidRPr="003D52BE">
              <w:rPr>
                <w:color w:val="auto"/>
                <w:sz w:val="20"/>
                <w:szCs w:val="20"/>
              </w:rPr>
              <w:t>–</w:t>
            </w:r>
          </w:p>
        </w:tc>
      </w:tr>
      <w:tr w:rsidR="003D52BE" w:rsidRPr="003D52BE" w14:paraId="60BFD23E" w14:textId="77777777" w:rsidTr="003D52BE">
        <w:trPr>
          <w:trHeight w:val="186"/>
        </w:trPr>
        <w:tc>
          <w:tcPr>
            <w:tcW w:w="1384" w:type="dxa"/>
            <w:vMerge/>
          </w:tcPr>
          <w:p w14:paraId="6453C4E2" w14:textId="77777777" w:rsidR="00AF495F" w:rsidRPr="003D52BE" w:rsidRDefault="00AF495F" w:rsidP="003D52BE">
            <w:pPr>
              <w:ind w:left="0" w:right="0"/>
              <w:rPr>
                <w:b/>
                <w:sz w:val="20"/>
                <w:szCs w:val="20"/>
              </w:rPr>
            </w:pPr>
          </w:p>
        </w:tc>
        <w:tc>
          <w:tcPr>
            <w:tcW w:w="3402" w:type="dxa"/>
          </w:tcPr>
          <w:p w14:paraId="7CB507A9" w14:textId="77777777" w:rsidR="00AF495F" w:rsidRPr="003D52BE" w:rsidRDefault="00AF495F" w:rsidP="003D52BE">
            <w:pPr>
              <w:ind w:left="0" w:right="0"/>
              <w:rPr>
                <w:sz w:val="20"/>
                <w:szCs w:val="20"/>
              </w:rPr>
            </w:pPr>
            <w:r w:rsidRPr="003D52BE">
              <w:rPr>
                <w:rFonts w:eastAsia="TimesNewRoman" w:cs="TimesNewRoman"/>
                <w:snapToGrid w:val="0"/>
                <w:kern w:val="16"/>
                <w:sz w:val="20"/>
                <w:szCs w:val="20"/>
              </w:rPr>
              <w:t xml:space="preserve">Anaphylaxis and other severe </w:t>
            </w:r>
            <w:r w:rsidRPr="003D52BE">
              <w:rPr>
                <w:rFonts w:eastAsia="TimesNewRoman" w:cs="TimesNewRoman"/>
                <w:sz w:val="20"/>
                <w:szCs w:val="20"/>
              </w:rPr>
              <w:t>hypersensitivity reactions **</w:t>
            </w:r>
          </w:p>
        </w:tc>
        <w:tc>
          <w:tcPr>
            <w:tcW w:w="992" w:type="dxa"/>
          </w:tcPr>
          <w:p w14:paraId="47F3DE5F" w14:textId="77777777" w:rsidR="00AF495F" w:rsidRPr="003D52BE" w:rsidRDefault="00AF495F" w:rsidP="003D52BE">
            <w:pPr>
              <w:ind w:left="0" w:right="0"/>
              <w:rPr>
                <w:color w:val="auto"/>
                <w:sz w:val="20"/>
                <w:szCs w:val="20"/>
              </w:rPr>
            </w:pPr>
            <w:r w:rsidRPr="003D52BE">
              <w:rPr>
                <w:color w:val="auto"/>
                <w:sz w:val="20"/>
                <w:szCs w:val="20"/>
              </w:rPr>
              <w:sym w:font="Wingdings" w:char="F0FC"/>
            </w:r>
          </w:p>
        </w:tc>
        <w:tc>
          <w:tcPr>
            <w:tcW w:w="1134" w:type="dxa"/>
          </w:tcPr>
          <w:p w14:paraId="71A6C5A4" w14:textId="77777777" w:rsidR="00AF495F" w:rsidRPr="003D52BE" w:rsidRDefault="00AF495F" w:rsidP="003D52BE">
            <w:pPr>
              <w:ind w:left="0" w:right="0"/>
              <w:rPr>
                <w:color w:val="auto"/>
                <w:sz w:val="20"/>
                <w:szCs w:val="20"/>
              </w:rPr>
            </w:pPr>
            <w:r w:rsidRPr="003D52BE">
              <w:rPr>
                <w:color w:val="auto"/>
                <w:sz w:val="20"/>
                <w:szCs w:val="20"/>
              </w:rPr>
              <w:t>–</w:t>
            </w:r>
          </w:p>
        </w:tc>
        <w:tc>
          <w:tcPr>
            <w:tcW w:w="993" w:type="dxa"/>
          </w:tcPr>
          <w:p w14:paraId="25F90A55" w14:textId="77777777" w:rsidR="00AF495F" w:rsidRPr="003D52BE" w:rsidRDefault="00AF495F" w:rsidP="003D52BE">
            <w:pPr>
              <w:ind w:left="0" w:right="0"/>
              <w:rPr>
                <w:color w:val="auto"/>
                <w:sz w:val="20"/>
                <w:szCs w:val="20"/>
              </w:rPr>
            </w:pPr>
            <w:r w:rsidRPr="003D52BE">
              <w:rPr>
                <w:color w:val="auto"/>
                <w:sz w:val="20"/>
                <w:szCs w:val="20"/>
              </w:rPr>
              <w:sym w:font="Wingdings" w:char="F0FC"/>
            </w:r>
          </w:p>
        </w:tc>
        <w:tc>
          <w:tcPr>
            <w:tcW w:w="1181" w:type="dxa"/>
          </w:tcPr>
          <w:p w14:paraId="5E0E2C21" w14:textId="77777777" w:rsidR="00AF495F" w:rsidRPr="003D52BE" w:rsidRDefault="00AF495F" w:rsidP="003D52BE">
            <w:pPr>
              <w:ind w:left="0" w:right="0"/>
              <w:rPr>
                <w:color w:val="auto"/>
                <w:sz w:val="20"/>
                <w:szCs w:val="20"/>
              </w:rPr>
            </w:pPr>
            <w:r w:rsidRPr="003D52BE">
              <w:rPr>
                <w:color w:val="auto"/>
                <w:sz w:val="20"/>
                <w:szCs w:val="20"/>
              </w:rPr>
              <w:t>–</w:t>
            </w:r>
          </w:p>
        </w:tc>
      </w:tr>
      <w:tr w:rsidR="003D52BE" w:rsidRPr="003D52BE" w14:paraId="096B9C34" w14:textId="77777777" w:rsidTr="003D52BE">
        <w:trPr>
          <w:trHeight w:val="158"/>
        </w:trPr>
        <w:tc>
          <w:tcPr>
            <w:tcW w:w="1384" w:type="dxa"/>
            <w:vMerge w:val="restart"/>
          </w:tcPr>
          <w:p w14:paraId="39F16FB6" w14:textId="77777777" w:rsidR="00AF495F" w:rsidRPr="003D52BE" w:rsidRDefault="00AF495F" w:rsidP="003D52BE">
            <w:pPr>
              <w:ind w:left="0" w:right="0"/>
              <w:rPr>
                <w:b/>
                <w:sz w:val="20"/>
                <w:szCs w:val="20"/>
              </w:rPr>
            </w:pPr>
            <w:r w:rsidRPr="003D52BE">
              <w:rPr>
                <w:b/>
                <w:sz w:val="20"/>
                <w:szCs w:val="20"/>
              </w:rPr>
              <w:t>Important potential risks</w:t>
            </w:r>
          </w:p>
        </w:tc>
        <w:tc>
          <w:tcPr>
            <w:tcW w:w="3402" w:type="dxa"/>
          </w:tcPr>
          <w:p w14:paraId="7E577520" w14:textId="77777777" w:rsidR="00AF495F" w:rsidRPr="003D52BE" w:rsidRDefault="00AF495F" w:rsidP="003D52BE">
            <w:pPr>
              <w:ind w:left="0" w:right="0"/>
              <w:rPr>
                <w:sz w:val="20"/>
                <w:szCs w:val="20"/>
              </w:rPr>
            </w:pPr>
            <w:r w:rsidRPr="003D52BE">
              <w:rPr>
                <w:rFonts w:eastAsia="TimesNewRoman" w:cs="TimesNewRoman"/>
                <w:sz w:val="20"/>
                <w:szCs w:val="20"/>
              </w:rPr>
              <w:t>Hepatotoxicity</w:t>
            </w:r>
          </w:p>
        </w:tc>
        <w:tc>
          <w:tcPr>
            <w:tcW w:w="992" w:type="dxa"/>
          </w:tcPr>
          <w:p w14:paraId="7C354EEC" w14:textId="77777777" w:rsidR="00AF495F" w:rsidRPr="003D52BE" w:rsidRDefault="00AF495F" w:rsidP="003D52BE">
            <w:pPr>
              <w:ind w:left="0" w:right="0"/>
              <w:rPr>
                <w:color w:val="auto"/>
                <w:sz w:val="20"/>
                <w:szCs w:val="20"/>
              </w:rPr>
            </w:pPr>
            <w:r w:rsidRPr="003D52BE">
              <w:rPr>
                <w:color w:val="auto"/>
                <w:sz w:val="20"/>
                <w:szCs w:val="20"/>
              </w:rPr>
              <w:sym w:font="Wingdings" w:char="F0FC"/>
            </w:r>
            <w:r w:rsidRPr="003D52BE">
              <w:rPr>
                <w:color w:val="auto"/>
                <w:sz w:val="20"/>
                <w:szCs w:val="20"/>
              </w:rPr>
              <w:t>†</w:t>
            </w:r>
          </w:p>
        </w:tc>
        <w:tc>
          <w:tcPr>
            <w:tcW w:w="1134" w:type="dxa"/>
          </w:tcPr>
          <w:p w14:paraId="2421AF25" w14:textId="77777777" w:rsidR="00AF495F" w:rsidRPr="003D52BE" w:rsidRDefault="00AF495F" w:rsidP="003D52BE">
            <w:pPr>
              <w:ind w:left="0" w:right="0"/>
              <w:rPr>
                <w:color w:val="auto"/>
                <w:sz w:val="20"/>
                <w:szCs w:val="20"/>
              </w:rPr>
            </w:pPr>
            <w:r w:rsidRPr="003D52BE">
              <w:rPr>
                <w:color w:val="auto"/>
                <w:sz w:val="20"/>
                <w:szCs w:val="20"/>
              </w:rPr>
              <w:t>–</w:t>
            </w:r>
          </w:p>
        </w:tc>
        <w:tc>
          <w:tcPr>
            <w:tcW w:w="993" w:type="dxa"/>
          </w:tcPr>
          <w:p w14:paraId="3B48D836" w14:textId="77777777" w:rsidR="00AF495F" w:rsidRPr="003D52BE" w:rsidRDefault="00AF495F" w:rsidP="003D52BE">
            <w:pPr>
              <w:ind w:left="0" w:right="0"/>
              <w:rPr>
                <w:color w:val="auto"/>
                <w:sz w:val="20"/>
                <w:szCs w:val="20"/>
              </w:rPr>
            </w:pPr>
            <w:r w:rsidRPr="003D52BE">
              <w:rPr>
                <w:color w:val="auto"/>
                <w:sz w:val="20"/>
                <w:szCs w:val="20"/>
              </w:rPr>
              <w:sym w:font="Wingdings" w:char="F0FC"/>
            </w:r>
          </w:p>
        </w:tc>
        <w:tc>
          <w:tcPr>
            <w:tcW w:w="1181" w:type="dxa"/>
          </w:tcPr>
          <w:p w14:paraId="749B6B2D" w14:textId="77777777" w:rsidR="00AF495F" w:rsidRPr="003D52BE" w:rsidRDefault="00AF495F" w:rsidP="003D52BE">
            <w:pPr>
              <w:ind w:left="0" w:right="0"/>
              <w:rPr>
                <w:color w:val="auto"/>
                <w:sz w:val="20"/>
                <w:szCs w:val="20"/>
              </w:rPr>
            </w:pPr>
            <w:r w:rsidRPr="003D52BE">
              <w:rPr>
                <w:color w:val="auto"/>
                <w:sz w:val="20"/>
                <w:szCs w:val="20"/>
              </w:rPr>
              <w:t>–</w:t>
            </w:r>
          </w:p>
        </w:tc>
      </w:tr>
      <w:tr w:rsidR="003D52BE" w:rsidRPr="003D52BE" w14:paraId="5E195B71" w14:textId="77777777" w:rsidTr="003D52BE">
        <w:trPr>
          <w:trHeight w:val="121"/>
        </w:trPr>
        <w:tc>
          <w:tcPr>
            <w:tcW w:w="1384" w:type="dxa"/>
            <w:vMerge/>
          </w:tcPr>
          <w:p w14:paraId="00543E4D" w14:textId="77777777" w:rsidR="00AF495F" w:rsidRPr="003D52BE" w:rsidRDefault="00AF495F" w:rsidP="003D52BE">
            <w:pPr>
              <w:ind w:left="0" w:right="0"/>
              <w:rPr>
                <w:b/>
                <w:sz w:val="20"/>
                <w:szCs w:val="20"/>
              </w:rPr>
            </w:pPr>
          </w:p>
        </w:tc>
        <w:tc>
          <w:tcPr>
            <w:tcW w:w="3402" w:type="dxa"/>
          </w:tcPr>
          <w:p w14:paraId="3AE6C76C" w14:textId="77777777" w:rsidR="00AF495F" w:rsidRPr="003D52BE" w:rsidRDefault="00AF495F" w:rsidP="003D52BE">
            <w:pPr>
              <w:ind w:left="0" w:right="0"/>
              <w:rPr>
                <w:rFonts w:eastAsia="TimesNewRoman" w:cs="TimesNewRoman"/>
                <w:sz w:val="20"/>
                <w:szCs w:val="20"/>
              </w:rPr>
            </w:pPr>
            <w:r w:rsidRPr="003D52BE">
              <w:rPr>
                <w:rFonts w:eastAsia="TimesNewRoman" w:cs="TimesNewRoman"/>
                <w:sz w:val="20"/>
                <w:szCs w:val="20"/>
              </w:rPr>
              <w:t>Superinfection (bacterial or fungal)</w:t>
            </w:r>
          </w:p>
        </w:tc>
        <w:tc>
          <w:tcPr>
            <w:tcW w:w="992" w:type="dxa"/>
          </w:tcPr>
          <w:p w14:paraId="427D3D99" w14:textId="77777777" w:rsidR="00AF495F" w:rsidRPr="003D52BE" w:rsidRDefault="00AF495F" w:rsidP="003D52BE">
            <w:pPr>
              <w:ind w:left="0" w:right="0"/>
              <w:rPr>
                <w:color w:val="auto"/>
                <w:sz w:val="20"/>
                <w:szCs w:val="20"/>
              </w:rPr>
            </w:pPr>
            <w:r w:rsidRPr="003D52BE">
              <w:rPr>
                <w:color w:val="auto"/>
                <w:sz w:val="20"/>
                <w:szCs w:val="20"/>
              </w:rPr>
              <w:sym w:font="Wingdings" w:char="F0FC"/>
            </w:r>
          </w:p>
        </w:tc>
        <w:tc>
          <w:tcPr>
            <w:tcW w:w="1134" w:type="dxa"/>
          </w:tcPr>
          <w:p w14:paraId="59B0E3C2" w14:textId="77777777" w:rsidR="00AF495F" w:rsidRPr="003D52BE" w:rsidRDefault="00AF495F" w:rsidP="003D52BE">
            <w:pPr>
              <w:ind w:left="0" w:right="0"/>
              <w:rPr>
                <w:color w:val="auto"/>
                <w:sz w:val="20"/>
                <w:szCs w:val="20"/>
              </w:rPr>
            </w:pPr>
            <w:r w:rsidRPr="003D52BE">
              <w:rPr>
                <w:color w:val="auto"/>
                <w:sz w:val="20"/>
                <w:szCs w:val="20"/>
              </w:rPr>
              <w:t>–</w:t>
            </w:r>
          </w:p>
        </w:tc>
        <w:tc>
          <w:tcPr>
            <w:tcW w:w="993" w:type="dxa"/>
          </w:tcPr>
          <w:p w14:paraId="721E66C2" w14:textId="77777777" w:rsidR="00AF495F" w:rsidRPr="003D52BE" w:rsidRDefault="00AF495F" w:rsidP="003D52BE">
            <w:pPr>
              <w:ind w:left="0" w:right="0"/>
              <w:rPr>
                <w:color w:val="auto"/>
                <w:sz w:val="20"/>
                <w:szCs w:val="20"/>
              </w:rPr>
            </w:pPr>
            <w:r w:rsidRPr="003D52BE">
              <w:rPr>
                <w:color w:val="auto"/>
                <w:sz w:val="20"/>
                <w:szCs w:val="20"/>
              </w:rPr>
              <w:sym w:font="Wingdings" w:char="F0FC"/>
            </w:r>
          </w:p>
        </w:tc>
        <w:tc>
          <w:tcPr>
            <w:tcW w:w="1181" w:type="dxa"/>
          </w:tcPr>
          <w:p w14:paraId="13592627" w14:textId="77777777" w:rsidR="00AF495F" w:rsidRPr="003D52BE" w:rsidRDefault="00AF495F" w:rsidP="003D52BE">
            <w:pPr>
              <w:ind w:left="0" w:right="0"/>
              <w:rPr>
                <w:color w:val="auto"/>
                <w:sz w:val="20"/>
                <w:szCs w:val="20"/>
              </w:rPr>
            </w:pPr>
            <w:r w:rsidRPr="003D52BE">
              <w:rPr>
                <w:color w:val="auto"/>
                <w:sz w:val="20"/>
                <w:szCs w:val="20"/>
              </w:rPr>
              <w:t>–</w:t>
            </w:r>
          </w:p>
        </w:tc>
      </w:tr>
      <w:tr w:rsidR="003D52BE" w:rsidRPr="003D52BE" w14:paraId="2DA6A919" w14:textId="77777777" w:rsidTr="003D52BE">
        <w:trPr>
          <w:trHeight w:val="121"/>
        </w:trPr>
        <w:tc>
          <w:tcPr>
            <w:tcW w:w="1384" w:type="dxa"/>
            <w:vMerge/>
          </w:tcPr>
          <w:p w14:paraId="0DD5DD83" w14:textId="77777777" w:rsidR="00AF495F" w:rsidRPr="003D52BE" w:rsidRDefault="00AF495F" w:rsidP="003D52BE">
            <w:pPr>
              <w:ind w:left="0" w:right="0"/>
              <w:rPr>
                <w:b/>
                <w:sz w:val="20"/>
                <w:szCs w:val="20"/>
              </w:rPr>
            </w:pPr>
          </w:p>
        </w:tc>
        <w:tc>
          <w:tcPr>
            <w:tcW w:w="3402" w:type="dxa"/>
          </w:tcPr>
          <w:p w14:paraId="609FADCD" w14:textId="77777777" w:rsidR="00AF495F" w:rsidRPr="003D52BE" w:rsidRDefault="00AF495F" w:rsidP="003D52BE">
            <w:pPr>
              <w:ind w:left="0" w:right="0"/>
              <w:rPr>
                <w:rFonts w:eastAsia="TimesNewRoman" w:cs="TimesNewRoman"/>
                <w:sz w:val="20"/>
                <w:szCs w:val="20"/>
              </w:rPr>
            </w:pPr>
            <w:r w:rsidRPr="003D52BE">
              <w:rPr>
                <w:rFonts w:eastAsia="TimesNewRoman" w:cs="TimesNewRoman"/>
                <w:sz w:val="20"/>
                <w:szCs w:val="20"/>
              </w:rPr>
              <w:t>Bacterial resistance development</w:t>
            </w:r>
          </w:p>
        </w:tc>
        <w:tc>
          <w:tcPr>
            <w:tcW w:w="992" w:type="dxa"/>
          </w:tcPr>
          <w:p w14:paraId="68DB68B0" w14:textId="77777777" w:rsidR="00AF495F" w:rsidRPr="003D52BE" w:rsidRDefault="00AF495F" w:rsidP="003D52BE">
            <w:pPr>
              <w:ind w:left="0" w:right="0"/>
              <w:rPr>
                <w:color w:val="auto"/>
                <w:sz w:val="20"/>
                <w:szCs w:val="20"/>
              </w:rPr>
            </w:pPr>
            <w:r w:rsidRPr="003D52BE">
              <w:rPr>
                <w:color w:val="auto"/>
                <w:sz w:val="20"/>
                <w:szCs w:val="20"/>
              </w:rPr>
              <w:sym w:font="Wingdings" w:char="F0FC"/>
            </w:r>
          </w:p>
        </w:tc>
        <w:tc>
          <w:tcPr>
            <w:tcW w:w="1134" w:type="dxa"/>
          </w:tcPr>
          <w:p w14:paraId="444C1243" w14:textId="77777777" w:rsidR="00AF495F" w:rsidRPr="003D52BE" w:rsidRDefault="00AF495F" w:rsidP="003D52BE">
            <w:pPr>
              <w:ind w:left="0" w:right="0"/>
              <w:rPr>
                <w:color w:val="auto"/>
                <w:sz w:val="20"/>
                <w:szCs w:val="20"/>
              </w:rPr>
            </w:pPr>
            <w:r w:rsidRPr="003D52BE">
              <w:rPr>
                <w:color w:val="auto"/>
                <w:sz w:val="20"/>
                <w:szCs w:val="20"/>
              </w:rPr>
              <w:sym w:font="Wingdings" w:char="F0FC"/>
            </w:r>
            <w:r w:rsidRPr="003D52BE">
              <w:rPr>
                <w:color w:val="auto"/>
                <w:sz w:val="20"/>
                <w:szCs w:val="20"/>
              </w:rPr>
              <w:t>*</w:t>
            </w:r>
          </w:p>
        </w:tc>
        <w:tc>
          <w:tcPr>
            <w:tcW w:w="993" w:type="dxa"/>
          </w:tcPr>
          <w:p w14:paraId="35656484" w14:textId="77777777" w:rsidR="00AF495F" w:rsidRPr="003D52BE" w:rsidRDefault="00AF495F" w:rsidP="003D52BE">
            <w:pPr>
              <w:ind w:left="0" w:right="0"/>
              <w:rPr>
                <w:color w:val="auto"/>
                <w:sz w:val="20"/>
                <w:szCs w:val="20"/>
              </w:rPr>
            </w:pPr>
            <w:r w:rsidRPr="003D52BE">
              <w:rPr>
                <w:color w:val="auto"/>
                <w:sz w:val="20"/>
                <w:szCs w:val="20"/>
              </w:rPr>
              <w:sym w:font="Wingdings" w:char="F0FC"/>
            </w:r>
          </w:p>
        </w:tc>
        <w:tc>
          <w:tcPr>
            <w:tcW w:w="1181" w:type="dxa"/>
          </w:tcPr>
          <w:p w14:paraId="0DCDDD12" w14:textId="77777777" w:rsidR="00AF495F" w:rsidRPr="003D52BE" w:rsidRDefault="00AF495F" w:rsidP="003D52BE">
            <w:pPr>
              <w:ind w:left="0" w:right="0"/>
              <w:rPr>
                <w:color w:val="auto"/>
                <w:sz w:val="20"/>
                <w:szCs w:val="20"/>
              </w:rPr>
            </w:pPr>
            <w:r w:rsidRPr="003D52BE">
              <w:rPr>
                <w:color w:val="auto"/>
                <w:sz w:val="20"/>
                <w:szCs w:val="20"/>
              </w:rPr>
              <w:t>–</w:t>
            </w:r>
          </w:p>
        </w:tc>
      </w:tr>
      <w:tr w:rsidR="003D52BE" w:rsidRPr="003D52BE" w14:paraId="120A168D" w14:textId="77777777" w:rsidTr="003D52BE">
        <w:trPr>
          <w:trHeight w:val="111"/>
        </w:trPr>
        <w:tc>
          <w:tcPr>
            <w:tcW w:w="1384" w:type="dxa"/>
            <w:vMerge/>
          </w:tcPr>
          <w:p w14:paraId="6DB1E857" w14:textId="77777777" w:rsidR="00AF495F" w:rsidRPr="003D52BE" w:rsidRDefault="00AF495F" w:rsidP="003D52BE">
            <w:pPr>
              <w:ind w:left="0" w:right="0"/>
              <w:rPr>
                <w:b/>
                <w:sz w:val="20"/>
                <w:szCs w:val="20"/>
              </w:rPr>
            </w:pPr>
          </w:p>
        </w:tc>
        <w:tc>
          <w:tcPr>
            <w:tcW w:w="3402" w:type="dxa"/>
          </w:tcPr>
          <w:p w14:paraId="5D2B3DA7" w14:textId="77777777" w:rsidR="00AF495F" w:rsidRPr="003D52BE" w:rsidRDefault="00AF495F" w:rsidP="003D52BE">
            <w:pPr>
              <w:ind w:left="0" w:right="0"/>
              <w:rPr>
                <w:rFonts w:eastAsia="TimesNewRoman" w:cs="TimesNewRoman"/>
                <w:sz w:val="20"/>
                <w:szCs w:val="20"/>
              </w:rPr>
            </w:pPr>
            <w:r w:rsidRPr="003D52BE">
              <w:rPr>
                <w:rFonts w:eastAsia="TimesNewRoman" w:cs="TimesNewRoman"/>
                <w:sz w:val="20"/>
                <w:szCs w:val="20"/>
              </w:rPr>
              <w:t>In patients with renal impairment, risk of neurological sequelae when the dose is not appropriately reduced</w:t>
            </w:r>
          </w:p>
        </w:tc>
        <w:tc>
          <w:tcPr>
            <w:tcW w:w="992" w:type="dxa"/>
          </w:tcPr>
          <w:p w14:paraId="5EE906CF" w14:textId="77777777" w:rsidR="00AF495F" w:rsidRPr="003D52BE" w:rsidRDefault="00AF495F" w:rsidP="003D52BE">
            <w:pPr>
              <w:ind w:left="0" w:right="0"/>
              <w:rPr>
                <w:color w:val="auto"/>
                <w:sz w:val="20"/>
                <w:szCs w:val="20"/>
              </w:rPr>
            </w:pPr>
            <w:r w:rsidRPr="003D52BE">
              <w:rPr>
                <w:color w:val="auto"/>
                <w:sz w:val="20"/>
                <w:szCs w:val="20"/>
              </w:rPr>
              <w:sym w:font="Wingdings" w:char="F0FC"/>
            </w:r>
            <w:r w:rsidRPr="003D52BE">
              <w:rPr>
                <w:color w:val="auto"/>
                <w:sz w:val="20"/>
                <w:szCs w:val="20"/>
              </w:rPr>
              <w:t>†</w:t>
            </w:r>
          </w:p>
        </w:tc>
        <w:tc>
          <w:tcPr>
            <w:tcW w:w="1134" w:type="dxa"/>
          </w:tcPr>
          <w:p w14:paraId="2CB7168E" w14:textId="77777777" w:rsidR="00AF495F" w:rsidRPr="003D52BE" w:rsidRDefault="00AF495F" w:rsidP="003D52BE">
            <w:pPr>
              <w:ind w:left="0" w:right="0"/>
              <w:rPr>
                <w:color w:val="auto"/>
                <w:sz w:val="20"/>
                <w:szCs w:val="20"/>
              </w:rPr>
            </w:pPr>
            <w:r w:rsidRPr="003D52BE">
              <w:rPr>
                <w:color w:val="auto"/>
                <w:sz w:val="20"/>
                <w:szCs w:val="20"/>
              </w:rPr>
              <w:t>–</w:t>
            </w:r>
          </w:p>
        </w:tc>
        <w:tc>
          <w:tcPr>
            <w:tcW w:w="993" w:type="dxa"/>
          </w:tcPr>
          <w:p w14:paraId="06E919E2" w14:textId="77777777" w:rsidR="00AF495F" w:rsidRPr="003D52BE" w:rsidRDefault="00AF495F" w:rsidP="003D52BE">
            <w:pPr>
              <w:ind w:left="0" w:right="0"/>
              <w:rPr>
                <w:color w:val="auto"/>
                <w:sz w:val="20"/>
                <w:szCs w:val="20"/>
              </w:rPr>
            </w:pPr>
            <w:r w:rsidRPr="003D52BE">
              <w:rPr>
                <w:color w:val="auto"/>
                <w:sz w:val="20"/>
                <w:szCs w:val="20"/>
              </w:rPr>
              <w:sym w:font="Wingdings" w:char="F0FC"/>
            </w:r>
          </w:p>
        </w:tc>
        <w:tc>
          <w:tcPr>
            <w:tcW w:w="1181" w:type="dxa"/>
          </w:tcPr>
          <w:p w14:paraId="3792B3D7" w14:textId="77777777" w:rsidR="00AF495F" w:rsidRPr="003D52BE" w:rsidRDefault="00AF495F" w:rsidP="003D52BE">
            <w:pPr>
              <w:ind w:left="0" w:right="0"/>
              <w:rPr>
                <w:color w:val="auto"/>
                <w:sz w:val="20"/>
                <w:szCs w:val="20"/>
              </w:rPr>
            </w:pPr>
            <w:r w:rsidRPr="003D52BE">
              <w:rPr>
                <w:color w:val="auto"/>
                <w:sz w:val="20"/>
                <w:szCs w:val="20"/>
              </w:rPr>
              <w:t>–</w:t>
            </w:r>
          </w:p>
        </w:tc>
      </w:tr>
      <w:tr w:rsidR="003D52BE" w:rsidRPr="003D52BE" w14:paraId="09F24628" w14:textId="77777777" w:rsidTr="003D52BE">
        <w:trPr>
          <w:trHeight w:val="177"/>
        </w:trPr>
        <w:tc>
          <w:tcPr>
            <w:tcW w:w="1384" w:type="dxa"/>
            <w:vMerge w:val="restart"/>
          </w:tcPr>
          <w:p w14:paraId="280FD1BA" w14:textId="77777777" w:rsidR="00AF495F" w:rsidRPr="003D52BE" w:rsidRDefault="00AF495F" w:rsidP="003D52BE">
            <w:pPr>
              <w:ind w:left="0" w:right="0"/>
              <w:rPr>
                <w:b/>
                <w:sz w:val="20"/>
                <w:szCs w:val="20"/>
              </w:rPr>
            </w:pPr>
            <w:r w:rsidRPr="003D52BE">
              <w:rPr>
                <w:b/>
                <w:sz w:val="20"/>
                <w:szCs w:val="20"/>
              </w:rPr>
              <w:t>Missing information</w:t>
            </w:r>
          </w:p>
        </w:tc>
        <w:tc>
          <w:tcPr>
            <w:tcW w:w="3402" w:type="dxa"/>
          </w:tcPr>
          <w:p w14:paraId="01ED9062" w14:textId="77777777" w:rsidR="00AF495F" w:rsidRPr="003D52BE" w:rsidRDefault="00AF495F" w:rsidP="003D52BE">
            <w:pPr>
              <w:ind w:left="0" w:right="0"/>
              <w:rPr>
                <w:rFonts w:eastAsia="TimesNewRoman" w:cs="TimesNewRoman"/>
                <w:sz w:val="20"/>
                <w:szCs w:val="20"/>
              </w:rPr>
            </w:pPr>
            <w:r w:rsidRPr="003D52BE">
              <w:rPr>
                <w:rFonts w:eastAsia="TimesNewRoman" w:cs="TimesNewRoman"/>
                <w:sz w:val="20"/>
                <w:szCs w:val="20"/>
              </w:rPr>
              <w:t>Pregnancy exposure</w:t>
            </w:r>
          </w:p>
        </w:tc>
        <w:tc>
          <w:tcPr>
            <w:tcW w:w="992" w:type="dxa"/>
          </w:tcPr>
          <w:p w14:paraId="11C8C1D7" w14:textId="77777777" w:rsidR="00AF495F" w:rsidRPr="003D52BE" w:rsidRDefault="00AF495F" w:rsidP="003D52BE">
            <w:pPr>
              <w:ind w:left="0" w:right="0"/>
              <w:rPr>
                <w:color w:val="auto"/>
                <w:sz w:val="20"/>
                <w:szCs w:val="20"/>
              </w:rPr>
            </w:pPr>
            <w:r w:rsidRPr="003D52BE">
              <w:rPr>
                <w:color w:val="auto"/>
                <w:sz w:val="20"/>
                <w:szCs w:val="20"/>
              </w:rPr>
              <w:sym w:font="Wingdings" w:char="F0FC"/>
            </w:r>
          </w:p>
        </w:tc>
        <w:tc>
          <w:tcPr>
            <w:tcW w:w="1134" w:type="dxa"/>
          </w:tcPr>
          <w:p w14:paraId="5DC11E76" w14:textId="77777777" w:rsidR="00AF495F" w:rsidRPr="003D52BE" w:rsidRDefault="00AF495F" w:rsidP="003D52BE">
            <w:pPr>
              <w:ind w:left="0" w:right="0"/>
              <w:rPr>
                <w:color w:val="auto"/>
                <w:sz w:val="20"/>
                <w:szCs w:val="20"/>
              </w:rPr>
            </w:pPr>
            <w:r w:rsidRPr="003D52BE">
              <w:rPr>
                <w:color w:val="auto"/>
                <w:sz w:val="20"/>
                <w:szCs w:val="20"/>
              </w:rPr>
              <w:t>–</w:t>
            </w:r>
          </w:p>
        </w:tc>
        <w:tc>
          <w:tcPr>
            <w:tcW w:w="993" w:type="dxa"/>
          </w:tcPr>
          <w:p w14:paraId="54BA7F0A" w14:textId="77777777" w:rsidR="00AF495F" w:rsidRPr="003D52BE" w:rsidRDefault="00AF495F" w:rsidP="003D52BE">
            <w:pPr>
              <w:ind w:left="0" w:right="0"/>
              <w:rPr>
                <w:color w:val="auto"/>
                <w:sz w:val="20"/>
                <w:szCs w:val="20"/>
              </w:rPr>
            </w:pPr>
            <w:r w:rsidRPr="003D52BE">
              <w:rPr>
                <w:color w:val="auto"/>
                <w:sz w:val="20"/>
                <w:szCs w:val="20"/>
              </w:rPr>
              <w:sym w:font="Wingdings" w:char="F0FC"/>
            </w:r>
          </w:p>
        </w:tc>
        <w:tc>
          <w:tcPr>
            <w:tcW w:w="1181" w:type="dxa"/>
          </w:tcPr>
          <w:p w14:paraId="11A88B3C" w14:textId="77777777" w:rsidR="00AF495F" w:rsidRPr="003D52BE" w:rsidRDefault="00AF495F" w:rsidP="003D52BE">
            <w:pPr>
              <w:ind w:left="0" w:right="0"/>
              <w:rPr>
                <w:color w:val="auto"/>
                <w:sz w:val="20"/>
                <w:szCs w:val="20"/>
              </w:rPr>
            </w:pPr>
            <w:r w:rsidRPr="003D52BE">
              <w:rPr>
                <w:color w:val="auto"/>
                <w:sz w:val="20"/>
                <w:szCs w:val="20"/>
              </w:rPr>
              <w:t>–</w:t>
            </w:r>
          </w:p>
        </w:tc>
      </w:tr>
      <w:tr w:rsidR="003D52BE" w:rsidRPr="003D52BE" w14:paraId="5E9ABA6F" w14:textId="77777777" w:rsidTr="003D52BE">
        <w:trPr>
          <w:trHeight w:val="102"/>
        </w:trPr>
        <w:tc>
          <w:tcPr>
            <w:tcW w:w="1384" w:type="dxa"/>
            <w:vMerge/>
          </w:tcPr>
          <w:p w14:paraId="2E7A1957" w14:textId="77777777" w:rsidR="00AF495F" w:rsidRPr="003D52BE" w:rsidRDefault="00AF495F" w:rsidP="003D52BE">
            <w:pPr>
              <w:ind w:left="0" w:right="0"/>
              <w:rPr>
                <w:sz w:val="20"/>
                <w:szCs w:val="20"/>
              </w:rPr>
            </w:pPr>
          </w:p>
        </w:tc>
        <w:tc>
          <w:tcPr>
            <w:tcW w:w="3402" w:type="dxa"/>
          </w:tcPr>
          <w:p w14:paraId="1D2AE9E9" w14:textId="77777777" w:rsidR="00AF495F" w:rsidRPr="003D52BE" w:rsidRDefault="00AF495F" w:rsidP="003D52BE">
            <w:pPr>
              <w:ind w:left="0" w:right="0"/>
              <w:rPr>
                <w:rFonts w:eastAsia="TimesNewRoman" w:cs="TimesNewRoman"/>
                <w:sz w:val="20"/>
                <w:szCs w:val="20"/>
              </w:rPr>
            </w:pPr>
            <w:r w:rsidRPr="003D52BE">
              <w:rPr>
                <w:rFonts w:eastAsia="TimesNewRoman" w:cs="TimesNewRoman"/>
                <w:sz w:val="20"/>
                <w:szCs w:val="20"/>
              </w:rPr>
              <w:t>Lactation exposure</w:t>
            </w:r>
          </w:p>
        </w:tc>
        <w:tc>
          <w:tcPr>
            <w:tcW w:w="992" w:type="dxa"/>
          </w:tcPr>
          <w:p w14:paraId="125C582E" w14:textId="77777777" w:rsidR="00AF495F" w:rsidRPr="003D52BE" w:rsidRDefault="00AF495F" w:rsidP="003D52BE">
            <w:pPr>
              <w:ind w:left="0" w:right="0"/>
              <w:rPr>
                <w:color w:val="auto"/>
                <w:sz w:val="20"/>
                <w:szCs w:val="20"/>
              </w:rPr>
            </w:pPr>
            <w:r w:rsidRPr="003D52BE">
              <w:rPr>
                <w:color w:val="auto"/>
                <w:sz w:val="20"/>
                <w:szCs w:val="20"/>
              </w:rPr>
              <w:sym w:font="Wingdings" w:char="F0FC"/>
            </w:r>
          </w:p>
        </w:tc>
        <w:tc>
          <w:tcPr>
            <w:tcW w:w="1134" w:type="dxa"/>
          </w:tcPr>
          <w:p w14:paraId="7BAF8997" w14:textId="77777777" w:rsidR="00AF495F" w:rsidRPr="003D52BE" w:rsidRDefault="00AF495F" w:rsidP="003D52BE">
            <w:pPr>
              <w:ind w:left="0" w:right="0"/>
              <w:rPr>
                <w:color w:val="auto"/>
                <w:sz w:val="20"/>
                <w:szCs w:val="20"/>
              </w:rPr>
            </w:pPr>
            <w:r w:rsidRPr="003D52BE">
              <w:rPr>
                <w:color w:val="auto"/>
                <w:sz w:val="20"/>
                <w:szCs w:val="20"/>
              </w:rPr>
              <w:t>–</w:t>
            </w:r>
          </w:p>
        </w:tc>
        <w:tc>
          <w:tcPr>
            <w:tcW w:w="993" w:type="dxa"/>
          </w:tcPr>
          <w:p w14:paraId="183E5E7E" w14:textId="77777777" w:rsidR="00AF495F" w:rsidRPr="003D52BE" w:rsidRDefault="00AF495F" w:rsidP="003D52BE">
            <w:pPr>
              <w:ind w:left="0" w:right="0"/>
              <w:rPr>
                <w:color w:val="auto"/>
                <w:sz w:val="20"/>
                <w:szCs w:val="20"/>
              </w:rPr>
            </w:pPr>
            <w:r w:rsidRPr="003D52BE">
              <w:rPr>
                <w:color w:val="auto"/>
                <w:sz w:val="20"/>
                <w:szCs w:val="20"/>
              </w:rPr>
              <w:sym w:font="Wingdings" w:char="F0FC"/>
            </w:r>
          </w:p>
        </w:tc>
        <w:tc>
          <w:tcPr>
            <w:tcW w:w="1181" w:type="dxa"/>
          </w:tcPr>
          <w:p w14:paraId="2BBBCC56" w14:textId="77777777" w:rsidR="00AF495F" w:rsidRPr="003D52BE" w:rsidRDefault="00AF495F" w:rsidP="003D52BE">
            <w:pPr>
              <w:ind w:left="0" w:right="0"/>
              <w:rPr>
                <w:color w:val="auto"/>
                <w:sz w:val="20"/>
                <w:szCs w:val="20"/>
              </w:rPr>
            </w:pPr>
            <w:r w:rsidRPr="003D52BE">
              <w:rPr>
                <w:color w:val="auto"/>
                <w:sz w:val="20"/>
                <w:szCs w:val="20"/>
              </w:rPr>
              <w:t>–</w:t>
            </w:r>
          </w:p>
        </w:tc>
      </w:tr>
      <w:tr w:rsidR="003D52BE" w:rsidRPr="003D52BE" w14:paraId="61163194" w14:textId="77777777" w:rsidTr="003D52BE">
        <w:trPr>
          <w:trHeight w:val="102"/>
        </w:trPr>
        <w:tc>
          <w:tcPr>
            <w:tcW w:w="1384" w:type="dxa"/>
            <w:vMerge/>
          </w:tcPr>
          <w:p w14:paraId="70EF2131" w14:textId="77777777" w:rsidR="00AF495F" w:rsidRPr="003D52BE" w:rsidRDefault="00AF495F" w:rsidP="003D52BE">
            <w:pPr>
              <w:ind w:left="0" w:right="0"/>
              <w:rPr>
                <w:sz w:val="20"/>
                <w:szCs w:val="20"/>
              </w:rPr>
            </w:pPr>
          </w:p>
        </w:tc>
        <w:tc>
          <w:tcPr>
            <w:tcW w:w="3402" w:type="dxa"/>
          </w:tcPr>
          <w:p w14:paraId="20D95215" w14:textId="77777777" w:rsidR="00AF495F" w:rsidRPr="003D52BE" w:rsidRDefault="00AF495F" w:rsidP="003D52BE">
            <w:pPr>
              <w:ind w:left="0" w:right="0"/>
              <w:rPr>
                <w:rFonts w:eastAsia="TimesNewRoman" w:cs="TimesNewRoman"/>
                <w:sz w:val="20"/>
                <w:szCs w:val="20"/>
              </w:rPr>
            </w:pPr>
            <w:r w:rsidRPr="003D52BE">
              <w:rPr>
                <w:rFonts w:eastAsia="TimesNewRoman" w:cs="TimesNewRoman"/>
                <w:sz w:val="20"/>
                <w:szCs w:val="20"/>
              </w:rPr>
              <w:t>Pre-existing significant hepatic impairment</w:t>
            </w:r>
          </w:p>
        </w:tc>
        <w:tc>
          <w:tcPr>
            <w:tcW w:w="992" w:type="dxa"/>
          </w:tcPr>
          <w:p w14:paraId="4C2EBE14" w14:textId="77777777" w:rsidR="00AF495F" w:rsidRPr="003D52BE" w:rsidRDefault="00AF495F" w:rsidP="003D52BE">
            <w:pPr>
              <w:ind w:left="0" w:right="0"/>
              <w:rPr>
                <w:color w:val="auto"/>
                <w:sz w:val="20"/>
                <w:szCs w:val="20"/>
              </w:rPr>
            </w:pPr>
            <w:r w:rsidRPr="003D52BE">
              <w:rPr>
                <w:color w:val="auto"/>
                <w:sz w:val="20"/>
                <w:szCs w:val="20"/>
              </w:rPr>
              <w:sym w:font="Wingdings" w:char="F0FC"/>
            </w:r>
          </w:p>
        </w:tc>
        <w:tc>
          <w:tcPr>
            <w:tcW w:w="1134" w:type="dxa"/>
          </w:tcPr>
          <w:p w14:paraId="383EE5ED" w14:textId="77777777" w:rsidR="00AF495F" w:rsidRPr="003D52BE" w:rsidRDefault="00AF495F" w:rsidP="003D52BE">
            <w:pPr>
              <w:ind w:left="0" w:right="0"/>
              <w:rPr>
                <w:color w:val="auto"/>
                <w:sz w:val="20"/>
                <w:szCs w:val="20"/>
              </w:rPr>
            </w:pPr>
            <w:r w:rsidRPr="003D52BE">
              <w:rPr>
                <w:color w:val="auto"/>
                <w:sz w:val="20"/>
                <w:szCs w:val="20"/>
              </w:rPr>
              <w:t>–</w:t>
            </w:r>
          </w:p>
        </w:tc>
        <w:tc>
          <w:tcPr>
            <w:tcW w:w="993" w:type="dxa"/>
          </w:tcPr>
          <w:p w14:paraId="600774B6" w14:textId="77777777" w:rsidR="00AF495F" w:rsidRPr="003D52BE" w:rsidRDefault="00AF495F" w:rsidP="003D52BE">
            <w:pPr>
              <w:ind w:left="0" w:right="0"/>
              <w:rPr>
                <w:color w:val="auto"/>
                <w:sz w:val="20"/>
                <w:szCs w:val="20"/>
              </w:rPr>
            </w:pPr>
            <w:r w:rsidRPr="003D52BE">
              <w:rPr>
                <w:color w:val="auto"/>
                <w:sz w:val="20"/>
                <w:szCs w:val="20"/>
              </w:rPr>
              <w:sym w:font="Wingdings" w:char="F0FC"/>
            </w:r>
          </w:p>
        </w:tc>
        <w:tc>
          <w:tcPr>
            <w:tcW w:w="1181" w:type="dxa"/>
          </w:tcPr>
          <w:p w14:paraId="19154C20" w14:textId="77777777" w:rsidR="00AF495F" w:rsidRPr="003D52BE" w:rsidRDefault="00AF495F" w:rsidP="003D52BE">
            <w:pPr>
              <w:ind w:left="0" w:right="0"/>
              <w:rPr>
                <w:color w:val="auto"/>
                <w:sz w:val="20"/>
                <w:szCs w:val="20"/>
              </w:rPr>
            </w:pPr>
            <w:r w:rsidRPr="003D52BE">
              <w:rPr>
                <w:color w:val="auto"/>
                <w:sz w:val="20"/>
                <w:szCs w:val="20"/>
              </w:rPr>
              <w:t>–</w:t>
            </w:r>
          </w:p>
        </w:tc>
      </w:tr>
      <w:tr w:rsidR="003D52BE" w:rsidRPr="003D52BE" w14:paraId="3EC55B3B" w14:textId="77777777" w:rsidTr="003D52BE">
        <w:trPr>
          <w:trHeight w:val="102"/>
        </w:trPr>
        <w:tc>
          <w:tcPr>
            <w:tcW w:w="1384" w:type="dxa"/>
            <w:vMerge/>
          </w:tcPr>
          <w:p w14:paraId="2B78DF52" w14:textId="77777777" w:rsidR="00AF495F" w:rsidRPr="003D52BE" w:rsidRDefault="00AF495F" w:rsidP="003D52BE">
            <w:pPr>
              <w:ind w:left="0" w:right="0"/>
              <w:rPr>
                <w:sz w:val="20"/>
                <w:szCs w:val="20"/>
              </w:rPr>
            </w:pPr>
          </w:p>
        </w:tc>
        <w:tc>
          <w:tcPr>
            <w:tcW w:w="3402" w:type="dxa"/>
          </w:tcPr>
          <w:p w14:paraId="571C1D7C" w14:textId="77777777" w:rsidR="00AF495F" w:rsidRPr="003D52BE" w:rsidRDefault="00AF495F" w:rsidP="003D52BE">
            <w:pPr>
              <w:ind w:left="0" w:right="0"/>
              <w:rPr>
                <w:rFonts w:eastAsia="TimesNewRoman" w:cs="TimesNewRoman"/>
                <w:sz w:val="20"/>
                <w:szCs w:val="20"/>
              </w:rPr>
            </w:pPr>
            <w:r w:rsidRPr="003D52BE">
              <w:rPr>
                <w:rFonts w:eastAsia="TimesNewRoman" w:cs="TimesNewRoman"/>
                <w:sz w:val="20"/>
                <w:szCs w:val="20"/>
              </w:rPr>
              <w:t>Pre-existing severe renal impairment including experience in haemodialysis/peritoneal dialysis and other renal replacement therapy</w:t>
            </w:r>
          </w:p>
        </w:tc>
        <w:tc>
          <w:tcPr>
            <w:tcW w:w="992" w:type="dxa"/>
          </w:tcPr>
          <w:p w14:paraId="6CA40FEF" w14:textId="77777777" w:rsidR="00AF495F" w:rsidRPr="003D52BE" w:rsidRDefault="00AF495F" w:rsidP="003D52BE">
            <w:pPr>
              <w:ind w:left="0" w:right="0"/>
              <w:rPr>
                <w:color w:val="auto"/>
                <w:sz w:val="20"/>
                <w:szCs w:val="20"/>
              </w:rPr>
            </w:pPr>
            <w:r w:rsidRPr="003D52BE">
              <w:rPr>
                <w:color w:val="auto"/>
                <w:sz w:val="20"/>
                <w:szCs w:val="20"/>
              </w:rPr>
              <w:sym w:font="Wingdings" w:char="F0FC"/>
            </w:r>
          </w:p>
        </w:tc>
        <w:tc>
          <w:tcPr>
            <w:tcW w:w="1134" w:type="dxa"/>
          </w:tcPr>
          <w:p w14:paraId="6D04479F" w14:textId="77777777" w:rsidR="00AF495F" w:rsidRPr="003D52BE" w:rsidRDefault="00AF495F" w:rsidP="003D52BE">
            <w:pPr>
              <w:ind w:left="0" w:right="0"/>
              <w:rPr>
                <w:color w:val="auto"/>
                <w:sz w:val="20"/>
                <w:szCs w:val="20"/>
              </w:rPr>
            </w:pPr>
            <w:r w:rsidRPr="003D52BE">
              <w:rPr>
                <w:color w:val="auto"/>
                <w:sz w:val="20"/>
                <w:szCs w:val="20"/>
              </w:rPr>
              <w:t>–</w:t>
            </w:r>
          </w:p>
        </w:tc>
        <w:tc>
          <w:tcPr>
            <w:tcW w:w="993" w:type="dxa"/>
          </w:tcPr>
          <w:p w14:paraId="583C8C15" w14:textId="77777777" w:rsidR="00AF495F" w:rsidRPr="003D52BE" w:rsidRDefault="00AF495F" w:rsidP="003D52BE">
            <w:pPr>
              <w:ind w:left="0" w:right="0"/>
              <w:rPr>
                <w:color w:val="auto"/>
                <w:sz w:val="20"/>
                <w:szCs w:val="20"/>
              </w:rPr>
            </w:pPr>
            <w:r w:rsidRPr="003D52BE">
              <w:rPr>
                <w:color w:val="auto"/>
                <w:sz w:val="20"/>
                <w:szCs w:val="20"/>
              </w:rPr>
              <w:sym w:font="Wingdings" w:char="F0FC"/>
            </w:r>
          </w:p>
        </w:tc>
        <w:tc>
          <w:tcPr>
            <w:tcW w:w="1181" w:type="dxa"/>
          </w:tcPr>
          <w:p w14:paraId="25D6DC12" w14:textId="77777777" w:rsidR="00AF495F" w:rsidRPr="003D52BE" w:rsidRDefault="00AF495F" w:rsidP="003D52BE">
            <w:pPr>
              <w:ind w:left="0" w:right="0"/>
              <w:rPr>
                <w:color w:val="auto"/>
                <w:sz w:val="20"/>
                <w:szCs w:val="20"/>
              </w:rPr>
            </w:pPr>
            <w:r w:rsidRPr="003D52BE">
              <w:rPr>
                <w:color w:val="auto"/>
                <w:sz w:val="20"/>
                <w:szCs w:val="20"/>
              </w:rPr>
              <w:t>–</w:t>
            </w:r>
          </w:p>
        </w:tc>
      </w:tr>
      <w:tr w:rsidR="003D52BE" w:rsidRPr="003D52BE" w14:paraId="1AF73947" w14:textId="77777777" w:rsidTr="003D52BE">
        <w:trPr>
          <w:trHeight w:val="139"/>
        </w:trPr>
        <w:tc>
          <w:tcPr>
            <w:tcW w:w="1384" w:type="dxa"/>
            <w:vMerge/>
          </w:tcPr>
          <w:p w14:paraId="3449C538" w14:textId="77777777" w:rsidR="00AF495F" w:rsidRPr="003D52BE" w:rsidRDefault="00AF495F" w:rsidP="003D52BE">
            <w:pPr>
              <w:ind w:left="0" w:right="0"/>
              <w:rPr>
                <w:sz w:val="20"/>
                <w:szCs w:val="20"/>
              </w:rPr>
            </w:pPr>
          </w:p>
        </w:tc>
        <w:tc>
          <w:tcPr>
            <w:tcW w:w="3402" w:type="dxa"/>
          </w:tcPr>
          <w:p w14:paraId="0D1FC692" w14:textId="77777777" w:rsidR="00AF495F" w:rsidRPr="003D52BE" w:rsidRDefault="00AF495F" w:rsidP="003D52BE">
            <w:pPr>
              <w:ind w:left="0" w:right="0"/>
              <w:rPr>
                <w:rFonts w:eastAsia="TimesNewRoman" w:cs="TimesNewRoman"/>
                <w:sz w:val="20"/>
                <w:szCs w:val="20"/>
              </w:rPr>
            </w:pPr>
            <w:r w:rsidRPr="003D52BE">
              <w:rPr>
                <w:rFonts w:eastAsia="TimesNewRoman" w:cs="TimesNewRoman"/>
                <w:sz w:val="20"/>
                <w:szCs w:val="20"/>
              </w:rPr>
              <w:t>Immunocompromised population exposure</w:t>
            </w:r>
          </w:p>
        </w:tc>
        <w:tc>
          <w:tcPr>
            <w:tcW w:w="992" w:type="dxa"/>
          </w:tcPr>
          <w:p w14:paraId="17117E9F" w14:textId="77777777" w:rsidR="00AF495F" w:rsidRPr="003D52BE" w:rsidRDefault="00AF495F" w:rsidP="003D52BE">
            <w:pPr>
              <w:ind w:left="0" w:right="0"/>
              <w:rPr>
                <w:color w:val="auto"/>
                <w:sz w:val="20"/>
                <w:szCs w:val="20"/>
              </w:rPr>
            </w:pPr>
            <w:r w:rsidRPr="003D52BE">
              <w:rPr>
                <w:color w:val="auto"/>
                <w:sz w:val="20"/>
                <w:szCs w:val="20"/>
              </w:rPr>
              <w:sym w:font="Wingdings" w:char="F0FC"/>
            </w:r>
          </w:p>
        </w:tc>
        <w:tc>
          <w:tcPr>
            <w:tcW w:w="1134" w:type="dxa"/>
          </w:tcPr>
          <w:p w14:paraId="15335A5A" w14:textId="77777777" w:rsidR="00AF495F" w:rsidRPr="003D52BE" w:rsidRDefault="00AF495F" w:rsidP="003D52BE">
            <w:pPr>
              <w:ind w:left="0" w:right="0"/>
              <w:rPr>
                <w:color w:val="auto"/>
                <w:sz w:val="20"/>
                <w:szCs w:val="20"/>
              </w:rPr>
            </w:pPr>
            <w:r w:rsidRPr="003D52BE">
              <w:rPr>
                <w:color w:val="auto"/>
                <w:sz w:val="20"/>
                <w:szCs w:val="20"/>
              </w:rPr>
              <w:t>–</w:t>
            </w:r>
          </w:p>
        </w:tc>
        <w:tc>
          <w:tcPr>
            <w:tcW w:w="993" w:type="dxa"/>
          </w:tcPr>
          <w:p w14:paraId="6E1DF833" w14:textId="77777777" w:rsidR="00AF495F" w:rsidRPr="003D52BE" w:rsidRDefault="00AF495F" w:rsidP="003D52BE">
            <w:pPr>
              <w:ind w:left="0" w:right="0"/>
              <w:rPr>
                <w:color w:val="auto"/>
                <w:sz w:val="20"/>
                <w:szCs w:val="20"/>
              </w:rPr>
            </w:pPr>
            <w:r w:rsidRPr="003D52BE">
              <w:rPr>
                <w:color w:val="auto"/>
                <w:sz w:val="20"/>
                <w:szCs w:val="20"/>
              </w:rPr>
              <w:t>–</w:t>
            </w:r>
          </w:p>
        </w:tc>
        <w:tc>
          <w:tcPr>
            <w:tcW w:w="1181" w:type="dxa"/>
          </w:tcPr>
          <w:p w14:paraId="0EC79DA3" w14:textId="77777777" w:rsidR="00AF495F" w:rsidRPr="003D52BE" w:rsidRDefault="00AF495F" w:rsidP="003D52BE">
            <w:pPr>
              <w:ind w:left="0" w:right="0"/>
              <w:rPr>
                <w:color w:val="auto"/>
                <w:sz w:val="20"/>
                <w:szCs w:val="20"/>
              </w:rPr>
            </w:pPr>
            <w:r w:rsidRPr="003D52BE">
              <w:rPr>
                <w:color w:val="auto"/>
                <w:sz w:val="20"/>
                <w:szCs w:val="20"/>
              </w:rPr>
              <w:t>–</w:t>
            </w:r>
          </w:p>
        </w:tc>
      </w:tr>
    </w:tbl>
    <w:p w14:paraId="195D2213" w14:textId="1A2CA0F8" w:rsidR="00AF495F" w:rsidRDefault="00AF495F" w:rsidP="00AF495F">
      <w:pPr>
        <w:rPr>
          <w:sz w:val="18"/>
          <w:szCs w:val="18"/>
          <w:lang w:eastAsia="en-AU"/>
        </w:rPr>
      </w:pPr>
      <w:r w:rsidRPr="00A3791C">
        <w:rPr>
          <w:sz w:val="18"/>
          <w:szCs w:val="18"/>
          <w:lang w:eastAsia="en-AU"/>
        </w:rPr>
        <w:lastRenderedPageBreak/>
        <w:t>† Specific ad</w:t>
      </w:r>
      <w:r w:rsidR="003D52BE">
        <w:rPr>
          <w:sz w:val="18"/>
          <w:szCs w:val="18"/>
          <w:lang w:eastAsia="en-AU"/>
        </w:rPr>
        <w:t>verse event follow-up forms.</w:t>
      </w:r>
      <w:r w:rsidRPr="00A3791C">
        <w:rPr>
          <w:sz w:val="18"/>
          <w:szCs w:val="18"/>
          <w:lang w:eastAsia="en-AU"/>
        </w:rPr>
        <w:t>* An international antimi</w:t>
      </w:r>
      <w:r w:rsidR="003D52BE">
        <w:rPr>
          <w:sz w:val="18"/>
          <w:szCs w:val="18"/>
          <w:lang w:eastAsia="en-AU"/>
        </w:rPr>
        <w:t xml:space="preserve">crobial surveillance programme. </w:t>
      </w:r>
      <w:r w:rsidRPr="00A3791C">
        <w:rPr>
          <w:sz w:val="18"/>
          <w:szCs w:val="18"/>
          <w:lang w:eastAsia="en-AU"/>
        </w:rPr>
        <w:t>**</w:t>
      </w:r>
      <w:r w:rsidR="002C1E32">
        <w:rPr>
          <w:sz w:val="18"/>
          <w:szCs w:val="18"/>
          <w:lang w:eastAsia="en-AU"/>
        </w:rPr>
        <w:t> </w:t>
      </w:r>
      <w:r w:rsidRPr="00A3791C">
        <w:rPr>
          <w:sz w:val="18"/>
          <w:szCs w:val="18"/>
          <w:lang w:eastAsia="en-AU"/>
        </w:rPr>
        <w:t xml:space="preserve">Australian-specific safety concerns (after being re-classified and removed from the Summary of Safety Concerns in the EU-RMP by the sponsor at </w:t>
      </w:r>
      <w:r w:rsidR="003D52BE">
        <w:rPr>
          <w:sz w:val="18"/>
          <w:szCs w:val="18"/>
          <w:lang w:eastAsia="en-AU"/>
        </w:rPr>
        <w:t>the second round evaluation</w:t>
      </w:r>
      <w:r w:rsidRPr="00A3791C">
        <w:rPr>
          <w:sz w:val="18"/>
          <w:szCs w:val="18"/>
          <w:lang w:eastAsia="en-AU"/>
        </w:rPr>
        <w:t>)</w:t>
      </w:r>
      <w:r w:rsidR="003D52BE">
        <w:rPr>
          <w:sz w:val="18"/>
          <w:szCs w:val="18"/>
          <w:lang w:eastAsia="en-AU"/>
        </w:rPr>
        <w:t>.</w:t>
      </w:r>
    </w:p>
    <w:p w14:paraId="24F0FF1B" w14:textId="77777777" w:rsidR="00AF495F" w:rsidRPr="004D4EFB" w:rsidRDefault="00AF495F" w:rsidP="00AF495F">
      <w:r w:rsidRPr="00A0124B">
        <w:t>An additional phar</w:t>
      </w:r>
      <w:r>
        <w:t xml:space="preserve">macovigilance activity is being implemented for bacterial resistance development, comprising an international antimicrobial surveillance programme including Australian sites. </w:t>
      </w:r>
      <w:r w:rsidRPr="00A3791C">
        <w:t>No further additional activities are considered necessary.</w:t>
      </w:r>
    </w:p>
    <w:p w14:paraId="4C777E3B" w14:textId="77777777" w:rsidR="00AF495F" w:rsidRDefault="00AF495F" w:rsidP="00AF495F">
      <w:r w:rsidRPr="00A0124B">
        <w:t xml:space="preserve">No additional risk minimisation activities have been proposed. </w:t>
      </w:r>
      <w:bookmarkStart w:id="71" w:name="_Toc485992914"/>
      <w:r w:rsidRPr="00A0124B">
        <w:t>It is considered that the identified risks can be managed adequately through routine risk minimisation activities</w:t>
      </w:r>
      <w:bookmarkEnd w:id="71"/>
      <w:r w:rsidRPr="00A0124B">
        <w:t>.</w:t>
      </w:r>
    </w:p>
    <w:p w14:paraId="1F328BF5" w14:textId="77777777" w:rsidR="008E7846" w:rsidRDefault="002A56F1" w:rsidP="008E7846">
      <w:r>
        <w:t xml:space="preserve">The </w:t>
      </w:r>
      <w:r w:rsidR="00AF495F">
        <w:t xml:space="preserve">RMP evaluation found no outstanding issues. </w:t>
      </w:r>
      <w:r>
        <w:t>RMP</w:t>
      </w:r>
      <w:r w:rsidR="00AF495F">
        <w:t xml:space="preserve"> and the </w:t>
      </w:r>
      <w:r>
        <w:t>ASA</w:t>
      </w:r>
      <w:r w:rsidR="00AF495F">
        <w:t xml:space="preserve"> were established as post-market condition of approval</w:t>
      </w:r>
      <w:r>
        <w:t>.</w:t>
      </w:r>
    </w:p>
    <w:p w14:paraId="712FE668" w14:textId="77777777" w:rsidR="008E7846" w:rsidRDefault="00AA0ED0" w:rsidP="008E7846">
      <w:pPr>
        <w:pStyle w:val="Heading3"/>
      </w:pPr>
      <w:bookmarkStart w:id="72" w:name="_Toc247691531"/>
      <w:bookmarkStart w:id="73" w:name="_Toc314842515"/>
      <w:bookmarkStart w:id="74" w:name="_Toc196046505"/>
      <w:bookmarkStart w:id="75" w:name="_Toc196046949"/>
      <w:bookmarkStart w:id="76" w:name="_Toc34385604"/>
      <w:r>
        <w:t>Risk-benefit a</w:t>
      </w:r>
      <w:r w:rsidR="008E7846">
        <w:t>nalysis</w:t>
      </w:r>
      <w:bookmarkEnd w:id="72"/>
      <w:bookmarkEnd w:id="73"/>
      <w:bookmarkEnd w:id="76"/>
    </w:p>
    <w:p w14:paraId="55A70AA8" w14:textId="77777777" w:rsidR="00D23139" w:rsidRDefault="00AF495F" w:rsidP="00D23139">
      <w:pPr>
        <w:pStyle w:val="Heading4"/>
      </w:pPr>
      <w:r>
        <w:t>Delegate’s considerations</w:t>
      </w:r>
    </w:p>
    <w:p w14:paraId="0450B802" w14:textId="77777777" w:rsidR="00AF495F" w:rsidRPr="00890A11" w:rsidRDefault="00AF495F" w:rsidP="00AF495F">
      <w:pPr>
        <w:pStyle w:val="Heading5"/>
      </w:pPr>
      <w:r w:rsidRPr="00890A11">
        <w:t>Discussion</w:t>
      </w:r>
    </w:p>
    <w:p w14:paraId="27AFEA90" w14:textId="77777777" w:rsidR="00AF495F" w:rsidRPr="007F7045" w:rsidRDefault="00AF495F" w:rsidP="002A56F1">
      <w:pPr>
        <w:rPr>
          <w:rFonts w:asciiTheme="minorHAnsi" w:hAnsiTheme="minorHAnsi"/>
        </w:rPr>
      </w:pPr>
      <w:r w:rsidRPr="007F7045">
        <w:t>Ceftazidime is a well-established cephalosporin which is to be supplied in fixed dose combination with a novel non-β lactam β-lactamase inhibitor avibactam (</w:t>
      </w:r>
      <w:r w:rsidR="00F60AA7">
        <w:t>avibactam</w:t>
      </w:r>
      <w:r w:rsidRPr="007F7045">
        <w:t xml:space="preserve">) as </w:t>
      </w:r>
      <w:r w:rsidR="00F60AA7">
        <w:t>ceftazidime</w:t>
      </w:r>
      <w:r w:rsidRPr="007F7045">
        <w:t>/</w:t>
      </w:r>
      <w:r w:rsidR="00F60AA7">
        <w:t>avibactam</w:t>
      </w:r>
      <w:r w:rsidRPr="007F7045">
        <w:t xml:space="preserve"> 2000</w:t>
      </w:r>
      <w:r w:rsidR="002A56F1">
        <w:t xml:space="preserve"> </w:t>
      </w:r>
      <w:r w:rsidRPr="007F7045">
        <w:t>mg/500</w:t>
      </w:r>
      <w:r w:rsidR="002A56F1">
        <w:t xml:space="preserve"> </w:t>
      </w:r>
      <w:r w:rsidRPr="007F7045">
        <w:t>mg powder for inj</w:t>
      </w:r>
      <w:r w:rsidR="002A56F1">
        <w:t>ection to be administered by IV infusion</w:t>
      </w:r>
      <w:r w:rsidRPr="007F7045">
        <w:t xml:space="preserve"> after reconstitution.</w:t>
      </w:r>
    </w:p>
    <w:p w14:paraId="22C654E1" w14:textId="77777777" w:rsidR="00AF495F" w:rsidRPr="007F7045" w:rsidRDefault="00AF495F" w:rsidP="002A56F1">
      <w:r w:rsidRPr="007F7045">
        <w:t>The pharmaceutical chemistry and toxicological aspects have</w:t>
      </w:r>
      <w:r>
        <w:t xml:space="preserve"> been</w:t>
      </w:r>
      <w:r w:rsidRPr="007F7045">
        <w:t xml:space="preserve"> satisfactorily studied and there are no outstanding issues in relation to these areas. </w:t>
      </w:r>
      <w:r w:rsidR="002A56F1">
        <w:t>PK</w:t>
      </w:r>
      <w:r w:rsidRPr="007F7045">
        <w:t xml:space="preserve"> (single dose/steady state/mass balance studies) and </w:t>
      </w:r>
      <w:r w:rsidR="002A56F1">
        <w:t>PD</w:t>
      </w:r>
      <w:r w:rsidRPr="007F7045">
        <w:t xml:space="preserve"> profiles have been adequately studied in the clinical development program. The proposed 8 hourly dosing with </w:t>
      </w:r>
      <w:r w:rsidR="00F60AA7">
        <w:t>ceftazidime</w:t>
      </w:r>
      <w:r w:rsidRPr="007F7045">
        <w:t>/</w:t>
      </w:r>
      <w:r w:rsidR="00F60AA7">
        <w:t>avibactam</w:t>
      </w:r>
      <w:r w:rsidRPr="007F7045">
        <w:t xml:space="preserve"> (2000</w:t>
      </w:r>
      <w:r w:rsidR="002C1E32">
        <w:t> mg</w:t>
      </w:r>
      <w:r w:rsidRPr="007F7045">
        <w:t>/500</w:t>
      </w:r>
      <w:r w:rsidR="002C1E32">
        <w:t> mg</w:t>
      </w:r>
      <w:r w:rsidRPr="007F7045">
        <w:t xml:space="preserve">) for use </w:t>
      </w:r>
      <w:r w:rsidR="002A56F1">
        <w:t>in adults was based on Phase I/II</w:t>
      </w:r>
      <w:r w:rsidRPr="007F7045">
        <w:t xml:space="preserve"> data and population PK modelling. The 2000</w:t>
      </w:r>
      <w:r w:rsidR="002A56F1">
        <w:t xml:space="preserve"> </w:t>
      </w:r>
      <w:r w:rsidRPr="007F7045">
        <w:t xml:space="preserve">mg </w:t>
      </w:r>
      <w:r w:rsidR="00F60AA7">
        <w:t>ceftazidime</w:t>
      </w:r>
      <w:r w:rsidRPr="007F7045">
        <w:t xml:space="preserve"> dose is consistent with the current use of </w:t>
      </w:r>
      <w:r w:rsidR="00F60AA7">
        <w:t>ceftazidime</w:t>
      </w:r>
      <w:r w:rsidRPr="007F7045">
        <w:t xml:space="preserve"> (alone) in clinical practice.</w:t>
      </w:r>
    </w:p>
    <w:p w14:paraId="2DB308EA" w14:textId="77777777" w:rsidR="00AF495F" w:rsidRPr="007F7045" w:rsidRDefault="002A56F1" w:rsidP="002A56F1">
      <w:r>
        <w:t>C</w:t>
      </w:r>
      <w:r w:rsidR="00F60AA7">
        <w:t>eftazidime</w:t>
      </w:r>
      <w:r w:rsidR="00AF495F" w:rsidRPr="007F7045">
        <w:t>/</w:t>
      </w:r>
      <w:r w:rsidR="00F60AA7">
        <w:t>avibactam</w:t>
      </w:r>
      <w:r w:rsidR="00AF495F" w:rsidRPr="007F7045">
        <w:t xml:space="preserve"> (2000</w:t>
      </w:r>
      <w:r w:rsidR="002C1E32">
        <w:t> mg</w:t>
      </w:r>
      <w:r w:rsidR="00AF495F" w:rsidRPr="007F7045">
        <w:t>/500</w:t>
      </w:r>
      <w:r w:rsidR="002C1E32">
        <w:t> mg</w:t>
      </w:r>
      <w:r w:rsidR="00AF495F" w:rsidRPr="007F7045">
        <w:t xml:space="preserve">) is proposed for use in adult patients with cIAI (with </w:t>
      </w:r>
      <w:r>
        <w:rPr>
          <w:rFonts w:asciiTheme="minorHAnsi" w:eastAsiaTheme="minorHAnsi" w:hAnsiTheme="minorHAnsi" w:cs="Verdana"/>
        </w:rPr>
        <w:t>metronidazole</w:t>
      </w:r>
      <w:r w:rsidR="00AF495F" w:rsidRPr="007F7045">
        <w:t xml:space="preserve">), cUTI, HAP and </w:t>
      </w:r>
      <w:r w:rsidR="00F60AA7">
        <w:t>ceftazidime</w:t>
      </w:r>
      <w:r w:rsidR="00AF495F" w:rsidRPr="007F7045">
        <w:t>-resistant patients with no other</w:t>
      </w:r>
      <w:r>
        <w:t xml:space="preserve"> treatment options. Five Phase III</w:t>
      </w:r>
      <w:r w:rsidR="00AF495F" w:rsidRPr="007F7045">
        <w:t xml:space="preserve"> trials support the proposed use in the</w:t>
      </w:r>
      <w:r>
        <w:t>se indications. Statistical non</w:t>
      </w:r>
      <w:r>
        <w:noBreakHyphen/>
      </w:r>
      <w:r w:rsidR="00AF495F" w:rsidRPr="007F7045">
        <w:t xml:space="preserve">inferiority (clinical equivalence) was demonstrated in comparison with meropenem (cIAI, HAP, </w:t>
      </w:r>
      <w:r w:rsidR="00F60AA7">
        <w:t>ceftazidime</w:t>
      </w:r>
      <w:r w:rsidR="00AF495F" w:rsidRPr="007F7045">
        <w:t>-resistant) and doripenem (cUTI) in appropriately designed trials.</w:t>
      </w:r>
    </w:p>
    <w:p w14:paraId="4869D64B" w14:textId="77777777" w:rsidR="00AF495F" w:rsidRDefault="00AF495F" w:rsidP="002A56F1">
      <w:r>
        <w:t>Meropenem was marginally better in some analyses but overall the results were consistent in demonstrating non-inferiority. It is also noted that doripenem has been withdrawn from the market (for commercial reasons) following safety concerns (imbalance in mortality) in a clinical trial investigating new use.</w:t>
      </w:r>
    </w:p>
    <w:p w14:paraId="1F4EDA8F" w14:textId="4851C8B9" w:rsidR="00AF495F" w:rsidRDefault="002A56F1" w:rsidP="002A56F1">
      <w:r>
        <w:t>C</w:t>
      </w:r>
      <w:r w:rsidR="00F60AA7">
        <w:t>eftazidime</w:t>
      </w:r>
      <w:r w:rsidR="00AF495F">
        <w:t xml:space="preserve"> and </w:t>
      </w:r>
      <w:r w:rsidR="00F60AA7">
        <w:t>avibactam</w:t>
      </w:r>
      <w:r w:rsidR="00AF495F">
        <w:t xml:space="preserve"> are both exclusively excreted by kidneys as unchanged drugs. Thus standard dosing in patients with normal renal (or mild impairment) function requires modification in the presence of higher degrees of renal impairment. The dosages are based on population pharmacokinetic analysis. Significantly lower efficacy was reported in the pivotal cIAI</w:t>
      </w:r>
      <w:r w:rsidR="002C1E32">
        <w:t xml:space="preserve"> </w:t>
      </w:r>
      <w:r w:rsidR="00AF495F">
        <w:t xml:space="preserve">RECLAIM </w:t>
      </w:r>
      <w:r w:rsidR="002C1E32">
        <w:t xml:space="preserve">trial </w:t>
      </w:r>
      <w:r w:rsidR="00AF495F">
        <w:t>(which included sufficient number of patients to allow subpopulation analysis).</w:t>
      </w:r>
    </w:p>
    <w:p w14:paraId="2F235539" w14:textId="7F3B7A23" w:rsidR="00AF495F" w:rsidRPr="001465AA" w:rsidRDefault="002A56F1" w:rsidP="002A56F1">
      <w:r>
        <w:t>In the Phase II/III</w:t>
      </w:r>
      <w:r w:rsidR="00AF495F">
        <w:t xml:space="preserve"> cIAI trials, death (other than dise</w:t>
      </w:r>
      <w:r>
        <w:t xml:space="preserve">ase progression) occurred in 18 out of </w:t>
      </w:r>
      <w:r w:rsidR="00AF495F">
        <w:t xml:space="preserve">857 (2.1%) </w:t>
      </w:r>
      <w:r w:rsidR="00F60AA7">
        <w:t>ceftazidime</w:t>
      </w:r>
      <w:r w:rsidR="00AF495F">
        <w:t>/</w:t>
      </w:r>
      <w:r w:rsidR="00F60AA7">
        <w:t>avibactam</w:t>
      </w:r>
      <w:r>
        <w:t xml:space="preserve"> </w:t>
      </w:r>
      <w:r w:rsidR="00AF495F">
        <w:t>+</w:t>
      </w:r>
      <w:r>
        <w:t xml:space="preserve"> </w:t>
      </w:r>
      <w:r>
        <w:rPr>
          <w:rFonts w:asciiTheme="minorHAnsi" w:eastAsiaTheme="minorHAnsi" w:hAnsiTheme="minorHAnsi" w:cs="Verdana"/>
        </w:rPr>
        <w:t>metronidazole</w:t>
      </w:r>
      <w:r w:rsidR="00AF495F">
        <w:t xml:space="preserve"> treated pa</w:t>
      </w:r>
      <w:r>
        <w:t>tients compared with 12</w:t>
      </w:r>
      <w:r w:rsidR="002C1E32">
        <w:t> </w:t>
      </w:r>
      <w:r>
        <w:t xml:space="preserve">out of </w:t>
      </w:r>
      <w:r w:rsidR="00AF495F">
        <w:t xml:space="preserve">863 (1.4%) </w:t>
      </w:r>
      <w:r w:rsidR="00AF495F" w:rsidRPr="00F52F69">
        <w:t>meropenem</w:t>
      </w:r>
      <w:r w:rsidR="00AF495F">
        <w:t xml:space="preserve"> treated patients</w:t>
      </w:r>
      <w:r w:rsidR="00AF495F" w:rsidRPr="00F52F69">
        <w:t xml:space="preserve">. </w:t>
      </w:r>
      <w:r w:rsidR="00AF495F">
        <w:t>Furthermore, in this dataset (proposed Australian PI), a</w:t>
      </w:r>
      <w:r w:rsidR="00AF495F" w:rsidRPr="00F52F69">
        <w:t>mong a su</w:t>
      </w:r>
      <w:r w:rsidR="00AF495F">
        <w:t>bgroup of patients with</w:t>
      </w:r>
      <w:r w:rsidR="00AF495F" w:rsidRPr="00F52F69">
        <w:t xml:space="preserve"> </w:t>
      </w:r>
      <w:r>
        <w:t>creatinine clearance</w:t>
      </w:r>
      <w:r w:rsidR="00AF495F">
        <w:t xml:space="preserve"> </w:t>
      </w:r>
      <w:r>
        <w:t xml:space="preserve">(CrCL) </w:t>
      </w:r>
      <w:r w:rsidR="00AF495F">
        <w:t>30 mL/min to &lt;</w:t>
      </w:r>
      <w:r>
        <w:t> 50 </w:t>
      </w:r>
      <w:r w:rsidR="00AF495F" w:rsidRPr="00F52F69">
        <w:t>m</w:t>
      </w:r>
      <w:r>
        <w:t xml:space="preserve">L/min, death occurred in 9 out of </w:t>
      </w:r>
      <w:r w:rsidR="00AF495F">
        <w:t xml:space="preserve">54 (16.7%) </w:t>
      </w:r>
      <w:r w:rsidR="00F60AA7">
        <w:t>ceftazidime</w:t>
      </w:r>
      <w:r w:rsidR="00AF495F">
        <w:t>/</w:t>
      </w:r>
      <w:r w:rsidR="00F60AA7">
        <w:t>avibactam</w:t>
      </w:r>
      <w:r>
        <w:t xml:space="preserve"> </w:t>
      </w:r>
      <w:r w:rsidR="00AF495F">
        <w:t>+</w:t>
      </w:r>
      <w:r>
        <w:t xml:space="preserve"> </w:t>
      </w:r>
      <w:r>
        <w:rPr>
          <w:rFonts w:asciiTheme="minorHAnsi" w:eastAsiaTheme="minorHAnsi" w:hAnsiTheme="minorHAnsi" w:cs="Verdana"/>
        </w:rPr>
        <w:lastRenderedPageBreak/>
        <w:t>metronidazole</w:t>
      </w:r>
      <w:r w:rsidR="00AF495F">
        <w:t xml:space="preserve"> treated patients </w:t>
      </w:r>
      <w:r>
        <w:t xml:space="preserve">compared with 4 out of </w:t>
      </w:r>
      <w:r w:rsidR="00AF495F">
        <w:t xml:space="preserve">59 (6.8%) </w:t>
      </w:r>
      <w:r w:rsidR="00AF495F" w:rsidRPr="00F52F69">
        <w:t>meropenem</w:t>
      </w:r>
      <w:r w:rsidR="00AF495F">
        <w:t xml:space="preserve"> treated patients.</w:t>
      </w:r>
    </w:p>
    <w:p w14:paraId="79894B2A" w14:textId="4F110D7C" w:rsidR="00AF495F" w:rsidRDefault="00AF495F" w:rsidP="002A56F1">
      <w:r>
        <w:t xml:space="preserve">In </w:t>
      </w:r>
      <w:r w:rsidR="002C1E32">
        <w:t xml:space="preserve">the </w:t>
      </w:r>
      <w:r w:rsidR="002A56F1">
        <w:t>RECLAIM and</w:t>
      </w:r>
      <w:r>
        <w:t xml:space="preserve"> RECLAIM</w:t>
      </w:r>
      <w:r w:rsidR="002C1E32">
        <w:t xml:space="preserve"> </w:t>
      </w:r>
      <w:r>
        <w:t>3</w:t>
      </w:r>
      <w:r w:rsidR="002C1E32">
        <w:t xml:space="preserve"> trials</w:t>
      </w:r>
      <w:r>
        <w:t xml:space="preserve">, the dose of </w:t>
      </w:r>
      <w:r w:rsidR="00F60AA7">
        <w:t>ceftazidime</w:t>
      </w:r>
      <w:r>
        <w:t>/</w:t>
      </w:r>
      <w:r w:rsidR="00F60AA7">
        <w:t>avibactam</w:t>
      </w:r>
      <w:r>
        <w:t xml:space="preserve"> in patients with CrCL between 50 and 31 mL/min was </w:t>
      </w:r>
      <w:r w:rsidR="00F60AA7">
        <w:t>ceftazidime</w:t>
      </w:r>
      <w:r>
        <w:t>/</w:t>
      </w:r>
      <w:r w:rsidR="00F60AA7">
        <w:t>avibactam</w:t>
      </w:r>
      <w:r>
        <w:t xml:space="preserve"> (1000</w:t>
      </w:r>
      <w:r w:rsidR="002C1E32">
        <w:t xml:space="preserve"> mg</w:t>
      </w:r>
      <w:r>
        <w:t>/</w:t>
      </w:r>
      <w:r w:rsidR="002C1E32">
        <w:t xml:space="preserve"> </w:t>
      </w:r>
      <w:r>
        <w:t xml:space="preserve">250 mg) </w:t>
      </w:r>
      <w:r w:rsidR="002A56F1">
        <w:t>every 12 </w:t>
      </w:r>
      <w:r w:rsidRPr="000D495B">
        <w:t>hours</w:t>
      </w:r>
      <w:r>
        <w:t xml:space="preserve"> as 120 minute infusions. Patients with CrCL below 30 mL/min were excluded from the study but when enrolled patients subsequently had CrCL decreased between 30 and 16 mL/min, the dose was </w:t>
      </w:r>
      <w:r w:rsidR="00F60AA7">
        <w:t>ceftazidime</w:t>
      </w:r>
      <w:r>
        <w:t>/</w:t>
      </w:r>
      <w:r w:rsidR="00F60AA7">
        <w:t>avibactam</w:t>
      </w:r>
      <w:r>
        <w:t xml:space="preserve"> (1000</w:t>
      </w:r>
      <w:r w:rsidR="002C1E32">
        <w:t> mg</w:t>
      </w:r>
      <w:r>
        <w:t xml:space="preserve">/250 mg) every 24 hours. If CrCL was to fall below 15 mL/min, the designated dose of </w:t>
      </w:r>
      <w:r w:rsidR="00F60AA7">
        <w:t>ceftazidime</w:t>
      </w:r>
      <w:r>
        <w:t>/</w:t>
      </w:r>
      <w:r w:rsidR="00F60AA7">
        <w:t>avibactam</w:t>
      </w:r>
      <w:r>
        <w:t xml:space="preserve"> was 500</w:t>
      </w:r>
      <w:r w:rsidR="002C1E32">
        <w:t> mg</w:t>
      </w:r>
      <w:r>
        <w:t>/125 mg every 24 and every 487 hours.</w:t>
      </w:r>
    </w:p>
    <w:p w14:paraId="231573D5" w14:textId="77777777" w:rsidR="00AF495F" w:rsidRDefault="002A56F1" w:rsidP="002A56F1">
      <w:r>
        <w:t>The s</w:t>
      </w:r>
      <w:r w:rsidR="00AF495F">
        <w:t xml:space="preserve">ponsor also </w:t>
      </w:r>
      <w:r>
        <w:t>reasoned</w:t>
      </w:r>
      <w:r w:rsidR="00AF495F">
        <w:t xml:space="preserve"> that although the doses were modified in patients</w:t>
      </w:r>
      <w:r>
        <w:t xml:space="preserve"> with renal impairment (CrCL 30 to </w:t>
      </w:r>
      <w:r w:rsidR="00AF495F">
        <w:t>50 mL/min group), these were generally lower that those later shown to be predictive of clinical effect in the population PK analysis and now proposed for registration.</w:t>
      </w:r>
    </w:p>
    <w:p w14:paraId="090989AD" w14:textId="77777777" w:rsidR="00AF495F" w:rsidRDefault="00AF495F" w:rsidP="002A56F1">
      <w:pPr>
        <w:rPr>
          <w:rFonts w:asciiTheme="minorHAnsi" w:hAnsiTheme="minorHAnsi"/>
        </w:rPr>
      </w:pPr>
      <w:r w:rsidRPr="00890A11">
        <w:t>The overall safety dataset at this time consist</w:t>
      </w:r>
      <w:r w:rsidR="002A56F1">
        <w:t>s</w:t>
      </w:r>
      <w:r w:rsidRPr="00890A11">
        <w:t xml:space="preserve"> of around 2000 </w:t>
      </w:r>
      <w:r w:rsidR="00F60AA7">
        <w:t>ceftazidime</w:t>
      </w:r>
      <w:r w:rsidRPr="00890A11">
        <w:t>/</w:t>
      </w:r>
      <w:r w:rsidR="00F60AA7">
        <w:t>avibactam</w:t>
      </w:r>
      <w:r w:rsidRPr="00890A11">
        <w:t>-treated patient</w:t>
      </w:r>
      <w:r w:rsidR="002A56F1">
        <w:t>s</w:t>
      </w:r>
      <w:r w:rsidRPr="00890A11">
        <w:t>. This is considered adequate for initial profiling of common adverse effects but ongoing post-market surveillance is needed to capture uncommon or rare effects</w:t>
      </w:r>
      <w:r>
        <w:rPr>
          <w:rFonts w:asciiTheme="minorHAnsi" w:hAnsiTheme="minorHAnsi"/>
        </w:rPr>
        <w:t>.</w:t>
      </w:r>
    </w:p>
    <w:p w14:paraId="4DF3566A" w14:textId="30829FB7" w:rsidR="00AF495F" w:rsidRDefault="002A56F1" w:rsidP="002A56F1">
      <w:r>
        <w:t>The s</w:t>
      </w:r>
      <w:r w:rsidR="00AF495F">
        <w:t>ponsor included assessment of risk of development of antimicrobial resistance that was reviewed by the TGA clinical evaluator. The post-market resistance surveillance plan has been included as part</w:t>
      </w:r>
      <w:r>
        <w:t xml:space="preserve"> of the </w:t>
      </w:r>
      <w:r w:rsidR="002C1E32">
        <w:t>r</w:t>
      </w:r>
      <w:r>
        <w:t xml:space="preserve">isk </w:t>
      </w:r>
      <w:r w:rsidR="002C1E32">
        <w:t>m</w:t>
      </w:r>
      <w:r>
        <w:t xml:space="preserve">anagement </w:t>
      </w:r>
      <w:r w:rsidR="002C1E32">
        <w:t>p</w:t>
      </w:r>
      <w:r>
        <w:t xml:space="preserve">rogram, see </w:t>
      </w:r>
      <w:r>
        <w:fldChar w:fldCharType="begin"/>
      </w:r>
      <w:r>
        <w:instrText xml:space="preserve"> REF _Ref30162626 \h </w:instrText>
      </w:r>
      <w:r>
        <w:fldChar w:fldCharType="separate"/>
      </w:r>
      <w:r>
        <w:t xml:space="preserve">Table </w:t>
      </w:r>
      <w:r>
        <w:rPr>
          <w:noProof/>
        </w:rPr>
        <w:t>33</w:t>
      </w:r>
      <w:r>
        <w:fldChar w:fldCharType="end"/>
      </w:r>
      <w:r>
        <w:t>.</w:t>
      </w:r>
    </w:p>
    <w:p w14:paraId="0B46EC90" w14:textId="0D4C075E" w:rsidR="002A56F1" w:rsidRDefault="002A56F1" w:rsidP="002A56F1">
      <w:pPr>
        <w:pStyle w:val="TableTitle"/>
      </w:pPr>
      <w:bookmarkStart w:id="77" w:name="_Ref30162626"/>
      <w:r>
        <w:t xml:space="preserve">Table </w:t>
      </w:r>
      <w:fldSimple w:instr=" SEQ Table \* ARABIC ">
        <w:r w:rsidR="00E82538">
          <w:rPr>
            <w:noProof/>
          </w:rPr>
          <w:t>33</w:t>
        </w:r>
      </w:fldSimple>
      <w:bookmarkEnd w:id="77"/>
      <w:r>
        <w:t xml:space="preserve">: Studies referenced in the pharmacovigilance plan of the </w:t>
      </w:r>
      <w:r w:rsidR="002C1E32">
        <w:t>r</w:t>
      </w:r>
      <w:r>
        <w:t xml:space="preserve">isk </w:t>
      </w:r>
      <w:r w:rsidR="002C1E32">
        <w:t>m</w:t>
      </w:r>
      <w:r>
        <w:t xml:space="preserve">anagement </w:t>
      </w:r>
      <w:r w:rsidR="002C1E32">
        <w:t>p</w:t>
      </w:r>
      <w:r>
        <w:t>rogram</w:t>
      </w:r>
    </w:p>
    <w:p w14:paraId="3AEE11CD" w14:textId="77777777" w:rsidR="00AF495F" w:rsidRPr="002A56F1" w:rsidRDefault="002A56F1" w:rsidP="002A56F1">
      <w:r>
        <w:rPr>
          <w:noProof/>
          <w:lang w:eastAsia="en-AU"/>
        </w:rPr>
        <w:drawing>
          <wp:inline distT="0" distB="0" distL="0" distR="0" wp14:anchorId="7419CEA1" wp14:editId="1D18E516">
            <wp:extent cx="5400040" cy="1476375"/>
            <wp:effectExtent l="0" t="0" r="0" b="9525"/>
            <wp:docPr id="7" name="Picture 7" descr="Studies referenced in the pharmacovigilance plan of the Risk Managemen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0040" cy="1476375"/>
                    </a:xfrm>
                    <a:prstGeom prst="rect">
                      <a:avLst/>
                    </a:prstGeom>
                  </pic:spPr>
                </pic:pic>
              </a:graphicData>
            </a:graphic>
          </wp:inline>
        </w:drawing>
      </w:r>
    </w:p>
    <w:p w14:paraId="5A2DB5DF" w14:textId="77777777" w:rsidR="00AF495F" w:rsidRDefault="00AF495F" w:rsidP="00AF495F">
      <w:r>
        <w:t xml:space="preserve">Australian antibiotic resistance prevalence data (2016) are available and are included in the PI. Any findings from post-market resistance surveillance data are to be provided as part </w:t>
      </w:r>
      <w:r w:rsidR="002A56F1">
        <w:t>of the PSURs. The s</w:t>
      </w:r>
      <w:r>
        <w:t xml:space="preserve">ponsor is requested to provide further details of its surveillance activities in Australia such as the six geographical sites, minimum period of active surveillance after start of supply of the </w:t>
      </w:r>
      <w:r w:rsidRPr="002738C9">
        <w:t>product in Australia</w:t>
      </w:r>
      <w:r w:rsidRPr="007952FD">
        <w:t xml:space="preserve"> </w:t>
      </w:r>
      <w:r>
        <w:t>and any contractual arrangement with t</w:t>
      </w:r>
      <w:r w:rsidRPr="00E31DB6">
        <w:t>he Australian Group on Antimicrobial Resistance</w:t>
      </w:r>
      <w:r>
        <w:t xml:space="preserve"> (AGAR).</w:t>
      </w:r>
    </w:p>
    <w:p w14:paraId="26A70208" w14:textId="77777777" w:rsidR="00AF495F" w:rsidRPr="00890A11" w:rsidRDefault="002A56F1" w:rsidP="00AF495F">
      <w:r>
        <w:t>The D</w:t>
      </w:r>
      <w:r w:rsidR="00AF495F">
        <w:t xml:space="preserve">elegate considered that </w:t>
      </w:r>
      <w:r w:rsidR="00F60AA7">
        <w:t>ceftazidime</w:t>
      </w:r>
      <w:r w:rsidR="00AF495F" w:rsidRPr="00890A11">
        <w:t>/</w:t>
      </w:r>
      <w:r w:rsidR="00F60AA7">
        <w:t>avibactam</w:t>
      </w:r>
      <w:r w:rsidR="00AF495F" w:rsidRPr="00890A11">
        <w:t xml:space="preserve"> (2000/500) is a welcome addition to the available tools to treat serious hospital based infections. </w:t>
      </w:r>
      <w:r>
        <w:t>A</w:t>
      </w:r>
      <w:r w:rsidR="00F60AA7">
        <w:t>vibactam</w:t>
      </w:r>
      <w:r w:rsidR="00AF495F" w:rsidRPr="00890A11">
        <w:t xml:space="preserve">, acting as a β-lactamase inhibitor, restores the antimicrobial activity spectrum of </w:t>
      </w:r>
      <w:r w:rsidR="00F60AA7">
        <w:t>ceftazidime</w:t>
      </w:r>
      <w:r w:rsidR="00AF495F" w:rsidRPr="00890A11">
        <w:t>. As the clinical data show</w:t>
      </w:r>
      <w:r>
        <w:t>s</w:t>
      </w:r>
      <w:r w:rsidR="00AF495F" w:rsidRPr="00890A11">
        <w:t xml:space="preserve">, it does not enhance the clinical efficacy of </w:t>
      </w:r>
      <w:r w:rsidR="00F60AA7">
        <w:t>ceftazidime</w:t>
      </w:r>
      <w:r w:rsidR="00AF495F" w:rsidRPr="00890A11">
        <w:t xml:space="preserve"> in patients with baseline </w:t>
      </w:r>
      <w:r w:rsidR="00F60AA7">
        <w:t>ceftazidime</w:t>
      </w:r>
      <w:r w:rsidR="00AF495F" w:rsidRPr="00890A11">
        <w:t>-sensitive pathogens but has very promi</w:t>
      </w:r>
      <w:r>
        <w:t>sing carbapenem</w:t>
      </w:r>
      <w:r>
        <w:noBreakHyphen/>
      </w:r>
      <w:r w:rsidR="00AF495F" w:rsidRPr="00890A11">
        <w:t xml:space="preserve">sparing/preserving role in patients with </w:t>
      </w:r>
      <w:r w:rsidR="00F60AA7">
        <w:t>ceftazidime</w:t>
      </w:r>
      <w:r w:rsidR="00AF495F" w:rsidRPr="00890A11">
        <w:t>-resistant pathogens.</w:t>
      </w:r>
    </w:p>
    <w:p w14:paraId="7005B476" w14:textId="77777777" w:rsidR="00AF495F" w:rsidRPr="00890A11" w:rsidRDefault="00AF495F" w:rsidP="00AF495F">
      <w:r w:rsidRPr="00890A11">
        <w:t xml:space="preserve">The proposed use is supported and the </w:t>
      </w:r>
      <w:r w:rsidR="002A56F1">
        <w:t>Advisory Committee on Medicines (</w:t>
      </w:r>
      <w:r w:rsidRPr="00890A11">
        <w:t>ACM</w:t>
      </w:r>
      <w:r w:rsidR="002A56F1">
        <w:t>)</w:t>
      </w:r>
      <w:r w:rsidRPr="00890A11">
        <w:t xml:space="preserve"> advic</w:t>
      </w:r>
      <w:r>
        <w:t>e was</w:t>
      </w:r>
      <w:r w:rsidRPr="00890A11">
        <w:t xml:space="preserve"> sought to ensure appropriate wording for the therapeutic indication(s) in adult cIAI, cUTI and HAP indications.</w:t>
      </w:r>
    </w:p>
    <w:p w14:paraId="25E8FE9E" w14:textId="1D9FC39C" w:rsidR="00AF495F" w:rsidRDefault="003916C2" w:rsidP="00AF495F">
      <w:r>
        <w:t>The D</w:t>
      </w:r>
      <w:r w:rsidR="00AF495F">
        <w:t>elegate was of the</w:t>
      </w:r>
      <w:r>
        <w:t xml:space="preserve"> view that the proposed use in ‘</w:t>
      </w:r>
      <w:r w:rsidR="00AF495F">
        <w:t>infections due to aerobic gram</w:t>
      </w:r>
      <w:r w:rsidR="002C1E32">
        <w:noBreakHyphen/>
      </w:r>
      <w:r w:rsidR="00AF495F">
        <w:t>negative organisms in adult patients</w:t>
      </w:r>
      <w:r>
        <w:t xml:space="preserve"> with limited treatment options’</w:t>
      </w:r>
      <w:r w:rsidR="00AF495F">
        <w:t xml:space="preserve"> goes beyond the scop</w:t>
      </w:r>
      <w:r>
        <w:t xml:space="preserve">e of available data (including </w:t>
      </w:r>
      <w:r w:rsidR="002C1E32">
        <w:t xml:space="preserve">the </w:t>
      </w:r>
      <w:r w:rsidR="00AF495F">
        <w:t>REPRISE</w:t>
      </w:r>
      <w:r w:rsidR="002C1E32">
        <w:t xml:space="preserve"> trial</w:t>
      </w:r>
      <w:r w:rsidR="00AF495F">
        <w:t xml:space="preserve">) and the use in </w:t>
      </w:r>
      <w:r w:rsidR="00F60AA7">
        <w:lastRenderedPageBreak/>
        <w:t>ceftazidime</w:t>
      </w:r>
      <w:r w:rsidR="002C1E32">
        <w:noBreakHyphen/>
      </w:r>
      <w:r w:rsidR="00AF495F">
        <w:t>resistant cIAI, cUTI and HAP infections in subsumed/already intended under the main therapeutic indication(s) for these infections without needing a separate indication. Therefore, ACM’s advice was requested.</w:t>
      </w:r>
    </w:p>
    <w:p w14:paraId="767CAEAA" w14:textId="03CE0B88" w:rsidR="00AF495F" w:rsidRDefault="00AF495F" w:rsidP="00AF495F">
      <w:r>
        <w:t>A schedule for modification of dose with the degree of renal impairment is proposed based on population PK modelling. Lower efficacy and higher mortality was reported in the pivotal cIAI RECLAIM</w:t>
      </w:r>
      <w:r w:rsidR="002C1E32">
        <w:t xml:space="preserve"> trial</w:t>
      </w:r>
      <w:r>
        <w:t>/combined cIAI trials which used different dose modification in renal failure to that proposed now for registration. However, there may be a component of altered response to treatment in renal impairment separate from and/or in addition to the dosage. Advi</w:t>
      </w:r>
      <w:r w:rsidR="003916C2">
        <w:t>ce from ACM was requested. The s</w:t>
      </w:r>
      <w:r>
        <w:t>ponsor was also requested to comment.</w:t>
      </w:r>
      <w:r w:rsidR="003916C2">
        <w:rPr>
          <w:rStyle w:val="FootnoteReference"/>
        </w:rPr>
        <w:footnoteReference w:id="13"/>
      </w:r>
    </w:p>
    <w:p w14:paraId="2845A399" w14:textId="77777777" w:rsidR="00AF495F" w:rsidRPr="007F7045" w:rsidRDefault="00AF495F" w:rsidP="003916C2">
      <w:r>
        <w:t>No change in dose is proposed in hepatic impairment. This is considered acceptable. The PI should include a note that no data are available in hepatic impairment.</w:t>
      </w:r>
    </w:p>
    <w:p w14:paraId="12A1F788" w14:textId="77777777" w:rsidR="00456765" w:rsidRDefault="00AF495F" w:rsidP="00AF495F">
      <w:pPr>
        <w:pStyle w:val="Heading5"/>
      </w:pPr>
      <w:r>
        <w:t>Summary of issues</w:t>
      </w:r>
    </w:p>
    <w:p w14:paraId="6AA1D2CD" w14:textId="0278D18D" w:rsidR="00AF495F" w:rsidRPr="00456765" w:rsidRDefault="00AF495F" w:rsidP="00456765">
      <w:r>
        <w:t xml:space="preserve">Advice </w:t>
      </w:r>
      <w:r w:rsidR="001A3D34">
        <w:t>requested</w:t>
      </w:r>
      <w:r w:rsidR="002C1E32">
        <w:t xml:space="preserve"> </w:t>
      </w:r>
      <w:r>
        <w:t xml:space="preserve">on </w:t>
      </w:r>
      <w:r w:rsidR="002C1E32">
        <w:t xml:space="preserve">proposed </w:t>
      </w:r>
      <w:r>
        <w:t>indications and use in renal impairment.</w:t>
      </w:r>
    </w:p>
    <w:p w14:paraId="5D20FDBA" w14:textId="77777777" w:rsidR="00D23139" w:rsidRDefault="00D23139" w:rsidP="00D23139">
      <w:pPr>
        <w:pStyle w:val="Heading4"/>
      </w:pPr>
      <w:r w:rsidRPr="00D23139">
        <w:t>Proposed action</w:t>
      </w:r>
    </w:p>
    <w:p w14:paraId="55B2C10E" w14:textId="77777777" w:rsidR="00456765" w:rsidRPr="00456765" w:rsidRDefault="00AF495F" w:rsidP="00456765">
      <w:r>
        <w:rPr>
          <w:bCs/>
        </w:rPr>
        <w:t>The Delegate has</w:t>
      </w:r>
      <w:r w:rsidRPr="007F38DB">
        <w:rPr>
          <w:bCs/>
        </w:rPr>
        <w:t xml:space="preserve"> no reason to say, at this time, that the application for </w:t>
      </w:r>
      <w:r>
        <w:rPr>
          <w:bCs/>
        </w:rPr>
        <w:t>Zavicefta</w:t>
      </w:r>
      <w:r w:rsidRPr="007F38DB">
        <w:rPr>
          <w:bCs/>
        </w:rPr>
        <w:t xml:space="preserve"> should no</w:t>
      </w:r>
      <w:r>
        <w:rPr>
          <w:bCs/>
        </w:rPr>
        <w:t>t be approved for registration.</w:t>
      </w:r>
    </w:p>
    <w:p w14:paraId="45A512EC" w14:textId="77777777" w:rsidR="00D23139" w:rsidRDefault="00A22D57" w:rsidP="00D23139">
      <w:pPr>
        <w:pStyle w:val="Heading4"/>
      </w:pPr>
      <w:r>
        <w:t>Request for AC</w:t>
      </w:r>
      <w:r w:rsidR="00D23139" w:rsidRPr="00D23139">
        <w:t>M advice</w:t>
      </w:r>
    </w:p>
    <w:p w14:paraId="68D3C398" w14:textId="725659F8" w:rsidR="00AF495F" w:rsidRDefault="00AF495F" w:rsidP="00AF495F">
      <w:r>
        <w:t xml:space="preserve">The </w:t>
      </w:r>
      <w:r w:rsidR="002C1E32">
        <w:t xml:space="preserve">Advisory Committee on Medicines (ACM) </w:t>
      </w:r>
      <w:r>
        <w:t>is requested to provide advice on the following issues:</w:t>
      </w:r>
    </w:p>
    <w:p w14:paraId="1F039296" w14:textId="77777777" w:rsidR="00AF495F" w:rsidRPr="007F38DB" w:rsidRDefault="00AF495F" w:rsidP="00AF495F">
      <w:pPr>
        <w:pStyle w:val="Numberbullet0"/>
        <w:numPr>
          <w:ilvl w:val="0"/>
          <w:numId w:val="8"/>
        </w:numPr>
      </w:pPr>
      <w:r>
        <w:t>Advice is requested on the appropriate wording for the adult cIAI, cUTI and HAP indications to ensure clinical use consistent with the available clinical trials data and considerations for development of antimicrobial resistance.</w:t>
      </w:r>
    </w:p>
    <w:p w14:paraId="671B3B56" w14:textId="77777777" w:rsidR="00AF495F" w:rsidRPr="007F38DB" w:rsidRDefault="00AF495F" w:rsidP="00AF495F">
      <w:pPr>
        <w:pStyle w:val="Numberbullet0"/>
        <w:numPr>
          <w:ilvl w:val="0"/>
          <w:numId w:val="8"/>
        </w:numPr>
      </w:pPr>
      <w:r>
        <w:t xml:space="preserve">A </w:t>
      </w:r>
      <w:r w:rsidR="003916C2">
        <w:t xml:space="preserve">separate indication for use in </w:t>
      </w:r>
      <w:r w:rsidR="003916C2" w:rsidRPr="001A3D34">
        <w:rPr>
          <w:i/>
        </w:rPr>
        <w:t>‘</w:t>
      </w:r>
      <w:r w:rsidRPr="001A3D34">
        <w:rPr>
          <w:i/>
        </w:rPr>
        <w:t>gram-negative infections in patients with lim</w:t>
      </w:r>
      <w:r w:rsidR="003916C2" w:rsidRPr="001A3D34">
        <w:rPr>
          <w:i/>
        </w:rPr>
        <w:t>ited treatment option’</w:t>
      </w:r>
      <w:r>
        <w:t xml:space="preserve"> is not supported. A</w:t>
      </w:r>
      <w:r w:rsidR="003916C2">
        <w:t>dvice is requested from the ACM.</w:t>
      </w:r>
    </w:p>
    <w:p w14:paraId="1AC050F3" w14:textId="77777777" w:rsidR="00AF495F" w:rsidRDefault="00AF495F" w:rsidP="00AF495F">
      <w:pPr>
        <w:pStyle w:val="Numberbullet0"/>
        <w:numPr>
          <w:ilvl w:val="0"/>
          <w:numId w:val="8"/>
        </w:numPr>
      </w:pPr>
      <w:r>
        <w:t>Lower efficacy and higher mortality was reported in cIAI trials in the presence of renal impairment. Advice from ACM is requested on the suitability of the dosing directions in renal impairment any further precautions for use in this population.</w:t>
      </w:r>
    </w:p>
    <w:p w14:paraId="5EEE33AC" w14:textId="77777777" w:rsidR="00AF495F" w:rsidRPr="007F38DB" w:rsidRDefault="00AF495F" w:rsidP="00AF495F">
      <w:pPr>
        <w:pStyle w:val="Numberbullet0"/>
        <w:numPr>
          <w:ilvl w:val="0"/>
          <w:numId w:val="8"/>
        </w:numPr>
      </w:pPr>
      <w:r>
        <w:t>Advice is also sought from the ACM on the adequacy of the post-market surveillance for safety and the proposed plan for resistance surveillance.</w:t>
      </w:r>
    </w:p>
    <w:p w14:paraId="73412C91" w14:textId="77777777" w:rsidR="00456765" w:rsidRPr="00456765" w:rsidRDefault="00AF495F" w:rsidP="00456765">
      <w:r>
        <w:t>The Committee is also requested to provide advice on any other issues that it thinks may be relevant to a decision on whether or not to approve this application.</w:t>
      </w:r>
    </w:p>
    <w:p w14:paraId="2657A3C6" w14:textId="6B334C98" w:rsidR="008E7846" w:rsidRDefault="000C53F9" w:rsidP="008E7846">
      <w:pPr>
        <w:pStyle w:val="Heading4"/>
      </w:pPr>
      <w:r>
        <w:t>Advisory Committee c</w:t>
      </w:r>
      <w:r w:rsidR="008E7846">
        <w:t>onsiderations</w:t>
      </w:r>
      <w:r w:rsidR="00456765">
        <w:rPr>
          <w:rStyle w:val="FootnoteReference"/>
        </w:rPr>
        <w:footnoteReference w:id="14"/>
      </w:r>
    </w:p>
    <w:p w14:paraId="0B32A864" w14:textId="77777777" w:rsidR="00AF495F" w:rsidRDefault="00AF495F" w:rsidP="00AF495F">
      <w:pPr>
        <w:rPr>
          <w:bCs/>
        </w:rPr>
      </w:pPr>
      <w:r w:rsidRPr="00456765">
        <w:rPr>
          <w:bCs/>
        </w:rPr>
        <w:t xml:space="preserve">The </w:t>
      </w:r>
      <w:r w:rsidR="003916C2">
        <w:rPr>
          <w:bCs/>
        </w:rPr>
        <w:t>ACM</w:t>
      </w:r>
      <w:r w:rsidRPr="00456765">
        <w:rPr>
          <w:bCs/>
        </w:rPr>
        <w:t>, having considered the evaluations and the Delegate’s overview, as well as the sponsor’s response to these documents, advised the follow</w:t>
      </w:r>
      <w:r w:rsidR="003916C2">
        <w:rPr>
          <w:bCs/>
        </w:rPr>
        <w:t>ing.</w:t>
      </w:r>
    </w:p>
    <w:p w14:paraId="3172C66B" w14:textId="77777777" w:rsidR="00AF495F" w:rsidRDefault="00AF495F" w:rsidP="00AF495F">
      <w:r w:rsidRPr="00C12AE4">
        <w:lastRenderedPageBreak/>
        <w:t>The ACM, taking into account the submitted evidence of efficacy and safety</w:t>
      </w:r>
      <w:r>
        <w:t>,</w:t>
      </w:r>
      <w:r w:rsidR="003916C2">
        <w:t xml:space="preserve"> agreed with the D</w:t>
      </w:r>
      <w:r w:rsidRPr="00C12AE4">
        <w:t xml:space="preserve">elegate that </w:t>
      </w:r>
      <w:r>
        <w:t>Zavicefta</w:t>
      </w:r>
      <w:r w:rsidRPr="00C12AE4">
        <w:t xml:space="preserve"> </w:t>
      </w:r>
      <w:r>
        <w:rPr>
          <w:noProof/>
        </w:rPr>
        <w:t>powder for i</w:t>
      </w:r>
      <w:r w:rsidRPr="00C4644E">
        <w:rPr>
          <w:noProof/>
        </w:rPr>
        <w:t>njection</w:t>
      </w:r>
      <w:r w:rsidRPr="00C4644E">
        <w:t xml:space="preserve">, containing </w:t>
      </w:r>
      <w:r w:rsidRPr="00C4644E">
        <w:rPr>
          <w:noProof/>
        </w:rPr>
        <w:t>2000</w:t>
      </w:r>
      <w:r w:rsidR="002C1E32">
        <w:rPr>
          <w:noProof/>
        </w:rPr>
        <w:t xml:space="preserve"> mg</w:t>
      </w:r>
      <w:r w:rsidRPr="00C4644E">
        <w:rPr>
          <w:noProof/>
        </w:rPr>
        <w:t>/500 mg</w:t>
      </w:r>
      <w:r w:rsidRPr="00C4644E">
        <w:t xml:space="preserve"> of </w:t>
      </w:r>
      <w:r w:rsidR="003916C2">
        <w:rPr>
          <w:noProof/>
        </w:rPr>
        <w:t>ceftazidime/</w:t>
      </w:r>
      <w:r w:rsidRPr="00C4644E">
        <w:rPr>
          <w:noProof/>
        </w:rPr>
        <w:t>avibactam</w:t>
      </w:r>
      <w:r w:rsidR="003916C2">
        <w:rPr>
          <w:noProof/>
        </w:rPr>
        <w:t>, for use as 2 hour</w:t>
      </w:r>
      <w:r>
        <w:rPr>
          <w:noProof/>
        </w:rPr>
        <w:t xml:space="preserve"> IV infusions with three times daily dosing,</w:t>
      </w:r>
      <w:r w:rsidRPr="00C12AE4">
        <w:t xml:space="preserve"> has an overall </w:t>
      </w:r>
      <w:r>
        <w:t>positive</w:t>
      </w:r>
      <w:r w:rsidRPr="00C12AE4">
        <w:t xml:space="preserve"> benefit-risk profile for the proposed indication</w:t>
      </w:r>
      <w:r w:rsidR="003916C2">
        <w:t>:</w:t>
      </w:r>
    </w:p>
    <w:p w14:paraId="1B32B24B" w14:textId="77777777" w:rsidR="00AF495F" w:rsidRPr="003916C2" w:rsidRDefault="00AF495F" w:rsidP="003916C2">
      <w:pPr>
        <w:ind w:left="360"/>
        <w:rPr>
          <w:i/>
        </w:rPr>
      </w:pPr>
      <w:r w:rsidRPr="003916C2">
        <w:rPr>
          <w:i/>
        </w:rPr>
        <w:t>Zavicefta is indicated for the treatment of the following indications in adults:</w:t>
      </w:r>
    </w:p>
    <w:p w14:paraId="02EE9C4D" w14:textId="77777777" w:rsidR="00AF495F" w:rsidRPr="003916C2" w:rsidRDefault="00AF495F" w:rsidP="003916C2">
      <w:pPr>
        <w:pStyle w:val="ListBullet"/>
        <w:ind w:left="720"/>
        <w:rPr>
          <w:i/>
        </w:rPr>
      </w:pPr>
      <w:r w:rsidRPr="003916C2">
        <w:rPr>
          <w:i/>
        </w:rPr>
        <w:t>complicated intra-abdominal infections (cIAI), in combination with metronidazole</w:t>
      </w:r>
    </w:p>
    <w:p w14:paraId="16EEDA2A" w14:textId="77777777" w:rsidR="00AF495F" w:rsidRPr="003916C2" w:rsidRDefault="00AF495F" w:rsidP="003916C2">
      <w:pPr>
        <w:pStyle w:val="ListBullet"/>
        <w:ind w:left="720"/>
        <w:rPr>
          <w:i/>
        </w:rPr>
      </w:pPr>
      <w:r w:rsidRPr="003916C2">
        <w:rPr>
          <w:i/>
        </w:rPr>
        <w:t>complicated urinary tract infection (cUTI,) including pyelonephritis</w:t>
      </w:r>
    </w:p>
    <w:p w14:paraId="64344CD5" w14:textId="77777777" w:rsidR="00AF495F" w:rsidRPr="003916C2" w:rsidRDefault="00AF495F" w:rsidP="003916C2">
      <w:pPr>
        <w:pStyle w:val="ListBullet"/>
        <w:ind w:left="720"/>
        <w:rPr>
          <w:i/>
        </w:rPr>
      </w:pPr>
      <w:r w:rsidRPr="003916C2">
        <w:rPr>
          <w:i/>
        </w:rPr>
        <w:t>hospital-acquired pneumonia (HAP) including ventilator associated pneumonia.</w:t>
      </w:r>
    </w:p>
    <w:p w14:paraId="45747479" w14:textId="77777777" w:rsidR="00AF495F" w:rsidRPr="003916C2" w:rsidRDefault="00AF495F" w:rsidP="003916C2">
      <w:pPr>
        <w:ind w:left="360"/>
        <w:rPr>
          <w:i/>
        </w:rPr>
      </w:pPr>
      <w:r w:rsidRPr="003916C2">
        <w:rPr>
          <w:i/>
        </w:rPr>
        <w:t>Consideration should be given to official guidance on the appropriate use of antibacterial agents.</w:t>
      </w:r>
    </w:p>
    <w:p w14:paraId="1FA531C8" w14:textId="77777777" w:rsidR="00AF495F" w:rsidRPr="003916C2" w:rsidRDefault="00AF495F" w:rsidP="003916C2">
      <w:pPr>
        <w:ind w:left="360"/>
        <w:rPr>
          <w:i/>
        </w:rPr>
      </w:pPr>
      <w:r w:rsidRPr="003916C2">
        <w:rPr>
          <w:i/>
        </w:rPr>
        <w:t>Zavicefta should be used in combination with an antibacterial agent active against Gram-positive pathogens and/or agents active against anaerobic pathogens when these are known or suspected to be contributing to the infectious process.</w:t>
      </w:r>
    </w:p>
    <w:p w14:paraId="1F7387BF" w14:textId="77777777" w:rsidR="00AF495F" w:rsidRDefault="00AF495F" w:rsidP="00E82538">
      <w:r w:rsidRPr="00EE54E0">
        <w:t>In providing this advice the ACM</w:t>
      </w:r>
      <w:r>
        <w:t xml:space="preserve"> noted that</w:t>
      </w:r>
      <w:r w:rsidRPr="00EE54E0">
        <w:t>:</w:t>
      </w:r>
    </w:p>
    <w:p w14:paraId="2E2B65CE" w14:textId="34296D49" w:rsidR="00AF495F" w:rsidRPr="00EF567F" w:rsidRDefault="00AF495F" w:rsidP="00E82538">
      <w:pPr>
        <w:pStyle w:val="ListBullet"/>
      </w:pPr>
      <w:r>
        <w:t xml:space="preserve">Zavicefta is a combined product containing ceftazidime, a </w:t>
      </w:r>
      <w:r w:rsidR="002C1E32">
        <w:t xml:space="preserve">third </w:t>
      </w:r>
      <w:r>
        <w:t>generation parenteral cephalosporin with a well-established clinical profile, and avibactam, a novel, first in class n</w:t>
      </w:r>
      <w:r w:rsidRPr="00D10AFA">
        <w:t>on-</w:t>
      </w:r>
      <w:r w:rsidR="002C1E32">
        <w:t>β</w:t>
      </w:r>
      <w:r w:rsidRPr="00D10AFA">
        <w:t xml:space="preserve">-lactam </w:t>
      </w:r>
      <w:r w:rsidR="002C1E32">
        <w:t>β</w:t>
      </w:r>
      <w:r w:rsidRPr="00D10AFA">
        <w:t>-lactamase inhibitor</w:t>
      </w:r>
      <w:r>
        <w:t xml:space="preserve">. It is intended to overcome </w:t>
      </w:r>
      <w:r w:rsidR="002C1E32">
        <w:t>β</w:t>
      </w:r>
      <w:r>
        <w:t xml:space="preserve">-lactamase mediated ceftazidime resistance among some isolates of </w:t>
      </w:r>
      <w:r w:rsidRPr="001A3D34">
        <w:rPr>
          <w:i/>
        </w:rPr>
        <w:t>Enterobacteriaceae</w:t>
      </w:r>
      <w:r>
        <w:t xml:space="preserve"> and some isolates of </w:t>
      </w:r>
      <w:r w:rsidRPr="00EF567F">
        <w:rPr>
          <w:i/>
        </w:rPr>
        <w:t>Pseudomonas aeruginosa</w:t>
      </w:r>
      <w:r>
        <w:rPr>
          <w:i/>
        </w:rPr>
        <w:t>.</w:t>
      </w:r>
    </w:p>
    <w:p w14:paraId="51ED6B3F" w14:textId="77777777" w:rsidR="00AF495F" w:rsidRDefault="00E82538" w:rsidP="00E82538">
      <w:pPr>
        <w:pStyle w:val="ListBullet"/>
      </w:pPr>
      <w:r>
        <w:t>T</w:t>
      </w:r>
      <w:r w:rsidR="00621F59">
        <w:t>he s</w:t>
      </w:r>
      <w:r w:rsidR="00AF495F">
        <w:t>ponsor’s proposed indications for Zavicefta were:</w:t>
      </w:r>
    </w:p>
    <w:p w14:paraId="1C3840CE" w14:textId="77777777" w:rsidR="00AF495F" w:rsidRPr="006D12B6" w:rsidRDefault="00AF495F" w:rsidP="00E82538">
      <w:pPr>
        <w:pStyle w:val="ListBullet"/>
        <w:numPr>
          <w:ilvl w:val="0"/>
          <w:numId w:val="0"/>
        </w:numPr>
        <w:ind w:left="360"/>
        <w:rPr>
          <w:i/>
        </w:rPr>
      </w:pPr>
      <w:r w:rsidRPr="006D12B6">
        <w:rPr>
          <w:i/>
        </w:rPr>
        <w:t>Zavicefta is indicated for the treatment of the following infections in adults:</w:t>
      </w:r>
    </w:p>
    <w:p w14:paraId="351AEE69" w14:textId="77777777" w:rsidR="00AF495F" w:rsidRPr="00E82538" w:rsidRDefault="00AF495F" w:rsidP="00E82538">
      <w:pPr>
        <w:pStyle w:val="ListBullet2"/>
        <w:rPr>
          <w:i/>
        </w:rPr>
      </w:pPr>
      <w:r w:rsidRPr="00E82538">
        <w:rPr>
          <w:i/>
        </w:rPr>
        <w:t>complicated intra-abdominal infection (cIAI)*^</w:t>
      </w:r>
    </w:p>
    <w:p w14:paraId="6539083C" w14:textId="77777777" w:rsidR="00AF495F" w:rsidRPr="00E82538" w:rsidRDefault="00AF495F" w:rsidP="00E82538">
      <w:pPr>
        <w:pStyle w:val="ListBullet2"/>
        <w:rPr>
          <w:i/>
        </w:rPr>
      </w:pPr>
      <w:r w:rsidRPr="00E82538">
        <w:rPr>
          <w:i/>
        </w:rPr>
        <w:t>complicated urinary tract infection (cUTI), including pyelonephritis.</w:t>
      </w:r>
    </w:p>
    <w:p w14:paraId="57FDDAAF" w14:textId="77777777" w:rsidR="00AF495F" w:rsidRPr="00E82538" w:rsidRDefault="00AF495F" w:rsidP="00E82538">
      <w:pPr>
        <w:pStyle w:val="ListBullet2"/>
        <w:rPr>
          <w:i/>
        </w:rPr>
      </w:pPr>
      <w:r w:rsidRPr="00E82538">
        <w:rPr>
          <w:i/>
        </w:rPr>
        <w:t>hospital-acquired pneumonia (HAP), including ventilator associated pneumonia (VAP).</w:t>
      </w:r>
    </w:p>
    <w:p w14:paraId="40BB5333" w14:textId="77777777" w:rsidR="00AF495F" w:rsidRDefault="00AF495F" w:rsidP="00E82538">
      <w:pPr>
        <w:pStyle w:val="ListBullet"/>
        <w:numPr>
          <w:ilvl w:val="0"/>
          <w:numId w:val="0"/>
        </w:numPr>
        <w:ind w:left="360"/>
        <w:rPr>
          <w:i/>
        </w:rPr>
      </w:pPr>
      <w:r w:rsidRPr="006D12B6">
        <w:rPr>
          <w:i/>
        </w:rPr>
        <w:t>Zavicefta</w:t>
      </w:r>
      <w:r>
        <w:rPr>
          <w:i/>
        </w:rPr>
        <w:t xml:space="preserve"> is also indicated for the treatment of infections due to aerobic gram-negative organisms in adult patients with limited treatment options.*^</w:t>
      </w:r>
    </w:p>
    <w:p w14:paraId="6D73AD62" w14:textId="77777777" w:rsidR="00AF495F" w:rsidRDefault="00AF495F" w:rsidP="00E82538">
      <w:pPr>
        <w:pStyle w:val="ListBullet"/>
        <w:numPr>
          <w:ilvl w:val="0"/>
          <w:numId w:val="0"/>
        </w:numPr>
        <w:ind w:left="360"/>
        <w:rPr>
          <w:i/>
        </w:rPr>
      </w:pPr>
      <w:r>
        <w:rPr>
          <w:i/>
        </w:rPr>
        <w:t>Consideration should be given to official guidance on the appropriate use of antibacterial agents.</w:t>
      </w:r>
    </w:p>
    <w:p w14:paraId="09CF6AFC" w14:textId="77777777" w:rsidR="00AF495F" w:rsidRDefault="00AF495F" w:rsidP="00E82538">
      <w:pPr>
        <w:pStyle w:val="ListBullet"/>
        <w:numPr>
          <w:ilvl w:val="0"/>
          <w:numId w:val="0"/>
        </w:numPr>
        <w:ind w:left="360"/>
        <w:rPr>
          <w:i/>
        </w:rPr>
      </w:pPr>
      <w:r>
        <w:rPr>
          <w:i/>
        </w:rPr>
        <w:t xml:space="preserve">* </w:t>
      </w:r>
      <w:r w:rsidRPr="006D12B6">
        <w:rPr>
          <w:i/>
        </w:rPr>
        <w:t>To be used in</w:t>
      </w:r>
      <w:r>
        <w:rPr>
          <w:i/>
        </w:rPr>
        <w:t xml:space="preserve"> combination with metronidazole when anaerobic pathogens are known or suspected to be contributing to the infectious process.</w:t>
      </w:r>
    </w:p>
    <w:p w14:paraId="75480C0D" w14:textId="77777777" w:rsidR="00AF495F" w:rsidRPr="006D12B6" w:rsidRDefault="00AF495F" w:rsidP="00E82538">
      <w:pPr>
        <w:pStyle w:val="ListBullet"/>
        <w:numPr>
          <w:ilvl w:val="0"/>
          <w:numId w:val="0"/>
        </w:numPr>
        <w:ind w:left="360"/>
        <w:rPr>
          <w:i/>
        </w:rPr>
      </w:pPr>
      <w:r>
        <w:rPr>
          <w:i/>
        </w:rPr>
        <w:t>^ To be used in combination with an antibacterial agent active against Gram-positive pathogens when these are known or suspected to be contributing to the infectious process.</w:t>
      </w:r>
    </w:p>
    <w:p w14:paraId="68034C00" w14:textId="77777777" w:rsidR="00AF495F" w:rsidRDefault="00E82538" w:rsidP="00E82538">
      <w:pPr>
        <w:pStyle w:val="ListBullet"/>
      </w:pPr>
      <w:r>
        <w:t>T</w:t>
      </w:r>
      <w:r w:rsidR="00621F59">
        <w:t>he s</w:t>
      </w:r>
      <w:r w:rsidR="00AF495F">
        <w:t>ponsor has suggested dose adjustments for patients w</w:t>
      </w:r>
      <w:r>
        <w:t xml:space="preserve">ith renal impairment as follows in </w:t>
      </w:r>
      <w:r w:rsidR="001768B5">
        <w:t>Table 34.</w:t>
      </w:r>
    </w:p>
    <w:p w14:paraId="618790D0" w14:textId="77777777" w:rsidR="001768B5" w:rsidRDefault="001768B5" w:rsidP="001A3D34">
      <w:pPr>
        <w:pStyle w:val="ListBullet"/>
      </w:pPr>
      <w:r w:rsidRPr="00E82538">
        <w:t>The ACM considered there to be limited evidence available to support these adjustments but suggested that they would be a reasonable starting point.</w:t>
      </w:r>
    </w:p>
    <w:p w14:paraId="28CB5C39" w14:textId="77777777" w:rsidR="00E82538" w:rsidRDefault="00E82538" w:rsidP="000C53F9">
      <w:pPr>
        <w:pStyle w:val="TableTitle"/>
        <w:pageBreakBefore/>
      </w:pPr>
      <w:r>
        <w:lastRenderedPageBreak/>
        <w:t xml:space="preserve">Table </w:t>
      </w:r>
      <w:fldSimple w:instr=" SEQ Table \* ARABIC ">
        <w:r>
          <w:rPr>
            <w:noProof/>
          </w:rPr>
          <w:t>34</w:t>
        </w:r>
      </w:fldSimple>
      <w:r>
        <w:t>: Sponsor’s proposed dose adjustments for patients with renal impairment</w:t>
      </w:r>
    </w:p>
    <w:tbl>
      <w:tblPr>
        <w:tblStyle w:val="TableTGAblue"/>
        <w:tblW w:w="0" w:type="auto"/>
        <w:tblLook w:val="04A0" w:firstRow="1" w:lastRow="0" w:firstColumn="1" w:lastColumn="0" w:noHBand="0" w:noVBand="1"/>
      </w:tblPr>
      <w:tblGrid>
        <w:gridCol w:w="2019"/>
        <w:gridCol w:w="2020"/>
        <w:gridCol w:w="2020"/>
        <w:gridCol w:w="2020"/>
      </w:tblGrid>
      <w:tr w:rsidR="00AF495F" w:rsidRPr="00E82538" w14:paraId="63AD71D8" w14:textId="77777777" w:rsidTr="00E82538">
        <w:trPr>
          <w:cnfStyle w:val="100000000000" w:firstRow="1" w:lastRow="0" w:firstColumn="0" w:lastColumn="0" w:oddVBand="0" w:evenVBand="0" w:oddHBand="0" w:evenHBand="0" w:firstRowFirstColumn="0" w:firstRowLastColumn="0" w:lastRowFirstColumn="0" w:lastRowLastColumn="0"/>
        </w:trPr>
        <w:tc>
          <w:tcPr>
            <w:tcW w:w="2019" w:type="dxa"/>
          </w:tcPr>
          <w:p w14:paraId="1C9DB653" w14:textId="77777777" w:rsidR="00AF495F" w:rsidRPr="00E82538" w:rsidRDefault="00AF495F" w:rsidP="00E82538">
            <w:pPr>
              <w:ind w:left="0" w:right="0"/>
              <w:rPr>
                <w:sz w:val="20"/>
                <w:szCs w:val="20"/>
              </w:rPr>
            </w:pPr>
            <w:r w:rsidRPr="00E82538">
              <w:rPr>
                <w:sz w:val="20"/>
                <w:szCs w:val="20"/>
              </w:rPr>
              <w:t>Estimated CrCL (mL/min)</w:t>
            </w:r>
            <w:r w:rsidRPr="00E82538">
              <w:rPr>
                <w:sz w:val="20"/>
                <w:szCs w:val="20"/>
                <w:vertAlign w:val="superscript"/>
              </w:rPr>
              <w:t xml:space="preserve"> 1</w:t>
            </w:r>
          </w:p>
        </w:tc>
        <w:tc>
          <w:tcPr>
            <w:tcW w:w="2020" w:type="dxa"/>
          </w:tcPr>
          <w:p w14:paraId="696849CB" w14:textId="77777777" w:rsidR="00AF495F" w:rsidRPr="00E82538" w:rsidRDefault="00AF495F" w:rsidP="00E82538">
            <w:pPr>
              <w:ind w:left="0" w:right="0"/>
              <w:rPr>
                <w:sz w:val="20"/>
                <w:szCs w:val="20"/>
              </w:rPr>
            </w:pPr>
            <w:r w:rsidRPr="00E82538">
              <w:rPr>
                <w:sz w:val="20"/>
                <w:szCs w:val="20"/>
              </w:rPr>
              <w:t xml:space="preserve">Dose regimen </w:t>
            </w:r>
            <w:r w:rsidRPr="00E82538">
              <w:rPr>
                <w:sz w:val="20"/>
                <w:szCs w:val="20"/>
                <w:vertAlign w:val="superscript"/>
              </w:rPr>
              <w:t>2</w:t>
            </w:r>
          </w:p>
        </w:tc>
        <w:tc>
          <w:tcPr>
            <w:tcW w:w="2020" w:type="dxa"/>
          </w:tcPr>
          <w:p w14:paraId="60E3E110" w14:textId="77777777" w:rsidR="00AF495F" w:rsidRPr="00E82538" w:rsidRDefault="00AF495F" w:rsidP="00E82538">
            <w:pPr>
              <w:ind w:left="0" w:right="0"/>
              <w:rPr>
                <w:sz w:val="20"/>
                <w:szCs w:val="20"/>
              </w:rPr>
            </w:pPr>
            <w:r w:rsidRPr="00E82538">
              <w:rPr>
                <w:sz w:val="20"/>
                <w:szCs w:val="20"/>
              </w:rPr>
              <w:t>Frequency</w:t>
            </w:r>
          </w:p>
        </w:tc>
        <w:tc>
          <w:tcPr>
            <w:tcW w:w="2020" w:type="dxa"/>
          </w:tcPr>
          <w:p w14:paraId="213E075E" w14:textId="77777777" w:rsidR="00AF495F" w:rsidRPr="00E82538" w:rsidRDefault="00AF495F" w:rsidP="00E82538">
            <w:pPr>
              <w:ind w:left="0" w:right="0"/>
              <w:rPr>
                <w:sz w:val="20"/>
                <w:szCs w:val="20"/>
              </w:rPr>
            </w:pPr>
            <w:r w:rsidRPr="00E82538">
              <w:rPr>
                <w:sz w:val="20"/>
                <w:szCs w:val="20"/>
              </w:rPr>
              <w:t>Infusion time</w:t>
            </w:r>
          </w:p>
        </w:tc>
      </w:tr>
      <w:tr w:rsidR="00AF495F" w:rsidRPr="00E82538" w14:paraId="5F82BAB7" w14:textId="77777777" w:rsidTr="00E82538">
        <w:tc>
          <w:tcPr>
            <w:tcW w:w="2019" w:type="dxa"/>
          </w:tcPr>
          <w:p w14:paraId="0FF55D5D" w14:textId="77777777" w:rsidR="00AF495F" w:rsidRPr="00E82538" w:rsidRDefault="00621F59" w:rsidP="00E82538">
            <w:pPr>
              <w:ind w:left="0" w:right="0"/>
              <w:rPr>
                <w:sz w:val="20"/>
                <w:szCs w:val="20"/>
              </w:rPr>
            </w:pPr>
            <w:r>
              <w:rPr>
                <w:sz w:val="20"/>
                <w:szCs w:val="20"/>
              </w:rPr>
              <w:t xml:space="preserve">31 to </w:t>
            </w:r>
            <w:r w:rsidR="00AF495F" w:rsidRPr="00E82538">
              <w:rPr>
                <w:sz w:val="20"/>
                <w:szCs w:val="20"/>
              </w:rPr>
              <w:t>50</w:t>
            </w:r>
          </w:p>
        </w:tc>
        <w:tc>
          <w:tcPr>
            <w:tcW w:w="2020" w:type="dxa"/>
          </w:tcPr>
          <w:p w14:paraId="530B6FDB" w14:textId="77777777" w:rsidR="00AF495F" w:rsidRPr="00E82538" w:rsidRDefault="00621F59" w:rsidP="00E82538">
            <w:pPr>
              <w:ind w:left="0" w:right="0"/>
              <w:rPr>
                <w:sz w:val="20"/>
                <w:szCs w:val="20"/>
              </w:rPr>
            </w:pPr>
            <w:r>
              <w:rPr>
                <w:sz w:val="20"/>
                <w:szCs w:val="20"/>
              </w:rPr>
              <w:t>1,000 mg/</w:t>
            </w:r>
            <w:r w:rsidR="00AF495F" w:rsidRPr="00E82538">
              <w:rPr>
                <w:sz w:val="20"/>
                <w:szCs w:val="20"/>
              </w:rPr>
              <w:t>250 mg</w:t>
            </w:r>
          </w:p>
        </w:tc>
        <w:tc>
          <w:tcPr>
            <w:tcW w:w="2020" w:type="dxa"/>
          </w:tcPr>
          <w:p w14:paraId="78CF11CD" w14:textId="77777777" w:rsidR="00AF495F" w:rsidRPr="00E82538" w:rsidRDefault="00621F59" w:rsidP="00E82538">
            <w:pPr>
              <w:ind w:left="0" w:right="0"/>
              <w:rPr>
                <w:sz w:val="20"/>
                <w:szCs w:val="20"/>
              </w:rPr>
            </w:pPr>
            <w:r>
              <w:rPr>
                <w:sz w:val="20"/>
                <w:szCs w:val="20"/>
              </w:rPr>
              <w:t>Every 8 hours</w:t>
            </w:r>
          </w:p>
        </w:tc>
        <w:tc>
          <w:tcPr>
            <w:tcW w:w="2020" w:type="dxa"/>
          </w:tcPr>
          <w:p w14:paraId="3AEADF3B" w14:textId="77777777" w:rsidR="00AF495F" w:rsidRPr="00E82538" w:rsidRDefault="00AF495F" w:rsidP="00E82538">
            <w:pPr>
              <w:ind w:left="0" w:right="0"/>
              <w:rPr>
                <w:sz w:val="20"/>
                <w:szCs w:val="20"/>
              </w:rPr>
            </w:pPr>
            <w:r w:rsidRPr="00E82538">
              <w:rPr>
                <w:sz w:val="20"/>
                <w:szCs w:val="20"/>
              </w:rPr>
              <w:t xml:space="preserve">2 </w:t>
            </w:r>
            <w:r w:rsidR="00621F59">
              <w:rPr>
                <w:sz w:val="20"/>
                <w:szCs w:val="20"/>
              </w:rPr>
              <w:t>hours</w:t>
            </w:r>
          </w:p>
        </w:tc>
      </w:tr>
      <w:tr w:rsidR="00AF495F" w:rsidRPr="00E82538" w14:paraId="65AEBBC3" w14:textId="77777777" w:rsidTr="00E82538">
        <w:tc>
          <w:tcPr>
            <w:tcW w:w="2019" w:type="dxa"/>
          </w:tcPr>
          <w:p w14:paraId="3541E7FB" w14:textId="77777777" w:rsidR="00AF495F" w:rsidRPr="00E82538" w:rsidRDefault="00621F59" w:rsidP="00E82538">
            <w:pPr>
              <w:ind w:left="0" w:right="0"/>
              <w:rPr>
                <w:sz w:val="20"/>
                <w:szCs w:val="20"/>
              </w:rPr>
            </w:pPr>
            <w:r>
              <w:rPr>
                <w:sz w:val="20"/>
                <w:szCs w:val="20"/>
              </w:rPr>
              <w:t xml:space="preserve">16 to </w:t>
            </w:r>
            <w:r w:rsidR="00AF495F" w:rsidRPr="00E82538">
              <w:rPr>
                <w:sz w:val="20"/>
                <w:szCs w:val="20"/>
              </w:rPr>
              <w:t>30</w:t>
            </w:r>
          </w:p>
        </w:tc>
        <w:tc>
          <w:tcPr>
            <w:tcW w:w="2020" w:type="dxa"/>
          </w:tcPr>
          <w:p w14:paraId="3C6D586F" w14:textId="77777777" w:rsidR="00AF495F" w:rsidRPr="00E82538" w:rsidRDefault="00621F59" w:rsidP="00E82538">
            <w:pPr>
              <w:ind w:left="0" w:right="0"/>
              <w:rPr>
                <w:sz w:val="20"/>
                <w:szCs w:val="20"/>
              </w:rPr>
            </w:pPr>
            <w:r>
              <w:rPr>
                <w:sz w:val="20"/>
                <w:szCs w:val="20"/>
              </w:rPr>
              <w:t>750 mg/</w:t>
            </w:r>
            <w:r w:rsidR="00AF495F" w:rsidRPr="00E82538">
              <w:rPr>
                <w:sz w:val="20"/>
                <w:szCs w:val="20"/>
              </w:rPr>
              <w:t>187.5 mg</w:t>
            </w:r>
          </w:p>
        </w:tc>
        <w:tc>
          <w:tcPr>
            <w:tcW w:w="2020" w:type="dxa"/>
          </w:tcPr>
          <w:p w14:paraId="49E66268" w14:textId="77777777" w:rsidR="00AF495F" w:rsidRPr="00E82538" w:rsidRDefault="00621F59" w:rsidP="00E82538">
            <w:pPr>
              <w:ind w:left="0" w:right="0"/>
              <w:rPr>
                <w:sz w:val="20"/>
                <w:szCs w:val="20"/>
              </w:rPr>
            </w:pPr>
            <w:r>
              <w:rPr>
                <w:sz w:val="20"/>
                <w:szCs w:val="20"/>
              </w:rPr>
              <w:t>Every 12 hours</w:t>
            </w:r>
          </w:p>
        </w:tc>
        <w:tc>
          <w:tcPr>
            <w:tcW w:w="2020" w:type="dxa"/>
          </w:tcPr>
          <w:p w14:paraId="2659FF95" w14:textId="77777777" w:rsidR="00AF495F" w:rsidRPr="00E82538" w:rsidRDefault="00AF495F" w:rsidP="00E82538">
            <w:pPr>
              <w:ind w:left="0" w:right="0"/>
              <w:rPr>
                <w:sz w:val="20"/>
                <w:szCs w:val="20"/>
              </w:rPr>
            </w:pPr>
            <w:r w:rsidRPr="00E82538">
              <w:rPr>
                <w:sz w:val="20"/>
                <w:szCs w:val="20"/>
              </w:rPr>
              <w:t xml:space="preserve">2 </w:t>
            </w:r>
            <w:r w:rsidR="00621F59">
              <w:rPr>
                <w:sz w:val="20"/>
                <w:szCs w:val="20"/>
              </w:rPr>
              <w:t>hours</w:t>
            </w:r>
          </w:p>
        </w:tc>
      </w:tr>
      <w:tr w:rsidR="00AF495F" w:rsidRPr="00E82538" w14:paraId="35BA67DC" w14:textId="77777777" w:rsidTr="00E82538">
        <w:tc>
          <w:tcPr>
            <w:tcW w:w="2019" w:type="dxa"/>
          </w:tcPr>
          <w:p w14:paraId="7B66105D" w14:textId="77777777" w:rsidR="00AF495F" w:rsidRPr="00E82538" w:rsidRDefault="00621F59" w:rsidP="00E82538">
            <w:pPr>
              <w:ind w:left="0" w:right="0"/>
              <w:rPr>
                <w:sz w:val="20"/>
                <w:szCs w:val="20"/>
              </w:rPr>
            </w:pPr>
            <w:r>
              <w:rPr>
                <w:sz w:val="20"/>
                <w:szCs w:val="20"/>
              </w:rPr>
              <w:t xml:space="preserve">6 to </w:t>
            </w:r>
            <w:r w:rsidR="00AF495F" w:rsidRPr="00E82538">
              <w:rPr>
                <w:sz w:val="20"/>
                <w:szCs w:val="20"/>
              </w:rPr>
              <w:t>15</w:t>
            </w:r>
          </w:p>
        </w:tc>
        <w:tc>
          <w:tcPr>
            <w:tcW w:w="2020" w:type="dxa"/>
          </w:tcPr>
          <w:p w14:paraId="158EA88A" w14:textId="77777777" w:rsidR="00AF495F" w:rsidRPr="00E82538" w:rsidRDefault="00621F59" w:rsidP="00E82538">
            <w:pPr>
              <w:ind w:left="0" w:right="0"/>
              <w:rPr>
                <w:sz w:val="20"/>
                <w:szCs w:val="20"/>
              </w:rPr>
            </w:pPr>
            <w:r>
              <w:rPr>
                <w:sz w:val="20"/>
                <w:szCs w:val="20"/>
              </w:rPr>
              <w:t>750 mg/</w:t>
            </w:r>
            <w:r w:rsidR="00AF495F" w:rsidRPr="00E82538">
              <w:rPr>
                <w:sz w:val="20"/>
                <w:szCs w:val="20"/>
              </w:rPr>
              <w:t>187.5 mg</w:t>
            </w:r>
          </w:p>
        </w:tc>
        <w:tc>
          <w:tcPr>
            <w:tcW w:w="2020" w:type="dxa"/>
          </w:tcPr>
          <w:p w14:paraId="1CE46737" w14:textId="77777777" w:rsidR="00AF495F" w:rsidRPr="00E82538" w:rsidRDefault="00621F59" w:rsidP="00E82538">
            <w:pPr>
              <w:ind w:left="0" w:right="0"/>
              <w:rPr>
                <w:sz w:val="20"/>
                <w:szCs w:val="20"/>
              </w:rPr>
            </w:pPr>
            <w:r>
              <w:rPr>
                <w:sz w:val="20"/>
                <w:szCs w:val="20"/>
              </w:rPr>
              <w:t>Every 24 hours</w:t>
            </w:r>
          </w:p>
        </w:tc>
        <w:tc>
          <w:tcPr>
            <w:tcW w:w="2020" w:type="dxa"/>
          </w:tcPr>
          <w:p w14:paraId="01585B7C" w14:textId="77777777" w:rsidR="00AF495F" w:rsidRPr="00E82538" w:rsidRDefault="00AF495F" w:rsidP="00E82538">
            <w:pPr>
              <w:ind w:left="0" w:right="0"/>
              <w:rPr>
                <w:sz w:val="20"/>
                <w:szCs w:val="20"/>
              </w:rPr>
            </w:pPr>
            <w:r w:rsidRPr="00E82538">
              <w:rPr>
                <w:sz w:val="20"/>
                <w:szCs w:val="20"/>
              </w:rPr>
              <w:t xml:space="preserve">2 </w:t>
            </w:r>
            <w:r w:rsidR="00621F59">
              <w:rPr>
                <w:sz w:val="20"/>
                <w:szCs w:val="20"/>
              </w:rPr>
              <w:t>hours</w:t>
            </w:r>
          </w:p>
        </w:tc>
      </w:tr>
      <w:tr w:rsidR="00AF495F" w:rsidRPr="00E82538" w14:paraId="15EA4CB1" w14:textId="77777777" w:rsidTr="00E82538">
        <w:tc>
          <w:tcPr>
            <w:tcW w:w="2019" w:type="dxa"/>
          </w:tcPr>
          <w:p w14:paraId="4B2F2529" w14:textId="77777777" w:rsidR="00AF495F" w:rsidRPr="00E82538" w:rsidRDefault="00AF495F" w:rsidP="00E82538">
            <w:pPr>
              <w:ind w:left="0" w:right="0"/>
              <w:rPr>
                <w:sz w:val="20"/>
                <w:szCs w:val="20"/>
              </w:rPr>
            </w:pPr>
            <w:r w:rsidRPr="00E82538">
              <w:rPr>
                <w:sz w:val="20"/>
                <w:szCs w:val="20"/>
              </w:rPr>
              <w:t xml:space="preserve">ESRD including on haemodialysis </w:t>
            </w:r>
            <w:r w:rsidRPr="00E82538">
              <w:rPr>
                <w:sz w:val="20"/>
                <w:szCs w:val="20"/>
                <w:vertAlign w:val="superscript"/>
              </w:rPr>
              <w:t>3</w:t>
            </w:r>
          </w:p>
        </w:tc>
        <w:tc>
          <w:tcPr>
            <w:tcW w:w="2020" w:type="dxa"/>
          </w:tcPr>
          <w:p w14:paraId="6AB16AB6" w14:textId="77777777" w:rsidR="00AF495F" w:rsidRPr="00E82538" w:rsidRDefault="00621F59" w:rsidP="00E82538">
            <w:pPr>
              <w:ind w:left="0" w:right="0"/>
              <w:rPr>
                <w:sz w:val="20"/>
                <w:szCs w:val="20"/>
              </w:rPr>
            </w:pPr>
            <w:r>
              <w:rPr>
                <w:sz w:val="20"/>
                <w:szCs w:val="20"/>
              </w:rPr>
              <w:t>750 mg/</w:t>
            </w:r>
            <w:r w:rsidR="00AF495F" w:rsidRPr="00E82538">
              <w:rPr>
                <w:sz w:val="20"/>
                <w:szCs w:val="20"/>
              </w:rPr>
              <w:t>187.5 mg</w:t>
            </w:r>
          </w:p>
        </w:tc>
        <w:tc>
          <w:tcPr>
            <w:tcW w:w="2020" w:type="dxa"/>
          </w:tcPr>
          <w:p w14:paraId="3357B9A2" w14:textId="77777777" w:rsidR="00AF495F" w:rsidRPr="00E82538" w:rsidRDefault="00621F59" w:rsidP="00E82538">
            <w:pPr>
              <w:ind w:left="0" w:right="0"/>
              <w:rPr>
                <w:sz w:val="20"/>
                <w:szCs w:val="20"/>
              </w:rPr>
            </w:pPr>
            <w:r>
              <w:rPr>
                <w:sz w:val="20"/>
                <w:szCs w:val="20"/>
              </w:rPr>
              <w:t>Every 48 hours</w:t>
            </w:r>
          </w:p>
        </w:tc>
        <w:tc>
          <w:tcPr>
            <w:tcW w:w="2020" w:type="dxa"/>
          </w:tcPr>
          <w:p w14:paraId="47795CCF" w14:textId="77777777" w:rsidR="00AF495F" w:rsidRPr="00E82538" w:rsidRDefault="00AF495F" w:rsidP="00E82538">
            <w:pPr>
              <w:ind w:left="0" w:right="0"/>
              <w:rPr>
                <w:sz w:val="20"/>
                <w:szCs w:val="20"/>
              </w:rPr>
            </w:pPr>
            <w:r w:rsidRPr="00E82538">
              <w:rPr>
                <w:sz w:val="20"/>
                <w:szCs w:val="20"/>
              </w:rPr>
              <w:t xml:space="preserve">2 </w:t>
            </w:r>
            <w:r w:rsidR="00621F59">
              <w:rPr>
                <w:sz w:val="20"/>
                <w:szCs w:val="20"/>
              </w:rPr>
              <w:t>hours</w:t>
            </w:r>
          </w:p>
        </w:tc>
      </w:tr>
    </w:tbl>
    <w:p w14:paraId="588CCD75" w14:textId="77777777" w:rsidR="00AF495F" w:rsidRDefault="00AF495F" w:rsidP="00E82538">
      <w:pPr>
        <w:pStyle w:val="TableDescription"/>
      </w:pPr>
      <w:r w:rsidRPr="00E82538">
        <w:t>1</w:t>
      </w:r>
      <w:r w:rsidR="00E82538">
        <w:t>:</w:t>
      </w:r>
      <w:r>
        <w:t xml:space="preserve"> </w:t>
      </w:r>
      <w:r w:rsidRPr="004E555D">
        <w:t>CrCL estimated using the Cockcroft-Gault formula.</w:t>
      </w:r>
      <w:r w:rsidRPr="00E82538">
        <w:t>2</w:t>
      </w:r>
      <w:r w:rsidR="00E82538">
        <w:t>:</w:t>
      </w:r>
      <w:r>
        <w:t xml:space="preserve"> </w:t>
      </w:r>
      <w:r w:rsidRPr="004E555D">
        <w:t>Dose recommendations are based on pharmacokinetic modelling.</w:t>
      </w:r>
      <w:r w:rsidR="00E82538">
        <w:t xml:space="preserve"> </w:t>
      </w:r>
      <w:r w:rsidRPr="00E82538">
        <w:t>3</w:t>
      </w:r>
      <w:r w:rsidR="00E82538">
        <w:t>:</w:t>
      </w:r>
      <w:r>
        <w:t xml:space="preserve"> </w:t>
      </w:r>
      <w:r w:rsidRPr="004E555D">
        <w:t>Ceftazidime and avibactam are removed by haemodialysis. Dosing of Zavicefta on haemodialysis days should occur after completion of haemodialysis.</w:t>
      </w:r>
    </w:p>
    <w:p w14:paraId="682D6741" w14:textId="77777777" w:rsidR="00AF495F" w:rsidRPr="00C4644E" w:rsidRDefault="00AF495F" w:rsidP="0006414D">
      <w:pPr>
        <w:pStyle w:val="Heading5"/>
      </w:pPr>
      <w:r w:rsidRPr="00C4644E">
        <w:t>Proposed conditions of registration</w:t>
      </w:r>
    </w:p>
    <w:p w14:paraId="30DF19FB" w14:textId="77777777" w:rsidR="00AF495F" w:rsidRPr="00C4644E" w:rsidRDefault="00E82538" w:rsidP="00AF495F">
      <w:r>
        <w:t>The ACM agreed with the D</w:t>
      </w:r>
      <w:r w:rsidR="00AF495F" w:rsidRPr="00C4644E">
        <w:t>elegate on the proposed conditions of registration.</w:t>
      </w:r>
    </w:p>
    <w:p w14:paraId="79F48533" w14:textId="77777777" w:rsidR="00AF495F" w:rsidRPr="00C4644E" w:rsidRDefault="00AF495F" w:rsidP="0006414D">
      <w:pPr>
        <w:pStyle w:val="Heading5"/>
      </w:pPr>
      <w:r w:rsidRPr="00C4644E">
        <w:t>P</w:t>
      </w:r>
      <w:r w:rsidR="00E82538">
        <w:t>roposed Product Information/</w:t>
      </w:r>
      <w:r w:rsidRPr="00C4644E">
        <w:t>Con</w:t>
      </w:r>
      <w:r w:rsidR="00E82538">
        <w:t>sumer Medicine Information</w:t>
      </w:r>
      <w:r w:rsidRPr="00C4644E">
        <w:t xml:space="preserve"> amendments</w:t>
      </w:r>
    </w:p>
    <w:p w14:paraId="34A6FF9F" w14:textId="77777777" w:rsidR="00AF495F" w:rsidRPr="00C4644E" w:rsidRDefault="00AF495F" w:rsidP="00AF495F">
      <w:r w:rsidRPr="00C4644E">
        <w:t xml:space="preserve">The ACM </w:t>
      </w:r>
      <w:r w:rsidR="00E82538">
        <w:t>agreed with the D</w:t>
      </w:r>
      <w:r w:rsidRPr="00E0322F">
        <w:t xml:space="preserve">elegate </w:t>
      </w:r>
      <w:r>
        <w:t>on</w:t>
      </w:r>
      <w:r w:rsidRPr="00E0322F">
        <w:t xml:space="preserve"> the </w:t>
      </w:r>
      <w:r w:rsidRPr="00C4644E">
        <w:t xml:space="preserve">proposed amendments to the </w:t>
      </w:r>
      <w:r w:rsidR="00E82538">
        <w:t>PI</w:t>
      </w:r>
      <w:r w:rsidR="0006414D">
        <w:t xml:space="preserve"> and Consumer Medicine</w:t>
      </w:r>
      <w:r w:rsidR="00621F59">
        <w:t>s</w:t>
      </w:r>
      <w:r w:rsidR="0006414D">
        <w:t xml:space="preserve"> I</w:t>
      </w:r>
      <w:r w:rsidRPr="00C4644E">
        <w:t>nformation (CMI) and specifically advised on the inclusion of the following:</w:t>
      </w:r>
    </w:p>
    <w:p w14:paraId="05A9479D" w14:textId="221B64E1" w:rsidR="00AF495F" w:rsidRPr="00E0322F" w:rsidRDefault="00AF495F" w:rsidP="0006414D">
      <w:pPr>
        <w:pStyle w:val="ListBullet"/>
      </w:pPr>
      <w:r>
        <w:t xml:space="preserve">Clarification in the </w:t>
      </w:r>
      <w:r w:rsidR="0006414D">
        <w:t>Dosage and Administration</w:t>
      </w:r>
      <w:r w:rsidR="001768B5">
        <w:t xml:space="preserve">; </w:t>
      </w:r>
      <w:r w:rsidR="0006414D">
        <w:t>Clinical Trials</w:t>
      </w:r>
      <w:r w:rsidR="001768B5">
        <w:t xml:space="preserve">; </w:t>
      </w:r>
      <w:r w:rsidR="0006414D">
        <w:t>Precautions</w:t>
      </w:r>
      <w:r w:rsidR="001768B5">
        <w:t xml:space="preserve">; and </w:t>
      </w:r>
      <w:r w:rsidRPr="00E0322F">
        <w:t xml:space="preserve">Contraindications sections of the PI and relevant sections of the CMI </w:t>
      </w:r>
      <w:r>
        <w:t>as to the definition of cIAI, cUTI and HAP, relating back to study criteria where possible.</w:t>
      </w:r>
    </w:p>
    <w:p w14:paraId="4A2D0523" w14:textId="1066980B" w:rsidR="00AF495F" w:rsidRDefault="00AF495F" w:rsidP="0006414D">
      <w:pPr>
        <w:pStyle w:val="ListBullet"/>
      </w:pPr>
      <w:r w:rsidRPr="00C4644E">
        <w:t xml:space="preserve">A statement in the </w:t>
      </w:r>
      <w:r w:rsidR="0006414D">
        <w:t>Dosage and Administration</w:t>
      </w:r>
      <w:r w:rsidR="001768B5">
        <w:t xml:space="preserve">; </w:t>
      </w:r>
      <w:r w:rsidR="0006414D">
        <w:t>Clinical Trials</w:t>
      </w:r>
      <w:r w:rsidR="001768B5">
        <w:t xml:space="preserve">; </w:t>
      </w:r>
      <w:r w:rsidR="0006414D">
        <w:t>Precautions</w:t>
      </w:r>
      <w:r w:rsidR="001768B5">
        <w:t xml:space="preserve">; and </w:t>
      </w:r>
      <w:r w:rsidRPr="00E0322F">
        <w:t xml:space="preserve">Contraindications sections of the PI and relevant sections of the CMI to more accurately reflect </w:t>
      </w:r>
      <w:r>
        <w:t>both reduced efficacy in the setting of renal impairment and the low level of evidence available for the proposed dose reductions.</w:t>
      </w:r>
    </w:p>
    <w:p w14:paraId="3C2AE4E9" w14:textId="77777777" w:rsidR="00AF495F" w:rsidRPr="00E0322F" w:rsidRDefault="00AF495F" w:rsidP="0006414D">
      <w:pPr>
        <w:pStyle w:val="ListBullet"/>
      </w:pPr>
      <w:r>
        <w:t>The committee supported the inclusion of precaution of use in renal impairment in the Australian PI.</w:t>
      </w:r>
    </w:p>
    <w:p w14:paraId="549C8646" w14:textId="77777777" w:rsidR="00AF495F" w:rsidRPr="00C4644E" w:rsidRDefault="0006414D" w:rsidP="0006414D">
      <w:pPr>
        <w:pStyle w:val="Heading5"/>
      </w:pPr>
      <w:r>
        <w:t>Specific a</w:t>
      </w:r>
      <w:r w:rsidR="00AF495F" w:rsidRPr="00C4644E">
        <w:t>dvice</w:t>
      </w:r>
    </w:p>
    <w:p w14:paraId="13D81E26" w14:textId="77777777" w:rsidR="00AF495F" w:rsidRDefault="00AF495F" w:rsidP="00AF495F">
      <w:r w:rsidRPr="00C4644E">
        <w:t>The Delegate requested advice on specific questions on this submission. The ACM advised the following in respo</w:t>
      </w:r>
      <w:r w:rsidR="0006414D">
        <w:t>nse to the Delegate’s questions.</w:t>
      </w:r>
    </w:p>
    <w:p w14:paraId="65094ECD" w14:textId="77777777" w:rsidR="00AF495F" w:rsidRPr="0006414D" w:rsidRDefault="00AF495F" w:rsidP="0006414D">
      <w:pPr>
        <w:pStyle w:val="Numberbullet0"/>
        <w:numPr>
          <w:ilvl w:val="0"/>
          <w:numId w:val="33"/>
        </w:numPr>
        <w:rPr>
          <w:b/>
          <w:i/>
          <w:noProof/>
        </w:rPr>
      </w:pPr>
      <w:r w:rsidRPr="0006414D">
        <w:rPr>
          <w:b/>
          <w:i/>
          <w:noProof/>
        </w:rPr>
        <w:t>Advice is requested on the appropriate wording for the adult cIAI, cUTI and HAP indications to ensure clinical use consistent with the available clinical trials data and considerations for development of antimicrobial resistance.</w:t>
      </w:r>
    </w:p>
    <w:p w14:paraId="3120F4C0" w14:textId="77777777" w:rsidR="00AF495F" w:rsidRPr="00224FB9" w:rsidRDefault="00AF495F" w:rsidP="0006414D">
      <w:pPr>
        <w:rPr>
          <w:noProof/>
        </w:rPr>
      </w:pPr>
      <w:r w:rsidRPr="00224FB9">
        <w:rPr>
          <w:noProof/>
        </w:rPr>
        <w:t xml:space="preserve">The ACM considered that the first two proposed indications, for cIAI and </w:t>
      </w:r>
      <w:r w:rsidR="0006414D">
        <w:rPr>
          <w:noProof/>
        </w:rPr>
        <w:t>cUTI</w:t>
      </w:r>
      <w:r w:rsidRPr="00224FB9">
        <w:rPr>
          <w:noProof/>
        </w:rPr>
        <w:t xml:space="preserve"> including pyelonephrit</w:t>
      </w:r>
      <w:r>
        <w:rPr>
          <w:noProof/>
        </w:rPr>
        <w:t>is, were reasonable, noting that</w:t>
      </w:r>
      <w:r w:rsidRPr="00224FB9">
        <w:rPr>
          <w:noProof/>
        </w:rPr>
        <w:t xml:space="preserve"> the definitions of cIAI and cUTI </w:t>
      </w:r>
      <w:r>
        <w:rPr>
          <w:noProof/>
        </w:rPr>
        <w:t xml:space="preserve">should </w:t>
      </w:r>
      <w:r w:rsidRPr="00224FB9">
        <w:rPr>
          <w:noProof/>
        </w:rPr>
        <w:t>be addressed</w:t>
      </w:r>
      <w:r>
        <w:rPr>
          <w:noProof/>
        </w:rPr>
        <w:t xml:space="preserve"> in the PI</w:t>
      </w:r>
      <w:r w:rsidRPr="00224FB9">
        <w:rPr>
          <w:noProof/>
        </w:rPr>
        <w:t>.</w:t>
      </w:r>
    </w:p>
    <w:p w14:paraId="585A4144" w14:textId="77777777" w:rsidR="00AF495F" w:rsidRDefault="00AF495F" w:rsidP="0006414D">
      <w:pPr>
        <w:rPr>
          <w:noProof/>
        </w:rPr>
      </w:pPr>
      <w:r>
        <w:rPr>
          <w:noProof/>
        </w:rPr>
        <w:t xml:space="preserve">The ACM endorsed the use of the term </w:t>
      </w:r>
      <w:r w:rsidR="0006414D">
        <w:rPr>
          <w:noProof/>
        </w:rPr>
        <w:t>HAP</w:t>
      </w:r>
      <w:r>
        <w:rPr>
          <w:noProof/>
        </w:rPr>
        <w:t xml:space="preserve"> used in the PI, but noted that some elements of the inclusion criteria included patients that might be regarded as having healthcare associated pneumonia (HCAP). The definition of HAP patients included in the clinical trial should be addressed in the PI.</w:t>
      </w:r>
    </w:p>
    <w:p w14:paraId="1986AD8A" w14:textId="77777777" w:rsidR="00AF495F" w:rsidRDefault="00AF495F" w:rsidP="0006414D">
      <w:pPr>
        <w:rPr>
          <w:noProof/>
        </w:rPr>
      </w:pPr>
      <w:r>
        <w:rPr>
          <w:noProof/>
        </w:rPr>
        <w:t>The ACM is of the opinion that the wording of these indications was acceptable, as this product will be used only in tertiary hospitals where the indication will be closely monitored. That said, it was noted that there is a lack of clarity throughout the PI as to the definitions of cIAI, cUTI and HAP that should be remedied, with particular attention needed for cUTI.</w:t>
      </w:r>
    </w:p>
    <w:p w14:paraId="5EBC46D2" w14:textId="77777777" w:rsidR="00AF495F" w:rsidRPr="0006414D" w:rsidRDefault="00AF495F" w:rsidP="0006414D">
      <w:pPr>
        <w:pStyle w:val="Numberbullet0"/>
        <w:rPr>
          <w:b/>
          <w:i/>
          <w:noProof/>
        </w:rPr>
      </w:pPr>
      <w:r w:rsidRPr="0006414D">
        <w:rPr>
          <w:b/>
          <w:i/>
          <w:noProof/>
        </w:rPr>
        <w:lastRenderedPageBreak/>
        <w:t xml:space="preserve">A </w:t>
      </w:r>
      <w:r w:rsidR="0006414D" w:rsidRPr="0006414D">
        <w:rPr>
          <w:b/>
          <w:i/>
          <w:noProof/>
        </w:rPr>
        <w:t>separate indication for use in ‘</w:t>
      </w:r>
      <w:r w:rsidRPr="0006414D">
        <w:rPr>
          <w:b/>
          <w:i/>
          <w:noProof/>
        </w:rPr>
        <w:t>gram-negative infections in patient</w:t>
      </w:r>
      <w:r w:rsidR="00621F59">
        <w:rPr>
          <w:b/>
          <w:i/>
          <w:noProof/>
        </w:rPr>
        <w:t>s with limited treatment option’</w:t>
      </w:r>
      <w:r w:rsidRPr="0006414D">
        <w:rPr>
          <w:b/>
          <w:i/>
          <w:noProof/>
        </w:rPr>
        <w:t xml:space="preserve"> is not supported. A</w:t>
      </w:r>
      <w:r w:rsidR="0006414D" w:rsidRPr="0006414D">
        <w:rPr>
          <w:b/>
          <w:i/>
          <w:noProof/>
        </w:rPr>
        <w:t>dvice is requested from the ACM.</w:t>
      </w:r>
    </w:p>
    <w:p w14:paraId="77F5CF43" w14:textId="77777777" w:rsidR="00AF495F" w:rsidRDefault="00AF495F" w:rsidP="0006414D">
      <w:pPr>
        <w:rPr>
          <w:noProof/>
        </w:rPr>
      </w:pPr>
      <w:r>
        <w:rPr>
          <w:noProof/>
        </w:rPr>
        <w:t>The AC</w:t>
      </w:r>
      <w:r w:rsidR="0006414D">
        <w:rPr>
          <w:noProof/>
        </w:rPr>
        <w:t>M agrees with the D</w:t>
      </w:r>
      <w:r>
        <w:rPr>
          <w:noProof/>
        </w:rPr>
        <w:t>elegate that a separate indication is not supported by the submitted data.</w:t>
      </w:r>
    </w:p>
    <w:p w14:paraId="2C1D298A" w14:textId="77777777" w:rsidR="00AF495F" w:rsidRPr="0006414D" w:rsidRDefault="00AF495F" w:rsidP="0006414D">
      <w:pPr>
        <w:pStyle w:val="Numberbullet0"/>
        <w:rPr>
          <w:b/>
          <w:i/>
          <w:noProof/>
        </w:rPr>
      </w:pPr>
      <w:r w:rsidRPr="0006414D">
        <w:rPr>
          <w:b/>
          <w:i/>
          <w:noProof/>
        </w:rPr>
        <w:t>Lower efficacy and higher mortality was reported in cIAI trials in the presence of renal impairment. Advice from ACM is requested on the suitability of the dosing directions in renal impairment any further precautions for use in this population.</w:t>
      </w:r>
    </w:p>
    <w:p w14:paraId="75CF51B2" w14:textId="77777777" w:rsidR="00AF495F" w:rsidRDefault="00AF495F" w:rsidP="0006414D">
      <w:pPr>
        <w:rPr>
          <w:noProof/>
        </w:rPr>
      </w:pPr>
      <w:r>
        <w:rPr>
          <w:noProof/>
        </w:rPr>
        <w:t>The ACM noted that the studies provided were largely conducted on comparatively ‘well’ patients with low Apache II scores; in the RECLAIM trial renally impaired patients were noted to have worse outcomes with Zavicefta plus metronidazo</w:t>
      </w:r>
      <w:r w:rsidR="0006414D">
        <w:rPr>
          <w:noProof/>
        </w:rPr>
        <w:t>le, compared to meropenem. The s</w:t>
      </w:r>
      <w:r>
        <w:rPr>
          <w:noProof/>
        </w:rPr>
        <w:t>ponsor had subsequently, after further population PK analysis, increased the dosage of Zavicefta in patients with moderate to severe renal impairment. However, the revised dosages in suc</w:t>
      </w:r>
      <w:r w:rsidR="0006414D">
        <w:rPr>
          <w:noProof/>
        </w:rPr>
        <w:t>h patients remains untested in P</w:t>
      </w:r>
      <w:r>
        <w:rPr>
          <w:noProof/>
        </w:rPr>
        <w:t>hase III trials. The Committee</w:t>
      </w:r>
      <w:r w:rsidR="0006414D">
        <w:rPr>
          <w:noProof/>
        </w:rPr>
        <w:t xml:space="preserve"> noted that no patients in the P</w:t>
      </w:r>
      <w:r>
        <w:rPr>
          <w:noProof/>
        </w:rPr>
        <w:t>hase III trials had baseline end stage renal failure (</w:t>
      </w:r>
      <w:r w:rsidR="0006414D">
        <w:rPr>
          <w:noProof/>
        </w:rPr>
        <w:t>CrCL</w:t>
      </w:r>
      <w:r>
        <w:rPr>
          <w:noProof/>
        </w:rPr>
        <w:t xml:space="preserve"> &lt; 30 mL/min) or were in dialysis. Most patients with renal impairment in the RECLAIM study had a baseline </w:t>
      </w:r>
      <w:r w:rsidR="0006414D">
        <w:rPr>
          <w:noProof/>
        </w:rPr>
        <w:t>CrCL of 31 to 50 mL/min.</w:t>
      </w:r>
    </w:p>
    <w:p w14:paraId="2D7E0D34" w14:textId="77777777" w:rsidR="00AF495F" w:rsidRDefault="00AF495F" w:rsidP="0006414D">
      <w:pPr>
        <w:rPr>
          <w:noProof/>
        </w:rPr>
      </w:pPr>
      <w:r>
        <w:rPr>
          <w:noProof/>
        </w:rPr>
        <w:t>The ACM considered there to be little data available to guide dose reduction in the setting of renal impai</w:t>
      </w:r>
      <w:r w:rsidR="0006414D">
        <w:rPr>
          <w:noProof/>
        </w:rPr>
        <w:t>rment. The Committee noted the s</w:t>
      </w:r>
      <w:r>
        <w:rPr>
          <w:noProof/>
        </w:rPr>
        <w:t>ponsor’s argument on underdosing in the RECLAIM trial and considered the population based dose modification in renal impairment to be acceptable, albeit untested. The ACM advised that dose reduction in the setting of renal impairment be further refined with post market surveillance.</w:t>
      </w:r>
    </w:p>
    <w:p w14:paraId="57CD6153" w14:textId="77777777" w:rsidR="00AF495F" w:rsidRPr="0006414D" w:rsidRDefault="00AF495F" w:rsidP="0006414D">
      <w:pPr>
        <w:pStyle w:val="Numberbullet0"/>
        <w:rPr>
          <w:b/>
          <w:i/>
          <w:noProof/>
        </w:rPr>
      </w:pPr>
      <w:r w:rsidRPr="0006414D">
        <w:rPr>
          <w:b/>
          <w:i/>
          <w:noProof/>
        </w:rPr>
        <w:t>Advice is also sought from the ACM on the adequacy of the post-market surveillance for safety and the proposed plan for resistance surveillance.</w:t>
      </w:r>
    </w:p>
    <w:p w14:paraId="7D1B9A65" w14:textId="77777777" w:rsidR="00AF495F" w:rsidRPr="001604AA" w:rsidRDefault="00AF495F" w:rsidP="0006414D">
      <w:pPr>
        <w:rPr>
          <w:noProof/>
        </w:rPr>
      </w:pPr>
      <w:r>
        <w:rPr>
          <w:noProof/>
        </w:rPr>
        <w:t>The ACM was of the view that overall the proposed post-market surveillance and the proposed plan for resistance sur</w:t>
      </w:r>
      <w:r w:rsidR="0006414D">
        <w:rPr>
          <w:noProof/>
        </w:rPr>
        <w:t>veillance were acceptable. The C</w:t>
      </w:r>
      <w:r>
        <w:rPr>
          <w:noProof/>
        </w:rPr>
        <w:t xml:space="preserve">ommittee expressed the opinion that ongoing post-market testing, especially for evolution of resistance among </w:t>
      </w:r>
      <w:r w:rsidR="0006414D" w:rsidRPr="0006414D">
        <w:rPr>
          <w:i/>
          <w:noProof/>
        </w:rPr>
        <w:t>Klebsiella pneumoniae</w:t>
      </w:r>
      <w:r w:rsidR="0006414D" w:rsidRPr="0006414D">
        <w:rPr>
          <w:noProof/>
        </w:rPr>
        <w:t xml:space="preserve"> carbapenemase </w:t>
      </w:r>
      <w:r w:rsidR="0006414D">
        <w:rPr>
          <w:noProof/>
        </w:rPr>
        <w:t>(</w:t>
      </w:r>
      <w:r>
        <w:rPr>
          <w:noProof/>
        </w:rPr>
        <w:t>KPC</w:t>
      </w:r>
      <w:r w:rsidR="0006414D">
        <w:rPr>
          <w:noProof/>
        </w:rPr>
        <w:t>)</w:t>
      </w:r>
      <w:r>
        <w:rPr>
          <w:noProof/>
        </w:rPr>
        <w:t xml:space="preserve"> producing organisms, was desirable.</w:t>
      </w:r>
    </w:p>
    <w:p w14:paraId="26FF0E74" w14:textId="77777777" w:rsidR="00AF495F" w:rsidRPr="0006414D" w:rsidRDefault="00AF495F" w:rsidP="0006414D">
      <w:pPr>
        <w:pStyle w:val="Numberbullet0"/>
        <w:rPr>
          <w:b/>
          <w:i/>
          <w:noProof/>
        </w:rPr>
      </w:pPr>
      <w:r w:rsidRPr="0006414D">
        <w:rPr>
          <w:b/>
          <w:i/>
          <w:noProof/>
        </w:rPr>
        <w:t>The Committee is also requested to provide advice on any other issues that it thinks may be relevant to a decision on whether or not to approve this application.</w:t>
      </w:r>
    </w:p>
    <w:p w14:paraId="21DA3210" w14:textId="77777777" w:rsidR="00AF495F" w:rsidRDefault="00AF495F" w:rsidP="0006414D">
      <w:pPr>
        <w:rPr>
          <w:noProof/>
        </w:rPr>
      </w:pPr>
      <w:r>
        <w:rPr>
          <w:noProof/>
        </w:rPr>
        <w:t>The Committee commented that the Australian antibiotic resistance prevalence data needs to be better presented in the PI. The Committee advised that further data sh</w:t>
      </w:r>
      <w:r w:rsidR="0006414D">
        <w:rPr>
          <w:noProof/>
        </w:rPr>
        <w:t>ould be obtained from the s</w:t>
      </w:r>
      <w:r>
        <w:rPr>
          <w:noProof/>
        </w:rPr>
        <w:t xml:space="preserve">ponsor regarding the </w:t>
      </w:r>
      <w:r w:rsidRPr="00963281">
        <w:rPr>
          <w:noProof/>
        </w:rPr>
        <w:t>antibiotic resistance prevalence table in the PI</w:t>
      </w:r>
      <w:r>
        <w:rPr>
          <w:noProof/>
        </w:rPr>
        <w:t>. Additional data should specify the type of isolates (clinical or screening); the type of study sites (for example tertiary or community hospitals); and the susceptibility testing methods that were employed (for example</w:t>
      </w:r>
      <w:r w:rsidR="001768B5">
        <w:rPr>
          <w:noProof/>
        </w:rPr>
        <w:t xml:space="preserve"> the </w:t>
      </w:r>
      <w:r w:rsidR="001768B5" w:rsidRPr="001768B5">
        <w:rPr>
          <w:noProof/>
        </w:rPr>
        <w:t>European Committee on Antimicrobial Susceptibility Testing</w:t>
      </w:r>
      <w:r>
        <w:rPr>
          <w:noProof/>
        </w:rPr>
        <w:t xml:space="preserve"> </w:t>
      </w:r>
      <w:r w:rsidR="001768B5">
        <w:rPr>
          <w:noProof/>
        </w:rPr>
        <w:t>(</w:t>
      </w:r>
      <w:r>
        <w:rPr>
          <w:noProof/>
        </w:rPr>
        <w:t>EUCAST</w:t>
      </w:r>
      <w:r w:rsidR="001768B5">
        <w:rPr>
          <w:noProof/>
        </w:rPr>
        <w:t>)</w:t>
      </w:r>
      <w:r>
        <w:rPr>
          <w:noProof/>
        </w:rPr>
        <w:t xml:space="preserve"> or </w:t>
      </w:r>
      <w:r w:rsidR="001768B5">
        <w:rPr>
          <w:noProof/>
        </w:rPr>
        <w:t>the Clinical and Laboratory Standards Institute (</w:t>
      </w:r>
      <w:r>
        <w:rPr>
          <w:noProof/>
        </w:rPr>
        <w:t>CLSI</w:t>
      </w:r>
      <w:r w:rsidR="001768B5">
        <w:rPr>
          <w:noProof/>
        </w:rPr>
        <w:t>)</w:t>
      </w:r>
      <w:r>
        <w:rPr>
          <w:noProof/>
        </w:rPr>
        <w:t>). Additionally, the Committee provided comment that aspects of the data table provided seemed to be inaccurate.</w:t>
      </w:r>
    </w:p>
    <w:p w14:paraId="4ABF52F3" w14:textId="77777777" w:rsidR="00456765" w:rsidRPr="009C6596" w:rsidRDefault="00AF495F" w:rsidP="0006414D">
      <w:pPr>
        <w:rPr>
          <w:bCs/>
        </w:rPr>
      </w:pPr>
      <w:r>
        <w:rPr>
          <w:noProof/>
        </w:rPr>
        <w:t>The Committee advised that further clarification is required regarding certain terms in the PI table (such as ESBL (molecular) and ESBL (screen-negative)) and that more information about the surveillance study should be sought.</w:t>
      </w:r>
    </w:p>
    <w:p w14:paraId="28DE0487" w14:textId="77777777" w:rsidR="008E7846" w:rsidRPr="002E238E" w:rsidRDefault="008E7846" w:rsidP="00606551">
      <w:pPr>
        <w:pStyle w:val="Heading3"/>
        <w:pageBreakBefore/>
        <w:spacing w:before="0"/>
      </w:pPr>
      <w:bookmarkStart w:id="78" w:name="_Toc247691532"/>
      <w:bookmarkStart w:id="79" w:name="_Toc314842516"/>
      <w:bookmarkStart w:id="80" w:name="_Toc34385605"/>
      <w:bookmarkEnd w:id="31"/>
      <w:bookmarkEnd w:id="74"/>
      <w:bookmarkEnd w:id="75"/>
      <w:r>
        <w:lastRenderedPageBreak/>
        <w:t>Outcome</w:t>
      </w:r>
      <w:bookmarkEnd w:id="78"/>
      <w:bookmarkEnd w:id="79"/>
      <w:bookmarkEnd w:id="80"/>
    </w:p>
    <w:p w14:paraId="6860771F" w14:textId="77777777" w:rsidR="00AF495F" w:rsidRPr="00D320F4" w:rsidRDefault="00AF495F" w:rsidP="0006414D">
      <w:pPr>
        <w:rPr>
          <w:rFonts w:eastAsiaTheme="minorHAnsi" w:cs="Cambria"/>
        </w:rPr>
      </w:pPr>
      <w:bookmarkStart w:id="81" w:name="_Toc247691533"/>
      <w:bookmarkStart w:id="82" w:name="_Toc314842517"/>
      <w:r w:rsidRPr="00D23139">
        <w:t xml:space="preserve">Based on a review of quality, safety and efficacy, TGA approved the registration of </w:t>
      </w:r>
      <w:r w:rsidR="00D320F4">
        <w:rPr>
          <w:rFonts w:eastAsiaTheme="minorHAnsi" w:cs="Cambria"/>
        </w:rPr>
        <w:t>Zavicefta (ceftazidime pentahydrate and avibactam sodium fixed dose combination)</w:t>
      </w:r>
      <w:r w:rsidRPr="00D23139">
        <w:t xml:space="preserve"> </w:t>
      </w:r>
      <w:r w:rsidR="00D320F4">
        <w:t>powder for injection</w:t>
      </w:r>
      <w:r w:rsidRPr="00D23139">
        <w:t>, indicated for:</w:t>
      </w:r>
    </w:p>
    <w:p w14:paraId="57C6D66C" w14:textId="77777777" w:rsidR="00D320F4" w:rsidRPr="004345BE" w:rsidRDefault="00D320F4" w:rsidP="00D320F4">
      <w:pPr>
        <w:ind w:left="360"/>
        <w:rPr>
          <w:i/>
        </w:rPr>
      </w:pPr>
      <w:r w:rsidRPr="004345BE">
        <w:rPr>
          <w:i/>
        </w:rPr>
        <w:t>Z</w:t>
      </w:r>
      <w:r>
        <w:rPr>
          <w:i/>
        </w:rPr>
        <w:t>avicefta</w:t>
      </w:r>
      <w:r w:rsidRPr="004345BE">
        <w:rPr>
          <w:i/>
        </w:rPr>
        <w:t xml:space="preserve"> is indicated for the treatment of the following infections in adults</w:t>
      </w:r>
      <w:r>
        <w:rPr>
          <w:i/>
        </w:rPr>
        <w:t xml:space="preserve"> </w:t>
      </w:r>
      <w:r w:rsidRPr="00DA6631">
        <w:rPr>
          <w:i/>
        </w:rPr>
        <w:t>(see sections 4.4 Special warnings and precautions for use and 5.1 Pharmacodynamic properties):</w:t>
      </w:r>
    </w:p>
    <w:p w14:paraId="021CD83C" w14:textId="77777777" w:rsidR="00D320F4" w:rsidRPr="00B27628" w:rsidRDefault="00D320F4" w:rsidP="00D320F4">
      <w:pPr>
        <w:pStyle w:val="ListBullet"/>
        <w:numPr>
          <w:ilvl w:val="0"/>
          <w:numId w:val="3"/>
        </w:numPr>
        <w:ind w:left="720"/>
        <w:rPr>
          <w:i/>
        </w:rPr>
      </w:pPr>
      <w:r w:rsidRPr="00B27628">
        <w:rPr>
          <w:i/>
        </w:rPr>
        <w:t>Complicated intra-abdominal infection (cIAI), in</w:t>
      </w:r>
      <w:r>
        <w:rPr>
          <w:i/>
        </w:rPr>
        <w:t xml:space="preserve"> combination with metronidazole.</w:t>
      </w:r>
    </w:p>
    <w:p w14:paraId="27A037F6" w14:textId="77777777" w:rsidR="00D320F4" w:rsidRPr="00B27628" w:rsidRDefault="00D320F4" w:rsidP="00D320F4">
      <w:pPr>
        <w:pStyle w:val="ListBullet"/>
        <w:numPr>
          <w:ilvl w:val="0"/>
          <w:numId w:val="3"/>
        </w:numPr>
        <w:ind w:left="720"/>
        <w:rPr>
          <w:i/>
        </w:rPr>
      </w:pPr>
      <w:r w:rsidRPr="00B27628">
        <w:rPr>
          <w:i/>
        </w:rPr>
        <w:t>Complicated urinary tract infection (cUTI), including pyelonephritis.</w:t>
      </w:r>
    </w:p>
    <w:p w14:paraId="488F9AC1" w14:textId="77777777" w:rsidR="00D320F4" w:rsidRPr="00B27628" w:rsidRDefault="00D320F4" w:rsidP="00D320F4">
      <w:pPr>
        <w:pStyle w:val="ListBullet"/>
        <w:numPr>
          <w:ilvl w:val="0"/>
          <w:numId w:val="3"/>
        </w:numPr>
        <w:ind w:left="720"/>
        <w:rPr>
          <w:i/>
        </w:rPr>
      </w:pPr>
      <w:r w:rsidRPr="00B27628">
        <w:rPr>
          <w:i/>
        </w:rPr>
        <w:t>Hospital-acquired pneumonia (HAP), including ventilator associated pneumonia (VAP).</w:t>
      </w:r>
    </w:p>
    <w:p w14:paraId="4830CC68" w14:textId="77777777" w:rsidR="00D320F4" w:rsidRPr="004345BE" w:rsidRDefault="00D320F4" w:rsidP="00D320F4">
      <w:pPr>
        <w:ind w:left="360"/>
        <w:rPr>
          <w:i/>
        </w:rPr>
      </w:pPr>
      <w:r w:rsidRPr="004345BE">
        <w:rPr>
          <w:i/>
        </w:rPr>
        <w:t>Consideration should be given to official guidance on the appropriate use of antibacterial agents.</w:t>
      </w:r>
    </w:p>
    <w:p w14:paraId="131E9A02" w14:textId="77777777" w:rsidR="00D320F4" w:rsidRPr="00D23139" w:rsidRDefault="00D320F4" w:rsidP="00D320F4">
      <w:pPr>
        <w:ind w:left="360"/>
      </w:pPr>
      <w:r w:rsidRPr="004345BE">
        <w:rPr>
          <w:i/>
        </w:rPr>
        <w:t>Z</w:t>
      </w:r>
      <w:r>
        <w:rPr>
          <w:i/>
        </w:rPr>
        <w:t>avicefta</w:t>
      </w:r>
      <w:r w:rsidRPr="004345BE">
        <w:rPr>
          <w:i/>
        </w:rPr>
        <w:t xml:space="preserve"> should be used in combination with an antibacterial agent(s) active against Gram-positive and/or anaerobic pathogens when these are known or suspected to be contributing to the infectious process.</w:t>
      </w:r>
    </w:p>
    <w:p w14:paraId="18070B9B" w14:textId="77777777" w:rsidR="00D23139" w:rsidRPr="00D23139" w:rsidRDefault="00D23139" w:rsidP="00D23139">
      <w:pPr>
        <w:pStyle w:val="Heading4"/>
      </w:pPr>
      <w:r w:rsidRPr="00D23139">
        <w:t>Specific conditions of registration applying to these goods</w:t>
      </w:r>
    </w:p>
    <w:p w14:paraId="6154FAB8" w14:textId="77777777" w:rsidR="00AF495F" w:rsidRDefault="00AF495F" w:rsidP="00D320F4">
      <w:pPr>
        <w:pStyle w:val="ListBullet"/>
      </w:pPr>
      <w:r>
        <w:t>Zavicefta (ceftazidime/avibactam) is to be included in the Black Triangle Scheme. The PI and CMI for Zavicefta must include the black triangle symbol and mandatory accompanying text for five years, which starts from the date that the sponsor notifies the TGA of supply of the product.</w:t>
      </w:r>
    </w:p>
    <w:p w14:paraId="142354A4" w14:textId="77777777" w:rsidR="00AF495F" w:rsidRDefault="00AF495F" w:rsidP="00D320F4">
      <w:pPr>
        <w:pStyle w:val="ListBullet"/>
      </w:pPr>
      <w:r>
        <w:t>The Zavicefta EU-</w:t>
      </w:r>
      <w:r w:rsidR="0006414D">
        <w:t>RMP</w:t>
      </w:r>
      <w:r>
        <w:t xml:space="preserve"> (version 2.0, dated 20 Dec 2017, </w:t>
      </w:r>
      <w:r w:rsidR="0006414D">
        <w:t>DLP</w:t>
      </w:r>
      <w:r>
        <w:t xml:space="preserve"> 24 Aug</w:t>
      </w:r>
      <w:r w:rsidR="0006414D">
        <w:t>ust</w:t>
      </w:r>
      <w:r>
        <w:t xml:space="preserve"> 2017), with </w:t>
      </w:r>
      <w:r w:rsidR="0006414D">
        <w:t>ASA</w:t>
      </w:r>
      <w:r>
        <w:t xml:space="preserve"> (version 1.0, dated 25 Jan</w:t>
      </w:r>
      <w:r w:rsidR="0006414D">
        <w:t>uary</w:t>
      </w:r>
      <w:r>
        <w:t xml:space="preserve"> 2018), include</w:t>
      </w:r>
      <w:r w:rsidR="0006414D">
        <w:t>d with submission PM</w:t>
      </w:r>
      <w:r w:rsidR="0006414D">
        <w:noBreakHyphen/>
        <w:t>2018</w:t>
      </w:r>
      <w:r w:rsidR="0006414D">
        <w:noBreakHyphen/>
        <w:t>00931</w:t>
      </w:r>
      <w:r w:rsidR="0006414D">
        <w:noBreakHyphen/>
      </w:r>
      <w:r>
        <w:t>1-2, and any subsequent revisions, as agreed with the TGA will be implemented in Australia.</w:t>
      </w:r>
    </w:p>
    <w:p w14:paraId="2A72CB5B" w14:textId="77777777" w:rsidR="00AF495F" w:rsidRDefault="00AF495F" w:rsidP="00D320F4">
      <w:pPr>
        <w:pStyle w:val="ListBullet"/>
        <w:numPr>
          <w:ilvl w:val="0"/>
          <w:numId w:val="0"/>
        </w:numPr>
        <w:ind w:left="360"/>
      </w:pPr>
      <w:r>
        <w:t xml:space="preserve">An obligatory component of risk management plans is routine pharmacovigilance. Routine pharmacovigilance includes the submission of </w:t>
      </w:r>
      <w:r w:rsidR="0006414D">
        <w:t>PSURs</w:t>
      </w:r>
      <w:r>
        <w:t>.</w:t>
      </w:r>
    </w:p>
    <w:p w14:paraId="10F0293E" w14:textId="77777777" w:rsidR="00AF495F" w:rsidRDefault="00AF495F" w:rsidP="00D320F4">
      <w:pPr>
        <w:pStyle w:val="ListBullet"/>
        <w:numPr>
          <w:ilvl w:val="0"/>
          <w:numId w:val="0"/>
        </w:numPr>
        <w:ind w:left="360"/>
      </w:pPr>
      <w:r>
        <w:t>Reports are to be provided in line with the current published list of EU reference dates and frequency of submission of PSURs until the period covered by such reports is not less than three years from the date of this approval letter.</w:t>
      </w:r>
    </w:p>
    <w:p w14:paraId="686AF86D" w14:textId="77777777" w:rsidR="009752A5" w:rsidRDefault="00AF495F" w:rsidP="00D320F4">
      <w:pPr>
        <w:pStyle w:val="ListBullet"/>
        <w:numPr>
          <w:ilvl w:val="0"/>
          <w:numId w:val="0"/>
        </w:numPr>
        <w:ind w:left="360"/>
      </w:pPr>
      <w:r>
        <w:t>The reports are to at least meet the requirements for PSURs as described in the European M</w:t>
      </w:r>
      <w:r w:rsidR="0006414D">
        <w:t>edicines Agency’s Guideline on Good Pharmacovigilance P</w:t>
      </w:r>
      <w:r>
        <w:t>ractices (GVP) Module VII-Periodic Safety Update Report (Rev 1), Part VII.B Structures and processes. Note that submission of a PSUR does not constitute an application to vary the registration.</w:t>
      </w:r>
    </w:p>
    <w:p w14:paraId="6AC963AF" w14:textId="77777777" w:rsidR="007203C8" w:rsidRDefault="007203C8" w:rsidP="007203C8">
      <w:pPr>
        <w:pStyle w:val="ListBullet"/>
      </w:pPr>
      <w:r>
        <w:t>For all injectable products the PI must be included with the product as a package insert.</w:t>
      </w:r>
    </w:p>
    <w:p w14:paraId="4B02149A" w14:textId="77777777" w:rsidR="008E7846" w:rsidRDefault="00A80B5B" w:rsidP="00D23139">
      <w:pPr>
        <w:pStyle w:val="Heading2"/>
      </w:pPr>
      <w:bookmarkStart w:id="83" w:name="_Toc34385606"/>
      <w:r>
        <w:t xml:space="preserve">Attachment 1. </w:t>
      </w:r>
      <w:r w:rsidR="008E7846">
        <w:t xml:space="preserve">Product </w:t>
      </w:r>
      <w:r w:rsidR="00AA0ED0">
        <w:t>I</w:t>
      </w:r>
      <w:r w:rsidR="008E7846">
        <w:t>nformation</w:t>
      </w:r>
      <w:bookmarkEnd w:id="81"/>
      <w:bookmarkEnd w:id="82"/>
      <w:bookmarkEnd w:id="83"/>
    </w:p>
    <w:p w14:paraId="29DD44AB" w14:textId="77777777" w:rsidR="00770CAC" w:rsidRPr="00AF495F" w:rsidRDefault="006136D7" w:rsidP="00AF495F">
      <w:pPr>
        <w:rPr>
          <w:color w:val="000000"/>
          <w:lang w:eastAsia="en-AU"/>
        </w:rPr>
      </w:pPr>
      <w:r w:rsidRPr="002B3624">
        <w:t xml:space="preserve">The </w:t>
      </w:r>
      <w:r>
        <w:t>PI</w:t>
      </w:r>
      <w:r w:rsidRPr="002B3624">
        <w:t xml:space="preserve"> for </w:t>
      </w:r>
      <w:r w:rsidR="00AF495F">
        <w:t>Zavicefta</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45" w:history="1">
        <w:r w:rsidR="007C6B9B" w:rsidRPr="007C6B9B">
          <w:rPr>
            <w:rStyle w:val="Hyperlink"/>
          </w:rPr>
          <w:t>https://www.tga.gov.au/product-information-pi</w:t>
        </w:r>
      </w:hyperlink>
      <w:r w:rsidR="00AF495F">
        <w:t>&gt;.</w:t>
      </w:r>
    </w:p>
    <w:p w14:paraId="28A01D1A" w14:textId="77777777" w:rsidR="00291957" w:rsidRDefault="00291957" w:rsidP="00291957">
      <w:pPr>
        <w:rPr>
          <w:lang w:eastAsia="ja-JP"/>
        </w:rPr>
      </w:pPr>
    </w:p>
    <w:p w14:paraId="21894524" w14:textId="77777777" w:rsidR="00C80137" w:rsidRPr="001D043B" w:rsidRDefault="00C80137" w:rsidP="003A7F6C">
      <w:pPr>
        <w:pStyle w:val="TableTitle"/>
        <w:sectPr w:rsidR="00C80137" w:rsidRPr="001D043B" w:rsidSect="00B452CE">
          <w:headerReference w:type="even" r:id="rId46"/>
          <w:headerReference w:type="default" r:id="rId47"/>
          <w:headerReference w:type="first" r:id="rId48"/>
          <w:footerReference w:type="first" r:id="rId49"/>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48E5D3C8" w14:textId="77777777" w:rsidTr="00A05FA4">
        <w:trPr>
          <w:trHeight w:hRule="exact" w:val="704"/>
        </w:trPr>
        <w:tc>
          <w:tcPr>
            <w:tcW w:w="9175" w:type="dxa"/>
          </w:tcPr>
          <w:p w14:paraId="2A2E2FA0" w14:textId="77777777" w:rsidR="001C32CD" w:rsidRPr="00487162" w:rsidRDefault="001C32CD" w:rsidP="00A05FA4">
            <w:pPr>
              <w:pStyle w:val="TGASignoff"/>
            </w:pPr>
            <w:r w:rsidRPr="00487162">
              <w:lastRenderedPageBreak/>
              <w:t>Therapeutic Goods Administration</w:t>
            </w:r>
          </w:p>
        </w:tc>
      </w:tr>
      <w:tr w:rsidR="001C32CD" w:rsidRPr="004C239D" w14:paraId="057BE0E4" w14:textId="77777777" w:rsidTr="00A05FA4">
        <w:trPr>
          <w:trHeight w:val="1221"/>
        </w:trPr>
        <w:tc>
          <w:tcPr>
            <w:tcW w:w="9175" w:type="dxa"/>
            <w:tcMar>
              <w:top w:w="28" w:type="dxa"/>
            </w:tcMar>
          </w:tcPr>
          <w:p w14:paraId="33FA8483" w14:textId="77777777" w:rsidR="001C32CD" w:rsidRPr="00487162" w:rsidRDefault="001C32CD" w:rsidP="00A05FA4">
            <w:pPr>
              <w:pStyle w:val="Address"/>
            </w:pPr>
            <w:r w:rsidRPr="00487162">
              <w:t>PO Box 100 Woden ACT 2606 Australia</w:t>
            </w:r>
          </w:p>
          <w:p w14:paraId="2CBA5BCD" w14:textId="77777777" w:rsidR="001C32CD" w:rsidRPr="00487162" w:rsidRDefault="001C32CD" w:rsidP="00A05FA4">
            <w:pPr>
              <w:pStyle w:val="Address"/>
            </w:pPr>
            <w:r w:rsidRPr="00487162">
              <w:t xml:space="preserve">Email: </w:t>
            </w:r>
            <w:hyperlink r:id="rId50" w:history="1">
              <w:r w:rsidRPr="004C239D">
                <w:rPr>
                  <w:rStyle w:val="Hyperlink"/>
                </w:rPr>
                <w:t>info@tga.gov.au</w:t>
              </w:r>
            </w:hyperlink>
            <w:r w:rsidRPr="00487162">
              <w:t xml:space="preserve">  Phone: 1800 020 653  Fax: 02 6232 8605</w:t>
            </w:r>
          </w:p>
          <w:p w14:paraId="04608285" w14:textId="77777777" w:rsidR="001C32CD" w:rsidRPr="004C239D" w:rsidRDefault="001D06C7" w:rsidP="00A05FA4">
            <w:pPr>
              <w:pStyle w:val="Address"/>
              <w:spacing w:line="260" w:lineRule="atLeast"/>
              <w:rPr>
                <w:b/>
                <w:color w:val="0000FF"/>
                <w:u w:val="single"/>
              </w:rPr>
            </w:pPr>
            <w:hyperlink r:id="rId51" w:history="1">
              <w:r w:rsidR="007C6B9B" w:rsidRPr="007C6B9B">
                <w:rPr>
                  <w:rStyle w:val="Hyperlink"/>
                  <w:b/>
                </w:rPr>
                <w:t>https://www.tga.gov.au</w:t>
              </w:r>
            </w:hyperlink>
          </w:p>
        </w:tc>
      </w:tr>
    </w:tbl>
    <w:p w14:paraId="7C6F439F" w14:textId="77777777" w:rsidR="00774E1D" w:rsidRPr="008A5E0B" w:rsidRDefault="00774E1D" w:rsidP="004C239D"/>
    <w:sectPr w:rsidR="00774E1D" w:rsidRPr="008A5E0B" w:rsidSect="001C32CD">
      <w:headerReference w:type="even" r:id="rId52"/>
      <w:headerReference w:type="default" r:id="rId53"/>
      <w:footerReference w:type="default" r:id="rId54"/>
      <w:headerReference w:type="first" r:id="rId55"/>
      <w:footerReference w:type="first" r:id="rId56"/>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F2881C" w14:textId="77777777" w:rsidR="001D06C7" w:rsidRDefault="001D06C7" w:rsidP="00C40A36">
      <w:pPr>
        <w:spacing w:after="0"/>
      </w:pPr>
      <w:r>
        <w:separator/>
      </w:r>
    </w:p>
  </w:endnote>
  <w:endnote w:type="continuationSeparator" w:id="0">
    <w:p w14:paraId="557D0F8F" w14:textId="77777777" w:rsidR="001D06C7" w:rsidRDefault="001D06C7"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TimesNewRoman">
    <w:altName w:val="MS Gothic"/>
    <w:panose1 w:val="00000000000000000000"/>
    <w:charset w:val="A1"/>
    <w:family w:val="auto"/>
    <w:notTrueType/>
    <w:pitch w:val="default"/>
    <w:sig w:usb0="00000081" w:usb1="08070000" w:usb2="00000010" w:usb3="00000000" w:csb0="00020008" w:csb1="00000000"/>
  </w:font>
  <w:font w:name="Wingdings 3">
    <w:panose1 w:val="05040102010807070707"/>
    <w:charset w:val="02"/>
    <w:family w:val="roman"/>
    <w:pitch w:val="variable"/>
    <w:sig w:usb0="00000000" w:usb1="10000000" w:usb2="00000000" w:usb3="00000000" w:csb0="80000000" w:csb1="00000000"/>
  </w:font>
  <w:font w:name="TimesNewRoman,Italic">
    <w:altName w:val="Yu Gothic UI"/>
    <w:panose1 w:val="00000000000000000000"/>
    <w:charset w:val="00"/>
    <w:family w:val="roman"/>
    <w:notTrueType/>
    <w:pitch w:val="default"/>
    <w:sig w:usb0="00000083" w:usb1="08070000" w:usb2="00000010" w:usb3="00000000" w:csb0="00020009"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1D06C7" w:rsidRPr="00487162" w14:paraId="1A73F9B9" w14:textId="77777777" w:rsidTr="00DB750B">
      <w:trPr>
        <w:trHeight w:val="269"/>
      </w:trPr>
      <w:tc>
        <w:tcPr>
          <w:tcW w:w="7371" w:type="dxa"/>
          <w:tcMar>
            <w:top w:w="142" w:type="dxa"/>
            <w:bottom w:w="0" w:type="dxa"/>
          </w:tcMar>
        </w:tcPr>
        <w:p w14:paraId="305927DA" w14:textId="5B060C99" w:rsidR="001D06C7" w:rsidRPr="00487162" w:rsidRDefault="001D06C7" w:rsidP="001A3D34">
          <w:pPr>
            <w:pStyle w:val="Footer"/>
          </w:pPr>
          <w:r w:rsidRPr="00487162">
            <w:t>AusPA</w:t>
          </w:r>
          <w:r>
            <w:t>R - ZAFICEFTA - ceftazidime/</w:t>
          </w:r>
          <w:r w:rsidRPr="006F48EE">
            <w:t>avibactam</w:t>
          </w:r>
          <w:r>
            <w:t xml:space="preserve"> - Pfizer </w:t>
          </w:r>
          <w:r w:rsidRPr="006F48EE">
            <w:t>Australia Pty Ltd</w:t>
          </w:r>
          <w:r>
            <w:t xml:space="preserve"> - </w:t>
          </w:r>
          <w:r w:rsidRPr="006F48EE">
            <w:t>PM-2018-00931-1-2</w:t>
          </w:r>
          <w:r>
            <w:br/>
            <w:t>FINAL 24 February 2020</w:t>
          </w:r>
        </w:p>
      </w:tc>
      <w:tc>
        <w:tcPr>
          <w:tcW w:w="1490" w:type="dxa"/>
          <w:tcMar>
            <w:top w:w="142" w:type="dxa"/>
            <w:bottom w:w="0" w:type="dxa"/>
          </w:tcMar>
        </w:tcPr>
        <w:p w14:paraId="675A9E33" w14:textId="79287BE3" w:rsidR="001D06C7" w:rsidRPr="00487162" w:rsidRDefault="001D06C7" w:rsidP="00DB750B">
          <w:pPr>
            <w:pStyle w:val="Footer"/>
            <w:jc w:val="right"/>
          </w:pPr>
          <w:r w:rsidRPr="00487162">
            <w:t xml:space="preserve">Page </w:t>
          </w:r>
          <w:r>
            <w:fldChar w:fldCharType="begin"/>
          </w:r>
          <w:r>
            <w:instrText xml:space="preserve"> PAGE  \* Arabic </w:instrText>
          </w:r>
          <w:r>
            <w:fldChar w:fldCharType="separate"/>
          </w:r>
          <w:r w:rsidR="00FC03C0">
            <w:rPr>
              <w:noProof/>
            </w:rPr>
            <w:t>3</w:t>
          </w:r>
          <w:r>
            <w:fldChar w:fldCharType="end"/>
          </w:r>
          <w:r w:rsidRPr="00487162">
            <w:t xml:space="preserve"> of </w:t>
          </w:r>
          <w:fldSimple w:instr=" NUMPAGES  \* Arabic ">
            <w:r w:rsidR="00FC03C0">
              <w:rPr>
                <w:noProof/>
              </w:rPr>
              <w:t>38</w:t>
            </w:r>
          </w:fldSimple>
        </w:p>
      </w:tc>
    </w:tr>
  </w:tbl>
  <w:p w14:paraId="6E3FF6F6" w14:textId="77777777" w:rsidR="001D06C7" w:rsidRDefault="001D06C7"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1D06C7" w:rsidRPr="00487162" w14:paraId="67382D48" w14:textId="77777777" w:rsidTr="00E45619">
      <w:trPr>
        <w:trHeight w:val="269"/>
      </w:trPr>
      <w:tc>
        <w:tcPr>
          <w:tcW w:w="4519" w:type="dxa"/>
          <w:tcBorders>
            <w:top w:val="single" w:sz="4" w:space="0" w:color="auto"/>
          </w:tcBorders>
          <w:tcMar>
            <w:top w:w="142" w:type="dxa"/>
            <w:bottom w:w="0" w:type="dxa"/>
          </w:tcMar>
        </w:tcPr>
        <w:p w14:paraId="3B29381B" w14:textId="77777777" w:rsidR="001D06C7" w:rsidRPr="00487162" w:rsidRDefault="001D06C7" w:rsidP="00FE1DEE">
          <w:pPr>
            <w:pStyle w:val="Footer"/>
          </w:pPr>
          <w:r w:rsidRPr="00487162">
            <w:t>Document title, Part #, Section # - Section title</w:t>
          </w:r>
        </w:p>
        <w:p w14:paraId="375A376E" w14:textId="77777777" w:rsidR="001D06C7" w:rsidRPr="00487162" w:rsidRDefault="001D06C7" w:rsidP="00FE1DEE">
          <w:pPr>
            <w:pStyle w:val="Footer"/>
          </w:pPr>
          <w:r w:rsidRPr="00487162">
            <w:t>V1.0 October 2010</w:t>
          </w:r>
        </w:p>
      </w:tc>
      <w:tc>
        <w:tcPr>
          <w:tcW w:w="4342" w:type="dxa"/>
          <w:tcBorders>
            <w:top w:val="single" w:sz="4" w:space="0" w:color="auto"/>
          </w:tcBorders>
          <w:tcMar>
            <w:top w:w="142" w:type="dxa"/>
            <w:bottom w:w="0" w:type="dxa"/>
          </w:tcMar>
        </w:tcPr>
        <w:p w14:paraId="1B0D45B7" w14:textId="77777777" w:rsidR="001D06C7" w:rsidRPr="00487162" w:rsidRDefault="001D06C7"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14:paraId="712E1F03" w14:textId="77777777" w:rsidR="001D06C7" w:rsidRDefault="001D06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4870D" w14:textId="77777777" w:rsidR="001D06C7" w:rsidRPr="001C32CD" w:rsidRDefault="001D06C7"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1D06C7" w14:paraId="06E39ECA" w14:textId="77777777" w:rsidTr="0010601F">
      <w:trPr>
        <w:trHeight w:val="108"/>
      </w:trPr>
      <w:tc>
        <w:tcPr>
          <w:tcW w:w="8875" w:type="dxa"/>
          <w:gridSpan w:val="2"/>
          <w:tcBorders>
            <w:bottom w:val="single" w:sz="4" w:space="0" w:color="auto"/>
          </w:tcBorders>
          <w:tcMar>
            <w:right w:w="284" w:type="dxa"/>
          </w:tcMar>
        </w:tcPr>
        <w:p w14:paraId="2F747C8F" w14:textId="77777777" w:rsidR="001D06C7" w:rsidRDefault="001D06C7" w:rsidP="006E08B3">
          <w:pPr>
            <w:pStyle w:val="Heading3"/>
          </w:pPr>
          <w:r>
            <w:t>Copyright</w:t>
          </w:r>
        </w:p>
        <w:p w14:paraId="22DB3C90" w14:textId="77777777" w:rsidR="001D06C7" w:rsidRDefault="001D06C7" w:rsidP="006E08B3">
          <w:r>
            <w:rPr>
              <w:rFonts w:cs="Arial"/>
            </w:rPr>
            <w:t>©</w:t>
          </w:r>
          <w:r>
            <w:t xml:space="preserve"> Commonwealth of Australia [add year]</w:t>
          </w:r>
        </w:p>
        <w:p w14:paraId="4FAF2625" w14:textId="77777777" w:rsidR="001D06C7" w:rsidRDefault="001D06C7" w:rsidP="006E08B3"/>
        <w:p w14:paraId="0D573E60" w14:textId="77777777" w:rsidR="001D06C7" w:rsidRDefault="001D06C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67008FB0" w14:textId="77777777" w:rsidR="001D06C7" w:rsidRDefault="001D06C7" w:rsidP="006E08B3"/>
        <w:p w14:paraId="1B95303A" w14:textId="77777777" w:rsidR="001D06C7" w:rsidRDefault="001D06C7" w:rsidP="006E08B3">
          <w:pPr>
            <w:pStyle w:val="Heading3"/>
          </w:pPr>
          <w:r>
            <w:t>Confidentiality</w:t>
          </w:r>
        </w:p>
        <w:p w14:paraId="4567DA04" w14:textId="77777777" w:rsidR="001D06C7" w:rsidRDefault="001D06C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3C23A717" w14:textId="77777777" w:rsidR="001D06C7" w:rsidRDefault="001D06C7" w:rsidP="006E08B3"/>
        <w:p w14:paraId="3ECDFCD1" w14:textId="77777777" w:rsidR="001D06C7" w:rsidRDefault="001D06C7" w:rsidP="006E08B3">
          <w:r>
            <w:t>For submission made by individuals, all personal details, other than your name, will be removed from your submission before it is published on the TGA’s Internet site.</w:t>
          </w:r>
        </w:p>
        <w:p w14:paraId="7F68A122" w14:textId="77777777" w:rsidR="001D06C7" w:rsidRDefault="001D06C7" w:rsidP="006E08B3"/>
        <w:p w14:paraId="6BFA92EE" w14:textId="77777777" w:rsidR="001D06C7" w:rsidRDefault="001D06C7" w:rsidP="006E08B3">
          <w:r>
            <w:t>In addition, a list of parties making submissions will be published. If you do not wish to be identified with your submission you must specifically request this in the space provided ib the submission coversheet.</w:t>
          </w:r>
        </w:p>
      </w:tc>
    </w:tr>
    <w:tr w:rsidR="001D06C7" w14:paraId="2C01DBF2" w14:textId="77777777" w:rsidTr="0010601F">
      <w:trPr>
        <w:trHeight w:val="417"/>
      </w:trPr>
      <w:tc>
        <w:tcPr>
          <w:tcW w:w="4519" w:type="dxa"/>
          <w:tcBorders>
            <w:top w:val="single" w:sz="4" w:space="0" w:color="auto"/>
          </w:tcBorders>
          <w:tcMar>
            <w:top w:w="142" w:type="dxa"/>
            <w:bottom w:w="0" w:type="dxa"/>
          </w:tcMar>
        </w:tcPr>
        <w:p w14:paraId="654F5544" w14:textId="77777777" w:rsidR="001D06C7" w:rsidRDefault="001D06C7" w:rsidP="006E08B3">
          <w:r>
            <w:t>Document title, Part #, Section # - Section title</w:t>
          </w:r>
        </w:p>
        <w:p w14:paraId="2F870026" w14:textId="77777777" w:rsidR="001D06C7" w:rsidRDefault="001D06C7" w:rsidP="006E08B3">
          <w:r>
            <w:t>V1.0 October 2010</w:t>
          </w:r>
        </w:p>
      </w:tc>
      <w:tc>
        <w:tcPr>
          <w:tcW w:w="4356" w:type="dxa"/>
          <w:tcBorders>
            <w:top w:val="single" w:sz="4" w:space="0" w:color="auto"/>
          </w:tcBorders>
          <w:tcMar>
            <w:top w:w="142" w:type="dxa"/>
            <w:bottom w:w="0" w:type="dxa"/>
          </w:tcMar>
        </w:tcPr>
        <w:p w14:paraId="691D819A" w14:textId="77777777" w:rsidR="001D06C7" w:rsidRDefault="001D06C7"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14:paraId="5E5F9513" w14:textId="77777777" w:rsidR="001D06C7" w:rsidRDefault="001D06C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39B569" w14:textId="77777777" w:rsidR="001D06C7" w:rsidRDefault="001D06C7" w:rsidP="00C40A36">
      <w:pPr>
        <w:spacing w:after="0"/>
      </w:pPr>
      <w:r>
        <w:separator/>
      </w:r>
    </w:p>
  </w:footnote>
  <w:footnote w:type="continuationSeparator" w:id="0">
    <w:p w14:paraId="4A10E7DB" w14:textId="77777777" w:rsidR="001D06C7" w:rsidRDefault="001D06C7" w:rsidP="00C40A36">
      <w:pPr>
        <w:spacing w:after="0"/>
      </w:pPr>
      <w:r>
        <w:continuationSeparator/>
      </w:r>
    </w:p>
  </w:footnote>
  <w:footnote w:id="1">
    <w:p w14:paraId="403F748A" w14:textId="77777777" w:rsidR="001D06C7" w:rsidRPr="004763BE" w:rsidRDefault="001D06C7" w:rsidP="00D90F71">
      <w:pPr>
        <w:pStyle w:val="FootnoteText"/>
        <w:rPr>
          <w:sz w:val="15"/>
          <w:szCs w:val="15"/>
        </w:rPr>
      </w:pPr>
      <w:r>
        <w:rPr>
          <w:rStyle w:val="FootnoteReference"/>
        </w:rPr>
        <w:footnoteRef/>
      </w:r>
      <w:r>
        <w:t xml:space="preserve"> </w:t>
      </w:r>
      <w:r w:rsidRPr="004763BE">
        <w:rPr>
          <w:sz w:val="15"/>
          <w:szCs w:val="15"/>
        </w:rPr>
        <w:t>The COR report-based process is associated with a shortened evaluation and decision timeframe. The aim of this process is to reduce duplication of evaluation of prescription medicines that have already been approved by a COR, while maintaining existing quality, safety and efficacy standards for medicines supplied in Australia.</w:t>
      </w:r>
    </w:p>
    <w:p w14:paraId="4422E0AF" w14:textId="5EA59BDC" w:rsidR="001D06C7" w:rsidRPr="004763BE" w:rsidRDefault="001D06C7" w:rsidP="00D90F71">
      <w:pPr>
        <w:pStyle w:val="FootnoteText"/>
        <w:rPr>
          <w:sz w:val="15"/>
          <w:szCs w:val="15"/>
        </w:rPr>
      </w:pPr>
      <w:r w:rsidRPr="004763BE">
        <w:rPr>
          <w:sz w:val="15"/>
          <w:szCs w:val="15"/>
        </w:rPr>
        <w:t>The intention is that the TGA will only need to evaluate data generated specifically for the Australian context. For example, Australian labels, product information and consumer medicine information. However, in some instances, additional data may need to be considered. For example, safety data generated since the COR approval. Under the COR-B approach, the TGA regulatory decision will still be mostly based on a critical review of the COR assessment reports. The COR-B process has a 175 working day evaluation and decision timeframe, allowing for TGA evaluation of certain data, in addition to the label, PI and RMP.</w:t>
      </w:r>
    </w:p>
  </w:footnote>
  <w:footnote w:id="2">
    <w:p w14:paraId="09127B0F" w14:textId="77777777" w:rsidR="001D06C7" w:rsidRPr="001A3D34" w:rsidRDefault="001D06C7">
      <w:pPr>
        <w:pStyle w:val="FootnoteText"/>
        <w:rPr>
          <w:lang w:val="en-GB"/>
        </w:rPr>
      </w:pPr>
      <w:r>
        <w:rPr>
          <w:rStyle w:val="FootnoteReference"/>
        </w:rPr>
        <w:footnoteRef/>
      </w:r>
      <w:r>
        <w:t xml:space="preserve"> </w:t>
      </w:r>
      <w:r w:rsidRPr="00CC2BBB">
        <w:t>The molecular classification</w:t>
      </w:r>
      <w:r>
        <w:t xml:space="preserve"> of </w:t>
      </w:r>
      <w:r w:rsidRPr="00CC2BBB">
        <w:t>β</w:t>
      </w:r>
      <w:r>
        <w:t>-lactamases</w:t>
      </w:r>
      <w:r w:rsidRPr="00CC2BBB">
        <w:t xml:space="preserve"> is based on the amino acid sequence</w:t>
      </w:r>
      <w:r>
        <w:t xml:space="preserve">; class A, C and D </w:t>
      </w:r>
      <w:r w:rsidRPr="00CC2BBB">
        <w:t>β</w:t>
      </w:r>
      <w:r>
        <w:t xml:space="preserve">-lactases use serine for β-lactam hydrolysis whereas substrate hydrolysis by class B </w:t>
      </w:r>
      <w:r w:rsidRPr="00CC2BBB">
        <w:t>β</w:t>
      </w:r>
      <w:r>
        <w:t>-lactamases (metalloenzymes) requires divalent zinc ions.</w:t>
      </w:r>
    </w:p>
  </w:footnote>
  <w:footnote w:id="3">
    <w:p w14:paraId="2507ADFE" w14:textId="77777777" w:rsidR="001D06C7" w:rsidRDefault="001D06C7">
      <w:pPr>
        <w:pStyle w:val="FootnoteText"/>
      </w:pPr>
      <w:r>
        <w:rPr>
          <w:rStyle w:val="FootnoteReference"/>
        </w:rPr>
        <w:footnoteRef/>
      </w:r>
      <w:r>
        <w:t xml:space="preserve"> European Medicines Agency (EMA), </w:t>
      </w:r>
      <w:r w:rsidRPr="00AD0190">
        <w:t xml:space="preserve">Committee for Proprietary Medicinal Products </w:t>
      </w:r>
      <w:r>
        <w:t xml:space="preserve">(CPMP), </w:t>
      </w:r>
      <w:r w:rsidRPr="00AD0190">
        <w:t>ICH S1A Need for carcinogenicity studies of pharmaceuticals</w:t>
      </w:r>
      <w:r>
        <w:t>, 4 June 2013.</w:t>
      </w:r>
    </w:p>
  </w:footnote>
  <w:footnote w:id="4">
    <w:p w14:paraId="32AA9DF3" w14:textId="77777777" w:rsidR="001D06C7" w:rsidRDefault="001D06C7" w:rsidP="00AD0190">
      <w:pPr>
        <w:pStyle w:val="FootnoteText"/>
      </w:pPr>
      <w:r>
        <w:rPr>
          <w:rStyle w:val="FootnoteReference"/>
        </w:rPr>
        <w:footnoteRef/>
      </w:r>
      <w:r>
        <w:t xml:space="preserve"> Australian Pregnancy Category B3: Drugs which have been taken by only a limited number of pregnant women and women of childbearing age, without an increase in the frequency of malformation or other direct or indirect harmful effects on the human fetus having been observed. Studies in animals have shown evidence of an increased occurrence of fetal damage, the significance of which is considered uncertain in humans.</w:t>
      </w:r>
    </w:p>
  </w:footnote>
  <w:footnote w:id="5">
    <w:p w14:paraId="567A415A" w14:textId="77777777" w:rsidR="001D06C7" w:rsidRPr="001A3D34" w:rsidRDefault="001D06C7">
      <w:pPr>
        <w:pStyle w:val="FootnoteText"/>
        <w:rPr>
          <w:lang w:val="en-GB"/>
        </w:rPr>
      </w:pPr>
      <w:r>
        <w:rPr>
          <w:rStyle w:val="FootnoteReference"/>
        </w:rPr>
        <w:footnoteRef/>
      </w:r>
      <w:r>
        <w:t xml:space="preserve"> </w:t>
      </w:r>
      <w:r>
        <w:rPr>
          <w:lang w:val="en-GB"/>
        </w:rPr>
        <w:t xml:space="preserve">The QT interval is calculated as the time taken on an electrocardiogram from the start of the Q wave to the end of the corresponding T wave and can be </w:t>
      </w:r>
      <w:r w:rsidRPr="007713CB">
        <w:rPr>
          <w:lang w:val="en-GB"/>
        </w:rPr>
        <w:t xml:space="preserve">used to assess some of the electrical properties of the heart. </w:t>
      </w:r>
      <w:r>
        <w:rPr>
          <w:lang w:val="en-GB"/>
        </w:rPr>
        <w:t xml:space="preserve">The QT interval corresponds with </w:t>
      </w:r>
      <w:r w:rsidRPr="007713CB">
        <w:rPr>
          <w:lang w:val="en-GB"/>
        </w:rPr>
        <w:t>the time taken from</w:t>
      </w:r>
      <w:r>
        <w:rPr>
          <w:lang w:val="en-GB"/>
        </w:rPr>
        <w:t xml:space="preserve"> the start of ventricular contraction to the end of ventricular relaxation.</w:t>
      </w:r>
    </w:p>
  </w:footnote>
  <w:footnote w:id="6">
    <w:p w14:paraId="2B29FDE0" w14:textId="77777777" w:rsidR="001D06C7" w:rsidRDefault="001D06C7" w:rsidP="008C1E7C">
      <w:pPr>
        <w:pStyle w:val="FootnoteText"/>
      </w:pPr>
      <w:r>
        <w:rPr>
          <w:rStyle w:val="FootnoteReference"/>
        </w:rPr>
        <w:footnoteRef/>
      </w:r>
      <w:r>
        <w:t xml:space="preserve"> Mazuski, J.E. et al. (2016). Efficacy and Safety of Ceftazidime-Avibactam Plus Metronidazole Versus Meropenem in the Treatment of Complicated Intra-abdominal Infection: Results From a Randomized, Controlled, Double-Blind, Phase 3 Program, </w:t>
      </w:r>
      <w:r w:rsidRPr="00F011D2">
        <w:rPr>
          <w:i/>
        </w:rPr>
        <w:t>Clinical Infectious Diseases</w:t>
      </w:r>
      <w:r>
        <w:t>, 2016; 62: 1380-1389.</w:t>
      </w:r>
    </w:p>
  </w:footnote>
  <w:footnote w:id="7">
    <w:p w14:paraId="04FD4E99" w14:textId="77777777" w:rsidR="001D06C7" w:rsidRDefault="001D06C7" w:rsidP="00F011D2">
      <w:pPr>
        <w:pStyle w:val="FootnoteText"/>
      </w:pPr>
      <w:r>
        <w:rPr>
          <w:rStyle w:val="FootnoteReference"/>
        </w:rPr>
        <w:footnoteRef/>
      </w:r>
      <w:r>
        <w:t xml:space="preserve"> Qin, X. et al. (2017). A randomised, double-blind, phase 3 study comparing the efficacy and safety of ceftazidime/avibactam plus metronidazole versus meropenem for complicated intra-abdominal infections in hospitalised adults in Asia, </w:t>
      </w:r>
      <w:r w:rsidRPr="00F011D2">
        <w:rPr>
          <w:i/>
        </w:rPr>
        <w:t>International Journal of Antimicrobial Agents</w:t>
      </w:r>
      <w:r>
        <w:t>,</w:t>
      </w:r>
      <w:r w:rsidRPr="00F011D2">
        <w:t xml:space="preserve"> </w:t>
      </w:r>
      <w:r>
        <w:t xml:space="preserve">2017;49: </w:t>
      </w:r>
      <w:r w:rsidRPr="00F011D2">
        <w:t>579–588</w:t>
      </w:r>
      <w:r>
        <w:t>.</w:t>
      </w:r>
    </w:p>
  </w:footnote>
  <w:footnote w:id="8">
    <w:p w14:paraId="04BCFD5B" w14:textId="77777777" w:rsidR="001D06C7" w:rsidRDefault="001D06C7" w:rsidP="00F011D2">
      <w:pPr>
        <w:pStyle w:val="FootnoteText"/>
      </w:pPr>
      <w:r>
        <w:rPr>
          <w:rStyle w:val="FootnoteReference"/>
        </w:rPr>
        <w:footnoteRef/>
      </w:r>
      <w:r>
        <w:t xml:space="preserve"> Wagenlhner, F.M. et al. (2016). Ceftazidime-avibactam Versus Doripenem for the Treatment of Complicated Urinary Tract Infections, Including Acute Pyelonephritis: RECAPTURE, a Phase 3 Randomized Trial Program, </w:t>
      </w:r>
      <w:r w:rsidRPr="00F011D2">
        <w:rPr>
          <w:i/>
        </w:rPr>
        <w:t>Clinical Infectious Diseases</w:t>
      </w:r>
      <w:r>
        <w:t>, 2016; 63: 754-762.</w:t>
      </w:r>
    </w:p>
  </w:footnote>
  <w:footnote w:id="9">
    <w:p w14:paraId="61504142" w14:textId="77777777" w:rsidR="001D06C7" w:rsidRDefault="001D06C7" w:rsidP="00F011D2">
      <w:pPr>
        <w:pStyle w:val="FootnoteText"/>
      </w:pPr>
      <w:r>
        <w:rPr>
          <w:rStyle w:val="FootnoteReference"/>
        </w:rPr>
        <w:footnoteRef/>
      </w:r>
      <w:r>
        <w:t xml:space="preserve"> Carmeli, Y. et al. (2016), Ceftazidime-avibactam or best available therapy in patients with ceftazidime-resistant Enterobacteriaceae and Pseudomonas aeruginosa complicated urinary tract infections or complicated intra-abdominal infections (REPRISE): a randomised, pathogen-directed, phase 3 study, </w:t>
      </w:r>
      <w:r w:rsidRPr="00F011D2">
        <w:rPr>
          <w:i/>
        </w:rPr>
        <w:t>Lancet Infect Dis</w:t>
      </w:r>
      <w:r>
        <w:t>, 2016; 16: 661-673.</w:t>
      </w:r>
    </w:p>
  </w:footnote>
  <w:footnote w:id="10">
    <w:p w14:paraId="5EE45977" w14:textId="77777777" w:rsidR="001D06C7" w:rsidRDefault="001D06C7" w:rsidP="00F011D2">
      <w:pPr>
        <w:pStyle w:val="FootnoteText"/>
      </w:pPr>
      <w:r>
        <w:rPr>
          <w:rStyle w:val="FootnoteReference"/>
        </w:rPr>
        <w:footnoteRef/>
      </w:r>
      <w:r>
        <w:t xml:space="preserve"> Torres, A. et al. (2018). Ceftazidime-avibactam versus meropenem in nosocomial pneumonia, including ventilator-associated pneumonia (REPROVE): a randomised, double-blind, phase 3 non-inferiority trial</w:t>
      </w:r>
      <w:r w:rsidRPr="00F011D2">
        <w:rPr>
          <w:i/>
        </w:rPr>
        <w:t>, Lancet Infect Dis</w:t>
      </w:r>
      <w:r>
        <w:t>, 2018; 18: 285-295.</w:t>
      </w:r>
    </w:p>
  </w:footnote>
  <w:footnote w:id="11">
    <w:p w14:paraId="794917EC" w14:textId="4F0B694A" w:rsidR="001D06C7" w:rsidRDefault="001D06C7">
      <w:pPr>
        <w:pStyle w:val="FootnoteText"/>
      </w:pPr>
      <w:r>
        <w:rPr>
          <w:rStyle w:val="FootnoteReference"/>
        </w:rPr>
        <w:footnoteRef/>
      </w:r>
      <w:r>
        <w:t xml:space="preserve"> Hy’s Law: </w:t>
      </w:r>
      <w:r w:rsidRPr="00FC1336">
        <w:t>Evidence o</w:t>
      </w:r>
      <w:r>
        <w:t>f hepatocellular injury with alanine aminotransferase (ALT)</w:t>
      </w:r>
      <w:r w:rsidRPr="00FC1336">
        <w:t xml:space="preserve"> and/or </w:t>
      </w:r>
      <w:r>
        <w:t>aspartate aminotransferase (</w:t>
      </w:r>
      <w:r w:rsidRPr="00FC1336">
        <w:t>AST</w:t>
      </w:r>
      <w:r>
        <w:t>)</w:t>
      </w:r>
      <w:r w:rsidRPr="00FC1336">
        <w:t xml:space="preserve"> &gt; 3 x </w:t>
      </w:r>
      <w:r>
        <w:t>upper limit of normal (</w:t>
      </w:r>
      <w:r w:rsidRPr="00FC1336">
        <w:t>ULN</w:t>
      </w:r>
      <w:r>
        <w:t>)</w:t>
      </w:r>
      <w:r w:rsidRPr="00FC1336">
        <w:t xml:space="preserve"> and total bilirubin &gt; 2 x ULN, and no other reason to explain rise in aminotransferases and total bili</w:t>
      </w:r>
      <w:r>
        <w:t>rubin.</w:t>
      </w:r>
    </w:p>
  </w:footnote>
  <w:footnote w:id="12">
    <w:p w14:paraId="0427B5F2" w14:textId="77777777" w:rsidR="001D06C7" w:rsidRDefault="001D06C7" w:rsidP="00AF495F">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027BA61D" w14:textId="77777777" w:rsidR="001D06C7" w:rsidRDefault="001D06C7" w:rsidP="00AF495F">
      <w:pPr>
        <w:pStyle w:val="FootnoteText"/>
      </w:pPr>
      <w:r w:rsidRPr="00F12492">
        <w:rPr>
          <w:i/>
        </w:rPr>
        <w:t>Routine pharmacovigilance</w:t>
      </w:r>
      <w:r>
        <w:t xml:space="preserve"> practices involve the following activities:</w:t>
      </w:r>
    </w:p>
    <w:p w14:paraId="5CA0458E" w14:textId="77777777" w:rsidR="001D06C7" w:rsidRDefault="001D06C7" w:rsidP="00AF495F">
      <w:pPr>
        <w:pStyle w:val="FootnoteText"/>
        <w:numPr>
          <w:ilvl w:val="0"/>
          <w:numId w:val="28"/>
        </w:numPr>
      </w:pPr>
      <w:r>
        <w:t>All suspected adverse reactions that are reported to the personnel of the company are collected and collated in an accessible manner;</w:t>
      </w:r>
    </w:p>
    <w:p w14:paraId="0B993A13" w14:textId="77777777" w:rsidR="001D06C7" w:rsidRDefault="001D06C7" w:rsidP="00AF495F">
      <w:pPr>
        <w:pStyle w:val="FootnoteText"/>
        <w:numPr>
          <w:ilvl w:val="0"/>
          <w:numId w:val="28"/>
        </w:numPr>
      </w:pPr>
      <w:r>
        <w:t>Reporting to regulatory authorities;</w:t>
      </w:r>
    </w:p>
    <w:p w14:paraId="10559B16" w14:textId="77777777" w:rsidR="001D06C7" w:rsidRDefault="001D06C7" w:rsidP="00AF495F">
      <w:pPr>
        <w:pStyle w:val="FootnoteText"/>
        <w:numPr>
          <w:ilvl w:val="0"/>
          <w:numId w:val="28"/>
        </w:numPr>
      </w:pPr>
      <w:r>
        <w:t>Continuous monitoring of the safety profiles of approved products including signal detection and updating of labelling;</w:t>
      </w:r>
    </w:p>
    <w:p w14:paraId="3F2B469A" w14:textId="77777777" w:rsidR="001D06C7" w:rsidRDefault="001D06C7" w:rsidP="00AF495F">
      <w:pPr>
        <w:pStyle w:val="FootnoteText"/>
        <w:numPr>
          <w:ilvl w:val="0"/>
          <w:numId w:val="28"/>
        </w:numPr>
      </w:pPr>
      <w:r>
        <w:t>Submission of PSURs;</w:t>
      </w:r>
    </w:p>
    <w:p w14:paraId="7A4050D7" w14:textId="77777777" w:rsidR="001D06C7" w:rsidRPr="00F12492" w:rsidRDefault="001D06C7" w:rsidP="00AF495F">
      <w:pPr>
        <w:pStyle w:val="FootnoteText"/>
        <w:numPr>
          <w:ilvl w:val="0"/>
          <w:numId w:val="28"/>
        </w:numPr>
        <w:rPr>
          <w:lang w:val="en-US"/>
        </w:rPr>
      </w:pPr>
      <w:r>
        <w:t>Meeting other local regulatory agency requirements.</w:t>
      </w:r>
    </w:p>
  </w:footnote>
  <w:footnote w:id="13">
    <w:p w14:paraId="106A5294" w14:textId="77777777" w:rsidR="001D06C7" w:rsidRDefault="001D06C7">
      <w:pPr>
        <w:pStyle w:val="FootnoteText"/>
      </w:pPr>
      <w:r>
        <w:rPr>
          <w:rStyle w:val="FootnoteReference"/>
        </w:rPr>
        <w:footnoteRef/>
      </w:r>
      <w:r>
        <w:t xml:space="preserve"> This response is beyond the scope of this AusPAR.</w:t>
      </w:r>
    </w:p>
  </w:footnote>
  <w:footnote w:id="14">
    <w:p w14:paraId="59EE9EA7" w14:textId="77777777" w:rsidR="001D06C7" w:rsidRDefault="001D06C7"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324950EC" w14:textId="77777777" w:rsidR="001D06C7" w:rsidRPr="00456765" w:rsidRDefault="001D06C7" w:rsidP="00456765">
      <w:pPr>
        <w:pStyle w:val="FootnoteText"/>
        <w:rPr>
          <w:lang w:val="en-US"/>
        </w:rPr>
      </w:pPr>
      <w:r>
        <w:t xml:space="preserve">The Committee is established under Regulation 35 of the </w:t>
      </w:r>
      <w:r w:rsidRPr="000C53F9">
        <w:rPr>
          <w:i/>
        </w:rPr>
        <w:t>Therapeutic Goods Regulations 1990</w:t>
      </w:r>
      <w:r>
        <w:t xml:space="preserve">.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8DAD4" w14:textId="77777777" w:rsidR="001D06C7" w:rsidRDefault="001D06C7"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96B60" w14:textId="77777777" w:rsidR="001D06C7" w:rsidRDefault="001D06C7">
    <w:pPr>
      <w:rPr>
        <w:noProof/>
        <w:lang w:eastAsia="en-AU"/>
      </w:rPr>
    </w:pPr>
    <w:r w:rsidRPr="00347824">
      <w:rPr>
        <w:noProof/>
        <w:lang w:eastAsia="en-AU"/>
      </w:rPr>
      <w:drawing>
        <wp:anchor distT="0" distB="0" distL="114300" distR="114300" simplePos="0" relativeHeight="251659264" behindDoc="1" locked="0" layoutInCell="1" allowOverlap="1" wp14:anchorId="49E2634C" wp14:editId="0D0826AA">
          <wp:simplePos x="0" y="0"/>
          <wp:positionH relativeFrom="column">
            <wp:posOffset>-1089660</wp:posOffset>
          </wp:positionH>
          <wp:positionV relativeFrom="paragraph">
            <wp:posOffset>-585470</wp:posOffset>
          </wp:positionV>
          <wp:extent cx="7572375" cy="10706100"/>
          <wp:effectExtent l="19050" t="0" r="0" b="0"/>
          <wp:wrapNone/>
          <wp:docPr id="3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45A91558" w14:textId="77777777" w:rsidR="001D06C7" w:rsidRDefault="001D06C7" w:rsidP="00593AD1">
    <w:pPr>
      <w:pStyle w:val="HeaderNoLine"/>
    </w:pPr>
    <w:r>
      <w:rPr>
        <w:noProof/>
        <w:lang w:eastAsia="en-AU"/>
      </w:rPr>
      <w:drawing>
        <wp:inline distT="0" distB="0" distL="0" distR="0" wp14:anchorId="0CC00940" wp14:editId="3E2F8649">
          <wp:extent cx="5400675" cy="7639050"/>
          <wp:effectExtent l="0" t="0" r="9525" b="0"/>
          <wp:docPr id="35" name="Picture 35"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941DB" w14:textId="77777777" w:rsidR="001D06C7" w:rsidRDefault="001D06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324BA" w14:textId="77777777" w:rsidR="001D06C7" w:rsidRDefault="001D06C7">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32B34" w14:textId="77777777" w:rsidR="001D06C7" w:rsidRDefault="001D06C7">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93E72" w14:textId="77777777" w:rsidR="001D06C7" w:rsidRDefault="001D06C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8658E" w14:textId="77777777" w:rsidR="001D06C7" w:rsidRDefault="001D06C7"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63FC0" w14:textId="77777777" w:rsidR="001D06C7" w:rsidRDefault="001D06C7" w:rsidP="006E08B3">
    <w:r>
      <w:t>Therapeutic Goods Administration</w:t>
    </w:r>
  </w:p>
  <w:p w14:paraId="4D986AD6" w14:textId="77777777" w:rsidR="001D06C7" w:rsidRDefault="001D06C7"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2ADA4A1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9BD38F4"/>
    <w:multiLevelType w:val="hybridMultilevel"/>
    <w:tmpl w:val="07FC96B8"/>
    <w:lvl w:ilvl="0" w:tplc="0ECA9CF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15:restartNumberingAfterBreak="0">
    <w:nsid w:val="33F44947"/>
    <w:multiLevelType w:val="multilevel"/>
    <w:tmpl w:val="E6805E0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79243A60"/>
    <w:multiLevelType w:val="hybridMultilevel"/>
    <w:tmpl w:val="583EB2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5"/>
  </w:num>
  <w:num w:numId="17">
    <w:abstractNumId w:val="5"/>
  </w:num>
  <w:num w:numId="18">
    <w:abstractNumId w:val="5"/>
  </w:num>
  <w:num w:numId="19">
    <w:abstractNumId w:val="6"/>
  </w:num>
  <w:num w:numId="20">
    <w:abstractNumId w:val="6"/>
  </w:num>
  <w:num w:numId="21">
    <w:abstractNumId w:val="6"/>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8"/>
  </w:num>
  <w:num w:numId="28">
    <w:abstractNumId w:val="9"/>
  </w:num>
  <w:num w:numId="29">
    <w:abstractNumId w:val="4"/>
  </w:num>
  <w:num w:numId="30">
    <w:abstractNumId w:val="7"/>
  </w:num>
  <w:num w:numId="31">
    <w:abstractNumId w:val="10"/>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7"/>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2C2"/>
    <w:rsid w:val="00001DC8"/>
    <w:rsid w:val="00002031"/>
    <w:rsid w:val="00004734"/>
    <w:rsid w:val="00006B22"/>
    <w:rsid w:val="0001276A"/>
    <w:rsid w:val="00021574"/>
    <w:rsid w:val="000246AE"/>
    <w:rsid w:val="00025C67"/>
    <w:rsid w:val="00044772"/>
    <w:rsid w:val="0004541C"/>
    <w:rsid w:val="0005559E"/>
    <w:rsid w:val="000604D6"/>
    <w:rsid w:val="0006414D"/>
    <w:rsid w:val="000721C6"/>
    <w:rsid w:val="000734D8"/>
    <w:rsid w:val="00077775"/>
    <w:rsid w:val="00090471"/>
    <w:rsid w:val="00090D52"/>
    <w:rsid w:val="00096AA7"/>
    <w:rsid w:val="000A3AED"/>
    <w:rsid w:val="000B3532"/>
    <w:rsid w:val="000B3A75"/>
    <w:rsid w:val="000C00C2"/>
    <w:rsid w:val="000C53F9"/>
    <w:rsid w:val="000C690F"/>
    <w:rsid w:val="000D1295"/>
    <w:rsid w:val="000D391B"/>
    <w:rsid w:val="000D3D6D"/>
    <w:rsid w:val="000D4FC7"/>
    <w:rsid w:val="000D6BAF"/>
    <w:rsid w:val="000E48F6"/>
    <w:rsid w:val="000E6196"/>
    <w:rsid w:val="000F4869"/>
    <w:rsid w:val="000F5B42"/>
    <w:rsid w:val="000F6E6F"/>
    <w:rsid w:val="0010601F"/>
    <w:rsid w:val="0010788A"/>
    <w:rsid w:val="00107A31"/>
    <w:rsid w:val="00110EA5"/>
    <w:rsid w:val="00112F56"/>
    <w:rsid w:val="001245CD"/>
    <w:rsid w:val="00124ACD"/>
    <w:rsid w:val="00125318"/>
    <w:rsid w:val="001305A2"/>
    <w:rsid w:val="00133238"/>
    <w:rsid w:val="00133A1B"/>
    <w:rsid w:val="0014197B"/>
    <w:rsid w:val="001447CD"/>
    <w:rsid w:val="001516B1"/>
    <w:rsid w:val="00154EBB"/>
    <w:rsid w:val="00156316"/>
    <w:rsid w:val="00161181"/>
    <w:rsid w:val="00162D14"/>
    <w:rsid w:val="00163780"/>
    <w:rsid w:val="00165389"/>
    <w:rsid w:val="001768B5"/>
    <w:rsid w:val="0017693F"/>
    <w:rsid w:val="0018110E"/>
    <w:rsid w:val="00181684"/>
    <w:rsid w:val="001843C6"/>
    <w:rsid w:val="001850E0"/>
    <w:rsid w:val="001A03AF"/>
    <w:rsid w:val="001A2158"/>
    <w:rsid w:val="001A3D34"/>
    <w:rsid w:val="001A525F"/>
    <w:rsid w:val="001B09F9"/>
    <w:rsid w:val="001B5C90"/>
    <w:rsid w:val="001B6448"/>
    <w:rsid w:val="001C32CD"/>
    <w:rsid w:val="001D06C7"/>
    <w:rsid w:val="001D2984"/>
    <w:rsid w:val="001E07CF"/>
    <w:rsid w:val="001E59F1"/>
    <w:rsid w:val="001F2CEE"/>
    <w:rsid w:val="001F49EB"/>
    <w:rsid w:val="001F6CBA"/>
    <w:rsid w:val="00201D4E"/>
    <w:rsid w:val="002076C9"/>
    <w:rsid w:val="00220B8A"/>
    <w:rsid w:val="002257F3"/>
    <w:rsid w:val="00233456"/>
    <w:rsid w:val="002339A5"/>
    <w:rsid w:val="00257848"/>
    <w:rsid w:val="002578E8"/>
    <w:rsid w:val="0027084A"/>
    <w:rsid w:val="00280265"/>
    <w:rsid w:val="00286434"/>
    <w:rsid w:val="00286C59"/>
    <w:rsid w:val="00291957"/>
    <w:rsid w:val="002942D1"/>
    <w:rsid w:val="0029501A"/>
    <w:rsid w:val="002A3721"/>
    <w:rsid w:val="002A4840"/>
    <w:rsid w:val="002A56F1"/>
    <w:rsid w:val="002B1638"/>
    <w:rsid w:val="002B3624"/>
    <w:rsid w:val="002B67E1"/>
    <w:rsid w:val="002C1E32"/>
    <w:rsid w:val="002D0952"/>
    <w:rsid w:val="002D3180"/>
    <w:rsid w:val="002E40B3"/>
    <w:rsid w:val="002E4C9A"/>
    <w:rsid w:val="002F11F8"/>
    <w:rsid w:val="002F3F56"/>
    <w:rsid w:val="002F44B5"/>
    <w:rsid w:val="002F5122"/>
    <w:rsid w:val="00311AC0"/>
    <w:rsid w:val="003176FC"/>
    <w:rsid w:val="00320E39"/>
    <w:rsid w:val="00323E5F"/>
    <w:rsid w:val="0032583B"/>
    <w:rsid w:val="00327883"/>
    <w:rsid w:val="00335504"/>
    <w:rsid w:val="00340C18"/>
    <w:rsid w:val="003442FD"/>
    <w:rsid w:val="00346979"/>
    <w:rsid w:val="00347824"/>
    <w:rsid w:val="00350567"/>
    <w:rsid w:val="003521E8"/>
    <w:rsid w:val="00361EA3"/>
    <w:rsid w:val="00370CE3"/>
    <w:rsid w:val="003728F3"/>
    <w:rsid w:val="003735BC"/>
    <w:rsid w:val="0037496E"/>
    <w:rsid w:val="00383221"/>
    <w:rsid w:val="00386150"/>
    <w:rsid w:val="003874CE"/>
    <w:rsid w:val="00390900"/>
    <w:rsid w:val="003916C2"/>
    <w:rsid w:val="003A7F6C"/>
    <w:rsid w:val="003B4D60"/>
    <w:rsid w:val="003B7E39"/>
    <w:rsid w:val="003C58DC"/>
    <w:rsid w:val="003D1E62"/>
    <w:rsid w:val="003D52BE"/>
    <w:rsid w:val="003E0B99"/>
    <w:rsid w:val="003E2486"/>
    <w:rsid w:val="003E3208"/>
    <w:rsid w:val="003F0B04"/>
    <w:rsid w:val="0040134E"/>
    <w:rsid w:val="0040159B"/>
    <w:rsid w:val="004334C7"/>
    <w:rsid w:val="00440A2D"/>
    <w:rsid w:val="00441C3F"/>
    <w:rsid w:val="00444D1A"/>
    <w:rsid w:val="0045186A"/>
    <w:rsid w:val="004564A7"/>
    <w:rsid w:val="00456765"/>
    <w:rsid w:val="004617BF"/>
    <w:rsid w:val="00463658"/>
    <w:rsid w:val="004637A0"/>
    <w:rsid w:val="004722CC"/>
    <w:rsid w:val="004763BE"/>
    <w:rsid w:val="00490483"/>
    <w:rsid w:val="004936E4"/>
    <w:rsid w:val="0049486C"/>
    <w:rsid w:val="00494E60"/>
    <w:rsid w:val="0049528A"/>
    <w:rsid w:val="00497487"/>
    <w:rsid w:val="004A2771"/>
    <w:rsid w:val="004A6189"/>
    <w:rsid w:val="004A7390"/>
    <w:rsid w:val="004B7B76"/>
    <w:rsid w:val="004C239D"/>
    <w:rsid w:val="004C2DCA"/>
    <w:rsid w:val="004C61D2"/>
    <w:rsid w:val="004D342A"/>
    <w:rsid w:val="004F0C4A"/>
    <w:rsid w:val="004F0F38"/>
    <w:rsid w:val="004F47D6"/>
    <w:rsid w:val="00500337"/>
    <w:rsid w:val="00501921"/>
    <w:rsid w:val="00530354"/>
    <w:rsid w:val="0053625B"/>
    <w:rsid w:val="005434C6"/>
    <w:rsid w:val="00543B39"/>
    <w:rsid w:val="00546154"/>
    <w:rsid w:val="00550096"/>
    <w:rsid w:val="00555280"/>
    <w:rsid w:val="00557FF9"/>
    <w:rsid w:val="00562327"/>
    <w:rsid w:val="005711D5"/>
    <w:rsid w:val="00575CAE"/>
    <w:rsid w:val="00576378"/>
    <w:rsid w:val="00576FFD"/>
    <w:rsid w:val="00577130"/>
    <w:rsid w:val="00577945"/>
    <w:rsid w:val="00577E38"/>
    <w:rsid w:val="00585322"/>
    <w:rsid w:val="005857C6"/>
    <w:rsid w:val="00592F6E"/>
    <w:rsid w:val="00593AD1"/>
    <w:rsid w:val="005A012A"/>
    <w:rsid w:val="005A68B6"/>
    <w:rsid w:val="005C5570"/>
    <w:rsid w:val="005C79A4"/>
    <w:rsid w:val="005D5442"/>
    <w:rsid w:val="005D567A"/>
    <w:rsid w:val="005E2185"/>
    <w:rsid w:val="00603F32"/>
    <w:rsid w:val="00605AD4"/>
    <w:rsid w:val="00606551"/>
    <w:rsid w:val="006122E4"/>
    <w:rsid w:val="006136D7"/>
    <w:rsid w:val="00621F59"/>
    <w:rsid w:val="00625A6E"/>
    <w:rsid w:val="00632398"/>
    <w:rsid w:val="00640FC3"/>
    <w:rsid w:val="00642020"/>
    <w:rsid w:val="006430EE"/>
    <w:rsid w:val="0065337B"/>
    <w:rsid w:val="0065419D"/>
    <w:rsid w:val="006603BC"/>
    <w:rsid w:val="006604D8"/>
    <w:rsid w:val="00664A5B"/>
    <w:rsid w:val="0066735C"/>
    <w:rsid w:val="006763D2"/>
    <w:rsid w:val="00680C08"/>
    <w:rsid w:val="006916A0"/>
    <w:rsid w:val="006931B1"/>
    <w:rsid w:val="006A15C0"/>
    <w:rsid w:val="006A58A8"/>
    <w:rsid w:val="006C3E2A"/>
    <w:rsid w:val="006C642F"/>
    <w:rsid w:val="006D03E5"/>
    <w:rsid w:val="006D5D3E"/>
    <w:rsid w:val="006E08B3"/>
    <w:rsid w:val="006F17AC"/>
    <w:rsid w:val="006F25B8"/>
    <w:rsid w:val="006F572E"/>
    <w:rsid w:val="007046D6"/>
    <w:rsid w:val="00705DB0"/>
    <w:rsid w:val="007203C8"/>
    <w:rsid w:val="00722B57"/>
    <w:rsid w:val="00730F8A"/>
    <w:rsid w:val="00735A8C"/>
    <w:rsid w:val="0074253D"/>
    <w:rsid w:val="0074429B"/>
    <w:rsid w:val="00755D0D"/>
    <w:rsid w:val="007615BC"/>
    <w:rsid w:val="00762F05"/>
    <w:rsid w:val="0076484F"/>
    <w:rsid w:val="007652FF"/>
    <w:rsid w:val="00770CAC"/>
    <w:rsid w:val="00770EF1"/>
    <w:rsid w:val="007713CB"/>
    <w:rsid w:val="00773EF7"/>
    <w:rsid w:val="00774E1D"/>
    <w:rsid w:val="007765D8"/>
    <w:rsid w:val="0077675A"/>
    <w:rsid w:val="00780355"/>
    <w:rsid w:val="007819FD"/>
    <w:rsid w:val="00785717"/>
    <w:rsid w:val="00785721"/>
    <w:rsid w:val="00793A59"/>
    <w:rsid w:val="007A46F5"/>
    <w:rsid w:val="007A6505"/>
    <w:rsid w:val="007B6132"/>
    <w:rsid w:val="007B6E9F"/>
    <w:rsid w:val="007C1216"/>
    <w:rsid w:val="007C1AF7"/>
    <w:rsid w:val="007C6B9B"/>
    <w:rsid w:val="00805D27"/>
    <w:rsid w:val="00806DCB"/>
    <w:rsid w:val="00821776"/>
    <w:rsid w:val="008321F5"/>
    <w:rsid w:val="00832369"/>
    <w:rsid w:val="00834660"/>
    <w:rsid w:val="00836BC2"/>
    <w:rsid w:val="0084059F"/>
    <w:rsid w:val="0085156D"/>
    <w:rsid w:val="00852B28"/>
    <w:rsid w:val="00854B09"/>
    <w:rsid w:val="0085641B"/>
    <w:rsid w:val="00857136"/>
    <w:rsid w:val="00875A6B"/>
    <w:rsid w:val="00885B11"/>
    <w:rsid w:val="00886D15"/>
    <w:rsid w:val="00887DD8"/>
    <w:rsid w:val="00891BA9"/>
    <w:rsid w:val="00896018"/>
    <w:rsid w:val="008960DD"/>
    <w:rsid w:val="0089635C"/>
    <w:rsid w:val="008A0EEE"/>
    <w:rsid w:val="008A2B9D"/>
    <w:rsid w:val="008A3D9F"/>
    <w:rsid w:val="008A5E0B"/>
    <w:rsid w:val="008A6D59"/>
    <w:rsid w:val="008B4B03"/>
    <w:rsid w:val="008B596F"/>
    <w:rsid w:val="008C159F"/>
    <w:rsid w:val="008C1623"/>
    <w:rsid w:val="008C1850"/>
    <w:rsid w:val="008C1E7C"/>
    <w:rsid w:val="008C51A9"/>
    <w:rsid w:val="008E7846"/>
    <w:rsid w:val="008F02E5"/>
    <w:rsid w:val="008F1CCC"/>
    <w:rsid w:val="008F2967"/>
    <w:rsid w:val="008F6012"/>
    <w:rsid w:val="008F6943"/>
    <w:rsid w:val="00902A21"/>
    <w:rsid w:val="0091523F"/>
    <w:rsid w:val="00920330"/>
    <w:rsid w:val="009219D7"/>
    <w:rsid w:val="00922D53"/>
    <w:rsid w:val="00923B70"/>
    <w:rsid w:val="00924482"/>
    <w:rsid w:val="00930237"/>
    <w:rsid w:val="00937C17"/>
    <w:rsid w:val="00940A89"/>
    <w:rsid w:val="00941F77"/>
    <w:rsid w:val="00946EA5"/>
    <w:rsid w:val="00960520"/>
    <w:rsid w:val="00963C08"/>
    <w:rsid w:val="009752A5"/>
    <w:rsid w:val="0098585A"/>
    <w:rsid w:val="009A4CED"/>
    <w:rsid w:val="009A690D"/>
    <w:rsid w:val="009B1D12"/>
    <w:rsid w:val="009B416B"/>
    <w:rsid w:val="009C4BD5"/>
    <w:rsid w:val="009C6596"/>
    <w:rsid w:val="009D221D"/>
    <w:rsid w:val="009D5CDD"/>
    <w:rsid w:val="009D7B77"/>
    <w:rsid w:val="009E06E1"/>
    <w:rsid w:val="009E0BB0"/>
    <w:rsid w:val="009E3FBB"/>
    <w:rsid w:val="009F7353"/>
    <w:rsid w:val="00A04F85"/>
    <w:rsid w:val="00A05FA4"/>
    <w:rsid w:val="00A102E4"/>
    <w:rsid w:val="00A1219C"/>
    <w:rsid w:val="00A12C42"/>
    <w:rsid w:val="00A14DF7"/>
    <w:rsid w:val="00A22D57"/>
    <w:rsid w:val="00A3246D"/>
    <w:rsid w:val="00A36FA7"/>
    <w:rsid w:val="00A44DDB"/>
    <w:rsid w:val="00A475B7"/>
    <w:rsid w:val="00A47AF7"/>
    <w:rsid w:val="00A47C3E"/>
    <w:rsid w:val="00A50226"/>
    <w:rsid w:val="00A60BAD"/>
    <w:rsid w:val="00A673D3"/>
    <w:rsid w:val="00A76C28"/>
    <w:rsid w:val="00A77F87"/>
    <w:rsid w:val="00A80B5B"/>
    <w:rsid w:val="00A84E36"/>
    <w:rsid w:val="00A87AC5"/>
    <w:rsid w:val="00A94D3D"/>
    <w:rsid w:val="00A964D1"/>
    <w:rsid w:val="00AA0ED0"/>
    <w:rsid w:val="00AB12EA"/>
    <w:rsid w:val="00AB6023"/>
    <w:rsid w:val="00AC2B40"/>
    <w:rsid w:val="00AC2BB2"/>
    <w:rsid w:val="00AC2C3C"/>
    <w:rsid w:val="00AC512D"/>
    <w:rsid w:val="00AD0083"/>
    <w:rsid w:val="00AD0190"/>
    <w:rsid w:val="00AD3935"/>
    <w:rsid w:val="00AE65EB"/>
    <w:rsid w:val="00AE67A7"/>
    <w:rsid w:val="00AF1D94"/>
    <w:rsid w:val="00AF437C"/>
    <w:rsid w:val="00AF495F"/>
    <w:rsid w:val="00AF60C5"/>
    <w:rsid w:val="00B009C6"/>
    <w:rsid w:val="00B01548"/>
    <w:rsid w:val="00B130C5"/>
    <w:rsid w:val="00B13EBD"/>
    <w:rsid w:val="00B21D29"/>
    <w:rsid w:val="00B25034"/>
    <w:rsid w:val="00B322C2"/>
    <w:rsid w:val="00B33588"/>
    <w:rsid w:val="00B33863"/>
    <w:rsid w:val="00B37D17"/>
    <w:rsid w:val="00B4175E"/>
    <w:rsid w:val="00B41C85"/>
    <w:rsid w:val="00B452CE"/>
    <w:rsid w:val="00B54C25"/>
    <w:rsid w:val="00B76B91"/>
    <w:rsid w:val="00B77EB1"/>
    <w:rsid w:val="00B811C6"/>
    <w:rsid w:val="00B855B0"/>
    <w:rsid w:val="00B87FF3"/>
    <w:rsid w:val="00B92E08"/>
    <w:rsid w:val="00BA258B"/>
    <w:rsid w:val="00BC622A"/>
    <w:rsid w:val="00BD0DBD"/>
    <w:rsid w:val="00BE0A78"/>
    <w:rsid w:val="00BE79F0"/>
    <w:rsid w:val="00BF046D"/>
    <w:rsid w:val="00BF1190"/>
    <w:rsid w:val="00BF3774"/>
    <w:rsid w:val="00BF5D04"/>
    <w:rsid w:val="00C009AA"/>
    <w:rsid w:val="00C1164D"/>
    <w:rsid w:val="00C16861"/>
    <w:rsid w:val="00C346AB"/>
    <w:rsid w:val="00C404A6"/>
    <w:rsid w:val="00C40A36"/>
    <w:rsid w:val="00C44419"/>
    <w:rsid w:val="00C45E7B"/>
    <w:rsid w:val="00C471B1"/>
    <w:rsid w:val="00C52E24"/>
    <w:rsid w:val="00C6316B"/>
    <w:rsid w:val="00C634A9"/>
    <w:rsid w:val="00C64586"/>
    <w:rsid w:val="00C67E1E"/>
    <w:rsid w:val="00C70D53"/>
    <w:rsid w:val="00C73D0B"/>
    <w:rsid w:val="00C74F5C"/>
    <w:rsid w:val="00C761C3"/>
    <w:rsid w:val="00C772FF"/>
    <w:rsid w:val="00C80137"/>
    <w:rsid w:val="00C801AF"/>
    <w:rsid w:val="00C80256"/>
    <w:rsid w:val="00C94CD4"/>
    <w:rsid w:val="00C9747E"/>
    <w:rsid w:val="00CB6BC0"/>
    <w:rsid w:val="00CC1B7C"/>
    <w:rsid w:val="00CC2BBB"/>
    <w:rsid w:val="00CC727F"/>
    <w:rsid w:val="00CF15C3"/>
    <w:rsid w:val="00CF2B6F"/>
    <w:rsid w:val="00CF2F3E"/>
    <w:rsid w:val="00CF58B6"/>
    <w:rsid w:val="00D0062D"/>
    <w:rsid w:val="00D017ED"/>
    <w:rsid w:val="00D040D3"/>
    <w:rsid w:val="00D04C65"/>
    <w:rsid w:val="00D153D8"/>
    <w:rsid w:val="00D201D2"/>
    <w:rsid w:val="00D224FE"/>
    <w:rsid w:val="00D23139"/>
    <w:rsid w:val="00D25EE9"/>
    <w:rsid w:val="00D320F4"/>
    <w:rsid w:val="00D425BB"/>
    <w:rsid w:val="00D453FA"/>
    <w:rsid w:val="00D5118F"/>
    <w:rsid w:val="00D53B88"/>
    <w:rsid w:val="00D6493E"/>
    <w:rsid w:val="00D7195D"/>
    <w:rsid w:val="00D72D27"/>
    <w:rsid w:val="00D7301E"/>
    <w:rsid w:val="00D83AE1"/>
    <w:rsid w:val="00D855D4"/>
    <w:rsid w:val="00D902C9"/>
    <w:rsid w:val="00D90F71"/>
    <w:rsid w:val="00D93466"/>
    <w:rsid w:val="00DA1124"/>
    <w:rsid w:val="00DA64CB"/>
    <w:rsid w:val="00DB06B8"/>
    <w:rsid w:val="00DB6124"/>
    <w:rsid w:val="00DB6D4D"/>
    <w:rsid w:val="00DB750B"/>
    <w:rsid w:val="00DB75B7"/>
    <w:rsid w:val="00DC0A2F"/>
    <w:rsid w:val="00DC1948"/>
    <w:rsid w:val="00DC6E02"/>
    <w:rsid w:val="00DD28CD"/>
    <w:rsid w:val="00DE02AE"/>
    <w:rsid w:val="00DE39D1"/>
    <w:rsid w:val="00DE3F56"/>
    <w:rsid w:val="00DF0CEB"/>
    <w:rsid w:val="00DF1D7F"/>
    <w:rsid w:val="00DF4BE4"/>
    <w:rsid w:val="00E02382"/>
    <w:rsid w:val="00E02FB4"/>
    <w:rsid w:val="00E04329"/>
    <w:rsid w:val="00E13FC7"/>
    <w:rsid w:val="00E20571"/>
    <w:rsid w:val="00E235F7"/>
    <w:rsid w:val="00E23659"/>
    <w:rsid w:val="00E239D4"/>
    <w:rsid w:val="00E26130"/>
    <w:rsid w:val="00E40B22"/>
    <w:rsid w:val="00E44ED1"/>
    <w:rsid w:val="00E45619"/>
    <w:rsid w:val="00E4588F"/>
    <w:rsid w:val="00E459D8"/>
    <w:rsid w:val="00E46DA3"/>
    <w:rsid w:val="00E51BB1"/>
    <w:rsid w:val="00E55CB0"/>
    <w:rsid w:val="00E624A5"/>
    <w:rsid w:val="00E64BA4"/>
    <w:rsid w:val="00E7344E"/>
    <w:rsid w:val="00E82538"/>
    <w:rsid w:val="00E82665"/>
    <w:rsid w:val="00E84245"/>
    <w:rsid w:val="00EB0798"/>
    <w:rsid w:val="00EB40AD"/>
    <w:rsid w:val="00EB586E"/>
    <w:rsid w:val="00EB5FC8"/>
    <w:rsid w:val="00EC463D"/>
    <w:rsid w:val="00EC7A85"/>
    <w:rsid w:val="00ED2922"/>
    <w:rsid w:val="00ED3CAD"/>
    <w:rsid w:val="00ED5A41"/>
    <w:rsid w:val="00EE1DE8"/>
    <w:rsid w:val="00EE27C2"/>
    <w:rsid w:val="00EF4BAD"/>
    <w:rsid w:val="00EF59DC"/>
    <w:rsid w:val="00F011D2"/>
    <w:rsid w:val="00F033EC"/>
    <w:rsid w:val="00F04F68"/>
    <w:rsid w:val="00F12670"/>
    <w:rsid w:val="00F14B27"/>
    <w:rsid w:val="00F3148D"/>
    <w:rsid w:val="00F325C5"/>
    <w:rsid w:val="00F32FE0"/>
    <w:rsid w:val="00F35298"/>
    <w:rsid w:val="00F47333"/>
    <w:rsid w:val="00F47E37"/>
    <w:rsid w:val="00F53490"/>
    <w:rsid w:val="00F53C07"/>
    <w:rsid w:val="00F54B65"/>
    <w:rsid w:val="00F60AA7"/>
    <w:rsid w:val="00F640B6"/>
    <w:rsid w:val="00F66DF2"/>
    <w:rsid w:val="00F66F5D"/>
    <w:rsid w:val="00F80E40"/>
    <w:rsid w:val="00F848D9"/>
    <w:rsid w:val="00FA5069"/>
    <w:rsid w:val="00FA5B82"/>
    <w:rsid w:val="00FA639E"/>
    <w:rsid w:val="00FC03C0"/>
    <w:rsid w:val="00FC1336"/>
    <w:rsid w:val="00FC1FCA"/>
    <w:rsid w:val="00FC25E4"/>
    <w:rsid w:val="00FC4EF7"/>
    <w:rsid w:val="00FD0824"/>
    <w:rsid w:val="00FD119B"/>
    <w:rsid w:val="00FD1EDC"/>
    <w:rsid w:val="00FD2E20"/>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046B854"/>
  <w15:docId w15:val="{3ACABBC7-4695-41E8-BF75-C3A4D9FE5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20E39"/>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54B09"/>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854B09"/>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854B09"/>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854B09"/>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TabletextChar">
    <w:name w:val="Table text Char"/>
    <w:basedOn w:val="DefaultParagraphFont"/>
    <w:link w:val="Tabletext"/>
    <w:rsid w:val="00AF495F"/>
    <w:rPr>
      <w:rFonts w:ascii="Cambria" w:eastAsia="Cambria" w:hAnsi="Cambria" w:cs="Times New Roman"/>
      <w:sz w:val="19"/>
    </w:rPr>
  </w:style>
  <w:style w:type="paragraph" w:styleId="ListParagraph">
    <w:name w:val="List Paragraph"/>
    <w:basedOn w:val="Normal"/>
    <w:uiPriority w:val="1"/>
    <w:qFormat/>
    <w:rsid w:val="00AF49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591140">
      <w:bodyDiv w:val="1"/>
      <w:marLeft w:val="0"/>
      <w:marRight w:val="0"/>
      <w:marTop w:val="0"/>
      <w:marBottom w:val="0"/>
      <w:divBdr>
        <w:top w:val="none" w:sz="0" w:space="0" w:color="auto"/>
        <w:left w:val="none" w:sz="0" w:space="0" w:color="auto"/>
        <w:bottom w:val="none" w:sz="0" w:space="0" w:color="auto"/>
        <w:right w:val="none" w:sz="0" w:space="0" w:color="auto"/>
      </w:divBdr>
      <w:divsChild>
        <w:div w:id="1022584379">
          <w:marLeft w:val="0"/>
          <w:marRight w:val="0"/>
          <w:marTop w:val="0"/>
          <w:marBottom w:val="0"/>
          <w:divBdr>
            <w:top w:val="none" w:sz="0" w:space="0" w:color="auto"/>
            <w:left w:val="none" w:sz="0" w:space="0" w:color="auto"/>
            <w:bottom w:val="none" w:sz="0" w:space="0" w:color="auto"/>
            <w:right w:val="none" w:sz="0" w:space="0" w:color="auto"/>
          </w:divBdr>
          <w:divsChild>
            <w:div w:id="941498925">
              <w:marLeft w:val="0"/>
              <w:marRight w:val="0"/>
              <w:marTop w:val="0"/>
              <w:marBottom w:val="0"/>
              <w:divBdr>
                <w:top w:val="none" w:sz="0" w:space="0" w:color="auto"/>
                <w:left w:val="none" w:sz="0" w:space="0" w:color="auto"/>
                <w:bottom w:val="none" w:sz="0" w:space="0" w:color="auto"/>
                <w:right w:val="none" w:sz="0" w:space="0" w:color="auto"/>
              </w:divBdr>
              <w:divsChild>
                <w:div w:id="1755281868">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305167143">
                          <w:marLeft w:val="0"/>
                          <w:marRight w:val="0"/>
                          <w:marTop w:val="0"/>
                          <w:marBottom w:val="0"/>
                          <w:divBdr>
                            <w:top w:val="none" w:sz="0" w:space="0" w:color="auto"/>
                            <w:left w:val="none" w:sz="0" w:space="0" w:color="auto"/>
                            <w:bottom w:val="none" w:sz="0" w:space="0" w:color="auto"/>
                            <w:right w:val="none" w:sz="0" w:space="0" w:color="auto"/>
                          </w:divBdr>
                          <w:divsChild>
                            <w:div w:id="100709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5570901">
      <w:bodyDiv w:val="1"/>
      <w:marLeft w:val="0"/>
      <w:marRight w:val="0"/>
      <w:marTop w:val="0"/>
      <w:marBottom w:val="0"/>
      <w:divBdr>
        <w:top w:val="none" w:sz="0" w:space="0" w:color="auto"/>
        <w:left w:val="none" w:sz="0" w:space="0" w:color="auto"/>
        <w:bottom w:val="none" w:sz="0" w:space="0" w:color="auto"/>
        <w:right w:val="none" w:sz="0" w:space="0" w:color="auto"/>
      </w:divBdr>
      <w:divsChild>
        <w:div w:id="127407478">
          <w:marLeft w:val="0"/>
          <w:marRight w:val="0"/>
          <w:marTop w:val="0"/>
          <w:marBottom w:val="0"/>
          <w:divBdr>
            <w:top w:val="none" w:sz="0" w:space="0" w:color="auto"/>
            <w:left w:val="none" w:sz="0" w:space="0" w:color="auto"/>
            <w:bottom w:val="none" w:sz="0" w:space="0" w:color="auto"/>
            <w:right w:val="none" w:sz="0" w:space="0" w:color="auto"/>
          </w:divBdr>
          <w:divsChild>
            <w:div w:id="23999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product-information-pi" TargetMode="External"/><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8.JPG"/><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image" Target="media/image31.JPG"/><Relationship Id="rId47" Type="http://schemas.openxmlformats.org/officeDocument/2006/relationships/header" Target="header4.xml"/><Relationship Id="rId50" Type="http://schemas.openxmlformats.org/officeDocument/2006/relationships/hyperlink" Target="mailto:info@tga.gov.au" TargetMode="External"/><Relationship Id="rId55"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JPG"/><Relationship Id="rId41" Type="http://schemas.openxmlformats.org/officeDocument/2006/relationships/image" Target="media/image30.JP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hyperlink" Target="https://www.tga.gov.au/product-information-pi" TargetMode="External"/><Relationship Id="rId53" Type="http://schemas.openxmlformats.org/officeDocument/2006/relationships/header" Target="header7.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footer" Target="footer2.xml"/><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jpg"/><Relationship Id="rId31" Type="http://schemas.openxmlformats.org/officeDocument/2006/relationships/image" Target="media/image20.JPG"/><Relationship Id="rId44" Type="http://schemas.openxmlformats.org/officeDocument/2006/relationships/image" Target="media/image33.png"/><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eg"/><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header" Target="header5.xml"/><Relationship Id="rId56" Type="http://schemas.openxmlformats.org/officeDocument/2006/relationships/footer" Target="footer4.xml"/><Relationship Id="rId8" Type="http://schemas.openxmlformats.org/officeDocument/2006/relationships/hyperlink" Target="https://www.tga.gov.au" TargetMode="External"/><Relationship Id="rId51" Type="http://schemas.openxmlformats.org/officeDocument/2006/relationships/hyperlink" Target="https://www.tga.gov.au"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gul\AppData\Local\Hewlett-Packard\HP%20TRIM\TEMP\HPTRIM.13280\t0Q6KZ8H.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B1721-759A-40E5-B117-7C04CDAC7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t0Q6KZ8H.DOTX</Template>
  <TotalTime>38</TotalTime>
  <Pages>38</Pages>
  <Words>9018</Words>
  <Characters>51406</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Australian Public Assessment Report for Ceftazidime/Avibactam</vt:lpstr>
    </vt:vector>
  </TitlesOfParts>
  <Company>Department of Health Therapeutic Goods Administration</Company>
  <LinksUpToDate>false</LinksUpToDate>
  <CharactersWithSpaces>60304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Ceftazidime/Avibactam</dc:title>
  <dc:subject>prescription medicine regulation</dc:subject>
  <dc:creator>Therapeutic Goods Administration</dc:creator>
  <cp:keywords>AusPARs</cp:keywords>
  <cp:lastPrinted>2019-08-14T04:30:00Z</cp:lastPrinted>
  <dcterms:created xsi:type="dcterms:W3CDTF">2020-02-24T03:19:00Z</dcterms:created>
  <dcterms:modified xsi:type="dcterms:W3CDTF">2020-03-06T00:12:00Z</dcterms:modified>
</cp:coreProperties>
</file>