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1ADA" w:rsidRPr="00012A8E" w:rsidRDefault="005D649F" w:rsidP="00491ADA">
      <w:pPr>
        <w:pStyle w:val="CLDNormal"/>
        <w:rPr>
          <w:rFonts w:eastAsiaTheme="minorHAnsi"/>
          <w:lang w:val="en-AU"/>
        </w:rPr>
      </w:pPr>
      <w:r>
        <w:rPr>
          <w:noProof/>
          <w:lang w:val="en-AU" w:eastAsia="en-AU"/>
        </w:rPr>
        <w:drawing>
          <wp:inline distT="0" distB="0" distL="0" distR="0" wp14:anchorId="379C06AB" wp14:editId="77B8A7E2">
            <wp:extent cx="198120" cy="1752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8120" cy="175260"/>
                    </a:xfrm>
                    <a:prstGeom prst="rect">
                      <a:avLst/>
                    </a:prstGeom>
                    <a:noFill/>
                    <a:ln>
                      <a:noFill/>
                    </a:ln>
                  </pic:spPr>
                </pic:pic>
              </a:graphicData>
            </a:graphic>
          </wp:inline>
        </w:drawing>
      </w:r>
      <w:r w:rsidR="001C7580" w:rsidRPr="001C7580">
        <w:rPr>
          <w:rFonts w:eastAsiaTheme="minorHAnsi"/>
          <w:lang w:val="en-AU"/>
        </w:rPr>
        <w:t xml:space="preserve"> </w:t>
      </w:r>
      <w:r w:rsidR="001C7580" w:rsidRPr="002F5236">
        <w:rPr>
          <w:rFonts w:eastAsiaTheme="minorHAnsi"/>
          <w:lang w:val="en-AU"/>
        </w:rPr>
        <w:t xml:space="preserve">This medicinal product is subject to additional monitoring </w:t>
      </w:r>
      <w:r w:rsidR="001C7580" w:rsidRPr="0054485B">
        <w:rPr>
          <w:rFonts w:eastAsiaTheme="minorHAnsi"/>
          <w:b/>
          <w:lang w:val="en-AU"/>
        </w:rPr>
        <w:t>in Australia</w:t>
      </w:r>
      <w:r w:rsidR="001C7580" w:rsidRPr="002F5236">
        <w:rPr>
          <w:rFonts w:eastAsiaTheme="minorHAnsi"/>
          <w:lang w:val="en-AU"/>
        </w:rPr>
        <w:t xml:space="preserve">. This will allow quick identification of new safety information. Healthcare professionals </w:t>
      </w:r>
      <w:proofErr w:type="gramStart"/>
      <w:r w:rsidR="001C7580" w:rsidRPr="002F5236">
        <w:rPr>
          <w:rFonts w:eastAsiaTheme="minorHAnsi"/>
          <w:lang w:val="en-AU"/>
        </w:rPr>
        <w:t>are asked</w:t>
      </w:r>
      <w:proofErr w:type="gramEnd"/>
      <w:r w:rsidR="001C7580" w:rsidRPr="002F5236">
        <w:rPr>
          <w:rFonts w:eastAsiaTheme="minorHAnsi"/>
          <w:lang w:val="en-AU"/>
        </w:rPr>
        <w:t xml:space="preserve"> to report any suspected adverse events at </w:t>
      </w:r>
      <w:hyperlink r:id="rId13" w:history="1">
        <w:r w:rsidR="001C7580" w:rsidRPr="002F5236">
          <w:rPr>
            <w:rFonts w:eastAsiaTheme="minorHAnsi"/>
            <w:color w:val="0000FF" w:themeColor="hyperlink"/>
            <w:u w:val="single"/>
            <w:lang w:val="en-AU"/>
          </w:rPr>
          <w:t>www.tga.gov.au/reporting-problems</w:t>
        </w:r>
      </w:hyperlink>
      <w:r w:rsidR="001C7580" w:rsidRPr="002F5236">
        <w:rPr>
          <w:rFonts w:eastAsiaTheme="minorHAnsi"/>
          <w:lang w:val="en-AU"/>
        </w:rPr>
        <w:t>.</w:t>
      </w:r>
    </w:p>
    <w:p w:rsidR="00FC4EFD" w:rsidRPr="00D205FF" w:rsidRDefault="00FC4EFD" w:rsidP="00FC4EFD">
      <w:pPr>
        <w:pStyle w:val="CLDTITLE"/>
      </w:pPr>
      <w:r w:rsidRPr="00D205FF">
        <w:t>AUSTRALIAN PRODUCT INFORMATION – ZAVICEFTA</w:t>
      </w:r>
      <w:r w:rsidRPr="00D205FF">
        <w:rPr>
          <w:vertAlign w:val="superscript"/>
        </w:rPr>
        <w:t>®</w:t>
      </w:r>
      <w:r w:rsidRPr="00D205FF">
        <w:t>2000/500</w:t>
      </w:r>
      <w:r w:rsidR="00BE7A75" w:rsidRPr="001939AC">
        <w:t> </w:t>
      </w:r>
      <w:r w:rsidRPr="00D205FF">
        <w:t>(</w:t>
      </w:r>
      <w:proofErr w:type="spellStart"/>
      <w:r w:rsidRPr="00D205FF">
        <w:t>ceftazidime</w:t>
      </w:r>
      <w:proofErr w:type="spellEnd"/>
      <w:r w:rsidRPr="00D205FF">
        <w:t>/avibactam)</w:t>
      </w:r>
    </w:p>
    <w:p w:rsidR="00EB4D43" w:rsidRPr="001939AC" w:rsidRDefault="00E60520" w:rsidP="00AA40F4">
      <w:pPr>
        <w:pStyle w:val="CLDHeading1"/>
        <w:rPr>
          <w:vertAlign w:val="superscript"/>
        </w:rPr>
      </w:pPr>
      <w:r w:rsidRPr="001939AC">
        <w:t>1.</w:t>
      </w:r>
      <w:r w:rsidR="002C097C" w:rsidRPr="001939AC">
        <w:t xml:space="preserve"> </w:t>
      </w:r>
      <w:r w:rsidRPr="001939AC">
        <w:t>NAME</w:t>
      </w:r>
      <w:r w:rsidR="00C13C1A">
        <w:t xml:space="preserve"> </w:t>
      </w:r>
      <w:r w:rsidR="00810F24">
        <w:t>OF MEDICINE</w:t>
      </w:r>
    </w:p>
    <w:p w:rsidR="002C097C" w:rsidRPr="001939AC" w:rsidRDefault="00982F36" w:rsidP="002C097C">
      <w:pPr>
        <w:pStyle w:val="CLDNormal"/>
        <w:rPr>
          <w:noProof/>
        </w:rPr>
      </w:pPr>
      <w:r>
        <w:rPr>
          <w:noProof/>
        </w:rPr>
        <w:t>C</w:t>
      </w:r>
      <w:r w:rsidR="000E41DB" w:rsidRPr="001939AC">
        <w:rPr>
          <w:noProof/>
        </w:rPr>
        <w:t>eftazidime</w:t>
      </w:r>
      <w:r w:rsidR="003E4E7F">
        <w:rPr>
          <w:noProof/>
        </w:rPr>
        <w:t xml:space="preserve"> (as</w:t>
      </w:r>
      <w:r w:rsidR="000E41DB" w:rsidRPr="001939AC">
        <w:rPr>
          <w:noProof/>
        </w:rPr>
        <w:t xml:space="preserve"> pentahydrate</w:t>
      </w:r>
      <w:r w:rsidR="003E4E7F">
        <w:rPr>
          <w:noProof/>
        </w:rPr>
        <w:t>)</w:t>
      </w:r>
      <w:r w:rsidR="007F295E">
        <w:rPr>
          <w:noProof/>
        </w:rPr>
        <w:t>/</w:t>
      </w:r>
      <w:r w:rsidR="000E41DB">
        <w:rPr>
          <w:noProof/>
        </w:rPr>
        <w:t>avibactam</w:t>
      </w:r>
      <w:r w:rsidR="003E4E7F">
        <w:rPr>
          <w:noProof/>
        </w:rPr>
        <w:t xml:space="preserve"> (as</w:t>
      </w:r>
      <w:r w:rsidR="000E41DB">
        <w:rPr>
          <w:noProof/>
        </w:rPr>
        <w:t xml:space="preserve"> sodium</w:t>
      </w:r>
      <w:r w:rsidR="003E4E7F">
        <w:rPr>
          <w:noProof/>
        </w:rPr>
        <w:t>)</w:t>
      </w:r>
      <w:r>
        <w:rPr>
          <w:noProof/>
        </w:rPr>
        <w:t>.</w:t>
      </w:r>
    </w:p>
    <w:p w:rsidR="00EB4D43" w:rsidRPr="000709A7" w:rsidRDefault="00294A15" w:rsidP="000709A7">
      <w:pPr>
        <w:pStyle w:val="CLDHeading1"/>
      </w:pPr>
      <w:r w:rsidRPr="000709A7">
        <w:t>2.</w:t>
      </w:r>
      <w:r w:rsidR="002C097C" w:rsidRPr="000709A7">
        <w:t xml:space="preserve"> </w:t>
      </w:r>
      <w:r w:rsidR="004F03D2">
        <w:t>QUALITATIVE AND QUANTITATIVE COMPOSITION</w:t>
      </w:r>
    </w:p>
    <w:p w:rsidR="002C097C" w:rsidRPr="00367176" w:rsidRDefault="002C097C" w:rsidP="002C097C">
      <w:pPr>
        <w:pStyle w:val="CLDNormal"/>
      </w:pPr>
      <w:r w:rsidRPr="001939AC">
        <w:rPr>
          <w:noProof/>
        </w:rPr>
        <w:t xml:space="preserve">Each vial contains ceftazidime </w:t>
      </w:r>
      <w:r w:rsidR="000E41DB">
        <w:rPr>
          <w:noProof/>
        </w:rPr>
        <w:t xml:space="preserve">(as </w:t>
      </w:r>
      <w:r w:rsidRPr="001939AC">
        <w:rPr>
          <w:noProof/>
        </w:rPr>
        <w:t>pentahydrate</w:t>
      </w:r>
      <w:r w:rsidR="000E41DB">
        <w:rPr>
          <w:noProof/>
        </w:rPr>
        <w:t>)</w:t>
      </w:r>
      <w:r w:rsidRPr="001939AC">
        <w:rPr>
          <w:noProof/>
        </w:rPr>
        <w:t xml:space="preserve"> equivalent to 2</w:t>
      </w:r>
      <w:r w:rsidR="00BA3AED">
        <w:rPr>
          <w:noProof/>
        </w:rPr>
        <w:t>000</w:t>
      </w:r>
      <w:r w:rsidRPr="001939AC">
        <w:rPr>
          <w:noProof/>
        </w:rPr>
        <w:t> </w:t>
      </w:r>
      <w:r w:rsidR="00BA3AED">
        <w:rPr>
          <w:noProof/>
        </w:rPr>
        <w:t>m</w:t>
      </w:r>
      <w:r w:rsidRPr="001939AC">
        <w:rPr>
          <w:noProof/>
        </w:rPr>
        <w:t xml:space="preserve">g ceftazidime and </w:t>
      </w:r>
      <w:proofErr w:type="gramStart"/>
      <w:r w:rsidRPr="001939AC">
        <w:rPr>
          <w:lang w:val="en-US"/>
        </w:rPr>
        <w:t>avibactam</w:t>
      </w:r>
      <w:proofErr w:type="gramEnd"/>
      <w:r w:rsidRPr="001939AC">
        <w:rPr>
          <w:lang w:val="en-US"/>
        </w:rPr>
        <w:t xml:space="preserve"> </w:t>
      </w:r>
      <w:r w:rsidR="00512BF8">
        <w:rPr>
          <w:lang w:val="en-US"/>
        </w:rPr>
        <w:t xml:space="preserve">(as </w:t>
      </w:r>
      <w:r w:rsidRPr="001939AC">
        <w:rPr>
          <w:lang w:val="en-US"/>
        </w:rPr>
        <w:t>sodium</w:t>
      </w:r>
      <w:r w:rsidR="00E63454">
        <w:rPr>
          <w:lang w:val="en-US"/>
        </w:rPr>
        <w:t>)</w:t>
      </w:r>
      <w:r w:rsidRPr="001939AC">
        <w:rPr>
          <w:lang w:val="en-US"/>
        </w:rPr>
        <w:t xml:space="preserve"> equivalent to 5</w:t>
      </w:r>
      <w:r w:rsidR="00BA3AED">
        <w:rPr>
          <w:lang w:val="en-US"/>
        </w:rPr>
        <w:t>00</w:t>
      </w:r>
      <w:r w:rsidRPr="001939AC">
        <w:rPr>
          <w:lang w:val="en-US"/>
        </w:rPr>
        <w:t> </w:t>
      </w:r>
      <w:r w:rsidR="00BA3AED">
        <w:rPr>
          <w:lang w:val="en-US"/>
        </w:rPr>
        <w:t>m</w:t>
      </w:r>
      <w:r w:rsidRPr="001939AC">
        <w:rPr>
          <w:lang w:val="en-US"/>
        </w:rPr>
        <w:t>g avibactam</w:t>
      </w:r>
      <w:r w:rsidR="00D07510">
        <w:rPr>
          <w:lang w:val="en-US"/>
        </w:rPr>
        <w:t>)</w:t>
      </w:r>
      <w:r w:rsidRPr="001939AC">
        <w:t>.</w:t>
      </w:r>
    </w:p>
    <w:p w:rsidR="009833F2" w:rsidRPr="00A4175C" w:rsidRDefault="009833F2" w:rsidP="00A4175C">
      <w:pPr>
        <w:pStyle w:val="CLDNormal"/>
      </w:pPr>
      <w:r w:rsidRPr="00A4175C">
        <w:t xml:space="preserve">After reconstitution, 1 mL of solution contains 167.3 mg of </w:t>
      </w:r>
      <w:proofErr w:type="spellStart"/>
      <w:r w:rsidRPr="00A4175C">
        <w:t>ceftazidime</w:t>
      </w:r>
      <w:proofErr w:type="spellEnd"/>
      <w:r w:rsidRPr="00A4175C">
        <w:t xml:space="preserve"> </w:t>
      </w:r>
      <w:r w:rsidR="00D07510">
        <w:t>(CAZ)</w:t>
      </w:r>
      <w:r w:rsidRPr="00A4175C">
        <w:t xml:space="preserve"> and 41.8 mg of avibactam </w:t>
      </w:r>
      <w:r w:rsidR="00D07510" w:rsidRPr="00A4175C">
        <w:t>(AVI)</w:t>
      </w:r>
      <w:r w:rsidRPr="00A4175C">
        <w:t>.</w:t>
      </w:r>
    </w:p>
    <w:p w:rsidR="00E64931" w:rsidRPr="00367176" w:rsidRDefault="00E64931" w:rsidP="00810F24">
      <w:pPr>
        <w:pStyle w:val="CLDNormal"/>
      </w:pPr>
      <w:proofErr w:type="spellStart"/>
      <w:r w:rsidRPr="00810F24">
        <w:t>Ceftazidime</w:t>
      </w:r>
      <w:proofErr w:type="spellEnd"/>
      <w:r w:rsidRPr="00810F24">
        <w:t xml:space="preserve"> </w:t>
      </w:r>
      <w:r w:rsidR="00BE7A75">
        <w:t xml:space="preserve">(as </w:t>
      </w:r>
      <w:r w:rsidRPr="00810F24">
        <w:t>pentahydrate</w:t>
      </w:r>
      <w:r w:rsidR="00BE7A75">
        <w:t>)</w:t>
      </w:r>
      <w:r w:rsidRPr="00810F24">
        <w:t xml:space="preserve"> is a w</w:t>
      </w:r>
      <w:r w:rsidRPr="00810F24">
        <w:rPr>
          <w:rStyle w:val="TableText12"/>
        </w:rPr>
        <w:t xml:space="preserve">hite to almost white crystalline powder. It is </w:t>
      </w:r>
      <w:r w:rsidRPr="00810F24">
        <w:t xml:space="preserve">soluble in acid, alkali and dimethyl </w:t>
      </w:r>
      <w:proofErr w:type="spellStart"/>
      <w:r w:rsidRPr="00810F24">
        <w:t>sulphoxide</w:t>
      </w:r>
      <w:proofErr w:type="spellEnd"/>
      <w:r w:rsidRPr="00810F24">
        <w:t xml:space="preserve"> and slightly soluble in water, </w:t>
      </w:r>
      <w:r w:rsidR="005843C8">
        <w:t xml:space="preserve">methanol and </w:t>
      </w:r>
      <w:proofErr w:type="spellStart"/>
      <w:r w:rsidR="005843C8">
        <w:t>dimethylformamide</w:t>
      </w:r>
      <w:proofErr w:type="spellEnd"/>
      <w:r w:rsidR="005843C8">
        <w:t>.</w:t>
      </w:r>
    </w:p>
    <w:p w:rsidR="00E64931" w:rsidRPr="00810F24" w:rsidRDefault="00E64931" w:rsidP="00810F24">
      <w:pPr>
        <w:pStyle w:val="CLDNormal"/>
      </w:pPr>
      <w:r w:rsidRPr="00810F24">
        <w:rPr>
          <w:rStyle w:val="TableText12"/>
        </w:rPr>
        <w:t xml:space="preserve">Avibactam </w:t>
      </w:r>
      <w:r w:rsidR="00BE7A75">
        <w:rPr>
          <w:rStyle w:val="TableText12"/>
        </w:rPr>
        <w:t xml:space="preserve">(as </w:t>
      </w:r>
      <w:r w:rsidRPr="00810F24">
        <w:rPr>
          <w:rStyle w:val="TableText12"/>
        </w:rPr>
        <w:t>sodium</w:t>
      </w:r>
      <w:r w:rsidR="00BE7A75">
        <w:rPr>
          <w:rStyle w:val="TableText12"/>
        </w:rPr>
        <w:t>)</w:t>
      </w:r>
      <w:r w:rsidRPr="00810F24">
        <w:rPr>
          <w:rStyle w:val="TableText12"/>
        </w:rPr>
        <w:t xml:space="preserve"> is a crystalline powder. It is freely soluble in water, relatively soluble in m</w:t>
      </w:r>
      <w:r w:rsidRPr="00810F24">
        <w:t>et</w:t>
      </w:r>
      <w:r w:rsidR="005843C8">
        <w:t>hanol and insoluble in ethanol.</w:t>
      </w:r>
    </w:p>
    <w:p w:rsidR="00995EFD" w:rsidRPr="001939AC" w:rsidRDefault="00995EFD" w:rsidP="005B4B20">
      <w:pPr>
        <w:pStyle w:val="CLDHeading3"/>
      </w:pPr>
      <w:r w:rsidRPr="001939AC">
        <w:t>Excipient</w:t>
      </w:r>
      <w:r w:rsidR="002C097C" w:rsidRPr="001939AC">
        <w:t>s</w:t>
      </w:r>
      <w:r w:rsidRPr="001939AC">
        <w:t xml:space="preserve"> with known e</w:t>
      </w:r>
      <w:r w:rsidR="005843C8">
        <w:t>ffect</w:t>
      </w:r>
    </w:p>
    <w:p w:rsidR="002C097C" w:rsidRPr="001939AC" w:rsidRDefault="002C097C" w:rsidP="002C097C">
      <w:pPr>
        <w:pStyle w:val="CLDNormal"/>
        <w:rPr>
          <w:iCs/>
          <w:noProof/>
        </w:rPr>
      </w:pPr>
      <w:r w:rsidRPr="001939AC">
        <w:rPr>
          <w:lang w:val="en"/>
        </w:rPr>
        <w:t>Each vial contains 6.44 </w:t>
      </w:r>
      <w:proofErr w:type="spellStart"/>
      <w:r w:rsidRPr="001939AC">
        <w:rPr>
          <w:lang w:val="en"/>
        </w:rPr>
        <w:t>mmol</w:t>
      </w:r>
      <w:proofErr w:type="spellEnd"/>
      <w:r w:rsidRPr="001939AC">
        <w:rPr>
          <w:lang w:val="en"/>
        </w:rPr>
        <w:t xml:space="preserve"> of sodium (approximately 148 mg).</w:t>
      </w:r>
    </w:p>
    <w:p w:rsidR="002C097C" w:rsidRPr="001939AC" w:rsidRDefault="002C097C" w:rsidP="002C097C">
      <w:pPr>
        <w:pStyle w:val="CLDNormal"/>
        <w:rPr>
          <w:iCs/>
          <w:noProof/>
        </w:rPr>
      </w:pPr>
      <w:r w:rsidRPr="001939AC">
        <w:rPr>
          <w:iCs/>
          <w:noProof/>
        </w:rPr>
        <w:t>For the full list of excipients, see section 6.1</w:t>
      </w:r>
      <w:r w:rsidR="00E63454">
        <w:rPr>
          <w:iCs/>
          <w:noProof/>
        </w:rPr>
        <w:t xml:space="preserve"> List of excipients</w:t>
      </w:r>
      <w:r w:rsidRPr="001939AC">
        <w:rPr>
          <w:iCs/>
          <w:noProof/>
        </w:rPr>
        <w:t>.</w:t>
      </w:r>
    </w:p>
    <w:p w:rsidR="0034484A" w:rsidRPr="00BE7A75" w:rsidRDefault="00932B9D" w:rsidP="00BE7A75">
      <w:pPr>
        <w:pStyle w:val="CLDHeading1"/>
      </w:pPr>
      <w:r w:rsidRPr="00BE7A75">
        <w:t>3.</w:t>
      </w:r>
      <w:r w:rsidR="002C097C" w:rsidRPr="00BE7A75">
        <w:t xml:space="preserve"> </w:t>
      </w:r>
      <w:r w:rsidR="004F03D2">
        <w:t>PHARMACEUTICAL FORM</w:t>
      </w:r>
    </w:p>
    <w:p w:rsidR="004B399A" w:rsidRDefault="004B399A" w:rsidP="002C097C">
      <w:pPr>
        <w:tabs>
          <w:tab w:val="left" w:pos="7036"/>
        </w:tabs>
      </w:pPr>
      <w:r>
        <w:t>Powder for Injection.</w:t>
      </w:r>
    </w:p>
    <w:p w:rsidR="009833F2" w:rsidRDefault="009833F2" w:rsidP="009833F2">
      <w:pPr>
        <w:tabs>
          <w:tab w:val="left" w:pos="7036"/>
        </w:tabs>
      </w:pPr>
      <w:proofErr w:type="spellStart"/>
      <w:r>
        <w:t>Zavicefta</w:t>
      </w:r>
      <w:proofErr w:type="spellEnd"/>
      <w:r>
        <w:t xml:space="preserve"> is</w:t>
      </w:r>
      <w:r w:rsidRPr="001939AC">
        <w:t xml:space="preserve"> white to </w:t>
      </w:r>
      <w:r>
        <w:t xml:space="preserve">light </w:t>
      </w:r>
      <w:r w:rsidRPr="001939AC">
        <w:t>yellow powder.</w:t>
      </w:r>
    </w:p>
    <w:p w:rsidR="009833F2" w:rsidRPr="00A4175C" w:rsidRDefault="009833F2" w:rsidP="00A4175C">
      <w:pPr>
        <w:pStyle w:val="CLDNormal"/>
      </w:pPr>
      <w:r w:rsidRPr="00A4175C">
        <w:t>The reconstituted solution is a clear and colourless to yellow solution free from visible particulate matter.</w:t>
      </w:r>
    </w:p>
    <w:p w:rsidR="00E4558F" w:rsidRPr="00BE7A75" w:rsidRDefault="00932B9D" w:rsidP="00BE7A75">
      <w:pPr>
        <w:pStyle w:val="CLDHeading1"/>
      </w:pPr>
      <w:r w:rsidRPr="00BE7A75">
        <w:lastRenderedPageBreak/>
        <w:t>4.</w:t>
      </w:r>
      <w:r w:rsidR="002C097C" w:rsidRPr="00BE7A75">
        <w:t xml:space="preserve"> </w:t>
      </w:r>
      <w:r w:rsidR="004F03D2">
        <w:t>CLINICAL PARTICULARS</w:t>
      </w:r>
    </w:p>
    <w:p w:rsidR="00E60520" w:rsidRPr="001939AC" w:rsidRDefault="00932B9D" w:rsidP="005B4B20">
      <w:pPr>
        <w:pStyle w:val="CLDHeading2"/>
        <w:rPr>
          <w:bCs/>
        </w:rPr>
      </w:pPr>
      <w:r w:rsidRPr="001939AC">
        <w:t>4.1</w:t>
      </w:r>
      <w:r w:rsidR="002C097C" w:rsidRPr="001939AC">
        <w:t xml:space="preserve"> </w:t>
      </w:r>
      <w:r w:rsidR="00E60520" w:rsidRPr="001939AC">
        <w:t>Therapeutic indications</w:t>
      </w:r>
    </w:p>
    <w:p w:rsidR="002C097C" w:rsidRPr="00305843" w:rsidRDefault="002C097C" w:rsidP="002C097C">
      <w:pPr>
        <w:pStyle w:val="CLDNormal"/>
      </w:pPr>
      <w:proofErr w:type="spellStart"/>
      <w:r w:rsidRPr="001939AC">
        <w:t>Zavicefta</w:t>
      </w:r>
      <w:proofErr w:type="spellEnd"/>
      <w:r w:rsidRPr="001939AC">
        <w:t xml:space="preserve"> </w:t>
      </w:r>
      <w:proofErr w:type="gramStart"/>
      <w:r w:rsidRPr="001939AC">
        <w:t>is indicated</w:t>
      </w:r>
      <w:proofErr w:type="gramEnd"/>
      <w:r w:rsidRPr="001939AC">
        <w:t xml:space="preserve"> for the </w:t>
      </w:r>
      <w:r w:rsidRPr="00305843">
        <w:t xml:space="preserve">treatment of the following infections in adults (see sections 4.4 </w:t>
      </w:r>
      <w:r w:rsidR="00E63454" w:rsidRPr="00305843">
        <w:t>Special warnings and prec</w:t>
      </w:r>
      <w:r w:rsidR="00BA5B57" w:rsidRPr="00305843">
        <w:t>a</w:t>
      </w:r>
      <w:r w:rsidR="00E63454" w:rsidRPr="00305843">
        <w:t xml:space="preserve">utions for use </w:t>
      </w:r>
      <w:r w:rsidRPr="00305843">
        <w:t>and 5.1</w:t>
      </w:r>
      <w:r w:rsidR="00E63454" w:rsidRPr="00305843">
        <w:t xml:space="preserve"> </w:t>
      </w:r>
      <w:proofErr w:type="spellStart"/>
      <w:r w:rsidR="00E63454" w:rsidRPr="00305843">
        <w:t>Pharmacodynamic</w:t>
      </w:r>
      <w:proofErr w:type="spellEnd"/>
      <w:r w:rsidR="00E63454" w:rsidRPr="00305843">
        <w:t xml:space="preserve"> properties</w:t>
      </w:r>
      <w:r w:rsidRPr="00305843">
        <w:t>):</w:t>
      </w:r>
    </w:p>
    <w:p w:rsidR="004621AC" w:rsidRPr="00305843" w:rsidRDefault="004621AC" w:rsidP="004621AC">
      <w:pPr>
        <w:pStyle w:val="ListParagraph1"/>
      </w:pPr>
      <w:r w:rsidRPr="00305843">
        <w:t>Complicated intra-abdominal infection (</w:t>
      </w:r>
      <w:proofErr w:type="spellStart"/>
      <w:r w:rsidRPr="00305843">
        <w:t>cIAI</w:t>
      </w:r>
      <w:proofErr w:type="spellEnd"/>
      <w:r w:rsidRPr="00305843">
        <w:t>)</w:t>
      </w:r>
      <w:r w:rsidR="00FC0F22" w:rsidRPr="00D937A3">
        <w:t>, in combination with metronidazole</w:t>
      </w:r>
      <w:r w:rsidRPr="00D937A3">
        <w:t>.</w:t>
      </w:r>
    </w:p>
    <w:p w:rsidR="004621AC" w:rsidRPr="001939AC" w:rsidRDefault="004621AC" w:rsidP="004621AC">
      <w:pPr>
        <w:pStyle w:val="ListParagraph1"/>
      </w:pPr>
      <w:r w:rsidRPr="001939AC">
        <w:t>Complicated urinary tract infection (</w:t>
      </w:r>
      <w:proofErr w:type="spellStart"/>
      <w:r w:rsidRPr="001939AC">
        <w:t>cUTI</w:t>
      </w:r>
      <w:proofErr w:type="spellEnd"/>
      <w:r w:rsidRPr="001939AC">
        <w:t>), including pyelonephritis</w:t>
      </w:r>
      <w:r>
        <w:t>.</w:t>
      </w:r>
    </w:p>
    <w:p w:rsidR="004621AC" w:rsidRPr="001939AC" w:rsidRDefault="004621AC" w:rsidP="004621AC">
      <w:pPr>
        <w:pStyle w:val="ListParagraph1"/>
      </w:pPr>
      <w:r w:rsidRPr="001939AC">
        <w:t>Hospital-acquired pneumonia (HAP), including ventilator associated pneumonia (VAP)</w:t>
      </w:r>
      <w:r>
        <w:t>.</w:t>
      </w:r>
    </w:p>
    <w:p w:rsidR="004621AC" w:rsidRPr="00D937A3" w:rsidRDefault="004621AC" w:rsidP="004621AC">
      <w:pPr>
        <w:pStyle w:val="CLDNormal"/>
        <w:rPr>
          <w:noProof/>
          <w:szCs w:val="22"/>
        </w:rPr>
      </w:pPr>
      <w:r w:rsidRPr="00305843">
        <w:rPr>
          <w:noProof/>
          <w:szCs w:val="22"/>
        </w:rPr>
        <w:t>Consideration should be given to official guidance on the appropria</w:t>
      </w:r>
      <w:r w:rsidR="005843C8">
        <w:rPr>
          <w:noProof/>
          <w:szCs w:val="22"/>
        </w:rPr>
        <w:t>te use of antibacterial agents.</w:t>
      </w:r>
    </w:p>
    <w:p w:rsidR="004621AC" w:rsidRPr="00B44B34" w:rsidRDefault="00FC0F22" w:rsidP="00B44B34">
      <w:pPr>
        <w:pStyle w:val="CLDNormal"/>
      </w:pPr>
      <w:proofErr w:type="spellStart"/>
      <w:r w:rsidRPr="00D937A3">
        <w:t>Zavicefta</w:t>
      </w:r>
      <w:proofErr w:type="spellEnd"/>
      <w:r w:rsidRPr="00D937A3">
        <w:t xml:space="preserve"> </w:t>
      </w:r>
      <w:proofErr w:type="gramStart"/>
      <w:r w:rsidRPr="00D937A3">
        <w:t>should be</w:t>
      </w:r>
      <w:r w:rsidRPr="00305843">
        <w:t xml:space="preserve"> </w:t>
      </w:r>
      <w:r w:rsidR="004621AC" w:rsidRPr="00305843">
        <w:t>used</w:t>
      </w:r>
      <w:proofErr w:type="gramEnd"/>
      <w:r w:rsidR="004621AC" w:rsidRPr="00305843">
        <w:t xml:space="preserve"> in combination with an antibacterial agent</w:t>
      </w:r>
      <w:r w:rsidR="001E282B" w:rsidRPr="00D937A3">
        <w:t>(s)</w:t>
      </w:r>
      <w:r w:rsidR="004621AC" w:rsidRPr="00D937A3">
        <w:t xml:space="preserve"> active against Gram-positive </w:t>
      </w:r>
      <w:r w:rsidR="001E282B" w:rsidRPr="00D937A3">
        <w:t xml:space="preserve">and/or anaerobic </w:t>
      </w:r>
      <w:r w:rsidR="00B900C9" w:rsidRPr="00D937A3">
        <w:t xml:space="preserve">pathogens </w:t>
      </w:r>
      <w:r w:rsidR="004621AC" w:rsidRPr="00D937A3">
        <w:t>when these are known or suspected to be contributing to</w:t>
      </w:r>
      <w:r w:rsidR="004621AC" w:rsidRPr="00B44B34">
        <w:t xml:space="preserve"> the infectious process</w:t>
      </w:r>
      <w:r w:rsidR="001E282B" w:rsidRPr="00B44B34">
        <w:t>.</w:t>
      </w:r>
    </w:p>
    <w:p w:rsidR="00E60520" w:rsidRPr="001939AC" w:rsidRDefault="00932B9D" w:rsidP="005B4B20">
      <w:pPr>
        <w:pStyle w:val="CLDHeading2"/>
        <w:rPr>
          <w:bCs/>
        </w:rPr>
      </w:pPr>
      <w:r w:rsidRPr="001939AC">
        <w:t>4.2</w:t>
      </w:r>
      <w:r w:rsidR="002C097C" w:rsidRPr="001939AC">
        <w:t xml:space="preserve"> </w:t>
      </w:r>
      <w:r w:rsidR="00E60520" w:rsidRPr="001939AC">
        <w:t>Do</w:t>
      </w:r>
      <w:r w:rsidR="005843C8">
        <w:t>se and method of administration</w:t>
      </w:r>
    </w:p>
    <w:p w:rsidR="00112B3F" w:rsidRPr="000709A7" w:rsidRDefault="006717D9" w:rsidP="000709A7">
      <w:pPr>
        <w:pStyle w:val="CLDHeading3"/>
      </w:pPr>
      <w:r w:rsidRPr="000709A7">
        <w:t>Dosage</w:t>
      </w:r>
    </w:p>
    <w:p w:rsidR="006717D9" w:rsidRDefault="00584FE0" w:rsidP="006717D9">
      <w:pPr>
        <w:pStyle w:val="CLDNormal"/>
        <w:rPr>
          <w:bCs/>
        </w:rPr>
      </w:pPr>
      <w:r w:rsidRPr="00846A3A">
        <w:t xml:space="preserve">The recommended dosage is </w:t>
      </w:r>
      <w:proofErr w:type="gramStart"/>
      <w:r w:rsidRPr="00846A3A">
        <w:t>1</w:t>
      </w:r>
      <w:proofErr w:type="gramEnd"/>
      <w:r w:rsidRPr="00846A3A">
        <w:t xml:space="preserve"> vial where each vial contains 2</w:t>
      </w:r>
      <w:r>
        <w:t>000</w:t>
      </w:r>
      <w:r w:rsidRPr="00846A3A">
        <w:t> </w:t>
      </w:r>
      <w:r>
        <w:t>m</w:t>
      </w:r>
      <w:r w:rsidRPr="00846A3A">
        <w:t xml:space="preserve">g </w:t>
      </w:r>
      <w:proofErr w:type="spellStart"/>
      <w:r w:rsidRPr="00846A3A">
        <w:t>ceftazidime</w:t>
      </w:r>
      <w:proofErr w:type="spellEnd"/>
      <w:r w:rsidRPr="00846A3A">
        <w:t xml:space="preserve"> and 5</w:t>
      </w:r>
      <w:r>
        <w:t>00</w:t>
      </w:r>
      <w:r w:rsidRPr="00846A3A">
        <w:t> </w:t>
      </w:r>
      <w:r>
        <w:t>m</w:t>
      </w:r>
      <w:r w:rsidRPr="00846A3A">
        <w:t>g avibactam</w:t>
      </w:r>
      <w:r>
        <w:t xml:space="preserve">. </w:t>
      </w:r>
      <w:r w:rsidRPr="00846A3A">
        <w:t xml:space="preserve">Treatment </w:t>
      </w:r>
      <w:proofErr w:type="gramStart"/>
      <w:r w:rsidRPr="00846A3A">
        <w:t>is repeated</w:t>
      </w:r>
      <w:proofErr w:type="gramEnd"/>
      <w:r w:rsidRPr="00846A3A">
        <w:t xml:space="preserve"> every 8 hours. For patients with renal impairment</w:t>
      </w:r>
      <w:r w:rsidR="00E63454">
        <w:t>, see dosage adjustments, renal im</w:t>
      </w:r>
      <w:r w:rsidR="005843C8">
        <w:t>pairment later in this section.</w:t>
      </w:r>
    </w:p>
    <w:p w:rsidR="00FC4EFD" w:rsidRDefault="00FC4EFD" w:rsidP="002E7FAF">
      <w:pPr>
        <w:pStyle w:val="CLDTableTitle"/>
        <w:rPr>
          <w:bCs/>
        </w:rPr>
      </w:pPr>
      <w:bookmarkStart w:id="0" w:name="_Toc1479071"/>
      <w:r>
        <w:t xml:space="preserve">Table </w:t>
      </w:r>
      <w:r>
        <w:fldChar w:fldCharType="begin"/>
      </w:r>
      <w:r>
        <w:instrText xml:space="preserve"> SEQ Table \* ARABIC </w:instrText>
      </w:r>
      <w:r>
        <w:fldChar w:fldCharType="separate"/>
      </w:r>
      <w:r w:rsidR="00B44B34">
        <w:rPr>
          <w:noProof/>
        </w:rPr>
        <w:t>1</w:t>
      </w:r>
      <w:r>
        <w:fldChar w:fldCharType="end"/>
      </w:r>
      <w:r>
        <w:t xml:space="preserve">: </w:t>
      </w:r>
      <w:r w:rsidRPr="00881F16">
        <w:t>Summary of treatment duration by indication or condition</w:t>
      </w:r>
      <w:bookmarkEnd w:id="0"/>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2"/>
        <w:gridCol w:w="1502"/>
        <w:gridCol w:w="1585"/>
        <w:gridCol w:w="2945"/>
      </w:tblGrid>
      <w:tr w:rsidR="00BA3AED" w:rsidRPr="002E7FAF" w:rsidTr="00816B3A">
        <w:tc>
          <w:tcPr>
            <w:tcW w:w="3123" w:type="dxa"/>
          </w:tcPr>
          <w:p w:rsidR="00BA3AED" w:rsidRPr="002E7FAF" w:rsidRDefault="00BA3AED" w:rsidP="002E7FAF">
            <w:pPr>
              <w:pStyle w:val="CLDTableSpaceListSpace"/>
              <w:rPr>
                <w:b/>
                <w:bCs/>
                <w:sz w:val="22"/>
                <w:lang w:val="en"/>
              </w:rPr>
            </w:pPr>
            <w:r w:rsidRPr="002E7FAF">
              <w:rPr>
                <w:b/>
                <w:bCs/>
                <w:sz w:val="22"/>
                <w:lang w:val="en"/>
              </w:rPr>
              <w:t>Type of infection</w:t>
            </w:r>
          </w:p>
        </w:tc>
        <w:tc>
          <w:tcPr>
            <w:tcW w:w="1517" w:type="dxa"/>
          </w:tcPr>
          <w:p w:rsidR="00BA3AED" w:rsidRPr="002E7FAF" w:rsidRDefault="00BA3AED" w:rsidP="002E7FAF">
            <w:pPr>
              <w:pStyle w:val="CLDTableSpaceListSpace"/>
              <w:rPr>
                <w:b/>
                <w:bCs/>
                <w:sz w:val="22"/>
                <w:lang w:val="en"/>
              </w:rPr>
            </w:pPr>
            <w:r w:rsidRPr="002E7FAF">
              <w:rPr>
                <w:b/>
                <w:bCs/>
                <w:sz w:val="22"/>
                <w:lang w:val="en"/>
              </w:rPr>
              <w:t>Frequency</w:t>
            </w:r>
          </w:p>
        </w:tc>
        <w:tc>
          <w:tcPr>
            <w:tcW w:w="1617" w:type="dxa"/>
          </w:tcPr>
          <w:p w:rsidR="00BA3AED" w:rsidRPr="002E7FAF" w:rsidRDefault="00BA3AED" w:rsidP="002E7FAF">
            <w:pPr>
              <w:pStyle w:val="CLDTableSpaceListSpace"/>
              <w:rPr>
                <w:b/>
                <w:bCs/>
                <w:sz w:val="22"/>
                <w:lang w:val="en"/>
              </w:rPr>
            </w:pPr>
            <w:r w:rsidRPr="002E7FAF">
              <w:rPr>
                <w:b/>
                <w:bCs/>
                <w:sz w:val="22"/>
                <w:lang w:val="en"/>
              </w:rPr>
              <w:t>Infusion time</w:t>
            </w:r>
          </w:p>
        </w:tc>
        <w:tc>
          <w:tcPr>
            <w:tcW w:w="3043" w:type="dxa"/>
          </w:tcPr>
          <w:p w:rsidR="00BA3AED" w:rsidRPr="002E7FAF" w:rsidRDefault="00BA3AED" w:rsidP="002E7FAF">
            <w:pPr>
              <w:pStyle w:val="CLDTableSpaceListSpace"/>
              <w:rPr>
                <w:b/>
                <w:bCs/>
                <w:sz w:val="22"/>
                <w:lang w:val="en"/>
              </w:rPr>
            </w:pPr>
            <w:r w:rsidRPr="002E7FAF">
              <w:rPr>
                <w:b/>
                <w:bCs/>
                <w:sz w:val="22"/>
                <w:lang w:val="en"/>
              </w:rPr>
              <w:t>Duration of treatment</w:t>
            </w:r>
          </w:p>
        </w:tc>
      </w:tr>
      <w:tr w:rsidR="00BA3AED" w:rsidRPr="00D937A3" w:rsidTr="00816B3A">
        <w:tc>
          <w:tcPr>
            <w:tcW w:w="3123" w:type="dxa"/>
          </w:tcPr>
          <w:p w:rsidR="00BA3AED" w:rsidRPr="00305843" w:rsidRDefault="00BA3AED" w:rsidP="00FC0F22">
            <w:pPr>
              <w:pStyle w:val="CLDTableTextListText"/>
              <w:rPr>
                <w:sz w:val="22"/>
                <w:lang w:val="en"/>
              </w:rPr>
            </w:pPr>
            <w:r w:rsidRPr="00305843">
              <w:rPr>
                <w:sz w:val="22"/>
                <w:lang w:val="en"/>
              </w:rPr>
              <w:t xml:space="preserve">Complicated </w:t>
            </w:r>
            <w:r w:rsidR="007B7651" w:rsidRPr="00D937A3">
              <w:rPr>
                <w:sz w:val="22"/>
                <w:lang w:val="en"/>
              </w:rPr>
              <w:t>IAI</w:t>
            </w:r>
            <w:r w:rsidR="007B7651" w:rsidRPr="00D937A3">
              <w:rPr>
                <w:sz w:val="22"/>
                <w:vertAlign w:val="superscript"/>
                <w:lang w:val="en"/>
              </w:rPr>
              <w:t>1</w:t>
            </w:r>
            <w:r w:rsidR="00FC0F22" w:rsidRPr="00D937A3">
              <w:rPr>
                <w:sz w:val="22"/>
                <w:vertAlign w:val="superscript"/>
                <w:lang w:val="en"/>
              </w:rPr>
              <w:t>, 2</w:t>
            </w:r>
          </w:p>
        </w:tc>
        <w:tc>
          <w:tcPr>
            <w:tcW w:w="1517" w:type="dxa"/>
          </w:tcPr>
          <w:p w:rsidR="00BA3AED" w:rsidRPr="00D937A3" w:rsidRDefault="00BA3AED" w:rsidP="002E7FAF">
            <w:pPr>
              <w:pStyle w:val="CLDTableTextListText"/>
              <w:rPr>
                <w:sz w:val="22"/>
                <w:lang w:val="en"/>
              </w:rPr>
            </w:pPr>
            <w:r w:rsidRPr="00D937A3">
              <w:rPr>
                <w:sz w:val="22"/>
                <w:lang w:val="en"/>
              </w:rPr>
              <w:t>Every 8 hours</w:t>
            </w:r>
          </w:p>
        </w:tc>
        <w:tc>
          <w:tcPr>
            <w:tcW w:w="1617" w:type="dxa"/>
          </w:tcPr>
          <w:p w:rsidR="00BA3AED" w:rsidRPr="00D937A3" w:rsidRDefault="00BA3AED" w:rsidP="002E7FAF">
            <w:pPr>
              <w:pStyle w:val="CLDTableTextListText"/>
              <w:rPr>
                <w:sz w:val="22"/>
                <w:lang w:val="en"/>
              </w:rPr>
            </w:pPr>
            <w:r w:rsidRPr="00D937A3">
              <w:rPr>
                <w:sz w:val="22"/>
                <w:lang w:val="en"/>
              </w:rPr>
              <w:t>2 hours</w:t>
            </w:r>
          </w:p>
        </w:tc>
        <w:tc>
          <w:tcPr>
            <w:tcW w:w="3043" w:type="dxa"/>
          </w:tcPr>
          <w:p w:rsidR="00BA3AED" w:rsidRPr="00D937A3" w:rsidRDefault="00BA3AED" w:rsidP="002E7FAF">
            <w:pPr>
              <w:pStyle w:val="CLDTableTextListText"/>
              <w:rPr>
                <w:sz w:val="22"/>
                <w:lang w:val="en"/>
              </w:rPr>
            </w:pPr>
            <w:r w:rsidRPr="00D937A3">
              <w:rPr>
                <w:sz w:val="22"/>
                <w:lang w:val="en"/>
              </w:rPr>
              <w:t>5-14 days</w:t>
            </w:r>
            <w:r w:rsidR="006B7192" w:rsidRPr="00D937A3">
              <w:rPr>
                <w:sz w:val="22"/>
                <w:lang w:val="en"/>
              </w:rPr>
              <w:t xml:space="preserve"> </w:t>
            </w:r>
          </w:p>
        </w:tc>
      </w:tr>
      <w:tr w:rsidR="00BA3AED" w:rsidRPr="00D937A3" w:rsidTr="00816B3A">
        <w:tc>
          <w:tcPr>
            <w:tcW w:w="3123" w:type="dxa"/>
          </w:tcPr>
          <w:p w:rsidR="00BA3AED" w:rsidRPr="00305843" w:rsidRDefault="00BA3AED" w:rsidP="00FC0F22">
            <w:pPr>
              <w:pStyle w:val="CLDTableTextListText"/>
              <w:rPr>
                <w:sz w:val="22"/>
                <w:lang w:val="en"/>
              </w:rPr>
            </w:pPr>
            <w:r w:rsidRPr="00D937A3">
              <w:rPr>
                <w:sz w:val="22"/>
                <w:lang w:val="en"/>
              </w:rPr>
              <w:t xml:space="preserve">Complicated UTI, including </w:t>
            </w:r>
            <w:r w:rsidR="007B7651" w:rsidRPr="00D937A3">
              <w:rPr>
                <w:sz w:val="22"/>
                <w:lang w:val="en"/>
              </w:rPr>
              <w:t>pyelonephritis</w:t>
            </w:r>
            <w:r w:rsidR="00FC0F22" w:rsidRPr="00D937A3">
              <w:rPr>
                <w:sz w:val="22"/>
                <w:vertAlign w:val="superscript"/>
                <w:lang w:val="en"/>
              </w:rPr>
              <w:t>2</w:t>
            </w:r>
          </w:p>
        </w:tc>
        <w:tc>
          <w:tcPr>
            <w:tcW w:w="1517" w:type="dxa"/>
          </w:tcPr>
          <w:p w:rsidR="00BA3AED" w:rsidRPr="00D937A3" w:rsidRDefault="00BA3AED" w:rsidP="002E7FAF">
            <w:pPr>
              <w:pStyle w:val="CLDTableTextListText"/>
              <w:rPr>
                <w:sz w:val="22"/>
                <w:lang w:val="en"/>
              </w:rPr>
            </w:pPr>
            <w:r w:rsidRPr="00D937A3">
              <w:rPr>
                <w:sz w:val="22"/>
                <w:lang w:val="en"/>
              </w:rPr>
              <w:t>Every 8 hours</w:t>
            </w:r>
          </w:p>
        </w:tc>
        <w:tc>
          <w:tcPr>
            <w:tcW w:w="1617" w:type="dxa"/>
          </w:tcPr>
          <w:p w:rsidR="00BA3AED" w:rsidRPr="00D937A3" w:rsidRDefault="00BA3AED" w:rsidP="002E7FAF">
            <w:pPr>
              <w:pStyle w:val="CLDTableTextListText"/>
              <w:rPr>
                <w:sz w:val="22"/>
                <w:lang w:val="en"/>
              </w:rPr>
            </w:pPr>
            <w:r w:rsidRPr="00D937A3">
              <w:rPr>
                <w:sz w:val="22"/>
                <w:lang w:val="en"/>
              </w:rPr>
              <w:t>2 hours</w:t>
            </w:r>
          </w:p>
        </w:tc>
        <w:tc>
          <w:tcPr>
            <w:tcW w:w="3043" w:type="dxa"/>
          </w:tcPr>
          <w:p w:rsidR="00BA3AED" w:rsidRPr="00D937A3" w:rsidRDefault="00BA3AED" w:rsidP="00FC0F22">
            <w:pPr>
              <w:pStyle w:val="CLDTableTextListText"/>
              <w:rPr>
                <w:sz w:val="22"/>
                <w:lang w:val="en"/>
              </w:rPr>
            </w:pPr>
            <w:r w:rsidRPr="00D937A3">
              <w:rPr>
                <w:sz w:val="22"/>
                <w:lang w:val="en"/>
              </w:rPr>
              <w:t xml:space="preserve">5-10 </w:t>
            </w:r>
            <w:r w:rsidR="007B7651" w:rsidRPr="00D937A3">
              <w:rPr>
                <w:sz w:val="22"/>
                <w:lang w:val="en"/>
              </w:rPr>
              <w:t>days</w:t>
            </w:r>
            <w:r w:rsidR="00FC0F22" w:rsidRPr="00D937A3">
              <w:rPr>
                <w:sz w:val="22"/>
                <w:vertAlign w:val="superscript"/>
                <w:lang w:val="en"/>
              </w:rPr>
              <w:t>3</w:t>
            </w:r>
          </w:p>
        </w:tc>
      </w:tr>
      <w:tr w:rsidR="00BA3AED" w:rsidRPr="00D937A3" w:rsidTr="00816B3A">
        <w:tc>
          <w:tcPr>
            <w:tcW w:w="3123" w:type="dxa"/>
          </w:tcPr>
          <w:p w:rsidR="00BA3AED" w:rsidRPr="00305843" w:rsidRDefault="00BA3AED" w:rsidP="00FC0F22">
            <w:pPr>
              <w:pStyle w:val="CLDTableTextListText"/>
              <w:rPr>
                <w:sz w:val="22"/>
                <w:lang w:val="en"/>
              </w:rPr>
            </w:pPr>
            <w:r w:rsidRPr="00D937A3">
              <w:rPr>
                <w:sz w:val="22"/>
              </w:rPr>
              <w:t xml:space="preserve">Hospital-acquired pneumonia, including </w:t>
            </w:r>
            <w:r w:rsidR="007B7651" w:rsidRPr="00D937A3">
              <w:rPr>
                <w:sz w:val="22"/>
              </w:rPr>
              <w:t>VAP</w:t>
            </w:r>
            <w:r w:rsidR="00FC0F22" w:rsidRPr="00D937A3">
              <w:rPr>
                <w:sz w:val="22"/>
                <w:vertAlign w:val="superscript"/>
              </w:rPr>
              <w:t>2</w:t>
            </w:r>
          </w:p>
        </w:tc>
        <w:tc>
          <w:tcPr>
            <w:tcW w:w="1517" w:type="dxa"/>
          </w:tcPr>
          <w:p w:rsidR="00BA3AED" w:rsidRPr="00D937A3" w:rsidRDefault="00BA3AED" w:rsidP="002E7FAF">
            <w:pPr>
              <w:pStyle w:val="CLDTableTextListText"/>
              <w:rPr>
                <w:sz w:val="22"/>
                <w:lang w:val="en"/>
              </w:rPr>
            </w:pPr>
            <w:r w:rsidRPr="00D937A3">
              <w:rPr>
                <w:sz w:val="22"/>
                <w:lang w:val="en"/>
              </w:rPr>
              <w:t>Every 8 hours</w:t>
            </w:r>
          </w:p>
        </w:tc>
        <w:tc>
          <w:tcPr>
            <w:tcW w:w="1617" w:type="dxa"/>
          </w:tcPr>
          <w:p w:rsidR="00BA3AED" w:rsidRPr="00D937A3" w:rsidRDefault="00BA3AED" w:rsidP="002E7FAF">
            <w:pPr>
              <w:pStyle w:val="CLDTableTextListText"/>
              <w:rPr>
                <w:sz w:val="22"/>
                <w:lang w:val="en"/>
              </w:rPr>
            </w:pPr>
            <w:r w:rsidRPr="00D937A3">
              <w:rPr>
                <w:sz w:val="22"/>
                <w:lang w:val="en"/>
              </w:rPr>
              <w:t>2 hours</w:t>
            </w:r>
          </w:p>
        </w:tc>
        <w:tc>
          <w:tcPr>
            <w:tcW w:w="3043" w:type="dxa"/>
          </w:tcPr>
          <w:p w:rsidR="00BA3AED" w:rsidRPr="00D937A3" w:rsidRDefault="00BA3AED" w:rsidP="002E7FAF">
            <w:pPr>
              <w:pStyle w:val="CLDTableTextListText"/>
              <w:rPr>
                <w:sz w:val="22"/>
                <w:lang w:val="en"/>
              </w:rPr>
            </w:pPr>
            <w:r w:rsidRPr="00D937A3">
              <w:rPr>
                <w:sz w:val="22"/>
                <w:lang w:val="en"/>
              </w:rPr>
              <w:t>7-14 days</w:t>
            </w:r>
            <w:r w:rsidR="00405D84" w:rsidRPr="00D937A3">
              <w:rPr>
                <w:sz w:val="22"/>
                <w:lang w:val="en"/>
              </w:rPr>
              <w:t xml:space="preserve"> </w:t>
            </w:r>
          </w:p>
        </w:tc>
      </w:tr>
    </w:tbl>
    <w:p w:rsidR="002C097C" w:rsidRPr="00D937A3" w:rsidRDefault="00AD4A2A" w:rsidP="00A17AF5">
      <w:pPr>
        <w:pStyle w:val="CLDTableFootnote"/>
        <w:rPr>
          <w:color w:val="auto"/>
          <w:lang w:val="en"/>
        </w:rPr>
      </w:pPr>
      <w:proofErr w:type="gramStart"/>
      <w:r w:rsidRPr="00D937A3">
        <w:rPr>
          <w:color w:val="auto"/>
          <w:vertAlign w:val="superscript"/>
          <w:lang w:val="en"/>
        </w:rPr>
        <w:t>1</w:t>
      </w:r>
      <w:proofErr w:type="gramEnd"/>
      <w:r w:rsidRPr="00D937A3">
        <w:rPr>
          <w:color w:val="auto"/>
          <w:lang w:val="en"/>
        </w:rPr>
        <w:t xml:space="preserve"> </w:t>
      </w:r>
      <w:r w:rsidR="00FC0F22" w:rsidRPr="00D937A3">
        <w:rPr>
          <w:color w:val="auto"/>
          <w:lang w:val="en"/>
        </w:rPr>
        <w:t>U</w:t>
      </w:r>
      <w:r w:rsidR="002C097C" w:rsidRPr="00D937A3">
        <w:rPr>
          <w:color w:val="auto"/>
          <w:lang w:val="en"/>
        </w:rPr>
        <w:t>s</w:t>
      </w:r>
      <w:r w:rsidR="002C097C" w:rsidRPr="00305843">
        <w:rPr>
          <w:color w:val="auto"/>
          <w:lang w:val="en"/>
        </w:rPr>
        <w:t xml:space="preserve">ed in combination with metronidazole </w:t>
      </w:r>
      <w:r w:rsidR="00FC0F22" w:rsidRPr="00D937A3">
        <w:rPr>
          <w:color w:val="auto"/>
          <w:lang w:val="en"/>
        </w:rPr>
        <w:t xml:space="preserve">in </w:t>
      </w:r>
      <w:proofErr w:type="spellStart"/>
      <w:r w:rsidR="00FC0F22" w:rsidRPr="00D937A3">
        <w:rPr>
          <w:color w:val="auto"/>
          <w:lang w:val="en"/>
        </w:rPr>
        <w:t>cIAI</w:t>
      </w:r>
      <w:proofErr w:type="spellEnd"/>
      <w:r w:rsidR="00FC0F22" w:rsidRPr="00D937A3">
        <w:rPr>
          <w:color w:val="auto"/>
          <w:lang w:val="en"/>
        </w:rPr>
        <w:t xml:space="preserve"> clinical trials</w:t>
      </w:r>
      <w:r w:rsidR="00D07510" w:rsidRPr="00D937A3">
        <w:rPr>
          <w:color w:val="auto"/>
          <w:lang w:val="en"/>
        </w:rPr>
        <w:t>.</w:t>
      </w:r>
    </w:p>
    <w:p w:rsidR="002C097C" w:rsidRPr="00D937A3" w:rsidRDefault="00FC0F22" w:rsidP="00A17AF5">
      <w:pPr>
        <w:pStyle w:val="CLDTableFootnote"/>
        <w:rPr>
          <w:color w:val="auto"/>
        </w:rPr>
      </w:pPr>
      <w:r w:rsidRPr="00D937A3">
        <w:rPr>
          <w:color w:val="auto"/>
          <w:vertAlign w:val="superscript"/>
          <w:lang w:val="en"/>
        </w:rPr>
        <w:t>2</w:t>
      </w:r>
      <w:r w:rsidR="007B7651" w:rsidRPr="00D937A3">
        <w:rPr>
          <w:color w:val="auto"/>
        </w:rPr>
        <w:t xml:space="preserve"> </w:t>
      </w:r>
      <w:r w:rsidR="002C097C" w:rsidRPr="00D937A3">
        <w:rPr>
          <w:color w:val="auto"/>
        </w:rPr>
        <w:t>T</w:t>
      </w:r>
      <w:r w:rsidR="002C097C" w:rsidRPr="00305843">
        <w:rPr>
          <w:color w:val="auto"/>
        </w:rPr>
        <w:t xml:space="preserve">o </w:t>
      </w:r>
      <w:proofErr w:type="gramStart"/>
      <w:r w:rsidR="002C097C" w:rsidRPr="00305843">
        <w:rPr>
          <w:color w:val="auto"/>
        </w:rPr>
        <w:t>be used</w:t>
      </w:r>
      <w:proofErr w:type="gramEnd"/>
      <w:r w:rsidR="002C097C" w:rsidRPr="00305843">
        <w:rPr>
          <w:color w:val="auto"/>
        </w:rPr>
        <w:t xml:space="preserve"> in combination with </w:t>
      </w:r>
      <w:r w:rsidR="002C097C" w:rsidRPr="00D937A3">
        <w:rPr>
          <w:color w:val="auto"/>
        </w:rPr>
        <w:t>a</w:t>
      </w:r>
      <w:r w:rsidR="002C097C" w:rsidRPr="00305843">
        <w:rPr>
          <w:color w:val="auto"/>
        </w:rPr>
        <w:t>ntibacterial agent</w:t>
      </w:r>
      <w:r w:rsidRPr="00D937A3">
        <w:rPr>
          <w:color w:val="auto"/>
        </w:rPr>
        <w:t>(s)</w:t>
      </w:r>
      <w:r w:rsidR="002C097C" w:rsidRPr="00D937A3">
        <w:rPr>
          <w:color w:val="auto"/>
        </w:rPr>
        <w:t xml:space="preserve"> </w:t>
      </w:r>
      <w:r w:rsidR="002C097C" w:rsidRPr="00305843">
        <w:rPr>
          <w:color w:val="auto"/>
        </w:rPr>
        <w:t xml:space="preserve">active against Gram-positive </w:t>
      </w:r>
      <w:r w:rsidRPr="00D937A3">
        <w:rPr>
          <w:color w:val="auto"/>
        </w:rPr>
        <w:t xml:space="preserve">and/or anaerobic </w:t>
      </w:r>
      <w:r w:rsidR="002C097C" w:rsidRPr="00305843">
        <w:rPr>
          <w:color w:val="auto"/>
        </w:rPr>
        <w:t xml:space="preserve">pathogens when these are known or suspected to be contributing to the infectious </w:t>
      </w:r>
      <w:r w:rsidR="00D07510" w:rsidRPr="00D937A3">
        <w:rPr>
          <w:color w:val="auto"/>
        </w:rPr>
        <w:t>process.</w:t>
      </w:r>
    </w:p>
    <w:p w:rsidR="002C097C" w:rsidRPr="00D937A3" w:rsidRDefault="00FC0F22" w:rsidP="00A17AF5">
      <w:pPr>
        <w:pStyle w:val="CLDTableFootnote"/>
        <w:rPr>
          <w:color w:val="auto"/>
        </w:rPr>
      </w:pPr>
      <w:r w:rsidRPr="00D937A3">
        <w:rPr>
          <w:color w:val="auto"/>
          <w:vertAlign w:val="superscript"/>
          <w:lang w:val="en"/>
        </w:rPr>
        <w:t>3</w:t>
      </w:r>
      <w:r w:rsidR="007B7651" w:rsidRPr="00D937A3">
        <w:rPr>
          <w:color w:val="auto"/>
          <w:lang w:val="en"/>
        </w:rPr>
        <w:t xml:space="preserve"> </w:t>
      </w:r>
      <w:r w:rsidR="002C097C" w:rsidRPr="00305843">
        <w:rPr>
          <w:color w:val="auto"/>
          <w:lang w:val="en"/>
        </w:rPr>
        <w:t>The t</w:t>
      </w:r>
      <w:proofErr w:type="spellStart"/>
      <w:r w:rsidR="002C097C" w:rsidRPr="00D937A3">
        <w:rPr>
          <w:color w:val="auto"/>
        </w:rPr>
        <w:t>otal</w:t>
      </w:r>
      <w:proofErr w:type="spellEnd"/>
      <w:r w:rsidR="002C097C" w:rsidRPr="00D937A3">
        <w:rPr>
          <w:color w:val="auto"/>
        </w:rPr>
        <w:t xml:space="preserve"> duration shown may include intravenous </w:t>
      </w:r>
      <w:proofErr w:type="spellStart"/>
      <w:r w:rsidR="002C097C" w:rsidRPr="00D937A3">
        <w:rPr>
          <w:color w:val="auto"/>
        </w:rPr>
        <w:t>Zavicefta</w:t>
      </w:r>
      <w:proofErr w:type="spellEnd"/>
      <w:r w:rsidR="002C097C" w:rsidRPr="00D937A3">
        <w:rPr>
          <w:color w:val="auto"/>
        </w:rPr>
        <w:t xml:space="preserve"> followed by appropriate oral therapy</w:t>
      </w:r>
      <w:r w:rsidR="00D07510" w:rsidRPr="00D937A3">
        <w:rPr>
          <w:color w:val="auto"/>
        </w:rPr>
        <w:t>.</w:t>
      </w:r>
    </w:p>
    <w:p w:rsidR="00C93EEF" w:rsidRPr="00746316" w:rsidRDefault="00C93EEF" w:rsidP="005843C8">
      <w:pPr>
        <w:pStyle w:val="CLDNormal"/>
        <w:spacing w:before="240"/>
        <w:rPr>
          <w:lang w:val="en"/>
        </w:rPr>
      </w:pPr>
      <w:r w:rsidRPr="00D937A3">
        <w:rPr>
          <w:lang w:val="en"/>
        </w:rPr>
        <w:t xml:space="preserve">For </w:t>
      </w:r>
      <w:proofErr w:type="spellStart"/>
      <w:r w:rsidRPr="00D937A3">
        <w:t>cUTI</w:t>
      </w:r>
      <w:proofErr w:type="spellEnd"/>
      <w:r w:rsidRPr="00D937A3">
        <w:t xml:space="preserve"> including </w:t>
      </w:r>
      <w:r w:rsidR="00A23802" w:rsidRPr="00D937A3">
        <w:t>p</w:t>
      </w:r>
      <w:r w:rsidRPr="00D937A3">
        <w:t>yelonephritis</w:t>
      </w:r>
      <w:r w:rsidRPr="00D937A3">
        <w:rPr>
          <w:lang w:val="en"/>
        </w:rPr>
        <w:t xml:space="preserve">, the total duration of treatment </w:t>
      </w:r>
      <w:proofErr w:type="gramStart"/>
      <w:r w:rsidRPr="00D937A3">
        <w:rPr>
          <w:lang w:val="en"/>
        </w:rPr>
        <w:t>could be increased</w:t>
      </w:r>
      <w:proofErr w:type="gramEnd"/>
      <w:r w:rsidRPr="00D937A3">
        <w:rPr>
          <w:lang w:val="en"/>
        </w:rPr>
        <w:t xml:space="preserve"> to 14 days for patients with </w:t>
      </w:r>
      <w:proofErr w:type="spellStart"/>
      <w:r w:rsidRPr="00D937A3">
        <w:rPr>
          <w:lang w:val="en"/>
        </w:rPr>
        <w:t>bacteraemia</w:t>
      </w:r>
      <w:proofErr w:type="spellEnd"/>
      <w:r w:rsidRPr="00D937A3">
        <w:rPr>
          <w:lang w:val="en"/>
        </w:rPr>
        <w:t>.</w:t>
      </w:r>
    </w:p>
    <w:p w:rsidR="00C93EEF" w:rsidRDefault="00C93EEF" w:rsidP="005843C8">
      <w:pPr>
        <w:pStyle w:val="CLDNormal"/>
        <w:rPr>
          <w:iCs/>
        </w:rPr>
      </w:pPr>
      <w:r w:rsidRPr="00F82804">
        <w:rPr>
          <w:iCs/>
        </w:rPr>
        <w:t xml:space="preserve">The duration of treatment </w:t>
      </w:r>
      <w:proofErr w:type="gramStart"/>
      <w:r w:rsidRPr="00F82804">
        <w:rPr>
          <w:iCs/>
        </w:rPr>
        <w:t>should be guided</w:t>
      </w:r>
      <w:proofErr w:type="gramEnd"/>
      <w:r w:rsidRPr="00F82804">
        <w:rPr>
          <w:iCs/>
        </w:rPr>
        <w:t xml:space="preserve"> by the severity of the infection, the pathogen(s) and the patient’s clinical and bacteriological progress.</w:t>
      </w:r>
    </w:p>
    <w:p w:rsidR="001C7580" w:rsidRDefault="00CF0648" w:rsidP="00CF0648">
      <w:pPr>
        <w:pStyle w:val="CLDHeading3"/>
      </w:pPr>
      <w:r>
        <w:lastRenderedPageBreak/>
        <w:t>Dosage adjustments</w:t>
      </w:r>
    </w:p>
    <w:p w:rsidR="001C7580" w:rsidRPr="001939AC" w:rsidRDefault="001C7580" w:rsidP="001C7580">
      <w:pPr>
        <w:pStyle w:val="CLDHeading4"/>
      </w:pPr>
      <w:r w:rsidRPr="001939AC">
        <w:t>Renal impairment</w:t>
      </w:r>
    </w:p>
    <w:p w:rsidR="001C7580" w:rsidRPr="00367176" w:rsidRDefault="001C7580" w:rsidP="001C7580">
      <w:pPr>
        <w:pStyle w:val="CLDNormal"/>
      </w:pPr>
      <w:r w:rsidRPr="001939AC">
        <w:t xml:space="preserve">No dosage adjustment is required in patients with mild renal impairment (estimated </w:t>
      </w:r>
      <w:r w:rsidR="0083136E">
        <w:t>c</w:t>
      </w:r>
      <w:r w:rsidR="005B1514">
        <w:t>reatinine clearance</w:t>
      </w:r>
      <w:r w:rsidR="004C6587">
        <w:t xml:space="preserve"> </w:t>
      </w:r>
      <w:r w:rsidR="0083136E">
        <w:t>(</w:t>
      </w:r>
      <w:proofErr w:type="spellStart"/>
      <w:r w:rsidRPr="001939AC">
        <w:t>CrCL</w:t>
      </w:r>
      <w:proofErr w:type="spellEnd"/>
      <w:r w:rsidR="0083136E">
        <w:t>)</w:t>
      </w:r>
      <w:r w:rsidRPr="001939AC">
        <w:t xml:space="preserve"> </w:t>
      </w:r>
      <w:r w:rsidR="005843C8">
        <w:sym w:font="Symbol" w:char="F0B3"/>
      </w:r>
      <w:r w:rsidRPr="001939AC">
        <w:t> 51 </w:t>
      </w:r>
      <w:r w:rsidR="005843C8">
        <w:sym w:font="Symbol" w:char="F0A3"/>
      </w:r>
      <w:r w:rsidRPr="001939AC">
        <w:t> 80 mL/min).</w:t>
      </w:r>
    </w:p>
    <w:p w:rsidR="001C7580" w:rsidRPr="00FC32D6" w:rsidRDefault="00CA0DD8" w:rsidP="00CA0DD8">
      <w:pPr>
        <w:pStyle w:val="CLDNormal"/>
        <w:rPr>
          <w:b/>
        </w:rPr>
      </w:pPr>
      <w:r>
        <w:rPr>
          <w:lang w:val="en-US"/>
        </w:rPr>
        <w:t xml:space="preserve">Dosage adjustment of </w:t>
      </w:r>
      <w:proofErr w:type="spellStart"/>
      <w:r w:rsidR="0083136E">
        <w:rPr>
          <w:lang w:val="en-US"/>
        </w:rPr>
        <w:t>Zavicefta</w:t>
      </w:r>
      <w:proofErr w:type="spellEnd"/>
      <w:r>
        <w:rPr>
          <w:lang w:val="en-US"/>
        </w:rPr>
        <w:t xml:space="preserve"> </w:t>
      </w:r>
      <w:proofErr w:type="gramStart"/>
      <w:r>
        <w:rPr>
          <w:lang w:val="en-US"/>
        </w:rPr>
        <w:t>is recommended</w:t>
      </w:r>
      <w:proofErr w:type="gramEnd"/>
      <w:r>
        <w:rPr>
          <w:lang w:val="en-US"/>
        </w:rPr>
        <w:t xml:space="preserve"> in patients with moderate and severe renal impairment and end-stage renal disease. </w:t>
      </w:r>
      <w:r w:rsidR="001C7580" w:rsidRPr="001939AC">
        <w:t xml:space="preserve">Table </w:t>
      </w:r>
      <w:r w:rsidR="00810F24">
        <w:t>2</w:t>
      </w:r>
      <w:r w:rsidR="001C7580" w:rsidRPr="001939AC">
        <w:t xml:space="preserve"> shows the recommended dose adjustments for patients with estimated </w:t>
      </w:r>
      <w:proofErr w:type="spellStart"/>
      <w:r w:rsidR="001C7580" w:rsidRPr="001939AC">
        <w:t>CrCL</w:t>
      </w:r>
      <w:proofErr w:type="spellEnd"/>
      <w:r w:rsidR="001C7580" w:rsidRPr="001939AC">
        <w:t xml:space="preserve"> </w:t>
      </w:r>
      <w:r w:rsidR="005843C8">
        <w:sym w:font="Symbol" w:char="F0A3"/>
      </w:r>
      <w:r w:rsidR="001C7580" w:rsidRPr="001939AC">
        <w:t> 50 mL/min</w:t>
      </w:r>
      <w:r w:rsidR="007B7651">
        <w:t>.</w:t>
      </w:r>
      <w:r w:rsidR="007B7651" w:rsidRPr="007B7651">
        <w:rPr>
          <w:lang w:val="en-US"/>
        </w:rPr>
        <w:t xml:space="preserve"> </w:t>
      </w:r>
      <w:r w:rsidR="007B7651">
        <w:rPr>
          <w:lang w:val="en-US"/>
        </w:rPr>
        <w:t xml:space="preserve">For patients with changing renal function, </w:t>
      </w:r>
      <w:proofErr w:type="spellStart"/>
      <w:r w:rsidR="007B7651">
        <w:rPr>
          <w:lang w:val="en-US"/>
        </w:rPr>
        <w:t>CrCl</w:t>
      </w:r>
      <w:proofErr w:type="spellEnd"/>
      <w:r w:rsidR="007B7651">
        <w:rPr>
          <w:lang w:val="en-US"/>
        </w:rPr>
        <w:t xml:space="preserve"> </w:t>
      </w:r>
      <w:proofErr w:type="gramStart"/>
      <w:r w:rsidR="007B7651">
        <w:rPr>
          <w:lang w:val="en-US"/>
        </w:rPr>
        <w:t>should be monitored</w:t>
      </w:r>
      <w:proofErr w:type="gramEnd"/>
      <w:r w:rsidR="007B7651">
        <w:rPr>
          <w:lang w:val="en-US"/>
        </w:rPr>
        <w:t xml:space="preserve"> at least daily and the dosage of </w:t>
      </w:r>
      <w:proofErr w:type="spellStart"/>
      <w:r w:rsidR="007B7651">
        <w:rPr>
          <w:lang w:val="en-US"/>
        </w:rPr>
        <w:t>Zavicefta</w:t>
      </w:r>
      <w:proofErr w:type="spellEnd"/>
      <w:r w:rsidR="007B7651">
        <w:rPr>
          <w:lang w:val="en-US"/>
        </w:rPr>
        <w:t xml:space="preserve"> adjusted accordingly.</w:t>
      </w:r>
      <w:r w:rsidR="001C7580" w:rsidRPr="001939AC">
        <w:t xml:space="preserve"> (</w:t>
      </w:r>
      <w:proofErr w:type="gramStart"/>
      <w:r w:rsidR="001C7580" w:rsidRPr="001939AC">
        <w:t>see</w:t>
      </w:r>
      <w:proofErr w:type="gramEnd"/>
      <w:r w:rsidR="001C7580" w:rsidRPr="001939AC">
        <w:t xml:space="preserve"> sections 4.4 </w:t>
      </w:r>
      <w:r w:rsidR="00E63454">
        <w:t>Special warnings and precautions for use</w:t>
      </w:r>
      <w:r w:rsidR="002F0E5C">
        <w:t xml:space="preserve">, </w:t>
      </w:r>
      <w:r w:rsidR="007A2E11">
        <w:t xml:space="preserve">Use in renal impairment, </w:t>
      </w:r>
      <w:r w:rsidR="002F0E5C">
        <w:t>5.1 Clinical trial</w:t>
      </w:r>
      <w:r w:rsidR="007A2E11">
        <w:t>s</w:t>
      </w:r>
      <w:r w:rsidR="00E63454">
        <w:t xml:space="preserve"> </w:t>
      </w:r>
      <w:r w:rsidR="001C7580" w:rsidRPr="001939AC">
        <w:t>and 5.2</w:t>
      </w:r>
      <w:r w:rsidR="00E63454">
        <w:t xml:space="preserve"> Pharmacokinetic properties</w:t>
      </w:r>
      <w:r w:rsidR="007A2E11">
        <w:t>, Renal impairment</w:t>
      </w:r>
      <w:r w:rsidR="001C7580" w:rsidRPr="001939AC">
        <w:t>).</w:t>
      </w:r>
    </w:p>
    <w:p w:rsidR="001C7580" w:rsidRPr="001939AC" w:rsidRDefault="00FC4EFD" w:rsidP="00B44B34">
      <w:pPr>
        <w:pStyle w:val="CLDTableTitle"/>
      </w:pPr>
      <w:bookmarkStart w:id="1" w:name="_Toc1479072"/>
      <w:r>
        <w:t xml:space="preserve">Table </w:t>
      </w:r>
      <w:r>
        <w:fldChar w:fldCharType="begin"/>
      </w:r>
      <w:r>
        <w:instrText xml:space="preserve"> SEQ Table \* ARABIC </w:instrText>
      </w:r>
      <w:r>
        <w:fldChar w:fldCharType="separate"/>
      </w:r>
      <w:r w:rsidR="00B44B34">
        <w:rPr>
          <w:noProof/>
        </w:rPr>
        <w:t>2</w:t>
      </w:r>
      <w:r>
        <w:fldChar w:fldCharType="end"/>
      </w:r>
      <w:r>
        <w:t xml:space="preserve">: </w:t>
      </w:r>
      <w:r w:rsidRPr="005520B3">
        <w:t>Recommended doses for patients with renal impairment</w:t>
      </w:r>
      <w:r w:rsidRPr="00214F4A">
        <w:rPr>
          <w:vertAlign w:val="superscript"/>
        </w:rPr>
        <w:t>1</w:t>
      </w:r>
      <w:bookmarkEnd w:id="1"/>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4"/>
        <w:gridCol w:w="2105"/>
        <w:gridCol w:w="2052"/>
        <w:gridCol w:w="2033"/>
      </w:tblGrid>
      <w:tr w:rsidR="001C7580" w:rsidRPr="002E7FAF" w:rsidTr="001C7580">
        <w:tc>
          <w:tcPr>
            <w:tcW w:w="3023" w:type="dxa"/>
          </w:tcPr>
          <w:p w:rsidR="001C7580" w:rsidRPr="002E7FAF" w:rsidRDefault="001C7580" w:rsidP="00B44B34">
            <w:pPr>
              <w:pStyle w:val="CLDTableSpaceListSpace"/>
              <w:keepNext/>
              <w:keepLines/>
              <w:rPr>
                <w:b/>
                <w:bCs/>
                <w:sz w:val="22"/>
              </w:rPr>
            </w:pPr>
            <w:r w:rsidRPr="002E7FAF">
              <w:rPr>
                <w:b/>
                <w:bCs/>
                <w:sz w:val="22"/>
              </w:rPr>
              <w:t xml:space="preserve">Estimated </w:t>
            </w:r>
            <w:proofErr w:type="spellStart"/>
            <w:r w:rsidRPr="002E7FAF">
              <w:rPr>
                <w:b/>
                <w:bCs/>
                <w:sz w:val="22"/>
              </w:rPr>
              <w:t>CrCL</w:t>
            </w:r>
            <w:proofErr w:type="spellEnd"/>
            <w:r w:rsidRPr="002E7FAF">
              <w:rPr>
                <w:b/>
                <w:bCs/>
                <w:sz w:val="22"/>
              </w:rPr>
              <w:t xml:space="preserve"> (mL/min)</w:t>
            </w:r>
          </w:p>
        </w:tc>
        <w:tc>
          <w:tcPr>
            <w:tcW w:w="2139" w:type="dxa"/>
          </w:tcPr>
          <w:p w:rsidR="001C7580" w:rsidRPr="002E7FAF" w:rsidRDefault="001C7580" w:rsidP="00B44B34">
            <w:pPr>
              <w:pStyle w:val="CLDTableSpaceListSpace"/>
              <w:keepNext/>
              <w:keepLines/>
              <w:rPr>
                <w:b/>
                <w:bCs/>
                <w:sz w:val="22"/>
              </w:rPr>
            </w:pPr>
            <w:r w:rsidRPr="002E7FAF">
              <w:rPr>
                <w:b/>
                <w:bCs/>
                <w:sz w:val="22"/>
              </w:rPr>
              <w:t>Dose regimen</w:t>
            </w:r>
            <w:r w:rsidRPr="00EA4B26">
              <w:rPr>
                <w:b/>
                <w:bCs/>
                <w:sz w:val="22"/>
                <w:vertAlign w:val="superscript"/>
              </w:rPr>
              <w:t>2</w:t>
            </w:r>
          </w:p>
        </w:tc>
        <w:tc>
          <w:tcPr>
            <w:tcW w:w="2139" w:type="dxa"/>
          </w:tcPr>
          <w:p w:rsidR="001C7580" w:rsidRPr="002E7FAF" w:rsidRDefault="001C7580" w:rsidP="00B44B34">
            <w:pPr>
              <w:pStyle w:val="CLDTableSpaceListSpace"/>
              <w:keepNext/>
              <w:keepLines/>
              <w:rPr>
                <w:b/>
                <w:bCs/>
                <w:sz w:val="22"/>
              </w:rPr>
            </w:pPr>
            <w:r w:rsidRPr="002E7FAF">
              <w:rPr>
                <w:b/>
                <w:bCs/>
                <w:sz w:val="22"/>
              </w:rPr>
              <w:t>Frequency</w:t>
            </w:r>
          </w:p>
        </w:tc>
        <w:tc>
          <w:tcPr>
            <w:tcW w:w="2140" w:type="dxa"/>
          </w:tcPr>
          <w:p w:rsidR="001C7580" w:rsidRPr="002E7FAF" w:rsidRDefault="001C7580" w:rsidP="00B44B34">
            <w:pPr>
              <w:pStyle w:val="CLDTableSpaceListSpace"/>
              <w:keepNext/>
              <w:keepLines/>
              <w:rPr>
                <w:b/>
                <w:bCs/>
                <w:sz w:val="22"/>
              </w:rPr>
            </w:pPr>
            <w:r w:rsidRPr="002E7FAF">
              <w:rPr>
                <w:b/>
                <w:bCs/>
                <w:sz w:val="22"/>
              </w:rPr>
              <w:t>Infusion time</w:t>
            </w:r>
          </w:p>
        </w:tc>
      </w:tr>
      <w:tr w:rsidR="001C7580" w:rsidRPr="002E7FAF" w:rsidTr="001C7580">
        <w:tc>
          <w:tcPr>
            <w:tcW w:w="3023" w:type="dxa"/>
          </w:tcPr>
          <w:p w:rsidR="001C7580" w:rsidRPr="002E7FAF" w:rsidRDefault="001C7580" w:rsidP="00B44B34">
            <w:pPr>
              <w:pStyle w:val="CLDTableTextListText"/>
              <w:keepNext/>
              <w:keepLines/>
              <w:rPr>
                <w:sz w:val="22"/>
              </w:rPr>
            </w:pPr>
            <w:r w:rsidRPr="002E7FAF">
              <w:rPr>
                <w:sz w:val="22"/>
              </w:rPr>
              <w:t>31-50</w:t>
            </w:r>
          </w:p>
        </w:tc>
        <w:tc>
          <w:tcPr>
            <w:tcW w:w="2139" w:type="dxa"/>
          </w:tcPr>
          <w:p w:rsidR="001C7580" w:rsidRPr="002E7FAF" w:rsidRDefault="001C7580" w:rsidP="00B44B34">
            <w:pPr>
              <w:pStyle w:val="CLDTableTextListText"/>
              <w:keepNext/>
              <w:keepLines/>
              <w:rPr>
                <w:sz w:val="22"/>
              </w:rPr>
            </w:pPr>
            <w:r w:rsidRPr="002E7FAF">
              <w:rPr>
                <w:sz w:val="22"/>
              </w:rPr>
              <w:t>1000 mg/250 mg</w:t>
            </w:r>
          </w:p>
        </w:tc>
        <w:tc>
          <w:tcPr>
            <w:tcW w:w="2139" w:type="dxa"/>
          </w:tcPr>
          <w:p w:rsidR="001C7580" w:rsidRPr="002E7FAF" w:rsidRDefault="001C7580" w:rsidP="00B44B34">
            <w:pPr>
              <w:pStyle w:val="CLDTableTextListText"/>
              <w:keepNext/>
              <w:keepLines/>
              <w:rPr>
                <w:sz w:val="22"/>
              </w:rPr>
            </w:pPr>
            <w:r w:rsidRPr="002E7FAF">
              <w:rPr>
                <w:sz w:val="22"/>
              </w:rPr>
              <w:t>Every 8 hours</w:t>
            </w:r>
          </w:p>
        </w:tc>
        <w:tc>
          <w:tcPr>
            <w:tcW w:w="2140" w:type="dxa"/>
          </w:tcPr>
          <w:p w:rsidR="001C7580" w:rsidRPr="002E7FAF" w:rsidRDefault="001C7580" w:rsidP="00B44B34">
            <w:pPr>
              <w:pStyle w:val="CLDTableTextListText"/>
              <w:keepNext/>
              <w:keepLines/>
              <w:rPr>
                <w:sz w:val="22"/>
              </w:rPr>
            </w:pPr>
            <w:r w:rsidRPr="002E7FAF">
              <w:rPr>
                <w:sz w:val="22"/>
              </w:rPr>
              <w:t>2 hours</w:t>
            </w:r>
          </w:p>
        </w:tc>
      </w:tr>
      <w:tr w:rsidR="001C7580" w:rsidRPr="002E7FAF" w:rsidTr="001C7580">
        <w:tc>
          <w:tcPr>
            <w:tcW w:w="3023" w:type="dxa"/>
          </w:tcPr>
          <w:p w:rsidR="001C7580" w:rsidRPr="002E7FAF" w:rsidRDefault="001C7580" w:rsidP="00B44B34">
            <w:pPr>
              <w:pStyle w:val="CLDTableTextListText"/>
              <w:keepNext/>
              <w:keepLines/>
              <w:rPr>
                <w:sz w:val="22"/>
              </w:rPr>
            </w:pPr>
            <w:r w:rsidRPr="002E7FAF">
              <w:rPr>
                <w:sz w:val="22"/>
              </w:rPr>
              <w:t>16-30</w:t>
            </w:r>
          </w:p>
        </w:tc>
        <w:tc>
          <w:tcPr>
            <w:tcW w:w="2139" w:type="dxa"/>
          </w:tcPr>
          <w:p w:rsidR="001C7580" w:rsidRPr="002E7FAF" w:rsidRDefault="001C7580" w:rsidP="00B44B34">
            <w:pPr>
              <w:pStyle w:val="CLDTableTextListText"/>
              <w:keepNext/>
              <w:keepLines/>
              <w:rPr>
                <w:sz w:val="22"/>
              </w:rPr>
            </w:pPr>
            <w:r w:rsidRPr="002E7FAF">
              <w:rPr>
                <w:sz w:val="22"/>
              </w:rPr>
              <w:t>750 mg/187.5 mg</w:t>
            </w:r>
          </w:p>
        </w:tc>
        <w:tc>
          <w:tcPr>
            <w:tcW w:w="2139" w:type="dxa"/>
          </w:tcPr>
          <w:p w:rsidR="001C7580" w:rsidRPr="002E7FAF" w:rsidRDefault="001C7580" w:rsidP="00B44B34">
            <w:pPr>
              <w:pStyle w:val="CLDTableTextListText"/>
              <w:keepNext/>
              <w:keepLines/>
              <w:rPr>
                <w:sz w:val="22"/>
              </w:rPr>
            </w:pPr>
            <w:r w:rsidRPr="002E7FAF">
              <w:rPr>
                <w:sz w:val="22"/>
              </w:rPr>
              <w:t>Every 12 hours</w:t>
            </w:r>
          </w:p>
        </w:tc>
        <w:tc>
          <w:tcPr>
            <w:tcW w:w="2140" w:type="dxa"/>
          </w:tcPr>
          <w:p w:rsidR="001C7580" w:rsidRPr="002E7FAF" w:rsidRDefault="001C7580" w:rsidP="00B44B34">
            <w:pPr>
              <w:pStyle w:val="CLDTableTextListText"/>
              <w:keepNext/>
              <w:keepLines/>
              <w:rPr>
                <w:sz w:val="22"/>
              </w:rPr>
            </w:pPr>
            <w:r w:rsidRPr="002E7FAF">
              <w:rPr>
                <w:sz w:val="22"/>
              </w:rPr>
              <w:t>2 hours</w:t>
            </w:r>
          </w:p>
        </w:tc>
      </w:tr>
      <w:tr w:rsidR="001C7580" w:rsidRPr="002E7FAF" w:rsidTr="001C7580">
        <w:tc>
          <w:tcPr>
            <w:tcW w:w="3023" w:type="dxa"/>
          </w:tcPr>
          <w:p w:rsidR="001C7580" w:rsidRPr="002E7FAF" w:rsidRDefault="001C7580" w:rsidP="00B44B34">
            <w:pPr>
              <w:pStyle w:val="CLDTableTextListText"/>
              <w:keepNext/>
              <w:keepLines/>
              <w:rPr>
                <w:sz w:val="22"/>
              </w:rPr>
            </w:pPr>
            <w:r w:rsidRPr="002E7FAF">
              <w:rPr>
                <w:sz w:val="22"/>
              </w:rPr>
              <w:t>6-15</w:t>
            </w:r>
          </w:p>
        </w:tc>
        <w:tc>
          <w:tcPr>
            <w:tcW w:w="2139" w:type="dxa"/>
          </w:tcPr>
          <w:p w:rsidR="001C7580" w:rsidRPr="002E7FAF" w:rsidRDefault="001C7580" w:rsidP="00B44B34">
            <w:pPr>
              <w:pStyle w:val="CLDTableTextListText"/>
              <w:keepNext/>
              <w:keepLines/>
              <w:rPr>
                <w:sz w:val="22"/>
              </w:rPr>
            </w:pPr>
            <w:r w:rsidRPr="002E7FAF">
              <w:rPr>
                <w:sz w:val="22"/>
              </w:rPr>
              <w:t>750 mg/187.5 mg</w:t>
            </w:r>
          </w:p>
        </w:tc>
        <w:tc>
          <w:tcPr>
            <w:tcW w:w="2139" w:type="dxa"/>
          </w:tcPr>
          <w:p w:rsidR="001C7580" w:rsidRPr="002E7FAF" w:rsidRDefault="001C7580" w:rsidP="00B44B34">
            <w:pPr>
              <w:pStyle w:val="CLDTableTextListText"/>
              <w:keepNext/>
              <w:keepLines/>
              <w:rPr>
                <w:sz w:val="22"/>
              </w:rPr>
            </w:pPr>
            <w:r w:rsidRPr="002E7FAF">
              <w:rPr>
                <w:sz w:val="22"/>
              </w:rPr>
              <w:t>Every 24 hours</w:t>
            </w:r>
          </w:p>
        </w:tc>
        <w:tc>
          <w:tcPr>
            <w:tcW w:w="2140" w:type="dxa"/>
          </w:tcPr>
          <w:p w:rsidR="001C7580" w:rsidRPr="002E7FAF" w:rsidRDefault="001C7580" w:rsidP="00B44B34">
            <w:pPr>
              <w:pStyle w:val="CLDTableTextListText"/>
              <w:keepNext/>
              <w:keepLines/>
              <w:rPr>
                <w:sz w:val="22"/>
              </w:rPr>
            </w:pPr>
            <w:r w:rsidRPr="002E7FAF">
              <w:rPr>
                <w:sz w:val="22"/>
              </w:rPr>
              <w:t>2 hours</w:t>
            </w:r>
          </w:p>
        </w:tc>
      </w:tr>
      <w:tr w:rsidR="001C7580" w:rsidRPr="002E7FAF" w:rsidTr="001C7580">
        <w:tc>
          <w:tcPr>
            <w:tcW w:w="3023" w:type="dxa"/>
          </w:tcPr>
          <w:p w:rsidR="001C7580" w:rsidRPr="002E7FAF" w:rsidRDefault="001C7580" w:rsidP="00B44B34">
            <w:pPr>
              <w:pStyle w:val="CLDTableTextListText"/>
              <w:keepNext/>
              <w:keepLines/>
              <w:rPr>
                <w:sz w:val="22"/>
              </w:rPr>
            </w:pPr>
            <w:r w:rsidRPr="002E7FAF">
              <w:rPr>
                <w:sz w:val="22"/>
              </w:rPr>
              <w:t>ESRD including on haemodialysis</w:t>
            </w:r>
            <w:r w:rsidRPr="00EA4B26">
              <w:rPr>
                <w:sz w:val="22"/>
                <w:vertAlign w:val="superscript"/>
              </w:rPr>
              <w:t>3</w:t>
            </w:r>
          </w:p>
        </w:tc>
        <w:tc>
          <w:tcPr>
            <w:tcW w:w="2139" w:type="dxa"/>
          </w:tcPr>
          <w:p w:rsidR="001C7580" w:rsidRPr="002E7FAF" w:rsidRDefault="001C7580" w:rsidP="00B44B34">
            <w:pPr>
              <w:pStyle w:val="CLDTableTextListText"/>
              <w:keepNext/>
              <w:keepLines/>
              <w:rPr>
                <w:sz w:val="22"/>
              </w:rPr>
            </w:pPr>
            <w:r w:rsidRPr="002E7FAF">
              <w:rPr>
                <w:sz w:val="22"/>
              </w:rPr>
              <w:t>750 mg/187.5 mg</w:t>
            </w:r>
          </w:p>
        </w:tc>
        <w:tc>
          <w:tcPr>
            <w:tcW w:w="2139" w:type="dxa"/>
          </w:tcPr>
          <w:p w:rsidR="001C7580" w:rsidRPr="002E7FAF" w:rsidRDefault="001C7580" w:rsidP="00B44B34">
            <w:pPr>
              <w:pStyle w:val="CLDTableTextListText"/>
              <w:keepNext/>
              <w:keepLines/>
              <w:rPr>
                <w:sz w:val="22"/>
              </w:rPr>
            </w:pPr>
            <w:r w:rsidRPr="002E7FAF">
              <w:rPr>
                <w:sz w:val="22"/>
              </w:rPr>
              <w:t>Every 48 hours</w:t>
            </w:r>
          </w:p>
        </w:tc>
        <w:tc>
          <w:tcPr>
            <w:tcW w:w="2140" w:type="dxa"/>
          </w:tcPr>
          <w:p w:rsidR="001C7580" w:rsidRPr="002E7FAF" w:rsidRDefault="001C7580" w:rsidP="00B44B34">
            <w:pPr>
              <w:pStyle w:val="CLDTableTextListText"/>
              <w:keepNext/>
              <w:keepLines/>
              <w:rPr>
                <w:sz w:val="22"/>
              </w:rPr>
            </w:pPr>
            <w:r w:rsidRPr="002E7FAF">
              <w:rPr>
                <w:sz w:val="22"/>
              </w:rPr>
              <w:t>2 hours</w:t>
            </w:r>
          </w:p>
        </w:tc>
      </w:tr>
    </w:tbl>
    <w:p w:rsidR="001C7580" w:rsidRPr="001939AC" w:rsidRDefault="001C7580" w:rsidP="001C7580">
      <w:pPr>
        <w:pStyle w:val="CLDTableFootnote"/>
        <w:rPr>
          <w:color w:val="auto"/>
        </w:rPr>
      </w:pPr>
      <w:proofErr w:type="gramStart"/>
      <w:r w:rsidRPr="001939AC">
        <w:rPr>
          <w:color w:val="auto"/>
          <w:vertAlign w:val="superscript"/>
        </w:rPr>
        <w:t>1</w:t>
      </w:r>
      <w:proofErr w:type="gramEnd"/>
      <w:r w:rsidRPr="001939AC">
        <w:rPr>
          <w:color w:val="auto"/>
        </w:rPr>
        <w:t xml:space="preserve"> </w:t>
      </w:r>
      <w:proofErr w:type="spellStart"/>
      <w:r w:rsidRPr="001939AC">
        <w:rPr>
          <w:color w:val="auto"/>
        </w:rPr>
        <w:t>CrCL</w:t>
      </w:r>
      <w:proofErr w:type="spellEnd"/>
      <w:r w:rsidRPr="001939AC">
        <w:rPr>
          <w:color w:val="auto"/>
        </w:rPr>
        <w:t xml:space="preserve"> estimated using the Cockcroft-Gault formula</w:t>
      </w:r>
      <w:r w:rsidR="00D07510">
        <w:rPr>
          <w:color w:val="auto"/>
        </w:rPr>
        <w:t>.</w:t>
      </w:r>
    </w:p>
    <w:p w:rsidR="001C7580" w:rsidRPr="001939AC" w:rsidRDefault="001C7580" w:rsidP="001C7580">
      <w:pPr>
        <w:pStyle w:val="CLDTableFootnote"/>
        <w:rPr>
          <w:color w:val="auto"/>
        </w:rPr>
      </w:pPr>
      <w:proofErr w:type="gramStart"/>
      <w:r w:rsidRPr="001939AC">
        <w:rPr>
          <w:color w:val="auto"/>
          <w:vertAlign w:val="superscript"/>
        </w:rPr>
        <w:t>2</w:t>
      </w:r>
      <w:proofErr w:type="gramEnd"/>
      <w:r w:rsidRPr="001939AC">
        <w:rPr>
          <w:color w:val="auto"/>
        </w:rPr>
        <w:t xml:space="preserve"> Dose recommendations are based on pharmacokinetic modelling</w:t>
      </w:r>
      <w:r w:rsidR="00D07510">
        <w:rPr>
          <w:color w:val="auto"/>
        </w:rPr>
        <w:t>.</w:t>
      </w:r>
    </w:p>
    <w:p w:rsidR="001C7580" w:rsidRDefault="001C7580" w:rsidP="001C7580">
      <w:pPr>
        <w:pStyle w:val="CLDTableFootnote"/>
        <w:rPr>
          <w:rFonts w:eastAsia="TimesNewRoman"/>
          <w:iCs/>
          <w:color w:val="auto"/>
        </w:rPr>
      </w:pPr>
      <w:proofErr w:type="gramStart"/>
      <w:r w:rsidRPr="001939AC">
        <w:rPr>
          <w:color w:val="auto"/>
          <w:vertAlign w:val="superscript"/>
        </w:rPr>
        <w:t>3</w:t>
      </w:r>
      <w:proofErr w:type="gramEnd"/>
      <w:r w:rsidRPr="001939AC">
        <w:rPr>
          <w:color w:val="auto"/>
        </w:rPr>
        <w:t xml:space="preserve"> </w:t>
      </w:r>
      <w:proofErr w:type="spellStart"/>
      <w:r w:rsidRPr="001939AC">
        <w:rPr>
          <w:color w:val="auto"/>
        </w:rPr>
        <w:t>Ceftazidime</w:t>
      </w:r>
      <w:proofErr w:type="spellEnd"/>
      <w:r w:rsidRPr="001939AC">
        <w:rPr>
          <w:color w:val="auto"/>
        </w:rPr>
        <w:t xml:space="preserve"> and avibactam are removed by haemodialysis (see sections 4.9 </w:t>
      </w:r>
      <w:r w:rsidR="00E63454">
        <w:rPr>
          <w:color w:val="auto"/>
        </w:rPr>
        <w:t xml:space="preserve">Overdose </w:t>
      </w:r>
      <w:r w:rsidRPr="001939AC">
        <w:rPr>
          <w:color w:val="auto"/>
        </w:rPr>
        <w:t>and 5.2</w:t>
      </w:r>
      <w:r w:rsidR="00E63454">
        <w:rPr>
          <w:color w:val="auto"/>
        </w:rPr>
        <w:t xml:space="preserve"> Pharmacokinetic properties</w:t>
      </w:r>
      <w:r w:rsidRPr="001939AC">
        <w:rPr>
          <w:color w:val="auto"/>
        </w:rPr>
        <w:t>).</w:t>
      </w:r>
      <w:r w:rsidRPr="001939AC">
        <w:rPr>
          <w:rFonts w:eastAsia="TimesNewRoman"/>
          <w:iCs/>
          <w:color w:val="auto"/>
        </w:rPr>
        <w:t xml:space="preserve"> Dosing of </w:t>
      </w:r>
      <w:proofErr w:type="spellStart"/>
      <w:r w:rsidRPr="001939AC">
        <w:rPr>
          <w:rFonts w:eastAsia="TimesNewRoman"/>
          <w:iCs/>
          <w:color w:val="auto"/>
        </w:rPr>
        <w:t>Zavicefta</w:t>
      </w:r>
      <w:proofErr w:type="spellEnd"/>
      <w:r w:rsidRPr="001939AC">
        <w:rPr>
          <w:rFonts w:eastAsia="TimesNewRoman"/>
          <w:iCs/>
          <w:color w:val="auto"/>
        </w:rPr>
        <w:t xml:space="preserve"> on haemodialysis days should occur after completion of haemodialysis.</w:t>
      </w:r>
    </w:p>
    <w:p w:rsidR="001C7580" w:rsidRPr="001939AC" w:rsidRDefault="001C7580" w:rsidP="001C7580">
      <w:pPr>
        <w:pStyle w:val="CLDHeading4"/>
      </w:pPr>
      <w:r w:rsidRPr="001939AC">
        <w:t>Hepatic impairment</w:t>
      </w:r>
    </w:p>
    <w:p w:rsidR="001C7580" w:rsidRPr="00E87AB4" w:rsidRDefault="001C7580" w:rsidP="001C7580">
      <w:pPr>
        <w:pStyle w:val="CLDNormal"/>
        <w:rPr>
          <w:bCs/>
          <w:iCs/>
          <w:szCs w:val="24"/>
        </w:rPr>
      </w:pPr>
      <w:r w:rsidRPr="001939AC">
        <w:t>No dosage adjustment is required in patients with hepatic impairment (see section 5.2</w:t>
      </w:r>
      <w:r w:rsidR="00E63454">
        <w:t xml:space="preserve"> Pharmacokinetic properties</w:t>
      </w:r>
      <w:r w:rsidRPr="001939AC">
        <w:t xml:space="preserve">). </w:t>
      </w:r>
      <w:r w:rsidRPr="00E87AB4">
        <w:rPr>
          <w:bCs/>
          <w:iCs/>
          <w:szCs w:val="24"/>
        </w:rPr>
        <w:t xml:space="preserve">Close clinical monitoring for safety and efficacy </w:t>
      </w:r>
      <w:proofErr w:type="gramStart"/>
      <w:r w:rsidRPr="00E87AB4">
        <w:rPr>
          <w:bCs/>
          <w:iCs/>
          <w:szCs w:val="24"/>
        </w:rPr>
        <w:t>is advised</w:t>
      </w:r>
      <w:proofErr w:type="gramEnd"/>
      <w:r w:rsidRPr="00E87AB4">
        <w:rPr>
          <w:bCs/>
          <w:iCs/>
          <w:szCs w:val="24"/>
        </w:rPr>
        <w:t>.</w:t>
      </w:r>
    </w:p>
    <w:p w:rsidR="001C7580" w:rsidRPr="00846A3A" w:rsidRDefault="001C7580" w:rsidP="001C7580">
      <w:pPr>
        <w:pStyle w:val="CLDHeading4"/>
      </w:pPr>
      <w:r w:rsidRPr="00846A3A">
        <w:t>Haemodialysis</w:t>
      </w:r>
    </w:p>
    <w:p w:rsidR="001C7580" w:rsidRPr="00E87AB4" w:rsidRDefault="001C7580" w:rsidP="001C7580">
      <w:pPr>
        <w:pStyle w:val="CLDNormal"/>
        <w:rPr>
          <w:bCs/>
          <w:iCs/>
          <w:szCs w:val="24"/>
        </w:rPr>
      </w:pPr>
      <w:r w:rsidRPr="00846A3A">
        <w:rPr>
          <w:szCs w:val="24"/>
        </w:rPr>
        <w:t xml:space="preserve">Both </w:t>
      </w:r>
      <w:proofErr w:type="spellStart"/>
      <w:r w:rsidRPr="00846A3A">
        <w:rPr>
          <w:szCs w:val="24"/>
        </w:rPr>
        <w:t>c</w:t>
      </w:r>
      <w:r w:rsidRPr="00846A3A">
        <w:rPr>
          <w:bCs/>
          <w:szCs w:val="24"/>
        </w:rPr>
        <w:t>eftazidime</w:t>
      </w:r>
      <w:proofErr w:type="spellEnd"/>
      <w:r w:rsidRPr="00846A3A">
        <w:rPr>
          <w:bCs/>
          <w:szCs w:val="24"/>
        </w:rPr>
        <w:t xml:space="preserve"> and avibactam are </w:t>
      </w:r>
      <w:proofErr w:type="spellStart"/>
      <w:r w:rsidRPr="00846A3A">
        <w:rPr>
          <w:bCs/>
          <w:szCs w:val="24"/>
        </w:rPr>
        <w:t>haemodialy</w:t>
      </w:r>
      <w:r w:rsidR="00AE6AB8">
        <w:rPr>
          <w:bCs/>
          <w:szCs w:val="24"/>
        </w:rPr>
        <w:t>s</w:t>
      </w:r>
      <w:r w:rsidRPr="00846A3A">
        <w:rPr>
          <w:bCs/>
          <w:szCs w:val="24"/>
        </w:rPr>
        <w:t>able</w:t>
      </w:r>
      <w:proofErr w:type="spellEnd"/>
      <w:r w:rsidR="00AE6AB8">
        <w:rPr>
          <w:bCs/>
          <w:szCs w:val="24"/>
        </w:rPr>
        <w:t>; t</w:t>
      </w:r>
      <w:r w:rsidR="00AE6AB8" w:rsidRPr="00846A3A">
        <w:rPr>
          <w:bCs/>
          <w:szCs w:val="24"/>
        </w:rPr>
        <w:t>hus</w:t>
      </w:r>
      <w:r w:rsidRPr="00846A3A">
        <w:rPr>
          <w:bCs/>
          <w:szCs w:val="24"/>
        </w:rPr>
        <w:t xml:space="preserve">, </w:t>
      </w:r>
      <w:proofErr w:type="spellStart"/>
      <w:r w:rsidRPr="00846A3A">
        <w:rPr>
          <w:bCs/>
          <w:szCs w:val="24"/>
        </w:rPr>
        <w:t>Zavicefta</w:t>
      </w:r>
      <w:proofErr w:type="spellEnd"/>
      <w:r w:rsidRPr="00846A3A">
        <w:rPr>
          <w:bCs/>
          <w:szCs w:val="24"/>
        </w:rPr>
        <w:t xml:space="preserve"> </w:t>
      </w:r>
      <w:proofErr w:type="gramStart"/>
      <w:r w:rsidRPr="00846A3A">
        <w:rPr>
          <w:bCs/>
          <w:szCs w:val="24"/>
        </w:rPr>
        <w:t>should be administered</w:t>
      </w:r>
      <w:proofErr w:type="gramEnd"/>
      <w:r w:rsidRPr="00846A3A">
        <w:rPr>
          <w:bCs/>
          <w:szCs w:val="24"/>
        </w:rPr>
        <w:t xml:space="preserve"> after haemodialysis on haemodialysis day.</w:t>
      </w:r>
    </w:p>
    <w:p w:rsidR="001C7580" w:rsidRPr="00846A3A" w:rsidRDefault="001C7580" w:rsidP="001C7580">
      <w:pPr>
        <w:pStyle w:val="CLDHeading5"/>
      </w:pPr>
      <w:proofErr w:type="spellStart"/>
      <w:r w:rsidRPr="00846A3A">
        <w:t>Haemofiltration</w:t>
      </w:r>
      <w:proofErr w:type="spellEnd"/>
    </w:p>
    <w:p w:rsidR="001C7580" w:rsidRPr="00846A3A" w:rsidRDefault="001C7580" w:rsidP="001C7580">
      <w:pPr>
        <w:spacing w:after="0"/>
        <w:rPr>
          <w:bCs/>
          <w:szCs w:val="24"/>
        </w:rPr>
      </w:pPr>
      <w:r w:rsidRPr="00846A3A">
        <w:rPr>
          <w:bCs/>
          <w:szCs w:val="24"/>
        </w:rPr>
        <w:t xml:space="preserve">There is insufficient data to make specific dosage adjustment recommendations for patients undergoing continuous </w:t>
      </w:r>
      <w:proofErr w:type="spellStart"/>
      <w:r w:rsidRPr="00846A3A">
        <w:rPr>
          <w:bCs/>
          <w:szCs w:val="24"/>
        </w:rPr>
        <w:t>veno</w:t>
      </w:r>
      <w:proofErr w:type="spellEnd"/>
      <w:r w:rsidRPr="00846A3A">
        <w:rPr>
          <w:bCs/>
          <w:szCs w:val="24"/>
        </w:rPr>
        <w:t xml:space="preserve">-venous </w:t>
      </w:r>
      <w:proofErr w:type="spellStart"/>
      <w:r w:rsidRPr="00846A3A">
        <w:rPr>
          <w:bCs/>
          <w:szCs w:val="24"/>
        </w:rPr>
        <w:t>haemofiltration</w:t>
      </w:r>
      <w:proofErr w:type="spellEnd"/>
      <w:r w:rsidRPr="00846A3A">
        <w:rPr>
          <w:bCs/>
          <w:szCs w:val="24"/>
        </w:rPr>
        <w:t>.</w:t>
      </w:r>
    </w:p>
    <w:p w:rsidR="001C7580" w:rsidRPr="00846A3A" w:rsidRDefault="001C7580" w:rsidP="001C7580">
      <w:pPr>
        <w:pStyle w:val="CLDHeading5"/>
      </w:pPr>
      <w:r w:rsidRPr="00846A3A">
        <w:t>Peritoneal dialysis</w:t>
      </w:r>
    </w:p>
    <w:p w:rsidR="001C7580" w:rsidRPr="001939AC" w:rsidRDefault="001C7580" w:rsidP="00CE5B81">
      <w:pPr>
        <w:pStyle w:val="CLDNormal"/>
      </w:pPr>
      <w:r w:rsidRPr="00846A3A">
        <w:t>There is insufficient data to make specific dosage adjustment recommendations for patients undergoing peritoneal dialysis.</w:t>
      </w:r>
    </w:p>
    <w:p w:rsidR="00CF0648" w:rsidRPr="001939AC" w:rsidRDefault="005843C8" w:rsidP="00CF0648">
      <w:pPr>
        <w:pStyle w:val="CLDHeading4"/>
      </w:pPr>
      <w:r>
        <w:t>Elderly</w:t>
      </w:r>
    </w:p>
    <w:p w:rsidR="00CF0648" w:rsidRPr="001939AC" w:rsidRDefault="00CF0648" w:rsidP="00CF0648">
      <w:pPr>
        <w:pStyle w:val="CLDNormal"/>
      </w:pPr>
      <w:r w:rsidRPr="001939AC">
        <w:t>No dosage adjustment is required in elderly patients (see section 5.2</w:t>
      </w:r>
      <w:r w:rsidR="00E63454">
        <w:t xml:space="preserve"> Pharmacokinetic properties</w:t>
      </w:r>
      <w:r w:rsidRPr="001939AC">
        <w:t>).</w:t>
      </w:r>
    </w:p>
    <w:p w:rsidR="001C7580" w:rsidRPr="001939AC" w:rsidRDefault="005843C8" w:rsidP="001C7580">
      <w:pPr>
        <w:pStyle w:val="CLDHeading4"/>
      </w:pPr>
      <w:r>
        <w:lastRenderedPageBreak/>
        <w:t>Paediatric population</w:t>
      </w:r>
    </w:p>
    <w:p w:rsidR="001C7580" w:rsidRPr="001939AC" w:rsidRDefault="001C7580" w:rsidP="00F27132">
      <w:pPr>
        <w:pStyle w:val="CLDNormal"/>
        <w:rPr>
          <w:noProof/>
          <w:szCs w:val="22"/>
        </w:rPr>
      </w:pPr>
      <w:r w:rsidRPr="001939AC">
        <w:t xml:space="preserve">Safety and efficacy in children and adolescents below 18 years of age </w:t>
      </w:r>
      <w:proofErr w:type="gramStart"/>
      <w:r w:rsidRPr="001939AC">
        <w:t>have not yet been established</w:t>
      </w:r>
      <w:proofErr w:type="gramEnd"/>
      <w:r w:rsidRPr="001939AC">
        <w:t>. No data are available.</w:t>
      </w:r>
    </w:p>
    <w:p w:rsidR="00AD4A2A" w:rsidRPr="001939AC" w:rsidRDefault="00AD4A2A" w:rsidP="00AD4A2A">
      <w:pPr>
        <w:pStyle w:val="CLDHeading3"/>
      </w:pPr>
      <w:r w:rsidRPr="001939AC">
        <w:t xml:space="preserve">Method of </w:t>
      </w:r>
      <w:r>
        <w:t>a</w:t>
      </w:r>
      <w:r w:rsidRPr="001939AC">
        <w:t>dministration</w:t>
      </w:r>
    </w:p>
    <w:p w:rsidR="00AD4A2A" w:rsidRPr="001939AC" w:rsidRDefault="00AD4A2A" w:rsidP="00AD4A2A">
      <w:pPr>
        <w:pStyle w:val="CLDNormal"/>
      </w:pPr>
      <w:proofErr w:type="spellStart"/>
      <w:r w:rsidRPr="001939AC">
        <w:rPr>
          <w:szCs w:val="22"/>
        </w:rPr>
        <w:t>Zavicefta</w:t>
      </w:r>
      <w:proofErr w:type="spellEnd"/>
      <w:r w:rsidRPr="001939AC">
        <w:t xml:space="preserve"> </w:t>
      </w:r>
      <w:proofErr w:type="gramStart"/>
      <w:r w:rsidRPr="001939AC">
        <w:t>is administered</w:t>
      </w:r>
      <w:proofErr w:type="gramEnd"/>
      <w:r w:rsidRPr="001939AC">
        <w:t xml:space="preserve"> by intravenous infusion over 120 minutes in an infusion volume of 100 </w:t>
      </w:r>
      <w:proofErr w:type="spellStart"/>
      <w:r w:rsidRPr="001939AC">
        <w:t>mL.</w:t>
      </w:r>
      <w:proofErr w:type="spellEnd"/>
    </w:p>
    <w:p w:rsidR="00AD4A2A" w:rsidRPr="001939AC" w:rsidRDefault="00AD4A2A" w:rsidP="007C51D5">
      <w:pPr>
        <w:rPr>
          <w:rFonts w:eastAsia="SimSun"/>
          <w:noProof/>
          <w:szCs w:val="22"/>
        </w:rPr>
      </w:pPr>
      <w:r w:rsidRPr="001939AC">
        <w:rPr>
          <w:rFonts w:eastAsia="SimSun"/>
          <w:noProof/>
          <w:szCs w:val="22"/>
        </w:rPr>
        <w:t>The powder must be reconstituted with water for injections and the resulting concentrate must then be immediately diluted prior to use. The reconstituted solution is pale yellow solution and free of particles.</w:t>
      </w:r>
    </w:p>
    <w:p w:rsidR="00AD4A2A" w:rsidRPr="001939AC" w:rsidRDefault="00AD4A2A" w:rsidP="001A4BF2">
      <w:pPr>
        <w:rPr>
          <w:rFonts w:eastAsia="SimSun"/>
          <w:noProof/>
          <w:szCs w:val="22"/>
        </w:rPr>
      </w:pPr>
      <w:r w:rsidRPr="001939AC">
        <w:rPr>
          <w:rFonts w:eastAsia="SimSun"/>
          <w:noProof/>
          <w:szCs w:val="22"/>
        </w:rPr>
        <w:t>Standard aseptic techniques should be used for solution preparation and administration.</w:t>
      </w:r>
    </w:p>
    <w:p w:rsidR="00AD4A2A" w:rsidRPr="00F90381" w:rsidRDefault="00F90381" w:rsidP="00F90381">
      <w:pPr>
        <w:pStyle w:val="CLDNormal"/>
        <w:tabs>
          <w:tab w:val="left" w:pos="426"/>
        </w:tabs>
      </w:pPr>
      <w:r>
        <w:t xml:space="preserve">1. </w:t>
      </w:r>
      <w:r>
        <w:tab/>
      </w:r>
      <w:r w:rsidR="00AD4A2A" w:rsidRPr="00F90381">
        <w:t>Introduce the syringe needle through the vial closure and inject 10 mL o</w:t>
      </w:r>
      <w:r w:rsidR="005843C8">
        <w:t>f sterile water for injections.</w:t>
      </w:r>
    </w:p>
    <w:p w:rsidR="00AD4A2A" w:rsidRPr="00F90381" w:rsidRDefault="00F90381" w:rsidP="00F90381">
      <w:pPr>
        <w:pStyle w:val="CLDNormal"/>
        <w:tabs>
          <w:tab w:val="left" w:pos="426"/>
        </w:tabs>
      </w:pPr>
      <w:r>
        <w:t xml:space="preserve">2. </w:t>
      </w:r>
      <w:r>
        <w:tab/>
      </w:r>
      <w:r w:rsidR="00AD4A2A" w:rsidRPr="00F90381">
        <w:t>Withdraw the needle and shake the</w:t>
      </w:r>
      <w:r w:rsidR="005843C8">
        <w:t xml:space="preserve"> vial to give a clear solution.</w:t>
      </w:r>
    </w:p>
    <w:p w:rsidR="00AD4A2A" w:rsidRPr="00F90381" w:rsidRDefault="00F90381" w:rsidP="00F90381">
      <w:pPr>
        <w:pStyle w:val="CLDNormal"/>
        <w:tabs>
          <w:tab w:val="left" w:pos="426"/>
        </w:tabs>
      </w:pPr>
      <w:r>
        <w:t>3.</w:t>
      </w:r>
      <w:r>
        <w:tab/>
      </w:r>
      <w:r w:rsidR="00AD4A2A" w:rsidRPr="00F90381">
        <w:t>Do not insert a gas relief needle until the product has dissolved. Insert a gas relief needle through the vial closure to relieve the internal pressure.</w:t>
      </w:r>
    </w:p>
    <w:p w:rsidR="00AD4A2A" w:rsidRPr="00F90381" w:rsidRDefault="00F90381" w:rsidP="00F90381">
      <w:pPr>
        <w:pStyle w:val="CLDNormal"/>
        <w:tabs>
          <w:tab w:val="left" w:pos="426"/>
        </w:tabs>
        <w:rPr>
          <w:rFonts w:eastAsia="SimSun"/>
        </w:rPr>
      </w:pPr>
      <w:r>
        <w:rPr>
          <w:rFonts w:eastAsia="SimSun"/>
        </w:rPr>
        <w:t xml:space="preserve">4. </w:t>
      </w:r>
      <w:r>
        <w:rPr>
          <w:rFonts w:eastAsia="SimSun"/>
        </w:rPr>
        <w:tab/>
      </w:r>
      <w:r w:rsidR="00AD4A2A" w:rsidRPr="00F90381">
        <w:rPr>
          <w:rFonts w:eastAsia="SimSun"/>
        </w:rPr>
        <w:t xml:space="preserve">Transfer the entire contents (approximately 12.0 mL) of the resultant solution to an infusion bag immediately. Reduced doses </w:t>
      </w:r>
      <w:proofErr w:type="gramStart"/>
      <w:r w:rsidR="00AD4A2A" w:rsidRPr="00F90381">
        <w:rPr>
          <w:rFonts w:eastAsia="SimSun"/>
        </w:rPr>
        <w:t>may be achieved</w:t>
      </w:r>
      <w:proofErr w:type="gramEnd"/>
      <w:r w:rsidR="00AD4A2A" w:rsidRPr="00F90381">
        <w:rPr>
          <w:rFonts w:eastAsia="SimSun"/>
        </w:rPr>
        <w:t xml:space="preserve"> by transfer of an appropriate volume of the resultant solution to an infusion bag, based upon </w:t>
      </w:r>
      <w:proofErr w:type="spellStart"/>
      <w:r w:rsidR="00AD4A2A" w:rsidRPr="00F90381">
        <w:rPr>
          <w:rFonts w:eastAsia="SimSun"/>
        </w:rPr>
        <w:t>ceftazidime</w:t>
      </w:r>
      <w:proofErr w:type="spellEnd"/>
      <w:r w:rsidR="00AD4A2A" w:rsidRPr="00F90381">
        <w:rPr>
          <w:rFonts w:eastAsia="SimSun"/>
        </w:rPr>
        <w:t xml:space="preserve"> and avibactam content of 167.3 mg/mL and 41.8 mg/mL, respectively. A dose of 1000 mg/250 mg or 750 mg/187.5 mg </w:t>
      </w:r>
      <w:proofErr w:type="gramStart"/>
      <w:r w:rsidR="00AD4A2A" w:rsidRPr="00F90381">
        <w:rPr>
          <w:rFonts w:eastAsia="SimSun"/>
        </w:rPr>
        <w:t>is achieved</w:t>
      </w:r>
      <w:proofErr w:type="gramEnd"/>
      <w:r w:rsidR="00AD4A2A" w:rsidRPr="00F90381">
        <w:rPr>
          <w:rFonts w:eastAsia="SimSun"/>
        </w:rPr>
        <w:t xml:space="preserve"> with 6.0 mL or 4.5 mL aliquots, respectively.</w:t>
      </w:r>
    </w:p>
    <w:p w:rsidR="00AD4A2A" w:rsidRPr="001939AC" w:rsidRDefault="00AD4A2A" w:rsidP="00AD4A2A">
      <w:pPr>
        <w:pStyle w:val="CLDNormal"/>
        <w:rPr>
          <w:rFonts w:eastAsia="SimSun"/>
          <w:noProof/>
          <w:szCs w:val="22"/>
        </w:rPr>
      </w:pPr>
      <w:r w:rsidRPr="001939AC">
        <w:t xml:space="preserve">Note: </w:t>
      </w:r>
      <w:r>
        <w:t>To</w:t>
      </w:r>
      <w:r w:rsidRPr="001939AC">
        <w:t xml:space="preserve"> preserve product sterility, it is important that the gas relief needle </w:t>
      </w:r>
      <w:proofErr w:type="gramStart"/>
      <w:r w:rsidRPr="001939AC">
        <w:t>is</w:t>
      </w:r>
      <w:proofErr w:type="gramEnd"/>
      <w:r w:rsidRPr="001939AC">
        <w:t xml:space="preserve"> not inserted through the vial closure before the product is dissolved.</w:t>
      </w:r>
    </w:p>
    <w:p w:rsidR="00AD4A2A" w:rsidRDefault="00AD4A2A" w:rsidP="00AD4A2A">
      <w:pPr>
        <w:pStyle w:val="CLDNormal"/>
        <w:rPr>
          <w:rFonts w:eastAsia="SimSun"/>
          <w:noProof/>
          <w:szCs w:val="22"/>
        </w:rPr>
      </w:pPr>
      <w:r w:rsidRPr="001939AC">
        <w:rPr>
          <w:rFonts w:eastAsia="SimSun"/>
          <w:noProof/>
          <w:szCs w:val="22"/>
        </w:rPr>
        <w:t>Vials of ceftazidime/avibactam powder should be reconstituted with 10 mL of sterile water for injections, followed by shaki</w:t>
      </w:r>
      <w:r w:rsidR="005843C8">
        <w:rPr>
          <w:rFonts w:eastAsia="SimSun"/>
          <w:noProof/>
          <w:szCs w:val="22"/>
        </w:rPr>
        <w:t>ng until the content dissolves.</w:t>
      </w:r>
    </w:p>
    <w:p w:rsidR="00AD4A2A" w:rsidRDefault="00AD4A2A" w:rsidP="00AD4A2A">
      <w:pPr>
        <w:pStyle w:val="CLDNormal"/>
        <w:rPr>
          <w:rFonts w:eastAsia="SimSun"/>
          <w:noProof/>
          <w:szCs w:val="22"/>
        </w:rPr>
      </w:pPr>
      <w:r w:rsidRPr="001939AC">
        <w:rPr>
          <w:rFonts w:eastAsia="SimSun"/>
          <w:noProof/>
          <w:szCs w:val="22"/>
        </w:rPr>
        <w:t>An infusion bag ma</w:t>
      </w:r>
      <w:r w:rsidR="005843C8">
        <w:rPr>
          <w:rFonts w:eastAsia="SimSun"/>
          <w:noProof/>
          <w:szCs w:val="22"/>
        </w:rPr>
        <w:t>y contain any of the following:</w:t>
      </w:r>
    </w:p>
    <w:p w:rsidR="00AD4A2A" w:rsidRPr="00C3730C" w:rsidRDefault="005843C8" w:rsidP="00AD4A2A">
      <w:pPr>
        <w:pStyle w:val="ListBullet"/>
        <w:rPr>
          <w:rFonts w:eastAsia="SimSun"/>
        </w:rPr>
      </w:pPr>
      <w:proofErr w:type="gramStart"/>
      <w:r>
        <w:rPr>
          <w:rFonts w:eastAsia="SimSun"/>
        </w:rPr>
        <w:t>sodium</w:t>
      </w:r>
      <w:proofErr w:type="gramEnd"/>
      <w:r>
        <w:rPr>
          <w:rFonts w:eastAsia="SimSun"/>
        </w:rPr>
        <w:t xml:space="preserve"> chloride 9 mg/mL (0.9%)</w:t>
      </w:r>
    </w:p>
    <w:p w:rsidR="00AD4A2A" w:rsidRPr="00C3730C" w:rsidRDefault="00AD4A2A" w:rsidP="00AD4A2A">
      <w:pPr>
        <w:pStyle w:val="ListBullet"/>
        <w:rPr>
          <w:rFonts w:eastAsia="SimSun"/>
        </w:rPr>
      </w:pPr>
      <w:proofErr w:type="gramStart"/>
      <w:r>
        <w:rPr>
          <w:rFonts w:eastAsia="SimSun"/>
        </w:rPr>
        <w:t>dextrose</w:t>
      </w:r>
      <w:proofErr w:type="gramEnd"/>
      <w:r>
        <w:rPr>
          <w:rFonts w:eastAsia="SimSun"/>
        </w:rPr>
        <w:t xml:space="preserve"> 50 mg/mL (5%)</w:t>
      </w:r>
    </w:p>
    <w:p w:rsidR="00AD4A2A" w:rsidRPr="00C3730C" w:rsidRDefault="00AD4A2A" w:rsidP="00AD4A2A">
      <w:pPr>
        <w:pStyle w:val="ListBullet"/>
        <w:rPr>
          <w:rFonts w:eastAsia="SimSun"/>
        </w:rPr>
      </w:pPr>
      <w:r w:rsidRPr="00C3730C">
        <w:rPr>
          <w:rFonts w:eastAsia="SimSun"/>
        </w:rPr>
        <w:t>sodium chloride 4.5 mg/mL and dextrose 25 mg/mL (0.45% sodium chloride and 2.5% dextrose)</w:t>
      </w:r>
    </w:p>
    <w:p w:rsidR="00AD4A2A" w:rsidRPr="00567E81" w:rsidRDefault="005843C8" w:rsidP="00AD4A2A">
      <w:pPr>
        <w:pStyle w:val="ListBullet"/>
        <w:rPr>
          <w:rFonts w:eastAsia="SimSun"/>
        </w:rPr>
      </w:pPr>
      <w:r>
        <w:rPr>
          <w:rFonts w:eastAsia="SimSun"/>
        </w:rPr>
        <w:t>Lactated Ringer’s solution.</w:t>
      </w:r>
    </w:p>
    <w:p w:rsidR="00AD4A2A" w:rsidRDefault="00AD4A2A" w:rsidP="00AD4A2A">
      <w:pPr>
        <w:pStyle w:val="CLDNormal"/>
        <w:rPr>
          <w:rFonts w:eastAsia="SimSun"/>
          <w:noProof/>
          <w:szCs w:val="22"/>
        </w:rPr>
      </w:pPr>
      <w:r w:rsidRPr="00C3730C">
        <w:rPr>
          <w:rFonts w:eastAsia="SimSun"/>
        </w:rPr>
        <w:t xml:space="preserve">A 100 mL infusion bag </w:t>
      </w:r>
      <w:proofErr w:type="gramStart"/>
      <w:r w:rsidRPr="00C3730C">
        <w:rPr>
          <w:rFonts w:eastAsia="SimSun"/>
        </w:rPr>
        <w:t>can be used</w:t>
      </w:r>
      <w:proofErr w:type="gramEnd"/>
      <w:r w:rsidRPr="00C3730C">
        <w:rPr>
          <w:rFonts w:eastAsia="SimSun"/>
        </w:rPr>
        <w:t xml:space="preserve"> to prepare the infusion, based on the patient’s volume</w:t>
      </w:r>
      <w:r w:rsidRPr="001939AC">
        <w:rPr>
          <w:rFonts w:eastAsia="SimSun"/>
          <w:szCs w:val="22"/>
        </w:rPr>
        <w:t xml:space="preserve"> requirements. </w:t>
      </w:r>
      <w:r w:rsidRPr="001939AC">
        <w:rPr>
          <w:rFonts w:eastAsia="SimSun"/>
          <w:noProof/>
          <w:szCs w:val="22"/>
        </w:rPr>
        <w:t>The total time interval between starting reconstitution and completing preparation of the intravenous infusion should not exceed 30 minutes.</w:t>
      </w:r>
    </w:p>
    <w:p w:rsidR="00AD4A2A" w:rsidRDefault="00AD4A2A" w:rsidP="00AD4A2A">
      <w:pPr>
        <w:pStyle w:val="CLDNormal"/>
        <w:rPr>
          <w:rFonts w:eastAsia="SimSun"/>
          <w:noProof/>
        </w:rPr>
      </w:pPr>
      <w:r>
        <w:rPr>
          <w:rFonts w:eastAsia="SimSun"/>
          <w:noProof/>
        </w:rPr>
        <w:t>Product</w:t>
      </w:r>
      <w:r w:rsidRPr="001939AC">
        <w:rPr>
          <w:rFonts w:eastAsia="SimSun"/>
          <w:noProof/>
        </w:rPr>
        <w:t xml:space="preserve"> is for single use </w:t>
      </w:r>
      <w:r>
        <w:rPr>
          <w:rFonts w:eastAsia="SimSun"/>
          <w:noProof/>
        </w:rPr>
        <w:t xml:space="preserve">in one patient </w:t>
      </w:r>
      <w:r w:rsidRPr="001939AC">
        <w:rPr>
          <w:rFonts w:eastAsia="SimSun"/>
          <w:noProof/>
        </w:rPr>
        <w:t>only.</w:t>
      </w:r>
      <w:r w:rsidR="005843C8">
        <w:t xml:space="preserve"> Discard any residue.</w:t>
      </w:r>
    </w:p>
    <w:p w:rsidR="0062454C" w:rsidRPr="001939AC" w:rsidRDefault="00787D1C" w:rsidP="005B4B20">
      <w:pPr>
        <w:pStyle w:val="CLDHeading2"/>
      </w:pPr>
      <w:r w:rsidRPr="001939AC">
        <w:lastRenderedPageBreak/>
        <w:t>4.3</w:t>
      </w:r>
      <w:r w:rsidR="00BE7C6C" w:rsidRPr="001939AC">
        <w:t xml:space="preserve"> </w:t>
      </w:r>
      <w:r w:rsidR="00520868" w:rsidRPr="001939AC">
        <w:t>Contraindications</w:t>
      </w:r>
    </w:p>
    <w:p w:rsidR="00BE7C6C" w:rsidRPr="001939AC" w:rsidRDefault="00BE7C6C" w:rsidP="00E27EB2">
      <w:r w:rsidRPr="001939AC">
        <w:t>Hypersensitivity to the active substances or to any of the excipients listed in section 6.1.</w:t>
      </w:r>
    </w:p>
    <w:p w:rsidR="00BE7C6C" w:rsidRPr="001939AC" w:rsidRDefault="00BE7C6C" w:rsidP="00E27EB2">
      <w:r w:rsidRPr="001939AC">
        <w:t>Hypersensitivity to any cephalosporin antibacterial agent.</w:t>
      </w:r>
    </w:p>
    <w:p w:rsidR="00BE7C6C" w:rsidRPr="00367176" w:rsidRDefault="00BE7C6C" w:rsidP="00E27EB2">
      <w:r w:rsidRPr="001939AC">
        <w:t>Severe hypersensitivity (</w:t>
      </w:r>
      <w:r w:rsidR="001F06A7">
        <w:t>e.g.</w:t>
      </w:r>
      <w:r w:rsidR="00E7708B">
        <w:t>, anaphylactic</w:t>
      </w:r>
      <w:r w:rsidR="00F9632A">
        <w:t xml:space="preserve"> reaction, severe skin reaction) to any other type of </w:t>
      </w:r>
      <w:r w:rsidR="00757497">
        <w:sym w:font="Symbol" w:char="F062"/>
      </w:r>
      <w:r w:rsidR="00757497" w:rsidRPr="00757497">
        <w:t xml:space="preserve">-lactam antibacterial agent (e.g., </w:t>
      </w:r>
      <w:proofErr w:type="spellStart"/>
      <w:r w:rsidR="00757497" w:rsidRPr="00757497">
        <w:t>penicillins</w:t>
      </w:r>
      <w:proofErr w:type="spellEnd"/>
      <w:r w:rsidR="00757497" w:rsidRPr="00757497">
        <w:t xml:space="preserve">, </w:t>
      </w:r>
      <w:proofErr w:type="spellStart"/>
      <w:r w:rsidR="00757497" w:rsidRPr="00757497">
        <w:t>monobactams</w:t>
      </w:r>
      <w:proofErr w:type="spellEnd"/>
      <w:r w:rsidR="00757497" w:rsidRPr="00757497">
        <w:t xml:space="preserve"> or </w:t>
      </w:r>
      <w:proofErr w:type="spellStart"/>
      <w:r w:rsidR="00757497" w:rsidRPr="00757497">
        <w:t>carbapenems</w:t>
      </w:r>
      <w:proofErr w:type="spellEnd"/>
      <w:r w:rsidR="00757497" w:rsidRPr="00757497">
        <w:t>).</w:t>
      </w:r>
    </w:p>
    <w:p w:rsidR="0062454C" w:rsidRPr="001939AC" w:rsidRDefault="00787D1C" w:rsidP="005B4B20">
      <w:pPr>
        <w:pStyle w:val="CLDHeading2"/>
        <w:rPr>
          <w:bCs/>
        </w:rPr>
      </w:pPr>
      <w:r w:rsidRPr="001939AC">
        <w:t>4.4</w:t>
      </w:r>
      <w:r w:rsidR="00BE7C6C" w:rsidRPr="001939AC">
        <w:t xml:space="preserve"> </w:t>
      </w:r>
      <w:r w:rsidR="00683128" w:rsidRPr="001939AC">
        <w:t>Special w</w:t>
      </w:r>
      <w:r w:rsidR="0062454C" w:rsidRPr="001939AC">
        <w:t xml:space="preserve">arnings and </w:t>
      </w:r>
      <w:r w:rsidR="00683128" w:rsidRPr="001939AC">
        <w:t>p</w:t>
      </w:r>
      <w:r w:rsidR="0062454C" w:rsidRPr="001939AC">
        <w:t>recautions</w:t>
      </w:r>
      <w:r w:rsidR="00315AB0" w:rsidRPr="001939AC">
        <w:t xml:space="preserve"> </w:t>
      </w:r>
      <w:r w:rsidR="005843C8">
        <w:t>for use</w:t>
      </w:r>
    </w:p>
    <w:p w:rsidR="00BE7C6C" w:rsidRPr="00EB592B" w:rsidRDefault="00BE7C6C" w:rsidP="005B4B20">
      <w:pPr>
        <w:pStyle w:val="CLDHeading3"/>
      </w:pPr>
      <w:r w:rsidRPr="00EB592B">
        <w:t>Hypersensitivity reactions</w:t>
      </w:r>
    </w:p>
    <w:p w:rsidR="00BE7C6C" w:rsidRPr="001939AC" w:rsidRDefault="00BE7C6C" w:rsidP="00E27EB2">
      <w:r w:rsidRPr="001939AC">
        <w:t xml:space="preserve">Serious and occasionally fatal hypersensitivity reactions are possible (see sections 4.3 </w:t>
      </w:r>
      <w:r w:rsidR="00BA5B57">
        <w:t xml:space="preserve">Contraindications </w:t>
      </w:r>
      <w:r w:rsidRPr="001939AC">
        <w:t>and 4.8</w:t>
      </w:r>
      <w:r w:rsidR="00BA5B57">
        <w:t xml:space="preserve"> (Adverse effects (undesirable effects)</w:t>
      </w:r>
      <w:r w:rsidRPr="001939AC">
        <w:t xml:space="preserve">). In case of hypersensitivity reactions, treatment with </w:t>
      </w:r>
      <w:proofErr w:type="spellStart"/>
      <w:r w:rsidRPr="001939AC">
        <w:rPr>
          <w:szCs w:val="22"/>
        </w:rPr>
        <w:t>Zavicefta</w:t>
      </w:r>
      <w:proofErr w:type="spellEnd"/>
      <w:r w:rsidRPr="001939AC">
        <w:t xml:space="preserve"> </w:t>
      </w:r>
      <w:proofErr w:type="gramStart"/>
      <w:r w:rsidRPr="001939AC">
        <w:t>must be discontinued</w:t>
      </w:r>
      <w:proofErr w:type="gramEnd"/>
      <w:r w:rsidRPr="001939AC">
        <w:t xml:space="preserve"> immediately and adequate emerge</w:t>
      </w:r>
      <w:r w:rsidR="005843C8">
        <w:t>ncy measures must be initiated.</w:t>
      </w:r>
    </w:p>
    <w:p w:rsidR="00BE7C6C" w:rsidRPr="001939AC" w:rsidRDefault="00BE7C6C" w:rsidP="00E27EB2">
      <w:r w:rsidRPr="001939AC">
        <w:t xml:space="preserve">Before beginning treatment, it </w:t>
      </w:r>
      <w:proofErr w:type="gramStart"/>
      <w:r w:rsidRPr="001939AC">
        <w:t>should be established</w:t>
      </w:r>
      <w:proofErr w:type="gramEnd"/>
      <w:r w:rsidRPr="001939AC">
        <w:t xml:space="preserve"> whether the patient has a history of hypersensitivity reactions to </w:t>
      </w:r>
      <w:proofErr w:type="spellStart"/>
      <w:r w:rsidRPr="001939AC">
        <w:t>ceftazidime</w:t>
      </w:r>
      <w:proofErr w:type="spellEnd"/>
      <w:r w:rsidRPr="001939AC">
        <w:t xml:space="preserve">, to other </w:t>
      </w:r>
      <w:proofErr w:type="spellStart"/>
      <w:r w:rsidRPr="001939AC">
        <w:t>cephalosporins</w:t>
      </w:r>
      <w:proofErr w:type="spellEnd"/>
      <w:r w:rsidRPr="001939AC">
        <w:t xml:space="preserve"> or to any other type of </w:t>
      </w:r>
      <w:r w:rsidR="0094090B">
        <w:sym w:font="Symbol" w:char="F062"/>
      </w:r>
      <w:r w:rsidRPr="001939AC">
        <w:t xml:space="preserve">-lactam antibacterial agent. Caution </w:t>
      </w:r>
      <w:proofErr w:type="gramStart"/>
      <w:r w:rsidRPr="001939AC">
        <w:t>should be used</w:t>
      </w:r>
      <w:proofErr w:type="gramEnd"/>
      <w:r w:rsidRPr="001939AC">
        <w:t xml:space="preserve"> if </w:t>
      </w:r>
      <w:proofErr w:type="spellStart"/>
      <w:r w:rsidRPr="001939AC">
        <w:t>ceftazidime</w:t>
      </w:r>
      <w:proofErr w:type="spellEnd"/>
      <w:r w:rsidRPr="001939AC">
        <w:t xml:space="preserve">/avibactam is given to patients with a history of non-severe hypersensitivity to </w:t>
      </w:r>
      <w:proofErr w:type="spellStart"/>
      <w:r w:rsidRPr="001939AC">
        <w:t>penicillins</w:t>
      </w:r>
      <w:proofErr w:type="spellEnd"/>
      <w:r w:rsidRPr="001939AC">
        <w:t xml:space="preserve">, </w:t>
      </w:r>
      <w:proofErr w:type="spellStart"/>
      <w:r w:rsidRPr="001939AC">
        <w:t>monobactams</w:t>
      </w:r>
      <w:proofErr w:type="spellEnd"/>
      <w:r w:rsidRPr="001939AC">
        <w:t xml:space="preserve"> or </w:t>
      </w:r>
      <w:proofErr w:type="spellStart"/>
      <w:r w:rsidRPr="001939AC">
        <w:t>carbapenems</w:t>
      </w:r>
      <w:proofErr w:type="spellEnd"/>
      <w:r w:rsidRPr="001939AC">
        <w:t>.</w:t>
      </w:r>
    </w:p>
    <w:p w:rsidR="00BE7C6C" w:rsidRPr="001939AC" w:rsidRDefault="00BE7C6C" w:rsidP="005B4B20">
      <w:pPr>
        <w:pStyle w:val="CLDHeading3"/>
      </w:pPr>
      <w:r w:rsidRPr="001939AC">
        <w:rPr>
          <w:i/>
        </w:rPr>
        <w:t>Clostridium difficile</w:t>
      </w:r>
      <w:r w:rsidRPr="001939AC">
        <w:t>-associated diarrhoea</w:t>
      </w:r>
    </w:p>
    <w:p w:rsidR="00BE7C6C" w:rsidRPr="00367176" w:rsidRDefault="00BE7C6C" w:rsidP="00BE7C6C">
      <w:pPr>
        <w:pStyle w:val="CLDNormal"/>
      </w:pPr>
      <w:r w:rsidRPr="001939AC">
        <w:rPr>
          <w:i/>
          <w:iCs/>
        </w:rPr>
        <w:t>Clostridium difficile-</w:t>
      </w:r>
      <w:r w:rsidRPr="001939AC">
        <w:t xml:space="preserve">associated diarrhoea has been reported with </w:t>
      </w:r>
      <w:proofErr w:type="spellStart"/>
      <w:r w:rsidRPr="001939AC">
        <w:t>ceftazidime</w:t>
      </w:r>
      <w:proofErr w:type="spellEnd"/>
      <w:r w:rsidRPr="001939AC">
        <w:t xml:space="preserve">/avibactam, and can range in severity from mild to </w:t>
      </w:r>
      <w:proofErr w:type="gramStart"/>
      <w:r w:rsidRPr="001939AC">
        <w:t>life-threatening</w:t>
      </w:r>
      <w:proofErr w:type="gramEnd"/>
      <w:r w:rsidRPr="001939AC">
        <w:t xml:space="preserve">. This diagnosis </w:t>
      </w:r>
      <w:proofErr w:type="gramStart"/>
      <w:r w:rsidRPr="001939AC">
        <w:t>should be considered</w:t>
      </w:r>
      <w:proofErr w:type="gramEnd"/>
      <w:r w:rsidRPr="001939AC">
        <w:t xml:space="preserve"> in patients who present with diarrhoea during or subsequent to the administration of </w:t>
      </w:r>
      <w:proofErr w:type="spellStart"/>
      <w:r w:rsidRPr="001939AC">
        <w:rPr>
          <w:szCs w:val="22"/>
        </w:rPr>
        <w:t>Zavicefta</w:t>
      </w:r>
      <w:proofErr w:type="spellEnd"/>
      <w:r w:rsidRPr="001939AC">
        <w:t xml:space="preserve"> (see section 4.8</w:t>
      </w:r>
      <w:r w:rsidR="00E63454">
        <w:t xml:space="preserve"> Adverse effects (undesirable effects)</w:t>
      </w:r>
      <w:r w:rsidRPr="001939AC">
        <w:t xml:space="preserve">). Discontinuation of therapy with </w:t>
      </w:r>
      <w:proofErr w:type="spellStart"/>
      <w:r w:rsidRPr="001939AC">
        <w:rPr>
          <w:szCs w:val="22"/>
        </w:rPr>
        <w:t>Zavicefta</w:t>
      </w:r>
      <w:proofErr w:type="spellEnd"/>
      <w:r w:rsidRPr="001939AC">
        <w:t xml:space="preserve"> and the administration of specific treatment for </w:t>
      </w:r>
      <w:r w:rsidRPr="001939AC">
        <w:rPr>
          <w:i/>
          <w:iCs/>
        </w:rPr>
        <w:t>Clostridium difficile</w:t>
      </w:r>
      <w:r w:rsidRPr="001939AC">
        <w:t xml:space="preserve"> </w:t>
      </w:r>
      <w:proofErr w:type="gramStart"/>
      <w:r w:rsidRPr="001939AC">
        <w:t>should be considered</w:t>
      </w:r>
      <w:proofErr w:type="gramEnd"/>
      <w:r w:rsidRPr="001939AC">
        <w:t xml:space="preserve">. Medicinal products that inhibit peristalsis </w:t>
      </w:r>
      <w:proofErr w:type="gramStart"/>
      <w:r w:rsidRPr="001939AC">
        <w:t>should not be given</w:t>
      </w:r>
      <w:proofErr w:type="gramEnd"/>
      <w:r w:rsidRPr="001939AC">
        <w:t>.</w:t>
      </w:r>
    </w:p>
    <w:p w:rsidR="00BE7C6C" w:rsidRPr="001939AC" w:rsidRDefault="00BE7C6C" w:rsidP="005B4B20">
      <w:pPr>
        <w:pStyle w:val="CLDHeading3"/>
      </w:pPr>
      <w:r w:rsidRPr="001939AC">
        <w:t>Nephrotoxicity</w:t>
      </w:r>
    </w:p>
    <w:p w:rsidR="00BE7C6C" w:rsidRPr="001939AC" w:rsidRDefault="00BE7C6C" w:rsidP="00BE7C6C">
      <w:pPr>
        <w:pStyle w:val="CLDNormal"/>
      </w:pPr>
      <w:r w:rsidRPr="001939AC">
        <w:t xml:space="preserve">Concurrent treatment with high doses of </w:t>
      </w:r>
      <w:proofErr w:type="spellStart"/>
      <w:r w:rsidRPr="001939AC">
        <w:t>cephalosporins</w:t>
      </w:r>
      <w:proofErr w:type="spellEnd"/>
      <w:r w:rsidRPr="001939AC">
        <w:t xml:space="preserve"> and nephrotoxic medicinal products such as aminoglycosides or potent diuretics (</w:t>
      </w:r>
      <w:r w:rsidR="001F06A7">
        <w:t>e.g.,</w:t>
      </w:r>
      <w:r w:rsidRPr="001939AC">
        <w:t xml:space="preserve"> furosemide) may adversely affect renal function.</w:t>
      </w:r>
    </w:p>
    <w:p w:rsidR="00BE7C6C" w:rsidRPr="001939AC" w:rsidRDefault="00BE7C6C" w:rsidP="005B4B20">
      <w:pPr>
        <w:pStyle w:val="CLDHeading3"/>
      </w:pPr>
      <w:r w:rsidRPr="001939AC">
        <w:t xml:space="preserve">Direct </w:t>
      </w:r>
      <w:proofErr w:type="spellStart"/>
      <w:r w:rsidRPr="001939AC">
        <w:t>antiglobulin</w:t>
      </w:r>
      <w:proofErr w:type="spellEnd"/>
      <w:r w:rsidRPr="001939AC">
        <w:t xml:space="preserve"> test (DAGT or Coombs test) seroconversion and potential risk of haemolytic anaemia</w:t>
      </w:r>
    </w:p>
    <w:p w:rsidR="00BE7C6C" w:rsidRPr="001939AC" w:rsidRDefault="00BE7C6C" w:rsidP="00BE7C6C">
      <w:pPr>
        <w:pStyle w:val="CLDNormal"/>
        <w:rPr>
          <w:szCs w:val="22"/>
        </w:rPr>
      </w:pPr>
      <w:proofErr w:type="spellStart"/>
      <w:r w:rsidRPr="001939AC">
        <w:t>Ceftazidime</w:t>
      </w:r>
      <w:proofErr w:type="spellEnd"/>
      <w:r w:rsidRPr="001939AC">
        <w:t xml:space="preserve">/avibactam use may cause development of a positive direct </w:t>
      </w:r>
      <w:proofErr w:type="spellStart"/>
      <w:r w:rsidRPr="001939AC">
        <w:t>antiglobulin</w:t>
      </w:r>
      <w:proofErr w:type="spellEnd"/>
      <w:r w:rsidRPr="001939AC">
        <w:t xml:space="preserve"> test (DAGT</w:t>
      </w:r>
      <w:r w:rsidRPr="001939AC">
        <w:rPr>
          <w:b/>
          <w:bCs/>
          <w:i/>
          <w:iCs/>
        </w:rPr>
        <w:t>,</w:t>
      </w:r>
      <w:r w:rsidRPr="001939AC">
        <w:t xml:space="preserve"> or Coombs test),</w:t>
      </w:r>
      <w:r w:rsidRPr="001939AC">
        <w:rPr>
          <w:b/>
          <w:bCs/>
          <w:i/>
          <w:iCs/>
        </w:rPr>
        <w:t xml:space="preserve"> </w:t>
      </w:r>
      <w:r w:rsidRPr="001939AC">
        <w:t xml:space="preserve">which may interfere with the </w:t>
      </w:r>
      <w:proofErr w:type="gramStart"/>
      <w:r w:rsidRPr="001939AC">
        <w:t>cross-matching</w:t>
      </w:r>
      <w:proofErr w:type="gramEnd"/>
      <w:r w:rsidRPr="001939AC">
        <w:t xml:space="preserve"> of blood and/or may cause drug induced immune haemolytic anaemia (see section 4.8</w:t>
      </w:r>
      <w:r w:rsidR="00E63454">
        <w:t xml:space="preserve"> Adverse effects (undesirable effects)</w:t>
      </w:r>
      <w:r w:rsidRPr="001939AC">
        <w:t xml:space="preserve">). While DAGT seroconversion in patients receiving </w:t>
      </w:r>
      <w:proofErr w:type="spellStart"/>
      <w:r w:rsidRPr="001939AC">
        <w:rPr>
          <w:szCs w:val="22"/>
        </w:rPr>
        <w:t>Zavicefta</w:t>
      </w:r>
      <w:proofErr w:type="spellEnd"/>
      <w:r w:rsidRPr="001939AC">
        <w:t xml:space="preserve"> was very common in clinical studies (the estimated range of seroconversion across Phase 3 studies was 3.2% to 20.8% </w:t>
      </w:r>
      <w:r w:rsidRPr="001939AC">
        <w:rPr>
          <w:szCs w:val="22"/>
        </w:rPr>
        <w:t xml:space="preserve">in patients with a negative Coombs test at baseline and at least one follow-up test), there was no evidence of </w:t>
      </w:r>
      <w:r w:rsidRPr="00185CE5">
        <w:t>haemolysis in</w:t>
      </w:r>
      <w:r w:rsidRPr="001939AC">
        <w:rPr>
          <w:szCs w:val="22"/>
        </w:rPr>
        <w:t xml:space="preserve"> patients who developed a positive DAGT on treatment. However, the possibility that haemolytic anaemia could occur in association with </w:t>
      </w:r>
      <w:proofErr w:type="spellStart"/>
      <w:r w:rsidRPr="001939AC">
        <w:rPr>
          <w:szCs w:val="22"/>
        </w:rPr>
        <w:t>Zavicefta</w:t>
      </w:r>
      <w:proofErr w:type="spellEnd"/>
      <w:r w:rsidRPr="001939AC">
        <w:rPr>
          <w:szCs w:val="22"/>
        </w:rPr>
        <w:t xml:space="preserve"> treatment </w:t>
      </w:r>
      <w:proofErr w:type="gramStart"/>
      <w:r w:rsidRPr="001939AC">
        <w:rPr>
          <w:szCs w:val="22"/>
        </w:rPr>
        <w:t>cannot be ruled out</w:t>
      </w:r>
      <w:proofErr w:type="gramEnd"/>
      <w:r w:rsidRPr="001939AC">
        <w:rPr>
          <w:szCs w:val="22"/>
        </w:rPr>
        <w:t xml:space="preserve">. </w:t>
      </w:r>
      <w:r w:rsidRPr="001939AC">
        <w:rPr>
          <w:szCs w:val="22"/>
        </w:rPr>
        <w:lastRenderedPageBreak/>
        <w:t xml:space="preserve">Patients experiencing anaemia during or after treatment with </w:t>
      </w:r>
      <w:proofErr w:type="spellStart"/>
      <w:r w:rsidRPr="001939AC">
        <w:rPr>
          <w:szCs w:val="22"/>
        </w:rPr>
        <w:t>Zavicefta</w:t>
      </w:r>
      <w:proofErr w:type="spellEnd"/>
      <w:r w:rsidRPr="001939AC">
        <w:rPr>
          <w:szCs w:val="22"/>
        </w:rPr>
        <w:t xml:space="preserve"> </w:t>
      </w:r>
      <w:proofErr w:type="gramStart"/>
      <w:r w:rsidRPr="001939AC">
        <w:rPr>
          <w:szCs w:val="22"/>
        </w:rPr>
        <w:t>should be investigated</w:t>
      </w:r>
      <w:proofErr w:type="gramEnd"/>
      <w:r w:rsidRPr="001939AC">
        <w:rPr>
          <w:szCs w:val="22"/>
        </w:rPr>
        <w:t xml:space="preserve"> for this possibility.</w:t>
      </w:r>
    </w:p>
    <w:p w:rsidR="00BE7C6C" w:rsidRPr="001939AC" w:rsidRDefault="00BE7C6C" w:rsidP="005B4B20">
      <w:pPr>
        <w:pStyle w:val="CLDHeading3"/>
      </w:pPr>
      <w:r w:rsidRPr="001939AC">
        <w:t xml:space="preserve">Spectrum of activity of </w:t>
      </w:r>
      <w:proofErr w:type="spellStart"/>
      <w:r w:rsidRPr="001939AC">
        <w:t>ceftazidime</w:t>
      </w:r>
      <w:proofErr w:type="spellEnd"/>
      <w:r w:rsidRPr="001939AC">
        <w:t>/avibactam</w:t>
      </w:r>
    </w:p>
    <w:p w:rsidR="00BE7C6C" w:rsidRPr="001939AC" w:rsidRDefault="00BE7C6C" w:rsidP="00BE7C6C">
      <w:pPr>
        <w:pStyle w:val="CLDNormal"/>
      </w:pPr>
      <w:proofErr w:type="spellStart"/>
      <w:r w:rsidRPr="001939AC">
        <w:t>Ceftazidime</w:t>
      </w:r>
      <w:proofErr w:type="spellEnd"/>
      <w:r w:rsidRPr="001939AC">
        <w:t xml:space="preserve"> has little or no activity against the majority of Gram-positive organisms and anaerobes (see sections 4.2</w:t>
      </w:r>
      <w:r w:rsidR="008068E8">
        <w:t xml:space="preserve"> </w:t>
      </w:r>
      <w:r w:rsidR="00BA2345">
        <w:t xml:space="preserve">Dose and method of administration </w:t>
      </w:r>
      <w:r w:rsidRPr="001939AC">
        <w:t>and 5.1</w:t>
      </w:r>
      <w:r w:rsidR="00E63454">
        <w:t xml:space="preserve"> </w:t>
      </w:r>
      <w:proofErr w:type="spellStart"/>
      <w:r w:rsidR="00E63454">
        <w:t>Pharmacodynamic</w:t>
      </w:r>
      <w:proofErr w:type="spellEnd"/>
      <w:r w:rsidR="00E63454">
        <w:t xml:space="preserve"> properties</w:t>
      </w:r>
      <w:r w:rsidRPr="001939AC">
        <w:t xml:space="preserve">). Additional antibacterial agents </w:t>
      </w:r>
      <w:proofErr w:type="gramStart"/>
      <w:r w:rsidRPr="001939AC">
        <w:t>should be used</w:t>
      </w:r>
      <w:proofErr w:type="gramEnd"/>
      <w:r w:rsidRPr="001939AC">
        <w:t xml:space="preserve"> when these pathogens are known or suspected to be contribu</w:t>
      </w:r>
      <w:r w:rsidR="005843C8">
        <w:t>ting to the infectious process.</w:t>
      </w:r>
    </w:p>
    <w:p w:rsidR="00BE7C6C" w:rsidRPr="00367176" w:rsidRDefault="00BE7C6C" w:rsidP="00BE7C6C">
      <w:pPr>
        <w:pStyle w:val="CLDNormal"/>
      </w:pPr>
      <w:r w:rsidRPr="001939AC">
        <w:t xml:space="preserve">The inhibitory spectrum of avibactam includes many of the enzymes that inactivate </w:t>
      </w:r>
      <w:proofErr w:type="spellStart"/>
      <w:r w:rsidRPr="001939AC">
        <w:t>ceftazidime</w:t>
      </w:r>
      <w:proofErr w:type="spellEnd"/>
      <w:r w:rsidRPr="001939AC">
        <w:t xml:space="preserve">, including Ambler class </w:t>
      </w:r>
      <w:proofErr w:type="gramStart"/>
      <w:r w:rsidRPr="001939AC">
        <w:t>A</w:t>
      </w:r>
      <w:proofErr w:type="gramEnd"/>
      <w:r w:rsidRPr="001939AC">
        <w:t xml:space="preserve"> </w:t>
      </w:r>
      <w:r w:rsidR="005027BC">
        <w:sym w:font="Symbol" w:char="F062"/>
      </w:r>
      <w:r w:rsidRPr="001939AC">
        <w:t xml:space="preserve">-lactamases and class C </w:t>
      </w:r>
      <w:r w:rsidR="005027BC">
        <w:sym w:font="Symbol" w:char="F062"/>
      </w:r>
      <w:r w:rsidRPr="001939AC">
        <w:t>-lactamases. Avibactam does not inhibit class B enzymes (</w:t>
      </w:r>
      <w:proofErr w:type="spellStart"/>
      <w:r w:rsidRPr="001939AC">
        <w:t>metallo</w:t>
      </w:r>
      <w:proofErr w:type="spellEnd"/>
      <w:r w:rsidRPr="001939AC">
        <w:t>-</w:t>
      </w:r>
      <w:r w:rsidR="005027BC">
        <w:sym w:font="Symbol" w:char="F062"/>
      </w:r>
      <w:r w:rsidRPr="001939AC">
        <w:t>-lactamases) and is not able to inhibit many of the class D enzymes (see section 5.1</w:t>
      </w:r>
      <w:r w:rsidR="00BA2345">
        <w:t xml:space="preserve"> </w:t>
      </w:r>
      <w:proofErr w:type="spellStart"/>
      <w:r w:rsidR="00BA2345">
        <w:t>Pharmacodynamic</w:t>
      </w:r>
      <w:proofErr w:type="spellEnd"/>
      <w:r w:rsidR="00BA2345">
        <w:t xml:space="preserve"> properties</w:t>
      </w:r>
      <w:r w:rsidRPr="001939AC">
        <w:t>).</w:t>
      </w:r>
    </w:p>
    <w:p w:rsidR="00BE7C6C" w:rsidRPr="001939AC" w:rsidRDefault="00BE7C6C" w:rsidP="00BE7C6C">
      <w:pPr>
        <w:pStyle w:val="CLDHeading4"/>
      </w:pPr>
      <w:r w:rsidRPr="001939AC">
        <w:t>Non-susceptible organisms</w:t>
      </w:r>
    </w:p>
    <w:p w:rsidR="00BE7C6C" w:rsidRPr="00367176" w:rsidRDefault="00BE7C6C" w:rsidP="00BE7C6C">
      <w:pPr>
        <w:pStyle w:val="CLDNormal"/>
      </w:pPr>
      <w:r w:rsidRPr="001939AC">
        <w:t>Prolonged use may result in the overgrowth of non-susceptible organisms (</w:t>
      </w:r>
      <w:r w:rsidR="001F06A7">
        <w:t>e.g.,</w:t>
      </w:r>
      <w:r w:rsidRPr="001939AC">
        <w:t xml:space="preserve"> </w:t>
      </w:r>
      <w:r w:rsidR="004C6587" w:rsidRPr="005B1514">
        <w:rPr>
          <w:i/>
        </w:rPr>
        <w:t>E</w:t>
      </w:r>
      <w:r w:rsidRPr="007C51D5">
        <w:rPr>
          <w:i/>
        </w:rPr>
        <w:t>nterococci</w:t>
      </w:r>
      <w:r w:rsidRPr="001939AC">
        <w:t>, fungi</w:t>
      </w:r>
      <w:r w:rsidRPr="001939AC">
        <w:rPr>
          <w:szCs w:val="24"/>
        </w:rPr>
        <w:t xml:space="preserve">), </w:t>
      </w:r>
      <w:r w:rsidRPr="001939AC">
        <w:rPr>
          <w:szCs w:val="24"/>
          <w:lang w:val="en"/>
        </w:rPr>
        <w:t>which may require interruption of treatment or other appropriate measures.</w:t>
      </w:r>
    </w:p>
    <w:p w:rsidR="00BE7C6C" w:rsidRPr="001939AC" w:rsidRDefault="00BE7C6C" w:rsidP="005B4B20">
      <w:pPr>
        <w:pStyle w:val="CLDHeading3"/>
      </w:pPr>
      <w:r w:rsidRPr="001939AC">
        <w:t>Controlled sodium diet</w:t>
      </w:r>
    </w:p>
    <w:p w:rsidR="00EB592B" w:rsidRPr="003F58D3" w:rsidRDefault="00BE7C6C" w:rsidP="00EB592B">
      <w:pPr>
        <w:pStyle w:val="CLDNormal"/>
      </w:pPr>
      <w:r w:rsidRPr="001939AC">
        <w:rPr>
          <w:lang w:val="en"/>
        </w:rPr>
        <w:t xml:space="preserve">Each vial contains </w:t>
      </w:r>
      <w:proofErr w:type="gramStart"/>
      <w:r w:rsidRPr="001939AC">
        <w:rPr>
          <w:lang w:val="en"/>
        </w:rPr>
        <w:t>a total of 6.44</w:t>
      </w:r>
      <w:proofErr w:type="gramEnd"/>
      <w:r w:rsidRPr="001939AC">
        <w:rPr>
          <w:lang w:val="en"/>
        </w:rPr>
        <w:t> </w:t>
      </w:r>
      <w:proofErr w:type="spellStart"/>
      <w:r w:rsidRPr="001939AC">
        <w:rPr>
          <w:lang w:val="en"/>
        </w:rPr>
        <w:t>mmol</w:t>
      </w:r>
      <w:proofErr w:type="spellEnd"/>
      <w:r w:rsidRPr="001939AC">
        <w:rPr>
          <w:lang w:val="en"/>
        </w:rPr>
        <w:t xml:space="preserve"> of sodium (approximately 148 mg). This </w:t>
      </w:r>
      <w:proofErr w:type="gramStart"/>
      <w:r w:rsidRPr="001939AC">
        <w:rPr>
          <w:lang w:val="en"/>
        </w:rPr>
        <w:t>should be considered</w:t>
      </w:r>
      <w:proofErr w:type="gramEnd"/>
      <w:r w:rsidRPr="001939AC">
        <w:rPr>
          <w:lang w:val="en"/>
        </w:rPr>
        <w:t xml:space="preserve"> when administering </w:t>
      </w:r>
      <w:proofErr w:type="spellStart"/>
      <w:r w:rsidRPr="001939AC">
        <w:rPr>
          <w:lang w:val="en"/>
        </w:rPr>
        <w:t>Zavicefta</w:t>
      </w:r>
      <w:proofErr w:type="spellEnd"/>
      <w:r w:rsidRPr="001939AC">
        <w:rPr>
          <w:lang w:val="en"/>
        </w:rPr>
        <w:t xml:space="preserve"> to </w:t>
      </w:r>
      <w:r w:rsidRPr="001939AC">
        <w:t>patients who are on a controlled sodium diet.</w:t>
      </w:r>
    </w:p>
    <w:p w:rsidR="001C7580" w:rsidRPr="001939AC" w:rsidRDefault="001C7580" w:rsidP="005B4B20">
      <w:pPr>
        <w:pStyle w:val="CLDHeading3"/>
      </w:pPr>
      <w:r>
        <w:t>Use in renal impairment</w:t>
      </w:r>
    </w:p>
    <w:p w:rsidR="000900E5" w:rsidRDefault="001C7580" w:rsidP="0031219E">
      <w:pPr>
        <w:pStyle w:val="CLDNormal"/>
      </w:pPr>
      <w:proofErr w:type="spellStart"/>
      <w:r w:rsidRPr="001939AC">
        <w:t>Ceftazidime</w:t>
      </w:r>
      <w:proofErr w:type="spellEnd"/>
      <w:r w:rsidRPr="001939AC">
        <w:t xml:space="preserve"> and avibactam are eliminated via the kidneys, therefore, the dose should be reduced according to the degree of renal impairment (see section 4.2</w:t>
      </w:r>
      <w:r w:rsidR="00BA5B57">
        <w:t xml:space="preserve"> Dose and method of administration</w:t>
      </w:r>
      <w:r w:rsidRPr="001939AC">
        <w:t xml:space="preserve">). Neurological sequelae, including tremor, myoclonus, non-convulsive status epilepticus, convulsion, encephalopathy and coma, </w:t>
      </w:r>
      <w:proofErr w:type="gramStart"/>
      <w:r w:rsidRPr="001939AC">
        <w:t>have occasionally been reported</w:t>
      </w:r>
      <w:proofErr w:type="gramEnd"/>
      <w:r w:rsidRPr="001939AC">
        <w:t xml:space="preserve"> with </w:t>
      </w:r>
      <w:proofErr w:type="spellStart"/>
      <w:r w:rsidRPr="001939AC">
        <w:t>ceftazidime</w:t>
      </w:r>
      <w:proofErr w:type="spellEnd"/>
      <w:r w:rsidRPr="001939AC">
        <w:t xml:space="preserve"> when the dose has not been reduced in patients with renal impairment.</w:t>
      </w:r>
    </w:p>
    <w:p w:rsidR="001C7580" w:rsidRDefault="001C7580" w:rsidP="0031219E">
      <w:pPr>
        <w:pStyle w:val="CLDNormal"/>
      </w:pPr>
      <w:r w:rsidRPr="001939AC">
        <w:t xml:space="preserve">In patients with renal impairment, close monitoring of estimated creatinine clearance </w:t>
      </w:r>
      <w:proofErr w:type="gramStart"/>
      <w:r w:rsidRPr="001939AC">
        <w:t>is advised</w:t>
      </w:r>
      <w:proofErr w:type="gramEnd"/>
      <w:r w:rsidR="007C51D5">
        <w:t xml:space="preserve">. </w:t>
      </w:r>
      <w:r w:rsidRPr="001939AC">
        <w:t xml:space="preserve">In some patients, the creatinine clearance estimated from serum creatinine can change </w:t>
      </w:r>
      <w:proofErr w:type="gramStart"/>
      <w:r w:rsidRPr="001939AC">
        <w:t>quickly,</w:t>
      </w:r>
      <w:proofErr w:type="gramEnd"/>
      <w:r w:rsidRPr="001939AC">
        <w:t xml:space="preserve"> especially early in the course of treatment for the infection</w:t>
      </w:r>
      <w:r w:rsidR="007C51D5">
        <w:t xml:space="preserve"> (see section 5.1 Clinical trials and 5.2 Pharmacokinetic properties, Renal </w:t>
      </w:r>
      <w:proofErr w:type="spellStart"/>
      <w:r w:rsidR="007C51D5">
        <w:t>impaiment</w:t>
      </w:r>
      <w:proofErr w:type="spellEnd"/>
      <w:r w:rsidR="007C51D5" w:rsidRPr="001939AC">
        <w:t>.</w:t>
      </w:r>
    </w:p>
    <w:p w:rsidR="001C7580" w:rsidRPr="00185CE5" w:rsidRDefault="001C7580" w:rsidP="005B4B20">
      <w:pPr>
        <w:pStyle w:val="CLDHeading3"/>
      </w:pPr>
      <w:r>
        <w:t xml:space="preserve">Use in the elderly </w:t>
      </w:r>
    </w:p>
    <w:p w:rsidR="001C7580" w:rsidRPr="00BA5B57" w:rsidRDefault="001C7580" w:rsidP="001C7580">
      <w:pPr>
        <w:pStyle w:val="CLDNormal"/>
      </w:pPr>
      <w:r w:rsidRPr="001939AC">
        <w:t>No dosage adjustment is required in elderly patients (see section</w:t>
      </w:r>
      <w:r w:rsidR="00BA5B57">
        <w:t>s</w:t>
      </w:r>
      <w:r w:rsidRPr="001939AC">
        <w:t xml:space="preserve"> </w:t>
      </w:r>
      <w:r>
        <w:t xml:space="preserve">4.2 </w:t>
      </w:r>
      <w:r w:rsidR="00BA2345">
        <w:t xml:space="preserve">Dose and method of administration </w:t>
      </w:r>
      <w:r>
        <w:t xml:space="preserve">and </w:t>
      </w:r>
      <w:r w:rsidRPr="001939AC">
        <w:t>5.2</w:t>
      </w:r>
      <w:r w:rsidR="00BA2345">
        <w:t xml:space="preserve"> Pharmacokinetic properties</w:t>
      </w:r>
      <w:r w:rsidR="0031219E">
        <w:t>).</w:t>
      </w:r>
    </w:p>
    <w:p w:rsidR="008801C0" w:rsidRPr="00BC545A" w:rsidRDefault="008801C0" w:rsidP="005B4B20">
      <w:pPr>
        <w:pStyle w:val="CLDHeading3"/>
      </w:pPr>
      <w:r w:rsidRPr="00BC545A">
        <w:t xml:space="preserve">Paediatric </w:t>
      </w:r>
      <w:r>
        <w:t>use</w:t>
      </w:r>
      <w:r w:rsidRPr="00BC545A">
        <w:t xml:space="preserve"> </w:t>
      </w:r>
    </w:p>
    <w:p w:rsidR="008801C0" w:rsidRPr="001939AC" w:rsidRDefault="008801C0" w:rsidP="008801C0">
      <w:pPr>
        <w:spacing w:after="0"/>
      </w:pPr>
      <w:r w:rsidRPr="00BC545A">
        <w:t xml:space="preserve">The safety and efficacy of </w:t>
      </w:r>
      <w:proofErr w:type="spellStart"/>
      <w:r w:rsidRPr="00BC545A">
        <w:rPr>
          <w:bCs/>
        </w:rPr>
        <w:t>Zavicefta</w:t>
      </w:r>
      <w:proofErr w:type="spellEnd"/>
      <w:r w:rsidRPr="00BC545A">
        <w:t xml:space="preserve"> in paediatric patients </w:t>
      </w:r>
      <w:r w:rsidRPr="00BC545A">
        <w:rPr>
          <w:bCs/>
        </w:rPr>
        <w:t>(&lt; 18 years of age)</w:t>
      </w:r>
      <w:r w:rsidRPr="00BC545A">
        <w:rPr>
          <w:b/>
        </w:rPr>
        <w:t xml:space="preserve"> </w:t>
      </w:r>
      <w:proofErr w:type="gramStart"/>
      <w:r w:rsidRPr="00BC545A">
        <w:t>have not been established</w:t>
      </w:r>
      <w:proofErr w:type="gramEnd"/>
      <w:r w:rsidRPr="00BC545A">
        <w:t>.</w:t>
      </w:r>
    </w:p>
    <w:p w:rsidR="00EB592B" w:rsidRPr="001939AC" w:rsidRDefault="00EB592B" w:rsidP="005B4B20">
      <w:pPr>
        <w:pStyle w:val="CLDHeading3"/>
      </w:pPr>
      <w:r>
        <w:lastRenderedPageBreak/>
        <w:t>Effects on laboratory tests</w:t>
      </w:r>
    </w:p>
    <w:p w:rsidR="00BE7C6C" w:rsidRPr="00500267" w:rsidRDefault="00EB592B" w:rsidP="00500267">
      <w:pPr>
        <w:pStyle w:val="CLDNormal"/>
      </w:pPr>
      <w:proofErr w:type="spellStart"/>
      <w:r w:rsidRPr="001939AC">
        <w:t>Ceftazidime</w:t>
      </w:r>
      <w:proofErr w:type="spellEnd"/>
      <w:r w:rsidRPr="001939AC">
        <w:t xml:space="preserve"> may interfere with copper reduction methods (Benedict's, Fehling's, </w:t>
      </w:r>
      <w:proofErr w:type="spellStart"/>
      <w:r w:rsidRPr="001939AC">
        <w:t>Clinitest</w:t>
      </w:r>
      <w:proofErr w:type="spellEnd"/>
      <w:r w:rsidRPr="001939AC">
        <w:t xml:space="preserve">) for detection of glycosuria leading to false positive results. </w:t>
      </w:r>
      <w:proofErr w:type="spellStart"/>
      <w:r w:rsidRPr="001939AC">
        <w:t>Ceftazidime</w:t>
      </w:r>
      <w:proofErr w:type="spellEnd"/>
      <w:r w:rsidRPr="001939AC">
        <w:t xml:space="preserve"> does not interfere with enzyme-based tests for glycosuria.</w:t>
      </w:r>
    </w:p>
    <w:p w:rsidR="009A3BDF" w:rsidRPr="001939AC" w:rsidRDefault="009A3BDF" w:rsidP="005B4B20">
      <w:pPr>
        <w:pStyle w:val="CLDHeading2"/>
        <w:rPr>
          <w:iCs/>
          <w:noProof/>
          <w:szCs w:val="22"/>
        </w:rPr>
      </w:pPr>
      <w:r w:rsidRPr="001939AC">
        <w:t>4.5 I</w:t>
      </w:r>
      <w:r w:rsidR="00112E5B" w:rsidRPr="001939AC">
        <w:t>nteraction with other med</w:t>
      </w:r>
      <w:r w:rsidR="00591258" w:rsidRPr="001939AC">
        <w:t>i</w:t>
      </w:r>
      <w:r w:rsidR="00112E5B" w:rsidRPr="001939AC">
        <w:t>cines and other forms of interactions</w:t>
      </w:r>
    </w:p>
    <w:p w:rsidR="009A3BDF" w:rsidRPr="00367176" w:rsidRDefault="009A3BDF" w:rsidP="009A3BDF">
      <w:pPr>
        <w:pStyle w:val="CLDNormal"/>
      </w:pPr>
      <w:r w:rsidRPr="001939AC">
        <w:rPr>
          <w:i/>
        </w:rPr>
        <w:t>In vitro</w:t>
      </w:r>
      <w:r w:rsidRPr="001939AC">
        <w:t xml:space="preserve">, avibactam is a substrate of OAT1 and OAT3 </w:t>
      </w:r>
      <w:proofErr w:type="gramStart"/>
      <w:r w:rsidRPr="001939AC">
        <w:t>transporters which</w:t>
      </w:r>
      <w:proofErr w:type="gramEnd"/>
      <w:r w:rsidRPr="001939AC">
        <w:t xml:space="preserve"> might contribute to the active uptake of avibactam from the blood compartment and therefore affect its excretion. Probenecid (a potent OAT inhibitor) inhibits this uptake by 56% to 70% </w:t>
      </w:r>
      <w:r w:rsidRPr="001939AC">
        <w:rPr>
          <w:i/>
        </w:rPr>
        <w:t>in vitro</w:t>
      </w:r>
      <w:r w:rsidRPr="001939AC">
        <w:t xml:space="preserve"> and therefore, has the potential to alter the elimination of avibactam. Since a clinical interaction study of avibactam and probenecid </w:t>
      </w:r>
      <w:proofErr w:type="gramStart"/>
      <w:r w:rsidRPr="001939AC">
        <w:t>has not been conducted</w:t>
      </w:r>
      <w:proofErr w:type="gramEnd"/>
      <w:r w:rsidRPr="001939AC">
        <w:t>, co-administration of avibactam with probenecid is not recommended.</w:t>
      </w:r>
    </w:p>
    <w:p w:rsidR="009A3BDF" w:rsidRPr="001939AC" w:rsidRDefault="009A3BDF" w:rsidP="009A3BDF">
      <w:pPr>
        <w:pStyle w:val="CLDNormal"/>
      </w:pPr>
      <w:r w:rsidRPr="001939AC">
        <w:t xml:space="preserve">Avibactam showed no significant inhibition of cytochrome P450 enzymes </w:t>
      </w:r>
      <w:r w:rsidRPr="001939AC">
        <w:rPr>
          <w:i/>
        </w:rPr>
        <w:t>in vitro</w:t>
      </w:r>
      <w:r w:rsidRPr="001939AC">
        <w:t xml:space="preserve">. Avibactam and </w:t>
      </w:r>
      <w:proofErr w:type="spellStart"/>
      <w:r w:rsidRPr="001939AC">
        <w:t>ceftazidime</w:t>
      </w:r>
      <w:proofErr w:type="spellEnd"/>
      <w:r w:rsidRPr="001939AC">
        <w:t xml:space="preserve"> showed no </w:t>
      </w:r>
      <w:r w:rsidRPr="001939AC">
        <w:rPr>
          <w:i/>
        </w:rPr>
        <w:t>in vitro</w:t>
      </w:r>
      <w:r w:rsidRPr="001939AC">
        <w:t xml:space="preserve"> cytochrome P450 induction at clinically relevant concentrations. Avibactam and </w:t>
      </w:r>
      <w:proofErr w:type="spellStart"/>
      <w:r w:rsidRPr="001939AC">
        <w:t>ceftazidime</w:t>
      </w:r>
      <w:proofErr w:type="spellEnd"/>
      <w:r w:rsidRPr="001939AC">
        <w:t xml:space="preserve"> do not inhibit the major renal or hepatic transporters in the clinically relevant exposure range, therefore the interaction potential via these mechanisms is considered </w:t>
      </w:r>
      <w:proofErr w:type="gramStart"/>
      <w:r w:rsidRPr="001939AC">
        <w:t>to be low</w:t>
      </w:r>
      <w:proofErr w:type="gramEnd"/>
      <w:r w:rsidRPr="001939AC">
        <w:t>.</w:t>
      </w:r>
    </w:p>
    <w:p w:rsidR="009A3BDF" w:rsidRPr="001939AC" w:rsidRDefault="009A3BDF" w:rsidP="009A3BDF">
      <w:pPr>
        <w:pStyle w:val="CLDNormal"/>
        <w:rPr>
          <w:i/>
          <w:iCs/>
        </w:rPr>
      </w:pPr>
      <w:r w:rsidRPr="001939AC">
        <w:t xml:space="preserve">Clinical data have demonstrated that there is no interaction between </w:t>
      </w:r>
      <w:proofErr w:type="spellStart"/>
      <w:r w:rsidRPr="001939AC">
        <w:t>ceftazidime</w:t>
      </w:r>
      <w:proofErr w:type="spellEnd"/>
      <w:r w:rsidRPr="001939AC">
        <w:t xml:space="preserve"> and avibactam, and between </w:t>
      </w:r>
      <w:proofErr w:type="spellStart"/>
      <w:r w:rsidRPr="001939AC">
        <w:t>ceftazidi</w:t>
      </w:r>
      <w:r w:rsidR="0031219E">
        <w:t>me</w:t>
      </w:r>
      <w:proofErr w:type="spellEnd"/>
      <w:r w:rsidR="0031219E">
        <w:t>/avibactam and metronidazole.</w:t>
      </w:r>
    </w:p>
    <w:p w:rsidR="009A3BDF" w:rsidRPr="001939AC" w:rsidRDefault="009A3BDF" w:rsidP="005B4B20">
      <w:pPr>
        <w:pStyle w:val="CLDHeading3"/>
      </w:pPr>
      <w:r w:rsidRPr="001939AC">
        <w:t>Other types of interaction</w:t>
      </w:r>
    </w:p>
    <w:p w:rsidR="009A3BDF" w:rsidRPr="001939AC" w:rsidRDefault="009A3BDF" w:rsidP="009A3BDF">
      <w:pPr>
        <w:pStyle w:val="CLDNormal"/>
      </w:pPr>
      <w:r w:rsidRPr="001939AC">
        <w:t xml:space="preserve">Concurrent treatment with high doses of </w:t>
      </w:r>
      <w:proofErr w:type="spellStart"/>
      <w:r w:rsidRPr="001939AC">
        <w:t>cephalosporins</w:t>
      </w:r>
      <w:proofErr w:type="spellEnd"/>
      <w:r w:rsidRPr="001939AC">
        <w:t xml:space="preserve"> and nephrotoxic medicinal products such as aminoglycosides or potent diuretics (</w:t>
      </w:r>
      <w:r w:rsidR="001F06A7">
        <w:t>e.g.,</w:t>
      </w:r>
      <w:r w:rsidRPr="001939AC">
        <w:t xml:space="preserve"> furosemide) may adversely affect renal function (see section 4.4</w:t>
      </w:r>
      <w:r w:rsidR="00BA5B57">
        <w:t xml:space="preserve"> Special warnings and precautions for use</w:t>
      </w:r>
      <w:r w:rsidRPr="001939AC">
        <w:t>).</w:t>
      </w:r>
    </w:p>
    <w:p w:rsidR="009A3BDF" w:rsidRPr="00367176" w:rsidRDefault="009A3BDF" w:rsidP="009A3BDF">
      <w:pPr>
        <w:pStyle w:val="CLDNormal"/>
      </w:pPr>
      <w:r w:rsidRPr="001939AC">
        <w:t xml:space="preserve">Chloramphenicol is antagonistic </w:t>
      </w:r>
      <w:r w:rsidRPr="001939AC">
        <w:rPr>
          <w:i/>
          <w:iCs/>
        </w:rPr>
        <w:t>in vitro</w:t>
      </w:r>
      <w:r w:rsidRPr="001939AC">
        <w:t xml:space="preserve"> with </w:t>
      </w:r>
      <w:proofErr w:type="spellStart"/>
      <w:r w:rsidRPr="001939AC">
        <w:t>ceftazidime</w:t>
      </w:r>
      <w:proofErr w:type="spellEnd"/>
      <w:r w:rsidRPr="001939AC">
        <w:t xml:space="preserve"> and other </w:t>
      </w:r>
      <w:proofErr w:type="spellStart"/>
      <w:r w:rsidRPr="001939AC">
        <w:t>cephalosporins</w:t>
      </w:r>
      <w:proofErr w:type="spellEnd"/>
      <w:r w:rsidRPr="001939AC">
        <w:t xml:space="preserve">. The clinical relevance of this finding is unknown, but due to the possibility of antagonism </w:t>
      </w:r>
      <w:r w:rsidRPr="001939AC">
        <w:rPr>
          <w:i/>
        </w:rPr>
        <w:t xml:space="preserve">in </w:t>
      </w:r>
      <w:proofErr w:type="gramStart"/>
      <w:r w:rsidRPr="001939AC">
        <w:rPr>
          <w:i/>
        </w:rPr>
        <w:t>vivo</w:t>
      </w:r>
      <w:proofErr w:type="gramEnd"/>
      <w:r w:rsidRPr="001939AC">
        <w:t xml:space="preserve"> this drug combination should be avoided.</w:t>
      </w:r>
    </w:p>
    <w:p w:rsidR="00112E5B" w:rsidRPr="001939AC" w:rsidRDefault="00787D1C" w:rsidP="005B4B20">
      <w:pPr>
        <w:pStyle w:val="CLDHeading2"/>
      </w:pPr>
      <w:r w:rsidRPr="001939AC">
        <w:t>4.6</w:t>
      </w:r>
      <w:r w:rsidR="009A3BDF" w:rsidRPr="001939AC">
        <w:t xml:space="preserve"> </w:t>
      </w:r>
      <w:r w:rsidR="00112E5B" w:rsidRPr="001939AC">
        <w:t>Fer</w:t>
      </w:r>
      <w:r w:rsidR="0031219E">
        <w:t>tility, pregnancy and lactation</w:t>
      </w:r>
    </w:p>
    <w:p w:rsidR="00E90EFB" w:rsidRPr="002456FE" w:rsidRDefault="00EB592B" w:rsidP="002456FE">
      <w:pPr>
        <w:pStyle w:val="CLDHeading3"/>
      </w:pPr>
      <w:r w:rsidRPr="002456FE">
        <w:t>Effects on f</w:t>
      </w:r>
      <w:r w:rsidR="0031219E">
        <w:t>ertility</w:t>
      </w:r>
    </w:p>
    <w:p w:rsidR="00E90EFB" w:rsidRPr="00EB387C" w:rsidRDefault="00BE7C6C" w:rsidP="00E90EFB">
      <w:pPr>
        <w:pStyle w:val="CLDNormal"/>
      </w:pPr>
      <w:r w:rsidRPr="001939AC">
        <w:t xml:space="preserve">The effects of </w:t>
      </w:r>
      <w:proofErr w:type="spellStart"/>
      <w:r w:rsidRPr="001939AC">
        <w:t>ceftazidime</w:t>
      </w:r>
      <w:proofErr w:type="spellEnd"/>
      <w:r w:rsidRPr="001939AC">
        <w:t xml:space="preserve">/avibactam on fertility in humans </w:t>
      </w:r>
      <w:proofErr w:type="gramStart"/>
      <w:r w:rsidRPr="001939AC">
        <w:t>have not been studied</w:t>
      </w:r>
      <w:proofErr w:type="gramEnd"/>
      <w:r w:rsidRPr="001939AC">
        <w:t xml:space="preserve">. No data are available on animal studies with </w:t>
      </w:r>
      <w:proofErr w:type="spellStart"/>
      <w:r w:rsidRPr="001939AC">
        <w:t>ceftazidime</w:t>
      </w:r>
      <w:proofErr w:type="spellEnd"/>
      <w:r w:rsidRPr="001939AC">
        <w:t xml:space="preserve">. Animal studies with avibactam do not indicate harmful effects with respect to </w:t>
      </w:r>
      <w:r w:rsidR="00E90EFB">
        <w:t xml:space="preserve">male </w:t>
      </w:r>
      <w:r w:rsidRPr="001939AC">
        <w:t>fertility.</w:t>
      </w:r>
      <w:r w:rsidR="003E1C3B" w:rsidRPr="001939AC">
        <w:t xml:space="preserve"> </w:t>
      </w:r>
      <w:r w:rsidR="00E90EFB" w:rsidRPr="00E90EFB">
        <w:t>S</w:t>
      </w:r>
      <w:r w:rsidR="00E90EFB" w:rsidRPr="005A0597">
        <w:t>tudies in female rats showed a dose-related increase in pre-and post-</w:t>
      </w:r>
      <w:r w:rsidR="001978B8">
        <w:t>implantation</w:t>
      </w:r>
      <w:r w:rsidR="00E90EFB" w:rsidRPr="005A0597">
        <w:t xml:space="preserve"> losses and smaller live litter size at </w:t>
      </w:r>
      <w:r w:rsidR="001978B8">
        <w:sym w:font="Symbol" w:char="F0B3"/>
      </w:r>
      <w:r w:rsidR="00E90EFB" w:rsidRPr="005A0597">
        <w:t>500 mg/kg/day (</w:t>
      </w:r>
      <w:r w:rsidR="001978B8">
        <w:sym w:font="Symbol" w:char="F0B3"/>
      </w:r>
      <w:r w:rsidR="002E0F46" w:rsidRPr="005A0597">
        <w:t>3</w:t>
      </w:r>
      <w:r w:rsidR="00E90EFB" w:rsidRPr="005A0597">
        <w:t xml:space="preserve"> times the human therapeutic exposure at 500 mg </w:t>
      </w:r>
      <w:r w:rsidR="004E2F41" w:rsidRPr="005A0597">
        <w:t xml:space="preserve">three times </w:t>
      </w:r>
      <w:r w:rsidR="004E2F41" w:rsidRPr="00EB387C">
        <w:t>a day</w:t>
      </w:r>
      <w:r w:rsidR="0031219E">
        <w:t>, based on AUC).</w:t>
      </w:r>
    </w:p>
    <w:p w:rsidR="00112E5B" w:rsidRPr="00667EAA" w:rsidRDefault="00C744C4" w:rsidP="005B4B20">
      <w:pPr>
        <w:pStyle w:val="CLDHeading3"/>
      </w:pPr>
      <w:r w:rsidRPr="00EB387C">
        <w:t xml:space="preserve">Use in </w:t>
      </w:r>
      <w:r w:rsidR="00D76741" w:rsidRPr="00EB387C">
        <w:t>p</w:t>
      </w:r>
      <w:r w:rsidR="00D76741" w:rsidRPr="00F73E2D">
        <w:t xml:space="preserve">regnancy </w:t>
      </w:r>
      <w:r w:rsidR="001C7580" w:rsidRPr="00F73E2D">
        <w:t xml:space="preserve">- Pregnancy Category </w:t>
      </w:r>
      <w:r w:rsidR="00E90EFB" w:rsidRPr="00F73E2D">
        <w:t>B3</w:t>
      </w:r>
      <w:r w:rsidR="001C7580" w:rsidRPr="00F73E2D">
        <w:t>.</w:t>
      </w:r>
    </w:p>
    <w:p w:rsidR="00D43FE9" w:rsidRPr="00667EAA" w:rsidRDefault="0031219E" w:rsidP="00D43FE9">
      <w:pPr>
        <w:pStyle w:val="CLDHeading4"/>
      </w:pPr>
      <w:proofErr w:type="spellStart"/>
      <w:r>
        <w:t>Ceftazidime</w:t>
      </w:r>
      <w:proofErr w:type="spellEnd"/>
    </w:p>
    <w:p w:rsidR="009A3BDF" w:rsidRPr="002E7FAF" w:rsidRDefault="00D43FE9" w:rsidP="00D43FE9">
      <w:pPr>
        <w:pStyle w:val="CLDNormal"/>
      </w:pPr>
      <w:r w:rsidRPr="00667EAA">
        <w:t xml:space="preserve">The safety of </w:t>
      </w:r>
      <w:proofErr w:type="spellStart"/>
      <w:r w:rsidRPr="00667EAA">
        <w:t>ceftazidime</w:t>
      </w:r>
      <w:proofErr w:type="spellEnd"/>
      <w:r w:rsidRPr="00667EAA">
        <w:t xml:space="preserve"> in pregnancy </w:t>
      </w:r>
      <w:proofErr w:type="gramStart"/>
      <w:r w:rsidRPr="00667EAA">
        <w:t>has not been established</w:t>
      </w:r>
      <w:proofErr w:type="gramEnd"/>
      <w:r w:rsidRPr="00667EAA">
        <w:t xml:space="preserve">, although animal studies have not produced evidence of </w:t>
      </w:r>
      <w:proofErr w:type="spellStart"/>
      <w:r w:rsidRPr="00667EAA">
        <w:t>embryopathic</w:t>
      </w:r>
      <w:proofErr w:type="spellEnd"/>
      <w:r w:rsidRPr="00667EAA">
        <w:t xml:space="preserve"> or teratogenic effec</w:t>
      </w:r>
      <w:r w:rsidR="0031219E">
        <w:t xml:space="preserve">ts attributable to </w:t>
      </w:r>
      <w:proofErr w:type="spellStart"/>
      <w:r w:rsidR="0031219E">
        <w:t>ceftazidime</w:t>
      </w:r>
      <w:proofErr w:type="spellEnd"/>
      <w:r w:rsidR="0031219E">
        <w:t>.</w:t>
      </w:r>
    </w:p>
    <w:p w:rsidR="00D43FE9" w:rsidRPr="002456FE" w:rsidRDefault="00D43FE9" w:rsidP="00B93E76">
      <w:pPr>
        <w:pStyle w:val="CLDHeading4"/>
      </w:pPr>
      <w:r w:rsidRPr="002456FE">
        <w:lastRenderedPageBreak/>
        <w:t xml:space="preserve">Avibactam (Pregnancy </w:t>
      </w:r>
      <w:r w:rsidR="004521F3" w:rsidRPr="002456FE">
        <w:t>C</w:t>
      </w:r>
      <w:r w:rsidR="00AB357F">
        <w:t>ategory B3)</w:t>
      </w:r>
    </w:p>
    <w:p w:rsidR="00B93E76" w:rsidRPr="008C29FE" w:rsidRDefault="00D43FE9" w:rsidP="00B93E76">
      <w:pPr>
        <w:pStyle w:val="CLDNormal"/>
      </w:pPr>
      <w:r w:rsidRPr="000C5A6C">
        <w:t>Animal studies with avibactam have shown reproductive toxicity without evidence of teratog</w:t>
      </w:r>
      <w:r w:rsidR="0031219E">
        <w:t>enic effects.</w:t>
      </w:r>
    </w:p>
    <w:p w:rsidR="0022233A" w:rsidRPr="005A0597" w:rsidRDefault="0022233A" w:rsidP="00B93E76">
      <w:pPr>
        <w:pStyle w:val="CLDNormal"/>
      </w:pPr>
      <w:r w:rsidRPr="00D07510">
        <w:t>In pregnant rabbits administered avibactam at 300 and 1000 mg/kg/day</w:t>
      </w:r>
      <w:r w:rsidR="00D43FE9" w:rsidRPr="00D07510">
        <w:t xml:space="preserve"> (</w:t>
      </w:r>
      <w:r w:rsidR="002657C8" w:rsidRPr="005A0597">
        <w:t xml:space="preserve">5-21 </w:t>
      </w:r>
      <w:r w:rsidR="00D43FE9" w:rsidRPr="005A0597">
        <w:t>times the human therapeutic exposure based on AUC)</w:t>
      </w:r>
      <w:r w:rsidRPr="005A0597">
        <w:t xml:space="preserve">, there was a dose-related lower mean </w:t>
      </w:r>
      <w:proofErr w:type="spellStart"/>
      <w:r w:rsidRPr="005A0597">
        <w:t>fetal</w:t>
      </w:r>
      <w:proofErr w:type="spellEnd"/>
      <w:r w:rsidRPr="005A0597">
        <w:t xml:space="preserve"> weight and delayed ossification, </w:t>
      </w:r>
      <w:r w:rsidR="004521F3" w:rsidRPr="00EB387C">
        <w:t xml:space="preserve">associated with </w:t>
      </w:r>
      <w:r w:rsidRPr="00EB387C">
        <w:t>maternal toxicity</w:t>
      </w:r>
      <w:r w:rsidR="00D43FE9" w:rsidRPr="00F73E2D">
        <w:t xml:space="preserve"> (decreased food consumption and body weight gain). Plasma exposure levels at maternal and </w:t>
      </w:r>
      <w:proofErr w:type="spellStart"/>
      <w:r w:rsidR="00D43FE9" w:rsidRPr="00F73E2D">
        <w:t>fetal</w:t>
      </w:r>
      <w:proofErr w:type="spellEnd"/>
      <w:r w:rsidR="00D43FE9" w:rsidRPr="00F73E2D">
        <w:t xml:space="preserve"> NOAEL (100</w:t>
      </w:r>
      <w:r w:rsidR="004521F3" w:rsidRPr="00F73E2D">
        <w:t> </w:t>
      </w:r>
      <w:r w:rsidR="00D43FE9" w:rsidRPr="00F73E2D">
        <w:t xml:space="preserve">mg/kg/day) indicate low margins of safety </w:t>
      </w:r>
      <w:r w:rsidR="00D43FE9" w:rsidRPr="00667EAA">
        <w:t>(</w:t>
      </w:r>
      <w:r w:rsidR="002657C8" w:rsidRPr="005A0597">
        <w:t>1.5</w:t>
      </w:r>
      <w:r w:rsidR="00982EA9" w:rsidRPr="005A0597">
        <w:t xml:space="preserve"> </w:t>
      </w:r>
      <w:r w:rsidR="00D43FE9" w:rsidRPr="005A0597">
        <w:t>times the human therapeutic exposure based on AUC)</w:t>
      </w:r>
      <w:r w:rsidR="007F4266">
        <w:t>.</w:t>
      </w:r>
    </w:p>
    <w:p w:rsidR="009A3BDF" w:rsidRPr="00367176" w:rsidRDefault="00465E05" w:rsidP="009A3BDF">
      <w:pPr>
        <w:pStyle w:val="CLDNormal"/>
      </w:pPr>
      <w:r w:rsidRPr="005A0597">
        <w:t xml:space="preserve">In the rat, no adverse effects </w:t>
      </w:r>
      <w:proofErr w:type="gramStart"/>
      <w:r w:rsidRPr="005A0597">
        <w:t>were observed</w:t>
      </w:r>
      <w:proofErr w:type="gramEnd"/>
      <w:r w:rsidRPr="005A0597">
        <w:t xml:space="preserve"> on </w:t>
      </w:r>
      <w:proofErr w:type="spellStart"/>
      <w:r w:rsidRPr="005A0597">
        <w:t>embryofetal</w:t>
      </w:r>
      <w:proofErr w:type="spellEnd"/>
      <w:r w:rsidRPr="005A0597">
        <w:t xml:space="preserve"> development </w:t>
      </w:r>
      <w:r w:rsidR="00E90EFB" w:rsidRPr="005A0597">
        <w:t>at up to 1000</w:t>
      </w:r>
      <w:r w:rsidR="004521F3" w:rsidRPr="005A0597">
        <w:t> </w:t>
      </w:r>
      <w:r w:rsidR="00E90EFB" w:rsidRPr="00EB387C">
        <w:t>mg/kg/day (</w:t>
      </w:r>
      <w:r w:rsidR="002657C8" w:rsidRPr="005A0597">
        <w:t>6</w:t>
      </w:r>
      <w:r w:rsidR="00982EA9" w:rsidRPr="005A0597">
        <w:t xml:space="preserve"> </w:t>
      </w:r>
      <w:r w:rsidR="00E90EFB" w:rsidRPr="005A0597">
        <w:t>times the human therapeutic exposure based on AUC)</w:t>
      </w:r>
      <w:r w:rsidRPr="005A0597">
        <w:t xml:space="preserve">. </w:t>
      </w:r>
      <w:proofErr w:type="gramStart"/>
      <w:r w:rsidRPr="005A0597">
        <w:t>Following administration of avibactam throughout pregnancy and lactation in the rat, there was n</w:t>
      </w:r>
      <w:r w:rsidRPr="00D43FE9">
        <w:t xml:space="preserve">o effect on pup survival, growth or development, however there was an increase in incidence of dilation of the renal pelvis and ureters in less than 10% of the rat pups at maternal exposures </w:t>
      </w:r>
      <w:r w:rsidR="009A66B0">
        <w:sym w:font="Symbol" w:char="F0B3"/>
      </w:r>
      <w:r w:rsidR="008B6D07" w:rsidRPr="008B6D07">
        <w:t xml:space="preserve"> </w:t>
      </w:r>
      <w:r w:rsidR="008B6D07" w:rsidRPr="005A0597">
        <w:t>450</w:t>
      </w:r>
      <w:r w:rsidR="004521F3" w:rsidRPr="005A0597">
        <w:t> </w:t>
      </w:r>
      <w:r w:rsidR="008B6D07" w:rsidRPr="005A0597">
        <w:t>mg/kg/day (</w:t>
      </w:r>
      <w:r w:rsidRPr="00EB387C">
        <w:t xml:space="preserve">greater than or equal to approximately </w:t>
      </w:r>
      <w:r w:rsidR="002657C8" w:rsidRPr="005A0597">
        <w:t>3</w:t>
      </w:r>
      <w:r w:rsidRPr="005A0597">
        <w:t xml:space="preserve"> times </w:t>
      </w:r>
      <w:r w:rsidR="004521F3" w:rsidRPr="005A0597">
        <w:t xml:space="preserve">the </w:t>
      </w:r>
      <w:r w:rsidRPr="005A0597">
        <w:t>human therapeutic exposures</w:t>
      </w:r>
      <w:r w:rsidR="008B6D07" w:rsidRPr="005A0597">
        <w:t xml:space="preserve"> </w:t>
      </w:r>
      <w:r w:rsidR="008B6D07" w:rsidRPr="00EB387C">
        <w:t>based on AUC</w:t>
      </w:r>
      <w:r w:rsidR="00B90733" w:rsidRPr="00EB387C">
        <w:t>)</w:t>
      </w:r>
      <w:r w:rsidRPr="00EB387C">
        <w:t>.</w:t>
      </w:r>
      <w:proofErr w:type="gramEnd"/>
      <w:r w:rsidRPr="00D43FE9">
        <w:t xml:space="preserve"> </w:t>
      </w:r>
      <w:proofErr w:type="spellStart"/>
      <w:r w:rsidR="009A3BDF" w:rsidRPr="001939AC">
        <w:t>Ceftazidime</w:t>
      </w:r>
      <w:proofErr w:type="spellEnd"/>
      <w:r w:rsidR="009A3BDF" w:rsidRPr="001939AC">
        <w:t xml:space="preserve">/avibactam </w:t>
      </w:r>
      <w:proofErr w:type="gramStart"/>
      <w:r w:rsidR="009A3BDF" w:rsidRPr="001939AC">
        <w:t>should only be used</w:t>
      </w:r>
      <w:proofErr w:type="gramEnd"/>
      <w:r w:rsidR="009A3BDF" w:rsidRPr="001939AC">
        <w:t xml:space="preserve"> during pregnancy if the potential benef</w:t>
      </w:r>
      <w:r w:rsidR="007F4266">
        <w:t>it outweighs the possible risk.</w:t>
      </w:r>
    </w:p>
    <w:p w:rsidR="00EC2C85" w:rsidRPr="001939AC" w:rsidRDefault="00703F7B" w:rsidP="005B4B20">
      <w:pPr>
        <w:pStyle w:val="CLDHeading3"/>
      </w:pPr>
      <w:r>
        <w:t xml:space="preserve">Use in </w:t>
      </w:r>
      <w:r w:rsidR="00D76741">
        <w:t>l</w:t>
      </w:r>
      <w:r w:rsidR="00D76741" w:rsidRPr="001939AC">
        <w:t>actation</w:t>
      </w:r>
    </w:p>
    <w:p w:rsidR="00E90EFB" w:rsidRDefault="009A3BDF" w:rsidP="009A3BDF">
      <w:pPr>
        <w:pStyle w:val="CLDNormal"/>
        <w:rPr>
          <w:szCs w:val="22"/>
        </w:rPr>
      </w:pPr>
      <w:proofErr w:type="spellStart"/>
      <w:r w:rsidRPr="001939AC">
        <w:rPr>
          <w:szCs w:val="22"/>
        </w:rPr>
        <w:t>Ceftazidime</w:t>
      </w:r>
      <w:proofErr w:type="spellEnd"/>
      <w:r w:rsidRPr="001939AC">
        <w:rPr>
          <w:szCs w:val="22"/>
        </w:rPr>
        <w:t xml:space="preserve"> </w:t>
      </w:r>
      <w:proofErr w:type="gramStart"/>
      <w:r w:rsidRPr="001939AC">
        <w:rPr>
          <w:szCs w:val="22"/>
        </w:rPr>
        <w:t>is excreted</w:t>
      </w:r>
      <w:proofErr w:type="gramEnd"/>
      <w:r w:rsidRPr="001939AC">
        <w:rPr>
          <w:szCs w:val="22"/>
        </w:rPr>
        <w:t xml:space="preserve"> in human milk in small quantities.</w:t>
      </w:r>
    </w:p>
    <w:p w:rsidR="00E90EFB" w:rsidRPr="004521F3" w:rsidRDefault="009A3BDF" w:rsidP="004521F3">
      <w:pPr>
        <w:pStyle w:val="CLDNormal"/>
      </w:pPr>
      <w:r w:rsidRPr="004521F3">
        <w:t xml:space="preserve">It is unknown whether avibactam </w:t>
      </w:r>
      <w:proofErr w:type="gramStart"/>
      <w:r w:rsidRPr="004521F3">
        <w:t>is excreted</w:t>
      </w:r>
      <w:proofErr w:type="gramEnd"/>
      <w:r w:rsidRPr="004521F3">
        <w:t xml:space="preserve"> in human milk. </w:t>
      </w:r>
      <w:r w:rsidR="00E90EFB" w:rsidRPr="004521F3">
        <w:t xml:space="preserve">Avibactam was excreted in rat milk (~20% of plasma </w:t>
      </w:r>
      <w:proofErr w:type="spellStart"/>
      <w:r w:rsidR="00E90EFB" w:rsidRPr="004521F3">
        <w:t>C</w:t>
      </w:r>
      <w:r w:rsidR="00E90EFB" w:rsidRPr="004521F3">
        <w:rPr>
          <w:vertAlign w:val="subscript"/>
        </w:rPr>
        <w:t>max</w:t>
      </w:r>
      <w:proofErr w:type="spellEnd"/>
      <w:r w:rsidR="00E90EFB" w:rsidRPr="004521F3">
        <w:t xml:space="preserve">), and very low levels were detected in pup plasma (&lt;0.03% of </w:t>
      </w:r>
      <w:r w:rsidR="004712D8">
        <w:t xml:space="preserve">nonclinical </w:t>
      </w:r>
      <w:r w:rsidR="00E90EFB" w:rsidRPr="004521F3">
        <w:t xml:space="preserve">maternal plasma </w:t>
      </w:r>
      <w:proofErr w:type="spellStart"/>
      <w:r w:rsidR="00E90EFB" w:rsidRPr="004521F3">
        <w:t>C</w:t>
      </w:r>
      <w:r w:rsidR="00E90EFB" w:rsidRPr="004521F3">
        <w:rPr>
          <w:vertAlign w:val="subscript"/>
        </w:rPr>
        <w:t>max</w:t>
      </w:r>
      <w:proofErr w:type="spellEnd"/>
      <w:r w:rsidR="00E90EFB" w:rsidRPr="004521F3">
        <w:t xml:space="preserve">) </w:t>
      </w:r>
      <w:proofErr w:type="gramStart"/>
      <w:r w:rsidR="00E90EFB" w:rsidRPr="004521F3">
        <w:t>as a result</w:t>
      </w:r>
      <w:proofErr w:type="gramEnd"/>
      <w:r w:rsidR="00E90EFB" w:rsidRPr="004521F3">
        <w:t xml:space="preserve"> of exposure from milk.</w:t>
      </w:r>
    </w:p>
    <w:p w:rsidR="0028377D" w:rsidRPr="0028377D" w:rsidRDefault="009A3BDF" w:rsidP="00EE7859">
      <w:pPr>
        <w:pStyle w:val="CLDNormal"/>
      </w:pPr>
      <w:r w:rsidRPr="0028377D">
        <w:t xml:space="preserve">A risk to </w:t>
      </w:r>
      <w:proofErr w:type="spellStart"/>
      <w:r w:rsidRPr="0028377D">
        <w:t>newborns</w:t>
      </w:r>
      <w:proofErr w:type="spellEnd"/>
      <w:r w:rsidRPr="0028377D">
        <w:t xml:space="preserve">/infants </w:t>
      </w:r>
      <w:proofErr w:type="gramStart"/>
      <w:r w:rsidRPr="0028377D">
        <w:t>cannot be excluded</w:t>
      </w:r>
      <w:proofErr w:type="gramEnd"/>
      <w:r w:rsidRPr="0028377D">
        <w:t xml:space="preserve">. A decision must be made whether to discontinue </w:t>
      </w:r>
      <w:proofErr w:type="gramStart"/>
      <w:r w:rsidRPr="0028377D">
        <w:t>breast feeding</w:t>
      </w:r>
      <w:proofErr w:type="gramEnd"/>
      <w:r w:rsidRPr="0028377D">
        <w:t xml:space="preserve"> or to discontinue/abstain from </w:t>
      </w:r>
      <w:proofErr w:type="spellStart"/>
      <w:r w:rsidRPr="0028377D">
        <w:t>ceftazidime</w:t>
      </w:r>
      <w:proofErr w:type="spellEnd"/>
      <w:r w:rsidRPr="0028377D">
        <w:t>/avibactam therapy taking into account the benefit of</w:t>
      </w:r>
      <w:r w:rsidRPr="00EE7859">
        <w:t xml:space="preserve"> breast feeding for the child and the benefit of therapy for the woman.</w:t>
      </w:r>
    </w:p>
    <w:p w:rsidR="001C7580" w:rsidRPr="00BE7A75" w:rsidRDefault="001C7580" w:rsidP="005B4B20">
      <w:pPr>
        <w:pStyle w:val="CLDHeading2"/>
      </w:pPr>
      <w:r>
        <w:t>4.7</w:t>
      </w:r>
      <w:r>
        <w:tab/>
        <w:t xml:space="preserve">Effects on ability to drive and use </w:t>
      </w:r>
      <w:r w:rsidR="00C13C1A">
        <w:t>machines</w:t>
      </w:r>
    </w:p>
    <w:p w:rsidR="009A3BDF" w:rsidRPr="005A0597" w:rsidRDefault="009A3BDF" w:rsidP="005A0597">
      <w:pPr>
        <w:pStyle w:val="CLDNormal"/>
      </w:pPr>
      <w:r w:rsidRPr="001939AC">
        <w:t>Undesirable effects may occur (</w:t>
      </w:r>
      <w:r w:rsidR="001F06A7">
        <w:t>e.g.,</w:t>
      </w:r>
      <w:r w:rsidRPr="001939AC">
        <w:t xml:space="preserve"> dizziness), which may influence the ability to drive and use machines following administration of </w:t>
      </w:r>
      <w:proofErr w:type="spellStart"/>
      <w:r w:rsidRPr="001939AC">
        <w:t>Zavicefta</w:t>
      </w:r>
      <w:proofErr w:type="spellEnd"/>
      <w:r w:rsidRPr="001939AC">
        <w:t xml:space="preserve"> (see section 4.8</w:t>
      </w:r>
      <w:r w:rsidR="00BA2345">
        <w:t xml:space="preserve"> Adverse effects (undesirable effects)</w:t>
      </w:r>
      <w:r w:rsidRPr="001939AC">
        <w:t>).</w:t>
      </w:r>
    </w:p>
    <w:p w:rsidR="0062454C" w:rsidRPr="001939AC" w:rsidRDefault="002F6F96" w:rsidP="005B4B20">
      <w:pPr>
        <w:pStyle w:val="CLDHeading2"/>
      </w:pPr>
      <w:r w:rsidRPr="001939AC">
        <w:t>4.8</w:t>
      </w:r>
      <w:r w:rsidR="009A3BDF" w:rsidRPr="001939AC">
        <w:t xml:space="preserve"> </w:t>
      </w:r>
      <w:r w:rsidR="001F06A7">
        <w:t xml:space="preserve">Adverse </w:t>
      </w:r>
      <w:r w:rsidR="00D76741">
        <w:t>ef</w:t>
      </w:r>
      <w:r w:rsidR="00500267">
        <w:t>f</w:t>
      </w:r>
      <w:r w:rsidR="00D76741">
        <w:t xml:space="preserve">ects </w:t>
      </w:r>
      <w:r w:rsidR="001F06A7">
        <w:t>(</w:t>
      </w:r>
      <w:r w:rsidR="00D76741">
        <w:t>u</w:t>
      </w:r>
      <w:r w:rsidR="00D76741" w:rsidRPr="001939AC">
        <w:t xml:space="preserve">ndesirable </w:t>
      </w:r>
      <w:r w:rsidR="00112E5B" w:rsidRPr="001939AC">
        <w:t>e</w:t>
      </w:r>
      <w:r w:rsidR="0062454C" w:rsidRPr="001939AC">
        <w:t>ffects</w:t>
      </w:r>
      <w:r w:rsidR="001F06A7">
        <w:t>)</w:t>
      </w:r>
    </w:p>
    <w:p w:rsidR="00A66AEA" w:rsidRPr="00367176" w:rsidRDefault="009A3BDF" w:rsidP="00A66AEA">
      <w:pPr>
        <w:pStyle w:val="CLDNormal"/>
      </w:pPr>
      <w:r w:rsidRPr="00986046">
        <w:rPr>
          <w:szCs w:val="24"/>
        </w:rPr>
        <w:t>In seven Phase 2 and Phase 3 clinical trials,</w:t>
      </w:r>
      <w:r w:rsidRPr="00986046">
        <w:rPr>
          <w:i/>
          <w:iCs/>
          <w:szCs w:val="24"/>
        </w:rPr>
        <w:t xml:space="preserve"> </w:t>
      </w:r>
      <w:r w:rsidRPr="00986046">
        <w:rPr>
          <w:iCs/>
          <w:szCs w:val="24"/>
        </w:rPr>
        <w:t>2024</w:t>
      </w:r>
      <w:r w:rsidRPr="00986046">
        <w:rPr>
          <w:szCs w:val="24"/>
        </w:rPr>
        <w:t xml:space="preserve"> adult patients </w:t>
      </w:r>
      <w:proofErr w:type="gramStart"/>
      <w:r w:rsidRPr="00986046">
        <w:rPr>
          <w:szCs w:val="24"/>
        </w:rPr>
        <w:t>were treated</w:t>
      </w:r>
      <w:proofErr w:type="gramEnd"/>
      <w:r w:rsidRPr="00986046">
        <w:rPr>
          <w:szCs w:val="24"/>
        </w:rPr>
        <w:t xml:space="preserve"> with </w:t>
      </w:r>
      <w:proofErr w:type="spellStart"/>
      <w:r w:rsidRPr="00986046">
        <w:rPr>
          <w:szCs w:val="24"/>
        </w:rPr>
        <w:t>Zavicefta</w:t>
      </w:r>
      <w:proofErr w:type="spellEnd"/>
      <w:r w:rsidRPr="00986046">
        <w:rPr>
          <w:szCs w:val="24"/>
        </w:rPr>
        <w:t xml:space="preserve">. </w:t>
      </w:r>
      <w:r w:rsidR="00A66AEA" w:rsidRPr="00A74C24">
        <w:t xml:space="preserve">The table below lists the adverse events (regardless of causality) occurring in </w:t>
      </w:r>
      <w:r w:rsidR="009A66B0">
        <w:sym w:font="Symbol" w:char="F0B3"/>
      </w:r>
      <w:r w:rsidR="00A66AEA" w:rsidRPr="00A74C24">
        <w:t xml:space="preserve">1% of patients treated with </w:t>
      </w:r>
      <w:proofErr w:type="spellStart"/>
      <w:r w:rsidR="00DB7AA8">
        <w:t>Zavicefta</w:t>
      </w:r>
      <w:proofErr w:type="spellEnd"/>
      <w:r w:rsidR="00A66AEA" w:rsidRPr="00A74C24">
        <w:t xml:space="preserve"> with or without </w:t>
      </w:r>
      <w:r w:rsidR="00A66AEA" w:rsidRPr="00A74C24">
        <w:rPr>
          <w:rFonts w:eastAsia="TimesNewRoman"/>
        </w:rPr>
        <w:t>metronidazole</w:t>
      </w:r>
      <w:r w:rsidR="00A66AEA">
        <w:rPr>
          <w:rFonts w:eastAsia="TimesNewRoman"/>
        </w:rPr>
        <w:t xml:space="preserve"> or comparator</w:t>
      </w:r>
      <w:r w:rsidR="00A66AEA" w:rsidRPr="00A74C24">
        <w:rPr>
          <w:rFonts w:eastAsia="TimesNewRoman"/>
        </w:rPr>
        <w:t xml:space="preserve"> from Phase 2 and Phase 3 clinical trials</w:t>
      </w:r>
      <w:r w:rsidR="00A66AEA" w:rsidRPr="00A74C24">
        <w:t>.</w:t>
      </w:r>
    </w:p>
    <w:p w:rsidR="00E00276" w:rsidRPr="00A57A8B" w:rsidRDefault="00501C00" w:rsidP="002E7FAF">
      <w:pPr>
        <w:pStyle w:val="CLDTableTitle"/>
      </w:pPr>
      <w:bookmarkStart w:id="2" w:name="_Toc1479073"/>
      <w:r>
        <w:lastRenderedPageBreak/>
        <w:t xml:space="preserve">Table </w:t>
      </w:r>
      <w:r>
        <w:fldChar w:fldCharType="begin"/>
      </w:r>
      <w:r>
        <w:instrText xml:space="preserve"> SEQ Table \* ARABIC </w:instrText>
      </w:r>
      <w:r>
        <w:fldChar w:fldCharType="separate"/>
      </w:r>
      <w:r w:rsidR="00B44B34">
        <w:rPr>
          <w:noProof/>
        </w:rPr>
        <w:t>3</w:t>
      </w:r>
      <w:r>
        <w:fldChar w:fldCharType="end"/>
      </w:r>
      <w:r>
        <w:t xml:space="preserve">: </w:t>
      </w:r>
      <w:r w:rsidRPr="00C30680">
        <w:t xml:space="preserve">Adverse </w:t>
      </w:r>
      <w:r w:rsidR="00D76741">
        <w:t>e</w:t>
      </w:r>
      <w:r w:rsidR="00D76741" w:rsidRPr="00C30680">
        <w:t xml:space="preserve">vents </w:t>
      </w:r>
      <w:r w:rsidRPr="00C30680">
        <w:t xml:space="preserve">(regardless of causality) reported by </w:t>
      </w:r>
      <w:r w:rsidR="00A710B1">
        <w:sym w:font="Symbol" w:char="F0B3"/>
      </w:r>
      <w:r w:rsidRPr="00C30680">
        <w:t>1% patients up to the last visit</w:t>
      </w:r>
      <w:bookmarkEnd w:id="2"/>
    </w:p>
    <w:tbl>
      <w:tblPr>
        <w:tblStyle w:val="TableGrid"/>
        <w:tblW w:w="0" w:type="auto"/>
        <w:tblLook w:val="04A0" w:firstRow="1" w:lastRow="0" w:firstColumn="1" w:lastColumn="0" w:noHBand="0" w:noVBand="1"/>
      </w:tblPr>
      <w:tblGrid>
        <w:gridCol w:w="2943"/>
        <w:gridCol w:w="3544"/>
        <w:gridCol w:w="1985"/>
      </w:tblGrid>
      <w:tr w:rsidR="002E7FAF" w:rsidRPr="002E7FAF" w:rsidTr="00E125D9">
        <w:trPr>
          <w:tblHeader/>
        </w:trPr>
        <w:tc>
          <w:tcPr>
            <w:tcW w:w="2943" w:type="dxa"/>
          </w:tcPr>
          <w:p w:rsidR="00E00276" w:rsidRPr="002E7FAF" w:rsidRDefault="00E00276" w:rsidP="002E7FAF">
            <w:pPr>
              <w:pStyle w:val="CLDTableSpaceListSpace"/>
              <w:rPr>
                <w:b/>
                <w:bCs/>
                <w:sz w:val="22"/>
              </w:rPr>
            </w:pPr>
          </w:p>
        </w:tc>
        <w:tc>
          <w:tcPr>
            <w:tcW w:w="3544" w:type="dxa"/>
          </w:tcPr>
          <w:p w:rsidR="00E00276" w:rsidRPr="002E7FAF" w:rsidRDefault="00E00276" w:rsidP="002E7FAF">
            <w:pPr>
              <w:pStyle w:val="CLDTableSpaceListSpace"/>
              <w:rPr>
                <w:b/>
                <w:bCs/>
                <w:sz w:val="22"/>
                <w:lang w:val="fr-BE"/>
              </w:rPr>
            </w:pPr>
            <w:r w:rsidRPr="002E7FAF">
              <w:rPr>
                <w:b/>
                <w:bCs/>
                <w:sz w:val="22"/>
                <w:lang w:val="fr-BE"/>
              </w:rPr>
              <w:t>CAZ</w:t>
            </w:r>
            <w:r w:rsidR="00E125D9" w:rsidRPr="002E7FAF">
              <w:rPr>
                <w:b/>
                <w:bCs/>
                <w:sz w:val="22"/>
                <w:lang w:val="fr-BE"/>
              </w:rPr>
              <w:t>-</w:t>
            </w:r>
            <w:r w:rsidRPr="002E7FAF">
              <w:rPr>
                <w:b/>
                <w:bCs/>
                <w:sz w:val="22"/>
                <w:lang w:val="fr-BE"/>
              </w:rPr>
              <w:t>AVI or CAZ</w:t>
            </w:r>
            <w:r w:rsidR="00E125D9" w:rsidRPr="002E7FAF">
              <w:rPr>
                <w:b/>
                <w:bCs/>
                <w:sz w:val="22"/>
                <w:lang w:val="fr-BE"/>
              </w:rPr>
              <w:t>-</w:t>
            </w:r>
            <w:r w:rsidRPr="002E7FAF">
              <w:rPr>
                <w:b/>
                <w:bCs/>
                <w:sz w:val="22"/>
                <w:lang w:val="fr-BE"/>
              </w:rPr>
              <w:t>AVI+MTZ (N = 2024)</w:t>
            </w:r>
          </w:p>
        </w:tc>
        <w:tc>
          <w:tcPr>
            <w:tcW w:w="1985" w:type="dxa"/>
          </w:tcPr>
          <w:p w:rsidR="00E00276" w:rsidRPr="002E7FAF" w:rsidRDefault="00E00276" w:rsidP="002E7FAF">
            <w:pPr>
              <w:pStyle w:val="CLDTableSpaceListSpace"/>
              <w:rPr>
                <w:b/>
                <w:bCs/>
                <w:sz w:val="22"/>
              </w:rPr>
            </w:pPr>
            <w:r w:rsidRPr="002E7FAF">
              <w:rPr>
                <w:b/>
                <w:bCs/>
                <w:sz w:val="22"/>
              </w:rPr>
              <w:t>Comparator (N=2026)</w:t>
            </w:r>
          </w:p>
        </w:tc>
      </w:tr>
      <w:tr w:rsidR="00E00276" w:rsidRPr="00E00276" w:rsidTr="00E125D9">
        <w:tc>
          <w:tcPr>
            <w:tcW w:w="2943" w:type="dxa"/>
          </w:tcPr>
          <w:p w:rsidR="00E00276" w:rsidRPr="002E7FAF" w:rsidRDefault="00E00276" w:rsidP="002D450A">
            <w:pPr>
              <w:pStyle w:val="CLDTableSpaceListSpace"/>
              <w:spacing w:before="20" w:after="60"/>
              <w:rPr>
                <w:b/>
                <w:sz w:val="22"/>
                <w:szCs w:val="22"/>
              </w:rPr>
            </w:pPr>
            <w:r w:rsidRPr="002E7FAF">
              <w:rPr>
                <w:b/>
                <w:sz w:val="22"/>
                <w:szCs w:val="22"/>
              </w:rPr>
              <w:t>Any AE</w:t>
            </w:r>
          </w:p>
        </w:tc>
        <w:tc>
          <w:tcPr>
            <w:tcW w:w="3544" w:type="dxa"/>
          </w:tcPr>
          <w:p w:rsidR="00E00276" w:rsidRPr="002E7FAF" w:rsidRDefault="00E00276" w:rsidP="002D450A">
            <w:pPr>
              <w:pStyle w:val="CLDTableSpaceListSpace"/>
              <w:spacing w:before="20" w:after="60"/>
              <w:rPr>
                <w:b/>
                <w:sz w:val="22"/>
                <w:szCs w:val="22"/>
              </w:rPr>
            </w:pPr>
            <w:r w:rsidRPr="002E7FAF">
              <w:rPr>
                <w:b/>
                <w:sz w:val="22"/>
                <w:szCs w:val="22"/>
                <w:lang w:val="en-US"/>
              </w:rPr>
              <w:t xml:space="preserve">996 (49.2) </w:t>
            </w:r>
          </w:p>
        </w:tc>
        <w:tc>
          <w:tcPr>
            <w:tcW w:w="1985" w:type="dxa"/>
          </w:tcPr>
          <w:p w:rsidR="00E00276" w:rsidRPr="002E7FAF" w:rsidRDefault="00E00276" w:rsidP="002D450A">
            <w:pPr>
              <w:pStyle w:val="CLDTableSpaceListSpace"/>
              <w:spacing w:before="20" w:after="60"/>
              <w:rPr>
                <w:b/>
                <w:sz w:val="22"/>
                <w:szCs w:val="22"/>
              </w:rPr>
            </w:pPr>
            <w:r w:rsidRPr="002E7FAF">
              <w:rPr>
                <w:b/>
                <w:sz w:val="22"/>
                <w:szCs w:val="22"/>
                <w:lang w:val="en-US"/>
              </w:rPr>
              <w:t>965 (47.6)</w:t>
            </w:r>
          </w:p>
        </w:tc>
      </w:tr>
      <w:tr w:rsidR="00E00276" w:rsidRPr="00E00276" w:rsidTr="00E00276">
        <w:tc>
          <w:tcPr>
            <w:tcW w:w="8472" w:type="dxa"/>
            <w:gridSpan w:val="3"/>
          </w:tcPr>
          <w:p w:rsidR="00E00276" w:rsidRPr="002E7FAF" w:rsidRDefault="00E00276" w:rsidP="002D450A">
            <w:pPr>
              <w:pStyle w:val="CLDTableSpaceListSpace"/>
              <w:spacing w:before="20" w:after="60"/>
              <w:rPr>
                <w:b/>
                <w:bCs/>
                <w:sz w:val="22"/>
                <w:szCs w:val="22"/>
                <w:lang w:val="en-US"/>
              </w:rPr>
            </w:pPr>
            <w:r w:rsidRPr="002E7FAF">
              <w:rPr>
                <w:b/>
                <w:bCs/>
                <w:sz w:val="22"/>
                <w:szCs w:val="22"/>
              </w:rPr>
              <w:t>Infections and Infestations</w:t>
            </w:r>
          </w:p>
        </w:tc>
      </w:tr>
      <w:tr w:rsidR="00E00276" w:rsidRPr="000C7CAA" w:rsidTr="00E125D9">
        <w:tc>
          <w:tcPr>
            <w:tcW w:w="2943" w:type="dxa"/>
          </w:tcPr>
          <w:p w:rsidR="00E00276" w:rsidRPr="002E7FAF" w:rsidRDefault="00E00276" w:rsidP="002D450A">
            <w:pPr>
              <w:pStyle w:val="CLDTableSpaceListSpace"/>
              <w:spacing w:before="20" w:after="60"/>
              <w:rPr>
                <w:sz w:val="22"/>
                <w:szCs w:val="22"/>
              </w:rPr>
            </w:pPr>
            <w:r w:rsidRPr="002E7FAF">
              <w:rPr>
                <w:sz w:val="22"/>
                <w:szCs w:val="22"/>
              </w:rPr>
              <w:t xml:space="preserve">Pneumonia </w:t>
            </w:r>
          </w:p>
        </w:tc>
        <w:tc>
          <w:tcPr>
            <w:tcW w:w="3544" w:type="dxa"/>
          </w:tcPr>
          <w:p w:rsidR="00E00276" w:rsidRPr="002E7FAF" w:rsidRDefault="00E00276" w:rsidP="002D450A">
            <w:pPr>
              <w:pStyle w:val="CLDTableSpaceListSpace"/>
              <w:spacing w:before="20" w:after="60"/>
              <w:rPr>
                <w:sz w:val="22"/>
                <w:szCs w:val="22"/>
              </w:rPr>
            </w:pPr>
            <w:r w:rsidRPr="002E7FAF">
              <w:rPr>
                <w:sz w:val="22"/>
                <w:szCs w:val="22"/>
                <w:lang w:val="en-US"/>
              </w:rPr>
              <w:t xml:space="preserve">21 (1.0) </w:t>
            </w:r>
          </w:p>
        </w:tc>
        <w:tc>
          <w:tcPr>
            <w:tcW w:w="1985" w:type="dxa"/>
          </w:tcPr>
          <w:p w:rsidR="00E00276" w:rsidRPr="002E7FAF" w:rsidRDefault="00E00276" w:rsidP="002D450A">
            <w:pPr>
              <w:pStyle w:val="CLDTableSpaceListSpace"/>
              <w:spacing w:before="20" w:after="60"/>
              <w:rPr>
                <w:sz w:val="22"/>
                <w:szCs w:val="22"/>
              </w:rPr>
            </w:pPr>
            <w:r w:rsidRPr="002E7FAF">
              <w:rPr>
                <w:sz w:val="22"/>
                <w:szCs w:val="22"/>
                <w:lang w:val="en-US"/>
              </w:rPr>
              <w:t>26 (1.3)</w:t>
            </w:r>
          </w:p>
        </w:tc>
      </w:tr>
      <w:tr w:rsidR="00E00276" w:rsidRPr="000C7CAA" w:rsidTr="00E125D9">
        <w:trPr>
          <w:trHeight w:val="413"/>
        </w:trPr>
        <w:tc>
          <w:tcPr>
            <w:tcW w:w="2943" w:type="dxa"/>
          </w:tcPr>
          <w:p w:rsidR="00E00276" w:rsidRPr="002E7FAF" w:rsidRDefault="00E00276" w:rsidP="002D450A">
            <w:pPr>
              <w:pStyle w:val="CLDTableSpaceListSpace"/>
              <w:spacing w:before="20" w:after="60"/>
              <w:rPr>
                <w:sz w:val="22"/>
                <w:szCs w:val="22"/>
              </w:rPr>
            </w:pPr>
            <w:r w:rsidRPr="002E7FAF">
              <w:rPr>
                <w:sz w:val="22"/>
                <w:szCs w:val="22"/>
                <w:lang w:val="en-US"/>
              </w:rPr>
              <w:t>Urinary tract infection</w:t>
            </w:r>
          </w:p>
        </w:tc>
        <w:tc>
          <w:tcPr>
            <w:tcW w:w="3544" w:type="dxa"/>
          </w:tcPr>
          <w:p w:rsidR="00E00276" w:rsidRPr="002E7FAF" w:rsidRDefault="00E00276" w:rsidP="002D450A">
            <w:pPr>
              <w:pStyle w:val="CLDTableSpaceListSpace"/>
              <w:spacing w:before="20" w:after="60"/>
              <w:rPr>
                <w:sz w:val="22"/>
                <w:szCs w:val="22"/>
              </w:rPr>
            </w:pPr>
            <w:r w:rsidRPr="002E7FAF">
              <w:rPr>
                <w:sz w:val="22"/>
                <w:szCs w:val="22"/>
                <w:lang w:val="en-US"/>
              </w:rPr>
              <w:t>21 (1.0)</w:t>
            </w:r>
          </w:p>
        </w:tc>
        <w:tc>
          <w:tcPr>
            <w:tcW w:w="1985" w:type="dxa"/>
          </w:tcPr>
          <w:p w:rsidR="00E00276" w:rsidRPr="002E7FAF" w:rsidRDefault="00E00276" w:rsidP="002D450A">
            <w:pPr>
              <w:pStyle w:val="CLDTableSpaceListSpace"/>
              <w:spacing w:before="20" w:after="60"/>
              <w:rPr>
                <w:sz w:val="22"/>
                <w:szCs w:val="22"/>
              </w:rPr>
            </w:pPr>
            <w:r w:rsidRPr="002E7FAF">
              <w:rPr>
                <w:sz w:val="22"/>
                <w:szCs w:val="22"/>
                <w:lang w:val="en-US"/>
              </w:rPr>
              <w:t>23 (1.1)</w:t>
            </w:r>
          </w:p>
        </w:tc>
      </w:tr>
      <w:tr w:rsidR="00E00276" w:rsidRPr="00E00276" w:rsidTr="00E00276">
        <w:tc>
          <w:tcPr>
            <w:tcW w:w="8472" w:type="dxa"/>
            <w:gridSpan w:val="3"/>
          </w:tcPr>
          <w:p w:rsidR="00E00276" w:rsidRPr="002E7FAF" w:rsidRDefault="00E00276" w:rsidP="002D450A">
            <w:pPr>
              <w:pStyle w:val="CLDTableSpaceListSpace"/>
              <w:spacing w:before="20" w:after="60"/>
              <w:rPr>
                <w:b/>
                <w:bCs/>
                <w:sz w:val="22"/>
                <w:szCs w:val="22"/>
                <w:lang w:val="en-US"/>
              </w:rPr>
            </w:pPr>
            <w:r w:rsidRPr="002E7FAF">
              <w:rPr>
                <w:b/>
                <w:bCs/>
                <w:sz w:val="22"/>
                <w:szCs w:val="22"/>
                <w:lang w:val="en-US"/>
              </w:rPr>
              <w:t>Blood and lymphatic system disorders</w:t>
            </w:r>
          </w:p>
        </w:tc>
      </w:tr>
      <w:tr w:rsidR="00E00276" w:rsidRPr="000C7CAA" w:rsidTr="00E125D9">
        <w:tc>
          <w:tcPr>
            <w:tcW w:w="2943" w:type="dxa"/>
          </w:tcPr>
          <w:p w:rsidR="00E00276" w:rsidRPr="002E7FAF" w:rsidRDefault="00E00276" w:rsidP="002D450A">
            <w:pPr>
              <w:pStyle w:val="CLDTableSpaceListSpace"/>
              <w:spacing w:before="20" w:after="60"/>
              <w:rPr>
                <w:sz w:val="22"/>
                <w:szCs w:val="22"/>
                <w:lang w:val="en-US"/>
              </w:rPr>
            </w:pPr>
            <w:proofErr w:type="spellStart"/>
            <w:r w:rsidRPr="002E7FAF">
              <w:rPr>
                <w:sz w:val="22"/>
                <w:szCs w:val="22"/>
                <w:lang w:val="en-US"/>
              </w:rPr>
              <w:t>Anaemia</w:t>
            </w:r>
            <w:proofErr w:type="spellEnd"/>
          </w:p>
        </w:tc>
        <w:tc>
          <w:tcPr>
            <w:tcW w:w="3544" w:type="dxa"/>
          </w:tcPr>
          <w:p w:rsidR="00E00276" w:rsidRPr="002E7FAF" w:rsidRDefault="00E00276" w:rsidP="002D450A">
            <w:pPr>
              <w:pStyle w:val="CLDTableSpaceListSpace"/>
              <w:spacing w:before="20" w:after="60"/>
              <w:rPr>
                <w:sz w:val="22"/>
                <w:szCs w:val="22"/>
              </w:rPr>
            </w:pPr>
            <w:r w:rsidRPr="002E7FAF">
              <w:rPr>
                <w:sz w:val="22"/>
                <w:szCs w:val="22"/>
                <w:lang w:val="en-US"/>
              </w:rPr>
              <w:t xml:space="preserve">46 (2.3) </w:t>
            </w:r>
          </w:p>
        </w:tc>
        <w:tc>
          <w:tcPr>
            <w:tcW w:w="1985" w:type="dxa"/>
          </w:tcPr>
          <w:p w:rsidR="00E00276" w:rsidRPr="002E7FAF" w:rsidRDefault="00E00276" w:rsidP="002D450A">
            <w:pPr>
              <w:pStyle w:val="CLDTableSpaceListSpace"/>
              <w:spacing w:before="20" w:after="60"/>
              <w:rPr>
                <w:sz w:val="22"/>
                <w:szCs w:val="22"/>
              </w:rPr>
            </w:pPr>
            <w:r w:rsidRPr="002E7FAF">
              <w:rPr>
                <w:sz w:val="22"/>
                <w:szCs w:val="22"/>
                <w:lang w:val="en-US"/>
              </w:rPr>
              <w:t>38 (1.9)</w:t>
            </w:r>
          </w:p>
        </w:tc>
      </w:tr>
      <w:tr w:rsidR="00E00276" w:rsidRPr="00E00276" w:rsidTr="00E00276">
        <w:tc>
          <w:tcPr>
            <w:tcW w:w="8472" w:type="dxa"/>
            <w:gridSpan w:val="3"/>
          </w:tcPr>
          <w:p w:rsidR="00E00276" w:rsidRPr="002E7FAF" w:rsidRDefault="00E00276" w:rsidP="002D450A">
            <w:pPr>
              <w:pStyle w:val="CLDTableSpaceListSpace"/>
              <w:spacing w:before="20" w:after="60"/>
              <w:rPr>
                <w:b/>
                <w:bCs/>
                <w:sz w:val="22"/>
                <w:szCs w:val="22"/>
                <w:lang w:val="en-US"/>
              </w:rPr>
            </w:pPr>
            <w:r w:rsidRPr="002E7FAF">
              <w:rPr>
                <w:b/>
                <w:bCs/>
                <w:sz w:val="22"/>
                <w:szCs w:val="22"/>
                <w:lang w:val="en-US"/>
              </w:rPr>
              <w:t>Metabolism and nutrition disorders</w:t>
            </w:r>
          </w:p>
        </w:tc>
      </w:tr>
      <w:tr w:rsidR="00E00276" w:rsidRPr="000C7CAA" w:rsidTr="00E125D9">
        <w:tc>
          <w:tcPr>
            <w:tcW w:w="2943" w:type="dxa"/>
          </w:tcPr>
          <w:p w:rsidR="00E00276" w:rsidRPr="002E7FAF" w:rsidRDefault="00E00276" w:rsidP="002D450A">
            <w:pPr>
              <w:pStyle w:val="CLDTableSpaceListSpace"/>
              <w:spacing w:before="20" w:after="60"/>
              <w:rPr>
                <w:sz w:val="22"/>
                <w:szCs w:val="22"/>
                <w:lang w:val="en-US"/>
              </w:rPr>
            </w:pPr>
            <w:proofErr w:type="spellStart"/>
            <w:r w:rsidRPr="002E7FAF">
              <w:rPr>
                <w:sz w:val="22"/>
                <w:szCs w:val="22"/>
                <w:lang w:val="en-US"/>
              </w:rPr>
              <w:t>Hypokal</w:t>
            </w:r>
            <w:r w:rsidR="00567E81" w:rsidRPr="002E7FAF">
              <w:rPr>
                <w:sz w:val="22"/>
                <w:szCs w:val="22"/>
                <w:lang w:val="en-US"/>
              </w:rPr>
              <w:t>a</w:t>
            </w:r>
            <w:r w:rsidRPr="002E7FAF">
              <w:rPr>
                <w:sz w:val="22"/>
                <w:szCs w:val="22"/>
                <w:lang w:val="en-US"/>
              </w:rPr>
              <w:t>emia</w:t>
            </w:r>
            <w:proofErr w:type="spellEnd"/>
            <w:r w:rsidRPr="002E7FAF">
              <w:rPr>
                <w:sz w:val="22"/>
                <w:szCs w:val="22"/>
                <w:lang w:val="en-US"/>
              </w:rPr>
              <w:t xml:space="preserve"> </w:t>
            </w:r>
          </w:p>
        </w:tc>
        <w:tc>
          <w:tcPr>
            <w:tcW w:w="3544" w:type="dxa"/>
          </w:tcPr>
          <w:p w:rsidR="00E00276" w:rsidRPr="002E7FAF" w:rsidRDefault="00E00276" w:rsidP="002D450A">
            <w:pPr>
              <w:pStyle w:val="CLDTableSpaceListSpace"/>
              <w:spacing w:before="20" w:after="60"/>
              <w:rPr>
                <w:sz w:val="22"/>
                <w:szCs w:val="22"/>
                <w:lang w:val="en-US"/>
              </w:rPr>
            </w:pPr>
            <w:r w:rsidRPr="002E7FAF">
              <w:rPr>
                <w:sz w:val="22"/>
                <w:szCs w:val="22"/>
                <w:lang w:val="en-US"/>
              </w:rPr>
              <w:t>57 (2.8)</w:t>
            </w:r>
          </w:p>
        </w:tc>
        <w:tc>
          <w:tcPr>
            <w:tcW w:w="1985" w:type="dxa"/>
          </w:tcPr>
          <w:p w:rsidR="00E00276" w:rsidRPr="002E7FAF" w:rsidRDefault="00E00276" w:rsidP="002D450A">
            <w:pPr>
              <w:pStyle w:val="CLDTableSpaceListSpace"/>
              <w:spacing w:before="20" w:after="60"/>
              <w:rPr>
                <w:sz w:val="22"/>
                <w:szCs w:val="22"/>
                <w:lang w:val="en-US"/>
              </w:rPr>
            </w:pPr>
            <w:r w:rsidRPr="002E7FAF">
              <w:rPr>
                <w:sz w:val="22"/>
                <w:szCs w:val="22"/>
                <w:lang w:val="en-US"/>
              </w:rPr>
              <w:t>45(2.2)</w:t>
            </w:r>
          </w:p>
        </w:tc>
      </w:tr>
      <w:tr w:rsidR="00E00276" w:rsidRPr="00E00276" w:rsidTr="00E00276">
        <w:tc>
          <w:tcPr>
            <w:tcW w:w="8472" w:type="dxa"/>
            <w:gridSpan w:val="3"/>
          </w:tcPr>
          <w:p w:rsidR="00E00276" w:rsidRPr="002E7FAF" w:rsidRDefault="00E00276" w:rsidP="002D450A">
            <w:pPr>
              <w:pStyle w:val="CLDTableSpaceListSpace"/>
              <w:spacing w:before="20" w:after="60"/>
              <w:rPr>
                <w:b/>
                <w:bCs/>
                <w:sz w:val="22"/>
                <w:szCs w:val="22"/>
                <w:lang w:val="en-US"/>
              </w:rPr>
            </w:pPr>
            <w:r w:rsidRPr="002E7FAF">
              <w:rPr>
                <w:b/>
                <w:bCs/>
                <w:sz w:val="22"/>
                <w:szCs w:val="22"/>
                <w:lang w:val="en-US"/>
              </w:rPr>
              <w:t>Psychiatric disorders</w:t>
            </w:r>
          </w:p>
        </w:tc>
      </w:tr>
      <w:tr w:rsidR="00E00276" w:rsidRPr="000C7CAA" w:rsidTr="00E125D9">
        <w:tc>
          <w:tcPr>
            <w:tcW w:w="2943" w:type="dxa"/>
          </w:tcPr>
          <w:p w:rsidR="00E00276" w:rsidRPr="002E7FAF" w:rsidRDefault="00E00276" w:rsidP="002D450A">
            <w:pPr>
              <w:pStyle w:val="CLDTableSpaceListSpace"/>
              <w:spacing w:before="20" w:after="60"/>
              <w:rPr>
                <w:sz w:val="22"/>
                <w:szCs w:val="22"/>
                <w:lang w:val="en-US"/>
              </w:rPr>
            </w:pPr>
            <w:r w:rsidRPr="002E7FAF">
              <w:rPr>
                <w:sz w:val="22"/>
                <w:szCs w:val="22"/>
                <w:lang w:val="en-US"/>
              </w:rPr>
              <w:t>Anxiety</w:t>
            </w:r>
          </w:p>
        </w:tc>
        <w:tc>
          <w:tcPr>
            <w:tcW w:w="3544" w:type="dxa"/>
          </w:tcPr>
          <w:p w:rsidR="00E00276" w:rsidRPr="002E7FAF" w:rsidRDefault="00E00276" w:rsidP="002D450A">
            <w:pPr>
              <w:pStyle w:val="CLDTableSpaceListSpace"/>
              <w:spacing w:before="20" w:after="60"/>
              <w:rPr>
                <w:sz w:val="22"/>
                <w:szCs w:val="22"/>
              </w:rPr>
            </w:pPr>
            <w:r w:rsidRPr="002E7FAF">
              <w:rPr>
                <w:sz w:val="22"/>
                <w:szCs w:val="22"/>
                <w:lang w:val="en-US"/>
              </w:rPr>
              <w:t xml:space="preserve">23 (1.1) </w:t>
            </w:r>
          </w:p>
        </w:tc>
        <w:tc>
          <w:tcPr>
            <w:tcW w:w="1985" w:type="dxa"/>
          </w:tcPr>
          <w:p w:rsidR="00E00276" w:rsidRPr="002E7FAF" w:rsidRDefault="00E00276" w:rsidP="002D450A">
            <w:pPr>
              <w:pStyle w:val="CLDTableSpaceListSpace"/>
              <w:spacing w:before="20" w:after="60"/>
              <w:rPr>
                <w:sz w:val="22"/>
                <w:szCs w:val="22"/>
              </w:rPr>
            </w:pPr>
            <w:r w:rsidRPr="002E7FAF">
              <w:rPr>
                <w:sz w:val="22"/>
                <w:szCs w:val="22"/>
                <w:lang w:val="en-US"/>
              </w:rPr>
              <w:t>18 (0.9)</w:t>
            </w:r>
          </w:p>
        </w:tc>
      </w:tr>
      <w:tr w:rsidR="00E00276" w:rsidRPr="000C7CAA" w:rsidTr="00E125D9">
        <w:tc>
          <w:tcPr>
            <w:tcW w:w="2943" w:type="dxa"/>
          </w:tcPr>
          <w:p w:rsidR="00E00276" w:rsidRPr="002E7FAF" w:rsidRDefault="00E00276" w:rsidP="002D450A">
            <w:pPr>
              <w:pStyle w:val="CLDTableSpaceListSpace"/>
              <w:spacing w:before="20" w:after="60"/>
              <w:rPr>
                <w:sz w:val="22"/>
                <w:szCs w:val="22"/>
                <w:lang w:val="en-US"/>
              </w:rPr>
            </w:pPr>
            <w:r w:rsidRPr="002E7FAF">
              <w:rPr>
                <w:sz w:val="22"/>
                <w:szCs w:val="22"/>
                <w:lang w:val="en-US"/>
              </w:rPr>
              <w:t>Insomnia</w:t>
            </w:r>
          </w:p>
        </w:tc>
        <w:tc>
          <w:tcPr>
            <w:tcW w:w="3544" w:type="dxa"/>
          </w:tcPr>
          <w:p w:rsidR="00E00276" w:rsidRPr="002E7FAF" w:rsidRDefault="00E00276" w:rsidP="002D450A">
            <w:pPr>
              <w:pStyle w:val="CLDTableSpaceListSpace"/>
              <w:spacing w:before="20" w:after="60"/>
              <w:rPr>
                <w:sz w:val="22"/>
                <w:szCs w:val="22"/>
                <w:lang w:val="en-US"/>
              </w:rPr>
            </w:pPr>
            <w:r w:rsidRPr="002E7FAF">
              <w:rPr>
                <w:sz w:val="22"/>
                <w:szCs w:val="22"/>
                <w:lang w:val="en-US"/>
              </w:rPr>
              <w:t>25 (1.2)</w:t>
            </w:r>
          </w:p>
        </w:tc>
        <w:tc>
          <w:tcPr>
            <w:tcW w:w="1985" w:type="dxa"/>
          </w:tcPr>
          <w:p w:rsidR="00E00276" w:rsidRPr="002E7FAF" w:rsidRDefault="00E00276" w:rsidP="002D450A">
            <w:pPr>
              <w:pStyle w:val="CLDTableSpaceListSpace"/>
              <w:spacing w:before="20" w:after="60"/>
              <w:rPr>
                <w:sz w:val="22"/>
                <w:szCs w:val="22"/>
                <w:lang w:val="en-US"/>
              </w:rPr>
            </w:pPr>
            <w:r w:rsidRPr="002E7FAF">
              <w:rPr>
                <w:sz w:val="22"/>
                <w:szCs w:val="22"/>
                <w:lang w:val="en-US"/>
              </w:rPr>
              <w:t>35 (1.7)</w:t>
            </w:r>
          </w:p>
        </w:tc>
      </w:tr>
      <w:tr w:rsidR="00E00276" w:rsidRPr="00E00276" w:rsidTr="00E00276">
        <w:tc>
          <w:tcPr>
            <w:tcW w:w="8472" w:type="dxa"/>
            <w:gridSpan w:val="3"/>
          </w:tcPr>
          <w:p w:rsidR="00E00276" w:rsidRPr="002E7FAF" w:rsidRDefault="00E00276" w:rsidP="002D450A">
            <w:pPr>
              <w:pStyle w:val="CLDTableSpaceListSpace"/>
              <w:spacing w:before="20" w:after="60"/>
              <w:rPr>
                <w:b/>
                <w:bCs/>
                <w:sz w:val="22"/>
                <w:szCs w:val="22"/>
                <w:lang w:val="en-US"/>
              </w:rPr>
            </w:pPr>
            <w:r w:rsidRPr="002E7FAF">
              <w:rPr>
                <w:b/>
                <w:bCs/>
                <w:sz w:val="22"/>
                <w:szCs w:val="22"/>
                <w:lang w:val="en-US"/>
              </w:rPr>
              <w:t xml:space="preserve">Nervous systems disorders </w:t>
            </w:r>
          </w:p>
        </w:tc>
      </w:tr>
      <w:tr w:rsidR="00E00276" w:rsidRPr="000C7CAA" w:rsidTr="00E125D9">
        <w:tc>
          <w:tcPr>
            <w:tcW w:w="2943" w:type="dxa"/>
          </w:tcPr>
          <w:p w:rsidR="00E00276" w:rsidRPr="002E7FAF" w:rsidRDefault="00E00276" w:rsidP="002D450A">
            <w:pPr>
              <w:pStyle w:val="CLDTableSpaceListSpace"/>
              <w:spacing w:before="20" w:after="60"/>
              <w:rPr>
                <w:sz w:val="22"/>
                <w:szCs w:val="22"/>
                <w:lang w:val="en-US"/>
              </w:rPr>
            </w:pPr>
            <w:r w:rsidRPr="002E7FAF">
              <w:rPr>
                <w:sz w:val="22"/>
                <w:szCs w:val="22"/>
                <w:lang w:val="en-US"/>
              </w:rPr>
              <w:t>Headache</w:t>
            </w:r>
          </w:p>
        </w:tc>
        <w:tc>
          <w:tcPr>
            <w:tcW w:w="3544" w:type="dxa"/>
          </w:tcPr>
          <w:p w:rsidR="00E00276" w:rsidRPr="002E7FAF" w:rsidRDefault="00E00276" w:rsidP="002D450A">
            <w:pPr>
              <w:pStyle w:val="CLDTableSpaceListSpace"/>
              <w:spacing w:before="20" w:after="60"/>
              <w:rPr>
                <w:sz w:val="22"/>
                <w:szCs w:val="22"/>
              </w:rPr>
            </w:pPr>
            <w:r w:rsidRPr="002E7FAF">
              <w:rPr>
                <w:sz w:val="22"/>
                <w:szCs w:val="22"/>
                <w:lang w:val="en-US"/>
              </w:rPr>
              <w:t xml:space="preserve">83 (4.1) </w:t>
            </w:r>
          </w:p>
        </w:tc>
        <w:tc>
          <w:tcPr>
            <w:tcW w:w="1985" w:type="dxa"/>
          </w:tcPr>
          <w:p w:rsidR="00E00276" w:rsidRPr="002E7FAF" w:rsidRDefault="00E00276" w:rsidP="002D450A">
            <w:pPr>
              <w:pStyle w:val="CLDTableSpaceListSpace"/>
              <w:spacing w:before="20" w:after="60"/>
              <w:rPr>
                <w:sz w:val="22"/>
                <w:szCs w:val="22"/>
              </w:rPr>
            </w:pPr>
            <w:r w:rsidRPr="002E7FAF">
              <w:rPr>
                <w:sz w:val="22"/>
                <w:szCs w:val="22"/>
                <w:lang w:val="en-US"/>
              </w:rPr>
              <w:t>97 (4.8)</w:t>
            </w:r>
          </w:p>
        </w:tc>
      </w:tr>
      <w:tr w:rsidR="00E00276" w:rsidRPr="000C7CAA" w:rsidTr="00E125D9">
        <w:tc>
          <w:tcPr>
            <w:tcW w:w="2943" w:type="dxa"/>
          </w:tcPr>
          <w:p w:rsidR="00E00276" w:rsidRPr="002E7FAF" w:rsidRDefault="00E00276" w:rsidP="002D450A">
            <w:pPr>
              <w:pStyle w:val="CLDTableSpaceListSpace"/>
              <w:spacing w:before="20" w:after="60"/>
              <w:rPr>
                <w:sz w:val="22"/>
                <w:szCs w:val="22"/>
                <w:lang w:val="en-US"/>
              </w:rPr>
            </w:pPr>
            <w:r w:rsidRPr="002E7FAF">
              <w:rPr>
                <w:sz w:val="22"/>
                <w:szCs w:val="22"/>
                <w:lang w:val="en-US"/>
              </w:rPr>
              <w:t>Dizziness</w:t>
            </w:r>
          </w:p>
        </w:tc>
        <w:tc>
          <w:tcPr>
            <w:tcW w:w="3544" w:type="dxa"/>
          </w:tcPr>
          <w:p w:rsidR="00E00276" w:rsidRPr="002E7FAF" w:rsidRDefault="00E00276" w:rsidP="002D450A">
            <w:pPr>
              <w:pStyle w:val="CLDTableSpaceListSpace"/>
              <w:spacing w:before="20" w:after="60"/>
              <w:rPr>
                <w:sz w:val="22"/>
                <w:szCs w:val="22"/>
              </w:rPr>
            </w:pPr>
            <w:r w:rsidRPr="002E7FAF">
              <w:rPr>
                <w:sz w:val="22"/>
                <w:szCs w:val="22"/>
                <w:lang w:val="en-US"/>
              </w:rPr>
              <w:t xml:space="preserve">21 (1.0) </w:t>
            </w:r>
          </w:p>
        </w:tc>
        <w:tc>
          <w:tcPr>
            <w:tcW w:w="1985" w:type="dxa"/>
          </w:tcPr>
          <w:p w:rsidR="00E00276" w:rsidRPr="002E7FAF" w:rsidRDefault="00E00276" w:rsidP="002D450A">
            <w:pPr>
              <w:pStyle w:val="CLDTableSpaceListSpace"/>
              <w:spacing w:before="20" w:after="60"/>
              <w:rPr>
                <w:sz w:val="22"/>
                <w:szCs w:val="22"/>
              </w:rPr>
            </w:pPr>
            <w:r w:rsidRPr="002E7FAF">
              <w:rPr>
                <w:sz w:val="22"/>
                <w:szCs w:val="22"/>
                <w:lang w:val="en-US"/>
              </w:rPr>
              <w:t>14 (0.7)</w:t>
            </w:r>
          </w:p>
        </w:tc>
      </w:tr>
      <w:tr w:rsidR="00E00276" w:rsidRPr="00E00276" w:rsidTr="00E00276">
        <w:tc>
          <w:tcPr>
            <w:tcW w:w="8472" w:type="dxa"/>
            <w:gridSpan w:val="3"/>
          </w:tcPr>
          <w:p w:rsidR="00E00276" w:rsidRPr="002E7FAF" w:rsidRDefault="00E00276" w:rsidP="002D450A">
            <w:pPr>
              <w:pStyle w:val="CLDTableSpaceListSpace"/>
              <w:spacing w:before="20" w:after="60"/>
              <w:rPr>
                <w:b/>
                <w:bCs/>
                <w:sz w:val="22"/>
                <w:szCs w:val="22"/>
                <w:lang w:val="en-US"/>
              </w:rPr>
            </w:pPr>
            <w:r w:rsidRPr="002E7FAF">
              <w:rPr>
                <w:b/>
                <w:bCs/>
                <w:sz w:val="22"/>
                <w:szCs w:val="22"/>
                <w:lang w:val="en-US"/>
              </w:rPr>
              <w:t>Cardiac disorders</w:t>
            </w:r>
          </w:p>
        </w:tc>
      </w:tr>
      <w:tr w:rsidR="00E00276" w:rsidRPr="000C7CAA" w:rsidTr="00E125D9">
        <w:tc>
          <w:tcPr>
            <w:tcW w:w="2943" w:type="dxa"/>
          </w:tcPr>
          <w:p w:rsidR="00E00276" w:rsidRPr="002E7FAF" w:rsidRDefault="00E00276" w:rsidP="002D450A">
            <w:pPr>
              <w:pStyle w:val="CLDTableSpaceListSpace"/>
              <w:spacing w:before="20" w:after="60"/>
              <w:rPr>
                <w:sz w:val="22"/>
                <w:szCs w:val="22"/>
                <w:lang w:val="en-US"/>
              </w:rPr>
            </w:pPr>
            <w:r w:rsidRPr="002E7FAF">
              <w:rPr>
                <w:sz w:val="22"/>
                <w:szCs w:val="22"/>
                <w:lang w:val="en-US"/>
              </w:rPr>
              <w:t xml:space="preserve">Tachycardia </w:t>
            </w:r>
          </w:p>
        </w:tc>
        <w:tc>
          <w:tcPr>
            <w:tcW w:w="3544" w:type="dxa"/>
          </w:tcPr>
          <w:p w:rsidR="00E00276" w:rsidRPr="002E7FAF" w:rsidRDefault="00E00276" w:rsidP="002D450A">
            <w:pPr>
              <w:pStyle w:val="CLDTableSpaceListSpace"/>
              <w:spacing w:before="20" w:after="60"/>
              <w:rPr>
                <w:sz w:val="22"/>
                <w:szCs w:val="22"/>
                <w:lang w:val="en-US"/>
              </w:rPr>
            </w:pPr>
            <w:r w:rsidRPr="002E7FAF">
              <w:rPr>
                <w:sz w:val="22"/>
                <w:szCs w:val="22"/>
                <w:lang w:val="en-US"/>
              </w:rPr>
              <w:t xml:space="preserve">20 (1.0) </w:t>
            </w:r>
          </w:p>
        </w:tc>
        <w:tc>
          <w:tcPr>
            <w:tcW w:w="1985" w:type="dxa"/>
          </w:tcPr>
          <w:p w:rsidR="00E00276" w:rsidRPr="002E7FAF" w:rsidRDefault="00E00276" w:rsidP="002D450A">
            <w:pPr>
              <w:pStyle w:val="CLDTableSpaceListSpace"/>
              <w:spacing w:before="20" w:after="60"/>
              <w:rPr>
                <w:sz w:val="22"/>
                <w:szCs w:val="22"/>
                <w:lang w:val="en-US"/>
              </w:rPr>
            </w:pPr>
            <w:r w:rsidRPr="002E7FAF">
              <w:rPr>
                <w:sz w:val="22"/>
                <w:szCs w:val="22"/>
                <w:lang w:val="en-US"/>
              </w:rPr>
              <w:t>13 (0.6)</w:t>
            </w:r>
          </w:p>
        </w:tc>
      </w:tr>
      <w:tr w:rsidR="00E00276" w:rsidRPr="00E00276" w:rsidTr="00E00276">
        <w:tc>
          <w:tcPr>
            <w:tcW w:w="8472" w:type="dxa"/>
            <w:gridSpan w:val="3"/>
          </w:tcPr>
          <w:p w:rsidR="00E00276" w:rsidRPr="002E7FAF" w:rsidRDefault="00E00276" w:rsidP="002D450A">
            <w:pPr>
              <w:pStyle w:val="CLDTableSpaceListSpace"/>
              <w:spacing w:before="20" w:after="60"/>
              <w:rPr>
                <w:b/>
                <w:bCs/>
                <w:sz w:val="22"/>
                <w:szCs w:val="22"/>
                <w:lang w:val="en-US"/>
              </w:rPr>
            </w:pPr>
            <w:r w:rsidRPr="002E7FAF">
              <w:rPr>
                <w:b/>
                <w:bCs/>
                <w:sz w:val="22"/>
                <w:szCs w:val="22"/>
                <w:lang w:val="en-US"/>
              </w:rPr>
              <w:t>Vascular disorders</w:t>
            </w:r>
          </w:p>
        </w:tc>
      </w:tr>
      <w:tr w:rsidR="00E00276" w:rsidRPr="000C7CAA" w:rsidTr="00E125D9">
        <w:tc>
          <w:tcPr>
            <w:tcW w:w="2943" w:type="dxa"/>
          </w:tcPr>
          <w:p w:rsidR="00E00276" w:rsidRPr="002E7FAF" w:rsidRDefault="00E00276" w:rsidP="002D450A">
            <w:pPr>
              <w:pStyle w:val="CLDTableSpaceListSpace"/>
              <w:spacing w:before="20" w:after="60"/>
              <w:rPr>
                <w:sz w:val="22"/>
                <w:szCs w:val="22"/>
                <w:lang w:val="en-US"/>
              </w:rPr>
            </w:pPr>
            <w:r w:rsidRPr="002E7FAF">
              <w:rPr>
                <w:sz w:val="22"/>
                <w:szCs w:val="22"/>
                <w:lang w:val="en-US"/>
              </w:rPr>
              <w:t>Hypotension</w:t>
            </w:r>
          </w:p>
        </w:tc>
        <w:tc>
          <w:tcPr>
            <w:tcW w:w="3544" w:type="dxa"/>
          </w:tcPr>
          <w:p w:rsidR="00E00276" w:rsidRPr="002E7FAF" w:rsidRDefault="00E00276" w:rsidP="002D450A">
            <w:pPr>
              <w:pStyle w:val="CLDTableSpaceListSpace"/>
              <w:spacing w:before="20" w:after="60"/>
              <w:rPr>
                <w:sz w:val="22"/>
                <w:szCs w:val="22"/>
                <w:lang w:val="en-US"/>
              </w:rPr>
            </w:pPr>
            <w:r w:rsidRPr="002E7FAF">
              <w:rPr>
                <w:sz w:val="22"/>
                <w:szCs w:val="22"/>
                <w:lang w:val="en-US"/>
              </w:rPr>
              <w:t>26 (1.3)</w:t>
            </w:r>
          </w:p>
        </w:tc>
        <w:tc>
          <w:tcPr>
            <w:tcW w:w="1985" w:type="dxa"/>
          </w:tcPr>
          <w:p w:rsidR="00E00276" w:rsidRPr="002E7FAF" w:rsidRDefault="00E00276" w:rsidP="002D450A">
            <w:pPr>
              <w:pStyle w:val="CLDTableSpaceListSpace"/>
              <w:spacing w:before="20" w:after="60"/>
              <w:rPr>
                <w:sz w:val="22"/>
                <w:szCs w:val="22"/>
                <w:lang w:val="en-US"/>
              </w:rPr>
            </w:pPr>
            <w:r w:rsidRPr="002E7FAF">
              <w:rPr>
                <w:sz w:val="22"/>
                <w:szCs w:val="22"/>
                <w:lang w:val="en-US"/>
              </w:rPr>
              <w:t>25 (1.2)</w:t>
            </w:r>
          </w:p>
        </w:tc>
      </w:tr>
      <w:tr w:rsidR="00E00276" w:rsidRPr="000C7CAA" w:rsidTr="00E125D9">
        <w:tc>
          <w:tcPr>
            <w:tcW w:w="2943" w:type="dxa"/>
          </w:tcPr>
          <w:p w:rsidR="00E00276" w:rsidRPr="002E7FAF" w:rsidRDefault="00E00276" w:rsidP="002D450A">
            <w:pPr>
              <w:pStyle w:val="CLDTableSpaceListSpace"/>
              <w:spacing w:before="20" w:after="60"/>
              <w:rPr>
                <w:sz w:val="22"/>
                <w:szCs w:val="22"/>
                <w:lang w:val="en-US"/>
              </w:rPr>
            </w:pPr>
            <w:r w:rsidRPr="002E7FAF">
              <w:rPr>
                <w:sz w:val="22"/>
                <w:szCs w:val="22"/>
                <w:lang w:val="en-US"/>
              </w:rPr>
              <w:t>Hypertension</w:t>
            </w:r>
          </w:p>
        </w:tc>
        <w:tc>
          <w:tcPr>
            <w:tcW w:w="3544" w:type="dxa"/>
          </w:tcPr>
          <w:p w:rsidR="00E00276" w:rsidRPr="002E7FAF" w:rsidRDefault="00E00276" w:rsidP="002D450A">
            <w:pPr>
              <w:pStyle w:val="CLDTableSpaceListSpace"/>
              <w:spacing w:before="20" w:after="60"/>
              <w:rPr>
                <w:sz w:val="22"/>
                <w:szCs w:val="22"/>
              </w:rPr>
            </w:pPr>
            <w:r w:rsidRPr="002E7FAF">
              <w:rPr>
                <w:sz w:val="22"/>
                <w:szCs w:val="22"/>
                <w:lang w:val="en-US"/>
              </w:rPr>
              <w:t xml:space="preserve">47 (2.3) </w:t>
            </w:r>
          </w:p>
        </w:tc>
        <w:tc>
          <w:tcPr>
            <w:tcW w:w="1985" w:type="dxa"/>
          </w:tcPr>
          <w:p w:rsidR="00E00276" w:rsidRPr="002E7FAF" w:rsidRDefault="00E00276" w:rsidP="002D450A">
            <w:pPr>
              <w:pStyle w:val="CLDTableSpaceListSpace"/>
              <w:spacing w:before="20" w:after="60"/>
              <w:rPr>
                <w:sz w:val="22"/>
                <w:szCs w:val="22"/>
              </w:rPr>
            </w:pPr>
            <w:r w:rsidRPr="002E7FAF">
              <w:rPr>
                <w:sz w:val="22"/>
                <w:szCs w:val="22"/>
                <w:lang w:val="en-US"/>
              </w:rPr>
              <w:t>56 (2.8)</w:t>
            </w:r>
          </w:p>
        </w:tc>
      </w:tr>
      <w:tr w:rsidR="00E00276" w:rsidRPr="00E00276" w:rsidTr="00E00276">
        <w:tc>
          <w:tcPr>
            <w:tcW w:w="8472" w:type="dxa"/>
            <w:gridSpan w:val="3"/>
          </w:tcPr>
          <w:p w:rsidR="00E00276" w:rsidRPr="002E7FAF" w:rsidRDefault="00E00276" w:rsidP="002D450A">
            <w:pPr>
              <w:pStyle w:val="CLDTableSpaceListSpace"/>
              <w:spacing w:before="20" w:after="60"/>
              <w:rPr>
                <w:b/>
                <w:bCs/>
                <w:sz w:val="22"/>
                <w:szCs w:val="22"/>
                <w:lang w:val="en-US"/>
              </w:rPr>
            </w:pPr>
            <w:r w:rsidRPr="002E7FAF">
              <w:rPr>
                <w:b/>
                <w:bCs/>
                <w:sz w:val="22"/>
                <w:szCs w:val="22"/>
                <w:lang w:val="en-US"/>
              </w:rPr>
              <w:t>Respiratory, thoracic and mediastinal disorders</w:t>
            </w:r>
          </w:p>
        </w:tc>
      </w:tr>
      <w:tr w:rsidR="00E00276" w:rsidRPr="000C7CAA" w:rsidTr="00E125D9">
        <w:tc>
          <w:tcPr>
            <w:tcW w:w="2943" w:type="dxa"/>
          </w:tcPr>
          <w:p w:rsidR="00E00276" w:rsidRPr="002E7FAF" w:rsidRDefault="005128DE" w:rsidP="002D450A">
            <w:pPr>
              <w:pStyle w:val="CLDTableSpaceListSpace"/>
              <w:spacing w:before="20" w:after="60"/>
              <w:rPr>
                <w:sz w:val="22"/>
                <w:szCs w:val="22"/>
                <w:lang w:val="en-US"/>
              </w:rPr>
            </w:pPr>
            <w:r>
              <w:rPr>
                <w:sz w:val="22"/>
                <w:szCs w:val="22"/>
                <w:lang w:val="en-US"/>
              </w:rPr>
              <w:t>Pleural</w:t>
            </w:r>
            <w:r w:rsidR="00E00276" w:rsidRPr="002E7FAF">
              <w:rPr>
                <w:sz w:val="22"/>
                <w:szCs w:val="22"/>
                <w:lang w:val="en-US"/>
              </w:rPr>
              <w:t xml:space="preserve"> effusion</w:t>
            </w:r>
          </w:p>
        </w:tc>
        <w:tc>
          <w:tcPr>
            <w:tcW w:w="3544" w:type="dxa"/>
          </w:tcPr>
          <w:p w:rsidR="00E00276" w:rsidRPr="002E7FAF" w:rsidRDefault="00E00276" w:rsidP="002D450A">
            <w:pPr>
              <w:pStyle w:val="CLDTableSpaceListSpace"/>
              <w:spacing w:before="20" w:after="60"/>
              <w:rPr>
                <w:sz w:val="22"/>
                <w:szCs w:val="22"/>
                <w:lang w:val="en-US"/>
              </w:rPr>
            </w:pPr>
            <w:r w:rsidRPr="002E7FAF">
              <w:rPr>
                <w:sz w:val="22"/>
                <w:szCs w:val="22"/>
                <w:lang w:val="en-US"/>
              </w:rPr>
              <w:t>20 (1.0)</w:t>
            </w:r>
          </w:p>
        </w:tc>
        <w:tc>
          <w:tcPr>
            <w:tcW w:w="1985" w:type="dxa"/>
          </w:tcPr>
          <w:p w:rsidR="00E00276" w:rsidRPr="002E7FAF" w:rsidRDefault="00E00276" w:rsidP="002D450A">
            <w:pPr>
              <w:pStyle w:val="CLDTableSpaceListSpace"/>
              <w:spacing w:before="20" w:after="60"/>
              <w:rPr>
                <w:sz w:val="22"/>
                <w:szCs w:val="22"/>
                <w:lang w:val="en-US"/>
              </w:rPr>
            </w:pPr>
            <w:r w:rsidRPr="002E7FAF">
              <w:rPr>
                <w:sz w:val="22"/>
                <w:szCs w:val="22"/>
                <w:lang w:val="en-US"/>
              </w:rPr>
              <w:t>18 (0.9)</w:t>
            </w:r>
          </w:p>
        </w:tc>
      </w:tr>
      <w:tr w:rsidR="00E00276" w:rsidRPr="000C7CAA" w:rsidTr="00E125D9">
        <w:tc>
          <w:tcPr>
            <w:tcW w:w="2943" w:type="dxa"/>
          </w:tcPr>
          <w:p w:rsidR="00E00276" w:rsidRPr="002E7FAF" w:rsidRDefault="00E00276" w:rsidP="002D450A">
            <w:pPr>
              <w:pStyle w:val="CLDTableSpaceListSpace"/>
              <w:spacing w:before="20" w:after="60"/>
              <w:rPr>
                <w:sz w:val="22"/>
                <w:szCs w:val="22"/>
                <w:lang w:val="en-US"/>
              </w:rPr>
            </w:pPr>
            <w:proofErr w:type="spellStart"/>
            <w:r w:rsidRPr="002E7FAF">
              <w:rPr>
                <w:sz w:val="22"/>
                <w:szCs w:val="22"/>
                <w:lang w:val="en-US"/>
              </w:rPr>
              <w:t>Dyspnoea</w:t>
            </w:r>
            <w:proofErr w:type="spellEnd"/>
          </w:p>
        </w:tc>
        <w:tc>
          <w:tcPr>
            <w:tcW w:w="3544" w:type="dxa"/>
          </w:tcPr>
          <w:p w:rsidR="00E00276" w:rsidRPr="002E7FAF" w:rsidRDefault="00E00276" w:rsidP="002D450A">
            <w:pPr>
              <w:pStyle w:val="CLDTableSpaceListSpace"/>
              <w:spacing w:before="20" w:after="60"/>
              <w:rPr>
                <w:sz w:val="22"/>
                <w:szCs w:val="22"/>
                <w:lang w:val="en-US"/>
              </w:rPr>
            </w:pPr>
            <w:r w:rsidRPr="002E7FAF">
              <w:rPr>
                <w:sz w:val="22"/>
                <w:szCs w:val="22"/>
                <w:lang w:val="en-US"/>
              </w:rPr>
              <w:t>20 (1.0)</w:t>
            </w:r>
          </w:p>
        </w:tc>
        <w:tc>
          <w:tcPr>
            <w:tcW w:w="1985" w:type="dxa"/>
          </w:tcPr>
          <w:p w:rsidR="00E00276" w:rsidRPr="002E7FAF" w:rsidRDefault="00E00276" w:rsidP="002D450A">
            <w:pPr>
              <w:pStyle w:val="CLDTableSpaceListSpace"/>
              <w:spacing w:before="20" w:after="60"/>
              <w:rPr>
                <w:sz w:val="22"/>
                <w:szCs w:val="22"/>
                <w:lang w:val="en-US"/>
              </w:rPr>
            </w:pPr>
            <w:r w:rsidRPr="002E7FAF">
              <w:rPr>
                <w:sz w:val="22"/>
                <w:szCs w:val="22"/>
                <w:lang w:val="en-US"/>
              </w:rPr>
              <w:t>18 (0.9)</w:t>
            </w:r>
          </w:p>
        </w:tc>
      </w:tr>
      <w:tr w:rsidR="00E00276" w:rsidRPr="000C7CAA" w:rsidTr="00E125D9">
        <w:tc>
          <w:tcPr>
            <w:tcW w:w="2943" w:type="dxa"/>
          </w:tcPr>
          <w:p w:rsidR="00E00276" w:rsidRPr="002E7FAF" w:rsidRDefault="00E00276" w:rsidP="002D450A">
            <w:pPr>
              <w:pStyle w:val="CLDTableSpaceListSpace"/>
              <w:spacing w:before="20" w:after="60"/>
              <w:rPr>
                <w:sz w:val="22"/>
                <w:szCs w:val="22"/>
                <w:lang w:val="en-US"/>
              </w:rPr>
            </w:pPr>
            <w:r w:rsidRPr="002E7FAF">
              <w:rPr>
                <w:sz w:val="22"/>
                <w:szCs w:val="22"/>
                <w:lang w:val="en-US"/>
              </w:rPr>
              <w:t>Cough</w:t>
            </w:r>
          </w:p>
        </w:tc>
        <w:tc>
          <w:tcPr>
            <w:tcW w:w="3544" w:type="dxa"/>
          </w:tcPr>
          <w:p w:rsidR="00E00276" w:rsidRPr="002E7FAF" w:rsidRDefault="00E00276" w:rsidP="002D450A">
            <w:pPr>
              <w:pStyle w:val="CLDTableSpaceListSpace"/>
              <w:spacing w:before="20" w:after="60"/>
              <w:rPr>
                <w:sz w:val="22"/>
                <w:szCs w:val="22"/>
                <w:lang w:val="en-US"/>
              </w:rPr>
            </w:pPr>
            <w:r w:rsidRPr="002E7FAF">
              <w:rPr>
                <w:sz w:val="22"/>
                <w:szCs w:val="22"/>
                <w:lang w:val="en-US"/>
              </w:rPr>
              <w:t xml:space="preserve">30 (1.5) </w:t>
            </w:r>
          </w:p>
        </w:tc>
        <w:tc>
          <w:tcPr>
            <w:tcW w:w="1985" w:type="dxa"/>
          </w:tcPr>
          <w:p w:rsidR="00E00276" w:rsidRPr="002E7FAF" w:rsidRDefault="00E00276" w:rsidP="002D450A">
            <w:pPr>
              <w:pStyle w:val="CLDTableSpaceListSpace"/>
              <w:spacing w:before="20" w:after="60"/>
              <w:rPr>
                <w:sz w:val="22"/>
                <w:szCs w:val="22"/>
                <w:lang w:val="en-US"/>
              </w:rPr>
            </w:pPr>
            <w:r w:rsidRPr="002E7FAF">
              <w:rPr>
                <w:sz w:val="22"/>
                <w:szCs w:val="22"/>
                <w:lang w:val="en-US"/>
              </w:rPr>
              <w:t>29 (1.4)</w:t>
            </w:r>
          </w:p>
        </w:tc>
      </w:tr>
      <w:tr w:rsidR="00E00276" w:rsidRPr="00E00276" w:rsidTr="00E00276">
        <w:tc>
          <w:tcPr>
            <w:tcW w:w="8472" w:type="dxa"/>
            <w:gridSpan w:val="3"/>
          </w:tcPr>
          <w:p w:rsidR="00E00276" w:rsidRPr="002E7FAF" w:rsidRDefault="00E00276" w:rsidP="002D450A">
            <w:pPr>
              <w:pStyle w:val="CLDTableSpaceListSpace"/>
              <w:spacing w:before="20" w:after="60"/>
              <w:rPr>
                <w:b/>
                <w:bCs/>
                <w:sz w:val="22"/>
                <w:szCs w:val="22"/>
                <w:lang w:val="en-US"/>
              </w:rPr>
            </w:pPr>
            <w:r w:rsidRPr="002E7FAF">
              <w:rPr>
                <w:b/>
                <w:bCs/>
                <w:sz w:val="22"/>
                <w:szCs w:val="22"/>
                <w:lang w:val="en-US"/>
              </w:rPr>
              <w:t>Gastrointestinal disorders</w:t>
            </w:r>
          </w:p>
        </w:tc>
      </w:tr>
      <w:tr w:rsidR="00E00276" w:rsidRPr="000C7CAA" w:rsidTr="00E125D9">
        <w:trPr>
          <w:trHeight w:val="245"/>
        </w:trPr>
        <w:tc>
          <w:tcPr>
            <w:tcW w:w="2943" w:type="dxa"/>
          </w:tcPr>
          <w:p w:rsidR="00E00276" w:rsidRPr="002E7FAF" w:rsidRDefault="00E00276" w:rsidP="002D450A">
            <w:pPr>
              <w:pStyle w:val="CLDTableSpaceListSpace"/>
              <w:spacing w:before="20" w:after="60"/>
              <w:rPr>
                <w:sz w:val="22"/>
                <w:szCs w:val="22"/>
                <w:lang w:val="en-US"/>
              </w:rPr>
            </w:pPr>
            <w:proofErr w:type="spellStart"/>
            <w:r w:rsidRPr="002E7FAF">
              <w:rPr>
                <w:sz w:val="22"/>
                <w:szCs w:val="22"/>
                <w:lang w:val="en-US"/>
              </w:rPr>
              <w:t>Diarrhoea</w:t>
            </w:r>
            <w:proofErr w:type="spellEnd"/>
            <w:r w:rsidRPr="002E7FAF">
              <w:rPr>
                <w:sz w:val="22"/>
                <w:szCs w:val="22"/>
                <w:lang w:val="en-US"/>
              </w:rPr>
              <w:t xml:space="preserve"> </w:t>
            </w:r>
          </w:p>
        </w:tc>
        <w:tc>
          <w:tcPr>
            <w:tcW w:w="3544" w:type="dxa"/>
          </w:tcPr>
          <w:p w:rsidR="00E00276" w:rsidRPr="002E7FAF" w:rsidRDefault="00E00276" w:rsidP="002D450A">
            <w:pPr>
              <w:pStyle w:val="CLDTableSpaceListSpace"/>
              <w:spacing w:before="20" w:after="60"/>
              <w:rPr>
                <w:sz w:val="22"/>
                <w:szCs w:val="22"/>
                <w:lang w:val="en-US"/>
              </w:rPr>
            </w:pPr>
            <w:r w:rsidRPr="002E7FAF">
              <w:rPr>
                <w:sz w:val="22"/>
                <w:szCs w:val="22"/>
                <w:lang w:val="en-US"/>
              </w:rPr>
              <w:t xml:space="preserve">150 (7.4) </w:t>
            </w:r>
          </w:p>
        </w:tc>
        <w:tc>
          <w:tcPr>
            <w:tcW w:w="1985" w:type="dxa"/>
          </w:tcPr>
          <w:p w:rsidR="00E00276" w:rsidRPr="002E7FAF" w:rsidRDefault="00E00276" w:rsidP="002D450A">
            <w:pPr>
              <w:pStyle w:val="CLDTableSpaceListSpace"/>
              <w:spacing w:before="20" w:after="60"/>
              <w:rPr>
                <w:sz w:val="22"/>
                <w:szCs w:val="22"/>
                <w:lang w:val="en-US"/>
              </w:rPr>
            </w:pPr>
            <w:r w:rsidRPr="002E7FAF">
              <w:rPr>
                <w:sz w:val="22"/>
                <w:szCs w:val="22"/>
                <w:lang w:val="en-US"/>
              </w:rPr>
              <w:t>126 (6.2)</w:t>
            </w:r>
          </w:p>
        </w:tc>
      </w:tr>
      <w:tr w:rsidR="00E00276" w:rsidRPr="000C7CAA" w:rsidTr="00E125D9">
        <w:tc>
          <w:tcPr>
            <w:tcW w:w="2943" w:type="dxa"/>
          </w:tcPr>
          <w:p w:rsidR="00E00276" w:rsidRPr="002E7FAF" w:rsidRDefault="00E00276" w:rsidP="002D450A">
            <w:pPr>
              <w:pStyle w:val="CLDTableSpaceListSpace"/>
              <w:spacing w:before="20" w:after="60"/>
              <w:rPr>
                <w:sz w:val="22"/>
                <w:szCs w:val="22"/>
                <w:lang w:val="en-US"/>
              </w:rPr>
            </w:pPr>
            <w:r w:rsidRPr="002E7FAF">
              <w:rPr>
                <w:sz w:val="22"/>
                <w:szCs w:val="22"/>
                <w:lang w:val="en-US"/>
              </w:rPr>
              <w:t>Constipation</w:t>
            </w:r>
          </w:p>
        </w:tc>
        <w:tc>
          <w:tcPr>
            <w:tcW w:w="3544" w:type="dxa"/>
          </w:tcPr>
          <w:p w:rsidR="00E00276" w:rsidRPr="002E7FAF" w:rsidRDefault="00E00276" w:rsidP="002D450A">
            <w:pPr>
              <w:pStyle w:val="CLDTableSpaceListSpace"/>
              <w:spacing w:before="20" w:after="60"/>
              <w:rPr>
                <w:sz w:val="22"/>
                <w:szCs w:val="22"/>
                <w:lang w:val="en-US"/>
              </w:rPr>
            </w:pPr>
            <w:r w:rsidRPr="002E7FAF">
              <w:rPr>
                <w:sz w:val="22"/>
                <w:szCs w:val="22"/>
                <w:lang w:val="en-US"/>
              </w:rPr>
              <w:t xml:space="preserve">62 (3.1) </w:t>
            </w:r>
          </w:p>
        </w:tc>
        <w:tc>
          <w:tcPr>
            <w:tcW w:w="1985" w:type="dxa"/>
          </w:tcPr>
          <w:p w:rsidR="00E00276" w:rsidRPr="002E7FAF" w:rsidRDefault="00E00276" w:rsidP="002D450A">
            <w:pPr>
              <w:pStyle w:val="CLDTableSpaceListSpace"/>
              <w:spacing w:before="20" w:after="60"/>
              <w:rPr>
                <w:sz w:val="22"/>
                <w:szCs w:val="22"/>
                <w:lang w:val="en-US"/>
              </w:rPr>
            </w:pPr>
            <w:r w:rsidRPr="002E7FAF">
              <w:rPr>
                <w:sz w:val="22"/>
                <w:szCs w:val="22"/>
                <w:lang w:val="en-US"/>
              </w:rPr>
              <w:t>66 (3.3)</w:t>
            </w:r>
          </w:p>
        </w:tc>
      </w:tr>
      <w:tr w:rsidR="00E00276" w:rsidRPr="000C7CAA" w:rsidTr="00E125D9">
        <w:tc>
          <w:tcPr>
            <w:tcW w:w="2943" w:type="dxa"/>
          </w:tcPr>
          <w:p w:rsidR="00E00276" w:rsidRPr="002E7FAF" w:rsidRDefault="00E00276" w:rsidP="002D450A">
            <w:pPr>
              <w:pStyle w:val="CLDTableSpaceListSpace"/>
              <w:spacing w:before="20" w:after="60"/>
              <w:rPr>
                <w:sz w:val="22"/>
                <w:szCs w:val="22"/>
                <w:lang w:val="en-US"/>
              </w:rPr>
            </w:pPr>
            <w:r w:rsidRPr="002E7FAF">
              <w:rPr>
                <w:sz w:val="22"/>
                <w:szCs w:val="22"/>
                <w:lang w:val="en-US"/>
              </w:rPr>
              <w:t>Abdominal pain</w:t>
            </w:r>
          </w:p>
        </w:tc>
        <w:tc>
          <w:tcPr>
            <w:tcW w:w="3544" w:type="dxa"/>
          </w:tcPr>
          <w:p w:rsidR="00E00276" w:rsidRPr="002E7FAF" w:rsidRDefault="00E00276" w:rsidP="002D450A">
            <w:pPr>
              <w:pStyle w:val="CLDTableSpaceListSpace"/>
              <w:spacing w:before="20" w:after="60"/>
              <w:rPr>
                <w:sz w:val="22"/>
                <w:szCs w:val="22"/>
                <w:lang w:val="en-US"/>
              </w:rPr>
            </w:pPr>
            <w:r w:rsidRPr="002E7FAF">
              <w:rPr>
                <w:sz w:val="22"/>
                <w:szCs w:val="22"/>
                <w:lang w:val="en-US"/>
              </w:rPr>
              <w:t xml:space="preserve">39 (1.9) </w:t>
            </w:r>
          </w:p>
        </w:tc>
        <w:tc>
          <w:tcPr>
            <w:tcW w:w="1985" w:type="dxa"/>
          </w:tcPr>
          <w:p w:rsidR="00E00276" w:rsidRPr="002E7FAF" w:rsidRDefault="00E00276" w:rsidP="002D450A">
            <w:pPr>
              <w:pStyle w:val="CLDTableSpaceListSpace"/>
              <w:spacing w:before="20" w:after="60"/>
              <w:rPr>
                <w:sz w:val="22"/>
                <w:szCs w:val="22"/>
                <w:lang w:val="en-US"/>
              </w:rPr>
            </w:pPr>
            <w:r w:rsidRPr="002E7FAF">
              <w:rPr>
                <w:sz w:val="22"/>
                <w:szCs w:val="22"/>
                <w:lang w:val="en-US"/>
              </w:rPr>
              <w:t>30 (1.5)</w:t>
            </w:r>
          </w:p>
        </w:tc>
      </w:tr>
      <w:tr w:rsidR="00E00276" w:rsidRPr="000C7CAA" w:rsidTr="00E125D9">
        <w:tc>
          <w:tcPr>
            <w:tcW w:w="2943" w:type="dxa"/>
          </w:tcPr>
          <w:p w:rsidR="00E00276" w:rsidRPr="002E7FAF" w:rsidRDefault="00E00276" w:rsidP="002D450A">
            <w:pPr>
              <w:pStyle w:val="CLDTableSpaceListSpace"/>
              <w:spacing w:before="20" w:after="60"/>
              <w:rPr>
                <w:sz w:val="22"/>
                <w:szCs w:val="22"/>
                <w:lang w:val="en-US"/>
              </w:rPr>
            </w:pPr>
            <w:r w:rsidRPr="002E7FAF">
              <w:rPr>
                <w:sz w:val="22"/>
                <w:szCs w:val="22"/>
                <w:lang w:val="en-US"/>
              </w:rPr>
              <w:t>Lower Abdominal pain</w:t>
            </w:r>
          </w:p>
        </w:tc>
        <w:tc>
          <w:tcPr>
            <w:tcW w:w="3544" w:type="dxa"/>
          </w:tcPr>
          <w:p w:rsidR="00E00276" w:rsidRPr="002E7FAF" w:rsidRDefault="00E00276" w:rsidP="002D450A">
            <w:pPr>
              <w:pStyle w:val="CLDTableSpaceListSpace"/>
              <w:spacing w:before="20" w:after="60"/>
              <w:rPr>
                <w:sz w:val="22"/>
                <w:szCs w:val="22"/>
                <w:lang w:val="en-US"/>
              </w:rPr>
            </w:pPr>
            <w:r w:rsidRPr="002E7FAF">
              <w:rPr>
                <w:sz w:val="22"/>
                <w:szCs w:val="22"/>
                <w:lang w:val="en-US"/>
              </w:rPr>
              <w:t>22 (1.1)</w:t>
            </w:r>
          </w:p>
        </w:tc>
        <w:tc>
          <w:tcPr>
            <w:tcW w:w="1985" w:type="dxa"/>
          </w:tcPr>
          <w:p w:rsidR="00E00276" w:rsidRPr="002E7FAF" w:rsidRDefault="00E00276" w:rsidP="002D450A">
            <w:pPr>
              <w:pStyle w:val="CLDTableSpaceListSpace"/>
              <w:spacing w:before="20" w:after="60"/>
              <w:rPr>
                <w:sz w:val="22"/>
                <w:szCs w:val="22"/>
                <w:lang w:val="en-US"/>
              </w:rPr>
            </w:pPr>
            <w:r w:rsidRPr="002E7FAF">
              <w:rPr>
                <w:sz w:val="22"/>
                <w:szCs w:val="22"/>
                <w:lang w:val="en-US"/>
              </w:rPr>
              <w:t>13 (0.6)</w:t>
            </w:r>
          </w:p>
        </w:tc>
      </w:tr>
      <w:tr w:rsidR="00E00276" w:rsidRPr="000C7CAA" w:rsidTr="00E125D9">
        <w:tc>
          <w:tcPr>
            <w:tcW w:w="2943" w:type="dxa"/>
          </w:tcPr>
          <w:p w:rsidR="00E00276" w:rsidRPr="002E7FAF" w:rsidRDefault="00E00276" w:rsidP="002D450A">
            <w:pPr>
              <w:pStyle w:val="CLDTableSpaceListSpace"/>
              <w:spacing w:before="20" w:after="60"/>
              <w:rPr>
                <w:sz w:val="22"/>
                <w:szCs w:val="22"/>
                <w:lang w:val="en-US"/>
              </w:rPr>
            </w:pPr>
            <w:r w:rsidRPr="002E7FAF">
              <w:rPr>
                <w:sz w:val="22"/>
                <w:szCs w:val="22"/>
                <w:lang w:val="en-US"/>
              </w:rPr>
              <w:t>Nausea</w:t>
            </w:r>
          </w:p>
        </w:tc>
        <w:tc>
          <w:tcPr>
            <w:tcW w:w="3544" w:type="dxa"/>
          </w:tcPr>
          <w:p w:rsidR="00E00276" w:rsidRPr="002E7FAF" w:rsidRDefault="00E00276" w:rsidP="002D450A">
            <w:pPr>
              <w:pStyle w:val="CLDTableSpaceListSpace"/>
              <w:spacing w:before="20" w:after="60"/>
              <w:rPr>
                <w:sz w:val="22"/>
                <w:szCs w:val="22"/>
                <w:lang w:val="en-US"/>
              </w:rPr>
            </w:pPr>
            <w:r w:rsidRPr="002E7FAF">
              <w:rPr>
                <w:sz w:val="22"/>
                <w:szCs w:val="22"/>
                <w:lang w:val="en-US"/>
              </w:rPr>
              <w:t xml:space="preserve">102 (5.0) </w:t>
            </w:r>
          </w:p>
        </w:tc>
        <w:tc>
          <w:tcPr>
            <w:tcW w:w="1985" w:type="dxa"/>
          </w:tcPr>
          <w:p w:rsidR="00E00276" w:rsidRPr="002E7FAF" w:rsidRDefault="00E00276" w:rsidP="002D450A">
            <w:pPr>
              <w:pStyle w:val="CLDTableSpaceListSpace"/>
              <w:spacing w:before="20" w:after="60"/>
              <w:rPr>
                <w:sz w:val="22"/>
                <w:szCs w:val="22"/>
                <w:lang w:val="en-US"/>
              </w:rPr>
            </w:pPr>
            <w:r w:rsidRPr="002E7FAF">
              <w:rPr>
                <w:sz w:val="22"/>
                <w:szCs w:val="22"/>
                <w:lang w:val="en-US"/>
              </w:rPr>
              <w:t>64 (3.2)</w:t>
            </w:r>
          </w:p>
        </w:tc>
      </w:tr>
      <w:tr w:rsidR="00E00276" w:rsidRPr="000C7CAA" w:rsidTr="00E125D9">
        <w:tc>
          <w:tcPr>
            <w:tcW w:w="2943" w:type="dxa"/>
          </w:tcPr>
          <w:p w:rsidR="00E00276" w:rsidRPr="002E7FAF" w:rsidRDefault="00E00276" w:rsidP="002D450A">
            <w:pPr>
              <w:pStyle w:val="CLDTableSpaceListSpace"/>
              <w:spacing w:before="20" w:after="60"/>
              <w:rPr>
                <w:sz w:val="22"/>
                <w:szCs w:val="22"/>
                <w:lang w:val="en-US"/>
              </w:rPr>
            </w:pPr>
            <w:r w:rsidRPr="002E7FAF">
              <w:rPr>
                <w:sz w:val="22"/>
                <w:szCs w:val="22"/>
                <w:lang w:val="en-US"/>
              </w:rPr>
              <w:t>Vomiting</w:t>
            </w:r>
          </w:p>
        </w:tc>
        <w:tc>
          <w:tcPr>
            <w:tcW w:w="3544" w:type="dxa"/>
          </w:tcPr>
          <w:p w:rsidR="00E00276" w:rsidRPr="002E7FAF" w:rsidRDefault="00E00276" w:rsidP="002D450A">
            <w:pPr>
              <w:pStyle w:val="CLDTableSpaceListSpace"/>
              <w:spacing w:before="20" w:after="60"/>
              <w:rPr>
                <w:sz w:val="22"/>
                <w:szCs w:val="22"/>
                <w:lang w:val="en-US"/>
              </w:rPr>
            </w:pPr>
            <w:r w:rsidRPr="002E7FAF">
              <w:rPr>
                <w:sz w:val="22"/>
                <w:szCs w:val="22"/>
                <w:lang w:val="en-US"/>
              </w:rPr>
              <w:t xml:space="preserve">78 (3.9) </w:t>
            </w:r>
          </w:p>
        </w:tc>
        <w:tc>
          <w:tcPr>
            <w:tcW w:w="1985" w:type="dxa"/>
          </w:tcPr>
          <w:p w:rsidR="00E00276" w:rsidRPr="002E7FAF" w:rsidRDefault="00E00276" w:rsidP="002D450A">
            <w:pPr>
              <w:pStyle w:val="CLDTableSpaceListSpace"/>
              <w:spacing w:before="20" w:after="60"/>
              <w:rPr>
                <w:sz w:val="22"/>
                <w:szCs w:val="22"/>
                <w:lang w:val="en-US"/>
              </w:rPr>
            </w:pPr>
            <w:r w:rsidRPr="002E7FAF">
              <w:rPr>
                <w:sz w:val="22"/>
                <w:szCs w:val="22"/>
                <w:lang w:val="en-US"/>
              </w:rPr>
              <w:t>50 (2.5)</w:t>
            </w:r>
          </w:p>
        </w:tc>
      </w:tr>
      <w:tr w:rsidR="00E00276" w:rsidRPr="00E00276" w:rsidTr="00E00276">
        <w:tc>
          <w:tcPr>
            <w:tcW w:w="8472" w:type="dxa"/>
            <w:gridSpan w:val="3"/>
          </w:tcPr>
          <w:p w:rsidR="00E00276" w:rsidRPr="002E7FAF" w:rsidRDefault="00E00276" w:rsidP="002D450A">
            <w:pPr>
              <w:pStyle w:val="CLDTableSpaceListSpace"/>
              <w:spacing w:before="20" w:after="60"/>
              <w:rPr>
                <w:b/>
                <w:bCs/>
                <w:sz w:val="22"/>
                <w:szCs w:val="22"/>
                <w:lang w:val="en-US"/>
              </w:rPr>
            </w:pPr>
            <w:r w:rsidRPr="002E7FAF">
              <w:rPr>
                <w:b/>
                <w:bCs/>
                <w:sz w:val="22"/>
                <w:szCs w:val="22"/>
                <w:lang w:val="en-US"/>
              </w:rPr>
              <w:t>Skin subcutaneous tissue disorders</w:t>
            </w:r>
          </w:p>
        </w:tc>
      </w:tr>
      <w:tr w:rsidR="00E00276" w:rsidRPr="000C7CAA" w:rsidTr="00E125D9">
        <w:tc>
          <w:tcPr>
            <w:tcW w:w="2943" w:type="dxa"/>
          </w:tcPr>
          <w:p w:rsidR="00E00276" w:rsidRPr="002E7FAF" w:rsidRDefault="00E00276" w:rsidP="002D450A">
            <w:pPr>
              <w:pStyle w:val="CLDTableSpaceListSpace"/>
              <w:spacing w:before="20" w:after="60"/>
              <w:rPr>
                <w:sz w:val="22"/>
                <w:szCs w:val="22"/>
                <w:lang w:val="en-US"/>
              </w:rPr>
            </w:pPr>
            <w:r w:rsidRPr="002E7FAF">
              <w:rPr>
                <w:sz w:val="22"/>
                <w:szCs w:val="22"/>
                <w:lang w:val="en-US"/>
              </w:rPr>
              <w:t>Rash</w:t>
            </w:r>
          </w:p>
        </w:tc>
        <w:tc>
          <w:tcPr>
            <w:tcW w:w="3544" w:type="dxa"/>
          </w:tcPr>
          <w:p w:rsidR="00E00276" w:rsidRPr="002E7FAF" w:rsidRDefault="00E00276" w:rsidP="002D450A">
            <w:pPr>
              <w:pStyle w:val="CLDTableSpaceListSpace"/>
              <w:spacing w:before="20" w:after="60"/>
              <w:rPr>
                <w:sz w:val="22"/>
                <w:szCs w:val="22"/>
                <w:lang w:val="en-US"/>
              </w:rPr>
            </w:pPr>
            <w:r w:rsidRPr="002E7FAF">
              <w:rPr>
                <w:sz w:val="22"/>
                <w:szCs w:val="22"/>
                <w:lang w:val="en-US"/>
              </w:rPr>
              <w:t xml:space="preserve">20 (1.0) </w:t>
            </w:r>
          </w:p>
        </w:tc>
        <w:tc>
          <w:tcPr>
            <w:tcW w:w="1985" w:type="dxa"/>
          </w:tcPr>
          <w:p w:rsidR="00E00276" w:rsidRPr="002E7FAF" w:rsidRDefault="00E00276" w:rsidP="002D450A">
            <w:pPr>
              <w:pStyle w:val="CLDTableSpaceListSpace"/>
              <w:spacing w:before="20" w:after="60"/>
              <w:rPr>
                <w:sz w:val="22"/>
                <w:szCs w:val="22"/>
                <w:lang w:val="en-US"/>
              </w:rPr>
            </w:pPr>
            <w:r w:rsidRPr="002E7FAF">
              <w:rPr>
                <w:sz w:val="22"/>
                <w:szCs w:val="22"/>
                <w:lang w:val="en-US"/>
              </w:rPr>
              <w:t>27 (1.3)</w:t>
            </w:r>
          </w:p>
        </w:tc>
      </w:tr>
      <w:tr w:rsidR="00E00276" w:rsidRPr="00E00276" w:rsidTr="00E00276">
        <w:tc>
          <w:tcPr>
            <w:tcW w:w="8472" w:type="dxa"/>
            <w:gridSpan w:val="3"/>
          </w:tcPr>
          <w:p w:rsidR="00E00276" w:rsidRPr="002E7FAF" w:rsidRDefault="00E00276" w:rsidP="002D450A">
            <w:pPr>
              <w:pStyle w:val="CLDTableSpaceListSpace"/>
              <w:spacing w:before="20" w:after="60"/>
              <w:rPr>
                <w:b/>
                <w:bCs/>
                <w:sz w:val="22"/>
                <w:szCs w:val="22"/>
                <w:lang w:val="en-US"/>
              </w:rPr>
            </w:pPr>
            <w:r w:rsidRPr="002E7FAF">
              <w:rPr>
                <w:b/>
                <w:bCs/>
                <w:sz w:val="22"/>
                <w:szCs w:val="22"/>
                <w:lang w:val="en-US"/>
              </w:rPr>
              <w:t xml:space="preserve">Musculoskeletal and connective tissue disorders </w:t>
            </w:r>
          </w:p>
        </w:tc>
      </w:tr>
      <w:tr w:rsidR="00E00276" w:rsidRPr="000C7CAA" w:rsidTr="00E125D9">
        <w:tc>
          <w:tcPr>
            <w:tcW w:w="2943" w:type="dxa"/>
          </w:tcPr>
          <w:p w:rsidR="00E00276" w:rsidRPr="002E7FAF" w:rsidRDefault="00E00276" w:rsidP="002D450A">
            <w:pPr>
              <w:pStyle w:val="CLDTableSpaceListSpace"/>
              <w:spacing w:before="20" w:after="60"/>
              <w:rPr>
                <w:sz w:val="22"/>
                <w:szCs w:val="22"/>
                <w:lang w:val="en-US"/>
              </w:rPr>
            </w:pPr>
            <w:r w:rsidRPr="002E7FAF">
              <w:rPr>
                <w:sz w:val="22"/>
                <w:szCs w:val="22"/>
                <w:lang w:val="en-US"/>
              </w:rPr>
              <w:t>Back pain</w:t>
            </w:r>
          </w:p>
        </w:tc>
        <w:tc>
          <w:tcPr>
            <w:tcW w:w="3544" w:type="dxa"/>
          </w:tcPr>
          <w:p w:rsidR="00E00276" w:rsidRPr="002E7FAF" w:rsidRDefault="00E00276" w:rsidP="002D450A">
            <w:pPr>
              <w:pStyle w:val="CLDTableSpaceListSpace"/>
              <w:spacing w:before="20" w:after="60"/>
              <w:rPr>
                <w:sz w:val="22"/>
                <w:szCs w:val="22"/>
              </w:rPr>
            </w:pPr>
            <w:r w:rsidRPr="002E7FAF">
              <w:rPr>
                <w:sz w:val="22"/>
                <w:szCs w:val="22"/>
                <w:lang w:val="en-US"/>
              </w:rPr>
              <w:t xml:space="preserve">20 (1.0) </w:t>
            </w:r>
          </w:p>
        </w:tc>
        <w:tc>
          <w:tcPr>
            <w:tcW w:w="1985" w:type="dxa"/>
          </w:tcPr>
          <w:p w:rsidR="00E00276" w:rsidRPr="002E7FAF" w:rsidRDefault="00E00276" w:rsidP="002D450A">
            <w:pPr>
              <w:pStyle w:val="CLDTableSpaceListSpace"/>
              <w:spacing w:before="20" w:after="60"/>
              <w:rPr>
                <w:sz w:val="22"/>
                <w:szCs w:val="22"/>
              </w:rPr>
            </w:pPr>
            <w:r w:rsidRPr="002E7FAF">
              <w:rPr>
                <w:sz w:val="22"/>
                <w:szCs w:val="22"/>
                <w:lang w:val="en-US"/>
              </w:rPr>
              <w:t>13 (0.6)</w:t>
            </w:r>
          </w:p>
        </w:tc>
      </w:tr>
      <w:tr w:rsidR="00E00276" w:rsidRPr="00E00276" w:rsidTr="00E00276">
        <w:tc>
          <w:tcPr>
            <w:tcW w:w="8472" w:type="dxa"/>
            <w:gridSpan w:val="3"/>
          </w:tcPr>
          <w:p w:rsidR="00E00276" w:rsidRPr="002E7FAF" w:rsidRDefault="00E00276" w:rsidP="002D450A">
            <w:pPr>
              <w:pStyle w:val="CLDTableSpaceListSpace"/>
              <w:spacing w:before="20" w:after="60"/>
              <w:rPr>
                <w:b/>
                <w:bCs/>
                <w:sz w:val="22"/>
                <w:szCs w:val="22"/>
                <w:lang w:val="en-US"/>
              </w:rPr>
            </w:pPr>
            <w:r w:rsidRPr="002E7FAF">
              <w:rPr>
                <w:b/>
                <w:bCs/>
                <w:sz w:val="22"/>
                <w:szCs w:val="22"/>
                <w:lang w:val="en-US"/>
              </w:rPr>
              <w:lastRenderedPageBreak/>
              <w:t>General disorders and administration site conditions</w:t>
            </w:r>
          </w:p>
        </w:tc>
      </w:tr>
      <w:tr w:rsidR="00E00276" w:rsidRPr="000C7CAA" w:rsidTr="00E125D9">
        <w:tc>
          <w:tcPr>
            <w:tcW w:w="2943" w:type="dxa"/>
          </w:tcPr>
          <w:p w:rsidR="00E00276" w:rsidRPr="002E7FAF" w:rsidRDefault="00E00276" w:rsidP="002D450A">
            <w:pPr>
              <w:pStyle w:val="CLDTableSpaceListSpace"/>
              <w:spacing w:before="20" w:after="60"/>
              <w:rPr>
                <w:sz w:val="22"/>
                <w:szCs w:val="22"/>
                <w:lang w:val="en-US"/>
              </w:rPr>
            </w:pPr>
            <w:r w:rsidRPr="002E7FAF">
              <w:rPr>
                <w:sz w:val="22"/>
                <w:szCs w:val="22"/>
                <w:lang w:val="en-US"/>
              </w:rPr>
              <w:t>Pyrexia</w:t>
            </w:r>
          </w:p>
        </w:tc>
        <w:tc>
          <w:tcPr>
            <w:tcW w:w="3544" w:type="dxa"/>
          </w:tcPr>
          <w:p w:rsidR="00E00276" w:rsidRPr="002E7FAF" w:rsidRDefault="00E00276" w:rsidP="002D450A">
            <w:pPr>
              <w:pStyle w:val="CLDTableSpaceListSpace"/>
              <w:spacing w:before="20" w:after="60"/>
              <w:rPr>
                <w:sz w:val="22"/>
                <w:szCs w:val="22"/>
                <w:lang w:val="en-US"/>
              </w:rPr>
            </w:pPr>
            <w:r w:rsidRPr="002E7FAF">
              <w:rPr>
                <w:sz w:val="22"/>
                <w:szCs w:val="22"/>
                <w:lang w:val="en-US"/>
              </w:rPr>
              <w:t xml:space="preserve">65 (3.2) </w:t>
            </w:r>
          </w:p>
        </w:tc>
        <w:tc>
          <w:tcPr>
            <w:tcW w:w="1985" w:type="dxa"/>
          </w:tcPr>
          <w:p w:rsidR="00E00276" w:rsidRPr="002E7FAF" w:rsidRDefault="00E00276" w:rsidP="002D450A">
            <w:pPr>
              <w:pStyle w:val="CLDTableSpaceListSpace"/>
              <w:spacing w:before="20" w:after="60"/>
              <w:rPr>
                <w:sz w:val="22"/>
                <w:szCs w:val="22"/>
                <w:lang w:val="en-US"/>
              </w:rPr>
            </w:pPr>
            <w:r w:rsidRPr="002E7FAF">
              <w:rPr>
                <w:sz w:val="22"/>
                <w:szCs w:val="22"/>
                <w:lang w:val="en-US"/>
              </w:rPr>
              <w:t>71 (3.5)</w:t>
            </w:r>
          </w:p>
        </w:tc>
      </w:tr>
      <w:tr w:rsidR="00E00276" w:rsidRPr="000C7CAA" w:rsidTr="00E125D9">
        <w:tc>
          <w:tcPr>
            <w:tcW w:w="2943" w:type="dxa"/>
          </w:tcPr>
          <w:p w:rsidR="00E00276" w:rsidRPr="002E7FAF" w:rsidRDefault="00E00276" w:rsidP="002D450A">
            <w:pPr>
              <w:pStyle w:val="CLDTableSpaceListSpace"/>
              <w:spacing w:before="20" w:after="60"/>
              <w:rPr>
                <w:sz w:val="22"/>
                <w:szCs w:val="22"/>
                <w:lang w:val="en-US"/>
              </w:rPr>
            </w:pPr>
            <w:r w:rsidRPr="002E7FAF">
              <w:rPr>
                <w:sz w:val="22"/>
                <w:szCs w:val="22"/>
                <w:lang w:val="en-US"/>
              </w:rPr>
              <w:t>Asthenia</w:t>
            </w:r>
          </w:p>
        </w:tc>
        <w:tc>
          <w:tcPr>
            <w:tcW w:w="3544" w:type="dxa"/>
          </w:tcPr>
          <w:p w:rsidR="00E00276" w:rsidRPr="002E7FAF" w:rsidRDefault="00E00276" w:rsidP="002D450A">
            <w:pPr>
              <w:pStyle w:val="CLDTableSpaceListSpace"/>
              <w:spacing w:before="20" w:after="60"/>
              <w:rPr>
                <w:sz w:val="22"/>
                <w:szCs w:val="22"/>
                <w:lang w:val="en-US"/>
              </w:rPr>
            </w:pPr>
            <w:r w:rsidRPr="002E7FAF">
              <w:rPr>
                <w:sz w:val="22"/>
                <w:szCs w:val="22"/>
                <w:lang w:val="en-US"/>
              </w:rPr>
              <w:t xml:space="preserve">20 (1.0) </w:t>
            </w:r>
          </w:p>
        </w:tc>
        <w:tc>
          <w:tcPr>
            <w:tcW w:w="1985" w:type="dxa"/>
          </w:tcPr>
          <w:p w:rsidR="00E00276" w:rsidRPr="002E7FAF" w:rsidRDefault="00E00276" w:rsidP="002D450A">
            <w:pPr>
              <w:pStyle w:val="CLDTableSpaceListSpace"/>
              <w:spacing w:before="20" w:after="60"/>
              <w:rPr>
                <w:sz w:val="22"/>
                <w:szCs w:val="22"/>
                <w:lang w:val="en-US"/>
              </w:rPr>
            </w:pPr>
            <w:r w:rsidRPr="002E7FAF">
              <w:rPr>
                <w:sz w:val="22"/>
                <w:szCs w:val="22"/>
                <w:lang w:val="en-US"/>
              </w:rPr>
              <w:t>15 (0.7)</w:t>
            </w:r>
          </w:p>
        </w:tc>
      </w:tr>
      <w:tr w:rsidR="00E00276" w:rsidRPr="000C7CAA" w:rsidTr="00E125D9">
        <w:tc>
          <w:tcPr>
            <w:tcW w:w="2943" w:type="dxa"/>
          </w:tcPr>
          <w:p w:rsidR="00E00276" w:rsidRPr="002E7FAF" w:rsidRDefault="00E00276" w:rsidP="002D450A">
            <w:pPr>
              <w:pStyle w:val="CLDTableSpaceListSpace"/>
              <w:spacing w:before="20" w:after="60"/>
              <w:rPr>
                <w:sz w:val="22"/>
                <w:szCs w:val="22"/>
                <w:lang w:val="en-US"/>
              </w:rPr>
            </w:pPr>
            <w:proofErr w:type="spellStart"/>
            <w:r w:rsidRPr="002E7FAF">
              <w:rPr>
                <w:sz w:val="22"/>
                <w:szCs w:val="22"/>
                <w:lang w:val="en-US"/>
              </w:rPr>
              <w:t>Oedema</w:t>
            </w:r>
            <w:proofErr w:type="spellEnd"/>
            <w:r w:rsidRPr="002E7FAF">
              <w:rPr>
                <w:sz w:val="22"/>
                <w:szCs w:val="22"/>
                <w:lang w:val="en-US"/>
              </w:rPr>
              <w:t xml:space="preserve"> peripheral</w:t>
            </w:r>
          </w:p>
        </w:tc>
        <w:tc>
          <w:tcPr>
            <w:tcW w:w="3544" w:type="dxa"/>
          </w:tcPr>
          <w:p w:rsidR="00E00276" w:rsidRPr="002E7FAF" w:rsidRDefault="00E00276" w:rsidP="002D450A">
            <w:pPr>
              <w:pStyle w:val="CLDTableSpaceListSpace"/>
              <w:spacing w:before="20" w:after="60"/>
              <w:rPr>
                <w:sz w:val="22"/>
                <w:szCs w:val="22"/>
                <w:lang w:val="en-US"/>
              </w:rPr>
            </w:pPr>
            <w:r w:rsidRPr="002E7FAF">
              <w:rPr>
                <w:sz w:val="22"/>
                <w:szCs w:val="22"/>
                <w:lang w:val="en-US"/>
              </w:rPr>
              <w:t xml:space="preserve">36 (1.8) </w:t>
            </w:r>
          </w:p>
        </w:tc>
        <w:tc>
          <w:tcPr>
            <w:tcW w:w="1985" w:type="dxa"/>
          </w:tcPr>
          <w:p w:rsidR="00E00276" w:rsidRPr="002E7FAF" w:rsidRDefault="00E00276" w:rsidP="002D450A">
            <w:pPr>
              <w:pStyle w:val="CLDTableSpaceListSpace"/>
              <w:spacing w:before="20" w:after="60"/>
              <w:rPr>
                <w:sz w:val="22"/>
                <w:szCs w:val="22"/>
                <w:lang w:val="en-US"/>
              </w:rPr>
            </w:pPr>
            <w:r w:rsidRPr="002E7FAF">
              <w:rPr>
                <w:sz w:val="22"/>
                <w:szCs w:val="22"/>
                <w:lang w:val="en-US"/>
              </w:rPr>
              <w:t>26 (1.3)</w:t>
            </w:r>
          </w:p>
        </w:tc>
      </w:tr>
      <w:tr w:rsidR="00E00276" w:rsidRPr="00E00276" w:rsidTr="00E00276">
        <w:tc>
          <w:tcPr>
            <w:tcW w:w="8472" w:type="dxa"/>
            <w:gridSpan w:val="3"/>
          </w:tcPr>
          <w:p w:rsidR="00E00276" w:rsidRPr="002E7FAF" w:rsidRDefault="00E00276" w:rsidP="002D450A">
            <w:pPr>
              <w:pStyle w:val="CLDTableSpaceListSpace"/>
              <w:spacing w:before="20" w:after="60"/>
              <w:rPr>
                <w:b/>
                <w:bCs/>
                <w:sz w:val="22"/>
                <w:szCs w:val="22"/>
                <w:lang w:val="en-US"/>
              </w:rPr>
            </w:pPr>
            <w:r w:rsidRPr="002E7FAF">
              <w:rPr>
                <w:b/>
                <w:bCs/>
                <w:sz w:val="22"/>
                <w:szCs w:val="22"/>
                <w:lang w:val="en-US"/>
              </w:rPr>
              <w:t>Investigations</w:t>
            </w:r>
          </w:p>
        </w:tc>
      </w:tr>
      <w:tr w:rsidR="00E00276" w:rsidRPr="000C7CAA" w:rsidTr="00E125D9">
        <w:tc>
          <w:tcPr>
            <w:tcW w:w="2943" w:type="dxa"/>
          </w:tcPr>
          <w:p w:rsidR="00E00276" w:rsidRPr="002E7FAF" w:rsidRDefault="00E00276" w:rsidP="002D450A">
            <w:pPr>
              <w:pStyle w:val="CLDTableSpaceListSpace"/>
              <w:spacing w:before="20" w:after="60"/>
              <w:rPr>
                <w:sz w:val="22"/>
                <w:szCs w:val="22"/>
                <w:lang w:val="en-US"/>
              </w:rPr>
            </w:pPr>
            <w:r w:rsidRPr="002E7FAF">
              <w:rPr>
                <w:sz w:val="22"/>
                <w:szCs w:val="22"/>
                <w:lang w:val="en-US"/>
              </w:rPr>
              <w:t>Alanine aminotransferase increased</w:t>
            </w:r>
          </w:p>
        </w:tc>
        <w:tc>
          <w:tcPr>
            <w:tcW w:w="3544" w:type="dxa"/>
          </w:tcPr>
          <w:p w:rsidR="00E00276" w:rsidRPr="002E7FAF" w:rsidRDefault="00E00276" w:rsidP="002D450A">
            <w:pPr>
              <w:pStyle w:val="CLDTableSpaceListSpace"/>
              <w:spacing w:before="20" w:after="60"/>
              <w:rPr>
                <w:sz w:val="22"/>
                <w:szCs w:val="22"/>
                <w:lang w:val="en-US"/>
              </w:rPr>
            </w:pPr>
            <w:r w:rsidRPr="002E7FAF">
              <w:rPr>
                <w:sz w:val="22"/>
                <w:szCs w:val="22"/>
                <w:lang w:val="en-US"/>
              </w:rPr>
              <w:t>35 (1.7)</w:t>
            </w:r>
          </w:p>
        </w:tc>
        <w:tc>
          <w:tcPr>
            <w:tcW w:w="1985" w:type="dxa"/>
          </w:tcPr>
          <w:p w:rsidR="00E00276" w:rsidRPr="002E7FAF" w:rsidRDefault="00E00276" w:rsidP="002D450A">
            <w:pPr>
              <w:pStyle w:val="CLDTableSpaceListSpace"/>
              <w:spacing w:before="20" w:after="60"/>
              <w:rPr>
                <w:sz w:val="22"/>
                <w:szCs w:val="22"/>
                <w:lang w:val="en-US"/>
              </w:rPr>
            </w:pPr>
            <w:r w:rsidRPr="002E7FAF">
              <w:rPr>
                <w:sz w:val="22"/>
                <w:szCs w:val="22"/>
                <w:lang w:val="en-US"/>
              </w:rPr>
              <w:t>43 (2.1)</w:t>
            </w:r>
          </w:p>
        </w:tc>
      </w:tr>
      <w:tr w:rsidR="00E00276" w:rsidRPr="000C7CAA" w:rsidTr="00E125D9">
        <w:tc>
          <w:tcPr>
            <w:tcW w:w="2943" w:type="dxa"/>
          </w:tcPr>
          <w:p w:rsidR="00E00276" w:rsidRPr="002E7FAF" w:rsidRDefault="00E00276" w:rsidP="002D450A">
            <w:pPr>
              <w:pStyle w:val="CLDTableSpaceListSpace"/>
              <w:spacing w:before="20" w:after="60"/>
              <w:rPr>
                <w:sz w:val="22"/>
                <w:szCs w:val="22"/>
                <w:lang w:val="en-US"/>
              </w:rPr>
            </w:pPr>
            <w:r w:rsidRPr="002E7FAF">
              <w:rPr>
                <w:sz w:val="22"/>
                <w:szCs w:val="22"/>
                <w:lang w:val="en-US"/>
              </w:rPr>
              <w:t>Aspartate aminotransferase increased</w:t>
            </w:r>
          </w:p>
        </w:tc>
        <w:tc>
          <w:tcPr>
            <w:tcW w:w="3544" w:type="dxa"/>
          </w:tcPr>
          <w:p w:rsidR="00E00276" w:rsidRPr="002E7FAF" w:rsidRDefault="00E00276" w:rsidP="002D450A">
            <w:pPr>
              <w:pStyle w:val="CLDTableSpaceListSpace"/>
              <w:spacing w:before="20" w:after="60"/>
              <w:rPr>
                <w:sz w:val="22"/>
                <w:szCs w:val="22"/>
                <w:lang w:val="en-US"/>
              </w:rPr>
            </w:pPr>
            <w:r w:rsidRPr="002E7FAF">
              <w:rPr>
                <w:sz w:val="22"/>
                <w:szCs w:val="22"/>
                <w:lang w:val="en-US"/>
              </w:rPr>
              <w:t>37 (1.8)</w:t>
            </w:r>
          </w:p>
        </w:tc>
        <w:tc>
          <w:tcPr>
            <w:tcW w:w="1985" w:type="dxa"/>
          </w:tcPr>
          <w:p w:rsidR="00E00276" w:rsidRPr="002E7FAF" w:rsidRDefault="00E00276" w:rsidP="002D450A">
            <w:pPr>
              <w:pStyle w:val="CLDTableSpaceListSpace"/>
              <w:spacing w:before="20" w:after="60"/>
              <w:rPr>
                <w:sz w:val="22"/>
                <w:szCs w:val="22"/>
                <w:lang w:val="en-US"/>
              </w:rPr>
            </w:pPr>
            <w:r w:rsidRPr="002E7FAF">
              <w:rPr>
                <w:sz w:val="22"/>
                <w:szCs w:val="22"/>
                <w:lang w:val="en-US"/>
              </w:rPr>
              <w:t>41 (2.0)</w:t>
            </w:r>
          </w:p>
        </w:tc>
      </w:tr>
    </w:tbl>
    <w:p w:rsidR="0016008E" w:rsidRPr="007F4266" w:rsidRDefault="00E125D9" w:rsidP="007F4266">
      <w:pPr>
        <w:pStyle w:val="CLDTableFootnote"/>
        <w:rPr>
          <w:rFonts w:eastAsia="TimesNewRoman"/>
          <w:szCs w:val="20"/>
        </w:rPr>
      </w:pPr>
      <w:r>
        <w:t xml:space="preserve">CAZ-AVI = </w:t>
      </w:r>
      <w:proofErr w:type="spellStart"/>
      <w:r>
        <w:t>ceftazidime</w:t>
      </w:r>
      <w:proofErr w:type="spellEnd"/>
      <w:r>
        <w:t xml:space="preserve">-avibactam; MTZ = </w:t>
      </w:r>
      <w:r w:rsidRPr="00A74C24">
        <w:rPr>
          <w:rFonts w:eastAsia="TimesNewRoman"/>
        </w:rPr>
        <w:t>metronidazole</w:t>
      </w:r>
      <w:r>
        <w:rPr>
          <w:rFonts w:eastAsia="TimesNewRoman"/>
        </w:rPr>
        <w:t xml:space="preserve">; Comparator </w:t>
      </w:r>
      <w:r w:rsidR="0016008E">
        <w:rPr>
          <w:rFonts w:eastAsia="TimesNewRoman"/>
        </w:rPr>
        <w:t xml:space="preserve">= </w:t>
      </w:r>
      <w:proofErr w:type="spellStart"/>
      <w:proofErr w:type="gramStart"/>
      <w:r w:rsidR="0016008E" w:rsidRPr="00B643F5">
        <w:rPr>
          <w:rFonts w:eastAsia="TimesNewRoman"/>
          <w:szCs w:val="20"/>
          <w:lang w:val="en-US"/>
        </w:rPr>
        <w:t>meropenem</w:t>
      </w:r>
      <w:proofErr w:type="spellEnd"/>
      <w:r w:rsidR="0016008E" w:rsidRPr="00B643F5">
        <w:rPr>
          <w:szCs w:val="20"/>
        </w:rPr>
        <w:t xml:space="preserve"> </w:t>
      </w:r>
      <w:r w:rsidR="0016008E">
        <w:rPr>
          <w:szCs w:val="20"/>
        </w:rPr>
        <w:t>,</w:t>
      </w:r>
      <w:proofErr w:type="gramEnd"/>
      <w:r w:rsidR="0016008E">
        <w:rPr>
          <w:szCs w:val="20"/>
        </w:rPr>
        <w:t xml:space="preserve"> </w:t>
      </w:r>
      <w:proofErr w:type="spellStart"/>
      <w:r w:rsidR="0016008E" w:rsidRPr="00B643F5">
        <w:rPr>
          <w:rFonts w:eastAsia="TimesNewRoman"/>
          <w:szCs w:val="20"/>
          <w:lang w:val="en-US"/>
        </w:rPr>
        <w:t>doripenem</w:t>
      </w:r>
      <w:proofErr w:type="spellEnd"/>
      <w:r w:rsidR="0016008E" w:rsidRPr="00B643F5">
        <w:rPr>
          <w:rFonts w:eastAsia="TimesNewRoman"/>
          <w:szCs w:val="20"/>
          <w:lang w:val="en-US"/>
        </w:rPr>
        <w:t xml:space="preserve"> or </w:t>
      </w:r>
      <w:r w:rsidR="0016008E" w:rsidRPr="00B643F5">
        <w:rPr>
          <w:rFonts w:eastAsia="TimesNewRoman"/>
          <w:szCs w:val="20"/>
        </w:rPr>
        <w:t>best available therapy</w:t>
      </w:r>
      <w:r w:rsidR="007F4266">
        <w:rPr>
          <w:rFonts w:eastAsia="TimesNewRoman"/>
          <w:szCs w:val="20"/>
        </w:rPr>
        <w:t>.</w:t>
      </w:r>
    </w:p>
    <w:p w:rsidR="00A66AEA" w:rsidRDefault="00A66AEA" w:rsidP="007F4266">
      <w:pPr>
        <w:pStyle w:val="CLDNormal"/>
        <w:spacing w:before="240"/>
        <w:rPr>
          <w:szCs w:val="24"/>
        </w:rPr>
      </w:pPr>
      <w:r w:rsidRPr="00986046">
        <w:rPr>
          <w:szCs w:val="24"/>
        </w:rPr>
        <w:t xml:space="preserve">The most common adverse reactions occurring in </w:t>
      </w:r>
      <w:r w:rsidR="00A710B1">
        <w:rPr>
          <w:szCs w:val="24"/>
        </w:rPr>
        <w:sym w:font="Symbol" w:char="F0B3"/>
      </w:r>
      <w:r w:rsidRPr="00986046">
        <w:rPr>
          <w:szCs w:val="24"/>
        </w:rPr>
        <w:t xml:space="preserve"> 5% of patients treated with </w:t>
      </w:r>
      <w:proofErr w:type="spellStart"/>
      <w:r w:rsidRPr="00986046">
        <w:rPr>
          <w:szCs w:val="24"/>
        </w:rPr>
        <w:t>Zavicefta</w:t>
      </w:r>
      <w:proofErr w:type="spellEnd"/>
      <w:r w:rsidRPr="00986046">
        <w:rPr>
          <w:szCs w:val="24"/>
        </w:rPr>
        <w:t xml:space="preserve"> were Coombs direct test positive, nausea, and diarrhoea. Nausea and diarrhoea were usually mild or moderate in intensity. No clinically significant differences </w:t>
      </w:r>
      <w:proofErr w:type="gramStart"/>
      <w:r w:rsidRPr="00986046">
        <w:rPr>
          <w:szCs w:val="24"/>
        </w:rPr>
        <w:t>were observed</w:t>
      </w:r>
      <w:proofErr w:type="gramEnd"/>
      <w:r w:rsidRPr="00986046">
        <w:rPr>
          <w:szCs w:val="24"/>
        </w:rPr>
        <w:t xml:space="preserve"> in the saf</w:t>
      </w:r>
      <w:r w:rsidR="007F4266">
        <w:rPr>
          <w:szCs w:val="24"/>
        </w:rPr>
        <w:t>ety profile across indications.</w:t>
      </w:r>
    </w:p>
    <w:p w:rsidR="00D457D0" w:rsidRPr="00367176" w:rsidRDefault="009A3BDF" w:rsidP="0001247C">
      <w:pPr>
        <w:pStyle w:val="CLDNormal"/>
      </w:pPr>
      <w:r w:rsidRPr="001939AC">
        <w:t xml:space="preserve">The </w:t>
      </w:r>
      <w:r w:rsidR="007333EE">
        <w:t xml:space="preserve">following </w:t>
      </w:r>
      <w:r w:rsidRPr="001939AC">
        <w:t xml:space="preserve">adverse reactions </w:t>
      </w:r>
      <w:proofErr w:type="gramStart"/>
      <w:r w:rsidR="007333EE">
        <w:t xml:space="preserve">have been </w:t>
      </w:r>
      <w:r w:rsidRPr="001939AC">
        <w:t xml:space="preserve">reported with </w:t>
      </w:r>
      <w:proofErr w:type="spellStart"/>
      <w:r w:rsidRPr="001939AC">
        <w:t>ceftazidime</w:t>
      </w:r>
      <w:proofErr w:type="spellEnd"/>
      <w:r w:rsidRPr="001939AC">
        <w:t xml:space="preserve"> alone and/or identified during the Phase 2 and Phase 3 trials with </w:t>
      </w:r>
      <w:proofErr w:type="spellStart"/>
      <w:r w:rsidRPr="001939AC">
        <w:rPr>
          <w:szCs w:val="22"/>
        </w:rPr>
        <w:t>Zavicefta</w:t>
      </w:r>
      <w:proofErr w:type="spellEnd"/>
      <w:proofErr w:type="gramEnd"/>
      <w:r w:rsidRPr="001939AC">
        <w:t xml:space="preserve">. Adverse reactions </w:t>
      </w:r>
      <w:proofErr w:type="gramStart"/>
      <w:r w:rsidRPr="001939AC">
        <w:t>are classified</w:t>
      </w:r>
      <w:proofErr w:type="gramEnd"/>
      <w:r w:rsidRPr="001939AC">
        <w:t xml:space="preserve"> according to frequency </w:t>
      </w:r>
      <w:r w:rsidR="007333EE">
        <w:t xml:space="preserve">as defined in the table below </w:t>
      </w:r>
      <w:r w:rsidRPr="001939AC">
        <w:t xml:space="preserve">and System Organ Class. Frequency categories </w:t>
      </w:r>
      <w:proofErr w:type="gramStart"/>
      <w:r w:rsidRPr="001939AC">
        <w:t>are derived</w:t>
      </w:r>
      <w:proofErr w:type="gramEnd"/>
      <w:r w:rsidRPr="001939AC">
        <w:t xml:space="preserve"> from adverse reactions and/or potentially clinically significant laboratory abnormalities</w:t>
      </w:r>
      <w:r w:rsidR="007F4266">
        <w:t>.</w:t>
      </w:r>
    </w:p>
    <w:p w:rsidR="009A3BDF" w:rsidRPr="001939AC" w:rsidRDefault="00A65B7D" w:rsidP="00A65B7D">
      <w:pPr>
        <w:pStyle w:val="Caption"/>
        <w:rPr>
          <w:lang w:val="en-US"/>
        </w:rPr>
      </w:pPr>
      <w:bookmarkStart w:id="3" w:name="_Toc1479074"/>
      <w:r>
        <w:t xml:space="preserve">Table </w:t>
      </w:r>
      <w:r>
        <w:fldChar w:fldCharType="begin"/>
      </w:r>
      <w:r>
        <w:instrText xml:space="preserve"> SEQ Table \* ARABIC </w:instrText>
      </w:r>
      <w:r>
        <w:fldChar w:fldCharType="separate"/>
      </w:r>
      <w:r w:rsidR="00B44B34">
        <w:rPr>
          <w:noProof/>
        </w:rPr>
        <w:t>4</w:t>
      </w:r>
      <w:r>
        <w:fldChar w:fldCharType="end"/>
      </w:r>
      <w:r>
        <w:t xml:space="preserve">: </w:t>
      </w:r>
      <w:r w:rsidRPr="004568E8">
        <w:t>Frequency of adverse reactions by system organ class</w:t>
      </w:r>
      <w:bookmarkEnd w:id="3"/>
    </w:p>
    <w:tbl>
      <w:tblPr>
        <w:tblW w:w="98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37"/>
        <w:gridCol w:w="1134"/>
        <w:gridCol w:w="1985"/>
        <w:gridCol w:w="1653"/>
        <w:gridCol w:w="1418"/>
        <w:gridCol w:w="1748"/>
      </w:tblGrid>
      <w:tr w:rsidR="001939AC" w:rsidRPr="002E7FAF" w:rsidTr="00CD7E05">
        <w:trPr>
          <w:tblHeader/>
        </w:trPr>
        <w:tc>
          <w:tcPr>
            <w:tcW w:w="1937" w:type="dxa"/>
            <w:tcBorders>
              <w:top w:val="single" w:sz="4" w:space="0" w:color="auto"/>
              <w:left w:val="single" w:sz="4" w:space="0" w:color="auto"/>
              <w:bottom w:val="single" w:sz="4" w:space="0" w:color="auto"/>
              <w:right w:val="single" w:sz="4" w:space="0" w:color="auto"/>
            </w:tcBorders>
          </w:tcPr>
          <w:p w:rsidR="009A3BDF" w:rsidRPr="002E7FAF" w:rsidRDefault="009A3BDF" w:rsidP="002D450A">
            <w:pPr>
              <w:pStyle w:val="CLDTableSpaceListSpace"/>
              <w:spacing w:before="20" w:after="60"/>
              <w:rPr>
                <w:b/>
                <w:bCs/>
                <w:sz w:val="22"/>
              </w:rPr>
            </w:pPr>
            <w:r w:rsidRPr="002E7FAF">
              <w:rPr>
                <w:b/>
                <w:bCs/>
                <w:sz w:val="22"/>
              </w:rPr>
              <w:t>System Organ Class</w:t>
            </w:r>
          </w:p>
        </w:tc>
        <w:tc>
          <w:tcPr>
            <w:tcW w:w="1134" w:type="dxa"/>
            <w:tcBorders>
              <w:top w:val="single" w:sz="4" w:space="0" w:color="auto"/>
              <w:left w:val="single" w:sz="4" w:space="0" w:color="auto"/>
              <w:bottom w:val="single" w:sz="4" w:space="0" w:color="auto"/>
              <w:right w:val="single" w:sz="4" w:space="0" w:color="auto"/>
            </w:tcBorders>
          </w:tcPr>
          <w:p w:rsidR="009A3BDF" w:rsidRPr="002E7FAF" w:rsidRDefault="009A3BDF" w:rsidP="00A710B1">
            <w:pPr>
              <w:pStyle w:val="CLDTableSpaceListSpace"/>
              <w:spacing w:before="20" w:after="60"/>
              <w:rPr>
                <w:b/>
                <w:bCs/>
                <w:sz w:val="22"/>
              </w:rPr>
            </w:pPr>
            <w:r w:rsidRPr="002E7FAF">
              <w:rPr>
                <w:b/>
                <w:bCs/>
                <w:sz w:val="22"/>
              </w:rPr>
              <w:t>Very common</w:t>
            </w:r>
            <w:r w:rsidR="00A65B7D" w:rsidRPr="002E7FAF">
              <w:rPr>
                <w:b/>
                <w:bCs/>
                <w:sz w:val="22"/>
              </w:rPr>
              <w:t xml:space="preserve"> (</w:t>
            </w:r>
            <w:r w:rsidR="00A710B1">
              <w:rPr>
                <w:b/>
                <w:bCs/>
                <w:sz w:val="22"/>
              </w:rPr>
              <w:sym w:font="Symbol" w:char="F0B3"/>
            </w:r>
            <w:r w:rsidR="00A65B7D" w:rsidRPr="002E7FAF">
              <w:rPr>
                <w:b/>
                <w:bCs/>
                <w:sz w:val="22"/>
              </w:rPr>
              <w:t>10%)</w:t>
            </w:r>
          </w:p>
        </w:tc>
        <w:tc>
          <w:tcPr>
            <w:tcW w:w="1985" w:type="dxa"/>
            <w:tcBorders>
              <w:top w:val="single" w:sz="4" w:space="0" w:color="auto"/>
              <w:left w:val="single" w:sz="4" w:space="0" w:color="auto"/>
              <w:bottom w:val="single" w:sz="4" w:space="0" w:color="auto"/>
              <w:right w:val="single" w:sz="4" w:space="0" w:color="auto"/>
            </w:tcBorders>
          </w:tcPr>
          <w:p w:rsidR="009A3BDF" w:rsidRPr="002E7FAF" w:rsidRDefault="009A3BDF" w:rsidP="00A710B1">
            <w:pPr>
              <w:pStyle w:val="CLDTableSpaceListSpace"/>
              <w:spacing w:before="20" w:after="60"/>
              <w:rPr>
                <w:b/>
                <w:bCs/>
                <w:sz w:val="22"/>
              </w:rPr>
            </w:pPr>
            <w:r w:rsidRPr="002E7FAF">
              <w:rPr>
                <w:b/>
                <w:bCs/>
                <w:sz w:val="22"/>
              </w:rPr>
              <w:t>Common</w:t>
            </w:r>
            <w:r w:rsidR="00A65B7D" w:rsidRPr="002E7FAF">
              <w:rPr>
                <w:b/>
                <w:bCs/>
                <w:sz w:val="22"/>
              </w:rPr>
              <w:t xml:space="preserve"> (</w:t>
            </w:r>
            <w:r w:rsidR="00A710B1">
              <w:rPr>
                <w:b/>
                <w:bCs/>
                <w:sz w:val="22"/>
              </w:rPr>
              <w:sym w:font="Symbol" w:char="F0B3"/>
            </w:r>
            <w:r w:rsidR="00A65B7D" w:rsidRPr="002E7FAF">
              <w:rPr>
                <w:b/>
                <w:bCs/>
                <w:sz w:val="22"/>
              </w:rPr>
              <w:t>1% and &lt;10%)</w:t>
            </w:r>
          </w:p>
        </w:tc>
        <w:tc>
          <w:tcPr>
            <w:tcW w:w="1653" w:type="dxa"/>
            <w:tcBorders>
              <w:top w:val="single" w:sz="4" w:space="0" w:color="auto"/>
              <w:left w:val="single" w:sz="4" w:space="0" w:color="auto"/>
              <w:bottom w:val="single" w:sz="4" w:space="0" w:color="auto"/>
              <w:right w:val="single" w:sz="4" w:space="0" w:color="auto"/>
            </w:tcBorders>
          </w:tcPr>
          <w:p w:rsidR="009A3BDF" w:rsidRPr="002E7FAF" w:rsidRDefault="009A3BDF" w:rsidP="00A710B1">
            <w:pPr>
              <w:pStyle w:val="CLDTableSpaceListSpace"/>
              <w:spacing w:before="20" w:after="60"/>
              <w:rPr>
                <w:b/>
                <w:bCs/>
                <w:sz w:val="22"/>
              </w:rPr>
            </w:pPr>
            <w:proofErr w:type="gramStart"/>
            <w:r w:rsidRPr="002E7FAF">
              <w:rPr>
                <w:b/>
                <w:bCs/>
                <w:sz w:val="22"/>
              </w:rPr>
              <w:t>Uncommon</w:t>
            </w:r>
            <w:r w:rsidR="00A65B7D" w:rsidRPr="002E7FAF">
              <w:rPr>
                <w:b/>
                <w:bCs/>
                <w:sz w:val="22"/>
              </w:rPr>
              <w:t>(</w:t>
            </w:r>
            <w:proofErr w:type="gramEnd"/>
            <w:r w:rsidR="00A710B1">
              <w:rPr>
                <w:b/>
                <w:bCs/>
                <w:sz w:val="22"/>
              </w:rPr>
              <w:sym w:font="Symbol" w:char="F0B3"/>
            </w:r>
            <w:r w:rsidR="00A65B7D" w:rsidRPr="002E7FAF">
              <w:rPr>
                <w:b/>
                <w:bCs/>
                <w:sz w:val="22"/>
              </w:rPr>
              <w:t>0.1% and &lt;1%)</w:t>
            </w:r>
          </w:p>
        </w:tc>
        <w:tc>
          <w:tcPr>
            <w:tcW w:w="1418" w:type="dxa"/>
            <w:tcBorders>
              <w:top w:val="single" w:sz="4" w:space="0" w:color="auto"/>
              <w:left w:val="single" w:sz="4" w:space="0" w:color="auto"/>
              <w:bottom w:val="single" w:sz="4" w:space="0" w:color="auto"/>
              <w:right w:val="single" w:sz="4" w:space="0" w:color="auto"/>
            </w:tcBorders>
          </w:tcPr>
          <w:p w:rsidR="009A3BDF" w:rsidRPr="002E7FAF" w:rsidRDefault="009A3BDF" w:rsidP="00A710B1">
            <w:pPr>
              <w:pStyle w:val="CLDTableSpaceListSpace"/>
              <w:spacing w:before="20" w:after="60"/>
              <w:rPr>
                <w:b/>
                <w:bCs/>
                <w:sz w:val="22"/>
              </w:rPr>
            </w:pPr>
            <w:r w:rsidRPr="002E7FAF">
              <w:rPr>
                <w:b/>
                <w:bCs/>
                <w:sz w:val="22"/>
              </w:rPr>
              <w:t>Very rare</w:t>
            </w:r>
            <w:r w:rsidR="00A65B7D" w:rsidRPr="002E7FAF">
              <w:rPr>
                <w:b/>
                <w:bCs/>
                <w:sz w:val="22"/>
              </w:rPr>
              <w:t xml:space="preserve"> (</w:t>
            </w:r>
            <w:r w:rsidR="00A710B1">
              <w:rPr>
                <w:b/>
                <w:bCs/>
                <w:sz w:val="22"/>
              </w:rPr>
              <w:sym w:font="Symbol" w:char="F0B3"/>
            </w:r>
            <w:r w:rsidR="00A65B7D" w:rsidRPr="002E7FAF">
              <w:rPr>
                <w:b/>
                <w:bCs/>
                <w:sz w:val="22"/>
              </w:rPr>
              <w:t>0.01% and &lt;0.1%)</w:t>
            </w:r>
          </w:p>
        </w:tc>
        <w:tc>
          <w:tcPr>
            <w:tcW w:w="1748" w:type="dxa"/>
            <w:tcBorders>
              <w:top w:val="single" w:sz="4" w:space="0" w:color="auto"/>
              <w:left w:val="single" w:sz="4" w:space="0" w:color="auto"/>
              <w:bottom w:val="single" w:sz="4" w:space="0" w:color="auto"/>
              <w:right w:val="single" w:sz="4" w:space="0" w:color="auto"/>
            </w:tcBorders>
          </w:tcPr>
          <w:p w:rsidR="009A3BDF" w:rsidRPr="002E7FAF" w:rsidRDefault="009A3BDF" w:rsidP="002D450A">
            <w:pPr>
              <w:pStyle w:val="CLDTableSpaceListSpace"/>
              <w:spacing w:before="20" w:after="60"/>
              <w:rPr>
                <w:b/>
                <w:bCs/>
                <w:sz w:val="22"/>
              </w:rPr>
            </w:pPr>
            <w:r w:rsidRPr="002E7FAF">
              <w:rPr>
                <w:b/>
                <w:bCs/>
                <w:sz w:val="22"/>
              </w:rPr>
              <w:t>Unknown</w:t>
            </w:r>
            <w:r w:rsidR="00A65B7D" w:rsidRPr="002E7FAF">
              <w:rPr>
                <w:b/>
                <w:bCs/>
                <w:sz w:val="22"/>
              </w:rPr>
              <w:t xml:space="preserve"> (cannot be estimated from available data)</w:t>
            </w:r>
          </w:p>
        </w:tc>
      </w:tr>
      <w:tr w:rsidR="001939AC" w:rsidRPr="00667EAA" w:rsidTr="00CD7E05">
        <w:tc>
          <w:tcPr>
            <w:tcW w:w="1937" w:type="dxa"/>
            <w:tcBorders>
              <w:top w:val="single" w:sz="4" w:space="0" w:color="auto"/>
              <w:left w:val="single" w:sz="4" w:space="0" w:color="auto"/>
              <w:bottom w:val="single" w:sz="4" w:space="0" w:color="auto"/>
              <w:right w:val="single" w:sz="4" w:space="0" w:color="auto"/>
            </w:tcBorders>
          </w:tcPr>
          <w:p w:rsidR="009A3BDF" w:rsidRPr="002E7FAF" w:rsidRDefault="009A3BDF" w:rsidP="002D450A">
            <w:pPr>
              <w:pStyle w:val="CLDTableSpaceListSpace"/>
              <w:spacing w:before="20" w:after="60"/>
              <w:rPr>
                <w:b/>
                <w:bCs/>
                <w:sz w:val="22"/>
                <w:lang w:val="en-US"/>
              </w:rPr>
            </w:pPr>
            <w:r w:rsidRPr="002E7FAF">
              <w:rPr>
                <w:b/>
                <w:bCs/>
                <w:sz w:val="22"/>
                <w:lang w:val="en-US"/>
              </w:rPr>
              <w:t>Infections and infestations</w:t>
            </w:r>
          </w:p>
        </w:tc>
        <w:tc>
          <w:tcPr>
            <w:tcW w:w="1134" w:type="dxa"/>
            <w:tcBorders>
              <w:top w:val="single" w:sz="4" w:space="0" w:color="auto"/>
              <w:left w:val="single" w:sz="4" w:space="0" w:color="auto"/>
              <w:bottom w:val="single" w:sz="4" w:space="0" w:color="auto"/>
              <w:right w:val="single" w:sz="4" w:space="0" w:color="auto"/>
            </w:tcBorders>
          </w:tcPr>
          <w:p w:rsidR="009A3BDF" w:rsidRPr="00667EAA" w:rsidRDefault="009A3BDF" w:rsidP="002D450A">
            <w:pPr>
              <w:pStyle w:val="CLDTableTextListText"/>
              <w:spacing w:after="60"/>
              <w:rPr>
                <w:sz w:val="22"/>
                <w:lang w:val="en-US"/>
              </w:rPr>
            </w:pPr>
          </w:p>
        </w:tc>
        <w:tc>
          <w:tcPr>
            <w:tcW w:w="1985" w:type="dxa"/>
            <w:tcBorders>
              <w:top w:val="single" w:sz="4" w:space="0" w:color="auto"/>
              <w:left w:val="single" w:sz="4" w:space="0" w:color="auto"/>
              <w:bottom w:val="single" w:sz="4" w:space="0" w:color="auto"/>
              <w:right w:val="single" w:sz="4" w:space="0" w:color="auto"/>
            </w:tcBorders>
          </w:tcPr>
          <w:p w:rsidR="009A3BDF" w:rsidRPr="00667EAA" w:rsidRDefault="009A3BDF" w:rsidP="002D450A">
            <w:pPr>
              <w:pStyle w:val="CLDTableTextListText"/>
              <w:spacing w:after="60"/>
              <w:rPr>
                <w:sz w:val="22"/>
                <w:lang w:val="en-US"/>
              </w:rPr>
            </w:pPr>
            <w:r w:rsidRPr="00667EAA">
              <w:rPr>
                <w:sz w:val="22"/>
                <w:lang w:val="en-US"/>
              </w:rPr>
              <w:t xml:space="preserve">Candidiasis  (including </w:t>
            </w:r>
            <w:r w:rsidR="00A23802" w:rsidRPr="00667EAA">
              <w:rPr>
                <w:sz w:val="22"/>
                <w:lang w:val="en-US"/>
              </w:rPr>
              <w:t>v</w:t>
            </w:r>
            <w:r w:rsidRPr="00667EAA">
              <w:rPr>
                <w:sz w:val="22"/>
                <w:lang w:val="en-US"/>
              </w:rPr>
              <w:t xml:space="preserve">ulvovaginal candidiasis and </w:t>
            </w:r>
            <w:r w:rsidR="00A23802" w:rsidRPr="00667EAA">
              <w:rPr>
                <w:sz w:val="22"/>
                <w:lang w:val="en-US"/>
              </w:rPr>
              <w:t>o</w:t>
            </w:r>
            <w:r w:rsidRPr="00667EAA">
              <w:rPr>
                <w:sz w:val="22"/>
                <w:lang w:val="en-US"/>
              </w:rPr>
              <w:t>ral candidiasis)</w:t>
            </w:r>
          </w:p>
        </w:tc>
        <w:tc>
          <w:tcPr>
            <w:tcW w:w="1653" w:type="dxa"/>
            <w:tcBorders>
              <w:top w:val="single" w:sz="4" w:space="0" w:color="auto"/>
              <w:left w:val="single" w:sz="4" w:space="0" w:color="auto"/>
              <w:bottom w:val="single" w:sz="4" w:space="0" w:color="auto"/>
              <w:right w:val="single" w:sz="4" w:space="0" w:color="auto"/>
            </w:tcBorders>
          </w:tcPr>
          <w:p w:rsidR="009A3BDF" w:rsidRPr="00667EAA" w:rsidRDefault="009A3BDF" w:rsidP="002D450A">
            <w:pPr>
              <w:pStyle w:val="CLDTableTextListText"/>
              <w:spacing w:after="60"/>
              <w:rPr>
                <w:sz w:val="22"/>
                <w:lang w:val="fr-BE"/>
              </w:rPr>
            </w:pPr>
            <w:r w:rsidRPr="00667EAA">
              <w:rPr>
                <w:sz w:val="22"/>
                <w:lang w:val="fr-BE"/>
              </w:rPr>
              <w:t xml:space="preserve">Clostridium difficile </w:t>
            </w:r>
            <w:proofErr w:type="spellStart"/>
            <w:r w:rsidRPr="00667EAA">
              <w:rPr>
                <w:sz w:val="22"/>
                <w:lang w:val="fr-BE"/>
              </w:rPr>
              <w:t>colitis</w:t>
            </w:r>
            <w:proofErr w:type="spellEnd"/>
            <w:r w:rsidR="002D450A" w:rsidRPr="0008227F">
              <w:rPr>
                <w:sz w:val="22"/>
                <w:lang w:val="fr-FR"/>
              </w:rPr>
              <w:br/>
            </w:r>
            <w:r w:rsidRPr="00667EAA">
              <w:rPr>
                <w:sz w:val="22"/>
                <w:lang w:val="fr-BE"/>
              </w:rPr>
              <w:t>Pseudo</w:t>
            </w:r>
            <w:r w:rsidR="00B04B3E" w:rsidRPr="00667EAA">
              <w:rPr>
                <w:sz w:val="22"/>
                <w:lang w:val="fr-BE"/>
              </w:rPr>
              <w:t>-</w:t>
            </w:r>
            <w:proofErr w:type="spellStart"/>
            <w:r w:rsidRPr="00667EAA">
              <w:rPr>
                <w:sz w:val="22"/>
                <w:lang w:val="fr-BE"/>
              </w:rPr>
              <w:t>membranous</w:t>
            </w:r>
            <w:proofErr w:type="spellEnd"/>
            <w:r w:rsidRPr="00667EAA">
              <w:rPr>
                <w:sz w:val="22"/>
                <w:lang w:val="fr-BE"/>
              </w:rPr>
              <w:t xml:space="preserve"> </w:t>
            </w:r>
            <w:proofErr w:type="spellStart"/>
            <w:r w:rsidRPr="00667EAA">
              <w:rPr>
                <w:sz w:val="22"/>
                <w:lang w:val="fr-BE"/>
              </w:rPr>
              <w:t>colitis</w:t>
            </w:r>
            <w:proofErr w:type="spellEnd"/>
          </w:p>
        </w:tc>
        <w:tc>
          <w:tcPr>
            <w:tcW w:w="1418" w:type="dxa"/>
            <w:tcBorders>
              <w:top w:val="single" w:sz="4" w:space="0" w:color="auto"/>
              <w:left w:val="single" w:sz="4" w:space="0" w:color="auto"/>
              <w:bottom w:val="single" w:sz="4" w:space="0" w:color="auto"/>
              <w:right w:val="single" w:sz="4" w:space="0" w:color="auto"/>
            </w:tcBorders>
          </w:tcPr>
          <w:p w:rsidR="009A3BDF" w:rsidRPr="00667EAA" w:rsidRDefault="009A3BDF" w:rsidP="002D450A">
            <w:pPr>
              <w:pStyle w:val="CLDTableTextListText"/>
              <w:spacing w:after="60"/>
              <w:rPr>
                <w:sz w:val="22"/>
                <w:lang w:val="fr-BE"/>
              </w:rPr>
            </w:pPr>
          </w:p>
        </w:tc>
        <w:tc>
          <w:tcPr>
            <w:tcW w:w="1748" w:type="dxa"/>
            <w:tcBorders>
              <w:top w:val="single" w:sz="4" w:space="0" w:color="auto"/>
              <w:left w:val="single" w:sz="4" w:space="0" w:color="auto"/>
              <w:bottom w:val="single" w:sz="4" w:space="0" w:color="auto"/>
              <w:right w:val="single" w:sz="4" w:space="0" w:color="auto"/>
            </w:tcBorders>
          </w:tcPr>
          <w:p w:rsidR="009A3BDF" w:rsidRPr="00667EAA" w:rsidRDefault="009A3BDF" w:rsidP="002D450A">
            <w:pPr>
              <w:pStyle w:val="CLDTableTextListText"/>
              <w:spacing w:after="60"/>
              <w:rPr>
                <w:sz w:val="22"/>
                <w:lang w:val="fr-BE"/>
              </w:rPr>
            </w:pPr>
          </w:p>
        </w:tc>
      </w:tr>
      <w:tr w:rsidR="001939AC" w:rsidRPr="00667EAA" w:rsidTr="00CD7E05">
        <w:tc>
          <w:tcPr>
            <w:tcW w:w="1937" w:type="dxa"/>
            <w:tcBorders>
              <w:top w:val="single" w:sz="4" w:space="0" w:color="auto"/>
              <w:left w:val="single" w:sz="4" w:space="0" w:color="auto"/>
              <w:bottom w:val="single" w:sz="4" w:space="0" w:color="auto"/>
              <w:right w:val="single" w:sz="4" w:space="0" w:color="auto"/>
            </w:tcBorders>
          </w:tcPr>
          <w:p w:rsidR="009A3BDF" w:rsidRPr="002E7FAF" w:rsidRDefault="009A3BDF" w:rsidP="002D450A">
            <w:pPr>
              <w:pStyle w:val="CLDTableSpaceListSpace"/>
              <w:spacing w:before="20" w:after="60"/>
              <w:rPr>
                <w:b/>
                <w:bCs/>
                <w:sz w:val="22"/>
                <w:lang w:val="en-US"/>
              </w:rPr>
            </w:pPr>
            <w:r w:rsidRPr="002E7FAF">
              <w:rPr>
                <w:b/>
                <w:bCs/>
                <w:sz w:val="22"/>
                <w:lang w:val="en-US"/>
              </w:rPr>
              <w:t>Blood and lymphatic system disorders</w:t>
            </w:r>
          </w:p>
        </w:tc>
        <w:tc>
          <w:tcPr>
            <w:tcW w:w="1134" w:type="dxa"/>
            <w:tcBorders>
              <w:top w:val="single" w:sz="4" w:space="0" w:color="auto"/>
              <w:left w:val="single" w:sz="4" w:space="0" w:color="auto"/>
              <w:bottom w:val="single" w:sz="4" w:space="0" w:color="auto"/>
              <w:right w:val="single" w:sz="4" w:space="0" w:color="auto"/>
            </w:tcBorders>
          </w:tcPr>
          <w:p w:rsidR="009A3BDF" w:rsidRPr="00667EAA" w:rsidRDefault="009A3BDF" w:rsidP="002D450A">
            <w:pPr>
              <w:pStyle w:val="CLDTableTextListText"/>
              <w:spacing w:after="60"/>
              <w:rPr>
                <w:sz w:val="22"/>
                <w:lang w:val="en-US"/>
              </w:rPr>
            </w:pPr>
            <w:r w:rsidRPr="00667EAA">
              <w:rPr>
                <w:sz w:val="22"/>
                <w:lang w:val="en-US"/>
              </w:rPr>
              <w:t>Coombs direct test positive</w:t>
            </w:r>
          </w:p>
        </w:tc>
        <w:tc>
          <w:tcPr>
            <w:tcW w:w="1985" w:type="dxa"/>
            <w:tcBorders>
              <w:top w:val="single" w:sz="4" w:space="0" w:color="auto"/>
              <w:left w:val="single" w:sz="4" w:space="0" w:color="auto"/>
              <w:bottom w:val="single" w:sz="4" w:space="0" w:color="auto"/>
              <w:right w:val="single" w:sz="4" w:space="0" w:color="auto"/>
            </w:tcBorders>
          </w:tcPr>
          <w:p w:rsidR="009A3BDF" w:rsidRPr="00667EAA" w:rsidRDefault="009A3BDF" w:rsidP="002D450A">
            <w:pPr>
              <w:pStyle w:val="CLDTableTextListText"/>
              <w:spacing w:after="60"/>
              <w:rPr>
                <w:sz w:val="22"/>
                <w:lang w:val="en-US"/>
              </w:rPr>
            </w:pPr>
            <w:r w:rsidRPr="00667EAA">
              <w:rPr>
                <w:sz w:val="22"/>
                <w:lang w:val="en-US"/>
              </w:rPr>
              <w:t>Eosinophilia</w:t>
            </w:r>
            <w:r w:rsidR="002D450A" w:rsidRPr="0008227F">
              <w:rPr>
                <w:sz w:val="22"/>
                <w:lang w:val="fr-FR"/>
              </w:rPr>
              <w:br/>
            </w:r>
            <w:r w:rsidRPr="00667EAA">
              <w:rPr>
                <w:sz w:val="22"/>
                <w:lang w:val="en-US"/>
              </w:rPr>
              <w:t>Thrombocytosis</w:t>
            </w:r>
            <w:r w:rsidR="002D450A" w:rsidRPr="0008227F">
              <w:rPr>
                <w:sz w:val="22"/>
                <w:lang w:val="fr-FR"/>
              </w:rPr>
              <w:br/>
            </w:r>
            <w:r w:rsidRPr="00667EAA">
              <w:rPr>
                <w:sz w:val="22"/>
                <w:lang w:val="en-US"/>
              </w:rPr>
              <w:t>Thrombocytopenia</w:t>
            </w:r>
          </w:p>
        </w:tc>
        <w:tc>
          <w:tcPr>
            <w:tcW w:w="1653" w:type="dxa"/>
            <w:tcBorders>
              <w:top w:val="single" w:sz="4" w:space="0" w:color="auto"/>
              <w:left w:val="single" w:sz="4" w:space="0" w:color="auto"/>
              <w:bottom w:val="single" w:sz="4" w:space="0" w:color="auto"/>
              <w:right w:val="single" w:sz="4" w:space="0" w:color="auto"/>
            </w:tcBorders>
          </w:tcPr>
          <w:p w:rsidR="009A3BDF" w:rsidRPr="00667EAA" w:rsidRDefault="009A3BDF" w:rsidP="002D450A">
            <w:pPr>
              <w:pStyle w:val="CLDTableTextListText"/>
              <w:spacing w:after="60"/>
              <w:rPr>
                <w:sz w:val="22"/>
                <w:lang w:val="en-US"/>
              </w:rPr>
            </w:pPr>
            <w:r w:rsidRPr="00667EAA">
              <w:rPr>
                <w:sz w:val="22"/>
                <w:lang w:val="en-US"/>
              </w:rPr>
              <w:t>Neutropenia</w:t>
            </w:r>
            <w:r w:rsidR="002D450A" w:rsidRPr="0008227F">
              <w:rPr>
                <w:sz w:val="22"/>
                <w:lang w:val="fr-FR"/>
              </w:rPr>
              <w:br/>
            </w:r>
            <w:r w:rsidRPr="00667EAA">
              <w:rPr>
                <w:sz w:val="22"/>
                <w:lang w:val="en-US"/>
              </w:rPr>
              <w:t>Leukopenia</w:t>
            </w:r>
            <w:r w:rsidR="002D450A" w:rsidRPr="0008227F">
              <w:rPr>
                <w:sz w:val="22"/>
                <w:lang w:val="fr-FR"/>
              </w:rPr>
              <w:br/>
            </w:r>
            <w:r w:rsidRPr="00667EAA">
              <w:rPr>
                <w:sz w:val="22"/>
                <w:lang w:val="en-US"/>
              </w:rPr>
              <w:t>Lymphocytosis</w:t>
            </w:r>
          </w:p>
        </w:tc>
        <w:tc>
          <w:tcPr>
            <w:tcW w:w="1418" w:type="dxa"/>
            <w:tcBorders>
              <w:top w:val="single" w:sz="4" w:space="0" w:color="auto"/>
              <w:left w:val="single" w:sz="4" w:space="0" w:color="auto"/>
              <w:bottom w:val="single" w:sz="4" w:space="0" w:color="auto"/>
              <w:right w:val="single" w:sz="4" w:space="0" w:color="auto"/>
            </w:tcBorders>
          </w:tcPr>
          <w:p w:rsidR="009A3BDF" w:rsidRPr="00667EAA" w:rsidRDefault="009A3BDF" w:rsidP="002D450A">
            <w:pPr>
              <w:pStyle w:val="CLDTableTextListText"/>
              <w:spacing w:after="60"/>
              <w:rPr>
                <w:sz w:val="22"/>
                <w:lang w:val="en-US"/>
              </w:rPr>
            </w:pPr>
          </w:p>
        </w:tc>
        <w:tc>
          <w:tcPr>
            <w:tcW w:w="1748" w:type="dxa"/>
            <w:tcBorders>
              <w:top w:val="single" w:sz="4" w:space="0" w:color="auto"/>
              <w:left w:val="single" w:sz="4" w:space="0" w:color="auto"/>
              <w:bottom w:val="single" w:sz="4" w:space="0" w:color="auto"/>
              <w:right w:val="single" w:sz="4" w:space="0" w:color="auto"/>
            </w:tcBorders>
          </w:tcPr>
          <w:p w:rsidR="009A3BDF" w:rsidRPr="00667EAA" w:rsidRDefault="009A3BDF" w:rsidP="002D450A">
            <w:pPr>
              <w:pStyle w:val="CLDTableTextListText"/>
              <w:spacing w:after="60"/>
              <w:rPr>
                <w:sz w:val="22"/>
                <w:lang w:val="en-US"/>
              </w:rPr>
            </w:pPr>
            <w:r w:rsidRPr="00667EAA">
              <w:rPr>
                <w:sz w:val="22"/>
                <w:lang w:val="en-US"/>
              </w:rPr>
              <w:t>Agranulocytosis</w:t>
            </w:r>
            <w:r w:rsidR="002D450A" w:rsidRPr="0008227F">
              <w:rPr>
                <w:sz w:val="22"/>
                <w:lang w:val="fr-FR"/>
              </w:rPr>
              <w:br/>
            </w:r>
            <w:proofErr w:type="spellStart"/>
            <w:r w:rsidRPr="00667EAA">
              <w:rPr>
                <w:sz w:val="22"/>
                <w:lang w:val="en-US"/>
              </w:rPr>
              <w:t>Haemolytic</w:t>
            </w:r>
            <w:proofErr w:type="spellEnd"/>
            <w:r w:rsidRPr="00667EAA">
              <w:rPr>
                <w:sz w:val="22"/>
                <w:lang w:val="en-US"/>
              </w:rPr>
              <w:t xml:space="preserve"> </w:t>
            </w:r>
            <w:proofErr w:type="spellStart"/>
            <w:r w:rsidRPr="00667EAA">
              <w:rPr>
                <w:sz w:val="22"/>
                <w:lang w:val="en-US"/>
              </w:rPr>
              <w:t>anaemia</w:t>
            </w:r>
            <w:proofErr w:type="spellEnd"/>
          </w:p>
        </w:tc>
      </w:tr>
      <w:tr w:rsidR="001939AC" w:rsidRPr="00667EAA" w:rsidTr="00CD7E05">
        <w:tc>
          <w:tcPr>
            <w:tcW w:w="1937" w:type="dxa"/>
            <w:tcBorders>
              <w:top w:val="single" w:sz="4" w:space="0" w:color="auto"/>
              <w:left w:val="single" w:sz="4" w:space="0" w:color="auto"/>
              <w:bottom w:val="single" w:sz="4" w:space="0" w:color="auto"/>
              <w:right w:val="single" w:sz="4" w:space="0" w:color="auto"/>
            </w:tcBorders>
          </w:tcPr>
          <w:p w:rsidR="009A3BDF" w:rsidRPr="002E7FAF" w:rsidRDefault="009A3BDF" w:rsidP="002D450A">
            <w:pPr>
              <w:pStyle w:val="CLDTableSpaceListSpace"/>
              <w:spacing w:before="20" w:after="60"/>
              <w:rPr>
                <w:b/>
                <w:bCs/>
                <w:sz w:val="22"/>
                <w:lang w:val="en-US"/>
              </w:rPr>
            </w:pPr>
            <w:r w:rsidRPr="002E7FAF">
              <w:rPr>
                <w:b/>
                <w:bCs/>
                <w:sz w:val="22"/>
                <w:lang w:val="en-US"/>
              </w:rPr>
              <w:t>Immune system disorders</w:t>
            </w:r>
          </w:p>
        </w:tc>
        <w:tc>
          <w:tcPr>
            <w:tcW w:w="1134" w:type="dxa"/>
            <w:tcBorders>
              <w:top w:val="single" w:sz="4" w:space="0" w:color="auto"/>
              <w:left w:val="single" w:sz="4" w:space="0" w:color="auto"/>
              <w:bottom w:val="single" w:sz="4" w:space="0" w:color="auto"/>
              <w:right w:val="single" w:sz="4" w:space="0" w:color="auto"/>
            </w:tcBorders>
          </w:tcPr>
          <w:p w:rsidR="009A3BDF" w:rsidRPr="00667EAA" w:rsidRDefault="009A3BDF" w:rsidP="002D450A">
            <w:pPr>
              <w:pStyle w:val="CLDTableTextListText"/>
              <w:spacing w:after="60"/>
              <w:rPr>
                <w:sz w:val="22"/>
                <w:lang w:val="en-US"/>
              </w:rPr>
            </w:pPr>
          </w:p>
        </w:tc>
        <w:tc>
          <w:tcPr>
            <w:tcW w:w="1985" w:type="dxa"/>
            <w:tcBorders>
              <w:top w:val="single" w:sz="4" w:space="0" w:color="auto"/>
              <w:left w:val="single" w:sz="4" w:space="0" w:color="auto"/>
              <w:bottom w:val="single" w:sz="4" w:space="0" w:color="auto"/>
              <w:right w:val="single" w:sz="4" w:space="0" w:color="auto"/>
            </w:tcBorders>
          </w:tcPr>
          <w:p w:rsidR="009A3BDF" w:rsidRPr="00667EAA" w:rsidRDefault="009A3BDF" w:rsidP="002D450A">
            <w:pPr>
              <w:pStyle w:val="CLDTableTextListText"/>
              <w:spacing w:after="60"/>
              <w:rPr>
                <w:sz w:val="22"/>
                <w:lang w:val="en-US"/>
              </w:rPr>
            </w:pPr>
          </w:p>
        </w:tc>
        <w:tc>
          <w:tcPr>
            <w:tcW w:w="1653" w:type="dxa"/>
            <w:tcBorders>
              <w:top w:val="single" w:sz="4" w:space="0" w:color="auto"/>
              <w:left w:val="single" w:sz="4" w:space="0" w:color="auto"/>
              <w:bottom w:val="single" w:sz="4" w:space="0" w:color="auto"/>
              <w:right w:val="single" w:sz="4" w:space="0" w:color="auto"/>
            </w:tcBorders>
          </w:tcPr>
          <w:p w:rsidR="009A3BDF" w:rsidRPr="00667EAA" w:rsidRDefault="009A3BDF" w:rsidP="002D450A">
            <w:pPr>
              <w:pStyle w:val="CLDTableTextListText"/>
              <w:spacing w:after="60"/>
              <w:rPr>
                <w:sz w:val="22"/>
                <w:lang w:val="en-US"/>
              </w:rPr>
            </w:pPr>
          </w:p>
        </w:tc>
        <w:tc>
          <w:tcPr>
            <w:tcW w:w="1418" w:type="dxa"/>
            <w:tcBorders>
              <w:top w:val="single" w:sz="4" w:space="0" w:color="auto"/>
              <w:left w:val="single" w:sz="4" w:space="0" w:color="auto"/>
              <w:bottom w:val="single" w:sz="4" w:space="0" w:color="auto"/>
              <w:right w:val="single" w:sz="4" w:space="0" w:color="auto"/>
            </w:tcBorders>
          </w:tcPr>
          <w:p w:rsidR="009A3BDF" w:rsidRPr="00667EAA" w:rsidRDefault="009A3BDF" w:rsidP="002D450A">
            <w:pPr>
              <w:pStyle w:val="CLDTableTextListText"/>
              <w:spacing w:after="60"/>
              <w:rPr>
                <w:sz w:val="22"/>
                <w:lang w:val="en-US"/>
              </w:rPr>
            </w:pPr>
          </w:p>
        </w:tc>
        <w:tc>
          <w:tcPr>
            <w:tcW w:w="1748" w:type="dxa"/>
            <w:tcBorders>
              <w:top w:val="single" w:sz="4" w:space="0" w:color="auto"/>
              <w:left w:val="single" w:sz="4" w:space="0" w:color="auto"/>
              <w:bottom w:val="single" w:sz="4" w:space="0" w:color="auto"/>
              <w:right w:val="single" w:sz="4" w:space="0" w:color="auto"/>
            </w:tcBorders>
          </w:tcPr>
          <w:p w:rsidR="009A3BDF" w:rsidRPr="00667EAA" w:rsidRDefault="009A3BDF" w:rsidP="002D450A">
            <w:pPr>
              <w:pStyle w:val="CLDTableTextListText"/>
              <w:spacing w:after="60"/>
              <w:rPr>
                <w:sz w:val="22"/>
                <w:lang w:val="en-US"/>
              </w:rPr>
            </w:pPr>
            <w:r w:rsidRPr="00667EAA">
              <w:rPr>
                <w:sz w:val="22"/>
                <w:lang w:val="en-US"/>
              </w:rPr>
              <w:t>Anaphylactic reaction</w:t>
            </w:r>
          </w:p>
        </w:tc>
      </w:tr>
      <w:tr w:rsidR="001939AC" w:rsidRPr="00667EAA" w:rsidTr="00CD7E05">
        <w:tc>
          <w:tcPr>
            <w:tcW w:w="1937" w:type="dxa"/>
            <w:tcBorders>
              <w:top w:val="single" w:sz="4" w:space="0" w:color="auto"/>
              <w:left w:val="single" w:sz="4" w:space="0" w:color="auto"/>
              <w:bottom w:val="single" w:sz="4" w:space="0" w:color="auto"/>
              <w:right w:val="single" w:sz="4" w:space="0" w:color="auto"/>
            </w:tcBorders>
          </w:tcPr>
          <w:p w:rsidR="009A3BDF" w:rsidRPr="002E7FAF" w:rsidRDefault="009A3BDF" w:rsidP="002D450A">
            <w:pPr>
              <w:pStyle w:val="CLDTableSpaceListSpace"/>
              <w:spacing w:before="20" w:after="60"/>
              <w:rPr>
                <w:b/>
                <w:bCs/>
                <w:sz w:val="22"/>
                <w:lang w:val="en-US"/>
              </w:rPr>
            </w:pPr>
            <w:r w:rsidRPr="002E7FAF">
              <w:rPr>
                <w:b/>
                <w:bCs/>
                <w:sz w:val="22"/>
                <w:lang w:val="en-US"/>
              </w:rPr>
              <w:t>Nervous system disorders</w:t>
            </w:r>
          </w:p>
        </w:tc>
        <w:tc>
          <w:tcPr>
            <w:tcW w:w="1134" w:type="dxa"/>
            <w:tcBorders>
              <w:top w:val="single" w:sz="4" w:space="0" w:color="auto"/>
              <w:left w:val="single" w:sz="4" w:space="0" w:color="auto"/>
              <w:bottom w:val="single" w:sz="4" w:space="0" w:color="auto"/>
              <w:right w:val="single" w:sz="4" w:space="0" w:color="auto"/>
            </w:tcBorders>
          </w:tcPr>
          <w:p w:rsidR="009A3BDF" w:rsidRPr="00667EAA" w:rsidRDefault="009A3BDF" w:rsidP="002D450A">
            <w:pPr>
              <w:pStyle w:val="CLDTableTextListText"/>
              <w:spacing w:after="60"/>
              <w:rPr>
                <w:sz w:val="22"/>
                <w:lang w:val="en-US"/>
              </w:rPr>
            </w:pPr>
          </w:p>
        </w:tc>
        <w:tc>
          <w:tcPr>
            <w:tcW w:w="1985" w:type="dxa"/>
            <w:tcBorders>
              <w:top w:val="single" w:sz="4" w:space="0" w:color="auto"/>
              <w:left w:val="single" w:sz="4" w:space="0" w:color="auto"/>
              <w:bottom w:val="single" w:sz="4" w:space="0" w:color="auto"/>
              <w:right w:val="single" w:sz="4" w:space="0" w:color="auto"/>
            </w:tcBorders>
          </w:tcPr>
          <w:p w:rsidR="009A3BDF" w:rsidRPr="00667EAA" w:rsidRDefault="009A3BDF" w:rsidP="002D450A">
            <w:pPr>
              <w:pStyle w:val="CLDTableTextListText"/>
              <w:spacing w:after="60"/>
              <w:rPr>
                <w:sz w:val="22"/>
                <w:lang w:val="en-US"/>
              </w:rPr>
            </w:pPr>
            <w:r w:rsidRPr="00667EAA">
              <w:rPr>
                <w:sz w:val="22"/>
                <w:lang w:val="en-US"/>
              </w:rPr>
              <w:t>Headache</w:t>
            </w:r>
            <w:r w:rsidR="002D450A" w:rsidRPr="0008227F">
              <w:rPr>
                <w:sz w:val="22"/>
                <w:lang w:val="fr-FR"/>
              </w:rPr>
              <w:br/>
            </w:r>
            <w:r w:rsidRPr="00667EAA">
              <w:rPr>
                <w:sz w:val="22"/>
                <w:lang w:val="en-US"/>
              </w:rPr>
              <w:t>Dizziness</w:t>
            </w:r>
          </w:p>
        </w:tc>
        <w:tc>
          <w:tcPr>
            <w:tcW w:w="1653" w:type="dxa"/>
            <w:tcBorders>
              <w:top w:val="single" w:sz="4" w:space="0" w:color="auto"/>
              <w:left w:val="single" w:sz="4" w:space="0" w:color="auto"/>
              <w:bottom w:val="single" w:sz="4" w:space="0" w:color="auto"/>
              <w:right w:val="single" w:sz="4" w:space="0" w:color="auto"/>
            </w:tcBorders>
          </w:tcPr>
          <w:p w:rsidR="009A3BDF" w:rsidRPr="00667EAA" w:rsidRDefault="009A3BDF" w:rsidP="002D450A">
            <w:pPr>
              <w:pStyle w:val="CLDTableTextListText"/>
              <w:spacing w:after="60"/>
              <w:rPr>
                <w:sz w:val="22"/>
                <w:lang w:val="en-US"/>
              </w:rPr>
            </w:pPr>
            <w:proofErr w:type="spellStart"/>
            <w:r w:rsidRPr="00667EAA">
              <w:rPr>
                <w:sz w:val="22"/>
                <w:lang w:val="en-US"/>
              </w:rPr>
              <w:t>Paraesthesia</w:t>
            </w:r>
            <w:proofErr w:type="spellEnd"/>
          </w:p>
        </w:tc>
        <w:tc>
          <w:tcPr>
            <w:tcW w:w="1418" w:type="dxa"/>
            <w:tcBorders>
              <w:top w:val="single" w:sz="4" w:space="0" w:color="auto"/>
              <w:left w:val="single" w:sz="4" w:space="0" w:color="auto"/>
              <w:bottom w:val="single" w:sz="4" w:space="0" w:color="auto"/>
              <w:right w:val="single" w:sz="4" w:space="0" w:color="auto"/>
            </w:tcBorders>
          </w:tcPr>
          <w:p w:rsidR="009A3BDF" w:rsidRPr="00667EAA" w:rsidRDefault="009A3BDF" w:rsidP="002D450A">
            <w:pPr>
              <w:pStyle w:val="CLDTableTextListText"/>
              <w:spacing w:after="60"/>
              <w:rPr>
                <w:sz w:val="22"/>
                <w:lang w:val="en-US"/>
              </w:rPr>
            </w:pPr>
          </w:p>
        </w:tc>
        <w:tc>
          <w:tcPr>
            <w:tcW w:w="1748" w:type="dxa"/>
            <w:tcBorders>
              <w:top w:val="single" w:sz="4" w:space="0" w:color="auto"/>
              <w:left w:val="single" w:sz="4" w:space="0" w:color="auto"/>
              <w:bottom w:val="single" w:sz="4" w:space="0" w:color="auto"/>
              <w:right w:val="single" w:sz="4" w:space="0" w:color="auto"/>
            </w:tcBorders>
          </w:tcPr>
          <w:p w:rsidR="009A3BDF" w:rsidRPr="00667EAA" w:rsidRDefault="009A3BDF" w:rsidP="002D450A">
            <w:pPr>
              <w:pStyle w:val="CLDTableTextListText"/>
              <w:spacing w:after="60"/>
              <w:rPr>
                <w:sz w:val="22"/>
                <w:lang w:val="en-US"/>
              </w:rPr>
            </w:pPr>
          </w:p>
        </w:tc>
      </w:tr>
      <w:tr w:rsidR="001939AC" w:rsidRPr="00667EAA" w:rsidTr="00CD7E05">
        <w:tc>
          <w:tcPr>
            <w:tcW w:w="1937" w:type="dxa"/>
            <w:tcBorders>
              <w:top w:val="single" w:sz="4" w:space="0" w:color="auto"/>
              <w:left w:val="single" w:sz="4" w:space="0" w:color="auto"/>
              <w:bottom w:val="single" w:sz="4" w:space="0" w:color="auto"/>
              <w:right w:val="single" w:sz="4" w:space="0" w:color="auto"/>
            </w:tcBorders>
          </w:tcPr>
          <w:p w:rsidR="009A3BDF" w:rsidRPr="002E7FAF" w:rsidRDefault="009A3BDF" w:rsidP="002D450A">
            <w:pPr>
              <w:pStyle w:val="CLDTableSpaceListSpace"/>
              <w:spacing w:before="20" w:after="60"/>
              <w:rPr>
                <w:b/>
                <w:bCs/>
                <w:sz w:val="22"/>
                <w:lang w:val="en-US"/>
              </w:rPr>
            </w:pPr>
            <w:r w:rsidRPr="002E7FAF">
              <w:rPr>
                <w:b/>
                <w:bCs/>
                <w:sz w:val="22"/>
                <w:lang w:val="en-US"/>
              </w:rPr>
              <w:t>Gastrointestinal disorders</w:t>
            </w:r>
          </w:p>
        </w:tc>
        <w:tc>
          <w:tcPr>
            <w:tcW w:w="1134" w:type="dxa"/>
            <w:tcBorders>
              <w:top w:val="single" w:sz="4" w:space="0" w:color="auto"/>
              <w:left w:val="single" w:sz="4" w:space="0" w:color="auto"/>
              <w:bottom w:val="single" w:sz="4" w:space="0" w:color="auto"/>
              <w:right w:val="single" w:sz="4" w:space="0" w:color="auto"/>
            </w:tcBorders>
          </w:tcPr>
          <w:p w:rsidR="009A3BDF" w:rsidRPr="00667EAA" w:rsidRDefault="009A3BDF" w:rsidP="002D450A">
            <w:pPr>
              <w:pStyle w:val="CLDTableTextListText"/>
              <w:spacing w:after="60"/>
              <w:rPr>
                <w:sz w:val="22"/>
                <w:lang w:val="en-US"/>
              </w:rPr>
            </w:pPr>
          </w:p>
        </w:tc>
        <w:tc>
          <w:tcPr>
            <w:tcW w:w="1985" w:type="dxa"/>
            <w:tcBorders>
              <w:top w:val="single" w:sz="4" w:space="0" w:color="auto"/>
              <w:left w:val="single" w:sz="4" w:space="0" w:color="auto"/>
              <w:bottom w:val="single" w:sz="4" w:space="0" w:color="auto"/>
              <w:right w:val="single" w:sz="4" w:space="0" w:color="auto"/>
            </w:tcBorders>
          </w:tcPr>
          <w:p w:rsidR="009A3BDF" w:rsidRPr="00667EAA" w:rsidRDefault="009A3BDF" w:rsidP="002D450A">
            <w:pPr>
              <w:pStyle w:val="CLDTableTextListText"/>
              <w:spacing w:after="60"/>
              <w:rPr>
                <w:sz w:val="22"/>
                <w:lang w:val="en-US"/>
              </w:rPr>
            </w:pPr>
            <w:proofErr w:type="spellStart"/>
            <w:r w:rsidRPr="00667EAA">
              <w:rPr>
                <w:sz w:val="22"/>
                <w:lang w:val="en-US"/>
              </w:rPr>
              <w:t>Diarrhoea</w:t>
            </w:r>
            <w:proofErr w:type="spellEnd"/>
            <w:r w:rsidR="002D450A" w:rsidRPr="0008227F">
              <w:rPr>
                <w:sz w:val="22"/>
                <w:lang w:val="fr-FR"/>
              </w:rPr>
              <w:br/>
            </w:r>
            <w:r w:rsidRPr="00667EAA">
              <w:rPr>
                <w:sz w:val="22"/>
                <w:lang w:val="en-US"/>
              </w:rPr>
              <w:t>Abdominal pain</w:t>
            </w:r>
            <w:r w:rsidR="002D450A" w:rsidRPr="0008227F">
              <w:rPr>
                <w:sz w:val="22"/>
                <w:lang w:val="fr-FR"/>
              </w:rPr>
              <w:br/>
            </w:r>
            <w:r w:rsidRPr="00667EAA">
              <w:rPr>
                <w:sz w:val="22"/>
                <w:lang w:val="en-US"/>
              </w:rPr>
              <w:t>Nausea</w:t>
            </w:r>
            <w:r w:rsidR="002D450A" w:rsidRPr="0008227F">
              <w:rPr>
                <w:sz w:val="22"/>
                <w:lang w:val="fr-FR"/>
              </w:rPr>
              <w:br/>
            </w:r>
            <w:r w:rsidRPr="00667EAA">
              <w:rPr>
                <w:sz w:val="22"/>
                <w:lang w:val="en-US"/>
              </w:rPr>
              <w:t>Vomiting</w:t>
            </w:r>
          </w:p>
        </w:tc>
        <w:tc>
          <w:tcPr>
            <w:tcW w:w="1653" w:type="dxa"/>
            <w:tcBorders>
              <w:top w:val="single" w:sz="4" w:space="0" w:color="auto"/>
              <w:left w:val="single" w:sz="4" w:space="0" w:color="auto"/>
              <w:bottom w:val="single" w:sz="4" w:space="0" w:color="auto"/>
              <w:right w:val="single" w:sz="4" w:space="0" w:color="auto"/>
            </w:tcBorders>
          </w:tcPr>
          <w:p w:rsidR="009A3BDF" w:rsidRPr="00667EAA" w:rsidRDefault="009A3BDF" w:rsidP="002D450A">
            <w:pPr>
              <w:pStyle w:val="CLDTableTextListText"/>
              <w:spacing w:after="60"/>
              <w:rPr>
                <w:sz w:val="22"/>
                <w:lang w:val="en-US"/>
              </w:rPr>
            </w:pPr>
            <w:proofErr w:type="spellStart"/>
            <w:r w:rsidRPr="00667EAA">
              <w:rPr>
                <w:sz w:val="22"/>
                <w:lang w:val="en-US"/>
              </w:rPr>
              <w:t>Dysgeusia</w:t>
            </w:r>
            <w:proofErr w:type="spellEnd"/>
          </w:p>
        </w:tc>
        <w:tc>
          <w:tcPr>
            <w:tcW w:w="1418" w:type="dxa"/>
            <w:tcBorders>
              <w:top w:val="single" w:sz="4" w:space="0" w:color="auto"/>
              <w:left w:val="single" w:sz="4" w:space="0" w:color="auto"/>
              <w:bottom w:val="single" w:sz="4" w:space="0" w:color="auto"/>
              <w:right w:val="single" w:sz="4" w:space="0" w:color="auto"/>
            </w:tcBorders>
          </w:tcPr>
          <w:p w:rsidR="009A3BDF" w:rsidRPr="00667EAA" w:rsidRDefault="009A3BDF" w:rsidP="002D450A">
            <w:pPr>
              <w:pStyle w:val="CLDTableTextListText"/>
              <w:spacing w:after="60"/>
              <w:rPr>
                <w:sz w:val="22"/>
                <w:lang w:val="en-US"/>
              </w:rPr>
            </w:pPr>
          </w:p>
        </w:tc>
        <w:tc>
          <w:tcPr>
            <w:tcW w:w="1748" w:type="dxa"/>
            <w:tcBorders>
              <w:top w:val="single" w:sz="4" w:space="0" w:color="auto"/>
              <w:left w:val="single" w:sz="4" w:space="0" w:color="auto"/>
              <w:bottom w:val="single" w:sz="4" w:space="0" w:color="auto"/>
              <w:right w:val="single" w:sz="4" w:space="0" w:color="auto"/>
            </w:tcBorders>
          </w:tcPr>
          <w:p w:rsidR="009A3BDF" w:rsidRPr="00667EAA" w:rsidRDefault="009A3BDF" w:rsidP="002D450A">
            <w:pPr>
              <w:pStyle w:val="CLDTableTextListText"/>
              <w:spacing w:after="60"/>
              <w:rPr>
                <w:sz w:val="22"/>
                <w:lang w:val="en-US"/>
              </w:rPr>
            </w:pPr>
          </w:p>
        </w:tc>
      </w:tr>
      <w:tr w:rsidR="001939AC" w:rsidRPr="00667EAA" w:rsidTr="00CD7E05">
        <w:tc>
          <w:tcPr>
            <w:tcW w:w="1937" w:type="dxa"/>
            <w:tcBorders>
              <w:top w:val="single" w:sz="4" w:space="0" w:color="auto"/>
              <w:left w:val="single" w:sz="4" w:space="0" w:color="auto"/>
              <w:bottom w:val="single" w:sz="4" w:space="0" w:color="auto"/>
              <w:right w:val="single" w:sz="4" w:space="0" w:color="auto"/>
            </w:tcBorders>
          </w:tcPr>
          <w:p w:rsidR="009A3BDF" w:rsidRPr="002E7FAF" w:rsidRDefault="009A3BDF" w:rsidP="002D450A">
            <w:pPr>
              <w:pStyle w:val="CLDTableSpaceListSpace"/>
              <w:spacing w:before="20" w:after="60"/>
              <w:rPr>
                <w:b/>
                <w:bCs/>
                <w:sz w:val="22"/>
                <w:lang w:val="en-US"/>
              </w:rPr>
            </w:pPr>
            <w:r w:rsidRPr="002E7FAF">
              <w:rPr>
                <w:b/>
                <w:bCs/>
                <w:sz w:val="22"/>
                <w:lang w:val="en-US"/>
              </w:rPr>
              <w:lastRenderedPageBreak/>
              <w:t>Hepatobiliary disorders</w:t>
            </w:r>
          </w:p>
        </w:tc>
        <w:tc>
          <w:tcPr>
            <w:tcW w:w="1134" w:type="dxa"/>
            <w:tcBorders>
              <w:top w:val="single" w:sz="4" w:space="0" w:color="auto"/>
              <w:left w:val="single" w:sz="4" w:space="0" w:color="auto"/>
              <w:bottom w:val="single" w:sz="4" w:space="0" w:color="auto"/>
              <w:right w:val="single" w:sz="4" w:space="0" w:color="auto"/>
            </w:tcBorders>
          </w:tcPr>
          <w:p w:rsidR="009A3BDF" w:rsidRPr="00667EAA" w:rsidRDefault="009A3BDF" w:rsidP="002D450A">
            <w:pPr>
              <w:pStyle w:val="CLDTableTextListText"/>
              <w:spacing w:after="60"/>
              <w:rPr>
                <w:sz w:val="22"/>
                <w:lang w:val="en-US"/>
              </w:rPr>
            </w:pPr>
          </w:p>
        </w:tc>
        <w:tc>
          <w:tcPr>
            <w:tcW w:w="1985" w:type="dxa"/>
            <w:tcBorders>
              <w:top w:val="single" w:sz="4" w:space="0" w:color="auto"/>
              <w:left w:val="single" w:sz="4" w:space="0" w:color="auto"/>
              <w:bottom w:val="single" w:sz="4" w:space="0" w:color="auto"/>
              <w:right w:val="single" w:sz="4" w:space="0" w:color="auto"/>
            </w:tcBorders>
          </w:tcPr>
          <w:p w:rsidR="009A3BDF" w:rsidRPr="00667EAA" w:rsidRDefault="009A3BDF" w:rsidP="002D450A">
            <w:pPr>
              <w:pStyle w:val="CLDTableTextListText"/>
              <w:spacing w:after="60"/>
              <w:rPr>
                <w:sz w:val="22"/>
                <w:lang w:val="en-US"/>
              </w:rPr>
            </w:pPr>
            <w:r w:rsidRPr="00667EAA">
              <w:rPr>
                <w:sz w:val="22"/>
                <w:lang w:val="en-US"/>
              </w:rPr>
              <w:t>Alanine aminotransferase increased</w:t>
            </w:r>
            <w:r w:rsidR="002D450A" w:rsidRPr="0008227F">
              <w:rPr>
                <w:sz w:val="22"/>
                <w:lang w:val="fr-FR"/>
              </w:rPr>
              <w:br/>
            </w:r>
            <w:r w:rsidRPr="00667EAA">
              <w:rPr>
                <w:sz w:val="22"/>
                <w:lang w:val="en-US"/>
              </w:rPr>
              <w:t>Aspartate aminotransferase increased</w:t>
            </w:r>
            <w:r w:rsidR="002D450A" w:rsidRPr="0008227F">
              <w:rPr>
                <w:sz w:val="22"/>
                <w:lang w:val="fr-FR"/>
              </w:rPr>
              <w:br/>
            </w:r>
            <w:r w:rsidRPr="00667EAA">
              <w:rPr>
                <w:sz w:val="22"/>
                <w:lang w:val="en-US"/>
              </w:rPr>
              <w:t>Blood alkaline phosphatase increased</w:t>
            </w:r>
            <w:r w:rsidR="002D450A" w:rsidRPr="0008227F">
              <w:rPr>
                <w:sz w:val="22"/>
                <w:lang w:val="fr-FR"/>
              </w:rPr>
              <w:br/>
            </w:r>
            <w:r w:rsidRPr="00667EAA">
              <w:rPr>
                <w:sz w:val="22"/>
                <w:lang w:val="en-US"/>
              </w:rPr>
              <w:t>Gamma-</w:t>
            </w:r>
            <w:proofErr w:type="spellStart"/>
            <w:r w:rsidRPr="00667EAA">
              <w:rPr>
                <w:sz w:val="22"/>
                <w:lang w:val="en-US"/>
              </w:rPr>
              <w:t>glutamyltransferase</w:t>
            </w:r>
            <w:proofErr w:type="spellEnd"/>
            <w:r w:rsidRPr="00667EAA">
              <w:rPr>
                <w:sz w:val="22"/>
                <w:lang w:val="en-US"/>
              </w:rPr>
              <w:t xml:space="preserve"> increased</w:t>
            </w:r>
            <w:r w:rsidR="002D450A" w:rsidRPr="0008227F">
              <w:rPr>
                <w:sz w:val="22"/>
                <w:lang w:val="fr-FR"/>
              </w:rPr>
              <w:br/>
            </w:r>
            <w:r w:rsidRPr="00667EAA">
              <w:rPr>
                <w:sz w:val="22"/>
                <w:lang w:val="en-US"/>
              </w:rPr>
              <w:t>Blood lactate dehydrogenase</w:t>
            </w:r>
            <w:r w:rsidR="002D450A" w:rsidRPr="0008227F">
              <w:rPr>
                <w:sz w:val="22"/>
                <w:lang w:val="fr-FR"/>
              </w:rPr>
              <w:br/>
            </w:r>
            <w:r w:rsidR="00601DC5" w:rsidRPr="00667EAA">
              <w:rPr>
                <w:sz w:val="22"/>
                <w:lang w:val="en-US"/>
              </w:rPr>
              <w:t>i</w:t>
            </w:r>
            <w:r w:rsidRPr="00667EAA">
              <w:rPr>
                <w:sz w:val="22"/>
                <w:lang w:val="en-US"/>
              </w:rPr>
              <w:t>ncreased</w:t>
            </w:r>
          </w:p>
        </w:tc>
        <w:tc>
          <w:tcPr>
            <w:tcW w:w="1653" w:type="dxa"/>
            <w:tcBorders>
              <w:top w:val="single" w:sz="4" w:space="0" w:color="auto"/>
              <w:left w:val="single" w:sz="4" w:space="0" w:color="auto"/>
              <w:bottom w:val="single" w:sz="4" w:space="0" w:color="auto"/>
              <w:right w:val="single" w:sz="4" w:space="0" w:color="auto"/>
            </w:tcBorders>
          </w:tcPr>
          <w:p w:rsidR="009A3BDF" w:rsidRPr="00667EAA" w:rsidRDefault="009A3BDF" w:rsidP="002D450A">
            <w:pPr>
              <w:pStyle w:val="CLDTableTextListText"/>
              <w:spacing w:after="60"/>
              <w:rPr>
                <w:sz w:val="22"/>
                <w:lang w:val="en-US"/>
              </w:rPr>
            </w:pPr>
          </w:p>
        </w:tc>
        <w:tc>
          <w:tcPr>
            <w:tcW w:w="1418" w:type="dxa"/>
            <w:tcBorders>
              <w:top w:val="single" w:sz="4" w:space="0" w:color="auto"/>
              <w:left w:val="single" w:sz="4" w:space="0" w:color="auto"/>
              <w:bottom w:val="single" w:sz="4" w:space="0" w:color="auto"/>
              <w:right w:val="single" w:sz="4" w:space="0" w:color="auto"/>
            </w:tcBorders>
          </w:tcPr>
          <w:p w:rsidR="009A3BDF" w:rsidRPr="00667EAA" w:rsidRDefault="009A3BDF" w:rsidP="002D450A">
            <w:pPr>
              <w:pStyle w:val="CLDTableTextListText"/>
              <w:spacing w:after="60"/>
              <w:rPr>
                <w:sz w:val="22"/>
                <w:lang w:val="en-US"/>
              </w:rPr>
            </w:pPr>
          </w:p>
        </w:tc>
        <w:tc>
          <w:tcPr>
            <w:tcW w:w="1748" w:type="dxa"/>
            <w:tcBorders>
              <w:top w:val="single" w:sz="4" w:space="0" w:color="auto"/>
              <w:left w:val="single" w:sz="4" w:space="0" w:color="auto"/>
              <w:bottom w:val="single" w:sz="4" w:space="0" w:color="auto"/>
              <w:right w:val="single" w:sz="4" w:space="0" w:color="auto"/>
            </w:tcBorders>
          </w:tcPr>
          <w:p w:rsidR="009A3BDF" w:rsidRPr="00667EAA" w:rsidRDefault="009A3BDF" w:rsidP="002D450A">
            <w:pPr>
              <w:pStyle w:val="CLDTableTextListText"/>
              <w:spacing w:after="60"/>
              <w:rPr>
                <w:sz w:val="22"/>
                <w:lang w:val="en-US"/>
              </w:rPr>
            </w:pPr>
            <w:r w:rsidRPr="00667EAA">
              <w:rPr>
                <w:sz w:val="22"/>
                <w:lang w:val="en-US"/>
              </w:rPr>
              <w:t>Jaundice</w:t>
            </w:r>
          </w:p>
        </w:tc>
      </w:tr>
      <w:tr w:rsidR="001939AC" w:rsidRPr="00667EAA" w:rsidTr="00CD7E05">
        <w:trPr>
          <w:trHeight w:val="304"/>
        </w:trPr>
        <w:tc>
          <w:tcPr>
            <w:tcW w:w="1937" w:type="dxa"/>
            <w:tcBorders>
              <w:top w:val="single" w:sz="4" w:space="0" w:color="auto"/>
              <w:left w:val="single" w:sz="4" w:space="0" w:color="auto"/>
              <w:bottom w:val="single" w:sz="4" w:space="0" w:color="auto"/>
              <w:right w:val="single" w:sz="4" w:space="0" w:color="auto"/>
            </w:tcBorders>
          </w:tcPr>
          <w:p w:rsidR="009A3BDF" w:rsidRPr="002E7FAF" w:rsidRDefault="009A3BDF" w:rsidP="002D450A">
            <w:pPr>
              <w:pStyle w:val="CLDTableSpaceListSpace"/>
              <w:spacing w:before="20" w:after="60"/>
              <w:rPr>
                <w:b/>
                <w:bCs/>
                <w:sz w:val="22"/>
                <w:lang w:val="en-US"/>
              </w:rPr>
            </w:pPr>
            <w:r w:rsidRPr="002E7FAF">
              <w:rPr>
                <w:b/>
                <w:bCs/>
                <w:sz w:val="22"/>
                <w:lang w:val="en-US"/>
              </w:rPr>
              <w:t>Skin and subcutaneous tissue disorders</w:t>
            </w:r>
          </w:p>
        </w:tc>
        <w:tc>
          <w:tcPr>
            <w:tcW w:w="1134" w:type="dxa"/>
            <w:tcBorders>
              <w:top w:val="single" w:sz="4" w:space="0" w:color="auto"/>
              <w:left w:val="single" w:sz="4" w:space="0" w:color="auto"/>
              <w:bottom w:val="single" w:sz="4" w:space="0" w:color="auto"/>
              <w:right w:val="single" w:sz="4" w:space="0" w:color="auto"/>
            </w:tcBorders>
          </w:tcPr>
          <w:p w:rsidR="009A3BDF" w:rsidRPr="00667EAA" w:rsidRDefault="009A3BDF" w:rsidP="002D450A">
            <w:pPr>
              <w:pStyle w:val="CLDTableTextListText"/>
              <w:spacing w:after="60"/>
              <w:rPr>
                <w:sz w:val="22"/>
                <w:lang w:val="en-US"/>
              </w:rPr>
            </w:pPr>
          </w:p>
        </w:tc>
        <w:tc>
          <w:tcPr>
            <w:tcW w:w="1985" w:type="dxa"/>
            <w:tcBorders>
              <w:top w:val="single" w:sz="4" w:space="0" w:color="auto"/>
              <w:left w:val="single" w:sz="4" w:space="0" w:color="auto"/>
              <w:bottom w:val="single" w:sz="4" w:space="0" w:color="auto"/>
              <w:right w:val="single" w:sz="4" w:space="0" w:color="auto"/>
            </w:tcBorders>
          </w:tcPr>
          <w:p w:rsidR="009A3BDF" w:rsidRPr="00667EAA" w:rsidRDefault="009A3BDF" w:rsidP="002D450A">
            <w:pPr>
              <w:pStyle w:val="CLDTableTextListText"/>
              <w:spacing w:after="60"/>
              <w:rPr>
                <w:sz w:val="22"/>
                <w:lang w:val="en-US"/>
              </w:rPr>
            </w:pPr>
            <w:r w:rsidRPr="00667EAA">
              <w:rPr>
                <w:sz w:val="22"/>
                <w:lang w:val="en-US"/>
              </w:rPr>
              <w:t xml:space="preserve">Rash </w:t>
            </w:r>
            <w:proofErr w:type="spellStart"/>
            <w:r w:rsidRPr="00667EAA">
              <w:rPr>
                <w:sz w:val="22"/>
                <w:lang w:val="en-US"/>
              </w:rPr>
              <w:t>maculo-papular</w:t>
            </w:r>
            <w:proofErr w:type="spellEnd"/>
            <w:r w:rsidR="002D450A" w:rsidRPr="0008227F">
              <w:rPr>
                <w:sz w:val="22"/>
                <w:lang w:val="fr-FR"/>
              </w:rPr>
              <w:br/>
            </w:r>
            <w:proofErr w:type="spellStart"/>
            <w:r w:rsidRPr="00667EAA">
              <w:rPr>
                <w:sz w:val="22"/>
                <w:lang w:val="en-US"/>
              </w:rPr>
              <w:t>Urticaria</w:t>
            </w:r>
            <w:proofErr w:type="spellEnd"/>
            <w:r w:rsidR="002D450A" w:rsidRPr="0008227F">
              <w:rPr>
                <w:sz w:val="22"/>
                <w:lang w:val="fr-FR"/>
              </w:rPr>
              <w:br/>
            </w:r>
            <w:r w:rsidRPr="00667EAA">
              <w:rPr>
                <w:sz w:val="22"/>
                <w:lang w:val="en-US"/>
              </w:rPr>
              <w:t>Pruritus</w:t>
            </w:r>
          </w:p>
        </w:tc>
        <w:tc>
          <w:tcPr>
            <w:tcW w:w="1653" w:type="dxa"/>
            <w:tcBorders>
              <w:top w:val="single" w:sz="4" w:space="0" w:color="auto"/>
              <w:left w:val="single" w:sz="4" w:space="0" w:color="auto"/>
              <w:bottom w:val="single" w:sz="4" w:space="0" w:color="auto"/>
              <w:right w:val="single" w:sz="4" w:space="0" w:color="auto"/>
            </w:tcBorders>
          </w:tcPr>
          <w:p w:rsidR="009A3BDF" w:rsidRPr="00667EAA" w:rsidRDefault="009A3BDF" w:rsidP="002D450A">
            <w:pPr>
              <w:pStyle w:val="CLDTableTextListText"/>
              <w:spacing w:after="60"/>
              <w:rPr>
                <w:sz w:val="22"/>
                <w:lang w:val="en-US"/>
              </w:rPr>
            </w:pPr>
          </w:p>
        </w:tc>
        <w:tc>
          <w:tcPr>
            <w:tcW w:w="1418" w:type="dxa"/>
            <w:tcBorders>
              <w:top w:val="single" w:sz="4" w:space="0" w:color="auto"/>
              <w:left w:val="single" w:sz="4" w:space="0" w:color="auto"/>
              <w:bottom w:val="single" w:sz="4" w:space="0" w:color="auto"/>
              <w:right w:val="single" w:sz="4" w:space="0" w:color="auto"/>
            </w:tcBorders>
          </w:tcPr>
          <w:p w:rsidR="009A3BDF" w:rsidRPr="00667EAA" w:rsidRDefault="009A3BDF" w:rsidP="002D450A">
            <w:pPr>
              <w:pStyle w:val="CLDTableTextListText"/>
              <w:spacing w:after="60"/>
              <w:rPr>
                <w:sz w:val="22"/>
                <w:lang w:val="en-US"/>
              </w:rPr>
            </w:pPr>
          </w:p>
        </w:tc>
        <w:tc>
          <w:tcPr>
            <w:tcW w:w="1748" w:type="dxa"/>
            <w:tcBorders>
              <w:top w:val="single" w:sz="4" w:space="0" w:color="auto"/>
              <w:left w:val="single" w:sz="4" w:space="0" w:color="auto"/>
              <w:bottom w:val="single" w:sz="4" w:space="0" w:color="auto"/>
              <w:right w:val="single" w:sz="4" w:space="0" w:color="auto"/>
            </w:tcBorders>
          </w:tcPr>
          <w:p w:rsidR="009A3BDF" w:rsidRPr="00667EAA" w:rsidRDefault="009A3BDF" w:rsidP="002D450A">
            <w:pPr>
              <w:pStyle w:val="CLDTableTextListText"/>
              <w:spacing w:after="60"/>
              <w:rPr>
                <w:sz w:val="22"/>
                <w:lang w:val="en-US"/>
              </w:rPr>
            </w:pPr>
            <w:r w:rsidRPr="00667EAA">
              <w:rPr>
                <w:sz w:val="22"/>
                <w:lang w:val="en-US"/>
              </w:rPr>
              <w:t xml:space="preserve">Toxic epidermal </w:t>
            </w:r>
            <w:r w:rsidR="00FD74A7">
              <w:rPr>
                <w:sz w:val="22"/>
                <w:lang w:val="en-US"/>
              </w:rPr>
              <w:t>necrolysis</w:t>
            </w:r>
            <w:r w:rsidR="002D450A" w:rsidRPr="0008227F">
              <w:rPr>
                <w:sz w:val="22"/>
                <w:lang w:val="fr-FR"/>
              </w:rPr>
              <w:br/>
            </w:r>
            <w:r w:rsidRPr="00667EAA">
              <w:rPr>
                <w:sz w:val="22"/>
                <w:lang w:val="en-US"/>
              </w:rPr>
              <w:t>Stevens-Johnson syndrome</w:t>
            </w:r>
            <w:r w:rsidR="002D450A" w:rsidRPr="0008227F">
              <w:rPr>
                <w:sz w:val="22"/>
                <w:lang w:val="fr-FR"/>
              </w:rPr>
              <w:br/>
            </w:r>
            <w:r w:rsidRPr="00667EAA">
              <w:rPr>
                <w:sz w:val="22"/>
                <w:lang w:val="en-US"/>
              </w:rPr>
              <w:t xml:space="preserve">Erythema </w:t>
            </w:r>
            <w:proofErr w:type="spellStart"/>
            <w:r w:rsidRPr="00667EAA">
              <w:rPr>
                <w:sz w:val="22"/>
                <w:lang w:val="en-US"/>
              </w:rPr>
              <w:t>multiforme</w:t>
            </w:r>
            <w:proofErr w:type="spellEnd"/>
            <w:r w:rsidR="002D450A" w:rsidRPr="0008227F">
              <w:rPr>
                <w:sz w:val="22"/>
                <w:lang w:val="fr-FR"/>
              </w:rPr>
              <w:br/>
            </w:r>
            <w:r w:rsidRPr="00667EAA">
              <w:rPr>
                <w:sz w:val="22"/>
                <w:lang w:val="en-US"/>
              </w:rPr>
              <w:t>Angioedema</w:t>
            </w:r>
            <w:r w:rsidR="002D450A" w:rsidRPr="0008227F">
              <w:rPr>
                <w:sz w:val="22"/>
                <w:lang w:val="fr-FR"/>
              </w:rPr>
              <w:br/>
            </w:r>
            <w:r w:rsidRPr="00667EAA">
              <w:rPr>
                <w:sz w:val="22"/>
                <w:lang w:eastAsia="en-GB"/>
              </w:rPr>
              <w:t>Drug Reaction with Eosinophilia and Systemic Symptoms (DRESS)</w:t>
            </w:r>
          </w:p>
        </w:tc>
      </w:tr>
      <w:tr w:rsidR="001939AC" w:rsidRPr="00667EAA" w:rsidTr="00CD7E05">
        <w:trPr>
          <w:trHeight w:val="1822"/>
        </w:trPr>
        <w:tc>
          <w:tcPr>
            <w:tcW w:w="1937" w:type="dxa"/>
            <w:tcBorders>
              <w:top w:val="single" w:sz="4" w:space="0" w:color="auto"/>
              <w:left w:val="single" w:sz="4" w:space="0" w:color="auto"/>
              <w:bottom w:val="single" w:sz="4" w:space="0" w:color="auto"/>
              <w:right w:val="single" w:sz="4" w:space="0" w:color="auto"/>
            </w:tcBorders>
          </w:tcPr>
          <w:p w:rsidR="009A3BDF" w:rsidRPr="002E7FAF" w:rsidRDefault="009A3BDF" w:rsidP="002D450A">
            <w:pPr>
              <w:pStyle w:val="CLDTableSpaceListSpace"/>
              <w:spacing w:before="20" w:after="60"/>
              <w:rPr>
                <w:b/>
                <w:bCs/>
                <w:sz w:val="22"/>
                <w:lang w:val="en-US"/>
              </w:rPr>
            </w:pPr>
            <w:r w:rsidRPr="002E7FAF">
              <w:rPr>
                <w:b/>
                <w:bCs/>
                <w:sz w:val="22"/>
                <w:lang w:val="en-US"/>
              </w:rPr>
              <w:t>Renal and urinary disorders</w:t>
            </w:r>
          </w:p>
        </w:tc>
        <w:tc>
          <w:tcPr>
            <w:tcW w:w="1134" w:type="dxa"/>
            <w:tcBorders>
              <w:top w:val="single" w:sz="4" w:space="0" w:color="auto"/>
              <w:left w:val="single" w:sz="4" w:space="0" w:color="auto"/>
              <w:bottom w:val="single" w:sz="4" w:space="0" w:color="auto"/>
              <w:right w:val="single" w:sz="4" w:space="0" w:color="auto"/>
            </w:tcBorders>
          </w:tcPr>
          <w:p w:rsidR="009A3BDF" w:rsidRPr="00667EAA" w:rsidRDefault="009A3BDF" w:rsidP="002D450A">
            <w:pPr>
              <w:pStyle w:val="CLDTableTextListText"/>
              <w:spacing w:after="60"/>
              <w:rPr>
                <w:sz w:val="22"/>
                <w:lang w:val="en-US"/>
              </w:rPr>
            </w:pPr>
          </w:p>
        </w:tc>
        <w:tc>
          <w:tcPr>
            <w:tcW w:w="1985" w:type="dxa"/>
            <w:tcBorders>
              <w:top w:val="single" w:sz="4" w:space="0" w:color="auto"/>
              <w:left w:val="single" w:sz="4" w:space="0" w:color="auto"/>
              <w:bottom w:val="single" w:sz="4" w:space="0" w:color="auto"/>
              <w:right w:val="single" w:sz="4" w:space="0" w:color="auto"/>
            </w:tcBorders>
          </w:tcPr>
          <w:p w:rsidR="009A3BDF" w:rsidRPr="00667EAA" w:rsidRDefault="009A3BDF" w:rsidP="002D450A">
            <w:pPr>
              <w:pStyle w:val="CLDTableTextListText"/>
              <w:spacing w:after="60"/>
              <w:rPr>
                <w:sz w:val="22"/>
                <w:lang w:val="en-US"/>
              </w:rPr>
            </w:pPr>
          </w:p>
        </w:tc>
        <w:tc>
          <w:tcPr>
            <w:tcW w:w="1653" w:type="dxa"/>
            <w:tcBorders>
              <w:top w:val="single" w:sz="4" w:space="0" w:color="auto"/>
              <w:left w:val="single" w:sz="4" w:space="0" w:color="auto"/>
              <w:bottom w:val="single" w:sz="4" w:space="0" w:color="auto"/>
              <w:right w:val="single" w:sz="4" w:space="0" w:color="auto"/>
            </w:tcBorders>
          </w:tcPr>
          <w:p w:rsidR="009A3BDF" w:rsidRPr="00667EAA" w:rsidRDefault="009A3BDF" w:rsidP="002D450A">
            <w:pPr>
              <w:pStyle w:val="CLDTableTextListText"/>
              <w:spacing w:after="60"/>
              <w:rPr>
                <w:sz w:val="22"/>
                <w:lang w:val="en-US"/>
              </w:rPr>
            </w:pPr>
            <w:r w:rsidRPr="00667EAA">
              <w:rPr>
                <w:sz w:val="22"/>
                <w:lang w:val="en-US"/>
              </w:rPr>
              <w:t xml:space="preserve">Blood creatinine increased </w:t>
            </w:r>
            <w:r w:rsidR="002D450A" w:rsidRPr="0008227F">
              <w:rPr>
                <w:sz w:val="22"/>
                <w:lang w:val="fr-FR"/>
              </w:rPr>
              <w:br/>
            </w:r>
            <w:r w:rsidRPr="00667EAA">
              <w:rPr>
                <w:sz w:val="22"/>
                <w:lang w:val="en-US"/>
              </w:rPr>
              <w:t>Blood urea increased</w:t>
            </w:r>
            <w:r w:rsidR="002D450A" w:rsidRPr="0008227F">
              <w:rPr>
                <w:sz w:val="22"/>
                <w:lang w:val="fr-FR"/>
              </w:rPr>
              <w:br/>
            </w:r>
            <w:r w:rsidRPr="00667EAA">
              <w:rPr>
                <w:sz w:val="22"/>
                <w:lang w:val="en-US"/>
              </w:rPr>
              <w:t>Acute kidney injury</w:t>
            </w:r>
          </w:p>
        </w:tc>
        <w:tc>
          <w:tcPr>
            <w:tcW w:w="1418" w:type="dxa"/>
            <w:tcBorders>
              <w:top w:val="single" w:sz="4" w:space="0" w:color="auto"/>
              <w:left w:val="single" w:sz="4" w:space="0" w:color="auto"/>
              <w:bottom w:val="single" w:sz="4" w:space="0" w:color="auto"/>
              <w:right w:val="single" w:sz="4" w:space="0" w:color="auto"/>
            </w:tcBorders>
          </w:tcPr>
          <w:p w:rsidR="009A3BDF" w:rsidRPr="00667EAA" w:rsidRDefault="009A3BDF" w:rsidP="002D450A">
            <w:pPr>
              <w:pStyle w:val="CLDTableTextListText"/>
              <w:spacing w:after="60"/>
              <w:rPr>
                <w:sz w:val="22"/>
                <w:lang w:val="en-US"/>
              </w:rPr>
            </w:pPr>
            <w:proofErr w:type="spellStart"/>
            <w:r w:rsidRPr="00667EAA">
              <w:rPr>
                <w:sz w:val="22"/>
                <w:lang w:val="en-US"/>
              </w:rPr>
              <w:t>Tubulo</w:t>
            </w:r>
            <w:proofErr w:type="spellEnd"/>
            <w:r w:rsidR="00B04B3E" w:rsidRPr="00667EAA">
              <w:rPr>
                <w:sz w:val="22"/>
                <w:lang w:val="en-US"/>
              </w:rPr>
              <w:t>-</w:t>
            </w:r>
            <w:r w:rsidRPr="00667EAA">
              <w:rPr>
                <w:sz w:val="22"/>
                <w:lang w:val="en-US"/>
              </w:rPr>
              <w:t>interstitial nephritis</w:t>
            </w:r>
          </w:p>
        </w:tc>
        <w:tc>
          <w:tcPr>
            <w:tcW w:w="1748" w:type="dxa"/>
            <w:tcBorders>
              <w:top w:val="single" w:sz="4" w:space="0" w:color="auto"/>
              <w:left w:val="single" w:sz="4" w:space="0" w:color="auto"/>
              <w:bottom w:val="single" w:sz="4" w:space="0" w:color="auto"/>
              <w:right w:val="single" w:sz="4" w:space="0" w:color="auto"/>
            </w:tcBorders>
          </w:tcPr>
          <w:p w:rsidR="009A3BDF" w:rsidRPr="00667EAA" w:rsidRDefault="009A3BDF" w:rsidP="002D450A">
            <w:pPr>
              <w:pStyle w:val="CLDTableTextListText"/>
              <w:spacing w:after="60"/>
              <w:rPr>
                <w:sz w:val="22"/>
                <w:lang w:val="en-US"/>
              </w:rPr>
            </w:pPr>
          </w:p>
        </w:tc>
      </w:tr>
      <w:tr w:rsidR="001939AC" w:rsidRPr="00667EAA" w:rsidTr="00CD7E05">
        <w:trPr>
          <w:trHeight w:val="1379"/>
        </w:trPr>
        <w:tc>
          <w:tcPr>
            <w:tcW w:w="1937" w:type="dxa"/>
            <w:tcBorders>
              <w:top w:val="single" w:sz="4" w:space="0" w:color="auto"/>
              <w:left w:val="single" w:sz="4" w:space="0" w:color="auto"/>
              <w:bottom w:val="single" w:sz="4" w:space="0" w:color="auto"/>
              <w:right w:val="single" w:sz="4" w:space="0" w:color="auto"/>
            </w:tcBorders>
          </w:tcPr>
          <w:p w:rsidR="009A3BDF" w:rsidRPr="002E7FAF" w:rsidRDefault="009A3BDF" w:rsidP="002D450A">
            <w:pPr>
              <w:pStyle w:val="CLDTableSpaceListSpace"/>
              <w:spacing w:before="20" w:after="60"/>
              <w:rPr>
                <w:b/>
                <w:bCs/>
                <w:sz w:val="22"/>
                <w:lang w:val="en-US"/>
              </w:rPr>
            </w:pPr>
            <w:r w:rsidRPr="002E7FAF">
              <w:rPr>
                <w:b/>
                <w:bCs/>
                <w:sz w:val="22"/>
                <w:lang w:val="en-US"/>
              </w:rPr>
              <w:t>General disorders and administration site conditions</w:t>
            </w:r>
          </w:p>
        </w:tc>
        <w:tc>
          <w:tcPr>
            <w:tcW w:w="1134" w:type="dxa"/>
            <w:tcBorders>
              <w:top w:val="single" w:sz="4" w:space="0" w:color="auto"/>
              <w:left w:val="single" w:sz="4" w:space="0" w:color="auto"/>
              <w:bottom w:val="single" w:sz="4" w:space="0" w:color="auto"/>
              <w:right w:val="single" w:sz="4" w:space="0" w:color="auto"/>
            </w:tcBorders>
          </w:tcPr>
          <w:p w:rsidR="009A3BDF" w:rsidRPr="00667EAA" w:rsidRDefault="009A3BDF" w:rsidP="002D450A">
            <w:pPr>
              <w:pStyle w:val="CLDTableTextListText"/>
              <w:spacing w:after="60"/>
              <w:rPr>
                <w:sz w:val="22"/>
                <w:lang w:val="en-US"/>
              </w:rPr>
            </w:pPr>
          </w:p>
        </w:tc>
        <w:tc>
          <w:tcPr>
            <w:tcW w:w="1985" w:type="dxa"/>
            <w:tcBorders>
              <w:top w:val="single" w:sz="4" w:space="0" w:color="auto"/>
              <w:left w:val="single" w:sz="4" w:space="0" w:color="auto"/>
              <w:bottom w:val="single" w:sz="4" w:space="0" w:color="auto"/>
              <w:right w:val="single" w:sz="4" w:space="0" w:color="auto"/>
            </w:tcBorders>
          </w:tcPr>
          <w:p w:rsidR="009A3BDF" w:rsidRPr="00667EAA" w:rsidRDefault="009A3BDF" w:rsidP="002D450A">
            <w:pPr>
              <w:pStyle w:val="CLDTableTextListText"/>
              <w:spacing w:after="60"/>
              <w:rPr>
                <w:sz w:val="22"/>
                <w:lang w:val="en-US"/>
              </w:rPr>
            </w:pPr>
            <w:r w:rsidRPr="00667EAA">
              <w:rPr>
                <w:sz w:val="22"/>
                <w:lang w:val="en-US"/>
              </w:rPr>
              <w:t xml:space="preserve">Infusion site </w:t>
            </w:r>
            <w:proofErr w:type="spellStart"/>
            <w:r w:rsidRPr="00667EAA">
              <w:rPr>
                <w:sz w:val="22"/>
                <w:lang w:val="en-US"/>
              </w:rPr>
              <w:t>thrombosis</w:t>
            </w:r>
            <w:r w:rsidR="002D450A">
              <w:rPr>
                <w:sz w:val="22"/>
                <w:lang w:val="en-US"/>
              </w:rPr>
              <w:t>v</w:t>
            </w:r>
            <w:proofErr w:type="spellEnd"/>
          </w:p>
          <w:p w:rsidR="009A3BDF" w:rsidRPr="00667EAA" w:rsidRDefault="009A3BDF" w:rsidP="002D450A">
            <w:pPr>
              <w:pStyle w:val="CLDTableTextListText"/>
              <w:spacing w:after="60"/>
              <w:rPr>
                <w:sz w:val="22"/>
                <w:lang w:val="en-US"/>
              </w:rPr>
            </w:pPr>
            <w:r w:rsidRPr="00667EAA">
              <w:rPr>
                <w:sz w:val="22"/>
                <w:lang w:val="en-US"/>
              </w:rPr>
              <w:t>Infusion site phlebitis</w:t>
            </w:r>
            <w:r w:rsidR="002D450A" w:rsidRPr="0008227F">
              <w:rPr>
                <w:sz w:val="22"/>
                <w:lang w:val="fr-FR"/>
              </w:rPr>
              <w:br/>
            </w:r>
            <w:r w:rsidRPr="00667EAA">
              <w:rPr>
                <w:sz w:val="22"/>
                <w:lang w:val="en-US"/>
              </w:rPr>
              <w:t>Pyrexia</w:t>
            </w:r>
          </w:p>
        </w:tc>
        <w:tc>
          <w:tcPr>
            <w:tcW w:w="1653" w:type="dxa"/>
            <w:tcBorders>
              <w:top w:val="single" w:sz="4" w:space="0" w:color="auto"/>
              <w:left w:val="single" w:sz="4" w:space="0" w:color="auto"/>
              <w:bottom w:val="single" w:sz="4" w:space="0" w:color="auto"/>
              <w:right w:val="single" w:sz="4" w:space="0" w:color="auto"/>
            </w:tcBorders>
          </w:tcPr>
          <w:p w:rsidR="009A3BDF" w:rsidRPr="00667EAA" w:rsidRDefault="009A3BDF" w:rsidP="002D450A">
            <w:pPr>
              <w:pStyle w:val="CLDTableTextListText"/>
              <w:spacing w:after="60"/>
              <w:rPr>
                <w:sz w:val="22"/>
                <w:lang w:val="en-US"/>
              </w:rPr>
            </w:pPr>
          </w:p>
        </w:tc>
        <w:tc>
          <w:tcPr>
            <w:tcW w:w="1418" w:type="dxa"/>
            <w:tcBorders>
              <w:top w:val="single" w:sz="4" w:space="0" w:color="auto"/>
              <w:left w:val="single" w:sz="4" w:space="0" w:color="auto"/>
              <w:bottom w:val="single" w:sz="4" w:space="0" w:color="auto"/>
              <w:right w:val="single" w:sz="4" w:space="0" w:color="auto"/>
            </w:tcBorders>
          </w:tcPr>
          <w:p w:rsidR="009A3BDF" w:rsidRPr="00667EAA" w:rsidRDefault="009A3BDF" w:rsidP="002D450A">
            <w:pPr>
              <w:pStyle w:val="CLDTableTextListText"/>
              <w:spacing w:after="60"/>
              <w:rPr>
                <w:sz w:val="22"/>
                <w:lang w:val="en-US"/>
              </w:rPr>
            </w:pPr>
          </w:p>
        </w:tc>
        <w:tc>
          <w:tcPr>
            <w:tcW w:w="1748" w:type="dxa"/>
            <w:tcBorders>
              <w:top w:val="single" w:sz="4" w:space="0" w:color="auto"/>
              <w:left w:val="single" w:sz="4" w:space="0" w:color="auto"/>
              <w:bottom w:val="single" w:sz="4" w:space="0" w:color="auto"/>
              <w:right w:val="single" w:sz="4" w:space="0" w:color="auto"/>
            </w:tcBorders>
          </w:tcPr>
          <w:p w:rsidR="009A3BDF" w:rsidRPr="00667EAA" w:rsidRDefault="009A3BDF" w:rsidP="002D450A">
            <w:pPr>
              <w:pStyle w:val="CLDTableTextListText"/>
              <w:spacing w:after="60"/>
              <w:rPr>
                <w:sz w:val="22"/>
                <w:lang w:val="en-US"/>
              </w:rPr>
            </w:pPr>
          </w:p>
        </w:tc>
      </w:tr>
    </w:tbl>
    <w:p w:rsidR="009A3BDF" w:rsidRPr="00172F36" w:rsidRDefault="009A3BDF" w:rsidP="005B4B20">
      <w:pPr>
        <w:pStyle w:val="CLDHeading3"/>
      </w:pPr>
      <w:r w:rsidRPr="00172F36">
        <w:t xml:space="preserve">Reporting of suspected adverse </w:t>
      </w:r>
      <w:r w:rsidR="00C13C1A">
        <w:t>effects</w:t>
      </w:r>
    </w:p>
    <w:p w:rsidR="004020F2" w:rsidRPr="008F036C" w:rsidRDefault="009A3BDF" w:rsidP="004020F2">
      <w:pPr>
        <w:pStyle w:val="CLDNormal"/>
      </w:pPr>
      <w:r w:rsidRPr="00B04B3E">
        <w:t xml:space="preserve">Reporting suspected adverse reactions after authorisation of the medicinal product is important. It allows continued monitoring of the benefit/risk balance of the medicinal product. </w:t>
      </w:r>
      <w:r w:rsidR="005D649F" w:rsidRPr="00B04B3E">
        <w:t xml:space="preserve">Healthcare </w:t>
      </w:r>
      <w:r w:rsidR="005D649F" w:rsidRPr="00B04B3E">
        <w:lastRenderedPageBreak/>
        <w:t xml:space="preserve">professionals </w:t>
      </w:r>
      <w:proofErr w:type="gramStart"/>
      <w:r w:rsidR="005D649F" w:rsidRPr="00B04B3E">
        <w:t>are asked</w:t>
      </w:r>
      <w:proofErr w:type="gramEnd"/>
      <w:r w:rsidR="005D649F" w:rsidRPr="00B04B3E">
        <w:t xml:space="preserve"> to report any suspected adverse reactions</w:t>
      </w:r>
      <w:r w:rsidR="00D76D07">
        <w:t xml:space="preserve"> </w:t>
      </w:r>
      <w:r w:rsidR="004020F2">
        <w:t xml:space="preserve">at </w:t>
      </w:r>
      <w:hyperlink r:id="rId14" w:history="1">
        <w:r w:rsidR="004020F2" w:rsidRPr="00087235">
          <w:rPr>
            <w:rStyle w:val="Hyperlink"/>
          </w:rPr>
          <w:t>http://www.tga.gov.au/reporting-problems</w:t>
        </w:r>
      </w:hyperlink>
      <w:r w:rsidR="004020F2">
        <w:t>.</w:t>
      </w:r>
    </w:p>
    <w:p w:rsidR="00112E5B" w:rsidRPr="001939AC" w:rsidRDefault="00003E72" w:rsidP="005B4B20">
      <w:pPr>
        <w:pStyle w:val="CLDHeading2"/>
      </w:pPr>
      <w:r w:rsidRPr="001939AC">
        <w:t>4.9</w:t>
      </w:r>
      <w:r w:rsidR="00A65B7D">
        <w:t xml:space="preserve"> </w:t>
      </w:r>
      <w:r w:rsidR="00112E5B" w:rsidRPr="001939AC">
        <w:t>Overdos</w:t>
      </w:r>
      <w:r w:rsidR="0061777E" w:rsidRPr="001939AC">
        <w:t>e</w:t>
      </w:r>
    </w:p>
    <w:p w:rsidR="00E84983" w:rsidRPr="001939AC" w:rsidRDefault="00E84983" w:rsidP="00E84983">
      <w:pPr>
        <w:pStyle w:val="CLDNormal"/>
      </w:pPr>
      <w:r w:rsidRPr="001939AC">
        <w:t xml:space="preserve">Overdose with </w:t>
      </w:r>
      <w:proofErr w:type="spellStart"/>
      <w:r w:rsidRPr="001939AC">
        <w:t>ceftazidime</w:t>
      </w:r>
      <w:proofErr w:type="spellEnd"/>
      <w:r w:rsidRPr="001939AC">
        <w:t>/avibactam can lead to neurological sequelae including encephalopathy, convulsions and coma, du</w:t>
      </w:r>
      <w:r w:rsidR="007F4266">
        <w:t xml:space="preserve">e to the </w:t>
      </w:r>
      <w:proofErr w:type="spellStart"/>
      <w:r w:rsidR="007F4266">
        <w:t>ceftazidime</w:t>
      </w:r>
      <w:proofErr w:type="spellEnd"/>
      <w:r w:rsidR="007F4266">
        <w:t xml:space="preserve"> component.</w:t>
      </w:r>
    </w:p>
    <w:p w:rsidR="00E84983" w:rsidRPr="001939AC" w:rsidRDefault="00E84983" w:rsidP="00E84983">
      <w:pPr>
        <w:pStyle w:val="CLDNormal"/>
        <w:rPr>
          <w:noProof/>
          <w:szCs w:val="22"/>
        </w:rPr>
      </w:pPr>
      <w:r w:rsidRPr="001939AC">
        <w:rPr>
          <w:lang w:val="en"/>
        </w:rPr>
        <w:t xml:space="preserve">Serum levels of </w:t>
      </w:r>
      <w:proofErr w:type="spellStart"/>
      <w:r w:rsidRPr="001939AC">
        <w:rPr>
          <w:lang w:val="en"/>
        </w:rPr>
        <w:t>ceftazidime</w:t>
      </w:r>
      <w:proofErr w:type="spellEnd"/>
      <w:r w:rsidRPr="001939AC">
        <w:rPr>
          <w:lang w:val="en"/>
        </w:rPr>
        <w:t xml:space="preserve"> </w:t>
      </w:r>
      <w:proofErr w:type="gramStart"/>
      <w:r w:rsidRPr="001939AC">
        <w:rPr>
          <w:lang w:val="en"/>
        </w:rPr>
        <w:t>can be reduced</w:t>
      </w:r>
      <w:proofErr w:type="gramEnd"/>
      <w:r w:rsidRPr="001939AC">
        <w:rPr>
          <w:lang w:val="en"/>
        </w:rPr>
        <w:t xml:space="preserve"> by </w:t>
      </w:r>
      <w:proofErr w:type="spellStart"/>
      <w:r w:rsidRPr="001939AC">
        <w:rPr>
          <w:lang w:val="en"/>
        </w:rPr>
        <w:t>haemodialysis</w:t>
      </w:r>
      <w:proofErr w:type="spellEnd"/>
      <w:r w:rsidRPr="001939AC">
        <w:rPr>
          <w:lang w:val="en"/>
        </w:rPr>
        <w:t xml:space="preserve"> or peritoneal dialysis. </w:t>
      </w:r>
      <w:r w:rsidRPr="001939AC">
        <w:t xml:space="preserve">During a 4-hour haemodialysis period, 55% of the avibactam dose </w:t>
      </w:r>
      <w:proofErr w:type="gramStart"/>
      <w:r w:rsidRPr="001939AC">
        <w:t>was removed</w:t>
      </w:r>
      <w:proofErr w:type="gramEnd"/>
      <w:r w:rsidRPr="001939AC">
        <w:t>.</w:t>
      </w:r>
    </w:p>
    <w:p w:rsidR="0061777E" w:rsidRPr="001939AC" w:rsidRDefault="0061777E" w:rsidP="000C2523">
      <w:r w:rsidRPr="001939AC">
        <w:t xml:space="preserve">For advice on the management of overdose please contact the </w:t>
      </w:r>
      <w:r w:rsidR="000C2523" w:rsidRPr="001939AC">
        <w:t>Poisons Information Centre on 13 11 26 (Australia).</w:t>
      </w:r>
    </w:p>
    <w:p w:rsidR="0062454C" w:rsidRPr="001939AC" w:rsidRDefault="00003E72" w:rsidP="00460035">
      <w:pPr>
        <w:pStyle w:val="CLDHeading1"/>
      </w:pPr>
      <w:r w:rsidRPr="001939AC">
        <w:t>5.</w:t>
      </w:r>
      <w:r w:rsidR="00E84983" w:rsidRPr="001939AC">
        <w:t xml:space="preserve"> </w:t>
      </w:r>
      <w:r w:rsidR="002A37D8">
        <w:t>PHARMACOKINETIC PROPERTIES</w:t>
      </w:r>
    </w:p>
    <w:p w:rsidR="00112E5B" w:rsidRPr="001939AC" w:rsidRDefault="00003E72" w:rsidP="005B4B20">
      <w:pPr>
        <w:pStyle w:val="CLDHeading2"/>
      </w:pPr>
      <w:r w:rsidRPr="001939AC">
        <w:t>5.1</w:t>
      </w:r>
      <w:r w:rsidR="000C2523" w:rsidRPr="001939AC">
        <w:t xml:space="preserve"> </w:t>
      </w:r>
      <w:proofErr w:type="spellStart"/>
      <w:r w:rsidR="00112E5B" w:rsidRPr="001939AC">
        <w:t>Pharmacodynamic</w:t>
      </w:r>
      <w:proofErr w:type="spellEnd"/>
      <w:r w:rsidR="00112E5B" w:rsidRPr="001939AC">
        <w:t xml:space="preserve"> properties</w:t>
      </w:r>
    </w:p>
    <w:p w:rsidR="00E84983" w:rsidRPr="00367176" w:rsidRDefault="00E84983" w:rsidP="00367176">
      <w:pPr>
        <w:pStyle w:val="CLDNormal"/>
      </w:pPr>
      <w:proofErr w:type="spellStart"/>
      <w:r w:rsidRPr="001939AC">
        <w:t>Pharmacotherapeutic</w:t>
      </w:r>
      <w:proofErr w:type="spellEnd"/>
      <w:r w:rsidRPr="001939AC">
        <w:t xml:space="preserve"> group: </w:t>
      </w:r>
      <w:r w:rsidRPr="001939AC">
        <w:rPr>
          <w:noProof/>
        </w:rPr>
        <w:t>Antibacterials for systemic use, ceftazidime, combinations, ATC code: J01DD52</w:t>
      </w:r>
      <w:r w:rsidR="001A1ADE">
        <w:rPr>
          <w:noProof/>
        </w:rPr>
        <w:t>.</w:t>
      </w:r>
    </w:p>
    <w:p w:rsidR="003C6DC6" w:rsidRPr="001939AC" w:rsidRDefault="007F4266" w:rsidP="005B4B20">
      <w:pPr>
        <w:pStyle w:val="CLDHeading3"/>
      </w:pPr>
      <w:r>
        <w:t>Mechanism of action</w:t>
      </w:r>
    </w:p>
    <w:p w:rsidR="00E84983" w:rsidRPr="00367176" w:rsidRDefault="00E84983" w:rsidP="00E84983">
      <w:pPr>
        <w:pStyle w:val="CLDNormal"/>
      </w:pPr>
      <w:proofErr w:type="spellStart"/>
      <w:r w:rsidRPr="001939AC">
        <w:t>Ceftazidime</w:t>
      </w:r>
      <w:proofErr w:type="spellEnd"/>
      <w:r w:rsidRPr="001939AC">
        <w:t xml:space="preserve"> inhibits bacterial peptidoglycan cell wall synthesis following binding to penicillin binding proteins (PBPs), which leads to bacterial cell lysis and death. Avibactam is a non </w:t>
      </w:r>
      <w:r w:rsidR="005E734C">
        <w:sym w:font="Symbol" w:char="F062"/>
      </w:r>
      <w:r w:rsidRPr="001939AC">
        <w:t xml:space="preserve">-lactam, </w:t>
      </w:r>
      <w:r w:rsidR="005E734C">
        <w:sym w:font="Symbol" w:char="F062"/>
      </w:r>
      <w:r w:rsidRPr="001939AC">
        <w:t xml:space="preserve">-lactamase inhibitor that acts by forming a covalent adduct with the enzyme that is stable to hydrolysis. It inhibits both Ambler class A and class C </w:t>
      </w:r>
      <w:r w:rsidR="00A710B1">
        <w:sym w:font="Symbol" w:char="F062"/>
      </w:r>
      <w:r w:rsidRPr="001939AC">
        <w:t xml:space="preserve">-lactamases and some class D enzymes, including extended-spectrum </w:t>
      </w:r>
      <w:r w:rsidR="005E734C">
        <w:sym w:font="Symbol" w:char="F062"/>
      </w:r>
      <w:r w:rsidRPr="001939AC">
        <w:t xml:space="preserve">-lactamases (ESBLs), KPC and OXA-48 </w:t>
      </w:r>
      <w:proofErr w:type="spellStart"/>
      <w:r w:rsidRPr="001939AC">
        <w:t>carbapenemases</w:t>
      </w:r>
      <w:proofErr w:type="spellEnd"/>
      <w:r w:rsidRPr="001939AC">
        <w:t xml:space="preserve">, and </w:t>
      </w:r>
      <w:proofErr w:type="spellStart"/>
      <w:r w:rsidRPr="001939AC">
        <w:t>AmpC</w:t>
      </w:r>
      <w:proofErr w:type="spellEnd"/>
      <w:r w:rsidRPr="001939AC">
        <w:t xml:space="preserve"> enzymes. </w:t>
      </w:r>
      <w:r w:rsidRPr="001939AC">
        <w:rPr>
          <w:rFonts w:eastAsia="TimesNewRoman"/>
          <w:lang w:eastAsia="en-GB"/>
        </w:rPr>
        <w:t>Avibactam does not inhibit class B enzymes (</w:t>
      </w:r>
      <w:proofErr w:type="spellStart"/>
      <w:r w:rsidRPr="001939AC">
        <w:rPr>
          <w:rFonts w:eastAsia="TimesNewRoman"/>
          <w:lang w:eastAsia="en-GB"/>
        </w:rPr>
        <w:t>metallo</w:t>
      </w:r>
      <w:proofErr w:type="spellEnd"/>
      <w:r w:rsidRPr="001939AC">
        <w:rPr>
          <w:rFonts w:eastAsia="TimesNewRoman"/>
          <w:lang w:eastAsia="en-GB"/>
        </w:rPr>
        <w:t>-</w:t>
      </w:r>
      <w:r w:rsidR="005E734C">
        <w:rPr>
          <w:rFonts w:eastAsia="TimesNewRoman"/>
          <w:lang w:eastAsia="en-GB"/>
        </w:rPr>
        <w:sym w:font="Symbol" w:char="F062"/>
      </w:r>
      <w:r w:rsidRPr="001939AC">
        <w:rPr>
          <w:rFonts w:eastAsia="TimesNewRoman"/>
          <w:lang w:eastAsia="en-GB"/>
        </w:rPr>
        <w:t>-lactamases) and is not able t</w:t>
      </w:r>
      <w:r w:rsidR="007F4266">
        <w:rPr>
          <w:rFonts w:eastAsia="TimesNewRoman"/>
          <w:lang w:eastAsia="en-GB"/>
        </w:rPr>
        <w:t>o inhibit many class D enzymes.</w:t>
      </w:r>
    </w:p>
    <w:p w:rsidR="00E84983" w:rsidRPr="001939AC" w:rsidRDefault="00E84983" w:rsidP="00E84983">
      <w:pPr>
        <w:pStyle w:val="CLDHeading4"/>
      </w:pPr>
      <w:r w:rsidRPr="001939AC">
        <w:t>Resistance</w:t>
      </w:r>
    </w:p>
    <w:p w:rsidR="00E84983" w:rsidRPr="001939AC" w:rsidRDefault="00E84983" w:rsidP="00E84983">
      <w:pPr>
        <w:pStyle w:val="CLDNormal"/>
        <w:rPr>
          <w:i/>
          <w:szCs w:val="22"/>
        </w:rPr>
      </w:pPr>
      <w:r w:rsidRPr="001939AC">
        <w:t xml:space="preserve">Bacterial resistance mechanisms that could potentially affect </w:t>
      </w:r>
      <w:proofErr w:type="spellStart"/>
      <w:r w:rsidRPr="001939AC">
        <w:t>ceftazidime</w:t>
      </w:r>
      <w:proofErr w:type="spellEnd"/>
      <w:r w:rsidRPr="001939AC">
        <w:t xml:space="preserve">/avibactam include mutant or acquired PBPs, decreased outer membrane permeability to either compound, active efflux of </w:t>
      </w:r>
      <w:proofErr w:type="gramStart"/>
      <w:r w:rsidRPr="001939AC">
        <w:t>either compound, and</w:t>
      </w:r>
      <w:proofErr w:type="gramEnd"/>
      <w:r w:rsidRPr="001939AC">
        <w:t xml:space="preserve"> </w:t>
      </w:r>
      <w:r w:rsidR="005E734C">
        <w:sym w:font="Symbol" w:char="F062"/>
      </w:r>
      <w:r w:rsidRPr="001939AC">
        <w:t xml:space="preserve">-lactamase enzymes refractory to inhibition by avibactam and able to hydrolyse </w:t>
      </w:r>
      <w:proofErr w:type="spellStart"/>
      <w:r w:rsidRPr="001939AC">
        <w:t>ceftazidime</w:t>
      </w:r>
      <w:proofErr w:type="spellEnd"/>
      <w:r w:rsidRPr="001939AC">
        <w:t>.</w:t>
      </w:r>
    </w:p>
    <w:p w:rsidR="00E84983" w:rsidRPr="001939AC" w:rsidRDefault="00E84983" w:rsidP="00E84983">
      <w:pPr>
        <w:pStyle w:val="CLDHeading4"/>
        <w:rPr>
          <w:lang w:val="en"/>
        </w:rPr>
      </w:pPr>
      <w:r w:rsidRPr="001939AC">
        <w:rPr>
          <w:lang w:val="en"/>
        </w:rPr>
        <w:t>Antibacterial activity in combination with other antibacterial agents</w:t>
      </w:r>
    </w:p>
    <w:p w:rsidR="00E84983" w:rsidRPr="001939AC" w:rsidRDefault="00E84983" w:rsidP="00E84983">
      <w:pPr>
        <w:pStyle w:val="CLDNormal"/>
        <w:rPr>
          <w:lang w:eastAsia="en-GB"/>
        </w:rPr>
      </w:pPr>
      <w:r w:rsidRPr="001939AC">
        <w:rPr>
          <w:lang w:eastAsia="en-GB"/>
        </w:rPr>
        <w:t xml:space="preserve">No synergy or antagonism </w:t>
      </w:r>
      <w:proofErr w:type="gramStart"/>
      <w:r w:rsidRPr="001939AC">
        <w:rPr>
          <w:lang w:eastAsia="en-GB"/>
        </w:rPr>
        <w:t>was demonstrated</w:t>
      </w:r>
      <w:proofErr w:type="gramEnd"/>
      <w:r w:rsidRPr="001939AC">
        <w:rPr>
          <w:lang w:eastAsia="en-GB"/>
        </w:rPr>
        <w:t xml:space="preserve"> in </w:t>
      </w:r>
      <w:r w:rsidRPr="001939AC">
        <w:rPr>
          <w:i/>
          <w:lang w:eastAsia="en-GB"/>
        </w:rPr>
        <w:t>in vitro</w:t>
      </w:r>
      <w:r w:rsidRPr="001939AC">
        <w:rPr>
          <w:lang w:eastAsia="en-GB"/>
        </w:rPr>
        <w:t xml:space="preserve"> drug combination studies with </w:t>
      </w:r>
      <w:proofErr w:type="spellStart"/>
      <w:r w:rsidRPr="001939AC">
        <w:rPr>
          <w:lang w:eastAsia="en-GB"/>
        </w:rPr>
        <w:t>ceftazidime</w:t>
      </w:r>
      <w:proofErr w:type="spellEnd"/>
      <w:r w:rsidRPr="001939AC">
        <w:rPr>
          <w:lang w:eastAsia="en-GB"/>
        </w:rPr>
        <w:t xml:space="preserve">/avibactam and </w:t>
      </w:r>
      <w:r w:rsidRPr="001939AC">
        <w:rPr>
          <w:bCs/>
        </w:rPr>
        <w:t xml:space="preserve">metronidazole, tobramycin, levofloxacin, vancomycin, linezolid, </w:t>
      </w:r>
      <w:proofErr w:type="spellStart"/>
      <w:r w:rsidRPr="001939AC">
        <w:rPr>
          <w:bCs/>
        </w:rPr>
        <w:t>colistin</w:t>
      </w:r>
      <w:proofErr w:type="spellEnd"/>
      <w:r w:rsidRPr="001939AC">
        <w:rPr>
          <w:bCs/>
        </w:rPr>
        <w:t xml:space="preserve"> and </w:t>
      </w:r>
      <w:proofErr w:type="spellStart"/>
      <w:r w:rsidRPr="001939AC">
        <w:rPr>
          <w:bCs/>
        </w:rPr>
        <w:t>tigecycline</w:t>
      </w:r>
      <w:proofErr w:type="spellEnd"/>
      <w:r w:rsidRPr="001939AC">
        <w:rPr>
          <w:lang w:eastAsia="en-GB"/>
        </w:rPr>
        <w:t>.</w:t>
      </w:r>
    </w:p>
    <w:p w:rsidR="00E84983" w:rsidRPr="001939AC" w:rsidRDefault="00E84983" w:rsidP="00E84983">
      <w:pPr>
        <w:pStyle w:val="CLDHeading4"/>
      </w:pPr>
      <w:r w:rsidRPr="001939AC">
        <w:t>Susceptibility testing breakpoints</w:t>
      </w:r>
    </w:p>
    <w:p w:rsidR="00E84983" w:rsidRPr="001939AC" w:rsidRDefault="00E84983" w:rsidP="00E84983">
      <w:pPr>
        <w:pStyle w:val="CLDNormal"/>
        <w:rPr>
          <w:noProof/>
        </w:rPr>
      </w:pPr>
      <w:r w:rsidRPr="001939AC">
        <w:rPr>
          <w:noProof/>
        </w:rPr>
        <w:t>Minimum Inhibitory Concentration (MIC) breakpoints established by the European Committee on Antimicrobial Susceptibility Testing (EUCAST) for ceftazidime/avibactam are as follows: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80"/>
        <w:gridCol w:w="2031"/>
        <w:gridCol w:w="2409"/>
      </w:tblGrid>
      <w:tr w:rsidR="001939AC" w:rsidRPr="002E7FAF" w:rsidTr="00A65B7D">
        <w:tc>
          <w:tcPr>
            <w:tcW w:w="2980" w:type="dxa"/>
          </w:tcPr>
          <w:p w:rsidR="00E84983" w:rsidRPr="002E7FAF" w:rsidRDefault="00E84983" w:rsidP="002E7FAF">
            <w:pPr>
              <w:pStyle w:val="CLDTableSpaceListSpace"/>
              <w:rPr>
                <w:b/>
                <w:bCs/>
                <w:sz w:val="22"/>
              </w:rPr>
            </w:pPr>
            <w:r w:rsidRPr="002E7FAF">
              <w:rPr>
                <w:b/>
                <w:bCs/>
                <w:sz w:val="22"/>
              </w:rPr>
              <w:lastRenderedPageBreak/>
              <w:t>Organisms</w:t>
            </w:r>
          </w:p>
        </w:tc>
        <w:tc>
          <w:tcPr>
            <w:tcW w:w="2031" w:type="dxa"/>
          </w:tcPr>
          <w:p w:rsidR="00E84983" w:rsidRPr="002E7FAF" w:rsidRDefault="00E84983" w:rsidP="002E7FAF">
            <w:pPr>
              <w:pStyle w:val="CLDTableSpaceListSpace"/>
              <w:rPr>
                <w:b/>
                <w:bCs/>
                <w:sz w:val="22"/>
              </w:rPr>
            </w:pPr>
            <w:r w:rsidRPr="002E7FAF">
              <w:rPr>
                <w:b/>
                <w:bCs/>
                <w:sz w:val="22"/>
              </w:rPr>
              <w:t>Susceptible</w:t>
            </w:r>
          </w:p>
        </w:tc>
        <w:tc>
          <w:tcPr>
            <w:tcW w:w="2409" w:type="dxa"/>
          </w:tcPr>
          <w:p w:rsidR="00E84983" w:rsidRPr="002E7FAF" w:rsidRDefault="00E84983" w:rsidP="002E7FAF">
            <w:pPr>
              <w:pStyle w:val="CLDTableSpaceListSpace"/>
              <w:rPr>
                <w:b/>
                <w:bCs/>
                <w:sz w:val="22"/>
              </w:rPr>
            </w:pPr>
            <w:r w:rsidRPr="002E7FAF">
              <w:rPr>
                <w:b/>
                <w:bCs/>
                <w:sz w:val="22"/>
              </w:rPr>
              <w:t>Resistant</w:t>
            </w:r>
          </w:p>
        </w:tc>
      </w:tr>
      <w:tr w:rsidR="001939AC" w:rsidRPr="00667EAA" w:rsidTr="00A65B7D">
        <w:tc>
          <w:tcPr>
            <w:tcW w:w="2980" w:type="dxa"/>
          </w:tcPr>
          <w:p w:rsidR="00E84983" w:rsidRPr="00667EAA" w:rsidRDefault="00E84983" w:rsidP="00667EAA">
            <w:pPr>
              <w:pStyle w:val="StyleCLDTableTextListTextItalicAuto"/>
              <w:rPr>
                <w:szCs w:val="22"/>
              </w:rPr>
            </w:pPr>
            <w:proofErr w:type="spellStart"/>
            <w:r w:rsidRPr="00667EAA">
              <w:rPr>
                <w:szCs w:val="22"/>
              </w:rPr>
              <w:t>Enterobacteriaceae</w:t>
            </w:r>
            <w:proofErr w:type="spellEnd"/>
          </w:p>
        </w:tc>
        <w:tc>
          <w:tcPr>
            <w:tcW w:w="2031" w:type="dxa"/>
          </w:tcPr>
          <w:p w:rsidR="00E84983" w:rsidRPr="00667EAA" w:rsidRDefault="00A710B1" w:rsidP="00E84983">
            <w:pPr>
              <w:pStyle w:val="CLDTableTextListText"/>
              <w:rPr>
                <w:color w:val="auto"/>
                <w:sz w:val="22"/>
                <w:szCs w:val="22"/>
              </w:rPr>
            </w:pPr>
            <w:r>
              <w:rPr>
                <w:color w:val="auto"/>
                <w:sz w:val="22"/>
                <w:szCs w:val="22"/>
              </w:rPr>
              <w:sym w:font="Symbol" w:char="F0A3"/>
            </w:r>
            <w:r w:rsidR="00E84983" w:rsidRPr="00667EAA">
              <w:rPr>
                <w:color w:val="auto"/>
                <w:sz w:val="22"/>
                <w:szCs w:val="22"/>
              </w:rPr>
              <w:t>8 mg/L</w:t>
            </w:r>
          </w:p>
        </w:tc>
        <w:tc>
          <w:tcPr>
            <w:tcW w:w="2409" w:type="dxa"/>
          </w:tcPr>
          <w:p w:rsidR="00E84983" w:rsidRPr="00667EAA" w:rsidRDefault="00E84983" w:rsidP="00E84983">
            <w:pPr>
              <w:pStyle w:val="CLDTableTextListText"/>
              <w:rPr>
                <w:color w:val="auto"/>
                <w:sz w:val="22"/>
                <w:szCs w:val="22"/>
              </w:rPr>
            </w:pPr>
            <w:r w:rsidRPr="00667EAA">
              <w:rPr>
                <w:color w:val="auto"/>
                <w:sz w:val="22"/>
                <w:szCs w:val="22"/>
              </w:rPr>
              <w:t>&gt;8 mg/L</w:t>
            </w:r>
          </w:p>
        </w:tc>
      </w:tr>
      <w:tr w:rsidR="001939AC" w:rsidRPr="00667EAA" w:rsidTr="00A65B7D">
        <w:tc>
          <w:tcPr>
            <w:tcW w:w="2980" w:type="dxa"/>
          </w:tcPr>
          <w:p w:rsidR="00E84983" w:rsidRPr="00667EAA" w:rsidRDefault="00E84983" w:rsidP="002E7FAF">
            <w:pPr>
              <w:pStyle w:val="StyleCLDTableTextListTextItalicAuto"/>
              <w:rPr>
                <w:szCs w:val="22"/>
              </w:rPr>
            </w:pPr>
            <w:r w:rsidRPr="00667EAA">
              <w:rPr>
                <w:szCs w:val="22"/>
              </w:rPr>
              <w:t>P</w:t>
            </w:r>
            <w:r w:rsidR="002E7FAF">
              <w:rPr>
                <w:szCs w:val="22"/>
              </w:rPr>
              <w:t xml:space="preserve">. </w:t>
            </w:r>
            <w:r w:rsidRPr="00667EAA">
              <w:rPr>
                <w:szCs w:val="22"/>
              </w:rPr>
              <w:t>aeruginosa</w:t>
            </w:r>
          </w:p>
        </w:tc>
        <w:tc>
          <w:tcPr>
            <w:tcW w:w="2031" w:type="dxa"/>
          </w:tcPr>
          <w:p w:rsidR="00E84983" w:rsidRPr="00667EAA" w:rsidRDefault="00A710B1" w:rsidP="00E84983">
            <w:pPr>
              <w:pStyle w:val="CLDTableTextListText"/>
              <w:rPr>
                <w:color w:val="auto"/>
                <w:sz w:val="22"/>
                <w:szCs w:val="22"/>
              </w:rPr>
            </w:pPr>
            <w:r>
              <w:rPr>
                <w:color w:val="auto"/>
                <w:sz w:val="22"/>
                <w:szCs w:val="22"/>
              </w:rPr>
              <w:sym w:font="Symbol" w:char="F0A3"/>
            </w:r>
            <w:r w:rsidR="00E84983" w:rsidRPr="00667EAA">
              <w:rPr>
                <w:color w:val="auto"/>
                <w:sz w:val="22"/>
                <w:szCs w:val="22"/>
              </w:rPr>
              <w:t>8 mg/L</w:t>
            </w:r>
          </w:p>
        </w:tc>
        <w:tc>
          <w:tcPr>
            <w:tcW w:w="2409" w:type="dxa"/>
          </w:tcPr>
          <w:p w:rsidR="00E84983" w:rsidRPr="00667EAA" w:rsidRDefault="00E84983" w:rsidP="00E84983">
            <w:pPr>
              <w:pStyle w:val="CLDTableTextListText"/>
              <w:rPr>
                <w:color w:val="auto"/>
                <w:sz w:val="22"/>
                <w:szCs w:val="22"/>
              </w:rPr>
            </w:pPr>
            <w:r w:rsidRPr="00667EAA">
              <w:rPr>
                <w:color w:val="auto"/>
                <w:sz w:val="22"/>
                <w:szCs w:val="22"/>
              </w:rPr>
              <w:t>&gt;8 mg/L</w:t>
            </w:r>
          </w:p>
        </w:tc>
      </w:tr>
    </w:tbl>
    <w:p w:rsidR="00C004AC" w:rsidRDefault="00C004AC" w:rsidP="00C004AC">
      <w:pPr>
        <w:pStyle w:val="CLDHeading4"/>
      </w:pPr>
      <w:r>
        <w:t>Clinical</w:t>
      </w:r>
      <w:r w:rsidRPr="00CD3CC9">
        <w:t xml:space="preserve"> </w:t>
      </w:r>
      <w:r>
        <w:t>efficacy</w:t>
      </w:r>
      <w:r w:rsidRPr="00CD3CC9">
        <w:t xml:space="preserve"> </w:t>
      </w:r>
      <w:r>
        <w:t>against</w:t>
      </w:r>
      <w:r w:rsidRPr="00CD3CC9">
        <w:t xml:space="preserve"> </w:t>
      </w:r>
      <w:r>
        <w:t>specific</w:t>
      </w:r>
      <w:r w:rsidRPr="00CD3CC9">
        <w:t xml:space="preserve"> </w:t>
      </w:r>
      <w:r>
        <w:t>pathogens</w:t>
      </w:r>
    </w:p>
    <w:p w:rsidR="00935174" w:rsidRPr="001939AC" w:rsidRDefault="00C004AC" w:rsidP="00935174">
      <w:pPr>
        <w:pStyle w:val="CLDNormal"/>
      </w:pPr>
      <w:r>
        <w:t>As detailed in the</w:t>
      </w:r>
      <w:r w:rsidRPr="001939AC">
        <w:t xml:space="preserve"> clinical studies </w:t>
      </w:r>
      <w:r>
        <w:t>discussed below, e</w:t>
      </w:r>
      <w:r w:rsidR="00935174" w:rsidRPr="001939AC">
        <w:t xml:space="preserve">fficacy </w:t>
      </w:r>
      <w:proofErr w:type="gramStart"/>
      <w:r w:rsidR="00935174" w:rsidRPr="001939AC">
        <w:t>has been demonstrated</w:t>
      </w:r>
      <w:proofErr w:type="gramEnd"/>
      <w:r w:rsidR="00935174" w:rsidRPr="001939AC">
        <w:t xml:space="preserve"> against the following pathogens that were susceptible to </w:t>
      </w:r>
      <w:proofErr w:type="spellStart"/>
      <w:r w:rsidR="00935174" w:rsidRPr="001939AC">
        <w:t>ceftazidime</w:t>
      </w:r>
      <w:proofErr w:type="spellEnd"/>
      <w:r w:rsidR="00935174" w:rsidRPr="001939AC">
        <w:t xml:space="preserve">/avibactam </w:t>
      </w:r>
      <w:r w:rsidR="00935174" w:rsidRPr="001939AC">
        <w:rPr>
          <w:i/>
        </w:rPr>
        <w:t>in vitro</w:t>
      </w:r>
      <w:r w:rsidR="00935174" w:rsidRPr="001939AC">
        <w:t>.</w:t>
      </w:r>
    </w:p>
    <w:p w:rsidR="00935174" w:rsidRPr="001939AC" w:rsidRDefault="00935174" w:rsidP="00935174">
      <w:pPr>
        <w:pStyle w:val="CLDHeading4"/>
      </w:pPr>
      <w:r w:rsidRPr="001939AC">
        <w:t>Complicated intra-abdominal infections</w:t>
      </w:r>
    </w:p>
    <w:p w:rsidR="00935174" w:rsidRPr="001939AC" w:rsidRDefault="00935174" w:rsidP="00935174">
      <w:pPr>
        <w:pStyle w:val="CLDHeading5"/>
      </w:pPr>
      <w:r w:rsidRPr="001939AC">
        <w:t xml:space="preserve">Gram-negative </w:t>
      </w:r>
      <w:proofErr w:type="gramStart"/>
      <w:r w:rsidRPr="001939AC">
        <w:t>micro-organisms</w:t>
      </w:r>
      <w:proofErr w:type="gramEnd"/>
    </w:p>
    <w:p w:rsidR="00935174" w:rsidRPr="007C1EF0" w:rsidRDefault="00935174" w:rsidP="00935174">
      <w:pPr>
        <w:pStyle w:val="Default"/>
        <w:numPr>
          <w:ilvl w:val="0"/>
          <w:numId w:val="29"/>
        </w:numPr>
        <w:ind w:left="567" w:hanging="567"/>
        <w:rPr>
          <w:rFonts w:ascii="Times New Roman" w:hAnsi="Times New Roman" w:cs="Times New Roman"/>
          <w:i/>
          <w:color w:val="auto"/>
        </w:rPr>
      </w:pPr>
      <w:proofErr w:type="spellStart"/>
      <w:r w:rsidRPr="007C1EF0">
        <w:rPr>
          <w:rFonts w:ascii="Times New Roman" w:hAnsi="Times New Roman" w:cs="Times New Roman"/>
          <w:i/>
          <w:iCs/>
          <w:color w:val="auto"/>
        </w:rPr>
        <w:t>Citrobacter</w:t>
      </w:r>
      <w:proofErr w:type="spellEnd"/>
      <w:r w:rsidRPr="007C1EF0">
        <w:rPr>
          <w:rFonts w:ascii="Times New Roman" w:hAnsi="Times New Roman" w:cs="Times New Roman"/>
          <w:i/>
          <w:iCs/>
          <w:color w:val="auto"/>
        </w:rPr>
        <w:t xml:space="preserve"> </w:t>
      </w:r>
      <w:proofErr w:type="spellStart"/>
      <w:r w:rsidRPr="007C1EF0">
        <w:rPr>
          <w:rFonts w:ascii="Times New Roman" w:hAnsi="Times New Roman" w:cs="Times New Roman"/>
          <w:i/>
          <w:iCs/>
          <w:color w:val="auto"/>
        </w:rPr>
        <w:t>freundii</w:t>
      </w:r>
      <w:proofErr w:type="spellEnd"/>
      <w:r w:rsidR="000C6E53">
        <w:rPr>
          <w:rFonts w:ascii="Times New Roman" w:hAnsi="Times New Roman" w:cs="Times New Roman"/>
          <w:i/>
          <w:iCs/>
          <w:color w:val="auto"/>
        </w:rPr>
        <w:t xml:space="preserve"> (C. </w:t>
      </w:r>
      <w:proofErr w:type="spellStart"/>
      <w:r w:rsidR="000C6E53" w:rsidRPr="007C1EF0">
        <w:rPr>
          <w:rFonts w:ascii="Times New Roman" w:hAnsi="Times New Roman" w:cs="Times New Roman"/>
          <w:i/>
          <w:iCs/>
          <w:color w:val="auto"/>
        </w:rPr>
        <w:t>freundii</w:t>
      </w:r>
      <w:proofErr w:type="spellEnd"/>
      <w:r w:rsidR="007F4266">
        <w:rPr>
          <w:rFonts w:ascii="Times New Roman" w:hAnsi="Times New Roman" w:cs="Times New Roman"/>
          <w:i/>
          <w:iCs/>
          <w:color w:val="auto"/>
        </w:rPr>
        <w:t>)</w:t>
      </w:r>
    </w:p>
    <w:p w:rsidR="00B50AEC" w:rsidRPr="00B50AEC" w:rsidRDefault="00935174" w:rsidP="00B50AEC">
      <w:pPr>
        <w:pStyle w:val="Default"/>
        <w:numPr>
          <w:ilvl w:val="0"/>
          <w:numId w:val="29"/>
        </w:numPr>
        <w:ind w:left="567" w:hanging="567"/>
      </w:pPr>
      <w:proofErr w:type="spellStart"/>
      <w:r w:rsidRPr="00B50AEC">
        <w:rPr>
          <w:rFonts w:ascii="Times New Roman" w:hAnsi="Times New Roman" w:cs="Times New Roman"/>
          <w:i/>
          <w:iCs/>
          <w:color w:val="auto"/>
        </w:rPr>
        <w:t>Enterobacter</w:t>
      </w:r>
      <w:proofErr w:type="spellEnd"/>
      <w:r w:rsidRPr="00B50AEC">
        <w:rPr>
          <w:rFonts w:ascii="Times New Roman" w:hAnsi="Times New Roman" w:cs="Times New Roman"/>
          <w:i/>
          <w:iCs/>
          <w:color w:val="auto"/>
        </w:rPr>
        <w:t xml:space="preserve"> cloacae</w:t>
      </w:r>
      <w:r w:rsidR="00B50AEC" w:rsidRPr="00B50AEC">
        <w:rPr>
          <w:rFonts w:ascii="Times New Roman" w:hAnsi="Times New Roman" w:cs="Times New Roman"/>
          <w:i/>
          <w:iCs/>
          <w:color w:val="auto"/>
        </w:rPr>
        <w:t xml:space="preserve"> </w:t>
      </w:r>
      <w:r w:rsidR="000C6E53" w:rsidRPr="00B50AEC">
        <w:rPr>
          <w:rFonts w:ascii="Times New Roman" w:hAnsi="Times New Roman" w:cs="Times New Roman"/>
          <w:i/>
          <w:iCs/>
          <w:color w:val="auto"/>
        </w:rPr>
        <w:t>(E. cloacae)</w:t>
      </w:r>
    </w:p>
    <w:p w:rsidR="00B50AEC" w:rsidRPr="00B50AEC" w:rsidRDefault="00935174" w:rsidP="00B50AEC">
      <w:pPr>
        <w:pStyle w:val="Default"/>
        <w:numPr>
          <w:ilvl w:val="0"/>
          <w:numId w:val="29"/>
        </w:numPr>
        <w:ind w:left="567" w:hanging="567"/>
        <w:rPr>
          <w:i/>
        </w:rPr>
      </w:pPr>
      <w:r w:rsidRPr="00B50AEC">
        <w:rPr>
          <w:i/>
        </w:rPr>
        <w:t>Escherichia coli</w:t>
      </w:r>
      <w:r w:rsidRPr="007C1EF0">
        <w:t xml:space="preserve"> </w:t>
      </w:r>
      <w:r w:rsidR="000C6E53" w:rsidRPr="00B50AEC">
        <w:rPr>
          <w:rFonts w:ascii="Times New Roman" w:hAnsi="Times New Roman"/>
          <w:i/>
          <w:iCs/>
          <w:color w:val="auto"/>
        </w:rPr>
        <w:t>(E.coli)</w:t>
      </w:r>
    </w:p>
    <w:p w:rsidR="00B50AEC" w:rsidRPr="00B50AEC" w:rsidRDefault="00935174" w:rsidP="00B50AEC">
      <w:pPr>
        <w:pStyle w:val="Default"/>
        <w:numPr>
          <w:ilvl w:val="0"/>
          <w:numId w:val="29"/>
        </w:numPr>
        <w:ind w:left="567" w:hanging="567"/>
      </w:pPr>
      <w:proofErr w:type="spellStart"/>
      <w:r w:rsidRPr="00B50AEC">
        <w:rPr>
          <w:i/>
        </w:rPr>
        <w:t>Klebsiella</w:t>
      </w:r>
      <w:proofErr w:type="spellEnd"/>
      <w:r w:rsidRPr="00B50AEC">
        <w:rPr>
          <w:i/>
        </w:rPr>
        <w:t xml:space="preserve"> </w:t>
      </w:r>
      <w:proofErr w:type="spellStart"/>
      <w:r w:rsidRPr="00B50AEC">
        <w:rPr>
          <w:i/>
        </w:rPr>
        <w:t>oxytoca</w:t>
      </w:r>
      <w:proofErr w:type="spellEnd"/>
      <w:r w:rsidRPr="007C1EF0">
        <w:t xml:space="preserve"> </w:t>
      </w:r>
      <w:r w:rsidR="000C6E53">
        <w:t>(</w:t>
      </w:r>
      <w:r w:rsidR="000C6E53" w:rsidRPr="00B50AEC">
        <w:rPr>
          <w:rFonts w:ascii="Times New Roman" w:hAnsi="Times New Roman"/>
          <w:i/>
          <w:iCs/>
          <w:color w:val="auto"/>
        </w:rPr>
        <w:t>K</w:t>
      </w:r>
      <w:r w:rsidR="000C6E53">
        <w:t xml:space="preserve">. </w:t>
      </w:r>
      <w:proofErr w:type="spellStart"/>
      <w:r w:rsidR="000C6E53" w:rsidRPr="00B50AEC">
        <w:rPr>
          <w:i/>
        </w:rPr>
        <w:t>oxytoca</w:t>
      </w:r>
      <w:proofErr w:type="spellEnd"/>
      <w:r w:rsidR="000C6E53" w:rsidRPr="00B50AEC">
        <w:rPr>
          <w:i/>
        </w:rPr>
        <w:t>)</w:t>
      </w:r>
    </w:p>
    <w:p w:rsidR="00B50AEC" w:rsidRDefault="00935174" w:rsidP="00B50AEC">
      <w:pPr>
        <w:pStyle w:val="Default"/>
        <w:numPr>
          <w:ilvl w:val="0"/>
          <w:numId w:val="29"/>
        </w:numPr>
        <w:ind w:left="567" w:hanging="567"/>
      </w:pPr>
      <w:proofErr w:type="spellStart"/>
      <w:r w:rsidRPr="00B50AEC">
        <w:rPr>
          <w:rFonts w:ascii="Times New Roman" w:hAnsi="Times New Roman" w:cs="Times New Roman"/>
          <w:i/>
          <w:iCs/>
          <w:color w:val="auto"/>
        </w:rPr>
        <w:t>Klebsiella</w:t>
      </w:r>
      <w:proofErr w:type="spellEnd"/>
      <w:r w:rsidRPr="00B50AEC">
        <w:rPr>
          <w:rFonts w:ascii="Times New Roman" w:hAnsi="Times New Roman" w:cs="Times New Roman"/>
          <w:i/>
          <w:iCs/>
          <w:color w:val="auto"/>
        </w:rPr>
        <w:t xml:space="preserve"> </w:t>
      </w:r>
      <w:proofErr w:type="spellStart"/>
      <w:r w:rsidRPr="00B50AEC">
        <w:rPr>
          <w:rFonts w:ascii="Times New Roman" w:hAnsi="Times New Roman" w:cs="Times New Roman"/>
          <w:i/>
          <w:iCs/>
          <w:color w:val="auto"/>
        </w:rPr>
        <w:t>pneumoniae</w:t>
      </w:r>
      <w:proofErr w:type="spellEnd"/>
      <w:r w:rsidRPr="00B50AEC">
        <w:rPr>
          <w:rFonts w:ascii="Times New Roman" w:hAnsi="Times New Roman" w:cs="Times New Roman"/>
          <w:iCs/>
          <w:color w:val="auto"/>
        </w:rPr>
        <w:t xml:space="preserve"> </w:t>
      </w:r>
      <w:r w:rsidR="000C6E53" w:rsidRPr="00B50AEC">
        <w:rPr>
          <w:iCs/>
        </w:rPr>
        <w:t>(</w:t>
      </w:r>
      <w:r w:rsidR="000C6E53" w:rsidRPr="00B50AEC">
        <w:rPr>
          <w:rFonts w:ascii="Times New Roman" w:hAnsi="Times New Roman" w:cs="Times New Roman"/>
          <w:i/>
          <w:iCs/>
          <w:color w:val="auto"/>
        </w:rPr>
        <w:t>K</w:t>
      </w:r>
      <w:r w:rsidR="000C6E53" w:rsidRPr="00B50AEC">
        <w:rPr>
          <w:i/>
          <w:iCs/>
        </w:rPr>
        <w:t xml:space="preserve">. </w:t>
      </w:r>
      <w:proofErr w:type="spellStart"/>
      <w:r w:rsidR="000C6E53" w:rsidRPr="00B50AEC">
        <w:rPr>
          <w:rFonts w:ascii="Times New Roman" w:hAnsi="Times New Roman" w:cs="Times New Roman"/>
          <w:i/>
          <w:iCs/>
          <w:color w:val="auto"/>
        </w:rPr>
        <w:t>pneumoniae</w:t>
      </w:r>
      <w:proofErr w:type="spellEnd"/>
      <w:r w:rsidR="000C6E53">
        <w:rPr>
          <w:rFonts w:ascii="Times New Roman" w:hAnsi="Times New Roman" w:cs="Times New Roman"/>
          <w:i/>
          <w:iCs/>
          <w:color w:val="auto"/>
        </w:rPr>
        <w:t>)</w:t>
      </w:r>
    </w:p>
    <w:p w:rsidR="00F90381" w:rsidRPr="007C1EF0" w:rsidRDefault="00F90381" w:rsidP="00935174">
      <w:pPr>
        <w:pStyle w:val="Default"/>
        <w:numPr>
          <w:ilvl w:val="0"/>
          <w:numId w:val="29"/>
        </w:numPr>
        <w:ind w:left="567" w:hanging="567"/>
        <w:rPr>
          <w:rFonts w:ascii="Times New Roman" w:hAnsi="Times New Roman" w:cs="Times New Roman"/>
          <w:iCs/>
          <w:color w:val="auto"/>
        </w:rPr>
      </w:pPr>
      <w:r w:rsidRPr="007C1EF0">
        <w:rPr>
          <w:rFonts w:ascii="Times New Roman" w:hAnsi="Times New Roman" w:cs="Times New Roman"/>
          <w:i/>
        </w:rPr>
        <w:t>Pseudomonas aeruginosa</w:t>
      </w:r>
      <w:r w:rsidR="00B50AEC">
        <w:rPr>
          <w:rFonts w:ascii="Times New Roman" w:hAnsi="Times New Roman" w:cs="Times New Roman"/>
          <w:i/>
        </w:rPr>
        <w:t xml:space="preserve"> </w:t>
      </w:r>
      <w:r w:rsidR="000C6E53">
        <w:rPr>
          <w:rFonts w:ascii="Times New Roman" w:hAnsi="Times New Roman" w:cs="Times New Roman"/>
          <w:i/>
        </w:rPr>
        <w:t>(P.</w:t>
      </w:r>
      <w:r w:rsidR="000C6E53" w:rsidRPr="00B50AEC">
        <w:rPr>
          <w:rFonts w:ascii="Times New Roman" w:hAnsi="Times New Roman" w:cs="Times New Roman"/>
          <w:i/>
        </w:rPr>
        <w:t xml:space="preserve"> </w:t>
      </w:r>
      <w:r w:rsidR="000C6E53" w:rsidRPr="007C1EF0">
        <w:rPr>
          <w:rFonts w:ascii="Times New Roman" w:hAnsi="Times New Roman" w:cs="Times New Roman"/>
          <w:i/>
        </w:rPr>
        <w:t>aeruginosa</w:t>
      </w:r>
      <w:r w:rsidR="000C6E53">
        <w:rPr>
          <w:rFonts w:ascii="Times New Roman" w:hAnsi="Times New Roman" w:cs="Times New Roman"/>
          <w:i/>
        </w:rPr>
        <w:t>).</w:t>
      </w:r>
    </w:p>
    <w:p w:rsidR="00935174" w:rsidRPr="001939AC" w:rsidRDefault="00935174" w:rsidP="00935174">
      <w:pPr>
        <w:pStyle w:val="CLDHeading4"/>
      </w:pPr>
      <w:r w:rsidRPr="001939AC">
        <w:t>Complicated urinary-tract infections</w:t>
      </w:r>
    </w:p>
    <w:p w:rsidR="00935174" w:rsidRPr="001939AC" w:rsidRDefault="00935174" w:rsidP="00935174">
      <w:pPr>
        <w:pStyle w:val="CLDHeading5"/>
      </w:pPr>
      <w:r w:rsidRPr="001939AC">
        <w:t xml:space="preserve">Gram-negative </w:t>
      </w:r>
      <w:proofErr w:type="gramStart"/>
      <w:r w:rsidRPr="001939AC">
        <w:t>micro-organisms</w:t>
      </w:r>
      <w:proofErr w:type="gramEnd"/>
    </w:p>
    <w:p w:rsidR="00935174" w:rsidRPr="007C1EF0" w:rsidRDefault="00935174" w:rsidP="00935174">
      <w:pPr>
        <w:pStyle w:val="Default"/>
        <w:numPr>
          <w:ilvl w:val="0"/>
          <w:numId w:val="30"/>
        </w:numPr>
        <w:ind w:left="567" w:hanging="567"/>
        <w:rPr>
          <w:rFonts w:ascii="Times New Roman" w:hAnsi="Times New Roman" w:cs="Times New Roman"/>
          <w:color w:val="auto"/>
        </w:rPr>
      </w:pPr>
      <w:r w:rsidRPr="007C1EF0">
        <w:rPr>
          <w:rFonts w:ascii="Times New Roman" w:hAnsi="Times New Roman" w:cs="Times New Roman"/>
          <w:i/>
          <w:iCs/>
          <w:color w:val="auto"/>
        </w:rPr>
        <w:t>E</w:t>
      </w:r>
      <w:r w:rsidR="00B50AEC">
        <w:rPr>
          <w:rFonts w:ascii="Times New Roman" w:hAnsi="Times New Roman" w:cs="Times New Roman"/>
          <w:i/>
          <w:iCs/>
          <w:color w:val="auto"/>
        </w:rPr>
        <w:t xml:space="preserve">. </w:t>
      </w:r>
      <w:r w:rsidRPr="007C1EF0">
        <w:rPr>
          <w:rFonts w:ascii="Times New Roman" w:hAnsi="Times New Roman" w:cs="Times New Roman"/>
          <w:i/>
          <w:iCs/>
          <w:color w:val="auto"/>
        </w:rPr>
        <w:t>coli</w:t>
      </w:r>
    </w:p>
    <w:p w:rsidR="00935174" w:rsidRPr="007C1EF0" w:rsidRDefault="00935174" w:rsidP="00935174">
      <w:pPr>
        <w:pStyle w:val="Default"/>
        <w:numPr>
          <w:ilvl w:val="0"/>
          <w:numId w:val="30"/>
        </w:numPr>
        <w:ind w:left="567" w:hanging="567"/>
        <w:rPr>
          <w:rFonts w:ascii="Times New Roman" w:hAnsi="Times New Roman" w:cs="Times New Roman"/>
          <w:i/>
          <w:iCs/>
          <w:color w:val="auto"/>
        </w:rPr>
      </w:pPr>
      <w:r w:rsidRPr="007C1EF0">
        <w:rPr>
          <w:rFonts w:ascii="Times New Roman" w:hAnsi="Times New Roman" w:cs="Times New Roman"/>
          <w:i/>
          <w:iCs/>
          <w:color w:val="auto"/>
        </w:rPr>
        <w:t>K</w:t>
      </w:r>
      <w:r w:rsidR="00B50AEC">
        <w:rPr>
          <w:rFonts w:ascii="Times New Roman" w:hAnsi="Times New Roman" w:cs="Times New Roman"/>
          <w:i/>
          <w:iCs/>
          <w:color w:val="auto"/>
        </w:rPr>
        <w:t xml:space="preserve">. </w:t>
      </w:r>
      <w:proofErr w:type="spellStart"/>
      <w:r w:rsidR="007F4266">
        <w:rPr>
          <w:rFonts w:ascii="Times New Roman" w:hAnsi="Times New Roman" w:cs="Times New Roman"/>
          <w:i/>
          <w:iCs/>
          <w:color w:val="auto"/>
        </w:rPr>
        <w:t>pneumoniae</w:t>
      </w:r>
      <w:proofErr w:type="spellEnd"/>
    </w:p>
    <w:p w:rsidR="00935174" w:rsidRPr="007C1EF0" w:rsidRDefault="00935174" w:rsidP="00935174">
      <w:pPr>
        <w:pStyle w:val="Default"/>
        <w:numPr>
          <w:ilvl w:val="0"/>
          <w:numId w:val="30"/>
        </w:numPr>
        <w:ind w:left="567" w:hanging="567"/>
        <w:rPr>
          <w:rFonts w:ascii="Times New Roman" w:hAnsi="Times New Roman" w:cs="Times New Roman"/>
          <w:iCs/>
          <w:color w:val="auto"/>
        </w:rPr>
      </w:pPr>
      <w:r w:rsidRPr="007C1EF0">
        <w:rPr>
          <w:rFonts w:ascii="Times New Roman" w:hAnsi="Times New Roman" w:cs="Times New Roman"/>
          <w:i/>
          <w:iCs/>
          <w:color w:val="auto"/>
        </w:rPr>
        <w:t>Proteus mirabilis</w:t>
      </w:r>
      <w:r w:rsidR="000C6E53">
        <w:rPr>
          <w:rFonts w:ascii="Times New Roman" w:hAnsi="Times New Roman" w:cs="Times New Roman"/>
          <w:i/>
          <w:iCs/>
          <w:color w:val="auto"/>
        </w:rPr>
        <w:t xml:space="preserve"> (P. mirabilis)</w:t>
      </w:r>
    </w:p>
    <w:p w:rsidR="00935174" w:rsidRPr="007C1EF0" w:rsidRDefault="00935174" w:rsidP="00935174">
      <w:pPr>
        <w:pStyle w:val="Default"/>
        <w:numPr>
          <w:ilvl w:val="0"/>
          <w:numId w:val="30"/>
        </w:numPr>
        <w:ind w:left="567" w:hanging="567"/>
        <w:rPr>
          <w:rFonts w:ascii="Times New Roman" w:hAnsi="Times New Roman" w:cs="Times New Roman"/>
          <w:i/>
          <w:iCs/>
          <w:color w:val="auto"/>
        </w:rPr>
      </w:pPr>
      <w:r w:rsidRPr="007C1EF0">
        <w:rPr>
          <w:rFonts w:ascii="Times New Roman" w:hAnsi="Times New Roman" w:cs="Times New Roman"/>
          <w:i/>
          <w:iCs/>
          <w:color w:val="auto"/>
        </w:rPr>
        <w:t>E</w:t>
      </w:r>
      <w:r w:rsidR="00B50AEC">
        <w:rPr>
          <w:rFonts w:ascii="Times New Roman" w:hAnsi="Times New Roman" w:cs="Times New Roman"/>
          <w:i/>
          <w:iCs/>
          <w:color w:val="auto"/>
        </w:rPr>
        <w:t xml:space="preserve">. </w:t>
      </w:r>
      <w:r w:rsidRPr="007C1EF0">
        <w:rPr>
          <w:rFonts w:ascii="Times New Roman" w:hAnsi="Times New Roman" w:cs="Times New Roman"/>
          <w:i/>
          <w:iCs/>
          <w:color w:val="auto"/>
        </w:rPr>
        <w:t>cloacae</w:t>
      </w:r>
    </w:p>
    <w:p w:rsidR="00935174" w:rsidRPr="007C1EF0" w:rsidRDefault="00935174" w:rsidP="00935174">
      <w:pPr>
        <w:numPr>
          <w:ilvl w:val="0"/>
          <w:numId w:val="30"/>
        </w:numPr>
        <w:spacing w:after="0" w:line="260" w:lineRule="exact"/>
        <w:ind w:left="567" w:hanging="567"/>
        <w:jc w:val="left"/>
        <w:rPr>
          <w:i/>
          <w:szCs w:val="24"/>
        </w:rPr>
      </w:pPr>
      <w:r w:rsidRPr="007C1EF0">
        <w:rPr>
          <w:i/>
          <w:szCs w:val="24"/>
        </w:rPr>
        <w:t>P</w:t>
      </w:r>
      <w:r w:rsidR="00B50AEC">
        <w:rPr>
          <w:i/>
          <w:szCs w:val="24"/>
        </w:rPr>
        <w:t>. a</w:t>
      </w:r>
      <w:r w:rsidRPr="007C1EF0">
        <w:rPr>
          <w:i/>
          <w:szCs w:val="24"/>
        </w:rPr>
        <w:t>eruginosa.</w:t>
      </w:r>
    </w:p>
    <w:p w:rsidR="00935174" w:rsidRPr="001939AC" w:rsidRDefault="00935174" w:rsidP="00935174">
      <w:pPr>
        <w:pStyle w:val="CLDHeading4"/>
      </w:pPr>
      <w:r w:rsidRPr="001939AC">
        <w:t>Hospital-acquired pneumonia including ventilator-associated pneumonia</w:t>
      </w:r>
    </w:p>
    <w:p w:rsidR="00935174" w:rsidRPr="001939AC" w:rsidRDefault="00935174" w:rsidP="00935174">
      <w:pPr>
        <w:pStyle w:val="CLDHeading5"/>
      </w:pPr>
      <w:r w:rsidRPr="001939AC">
        <w:t xml:space="preserve">Gram-negative </w:t>
      </w:r>
      <w:proofErr w:type="gramStart"/>
      <w:r w:rsidRPr="001939AC">
        <w:t>micro-organisms</w:t>
      </w:r>
      <w:proofErr w:type="gramEnd"/>
    </w:p>
    <w:p w:rsidR="00935174" w:rsidRPr="007C1EF0" w:rsidRDefault="00935174" w:rsidP="00935174">
      <w:pPr>
        <w:pStyle w:val="Default"/>
        <w:numPr>
          <w:ilvl w:val="0"/>
          <w:numId w:val="29"/>
        </w:numPr>
        <w:ind w:left="567" w:hanging="567"/>
        <w:rPr>
          <w:rFonts w:ascii="Times New Roman" w:hAnsi="Times New Roman" w:cs="Times New Roman"/>
          <w:color w:val="auto"/>
        </w:rPr>
      </w:pPr>
      <w:r w:rsidRPr="007C1EF0">
        <w:rPr>
          <w:rFonts w:ascii="Times New Roman" w:hAnsi="Times New Roman" w:cs="Times New Roman"/>
          <w:i/>
          <w:iCs/>
          <w:color w:val="auto"/>
        </w:rPr>
        <w:t>E</w:t>
      </w:r>
      <w:r w:rsidR="00B50AEC">
        <w:rPr>
          <w:rFonts w:ascii="Times New Roman" w:hAnsi="Times New Roman" w:cs="Times New Roman"/>
          <w:i/>
          <w:iCs/>
          <w:color w:val="auto"/>
        </w:rPr>
        <w:t xml:space="preserve">. </w:t>
      </w:r>
      <w:r w:rsidRPr="007C1EF0">
        <w:rPr>
          <w:rFonts w:ascii="Times New Roman" w:hAnsi="Times New Roman" w:cs="Times New Roman"/>
          <w:i/>
          <w:iCs/>
          <w:color w:val="auto"/>
        </w:rPr>
        <w:t>cloacae</w:t>
      </w:r>
    </w:p>
    <w:p w:rsidR="00935174" w:rsidRPr="007C1EF0" w:rsidRDefault="00935174" w:rsidP="00935174">
      <w:pPr>
        <w:pStyle w:val="Default"/>
        <w:numPr>
          <w:ilvl w:val="0"/>
          <w:numId w:val="29"/>
        </w:numPr>
        <w:ind w:left="567" w:hanging="567"/>
        <w:rPr>
          <w:rFonts w:ascii="Times New Roman" w:hAnsi="Times New Roman" w:cs="Times New Roman"/>
          <w:color w:val="auto"/>
        </w:rPr>
      </w:pPr>
      <w:r w:rsidRPr="007C1EF0">
        <w:rPr>
          <w:rFonts w:ascii="Times New Roman" w:hAnsi="Times New Roman" w:cs="Times New Roman"/>
          <w:i/>
          <w:iCs/>
          <w:color w:val="auto"/>
        </w:rPr>
        <w:t>E</w:t>
      </w:r>
      <w:r w:rsidR="00B50AEC">
        <w:rPr>
          <w:rFonts w:ascii="Times New Roman" w:hAnsi="Times New Roman" w:cs="Times New Roman"/>
          <w:i/>
          <w:iCs/>
          <w:color w:val="auto"/>
        </w:rPr>
        <w:t xml:space="preserve">. </w:t>
      </w:r>
      <w:r w:rsidRPr="007C1EF0">
        <w:rPr>
          <w:rFonts w:ascii="Times New Roman" w:hAnsi="Times New Roman" w:cs="Times New Roman"/>
          <w:i/>
          <w:iCs/>
          <w:color w:val="auto"/>
        </w:rPr>
        <w:t>coli</w:t>
      </w:r>
    </w:p>
    <w:p w:rsidR="00935174" w:rsidRPr="007C1EF0" w:rsidRDefault="00935174" w:rsidP="00935174">
      <w:pPr>
        <w:pStyle w:val="Default"/>
        <w:numPr>
          <w:ilvl w:val="0"/>
          <w:numId w:val="29"/>
        </w:numPr>
        <w:ind w:left="567" w:hanging="567"/>
        <w:rPr>
          <w:rFonts w:ascii="Times New Roman" w:hAnsi="Times New Roman" w:cs="Times New Roman"/>
          <w:i/>
          <w:iCs/>
          <w:color w:val="auto"/>
        </w:rPr>
      </w:pPr>
      <w:r w:rsidRPr="007C1EF0">
        <w:rPr>
          <w:rFonts w:ascii="Times New Roman" w:hAnsi="Times New Roman" w:cs="Times New Roman"/>
          <w:i/>
          <w:iCs/>
          <w:color w:val="auto"/>
        </w:rPr>
        <w:t>K</w:t>
      </w:r>
      <w:r w:rsidR="00B50AEC">
        <w:rPr>
          <w:rFonts w:ascii="Times New Roman" w:hAnsi="Times New Roman" w:cs="Times New Roman"/>
          <w:i/>
          <w:iCs/>
          <w:color w:val="auto"/>
        </w:rPr>
        <w:t xml:space="preserve">. </w:t>
      </w:r>
      <w:proofErr w:type="spellStart"/>
      <w:r w:rsidR="007F4266">
        <w:rPr>
          <w:rFonts w:ascii="Times New Roman" w:hAnsi="Times New Roman" w:cs="Times New Roman"/>
          <w:i/>
          <w:iCs/>
          <w:color w:val="auto"/>
        </w:rPr>
        <w:t>pneumoniae</w:t>
      </w:r>
      <w:proofErr w:type="spellEnd"/>
    </w:p>
    <w:p w:rsidR="00935174" w:rsidRPr="007C1EF0" w:rsidRDefault="00935174" w:rsidP="00935174">
      <w:pPr>
        <w:pStyle w:val="Default"/>
        <w:numPr>
          <w:ilvl w:val="0"/>
          <w:numId w:val="29"/>
        </w:numPr>
        <w:ind w:left="567" w:hanging="567"/>
        <w:rPr>
          <w:rFonts w:ascii="Times New Roman" w:hAnsi="Times New Roman" w:cs="Times New Roman"/>
          <w:i/>
          <w:iCs/>
          <w:color w:val="auto"/>
        </w:rPr>
      </w:pPr>
      <w:r w:rsidRPr="007C1EF0">
        <w:rPr>
          <w:rFonts w:ascii="Times New Roman" w:hAnsi="Times New Roman" w:cs="Times New Roman"/>
          <w:i/>
          <w:iCs/>
          <w:color w:val="auto"/>
        </w:rPr>
        <w:t>P</w:t>
      </w:r>
      <w:r w:rsidR="00B50AEC">
        <w:rPr>
          <w:rFonts w:ascii="Times New Roman" w:hAnsi="Times New Roman" w:cs="Times New Roman"/>
          <w:i/>
          <w:iCs/>
          <w:color w:val="auto"/>
        </w:rPr>
        <w:t xml:space="preserve">. </w:t>
      </w:r>
      <w:r w:rsidRPr="007C1EF0">
        <w:rPr>
          <w:rFonts w:ascii="Times New Roman" w:hAnsi="Times New Roman" w:cs="Times New Roman"/>
          <w:i/>
          <w:iCs/>
          <w:color w:val="auto"/>
        </w:rPr>
        <w:t>mirabilis</w:t>
      </w:r>
    </w:p>
    <w:p w:rsidR="00935174" w:rsidRPr="007C1EF0" w:rsidRDefault="00935174" w:rsidP="00935174">
      <w:pPr>
        <w:numPr>
          <w:ilvl w:val="0"/>
          <w:numId w:val="29"/>
        </w:numPr>
        <w:spacing w:after="0" w:line="260" w:lineRule="exact"/>
        <w:ind w:left="567" w:hanging="567"/>
        <w:jc w:val="left"/>
        <w:rPr>
          <w:i/>
          <w:szCs w:val="24"/>
        </w:rPr>
      </w:pPr>
      <w:proofErr w:type="spellStart"/>
      <w:r w:rsidRPr="007C1EF0">
        <w:rPr>
          <w:i/>
          <w:szCs w:val="24"/>
        </w:rPr>
        <w:t>Serratia</w:t>
      </w:r>
      <w:proofErr w:type="spellEnd"/>
      <w:r w:rsidRPr="007C1EF0">
        <w:rPr>
          <w:i/>
          <w:szCs w:val="24"/>
        </w:rPr>
        <w:t xml:space="preserve"> </w:t>
      </w:r>
      <w:proofErr w:type="spellStart"/>
      <w:r w:rsidRPr="007C1EF0">
        <w:rPr>
          <w:i/>
          <w:szCs w:val="24"/>
        </w:rPr>
        <w:t>marcescens</w:t>
      </w:r>
      <w:proofErr w:type="spellEnd"/>
      <w:r w:rsidR="00A4175C">
        <w:rPr>
          <w:i/>
          <w:szCs w:val="24"/>
        </w:rPr>
        <w:t xml:space="preserve"> </w:t>
      </w:r>
      <w:r w:rsidR="000C6E53">
        <w:rPr>
          <w:i/>
          <w:szCs w:val="24"/>
        </w:rPr>
        <w:t xml:space="preserve">(S. </w:t>
      </w:r>
      <w:proofErr w:type="spellStart"/>
      <w:r w:rsidR="000C6E53" w:rsidRPr="007C1EF0">
        <w:rPr>
          <w:i/>
          <w:szCs w:val="24"/>
        </w:rPr>
        <w:t>marcescens</w:t>
      </w:r>
      <w:proofErr w:type="spellEnd"/>
      <w:r w:rsidR="000C6E53">
        <w:rPr>
          <w:i/>
          <w:szCs w:val="24"/>
        </w:rPr>
        <w:t>)</w:t>
      </w:r>
    </w:p>
    <w:p w:rsidR="00935174" w:rsidRPr="007C1EF0" w:rsidRDefault="00935174" w:rsidP="00935174">
      <w:pPr>
        <w:numPr>
          <w:ilvl w:val="0"/>
          <w:numId w:val="29"/>
        </w:numPr>
        <w:spacing w:after="0" w:line="260" w:lineRule="exact"/>
        <w:ind w:left="567" w:hanging="567"/>
        <w:jc w:val="left"/>
        <w:rPr>
          <w:i/>
          <w:szCs w:val="24"/>
        </w:rPr>
      </w:pPr>
      <w:r w:rsidRPr="007C1EF0">
        <w:rPr>
          <w:i/>
          <w:szCs w:val="24"/>
        </w:rPr>
        <w:t>P</w:t>
      </w:r>
      <w:r w:rsidR="00A4175C">
        <w:rPr>
          <w:i/>
          <w:szCs w:val="24"/>
        </w:rPr>
        <w:t xml:space="preserve">. </w:t>
      </w:r>
      <w:r w:rsidRPr="007C1EF0">
        <w:rPr>
          <w:i/>
          <w:szCs w:val="24"/>
        </w:rPr>
        <w:t>aeruginosa.</w:t>
      </w:r>
    </w:p>
    <w:p w:rsidR="00935174" w:rsidRPr="007C1EF0" w:rsidRDefault="00935174" w:rsidP="002D450A">
      <w:pPr>
        <w:pStyle w:val="CLDTableFootnote"/>
      </w:pPr>
    </w:p>
    <w:p w:rsidR="00935174" w:rsidRPr="001939AC" w:rsidRDefault="00935174" w:rsidP="00935174">
      <w:pPr>
        <w:pStyle w:val="CLDNormal"/>
      </w:pPr>
      <w:r w:rsidRPr="001939AC">
        <w:t xml:space="preserve">Clinical efficacy </w:t>
      </w:r>
      <w:proofErr w:type="gramStart"/>
      <w:r w:rsidRPr="001939AC">
        <w:t>has not been established</w:t>
      </w:r>
      <w:proofErr w:type="gramEnd"/>
      <w:r w:rsidRPr="001939AC">
        <w:t xml:space="preserve"> against the following pathogens that are relevant to the approved indications although </w:t>
      </w:r>
      <w:r w:rsidRPr="007E4BBA">
        <w:rPr>
          <w:i/>
        </w:rPr>
        <w:t>in vitro</w:t>
      </w:r>
      <w:r w:rsidRPr="001939AC">
        <w:t xml:space="preserve"> studies suggest that they would be susceptible to </w:t>
      </w:r>
      <w:proofErr w:type="spellStart"/>
      <w:r w:rsidRPr="001939AC">
        <w:t>ceftazidime</w:t>
      </w:r>
      <w:proofErr w:type="spellEnd"/>
      <w:r w:rsidRPr="001939AC">
        <w:t>/avibactam in the absence of acquired mechanisms of resistance.</w:t>
      </w:r>
    </w:p>
    <w:p w:rsidR="00935174" w:rsidRPr="001939AC" w:rsidRDefault="00935174" w:rsidP="00935174">
      <w:pPr>
        <w:pStyle w:val="CLDHeading5"/>
      </w:pPr>
      <w:r w:rsidRPr="001939AC">
        <w:t xml:space="preserve">Gram-negative </w:t>
      </w:r>
      <w:proofErr w:type="gramStart"/>
      <w:r w:rsidRPr="001939AC">
        <w:t>micro-organisms</w:t>
      </w:r>
      <w:proofErr w:type="gramEnd"/>
    </w:p>
    <w:p w:rsidR="00935174" w:rsidRPr="007C1EF0" w:rsidRDefault="00935174" w:rsidP="00935174">
      <w:pPr>
        <w:pStyle w:val="Default"/>
        <w:numPr>
          <w:ilvl w:val="0"/>
          <w:numId w:val="31"/>
        </w:numPr>
        <w:ind w:left="567" w:hanging="567"/>
        <w:rPr>
          <w:rFonts w:ascii="Times New Roman" w:hAnsi="Times New Roman" w:cs="Times New Roman"/>
          <w:iCs/>
          <w:color w:val="auto"/>
        </w:rPr>
      </w:pPr>
      <w:proofErr w:type="spellStart"/>
      <w:r w:rsidRPr="007C1EF0">
        <w:rPr>
          <w:rFonts w:ascii="Times New Roman" w:hAnsi="Times New Roman" w:cs="Times New Roman"/>
          <w:i/>
          <w:iCs/>
          <w:color w:val="auto"/>
        </w:rPr>
        <w:t>Citrobacter</w:t>
      </w:r>
      <w:proofErr w:type="spellEnd"/>
      <w:r w:rsidRPr="007C1EF0">
        <w:rPr>
          <w:rFonts w:ascii="Times New Roman" w:hAnsi="Times New Roman" w:cs="Times New Roman"/>
          <w:i/>
          <w:iCs/>
          <w:color w:val="auto"/>
        </w:rPr>
        <w:t xml:space="preserve"> </w:t>
      </w:r>
      <w:proofErr w:type="spellStart"/>
      <w:r w:rsidRPr="007C1EF0">
        <w:rPr>
          <w:rFonts w:ascii="Times New Roman" w:hAnsi="Times New Roman" w:cs="Times New Roman"/>
          <w:i/>
          <w:iCs/>
          <w:color w:val="auto"/>
        </w:rPr>
        <w:t>koseri</w:t>
      </w:r>
      <w:proofErr w:type="spellEnd"/>
      <w:r w:rsidR="00A4175C">
        <w:rPr>
          <w:rFonts w:ascii="Times New Roman" w:hAnsi="Times New Roman" w:cs="Times New Roman"/>
          <w:i/>
          <w:iCs/>
          <w:color w:val="auto"/>
        </w:rPr>
        <w:t xml:space="preserve"> </w:t>
      </w:r>
      <w:r w:rsidR="000C6E53">
        <w:rPr>
          <w:rFonts w:ascii="Times New Roman" w:hAnsi="Times New Roman" w:cs="Times New Roman"/>
          <w:i/>
          <w:iCs/>
          <w:color w:val="auto"/>
        </w:rPr>
        <w:t>(C</w:t>
      </w:r>
      <w:r w:rsidR="000C6E53">
        <w:rPr>
          <w:rFonts w:ascii="Times New Roman" w:hAnsi="Times New Roman" w:cs="Times New Roman"/>
          <w:iCs/>
          <w:color w:val="auto"/>
        </w:rPr>
        <w:t xml:space="preserve">. </w:t>
      </w:r>
      <w:proofErr w:type="spellStart"/>
      <w:r w:rsidR="000C6E53" w:rsidRPr="007C1EF0">
        <w:rPr>
          <w:rFonts w:ascii="Times New Roman" w:hAnsi="Times New Roman" w:cs="Times New Roman"/>
          <w:i/>
          <w:iCs/>
          <w:color w:val="auto"/>
        </w:rPr>
        <w:t>koseri</w:t>
      </w:r>
      <w:proofErr w:type="spellEnd"/>
      <w:r w:rsidR="000C6E53">
        <w:rPr>
          <w:rFonts w:ascii="Times New Roman" w:hAnsi="Times New Roman" w:cs="Times New Roman"/>
          <w:i/>
          <w:iCs/>
          <w:color w:val="auto"/>
        </w:rPr>
        <w:t>)</w:t>
      </w:r>
    </w:p>
    <w:p w:rsidR="00935174" w:rsidRPr="007C1EF0" w:rsidRDefault="00935174" w:rsidP="00935174">
      <w:pPr>
        <w:pStyle w:val="Default"/>
        <w:numPr>
          <w:ilvl w:val="0"/>
          <w:numId w:val="31"/>
        </w:numPr>
        <w:ind w:left="567" w:hanging="567"/>
        <w:rPr>
          <w:rFonts w:ascii="Times New Roman" w:hAnsi="Times New Roman" w:cs="Times New Roman"/>
          <w:i/>
          <w:iCs/>
          <w:color w:val="auto"/>
        </w:rPr>
      </w:pPr>
      <w:proofErr w:type="spellStart"/>
      <w:r w:rsidRPr="007C1EF0">
        <w:rPr>
          <w:rFonts w:ascii="Times New Roman" w:hAnsi="Times New Roman" w:cs="Times New Roman"/>
          <w:i/>
          <w:iCs/>
          <w:color w:val="auto"/>
        </w:rPr>
        <w:t>Enterobacter</w:t>
      </w:r>
      <w:proofErr w:type="spellEnd"/>
      <w:r w:rsidRPr="007C1EF0">
        <w:rPr>
          <w:rFonts w:ascii="Times New Roman" w:hAnsi="Times New Roman" w:cs="Times New Roman"/>
          <w:i/>
          <w:iCs/>
          <w:color w:val="auto"/>
        </w:rPr>
        <w:t xml:space="preserve"> </w:t>
      </w:r>
      <w:proofErr w:type="spellStart"/>
      <w:r w:rsidRPr="007C1EF0">
        <w:rPr>
          <w:rFonts w:ascii="Times New Roman" w:hAnsi="Times New Roman" w:cs="Times New Roman"/>
          <w:i/>
          <w:iCs/>
          <w:color w:val="auto"/>
        </w:rPr>
        <w:t>aerogenes</w:t>
      </w:r>
      <w:proofErr w:type="spellEnd"/>
      <w:r w:rsidR="00A4175C">
        <w:rPr>
          <w:rFonts w:ascii="Times New Roman" w:hAnsi="Times New Roman" w:cs="Times New Roman"/>
          <w:i/>
          <w:iCs/>
          <w:color w:val="auto"/>
        </w:rPr>
        <w:t xml:space="preserve"> </w:t>
      </w:r>
      <w:r w:rsidR="000C6E53">
        <w:rPr>
          <w:rFonts w:ascii="Times New Roman" w:hAnsi="Times New Roman" w:cs="Times New Roman"/>
          <w:i/>
          <w:iCs/>
          <w:color w:val="auto"/>
        </w:rPr>
        <w:t xml:space="preserve">(E. </w:t>
      </w:r>
      <w:proofErr w:type="spellStart"/>
      <w:r w:rsidR="000C6E53">
        <w:rPr>
          <w:rFonts w:ascii="Times New Roman" w:hAnsi="Times New Roman" w:cs="Times New Roman"/>
          <w:i/>
          <w:iCs/>
          <w:color w:val="auto"/>
        </w:rPr>
        <w:t>aerogenes</w:t>
      </w:r>
      <w:proofErr w:type="spellEnd"/>
      <w:r w:rsidR="000C6E53">
        <w:rPr>
          <w:rFonts w:ascii="Times New Roman" w:hAnsi="Times New Roman" w:cs="Times New Roman"/>
          <w:i/>
          <w:iCs/>
          <w:color w:val="auto"/>
        </w:rPr>
        <w:t>)</w:t>
      </w:r>
    </w:p>
    <w:p w:rsidR="00935174" w:rsidRPr="007C1EF0" w:rsidRDefault="00935174" w:rsidP="00935174">
      <w:pPr>
        <w:pStyle w:val="Default"/>
        <w:numPr>
          <w:ilvl w:val="0"/>
          <w:numId w:val="31"/>
        </w:numPr>
        <w:ind w:left="567" w:hanging="567"/>
        <w:rPr>
          <w:rFonts w:ascii="Times New Roman" w:hAnsi="Times New Roman" w:cs="Times New Roman"/>
          <w:i/>
          <w:iCs/>
          <w:color w:val="auto"/>
        </w:rPr>
      </w:pPr>
      <w:proofErr w:type="spellStart"/>
      <w:r w:rsidRPr="007C1EF0">
        <w:rPr>
          <w:rFonts w:ascii="Times New Roman" w:hAnsi="Times New Roman" w:cs="Times New Roman"/>
          <w:i/>
          <w:iCs/>
          <w:color w:val="auto"/>
        </w:rPr>
        <w:t>Morganella</w:t>
      </w:r>
      <w:proofErr w:type="spellEnd"/>
      <w:r w:rsidRPr="007C1EF0">
        <w:rPr>
          <w:rFonts w:ascii="Times New Roman" w:hAnsi="Times New Roman" w:cs="Times New Roman"/>
          <w:i/>
          <w:iCs/>
          <w:color w:val="auto"/>
        </w:rPr>
        <w:t xml:space="preserve"> </w:t>
      </w:r>
      <w:proofErr w:type="spellStart"/>
      <w:r w:rsidRPr="007C1EF0">
        <w:rPr>
          <w:rFonts w:ascii="Times New Roman" w:hAnsi="Times New Roman" w:cs="Times New Roman"/>
          <w:i/>
          <w:iCs/>
          <w:color w:val="auto"/>
        </w:rPr>
        <w:t>morganii</w:t>
      </w:r>
      <w:proofErr w:type="spellEnd"/>
      <w:r w:rsidR="00A4175C">
        <w:rPr>
          <w:rFonts w:ascii="Times New Roman" w:hAnsi="Times New Roman" w:cs="Times New Roman"/>
          <w:i/>
          <w:iCs/>
          <w:color w:val="auto"/>
        </w:rPr>
        <w:t xml:space="preserve"> </w:t>
      </w:r>
      <w:r w:rsidR="000C6E53">
        <w:rPr>
          <w:rFonts w:ascii="Times New Roman" w:hAnsi="Times New Roman" w:cs="Times New Roman"/>
          <w:i/>
          <w:iCs/>
          <w:color w:val="auto"/>
        </w:rPr>
        <w:t xml:space="preserve">(M. </w:t>
      </w:r>
      <w:proofErr w:type="spellStart"/>
      <w:r w:rsidR="000C6E53">
        <w:rPr>
          <w:rFonts w:ascii="Times New Roman" w:hAnsi="Times New Roman" w:cs="Times New Roman"/>
          <w:i/>
          <w:iCs/>
          <w:color w:val="auto"/>
        </w:rPr>
        <w:t>morganii</w:t>
      </w:r>
      <w:proofErr w:type="spellEnd"/>
      <w:r w:rsidR="000C6E53">
        <w:rPr>
          <w:rFonts w:ascii="Times New Roman" w:hAnsi="Times New Roman" w:cs="Times New Roman"/>
          <w:i/>
          <w:iCs/>
          <w:color w:val="auto"/>
        </w:rPr>
        <w:t>)</w:t>
      </w:r>
    </w:p>
    <w:p w:rsidR="00935174" w:rsidRPr="007C1EF0" w:rsidRDefault="00935174" w:rsidP="00935174">
      <w:pPr>
        <w:pStyle w:val="Default"/>
        <w:numPr>
          <w:ilvl w:val="0"/>
          <w:numId w:val="31"/>
        </w:numPr>
        <w:ind w:left="567" w:hanging="567"/>
        <w:rPr>
          <w:rFonts w:ascii="Times New Roman" w:hAnsi="Times New Roman" w:cs="Times New Roman"/>
          <w:i/>
          <w:color w:val="auto"/>
        </w:rPr>
      </w:pPr>
      <w:r w:rsidRPr="007C1EF0">
        <w:rPr>
          <w:rFonts w:ascii="Times New Roman" w:hAnsi="Times New Roman" w:cs="Times New Roman"/>
          <w:i/>
          <w:iCs/>
          <w:color w:val="auto"/>
        </w:rPr>
        <w:t xml:space="preserve">Proteus </w:t>
      </w:r>
      <w:r w:rsidRPr="007C1EF0">
        <w:rPr>
          <w:rFonts w:ascii="Times New Roman" w:hAnsi="Times New Roman" w:cs="Times New Roman"/>
          <w:i/>
          <w:color w:val="auto"/>
        </w:rPr>
        <w:t>vulgaris</w:t>
      </w:r>
      <w:r w:rsidR="00A4175C">
        <w:rPr>
          <w:rFonts w:ascii="Times New Roman" w:hAnsi="Times New Roman" w:cs="Times New Roman"/>
          <w:i/>
          <w:color w:val="auto"/>
        </w:rPr>
        <w:t xml:space="preserve"> </w:t>
      </w:r>
      <w:r w:rsidR="000C6E53">
        <w:rPr>
          <w:rFonts w:ascii="Times New Roman" w:hAnsi="Times New Roman" w:cs="Times New Roman"/>
          <w:i/>
          <w:color w:val="auto"/>
        </w:rPr>
        <w:t>(P. vulgaris)</w:t>
      </w:r>
    </w:p>
    <w:p w:rsidR="000C6E53" w:rsidRPr="000C6E53" w:rsidRDefault="00935174" w:rsidP="000C6E53">
      <w:pPr>
        <w:pStyle w:val="Default"/>
        <w:numPr>
          <w:ilvl w:val="0"/>
          <w:numId w:val="31"/>
        </w:numPr>
        <w:ind w:left="567" w:hanging="567"/>
        <w:rPr>
          <w:rFonts w:ascii="Times New Roman" w:hAnsi="Times New Roman" w:cs="Times New Roman"/>
          <w:color w:val="auto"/>
        </w:rPr>
      </w:pPr>
      <w:proofErr w:type="spellStart"/>
      <w:r w:rsidRPr="000C6E53">
        <w:rPr>
          <w:rFonts w:ascii="Times New Roman" w:hAnsi="Times New Roman" w:cs="Times New Roman"/>
          <w:i/>
          <w:color w:val="auto"/>
        </w:rPr>
        <w:t>Providencia</w:t>
      </w:r>
      <w:proofErr w:type="spellEnd"/>
      <w:r w:rsidRPr="000C6E53">
        <w:rPr>
          <w:rFonts w:ascii="Times New Roman" w:hAnsi="Times New Roman" w:cs="Times New Roman"/>
          <w:i/>
          <w:color w:val="auto"/>
        </w:rPr>
        <w:t xml:space="preserve"> </w:t>
      </w:r>
      <w:proofErr w:type="spellStart"/>
      <w:r w:rsidRPr="000C6E53">
        <w:rPr>
          <w:rFonts w:ascii="Times New Roman" w:hAnsi="Times New Roman" w:cs="Times New Roman"/>
          <w:i/>
          <w:color w:val="auto"/>
        </w:rPr>
        <w:t>rettgeri</w:t>
      </w:r>
      <w:proofErr w:type="spellEnd"/>
      <w:r w:rsidR="000C6E53" w:rsidRPr="000C6E53">
        <w:rPr>
          <w:rFonts w:ascii="Times New Roman" w:hAnsi="Times New Roman" w:cs="Times New Roman"/>
          <w:i/>
          <w:color w:val="auto"/>
        </w:rPr>
        <w:t xml:space="preserve"> (P. </w:t>
      </w:r>
      <w:proofErr w:type="spellStart"/>
      <w:r w:rsidR="000C6E53" w:rsidRPr="000C6E53">
        <w:rPr>
          <w:rFonts w:ascii="Times New Roman" w:hAnsi="Times New Roman" w:cs="Times New Roman"/>
          <w:i/>
          <w:color w:val="auto"/>
        </w:rPr>
        <w:t>rettgeri</w:t>
      </w:r>
      <w:proofErr w:type="spellEnd"/>
      <w:r w:rsidR="000C6E53" w:rsidRPr="000C6E53">
        <w:rPr>
          <w:rFonts w:ascii="Times New Roman" w:hAnsi="Times New Roman" w:cs="Times New Roman"/>
          <w:i/>
          <w:color w:val="auto"/>
        </w:rPr>
        <w:t>).</w:t>
      </w:r>
    </w:p>
    <w:p w:rsidR="00A1393B" w:rsidRDefault="00A1393B" w:rsidP="002D450A">
      <w:pPr>
        <w:pStyle w:val="CLDTableFootnote"/>
        <w:rPr>
          <w:i/>
          <w:iCs/>
        </w:rPr>
      </w:pPr>
    </w:p>
    <w:p w:rsidR="00935174" w:rsidRPr="001939AC" w:rsidRDefault="00935174" w:rsidP="00935174">
      <w:pPr>
        <w:pStyle w:val="CLDNormal"/>
        <w:rPr>
          <w:rFonts w:eastAsia="TimesNewRoman"/>
        </w:rPr>
      </w:pPr>
      <w:r w:rsidRPr="00935174">
        <w:rPr>
          <w:i/>
          <w:iCs/>
        </w:rPr>
        <w:t>In-vitro</w:t>
      </w:r>
      <w:r w:rsidRPr="001939AC">
        <w:t xml:space="preserve"> data indicate that the following species are not susceptible to </w:t>
      </w:r>
      <w:proofErr w:type="spellStart"/>
      <w:r w:rsidRPr="001939AC">
        <w:t>ceftazidime</w:t>
      </w:r>
      <w:proofErr w:type="spellEnd"/>
      <w:r w:rsidRPr="001939AC">
        <w:t>/avibactam.</w:t>
      </w:r>
    </w:p>
    <w:p w:rsidR="00935174" w:rsidRPr="007C1EF0" w:rsidRDefault="00935174" w:rsidP="00935174">
      <w:pPr>
        <w:pStyle w:val="ListParagraph"/>
        <w:numPr>
          <w:ilvl w:val="0"/>
          <w:numId w:val="32"/>
        </w:numPr>
        <w:spacing w:after="200" w:line="276" w:lineRule="auto"/>
        <w:ind w:left="567" w:hanging="567"/>
        <w:contextualSpacing/>
        <w:rPr>
          <w:rFonts w:ascii="Times New Roman" w:hAnsi="Times New Roman"/>
          <w:sz w:val="24"/>
          <w:szCs w:val="24"/>
        </w:rPr>
      </w:pPr>
      <w:r w:rsidRPr="007C1EF0">
        <w:rPr>
          <w:rFonts w:ascii="Times New Roman" w:hAnsi="Times New Roman"/>
          <w:i/>
          <w:iCs/>
          <w:sz w:val="24"/>
          <w:szCs w:val="24"/>
          <w:lang w:val="nb-NO"/>
        </w:rPr>
        <w:t>Staphylococcus aureus</w:t>
      </w:r>
      <w:r w:rsidRPr="007C1EF0">
        <w:rPr>
          <w:rFonts w:ascii="Times New Roman" w:hAnsi="Times New Roman"/>
          <w:sz w:val="24"/>
          <w:szCs w:val="24"/>
          <w:lang w:val="nb-NO"/>
        </w:rPr>
        <w:t xml:space="preserve"> (methicillin-susceptible and methicillin-reistant)</w:t>
      </w:r>
    </w:p>
    <w:p w:rsidR="00935174" w:rsidRPr="007C1EF0" w:rsidRDefault="00935174" w:rsidP="00935174">
      <w:pPr>
        <w:pStyle w:val="ListParagraph"/>
        <w:numPr>
          <w:ilvl w:val="0"/>
          <w:numId w:val="32"/>
        </w:numPr>
        <w:spacing w:after="200" w:line="276" w:lineRule="auto"/>
        <w:ind w:left="567" w:hanging="567"/>
        <w:contextualSpacing/>
        <w:rPr>
          <w:rFonts w:ascii="Times New Roman" w:hAnsi="Times New Roman"/>
          <w:sz w:val="24"/>
          <w:szCs w:val="24"/>
        </w:rPr>
      </w:pPr>
      <w:r w:rsidRPr="007C1EF0">
        <w:rPr>
          <w:rFonts w:ascii="Times New Roman" w:hAnsi="Times New Roman"/>
          <w:sz w:val="24"/>
          <w:szCs w:val="24"/>
        </w:rPr>
        <w:t>Anaerobes</w:t>
      </w:r>
    </w:p>
    <w:p w:rsidR="00935174" w:rsidRPr="007C1EF0" w:rsidRDefault="00935174" w:rsidP="00935174">
      <w:pPr>
        <w:pStyle w:val="ListParagraph"/>
        <w:numPr>
          <w:ilvl w:val="0"/>
          <w:numId w:val="32"/>
        </w:numPr>
        <w:spacing w:after="200" w:line="276" w:lineRule="auto"/>
        <w:ind w:left="567" w:hanging="567"/>
        <w:contextualSpacing/>
        <w:rPr>
          <w:rFonts w:ascii="Times New Roman" w:hAnsi="Times New Roman"/>
          <w:i/>
          <w:sz w:val="24"/>
          <w:szCs w:val="24"/>
        </w:rPr>
      </w:pPr>
      <w:r w:rsidRPr="007C1EF0">
        <w:rPr>
          <w:rFonts w:ascii="Times New Roman" w:hAnsi="Times New Roman"/>
          <w:i/>
          <w:sz w:val="24"/>
          <w:szCs w:val="24"/>
        </w:rPr>
        <w:t xml:space="preserve">Enterococcus </w:t>
      </w:r>
      <w:r w:rsidRPr="007C1EF0">
        <w:rPr>
          <w:rFonts w:ascii="Times New Roman" w:hAnsi="Times New Roman"/>
          <w:sz w:val="24"/>
          <w:szCs w:val="24"/>
        </w:rPr>
        <w:t>spp.</w:t>
      </w:r>
    </w:p>
    <w:p w:rsidR="00935174" w:rsidRDefault="00935174" w:rsidP="00935174">
      <w:pPr>
        <w:pStyle w:val="ListParagraph"/>
        <w:numPr>
          <w:ilvl w:val="0"/>
          <w:numId w:val="32"/>
        </w:numPr>
        <w:spacing w:after="200" w:line="276" w:lineRule="auto"/>
        <w:ind w:left="567" w:hanging="567"/>
        <w:contextualSpacing/>
        <w:rPr>
          <w:rFonts w:ascii="Times New Roman" w:hAnsi="Times New Roman"/>
          <w:i/>
          <w:sz w:val="24"/>
          <w:szCs w:val="24"/>
        </w:rPr>
      </w:pPr>
      <w:proofErr w:type="spellStart"/>
      <w:r w:rsidRPr="007C1EF0">
        <w:rPr>
          <w:rFonts w:ascii="Times New Roman" w:hAnsi="Times New Roman"/>
          <w:i/>
          <w:sz w:val="24"/>
          <w:szCs w:val="24"/>
        </w:rPr>
        <w:t>Stenotrophomonas</w:t>
      </w:r>
      <w:proofErr w:type="spellEnd"/>
      <w:r w:rsidRPr="007C1EF0">
        <w:rPr>
          <w:rFonts w:ascii="Times New Roman" w:hAnsi="Times New Roman"/>
          <w:i/>
          <w:sz w:val="24"/>
          <w:szCs w:val="24"/>
        </w:rPr>
        <w:t xml:space="preserve"> </w:t>
      </w:r>
      <w:proofErr w:type="spellStart"/>
      <w:r w:rsidRPr="007C1EF0">
        <w:rPr>
          <w:rFonts w:ascii="Times New Roman" w:hAnsi="Times New Roman"/>
          <w:i/>
          <w:sz w:val="24"/>
          <w:szCs w:val="24"/>
        </w:rPr>
        <w:t>maltophilia</w:t>
      </w:r>
      <w:proofErr w:type="spellEnd"/>
    </w:p>
    <w:p w:rsidR="000C5A6C" w:rsidRPr="007C1EF0" w:rsidRDefault="000C5A6C" w:rsidP="00935174">
      <w:pPr>
        <w:pStyle w:val="ListParagraph"/>
        <w:numPr>
          <w:ilvl w:val="0"/>
          <w:numId w:val="32"/>
        </w:numPr>
        <w:spacing w:after="200" w:line="276" w:lineRule="auto"/>
        <w:ind w:left="567" w:hanging="567"/>
        <w:contextualSpacing/>
        <w:rPr>
          <w:rFonts w:ascii="Times New Roman" w:hAnsi="Times New Roman"/>
          <w:i/>
          <w:sz w:val="24"/>
          <w:szCs w:val="24"/>
        </w:rPr>
      </w:pPr>
      <w:proofErr w:type="spellStart"/>
      <w:r w:rsidRPr="007C1EF0">
        <w:rPr>
          <w:rFonts w:ascii="Times New Roman" w:hAnsi="Times New Roman"/>
          <w:i/>
          <w:sz w:val="24"/>
          <w:szCs w:val="24"/>
        </w:rPr>
        <w:t>Acinetobacter</w:t>
      </w:r>
      <w:proofErr w:type="spellEnd"/>
      <w:r w:rsidRPr="007C1EF0">
        <w:rPr>
          <w:rFonts w:ascii="Times New Roman" w:hAnsi="Times New Roman"/>
          <w:i/>
          <w:sz w:val="24"/>
          <w:szCs w:val="24"/>
        </w:rPr>
        <w:t xml:space="preserve"> </w:t>
      </w:r>
      <w:r w:rsidRPr="007C1EF0">
        <w:rPr>
          <w:rFonts w:ascii="Times New Roman" w:hAnsi="Times New Roman"/>
          <w:sz w:val="24"/>
          <w:szCs w:val="24"/>
        </w:rPr>
        <w:t>spp.</w:t>
      </w:r>
    </w:p>
    <w:p w:rsidR="00620725" w:rsidRPr="00D937A3" w:rsidRDefault="00620725" w:rsidP="00620725">
      <w:pPr>
        <w:pStyle w:val="CLDHeading4"/>
      </w:pPr>
      <w:r w:rsidRPr="00305843">
        <w:t xml:space="preserve">Australian </w:t>
      </w:r>
      <w:r w:rsidRPr="00D937A3">
        <w:t>antibiotic resistance prevalence data</w:t>
      </w:r>
    </w:p>
    <w:p w:rsidR="00620725" w:rsidRPr="00EC5AEA" w:rsidRDefault="00620725" w:rsidP="004728BF">
      <w:pPr>
        <w:pStyle w:val="CLDNormal"/>
        <w:rPr>
          <w:highlight w:val="yellow"/>
        </w:rPr>
      </w:pPr>
      <w:r w:rsidRPr="00D937A3">
        <w:t xml:space="preserve">A surveillance study conducted </w:t>
      </w:r>
      <w:r w:rsidR="00507C4A" w:rsidRPr="00D937A3">
        <w:t xml:space="preserve">in 2016 </w:t>
      </w:r>
      <w:r w:rsidRPr="00D937A3">
        <w:t>examin</w:t>
      </w:r>
      <w:r w:rsidR="00507C4A" w:rsidRPr="00D937A3">
        <w:t>ed</w:t>
      </w:r>
      <w:r w:rsidRPr="00D937A3">
        <w:t xml:space="preserve"> the susceptibility of </w:t>
      </w:r>
      <w:proofErr w:type="spellStart"/>
      <w:r w:rsidR="00507C4A" w:rsidRPr="00D937A3">
        <w:t>ceftazidime</w:t>
      </w:r>
      <w:proofErr w:type="spellEnd"/>
      <w:r w:rsidR="00CF2960" w:rsidRPr="00D937A3">
        <w:t>/</w:t>
      </w:r>
      <w:proofErr w:type="spellStart"/>
      <w:r w:rsidR="00507C4A" w:rsidRPr="00D937A3">
        <w:t>avibatam</w:t>
      </w:r>
      <w:proofErr w:type="spellEnd"/>
      <w:r w:rsidR="00507C4A" w:rsidRPr="00D937A3">
        <w:t xml:space="preserve"> </w:t>
      </w:r>
      <w:r w:rsidRPr="00D937A3">
        <w:t xml:space="preserve">against clinical isolates collected from </w:t>
      </w:r>
      <w:r w:rsidR="004728BF" w:rsidRPr="00D937A3">
        <w:t>hospitalised patients</w:t>
      </w:r>
      <w:r w:rsidR="00507C4A" w:rsidRPr="00D937A3">
        <w:t xml:space="preserve">. </w:t>
      </w:r>
      <w:r w:rsidR="00124048" w:rsidRPr="00D937A3">
        <w:t xml:space="preserve">The </w:t>
      </w:r>
      <w:r w:rsidR="00124048" w:rsidRPr="00D937A3">
        <w:rPr>
          <w:i/>
        </w:rPr>
        <w:t>in vitro</w:t>
      </w:r>
      <w:r w:rsidR="00124048" w:rsidRPr="00D937A3">
        <w:t xml:space="preserve"> data for</w:t>
      </w:r>
      <w:r w:rsidR="00C500BE" w:rsidRPr="00D937A3">
        <w:t xml:space="preserve"> </w:t>
      </w:r>
      <w:r w:rsidR="007C51D5" w:rsidRPr="00D937A3">
        <w:t xml:space="preserve">clinical </w:t>
      </w:r>
      <w:r w:rsidR="00EB4AA0" w:rsidRPr="00D937A3">
        <w:t xml:space="preserve">isolates </w:t>
      </w:r>
      <w:r w:rsidR="00F83364" w:rsidRPr="00D937A3">
        <w:t>are</w:t>
      </w:r>
      <w:r w:rsidR="00124048" w:rsidRPr="00D937A3">
        <w:t xml:space="preserve"> summarised in the table below.</w:t>
      </w:r>
      <w:r w:rsidR="00124048" w:rsidRPr="00305843">
        <w:t xml:space="preserve"> </w:t>
      </w:r>
      <w:r w:rsidR="004728BF" w:rsidRPr="00D937A3">
        <w:t xml:space="preserve">All isolates </w:t>
      </w:r>
      <w:proofErr w:type="gramStart"/>
      <w:r w:rsidR="004728BF" w:rsidRPr="00D937A3">
        <w:t>were obtained</w:t>
      </w:r>
      <w:proofErr w:type="gramEnd"/>
      <w:r w:rsidR="004728BF" w:rsidRPr="00D937A3">
        <w:t xml:space="preserve"> from specimens colle</w:t>
      </w:r>
      <w:r w:rsidR="00DB7AA8" w:rsidRPr="00D937A3">
        <w:t>cted</w:t>
      </w:r>
      <w:r w:rsidR="004728BF" w:rsidRPr="00D937A3">
        <w:t xml:space="preserve"> from patients with documented IAI,</w:t>
      </w:r>
      <w:r w:rsidR="004728BF">
        <w:t xml:space="preserve"> UTI, skin and skin structure infections (SSTI), blood cultures, or lower respiratory tract infections (LRTI). Only one strain per</w:t>
      </w:r>
      <w:r w:rsidR="004D39F9">
        <w:t xml:space="preserve"> </w:t>
      </w:r>
      <w:r w:rsidR="004728BF">
        <w:t>patient infection episo</w:t>
      </w:r>
      <w:r w:rsidR="00DB7AA8">
        <w:t>d</w:t>
      </w:r>
      <w:r w:rsidR="004728BF">
        <w:t xml:space="preserve">e was included in the surveillance programme. </w:t>
      </w:r>
      <w:proofErr w:type="spellStart"/>
      <w:r w:rsidR="00C500BE">
        <w:t>Susceptiblity</w:t>
      </w:r>
      <w:proofErr w:type="spellEnd"/>
      <w:r w:rsidR="00C500BE">
        <w:t xml:space="preserve"> testing methods according to </w:t>
      </w:r>
      <w:r w:rsidR="00EB4AA0" w:rsidRPr="00620725">
        <w:rPr>
          <w:i/>
        </w:rPr>
        <w:t>Clinical Laboratory Standards Institute</w:t>
      </w:r>
      <w:r w:rsidR="00EB4AA0">
        <w:t xml:space="preserve"> (CLSI)</w:t>
      </w:r>
      <w:r w:rsidR="00C500BE">
        <w:t xml:space="preserve"> (M2-09) </w:t>
      </w:r>
      <w:proofErr w:type="gramStart"/>
      <w:r w:rsidR="00C500BE">
        <w:t>were used</w:t>
      </w:r>
      <w:proofErr w:type="gramEnd"/>
      <w:r w:rsidR="00C500BE">
        <w:t xml:space="preserve"> and </w:t>
      </w:r>
      <w:r w:rsidR="000C6E53">
        <w:t>w</w:t>
      </w:r>
      <w:r>
        <w:t>here applicable, susceptibility interpretive criteria applied were CLSI M100-S2</w:t>
      </w:r>
      <w:r w:rsidR="00507C4A">
        <w:t>7</w:t>
      </w:r>
      <w:r>
        <w:t xml:space="preserve"> (201</w:t>
      </w:r>
      <w:r w:rsidR="00507C4A">
        <w:t>7</w:t>
      </w:r>
      <w:r>
        <w:t>).</w:t>
      </w:r>
    </w:p>
    <w:p w:rsidR="004728BF" w:rsidRPr="00EB387C" w:rsidRDefault="00000C96" w:rsidP="00EB387C">
      <w:pPr>
        <w:pStyle w:val="CLDTableTitle"/>
      </w:pPr>
      <w:bookmarkStart w:id="4" w:name="_Toc1479075"/>
      <w:r w:rsidRPr="00EB387C">
        <w:t xml:space="preserve">Table </w:t>
      </w:r>
      <w:r w:rsidRPr="00EB387C">
        <w:fldChar w:fldCharType="begin"/>
      </w:r>
      <w:r w:rsidRPr="00EB387C">
        <w:instrText xml:space="preserve"> SEQ Table \* ARABIC </w:instrText>
      </w:r>
      <w:r w:rsidRPr="00EB387C">
        <w:fldChar w:fldCharType="separate"/>
      </w:r>
      <w:r w:rsidR="00B44B34">
        <w:rPr>
          <w:noProof/>
        </w:rPr>
        <w:t>5</w:t>
      </w:r>
      <w:r w:rsidRPr="00EB387C">
        <w:fldChar w:fldCharType="end"/>
      </w:r>
      <w:r w:rsidRPr="00EB387C">
        <w:t xml:space="preserve">: Summary of </w:t>
      </w:r>
      <w:proofErr w:type="spellStart"/>
      <w:r w:rsidR="00E61FAC" w:rsidRPr="00EB387C">
        <w:t>ceftazidime</w:t>
      </w:r>
      <w:proofErr w:type="spellEnd"/>
      <w:r w:rsidR="00E61FAC" w:rsidRPr="00EB387C">
        <w:t>/</w:t>
      </w:r>
      <w:r w:rsidR="00CF2960" w:rsidRPr="00EB387C">
        <w:t>a</w:t>
      </w:r>
      <w:r w:rsidR="00E61FAC" w:rsidRPr="00EB387C">
        <w:t>vibactam (</w:t>
      </w:r>
      <w:r w:rsidRPr="00EB387C">
        <w:t>C</w:t>
      </w:r>
      <w:r w:rsidR="00ED6672" w:rsidRPr="00EB387C">
        <w:t>AZ</w:t>
      </w:r>
      <w:r w:rsidR="00E61FAC" w:rsidRPr="00EB387C">
        <w:t>/</w:t>
      </w:r>
      <w:r w:rsidRPr="00EB387C">
        <w:t>AVI</w:t>
      </w:r>
      <w:r w:rsidR="00E61FAC" w:rsidRPr="00EB387C">
        <w:t>)</w:t>
      </w:r>
      <w:r w:rsidRPr="00EB387C">
        <w:t xml:space="preserve"> </w:t>
      </w:r>
      <w:r w:rsidR="0055676C" w:rsidRPr="00EB387C">
        <w:t>activity</w:t>
      </w:r>
      <w:r w:rsidRPr="00EB387C">
        <w:t xml:space="preserve"> tested against </w:t>
      </w:r>
      <w:r w:rsidR="00203C27" w:rsidRPr="00EB387C">
        <w:t xml:space="preserve">susceptible </w:t>
      </w:r>
      <w:proofErr w:type="gramStart"/>
      <w:r w:rsidR="00CE5B81" w:rsidRPr="00EB387C">
        <w:t>Gram negative</w:t>
      </w:r>
      <w:proofErr w:type="gramEnd"/>
      <w:r w:rsidR="00CE5B81" w:rsidRPr="00EB387C">
        <w:t xml:space="preserve"> </w:t>
      </w:r>
      <w:r w:rsidR="00C500BE" w:rsidRPr="00EB387C">
        <w:t xml:space="preserve">clinical </w:t>
      </w:r>
      <w:r w:rsidR="00124048" w:rsidRPr="00EB387C">
        <w:t xml:space="preserve">isolates from </w:t>
      </w:r>
      <w:r w:rsidRPr="00EB387C">
        <w:t xml:space="preserve">Australian </w:t>
      </w:r>
      <w:r w:rsidR="000C6E53">
        <w:t xml:space="preserve">tertiary </w:t>
      </w:r>
      <w:r w:rsidR="00124048" w:rsidRPr="00EB387C">
        <w:t>hosp</w:t>
      </w:r>
      <w:r w:rsidR="00690945" w:rsidRPr="00EB387C">
        <w:t>i</w:t>
      </w:r>
      <w:r w:rsidR="00124048" w:rsidRPr="00EB387C">
        <w:t>tals from January to December 2016</w:t>
      </w:r>
      <w:bookmarkEnd w:id="4"/>
    </w:p>
    <w:tbl>
      <w:tblPr>
        <w:tblW w:w="8237" w:type="dxa"/>
        <w:tblInd w:w="93" w:type="dxa"/>
        <w:tblLook w:val="04A0" w:firstRow="1" w:lastRow="0" w:firstColumn="1" w:lastColumn="0" w:noHBand="0" w:noVBand="1"/>
      </w:tblPr>
      <w:tblGrid>
        <w:gridCol w:w="3134"/>
        <w:gridCol w:w="1701"/>
        <w:gridCol w:w="1701"/>
        <w:gridCol w:w="1701"/>
      </w:tblGrid>
      <w:tr w:rsidR="00263446" w:rsidRPr="002E7FAF" w:rsidTr="00EB387C">
        <w:trPr>
          <w:trHeight w:val="261"/>
          <w:tblHeader/>
        </w:trPr>
        <w:tc>
          <w:tcPr>
            <w:tcW w:w="3134" w:type="dxa"/>
            <w:tcBorders>
              <w:top w:val="single" w:sz="4" w:space="0" w:color="000000"/>
              <w:left w:val="single" w:sz="4" w:space="0" w:color="000000"/>
              <w:bottom w:val="single" w:sz="4" w:space="0" w:color="auto"/>
              <w:right w:val="single" w:sz="4" w:space="0" w:color="000000"/>
            </w:tcBorders>
            <w:shd w:val="clear" w:color="auto" w:fill="auto"/>
            <w:hideMark/>
          </w:tcPr>
          <w:p w:rsidR="00263446" w:rsidRPr="002E7FAF" w:rsidRDefault="00263446" w:rsidP="002E7FAF">
            <w:pPr>
              <w:pStyle w:val="CLDTableSpaceListSpace"/>
              <w:rPr>
                <w:b/>
                <w:bCs/>
                <w:sz w:val="22"/>
                <w:lang w:val="en-US"/>
              </w:rPr>
            </w:pPr>
            <w:r w:rsidRPr="002E7FAF">
              <w:rPr>
                <w:b/>
                <w:bCs/>
                <w:sz w:val="22"/>
                <w:lang w:val="en-US"/>
              </w:rPr>
              <w:t>Organism / subset</w:t>
            </w:r>
          </w:p>
        </w:tc>
        <w:tc>
          <w:tcPr>
            <w:tcW w:w="1701" w:type="dxa"/>
            <w:tcBorders>
              <w:top w:val="single" w:sz="4" w:space="0" w:color="000000"/>
              <w:left w:val="nil"/>
              <w:bottom w:val="single" w:sz="4" w:space="0" w:color="000000"/>
              <w:right w:val="single" w:sz="4" w:space="0" w:color="000000"/>
            </w:tcBorders>
            <w:shd w:val="clear" w:color="auto" w:fill="auto"/>
            <w:hideMark/>
          </w:tcPr>
          <w:p w:rsidR="00263446" w:rsidRPr="002E7FAF" w:rsidRDefault="00263446" w:rsidP="002E7FAF">
            <w:pPr>
              <w:pStyle w:val="CLDTableSpaceListSpace"/>
              <w:rPr>
                <w:b/>
                <w:bCs/>
                <w:sz w:val="22"/>
                <w:lang w:val="en-US"/>
              </w:rPr>
            </w:pPr>
            <w:r w:rsidRPr="002E7FAF">
              <w:rPr>
                <w:b/>
                <w:bCs/>
                <w:sz w:val="22"/>
                <w:lang w:val="en-US"/>
              </w:rPr>
              <w:t>No. of isolates</w:t>
            </w:r>
          </w:p>
        </w:tc>
        <w:tc>
          <w:tcPr>
            <w:tcW w:w="1701" w:type="dxa"/>
            <w:tcBorders>
              <w:top w:val="single" w:sz="4" w:space="0" w:color="000000"/>
              <w:left w:val="nil"/>
              <w:bottom w:val="single" w:sz="4" w:space="0" w:color="000000"/>
              <w:right w:val="single" w:sz="4" w:space="0" w:color="000000"/>
            </w:tcBorders>
            <w:shd w:val="clear" w:color="auto" w:fill="auto"/>
            <w:hideMark/>
          </w:tcPr>
          <w:p w:rsidR="00263446" w:rsidRPr="002E7FAF" w:rsidRDefault="00263446" w:rsidP="002E7FAF">
            <w:pPr>
              <w:pStyle w:val="CLDTableSpaceListSpace"/>
              <w:rPr>
                <w:b/>
                <w:bCs/>
                <w:sz w:val="22"/>
                <w:lang w:val="en-US"/>
              </w:rPr>
            </w:pPr>
            <w:r w:rsidRPr="002E7FAF">
              <w:rPr>
                <w:b/>
                <w:bCs/>
                <w:sz w:val="22"/>
                <w:lang w:val="en-US"/>
              </w:rPr>
              <w:t xml:space="preserve">MIC50 </w:t>
            </w:r>
            <w:r w:rsidR="001F01C7" w:rsidRPr="002E7FAF">
              <w:rPr>
                <w:b/>
                <w:bCs/>
                <w:sz w:val="22"/>
                <w:lang w:val="en-US"/>
              </w:rPr>
              <w:t>(mg/L)</w:t>
            </w:r>
          </w:p>
        </w:tc>
        <w:tc>
          <w:tcPr>
            <w:tcW w:w="1701" w:type="dxa"/>
            <w:tcBorders>
              <w:top w:val="single" w:sz="4" w:space="0" w:color="000000"/>
              <w:left w:val="nil"/>
              <w:bottom w:val="single" w:sz="4" w:space="0" w:color="000000"/>
              <w:right w:val="single" w:sz="4" w:space="0" w:color="000000"/>
            </w:tcBorders>
            <w:shd w:val="clear" w:color="auto" w:fill="auto"/>
            <w:hideMark/>
          </w:tcPr>
          <w:p w:rsidR="00263446" w:rsidRPr="002E7FAF" w:rsidRDefault="00263446" w:rsidP="002E7FAF">
            <w:pPr>
              <w:pStyle w:val="CLDTableSpaceListSpace"/>
              <w:rPr>
                <w:b/>
                <w:bCs/>
                <w:sz w:val="22"/>
                <w:lang w:val="en-US"/>
              </w:rPr>
            </w:pPr>
            <w:r w:rsidRPr="002E7FAF">
              <w:rPr>
                <w:b/>
                <w:bCs/>
                <w:sz w:val="22"/>
                <w:lang w:val="en-US"/>
              </w:rPr>
              <w:t xml:space="preserve">MIC90 </w:t>
            </w:r>
            <w:r w:rsidR="001F01C7" w:rsidRPr="002E7FAF">
              <w:rPr>
                <w:b/>
                <w:bCs/>
                <w:sz w:val="22"/>
                <w:lang w:val="en-US"/>
              </w:rPr>
              <w:t>(mg/L)</w:t>
            </w:r>
          </w:p>
        </w:tc>
      </w:tr>
      <w:tr w:rsidR="00263446" w:rsidRPr="00673CBB" w:rsidTr="00EB387C">
        <w:trPr>
          <w:trHeight w:val="338"/>
        </w:trPr>
        <w:tc>
          <w:tcPr>
            <w:tcW w:w="3134" w:type="dxa"/>
            <w:tcBorders>
              <w:top w:val="nil"/>
              <w:left w:val="single" w:sz="4" w:space="0" w:color="000000"/>
              <w:bottom w:val="single" w:sz="4" w:space="0" w:color="auto"/>
              <w:right w:val="single" w:sz="4" w:space="0" w:color="000000"/>
            </w:tcBorders>
            <w:shd w:val="clear" w:color="auto" w:fill="auto"/>
            <w:hideMark/>
          </w:tcPr>
          <w:p w:rsidR="00263446" w:rsidRPr="009777CD" w:rsidRDefault="00263446" w:rsidP="00F73E2D">
            <w:pPr>
              <w:spacing w:before="20" w:after="60"/>
              <w:jc w:val="left"/>
              <w:rPr>
                <w:b/>
                <w:i/>
                <w:iCs/>
                <w:sz w:val="22"/>
                <w:lang w:val="en-US"/>
              </w:rPr>
            </w:pPr>
            <w:proofErr w:type="spellStart"/>
            <w:r w:rsidRPr="009777CD">
              <w:rPr>
                <w:b/>
                <w:i/>
                <w:iCs/>
                <w:sz w:val="22"/>
                <w:lang w:val="en-US"/>
              </w:rPr>
              <w:t>H</w:t>
            </w:r>
            <w:r w:rsidR="005128DE">
              <w:rPr>
                <w:b/>
                <w:i/>
                <w:iCs/>
                <w:sz w:val="22"/>
                <w:lang w:val="en-US"/>
              </w:rPr>
              <w:t>aemophilus</w:t>
            </w:r>
            <w:proofErr w:type="spellEnd"/>
            <w:r w:rsidRPr="009777CD">
              <w:rPr>
                <w:b/>
                <w:i/>
                <w:iCs/>
                <w:sz w:val="22"/>
                <w:lang w:val="en-US"/>
              </w:rPr>
              <w:t xml:space="preserve">. </w:t>
            </w:r>
            <w:proofErr w:type="spellStart"/>
            <w:r w:rsidRPr="009777CD">
              <w:rPr>
                <w:b/>
                <w:i/>
                <w:iCs/>
                <w:sz w:val="22"/>
                <w:lang w:val="en-US"/>
              </w:rPr>
              <w:t>influenzae</w:t>
            </w:r>
            <w:proofErr w:type="spellEnd"/>
          </w:p>
        </w:tc>
        <w:tc>
          <w:tcPr>
            <w:tcW w:w="1701" w:type="dxa"/>
            <w:tcBorders>
              <w:top w:val="nil"/>
              <w:left w:val="nil"/>
              <w:right w:val="single" w:sz="4" w:space="0" w:color="000000"/>
            </w:tcBorders>
            <w:shd w:val="clear" w:color="auto" w:fill="auto"/>
          </w:tcPr>
          <w:p w:rsidR="00263446" w:rsidRPr="00673CBB" w:rsidRDefault="00263446" w:rsidP="00F73E2D">
            <w:pPr>
              <w:spacing w:before="20" w:after="60"/>
              <w:jc w:val="left"/>
              <w:rPr>
                <w:color w:val="000000"/>
                <w:sz w:val="22"/>
                <w:lang w:val="en-US"/>
              </w:rPr>
            </w:pPr>
            <w:r w:rsidRPr="00673CBB">
              <w:rPr>
                <w:color w:val="000000"/>
                <w:sz w:val="22"/>
                <w:lang w:val="en-US"/>
              </w:rPr>
              <w:t>39</w:t>
            </w:r>
          </w:p>
        </w:tc>
        <w:tc>
          <w:tcPr>
            <w:tcW w:w="1701" w:type="dxa"/>
            <w:tcBorders>
              <w:top w:val="nil"/>
              <w:left w:val="nil"/>
              <w:right w:val="single" w:sz="4" w:space="0" w:color="000000"/>
            </w:tcBorders>
            <w:shd w:val="clear" w:color="auto" w:fill="auto"/>
          </w:tcPr>
          <w:p w:rsidR="00263446" w:rsidRPr="00673CBB" w:rsidRDefault="00734504" w:rsidP="00F73E2D">
            <w:pPr>
              <w:spacing w:before="20" w:after="60"/>
              <w:jc w:val="left"/>
              <w:rPr>
                <w:color w:val="000000"/>
                <w:sz w:val="22"/>
                <w:lang w:val="en-US"/>
              </w:rPr>
            </w:pPr>
            <w:r>
              <w:rPr>
                <w:sz w:val="22"/>
                <w:lang w:val="en-US"/>
              </w:rPr>
              <w:sym w:font="Symbol" w:char="F0A3"/>
            </w:r>
            <w:r w:rsidR="00263446" w:rsidRPr="00673CBB">
              <w:rPr>
                <w:sz w:val="22"/>
                <w:lang w:val="en-US"/>
              </w:rPr>
              <w:t>0.03</w:t>
            </w:r>
          </w:p>
        </w:tc>
        <w:tc>
          <w:tcPr>
            <w:tcW w:w="1701" w:type="dxa"/>
            <w:tcBorders>
              <w:top w:val="nil"/>
              <w:left w:val="nil"/>
              <w:right w:val="single" w:sz="4" w:space="0" w:color="000000"/>
            </w:tcBorders>
            <w:shd w:val="clear" w:color="auto" w:fill="auto"/>
          </w:tcPr>
          <w:p w:rsidR="00263446" w:rsidRPr="00673CBB" w:rsidRDefault="00263446" w:rsidP="00F73E2D">
            <w:pPr>
              <w:spacing w:before="20" w:after="60"/>
              <w:jc w:val="left"/>
              <w:rPr>
                <w:color w:val="000000"/>
                <w:sz w:val="22"/>
                <w:lang w:val="en-US"/>
              </w:rPr>
            </w:pPr>
            <w:r w:rsidRPr="00673CBB">
              <w:rPr>
                <w:color w:val="000000"/>
                <w:sz w:val="22"/>
                <w:lang w:val="en-US"/>
              </w:rPr>
              <w:t>0.12</w:t>
            </w:r>
          </w:p>
        </w:tc>
      </w:tr>
      <w:tr w:rsidR="00263446" w:rsidRPr="00673CBB" w:rsidTr="00EB387C">
        <w:trPr>
          <w:trHeight w:val="401"/>
        </w:trPr>
        <w:tc>
          <w:tcPr>
            <w:tcW w:w="3134" w:type="dxa"/>
            <w:tcBorders>
              <w:top w:val="nil"/>
              <w:left w:val="single" w:sz="4" w:space="0" w:color="000000"/>
              <w:bottom w:val="single" w:sz="4" w:space="0" w:color="auto"/>
              <w:right w:val="single" w:sz="4" w:space="0" w:color="000000"/>
            </w:tcBorders>
            <w:shd w:val="clear" w:color="auto" w:fill="auto"/>
            <w:hideMark/>
          </w:tcPr>
          <w:p w:rsidR="00263446" w:rsidRPr="00BA14C5" w:rsidRDefault="00263446" w:rsidP="00605E53">
            <w:pPr>
              <w:spacing w:before="20" w:after="60"/>
              <w:jc w:val="left"/>
              <w:rPr>
                <w:color w:val="000000"/>
                <w:sz w:val="22"/>
                <w:lang w:val="en-US"/>
              </w:rPr>
            </w:pPr>
            <w:r>
              <w:rPr>
                <w:b/>
                <w:sz w:val="22"/>
                <w:lang w:val="en-US"/>
              </w:rPr>
              <w:t xml:space="preserve">     </w:t>
            </w:r>
            <w:r w:rsidR="00605E53">
              <w:rPr>
                <w:sz w:val="22"/>
                <w:lang w:val="en-US"/>
              </w:rPr>
              <w:sym w:font="Symbol" w:char="F062"/>
            </w:r>
            <w:r w:rsidRPr="00BA14C5">
              <w:rPr>
                <w:sz w:val="22"/>
                <w:lang w:val="en-US"/>
              </w:rPr>
              <w:t xml:space="preserve"> lactamase-negative</w:t>
            </w:r>
          </w:p>
        </w:tc>
        <w:tc>
          <w:tcPr>
            <w:tcW w:w="1701" w:type="dxa"/>
            <w:tcBorders>
              <w:top w:val="nil"/>
              <w:left w:val="nil"/>
              <w:bottom w:val="single" w:sz="4" w:space="0" w:color="auto"/>
              <w:right w:val="single" w:sz="4" w:space="0" w:color="000000"/>
            </w:tcBorders>
            <w:shd w:val="clear" w:color="auto" w:fill="auto"/>
          </w:tcPr>
          <w:p w:rsidR="00263446" w:rsidRPr="00673CBB" w:rsidRDefault="00263446" w:rsidP="00F73E2D">
            <w:pPr>
              <w:spacing w:before="20" w:after="60"/>
              <w:jc w:val="left"/>
              <w:rPr>
                <w:color w:val="000000"/>
                <w:sz w:val="22"/>
                <w:lang w:val="en-US"/>
              </w:rPr>
            </w:pPr>
            <w:r w:rsidRPr="00673CBB">
              <w:rPr>
                <w:color w:val="000000"/>
                <w:sz w:val="22"/>
                <w:lang w:val="en-US"/>
              </w:rPr>
              <w:t>31</w:t>
            </w:r>
          </w:p>
        </w:tc>
        <w:tc>
          <w:tcPr>
            <w:tcW w:w="1701" w:type="dxa"/>
            <w:tcBorders>
              <w:top w:val="nil"/>
              <w:left w:val="nil"/>
              <w:bottom w:val="single" w:sz="4" w:space="0" w:color="auto"/>
              <w:right w:val="single" w:sz="4" w:space="0" w:color="000000"/>
            </w:tcBorders>
            <w:shd w:val="clear" w:color="auto" w:fill="auto"/>
          </w:tcPr>
          <w:p w:rsidR="00263446" w:rsidRPr="00673CBB" w:rsidRDefault="00734504" w:rsidP="00F73E2D">
            <w:pPr>
              <w:spacing w:before="20" w:after="60"/>
              <w:jc w:val="left"/>
              <w:rPr>
                <w:color w:val="000000"/>
                <w:sz w:val="22"/>
                <w:lang w:val="en-US"/>
              </w:rPr>
            </w:pPr>
            <w:r>
              <w:rPr>
                <w:sz w:val="22"/>
                <w:lang w:val="en-US"/>
              </w:rPr>
              <w:sym w:font="Symbol" w:char="F0A3"/>
            </w:r>
            <w:r w:rsidR="00263446" w:rsidRPr="00673CBB">
              <w:rPr>
                <w:sz w:val="22"/>
                <w:lang w:val="en-US"/>
              </w:rPr>
              <w:t>0.03</w:t>
            </w:r>
          </w:p>
        </w:tc>
        <w:tc>
          <w:tcPr>
            <w:tcW w:w="1701" w:type="dxa"/>
            <w:tcBorders>
              <w:top w:val="nil"/>
              <w:left w:val="nil"/>
              <w:bottom w:val="single" w:sz="4" w:space="0" w:color="auto"/>
              <w:right w:val="single" w:sz="4" w:space="0" w:color="000000"/>
            </w:tcBorders>
            <w:shd w:val="clear" w:color="auto" w:fill="auto"/>
          </w:tcPr>
          <w:p w:rsidR="00263446" w:rsidRPr="00673CBB" w:rsidRDefault="00263446" w:rsidP="00F73E2D">
            <w:pPr>
              <w:spacing w:before="20" w:after="60"/>
              <w:jc w:val="left"/>
              <w:rPr>
                <w:color w:val="000000"/>
                <w:sz w:val="22"/>
                <w:lang w:val="en-US"/>
              </w:rPr>
            </w:pPr>
            <w:r w:rsidRPr="00673CBB">
              <w:rPr>
                <w:color w:val="000000"/>
                <w:sz w:val="22"/>
                <w:lang w:val="en-US"/>
              </w:rPr>
              <w:t>0.12</w:t>
            </w:r>
          </w:p>
        </w:tc>
      </w:tr>
      <w:tr w:rsidR="00263446" w:rsidRPr="00673CBB" w:rsidTr="00EB387C">
        <w:trPr>
          <w:trHeight w:val="421"/>
        </w:trPr>
        <w:tc>
          <w:tcPr>
            <w:tcW w:w="3134" w:type="dxa"/>
            <w:tcBorders>
              <w:top w:val="single" w:sz="4" w:space="0" w:color="auto"/>
              <w:left w:val="single" w:sz="4" w:space="0" w:color="auto"/>
              <w:bottom w:val="single" w:sz="4" w:space="0" w:color="auto"/>
              <w:right w:val="single" w:sz="4" w:space="0" w:color="auto"/>
            </w:tcBorders>
            <w:shd w:val="clear" w:color="auto" w:fill="auto"/>
            <w:hideMark/>
          </w:tcPr>
          <w:p w:rsidR="00263446" w:rsidRPr="00BA14C5" w:rsidRDefault="00263446" w:rsidP="00605E53">
            <w:pPr>
              <w:spacing w:before="20" w:after="60"/>
              <w:jc w:val="left"/>
              <w:rPr>
                <w:color w:val="000000"/>
                <w:sz w:val="22"/>
                <w:lang w:val="en-US"/>
              </w:rPr>
            </w:pPr>
            <w:r>
              <w:rPr>
                <w:b/>
                <w:sz w:val="22"/>
                <w:lang w:val="en-US"/>
              </w:rPr>
              <w:t xml:space="preserve">      </w:t>
            </w:r>
            <w:r w:rsidR="00605E53">
              <w:rPr>
                <w:sz w:val="22"/>
                <w:lang w:val="en-US"/>
              </w:rPr>
              <w:sym w:font="Symbol" w:char="F062"/>
            </w:r>
            <w:r w:rsidRPr="00BA14C5">
              <w:rPr>
                <w:sz w:val="22"/>
                <w:lang w:val="en-US"/>
              </w:rPr>
              <w:t xml:space="preserve"> lactamase-positive</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63446" w:rsidRPr="00673CBB" w:rsidRDefault="00263446" w:rsidP="00F73E2D">
            <w:pPr>
              <w:spacing w:before="20" w:after="60"/>
              <w:jc w:val="left"/>
              <w:rPr>
                <w:color w:val="000000"/>
                <w:sz w:val="22"/>
                <w:lang w:val="en-US"/>
              </w:rPr>
            </w:pPr>
            <w:r w:rsidRPr="00673CBB">
              <w:rPr>
                <w:color w:val="000000"/>
                <w:sz w:val="22"/>
                <w:lang w:val="en-US"/>
              </w:rPr>
              <w:t>8</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63446" w:rsidRPr="00673CBB" w:rsidRDefault="00263446" w:rsidP="00F73E2D">
            <w:pPr>
              <w:spacing w:before="20" w:after="60"/>
              <w:jc w:val="left"/>
              <w:rPr>
                <w:sz w:val="22"/>
                <w:lang w:val="en-US"/>
              </w:rPr>
            </w:pPr>
            <w:r w:rsidRPr="00673CBB">
              <w:rPr>
                <w:sz w:val="22"/>
                <w:lang w:val="en-US"/>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63446" w:rsidRPr="00673CBB" w:rsidRDefault="00263446" w:rsidP="00F73E2D">
            <w:pPr>
              <w:spacing w:before="20" w:after="60"/>
              <w:jc w:val="left"/>
              <w:rPr>
                <w:sz w:val="22"/>
                <w:lang w:val="en-US"/>
              </w:rPr>
            </w:pPr>
            <w:r w:rsidRPr="00673CBB">
              <w:rPr>
                <w:sz w:val="22"/>
                <w:lang w:val="en-US"/>
              </w:rPr>
              <w:t>--</w:t>
            </w:r>
          </w:p>
        </w:tc>
      </w:tr>
      <w:tr w:rsidR="00263446" w:rsidRPr="00673CBB" w:rsidTr="00EB387C">
        <w:trPr>
          <w:trHeight w:val="398"/>
        </w:trPr>
        <w:tc>
          <w:tcPr>
            <w:tcW w:w="3134" w:type="dxa"/>
            <w:tcBorders>
              <w:top w:val="single" w:sz="4" w:space="0" w:color="auto"/>
              <w:left w:val="single" w:sz="4" w:space="0" w:color="000000"/>
              <w:bottom w:val="single" w:sz="4" w:space="0" w:color="auto"/>
              <w:right w:val="single" w:sz="4" w:space="0" w:color="auto"/>
            </w:tcBorders>
            <w:shd w:val="clear" w:color="auto" w:fill="auto"/>
          </w:tcPr>
          <w:p w:rsidR="00263446" w:rsidRPr="009777CD" w:rsidRDefault="00263446" w:rsidP="005128DE">
            <w:pPr>
              <w:spacing w:before="20" w:after="60"/>
              <w:jc w:val="left"/>
              <w:rPr>
                <w:b/>
                <w:i/>
                <w:iCs/>
                <w:sz w:val="22"/>
                <w:lang w:val="en-US"/>
              </w:rPr>
            </w:pPr>
            <w:proofErr w:type="spellStart"/>
            <w:r w:rsidRPr="009777CD">
              <w:rPr>
                <w:b/>
                <w:i/>
                <w:iCs/>
                <w:sz w:val="22"/>
                <w:lang w:val="en-US"/>
              </w:rPr>
              <w:t>H</w:t>
            </w:r>
            <w:r w:rsidR="005128DE">
              <w:rPr>
                <w:b/>
                <w:i/>
                <w:iCs/>
                <w:sz w:val="22"/>
                <w:lang w:val="en-US"/>
              </w:rPr>
              <w:t>aemophilus</w:t>
            </w:r>
            <w:proofErr w:type="spellEnd"/>
            <w:r w:rsidRPr="009777CD">
              <w:rPr>
                <w:b/>
                <w:i/>
                <w:iCs/>
                <w:sz w:val="22"/>
                <w:lang w:val="en-US"/>
              </w:rPr>
              <w:t xml:space="preserve"> </w:t>
            </w:r>
            <w:proofErr w:type="spellStart"/>
            <w:r w:rsidRPr="009777CD">
              <w:rPr>
                <w:b/>
                <w:i/>
                <w:iCs/>
                <w:sz w:val="22"/>
                <w:lang w:val="en-US"/>
              </w:rPr>
              <w:t>parainfluenzae</w:t>
            </w:r>
            <w:proofErr w:type="spellEnd"/>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63446" w:rsidRPr="00673CBB" w:rsidRDefault="00263446" w:rsidP="00F73E2D">
            <w:pPr>
              <w:spacing w:before="20" w:after="60"/>
              <w:jc w:val="left"/>
              <w:rPr>
                <w:color w:val="000000"/>
                <w:sz w:val="22"/>
                <w:lang w:val="en-US"/>
              </w:rPr>
            </w:pPr>
            <w:r w:rsidRPr="00673CBB">
              <w:rPr>
                <w:color w:val="000000"/>
                <w:sz w:val="22"/>
                <w:lang w:val="en-US"/>
              </w:rPr>
              <w:t>2</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63446" w:rsidRPr="00673CBB" w:rsidRDefault="00263446" w:rsidP="00F73E2D">
            <w:pPr>
              <w:spacing w:before="20" w:after="60"/>
              <w:jc w:val="left"/>
              <w:rPr>
                <w:sz w:val="22"/>
                <w:lang w:val="en-US"/>
              </w:rPr>
            </w:pPr>
            <w:r w:rsidRPr="00673CBB">
              <w:rPr>
                <w:sz w:val="22"/>
                <w:lang w:val="en-US"/>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63446" w:rsidRPr="00673CBB" w:rsidRDefault="00263446" w:rsidP="00F73E2D">
            <w:pPr>
              <w:spacing w:before="20" w:after="60"/>
              <w:jc w:val="left"/>
              <w:rPr>
                <w:sz w:val="22"/>
                <w:lang w:val="en-US"/>
              </w:rPr>
            </w:pPr>
            <w:r w:rsidRPr="00673CBB">
              <w:rPr>
                <w:sz w:val="22"/>
                <w:lang w:val="en-US"/>
              </w:rPr>
              <w:t>--</w:t>
            </w:r>
          </w:p>
        </w:tc>
      </w:tr>
      <w:tr w:rsidR="00B25296" w:rsidRPr="00673CBB" w:rsidTr="00EB387C">
        <w:trPr>
          <w:trHeight w:val="419"/>
        </w:trPr>
        <w:tc>
          <w:tcPr>
            <w:tcW w:w="3134" w:type="dxa"/>
            <w:tcBorders>
              <w:top w:val="single" w:sz="4" w:space="0" w:color="auto"/>
              <w:left w:val="single" w:sz="4" w:space="0" w:color="000000"/>
              <w:right w:val="single" w:sz="4" w:space="0" w:color="auto"/>
            </w:tcBorders>
            <w:shd w:val="clear" w:color="auto" w:fill="auto"/>
          </w:tcPr>
          <w:p w:rsidR="00B25296" w:rsidRPr="009777CD" w:rsidRDefault="00B25296" w:rsidP="00F73E2D">
            <w:pPr>
              <w:spacing w:before="20" w:after="60"/>
              <w:jc w:val="left"/>
              <w:rPr>
                <w:b/>
                <w:i/>
                <w:iCs/>
                <w:sz w:val="22"/>
                <w:lang w:val="en-US"/>
              </w:rPr>
            </w:pPr>
            <w:r w:rsidRPr="009777CD">
              <w:rPr>
                <w:b/>
                <w:i/>
                <w:iCs/>
                <w:sz w:val="22"/>
                <w:lang w:val="en-US"/>
              </w:rPr>
              <w:t>M</w:t>
            </w:r>
            <w:r w:rsidR="005128DE">
              <w:rPr>
                <w:b/>
                <w:i/>
                <w:iCs/>
                <w:sz w:val="22"/>
                <w:lang w:val="en-US"/>
              </w:rPr>
              <w:t>oraxella</w:t>
            </w:r>
            <w:r w:rsidRPr="009777CD">
              <w:rPr>
                <w:b/>
                <w:i/>
                <w:iCs/>
                <w:sz w:val="22"/>
                <w:lang w:val="en-US"/>
              </w:rPr>
              <w:t xml:space="preserve">. </w:t>
            </w:r>
            <w:proofErr w:type="spellStart"/>
            <w:r w:rsidRPr="009777CD">
              <w:rPr>
                <w:b/>
                <w:i/>
                <w:iCs/>
                <w:sz w:val="22"/>
                <w:lang w:val="en-US"/>
              </w:rPr>
              <w:t>catarrhalis</w:t>
            </w:r>
            <w:proofErr w:type="spellEnd"/>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25296" w:rsidRPr="00673CBB" w:rsidRDefault="00B25296" w:rsidP="00F73E2D">
            <w:pPr>
              <w:spacing w:before="20" w:after="60"/>
              <w:jc w:val="left"/>
              <w:rPr>
                <w:color w:val="000000"/>
                <w:sz w:val="22"/>
                <w:lang w:val="en-US"/>
              </w:rPr>
            </w:pPr>
            <w:r w:rsidRPr="00673CBB">
              <w:rPr>
                <w:color w:val="000000"/>
                <w:sz w:val="22"/>
                <w:lang w:val="en-US"/>
              </w:rPr>
              <w:t>6</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25296" w:rsidRPr="00673CBB" w:rsidRDefault="00B25296" w:rsidP="00F73E2D">
            <w:pPr>
              <w:spacing w:before="20" w:after="60"/>
              <w:jc w:val="left"/>
              <w:rPr>
                <w:sz w:val="22"/>
                <w:lang w:val="en-US"/>
              </w:rPr>
            </w:pPr>
            <w:r w:rsidRPr="00673CBB">
              <w:rPr>
                <w:sz w:val="22"/>
                <w:lang w:val="en-US"/>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25296" w:rsidRPr="00673CBB" w:rsidRDefault="00B25296" w:rsidP="00F73E2D">
            <w:pPr>
              <w:spacing w:before="20" w:after="60"/>
              <w:jc w:val="left"/>
              <w:rPr>
                <w:sz w:val="22"/>
                <w:lang w:val="en-US"/>
              </w:rPr>
            </w:pPr>
            <w:r w:rsidRPr="00673CBB">
              <w:rPr>
                <w:sz w:val="22"/>
                <w:lang w:val="en-US"/>
              </w:rPr>
              <w:t>--</w:t>
            </w:r>
          </w:p>
        </w:tc>
      </w:tr>
      <w:tr w:rsidR="00B25296" w:rsidRPr="00673CBB" w:rsidTr="00EB387C">
        <w:trPr>
          <w:trHeight w:val="411"/>
        </w:trPr>
        <w:tc>
          <w:tcPr>
            <w:tcW w:w="3134" w:type="dxa"/>
            <w:tcBorders>
              <w:top w:val="single" w:sz="4" w:space="0" w:color="000000"/>
              <w:left w:val="single" w:sz="4" w:space="0" w:color="000000"/>
              <w:bottom w:val="single" w:sz="4" w:space="0" w:color="auto"/>
              <w:right w:val="single" w:sz="4" w:space="0" w:color="000000"/>
            </w:tcBorders>
            <w:shd w:val="clear" w:color="auto" w:fill="auto"/>
          </w:tcPr>
          <w:p w:rsidR="00B25296" w:rsidRPr="00A25866" w:rsidRDefault="00605E53" w:rsidP="00F73E2D">
            <w:pPr>
              <w:spacing w:before="20" w:after="60"/>
              <w:ind w:firstLine="333"/>
              <w:jc w:val="left"/>
              <w:rPr>
                <w:color w:val="000000"/>
                <w:sz w:val="22"/>
                <w:lang w:val="en-US"/>
              </w:rPr>
            </w:pPr>
            <w:r>
              <w:rPr>
                <w:rFonts w:eastAsia="Arial Unicode MS"/>
                <w:sz w:val="22"/>
                <w:lang w:val="en-US"/>
              </w:rPr>
              <w:sym w:font="Symbol" w:char="F062"/>
            </w:r>
            <w:r w:rsidR="00B25296" w:rsidRPr="00A25866">
              <w:rPr>
                <w:sz w:val="22"/>
                <w:lang w:val="en-US"/>
              </w:rPr>
              <w:t>-lactamase-positive</w:t>
            </w:r>
          </w:p>
        </w:tc>
        <w:tc>
          <w:tcPr>
            <w:tcW w:w="1701" w:type="dxa"/>
            <w:tcBorders>
              <w:top w:val="single" w:sz="4" w:space="0" w:color="auto"/>
              <w:left w:val="nil"/>
              <w:bottom w:val="single" w:sz="4" w:space="0" w:color="auto"/>
              <w:right w:val="single" w:sz="4" w:space="0" w:color="000000"/>
            </w:tcBorders>
            <w:shd w:val="clear" w:color="auto" w:fill="auto"/>
          </w:tcPr>
          <w:p w:rsidR="00B25296" w:rsidRPr="00673CBB" w:rsidRDefault="00B25296" w:rsidP="00F73E2D">
            <w:pPr>
              <w:spacing w:before="20" w:after="60"/>
              <w:jc w:val="left"/>
              <w:rPr>
                <w:color w:val="000000"/>
                <w:sz w:val="22"/>
                <w:lang w:val="en-US"/>
              </w:rPr>
            </w:pPr>
            <w:r w:rsidRPr="00673CBB">
              <w:rPr>
                <w:color w:val="000000"/>
                <w:sz w:val="22"/>
                <w:lang w:val="en-US"/>
              </w:rPr>
              <w:t>4</w:t>
            </w:r>
          </w:p>
        </w:tc>
        <w:tc>
          <w:tcPr>
            <w:tcW w:w="1701" w:type="dxa"/>
            <w:tcBorders>
              <w:top w:val="single" w:sz="4" w:space="0" w:color="auto"/>
              <w:left w:val="nil"/>
              <w:bottom w:val="single" w:sz="4" w:space="0" w:color="auto"/>
              <w:right w:val="single" w:sz="4" w:space="0" w:color="000000"/>
            </w:tcBorders>
            <w:shd w:val="clear" w:color="auto" w:fill="auto"/>
          </w:tcPr>
          <w:p w:rsidR="00B25296" w:rsidRPr="00673CBB" w:rsidRDefault="00B25296" w:rsidP="00F73E2D">
            <w:pPr>
              <w:spacing w:before="20" w:after="60"/>
              <w:jc w:val="left"/>
              <w:rPr>
                <w:sz w:val="22"/>
                <w:lang w:val="en-US"/>
              </w:rPr>
            </w:pPr>
            <w:r w:rsidRPr="00673CBB">
              <w:rPr>
                <w:sz w:val="22"/>
                <w:lang w:val="en-US"/>
              </w:rPr>
              <w:t>--</w:t>
            </w:r>
          </w:p>
        </w:tc>
        <w:tc>
          <w:tcPr>
            <w:tcW w:w="1701" w:type="dxa"/>
            <w:tcBorders>
              <w:top w:val="single" w:sz="4" w:space="0" w:color="auto"/>
              <w:left w:val="nil"/>
              <w:bottom w:val="single" w:sz="4" w:space="0" w:color="auto"/>
              <w:right w:val="single" w:sz="4" w:space="0" w:color="000000"/>
            </w:tcBorders>
            <w:shd w:val="clear" w:color="auto" w:fill="auto"/>
          </w:tcPr>
          <w:p w:rsidR="00B25296" w:rsidRPr="00673CBB" w:rsidRDefault="00B25296" w:rsidP="00F73E2D">
            <w:pPr>
              <w:spacing w:before="20" w:after="60"/>
              <w:jc w:val="left"/>
              <w:rPr>
                <w:sz w:val="22"/>
                <w:lang w:val="en-US"/>
              </w:rPr>
            </w:pPr>
            <w:r w:rsidRPr="00673CBB">
              <w:rPr>
                <w:sz w:val="22"/>
                <w:lang w:val="en-US"/>
              </w:rPr>
              <w:t>--</w:t>
            </w:r>
          </w:p>
        </w:tc>
      </w:tr>
      <w:tr w:rsidR="00B25296" w:rsidRPr="00673CBB" w:rsidTr="00EB387C">
        <w:trPr>
          <w:trHeight w:val="417"/>
        </w:trPr>
        <w:tc>
          <w:tcPr>
            <w:tcW w:w="3134" w:type="dxa"/>
            <w:tcBorders>
              <w:top w:val="single" w:sz="4" w:space="0" w:color="auto"/>
              <w:left w:val="single" w:sz="4" w:space="0" w:color="000000"/>
              <w:bottom w:val="single" w:sz="4" w:space="0" w:color="auto"/>
              <w:right w:val="single" w:sz="4" w:space="0" w:color="auto"/>
            </w:tcBorders>
            <w:shd w:val="clear" w:color="auto" w:fill="auto"/>
            <w:hideMark/>
          </w:tcPr>
          <w:p w:rsidR="00B25296" w:rsidRPr="009777CD" w:rsidRDefault="00B25296" w:rsidP="00F73E2D">
            <w:pPr>
              <w:spacing w:before="20" w:after="60"/>
              <w:jc w:val="left"/>
              <w:rPr>
                <w:b/>
                <w:color w:val="000000"/>
                <w:sz w:val="22"/>
                <w:lang w:val="en-US"/>
              </w:rPr>
            </w:pPr>
            <w:proofErr w:type="spellStart"/>
            <w:r w:rsidRPr="009777CD">
              <w:rPr>
                <w:b/>
                <w:i/>
                <w:iCs/>
                <w:sz w:val="22"/>
                <w:lang w:val="en-US"/>
              </w:rPr>
              <w:t>Enterobacteriaceae</w:t>
            </w:r>
            <w:proofErr w:type="spellEnd"/>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25296" w:rsidRPr="00673CBB" w:rsidRDefault="00B25296" w:rsidP="00F73E2D">
            <w:pPr>
              <w:spacing w:before="20" w:after="60"/>
              <w:jc w:val="left"/>
              <w:rPr>
                <w:color w:val="000000"/>
                <w:sz w:val="22"/>
                <w:lang w:val="en-US"/>
              </w:rPr>
            </w:pPr>
            <w:r w:rsidRPr="00673CBB">
              <w:rPr>
                <w:color w:val="000000"/>
                <w:sz w:val="22"/>
                <w:lang w:val="en-US"/>
              </w:rPr>
              <w:t>522</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25296" w:rsidRPr="00673CBB" w:rsidRDefault="00B25296" w:rsidP="00F73E2D">
            <w:pPr>
              <w:spacing w:before="20" w:after="60"/>
              <w:jc w:val="left"/>
              <w:rPr>
                <w:color w:val="000000"/>
                <w:sz w:val="22"/>
                <w:lang w:val="en-US"/>
              </w:rPr>
            </w:pPr>
            <w:r w:rsidRPr="00673CBB">
              <w:rPr>
                <w:color w:val="000000"/>
                <w:sz w:val="22"/>
                <w:lang w:val="en-US"/>
              </w:rPr>
              <w:t>0.12</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25296" w:rsidRPr="00673CBB" w:rsidRDefault="00B25296" w:rsidP="00F73E2D">
            <w:pPr>
              <w:spacing w:before="20" w:after="60"/>
              <w:jc w:val="left"/>
              <w:rPr>
                <w:color w:val="000000"/>
                <w:sz w:val="22"/>
                <w:lang w:val="en-US"/>
              </w:rPr>
            </w:pPr>
            <w:r w:rsidRPr="00673CBB">
              <w:rPr>
                <w:color w:val="000000"/>
                <w:sz w:val="22"/>
                <w:lang w:val="en-US"/>
              </w:rPr>
              <w:t>0.5</w:t>
            </w:r>
          </w:p>
        </w:tc>
      </w:tr>
      <w:tr w:rsidR="00B25296" w:rsidRPr="00673CBB" w:rsidTr="00EB387C">
        <w:trPr>
          <w:trHeight w:val="422"/>
        </w:trPr>
        <w:tc>
          <w:tcPr>
            <w:tcW w:w="3134" w:type="dxa"/>
            <w:tcBorders>
              <w:top w:val="single" w:sz="4" w:space="0" w:color="auto"/>
              <w:left w:val="single" w:sz="4" w:space="0" w:color="000000"/>
              <w:bottom w:val="single" w:sz="4" w:space="0" w:color="auto"/>
              <w:right w:val="single" w:sz="4" w:space="0" w:color="auto"/>
            </w:tcBorders>
            <w:shd w:val="clear" w:color="auto" w:fill="auto"/>
            <w:hideMark/>
          </w:tcPr>
          <w:p w:rsidR="00B25296" w:rsidRPr="009777CD" w:rsidRDefault="00B25296" w:rsidP="00F73E2D">
            <w:pPr>
              <w:spacing w:before="20" w:after="60"/>
              <w:jc w:val="left"/>
              <w:rPr>
                <w:b/>
                <w:i/>
                <w:iCs/>
                <w:sz w:val="22"/>
                <w:lang w:val="en-US"/>
              </w:rPr>
            </w:pPr>
            <w:r w:rsidRPr="009777CD">
              <w:rPr>
                <w:b/>
                <w:i/>
                <w:iCs/>
                <w:sz w:val="22"/>
                <w:lang w:val="en-US"/>
              </w:rPr>
              <w:t>E. coli</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25296" w:rsidRPr="00673CBB" w:rsidRDefault="00B25296" w:rsidP="00F73E2D">
            <w:pPr>
              <w:spacing w:before="20" w:after="60"/>
              <w:jc w:val="left"/>
              <w:rPr>
                <w:color w:val="000000"/>
                <w:sz w:val="22"/>
                <w:lang w:val="en-US"/>
              </w:rPr>
            </w:pPr>
            <w:r w:rsidRPr="00673CBB">
              <w:rPr>
                <w:color w:val="000000"/>
                <w:sz w:val="22"/>
                <w:lang w:val="en-US"/>
              </w:rPr>
              <w:t>150</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25296" w:rsidRPr="00673CBB" w:rsidRDefault="00B25296" w:rsidP="00F73E2D">
            <w:pPr>
              <w:spacing w:before="20" w:after="60"/>
              <w:jc w:val="left"/>
              <w:rPr>
                <w:color w:val="000000"/>
                <w:sz w:val="22"/>
                <w:lang w:val="en-US"/>
              </w:rPr>
            </w:pPr>
            <w:r w:rsidRPr="00673CBB">
              <w:rPr>
                <w:color w:val="000000"/>
                <w:sz w:val="22"/>
                <w:lang w:val="en-US"/>
              </w:rPr>
              <w:t>0.12</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25296" w:rsidRPr="00673CBB" w:rsidRDefault="00B25296" w:rsidP="00F73E2D">
            <w:pPr>
              <w:spacing w:before="20" w:after="60"/>
              <w:jc w:val="left"/>
              <w:rPr>
                <w:color w:val="000000"/>
                <w:sz w:val="22"/>
                <w:lang w:val="en-US"/>
              </w:rPr>
            </w:pPr>
            <w:r w:rsidRPr="00673CBB">
              <w:rPr>
                <w:color w:val="000000"/>
                <w:sz w:val="22"/>
                <w:lang w:val="en-US"/>
              </w:rPr>
              <w:t>0.25</w:t>
            </w:r>
          </w:p>
        </w:tc>
      </w:tr>
      <w:tr w:rsidR="00B25296" w:rsidRPr="00673CBB" w:rsidTr="00EB387C">
        <w:trPr>
          <w:trHeight w:val="414"/>
        </w:trPr>
        <w:tc>
          <w:tcPr>
            <w:tcW w:w="3134" w:type="dxa"/>
            <w:tcBorders>
              <w:top w:val="single" w:sz="4" w:space="0" w:color="auto"/>
              <w:left w:val="single" w:sz="4" w:space="0" w:color="000000"/>
              <w:bottom w:val="single" w:sz="4" w:space="0" w:color="auto"/>
              <w:right w:val="single" w:sz="4" w:space="0" w:color="auto"/>
            </w:tcBorders>
            <w:shd w:val="clear" w:color="auto" w:fill="auto"/>
            <w:hideMark/>
          </w:tcPr>
          <w:p w:rsidR="00B25296" w:rsidRPr="00A25866" w:rsidRDefault="00B25296" w:rsidP="008E1D21">
            <w:pPr>
              <w:spacing w:before="20" w:after="60"/>
              <w:ind w:firstLine="333"/>
              <w:jc w:val="left"/>
              <w:rPr>
                <w:color w:val="000000"/>
                <w:sz w:val="22"/>
                <w:lang w:val="en-US"/>
              </w:rPr>
            </w:pPr>
            <w:r w:rsidRPr="00A25866">
              <w:rPr>
                <w:sz w:val="22"/>
                <w:lang w:val="en-US"/>
              </w:rPr>
              <w:t>ESBL (molecular)</w:t>
            </w:r>
            <w:r w:rsidR="008E1D21">
              <w:rPr>
                <w:sz w:val="22"/>
                <w:vertAlign w:val="superscript"/>
                <w:lang w:val="en-US"/>
              </w:rPr>
              <w:t>1</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25296" w:rsidRPr="00673CBB" w:rsidRDefault="00B25296" w:rsidP="00F73E2D">
            <w:pPr>
              <w:spacing w:before="20" w:after="60"/>
              <w:jc w:val="left"/>
              <w:rPr>
                <w:color w:val="000000"/>
                <w:sz w:val="22"/>
                <w:lang w:val="en-US"/>
              </w:rPr>
            </w:pPr>
            <w:r w:rsidRPr="00673CBB">
              <w:rPr>
                <w:color w:val="000000"/>
                <w:sz w:val="22"/>
                <w:lang w:val="en-US"/>
              </w:rPr>
              <w:t>17</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25296" w:rsidRPr="00673CBB" w:rsidRDefault="00B25296" w:rsidP="00F73E2D">
            <w:pPr>
              <w:spacing w:before="20" w:after="60"/>
              <w:jc w:val="left"/>
              <w:rPr>
                <w:color w:val="000000"/>
                <w:sz w:val="22"/>
                <w:lang w:val="en-US"/>
              </w:rPr>
            </w:pPr>
            <w:r w:rsidRPr="00673CBB">
              <w:rPr>
                <w:color w:val="000000"/>
                <w:sz w:val="22"/>
                <w:lang w:val="en-US"/>
              </w:rPr>
              <w:t>0.12</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25296" w:rsidRPr="00673CBB" w:rsidRDefault="00B25296" w:rsidP="00F73E2D">
            <w:pPr>
              <w:spacing w:before="20" w:after="60"/>
              <w:jc w:val="left"/>
              <w:rPr>
                <w:color w:val="000000"/>
                <w:sz w:val="22"/>
                <w:lang w:val="en-US"/>
              </w:rPr>
            </w:pPr>
            <w:r w:rsidRPr="00673CBB">
              <w:rPr>
                <w:color w:val="000000"/>
                <w:sz w:val="22"/>
                <w:lang w:val="en-US"/>
              </w:rPr>
              <w:t>0.25</w:t>
            </w:r>
          </w:p>
        </w:tc>
      </w:tr>
      <w:tr w:rsidR="00B25296" w:rsidRPr="00673CBB" w:rsidTr="00EB387C">
        <w:trPr>
          <w:trHeight w:val="407"/>
        </w:trPr>
        <w:tc>
          <w:tcPr>
            <w:tcW w:w="3134" w:type="dxa"/>
            <w:tcBorders>
              <w:top w:val="single" w:sz="4" w:space="0" w:color="auto"/>
              <w:left w:val="single" w:sz="4" w:space="0" w:color="000000"/>
              <w:bottom w:val="single" w:sz="4" w:space="0" w:color="auto"/>
              <w:right w:val="single" w:sz="4" w:space="0" w:color="auto"/>
            </w:tcBorders>
            <w:shd w:val="clear" w:color="auto" w:fill="auto"/>
            <w:hideMark/>
          </w:tcPr>
          <w:p w:rsidR="00B25296" w:rsidRPr="00A25866" w:rsidRDefault="00B25296" w:rsidP="008E1D21">
            <w:pPr>
              <w:spacing w:before="20" w:after="60"/>
              <w:ind w:firstLine="333"/>
              <w:jc w:val="left"/>
              <w:rPr>
                <w:sz w:val="22"/>
                <w:lang w:val="en-US"/>
              </w:rPr>
            </w:pPr>
            <w:r w:rsidRPr="00A25866">
              <w:rPr>
                <w:sz w:val="22"/>
                <w:lang w:val="en-US"/>
              </w:rPr>
              <w:t>ESBL (screen negative)</w:t>
            </w:r>
            <w:r w:rsidR="008E1D21" w:rsidRPr="008E1D21">
              <w:rPr>
                <w:sz w:val="22"/>
                <w:vertAlign w:val="superscript"/>
                <w:lang w:val="en-US"/>
              </w:rPr>
              <w:t>2</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25296" w:rsidRPr="00673CBB" w:rsidRDefault="00B25296" w:rsidP="00F73E2D">
            <w:pPr>
              <w:spacing w:before="20" w:after="60"/>
              <w:jc w:val="left"/>
              <w:rPr>
                <w:color w:val="000000"/>
                <w:sz w:val="22"/>
                <w:lang w:val="en-US"/>
              </w:rPr>
            </w:pPr>
            <w:r w:rsidRPr="00673CBB">
              <w:rPr>
                <w:color w:val="000000"/>
                <w:sz w:val="22"/>
                <w:lang w:val="en-US"/>
              </w:rPr>
              <w:t>120</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25296" w:rsidRPr="00673CBB" w:rsidRDefault="00B25296" w:rsidP="00F73E2D">
            <w:pPr>
              <w:spacing w:before="20" w:after="60"/>
              <w:jc w:val="left"/>
              <w:rPr>
                <w:color w:val="000000"/>
                <w:sz w:val="22"/>
                <w:lang w:val="en-US"/>
              </w:rPr>
            </w:pPr>
            <w:r w:rsidRPr="00673CBB">
              <w:rPr>
                <w:color w:val="000000"/>
                <w:sz w:val="22"/>
                <w:lang w:val="en-US"/>
              </w:rPr>
              <w:t>0.06</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25296" w:rsidRPr="00673CBB" w:rsidRDefault="00B25296" w:rsidP="00F73E2D">
            <w:pPr>
              <w:spacing w:before="20" w:after="60"/>
              <w:jc w:val="left"/>
              <w:rPr>
                <w:color w:val="000000"/>
                <w:sz w:val="22"/>
                <w:lang w:val="en-US"/>
              </w:rPr>
            </w:pPr>
            <w:r w:rsidRPr="00673CBB">
              <w:rPr>
                <w:color w:val="000000"/>
                <w:sz w:val="22"/>
                <w:lang w:val="en-US"/>
              </w:rPr>
              <w:t>0.12</w:t>
            </w:r>
          </w:p>
        </w:tc>
      </w:tr>
      <w:tr w:rsidR="00B25296" w:rsidRPr="00673CBB" w:rsidTr="00EB387C">
        <w:trPr>
          <w:trHeight w:val="569"/>
        </w:trPr>
        <w:tc>
          <w:tcPr>
            <w:tcW w:w="3134" w:type="dxa"/>
            <w:tcBorders>
              <w:top w:val="single" w:sz="4" w:space="0" w:color="auto"/>
              <w:left w:val="single" w:sz="4" w:space="0" w:color="000000"/>
              <w:bottom w:val="single" w:sz="4" w:space="0" w:color="auto"/>
              <w:right w:val="single" w:sz="4" w:space="0" w:color="auto"/>
            </w:tcBorders>
            <w:shd w:val="clear" w:color="auto" w:fill="auto"/>
            <w:hideMark/>
          </w:tcPr>
          <w:p w:rsidR="00B25296" w:rsidRPr="00A25866" w:rsidRDefault="00B25296" w:rsidP="00734504">
            <w:pPr>
              <w:spacing w:before="20" w:after="60"/>
              <w:ind w:left="333"/>
              <w:jc w:val="left"/>
              <w:rPr>
                <w:color w:val="000000"/>
                <w:sz w:val="22"/>
                <w:lang w:val="en-US"/>
              </w:rPr>
            </w:pPr>
            <w:proofErr w:type="spellStart"/>
            <w:r w:rsidRPr="00A25866">
              <w:rPr>
                <w:sz w:val="22"/>
                <w:lang w:val="en-US"/>
              </w:rPr>
              <w:t>meropenem</w:t>
            </w:r>
            <w:proofErr w:type="spellEnd"/>
            <w:r w:rsidRPr="00A25866">
              <w:rPr>
                <w:sz w:val="22"/>
                <w:lang w:val="en-US"/>
              </w:rPr>
              <w:t>- susceptible</w:t>
            </w:r>
            <w:r w:rsidRPr="00A25866">
              <w:rPr>
                <w:sz w:val="22"/>
                <w:lang w:val="en-US"/>
              </w:rPr>
              <w:br/>
              <w:t>(MIC of</w:t>
            </w:r>
            <w:r w:rsidRPr="00A25866">
              <w:rPr>
                <w:rFonts w:eastAsia="Arial Unicode MS"/>
                <w:sz w:val="22"/>
                <w:lang w:val="en-US"/>
              </w:rPr>
              <w:t xml:space="preserve"> </w:t>
            </w:r>
            <w:r w:rsidR="00734504">
              <w:rPr>
                <w:rFonts w:eastAsia="Arial Unicode MS"/>
                <w:sz w:val="22"/>
                <w:lang w:val="en-US"/>
              </w:rPr>
              <w:sym w:font="Symbol" w:char="F0A3"/>
            </w:r>
            <w:r w:rsidRPr="00A25866">
              <w:rPr>
                <w:rFonts w:eastAsia="Arial Unicode MS"/>
                <w:sz w:val="22"/>
                <w:lang w:val="en-US"/>
              </w:rPr>
              <w:t xml:space="preserve"> 1mg/L)</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25296" w:rsidRPr="00673CBB" w:rsidRDefault="00B25296" w:rsidP="00F73E2D">
            <w:pPr>
              <w:spacing w:before="20" w:after="60"/>
              <w:jc w:val="left"/>
              <w:rPr>
                <w:color w:val="000000"/>
                <w:sz w:val="22"/>
                <w:lang w:val="en-US"/>
              </w:rPr>
            </w:pPr>
            <w:r w:rsidRPr="00673CBB">
              <w:rPr>
                <w:color w:val="000000"/>
                <w:sz w:val="22"/>
                <w:lang w:val="en-US"/>
              </w:rPr>
              <w:t>149</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25296" w:rsidRPr="00673CBB" w:rsidRDefault="00B25296" w:rsidP="00F73E2D">
            <w:pPr>
              <w:spacing w:before="20" w:after="60"/>
              <w:jc w:val="left"/>
              <w:rPr>
                <w:color w:val="000000"/>
                <w:sz w:val="22"/>
                <w:lang w:val="en-US"/>
              </w:rPr>
            </w:pPr>
            <w:r w:rsidRPr="00673CBB">
              <w:rPr>
                <w:color w:val="000000"/>
                <w:sz w:val="22"/>
                <w:lang w:val="en-US"/>
              </w:rPr>
              <w:t>0.12</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25296" w:rsidRPr="00673CBB" w:rsidRDefault="00B25296" w:rsidP="00F73E2D">
            <w:pPr>
              <w:spacing w:before="20" w:after="60"/>
              <w:jc w:val="left"/>
              <w:rPr>
                <w:color w:val="000000"/>
                <w:sz w:val="22"/>
                <w:lang w:val="en-US"/>
              </w:rPr>
            </w:pPr>
            <w:r w:rsidRPr="00673CBB">
              <w:rPr>
                <w:color w:val="000000"/>
                <w:sz w:val="22"/>
                <w:lang w:val="en-US"/>
              </w:rPr>
              <w:t>0.25</w:t>
            </w:r>
          </w:p>
        </w:tc>
      </w:tr>
      <w:tr w:rsidR="00B25296" w:rsidRPr="00673CBB" w:rsidTr="00EB387C">
        <w:trPr>
          <w:trHeight w:val="522"/>
        </w:trPr>
        <w:tc>
          <w:tcPr>
            <w:tcW w:w="3134" w:type="dxa"/>
            <w:tcBorders>
              <w:top w:val="single" w:sz="4" w:space="0" w:color="auto"/>
              <w:left w:val="single" w:sz="4" w:space="0" w:color="000000"/>
              <w:right w:val="single" w:sz="4" w:space="0" w:color="auto"/>
            </w:tcBorders>
            <w:shd w:val="clear" w:color="auto" w:fill="auto"/>
            <w:hideMark/>
          </w:tcPr>
          <w:p w:rsidR="00B25296" w:rsidRPr="00A25866" w:rsidRDefault="00B25296" w:rsidP="00734504">
            <w:pPr>
              <w:spacing w:before="20" w:after="60"/>
              <w:ind w:left="333"/>
              <w:jc w:val="left"/>
              <w:rPr>
                <w:color w:val="000000"/>
                <w:sz w:val="22"/>
                <w:lang w:val="en-US"/>
              </w:rPr>
            </w:pPr>
            <w:proofErr w:type="spellStart"/>
            <w:r w:rsidRPr="00A25866">
              <w:rPr>
                <w:sz w:val="22"/>
                <w:lang w:val="en-US"/>
              </w:rPr>
              <w:t>meropenem</w:t>
            </w:r>
            <w:proofErr w:type="spellEnd"/>
            <w:r w:rsidRPr="00A25866">
              <w:rPr>
                <w:sz w:val="22"/>
                <w:lang w:val="en-US"/>
              </w:rPr>
              <w:t xml:space="preserve"> non-susceptible</w:t>
            </w:r>
            <w:r w:rsidRPr="00A25866">
              <w:rPr>
                <w:sz w:val="22"/>
                <w:lang w:val="en-US"/>
              </w:rPr>
              <w:br/>
            </w:r>
            <w:r w:rsidRPr="00A25866">
              <w:rPr>
                <w:rFonts w:eastAsia="Arial Unicode MS"/>
                <w:sz w:val="22"/>
                <w:lang w:val="en-US"/>
              </w:rPr>
              <w:t>(</w:t>
            </w:r>
            <w:r w:rsidRPr="00A25866">
              <w:rPr>
                <w:sz w:val="22"/>
                <w:lang w:val="en-US"/>
              </w:rPr>
              <w:t xml:space="preserve">MIC of </w:t>
            </w:r>
            <w:r w:rsidR="00734504">
              <w:rPr>
                <w:sz w:val="22"/>
                <w:lang w:val="en-US"/>
              </w:rPr>
              <w:sym w:font="Symbol" w:char="F0B3"/>
            </w:r>
            <w:r w:rsidRPr="00A25866">
              <w:rPr>
                <w:sz w:val="22"/>
                <w:lang w:val="en-US"/>
              </w:rPr>
              <w:t xml:space="preserve"> </w:t>
            </w:r>
            <w:r w:rsidRPr="00A25866">
              <w:rPr>
                <w:rFonts w:eastAsia="Arial Unicode MS"/>
                <w:sz w:val="22"/>
                <w:lang w:val="en-US"/>
              </w:rPr>
              <w:t>2 mg/L)</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25296" w:rsidRPr="00673CBB" w:rsidRDefault="00B25296" w:rsidP="00F73E2D">
            <w:pPr>
              <w:spacing w:before="20" w:after="60"/>
              <w:jc w:val="left"/>
              <w:rPr>
                <w:color w:val="000000"/>
                <w:sz w:val="22"/>
                <w:lang w:val="en-US"/>
              </w:rPr>
            </w:pPr>
            <w:r w:rsidRPr="00673CBB">
              <w:rPr>
                <w:color w:val="000000"/>
                <w:sz w:val="22"/>
                <w:lang w:val="en-US"/>
              </w:rPr>
              <w:t>1</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25296" w:rsidRPr="00673CBB" w:rsidRDefault="00B25296" w:rsidP="00F73E2D">
            <w:pPr>
              <w:spacing w:before="20" w:after="60"/>
              <w:jc w:val="left"/>
              <w:rPr>
                <w:sz w:val="22"/>
                <w:lang w:val="en-US"/>
              </w:rPr>
            </w:pPr>
            <w:r w:rsidRPr="00673CBB">
              <w:rPr>
                <w:sz w:val="22"/>
                <w:lang w:val="en-US"/>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25296" w:rsidRPr="00673CBB" w:rsidRDefault="00B25296" w:rsidP="00F73E2D">
            <w:pPr>
              <w:spacing w:before="20" w:after="60"/>
              <w:jc w:val="left"/>
              <w:rPr>
                <w:sz w:val="22"/>
                <w:lang w:val="en-US"/>
              </w:rPr>
            </w:pPr>
            <w:r w:rsidRPr="00673CBB">
              <w:rPr>
                <w:sz w:val="22"/>
                <w:lang w:val="en-US"/>
              </w:rPr>
              <w:t>--</w:t>
            </w:r>
          </w:p>
        </w:tc>
      </w:tr>
      <w:tr w:rsidR="00B25296" w:rsidRPr="00673CBB" w:rsidTr="00EB387C">
        <w:trPr>
          <w:trHeight w:val="362"/>
        </w:trPr>
        <w:tc>
          <w:tcPr>
            <w:tcW w:w="3134" w:type="dxa"/>
            <w:tcBorders>
              <w:top w:val="single" w:sz="4" w:space="0" w:color="auto"/>
              <w:left w:val="single" w:sz="4" w:space="0" w:color="000000"/>
              <w:bottom w:val="single" w:sz="4" w:space="0" w:color="000000"/>
              <w:right w:val="single" w:sz="4" w:space="0" w:color="auto"/>
            </w:tcBorders>
            <w:shd w:val="clear" w:color="auto" w:fill="auto"/>
          </w:tcPr>
          <w:p w:rsidR="00B25296" w:rsidRPr="009777CD" w:rsidRDefault="00B25296" w:rsidP="008E1D21">
            <w:pPr>
              <w:spacing w:before="20" w:after="60"/>
              <w:jc w:val="left"/>
              <w:rPr>
                <w:b/>
                <w:color w:val="000000"/>
                <w:sz w:val="22"/>
                <w:lang w:val="en-US"/>
              </w:rPr>
            </w:pPr>
            <w:proofErr w:type="spellStart"/>
            <w:r w:rsidRPr="009777CD">
              <w:rPr>
                <w:b/>
                <w:i/>
                <w:iCs/>
                <w:sz w:val="22"/>
                <w:lang w:val="en-US"/>
              </w:rPr>
              <w:t>Klebsiella</w:t>
            </w:r>
            <w:proofErr w:type="spellEnd"/>
            <w:r w:rsidRPr="007C1EF0">
              <w:rPr>
                <w:i/>
                <w:iCs/>
                <w:sz w:val="22"/>
                <w:lang w:val="en-US"/>
              </w:rPr>
              <w:t xml:space="preserve"> </w:t>
            </w:r>
            <w:r w:rsidRPr="007C1EF0">
              <w:rPr>
                <w:sz w:val="22"/>
                <w:lang w:val="en-US"/>
              </w:rPr>
              <w:t>spp.</w:t>
            </w:r>
            <w:r w:rsidR="008E1D21">
              <w:rPr>
                <w:sz w:val="22"/>
                <w:vertAlign w:val="superscript"/>
                <w:lang w:val="en-US"/>
              </w:rPr>
              <w:t>3</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25296" w:rsidRPr="00673CBB" w:rsidRDefault="00B25296" w:rsidP="00F73E2D">
            <w:pPr>
              <w:spacing w:before="20" w:after="60"/>
              <w:jc w:val="left"/>
              <w:rPr>
                <w:color w:val="000000"/>
                <w:sz w:val="22"/>
                <w:lang w:val="en-US"/>
              </w:rPr>
            </w:pPr>
            <w:r w:rsidRPr="00673CBB">
              <w:rPr>
                <w:color w:val="000000"/>
                <w:sz w:val="22"/>
                <w:lang w:val="en-US"/>
              </w:rPr>
              <w:t>174</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25296" w:rsidRPr="00673CBB" w:rsidRDefault="00B25296" w:rsidP="00F73E2D">
            <w:pPr>
              <w:spacing w:before="20" w:after="60"/>
              <w:jc w:val="left"/>
              <w:rPr>
                <w:color w:val="000000"/>
                <w:sz w:val="22"/>
                <w:lang w:val="en-US"/>
              </w:rPr>
            </w:pPr>
            <w:r w:rsidRPr="00673CBB">
              <w:rPr>
                <w:color w:val="000000"/>
                <w:sz w:val="22"/>
                <w:lang w:val="en-US"/>
              </w:rPr>
              <w:t>0.12</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25296" w:rsidRPr="00673CBB" w:rsidRDefault="00B25296" w:rsidP="00F73E2D">
            <w:pPr>
              <w:spacing w:before="20" w:after="60"/>
              <w:jc w:val="left"/>
              <w:rPr>
                <w:color w:val="000000"/>
                <w:sz w:val="22"/>
                <w:lang w:val="en-US"/>
              </w:rPr>
            </w:pPr>
            <w:r w:rsidRPr="00673CBB">
              <w:rPr>
                <w:color w:val="000000"/>
                <w:sz w:val="22"/>
                <w:lang w:val="en-US"/>
              </w:rPr>
              <w:t>0.5</w:t>
            </w:r>
          </w:p>
        </w:tc>
      </w:tr>
      <w:tr w:rsidR="00B25296" w:rsidRPr="00673CBB" w:rsidTr="00EB387C">
        <w:trPr>
          <w:trHeight w:val="411"/>
        </w:trPr>
        <w:tc>
          <w:tcPr>
            <w:tcW w:w="3134" w:type="dxa"/>
            <w:tcBorders>
              <w:top w:val="single" w:sz="4" w:space="0" w:color="000000"/>
              <w:left w:val="single" w:sz="4" w:space="0" w:color="000000"/>
              <w:bottom w:val="single" w:sz="4" w:space="0" w:color="000000"/>
              <w:right w:val="single" w:sz="4" w:space="0" w:color="auto"/>
            </w:tcBorders>
            <w:shd w:val="clear" w:color="auto" w:fill="auto"/>
          </w:tcPr>
          <w:p w:rsidR="00B25296" w:rsidRPr="00A25866" w:rsidRDefault="00B25296" w:rsidP="008E1D21">
            <w:pPr>
              <w:spacing w:before="20" w:after="60"/>
              <w:ind w:firstLine="333"/>
              <w:jc w:val="left"/>
              <w:rPr>
                <w:color w:val="000000"/>
                <w:sz w:val="22"/>
                <w:lang w:val="en-US"/>
              </w:rPr>
            </w:pPr>
            <w:r w:rsidRPr="00A25866">
              <w:rPr>
                <w:sz w:val="22"/>
                <w:lang w:val="en-US"/>
              </w:rPr>
              <w:t>ESBL (molecular)</w:t>
            </w:r>
            <w:r w:rsidR="008E1D21" w:rsidRPr="008E1D21">
              <w:rPr>
                <w:sz w:val="22"/>
                <w:vertAlign w:val="superscript"/>
                <w:lang w:val="en-US"/>
              </w:rPr>
              <w:t>1</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25296" w:rsidRPr="00673CBB" w:rsidRDefault="00B25296" w:rsidP="00F73E2D">
            <w:pPr>
              <w:spacing w:before="20" w:after="60"/>
              <w:jc w:val="left"/>
              <w:rPr>
                <w:color w:val="000000"/>
                <w:sz w:val="22"/>
                <w:lang w:val="en-US"/>
              </w:rPr>
            </w:pPr>
            <w:r w:rsidRPr="00673CBB">
              <w:rPr>
                <w:color w:val="000000"/>
                <w:sz w:val="22"/>
                <w:lang w:val="en-US"/>
              </w:rPr>
              <w:t>16</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25296" w:rsidRPr="00673CBB" w:rsidRDefault="00B25296" w:rsidP="00F73E2D">
            <w:pPr>
              <w:spacing w:before="20" w:after="60"/>
              <w:jc w:val="left"/>
              <w:rPr>
                <w:color w:val="000000"/>
                <w:sz w:val="22"/>
                <w:lang w:val="en-US"/>
              </w:rPr>
            </w:pPr>
            <w:r w:rsidRPr="00673CBB">
              <w:rPr>
                <w:color w:val="000000"/>
                <w:sz w:val="22"/>
                <w:lang w:val="en-US"/>
              </w:rPr>
              <w:t>0.25</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25296" w:rsidRPr="00673CBB" w:rsidRDefault="00B25296" w:rsidP="00F73E2D">
            <w:pPr>
              <w:spacing w:before="20" w:after="60"/>
              <w:jc w:val="left"/>
              <w:rPr>
                <w:sz w:val="22"/>
                <w:lang w:val="en-US"/>
              </w:rPr>
            </w:pPr>
            <w:r w:rsidRPr="00673CBB">
              <w:rPr>
                <w:sz w:val="22"/>
                <w:lang w:val="en-US"/>
              </w:rPr>
              <w:t>&gt;128</w:t>
            </w:r>
          </w:p>
        </w:tc>
      </w:tr>
      <w:tr w:rsidR="00B25296" w:rsidRPr="00673CBB" w:rsidTr="00EB387C">
        <w:trPr>
          <w:trHeight w:val="275"/>
        </w:trPr>
        <w:tc>
          <w:tcPr>
            <w:tcW w:w="3134" w:type="dxa"/>
            <w:tcBorders>
              <w:top w:val="single" w:sz="4" w:space="0" w:color="000000"/>
              <w:left w:val="single" w:sz="4" w:space="0" w:color="000000"/>
              <w:bottom w:val="single" w:sz="4" w:space="0" w:color="auto"/>
              <w:right w:val="single" w:sz="4" w:space="0" w:color="auto"/>
            </w:tcBorders>
            <w:shd w:val="clear" w:color="auto" w:fill="auto"/>
          </w:tcPr>
          <w:p w:rsidR="00B25296" w:rsidRPr="00A25866" w:rsidRDefault="00B25296" w:rsidP="008E1D21">
            <w:pPr>
              <w:spacing w:before="20" w:after="60"/>
              <w:ind w:firstLine="333"/>
              <w:jc w:val="left"/>
              <w:rPr>
                <w:sz w:val="22"/>
                <w:lang w:val="en-US"/>
              </w:rPr>
            </w:pPr>
            <w:r w:rsidRPr="00A25866">
              <w:rPr>
                <w:sz w:val="22"/>
                <w:lang w:val="en-US"/>
              </w:rPr>
              <w:lastRenderedPageBreak/>
              <w:t>ESBL (screen negative)</w:t>
            </w:r>
            <w:r w:rsidR="008E1D21" w:rsidRPr="008E1D21">
              <w:rPr>
                <w:sz w:val="22"/>
                <w:vertAlign w:val="superscript"/>
                <w:lang w:val="en-US"/>
              </w:rPr>
              <w:t>2</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25296" w:rsidRPr="00673CBB" w:rsidRDefault="00B25296" w:rsidP="00F73E2D">
            <w:pPr>
              <w:spacing w:before="20" w:after="60"/>
              <w:jc w:val="left"/>
              <w:rPr>
                <w:color w:val="000000"/>
                <w:sz w:val="22"/>
                <w:lang w:val="en-US"/>
              </w:rPr>
            </w:pPr>
            <w:r w:rsidRPr="00673CBB">
              <w:rPr>
                <w:color w:val="000000"/>
                <w:sz w:val="22"/>
                <w:lang w:val="en-US"/>
              </w:rPr>
              <w:t>149</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25296" w:rsidRPr="00673CBB" w:rsidRDefault="00B25296" w:rsidP="00F73E2D">
            <w:pPr>
              <w:spacing w:before="20" w:after="60"/>
              <w:jc w:val="left"/>
              <w:rPr>
                <w:color w:val="000000"/>
                <w:sz w:val="22"/>
                <w:lang w:val="en-US"/>
              </w:rPr>
            </w:pPr>
            <w:r w:rsidRPr="00673CBB">
              <w:rPr>
                <w:color w:val="000000"/>
                <w:sz w:val="22"/>
                <w:lang w:val="en-US"/>
              </w:rPr>
              <w:t>0.12</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25296" w:rsidRPr="00673CBB" w:rsidRDefault="00B25296" w:rsidP="00F73E2D">
            <w:pPr>
              <w:spacing w:before="20" w:after="60"/>
              <w:jc w:val="left"/>
              <w:rPr>
                <w:color w:val="000000"/>
                <w:sz w:val="22"/>
                <w:lang w:val="en-US"/>
              </w:rPr>
            </w:pPr>
            <w:r w:rsidRPr="00673CBB">
              <w:rPr>
                <w:color w:val="000000"/>
                <w:sz w:val="22"/>
                <w:lang w:val="en-US"/>
              </w:rPr>
              <w:t>0.25</w:t>
            </w:r>
          </w:p>
        </w:tc>
      </w:tr>
      <w:tr w:rsidR="00B25296" w:rsidRPr="00673CBB" w:rsidTr="00EB387C">
        <w:trPr>
          <w:trHeight w:val="408"/>
        </w:trPr>
        <w:tc>
          <w:tcPr>
            <w:tcW w:w="3134" w:type="dxa"/>
            <w:tcBorders>
              <w:top w:val="single" w:sz="4" w:space="0" w:color="auto"/>
              <w:left w:val="single" w:sz="4" w:space="0" w:color="000000"/>
              <w:bottom w:val="single" w:sz="4" w:space="0" w:color="000000"/>
              <w:right w:val="single" w:sz="4" w:space="0" w:color="auto"/>
            </w:tcBorders>
            <w:shd w:val="clear" w:color="auto" w:fill="auto"/>
            <w:hideMark/>
          </w:tcPr>
          <w:p w:rsidR="00B25296" w:rsidRPr="009777CD" w:rsidRDefault="00B25296" w:rsidP="00F73E2D">
            <w:pPr>
              <w:spacing w:before="20" w:after="60"/>
              <w:jc w:val="left"/>
              <w:rPr>
                <w:b/>
                <w:i/>
                <w:iCs/>
                <w:sz w:val="22"/>
                <w:lang w:val="en-US"/>
              </w:rPr>
            </w:pPr>
            <w:r w:rsidRPr="009777CD">
              <w:rPr>
                <w:b/>
                <w:i/>
                <w:iCs/>
                <w:sz w:val="22"/>
                <w:lang w:val="en-US"/>
              </w:rPr>
              <w:t xml:space="preserve">K. </w:t>
            </w:r>
            <w:proofErr w:type="spellStart"/>
            <w:r w:rsidRPr="009777CD">
              <w:rPr>
                <w:b/>
                <w:i/>
                <w:iCs/>
                <w:sz w:val="22"/>
                <w:lang w:val="en-US"/>
              </w:rPr>
              <w:t>pneumoniae</w:t>
            </w:r>
            <w:proofErr w:type="spellEnd"/>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25296" w:rsidRPr="00673CBB" w:rsidRDefault="00B25296" w:rsidP="00F73E2D">
            <w:pPr>
              <w:spacing w:before="20" w:after="60"/>
              <w:jc w:val="left"/>
              <w:rPr>
                <w:color w:val="000000"/>
                <w:sz w:val="22"/>
                <w:lang w:val="en-US"/>
              </w:rPr>
            </w:pPr>
            <w:r w:rsidRPr="00673CBB">
              <w:rPr>
                <w:color w:val="000000"/>
                <w:sz w:val="22"/>
                <w:lang w:val="en-US"/>
              </w:rPr>
              <w:t>148</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25296" w:rsidRPr="00673CBB" w:rsidRDefault="00B25296" w:rsidP="00F73E2D">
            <w:pPr>
              <w:spacing w:before="20" w:after="60"/>
              <w:jc w:val="left"/>
              <w:rPr>
                <w:color w:val="000000"/>
                <w:sz w:val="22"/>
                <w:lang w:val="en-US"/>
              </w:rPr>
            </w:pPr>
            <w:r w:rsidRPr="00673CBB">
              <w:rPr>
                <w:color w:val="000000"/>
                <w:sz w:val="22"/>
                <w:lang w:val="en-US"/>
              </w:rPr>
              <w:t>0.12</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25296" w:rsidRPr="00673CBB" w:rsidRDefault="00B25296" w:rsidP="00F73E2D">
            <w:pPr>
              <w:spacing w:before="20" w:after="60"/>
              <w:jc w:val="left"/>
              <w:rPr>
                <w:color w:val="000000"/>
                <w:sz w:val="22"/>
                <w:lang w:val="en-US"/>
              </w:rPr>
            </w:pPr>
            <w:r w:rsidRPr="00673CBB">
              <w:rPr>
                <w:color w:val="000000"/>
                <w:sz w:val="22"/>
                <w:lang w:val="en-US"/>
              </w:rPr>
              <w:t>0.5</w:t>
            </w:r>
          </w:p>
        </w:tc>
      </w:tr>
      <w:tr w:rsidR="00B25296" w:rsidRPr="00673CBB" w:rsidTr="00EB387C">
        <w:trPr>
          <w:trHeight w:val="287"/>
        </w:trPr>
        <w:tc>
          <w:tcPr>
            <w:tcW w:w="3134" w:type="dxa"/>
            <w:tcBorders>
              <w:top w:val="nil"/>
              <w:left w:val="single" w:sz="4" w:space="0" w:color="000000"/>
              <w:bottom w:val="single" w:sz="4" w:space="0" w:color="000000"/>
              <w:right w:val="single" w:sz="4" w:space="0" w:color="auto"/>
            </w:tcBorders>
            <w:shd w:val="clear" w:color="auto" w:fill="auto"/>
            <w:hideMark/>
          </w:tcPr>
          <w:p w:rsidR="00B25296" w:rsidRPr="00A25866" w:rsidRDefault="00B25296" w:rsidP="008E1D21">
            <w:pPr>
              <w:spacing w:before="20" w:after="60"/>
              <w:ind w:left="333"/>
              <w:jc w:val="left"/>
              <w:rPr>
                <w:color w:val="000000"/>
                <w:sz w:val="22"/>
                <w:lang w:val="en-US"/>
              </w:rPr>
            </w:pPr>
            <w:r w:rsidRPr="00A25866">
              <w:rPr>
                <w:sz w:val="22"/>
                <w:lang w:val="en-US"/>
              </w:rPr>
              <w:t>ESBL (molecular)</w:t>
            </w:r>
            <w:r w:rsidR="008E1D21" w:rsidRPr="008E1D21">
              <w:rPr>
                <w:sz w:val="22"/>
                <w:vertAlign w:val="superscript"/>
                <w:lang w:val="en-US"/>
              </w:rPr>
              <w:t>1</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25296" w:rsidRPr="00673CBB" w:rsidRDefault="00B25296" w:rsidP="00F73E2D">
            <w:pPr>
              <w:spacing w:before="20" w:after="60"/>
              <w:jc w:val="left"/>
              <w:rPr>
                <w:color w:val="000000"/>
                <w:sz w:val="22"/>
                <w:lang w:val="en-US"/>
              </w:rPr>
            </w:pPr>
            <w:r w:rsidRPr="00673CBB">
              <w:rPr>
                <w:color w:val="000000"/>
                <w:sz w:val="22"/>
                <w:lang w:val="en-US"/>
              </w:rPr>
              <w:t>16</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25296" w:rsidRPr="00673CBB" w:rsidRDefault="00B25296" w:rsidP="00F73E2D">
            <w:pPr>
              <w:spacing w:before="20" w:after="60"/>
              <w:jc w:val="left"/>
              <w:rPr>
                <w:color w:val="000000"/>
                <w:sz w:val="22"/>
                <w:lang w:val="en-US"/>
              </w:rPr>
            </w:pPr>
            <w:r w:rsidRPr="00673CBB">
              <w:rPr>
                <w:color w:val="000000"/>
                <w:sz w:val="22"/>
                <w:lang w:val="en-US"/>
              </w:rPr>
              <w:t>0.25</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25296" w:rsidRPr="00673CBB" w:rsidRDefault="00B25296" w:rsidP="00F73E2D">
            <w:pPr>
              <w:spacing w:before="20" w:after="60"/>
              <w:jc w:val="left"/>
              <w:rPr>
                <w:sz w:val="22"/>
                <w:lang w:val="en-US"/>
              </w:rPr>
            </w:pPr>
            <w:r w:rsidRPr="00673CBB">
              <w:rPr>
                <w:sz w:val="22"/>
                <w:lang w:val="en-US"/>
              </w:rPr>
              <w:t>&gt;128</w:t>
            </w:r>
          </w:p>
        </w:tc>
      </w:tr>
      <w:tr w:rsidR="00B25296" w:rsidRPr="00673CBB" w:rsidTr="00EB387C">
        <w:trPr>
          <w:trHeight w:val="407"/>
        </w:trPr>
        <w:tc>
          <w:tcPr>
            <w:tcW w:w="3134" w:type="dxa"/>
            <w:tcBorders>
              <w:top w:val="nil"/>
              <w:left w:val="single" w:sz="4" w:space="0" w:color="000000"/>
              <w:bottom w:val="single" w:sz="4" w:space="0" w:color="000000"/>
              <w:right w:val="single" w:sz="4" w:space="0" w:color="auto"/>
            </w:tcBorders>
            <w:shd w:val="clear" w:color="auto" w:fill="auto"/>
            <w:hideMark/>
          </w:tcPr>
          <w:p w:rsidR="00B25296" w:rsidRPr="00A25866" w:rsidRDefault="00B25296" w:rsidP="008E1D21">
            <w:pPr>
              <w:spacing w:before="20" w:after="60"/>
              <w:ind w:left="333"/>
              <w:jc w:val="left"/>
              <w:rPr>
                <w:sz w:val="22"/>
                <w:lang w:val="en-US"/>
              </w:rPr>
            </w:pPr>
            <w:r w:rsidRPr="00A25866">
              <w:rPr>
                <w:sz w:val="22"/>
                <w:lang w:val="en-US"/>
              </w:rPr>
              <w:t>ESBL (screen negative)</w:t>
            </w:r>
            <w:r w:rsidR="008E1D21" w:rsidRPr="008E1D21">
              <w:rPr>
                <w:sz w:val="22"/>
                <w:vertAlign w:val="superscript"/>
                <w:lang w:val="en-US"/>
              </w:rPr>
              <w:t>2</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25296" w:rsidRPr="00673CBB" w:rsidRDefault="00B25296" w:rsidP="00F73E2D">
            <w:pPr>
              <w:spacing w:before="20" w:after="60"/>
              <w:jc w:val="left"/>
              <w:rPr>
                <w:color w:val="000000"/>
                <w:sz w:val="22"/>
                <w:lang w:val="en-US"/>
              </w:rPr>
            </w:pPr>
            <w:r w:rsidRPr="00673CBB">
              <w:rPr>
                <w:color w:val="000000"/>
                <w:sz w:val="22"/>
                <w:lang w:val="en-US"/>
              </w:rPr>
              <w:t>127</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25296" w:rsidRPr="00673CBB" w:rsidRDefault="00B25296" w:rsidP="00F73E2D">
            <w:pPr>
              <w:spacing w:before="20" w:after="60"/>
              <w:jc w:val="left"/>
              <w:rPr>
                <w:color w:val="000000"/>
                <w:sz w:val="22"/>
                <w:lang w:val="en-US"/>
              </w:rPr>
            </w:pPr>
            <w:r w:rsidRPr="00673CBB">
              <w:rPr>
                <w:color w:val="000000"/>
                <w:sz w:val="22"/>
                <w:lang w:val="en-US"/>
              </w:rPr>
              <w:t>0.12</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25296" w:rsidRPr="00673CBB" w:rsidRDefault="00B25296" w:rsidP="00F73E2D">
            <w:pPr>
              <w:spacing w:before="20" w:after="60"/>
              <w:jc w:val="left"/>
              <w:rPr>
                <w:color w:val="000000"/>
                <w:sz w:val="22"/>
                <w:lang w:val="en-US"/>
              </w:rPr>
            </w:pPr>
            <w:r w:rsidRPr="00673CBB">
              <w:rPr>
                <w:color w:val="000000"/>
                <w:sz w:val="22"/>
                <w:lang w:val="en-US"/>
              </w:rPr>
              <w:t>0.5</w:t>
            </w:r>
          </w:p>
        </w:tc>
      </w:tr>
      <w:tr w:rsidR="00B25296" w:rsidRPr="00673CBB" w:rsidTr="00EB387C">
        <w:trPr>
          <w:trHeight w:val="541"/>
        </w:trPr>
        <w:tc>
          <w:tcPr>
            <w:tcW w:w="3134" w:type="dxa"/>
            <w:tcBorders>
              <w:top w:val="nil"/>
              <w:left w:val="single" w:sz="4" w:space="0" w:color="000000"/>
              <w:bottom w:val="single" w:sz="4" w:space="0" w:color="000000"/>
              <w:right w:val="single" w:sz="4" w:space="0" w:color="auto"/>
            </w:tcBorders>
            <w:shd w:val="clear" w:color="auto" w:fill="auto"/>
            <w:hideMark/>
          </w:tcPr>
          <w:p w:rsidR="00B25296" w:rsidRPr="00A25866" w:rsidRDefault="00B25296" w:rsidP="00A710B1">
            <w:pPr>
              <w:spacing w:before="20" w:after="60"/>
              <w:ind w:left="333"/>
              <w:jc w:val="left"/>
              <w:rPr>
                <w:color w:val="000000"/>
                <w:sz w:val="22"/>
                <w:lang w:val="en-US"/>
              </w:rPr>
            </w:pPr>
            <w:proofErr w:type="spellStart"/>
            <w:r w:rsidRPr="00A25866">
              <w:rPr>
                <w:sz w:val="22"/>
                <w:lang w:val="en-US"/>
              </w:rPr>
              <w:t>Meropenem</w:t>
            </w:r>
            <w:proofErr w:type="spellEnd"/>
            <w:r w:rsidRPr="00A25866">
              <w:rPr>
                <w:sz w:val="22"/>
                <w:lang w:val="en-US"/>
              </w:rPr>
              <w:t>-susceptible</w:t>
            </w:r>
            <w:r w:rsidRPr="00A25866">
              <w:rPr>
                <w:sz w:val="22"/>
                <w:lang w:val="en-US"/>
              </w:rPr>
              <w:br/>
              <w:t xml:space="preserve">(MIC </w:t>
            </w:r>
            <w:r w:rsidR="00A710B1">
              <w:rPr>
                <w:sz w:val="22"/>
                <w:lang w:val="en-US"/>
              </w:rPr>
              <w:sym w:font="Symbol" w:char="F0A3"/>
            </w:r>
            <w:r w:rsidRPr="00A25866">
              <w:rPr>
                <w:sz w:val="22"/>
                <w:lang w:val="en-US"/>
              </w:rPr>
              <w:t xml:space="preserve"> 1 mg/mL)</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25296" w:rsidRPr="00673CBB" w:rsidRDefault="00B25296" w:rsidP="00F73E2D">
            <w:pPr>
              <w:spacing w:before="20" w:after="60"/>
              <w:jc w:val="left"/>
              <w:rPr>
                <w:color w:val="000000"/>
                <w:sz w:val="22"/>
                <w:lang w:val="en-US"/>
              </w:rPr>
            </w:pPr>
            <w:r w:rsidRPr="00673CBB">
              <w:rPr>
                <w:color w:val="000000"/>
                <w:sz w:val="22"/>
                <w:lang w:val="en-US"/>
              </w:rPr>
              <w:t>145</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25296" w:rsidRPr="00673CBB" w:rsidRDefault="00B25296" w:rsidP="00F73E2D">
            <w:pPr>
              <w:spacing w:before="20" w:after="60"/>
              <w:jc w:val="left"/>
              <w:rPr>
                <w:color w:val="000000"/>
                <w:sz w:val="22"/>
                <w:lang w:val="en-US"/>
              </w:rPr>
            </w:pPr>
            <w:r w:rsidRPr="00673CBB">
              <w:rPr>
                <w:color w:val="000000"/>
                <w:sz w:val="22"/>
                <w:lang w:val="en-US"/>
              </w:rPr>
              <w:t>0.12</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25296" w:rsidRPr="00673CBB" w:rsidRDefault="00B25296" w:rsidP="00F73E2D">
            <w:pPr>
              <w:spacing w:before="20" w:after="60"/>
              <w:jc w:val="left"/>
              <w:rPr>
                <w:color w:val="000000"/>
                <w:sz w:val="22"/>
                <w:lang w:val="en-US"/>
              </w:rPr>
            </w:pPr>
            <w:r w:rsidRPr="00673CBB">
              <w:rPr>
                <w:color w:val="000000"/>
                <w:sz w:val="22"/>
                <w:lang w:val="en-US"/>
              </w:rPr>
              <w:t>0.5</w:t>
            </w:r>
          </w:p>
        </w:tc>
      </w:tr>
      <w:tr w:rsidR="00B25296" w:rsidRPr="00673CBB" w:rsidTr="00EB387C">
        <w:trPr>
          <w:trHeight w:val="664"/>
        </w:trPr>
        <w:tc>
          <w:tcPr>
            <w:tcW w:w="3134" w:type="dxa"/>
            <w:tcBorders>
              <w:top w:val="nil"/>
              <w:left w:val="single" w:sz="4" w:space="0" w:color="000000"/>
              <w:bottom w:val="single" w:sz="4" w:space="0" w:color="000000"/>
              <w:right w:val="single" w:sz="4" w:space="0" w:color="auto"/>
            </w:tcBorders>
            <w:shd w:val="clear" w:color="auto" w:fill="auto"/>
            <w:hideMark/>
          </w:tcPr>
          <w:p w:rsidR="00B25296" w:rsidRPr="00A25866" w:rsidRDefault="00B25296" w:rsidP="00A710B1">
            <w:pPr>
              <w:spacing w:before="20" w:after="60"/>
              <w:ind w:left="333"/>
              <w:jc w:val="left"/>
              <w:rPr>
                <w:color w:val="000000"/>
                <w:sz w:val="22"/>
                <w:lang w:val="en-US"/>
              </w:rPr>
            </w:pPr>
            <w:proofErr w:type="spellStart"/>
            <w:r w:rsidRPr="00A25866">
              <w:rPr>
                <w:sz w:val="22"/>
                <w:lang w:val="en-US"/>
              </w:rPr>
              <w:t>Meropenem</w:t>
            </w:r>
            <w:proofErr w:type="spellEnd"/>
            <w:r w:rsidRPr="00A25866">
              <w:rPr>
                <w:sz w:val="22"/>
                <w:lang w:val="en-US"/>
              </w:rPr>
              <w:t xml:space="preserve"> non-susceptible</w:t>
            </w:r>
            <w:r w:rsidRPr="00A25866">
              <w:rPr>
                <w:sz w:val="22"/>
                <w:lang w:val="en-US"/>
              </w:rPr>
              <w:br/>
              <w:t xml:space="preserve">(MIC </w:t>
            </w:r>
            <w:r w:rsidR="00A710B1">
              <w:rPr>
                <w:sz w:val="22"/>
                <w:lang w:val="en-US"/>
              </w:rPr>
              <w:sym w:font="Symbol" w:char="F0B3"/>
            </w:r>
            <w:r w:rsidRPr="00A25866">
              <w:rPr>
                <w:sz w:val="22"/>
                <w:lang w:val="en-US"/>
              </w:rPr>
              <w:t xml:space="preserve"> 2 mg/mL)</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25296" w:rsidRPr="00673CBB" w:rsidRDefault="00B25296" w:rsidP="00F73E2D">
            <w:pPr>
              <w:spacing w:before="20" w:after="60"/>
              <w:jc w:val="left"/>
              <w:rPr>
                <w:color w:val="000000"/>
                <w:sz w:val="22"/>
                <w:lang w:val="en-US"/>
              </w:rPr>
            </w:pPr>
            <w:r w:rsidRPr="00673CBB">
              <w:rPr>
                <w:color w:val="000000"/>
                <w:sz w:val="22"/>
                <w:lang w:val="en-US"/>
              </w:rPr>
              <w:t>3</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25296" w:rsidRPr="00673CBB" w:rsidRDefault="00B25296" w:rsidP="00F73E2D">
            <w:pPr>
              <w:spacing w:before="20" w:after="60"/>
              <w:jc w:val="left"/>
              <w:rPr>
                <w:sz w:val="22"/>
                <w:lang w:val="en-US"/>
              </w:rPr>
            </w:pPr>
            <w:r w:rsidRPr="00673CBB">
              <w:rPr>
                <w:sz w:val="22"/>
                <w:lang w:val="en-US"/>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25296" w:rsidRPr="00673CBB" w:rsidRDefault="00B25296" w:rsidP="00F73E2D">
            <w:pPr>
              <w:spacing w:before="20" w:after="60"/>
              <w:jc w:val="left"/>
              <w:rPr>
                <w:sz w:val="22"/>
                <w:lang w:val="en-US"/>
              </w:rPr>
            </w:pPr>
            <w:r w:rsidRPr="00673CBB">
              <w:rPr>
                <w:sz w:val="22"/>
                <w:lang w:val="en-US"/>
              </w:rPr>
              <w:t>--</w:t>
            </w:r>
          </w:p>
        </w:tc>
      </w:tr>
      <w:tr w:rsidR="00B25296" w:rsidRPr="00673CBB" w:rsidTr="00EB387C">
        <w:trPr>
          <w:trHeight w:val="322"/>
        </w:trPr>
        <w:tc>
          <w:tcPr>
            <w:tcW w:w="3134" w:type="dxa"/>
            <w:tcBorders>
              <w:top w:val="nil"/>
              <w:left w:val="single" w:sz="4" w:space="0" w:color="000000"/>
              <w:bottom w:val="single" w:sz="4" w:space="0" w:color="000000"/>
              <w:right w:val="single" w:sz="4" w:space="0" w:color="auto"/>
            </w:tcBorders>
            <w:shd w:val="clear" w:color="auto" w:fill="auto"/>
            <w:hideMark/>
          </w:tcPr>
          <w:p w:rsidR="00B25296" w:rsidRPr="009777CD" w:rsidRDefault="00B25296" w:rsidP="00F73E2D">
            <w:pPr>
              <w:spacing w:before="20" w:after="60"/>
              <w:jc w:val="left"/>
              <w:rPr>
                <w:b/>
                <w:i/>
                <w:iCs/>
                <w:sz w:val="22"/>
                <w:lang w:val="en-US"/>
              </w:rPr>
            </w:pPr>
            <w:r w:rsidRPr="009777CD">
              <w:rPr>
                <w:b/>
                <w:i/>
                <w:iCs/>
                <w:sz w:val="22"/>
                <w:lang w:val="en-US"/>
              </w:rPr>
              <w:t xml:space="preserve">K. </w:t>
            </w:r>
            <w:proofErr w:type="spellStart"/>
            <w:r w:rsidRPr="009777CD">
              <w:rPr>
                <w:b/>
                <w:i/>
                <w:iCs/>
                <w:sz w:val="22"/>
                <w:lang w:val="en-US"/>
              </w:rPr>
              <w:t>oxytoca</w:t>
            </w:r>
            <w:proofErr w:type="spellEnd"/>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25296" w:rsidRPr="00673CBB" w:rsidRDefault="00B25296" w:rsidP="00F73E2D">
            <w:pPr>
              <w:spacing w:before="20" w:after="60"/>
              <w:jc w:val="left"/>
              <w:rPr>
                <w:color w:val="000000"/>
                <w:sz w:val="22"/>
                <w:lang w:val="en-US"/>
              </w:rPr>
            </w:pPr>
            <w:r w:rsidRPr="00673CBB">
              <w:rPr>
                <w:color w:val="000000"/>
                <w:sz w:val="22"/>
                <w:lang w:val="en-US"/>
              </w:rPr>
              <w:t>24</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25296" w:rsidRPr="00673CBB" w:rsidRDefault="00B25296" w:rsidP="00F73E2D">
            <w:pPr>
              <w:spacing w:before="20" w:after="60"/>
              <w:jc w:val="left"/>
              <w:rPr>
                <w:color w:val="000000"/>
                <w:sz w:val="22"/>
                <w:lang w:val="en-US"/>
              </w:rPr>
            </w:pPr>
            <w:r w:rsidRPr="00673CBB">
              <w:rPr>
                <w:color w:val="000000"/>
                <w:sz w:val="22"/>
                <w:lang w:val="en-US"/>
              </w:rPr>
              <w:t>0.12</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25296" w:rsidRPr="00673CBB" w:rsidRDefault="00B25296" w:rsidP="00F73E2D">
            <w:pPr>
              <w:spacing w:before="20" w:after="60"/>
              <w:jc w:val="left"/>
              <w:rPr>
                <w:color w:val="000000"/>
                <w:sz w:val="22"/>
                <w:lang w:val="en-US"/>
              </w:rPr>
            </w:pPr>
            <w:r w:rsidRPr="00673CBB">
              <w:rPr>
                <w:color w:val="000000"/>
                <w:sz w:val="22"/>
                <w:lang w:val="en-US"/>
              </w:rPr>
              <w:t>0.25</w:t>
            </w:r>
          </w:p>
        </w:tc>
      </w:tr>
      <w:tr w:rsidR="00B25296" w:rsidRPr="00213B4B" w:rsidTr="00EB387C">
        <w:trPr>
          <w:trHeight w:val="322"/>
        </w:trPr>
        <w:tc>
          <w:tcPr>
            <w:tcW w:w="3134" w:type="dxa"/>
            <w:tcBorders>
              <w:top w:val="nil"/>
              <w:left w:val="single" w:sz="4" w:space="0" w:color="000000"/>
              <w:bottom w:val="single" w:sz="4" w:space="0" w:color="000000"/>
              <w:right w:val="single" w:sz="4" w:space="0" w:color="auto"/>
            </w:tcBorders>
            <w:shd w:val="clear" w:color="auto" w:fill="auto"/>
            <w:hideMark/>
          </w:tcPr>
          <w:p w:rsidR="00B25296" w:rsidRPr="00291A57" w:rsidRDefault="00B25296" w:rsidP="008E1D21">
            <w:pPr>
              <w:spacing w:before="20" w:after="60"/>
              <w:ind w:firstLine="333"/>
              <w:jc w:val="left"/>
              <w:rPr>
                <w:sz w:val="22"/>
                <w:lang w:val="en-US"/>
              </w:rPr>
            </w:pPr>
            <w:r w:rsidRPr="00291A57">
              <w:rPr>
                <w:sz w:val="22"/>
                <w:lang w:val="en-US"/>
              </w:rPr>
              <w:t>ESBL (screen negative)</w:t>
            </w:r>
            <w:r w:rsidR="008E1D21" w:rsidRPr="008E1D21">
              <w:rPr>
                <w:sz w:val="22"/>
                <w:vertAlign w:val="superscript"/>
                <w:lang w:val="en-US"/>
              </w:rPr>
              <w:t>2</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25296" w:rsidRPr="00213B4B" w:rsidRDefault="00B25296" w:rsidP="00F73E2D">
            <w:pPr>
              <w:spacing w:before="20" w:after="60"/>
              <w:jc w:val="left"/>
              <w:rPr>
                <w:sz w:val="22"/>
                <w:lang w:val="en-US"/>
              </w:rPr>
            </w:pPr>
            <w:r w:rsidRPr="00213B4B">
              <w:rPr>
                <w:sz w:val="22"/>
                <w:lang w:val="en-US"/>
              </w:rPr>
              <w:t>20</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25296" w:rsidRPr="00213B4B" w:rsidRDefault="00B25296" w:rsidP="00F73E2D">
            <w:pPr>
              <w:spacing w:before="20" w:after="60"/>
              <w:jc w:val="left"/>
              <w:rPr>
                <w:color w:val="000000"/>
                <w:sz w:val="22"/>
                <w:lang w:val="en-US"/>
              </w:rPr>
            </w:pPr>
            <w:r w:rsidRPr="00213B4B">
              <w:rPr>
                <w:color w:val="000000"/>
                <w:sz w:val="22"/>
                <w:lang w:val="en-US"/>
              </w:rPr>
              <w:t>0.12</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25296" w:rsidRPr="00213B4B" w:rsidRDefault="00B25296" w:rsidP="00F73E2D">
            <w:pPr>
              <w:spacing w:before="20" w:after="60"/>
              <w:jc w:val="left"/>
              <w:rPr>
                <w:color w:val="000000"/>
                <w:sz w:val="22"/>
                <w:lang w:val="en-US"/>
              </w:rPr>
            </w:pPr>
            <w:r w:rsidRPr="00213B4B">
              <w:rPr>
                <w:color w:val="000000"/>
                <w:sz w:val="22"/>
                <w:lang w:val="en-US"/>
              </w:rPr>
              <w:t>0.12</w:t>
            </w:r>
          </w:p>
        </w:tc>
      </w:tr>
      <w:tr w:rsidR="00B25296" w:rsidRPr="00213B4B" w:rsidTr="00EB387C">
        <w:trPr>
          <w:trHeight w:val="427"/>
        </w:trPr>
        <w:tc>
          <w:tcPr>
            <w:tcW w:w="3134" w:type="dxa"/>
            <w:tcBorders>
              <w:top w:val="nil"/>
              <w:left w:val="single" w:sz="4" w:space="0" w:color="000000"/>
              <w:bottom w:val="single" w:sz="4" w:space="0" w:color="000000"/>
              <w:right w:val="single" w:sz="4" w:space="0" w:color="auto"/>
            </w:tcBorders>
            <w:shd w:val="clear" w:color="auto" w:fill="auto"/>
            <w:hideMark/>
          </w:tcPr>
          <w:p w:rsidR="00B25296" w:rsidRPr="009777CD" w:rsidRDefault="00B25296" w:rsidP="00F73E2D">
            <w:pPr>
              <w:spacing w:before="20" w:after="60"/>
              <w:jc w:val="left"/>
              <w:rPr>
                <w:b/>
                <w:i/>
                <w:iCs/>
                <w:sz w:val="22"/>
                <w:lang w:val="en-US"/>
              </w:rPr>
            </w:pPr>
            <w:r w:rsidRPr="009777CD">
              <w:rPr>
                <w:b/>
                <w:i/>
                <w:iCs/>
                <w:sz w:val="22"/>
                <w:lang w:val="en-US"/>
              </w:rPr>
              <w:t xml:space="preserve">M. </w:t>
            </w:r>
            <w:proofErr w:type="spellStart"/>
            <w:r w:rsidRPr="009777CD">
              <w:rPr>
                <w:b/>
                <w:i/>
                <w:iCs/>
                <w:sz w:val="22"/>
                <w:lang w:val="en-US"/>
              </w:rPr>
              <w:t>morganii</w:t>
            </w:r>
            <w:proofErr w:type="spellEnd"/>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25296" w:rsidRPr="00213B4B" w:rsidRDefault="00B25296" w:rsidP="00F73E2D">
            <w:pPr>
              <w:spacing w:before="20" w:after="60"/>
              <w:jc w:val="left"/>
              <w:rPr>
                <w:sz w:val="22"/>
                <w:lang w:val="en-US"/>
              </w:rPr>
            </w:pPr>
            <w:r w:rsidRPr="00213B4B">
              <w:rPr>
                <w:sz w:val="22"/>
                <w:lang w:val="en-US"/>
              </w:rPr>
              <w:t>10</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25296" w:rsidRPr="00213B4B" w:rsidRDefault="00B25296" w:rsidP="00F73E2D">
            <w:pPr>
              <w:spacing w:before="20" w:after="60"/>
              <w:jc w:val="left"/>
              <w:rPr>
                <w:color w:val="000000"/>
                <w:sz w:val="22"/>
                <w:lang w:val="en-US"/>
              </w:rPr>
            </w:pPr>
            <w:r w:rsidRPr="00213B4B">
              <w:rPr>
                <w:color w:val="000000"/>
                <w:sz w:val="22"/>
                <w:lang w:val="en-US"/>
              </w:rPr>
              <w:t>0.06</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25296" w:rsidRPr="00213B4B" w:rsidRDefault="00B25296" w:rsidP="00F73E2D">
            <w:pPr>
              <w:spacing w:before="20" w:after="60"/>
              <w:jc w:val="left"/>
              <w:rPr>
                <w:color w:val="000000"/>
                <w:sz w:val="22"/>
                <w:lang w:val="en-US"/>
              </w:rPr>
            </w:pPr>
            <w:r w:rsidRPr="00213B4B">
              <w:rPr>
                <w:color w:val="000000"/>
                <w:sz w:val="22"/>
                <w:lang w:val="en-US"/>
              </w:rPr>
              <w:t>0.25</w:t>
            </w:r>
          </w:p>
        </w:tc>
      </w:tr>
      <w:tr w:rsidR="00B25296" w:rsidRPr="00213B4B" w:rsidTr="00EB387C">
        <w:trPr>
          <w:trHeight w:val="420"/>
        </w:trPr>
        <w:tc>
          <w:tcPr>
            <w:tcW w:w="3134" w:type="dxa"/>
            <w:tcBorders>
              <w:top w:val="nil"/>
              <w:left w:val="single" w:sz="4" w:space="0" w:color="000000"/>
              <w:bottom w:val="single" w:sz="4" w:space="0" w:color="000000"/>
              <w:right w:val="single" w:sz="4" w:space="0" w:color="auto"/>
            </w:tcBorders>
            <w:shd w:val="clear" w:color="auto" w:fill="auto"/>
          </w:tcPr>
          <w:p w:rsidR="00B25296" w:rsidRPr="009777CD" w:rsidRDefault="00B25296" w:rsidP="00F73E2D">
            <w:pPr>
              <w:spacing w:before="20" w:after="60"/>
              <w:jc w:val="left"/>
              <w:rPr>
                <w:b/>
                <w:color w:val="000000"/>
                <w:sz w:val="22"/>
                <w:lang w:val="en-US"/>
              </w:rPr>
            </w:pPr>
            <w:proofErr w:type="spellStart"/>
            <w:r w:rsidRPr="009777CD">
              <w:rPr>
                <w:b/>
                <w:i/>
                <w:iCs/>
                <w:sz w:val="22"/>
                <w:lang w:val="en-US"/>
              </w:rPr>
              <w:t>Citrobacter</w:t>
            </w:r>
            <w:proofErr w:type="spellEnd"/>
            <w:r w:rsidRPr="009777CD">
              <w:rPr>
                <w:b/>
                <w:i/>
                <w:iCs/>
                <w:sz w:val="22"/>
                <w:lang w:val="en-US"/>
              </w:rPr>
              <w:t xml:space="preserve"> </w:t>
            </w:r>
            <w:r w:rsidRPr="007C1EF0">
              <w:rPr>
                <w:sz w:val="22"/>
                <w:lang w:val="en-US"/>
              </w:rPr>
              <w:t xml:space="preserve">spp. </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25296" w:rsidRPr="00213B4B" w:rsidRDefault="00B25296" w:rsidP="00F73E2D">
            <w:pPr>
              <w:spacing w:before="20" w:after="60"/>
              <w:jc w:val="left"/>
              <w:rPr>
                <w:sz w:val="22"/>
                <w:lang w:val="en-US"/>
              </w:rPr>
            </w:pPr>
            <w:r w:rsidRPr="00213B4B">
              <w:rPr>
                <w:sz w:val="22"/>
                <w:lang w:val="en-US"/>
              </w:rPr>
              <w:t>63</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25296" w:rsidRPr="00213B4B" w:rsidRDefault="00B25296" w:rsidP="00F73E2D">
            <w:pPr>
              <w:spacing w:before="20" w:after="60"/>
              <w:jc w:val="left"/>
              <w:rPr>
                <w:color w:val="000000"/>
                <w:sz w:val="22"/>
                <w:lang w:val="en-US"/>
              </w:rPr>
            </w:pPr>
            <w:r w:rsidRPr="00213B4B">
              <w:rPr>
                <w:color w:val="000000"/>
                <w:sz w:val="22"/>
                <w:lang w:val="en-US"/>
              </w:rPr>
              <w:t>0.12</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25296" w:rsidRPr="00213B4B" w:rsidRDefault="00B25296" w:rsidP="00F73E2D">
            <w:pPr>
              <w:spacing w:before="20" w:after="60"/>
              <w:jc w:val="left"/>
              <w:rPr>
                <w:color w:val="000000"/>
                <w:sz w:val="22"/>
                <w:lang w:val="en-US"/>
              </w:rPr>
            </w:pPr>
            <w:r w:rsidRPr="00213B4B">
              <w:rPr>
                <w:color w:val="000000"/>
                <w:sz w:val="22"/>
                <w:lang w:val="en-US"/>
              </w:rPr>
              <w:t>&gt;128</w:t>
            </w:r>
          </w:p>
        </w:tc>
      </w:tr>
      <w:tr w:rsidR="00B25296" w:rsidRPr="00213B4B" w:rsidTr="00EB387C">
        <w:trPr>
          <w:trHeight w:val="411"/>
        </w:trPr>
        <w:tc>
          <w:tcPr>
            <w:tcW w:w="3134" w:type="dxa"/>
            <w:tcBorders>
              <w:top w:val="nil"/>
              <w:left w:val="single" w:sz="4" w:space="0" w:color="000000"/>
              <w:bottom w:val="single" w:sz="4" w:space="0" w:color="000000"/>
              <w:right w:val="single" w:sz="4" w:space="0" w:color="auto"/>
            </w:tcBorders>
            <w:shd w:val="clear" w:color="auto" w:fill="auto"/>
          </w:tcPr>
          <w:p w:rsidR="00B25296" w:rsidRPr="009777CD" w:rsidRDefault="00B25296" w:rsidP="00F73E2D">
            <w:pPr>
              <w:spacing w:before="20" w:after="60"/>
              <w:jc w:val="left"/>
              <w:rPr>
                <w:b/>
                <w:i/>
                <w:iCs/>
                <w:sz w:val="22"/>
                <w:lang w:val="en-US"/>
              </w:rPr>
            </w:pPr>
            <w:r w:rsidRPr="009777CD">
              <w:rPr>
                <w:b/>
                <w:i/>
                <w:iCs/>
                <w:sz w:val="22"/>
                <w:lang w:val="en-US"/>
              </w:rPr>
              <w:t xml:space="preserve">C. </w:t>
            </w:r>
            <w:proofErr w:type="spellStart"/>
            <w:r w:rsidRPr="009777CD">
              <w:rPr>
                <w:b/>
                <w:i/>
                <w:iCs/>
                <w:sz w:val="22"/>
                <w:lang w:val="en-US"/>
              </w:rPr>
              <w:t>freundii</w:t>
            </w:r>
            <w:proofErr w:type="spellEnd"/>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25296" w:rsidRPr="00213B4B" w:rsidRDefault="00B25296" w:rsidP="00F73E2D">
            <w:pPr>
              <w:spacing w:before="20" w:after="60"/>
              <w:jc w:val="left"/>
              <w:rPr>
                <w:sz w:val="22"/>
                <w:lang w:val="en-US"/>
              </w:rPr>
            </w:pPr>
            <w:r w:rsidRPr="00213B4B">
              <w:rPr>
                <w:sz w:val="22"/>
                <w:lang w:val="en-US"/>
              </w:rPr>
              <w:t>38</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25296" w:rsidRPr="00213B4B" w:rsidRDefault="00B25296" w:rsidP="00F73E2D">
            <w:pPr>
              <w:spacing w:before="20" w:after="60"/>
              <w:jc w:val="left"/>
              <w:rPr>
                <w:color w:val="000000"/>
                <w:sz w:val="22"/>
                <w:lang w:val="en-US"/>
              </w:rPr>
            </w:pPr>
            <w:r w:rsidRPr="00213B4B">
              <w:rPr>
                <w:color w:val="000000"/>
                <w:sz w:val="22"/>
                <w:lang w:val="en-US"/>
              </w:rPr>
              <w:t>0.25</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25296" w:rsidRPr="00213B4B" w:rsidRDefault="00B25296" w:rsidP="00F73E2D">
            <w:pPr>
              <w:spacing w:before="20" w:after="60"/>
              <w:jc w:val="left"/>
              <w:rPr>
                <w:color w:val="000000"/>
                <w:sz w:val="22"/>
                <w:lang w:val="en-US"/>
              </w:rPr>
            </w:pPr>
            <w:r w:rsidRPr="00213B4B">
              <w:rPr>
                <w:color w:val="000000"/>
                <w:sz w:val="22"/>
                <w:lang w:val="en-US"/>
              </w:rPr>
              <w:t>&gt;128</w:t>
            </w:r>
          </w:p>
        </w:tc>
      </w:tr>
      <w:tr w:rsidR="00B25296" w:rsidRPr="00213B4B" w:rsidTr="00EB387C">
        <w:trPr>
          <w:trHeight w:val="417"/>
        </w:trPr>
        <w:tc>
          <w:tcPr>
            <w:tcW w:w="3134" w:type="dxa"/>
            <w:tcBorders>
              <w:top w:val="nil"/>
              <w:left w:val="single" w:sz="4" w:space="0" w:color="000000"/>
              <w:bottom w:val="single" w:sz="4" w:space="0" w:color="000000"/>
              <w:right w:val="single" w:sz="4" w:space="0" w:color="auto"/>
            </w:tcBorders>
            <w:shd w:val="clear" w:color="auto" w:fill="auto"/>
            <w:hideMark/>
          </w:tcPr>
          <w:p w:rsidR="00B25296" w:rsidRPr="009777CD" w:rsidRDefault="00B25296" w:rsidP="00F73E2D">
            <w:pPr>
              <w:spacing w:before="20" w:after="60"/>
              <w:jc w:val="left"/>
              <w:rPr>
                <w:b/>
                <w:i/>
                <w:iCs/>
                <w:sz w:val="22"/>
                <w:lang w:val="en-US"/>
              </w:rPr>
            </w:pPr>
            <w:r w:rsidRPr="009777CD">
              <w:rPr>
                <w:b/>
                <w:i/>
                <w:iCs/>
                <w:sz w:val="22"/>
                <w:lang w:val="en-US"/>
              </w:rPr>
              <w:t xml:space="preserve">C. </w:t>
            </w:r>
            <w:proofErr w:type="spellStart"/>
            <w:r w:rsidRPr="009777CD">
              <w:rPr>
                <w:b/>
                <w:i/>
                <w:iCs/>
                <w:sz w:val="22"/>
                <w:lang w:val="en-US"/>
              </w:rPr>
              <w:t>koseri</w:t>
            </w:r>
            <w:proofErr w:type="spellEnd"/>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25296" w:rsidRPr="00213B4B" w:rsidRDefault="00B25296" w:rsidP="00F73E2D">
            <w:pPr>
              <w:spacing w:before="20" w:after="60"/>
              <w:jc w:val="left"/>
              <w:rPr>
                <w:sz w:val="22"/>
                <w:lang w:val="en-US"/>
              </w:rPr>
            </w:pPr>
            <w:r w:rsidRPr="00213B4B">
              <w:rPr>
                <w:sz w:val="22"/>
                <w:lang w:val="en-US"/>
              </w:rPr>
              <w:t>18</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25296" w:rsidRPr="00213B4B" w:rsidRDefault="00B25296" w:rsidP="00F73E2D">
            <w:pPr>
              <w:spacing w:before="20" w:after="60"/>
              <w:jc w:val="left"/>
              <w:rPr>
                <w:color w:val="000000"/>
                <w:sz w:val="22"/>
                <w:lang w:val="en-US"/>
              </w:rPr>
            </w:pPr>
            <w:r w:rsidRPr="00213B4B">
              <w:rPr>
                <w:color w:val="000000"/>
                <w:sz w:val="22"/>
                <w:lang w:val="en-US"/>
              </w:rPr>
              <w:t>0.12</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25296" w:rsidRPr="00213B4B" w:rsidRDefault="00B25296" w:rsidP="00F73E2D">
            <w:pPr>
              <w:spacing w:before="20" w:after="60"/>
              <w:jc w:val="left"/>
              <w:rPr>
                <w:color w:val="000000"/>
                <w:sz w:val="22"/>
                <w:lang w:val="en-US"/>
              </w:rPr>
            </w:pPr>
            <w:r w:rsidRPr="00213B4B">
              <w:rPr>
                <w:color w:val="000000"/>
                <w:sz w:val="22"/>
                <w:lang w:val="en-US"/>
              </w:rPr>
              <w:t>0.5</w:t>
            </w:r>
          </w:p>
        </w:tc>
      </w:tr>
      <w:tr w:rsidR="00B25296" w:rsidRPr="00213B4B" w:rsidTr="00EB387C">
        <w:trPr>
          <w:trHeight w:val="408"/>
        </w:trPr>
        <w:tc>
          <w:tcPr>
            <w:tcW w:w="3134" w:type="dxa"/>
            <w:tcBorders>
              <w:top w:val="nil"/>
              <w:left w:val="single" w:sz="4" w:space="0" w:color="000000"/>
              <w:bottom w:val="single" w:sz="4" w:space="0" w:color="000000"/>
              <w:right w:val="single" w:sz="4" w:space="0" w:color="auto"/>
            </w:tcBorders>
            <w:shd w:val="clear" w:color="auto" w:fill="auto"/>
            <w:hideMark/>
          </w:tcPr>
          <w:p w:rsidR="00B25296" w:rsidRPr="009777CD" w:rsidRDefault="00B25296" w:rsidP="008E1D21">
            <w:pPr>
              <w:spacing w:before="20" w:after="60"/>
              <w:jc w:val="left"/>
              <w:rPr>
                <w:b/>
                <w:color w:val="000000"/>
                <w:sz w:val="22"/>
                <w:lang w:val="en-US"/>
              </w:rPr>
            </w:pPr>
            <w:proofErr w:type="spellStart"/>
            <w:r w:rsidRPr="009777CD">
              <w:rPr>
                <w:b/>
                <w:i/>
                <w:iCs/>
                <w:sz w:val="22"/>
                <w:lang w:val="en-US"/>
              </w:rPr>
              <w:t>Enterobacter</w:t>
            </w:r>
            <w:proofErr w:type="spellEnd"/>
            <w:r w:rsidRPr="009777CD">
              <w:rPr>
                <w:b/>
                <w:i/>
                <w:iCs/>
                <w:sz w:val="22"/>
                <w:lang w:val="en-US"/>
              </w:rPr>
              <w:t xml:space="preserve"> </w:t>
            </w:r>
            <w:r w:rsidRPr="007C1EF0">
              <w:rPr>
                <w:sz w:val="22"/>
                <w:lang w:val="en-US"/>
              </w:rPr>
              <w:t>spp</w:t>
            </w:r>
            <w:r w:rsidR="008E1D21">
              <w:rPr>
                <w:sz w:val="22"/>
                <w:vertAlign w:val="superscript"/>
                <w:lang w:val="en-US"/>
              </w:rPr>
              <w:t>4</w:t>
            </w:r>
            <w:r w:rsidRPr="007C1EF0">
              <w:rPr>
                <w:sz w:val="22"/>
                <w:lang w:val="en-US"/>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25296" w:rsidRPr="00213B4B" w:rsidRDefault="00B25296" w:rsidP="00F73E2D">
            <w:pPr>
              <w:spacing w:before="20" w:after="60"/>
              <w:jc w:val="left"/>
              <w:rPr>
                <w:sz w:val="22"/>
                <w:lang w:val="en-US"/>
              </w:rPr>
            </w:pPr>
            <w:r w:rsidRPr="00213B4B">
              <w:rPr>
                <w:sz w:val="22"/>
                <w:lang w:val="en-US"/>
              </w:rPr>
              <w:t>62</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25296" w:rsidRPr="00213B4B" w:rsidRDefault="00B25296" w:rsidP="00F73E2D">
            <w:pPr>
              <w:spacing w:before="20" w:after="60"/>
              <w:jc w:val="left"/>
              <w:rPr>
                <w:color w:val="000000"/>
                <w:sz w:val="22"/>
                <w:lang w:val="en-US"/>
              </w:rPr>
            </w:pPr>
            <w:r w:rsidRPr="00213B4B">
              <w:rPr>
                <w:color w:val="000000"/>
                <w:sz w:val="22"/>
                <w:lang w:val="en-US"/>
              </w:rPr>
              <w:t>0.25</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25296" w:rsidRPr="00213B4B" w:rsidRDefault="00B25296" w:rsidP="00F73E2D">
            <w:pPr>
              <w:spacing w:before="20" w:after="60"/>
              <w:jc w:val="left"/>
              <w:rPr>
                <w:color w:val="000000"/>
                <w:sz w:val="22"/>
                <w:lang w:val="en-US"/>
              </w:rPr>
            </w:pPr>
            <w:r w:rsidRPr="00213B4B">
              <w:rPr>
                <w:color w:val="000000"/>
                <w:sz w:val="22"/>
                <w:lang w:val="en-US"/>
              </w:rPr>
              <w:t>0.5</w:t>
            </w:r>
          </w:p>
        </w:tc>
      </w:tr>
      <w:tr w:rsidR="00B25296" w:rsidRPr="00213B4B" w:rsidTr="00EB387C">
        <w:trPr>
          <w:trHeight w:val="732"/>
        </w:trPr>
        <w:tc>
          <w:tcPr>
            <w:tcW w:w="3134" w:type="dxa"/>
            <w:tcBorders>
              <w:top w:val="nil"/>
              <w:left w:val="single" w:sz="4" w:space="0" w:color="000000"/>
              <w:bottom w:val="single" w:sz="4" w:space="0" w:color="000000"/>
              <w:right w:val="single" w:sz="4" w:space="0" w:color="auto"/>
            </w:tcBorders>
            <w:shd w:val="clear" w:color="auto" w:fill="auto"/>
            <w:hideMark/>
          </w:tcPr>
          <w:p w:rsidR="00B25296" w:rsidRPr="00F04482" w:rsidRDefault="00B25296" w:rsidP="00734504">
            <w:pPr>
              <w:spacing w:before="20" w:after="60"/>
              <w:ind w:left="333"/>
              <w:jc w:val="left"/>
              <w:rPr>
                <w:color w:val="000000"/>
                <w:sz w:val="22"/>
                <w:lang w:val="fr-FR"/>
              </w:rPr>
            </w:pPr>
            <w:r w:rsidRPr="00F04482">
              <w:rPr>
                <w:sz w:val="22"/>
                <w:lang w:val="fr-FR"/>
              </w:rPr>
              <w:t>CAZ-susceptible</w:t>
            </w:r>
            <w:r w:rsidRPr="00F04482">
              <w:rPr>
                <w:sz w:val="22"/>
                <w:lang w:val="fr-FR"/>
              </w:rPr>
              <w:br/>
              <w:t xml:space="preserve">(MIC </w:t>
            </w:r>
            <w:r w:rsidR="00734504">
              <w:rPr>
                <w:sz w:val="22"/>
                <w:lang w:val="fr-FR"/>
              </w:rPr>
              <w:sym w:font="Symbol" w:char="F0A3"/>
            </w:r>
            <w:r w:rsidR="00734504">
              <w:rPr>
                <w:sz w:val="22"/>
                <w:lang w:val="fr-FR"/>
              </w:rPr>
              <w:t xml:space="preserve"> </w:t>
            </w:r>
            <w:r w:rsidRPr="00F04482">
              <w:rPr>
                <w:sz w:val="22"/>
                <w:lang w:val="fr-FR"/>
              </w:rPr>
              <w:t>4 mg/</w:t>
            </w:r>
            <w:proofErr w:type="spellStart"/>
            <w:r w:rsidRPr="00F04482">
              <w:rPr>
                <w:sz w:val="22"/>
                <w:lang w:val="fr-FR"/>
              </w:rPr>
              <w:t>mL</w:t>
            </w:r>
            <w:proofErr w:type="spellEnd"/>
            <w:r w:rsidRPr="00F04482">
              <w:rPr>
                <w:sz w:val="22"/>
                <w:lang w:val="fr-FR"/>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25296" w:rsidRPr="00213B4B" w:rsidRDefault="00B25296" w:rsidP="00F73E2D">
            <w:pPr>
              <w:spacing w:before="20" w:after="60"/>
              <w:jc w:val="left"/>
              <w:rPr>
                <w:sz w:val="22"/>
                <w:lang w:val="en-US"/>
              </w:rPr>
            </w:pPr>
            <w:r w:rsidRPr="00213B4B">
              <w:rPr>
                <w:sz w:val="22"/>
                <w:lang w:val="en-US"/>
              </w:rPr>
              <w:t>37</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25296" w:rsidRPr="00213B4B" w:rsidRDefault="00B25296" w:rsidP="00F73E2D">
            <w:pPr>
              <w:spacing w:before="20" w:after="60"/>
              <w:jc w:val="left"/>
              <w:rPr>
                <w:color w:val="000000"/>
                <w:sz w:val="22"/>
                <w:lang w:val="en-US"/>
              </w:rPr>
            </w:pPr>
            <w:r w:rsidRPr="00213B4B">
              <w:rPr>
                <w:color w:val="000000"/>
                <w:sz w:val="22"/>
                <w:lang w:val="en-US"/>
              </w:rPr>
              <w:t>0.12</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25296" w:rsidRPr="00213B4B" w:rsidRDefault="00B25296" w:rsidP="00F73E2D">
            <w:pPr>
              <w:spacing w:before="20" w:after="60"/>
              <w:jc w:val="left"/>
              <w:rPr>
                <w:color w:val="000000"/>
                <w:sz w:val="22"/>
                <w:lang w:val="en-US"/>
              </w:rPr>
            </w:pPr>
            <w:r w:rsidRPr="00213B4B">
              <w:rPr>
                <w:color w:val="000000"/>
                <w:sz w:val="22"/>
                <w:lang w:val="en-US"/>
              </w:rPr>
              <w:t>0.25</w:t>
            </w:r>
          </w:p>
        </w:tc>
      </w:tr>
      <w:tr w:rsidR="00B25296" w:rsidRPr="00213B4B" w:rsidTr="00EB387C">
        <w:trPr>
          <w:trHeight w:val="667"/>
        </w:trPr>
        <w:tc>
          <w:tcPr>
            <w:tcW w:w="3134" w:type="dxa"/>
            <w:tcBorders>
              <w:top w:val="nil"/>
              <w:left w:val="single" w:sz="4" w:space="0" w:color="000000"/>
              <w:bottom w:val="single" w:sz="4" w:space="0" w:color="000000"/>
              <w:right w:val="single" w:sz="4" w:space="0" w:color="000000"/>
            </w:tcBorders>
            <w:shd w:val="clear" w:color="auto" w:fill="auto"/>
            <w:hideMark/>
          </w:tcPr>
          <w:p w:rsidR="00B25296" w:rsidRPr="00E532B7" w:rsidRDefault="00B25296" w:rsidP="003F185E">
            <w:pPr>
              <w:spacing w:before="20" w:after="60"/>
              <w:ind w:left="333"/>
              <w:jc w:val="left"/>
              <w:rPr>
                <w:color w:val="000000"/>
                <w:sz w:val="22"/>
                <w:lang w:val="fr-FR"/>
              </w:rPr>
            </w:pPr>
            <w:r w:rsidRPr="00E532B7">
              <w:rPr>
                <w:sz w:val="22"/>
                <w:lang w:val="fr-FR"/>
              </w:rPr>
              <w:t xml:space="preserve">CAZ non-susceptible (MIC </w:t>
            </w:r>
            <w:r w:rsidR="003F185E">
              <w:rPr>
                <w:sz w:val="22"/>
                <w:lang w:val="fr-FR"/>
              </w:rPr>
              <w:sym w:font="Symbol" w:char="F0B3"/>
            </w:r>
            <w:r w:rsidRPr="00E532B7">
              <w:rPr>
                <w:sz w:val="22"/>
                <w:lang w:val="fr-FR"/>
              </w:rPr>
              <w:t xml:space="preserve"> 8 mg/</w:t>
            </w:r>
            <w:proofErr w:type="spellStart"/>
            <w:r w:rsidRPr="00E532B7">
              <w:rPr>
                <w:sz w:val="22"/>
                <w:lang w:val="fr-FR"/>
              </w:rPr>
              <w:t>mL</w:t>
            </w:r>
            <w:proofErr w:type="spellEnd"/>
            <w:r w:rsidRPr="00E532B7">
              <w:rPr>
                <w:sz w:val="22"/>
                <w:lang w:val="fr-FR"/>
              </w:rPr>
              <w:t>)</w:t>
            </w:r>
          </w:p>
        </w:tc>
        <w:tc>
          <w:tcPr>
            <w:tcW w:w="1701" w:type="dxa"/>
            <w:tcBorders>
              <w:top w:val="single" w:sz="4" w:space="0" w:color="auto"/>
              <w:left w:val="nil"/>
              <w:bottom w:val="single" w:sz="4" w:space="0" w:color="auto"/>
              <w:right w:val="single" w:sz="4" w:space="0" w:color="000000"/>
            </w:tcBorders>
            <w:shd w:val="clear" w:color="auto" w:fill="auto"/>
          </w:tcPr>
          <w:p w:rsidR="00B25296" w:rsidRPr="00213B4B" w:rsidRDefault="00B25296" w:rsidP="00F73E2D">
            <w:pPr>
              <w:spacing w:before="20" w:after="60"/>
              <w:jc w:val="left"/>
              <w:rPr>
                <w:sz w:val="22"/>
                <w:lang w:val="en-US"/>
              </w:rPr>
            </w:pPr>
            <w:r w:rsidRPr="00213B4B">
              <w:rPr>
                <w:sz w:val="22"/>
                <w:lang w:val="en-US"/>
              </w:rPr>
              <w:t>25</w:t>
            </w:r>
          </w:p>
        </w:tc>
        <w:tc>
          <w:tcPr>
            <w:tcW w:w="1701" w:type="dxa"/>
            <w:tcBorders>
              <w:top w:val="single" w:sz="4" w:space="0" w:color="auto"/>
              <w:left w:val="nil"/>
              <w:bottom w:val="single" w:sz="4" w:space="0" w:color="auto"/>
              <w:right w:val="single" w:sz="4" w:space="0" w:color="000000"/>
            </w:tcBorders>
            <w:shd w:val="clear" w:color="auto" w:fill="auto"/>
          </w:tcPr>
          <w:p w:rsidR="00B25296" w:rsidRPr="00213B4B" w:rsidRDefault="00B25296" w:rsidP="00F73E2D">
            <w:pPr>
              <w:spacing w:before="20" w:after="60"/>
              <w:jc w:val="left"/>
              <w:rPr>
                <w:color w:val="000000"/>
                <w:sz w:val="22"/>
                <w:lang w:val="en-US"/>
              </w:rPr>
            </w:pPr>
            <w:r w:rsidRPr="00213B4B">
              <w:rPr>
                <w:color w:val="000000"/>
                <w:sz w:val="22"/>
                <w:lang w:val="en-US"/>
              </w:rPr>
              <w:t>0.5</w:t>
            </w:r>
          </w:p>
        </w:tc>
        <w:tc>
          <w:tcPr>
            <w:tcW w:w="1701" w:type="dxa"/>
            <w:tcBorders>
              <w:top w:val="single" w:sz="4" w:space="0" w:color="auto"/>
              <w:left w:val="nil"/>
              <w:bottom w:val="single" w:sz="4" w:space="0" w:color="auto"/>
              <w:right w:val="single" w:sz="4" w:space="0" w:color="000000"/>
            </w:tcBorders>
            <w:shd w:val="clear" w:color="auto" w:fill="auto"/>
          </w:tcPr>
          <w:p w:rsidR="00B25296" w:rsidRPr="00213B4B" w:rsidRDefault="00B25296" w:rsidP="00F73E2D">
            <w:pPr>
              <w:spacing w:before="20" w:after="60"/>
              <w:jc w:val="left"/>
              <w:rPr>
                <w:color w:val="000000"/>
                <w:sz w:val="22"/>
                <w:lang w:val="en-US"/>
              </w:rPr>
            </w:pPr>
            <w:r w:rsidRPr="00213B4B">
              <w:rPr>
                <w:color w:val="000000"/>
                <w:sz w:val="22"/>
                <w:lang w:val="en-US"/>
              </w:rPr>
              <w:t>1</w:t>
            </w:r>
          </w:p>
        </w:tc>
      </w:tr>
      <w:tr w:rsidR="00B25296" w:rsidRPr="00EB0C9A" w:rsidTr="00EB387C">
        <w:trPr>
          <w:trHeight w:val="351"/>
        </w:trPr>
        <w:tc>
          <w:tcPr>
            <w:tcW w:w="3134" w:type="dxa"/>
            <w:tcBorders>
              <w:top w:val="single" w:sz="4" w:space="0" w:color="000000"/>
              <w:left w:val="single" w:sz="4" w:space="0" w:color="000000"/>
              <w:bottom w:val="single" w:sz="4" w:space="0" w:color="000000"/>
              <w:right w:val="single" w:sz="4" w:space="0" w:color="auto"/>
            </w:tcBorders>
            <w:shd w:val="clear" w:color="auto" w:fill="auto"/>
            <w:hideMark/>
          </w:tcPr>
          <w:p w:rsidR="00B25296" w:rsidRPr="009777CD" w:rsidRDefault="00B25296" w:rsidP="00F73E2D">
            <w:pPr>
              <w:spacing w:before="20" w:after="60"/>
              <w:jc w:val="left"/>
              <w:rPr>
                <w:b/>
                <w:i/>
                <w:iCs/>
                <w:sz w:val="22"/>
                <w:lang w:val="en-US"/>
              </w:rPr>
            </w:pPr>
            <w:r w:rsidRPr="009777CD">
              <w:rPr>
                <w:b/>
                <w:i/>
                <w:iCs/>
                <w:sz w:val="22"/>
                <w:lang w:val="en-US"/>
              </w:rPr>
              <w:t xml:space="preserve">E. </w:t>
            </w:r>
            <w:proofErr w:type="spellStart"/>
            <w:r w:rsidRPr="009777CD">
              <w:rPr>
                <w:b/>
                <w:i/>
                <w:iCs/>
                <w:sz w:val="22"/>
                <w:lang w:val="en-US"/>
              </w:rPr>
              <w:t>aerogenes</w:t>
            </w:r>
            <w:proofErr w:type="spellEnd"/>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25296" w:rsidRPr="00EB0C9A" w:rsidRDefault="00B25296" w:rsidP="00F73E2D">
            <w:pPr>
              <w:spacing w:before="20" w:after="60"/>
              <w:jc w:val="left"/>
              <w:rPr>
                <w:color w:val="000000"/>
                <w:sz w:val="22"/>
                <w:lang w:val="en-US"/>
              </w:rPr>
            </w:pPr>
            <w:r w:rsidRPr="00EB0C9A">
              <w:rPr>
                <w:color w:val="000000"/>
                <w:sz w:val="22"/>
                <w:lang w:val="en-US"/>
              </w:rPr>
              <w:t>22</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25296" w:rsidRPr="00EB0C9A" w:rsidRDefault="00B25296" w:rsidP="00F73E2D">
            <w:pPr>
              <w:spacing w:before="20" w:after="60"/>
              <w:jc w:val="left"/>
              <w:rPr>
                <w:color w:val="000000"/>
                <w:sz w:val="22"/>
                <w:lang w:val="en-US"/>
              </w:rPr>
            </w:pPr>
            <w:r w:rsidRPr="00EB0C9A">
              <w:rPr>
                <w:color w:val="000000"/>
                <w:sz w:val="22"/>
                <w:lang w:val="en-US"/>
              </w:rPr>
              <w:t>0.25</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25296" w:rsidRPr="00EB0C9A" w:rsidRDefault="00B25296" w:rsidP="00F73E2D">
            <w:pPr>
              <w:spacing w:before="20" w:after="60"/>
              <w:jc w:val="left"/>
              <w:rPr>
                <w:color w:val="000000"/>
                <w:sz w:val="22"/>
                <w:lang w:val="en-US"/>
              </w:rPr>
            </w:pPr>
            <w:r w:rsidRPr="00EB0C9A">
              <w:rPr>
                <w:color w:val="000000"/>
                <w:sz w:val="22"/>
                <w:lang w:val="en-US"/>
              </w:rPr>
              <w:t>0.5</w:t>
            </w:r>
          </w:p>
        </w:tc>
      </w:tr>
      <w:tr w:rsidR="00B25296" w:rsidRPr="00EB0C9A" w:rsidTr="00EB387C">
        <w:trPr>
          <w:trHeight w:val="616"/>
        </w:trPr>
        <w:tc>
          <w:tcPr>
            <w:tcW w:w="3134" w:type="dxa"/>
            <w:tcBorders>
              <w:top w:val="nil"/>
              <w:left w:val="single" w:sz="4" w:space="0" w:color="000000"/>
              <w:bottom w:val="single" w:sz="4" w:space="0" w:color="000000"/>
              <w:right w:val="single" w:sz="4" w:space="0" w:color="auto"/>
            </w:tcBorders>
            <w:shd w:val="clear" w:color="auto" w:fill="auto"/>
            <w:hideMark/>
          </w:tcPr>
          <w:p w:rsidR="00B25296" w:rsidRPr="0008227F" w:rsidRDefault="00B25296" w:rsidP="003F185E">
            <w:pPr>
              <w:spacing w:before="20" w:after="60"/>
              <w:ind w:left="333"/>
              <w:jc w:val="left"/>
              <w:rPr>
                <w:color w:val="000000"/>
                <w:sz w:val="22"/>
                <w:lang w:val="fr-FR"/>
              </w:rPr>
            </w:pPr>
            <w:r w:rsidRPr="0008227F">
              <w:rPr>
                <w:sz w:val="22"/>
                <w:lang w:val="fr-FR"/>
              </w:rPr>
              <w:t>CAZ-susceptible</w:t>
            </w:r>
            <w:r w:rsidRPr="0008227F">
              <w:rPr>
                <w:sz w:val="22"/>
                <w:lang w:val="fr-FR"/>
              </w:rPr>
              <w:br/>
              <w:t xml:space="preserve">(MIC </w:t>
            </w:r>
            <w:r w:rsidR="003F185E">
              <w:rPr>
                <w:sz w:val="22"/>
                <w:lang w:val="fr-FR"/>
              </w:rPr>
              <w:sym w:font="Symbol" w:char="F0A3"/>
            </w:r>
            <w:r w:rsidR="00A710B1">
              <w:rPr>
                <w:sz w:val="22"/>
                <w:lang w:val="fr-FR"/>
              </w:rPr>
              <w:t xml:space="preserve"> </w:t>
            </w:r>
            <w:r w:rsidRPr="0008227F">
              <w:rPr>
                <w:sz w:val="22"/>
                <w:lang w:val="fr-FR"/>
              </w:rPr>
              <w:t>4 mg/</w:t>
            </w:r>
            <w:proofErr w:type="spellStart"/>
            <w:r w:rsidRPr="0008227F">
              <w:rPr>
                <w:sz w:val="22"/>
                <w:lang w:val="fr-FR"/>
              </w:rPr>
              <w:t>mL</w:t>
            </w:r>
            <w:proofErr w:type="spellEnd"/>
            <w:r w:rsidRPr="0008227F">
              <w:rPr>
                <w:sz w:val="22"/>
                <w:lang w:val="fr-FR"/>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25296" w:rsidRPr="00EB0C9A" w:rsidRDefault="00B25296" w:rsidP="00F73E2D">
            <w:pPr>
              <w:spacing w:before="20" w:after="60"/>
              <w:jc w:val="left"/>
              <w:rPr>
                <w:color w:val="000000"/>
                <w:sz w:val="22"/>
                <w:lang w:val="en-US"/>
              </w:rPr>
            </w:pPr>
            <w:r w:rsidRPr="00EB0C9A">
              <w:rPr>
                <w:color w:val="000000"/>
                <w:sz w:val="22"/>
                <w:lang w:val="en-US"/>
              </w:rPr>
              <w:t>11</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25296" w:rsidRPr="00EB0C9A" w:rsidRDefault="00B25296" w:rsidP="00F73E2D">
            <w:pPr>
              <w:spacing w:before="20" w:after="60"/>
              <w:jc w:val="left"/>
              <w:rPr>
                <w:color w:val="000000"/>
                <w:sz w:val="22"/>
                <w:lang w:val="en-US"/>
              </w:rPr>
            </w:pPr>
            <w:r w:rsidRPr="00EB0C9A">
              <w:rPr>
                <w:color w:val="000000"/>
                <w:sz w:val="22"/>
                <w:lang w:val="en-US"/>
              </w:rPr>
              <w:t>0.12</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25296" w:rsidRPr="00EB0C9A" w:rsidRDefault="00B25296" w:rsidP="00F73E2D">
            <w:pPr>
              <w:spacing w:before="20" w:after="60"/>
              <w:jc w:val="left"/>
              <w:rPr>
                <w:color w:val="000000"/>
                <w:sz w:val="22"/>
                <w:lang w:val="en-US"/>
              </w:rPr>
            </w:pPr>
            <w:r w:rsidRPr="00EB0C9A">
              <w:rPr>
                <w:color w:val="000000"/>
                <w:sz w:val="22"/>
                <w:lang w:val="en-US"/>
              </w:rPr>
              <w:t>0.25</w:t>
            </w:r>
          </w:p>
        </w:tc>
      </w:tr>
      <w:tr w:rsidR="00B25296" w:rsidRPr="00EB0C9A" w:rsidTr="00EB387C">
        <w:trPr>
          <w:trHeight w:val="584"/>
        </w:trPr>
        <w:tc>
          <w:tcPr>
            <w:tcW w:w="3134" w:type="dxa"/>
            <w:tcBorders>
              <w:top w:val="single" w:sz="4" w:space="0" w:color="000000"/>
              <w:left w:val="single" w:sz="4" w:space="0" w:color="000000"/>
              <w:bottom w:val="single" w:sz="4" w:space="0" w:color="auto"/>
              <w:right w:val="single" w:sz="4" w:space="0" w:color="000000"/>
            </w:tcBorders>
            <w:shd w:val="clear" w:color="auto" w:fill="auto"/>
            <w:hideMark/>
          </w:tcPr>
          <w:p w:rsidR="00B25296" w:rsidRPr="0008227F" w:rsidRDefault="00B25296" w:rsidP="003F185E">
            <w:pPr>
              <w:spacing w:before="20" w:after="60"/>
              <w:ind w:left="333"/>
              <w:jc w:val="left"/>
              <w:rPr>
                <w:color w:val="000000"/>
                <w:sz w:val="22"/>
                <w:lang w:val="fr-FR"/>
              </w:rPr>
            </w:pPr>
            <w:r w:rsidRPr="0008227F">
              <w:rPr>
                <w:sz w:val="22"/>
                <w:lang w:val="fr-FR"/>
              </w:rPr>
              <w:t>CAZ non-susceptible</w:t>
            </w:r>
            <w:r w:rsidRPr="0008227F">
              <w:rPr>
                <w:sz w:val="22"/>
                <w:lang w:val="fr-FR"/>
              </w:rPr>
              <w:br/>
              <w:t xml:space="preserve">(MIC </w:t>
            </w:r>
            <w:r w:rsidR="003F185E">
              <w:rPr>
                <w:sz w:val="22"/>
                <w:lang w:val="fr-FR"/>
              </w:rPr>
              <w:sym w:font="Symbol" w:char="F0B3"/>
            </w:r>
            <w:r w:rsidRPr="0008227F">
              <w:rPr>
                <w:sz w:val="22"/>
                <w:lang w:val="fr-FR"/>
              </w:rPr>
              <w:t xml:space="preserve"> 8 mg/</w:t>
            </w:r>
            <w:proofErr w:type="spellStart"/>
            <w:r w:rsidRPr="0008227F">
              <w:rPr>
                <w:sz w:val="22"/>
                <w:lang w:val="fr-FR"/>
              </w:rPr>
              <w:t>mL</w:t>
            </w:r>
            <w:proofErr w:type="spellEnd"/>
            <w:r w:rsidRPr="0008227F">
              <w:rPr>
                <w:sz w:val="22"/>
                <w:lang w:val="fr-FR"/>
              </w:rPr>
              <w:t>)</w:t>
            </w:r>
          </w:p>
        </w:tc>
        <w:tc>
          <w:tcPr>
            <w:tcW w:w="1701" w:type="dxa"/>
            <w:tcBorders>
              <w:top w:val="single" w:sz="4" w:space="0" w:color="auto"/>
              <w:left w:val="nil"/>
              <w:bottom w:val="single" w:sz="4" w:space="0" w:color="auto"/>
              <w:right w:val="single" w:sz="4" w:space="0" w:color="000000"/>
            </w:tcBorders>
            <w:shd w:val="clear" w:color="auto" w:fill="auto"/>
          </w:tcPr>
          <w:p w:rsidR="00B25296" w:rsidRPr="00EB0C9A" w:rsidRDefault="00B25296" w:rsidP="00F73E2D">
            <w:pPr>
              <w:spacing w:before="20" w:after="60"/>
              <w:jc w:val="left"/>
              <w:rPr>
                <w:color w:val="000000"/>
                <w:sz w:val="22"/>
                <w:lang w:val="en-US"/>
              </w:rPr>
            </w:pPr>
            <w:r w:rsidRPr="00EB0C9A">
              <w:rPr>
                <w:color w:val="000000"/>
                <w:sz w:val="22"/>
                <w:lang w:val="en-US"/>
              </w:rPr>
              <w:t>11</w:t>
            </w:r>
          </w:p>
        </w:tc>
        <w:tc>
          <w:tcPr>
            <w:tcW w:w="1701" w:type="dxa"/>
            <w:tcBorders>
              <w:top w:val="single" w:sz="4" w:space="0" w:color="auto"/>
              <w:left w:val="nil"/>
              <w:bottom w:val="single" w:sz="4" w:space="0" w:color="auto"/>
              <w:right w:val="single" w:sz="4" w:space="0" w:color="000000"/>
            </w:tcBorders>
            <w:shd w:val="clear" w:color="auto" w:fill="auto"/>
          </w:tcPr>
          <w:p w:rsidR="00B25296" w:rsidRPr="00EB0C9A" w:rsidRDefault="00B25296" w:rsidP="00F73E2D">
            <w:pPr>
              <w:spacing w:before="20" w:after="60"/>
              <w:jc w:val="left"/>
              <w:rPr>
                <w:color w:val="000000"/>
                <w:sz w:val="22"/>
                <w:lang w:val="en-US"/>
              </w:rPr>
            </w:pPr>
            <w:r w:rsidRPr="00EB0C9A">
              <w:rPr>
                <w:color w:val="000000"/>
                <w:sz w:val="22"/>
                <w:lang w:val="en-US"/>
              </w:rPr>
              <w:t>0.25</w:t>
            </w:r>
          </w:p>
        </w:tc>
        <w:tc>
          <w:tcPr>
            <w:tcW w:w="1701" w:type="dxa"/>
            <w:tcBorders>
              <w:top w:val="single" w:sz="4" w:space="0" w:color="auto"/>
              <w:left w:val="nil"/>
              <w:bottom w:val="single" w:sz="4" w:space="0" w:color="auto"/>
              <w:right w:val="single" w:sz="4" w:space="0" w:color="000000"/>
            </w:tcBorders>
            <w:shd w:val="clear" w:color="auto" w:fill="auto"/>
          </w:tcPr>
          <w:p w:rsidR="00B25296" w:rsidRPr="00EB0C9A" w:rsidRDefault="00B25296" w:rsidP="00F73E2D">
            <w:pPr>
              <w:spacing w:before="20" w:after="60"/>
              <w:jc w:val="left"/>
              <w:rPr>
                <w:color w:val="000000"/>
                <w:sz w:val="22"/>
                <w:lang w:val="en-US"/>
              </w:rPr>
            </w:pPr>
            <w:r w:rsidRPr="00EB0C9A">
              <w:rPr>
                <w:color w:val="000000"/>
                <w:sz w:val="22"/>
                <w:lang w:val="en-US"/>
              </w:rPr>
              <w:t>0.5</w:t>
            </w:r>
          </w:p>
        </w:tc>
      </w:tr>
      <w:tr w:rsidR="00B25296" w:rsidRPr="00EB0C9A" w:rsidTr="00EB387C">
        <w:trPr>
          <w:trHeight w:val="383"/>
        </w:trPr>
        <w:tc>
          <w:tcPr>
            <w:tcW w:w="3134" w:type="dxa"/>
            <w:tcBorders>
              <w:top w:val="single" w:sz="4" w:space="0" w:color="auto"/>
              <w:left w:val="single" w:sz="4" w:space="0" w:color="000000"/>
              <w:bottom w:val="single" w:sz="4" w:space="0" w:color="000000"/>
              <w:right w:val="single" w:sz="4" w:space="0" w:color="auto"/>
            </w:tcBorders>
            <w:shd w:val="clear" w:color="auto" w:fill="auto"/>
            <w:hideMark/>
          </w:tcPr>
          <w:p w:rsidR="00B25296" w:rsidRPr="009777CD" w:rsidRDefault="00B25296" w:rsidP="00F73E2D">
            <w:pPr>
              <w:spacing w:before="20" w:after="60"/>
              <w:jc w:val="left"/>
              <w:rPr>
                <w:b/>
                <w:i/>
                <w:iCs/>
                <w:sz w:val="22"/>
                <w:lang w:val="en-US"/>
              </w:rPr>
            </w:pPr>
            <w:r w:rsidRPr="009777CD">
              <w:rPr>
                <w:b/>
                <w:i/>
                <w:iCs/>
                <w:sz w:val="22"/>
                <w:lang w:val="en-US"/>
              </w:rPr>
              <w:t>E. cloacae</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25296" w:rsidRPr="00EB0C9A" w:rsidRDefault="00B25296" w:rsidP="00F73E2D">
            <w:pPr>
              <w:spacing w:before="20" w:after="60"/>
              <w:jc w:val="left"/>
              <w:rPr>
                <w:color w:val="000000"/>
                <w:sz w:val="22"/>
                <w:lang w:val="en-US"/>
              </w:rPr>
            </w:pPr>
            <w:r w:rsidRPr="00EB0C9A">
              <w:rPr>
                <w:color w:val="000000"/>
                <w:sz w:val="22"/>
                <w:lang w:val="en-US"/>
              </w:rPr>
              <w:t>34</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25296" w:rsidRPr="00EB0C9A" w:rsidRDefault="00B25296" w:rsidP="00F73E2D">
            <w:pPr>
              <w:spacing w:before="20" w:after="60"/>
              <w:jc w:val="left"/>
              <w:rPr>
                <w:color w:val="000000"/>
                <w:sz w:val="22"/>
                <w:lang w:val="en-US"/>
              </w:rPr>
            </w:pPr>
            <w:r w:rsidRPr="00EB0C9A">
              <w:rPr>
                <w:color w:val="000000"/>
                <w:sz w:val="22"/>
                <w:lang w:val="en-US"/>
              </w:rPr>
              <w:t>0.25</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25296" w:rsidRPr="00EB0C9A" w:rsidRDefault="00B25296" w:rsidP="00F73E2D">
            <w:pPr>
              <w:spacing w:before="20" w:after="60"/>
              <w:jc w:val="left"/>
              <w:rPr>
                <w:color w:val="000000"/>
                <w:sz w:val="22"/>
                <w:lang w:val="en-US"/>
              </w:rPr>
            </w:pPr>
            <w:r w:rsidRPr="00EB0C9A">
              <w:rPr>
                <w:color w:val="000000"/>
                <w:sz w:val="22"/>
                <w:lang w:val="en-US"/>
              </w:rPr>
              <w:t>0.5</w:t>
            </w:r>
          </w:p>
        </w:tc>
      </w:tr>
      <w:tr w:rsidR="00B25296" w:rsidRPr="00EB0C9A" w:rsidTr="00EB387C">
        <w:trPr>
          <w:trHeight w:val="586"/>
        </w:trPr>
        <w:tc>
          <w:tcPr>
            <w:tcW w:w="3134" w:type="dxa"/>
            <w:tcBorders>
              <w:top w:val="nil"/>
              <w:left w:val="single" w:sz="4" w:space="0" w:color="000000"/>
              <w:bottom w:val="single" w:sz="4" w:space="0" w:color="000000"/>
              <w:right w:val="single" w:sz="4" w:space="0" w:color="auto"/>
            </w:tcBorders>
            <w:shd w:val="clear" w:color="auto" w:fill="auto"/>
            <w:hideMark/>
          </w:tcPr>
          <w:p w:rsidR="00B25296" w:rsidRPr="0008227F" w:rsidRDefault="00B25296" w:rsidP="003F185E">
            <w:pPr>
              <w:spacing w:before="20" w:after="60"/>
              <w:ind w:left="333"/>
              <w:jc w:val="left"/>
              <w:rPr>
                <w:color w:val="000000"/>
                <w:sz w:val="22"/>
                <w:lang w:val="fr-FR"/>
              </w:rPr>
            </w:pPr>
            <w:r w:rsidRPr="0008227F">
              <w:rPr>
                <w:sz w:val="22"/>
                <w:lang w:val="fr-FR"/>
              </w:rPr>
              <w:t>CAZ-susceptible</w:t>
            </w:r>
            <w:r w:rsidRPr="0008227F">
              <w:rPr>
                <w:sz w:val="22"/>
                <w:lang w:val="fr-FR"/>
              </w:rPr>
              <w:br/>
              <w:t xml:space="preserve">(MIC </w:t>
            </w:r>
            <w:r w:rsidR="003F185E">
              <w:rPr>
                <w:sz w:val="22"/>
                <w:lang w:val="fr-FR"/>
              </w:rPr>
              <w:sym w:font="Symbol" w:char="F0A3"/>
            </w:r>
            <w:r w:rsidRPr="0008227F">
              <w:rPr>
                <w:sz w:val="22"/>
                <w:lang w:val="fr-FR"/>
              </w:rPr>
              <w:t xml:space="preserve"> 4 mg/</w:t>
            </w:r>
            <w:proofErr w:type="spellStart"/>
            <w:r w:rsidRPr="0008227F">
              <w:rPr>
                <w:sz w:val="22"/>
                <w:lang w:val="fr-FR"/>
              </w:rPr>
              <w:t>mL</w:t>
            </w:r>
            <w:proofErr w:type="spellEnd"/>
            <w:r w:rsidRPr="0008227F">
              <w:rPr>
                <w:sz w:val="22"/>
                <w:lang w:val="fr-FR"/>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25296" w:rsidRPr="00EB0C9A" w:rsidRDefault="00B25296" w:rsidP="00F73E2D">
            <w:pPr>
              <w:spacing w:before="20" w:after="60"/>
              <w:jc w:val="left"/>
              <w:rPr>
                <w:color w:val="000000"/>
                <w:sz w:val="22"/>
                <w:lang w:val="en-US"/>
              </w:rPr>
            </w:pPr>
            <w:r w:rsidRPr="00EB0C9A">
              <w:rPr>
                <w:color w:val="000000"/>
                <w:sz w:val="22"/>
                <w:lang w:val="en-US"/>
              </w:rPr>
              <w:t>21</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25296" w:rsidRPr="00EB0C9A" w:rsidRDefault="00B25296" w:rsidP="00F73E2D">
            <w:pPr>
              <w:spacing w:before="20" w:after="60"/>
              <w:jc w:val="left"/>
              <w:rPr>
                <w:color w:val="000000"/>
                <w:sz w:val="22"/>
                <w:lang w:val="en-US"/>
              </w:rPr>
            </w:pPr>
            <w:r w:rsidRPr="00EB0C9A">
              <w:rPr>
                <w:color w:val="000000"/>
                <w:sz w:val="22"/>
                <w:lang w:val="en-US"/>
              </w:rPr>
              <w:t>0.25</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25296" w:rsidRPr="00EB0C9A" w:rsidRDefault="00B25296" w:rsidP="00F73E2D">
            <w:pPr>
              <w:spacing w:before="20" w:after="60"/>
              <w:jc w:val="left"/>
              <w:rPr>
                <w:color w:val="000000"/>
                <w:sz w:val="22"/>
                <w:lang w:val="en-US"/>
              </w:rPr>
            </w:pPr>
            <w:r w:rsidRPr="00EB0C9A">
              <w:rPr>
                <w:color w:val="000000"/>
                <w:sz w:val="22"/>
                <w:lang w:val="en-US"/>
              </w:rPr>
              <w:t>0.25</w:t>
            </w:r>
          </w:p>
        </w:tc>
      </w:tr>
      <w:tr w:rsidR="00B25296" w:rsidRPr="00EB0C9A" w:rsidTr="00EB387C">
        <w:trPr>
          <w:trHeight w:val="555"/>
        </w:trPr>
        <w:tc>
          <w:tcPr>
            <w:tcW w:w="3134" w:type="dxa"/>
            <w:tcBorders>
              <w:top w:val="nil"/>
              <w:left w:val="single" w:sz="4" w:space="0" w:color="000000"/>
              <w:bottom w:val="single" w:sz="4" w:space="0" w:color="000000"/>
              <w:right w:val="single" w:sz="4" w:space="0" w:color="auto"/>
            </w:tcBorders>
            <w:shd w:val="clear" w:color="auto" w:fill="auto"/>
            <w:hideMark/>
          </w:tcPr>
          <w:p w:rsidR="00B25296" w:rsidRPr="0008227F" w:rsidRDefault="00B25296" w:rsidP="003F185E">
            <w:pPr>
              <w:spacing w:before="20" w:after="60"/>
              <w:ind w:left="333"/>
              <w:jc w:val="left"/>
              <w:rPr>
                <w:color w:val="000000"/>
                <w:sz w:val="22"/>
                <w:lang w:val="fr-FR"/>
              </w:rPr>
            </w:pPr>
            <w:r w:rsidRPr="0008227F">
              <w:rPr>
                <w:sz w:val="22"/>
                <w:lang w:val="fr-FR"/>
              </w:rPr>
              <w:t>CAZ-non-susceptible</w:t>
            </w:r>
            <w:r w:rsidRPr="0008227F">
              <w:rPr>
                <w:sz w:val="22"/>
                <w:lang w:val="fr-FR"/>
              </w:rPr>
              <w:br/>
              <w:t xml:space="preserve">(MIC </w:t>
            </w:r>
            <w:r w:rsidR="003F185E">
              <w:rPr>
                <w:sz w:val="22"/>
                <w:lang w:val="fr-FR"/>
              </w:rPr>
              <w:sym w:font="Symbol" w:char="F0B3"/>
            </w:r>
            <w:r w:rsidRPr="0008227F">
              <w:rPr>
                <w:sz w:val="22"/>
                <w:lang w:val="fr-FR"/>
              </w:rPr>
              <w:t xml:space="preserve"> 8 mg/</w:t>
            </w:r>
            <w:proofErr w:type="spellStart"/>
            <w:r w:rsidRPr="0008227F">
              <w:rPr>
                <w:sz w:val="22"/>
                <w:lang w:val="fr-FR"/>
              </w:rPr>
              <w:t>mL</w:t>
            </w:r>
            <w:proofErr w:type="spellEnd"/>
            <w:r w:rsidRPr="0008227F">
              <w:rPr>
                <w:sz w:val="22"/>
                <w:lang w:val="fr-FR"/>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25296" w:rsidRPr="00EB0C9A" w:rsidRDefault="00B25296" w:rsidP="00F73E2D">
            <w:pPr>
              <w:spacing w:before="20" w:after="60"/>
              <w:jc w:val="left"/>
              <w:rPr>
                <w:color w:val="000000"/>
                <w:sz w:val="22"/>
                <w:lang w:val="en-US"/>
              </w:rPr>
            </w:pPr>
            <w:r w:rsidRPr="00EB0C9A">
              <w:rPr>
                <w:color w:val="000000"/>
                <w:sz w:val="22"/>
                <w:lang w:val="en-US"/>
              </w:rPr>
              <w:t>13</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25296" w:rsidRPr="00EB0C9A" w:rsidRDefault="00B25296" w:rsidP="00F73E2D">
            <w:pPr>
              <w:spacing w:before="20" w:after="60"/>
              <w:jc w:val="left"/>
              <w:rPr>
                <w:color w:val="000000"/>
                <w:sz w:val="22"/>
                <w:lang w:val="en-US"/>
              </w:rPr>
            </w:pPr>
            <w:r w:rsidRPr="00EB0C9A">
              <w:rPr>
                <w:color w:val="000000"/>
                <w:sz w:val="22"/>
                <w:lang w:val="en-US"/>
              </w:rPr>
              <w:t>0.5</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25296" w:rsidRPr="00EB0C9A" w:rsidRDefault="00B25296" w:rsidP="00F73E2D">
            <w:pPr>
              <w:spacing w:before="20" w:after="60"/>
              <w:jc w:val="left"/>
              <w:rPr>
                <w:sz w:val="22"/>
                <w:lang w:val="en-US"/>
              </w:rPr>
            </w:pPr>
            <w:r w:rsidRPr="00EB0C9A">
              <w:rPr>
                <w:color w:val="000000"/>
                <w:sz w:val="22"/>
                <w:lang w:val="en-US"/>
              </w:rPr>
              <w:t>1</w:t>
            </w:r>
          </w:p>
        </w:tc>
      </w:tr>
      <w:tr w:rsidR="00263446" w:rsidRPr="00EB0C9A" w:rsidTr="00EB387C">
        <w:trPr>
          <w:trHeight w:val="379"/>
        </w:trPr>
        <w:tc>
          <w:tcPr>
            <w:tcW w:w="3134" w:type="dxa"/>
            <w:tcBorders>
              <w:top w:val="nil"/>
              <w:left w:val="single" w:sz="4" w:space="0" w:color="000000"/>
              <w:bottom w:val="single" w:sz="4" w:space="0" w:color="000000"/>
              <w:right w:val="single" w:sz="4" w:space="0" w:color="auto"/>
            </w:tcBorders>
            <w:shd w:val="clear" w:color="auto" w:fill="auto"/>
          </w:tcPr>
          <w:p w:rsidR="00263446" w:rsidRPr="009777CD" w:rsidRDefault="00263446" w:rsidP="00F73E2D">
            <w:pPr>
              <w:spacing w:before="20" w:after="60"/>
              <w:jc w:val="left"/>
              <w:rPr>
                <w:b/>
                <w:i/>
                <w:iCs/>
                <w:sz w:val="22"/>
                <w:lang w:val="en-US"/>
              </w:rPr>
            </w:pPr>
            <w:r w:rsidRPr="009777CD">
              <w:rPr>
                <w:b/>
                <w:i/>
                <w:iCs/>
                <w:sz w:val="22"/>
                <w:lang w:val="en-US"/>
              </w:rPr>
              <w:t xml:space="preserve">S. </w:t>
            </w:r>
            <w:proofErr w:type="spellStart"/>
            <w:r w:rsidRPr="009777CD">
              <w:rPr>
                <w:b/>
                <w:i/>
                <w:iCs/>
                <w:sz w:val="22"/>
                <w:lang w:val="en-US"/>
              </w:rPr>
              <w:t>marcescens</w:t>
            </w:r>
            <w:proofErr w:type="spellEnd"/>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63446" w:rsidRPr="00EB0C9A" w:rsidRDefault="00263446" w:rsidP="00F73E2D">
            <w:pPr>
              <w:spacing w:before="20" w:after="60"/>
              <w:jc w:val="left"/>
              <w:rPr>
                <w:color w:val="000000"/>
                <w:sz w:val="22"/>
                <w:lang w:val="en-US"/>
              </w:rPr>
            </w:pPr>
            <w:r w:rsidRPr="00EB0C9A">
              <w:rPr>
                <w:color w:val="000000"/>
                <w:sz w:val="22"/>
                <w:lang w:val="en-US"/>
              </w:rPr>
              <w:t>7</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63446" w:rsidRPr="00EB0C9A" w:rsidRDefault="00263446" w:rsidP="00F73E2D">
            <w:pPr>
              <w:spacing w:before="20" w:after="60"/>
              <w:jc w:val="left"/>
              <w:rPr>
                <w:sz w:val="22"/>
                <w:lang w:val="en-US"/>
              </w:rPr>
            </w:pPr>
            <w:r w:rsidRPr="00EB0C9A">
              <w:rPr>
                <w:sz w:val="22"/>
                <w:lang w:val="en-US"/>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63446" w:rsidRPr="00EB0C9A" w:rsidRDefault="00263446" w:rsidP="00F73E2D">
            <w:pPr>
              <w:spacing w:before="20" w:after="60"/>
              <w:jc w:val="left"/>
              <w:rPr>
                <w:sz w:val="22"/>
                <w:lang w:val="en-US"/>
              </w:rPr>
            </w:pPr>
            <w:r w:rsidRPr="00EB0C9A">
              <w:rPr>
                <w:sz w:val="22"/>
                <w:lang w:val="en-US"/>
              </w:rPr>
              <w:t>--</w:t>
            </w:r>
          </w:p>
        </w:tc>
      </w:tr>
      <w:tr w:rsidR="00263446" w:rsidRPr="00EB0C9A" w:rsidTr="00EB387C">
        <w:trPr>
          <w:trHeight w:val="413"/>
        </w:trPr>
        <w:tc>
          <w:tcPr>
            <w:tcW w:w="3134" w:type="dxa"/>
            <w:tcBorders>
              <w:top w:val="nil"/>
              <w:left w:val="single" w:sz="4" w:space="0" w:color="000000"/>
              <w:bottom w:val="single" w:sz="4" w:space="0" w:color="000000"/>
              <w:right w:val="single" w:sz="4" w:space="0" w:color="auto"/>
            </w:tcBorders>
            <w:shd w:val="clear" w:color="auto" w:fill="auto"/>
            <w:hideMark/>
          </w:tcPr>
          <w:p w:rsidR="00263446" w:rsidRPr="009777CD" w:rsidRDefault="00263446" w:rsidP="00F73E2D">
            <w:pPr>
              <w:spacing w:before="20" w:after="60"/>
              <w:jc w:val="left"/>
              <w:rPr>
                <w:b/>
                <w:i/>
                <w:iCs/>
                <w:sz w:val="22"/>
                <w:lang w:val="en-US"/>
              </w:rPr>
            </w:pPr>
            <w:r w:rsidRPr="009777CD">
              <w:rPr>
                <w:b/>
                <w:i/>
                <w:iCs/>
                <w:sz w:val="22"/>
                <w:lang w:val="en-US"/>
              </w:rPr>
              <w:t>P. mirabilis</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63446" w:rsidRPr="00EB0C9A" w:rsidRDefault="00263446" w:rsidP="00F73E2D">
            <w:pPr>
              <w:spacing w:before="20" w:after="60"/>
              <w:jc w:val="left"/>
              <w:rPr>
                <w:color w:val="000000"/>
                <w:sz w:val="22"/>
                <w:lang w:val="en-US"/>
              </w:rPr>
            </w:pPr>
            <w:r w:rsidRPr="00EB0C9A">
              <w:rPr>
                <w:color w:val="000000"/>
                <w:sz w:val="22"/>
                <w:lang w:val="en-US"/>
              </w:rPr>
              <w:t>23</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63446" w:rsidRPr="00EB0C9A" w:rsidRDefault="00263446" w:rsidP="00F73E2D">
            <w:pPr>
              <w:spacing w:before="20" w:after="60"/>
              <w:jc w:val="left"/>
              <w:rPr>
                <w:color w:val="000000"/>
                <w:sz w:val="22"/>
                <w:lang w:val="en-US"/>
              </w:rPr>
            </w:pPr>
            <w:r w:rsidRPr="00EB0C9A">
              <w:rPr>
                <w:color w:val="000000"/>
                <w:sz w:val="22"/>
                <w:lang w:val="en-US"/>
              </w:rPr>
              <w:t>0.03</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63446" w:rsidRPr="00EB0C9A" w:rsidRDefault="00263446" w:rsidP="00F73E2D">
            <w:pPr>
              <w:spacing w:before="20" w:after="60"/>
              <w:jc w:val="left"/>
              <w:rPr>
                <w:color w:val="000000"/>
                <w:sz w:val="22"/>
                <w:lang w:val="en-US"/>
              </w:rPr>
            </w:pPr>
            <w:r w:rsidRPr="00EB0C9A">
              <w:rPr>
                <w:color w:val="000000"/>
                <w:sz w:val="22"/>
                <w:lang w:val="en-US"/>
              </w:rPr>
              <w:t>0.06</w:t>
            </w:r>
          </w:p>
        </w:tc>
      </w:tr>
      <w:tr w:rsidR="00263446" w:rsidRPr="00673CBB" w:rsidTr="00EB387C">
        <w:trPr>
          <w:trHeight w:val="315"/>
        </w:trPr>
        <w:tc>
          <w:tcPr>
            <w:tcW w:w="3134" w:type="dxa"/>
            <w:tcBorders>
              <w:top w:val="single" w:sz="4" w:space="0" w:color="000000"/>
              <w:left w:val="single" w:sz="4" w:space="0" w:color="000000"/>
              <w:bottom w:val="single" w:sz="4" w:space="0" w:color="000000"/>
              <w:right w:val="single" w:sz="4" w:space="0" w:color="auto"/>
            </w:tcBorders>
            <w:shd w:val="clear" w:color="auto" w:fill="auto"/>
            <w:hideMark/>
          </w:tcPr>
          <w:p w:rsidR="00263446" w:rsidRPr="0008227F" w:rsidRDefault="00263446" w:rsidP="00F73E2D">
            <w:pPr>
              <w:spacing w:before="20" w:after="60"/>
              <w:ind w:firstLine="333"/>
              <w:jc w:val="left"/>
              <w:rPr>
                <w:color w:val="000000"/>
                <w:sz w:val="22"/>
                <w:lang w:val="en-US"/>
              </w:rPr>
            </w:pPr>
            <w:r w:rsidRPr="0008227F">
              <w:rPr>
                <w:sz w:val="22"/>
                <w:lang w:val="en-US"/>
              </w:rPr>
              <w:t>ESBL (molecular)</w:t>
            </w:r>
            <w:r w:rsidR="00397DE7">
              <w:rPr>
                <w:sz w:val="22"/>
                <w:lang w:val="en-US"/>
              </w:rPr>
              <w:t>²</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63446" w:rsidRPr="00673CBB" w:rsidRDefault="00263446" w:rsidP="00F73E2D">
            <w:pPr>
              <w:spacing w:before="20" w:after="60"/>
              <w:jc w:val="left"/>
              <w:rPr>
                <w:color w:val="000000"/>
                <w:sz w:val="22"/>
                <w:lang w:val="en-US"/>
              </w:rPr>
            </w:pPr>
            <w:r w:rsidRPr="00673CBB">
              <w:rPr>
                <w:color w:val="000000"/>
                <w:sz w:val="22"/>
                <w:lang w:val="en-US"/>
              </w:rPr>
              <w:t>1</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63446" w:rsidRPr="00673CBB" w:rsidRDefault="00263446" w:rsidP="00F73E2D">
            <w:pPr>
              <w:spacing w:before="20" w:after="60"/>
              <w:jc w:val="left"/>
              <w:rPr>
                <w:sz w:val="22"/>
                <w:lang w:val="en-US"/>
              </w:rPr>
            </w:pPr>
            <w:r w:rsidRPr="00673CBB">
              <w:rPr>
                <w:sz w:val="22"/>
                <w:lang w:val="en-US"/>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63446" w:rsidRPr="00673CBB" w:rsidRDefault="00263446" w:rsidP="00F73E2D">
            <w:pPr>
              <w:spacing w:before="20" w:after="60"/>
              <w:jc w:val="left"/>
              <w:rPr>
                <w:sz w:val="22"/>
                <w:lang w:val="en-US"/>
              </w:rPr>
            </w:pPr>
            <w:r w:rsidRPr="00673CBB">
              <w:rPr>
                <w:sz w:val="22"/>
                <w:lang w:val="en-US"/>
              </w:rPr>
              <w:t>--</w:t>
            </w:r>
          </w:p>
        </w:tc>
      </w:tr>
      <w:tr w:rsidR="00263446" w:rsidRPr="00673CBB" w:rsidTr="00EB387C">
        <w:trPr>
          <w:trHeight w:val="411"/>
        </w:trPr>
        <w:tc>
          <w:tcPr>
            <w:tcW w:w="3134" w:type="dxa"/>
            <w:tcBorders>
              <w:top w:val="nil"/>
              <w:left w:val="single" w:sz="4" w:space="0" w:color="000000"/>
              <w:bottom w:val="single" w:sz="4" w:space="0" w:color="000000"/>
              <w:right w:val="single" w:sz="4" w:space="0" w:color="auto"/>
            </w:tcBorders>
            <w:shd w:val="clear" w:color="auto" w:fill="auto"/>
            <w:hideMark/>
          </w:tcPr>
          <w:p w:rsidR="00263446" w:rsidRPr="0008227F" w:rsidRDefault="00263446" w:rsidP="00F73E2D">
            <w:pPr>
              <w:spacing w:before="20" w:after="60"/>
              <w:ind w:firstLine="333"/>
              <w:jc w:val="left"/>
              <w:rPr>
                <w:sz w:val="22"/>
                <w:lang w:val="en-US"/>
              </w:rPr>
            </w:pPr>
            <w:r w:rsidRPr="0008227F">
              <w:rPr>
                <w:sz w:val="22"/>
                <w:lang w:val="en-US"/>
              </w:rPr>
              <w:t>ESBL (screen negative)</w:t>
            </w:r>
            <w:r w:rsidR="00397DE7">
              <w:rPr>
                <w:sz w:val="22"/>
                <w:lang w:val="en-US"/>
              </w:rPr>
              <w:t>³</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63446" w:rsidRPr="00673CBB" w:rsidRDefault="00263446" w:rsidP="00F73E2D">
            <w:pPr>
              <w:spacing w:before="20" w:after="60"/>
              <w:jc w:val="left"/>
              <w:rPr>
                <w:color w:val="000000"/>
                <w:sz w:val="22"/>
                <w:lang w:val="en-US"/>
              </w:rPr>
            </w:pPr>
            <w:r w:rsidRPr="00673CBB">
              <w:rPr>
                <w:color w:val="000000"/>
                <w:sz w:val="22"/>
                <w:lang w:val="en-US"/>
              </w:rPr>
              <w:t>21</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63446" w:rsidRPr="00673CBB" w:rsidRDefault="00263446" w:rsidP="00F73E2D">
            <w:pPr>
              <w:spacing w:before="20" w:after="60"/>
              <w:jc w:val="left"/>
              <w:rPr>
                <w:color w:val="000000"/>
                <w:sz w:val="22"/>
                <w:lang w:val="en-US"/>
              </w:rPr>
            </w:pPr>
            <w:r w:rsidRPr="00673CBB">
              <w:rPr>
                <w:color w:val="000000"/>
                <w:sz w:val="22"/>
                <w:lang w:val="en-US"/>
              </w:rPr>
              <w:t>0.03</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63446" w:rsidRPr="00673CBB" w:rsidRDefault="00263446" w:rsidP="00F73E2D">
            <w:pPr>
              <w:spacing w:before="20" w:after="60"/>
              <w:jc w:val="left"/>
              <w:rPr>
                <w:color w:val="000000"/>
                <w:sz w:val="22"/>
                <w:lang w:val="en-US"/>
              </w:rPr>
            </w:pPr>
            <w:r w:rsidRPr="00673CBB">
              <w:rPr>
                <w:color w:val="000000"/>
                <w:sz w:val="22"/>
                <w:lang w:val="en-US"/>
              </w:rPr>
              <w:t>0.06</w:t>
            </w:r>
          </w:p>
        </w:tc>
      </w:tr>
      <w:tr w:rsidR="00263446" w:rsidRPr="00673CBB" w:rsidTr="00EB387C">
        <w:trPr>
          <w:trHeight w:val="368"/>
        </w:trPr>
        <w:tc>
          <w:tcPr>
            <w:tcW w:w="3134" w:type="dxa"/>
            <w:tcBorders>
              <w:top w:val="nil"/>
              <w:left w:val="single" w:sz="4" w:space="0" w:color="000000"/>
              <w:bottom w:val="single" w:sz="4" w:space="0" w:color="000000"/>
              <w:right w:val="single" w:sz="4" w:space="0" w:color="auto"/>
            </w:tcBorders>
            <w:shd w:val="clear" w:color="auto" w:fill="auto"/>
            <w:hideMark/>
          </w:tcPr>
          <w:p w:rsidR="00263446" w:rsidRPr="009777CD" w:rsidRDefault="00263446" w:rsidP="00F73E2D">
            <w:pPr>
              <w:spacing w:before="20" w:after="60"/>
              <w:jc w:val="left"/>
              <w:rPr>
                <w:b/>
                <w:i/>
                <w:iCs/>
                <w:sz w:val="22"/>
                <w:lang w:val="en-US"/>
              </w:rPr>
            </w:pPr>
            <w:r w:rsidRPr="009777CD">
              <w:rPr>
                <w:b/>
                <w:i/>
                <w:iCs/>
                <w:sz w:val="22"/>
                <w:lang w:val="en-US"/>
              </w:rPr>
              <w:t>P. vulgaris</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63446" w:rsidRPr="00673CBB" w:rsidRDefault="00263446" w:rsidP="00F73E2D">
            <w:pPr>
              <w:spacing w:before="20" w:after="60"/>
              <w:jc w:val="left"/>
              <w:rPr>
                <w:color w:val="000000"/>
                <w:sz w:val="22"/>
                <w:lang w:val="en-US"/>
              </w:rPr>
            </w:pPr>
            <w:r w:rsidRPr="00673CBB">
              <w:rPr>
                <w:color w:val="000000"/>
                <w:sz w:val="22"/>
                <w:lang w:val="en-US"/>
              </w:rPr>
              <w:t>19</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63446" w:rsidRPr="00673CBB" w:rsidRDefault="00263446" w:rsidP="00F73E2D">
            <w:pPr>
              <w:spacing w:before="20" w:after="60"/>
              <w:jc w:val="left"/>
              <w:rPr>
                <w:color w:val="000000"/>
                <w:sz w:val="22"/>
                <w:lang w:val="en-US"/>
              </w:rPr>
            </w:pPr>
            <w:r w:rsidRPr="00673CBB">
              <w:rPr>
                <w:color w:val="000000"/>
                <w:sz w:val="22"/>
                <w:lang w:val="en-US"/>
              </w:rPr>
              <w:t>0.03</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63446" w:rsidRPr="00673CBB" w:rsidRDefault="00263446" w:rsidP="00F73E2D">
            <w:pPr>
              <w:spacing w:before="20" w:after="60"/>
              <w:jc w:val="left"/>
              <w:rPr>
                <w:color w:val="000000"/>
                <w:sz w:val="22"/>
                <w:lang w:val="en-US"/>
              </w:rPr>
            </w:pPr>
            <w:r w:rsidRPr="00673CBB">
              <w:rPr>
                <w:color w:val="000000"/>
                <w:sz w:val="22"/>
                <w:lang w:val="en-US"/>
              </w:rPr>
              <w:t>0.12</w:t>
            </w:r>
          </w:p>
        </w:tc>
      </w:tr>
      <w:tr w:rsidR="00263446" w:rsidRPr="00673CBB" w:rsidTr="00EB387C">
        <w:trPr>
          <w:trHeight w:val="379"/>
        </w:trPr>
        <w:tc>
          <w:tcPr>
            <w:tcW w:w="3134" w:type="dxa"/>
            <w:tcBorders>
              <w:top w:val="nil"/>
              <w:left w:val="single" w:sz="4" w:space="0" w:color="000000"/>
              <w:bottom w:val="single" w:sz="4" w:space="0" w:color="000000"/>
              <w:right w:val="single" w:sz="4" w:space="0" w:color="auto"/>
            </w:tcBorders>
            <w:shd w:val="clear" w:color="auto" w:fill="auto"/>
            <w:hideMark/>
          </w:tcPr>
          <w:p w:rsidR="00263446" w:rsidRPr="009777CD" w:rsidRDefault="00263446" w:rsidP="008E1D21">
            <w:pPr>
              <w:spacing w:before="20" w:after="60"/>
              <w:jc w:val="left"/>
              <w:rPr>
                <w:b/>
                <w:color w:val="000000"/>
                <w:sz w:val="22"/>
                <w:lang w:val="en-US"/>
              </w:rPr>
            </w:pPr>
            <w:proofErr w:type="spellStart"/>
            <w:r w:rsidRPr="009777CD">
              <w:rPr>
                <w:b/>
                <w:i/>
                <w:iCs/>
                <w:sz w:val="22"/>
                <w:lang w:val="en-US"/>
              </w:rPr>
              <w:t>Providencia</w:t>
            </w:r>
            <w:proofErr w:type="spellEnd"/>
            <w:r w:rsidRPr="009777CD">
              <w:rPr>
                <w:b/>
                <w:i/>
                <w:iCs/>
                <w:sz w:val="22"/>
                <w:lang w:val="en-US"/>
              </w:rPr>
              <w:t xml:space="preserve"> </w:t>
            </w:r>
            <w:r w:rsidRPr="007C1EF0">
              <w:rPr>
                <w:sz w:val="22"/>
                <w:lang w:val="en-US"/>
              </w:rPr>
              <w:t>spp</w:t>
            </w:r>
            <w:r w:rsidRPr="009777CD">
              <w:rPr>
                <w:b/>
                <w:sz w:val="22"/>
                <w:lang w:val="en-US"/>
              </w:rPr>
              <w:t>.</w:t>
            </w:r>
            <w:r w:rsidR="008E1D21" w:rsidRPr="008E1D21">
              <w:rPr>
                <w:sz w:val="22"/>
                <w:vertAlign w:val="superscript"/>
                <w:lang w:val="en-US"/>
              </w:rPr>
              <w:t>5</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63446" w:rsidRPr="00673CBB" w:rsidRDefault="00263446" w:rsidP="00F73E2D">
            <w:pPr>
              <w:spacing w:before="20" w:after="60"/>
              <w:jc w:val="left"/>
              <w:rPr>
                <w:color w:val="000000"/>
                <w:sz w:val="22"/>
                <w:lang w:val="en-US"/>
              </w:rPr>
            </w:pPr>
            <w:r w:rsidRPr="00673CBB">
              <w:rPr>
                <w:color w:val="000000"/>
                <w:sz w:val="22"/>
                <w:lang w:val="en-US"/>
              </w:rPr>
              <w:t>12</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63446" w:rsidRPr="00673CBB" w:rsidRDefault="00263446" w:rsidP="00F73E2D">
            <w:pPr>
              <w:spacing w:before="20" w:after="60"/>
              <w:jc w:val="left"/>
              <w:rPr>
                <w:color w:val="000000"/>
                <w:sz w:val="22"/>
                <w:lang w:val="en-US"/>
              </w:rPr>
            </w:pPr>
            <w:r w:rsidRPr="00673CBB">
              <w:rPr>
                <w:color w:val="000000"/>
                <w:sz w:val="22"/>
                <w:lang w:val="en-US"/>
              </w:rPr>
              <w:t>0.03</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63446" w:rsidRPr="00673CBB" w:rsidRDefault="00263446" w:rsidP="00F73E2D">
            <w:pPr>
              <w:spacing w:before="20" w:after="60"/>
              <w:jc w:val="left"/>
              <w:rPr>
                <w:color w:val="000000"/>
                <w:sz w:val="22"/>
                <w:lang w:val="en-US"/>
              </w:rPr>
            </w:pPr>
            <w:r w:rsidRPr="00673CBB">
              <w:rPr>
                <w:color w:val="000000"/>
                <w:sz w:val="22"/>
                <w:lang w:val="en-US"/>
              </w:rPr>
              <w:t>0.12</w:t>
            </w:r>
          </w:p>
        </w:tc>
      </w:tr>
      <w:tr w:rsidR="00263446" w:rsidRPr="00673CBB" w:rsidTr="00EB387C">
        <w:trPr>
          <w:trHeight w:val="412"/>
        </w:trPr>
        <w:tc>
          <w:tcPr>
            <w:tcW w:w="3134" w:type="dxa"/>
            <w:tcBorders>
              <w:top w:val="nil"/>
              <w:left w:val="single" w:sz="4" w:space="0" w:color="000000"/>
              <w:bottom w:val="single" w:sz="4" w:space="0" w:color="auto"/>
              <w:right w:val="single" w:sz="4" w:space="0" w:color="auto"/>
            </w:tcBorders>
            <w:shd w:val="clear" w:color="auto" w:fill="auto"/>
            <w:hideMark/>
          </w:tcPr>
          <w:p w:rsidR="00263446" w:rsidRPr="009777CD" w:rsidRDefault="00263446" w:rsidP="00F73E2D">
            <w:pPr>
              <w:spacing w:before="20" w:after="60"/>
              <w:jc w:val="left"/>
              <w:rPr>
                <w:b/>
                <w:i/>
                <w:iCs/>
                <w:sz w:val="22"/>
                <w:lang w:val="en-US"/>
              </w:rPr>
            </w:pPr>
            <w:r w:rsidRPr="009777CD">
              <w:rPr>
                <w:b/>
                <w:i/>
                <w:iCs/>
                <w:sz w:val="22"/>
                <w:lang w:val="en-US"/>
              </w:rPr>
              <w:lastRenderedPageBreak/>
              <w:t>P. aeruginosa</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63446" w:rsidRPr="00673CBB" w:rsidRDefault="00263446" w:rsidP="00F73E2D">
            <w:pPr>
              <w:spacing w:before="20" w:after="60"/>
              <w:jc w:val="left"/>
              <w:rPr>
                <w:color w:val="000000"/>
                <w:sz w:val="22"/>
                <w:lang w:val="en-US"/>
              </w:rPr>
            </w:pPr>
            <w:r w:rsidRPr="00673CBB">
              <w:rPr>
                <w:color w:val="000000"/>
                <w:sz w:val="22"/>
                <w:lang w:val="en-US"/>
              </w:rPr>
              <w:t>146</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63446" w:rsidRPr="00673CBB" w:rsidRDefault="00263446" w:rsidP="00F73E2D">
            <w:pPr>
              <w:spacing w:before="20" w:after="60"/>
              <w:jc w:val="left"/>
              <w:rPr>
                <w:color w:val="000000"/>
                <w:sz w:val="22"/>
                <w:lang w:val="en-US"/>
              </w:rPr>
            </w:pPr>
            <w:r w:rsidRPr="00673CBB">
              <w:rPr>
                <w:color w:val="000000"/>
                <w:sz w:val="22"/>
                <w:lang w:val="en-US"/>
              </w:rPr>
              <w:t>2</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63446" w:rsidRPr="00673CBB" w:rsidRDefault="00263446" w:rsidP="00F73E2D">
            <w:pPr>
              <w:spacing w:before="20" w:after="60"/>
              <w:jc w:val="left"/>
              <w:rPr>
                <w:color w:val="000000"/>
                <w:sz w:val="22"/>
                <w:lang w:val="en-US"/>
              </w:rPr>
            </w:pPr>
            <w:r w:rsidRPr="00673CBB">
              <w:rPr>
                <w:color w:val="000000"/>
                <w:sz w:val="22"/>
                <w:lang w:val="en-US"/>
              </w:rPr>
              <w:t>4</w:t>
            </w:r>
          </w:p>
        </w:tc>
      </w:tr>
      <w:tr w:rsidR="00263446" w:rsidRPr="00673CBB" w:rsidTr="00EB387C">
        <w:trPr>
          <w:trHeight w:val="576"/>
        </w:trPr>
        <w:tc>
          <w:tcPr>
            <w:tcW w:w="3134" w:type="dxa"/>
            <w:tcBorders>
              <w:top w:val="single" w:sz="4" w:space="0" w:color="auto"/>
              <w:left w:val="single" w:sz="4" w:space="0" w:color="auto"/>
              <w:bottom w:val="single" w:sz="4" w:space="0" w:color="auto"/>
              <w:right w:val="single" w:sz="4" w:space="0" w:color="auto"/>
            </w:tcBorders>
            <w:shd w:val="clear" w:color="auto" w:fill="auto"/>
            <w:hideMark/>
          </w:tcPr>
          <w:p w:rsidR="00263446" w:rsidRPr="00F3404A" w:rsidRDefault="00263446" w:rsidP="003F185E">
            <w:pPr>
              <w:spacing w:before="20" w:after="60"/>
              <w:ind w:left="333"/>
              <w:jc w:val="left"/>
              <w:rPr>
                <w:color w:val="000000"/>
                <w:sz w:val="22"/>
                <w:lang w:val="en-US"/>
              </w:rPr>
            </w:pPr>
            <w:proofErr w:type="spellStart"/>
            <w:r w:rsidRPr="00F3404A">
              <w:rPr>
                <w:sz w:val="22"/>
                <w:lang w:val="en-US"/>
              </w:rPr>
              <w:t>Meropenem</w:t>
            </w:r>
            <w:proofErr w:type="spellEnd"/>
            <w:r w:rsidRPr="00F3404A">
              <w:rPr>
                <w:sz w:val="22"/>
                <w:lang w:val="en-US"/>
              </w:rPr>
              <w:t>-susceptible</w:t>
            </w:r>
            <w:r w:rsidRPr="00F3404A">
              <w:rPr>
                <w:sz w:val="22"/>
                <w:lang w:val="en-US"/>
              </w:rPr>
              <w:br/>
              <w:t xml:space="preserve">(MIC </w:t>
            </w:r>
            <w:r w:rsidR="003F185E">
              <w:rPr>
                <w:sz w:val="22"/>
                <w:lang w:val="en-US"/>
              </w:rPr>
              <w:sym w:font="Symbol" w:char="F0A3"/>
            </w:r>
            <w:r w:rsidRPr="00F3404A">
              <w:rPr>
                <w:sz w:val="22"/>
                <w:lang w:val="en-US"/>
              </w:rPr>
              <w:t xml:space="preserve"> 2 mg/mL)</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63446" w:rsidRPr="00673CBB" w:rsidRDefault="00263446" w:rsidP="00F73E2D">
            <w:pPr>
              <w:spacing w:before="20" w:after="60"/>
              <w:jc w:val="left"/>
              <w:rPr>
                <w:color w:val="000000"/>
                <w:sz w:val="22"/>
                <w:lang w:val="en-US"/>
              </w:rPr>
            </w:pPr>
            <w:r w:rsidRPr="00673CBB">
              <w:rPr>
                <w:color w:val="000000"/>
                <w:sz w:val="22"/>
                <w:lang w:val="en-US"/>
              </w:rPr>
              <w:t>122</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63446" w:rsidRPr="00673CBB" w:rsidRDefault="00263446" w:rsidP="00F73E2D">
            <w:pPr>
              <w:spacing w:before="20" w:after="60"/>
              <w:jc w:val="left"/>
              <w:rPr>
                <w:color w:val="000000"/>
                <w:sz w:val="22"/>
                <w:lang w:val="en-US"/>
              </w:rPr>
            </w:pPr>
            <w:r w:rsidRPr="00673CBB">
              <w:rPr>
                <w:color w:val="000000"/>
                <w:sz w:val="22"/>
                <w:lang w:val="en-US"/>
              </w:rPr>
              <w:t>2</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63446" w:rsidRPr="00673CBB" w:rsidRDefault="00263446" w:rsidP="00F73E2D">
            <w:pPr>
              <w:spacing w:before="20" w:after="60"/>
              <w:jc w:val="left"/>
              <w:rPr>
                <w:color w:val="000000"/>
                <w:sz w:val="22"/>
                <w:lang w:val="en-US"/>
              </w:rPr>
            </w:pPr>
            <w:r w:rsidRPr="00673CBB">
              <w:rPr>
                <w:color w:val="000000"/>
                <w:sz w:val="22"/>
                <w:lang w:val="en-US"/>
              </w:rPr>
              <w:t>4</w:t>
            </w:r>
          </w:p>
        </w:tc>
      </w:tr>
      <w:tr w:rsidR="00263446" w:rsidRPr="00673CBB" w:rsidTr="00EB387C">
        <w:trPr>
          <w:trHeight w:val="544"/>
        </w:trPr>
        <w:tc>
          <w:tcPr>
            <w:tcW w:w="3134" w:type="dxa"/>
            <w:tcBorders>
              <w:top w:val="single" w:sz="4" w:space="0" w:color="auto"/>
              <w:left w:val="single" w:sz="4" w:space="0" w:color="auto"/>
              <w:bottom w:val="single" w:sz="4" w:space="0" w:color="auto"/>
              <w:right w:val="single" w:sz="4" w:space="0" w:color="auto"/>
            </w:tcBorders>
            <w:shd w:val="clear" w:color="auto" w:fill="auto"/>
            <w:hideMark/>
          </w:tcPr>
          <w:p w:rsidR="00263446" w:rsidRPr="00F3404A" w:rsidRDefault="00263446" w:rsidP="003F185E">
            <w:pPr>
              <w:spacing w:before="20" w:after="60"/>
              <w:ind w:left="333"/>
              <w:jc w:val="left"/>
              <w:rPr>
                <w:color w:val="000000"/>
                <w:sz w:val="22"/>
                <w:lang w:val="en-US"/>
              </w:rPr>
            </w:pPr>
            <w:proofErr w:type="spellStart"/>
            <w:r w:rsidRPr="00F3404A">
              <w:rPr>
                <w:sz w:val="22"/>
                <w:lang w:val="en-US"/>
              </w:rPr>
              <w:t>Meropenem</w:t>
            </w:r>
            <w:proofErr w:type="spellEnd"/>
            <w:r w:rsidRPr="00F3404A">
              <w:rPr>
                <w:sz w:val="22"/>
                <w:lang w:val="en-US"/>
              </w:rPr>
              <w:t xml:space="preserve">-non-susceptible (MIC </w:t>
            </w:r>
            <w:r w:rsidR="003F185E">
              <w:rPr>
                <w:sz w:val="22"/>
                <w:lang w:val="en-US"/>
              </w:rPr>
              <w:sym w:font="Symbol" w:char="F0B3"/>
            </w:r>
            <w:r w:rsidRPr="00F3404A">
              <w:rPr>
                <w:sz w:val="22"/>
                <w:lang w:val="en-US"/>
              </w:rPr>
              <w:t xml:space="preserve"> 4 mg/mL)</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63446" w:rsidRPr="00673CBB" w:rsidRDefault="00263446" w:rsidP="00F73E2D">
            <w:pPr>
              <w:spacing w:before="20" w:after="60"/>
              <w:jc w:val="left"/>
              <w:rPr>
                <w:color w:val="000000"/>
                <w:sz w:val="22"/>
                <w:lang w:val="en-US"/>
              </w:rPr>
            </w:pPr>
            <w:r w:rsidRPr="00673CBB">
              <w:rPr>
                <w:color w:val="000000"/>
                <w:sz w:val="22"/>
                <w:lang w:val="en-US"/>
              </w:rPr>
              <w:t>24</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63446" w:rsidRPr="00673CBB" w:rsidRDefault="00263446" w:rsidP="00F73E2D">
            <w:pPr>
              <w:spacing w:before="20" w:after="60"/>
              <w:jc w:val="left"/>
              <w:rPr>
                <w:color w:val="000000"/>
                <w:sz w:val="22"/>
                <w:lang w:val="en-US"/>
              </w:rPr>
            </w:pPr>
            <w:r w:rsidRPr="00673CBB">
              <w:rPr>
                <w:color w:val="000000"/>
                <w:sz w:val="22"/>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63446" w:rsidRPr="00673CBB" w:rsidRDefault="00263446" w:rsidP="00F73E2D">
            <w:pPr>
              <w:spacing w:before="20" w:after="60"/>
              <w:jc w:val="left"/>
              <w:rPr>
                <w:color w:val="000000"/>
                <w:sz w:val="22"/>
                <w:lang w:val="en-US"/>
              </w:rPr>
            </w:pPr>
            <w:r w:rsidRPr="00673CBB">
              <w:rPr>
                <w:color w:val="000000"/>
                <w:sz w:val="22"/>
                <w:lang w:val="en-US"/>
              </w:rPr>
              <w:t>16</w:t>
            </w:r>
          </w:p>
        </w:tc>
      </w:tr>
      <w:tr w:rsidR="00263446" w:rsidRPr="00673CBB" w:rsidTr="00EB387C">
        <w:trPr>
          <w:trHeight w:val="513"/>
        </w:trPr>
        <w:tc>
          <w:tcPr>
            <w:tcW w:w="3134" w:type="dxa"/>
            <w:tcBorders>
              <w:top w:val="single" w:sz="4" w:space="0" w:color="auto"/>
              <w:left w:val="single" w:sz="4" w:space="0" w:color="auto"/>
              <w:bottom w:val="single" w:sz="4" w:space="0" w:color="auto"/>
              <w:right w:val="single" w:sz="4" w:space="0" w:color="auto"/>
            </w:tcBorders>
          </w:tcPr>
          <w:p w:rsidR="00263446" w:rsidRPr="005A0597" w:rsidRDefault="00263446" w:rsidP="003F185E">
            <w:pPr>
              <w:spacing w:before="20" w:after="60"/>
              <w:ind w:left="333"/>
              <w:jc w:val="left"/>
              <w:rPr>
                <w:color w:val="000000"/>
                <w:sz w:val="22"/>
                <w:lang w:val="fr-BE"/>
              </w:rPr>
            </w:pPr>
            <w:r w:rsidRPr="005A0597">
              <w:rPr>
                <w:sz w:val="22"/>
                <w:lang w:val="fr-BE"/>
              </w:rPr>
              <w:t>CAZ-susceptible</w:t>
            </w:r>
            <w:r w:rsidRPr="005A0597">
              <w:rPr>
                <w:sz w:val="22"/>
                <w:lang w:val="fr-BE"/>
              </w:rPr>
              <w:br/>
              <w:t xml:space="preserve">(MIC </w:t>
            </w:r>
            <w:r w:rsidR="003F185E">
              <w:rPr>
                <w:sz w:val="22"/>
                <w:lang w:val="fr-BE"/>
              </w:rPr>
              <w:sym w:font="Symbol" w:char="F0A3"/>
            </w:r>
            <w:r w:rsidRPr="005A0597">
              <w:rPr>
                <w:sz w:val="22"/>
                <w:lang w:val="fr-BE"/>
              </w:rPr>
              <w:t xml:space="preserve"> 8 mg/</w:t>
            </w:r>
            <w:proofErr w:type="spellStart"/>
            <w:r w:rsidRPr="005A0597">
              <w:rPr>
                <w:sz w:val="22"/>
                <w:lang w:val="fr-BE"/>
              </w:rPr>
              <w:t>mL</w:t>
            </w:r>
            <w:proofErr w:type="spellEnd"/>
            <w:r w:rsidRPr="005A0597">
              <w:rPr>
                <w:sz w:val="22"/>
                <w:lang w:val="fr-BE"/>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63446" w:rsidRPr="00673CBB" w:rsidRDefault="00263446" w:rsidP="00F73E2D">
            <w:pPr>
              <w:spacing w:before="20" w:after="60"/>
              <w:jc w:val="left"/>
              <w:rPr>
                <w:color w:val="000000"/>
                <w:sz w:val="22"/>
                <w:lang w:val="en-US"/>
              </w:rPr>
            </w:pPr>
            <w:r>
              <w:rPr>
                <w:color w:val="000000"/>
                <w:sz w:val="22"/>
                <w:lang w:val="en-US"/>
              </w:rPr>
              <w:t>127</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63446" w:rsidRPr="00673CBB" w:rsidRDefault="00263446" w:rsidP="00F73E2D">
            <w:pPr>
              <w:spacing w:before="20" w:after="60"/>
              <w:jc w:val="left"/>
              <w:rPr>
                <w:color w:val="000000"/>
                <w:sz w:val="22"/>
                <w:lang w:val="en-US"/>
              </w:rPr>
            </w:pPr>
            <w:r>
              <w:rPr>
                <w:color w:val="000000"/>
                <w:sz w:val="22"/>
                <w:lang w:val="en-US"/>
              </w:rPr>
              <w:t>2</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63446" w:rsidRPr="00673CBB" w:rsidRDefault="00203C27" w:rsidP="00F73E2D">
            <w:pPr>
              <w:spacing w:before="20" w:after="60"/>
              <w:jc w:val="left"/>
              <w:rPr>
                <w:color w:val="000000"/>
                <w:sz w:val="22"/>
                <w:lang w:val="en-US"/>
              </w:rPr>
            </w:pPr>
            <w:r>
              <w:rPr>
                <w:color w:val="000000"/>
                <w:sz w:val="22"/>
                <w:lang w:val="en-US"/>
              </w:rPr>
              <w:t>4</w:t>
            </w:r>
          </w:p>
        </w:tc>
      </w:tr>
      <w:tr w:rsidR="00263446" w:rsidRPr="00673CBB" w:rsidTr="00EB387C">
        <w:trPr>
          <w:trHeight w:val="732"/>
        </w:trPr>
        <w:tc>
          <w:tcPr>
            <w:tcW w:w="3134" w:type="dxa"/>
            <w:tcBorders>
              <w:top w:val="single" w:sz="4" w:space="0" w:color="auto"/>
              <w:left w:val="single" w:sz="4" w:space="0" w:color="auto"/>
              <w:bottom w:val="single" w:sz="4" w:space="0" w:color="auto"/>
              <w:right w:val="single" w:sz="4" w:space="0" w:color="auto"/>
            </w:tcBorders>
            <w:shd w:val="clear" w:color="auto" w:fill="auto"/>
            <w:hideMark/>
          </w:tcPr>
          <w:p w:rsidR="00263446" w:rsidRPr="00F3404A" w:rsidRDefault="00263446" w:rsidP="003F185E">
            <w:pPr>
              <w:spacing w:before="20" w:after="60"/>
              <w:ind w:left="333"/>
              <w:jc w:val="left"/>
              <w:rPr>
                <w:color w:val="000000"/>
                <w:sz w:val="22"/>
                <w:lang w:val="fr-FR"/>
              </w:rPr>
            </w:pPr>
            <w:r w:rsidRPr="00F3404A">
              <w:rPr>
                <w:sz w:val="22"/>
                <w:lang w:val="fr-FR"/>
              </w:rPr>
              <w:t>CAZ-non-susceptible</w:t>
            </w:r>
            <w:r w:rsidRPr="00F3404A">
              <w:rPr>
                <w:sz w:val="22"/>
                <w:lang w:val="fr-FR"/>
              </w:rPr>
              <w:br/>
              <w:t xml:space="preserve">(MIC </w:t>
            </w:r>
            <w:r w:rsidR="003F185E">
              <w:rPr>
                <w:sz w:val="22"/>
                <w:lang w:val="fr-FR"/>
              </w:rPr>
              <w:sym w:font="Symbol" w:char="F0B3"/>
            </w:r>
            <w:r w:rsidRPr="00F3404A">
              <w:rPr>
                <w:sz w:val="22"/>
                <w:lang w:val="fr-FR"/>
              </w:rPr>
              <w:t xml:space="preserve"> 16 mg/</w:t>
            </w:r>
            <w:proofErr w:type="spellStart"/>
            <w:r w:rsidRPr="00F3404A">
              <w:rPr>
                <w:sz w:val="22"/>
                <w:lang w:val="fr-FR"/>
              </w:rPr>
              <w:t>mL</w:t>
            </w:r>
            <w:proofErr w:type="spellEnd"/>
            <w:r w:rsidRPr="00F3404A">
              <w:rPr>
                <w:sz w:val="22"/>
                <w:lang w:val="fr-FR"/>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63446" w:rsidRPr="00673CBB" w:rsidRDefault="00263446" w:rsidP="00F73E2D">
            <w:pPr>
              <w:spacing w:before="20" w:after="60"/>
              <w:jc w:val="left"/>
              <w:rPr>
                <w:color w:val="000000"/>
                <w:sz w:val="22"/>
                <w:lang w:val="en-US"/>
              </w:rPr>
            </w:pPr>
            <w:r w:rsidRPr="00673CBB">
              <w:rPr>
                <w:color w:val="000000"/>
                <w:sz w:val="22"/>
                <w:lang w:val="en-US"/>
              </w:rPr>
              <w:t>19</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63446" w:rsidRPr="00673CBB" w:rsidRDefault="00263446" w:rsidP="00F73E2D">
            <w:pPr>
              <w:spacing w:before="20" w:after="60"/>
              <w:jc w:val="left"/>
              <w:rPr>
                <w:color w:val="000000"/>
                <w:sz w:val="22"/>
                <w:lang w:val="en-US"/>
              </w:rPr>
            </w:pPr>
            <w:r w:rsidRPr="00673CBB">
              <w:rPr>
                <w:color w:val="000000"/>
                <w:sz w:val="22"/>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63446" w:rsidRPr="00673CBB" w:rsidRDefault="00263446" w:rsidP="00F73E2D">
            <w:pPr>
              <w:spacing w:before="20" w:after="60"/>
              <w:jc w:val="left"/>
              <w:rPr>
                <w:color w:val="000000"/>
                <w:sz w:val="22"/>
                <w:lang w:val="en-US"/>
              </w:rPr>
            </w:pPr>
            <w:r w:rsidRPr="00673CBB">
              <w:rPr>
                <w:color w:val="000000"/>
                <w:sz w:val="22"/>
                <w:lang w:val="en-US"/>
              </w:rPr>
              <w:t>32</w:t>
            </w:r>
          </w:p>
        </w:tc>
      </w:tr>
    </w:tbl>
    <w:p w:rsidR="00CE5B81" w:rsidRDefault="00CE5B81" w:rsidP="00CE5B81">
      <w:pPr>
        <w:pStyle w:val="CLDTableFootnote"/>
        <w:rPr>
          <w:lang w:val="en-US"/>
        </w:rPr>
      </w:pPr>
      <w:r>
        <w:rPr>
          <w:lang w:val="en-US"/>
        </w:rPr>
        <w:t xml:space="preserve">Abbreviations: CAZ-AVI = </w:t>
      </w:r>
      <w:proofErr w:type="spellStart"/>
      <w:r>
        <w:rPr>
          <w:lang w:val="en-US"/>
        </w:rPr>
        <w:t>ceftazidime</w:t>
      </w:r>
      <w:proofErr w:type="spellEnd"/>
      <w:r>
        <w:rPr>
          <w:lang w:val="en-US"/>
        </w:rPr>
        <w:t>-avibactam, N= number of isol</w:t>
      </w:r>
      <w:r w:rsidR="00690945">
        <w:rPr>
          <w:lang w:val="en-US"/>
        </w:rPr>
        <w:t>a</w:t>
      </w:r>
      <w:r>
        <w:rPr>
          <w:lang w:val="en-US"/>
        </w:rPr>
        <w:t>tes tested, MIC</w:t>
      </w:r>
      <w:r w:rsidRPr="00EB387C">
        <w:rPr>
          <w:vertAlign w:val="subscript"/>
          <w:lang w:val="en-US"/>
        </w:rPr>
        <w:t xml:space="preserve">50 </w:t>
      </w:r>
      <w:r>
        <w:rPr>
          <w:lang w:val="en-US"/>
        </w:rPr>
        <w:t>and MIC values not calculated for n&lt;10.</w:t>
      </w:r>
    </w:p>
    <w:p w:rsidR="00C500BE" w:rsidRPr="00483F42" w:rsidRDefault="008E1D21" w:rsidP="00C500BE">
      <w:pPr>
        <w:pStyle w:val="CLDTableFootnote"/>
      </w:pPr>
      <w:r>
        <w:t>1</w:t>
      </w:r>
      <w:r w:rsidR="00EB387C">
        <w:t xml:space="preserve">. </w:t>
      </w:r>
      <w:r w:rsidR="00C500BE">
        <w:t>E</w:t>
      </w:r>
      <w:r w:rsidR="00C500BE" w:rsidRPr="00483F42">
        <w:t>SBL (molecular</w:t>
      </w:r>
      <w:r w:rsidR="00C500BE">
        <w:t>)</w:t>
      </w:r>
      <w:r w:rsidR="00C500BE" w:rsidRPr="00483F42">
        <w:t xml:space="preserve"> = </w:t>
      </w:r>
      <w:r w:rsidR="00C500BE">
        <w:t xml:space="preserve">isolates </w:t>
      </w:r>
      <w:r w:rsidR="00C500BE" w:rsidRPr="00483F42">
        <w:t xml:space="preserve">which a </w:t>
      </w:r>
      <w:proofErr w:type="spellStart"/>
      <w:r w:rsidR="00C500BE" w:rsidRPr="00483F42">
        <w:rPr>
          <w:i/>
        </w:rPr>
        <w:t>bla</w:t>
      </w:r>
      <w:proofErr w:type="spellEnd"/>
      <w:r w:rsidR="00C500BE" w:rsidRPr="00483F42">
        <w:t xml:space="preserve"> gene encoding </w:t>
      </w:r>
      <w:r w:rsidR="005B1514">
        <w:t xml:space="preserve">an </w:t>
      </w:r>
      <w:r w:rsidR="00C500BE" w:rsidRPr="00483F42">
        <w:t>ESBL detected by PCR</w:t>
      </w:r>
      <w:r w:rsidR="00C500BE">
        <w:t xml:space="preserve"> and </w:t>
      </w:r>
      <w:proofErr w:type="gramStart"/>
      <w:r w:rsidR="00C500BE" w:rsidRPr="00483F42">
        <w:t>may also</w:t>
      </w:r>
      <w:proofErr w:type="gramEnd"/>
      <w:r w:rsidR="00C500BE" w:rsidRPr="00483F42">
        <w:t xml:space="preserve"> cont</w:t>
      </w:r>
      <w:r w:rsidR="00C500BE">
        <w:t>a</w:t>
      </w:r>
      <w:r w:rsidR="00C500BE" w:rsidRPr="00483F42">
        <w:t>in genes enc</w:t>
      </w:r>
      <w:r w:rsidR="00C500BE">
        <w:t>od</w:t>
      </w:r>
      <w:r w:rsidR="00C500BE" w:rsidRPr="00483F42">
        <w:t>ing othe</w:t>
      </w:r>
      <w:r w:rsidR="00C500BE">
        <w:t>r</w:t>
      </w:r>
      <w:r w:rsidR="00C500BE" w:rsidRPr="00483F42">
        <w:t xml:space="preserve"> </w:t>
      </w:r>
      <w:r w:rsidR="00FC719E">
        <w:sym w:font="Symbol" w:char="F062"/>
      </w:r>
      <w:r w:rsidR="00C500BE" w:rsidRPr="00483F42">
        <w:t xml:space="preserve">-lactamases. </w:t>
      </w:r>
    </w:p>
    <w:p w:rsidR="00C500BE" w:rsidRDefault="008E1D21" w:rsidP="00C500BE">
      <w:pPr>
        <w:pStyle w:val="CLDTableFootnote"/>
      </w:pPr>
      <w:r>
        <w:rPr>
          <w:color w:val="auto"/>
        </w:rPr>
        <w:t>2</w:t>
      </w:r>
      <w:r w:rsidR="00EB387C">
        <w:rPr>
          <w:color w:val="auto"/>
        </w:rPr>
        <w:t xml:space="preserve">. </w:t>
      </w:r>
      <w:r w:rsidR="00C500BE" w:rsidRPr="00483F42">
        <w:t>ESBL (scree</w:t>
      </w:r>
      <w:r w:rsidR="00C500BE">
        <w:t>n</w:t>
      </w:r>
      <w:r w:rsidR="00C500BE" w:rsidRPr="00483F42">
        <w:t xml:space="preserve"> negative)</w:t>
      </w:r>
      <w:r w:rsidR="00C500BE">
        <w:t xml:space="preserve"> = </w:t>
      </w:r>
      <w:r w:rsidR="00C500BE" w:rsidRPr="00483F42">
        <w:t>any isolate</w:t>
      </w:r>
      <w:r w:rsidR="00C500BE">
        <w:t xml:space="preserve"> w</w:t>
      </w:r>
      <w:r w:rsidR="00C500BE" w:rsidRPr="00483F42">
        <w:t xml:space="preserve">ith </w:t>
      </w:r>
      <w:proofErr w:type="spellStart"/>
      <w:r w:rsidR="00C500BE" w:rsidRPr="00483F42">
        <w:t>ceftazidime</w:t>
      </w:r>
      <w:proofErr w:type="spellEnd"/>
      <w:r w:rsidR="00C500BE" w:rsidRPr="00483F42">
        <w:t xml:space="preserve">, </w:t>
      </w:r>
      <w:proofErr w:type="spellStart"/>
      <w:r w:rsidR="00C500BE" w:rsidRPr="00483F42">
        <w:t>aztreonam</w:t>
      </w:r>
      <w:proofErr w:type="spellEnd"/>
      <w:r w:rsidR="00C500BE" w:rsidRPr="00483F42">
        <w:t xml:space="preserve">, MIC values </w:t>
      </w:r>
      <w:r w:rsidR="003F185E">
        <w:sym w:font="Symbol" w:char="F0A3"/>
      </w:r>
      <w:r w:rsidR="003F185E">
        <w:t xml:space="preserve"> 1 mg/L.</w:t>
      </w:r>
    </w:p>
    <w:p w:rsidR="00C500BE" w:rsidRDefault="008E1D21" w:rsidP="00C500BE">
      <w:pPr>
        <w:pStyle w:val="CLDTableFootnote"/>
      </w:pPr>
      <w:r>
        <w:t>3</w:t>
      </w:r>
      <w:r w:rsidR="00EB387C">
        <w:t xml:space="preserve">. </w:t>
      </w:r>
      <w:proofErr w:type="spellStart"/>
      <w:r w:rsidR="00C500BE" w:rsidRPr="00EB387C">
        <w:rPr>
          <w:i/>
          <w:iCs/>
        </w:rPr>
        <w:t>Klebsiella</w:t>
      </w:r>
      <w:proofErr w:type="spellEnd"/>
      <w:r w:rsidR="00C500BE">
        <w:t xml:space="preserve"> spp., </w:t>
      </w:r>
      <w:proofErr w:type="spellStart"/>
      <w:r w:rsidR="00C500BE" w:rsidRPr="00EB387C">
        <w:rPr>
          <w:i/>
          <w:iCs/>
        </w:rPr>
        <w:t>Oxytoca</w:t>
      </w:r>
      <w:proofErr w:type="spellEnd"/>
      <w:r w:rsidR="00C500BE" w:rsidRPr="00EB387C">
        <w:rPr>
          <w:i/>
          <w:iCs/>
        </w:rPr>
        <w:t xml:space="preserve"> </w:t>
      </w:r>
      <w:r w:rsidR="00C500BE">
        <w:t xml:space="preserve">(n=24), </w:t>
      </w:r>
      <w:proofErr w:type="spellStart"/>
      <w:r w:rsidR="00C500BE" w:rsidRPr="00EB387C">
        <w:rPr>
          <w:i/>
          <w:iCs/>
        </w:rPr>
        <w:t>pneumoniae</w:t>
      </w:r>
      <w:proofErr w:type="spellEnd"/>
      <w:r w:rsidR="00C500BE" w:rsidRPr="00EB387C">
        <w:rPr>
          <w:i/>
          <w:iCs/>
        </w:rPr>
        <w:t xml:space="preserve"> </w:t>
      </w:r>
      <w:r w:rsidR="00C500BE">
        <w:t>(n=148)</w:t>
      </w:r>
      <w:proofErr w:type="gramStart"/>
      <w:r w:rsidR="00C500BE">
        <w:t>;</w:t>
      </w:r>
      <w:proofErr w:type="gramEnd"/>
      <w:r w:rsidR="00C500BE">
        <w:t xml:space="preserve"> </w:t>
      </w:r>
      <w:proofErr w:type="spellStart"/>
      <w:r w:rsidR="00C500BE" w:rsidRPr="00EB387C">
        <w:rPr>
          <w:i/>
          <w:iCs/>
        </w:rPr>
        <w:t>variicola</w:t>
      </w:r>
      <w:proofErr w:type="spellEnd"/>
      <w:r w:rsidR="00C500BE" w:rsidRPr="00EB387C">
        <w:rPr>
          <w:i/>
          <w:iCs/>
        </w:rPr>
        <w:t xml:space="preserve"> </w:t>
      </w:r>
      <w:r w:rsidR="00C500BE">
        <w:t xml:space="preserve">(n= 2). </w:t>
      </w:r>
    </w:p>
    <w:p w:rsidR="00840A0B" w:rsidRDefault="008E1D21" w:rsidP="00367176">
      <w:pPr>
        <w:pStyle w:val="CLDTableFootnote"/>
      </w:pPr>
      <w:r>
        <w:t>4</w:t>
      </w:r>
      <w:r w:rsidR="00EB387C">
        <w:t>.</w:t>
      </w:r>
      <w:r w:rsidR="008A7A49">
        <w:t xml:space="preserve"> </w:t>
      </w:r>
      <w:proofErr w:type="spellStart"/>
      <w:r w:rsidR="00840A0B" w:rsidRPr="00EB387C">
        <w:rPr>
          <w:i/>
        </w:rPr>
        <w:t>Enterobacter</w:t>
      </w:r>
      <w:proofErr w:type="spellEnd"/>
      <w:r w:rsidR="00840A0B">
        <w:t xml:space="preserve"> spp., </w:t>
      </w:r>
      <w:proofErr w:type="spellStart"/>
      <w:r w:rsidR="0083136E">
        <w:rPr>
          <w:i/>
        </w:rPr>
        <w:t>A</w:t>
      </w:r>
      <w:r w:rsidR="00840A0B" w:rsidRPr="00EB387C">
        <w:rPr>
          <w:i/>
        </w:rPr>
        <w:t>erogenes</w:t>
      </w:r>
      <w:proofErr w:type="spellEnd"/>
      <w:r w:rsidR="0083136E">
        <w:rPr>
          <w:i/>
        </w:rPr>
        <w:t xml:space="preserve"> </w:t>
      </w:r>
      <w:r w:rsidR="0083136E" w:rsidRPr="000C6E53">
        <w:t>(n = 22)</w:t>
      </w:r>
      <w:proofErr w:type="gramStart"/>
      <w:r w:rsidR="0083136E">
        <w:rPr>
          <w:i/>
        </w:rPr>
        <w:t>;</w:t>
      </w:r>
      <w:proofErr w:type="gramEnd"/>
      <w:r w:rsidR="0083136E">
        <w:rPr>
          <w:i/>
        </w:rPr>
        <w:t xml:space="preserve"> </w:t>
      </w:r>
      <w:proofErr w:type="spellStart"/>
      <w:r w:rsidR="0083136E" w:rsidRPr="0083136E">
        <w:rPr>
          <w:i/>
        </w:rPr>
        <w:t>asburiae</w:t>
      </w:r>
      <w:proofErr w:type="spellEnd"/>
      <w:r w:rsidR="0083136E">
        <w:t xml:space="preserve"> (n = 5), </w:t>
      </w:r>
      <w:r w:rsidR="0083136E" w:rsidRPr="0083136E">
        <w:rPr>
          <w:i/>
        </w:rPr>
        <w:t>cloacae</w:t>
      </w:r>
      <w:r w:rsidR="0083136E">
        <w:t xml:space="preserve"> (n = 34), </w:t>
      </w:r>
      <w:proofErr w:type="spellStart"/>
      <w:r w:rsidR="0083136E" w:rsidRPr="0083136E">
        <w:rPr>
          <w:i/>
        </w:rPr>
        <w:t>kobei</w:t>
      </w:r>
      <w:proofErr w:type="spellEnd"/>
      <w:r w:rsidR="0083136E" w:rsidRPr="0083136E">
        <w:rPr>
          <w:i/>
        </w:rPr>
        <w:t xml:space="preserve"> (</w:t>
      </w:r>
      <w:r w:rsidR="0083136E">
        <w:t>n -= 1)</w:t>
      </w:r>
      <w:r w:rsidR="008D1E32">
        <w:t>.</w:t>
      </w:r>
    </w:p>
    <w:p w:rsidR="00506E98" w:rsidRDefault="008E1D21" w:rsidP="00367176">
      <w:pPr>
        <w:pStyle w:val="CLDTableFootnote"/>
      </w:pPr>
      <w:r>
        <w:t>5</w:t>
      </w:r>
      <w:r w:rsidR="00EB387C">
        <w:t>.</w:t>
      </w:r>
      <w:r w:rsidR="00397DE7">
        <w:t xml:space="preserve"> </w:t>
      </w:r>
      <w:proofErr w:type="spellStart"/>
      <w:r w:rsidR="00840A0B" w:rsidRPr="00EB387C">
        <w:rPr>
          <w:i/>
        </w:rPr>
        <w:t>Providenc</w:t>
      </w:r>
      <w:r w:rsidR="00397DE7" w:rsidRPr="00EB387C">
        <w:rPr>
          <w:i/>
        </w:rPr>
        <w:t>i</w:t>
      </w:r>
      <w:r w:rsidR="00840A0B" w:rsidRPr="00EB387C">
        <w:rPr>
          <w:i/>
        </w:rPr>
        <w:t>a</w:t>
      </w:r>
      <w:proofErr w:type="spellEnd"/>
      <w:r w:rsidR="00840A0B">
        <w:t xml:space="preserve"> spp., </w:t>
      </w:r>
      <w:proofErr w:type="spellStart"/>
      <w:r w:rsidR="000C6E53" w:rsidRPr="000C6E53">
        <w:rPr>
          <w:i/>
        </w:rPr>
        <w:t>R</w:t>
      </w:r>
      <w:r w:rsidR="00840A0B" w:rsidRPr="00EB387C">
        <w:rPr>
          <w:i/>
        </w:rPr>
        <w:t>ettgeri</w:t>
      </w:r>
      <w:proofErr w:type="spellEnd"/>
      <w:r w:rsidR="00840A0B" w:rsidRPr="00EB387C">
        <w:rPr>
          <w:i/>
        </w:rPr>
        <w:t xml:space="preserve"> </w:t>
      </w:r>
      <w:r w:rsidR="00840A0B">
        <w:t>(n=8)</w:t>
      </w:r>
      <w:proofErr w:type="gramStart"/>
      <w:r w:rsidR="000C6E53">
        <w:t>;</w:t>
      </w:r>
      <w:proofErr w:type="gramEnd"/>
      <w:r w:rsidR="00840A0B">
        <w:t xml:space="preserve"> </w:t>
      </w:r>
      <w:proofErr w:type="spellStart"/>
      <w:r w:rsidR="00840A0B" w:rsidRPr="00EB387C">
        <w:rPr>
          <w:i/>
        </w:rPr>
        <w:t>stuartii</w:t>
      </w:r>
      <w:proofErr w:type="spellEnd"/>
      <w:r w:rsidR="00840A0B">
        <w:t xml:space="preserve"> (n=4)</w:t>
      </w:r>
      <w:r w:rsidR="00D07510">
        <w:t>.</w:t>
      </w:r>
    </w:p>
    <w:p w:rsidR="00C004AC" w:rsidRPr="00BC545A" w:rsidRDefault="00C004AC" w:rsidP="005B4B20">
      <w:pPr>
        <w:pStyle w:val="CLDHeading3"/>
      </w:pPr>
      <w:r w:rsidRPr="00BC545A">
        <w:t xml:space="preserve">Clinical </w:t>
      </w:r>
      <w:r w:rsidR="004D39F9">
        <w:t>t</w:t>
      </w:r>
      <w:r w:rsidR="001F06A7">
        <w:t>rials</w:t>
      </w:r>
      <w:r w:rsidRPr="00BC545A">
        <w:t xml:space="preserve"> </w:t>
      </w:r>
    </w:p>
    <w:p w:rsidR="007068D6" w:rsidRPr="00BC545A" w:rsidRDefault="007068D6" w:rsidP="007068D6">
      <w:pPr>
        <w:pStyle w:val="CLDHeading4"/>
      </w:pPr>
      <w:r w:rsidRPr="00BC545A">
        <w:t>Complicated intra-abdominal infections</w:t>
      </w:r>
      <w:r w:rsidR="00E408C5">
        <w:t xml:space="preserve"> (</w:t>
      </w:r>
      <w:proofErr w:type="spellStart"/>
      <w:r w:rsidR="00E408C5">
        <w:t>cIAI</w:t>
      </w:r>
      <w:proofErr w:type="spellEnd"/>
      <w:r w:rsidR="00E408C5">
        <w:t>)</w:t>
      </w:r>
    </w:p>
    <w:p w:rsidR="007F4266" w:rsidRPr="007F4266" w:rsidRDefault="00B6621A" w:rsidP="0044661C">
      <w:pPr>
        <w:pStyle w:val="CLDNormal"/>
        <w:rPr>
          <w:lang w:val="en-US"/>
        </w:rPr>
      </w:pPr>
      <w:r>
        <w:t>I</w:t>
      </w:r>
      <w:r w:rsidRPr="00BC545A">
        <w:t>n two identical randomised, multi-centre, multinational, double-blind studies (RECLAIM 1 and RECLAIM 2)</w:t>
      </w:r>
      <w:r>
        <w:t>, a</w:t>
      </w:r>
      <w:r w:rsidRPr="00BC545A">
        <w:t xml:space="preserve"> total of 1058 adults with </w:t>
      </w:r>
      <w:proofErr w:type="spellStart"/>
      <w:r w:rsidRPr="00BC545A">
        <w:t>c</w:t>
      </w:r>
      <w:r>
        <w:t>IAI</w:t>
      </w:r>
      <w:proofErr w:type="spellEnd"/>
      <w:r>
        <w:t xml:space="preserve"> </w:t>
      </w:r>
      <w:r w:rsidRPr="00BC545A">
        <w:t>were randomi</w:t>
      </w:r>
      <w:r>
        <w:t>s</w:t>
      </w:r>
      <w:r w:rsidRPr="00BC545A">
        <w:t xml:space="preserve">ed </w:t>
      </w:r>
      <w:r>
        <w:t xml:space="preserve">to </w:t>
      </w:r>
      <w:r w:rsidRPr="00BC545A">
        <w:t xml:space="preserve">receive treatment comparing </w:t>
      </w:r>
      <w:proofErr w:type="spellStart"/>
      <w:r w:rsidR="000C5A6C">
        <w:t>Zavicefta</w:t>
      </w:r>
      <w:proofErr w:type="spellEnd"/>
      <w:r w:rsidRPr="00BC545A">
        <w:t xml:space="preserve"> (2000 mg of </w:t>
      </w:r>
      <w:r w:rsidR="000C5A6C">
        <w:t>CAZ</w:t>
      </w:r>
      <w:r w:rsidRPr="00BC545A">
        <w:t xml:space="preserve"> and 500 mg of </w:t>
      </w:r>
      <w:r w:rsidR="000C5A6C">
        <w:t>AVI</w:t>
      </w:r>
      <w:r w:rsidRPr="00BC545A">
        <w:t xml:space="preserve">) administered intravenously over 120 minutes every 8 hours plus metronidazole (500 mg) to </w:t>
      </w:r>
      <w:proofErr w:type="spellStart"/>
      <w:r w:rsidRPr="00BC545A">
        <w:t>meropenem</w:t>
      </w:r>
      <w:proofErr w:type="spellEnd"/>
      <w:r w:rsidRPr="00BC545A">
        <w:t xml:space="preserve"> (1000 mg) administered intravenously over 30 minutes. Treatment duration was 5 to 14 days. </w:t>
      </w:r>
      <w:proofErr w:type="spellStart"/>
      <w:proofErr w:type="gramStart"/>
      <w:r w:rsidR="0044661C">
        <w:rPr>
          <w:lang w:val="en-US"/>
        </w:rPr>
        <w:t>cIAI</w:t>
      </w:r>
      <w:proofErr w:type="spellEnd"/>
      <w:proofErr w:type="gramEnd"/>
      <w:r w:rsidR="0044661C">
        <w:rPr>
          <w:lang w:val="en-US"/>
        </w:rPr>
        <w:t xml:space="preserve"> </w:t>
      </w:r>
      <w:r w:rsidR="0044661C" w:rsidRPr="00BC545A">
        <w:t>(defined as infections that require surgical intervention and extend beyond the hollow viscus into the intraperitoneal space)</w:t>
      </w:r>
      <w:r w:rsidR="0044661C">
        <w:rPr>
          <w:lang w:val="en-US"/>
        </w:rPr>
        <w:t xml:space="preserve"> included appendicitis, </w:t>
      </w:r>
      <w:proofErr w:type="spellStart"/>
      <w:r w:rsidR="0044661C">
        <w:rPr>
          <w:lang w:val="en-US"/>
        </w:rPr>
        <w:t>cholecystitis</w:t>
      </w:r>
      <w:proofErr w:type="spellEnd"/>
      <w:r w:rsidR="0044661C">
        <w:rPr>
          <w:lang w:val="en-US"/>
        </w:rPr>
        <w:t>, diverticulitis, gastric/duodenal perforation, perforation of the intestine, and other causes of intra-abdominal abscesses and peritonitis.</w:t>
      </w:r>
    </w:p>
    <w:p w:rsidR="00B6621A" w:rsidRPr="00BC545A" w:rsidRDefault="00B6621A" w:rsidP="00B6621A">
      <w:pPr>
        <w:pStyle w:val="CLDNormal"/>
      </w:pPr>
      <w:r w:rsidRPr="00BC545A">
        <w:t xml:space="preserve">The modified intent-to-treat (MITT) population included all patients who </w:t>
      </w:r>
      <w:r w:rsidRPr="00BC545A">
        <w:rPr>
          <w:lang w:val="en-US"/>
        </w:rPr>
        <w:t xml:space="preserve">met the disease definition of </w:t>
      </w:r>
      <w:proofErr w:type="spellStart"/>
      <w:r w:rsidRPr="00BC545A">
        <w:rPr>
          <w:lang w:val="en-US"/>
        </w:rPr>
        <w:t>cIAI</w:t>
      </w:r>
      <w:proofErr w:type="spellEnd"/>
      <w:r w:rsidRPr="00BC545A">
        <w:rPr>
          <w:lang w:val="en-US"/>
        </w:rPr>
        <w:t xml:space="preserve"> and </w:t>
      </w:r>
      <w:r w:rsidRPr="00BC545A">
        <w:t xml:space="preserve">received at least </w:t>
      </w:r>
      <w:proofErr w:type="gramStart"/>
      <w:r w:rsidRPr="00BC545A">
        <w:t>1</w:t>
      </w:r>
      <w:proofErr w:type="gramEnd"/>
      <w:r w:rsidRPr="00BC545A">
        <w:t xml:space="preserve"> dose of the study drug. The clinically evaluable (CE) population included patients who had an appropriate diagnosis of </w:t>
      </w:r>
      <w:proofErr w:type="spellStart"/>
      <w:r w:rsidRPr="00BC545A">
        <w:t>cIAI</w:t>
      </w:r>
      <w:proofErr w:type="spellEnd"/>
      <w:r w:rsidRPr="00BC545A">
        <w:t xml:space="preserve"> and excluded patients with a bacterial species typically not expected to respond to both study drugs (i.e. </w:t>
      </w:r>
      <w:proofErr w:type="spellStart"/>
      <w:r w:rsidRPr="00BC545A">
        <w:rPr>
          <w:i/>
          <w:iCs/>
        </w:rPr>
        <w:t>Acinetobacter</w:t>
      </w:r>
      <w:proofErr w:type="spellEnd"/>
      <w:r w:rsidRPr="00BC545A">
        <w:rPr>
          <w:i/>
          <w:iCs/>
        </w:rPr>
        <w:t xml:space="preserve"> </w:t>
      </w:r>
      <w:proofErr w:type="spellStart"/>
      <w:r w:rsidRPr="00BC545A">
        <w:rPr>
          <w:i/>
          <w:iCs/>
        </w:rPr>
        <w:t>baumannii</w:t>
      </w:r>
      <w:proofErr w:type="spellEnd"/>
      <w:r w:rsidRPr="00BC545A">
        <w:t xml:space="preserve"> or </w:t>
      </w:r>
      <w:proofErr w:type="spellStart"/>
      <w:r w:rsidRPr="00BC545A">
        <w:rPr>
          <w:i/>
          <w:iCs/>
        </w:rPr>
        <w:t>Stenotrophomonas</w:t>
      </w:r>
      <w:proofErr w:type="spellEnd"/>
      <w:r w:rsidRPr="00BC545A">
        <w:t xml:space="preserve"> </w:t>
      </w:r>
      <w:proofErr w:type="spellStart"/>
      <w:r w:rsidRPr="00BC545A">
        <w:t>spp</w:t>
      </w:r>
      <w:proofErr w:type="spellEnd"/>
      <w:r w:rsidRPr="00BC545A">
        <w:t>) and/or who had an important protocol deviation impacting the assess</w:t>
      </w:r>
      <w:r w:rsidR="007F4266">
        <w:t>ment of efficacy.</w:t>
      </w:r>
    </w:p>
    <w:p w:rsidR="007068D6" w:rsidRPr="00367176" w:rsidRDefault="00B6621A" w:rsidP="00B6621A">
      <w:pPr>
        <w:pStyle w:val="CLDNormal"/>
      </w:pPr>
      <w:r w:rsidRPr="00BC545A">
        <w:t xml:space="preserve">The primary efficacy endpoint was the clinical response at the Test of Cure (TOC) visit in the co-primary populations of the CE and MITT patients in </w:t>
      </w:r>
      <w:r w:rsidR="00501C00">
        <w:t>the t</w:t>
      </w:r>
      <w:r w:rsidRPr="00BC545A">
        <w:t>able below</w:t>
      </w:r>
      <w:r w:rsidR="007F4266">
        <w:rPr>
          <w:szCs w:val="24"/>
        </w:rPr>
        <w:t>.</w:t>
      </w:r>
    </w:p>
    <w:p w:rsidR="00A65B7D" w:rsidRPr="00BC545A" w:rsidRDefault="00A65B7D" w:rsidP="00A710B1">
      <w:pPr>
        <w:pStyle w:val="CLDTableTitle"/>
        <w:pageBreakBefore/>
      </w:pPr>
      <w:bookmarkStart w:id="5" w:name="_Toc1479076"/>
      <w:r w:rsidRPr="00BC545A">
        <w:lastRenderedPageBreak/>
        <w:t xml:space="preserve">Table </w:t>
      </w:r>
      <w:r w:rsidRPr="0001247C">
        <w:fldChar w:fldCharType="begin"/>
      </w:r>
      <w:r w:rsidRPr="00BC545A">
        <w:instrText xml:space="preserve"> SEQ Table \* ARABIC </w:instrText>
      </w:r>
      <w:r w:rsidRPr="0001247C">
        <w:fldChar w:fldCharType="separate"/>
      </w:r>
      <w:r w:rsidR="00B44B34">
        <w:rPr>
          <w:noProof/>
        </w:rPr>
        <w:t>6</w:t>
      </w:r>
      <w:r w:rsidRPr="0001247C">
        <w:fldChar w:fldCharType="end"/>
      </w:r>
      <w:r w:rsidRPr="00BC545A">
        <w:t>: Clinical cure rate at TOC (RECLAIM MITT and CE analysis sets)</w:t>
      </w:r>
      <w:bookmarkEnd w:id="5"/>
    </w:p>
    <w:tbl>
      <w:tblPr>
        <w:tblW w:w="4596" w:type="pct"/>
        <w:tblInd w:w="108" w:type="dxa"/>
        <w:tblLook w:val="0000" w:firstRow="0" w:lastRow="0" w:firstColumn="0" w:lastColumn="0" w:noHBand="0" w:noVBand="0"/>
      </w:tblPr>
      <w:tblGrid>
        <w:gridCol w:w="2075"/>
        <w:gridCol w:w="2075"/>
        <w:gridCol w:w="1523"/>
        <w:gridCol w:w="2767"/>
      </w:tblGrid>
      <w:tr w:rsidR="001939AC" w:rsidRPr="002E7FAF" w:rsidTr="004A7250">
        <w:trPr>
          <w:cantSplit/>
          <w:tblHeader/>
        </w:trPr>
        <w:tc>
          <w:tcPr>
            <w:tcW w:w="1230" w:type="pct"/>
            <w:tcBorders>
              <w:top w:val="single" w:sz="4" w:space="0" w:color="auto"/>
              <w:left w:val="single" w:sz="4" w:space="0" w:color="auto"/>
              <w:bottom w:val="single" w:sz="4" w:space="0" w:color="auto"/>
              <w:right w:val="single" w:sz="4" w:space="0" w:color="auto"/>
            </w:tcBorders>
          </w:tcPr>
          <w:p w:rsidR="007068D6" w:rsidRPr="002E7FAF" w:rsidRDefault="007068D6" w:rsidP="002E7FAF">
            <w:pPr>
              <w:pStyle w:val="CLDTableSpaceListSpace"/>
              <w:rPr>
                <w:rFonts w:eastAsia="Calibri"/>
                <w:b/>
                <w:bCs/>
                <w:sz w:val="22"/>
              </w:rPr>
            </w:pPr>
            <w:r w:rsidRPr="002E7FAF">
              <w:rPr>
                <w:rFonts w:eastAsia="Calibri"/>
                <w:b/>
                <w:bCs/>
                <w:sz w:val="22"/>
              </w:rPr>
              <w:t>Analysis set</w:t>
            </w:r>
          </w:p>
        </w:tc>
        <w:tc>
          <w:tcPr>
            <w:tcW w:w="3770" w:type="pct"/>
            <w:gridSpan w:val="3"/>
            <w:tcBorders>
              <w:top w:val="single" w:sz="4" w:space="0" w:color="auto"/>
              <w:left w:val="single" w:sz="4" w:space="0" w:color="auto"/>
              <w:bottom w:val="single" w:sz="4" w:space="0" w:color="auto"/>
              <w:right w:val="single" w:sz="4" w:space="0" w:color="auto"/>
            </w:tcBorders>
          </w:tcPr>
          <w:p w:rsidR="007068D6" w:rsidRPr="002E7FAF" w:rsidRDefault="007068D6" w:rsidP="002E7FAF">
            <w:pPr>
              <w:pStyle w:val="CLDTableSpaceListSpace"/>
              <w:jc w:val="center"/>
              <w:rPr>
                <w:rFonts w:eastAsia="Calibri"/>
                <w:b/>
                <w:bCs/>
                <w:sz w:val="22"/>
              </w:rPr>
            </w:pPr>
            <w:r w:rsidRPr="002E7FAF">
              <w:rPr>
                <w:rFonts w:eastAsia="Calibri"/>
                <w:b/>
                <w:bCs/>
                <w:sz w:val="22"/>
              </w:rPr>
              <w:t>Number (%) of patients</w:t>
            </w:r>
          </w:p>
        </w:tc>
      </w:tr>
      <w:tr w:rsidR="00020CB9" w:rsidRPr="002E7FAF" w:rsidTr="004A7250">
        <w:trPr>
          <w:cantSplit/>
          <w:tblHeader/>
        </w:trPr>
        <w:tc>
          <w:tcPr>
            <w:tcW w:w="1230" w:type="pct"/>
            <w:tcBorders>
              <w:top w:val="single" w:sz="4" w:space="0" w:color="auto"/>
              <w:left w:val="single" w:sz="4" w:space="0" w:color="auto"/>
              <w:bottom w:val="single" w:sz="4" w:space="0" w:color="auto"/>
              <w:right w:val="single" w:sz="4" w:space="0" w:color="auto"/>
            </w:tcBorders>
          </w:tcPr>
          <w:p w:rsidR="007068D6" w:rsidRPr="002E7FAF" w:rsidRDefault="007068D6" w:rsidP="002E7FAF">
            <w:pPr>
              <w:pStyle w:val="CLDTableSpaceListSpace"/>
              <w:rPr>
                <w:rFonts w:eastAsia="Calibri"/>
                <w:b/>
                <w:bCs/>
                <w:sz w:val="22"/>
              </w:rPr>
            </w:pPr>
            <w:r w:rsidRPr="002E7FAF">
              <w:rPr>
                <w:rFonts w:eastAsia="Calibri"/>
                <w:b/>
                <w:bCs/>
                <w:sz w:val="22"/>
              </w:rPr>
              <w:t>Response</w:t>
            </w:r>
          </w:p>
        </w:tc>
        <w:tc>
          <w:tcPr>
            <w:tcW w:w="1229" w:type="pct"/>
            <w:tcBorders>
              <w:top w:val="single" w:sz="4" w:space="0" w:color="auto"/>
              <w:left w:val="single" w:sz="4" w:space="0" w:color="auto"/>
              <w:bottom w:val="single" w:sz="4" w:space="0" w:color="auto"/>
              <w:right w:val="single" w:sz="4" w:space="0" w:color="auto"/>
            </w:tcBorders>
          </w:tcPr>
          <w:p w:rsidR="007068D6" w:rsidRPr="002E7FAF" w:rsidRDefault="007068D6" w:rsidP="002E7FAF">
            <w:pPr>
              <w:pStyle w:val="CLDTableSpaceListSpace"/>
              <w:rPr>
                <w:rFonts w:eastAsia="Calibri"/>
                <w:b/>
                <w:bCs/>
                <w:sz w:val="22"/>
              </w:rPr>
            </w:pPr>
            <w:r w:rsidRPr="002E7FAF">
              <w:rPr>
                <w:rFonts w:eastAsia="Calibri"/>
                <w:b/>
                <w:bCs/>
                <w:sz w:val="22"/>
              </w:rPr>
              <w:t>CAZ</w:t>
            </w:r>
            <w:r w:rsidR="00E61FAC" w:rsidRPr="002E7FAF">
              <w:rPr>
                <w:rFonts w:eastAsia="Calibri"/>
                <w:b/>
                <w:bCs/>
                <w:sz w:val="22"/>
              </w:rPr>
              <w:t>/</w:t>
            </w:r>
            <w:r w:rsidRPr="002E7FAF">
              <w:rPr>
                <w:rFonts w:eastAsia="Calibri"/>
                <w:b/>
                <w:bCs/>
                <w:sz w:val="22"/>
              </w:rPr>
              <w:t>AVI + MTZ</w:t>
            </w:r>
          </w:p>
        </w:tc>
        <w:tc>
          <w:tcPr>
            <w:tcW w:w="902" w:type="pct"/>
            <w:tcBorders>
              <w:top w:val="single" w:sz="4" w:space="0" w:color="auto"/>
              <w:left w:val="single" w:sz="4" w:space="0" w:color="auto"/>
              <w:bottom w:val="single" w:sz="4" w:space="0" w:color="auto"/>
              <w:right w:val="single" w:sz="4" w:space="0" w:color="auto"/>
            </w:tcBorders>
          </w:tcPr>
          <w:p w:rsidR="007068D6" w:rsidRPr="002E7FAF" w:rsidRDefault="007068D6" w:rsidP="002E7FAF">
            <w:pPr>
              <w:pStyle w:val="CLDTableSpaceListSpace"/>
              <w:rPr>
                <w:rFonts w:eastAsia="Calibri"/>
                <w:b/>
                <w:bCs/>
                <w:sz w:val="22"/>
              </w:rPr>
            </w:pPr>
            <w:proofErr w:type="spellStart"/>
            <w:r w:rsidRPr="002E7FAF">
              <w:rPr>
                <w:rFonts w:eastAsia="Calibri"/>
                <w:b/>
                <w:bCs/>
                <w:sz w:val="22"/>
              </w:rPr>
              <w:t>Meropenem</w:t>
            </w:r>
            <w:proofErr w:type="spellEnd"/>
          </w:p>
        </w:tc>
        <w:tc>
          <w:tcPr>
            <w:tcW w:w="1639" w:type="pct"/>
            <w:tcBorders>
              <w:top w:val="single" w:sz="4" w:space="0" w:color="auto"/>
              <w:left w:val="single" w:sz="4" w:space="0" w:color="auto"/>
              <w:bottom w:val="single" w:sz="4" w:space="0" w:color="auto"/>
              <w:right w:val="single" w:sz="4" w:space="0" w:color="auto"/>
            </w:tcBorders>
          </w:tcPr>
          <w:p w:rsidR="007068D6" w:rsidRPr="002E7FAF" w:rsidRDefault="007068D6" w:rsidP="002E7FAF">
            <w:pPr>
              <w:pStyle w:val="CLDTableSpaceListSpace"/>
              <w:rPr>
                <w:rFonts w:eastAsia="Calibri"/>
                <w:b/>
                <w:bCs/>
                <w:sz w:val="22"/>
              </w:rPr>
            </w:pPr>
            <w:r w:rsidRPr="002E7FAF">
              <w:rPr>
                <w:rFonts w:eastAsia="Calibri"/>
                <w:b/>
                <w:bCs/>
                <w:sz w:val="22"/>
              </w:rPr>
              <w:t>Difference (%) 95% CI</w:t>
            </w:r>
          </w:p>
        </w:tc>
      </w:tr>
      <w:tr w:rsidR="00020CB9" w:rsidRPr="00667EAA" w:rsidTr="004A7250">
        <w:trPr>
          <w:cantSplit/>
        </w:trPr>
        <w:tc>
          <w:tcPr>
            <w:tcW w:w="1230" w:type="pct"/>
            <w:tcBorders>
              <w:top w:val="single" w:sz="4" w:space="0" w:color="auto"/>
              <w:left w:val="single" w:sz="4" w:space="0" w:color="auto"/>
              <w:bottom w:val="single" w:sz="4" w:space="0" w:color="auto"/>
              <w:right w:val="single" w:sz="4" w:space="0" w:color="auto"/>
            </w:tcBorders>
          </w:tcPr>
          <w:p w:rsidR="007068D6" w:rsidRPr="00667EAA" w:rsidRDefault="007068D6" w:rsidP="00667EAA">
            <w:pPr>
              <w:pStyle w:val="CLDTableTextListText"/>
              <w:rPr>
                <w:rFonts w:eastAsia="Calibri"/>
                <w:sz w:val="22"/>
              </w:rPr>
            </w:pPr>
            <w:r w:rsidRPr="00667EAA">
              <w:rPr>
                <w:rFonts w:eastAsia="Calibri"/>
                <w:sz w:val="22"/>
              </w:rPr>
              <w:t>MITT</w:t>
            </w:r>
          </w:p>
        </w:tc>
        <w:tc>
          <w:tcPr>
            <w:tcW w:w="1229" w:type="pct"/>
            <w:tcBorders>
              <w:top w:val="single" w:sz="4" w:space="0" w:color="auto"/>
              <w:left w:val="single" w:sz="4" w:space="0" w:color="auto"/>
              <w:bottom w:val="single" w:sz="4" w:space="0" w:color="auto"/>
              <w:right w:val="single" w:sz="4" w:space="0" w:color="auto"/>
            </w:tcBorders>
          </w:tcPr>
          <w:p w:rsidR="007068D6" w:rsidRPr="00667EAA" w:rsidRDefault="007068D6" w:rsidP="00667EAA">
            <w:pPr>
              <w:pStyle w:val="CLDTableTextListText"/>
              <w:rPr>
                <w:sz w:val="22"/>
              </w:rPr>
            </w:pPr>
            <w:r w:rsidRPr="00667EAA">
              <w:rPr>
                <w:rFonts w:eastAsia="Calibri"/>
                <w:sz w:val="22"/>
              </w:rPr>
              <w:t>(N=520)</w:t>
            </w:r>
          </w:p>
        </w:tc>
        <w:tc>
          <w:tcPr>
            <w:tcW w:w="902" w:type="pct"/>
            <w:tcBorders>
              <w:top w:val="single" w:sz="4" w:space="0" w:color="auto"/>
              <w:left w:val="single" w:sz="4" w:space="0" w:color="auto"/>
              <w:bottom w:val="single" w:sz="4" w:space="0" w:color="auto"/>
              <w:right w:val="single" w:sz="4" w:space="0" w:color="auto"/>
            </w:tcBorders>
          </w:tcPr>
          <w:p w:rsidR="007068D6" w:rsidRPr="00667EAA" w:rsidRDefault="007068D6" w:rsidP="00667EAA">
            <w:pPr>
              <w:pStyle w:val="CLDTableTextListText"/>
              <w:rPr>
                <w:sz w:val="22"/>
              </w:rPr>
            </w:pPr>
            <w:r w:rsidRPr="00667EAA">
              <w:rPr>
                <w:rFonts w:eastAsia="Calibri"/>
                <w:sz w:val="22"/>
              </w:rPr>
              <w:t>(N=523)</w:t>
            </w:r>
          </w:p>
        </w:tc>
        <w:tc>
          <w:tcPr>
            <w:tcW w:w="1639" w:type="pct"/>
            <w:tcBorders>
              <w:top w:val="single" w:sz="4" w:space="0" w:color="auto"/>
              <w:left w:val="single" w:sz="4" w:space="0" w:color="auto"/>
              <w:bottom w:val="single" w:sz="4" w:space="0" w:color="auto"/>
              <w:right w:val="single" w:sz="4" w:space="0" w:color="auto"/>
            </w:tcBorders>
          </w:tcPr>
          <w:p w:rsidR="007068D6" w:rsidRPr="00667EAA" w:rsidRDefault="007068D6" w:rsidP="00667EAA">
            <w:pPr>
              <w:pStyle w:val="CLDTableTextListText"/>
              <w:rPr>
                <w:sz w:val="22"/>
              </w:rPr>
            </w:pPr>
          </w:p>
        </w:tc>
      </w:tr>
      <w:tr w:rsidR="00020CB9" w:rsidRPr="00667EAA" w:rsidTr="004A7250">
        <w:trPr>
          <w:cantSplit/>
        </w:trPr>
        <w:tc>
          <w:tcPr>
            <w:tcW w:w="1230" w:type="pct"/>
            <w:tcBorders>
              <w:top w:val="single" w:sz="4" w:space="0" w:color="auto"/>
              <w:left w:val="single" w:sz="4" w:space="0" w:color="auto"/>
              <w:bottom w:val="single" w:sz="4" w:space="0" w:color="auto"/>
              <w:right w:val="single" w:sz="4" w:space="0" w:color="auto"/>
            </w:tcBorders>
          </w:tcPr>
          <w:p w:rsidR="007068D6" w:rsidRPr="00667EAA" w:rsidRDefault="004A7250" w:rsidP="00667EAA">
            <w:pPr>
              <w:pStyle w:val="CLDTableTextListText"/>
              <w:rPr>
                <w:rFonts w:eastAsia="Calibri"/>
                <w:sz w:val="22"/>
              </w:rPr>
            </w:pPr>
            <w:r w:rsidRPr="00667EAA">
              <w:rPr>
                <w:rFonts w:eastAsia="Calibri"/>
                <w:sz w:val="22"/>
              </w:rPr>
              <w:tab/>
            </w:r>
            <w:r w:rsidR="007068D6" w:rsidRPr="00667EAA">
              <w:rPr>
                <w:rFonts w:eastAsia="Calibri"/>
                <w:sz w:val="22"/>
              </w:rPr>
              <w:t>Clinical cure</w:t>
            </w:r>
          </w:p>
        </w:tc>
        <w:tc>
          <w:tcPr>
            <w:tcW w:w="1229" w:type="pct"/>
            <w:tcBorders>
              <w:top w:val="single" w:sz="4" w:space="0" w:color="auto"/>
              <w:left w:val="single" w:sz="4" w:space="0" w:color="auto"/>
              <w:bottom w:val="single" w:sz="4" w:space="0" w:color="auto"/>
              <w:right w:val="single" w:sz="4" w:space="0" w:color="auto"/>
            </w:tcBorders>
          </w:tcPr>
          <w:p w:rsidR="007068D6" w:rsidRPr="00667EAA" w:rsidRDefault="007068D6" w:rsidP="00667EAA">
            <w:pPr>
              <w:pStyle w:val="CLDTableTextListText"/>
              <w:rPr>
                <w:sz w:val="22"/>
              </w:rPr>
            </w:pPr>
            <w:r w:rsidRPr="00667EAA">
              <w:rPr>
                <w:sz w:val="22"/>
              </w:rPr>
              <w:t>429 (82.5)</w:t>
            </w:r>
          </w:p>
        </w:tc>
        <w:tc>
          <w:tcPr>
            <w:tcW w:w="902" w:type="pct"/>
            <w:tcBorders>
              <w:top w:val="single" w:sz="4" w:space="0" w:color="auto"/>
              <w:left w:val="single" w:sz="4" w:space="0" w:color="auto"/>
              <w:bottom w:val="single" w:sz="4" w:space="0" w:color="auto"/>
              <w:right w:val="single" w:sz="4" w:space="0" w:color="auto"/>
            </w:tcBorders>
          </w:tcPr>
          <w:p w:rsidR="007068D6" w:rsidRPr="00667EAA" w:rsidRDefault="007068D6" w:rsidP="00667EAA">
            <w:pPr>
              <w:pStyle w:val="CLDTableTextListText"/>
              <w:rPr>
                <w:sz w:val="22"/>
              </w:rPr>
            </w:pPr>
            <w:r w:rsidRPr="00667EAA">
              <w:rPr>
                <w:sz w:val="22"/>
              </w:rPr>
              <w:t>444 (84.9)</w:t>
            </w:r>
          </w:p>
        </w:tc>
        <w:tc>
          <w:tcPr>
            <w:tcW w:w="1639" w:type="pct"/>
            <w:tcBorders>
              <w:top w:val="single" w:sz="4" w:space="0" w:color="auto"/>
              <w:left w:val="single" w:sz="4" w:space="0" w:color="auto"/>
              <w:bottom w:val="single" w:sz="4" w:space="0" w:color="auto"/>
              <w:right w:val="single" w:sz="4" w:space="0" w:color="auto"/>
            </w:tcBorders>
          </w:tcPr>
          <w:p w:rsidR="007068D6" w:rsidRPr="00667EAA" w:rsidRDefault="007068D6" w:rsidP="00667EAA">
            <w:pPr>
              <w:pStyle w:val="CLDTableTextListText"/>
              <w:rPr>
                <w:sz w:val="22"/>
              </w:rPr>
            </w:pPr>
            <w:r w:rsidRPr="00667EAA">
              <w:rPr>
                <w:sz w:val="22"/>
              </w:rPr>
              <w:t>-2.4 (-6.90, 2.10)</w:t>
            </w:r>
          </w:p>
        </w:tc>
      </w:tr>
      <w:tr w:rsidR="00020CB9" w:rsidRPr="00667EAA" w:rsidTr="004A7250">
        <w:trPr>
          <w:cantSplit/>
        </w:trPr>
        <w:tc>
          <w:tcPr>
            <w:tcW w:w="1230" w:type="pct"/>
            <w:tcBorders>
              <w:top w:val="single" w:sz="4" w:space="0" w:color="auto"/>
              <w:left w:val="single" w:sz="4" w:space="0" w:color="auto"/>
              <w:bottom w:val="single" w:sz="4" w:space="0" w:color="auto"/>
              <w:right w:val="single" w:sz="4" w:space="0" w:color="auto"/>
            </w:tcBorders>
          </w:tcPr>
          <w:p w:rsidR="007068D6" w:rsidRPr="00667EAA" w:rsidRDefault="007068D6" w:rsidP="00667EAA">
            <w:pPr>
              <w:pStyle w:val="CLDTableTextListText"/>
              <w:rPr>
                <w:rFonts w:eastAsia="Calibri"/>
                <w:sz w:val="22"/>
              </w:rPr>
            </w:pPr>
            <w:r w:rsidRPr="00667EAA">
              <w:rPr>
                <w:rFonts w:eastAsia="Calibri"/>
                <w:sz w:val="22"/>
              </w:rPr>
              <w:t>CE</w:t>
            </w:r>
          </w:p>
        </w:tc>
        <w:tc>
          <w:tcPr>
            <w:tcW w:w="1229" w:type="pct"/>
            <w:tcBorders>
              <w:top w:val="single" w:sz="4" w:space="0" w:color="auto"/>
              <w:left w:val="single" w:sz="4" w:space="0" w:color="auto"/>
              <w:bottom w:val="single" w:sz="4" w:space="0" w:color="auto"/>
              <w:right w:val="single" w:sz="4" w:space="0" w:color="auto"/>
            </w:tcBorders>
          </w:tcPr>
          <w:p w:rsidR="007068D6" w:rsidRPr="00667EAA" w:rsidRDefault="007068D6" w:rsidP="00667EAA">
            <w:pPr>
              <w:pStyle w:val="CLDTableTextListText"/>
              <w:rPr>
                <w:sz w:val="22"/>
              </w:rPr>
            </w:pPr>
            <w:r w:rsidRPr="00667EAA">
              <w:rPr>
                <w:sz w:val="22"/>
              </w:rPr>
              <w:t>(N=410)</w:t>
            </w:r>
          </w:p>
        </w:tc>
        <w:tc>
          <w:tcPr>
            <w:tcW w:w="902" w:type="pct"/>
            <w:tcBorders>
              <w:top w:val="single" w:sz="4" w:space="0" w:color="auto"/>
              <w:left w:val="single" w:sz="4" w:space="0" w:color="auto"/>
              <w:bottom w:val="single" w:sz="4" w:space="0" w:color="auto"/>
              <w:right w:val="single" w:sz="4" w:space="0" w:color="auto"/>
            </w:tcBorders>
          </w:tcPr>
          <w:p w:rsidR="007068D6" w:rsidRPr="00667EAA" w:rsidRDefault="007068D6" w:rsidP="00667EAA">
            <w:pPr>
              <w:pStyle w:val="CLDTableTextListText"/>
              <w:rPr>
                <w:sz w:val="22"/>
              </w:rPr>
            </w:pPr>
            <w:r w:rsidRPr="00667EAA">
              <w:rPr>
                <w:sz w:val="22"/>
              </w:rPr>
              <w:t>(N=416)</w:t>
            </w:r>
          </w:p>
        </w:tc>
        <w:tc>
          <w:tcPr>
            <w:tcW w:w="1639" w:type="pct"/>
            <w:tcBorders>
              <w:top w:val="single" w:sz="4" w:space="0" w:color="auto"/>
              <w:left w:val="single" w:sz="4" w:space="0" w:color="auto"/>
              <w:bottom w:val="single" w:sz="4" w:space="0" w:color="auto"/>
              <w:right w:val="single" w:sz="4" w:space="0" w:color="auto"/>
            </w:tcBorders>
          </w:tcPr>
          <w:p w:rsidR="007068D6" w:rsidRPr="00667EAA" w:rsidRDefault="007068D6" w:rsidP="00667EAA">
            <w:pPr>
              <w:pStyle w:val="CLDTableTextListText"/>
              <w:rPr>
                <w:sz w:val="22"/>
              </w:rPr>
            </w:pPr>
          </w:p>
        </w:tc>
      </w:tr>
      <w:tr w:rsidR="00020CB9" w:rsidRPr="00667EAA" w:rsidTr="004A7250">
        <w:trPr>
          <w:cantSplit/>
        </w:trPr>
        <w:tc>
          <w:tcPr>
            <w:tcW w:w="1230" w:type="pct"/>
            <w:tcBorders>
              <w:top w:val="single" w:sz="4" w:space="0" w:color="auto"/>
              <w:left w:val="single" w:sz="4" w:space="0" w:color="auto"/>
              <w:bottom w:val="single" w:sz="4" w:space="0" w:color="auto"/>
              <w:right w:val="single" w:sz="4" w:space="0" w:color="auto"/>
            </w:tcBorders>
          </w:tcPr>
          <w:p w:rsidR="007068D6" w:rsidRPr="00667EAA" w:rsidRDefault="004A7250" w:rsidP="00667EAA">
            <w:pPr>
              <w:pStyle w:val="CLDTableTextListText"/>
              <w:rPr>
                <w:rFonts w:eastAsia="Calibri"/>
                <w:sz w:val="22"/>
              </w:rPr>
            </w:pPr>
            <w:r w:rsidRPr="00667EAA">
              <w:rPr>
                <w:rFonts w:eastAsia="Calibri"/>
                <w:sz w:val="22"/>
              </w:rPr>
              <w:tab/>
            </w:r>
            <w:r w:rsidR="007068D6" w:rsidRPr="00667EAA">
              <w:rPr>
                <w:rFonts w:eastAsia="Calibri"/>
                <w:sz w:val="22"/>
              </w:rPr>
              <w:t>Clinical cure</w:t>
            </w:r>
          </w:p>
        </w:tc>
        <w:tc>
          <w:tcPr>
            <w:tcW w:w="1229" w:type="pct"/>
            <w:tcBorders>
              <w:top w:val="single" w:sz="4" w:space="0" w:color="auto"/>
              <w:left w:val="single" w:sz="4" w:space="0" w:color="auto"/>
              <w:bottom w:val="single" w:sz="4" w:space="0" w:color="auto"/>
              <w:right w:val="single" w:sz="4" w:space="0" w:color="auto"/>
            </w:tcBorders>
          </w:tcPr>
          <w:p w:rsidR="007068D6" w:rsidRPr="00667EAA" w:rsidRDefault="007068D6" w:rsidP="00667EAA">
            <w:pPr>
              <w:pStyle w:val="CLDTableTextListText"/>
              <w:rPr>
                <w:sz w:val="22"/>
              </w:rPr>
            </w:pPr>
            <w:r w:rsidRPr="00667EAA">
              <w:rPr>
                <w:sz w:val="22"/>
              </w:rPr>
              <w:t>376 (91.7)</w:t>
            </w:r>
          </w:p>
        </w:tc>
        <w:tc>
          <w:tcPr>
            <w:tcW w:w="902" w:type="pct"/>
            <w:tcBorders>
              <w:top w:val="single" w:sz="4" w:space="0" w:color="auto"/>
              <w:left w:val="single" w:sz="4" w:space="0" w:color="auto"/>
              <w:bottom w:val="single" w:sz="4" w:space="0" w:color="auto"/>
              <w:right w:val="single" w:sz="4" w:space="0" w:color="auto"/>
            </w:tcBorders>
          </w:tcPr>
          <w:p w:rsidR="007068D6" w:rsidRPr="00667EAA" w:rsidRDefault="007068D6" w:rsidP="00667EAA">
            <w:pPr>
              <w:pStyle w:val="CLDTableTextListText"/>
              <w:rPr>
                <w:sz w:val="22"/>
              </w:rPr>
            </w:pPr>
            <w:r w:rsidRPr="00667EAA">
              <w:rPr>
                <w:sz w:val="22"/>
              </w:rPr>
              <w:t>385 (92.5)</w:t>
            </w:r>
          </w:p>
        </w:tc>
        <w:tc>
          <w:tcPr>
            <w:tcW w:w="1639" w:type="pct"/>
            <w:tcBorders>
              <w:top w:val="single" w:sz="4" w:space="0" w:color="auto"/>
              <w:left w:val="single" w:sz="4" w:space="0" w:color="auto"/>
              <w:bottom w:val="single" w:sz="4" w:space="0" w:color="auto"/>
              <w:right w:val="single" w:sz="4" w:space="0" w:color="auto"/>
            </w:tcBorders>
          </w:tcPr>
          <w:p w:rsidR="007068D6" w:rsidRPr="00667EAA" w:rsidRDefault="007068D6" w:rsidP="00667EAA">
            <w:pPr>
              <w:pStyle w:val="CLDTableTextListText"/>
              <w:rPr>
                <w:sz w:val="22"/>
              </w:rPr>
            </w:pPr>
            <w:r w:rsidRPr="00667EAA">
              <w:rPr>
                <w:sz w:val="22"/>
              </w:rPr>
              <w:t>-0.8 (-4.61, 2.89)</w:t>
            </w:r>
          </w:p>
        </w:tc>
      </w:tr>
    </w:tbl>
    <w:p w:rsidR="007068D6" w:rsidRPr="00BC545A" w:rsidRDefault="007068D6" w:rsidP="00402D0D">
      <w:pPr>
        <w:pStyle w:val="CLDTableFootnote"/>
      </w:pPr>
    </w:p>
    <w:p w:rsidR="0000113A" w:rsidRPr="00BC545A" w:rsidRDefault="007068D6" w:rsidP="00020CB9">
      <w:pPr>
        <w:pStyle w:val="CLDNormal"/>
      </w:pPr>
      <w:r w:rsidRPr="00BC545A">
        <w:t xml:space="preserve">Clinical cure rates at TOC by pathogen in the microbiologically </w:t>
      </w:r>
      <w:r w:rsidR="00B04B3E">
        <w:t>m</w:t>
      </w:r>
      <w:r w:rsidRPr="00BC545A">
        <w:t xml:space="preserve">odified </w:t>
      </w:r>
      <w:r w:rsidR="00B04B3E">
        <w:t>i</w:t>
      </w:r>
      <w:r w:rsidRPr="00BC545A">
        <w:t>ntent</w:t>
      </w:r>
      <w:r w:rsidR="00B04B3E">
        <w:t>-</w:t>
      </w:r>
      <w:r w:rsidRPr="00BC545A">
        <w:t>to</w:t>
      </w:r>
      <w:r w:rsidR="00B04B3E">
        <w:t>-t</w:t>
      </w:r>
      <w:r w:rsidRPr="00BC545A">
        <w:t>reat (</w:t>
      </w:r>
      <w:proofErr w:type="spellStart"/>
      <w:r w:rsidRPr="00BC545A">
        <w:t>mMITT</w:t>
      </w:r>
      <w:proofErr w:type="spellEnd"/>
      <w:r w:rsidRPr="00BC545A">
        <w:t xml:space="preserve">) population for Gram-negative aerobes </w:t>
      </w:r>
      <w:proofErr w:type="gramStart"/>
      <w:r w:rsidRPr="00BC545A">
        <w:t>are shown</w:t>
      </w:r>
      <w:proofErr w:type="gramEnd"/>
      <w:r w:rsidRPr="00BC545A">
        <w:t xml:space="preserve"> in </w:t>
      </w:r>
      <w:r w:rsidR="00501C00">
        <w:t>the t</w:t>
      </w:r>
      <w:r w:rsidRPr="00BC545A">
        <w:t xml:space="preserve">able </w:t>
      </w:r>
      <w:r w:rsidR="00501C00">
        <w:t>below</w:t>
      </w:r>
      <w:r w:rsidR="007F4266">
        <w:t>.</w:t>
      </w:r>
    </w:p>
    <w:p w:rsidR="007068D6" w:rsidRPr="00BC545A" w:rsidRDefault="00020CB9" w:rsidP="00B44B34">
      <w:pPr>
        <w:pStyle w:val="CLDTableTitle"/>
      </w:pPr>
      <w:bookmarkStart w:id="6" w:name="_Toc1479077"/>
      <w:r w:rsidRPr="00BC545A">
        <w:t xml:space="preserve">Table </w:t>
      </w:r>
      <w:r w:rsidRPr="0001247C">
        <w:fldChar w:fldCharType="begin"/>
      </w:r>
      <w:r w:rsidRPr="00BC545A">
        <w:instrText xml:space="preserve"> SEQ Table \* ARABIC </w:instrText>
      </w:r>
      <w:r w:rsidRPr="0001247C">
        <w:fldChar w:fldCharType="separate"/>
      </w:r>
      <w:r w:rsidR="00B44B34">
        <w:rPr>
          <w:noProof/>
        </w:rPr>
        <w:t>7</w:t>
      </w:r>
      <w:r w:rsidRPr="0001247C">
        <w:fldChar w:fldCharType="end"/>
      </w:r>
      <w:r w:rsidRPr="00BC545A">
        <w:t xml:space="preserve">: Clinical cure rate at TOC by common (combined frequency of </w:t>
      </w:r>
      <w:r w:rsidR="00AC660E">
        <w:sym w:font="Symbol" w:char="F0B3"/>
      </w:r>
      <w:r w:rsidRPr="00BC545A">
        <w:t xml:space="preserve">10) Gram-negative baseline pathogen (RECLAIM </w:t>
      </w:r>
      <w:proofErr w:type="spellStart"/>
      <w:r w:rsidRPr="00BC545A">
        <w:t>mMITT</w:t>
      </w:r>
      <w:proofErr w:type="spellEnd"/>
      <w:r w:rsidRPr="00BC545A">
        <w:t xml:space="preserve"> analysis set)</w:t>
      </w:r>
      <w:bookmarkEnd w:id="6"/>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993"/>
        <w:gridCol w:w="1559"/>
        <w:gridCol w:w="850"/>
        <w:gridCol w:w="1276"/>
        <w:gridCol w:w="1559"/>
        <w:gridCol w:w="795"/>
      </w:tblGrid>
      <w:tr w:rsidR="001939AC" w:rsidRPr="002E7FAF" w:rsidTr="00020CB9">
        <w:trPr>
          <w:cantSplit/>
          <w:tblHeader/>
        </w:trPr>
        <w:tc>
          <w:tcPr>
            <w:tcW w:w="9300" w:type="dxa"/>
            <w:gridSpan w:val="7"/>
          </w:tcPr>
          <w:p w:rsidR="007068D6" w:rsidRPr="002E7FAF" w:rsidRDefault="007068D6" w:rsidP="00B44B34">
            <w:pPr>
              <w:pStyle w:val="CLDTableSpaceListSpace"/>
              <w:keepNext/>
              <w:keepLines/>
              <w:jc w:val="center"/>
              <w:rPr>
                <w:b/>
                <w:bCs/>
                <w:sz w:val="22"/>
              </w:rPr>
            </w:pPr>
            <w:r w:rsidRPr="002E7FAF">
              <w:rPr>
                <w:b/>
                <w:bCs/>
                <w:sz w:val="22"/>
              </w:rPr>
              <w:t>Number of patients</w:t>
            </w:r>
          </w:p>
        </w:tc>
      </w:tr>
      <w:tr w:rsidR="001939AC" w:rsidRPr="002E7FAF" w:rsidTr="00C004AC">
        <w:trPr>
          <w:cantSplit/>
          <w:tblHeader/>
        </w:trPr>
        <w:tc>
          <w:tcPr>
            <w:tcW w:w="2268" w:type="dxa"/>
          </w:tcPr>
          <w:p w:rsidR="007068D6" w:rsidRPr="002E7FAF" w:rsidRDefault="007068D6" w:rsidP="00B44B34">
            <w:pPr>
              <w:pStyle w:val="CLDTableSpaceListSpace"/>
              <w:keepNext/>
              <w:keepLines/>
              <w:rPr>
                <w:b/>
                <w:bCs/>
                <w:sz w:val="22"/>
              </w:rPr>
            </w:pPr>
          </w:p>
        </w:tc>
        <w:tc>
          <w:tcPr>
            <w:tcW w:w="3402" w:type="dxa"/>
            <w:gridSpan w:val="3"/>
          </w:tcPr>
          <w:p w:rsidR="007068D6" w:rsidRPr="002E7FAF" w:rsidRDefault="007068D6" w:rsidP="00B44B34">
            <w:pPr>
              <w:pStyle w:val="CLDTableSpaceListSpace"/>
              <w:keepNext/>
              <w:keepLines/>
              <w:jc w:val="center"/>
              <w:rPr>
                <w:b/>
                <w:bCs/>
                <w:sz w:val="22"/>
              </w:rPr>
            </w:pPr>
            <w:r w:rsidRPr="002E7FAF">
              <w:rPr>
                <w:b/>
                <w:bCs/>
                <w:sz w:val="22"/>
              </w:rPr>
              <w:t>CAZ</w:t>
            </w:r>
            <w:r w:rsidR="00E61FAC" w:rsidRPr="002E7FAF">
              <w:rPr>
                <w:b/>
                <w:bCs/>
                <w:sz w:val="22"/>
              </w:rPr>
              <w:t>/</w:t>
            </w:r>
            <w:r w:rsidRPr="002E7FAF">
              <w:rPr>
                <w:b/>
                <w:bCs/>
                <w:sz w:val="22"/>
              </w:rPr>
              <w:t>AVI + MTZ (N=413)</w:t>
            </w:r>
          </w:p>
        </w:tc>
        <w:tc>
          <w:tcPr>
            <w:tcW w:w="3630" w:type="dxa"/>
            <w:gridSpan w:val="3"/>
          </w:tcPr>
          <w:p w:rsidR="007068D6" w:rsidRPr="002E7FAF" w:rsidRDefault="007068D6" w:rsidP="00B44B34">
            <w:pPr>
              <w:pStyle w:val="CLDTableSpaceListSpace"/>
              <w:keepNext/>
              <w:keepLines/>
              <w:jc w:val="center"/>
              <w:rPr>
                <w:b/>
                <w:bCs/>
                <w:sz w:val="22"/>
              </w:rPr>
            </w:pPr>
            <w:proofErr w:type="spellStart"/>
            <w:r w:rsidRPr="002E7FAF">
              <w:rPr>
                <w:b/>
                <w:bCs/>
                <w:sz w:val="22"/>
              </w:rPr>
              <w:t>Meropenem</w:t>
            </w:r>
            <w:proofErr w:type="spellEnd"/>
            <w:r w:rsidRPr="002E7FAF">
              <w:rPr>
                <w:b/>
                <w:bCs/>
                <w:sz w:val="22"/>
              </w:rPr>
              <w:t xml:space="preserve"> (N=410)</w:t>
            </w:r>
          </w:p>
        </w:tc>
      </w:tr>
      <w:tr w:rsidR="00020CB9" w:rsidRPr="002E7FAF" w:rsidTr="00C004AC">
        <w:trPr>
          <w:cantSplit/>
          <w:tblHeader/>
        </w:trPr>
        <w:tc>
          <w:tcPr>
            <w:tcW w:w="2268" w:type="dxa"/>
          </w:tcPr>
          <w:p w:rsidR="007068D6" w:rsidRPr="002E7FAF" w:rsidRDefault="007068D6" w:rsidP="002E7FAF">
            <w:pPr>
              <w:pStyle w:val="CLDTableSpaceListSpace"/>
              <w:rPr>
                <w:b/>
                <w:bCs/>
                <w:sz w:val="22"/>
              </w:rPr>
            </w:pPr>
            <w:r w:rsidRPr="002E7FAF">
              <w:rPr>
                <w:b/>
                <w:bCs/>
                <w:sz w:val="22"/>
              </w:rPr>
              <w:t>Pathogen</w:t>
            </w:r>
          </w:p>
        </w:tc>
        <w:tc>
          <w:tcPr>
            <w:tcW w:w="993" w:type="dxa"/>
          </w:tcPr>
          <w:p w:rsidR="007068D6" w:rsidRPr="002E7FAF" w:rsidRDefault="007068D6" w:rsidP="002E7FAF">
            <w:pPr>
              <w:pStyle w:val="CLDTableSpaceListSpace"/>
              <w:rPr>
                <w:b/>
                <w:bCs/>
                <w:sz w:val="22"/>
              </w:rPr>
            </w:pPr>
            <w:r w:rsidRPr="002E7FAF">
              <w:rPr>
                <w:b/>
                <w:bCs/>
                <w:sz w:val="22"/>
              </w:rPr>
              <w:t>Cure rate (%)</w:t>
            </w:r>
          </w:p>
        </w:tc>
        <w:tc>
          <w:tcPr>
            <w:tcW w:w="1559" w:type="dxa"/>
          </w:tcPr>
          <w:p w:rsidR="007068D6" w:rsidRPr="002E7FAF" w:rsidRDefault="007068D6" w:rsidP="002E7FAF">
            <w:pPr>
              <w:pStyle w:val="CLDTableSpaceListSpace"/>
              <w:rPr>
                <w:b/>
                <w:bCs/>
                <w:sz w:val="22"/>
              </w:rPr>
            </w:pPr>
            <w:r w:rsidRPr="002E7FAF">
              <w:rPr>
                <w:b/>
                <w:bCs/>
                <w:sz w:val="22"/>
              </w:rPr>
              <w:t>Number of clinical cures</w:t>
            </w:r>
          </w:p>
        </w:tc>
        <w:tc>
          <w:tcPr>
            <w:tcW w:w="850" w:type="dxa"/>
          </w:tcPr>
          <w:p w:rsidR="007068D6" w:rsidRPr="002E7FAF" w:rsidRDefault="007068D6" w:rsidP="002E7FAF">
            <w:pPr>
              <w:pStyle w:val="CLDTableSpaceListSpace"/>
              <w:rPr>
                <w:b/>
                <w:bCs/>
                <w:sz w:val="22"/>
              </w:rPr>
            </w:pPr>
            <w:r w:rsidRPr="002E7FAF">
              <w:rPr>
                <w:b/>
                <w:bCs/>
                <w:sz w:val="22"/>
              </w:rPr>
              <w:t>N</w:t>
            </w:r>
          </w:p>
        </w:tc>
        <w:tc>
          <w:tcPr>
            <w:tcW w:w="1276" w:type="dxa"/>
          </w:tcPr>
          <w:p w:rsidR="007068D6" w:rsidRPr="002E7FAF" w:rsidRDefault="007068D6" w:rsidP="002E7FAF">
            <w:pPr>
              <w:pStyle w:val="CLDTableSpaceListSpace"/>
              <w:rPr>
                <w:b/>
                <w:bCs/>
                <w:sz w:val="22"/>
              </w:rPr>
            </w:pPr>
            <w:r w:rsidRPr="002E7FAF">
              <w:rPr>
                <w:b/>
                <w:bCs/>
                <w:sz w:val="22"/>
              </w:rPr>
              <w:t>Cure rate (%)</w:t>
            </w:r>
          </w:p>
        </w:tc>
        <w:tc>
          <w:tcPr>
            <w:tcW w:w="1559" w:type="dxa"/>
          </w:tcPr>
          <w:p w:rsidR="007068D6" w:rsidRPr="002E7FAF" w:rsidRDefault="007068D6" w:rsidP="002E7FAF">
            <w:pPr>
              <w:pStyle w:val="CLDTableSpaceListSpace"/>
              <w:rPr>
                <w:b/>
                <w:bCs/>
                <w:sz w:val="22"/>
              </w:rPr>
            </w:pPr>
            <w:r w:rsidRPr="002E7FAF">
              <w:rPr>
                <w:b/>
                <w:bCs/>
                <w:sz w:val="22"/>
              </w:rPr>
              <w:t>Number of clinical cures</w:t>
            </w:r>
          </w:p>
        </w:tc>
        <w:tc>
          <w:tcPr>
            <w:tcW w:w="795" w:type="dxa"/>
          </w:tcPr>
          <w:p w:rsidR="007068D6" w:rsidRPr="002E7FAF" w:rsidRDefault="00B04B3E" w:rsidP="002E7FAF">
            <w:pPr>
              <w:pStyle w:val="CLDTableSpaceListSpace"/>
              <w:rPr>
                <w:b/>
                <w:bCs/>
                <w:sz w:val="22"/>
              </w:rPr>
            </w:pPr>
            <w:r w:rsidRPr="002E7FAF">
              <w:rPr>
                <w:b/>
                <w:bCs/>
                <w:sz w:val="22"/>
              </w:rPr>
              <w:t>N</w:t>
            </w:r>
          </w:p>
        </w:tc>
      </w:tr>
      <w:tr w:rsidR="00C004AC" w:rsidRPr="00BC545A" w:rsidTr="00C004AC">
        <w:trPr>
          <w:cantSplit/>
        </w:trPr>
        <w:tc>
          <w:tcPr>
            <w:tcW w:w="2268" w:type="dxa"/>
          </w:tcPr>
          <w:p w:rsidR="007068D6" w:rsidRPr="00BC545A" w:rsidRDefault="007068D6" w:rsidP="00667EAA">
            <w:pPr>
              <w:pStyle w:val="StyleCLDTableTextListTextItalicAuto"/>
            </w:pPr>
            <w:proofErr w:type="spellStart"/>
            <w:r w:rsidRPr="00BC545A">
              <w:t>Enterobacteriaceae</w:t>
            </w:r>
            <w:proofErr w:type="spellEnd"/>
          </w:p>
        </w:tc>
        <w:tc>
          <w:tcPr>
            <w:tcW w:w="993" w:type="dxa"/>
          </w:tcPr>
          <w:p w:rsidR="007068D6" w:rsidRPr="00BC545A" w:rsidRDefault="007068D6" w:rsidP="00020CB9">
            <w:pPr>
              <w:pStyle w:val="CLDTableTextListText"/>
            </w:pPr>
            <w:r w:rsidRPr="00BC545A">
              <w:t>81.4</w:t>
            </w:r>
          </w:p>
        </w:tc>
        <w:tc>
          <w:tcPr>
            <w:tcW w:w="1559" w:type="dxa"/>
          </w:tcPr>
          <w:p w:rsidR="007068D6" w:rsidRPr="00BC545A" w:rsidRDefault="007068D6" w:rsidP="00020CB9">
            <w:pPr>
              <w:pStyle w:val="CLDTableTextListText"/>
            </w:pPr>
            <w:r w:rsidRPr="00BC545A">
              <w:t>272</w:t>
            </w:r>
          </w:p>
        </w:tc>
        <w:tc>
          <w:tcPr>
            <w:tcW w:w="850" w:type="dxa"/>
          </w:tcPr>
          <w:p w:rsidR="007068D6" w:rsidRPr="00BC545A" w:rsidRDefault="007068D6" w:rsidP="00020CB9">
            <w:pPr>
              <w:pStyle w:val="CLDTableTextListText"/>
            </w:pPr>
            <w:r w:rsidRPr="00BC545A">
              <w:t>334</w:t>
            </w:r>
          </w:p>
        </w:tc>
        <w:tc>
          <w:tcPr>
            <w:tcW w:w="1276" w:type="dxa"/>
          </w:tcPr>
          <w:p w:rsidR="007068D6" w:rsidRPr="00BC545A" w:rsidRDefault="007068D6" w:rsidP="00020CB9">
            <w:pPr>
              <w:pStyle w:val="CLDTableTextListText"/>
            </w:pPr>
            <w:r w:rsidRPr="00BC545A">
              <w:t>86.4</w:t>
            </w:r>
          </w:p>
        </w:tc>
        <w:tc>
          <w:tcPr>
            <w:tcW w:w="1559" w:type="dxa"/>
          </w:tcPr>
          <w:p w:rsidR="007068D6" w:rsidRPr="00BC545A" w:rsidRDefault="007068D6" w:rsidP="00020CB9">
            <w:pPr>
              <w:pStyle w:val="CLDTableTextListText"/>
            </w:pPr>
            <w:r w:rsidRPr="00BC545A">
              <w:t>305</w:t>
            </w:r>
          </w:p>
        </w:tc>
        <w:tc>
          <w:tcPr>
            <w:tcW w:w="795" w:type="dxa"/>
          </w:tcPr>
          <w:p w:rsidR="007068D6" w:rsidRPr="00BC545A" w:rsidRDefault="007068D6" w:rsidP="00020CB9">
            <w:pPr>
              <w:pStyle w:val="CLDTableTextListText"/>
            </w:pPr>
            <w:r w:rsidRPr="00BC545A">
              <w:t>353</w:t>
            </w:r>
          </w:p>
        </w:tc>
      </w:tr>
      <w:tr w:rsidR="00C004AC" w:rsidRPr="00BC545A" w:rsidTr="00C004AC">
        <w:trPr>
          <w:cantSplit/>
        </w:trPr>
        <w:tc>
          <w:tcPr>
            <w:tcW w:w="2268" w:type="dxa"/>
          </w:tcPr>
          <w:p w:rsidR="007068D6" w:rsidRPr="00BC545A" w:rsidRDefault="007068D6" w:rsidP="002E7FAF">
            <w:pPr>
              <w:pStyle w:val="StyleCLDTableTextListTextItalicAuto"/>
            </w:pPr>
            <w:r w:rsidRPr="00BC545A">
              <w:t>C</w:t>
            </w:r>
            <w:r w:rsidR="002E7FAF">
              <w:t>.</w:t>
            </w:r>
            <w:r w:rsidRPr="00BC545A">
              <w:t xml:space="preserve"> </w:t>
            </w:r>
            <w:proofErr w:type="spellStart"/>
            <w:r w:rsidRPr="00BC545A">
              <w:t>freundii</w:t>
            </w:r>
            <w:proofErr w:type="spellEnd"/>
            <w:r w:rsidRPr="00BC545A">
              <w:t xml:space="preserve"> complex</w:t>
            </w:r>
          </w:p>
        </w:tc>
        <w:tc>
          <w:tcPr>
            <w:tcW w:w="993" w:type="dxa"/>
          </w:tcPr>
          <w:p w:rsidR="007068D6" w:rsidRPr="00BC545A" w:rsidRDefault="007068D6" w:rsidP="00020CB9">
            <w:pPr>
              <w:pStyle w:val="CLDTableTextListText"/>
            </w:pPr>
            <w:r w:rsidRPr="00BC545A">
              <w:t>77.8</w:t>
            </w:r>
          </w:p>
        </w:tc>
        <w:tc>
          <w:tcPr>
            <w:tcW w:w="1559" w:type="dxa"/>
          </w:tcPr>
          <w:p w:rsidR="007068D6" w:rsidRPr="00BC545A" w:rsidRDefault="007068D6" w:rsidP="00020CB9">
            <w:pPr>
              <w:pStyle w:val="CLDTableTextListText"/>
            </w:pPr>
            <w:r w:rsidRPr="00BC545A">
              <w:t>14</w:t>
            </w:r>
          </w:p>
        </w:tc>
        <w:tc>
          <w:tcPr>
            <w:tcW w:w="850" w:type="dxa"/>
          </w:tcPr>
          <w:p w:rsidR="007068D6" w:rsidRPr="00BC545A" w:rsidRDefault="007068D6" w:rsidP="00020CB9">
            <w:pPr>
              <w:pStyle w:val="CLDTableTextListText"/>
            </w:pPr>
            <w:r w:rsidRPr="00BC545A">
              <w:t>18</w:t>
            </w:r>
          </w:p>
        </w:tc>
        <w:tc>
          <w:tcPr>
            <w:tcW w:w="1276" w:type="dxa"/>
          </w:tcPr>
          <w:p w:rsidR="007068D6" w:rsidRPr="00BC545A" w:rsidRDefault="007068D6" w:rsidP="00020CB9">
            <w:pPr>
              <w:pStyle w:val="CLDTableTextListText"/>
            </w:pPr>
            <w:r w:rsidRPr="00BC545A">
              <w:t>75.0</w:t>
            </w:r>
          </w:p>
        </w:tc>
        <w:tc>
          <w:tcPr>
            <w:tcW w:w="1559" w:type="dxa"/>
          </w:tcPr>
          <w:p w:rsidR="007068D6" w:rsidRPr="00BC545A" w:rsidRDefault="007068D6" w:rsidP="00020CB9">
            <w:pPr>
              <w:pStyle w:val="CLDTableTextListText"/>
            </w:pPr>
            <w:r w:rsidRPr="00BC545A">
              <w:t>9</w:t>
            </w:r>
          </w:p>
        </w:tc>
        <w:tc>
          <w:tcPr>
            <w:tcW w:w="795" w:type="dxa"/>
          </w:tcPr>
          <w:p w:rsidR="007068D6" w:rsidRPr="00BC545A" w:rsidRDefault="007068D6" w:rsidP="00020CB9">
            <w:pPr>
              <w:pStyle w:val="CLDTableTextListText"/>
            </w:pPr>
            <w:r w:rsidRPr="00BC545A">
              <w:t>12</w:t>
            </w:r>
          </w:p>
        </w:tc>
      </w:tr>
      <w:tr w:rsidR="00C004AC" w:rsidRPr="00BC545A" w:rsidTr="00C004AC">
        <w:trPr>
          <w:cantSplit/>
        </w:trPr>
        <w:tc>
          <w:tcPr>
            <w:tcW w:w="2268" w:type="dxa"/>
          </w:tcPr>
          <w:p w:rsidR="007068D6" w:rsidRPr="00BC545A" w:rsidRDefault="007068D6" w:rsidP="002E7FAF">
            <w:pPr>
              <w:pStyle w:val="StyleCLDTableTextListTextItalicAuto"/>
            </w:pPr>
            <w:r w:rsidRPr="00BC545A">
              <w:t>E</w:t>
            </w:r>
            <w:r w:rsidR="002E7FAF">
              <w:t>.</w:t>
            </w:r>
            <w:r w:rsidRPr="00BC545A">
              <w:t xml:space="preserve"> </w:t>
            </w:r>
            <w:proofErr w:type="spellStart"/>
            <w:r w:rsidRPr="00BC545A">
              <w:t>aerogenes</w:t>
            </w:r>
            <w:proofErr w:type="spellEnd"/>
          </w:p>
        </w:tc>
        <w:tc>
          <w:tcPr>
            <w:tcW w:w="993" w:type="dxa"/>
          </w:tcPr>
          <w:p w:rsidR="007068D6" w:rsidRPr="00BC545A" w:rsidRDefault="007068D6" w:rsidP="00020CB9">
            <w:pPr>
              <w:pStyle w:val="CLDTableTextListText"/>
            </w:pPr>
            <w:r w:rsidRPr="00BC545A">
              <w:t>80.0</w:t>
            </w:r>
          </w:p>
        </w:tc>
        <w:tc>
          <w:tcPr>
            <w:tcW w:w="1559" w:type="dxa"/>
          </w:tcPr>
          <w:p w:rsidR="007068D6" w:rsidRPr="00BC545A" w:rsidRDefault="007068D6" w:rsidP="00020CB9">
            <w:pPr>
              <w:pStyle w:val="CLDTableTextListText"/>
            </w:pPr>
            <w:r w:rsidRPr="00BC545A">
              <w:t>4</w:t>
            </w:r>
          </w:p>
        </w:tc>
        <w:tc>
          <w:tcPr>
            <w:tcW w:w="850" w:type="dxa"/>
          </w:tcPr>
          <w:p w:rsidR="007068D6" w:rsidRPr="00BC545A" w:rsidRDefault="007068D6" w:rsidP="00020CB9">
            <w:pPr>
              <w:pStyle w:val="CLDTableTextListText"/>
            </w:pPr>
            <w:r w:rsidRPr="00BC545A">
              <w:t>5</w:t>
            </w:r>
          </w:p>
        </w:tc>
        <w:tc>
          <w:tcPr>
            <w:tcW w:w="1276" w:type="dxa"/>
          </w:tcPr>
          <w:p w:rsidR="007068D6" w:rsidRPr="00BC545A" w:rsidRDefault="007068D6" w:rsidP="00020CB9">
            <w:pPr>
              <w:pStyle w:val="CLDTableTextListText"/>
            </w:pPr>
            <w:r w:rsidRPr="00BC545A">
              <w:t>100</w:t>
            </w:r>
          </w:p>
        </w:tc>
        <w:tc>
          <w:tcPr>
            <w:tcW w:w="1559" w:type="dxa"/>
          </w:tcPr>
          <w:p w:rsidR="007068D6" w:rsidRPr="00BC545A" w:rsidRDefault="007068D6" w:rsidP="00020CB9">
            <w:pPr>
              <w:pStyle w:val="CLDTableTextListText"/>
            </w:pPr>
            <w:r w:rsidRPr="00BC545A">
              <w:t>5</w:t>
            </w:r>
          </w:p>
        </w:tc>
        <w:tc>
          <w:tcPr>
            <w:tcW w:w="795" w:type="dxa"/>
          </w:tcPr>
          <w:p w:rsidR="007068D6" w:rsidRPr="00BC545A" w:rsidRDefault="007068D6" w:rsidP="00020CB9">
            <w:pPr>
              <w:pStyle w:val="CLDTableTextListText"/>
            </w:pPr>
            <w:r w:rsidRPr="00BC545A">
              <w:t>5</w:t>
            </w:r>
          </w:p>
        </w:tc>
      </w:tr>
      <w:tr w:rsidR="00C004AC" w:rsidRPr="00BC545A" w:rsidTr="00C004AC">
        <w:trPr>
          <w:cantSplit/>
        </w:trPr>
        <w:tc>
          <w:tcPr>
            <w:tcW w:w="2268" w:type="dxa"/>
          </w:tcPr>
          <w:p w:rsidR="007068D6" w:rsidRPr="00BC545A" w:rsidRDefault="007068D6" w:rsidP="002E7FAF">
            <w:pPr>
              <w:pStyle w:val="StyleCLDTableTextListTextItalicAuto"/>
            </w:pPr>
            <w:r w:rsidRPr="00BC545A">
              <w:t>E</w:t>
            </w:r>
            <w:r w:rsidR="002E7FAF">
              <w:t xml:space="preserve">. </w:t>
            </w:r>
            <w:r w:rsidRPr="00BC545A">
              <w:t>cloacae</w:t>
            </w:r>
          </w:p>
        </w:tc>
        <w:tc>
          <w:tcPr>
            <w:tcW w:w="993" w:type="dxa"/>
          </w:tcPr>
          <w:p w:rsidR="007068D6" w:rsidRPr="00BC545A" w:rsidRDefault="007068D6" w:rsidP="00020CB9">
            <w:pPr>
              <w:pStyle w:val="CLDTableTextListText"/>
            </w:pPr>
            <w:r w:rsidRPr="00BC545A">
              <w:t>84.6</w:t>
            </w:r>
          </w:p>
        </w:tc>
        <w:tc>
          <w:tcPr>
            <w:tcW w:w="1559" w:type="dxa"/>
          </w:tcPr>
          <w:p w:rsidR="007068D6" w:rsidRPr="00BC545A" w:rsidRDefault="007068D6" w:rsidP="00020CB9">
            <w:pPr>
              <w:pStyle w:val="CLDTableTextListText"/>
            </w:pPr>
            <w:r w:rsidRPr="00BC545A">
              <w:t>11</w:t>
            </w:r>
          </w:p>
        </w:tc>
        <w:tc>
          <w:tcPr>
            <w:tcW w:w="850" w:type="dxa"/>
          </w:tcPr>
          <w:p w:rsidR="007068D6" w:rsidRPr="00BC545A" w:rsidRDefault="007068D6" w:rsidP="00020CB9">
            <w:pPr>
              <w:pStyle w:val="CLDTableTextListText"/>
            </w:pPr>
            <w:r w:rsidRPr="00BC545A">
              <w:t>13</w:t>
            </w:r>
          </w:p>
        </w:tc>
        <w:tc>
          <w:tcPr>
            <w:tcW w:w="1276" w:type="dxa"/>
          </w:tcPr>
          <w:p w:rsidR="007068D6" w:rsidRPr="00BC545A" w:rsidRDefault="007068D6" w:rsidP="00020CB9">
            <w:pPr>
              <w:pStyle w:val="CLDTableTextListText"/>
            </w:pPr>
            <w:r w:rsidRPr="00BC545A">
              <w:t>84.2</w:t>
            </w:r>
          </w:p>
        </w:tc>
        <w:tc>
          <w:tcPr>
            <w:tcW w:w="1559" w:type="dxa"/>
          </w:tcPr>
          <w:p w:rsidR="007068D6" w:rsidRPr="00BC545A" w:rsidRDefault="007068D6" w:rsidP="00020CB9">
            <w:pPr>
              <w:pStyle w:val="CLDTableTextListText"/>
            </w:pPr>
            <w:r w:rsidRPr="00BC545A">
              <w:t>16</w:t>
            </w:r>
          </w:p>
        </w:tc>
        <w:tc>
          <w:tcPr>
            <w:tcW w:w="795" w:type="dxa"/>
          </w:tcPr>
          <w:p w:rsidR="007068D6" w:rsidRPr="00BC545A" w:rsidRDefault="007068D6" w:rsidP="00020CB9">
            <w:pPr>
              <w:pStyle w:val="CLDTableTextListText"/>
            </w:pPr>
            <w:r w:rsidRPr="00BC545A">
              <w:t>19</w:t>
            </w:r>
          </w:p>
        </w:tc>
      </w:tr>
      <w:tr w:rsidR="00C004AC" w:rsidRPr="00BC545A" w:rsidTr="00C004AC">
        <w:trPr>
          <w:cantSplit/>
        </w:trPr>
        <w:tc>
          <w:tcPr>
            <w:tcW w:w="2268" w:type="dxa"/>
          </w:tcPr>
          <w:p w:rsidR="007068D6" w:rsidRPr="00BC545A" w:rsidRDefault="007068D6" w:rsidP="002E7FAF">
            <w:pPr>
              <w:pStyle w:val="StyleCLDTableTextListTextItalicAuto"/>
            </w:pPr>
            <w:r w:rsidRPr="00BC545A">
              <w:t>E</w:t>
            </w:r>
            <w:r w:rsidR="002E7FAF">
              <w:t>.</w:t>
            </w:r>
            <w:r w:rsidRPr="00BC545A">
              <w:t xml:space="preserve"> coli</w:t>
            </w:r>
          </w:p>
        </w:tc>
        <w:tc>
          <w:tcPr>
            <w:tcW w:w="993" w:type="dxa"/>
          </w:tcPr>
          <w:p w:rsidR="007068D6" w:rsidRPr="00BC545A" w:rsidRDefault="007068D6" w:rsidP="00020CB9">
            <w:pPr>
              <w:pStyle w:val="CLDTableTextListText"/>
            </w:pPr>
            <w:r w:rsidRPr="00BC545A">
              <w:t>80.4</w:t>
            </w:r>
          </w:p>
        </w:tc>
        <w:tc>
          <w:tcPr>
            <w:tcW w:w="1559" w:type="dxa"/>
          </w:tcPr>
          <w:p w:rsidR="007068D6" w:rsidRPr="00BC545A" w:rsidRDefault="007068D6" w:rsidP="00020CB9">
            <w:pPr>
              <w:pStyle w:val="CLDTableTextListText"/>
            </w:pPr>
            <w:r w:rsidRPr="00BC545A">
              <w:t>218</w:t>
            </w:r>
          </w:p>
        </w:tc>
        <w:tc>
          <w:tcPr>
            <w:tcW w:w="850" w:type="dxa"/>
          </w:tcPr>
          <w:p w:rsidR="007068D6" w:rsidRPr="00BC545A" w:rsidRDefault="007068D6" w:rsidP="00020CB9">
            <w:pPr>
              <w:pStyle w:val="CLDTableTextListText"/>
            </w:pPr>
            <w:r w:rsidRPr="00BC545A">
              <w:t>271</w:t>
            </w:r>
          </w:p>
        </w:tc>
        <w:tc>
          <w:tcPr>
            <w:tcW w:w="1276" w:type="dxa"/>
          </w:tcPr>
          <w:p w:rsidR="007068D6" w:rsidRPr="00BC545A" w:rsidRDefault="007068D6" w:rsidP="00020CB9">
            <w:pPr>
              <w:pStyle w:val="CLDTableTextListText"/>
            </w:pPr>
            <w:r w:rsidRPr="00BC545A">
              <w:t>87.0</w:t>
            </w:r>
          </w:p>
        </w:tc>
        <w:tc>
          <w:tcPr>
            <w:tcW w:w="1559" w:type="dxa"/>
          </w:tcPr>
          <w:p w:rsidR="007068D6" w:rsidRPr="00BC545A" w:rsidRDefault="007068D6" w:rsidP="00020CB9">
            <w:pPr>
              <w:pStyle w:val="CLDTableTextListText"/>
            </w:pPr>
            <w:r w:rsidRPr="00BC545A">
              <w:t>248</w:t>
            </w:r>
          </w:p>
        </w:tc>
        <w:tc>
          <w:tcPr>
            <w:tcW w:w="795" w:type="dxa"/>
          </w:tcPr>
          <w:p w:rsidR="007068D6" w:rsidRPr="00BC545A" w:rsidRDefault="007068D6" w:rsidP="00020CB9">
            <w:pPr>
              <w:pStyle w:val="CLDTableTextListText"/>
            </w:pPr>
            <w:r w:rsidRPr="00BC545A">
              <w:t>285</w:t>
            </w:r>
          </w:p>
        </w:tc>
      </w:tr>
      <w:tr w:rsidR="00C004AC" w:rsidRPr="00BC545A" w:rsidTr="00C004AC">
        <w:trPr>
          <w:cantSplit/>
        </w:trPr>
        <w:tc>
          <w:tcPr>
            <w:tcW w:w="2268" w:type="dxa"/>
          </w:tcPr>
          <w:p w:rsidR="007068D6" w:rsidRPr="00BC545A" w:rsidRDefault="007068D6" w:rsidP="002E7FAF">
            <w:pPr>
              <w:pStyle w:val="StyleCLDTableTextListTextItalicAuto"/>
            </w:pPr>
            <w:r w:rsidRPr="00BC545A">
              <w:t>K</w:t>
            </w:r>
            <w:r w:rsidR="002E7FAF">
              <w:t xml:space="preserve">. </w:t>
            </w:r>
            <w:proofErr w:type="spellStart"/>
            <w:r w:rsidRPr="00BC545A">
              <w:t>oxytoca</w:t>
            </w:r>
            <w:proofErr w:type="spellEnd"/>
          </w:p>
        </w:tc>
        <w:tc>
          <w:tcPr>
            <w:tcW w:w="993" w:type="dxa"/>
          </w:tcPr>
          <w:p w:rsidR="007068D6" w:rsidRPr="00BC545A" w:rsidRDefault="007068D6" w:rsidP="00020CB9">
            <w:pPr>
              <w:pStyle w:val="CLDTableTextListText"/>
            </w:pPr>
            <w:r w:rsidRPr="00BC545A">
              <w:t>77.8</w:t>
            </w:r>
          </w:p>
        </w:tc>
        <w:tc>
          <w:tcPr>
            <w:tcW w:w="1559" w:type="dxa"/>
          </w:tcPr>
          <w:p w:rsidR="007068D6" w:rsidRPr="00BC545A" w:rsidRDefault="007068D6" w:rsidP="00020CB9">
            <w:pPr>
              <w:pStyle w:val="CLDTableTextListText"/>
            </w:pPr>
            <w:r w:rsidRPr="00BC545A">
              <w:t>14</w:t>
            </w:r>
          </w:p>
        </w:tc>
        <w:tc>
          <w:tcPr>
            <w:tcW w:w="850" w:type="dxa"/>
          </w:tcPr>
          <w:p w:rsidR="007068D6" w:rsidRPr="00BC545A" w:rsidRDefault="007068D6" w:rsidP="00020CB9">
            <w:pPr>
              <w:pStyle w:val="CLDTableTextListText"/>
            </w:pPr>
            <w:r w:rsidRPr="00BC545A">
              <w:t>18</w:t>
            </w:r>
          </w:p>
        </w:tc>
        <w:tc>
          <w:tcPr>
            <w:tcW w:w="1276" w:type="dxa"/>
          </w:tcPr>
          <w:p w:rsidR="007068D6" w:rsidRPr="00BC545A" w:rsidRDefault="007068D6" w:rsidP="00020CB9">
            <w:pPr>
              <w:pStyle w:val="CLDTableTextListText"/>
            </w:pPr>
            <w:r w:rsidRPr="00BC545A">
              <w:t>80.0</w:t>
            </w:r>
          </w:p>
        </w:tc>
        <w:tc>
          <w:tcPr>
            <w:tcW w:w="1559" w:type="dxa"/>
          </w:tcPr>
          <w:p w:rsidR="007068D6" w:rsidRPr="00BC545A" w:rsidRDefault="007068D6" w:rsidP="00020CB9">
            <w:pPr>
              <w:pStyle w:val="CLDTableTextListText"/>
            </w:pPr>
            <w:r w:rsidRPr="00BC545A">
              <w:t>12</w:t>
            </w:r>
          </w:p>
        </w:tc>
        <w:tc>
          <w:tcPr>
            <w:tcW w:w="795" w:type="dxa"/>
          </w:tcPr>
          <w:p w:rsidR="007068D6" w:rsidRPr="00BC545A" w:rsidRDefault="007068D6" w:rsidP="00020CB9">
            <w:pPr>
              <w:pStyle w:val="CLDTableTextListText"/>
            </w:pPr>
            <w:r w:rsidRPr="00BC545A">
              <w:t>15</w:t>
            </w:r>
          </w:p>
        </w:tc>
      </w:tr>
      <w:tr w:rsidR="00C004AC" w:rsidRPr="00BC545A" w:rsidTr="00C004AC">
        <w:trPr>
          <w:cantSplit/>
        </w:trPr>
        <w:tc>
          <w:tcPr>
            <w:tcW w:w="2268" w:type="dxa"/>
          </w:tcPr>
          <w:p w:rsidR="007068D6" w:rsidRPr="00BC545A" w:rsidRDefault="007068D6" w:rsidP="002E7FAF">
            <w:pPr>
              <w:pStyle w:val="StyleCLDTableTextListTextItalicAuto"/>
            </w:pPr>
            <w:r w:rsidRPr="00BC545A">
              <w:t>K</w:t>
            </w:r>
            <w:r w:rsidR="002E7FAF">
              <w:t xml:space="preserve">. </w:t>
            </w:r>
            <w:proofErr w:type="spellStart"/>
            <w:r w:rsidRPr="00BC545A">
              <w:t>pneumoniae</w:t>
            </w:r>
            <w:proofErr w:type="spellEnd"/>
          </w:p>
        </w:tc>
        <w:tc>
          <w:tcPr>
            <w:tcW w:w="993" w:type="dxa"/>
          </w:tcPr>
          <w:p w:rsidR="007068D6" w:rsidRPr="00BC545A" w:rsidRDefault="007068D6" w:rsidP="00020CB9">
            <w:pPr>
              <w:pStyle w:val="CLDTableTextListText"/>
            </w:pPr>
            <w:r w:rsidRPr="00BC545A">
              <w:t>78.4</w:t>
            </w:r>
          </w:p>
        </w:tc>
        <w:tc>
          <w:tcPr>
            <w:tcW w:w="1559" w:type="dxa"/>
          </w:tcPr>
          <w:p w:rsidR="007068D6" w:rsidRPr="00BC545A" w:rsidRDefault="007068D6" w:rsidP="00020CB9">
            <w:pPr>
              <w:pStyle w:val="CLDTableTextListText"/>
            </w:pPr>
            <w:r w:rsidRPr="00BC545A">
              <w:t>40</w:t>
            </w:r>
          </w:p>
        </w:tc>
        <w:tc>
          <w:tcPr>
            <w:tcW w:w="850" w:type="dxa"/>
          </w:tcPr>
          <w:p w:rsidR="007068D6" w:rsidRPr="00BC545A" w:rsidRDefault="007068D6" w:rsidP="00020CB9">
            <w:pPr>
              <w:pStyle w:val="CLDTableTextListText"/>
            </w:pPr>
            <w:r w:rsidRPr="00BC545A">
              <w:t>51</w:t>
            </w:r>
          </w:p>
        </w:tc>
        <w:tc>
          <w:tcPr>
            <w:tcW w:w="1276" w:type="dxa"/>
          </w:tcPr>
          <w:p w:rsidR="007068D6" w:rsidRPr="00BC545A" w:rsidRDefault="007068D6" w:rsidP="00020CB9">
            <w:pPr>
              <w:pStyle w:val="CLDTableTextListText"/>
            </w:pPr>
            <w:r w:rsidRPr="00BC545A">
              <w:t>75.5</w:t>
            </w:r>
          </w:p>
        </w:tc>
        <w:tc>
          <w:tcPr>
            <w:tcW w:w="1559" w:type="dxa"/>
          </w:tcPr>
          <w:p w:rsidR="007068D6" w:rsidRPr="00BC545A" w:rsidRDefault="007068D6" w:rsidP="00020CB9">
            <w:pPr>
              <w:pStyle w:val="CLDTableTextListText"/>
            </w:pPr>
            <w:r w:rsidRPr="00BC545A">
              <w:t>37</w:t>
            </w:r>
          </w:p>
        </w:tc>
        <w:tc>
          <w:tcPr>
            <w:tcW w:w="795" w:type="dxa"/>
          </w:tcPr>
          <w:p w:rsidR="007068D6" w:rsidRPr="00BC545A" w:rsidRDefault="007068D6" w:rsidP="00020CB9">
            <w:pPr>
              <w:pStyle w:val="CLDTableTextListText"/>
            </w:pPr>
            <w:r w:rsidRPr="00BC545A">
              <w:t>49</w:t>
            </w:r>
          </w:p>
        </w:tc>
      </w:tr>
      <w:tr w:rsidR="00C004AC" w:rsidRPr="00BC545A" w:rsidTr="00C004AC">
        <w:trPr>
          <w:cantSplit/>
        </w:trPr>
        <w:tc>
          <w:tcPr>
            <w:tcW w:w="2268" w:type="dxa"/>
          </w:tcPr>
          <w:p w:rsidR="007068D6" w:rsidRPr="00BC545A" w:rsidRDefault="007068D6" w:rsidP="002E7FAF">
            <w:pPr>
              <w:pStyle w:val="StyleCLDTableTextListTextItalicAuto"/>
            </w:pPr>
            <w:r w:rsidRPr="00BC545A">
              <w:t>P</w:t>
            </w:r>
            <w:r w:rsidR="002E7FAF">
              <w:t xml:space="preserve">. </w:t>
            </w:r>
            <w:r w:rsidRPr="00BC545A">
              <w:t>mirabilis</w:t>
            </w:r>
          </w:p>
        </w:tc>
        <w:tc>
          <w:tcPr>
            <w:tcW w:w="993" w:type="dxa"/>
          </w:tcPr>
          <w:p w:rsidR="007068D6" w:rsidRPr="00BC545A" w:rsidRDefault="007068D6" w:rsidP="00020CB9">
            <w:pPr>
              <w:pStyle w:val="CLDTableTextListText"/>
            </w:pPr>
            <w:r w:rsidRPr="00BC545A">
              <w:t>62.5</w:t>
            </w:r>
          </w:p>
        </w:tc>
        <w:tc>
          <w:tcPr>
            <w:tcW w:w="1559" w:type="dxa"/>
          </w:tcPr>
          <w:p w:rsidR="007068D6" w:rsidRPr="00BC545A" w:rsidRDefault="007068D6" w:rsidP="00020CB9">
            <w:pPr>
              <w:pStyle w:val="CLDTableTextListText"/>
            </w:pPr>
            <w:r w:rsidRPr="00BC545A">
              <w:t>5</w:t>
            </w:r>
          </w:p>
        </w:tc>
        <w:tc>
          <w:tcPr>
            <w:tcW w:w="850" w:type="dxa"/>
          </w:tcPr>
          <w:p w:rsidR="007068D6" w:rsidRPr="00BC545A" w:rsidRDefault="007068D6" w:rsidP="00020CB9">
            <w:pPr>
              <w:pStyle w:val="CLDTableTextListText"/>
            </w:pPr>
            <w:r w:rsidRPr="00BC545A">
              <w:t>8</w:t>
            </w:r>
          </w:p>
        </w:tc>
        <w:tc>
          <w:tcPr>
            <w:tcW w:w="1276" w:type="dxa"/>
          </w:tcPr>
          <w:p w:rsidR="007068D6" w:rsidRPr="00BC545A" w:rsidRDefault="007068D6" w:rsidP="00020CB9">
            <w:pPr>
              <w:pStyle w:val="CLDTableTextListText"/>
            </w:pPr>
            <w:r w:rsidRPr="00BC545A">
              <w:t>77.8</w:t>
            </w:r>
          </w:p>
        </w:tc>
        <w:tc>
          <w:tcPr>
            <w:tcW w:w="1559" w:type="dxa"/>
          </w:tcPr>
          <w:p w:rsidR="007068D6" w:rsidRPr="00BC545A" w:rsidRDefault="007068D6" w:rsidP="00020CB9">
            <w:pPr>
              <w:pStyle w:val="CLDTableTextListText"/>
            </w:pPr>
            <w:r w:rsidRPr="00BC545A">
              <w:t>7</w:t>
            </w:r>
          </w:p>
        </w:tc>
        <w:tc>
          <w:tcPr>
            <w:tcW w:w="795" w:type="dxa"/>
          </w:tcPr>
          <w:p w:rsidR="007068D6" w:rsidRPr="00BC545A" w:rsidRDefault="007068D6" w:rsidP="00020CB9">
            <w:pPr>
              <w:pStyle w:val="CLDTableTextListText"/>
            </w:pPr>
            <w:r w:rsidRPr="00BC545A">
              <w:t>9</w:t>
            </w:r>
          </w:p>
        </w:tc>
      </w:tr>
      <w:tr w:rsidR="00020CB9" w:rsidRPr="00BC545A" w:rsidTr="00C004AC">
        <w:trPr>
          <w:cantSplit/>
        </w:trPr>
        <w:tc>
          <w:tcPr>
            <w:tcW w:w="2268" w:type="dxa"/>
          </w:tcPr>
          <w:p w:rsidR="007068D6" w:rsidRPr="00BC545A" w:rsidRDefault="007068D6" w:rsidP="002E7FAF">
            <w:pPr>
              <w:pStyle w:val="StyleCLDTableTextListTextItalicAuto"/>
            </w:pPr>
            <w:r w:rsidRPr="00BC545A">
              <w:t>P</w:t>
            </w:r>
            <w:r w:rsidR="002E7FAF">
              <w:t xml:space="preserve">. </w:t>
            </w:r>
            <w:r w:rsidRPr="00BC545A">
              <w:t>aeruginosa</w:t>
            </w:r>
          </w:p>
        </w:tc>
        <w:tc>
          <w:tcPr>
            <w:tcW w:w="993" w:type="dxa"/>
          </w:tcPr>
          <w:p w:rsidR="007068D6" w:rsidRPr="00BC545A" w:rsidRDefault="007068D6" w:rsidP="00020CB9">
            <w:pPr>
              <w:pStyle w:val="CLDTableTextListText"/>
            </w:pPr>
            <w:r w:rsidRPr="00BC545A">
              <w:t>85.7</w:t>
            </w:r>
          </w:p>
        </w:tc>
        <w:tc>
          <w:tcPr>
            <w:tcW w:w="1559" w:type="dxa"/>
          </w:tcPr>
          <w:p w:rsidR="007068D6" w:rsidRPr="00BC545A" w:rsidRDefault="007068D6" w:rsidP="00020CB9">
            <w:pPr>
              <w:pStyle w:val="CLDTableTextListText"/>
            </w:pPr>
            <w:r w:rsidRPr="00BC545A">
              <w:t>30</w:t>
            </w:r>
          </w:p>
        </w:tc>
        <w:tc>
          <w:tcPr>
            <w:tcW w:w="850" w:type="dxa"/>
          </w:tcPr>
          <w:p w:rsidR="007068D6" w:rsidRPr="00BC545A" w:rsidRDefault="007068D6" w:rsidP="00020CB9">
            <w:pPr>
              <w:pStyle w:val="CLDTableTextListText"/>
            </w:pPr>
            <w:r w:rsidRPr="00BC545A">
              <w:t>35</w:t>
            </w:r>
          </w:p>
        </w:tc>
        <w:tc>
          <w:tcPr>
            <w:tcW w:w="1276" w:type="dxa"/>
          </w:tcPr>
          <w:p w:rsidR="007068D6" w:rsidRPr="00BC545A" w:rsidRDefault="007068D6" w:rsidP="00020CB9">
            <w:pPr>
              <w:pStyle w:val="CLDTableTextListText"/>
            </w:pPr>
            <w:r w:rsidRPr="00BC545A">
              <w:t>94.4</w:t>
            </w:r>
          </w:p>
        </w:tc>
        <w:tc>
          <w:tcPr>
            <w:tcW w:w="1559" w:type="dxa"/>
          </w:tcPr>
          <w:p w:rsidR="007068D6" w:rsidRPr="00BC545A" w:rsidRDefault="007068D6" w:rsidP="00020CB9">
            <w:pPr>
              <w:pStyle w:val="CLDTableTextListText"/>
            </w:pPr>
            <w:r w:rsidRPr="00BC545A">
              <w:t>34</w:t>
            </w:r>
          </w:p>
        </w:tc>
        <w:tc>
          <w:tcPr>
            <w:tcW w:w="795" w:type="dxa"/>
          </w:tcPr>
          <w:p w:rsidR="007068D6" w:rsidRPr="00BC545A" w:rsidRDefault="007068D6" w:rsidP="00020CB9">
            <w:pPr>
              <w:pStyle w:val="CLDTableTextListText"/>
            </w:pPr>
            <w:r w:rsidRPr="00BC545A">
              <w:t>36</w:t>
            </w:r>
          </w:p>
        </w:tc>
      </w:tr>
    </w:tbl>
    <w:p w:rsidR="007068D6" w:rsidRPr="00BC545A" w:rsidRDefault="007068D6" w:rsidP="007068D6">
      <w:pPr>
        <w:pStyle w:val="A-Single"/>
      </w:pPr>
    </w:p>
    <w:p w:rsidR="007068D6" w:rsidRPr="00BC545A" w:rsidRDefault="007068D6" w:rsidP="00C154B3">
      <w:pPr>
        <w:pStyle w:val="CLDNormal"/>
      </w:pPr>
      <w:r w:rsidRPr="00BC545A">
        <w:t xml:space="preserve">A further 432 adults with complicated intra-abdominal infections were randomised and received treatment in a multi-centre, double-blind study (RECLAIM 3) conducted in 3 Asian countries (China, Republic of Korea and Vietnam). The patient population and key aspects of the study design were identical to RECLAIM apart from the primary efficacy endpoint of clinical response at the TOC visit being solely in the CE population (see </w:t>
      </w:r>
      <w:r w:rsidR="00501C00">
        <w:t xml:space="preserve">table </w:t>
      </w:r>
      <w:r w:rsidRPr="00BC545A">
        <w:t>below).</w:t>
      </w:r>
    </w:p>
    <w:p w:rsidR="003F2E8C" w:rsidRPr="00BC545A" w:rsidRDefault="00D76D07" w:rsidP="00667EAA">
      <w:pPr>
        <w:pStyle w:val="CLDTableTitle"/>
      </w:pPr>
      <w:bookmarkStart w:id="7" w:name="_Toc1479078"/>
      <w:r>
        <w:t xml:space="preserve">Table </w:t>
      </w:r>
      <w:r>
        <w:fldChar w:fldCharType="begin"/>
      </w:r>
      <w:r>
        <w:instrText xml:space="preserve"> SEQ Table \* ARABIC </w:instrText>
      </w:r>
      <w:r>
        <w:fldChar w:fldCharType="separate"/>
      </w:r>
      <w:r w:rsidR="00B44B34">
        <w:rPr>
          <w:noProof/>
        </w:rPr>
        <w:t>8</w:t>
      </w:r>
      <w:r>
        <w:fldChar w:fldCharType="end"/>
      </w:r>
      <w:proofErr w:type="gramStart"/>
      <w:r w:rsidRPr="00BC545A">
        <w:t>:</w:t>
      </w:r>
      <w:r w:rsidRPr="00DF437B">
        <w:t>Clinical</w:t>
      </w:r>
      <w:proofErr w:type="gramEnd"/>
      <w:r w:rsidRPr="00DF437B">
        <w:t xml:space="preserve"> cure rates at TOC (RECLAIM</w:t>
      </w:r>
      <w:r w:rsidR="00B6621A">
        <w:t xml:space="preserve"> </w:t>
      </w:r>
      <w:r w:rsidRPr="00DF437B">
        <w:t>3 CE at TOC analysis set)</w:t>
      </w:r>
      <w:bookmarkEnd w:id="7"/>
      <w:r w:rsidR="003F2E8C" w:rsidRPr="00BC545A">
        <w:t xml:space="preserve"> </w:t>
      </w:r>
    </w:p>
    <w:tbl>
      <w:tblPr>
        <w:tblW w:w="4942" w:type="pct"/>
        <w:tblInd w:w="108" w:type="dxa"/>
        <w:tblLook w:val="0000" w:firstRow="0" w:lastRow="0" w:firstColumn="0" w:lastColumn="0" w:noHBand="0" w:noVBand="0"/>
      </w:tblPr>
      <w:tblGrid>
        <w:gridCol w:w="1793"/>
        <w:gridCol w:w="2080"/>
        <w:gridCol w:w="1661"/>
        <w:gridCol w:w="3541"/>
      </w:tblGrid>
      <w:tr w:rsidR="001939AC" w:rsidRPr="00BC545A" w:rsidTr="003F2E8C">
        <w:trPr>
          <w:cantSplit/>
          <w:tblHeader/>
        </w:trPr>
        <w:tc>
          <w:tcPr>
            <w:tcW w:w="988" w:type="pct"/>
            <w:tcBorders>
              <w:top w:val="single" w:sz="4" w:space="0" w:color="auto"/>
              <w:left w:val="single" w:sz="4" w:space="0" w:color="auto"/>
              <w:bottom w:val="single" w:sz="4" w:space="0" w:color="auto"/>
              <w:right w:val="single" w:sz="4" w:space="0" w:color="auto"/>
            </w:tcBorders>
            <w:vAlign w:val="center"/>
          </w:tcPr>
          <w:p w:rsidR="007068D6" w:rsidRPr="00BC545A" w:rsidRDefault="007068D6" w:rsidP="003F2E8C">
            <w:pPr>
              <w:pStyle w:val="CLDTableTitle"/>
              <w:rPr>
                <w:rFonts w:eastAsia="Calibri"/>
              </w:rPr>
            </w:pPr>
          </w:p>
        </w:tc>
        <w:tc>
          <w:tcPr>
            <w:tcW w:w="4012" w:type="pct"/>
            <w:gridSpan w:val="3"/>
            <w:tcBorders>
              <w:top w:val="single" w:sz="4" w:space="0" w:color="auto"/>
              <w:left w:val="single" w:sz="4" w:space="0" w:color="auto"/>
              <w:bottom w:val="single" w:sz="4" w:space="0" w:color="auto"/>
              <w:right w:val="single" w:sz="4" w:space="0" w:color="auto"/>
            </w:tcBorders>
            <w:vAlign w:val="center"/>
          </w:tcPr>
          <w:p w:rsidR="007068D6" w:rsidRPr="00BC545A" w:rsidRDefault="007068D6" w:rsidP="003F2E8C">
            <w:pPr>
              <w:pStyle w:val="CLDTableTitle"/>
              <w:jc w:val="center"/>
              <w:rPr>
                <w:rFonts w:eastAsia="Calibri"/>
                <w:vertAlign w:val="superscript"/>
              </w:rPr>
            </w:pPr>
            <w:r w:rsidRPr="00BC545A">
              <w:rPr>
                <w:rFonts w:eastAsia="Calibri"/>
              </w:rPr>
              <w:t>Number (%) of patients</w:t>
            </w:r>
          </w:p>
        </w:tc>
      </w:tr>
      <w:tr w:rsidR="001939AC" w:rsidRPr="00BC545A" w:rsidTr="003F2E8C">
        <w:trPr>
          <w:cantSplit/>
          <w:tblHeader/>
        </w:trPr>
        <w:tc>
          <w:tcPr>
            <w:tcW w:w="988" w:type="pct"/>
            <w:tcBorders>
              <w:top w:val="single" w:sz="4" w:space="0" w:color="auto"/>
              <w:left w:val="single" w:sz="4" w:space="0" w:color="auto"/>
              <w:bottom w:val="single" w:sz="4" w:space="0" w:color="auto"/>
              <w:right w:val="single" w:sz="4" w:space="0" w:color="auto"/>
            </w:tcBorders>
            <w:vAlign w:val="center"/>
          </w:tcPr>
          <w:p w:rsidR="007068D6" w:rsidRPr="00BC545A" w:rsidRDefault="007068D6" w:rsidP="003F2E8C">
            <w:pPr>
              <w:pStyle w:val="CLDTableTitle"/>
              <w:rPr>
                <w:rFonts w:eastAsia="Calibri"/>
                <w:vertAlign w:val="superscript"/>
              </w:rPr>
            </w:pPr>
          </w:p>
        </w:tc>
        <w:tc>
          <w:tcPr>
            <w:tcW w:w="1146" w:type="pct"/>
            <w:tcBorders>
              <w:top w:val="single" w:sz="4" w:space="0" w:color="auto"/>
              <w:left w:val="single" w:sz="4" w:space="0" w:color="auto"/>
              <w:bottom w:val="single" w:sz="4" w:space="0" w:color="auto"/>
              <w:right w:val="single" w:sz="4" w:space="0" w:color="auto"/>
            </w:tcBorders>
            <w:vAlign w:val="center"/>
          </w:tcPr>
          <w:p w:rsidR="007068D6" w:rsidRPr="00BC545A" w:rsidRDefault="007068D6" w:rsidP="00E61FAC">
            <w:pPr>
              <w:pStyle w:val="CLDTableTitle"/>
              <w:rPr>
                <w:rFonts w:eastAsia="Calibri"/>
              </w:rPr>
            </w:pPr>
            <w:r w:rsidRPr="00BC545A">
              <w:rPr>
                <w:rFonts w:eastAsia="Calibri"/>
              </w:rPr>
              <w:t>CAZ</w:t>
            </w:r>
            <w:r w:rsidR="00E61FAC">
              <w:rPr>
                <w:rFonts w:eastAsia="Calibri"/>
              </w:rPr>
              <w:t>/</w:t>
            </w:r>
            <w:r w:rsidRPr="00BC545A">
              <w:rPr>
                <w:rFonts w:eastAsia="Calibri"/>
              </w:rPr>
              <w:t>AVI + MTZ</w:t>
            </w:r>
          </w:p>
        </w:tc>
        <w:tc>
          <w:tcPr>
            <w:tcW w:w="915" w:type="pct"/>
            <w:tcBorders>
              <w:top w:val="single" w:sz="4" w:space="0" w:color="auto"/>
              <w:left w:val="single" w:sz="4" w:space="0" w:color="auto"/>
              <w:bottom w:val="single" w:sz="4" w:space="0" w:color="auto"/>
              <w:right w:val="single" w:sz="4" w:space="0" w:color="auto"/>
            </w:tcBorders>
            <w:vAlign w:val="center"/>
          </w:tcPr>
          <w:p w:rsidR="007068D6" w:rsidRPr="00BC545A" w:rsidRDefault="007068D6" w:rsidP="003F2E8C">
            <w:pPr>
              <w:pStyle w:val="CLDTableTitle"/>
              <w:rPr>
                <w:rFonts w:eastAsia="Calibri"/>
              </w:rPr>
            </w:pPr>
            <w:proofErr w:type="spellStart"/>
            <w:r w:rsidRPr="00BC545A">
              <w:rPr>
                <w:rFonts w:eastAsia="Calibri"/>
              </w:rPr>
              <w:t>Meropenem</w:t>
            </w:r>
            <w:proofErr w:type="spellEnd"/>
          </w:p>
        </w:tc>
        <w:tc>
          <w:tcPr>
            <w:tcW w:w="1951" w:type="pct"/>
            <w:tcBorders>
              <w:top w:val="single" w:sz="4" w:space="0" w:color="auto"/>
              <w:left w:val="single" w:sz="4" w:space="0" w:color="auto"/>
              <w:bottom w:val="single" w:sz="4" w:space="0" w:color="auto"/>
              <w:right w:val="single" w:sz="4" w:space="0" w:color="auto"/>
            </w:tcBorders>
            <w:vAlign w:val="center"/>
          </w:tcPr>
          <w:p w:rsidR="007068D6" w:rsidRPr="00BC545A" w:rsidRDefault="007068D6" w:rsidP="003F2E8C">
            <w:pPr>
              <w:pStyle w:val="CLDTableTitle"/>
              <w:rPr>
                <w:rFonts w:eastAsia="Calibri"/>
                <w:vertAlign w:val="superscript"/>
              </w:rPr>
            </w:pPr>
            <w:r w:rsidRPr="00BC545A">
              <w:rPr>
                <w:rFonts w:eastAsia="Calibri"/>
              </w:rPr>
              <w:t>Difference</w:t>
            </w:r>
            <w:r w:rsidRPr="00BC545A">
              <w:rPr>
                <w:rFonts w:eastAsia="Calibri"/>
                <w:vertAlign w:val="superscript"/>
              </w:rPr>
              <w:t xml:space="preserve"> </w:t>
            </w:r>
            <w:r w:rsidRPr="00BC545A">
              <w:rPr>
                <w:rFonts w:eastAsia="Calibri"/>
              </w:rPr>
              <w:t xml:space="preserve">(%) 95% CI </w:t>
            </w:r>
          </w:p>
        </w:tc>
      </w:tr>
      <w:tr w:rsidR="001939AC" w:rsidRPr="00667EAA" w:rsidTr="003F2E8C">
        <w:trPr>
          <w:cantSplit/>
        </w:trPr>
        <w:tc>
          <w:tcPr>
            <w:tcW w:w="988" w:type="pct"/>
            <w:tcBorders>
              <w:top w:val="single" w:sz="4" w:space="0" w:color="auto"/>
              <w:left w:val="single" w:sz="4" w:space="0" w:color="auto"/>
              <w:bottom w:val="single" w:sz="4" w:space="0" w:color="auto"/>
              <w:right w:val="single" w:sz="4" w:space="0" w:color="auto"/>
            </w:tcBorders>
          </w:tcPr>
          <w:p w:rsidR="007068D6" w:rsidRPr="00667EAA" w:rsidRDefault="007068D6" w:rsidP="00667EAA">
            <w:pPr>
              <w:pStyle w:val="CLDTableTextListText"/>
              <w:rPr>
                <w:rFonts w:eastAsia="Calibri"/>
                <w:sz w:val="22"/>
              </w:rPr>
            </w:pPr>
          </w:p>
        </w:tc>
        <w:tc>
          <w:tcPr>
            <w:tcW w:w="1146" w:type="pct"/>
            <w:tcBorders>
              <w:top w:val="single" w:sz="4" w:space="0" w:color="auto"/>
              <w:left w:val="single" w:sz="4" w:space="0" w:color="auto"/>
              <w:bottom w:val="single" w:sz="4" w:space="0" w:color="auto"/>
              <w:right w:val="single" w:sz="4" w:space="0" w:color="auto"/>
            </w:tcBorders>
          </w:tcPr>
          <w:p w:rsidR="007068D6" w:rsidRPr="00667EAA" w:rsidRDefault="007068D6" w:rsidP="00667EAA">
            <w:pPr>
              <w:pStyle w:val="CLDTableTextListText"/>
              <w:rPr>
                <w:sz w:val="22"/>
              </w:rPr>
            </w:pPr>
            <w:r w:rsidRPr="00667EAA">
              <w:rPr>
                <w:sz w:val="22"/>
              </w:rPr>
              <w:t>(N=177)</w:t>
            </w:r>
          </w:p>
        </w:tc>
        <w:tc>
          <w:tcPr>
            <w:tcW w:w="915" w:type="pct"/>
            <w:tcBorders>
              <w:top w:val="single" w:sz="4" w:space="0" w:color="auto"/>
              <w:left w:val="single" w:sz="4" w:space="0" w:color="auto"/>
              <w:bottom w:val="single" w:sz="4" w:space="0" w:color="auto"/>
              <w:right w:val="single" w:sz="4" w:space="0" w:color="auto"/>
            </w:tcBorders>
          </w:tcPr>
          <w:p w:rsidR="007068D6" w:rsidRPr="00667EAA" w:rsidRDefault="007068D6" w:rsidP="00667EAA">
            <w:pPr>
              <w:pStyle w:val="CLDTableTextListText"/>
              <w:rPr>
                <w:sz w:val="22"/>
              </w:rPr>
            </w:pPr>
            <w:r w:rsidRPr="00667EAA">
              <w:rPr>
                <w:sz w:val="22"/>
              </w:rPr>
              <w:t>(N=184)</w:t>
            </w:r>
          </w:p>
        </w:tc>
        <w:tc>
          <w:tcPr>
            <w:tcW w:w="1951" w:type="pct"/>
            <w:tcBorders>
              <w:top w:val="single" w:sz="4" w:space="0" w:color="auto"/>
              <w:left w:val="single" w:sz="4" w:space="0" w:color="auto"/>
              <w:bottom w:val="single" w:sz="4" w:space="0" w:color="auto"/>
              <w:right w:val="single" w:sz="4" w:space="0" w:color="auto"/>
            </w:tcBorders>
          </w:tcPr>
          <w:p w:rsidR="007068D6" w:rsidRPr="00667EAA" w:rsidRDefault="007068D6" w:rsidP="00667EAA">
            <w:pPr>
              <w:pStyle w:val="CLDTableTextListText"/>
              <w:rPr>
                <w:sz w:val="22"/>
              </w:rPr>
            </w:pPr>
          </w:p>
        </w:tc>
      </w:tr>
      <w:tr w:rsidR="007068D6" w:rsidRPr="00667EAA" w:rsidTr="003F2E8C">
        <w:trPr>
          <w:cantSplit/>
        </w:trPr>
        <w:tc>
          <w:tcPr>
            <w:tcW w:w="988" w:type="pct"/>
            <w:tcBorders>
              <w:top w:val="single" w:sz="4" w:space="0" w:color="auto"/>
              <w:left w:val="single" w:sz="4" w:space="0" w:color="auto"/>
              <w:bottom w:val="single" w:sz="4" w:space="0" w:color="auto"/>
              <w:right w:val="single" w:sz="4" w:space="0" w:color="auto"/>
            </w:tcBorders>
          </w:tcPr>
          <w:p w:rsidR="007068D6" w:rsidRPr="00667EAA" w:rsidRDefault="007068D6" w:rsidP="00667EAA">
            <w:pPr>
              <w:pStyle w:val="CLDTableTextListText"/>
              <w:rPr>
                <w:rFonts w:eastAsia="Calibri"/>
                <w:sz w:val="22"/>
              </w:rPr>
            </w:pPr>
            <w:r w:rsidRPr="00667EAA">
              <w:rPr>
                <w:rFonts w:eastAsia="Calibri"/>
                <w:sz w:val="22"/>
              </w:rPr>
              <w:t>Clinical cure</w:t>
            </w:r>
          </w:p>
        </w:tc>
        <w:tc>
          <w:tcPr>
            <w:tcW w:w="1146" w:type="pct"/>
            <w:tcBorders>
              <w:top w:val="single" w:sz="4" w:space="0" w:color="auto"/>
              <w:left w:val="single" w:sz="4" w:space="0" w:color="auto"/>
              <w:bottom w:val="single" w:sz="4" w:space="0" w:color="auto"/>
              <w:right w:val="single" w:sz="4" w:space="0" w:color="auto"/>
            </w:tcBorders>
          </w:tcPr>
          <w:p w:rsidR="007068D6" w:rsidRPr="00667EAA" w:rsidRDefault="007068D6" w:rsidP="00667EAA">
            <w:pPr>
              <w:pStyle w:val="CLDTableTextListText"/>
              <w:rPr>
                <w:sz w:val="22"/>
              </w:rPr>
            </w:pPr>
            <w:r w:rsidRPr="00667EAA">
              <w:rPr>
                <w:sz w:val="22"/>
              </w:rPr>
              <w:t>166 (93.8)</w:t>
            </w:r>
          </w:p>
        </w:tc>
        <w:tc>
          <w:tcPr>
            <w:tcW w:w="915" w:type="pct"/>
            <w:tcBorders>
              <w:top w:val="single" w:sz="4" w:space="0" w:color="auto"/>
              <w:left w:val="single" w:sz="4" w:space="0" w:color="auto"/>
              <w:bottom w:val="single" w:sz="4" w:space="0" w:color="auto"/>
              <w:right w:val="single" w:sz="4" w:space="0" w:color="auto"/>
            </w:tcBorders>
          </w:tcPr>
          <w:p w:rsidR="007068D6" w:rsidRPr="00667EAA" w:rsidRDefault="007068D6" w:rsidP="00667EAA">
            <w:pPr>
              <w:pStyle w:val="CLDTableTextListText"/>
              <w:rPr>
                <w:sz w:val="22"/>
              </w:rPr>
            </w:pPr>
            <w:r w:rsidRPr="00667EAA">
              <w:rPr>
                <w:sz w:val="22"/>
              </w:rPr>
              <w:t>173 (94.0)</w:t>
            </w:r>
          </w:p>
        </w:tc>
        <w:tc>
          <w:tcPr>
            <w:tcW w:w="1951" w:type="pct"/>
            <w:tcBorders>
              <w:top w:val="single" w:sz="4" w:space="0" w:color="auto"/>
              <w:left w:val="single" w:sz="4" w:space="0" w:color="auto"/>
              <w:bottom w:val="single" w:sz="4" w:space="0" w:color="auto"/>
              <w:right w:val="single" w:sz="4" w:space="0" w:color="auto"/>
            </w:tcBorders>
          </w:tcPr>
          <w:p w:rsidR="007068D6" w:rsidRPr="00667EAA" w:rsidRDefault="007068D6" w:rsidP="00667EAA">
            <w:pPr>
              <w:pStyle w:val="CLDTableTextListText"/>
              <w:rPr>
                <w:sz w:val="22"/>
              </w:rPr>
            </w:pPr>
            <w:r w:rsidRPr="00667EAA">
              <w:rPr>
                <w:sz w:val="22"/>
              </w:rPr>
              <w:t>-0.2 (-5.53, 4.97)</w:t>
            </w:r>
          </w:p>
        </w:tc>
      </w:tr>
    </w:tbl>
    <w:p w:rsidR="007068D6" w:rsidRPr="00BC545A" w:rsidRDefault="007068D6" w:rsidP="00402D0D">
      <w:pPr>
        <w:pStyle w:val="CLDTableFootnote"/>
      </w:pPr>
    </w:p>
    <w:p w:rsidR="00402D0D" w:rsidRPr="00BC545A" w:rsidRDefault="007068D6" w:rsidP="00C154B3">
      <w:pPr>
        <w:pStyle w:val="CLDNormal"/>
      </w:pPr>
      <w:r w:rsidRPr="00BC545A">
        <w:t xml:space="preserve">Clinical cure rates at TOC by pathogen in the microbiologically modified </w:t>
      </w:r>
      <w:r w:rsidR="00B04B3E">
        <w:t>i</w:t>
      </w:r>
      <w:r w:rsidRPr="00BC545A">
        <w:t>ntent</w:t>
      </w:r>
      <w:r w:rsidR="00B04B3E">
        <w:t>-</w:t>
      </w:r>
      <w:r w:rsidRPr="00BC545A">
        <w:t>to</w:t>
      </w:r>
      <w:r w:rsidR="00B04B3E">
        <w:t>-t</w:t>
      </w:r>
      <w:r w:rsidRPr="00BC545A">
        <w:t>reat (</w:t>
      </w:r>
      <w:proofErr w:type="spellStart"/>
      <w:r w:rsidRPr="00BC545A">
        <w:t>mMITT</w:t>
      </w:r>
      <w:proofErr w:type="spellEnd"/>
      <w:r w:rsidRPr="00BC545A">
        <w:t xml:space="preserve">) population for Gram-negative aerobes </w:t>
      </w:r>
      <w:proofErr w:type="gramStart"/>
      <w:r w:rsidRPr="00BC545A">
        <w:t>are shown</w:t>
      </w:r>
      <w:proofErr w:type="gramEnd"/>
      <w:r w:rsidRPr="00BC545A">
        <w:t xml:space="preserve"> in </w:t>
      </w:r>
      <w:r w:rsidR="00501C00">
        <w:t>the t</w:t>
      </w:r>
      <w:r w:rsidRPr="00BC545A">
        <w:t>able</w:t>
      </w:r>
      <w:r w:rsidR="00B6621A">
        <w:t xml:space="preserve"> </w:t>
      </w:r>
      <w:r w:rsidRPr="00BC545A">
        <w:t>below.</w:t>
      </w:r>
    </w:p>
    <w:p w:rsidR="007068D6" w:rsidRPr="00BC545A" w:rsidRDefault="00D76D07" w:rsidP="00667EAA">
      <w:pPr>
        <w:pStyle w:val="CLDTableTitle"/>
      </w:pPr>
      <w:bookmarkStart w:id="8" w:name="_Toc1479079"/>
      <w:r>
        <w:lastRenderedPageBreak/>
        <w:t xml:space="preserve">Table </w:t>
      </w:r>
      <w:r>
        <w:fldChar w:fldCharType="begin"/>
      </w:r>
      <w:r>
        <w:instrText xml:space="preserve"> SEQ Table \* ARABIC </w:instrText>
      </w:r>
      <w:r>
        <w:fldChar w:fldCharType="separate"/>
      </w:r>
      <w:r w:rsidR="00B44B34">
        <w:rPr>
          <w:noProof/>
        </w:rPr>
        <w:t>9</w:t>
      </w:r>
      <w:r>
        <w:fldChar w:fldCharType="end"/>
      </w:r>
      <w:r>
        <w:t xml:space="preserve">: </w:t>
      </w:r>
      <w:r w:rsidRPr="00510BEC">
        <w:t xml:space="preserve">Clinical cure rates at TOC by common (combined frequency of </w:t>
      </w:r>
      <w:r w:rsidR="00ED5E7E">
        <w:sym w:font="Symbol" w:char="F0B3"/>
      </w:r>
      <w:r w:rsidRPr="00510BEC">
        <w:t xml:space="preserve">7) Gram-negative baseline pathogen (RECLAIM 3 </w:t>
      </w:r>
      <w:proofErr w:type="spellStart"/>
      <w:r w:rsidRPr="00510BEC">
        <w:t>mMITT</w:t>
      </w:r>
      <w:proofErr w:type="spellEnd"/>
      <w:r w:rsidRPr="00510BEC">
        <w:t xml:space="preserve"> analysis set)</w:t>
      </w:r>
      <w:bookmarkEnd w:id="8"/>
    </w:p>
    <w:tbl>
      <w:tblPr>
        <w:tblW w:w="0" w:type="auto"/>
        <w:tblInd w:w="108" w:type="dxa"/>
        <w:tblLook w:val="0000" w:firstRow="0" w:lastRow="0" w:firstColumn="0" w:lastColumn="0" w:noHBand="0" w:noVBand="0"/>
      </w:tblPr>
      <w:tblGrid>
        <w:gridCol w:w="2552"/>
        <w:gridCol w:w="1134"/>
        <w:gridCol w:w="1559"/>
        <w:gridCol w:w="600"/>
        <w:gridCol w:w="917"/>
        <w:gridCol w:w="1517"/>
        <w:gridCol w:w="795"/>
      </w:tblGrid>
      <w:tr w:rsidR="001939AC" w:rsidRPr="002E7FAF" w:rsidTr="00402D0D">
        <w:trPr>
          <w:cantSplit/>
          <w:tblHeader/>
        </w:trPr>
        <w:tc>
          <w:tcPr>
            <w:tcW w:w="0" w:type="auto"/>
            <w:gridSpan w:val="7"/>
            <w:tcBorders>
              <w:top w:val="single" w:sz="4" w:space="0" w:color="auto"/>
              <w:left w:val="single" w:sz="4" w:space="0" w:color="auto"/>
              <w:bottom w:val="single" w:sz="4" w:space="0" w:color="auto"/>
              <w:right w:val="single" w:sz="4" w:space="0" w:color="auto"/>
            </w:tcBorders>
          </w:tcPr>
          <w:p w:rsidR="007068D6" w:rsidRPr="002E7FAF" w:rsidRDefault="007068D6" w:rsidP="002E7FAF">
            <w:pPr>
              <w:pStyle w:val="CLDTableSpaceListSpace"/>
              <w:jc w:val="center"/>
              <w:rPr>
                <w:b/>
                <w:bCs/>
                <w:sz w:val="22"/>
              </w:rPr>
            </w:pPr>
            <w:r w:rsidRPr="002E7FAF">
              <w:rPr>
                <w:b/>
                <w:bCs/>
                <w:sz w:val="22"/>
              </w:rPr>
              <w:t>Number of patients</w:t>
            </w:r>
          </w:p>
        </w:tc>
      </w:tr>
      <w:tr w:rsidR="00402D0D" w:rsidRPr="002E7FAF" w:rsidTr="00C004AC">
        <w:trPr>
          <w:cantSplit/>
          <w:tblHeader/>
        </w:trPr>
        <w:tc>
          <w:tcPr>
            <w:tcW w:w="2552" w:type="dxa"/>
            <w:tcBorders>
              <w:top w:val="single" w:sz="4" w:space="0" w:color="auto"/>
              <w:left w:val="single" w:sz="4" w:space="0" w:color="auto"/>
              <w:bottom w:val="single" w:sz="4" w:space="0" w:color="auto"/>
              <w:right w:val="single" w:sz="4" w:space="0" w:color="auto"/>
            </w:tcBorders>
          </w:tcPr>
          <w:p w:rsidR="00402D0D" w:rsidRPr="002E7FAF" w:rsidRDefault="00402D0D" w:rsidP="002E7FAF">
            <w:pPr>
              <w:pStyle w:val="CLDTableSpaceListSpace"/>
              <w:jc w:val="center"/>
              <w:rPr>
                <w:b/>
                <w:bCs/>
                <w:sz w:val="22"/>
              </w:rPr>
            </w:pPr>
          </w:p>
        </w:tc>
        <w:tc>
          <w:tcPr>
            <w:tcW w:w="3293" w:type="dxa"/>
            <w:gridSpan w:val="3"/>
            <w:tcBorders>
              <w:top w:val="single" w:sz="4" w:space="0" w:color="auto"/>
              <w:left w:val="single" w:sz="4" w:space="0" w:color="auto"/>
              <w:bottom w:val="single" w:sz="4" w:space="0" w:color="auto"/>
              <w:right w:val="single" w:sz="4" w:space="0" w:color="auto"/>
            </w:tcBorders>
          </w:tcPr>
          <w:p w:rsidR="00402D0D" w:rsidRPr="002E7FAF" w:rsidRDefault="00402D0D" w:rsidP="002E7FAF">
            <w:pPr>
              <w:pStyle w:val="CLDTableSpaceListSpace"/>
              <w:jc w:val="center"/>
              <w:rPr>
                <w:b/>
                <w:bCs/>
                <w:sz w:val="22"/>
              </w:rPr>
            </w:pPr>
            <w:r w:rsidRPr="002E7FAF">
              <w:rPr>
                <w:b/>
                <w:bCs/>
                <w:sz w:val="22"/>
              </w:rPr>
              <w:t>CAZ</w:t>
            </w:r>
            <w:r w:rsidR="00E61FAC" w:rsidRPr="002E7FAF">
              <w:rPr>
                <w:b/>
                <w:bCs/>
                <w:sz w:val="22"/>
              </w:rPr>
              <w:t>/</w:t>
            </w:r>
            <w:r w:rsidR="002456FE">
              <w:rPr>
                <w:b/>
                <w:bCs/>
                <w:sz w:val="22"/>
              </w:rPr>
              <w:t>A</w:t>
            </w:r>
            <w:r w:rsidRPr="002E7FAF">
              <w:rPr>
                <w:b/>
                <w:bCs/>
                <w:sz w:val="22"/>
              </w:rPr>
              <w:t>VI + MTZ (N=143)</w:t>
            </w:r>
          </w:p>
        </w:tc>
        <w:tc>
          <w:tcPr>
            <w:tcW w:w="0" w:type="auto"/>
            <w:gridSpan w:val="3"/>
            <w:tcBorders>
              <w:top w:val="single" w:sz="4" w:space="0" w:color="auto"/>
              <w:left w:val="single" w:sz="4" w:space="0" w:color="auto"/>
              <w:bottom w:val="single" w:sz="4" w:space="0" w:color="auto"/>
              <w:right w:val="single" w:sz="4" w:space="0" w:color="auto"/>
            </w:tcBorders>
          </w:tcPr>
          <w:p w:rsidR="00402D0D" w:rsidRPr="002E7FAF" w:rsidRDefault="00402D0D" w:rsidP="002E7FAF">
            <w:pPr>
              <w:pStyle w:val="CLDTableSpaceListSpace"/>
              <w:jc w:val="center"/>
              <w:rPr>
                <w:b/>
                <w:bCs/>
                <w:sz w:val="22"/>
              </w:rPr>
            </w:pPr>
            <w:proofErr w:type="spellStart"/>
            <w:r w:rsidRPr="002E7FAF">
              <w:rPr>
                <w:b/>
                <w:bCs/>
                <w:sz w:val="22"/>
              </w:rPr>
              <w:t>Meropenem</w:t>
            </w:r>
            <w:proofErr w:type="spellEnd"/>
            <w:r w:rsidRPr="002E7FAF">
              <w:rPr>
                <w:b/>
                <w:bCs/>
                <w:sz w:val="22"/>
              </w:rPr>
              <w:t xml:space="preserve"> (N=152)</w:t>
            </w:r>
          </w:p>
        </w:tc>
      </w:tr>
      <w:tr w:rsidR="00402D0D" w:rsidRPr="002E7FAF" w:rsidTr="00C004AC">
        <w:trPr>
          <w:cantSplit/>
          <w:tblHeader/>
        </w:trPr>
        <w:tc>
          <w:tcPr>
            <w:tcW w:w="2552" w:type="dxa"/>
            <w:tcBorders>
              <w:top w:val="single" w:sz="4" w:space="0" w:color="auto"/>
              <w:left w:val="single" w:sz="4" w:space="0" w:color="auto"/>
              <w:bottom w:val="single" w:sz="4" w:space="0" w:color="auto"/>
              <w:right w:val="single" w:sz="4" w:space="0" w:color="auto"/>
            </w:tcBorders>
          </w:tcPr>
          <w:p w:rsidR="007068D6" w:rsidRPr="002E7FAF" w:rsidRDefault="007068D6" w:rsidP="002E7FAF">
            <w:pPr>
              <w:pStyle w:val="CLDTableSpaceListSpace"/>
              <w:rPr>
                <w:b/>
                <w:bCs/>
                <w:sz w:val="22"/>
              </w:rPr>
            </w:pPr>
            <w:r w:rsidRPr="002E7FAF">
              <w:rPr>
                <w:b/>
                <w:bCs/>
                <w:sz w:val="22"/>
              </w:rPr>
              <w:t>Pathogen</w:t>
            </w:r>
          </w:p>
        </w:tc>
        <w:tc>
          <w:tcPr>
            <w:tcW w:w="1134" w:type="dxa"/>
            <w:tcBorders>
              <w:top w:val="single" w:sz="4" w:space="0" w:color="auto"/>
              <w:left w:val="single" w:sz="4" w:space="0" w:color="auto"/>
              <w:bottom w:val="single" w:sz="4" w:space="0" w:color="auto"/>
              <w:right w:val="single" w:sz="4" w:space="0" w:color="auto"/>
            </w:tcBorders>
          </w:tcPr>
          <w:p w:rsidR="007068D6" w:rsidRPr="002E7FAF" w:rsidRDefault="007068D6" w:rsidP="002E7FAF">
            <w:pPr>
              <w:pStyle w:val="CLDTableSpaceListSpace"/>
              <w:rPr>
                <w:b/>
                <w:bCs/>
                <w:sz w:val="22"/>
              </w:rPr>
            </w:pPr>
            <w:r w:rsidRPr="002E7FAF">
              <w:rPr>
                <w:b/>
                <w:bCs/>
                <w:sz w:val="22"/>
              </w:rPr>
              <w:t>Cure rate (%)</w:t>
            </w:r>
          </w:p>
        </w:tc>
        <w:tc>
          <w:tcPr>
            <w:tcW w:w="1559" w:type="dxa"/>
            <w:tcBorders>
              <w:top w:val="single" w:sz="4" w:space="0" w:color="auto"/>
              <w:left w:val="single" w:sz="4" w:space="0" w:color="auto"/>
              <w:bottom w:val="single" w:sz="4" w:space="0" w:color="auto"/>
              <w:right w:val="single" w:sz="4" w:space="0" w:color="auto"/>
            </w:tcBorders>
          </w:tcPr>
          <w:p w:rsidR="007068D6" w:rsidRPr="002E7FAF" w:rsidRDefault="007068D6" w:rsidP="002E7FAF">
            <w:pPr>
              <w:pStyle w:val="CLDTableSpaceListSpace"/>
              <w:rPr>
                <w:b/>
                <w:bCs/>
                <w:sz w:val="22"/>
              </w:rPr>
            </w:pPr>
            <w:r w:rsidRPr="002E7FAF">
              <w:rPr>
                <w:b/>
                <w:bCs/>
                <w:sz w:val="22"/>
              </w:rPr>
              <w:t>Number of clinical cures</w:t>
            </w:r>
          </w:p>
        </w:tc>
        <w:tc>
          <w:tcPr>
            <w:tcW w:w="600" w:type="dxa"/>
            <w:tcBorders>
              <w:top w:val="single" w:sz="4" w:space="0" w:color="auto"/>
              <w:left w:val="single" w:sz="4" w:space="0" w:color="auto"/>
              <w:bottom w:val="single" w:sz="4" w:space="0" w:color="auto"/>
              <w:right w:val="single" w:sz="4" w:space="0" w:color="auto"/>
            </w:tcBorders>
          </w:tcPr>
          <w:p w:rsidR="007068D6" w:rsidRPr="002E7FAF" w:rsidRDefault="007068D6" w:rsidP="002E7FAF">
            <w:pPr>
              <w:pStyle w:val="CLDTableSpaceListSpace"/>
              <w:rPr>
                <w:b/>
                <w:bCs/>
                <w:sz w:val="22"/>
              </w:rPr>
            </w:pPr>
            <w:r w:rsidRPr="002E7FAF">
              <w:rPr>
                <w:b/>
                <w:bCs/>
                <w:sz w:val="22"/>
              </w:rPr>
              <w:t>N</w:t>
            </w:r>
          </w:p>
        </w:tc>
        <w:tc>
          <w:tcPr>
            <w:tcW w:w="0" w:type="auto"/>
            <w:tcBorders>
              <w:top w:val="single" w:sz="4" w:space="0" w:color="auto"/>
              <w:left w:val="single" w:sz="4" w:space="0" w:color="auto"/>
              <w:bottom w:val="single" w:sz="4" w:space="0" w:color="auto"/>
              <w:right w:val="single" w:sz="4" w:space="0" w:color="auto"/>
            </w:tcBorders>
          </w:tcPr>
          <w:p w:rsidR="007068D6" w:rsidRPr="002E7FAF" w:rsidRDefault="007068D6" w:rsidP="002E7FAF">
            <w:pPr>
              <w:pStyle w:val="CLDTableSpaceListSpace"/>
              <w:rPr>
                <w:b/>
                <w:bCs/>
                <w:sz w:val="22"/>
              </w:rPr>
            </w:pPr>
            <w:r w:rsidRPr="002E7FAF">
              <w:rPr>
                <w:b/>
                <w:bCs/>
                <w:sz w:val="22"/>
              </w:rPr>
              <w:t>Cure rate (%)</w:t>
            </w:r>
          </w:p>
        </w:tc>
        <w:tc>
          <w:tcPr>
            <w:tcW w:w="1517" w:type="dxa"/>
            <w:tcBorders>
              <w:top w:val="single" w:sz="4" w:space="0" w:color="auto"/>
              <w:left w:val="single" w:sz="4" w:space="0" w:color="auto"/>
              <w:bottom w:val="single" w:sz="4" w:space="0" w:color="auto"/>
              <w:right w:val="single" w:sz="4" w:space="0" w:color="auto"/>
            </w:tcBorders>
          </w:tcPr>
          <w:p w:rsidR="007068D6" w:rsidRPr="002E7FAF" w:rsidRDefault="007068D6" w:rsidP="002E7FAF">
            <w:pPr>
              <w:pStyle w:val="CLDTableSpaceListSpace"/>
              <w:rPr>
                <w:b/>
                <w:bCs/>
                <w:sz w:val="22"/>
              </w:rPr>
            </w:pPr>
            <w:r w:rsidRPr="002E7FAF">
              <w:rPr>
                <w:b/>
                <w:bCs/>
                <w:sz w:val="22"/>
              </w:rPr>
              <w:t>Number of clinical cures</w:t>
            </w:r>
          </w:p>
        </w:tc>
        <w:tc>
          <w:tcPr>
            <w:tcW w:w="795" w:type="dxa"/>
            <w:tcBorders>
              <w:top w:val="single" w:sz="4" w:space="0" w:color="auto"/>
              <w:left w:val="single" w:sz="4" w:space="0" w:color="auto"/>
              <w:bottom w:val="single" w:sz="4" w:space="0" w:color="auto"/>
              <w:right w:val="single" w:sz="4" w:space="0" w:color="auto"/>
            </w:tcBorders>
          </w:tcPr>
          <w:p w:rsidR="007068D6" w:rsidRPr="002E7FAF" w:rsidRDefault="00402D0D" w:rsidP="002E7FAF">
            <w:pPr>
              <w:pStyle w:val="CLDTableSpaceListSpace"/>
              <w:rPr>
                <w:b/>
                <w:bCs/>
                <w:sz w:val="22"/>
              </w:rPr>
            </w:pPr>
            <w:r w:rsidRPr="002E7FAF">
              <w:rPr>
                <w:b/>
                <w:bCs/>
                <w:sz w:val="22"/>
              </w:rPr>
              <w:t>N</w:t>
            </w:r>
          </w:p>
        </w:tc>
      </w:tr>
      <w:tr w:rsidR="00402D0D" w:rsidRPr="00667EAA" w:rsidTr="00C004AC">
        <w:trPr>
          <w:cantSplit/>
        </w:trPr>
        <w:tc>
          <w:tcPr>
            <w:tcW w:w="2552" w:type="dxa"/>
            <w:tcBorders>
              <w:top w:val="single" w:sz="4" w:space="0" w:color="auto"/>
              <w:left w:val="single" w:sz="4" w:space="0" w:color="auto"/>
              <w:bottom w:val="single" w:sz="4" w:space="0" w:color="auto"/>
              <w:right w:val="single" w:sz="4" w:space="0" w:color="auto"/>
            </w:tcBorders>
          </w:tcPr>
          <w:p w:rsidR="007068D6" w:rsidRPr="00667EAA" w:rsidRDefault="007068D6" w:rsidP="00667EAA">
            <w:pPr>
              <w:pStyle w:val="StyleCLDTableTextListTextItalicAuto"/>
              <w:rPr>
                <w:szCs w:val="22"/>
              </w:rPr>
            </w:pPr>
            <w:proofErr w:type="spellStart"/>
            <w:r w:rsidRPr="00667EAA">
              <w:rPr>
                <w:szCs w:val="22"/>
              </w:rPr>
              <w:t>Enterobacteriaceae</w:t>
            </w:r>
            <w:proofErr w:type="spellEnd"/>
          </w:p>
        </w:tc>
        <w:tc>
          <w:tcPr>
            <w:tcW w:w="1134" w:type="dxa"/>
            <w:tcBorders>
              <w:top w:val="single" w:sz="4" w:space="0" w:color="auto"/>
              <w:left w:val="single" w:sz="4" w:space="0" w:color="auto"/>
              <w:bottom w:val="single" w:sz="4" w:space="0" w:color="auto"/>
              <w:right w:val="single" w:sz="4" w:space="0" w:color="auto"/>
            </w:tcBorders>
          </w:tcPr>
          <w:p w:rsidR="007068D6" w:rsidRPr="00667EAA" w:rsidRDefault="007068D6" w:rsidP="003F2E8C">
            <w:pPr>
              <w:pStyle w:val="CLDTableTextListText"/>
              <w:rPr>
                <w:sz w:val="22"/>
                <w:szCs w:val="22"/>
              </w:rPr>
            </w:pPr>
            <w:r w:rsidRPr="00667EAA">
              <w:rPr>
                <w:sz w:val="22"/>
                <w:szCs w:val="22"/>
              </w:rPr>
              <w:t>80.9</w:t>
            </w:r>
          </w:p>
        </w:tc>
        <w:tc>
          <w:tcPr>
            <w:tcW w:w="1559" w:type="dxa"/>
            <w:tcBorders>
              <w:top w:val="single" w:sz="4" w:space="0" w:color="auto"/>
              <w:left w:val="single" w:sz="4" w:space="0" w:color="auto"/>
              <w:bottom w:val="single" w:sz="4" w:space="0" w:color="auto"/>
              <w:right w:val="single" w:sz="4" w:space="0" w:color="auto"/>
            </w:tcBorders>
          </w:tcPr>
          <w:p w:rsidR="007068D6" w:rsidRPr="00667EAA" w:rsidRDefault="007068D6" w:rsidP="003F2E8C">
            <w:pPr>
              <w:pStyle w:val="CLDTableTextListText"/>
              <w:rPr>
                <w:sz w:val="22"/>
                <w:szCs w:val="22"/>
              </w:rPr>
            </w:pPr>
            <w:r w:rsidRPr="00667EAA">
              <w:rPr>
                <w:sz w:val="22"/>
                <w:szCs w:val="22"/>
              </w:rPr>
              <w:t>93</w:t>
            </w:r>
          </w:p>
        </w:tc>
        <w:tc>
          <w:tcPr>
            <w:tcW w:w="600" w:type="dxa"/>
            <w:tcBorders>
              <w:top w:val="single" w:sz="4" w:space="0" w:color="auto"/>
              <w:left w:val="single" w:sz="4" w:space="0" w:color="auto"/>
              <w:bottom w:val="single" w:sz="4" w:space="0" w:color="auto"/>
              <w:right w:val="single" w:sz="4" w:space="0" w:color="auto"/>
            </w:tcBorders>
          </w:tcPr>
          <w:p w:rsidR="007068D6" w:rsidRPr="00667EAA" w:rsidRDefault="007068D6" w:rsidP="003F2E8C">
            <w:pPr>
              <w:pStyle w:val="CLDTableTextListText"/>
              <w:rPr>
                <w:sz w:val="22"/>
                <w:szCs w:val="22"/>
              </w:rPr>
            </w:pPr>
            <w:r w:rsidRPr="00667EAA">
              <w:rPr>
                <w:sz w:val="22"/>
                <w:szCs w:val="22"/>
              </w:rPr>
              <w:t>115</w:t>
            </w:r>
          </w:p>
        </w:tc>
        <w:tc>
          <w:tcPr>
            <w:tcW w:w="0" w:type="auto"/>
            <w:tcBorders>
              <w:top w:val="single" w:sz="4" w:space="0" w:color="auto"/>
              <w:left w:val="single" w:sz="4" w:space="0" w:color="auto"/>
              <w:bottom w:val="single" w:sz="4" w:space="0" w:color="auto"/>
              <w:right w:val="single" w:sz="4" w:space="0" w:color="auto"/>
            </w:tcBorders>
          </w:tcPr>
          <w:p w:rsidR="007068D6" w:rsidRPr="00667EAA" w:rsidRDefault="007068D6" w:rsidP="003F2E8C">
            <w:pPr>
              <w:pStyle w:val="CLDTableTextListText"/>
              <w:rPr>
                <w:sz w:val="22"/>
                <w:szCs w:val="22"/>
              </w:rPr>
            </w:pPr>
            <w:r w:rsidRPr="00667EAA">
              <w:rPr>
                <w:sz w:val="22"/>
                <w:szCs w:val="22"/>
              </w:rPr>
              <w:t>92.7</w:t>
            </w:r>
          </w:p>
        </w:tc>
        <w:tc>
          <w:tcPr>
            <w:tcW w:w="1517" w:type="dxa"/>
            <w:tcBorders>
              <w:top w:val="single" w:sz="4" w:space="0" w:color="auto"/>
              <w:left w:val="single" w:sz="4" w:space="0" w:color="auto"/>
              <w:bottom w:val="single" w:sz="4" w:space="0" w:color="auto"/>
              <w:right w:val="single" w:sz="4" w:space="0" w:color="auto"/>
            </w:tcBorders>
          </w:tcPr>
          <w:p w:rsidR="007068D6" w:rsidRPr="00667EAA" w:rsidRDefault="007068D6" w:rsidP="003F2E8C">
            <w:pPr>
              <w:pStyle w:val="CLDTableTextListText"/>
              <w:rPr>
                <w:sz w:val="22"/>
                <w:szCs w:val="22"/>
              </w:rPr>
            </w:pPr>
            <w:r w:rsidRPr="00667EAA">
              <w:rPr>
                <w:sz w:val="22"/>
                <w:szCs w:val="22"/>
              </w:rPr>
              <w:t>115</w:t>
            </w:r>
          </w:p>
        </w:tc>
        <w:tc>
          <w:tcPr>
            <w:tcW w:w="795" w:type="dxa"/>
            <w:tcBorders>
              <w:top w:val="single" w:sz="4" w:space="0" w:color="auto"/>
              <w:left w:val="single" w:sz="4" w:space="0" w:color="auto"/>
              <w:bottom w:val="single" w:sz="4" w:space="0" w:color="auto"/>
              <w:right w:val="single" w:sz="4" w:space="0" w:color="auto"/>
            </w:tcBorders>
          </w:tcPr>
          <w:p w:rsidR="007068D6" w:rsidRPr="00667EAA" w:rsidRDefault="007068D6" w:rsidP="003F2E8C">
            <w:pPr>
              <w:pStyle w:val="CLDTableTextListText"/>
              <w:rPr>
                <w:sz w:val="22"/>
                <w:szCs w:val="22"/>
              </w:rPr>
            </w:pPr>
            <w:r w:rsidRPr="00667EAA">
              <w:rPr>
                <w:sz w:val="22"/>
                <w:szCs w:val="22"/>
              </w:rPr>
              <w:t>124</w:t>
            </w:r>
          </w:p>
        </w:tc>
      </w:tr>
      <w:tr w:rsidR="00402D0D" w:rsidRPr="00667EAA" w:rsidTr="00C004AC">
        <w:trPr>
          <w:cantSplit/>
        </w:trPr>
        <w:tc>
          <w:tcPr>
            <w:tcW w:w="2552" w:type="dxa"/>
            <w:tcBorders>
              <w:top w:val="single" w:sz="4" w:space="0" w:color="auto"/>
              <w:left w:val="single" w:sz="4" w:space="0" w:color="auto"/>
              <w:bottom w:val="single" w:sz="4" w:space="0" w:color="auto"/>
              <w:right w:val="single" w:sz="4" w:space="0" w:color="auto"/>
            </w:tcBorders>
          </w:tcPr>
          <w:p w:rsidR="007068D6" w:rsidRPr="00667EAA" w:rsidRDefault="007068D6" w:rsidP="002E7FAF">
            <w:pPr>
              <w:pStyle w:val="CLDTableTextListText"/>
              <w:ind w:left="318"/>
              <w:rPr>
                <w:i/>
                <w:iCs/>
                <w:color w:val="auto"/>
                <w:sz w:val="22"/>
                <w:szCs w:val="22"/>
              </w:rPr>
            </w:pPr>
            <w:r w:rsidRPr="00667EAA">
              <w:rPr>
                <w:i/>
                <w:iCs/>
                <w:color w:val="auto"/>
                <w:sz w:val="22"/>
                <w:szCs w:val="22"/>
              </w:rPr>
              <w:t>C</w:t>
            </w:r>
            <w:r w:rsidR="002E7FAF">
              <w:rPr>
                <w:i/>
                <w:iCs/>
                <w:color w:val="auto"/>
                <w:sz w:val="22"/>
                <w:szCs w:val="22"/>
              </w:rPr>
              <w:t xml:space="preserve">. </w:t>
            </w:r>
            <w:proofErr w:type="spellStart"/>
            <w:r w:rsidRPr="00667EAA">
              <w:rPr>
                <w:i/>
                <w:iCs/>
                <w:color w:val="auto"/>
                <w:sz w:val="22"/>
                <w:szCs w:val="22"/>
              </w:rPr>
              <w:t>freundii</w:t>
            </w:r>
            <w:proofErr w:type="spellEnd"/>
            <w:r w:rsidRPr="00667EAA">
              <w:rPr>
                <w:i/>
                <w:iCs/>
                <w:color w:val="auto"/>
                <w:sz w:val="22"/>
                <w:szCs w:val="22"/>
              </w:rPr>
              <w:t xml:space="preserve"> complex</w:t>
            </w:r>
          </w:p>
        </w:tc>
        <w:tc>
          <w:tcPr>
            <w:tcW w:w="1134" w:type="dxa"/>
            <w:tcBorders>
              <w:top w:val="single" w:sz="4" w:space="0" w:color="auto"/>
              <w:left w:val="single" w:sz="4" w:space="0" w:color="auto"/>
              <w:bottom w:val="single" w:sz="4" w:space="0" w:color="auto"/>
              <w:right w:val="single" w:sz="4" w:space="0" w:color="auto"/>
            </w:tcBorders>
          </w:tcPr>
          <w:p w:rsidR="007068D6" w:rsidRPr="00667EAA" w:rsidRDefault="007068D6" w:rsidP="003F2E8C">
            <w:pPr>
              <w:pStyle w:val="CLDTableTextListText"/>
              <w:rPr>
                <w:sz w:val="22"/>
                <w:szCs w:val="22"/>
              </w:rPr>
            </w:pPr>
            <w:r w:rsidRPr="00667EAA">
              <w:rPr>
                <w:sz w:val="22"/>
                <w:szCs w:val="22"/>
              </w:rPr>
              <w:t>62.5</w:t>
            </w:r>
          </w:p>
        </w:tc>
        <w:tc>
          <w:tcPr>
            <w:tcW w:w="1559" w:type="dxa"/>
            <w:tcBorders>
              <w:top w:val="single" w:sz="4" w:space="0" w:color="auto"/>
              <w:left w:val="single" w:sz="4" w:space="0" w:color="auto"/>
              <w:bottom w:val="single" w:sz="4" w:space="0" w:color="auto"/>
              <w:right w:val="single" w:sz="4" w:space="0" w:color="auto"/>
            </w:tcBorders>
          </w:tcPr>
          <w:p w:rsidR="007068D6" w:rsidRPr="00667EAA" w:rsidRDefault="007068D6" w:rsidP="003F2E8C">
            <w:pPr>
              <w:pStyle w:val="CLDTableTextListText"/>
              <w:rPr>
                <w:sz w:val="22"/>
                <w:szCs w:val="22"/>
              </w:rPr>
            </w:pPr>
            <w:r w:rsidRPr="00667EAA">
              <w:rPr>
                <w:sz w:val="22"/>
                <w:szCs w:val="22"/>
              </w:rPr>
              <w:t>5</w:t>
            </w:r>
          </w:p>
        </w:tc>
        <w:tc>
          <w:tcPr>
            <w:tcW w:w="600" w:type="dxa"/>
            <w:tcBorders>
              <w:top w:val="single" w:sz="4" w:space="0" w:color="auto"/>
              <w:left w:val="single" w:sz="4" w:space="0" w:color="auto"/>
              <w:bottom w:val="single" w:sz="4" w:space="0" w:color="auto"/>
              <w:right w:val="single" w:sz="4" w:space="0" w:color="auto"/>
            </w:tcBorders>
          </w:tcPr>
          <w:p w:rsidR="007068D6" w:rsidRPr="00667EAA" w:rsidRDefault="007068D6" w:rsidP="003F2E8C">
            <w:pPr>
              <w:pStyle w:val="CLDTableTextListText"/>
              <w:rPr>
                <w:sz w:val="22"/>
                <w:szCs w:val="22"/>
              </w:rPr>
            </w:pPr>
            <w:r w:rsidRPr="00667EAA">
              <w:rPr>
                <w:sz w:val="22"/>
                <w:szCs w:val="22"/>
              </w:rPr>
              <w:t>8</w:t>
            </w:r>
          </w:p>
        </w:tc>
        <w:tc>
          <w:tcPr>
            <w:tcW w:w="0" w:type="auto"/>
            <w:tcBorders>
              <w:top w:val="single" w:sz="4" w:space="0" w:color="auto"/>
              <w:left w:val="single" w:sz="4" w:space="0" w:color="auto"/>
              <w:bottom w:val="single" w:sz="4" w:space="0" w:color="auto"/>
              <w:right w:val="single" w:sz="4" w:space="0" w:color="auto"/>
            </w:tcBorders>
          </w:tcPr>
          <w:p w:rsidR="007068D6" w:rsidRPr="00667EAA" w:rsidRDefault="007068D6" w:rsidP="003F2E8C">
            <w:pPr>
              <w:pStyle w:val="CLDTableTextListText"/>
              <w:rPr>
                <w:sz w:val="22"/>
                <w:szCs w:val="22"/>
              </w:rPr>
            </w:pPr>
          </w:p>
        </w:tc>
        <w:tc>
          <w:tcPr>
            <w:tcW w:w="1517" w:type="dxa"/>
            <w:tcBorders>
              <w:top w:val="single" w:sz="4" w:space="0" w:color="auto"/>
              <w:left w:val="single" w:sz="4" w:space="0" w:color="auto"/>
              <w:bottom w:val="single" w:sz="4" w:space="0" w:color="auto"/>
              <w:right w:val="single" w:sz="4" w:space="0" w:color="auto"/>
            </w:tcBorders>
          </w:tcPr>
          <w:p w:rsidR="007068D6" w:rsidRPr="00667EAA" w:rsidRDefault="007068D6" w:rsidP="003F2E8C">
            <w:pPr>
              <w:pStyle w:val="CLDTableTextListText"/>
              <w:rPr>
                <w:sz w:val="22"/>
                <w:szCs w:val="22"/>
              </w:rPr>
            </w:pPr>
            <w:r w:rsidRPr="00667EAA">
              <w:rPr>
                <w:sz w:val="22"/>
                <w:szCs w:val="22"/>
              </w:rPr>
              <w:t>0</w:t>
            </w:r>
          </w:p>
        </w:tc>
        <w:tc>
          <w:tcPr>
            <w:tcW w:w="795" w:type="dxa"/>
            <w:tcBorders>
              <w:top w:val="single" w:sz="4" w:space="0" w:color="auto"/>
              <w:left w:val="single" w:sz="4" w:space="0" w:color="auto"/>
              <w:bottom w:val="single" w:sz="4" w:space="0" w:color="auto"/>
              <w:right w:val="single" w:sz="4" w:space="0" w:color="auto"/>
            </w:tcBorders>
          </w:tcPr>
          <w:p w:rsidR="007068D6" w:rsidRPr="00667EAA" w:rsidRDefault="007068D6" w:rsidP="003F2E8C">
            <w:pPr>
              <w:pStyle w:val="CLDTableTextListText"/>
              <w:rPr>
                <w:sz w:val="22"/>
                <w:szCs w:val="22"/>
              </w:rPr>
            </w:pPr>
            <w:r w:rsidRPr="00667EAA">
              <w:rPr>
                <w:sz w:val="22"/>
                <w:szCs w:val="22"/>
              </w:rPr>
              <w:t>0</w:t>
            </w:r>
          </w:p>
        </w:tc>
      </w:tr>
      <w:tr w:rsidR="00402D0D" w:rsidRPr="00667EAA" w:rsidTr="00C004AC">
        <w:trPr>
          <w:cantSplit/>
        </w:trPr>
        <w:tc>
          <w:tcPr>
            <w:tcW w:w="2552" w:type="dxa"/>
            <w:tcBorders>
              <w:top w:val="single" w:sz="4" w:space="0" w:color="auto"/>
              <w:left w:val="single" w:sz="4" w:space="0" w:color="auto"/>
              <w:bottom w:val="single" w:sz="4" w:space="0" w:color="auto"/>
              <w:right w:val="single" w:sz="4" w:space="0" w:color="auto"/>
            </w:tcBorders>
          </w:tcPr>
          <w:p w:rsidR="007068D6" w:rsidRPr="00667EAA" w:rsidRDefault="007068D6" w:rsidP="002E7FAF">
            <w:pPr>
              <w:pStyle w:val="CLDTableTextListText"/>
              <w:ind w:left="318"/>
              <w:rPr>
                <w:i/>
                <w:iCs/>
                <w:color w:val="auto"/>
                <w:sz w:val="22"/>
                <w:szCs w:val="22"/>
              </w:rPr>
            </w:pPr>
            <w:r w:rsidRPr="00667EAA">
              <w:rPr>
                <w:i/>
                <w:iCs/>
                <w:color w:val="auto"/>
                <w:sz w:val="22"/>
                <w:szCs w:val="22"/>
              </w:rPr>
              <w:t>E</w:t>
            </w:r>
            <w:r w:rsidR="002E7FAF">
              <w:rPr>
                <w:i/>
                <w:iCs/>
                <w:color w:val="auto"/>
                <w:sz w:val="22"/>
                <w:szCs w:val="22"/>
              </w:rPr>
              <w:t xml:space="preserve">. </w:t>
            </w:r>
            <w:r w:rsidRPr="00667EAA">
              <w:rPr>
                <w:i/>
                <w:iCs/>
                <w:color w:val="auto"/>
                <w:sz w:val="22"/>
                <w:szCs w:val="22"/>
              </w:rPr>
              <w:t>cloacae</w:t>
            </w:r>
          </w:p>
        </w:tc>
        <w:tc>
          <w:tcPr>
            <w:tcW w:w="1134" w:type="dxa"/>
            <w:tcBorders>
              <w:top w:val="single" w:sz="4" w:space="0" w:color="auto"/>
              <w:left w:val="single" w:sz="4" w:space="0" w:color="auto"/>
              <w:bottom w:val="single" w:sz="4" w:space="0" w:color="auto"/>
              <w:right w:val="single" w:sz="4" w:space="0" w:color="auto"/>
            </w:tcBorders>
          </w:tcPr>
          <w:p w:rsidR="007068D6" w:rsidRPr="00667EAA" w:rsidRDefault="007068D6" w:rsidP="003F2E8C">
            <w:pPr>
              <w:pStyle w:val="CLDTableTextListText"/>
              <w:rPr>
                <w:sz w:val="22"/>
                <w:szCs w:val="22"/>
              </w:rPr>
            </w:pPr>
            <w:r w:rsidRPr="00667EAA">
              <w:rPr>
                <w:sz w:val="22"/>
                <w:szCs w:val="22"/>
              </w:rPr>
              <w:t>100</w:t>
            </w:r>
          </w:p>
        </w:tc>
        <w:tc>
          <w:tcPr>
            <w:tcW w:w="1559" w:type="dxa"/>
            <w:tcBorders>
              <w:top w:val="single" w:sz="4" w:space="0" w:color="auto"/>
              <w:left w:val="single" w:sz="4" w:space="0" w:color="auto"/>
              <w:bottom w:val="single" w:sz="4" w:space="0" w:color="auto"/>
              <w:right w:val="single" w:sz="4" w:space="0" w:color="auto"/>
            </w:tcBorders>
          </w:tcPr>
          <w:p w:rsidR="007068D6" w:rsidRPr="00667EAA" w:rsidRDefault="007068D6" w:rsidP="003F2E8C">
            <w:pPr>
              <w:pStyle w:val="CLDTableTextListText"/>
              <w:rPr>
                <w:sz w:val="22"/>
                <w:szCs w:val="22"/>
              </w:rPr>
            </w:pPr>
            <w:r w:rsidRPr="00667EAA">
              <w:rPr>
                <w:sz w:val="22"/>
                <w:szCs w:val="22"/>
              </w:rPr>
              <w:t>5</w:t>
            </w:r>
          </w:p>
        </w:tc>
        <w:tc>
          <w:tcPr>
            <w:tcW w:w="600" w:type="dxa"/>
            <w:tcBorders>
              <w:top w:val="single" w:sz="4" w:space="0" w:color="auto"/>
              <w:left w:val="single" w:sz="4" w:space="0" w:color="auto"/>
              <w:bottom w:val="single" w:sz="4" w:space="0" w:color="auto"/>
              <w:right w:val="single" w:sz="4" w:space="0" w:color="auto"/>
            </w:tcBorders>
          </w:tcPr>
          <w:p w:rsidR="007068D6" w:rsidRPr="00667EAA" w:rsidRDefault="007068D6" w:rsidP="003F2E8C">
            <w:pPr>
              <w:pStyle w:val="CLDTableTextListText"/>
              <w:rPr>
                <w:sz w:val="22"/>
                <w:szCs w:val="22"/>
              </w:rPr>
            </w:pPr>
            <w:r w:rsidRPr="00667EAA">
              <w:rPr>
                <w:sz w:val="22"/>
                <w:szCs w:val="22"/>
              </w:rPr>
              <w:t>5</w:t>
            </w:r>
          </w:p>
        </w:tc>
        <w:tc>
          <w:tcPr>
            <w:tcW w:w="0" w:type="auto"/>
            <w:tcBorders>
              <w:top w:val="single" w:sz="4" w:space="0" w:color="auto"/>
              <w:left w:val="single" w:sz="4" w:space="0" w:color="auto"/>
              <w:bottom w:val="single" w:sz="4" w:space="0" w:color="auto"/>
              <w:right w:val="single" w:sz="4" w:space="0" w:color="auto"/>
            </w:tcBorders>
          </w:tcPr>
          <w:p w:rsidR="007068D6" w:rsidRPr="00667EAA" w:rsidRDefault="007068D6" w:rsidP="003F2E8C">
            <w:pPr>
              <w:pStyle w:val="CLDTableTextListText"/>
              <w:rPr>
                <w:sz w:val="22"/>
                <w:szCs w:val="22"/>
              </w:rPr>
            </w:pPr>
            <w:r w:rsidRPr="00667EAA">
              <w:rPr>
                <w:sz w:val="22"/>
                <w:szCs w:val="22"/>
              </w:rPr>
              <w:t>66.7</w:t>
            </w:r>
          </w:p>
        </w:tc>
        <w:tc>
          <w:tcPr>
            <w:tcW w:w="1517" w:type="dxa"/>
            <w:tcBorders>
              <w:top w:val="single" w:sz="4" w:space="0" w:color="auto"/>
              <w:left w:val="single" w:sz="4" w:space="0" w:color="auto"/>
              <w:bottom w:val="single" w:sz="4" w:space="0" w:color="auto"/>
              <w:right w:val="single" w:sz="4" w:space="0" w:color="auto"/>
            </w:tcBorders>
          </w:tcPr>
          <w:p w:rsidR="007068D6" w:rsidRPr="00667EAA" w:rsidRDefault="007068D6" w:rsidP="003F2E8C">
            <w:pPr>
              <w:pStyle w:val="CLDTableTextListText"/>
              <w:rPr>
                <w:sz w:val="22"/>
                <w:szCs w:val="22"/>
              </w:rPr>
            </w:pPr>
            <w:r w:rsidRPr="00667EAA">
              <w:rPr>
                <w:sz w:val="22"/>
                <w:szCs w:val="22"/>
              </w:rPr>
              <w:t>2</w:t>
            </w:r>
          </w:p>
        </w:tc>
        <w:tc>
          <w:tcPr>
            <w:tcW w:w="795" w:type="dxa"/>
            <w:tcBorders>
              <w:top w:val="single" w:sz="4" w:space="0" w:color="auto"/>
              <w:left w:val="single" w:sz="4" w:space="0" w:color="auto"/>
              <w:bottom w:val="single" w:sz="4" w:space="0" w:color="auto"/>
              <w:right w:val="single" w:sz="4" w:space="0" w:color="auto"/>
            </w:tcBorders>
          </w:tcPr>
          <w:p w:rsidR="007068D6" w:rsidRPr="00667EAA" w:rsidRDefault="007068D6" w:rsidP="003F2E8C">
            <w:pPr>
              <w:pStyle w:val="CLDTableTextListText"/>
              <w:rPr>
                <w:sz w:val="22"/>
                <w:szCs w:val="22"/>
              </w:rPr>
            </w:pPr>
            <w:r w:rsidRPr="00667EAA">
              <w:rPr>
                <w:sz w:val="22"/>
                <w:szCs w:val="22"/>
              </w:rPr>
              <w:t>3</w:t>
            </w:r>
          </w:p>
        </w:tc>
      </w:tr>
      <w:tr w:rsidR="00402D0D" w:rsidRPr="00667EAA" w:rsidTr="00C004AC">
        <w:trPr>
          <w:cantSplit/>
        </w:trPr>
        <w:tc>
          <w:tcPr>
            <w:tcW w:w="2552" w:type="dxa"/>
            <w:tcBorders>
              <w:top w:val="single" w:sz="4" w:space="0" w:color="auto"/>
              <w:left w:val="single" w:sz="4" w:space="0" w:color="auto"/>
              <w:bottom w:val="single" w:sz="4" w:space="0" w:color="auto"/>
              <w:right w:val="single" w:sz="4" w:space="0" w:color="auto"/>
            </w:tcBorders>
          </w:tcPr>
          <w:p w:rsidR="007068D6" w:rsidRPr="00667EAA" w:rsidRDefault="007068D6" w:rsidP="002E7FAF">
            <w:pPr>
              <w:pStyle w:val="CLDTableTextListText"/>
              <w:ind w:left="318"/>
              <w:rPr>
                <w:i/>
                <w:iCs/>
                <w:color w:val="auto"/>
                <w:sz w:val="22"/>
                <w:szCs w:val="22"/>
              </w:rPr>
            </w:pPr>
            <w:r w:rsidRPr="00667EAA">
              <w:rPr>
                <w:i/>
                <w:iCs/>
                <w:color w:val="auto"/>
                <w:sz w:val="22"/>
                <w:szCs w:val="22"/>
              </w:rPr>
              <w:t>E</w:t>
            </w:r>
            <w:r w:rsidR="002E7FAF">
              <w:rPr>
                <w:i/>
                <w:iCs/>
                <w:color w:val="auto"/>
                <w:sz w:val="22"/>
                <w:szCs w:val="22"/>
              </w:rPr>
              <w:t xml:space="preserve">. </w:t>
            </w:r>
            <w:r w:rsidRPr="00667EAA">
              <w:rPr>
                <w:i/>
                <w:iCs/>
                <w:color w:val="auto"/>
                <w:sz w:val="22"/>
                <w:szCs w:val="22"/>
              </w:rPr>
              <w:t>coli</w:t>
            </w:r>
          </w:p>
        </w:tc>
        <w:tc>
          <w:tcPr>
            <w:tcW w:w="1134" w:type="dxa"/>
            <w:tcBorders>
              <w:top w:val="single" w:sz="4" w:space="0" w:color="auto"/>
              <w:left w:val="single" w:sz="4" w:space="0" w:color="auto"/>
              <w:bottom w:val="single" w:sz="4" w:space="0" w:color="auto"/>
              <w:right w:val="single" w:sz="4" w:space="0" w:color="auto"/>
            </w:tcBorders>
          </w:tcPr>
          <w:p w:rsidR="007068D6" w:rsidRPr="00667EAA" w:rsidRDefault="007068D6" w:rsidP="003F2E8C">
            <w:pPr>
              <w:pStyle w:val="CLDTableTextListText"/>
              <w:rPr>
                <w:sz w:val="22"/>
                <w:szCs w:val="22"/>
              </w:rPr>
            </w:pPr>
            <w:r w:rsidRPr="00667EAA">
              <w:rPr>
                <w:sz w:val="22"/>
                <w:szCs w:val="22"/>
              </w:rPr>
              <w:t>83.3</w:t>
            </w:r>
          </w:p>
        </w:tc>
        <w:tc>
          <w:tcPr>
            <w:tcW w:w="1559" w:type="dxa"/>
            <w:tcBorders>
              <w:top w:val="single" w:sz="4" w:space="0" w:color="auto"/>
              <w:left w:val="single" w:sz="4" w:space="0" w:color="auto"/>
              <w:bottom w:val="single" w:sz="4" w:space="0" w:color="auto"/>
              <w:right w:val="single" w:sz="4" w:space="0" w:color="auto"/>
            </w:tcBorders>
          </w:tcPr>
          <w:p w:rsidR="007068D6" w:rsidRPr="00667EAA" w:rsidRDefault="007068D6" w:rsidP="003F2E8C">
            <w:pPr>
              <w:pStyle w:val="CLDTableTextListText"/>
              <w:rPr>
                <w:sz w:val="22"/>
                <w:szCs w:val="22"/>
              </w:rPr>
            </w:pPr>
            <w:r w:rsidRPr="00667EAA">
              <w:rPr>
                <w:sz w:val="22"/>
                <w:szCs w:val="22"/>
              </w:rPr>
              <w:t>70</w:t>
            </w:r>
          </w:p>
        </w:tc>
        <w:tc>
          <w:tcPr>
            <w:tcW w:w="600" w:type="dxa"/>
            <w:tcBorders>
              <w:top w:val="single" w:sz="4" w:space="0" w:color="auto"/>
              <w:left w:val="single" w:sz="4" w:space="0" w:color="auto"/>
              <w:bottom w:val="single" w:sz="4" w:space="0" w:color="auto"/>
              <w:right w:val="single" w:sz="4" w:space="0" w:color="auto"/>
            </w:tcBorders>
          </w:tcPr>
          <w:p w:rsidR="007068D6" w:rsidRPr="00667EAA" w:rsidRDefault="007068D6" w:rsidP="003F2E8C">
            <w:pPr>
              <w:pStyle w:val="CLDTableTextListText"/>
              <w:rPr>
                <w:sz w:val="22"/>
                <w:szCs w:val="22"/>
              </w:rPr>
            </w:pPr>
            <w:r w:rsidRPr="00667EAA">
              <w:rPr>
                <w:sz w:val="22"/>
                <w:szCs w:val="22"/>
              </w:rPr>
              <w:t>84</w:t>
            </w:r>
          </w:p>
        </w:tc>
        <w:tc>
          <w:tcPr>
            <w:tcW w:w="0" w:type="auto"/>
            <w:tcBorders>
              <w:top w:val="single" w:sz="4" w:space="0" w:color="auto"/>
              <w:left w:val="single" w:sz="4" w:space="0" w:color="auto"/>
              <w:bottom w:val="single" w:sz="4" w:space="0" w:color="auto"/>
              <w:right w:val="single" w:sz="4" w:space="0" w:color="auto"/>
            </w:tcBorders>
          </w:tcPr>
          <w:p w:rsidR="007068D6" w:rsidRPr="00667EAA" w:rsidRDefault="007068D6" w:rsidP="003F2E8C">
            <w:pPr>
              <w:pStyle w:val="CLDTableTextListText"/>
              <w:rPr>
                <w:sz w:val="22"/>
                <w:szCs w:val="22"/>
              </w:rPr>
            </w:pPr>
            <w:r w:rsidRPr="00667EAA">
              <w:rPr>
                <w:sz w:val="22"/>
                <w:szCs w:val="22"/>
              </w:rPr>
              <w:t>94.4</w:t>
            </w:r>
          </w:p>
        </w:tc>
        <w:tc>
          <w:tcPr>
            <w:tcW w:w="1517" w:type="dxa"/>
            <w:tcBorders>
              <w:top w:val="single" w:sz="4" w:space="0" w:color="auto"/>
              <w:left w:val="single" w:sz="4" w:space="0" w:color="auto"/>
              <w:bottom w:val="single" w:sz="4" w:space="0" w:color="auto"/>
              <w:right w:val="single" w:sz="4" w:space="0" w:color="auto"/>
            </w:tcBorders>
          </w:tcPr>
          <w:p w:rsidR="007068D6" w:rsidRPr="00667EAA" w:rsidRDefault="007068D6" w:rsidP="003F2E8C">
            <w:pPr>
              <w:pStyle w:val="CLDTableTextListText"/>
              <w:rPr>
                <w:sz w:val="22"/>
                <w:szCs w:val="22"/>
              </w:rPr>
            </w:pPr>
            <w:r w:rsidRPr="00667EAA">
              <w:rPr>
                <w:sz w:val="22"/>
                <w:szCs w:val="22"/>
              </w:rPr>
              <w:t>84</w:t>
            </w:r>
          </w:p>
        </w:tc>
        <w:tc>
          <w:tcPr>
            <w:tcW w:w="795" w:type="dxa"/>
            <w:tcBorders>
              <w:top w:val="single" w:sz="4" w:space="0" w:color="auto"/>
              <w:left w:val="single" w:sz="4" w:space="0" w:color="auto"/>
              <w:bottom w:val="single" w:sz="4" w:space="0" w:color="auto"/>
              <w:right w:val="single" w:sz="4" w:space="0" w:color="auto"/>
            </w:tcBorders>
          </w:tcPr>
          <w:p w:rsidR="007068D6" w:rsidRPr="00667EAA" w:rsidRDefault="007068D6" w:rsidP="003F2E8C">
            <w:pPr>
              <w:pStyle w:val="CLDTableTextListText"/>
              <w:rPr>
                <w:sz w:val="22"/>
                <w:szCs w:val="22"/>
              </w:rPr>
            </w:pPr>
            <w:r w:rsidRPr="00667EAA">
              <w:rPr>
                <w:sz w:val="22"/>
                <w:szCs w:val="22"/>
              </w:rPr>
              <w:t>89</w:t>
            </w:r>
          </w:p>
        </w:tc>
      </w:tr>
      <w:tr w:rsidR="00402D0D" w:rsidRPr="00667EAA" w:rsidTr="00C004AC">
        <w:trPr>
          <w:cantSplit/>
        </w:trPr>
        <w:tc>
          <w:tcPr>
            <w:tcW w:w="2552" w:type="dxa"/>
            <w:tcBorders>
              <w:top w:val="single" w:sz="4" w:space="0" w:color="auto"/>
              <w:left w:val="single" w:sz="4" w:space="0" w:color="auto"/>
              <w:bottom w:val="single" w:sz="4" w:space="0" w:color="auto"/>
              <w:right w:val="single" w:sz="4" w:space="0" w:color="auto"/>
            </w:tcBorders>
          </w:tcPr>
          <w:p w:rsidR="007068D6" w:rsidRPr="00667EAA" w:rsidRDefault="007068D6" w:rsidP="002E7FAF">
            <w:pPr>
              <w:pStyle w:val="CLDTableTextListText"/>
              <w:ind w:left="318"/>
              <w:rPr>
                <w:i/>
                <w:iCs/>
                <w:color w:val="auto"/>
                <w:sz w:val="22"/>
                <w:szCs w:val="22"/>
              </w:rPr>
            </w:pPr>
            <w:r w:rsidRPr="00667EAA">
              <w:rPr>
                <w:i/>
                <w:iCs/>
                <w:color w:val="auto"/>
                <w:sz w:val="22"/>
                <w:szCs w:val="22"/>
              </w:rPr>
              <w:t>K</w:t>
            </w:r>
            <w:r w:rsidR="002E7FAF">
              <w:rPr>
                <w:i/>
                <w:iCs/>
                <w:color w:val="auto"/>
                <w:sz w:val="22"/>
                <w:szCs w:val="22"/>
              </w:rPr>
              <w:t xml:space="preserve">. </w:t>
            </w:r>
            <w:proofErr w:type="spellStart"/>
            <w:r w:rsidRPr="00667EAA">
              <w:rPr>
                <w:i/>
                <w:iCs/>
                <w:color w:val="auto"/>
                <w:sz w:val="22"/>
                <w:szCs w:val="22"/>
              </w:rPr>
              <w:t>oxytoca</w:t>
            </w:r>
            <w:proofErr w:type="spellEnd"/>
          </w:p>
        </w:tc>
        <w:tc>
          <w:tcPr>
            <w:tcW w:w="1134" w:type="dxa"/>
            <w:tcBorders>
              <w:top w:val="single" w:sz="4" w:space="0" w:color="auto"/>
              <w:left w:val="single" w:sz="4" w:space="0" w:color="auto"/>
              <w:bottom w:val="single" w:sz="4" w:space="0" w:color="auto"/>
              <w:right w:val="single" w:sz="4" w:space="0" w:color="auto"/>
            </w:tcBorders>
          </w:tcPr>
          <w:p w:rsidR="007068D6" w:rsidRPr="00667EAA" w:rsidRDefault="007068D6" w:rsidP="003F2E8C">
            <w:pPr>
              <w:pStyle w:val="CLDTableTextListText"/>
              <w:rPr>
                <w:sz w:val="22"/>
                <w:szCs w:val="22"/>
              </w:rPr>
            </w:pPr>
            <w:r w:rsidRPr="00667EAA">
              <w:rPr>
                <w:sz w:val="22"/>
                <w:szCs w:val="22"/>
              </w:rPr>
              <w:t>100</w:t>
            </w:r>
          </w:p>
        </w:tc>
        <w:tc>
          <w:tcPr>
            <w:tcW w:w="1559" w:type="dxa"/>
            <w:tcBorders>
              <w:top w:val="single" w:sz="4" w:space="0" w:color="auto"/>
              <w:left w:val="single" w:sz="4" w:space="0" w:color="auto"/>
              <w:bottom w:val="single" w:sz="4" w:space="0" w:color="auto"/>
              <w:right w:val="single" w:sz="4" w:space="0" w:color="auto"/>
            </w:tcBorders>
          </w:tcPr>
          <w:p w:rsidR="007068D6" w:rsidRPr="00667EAA" w:rsidRDefault="007068D6" w:rsidP="003F2E8C">
            <w:pPr>
              <w:pStyle w:val="CLDTableTextListText"/>
              <w:rPr>
                <w:sz w:val="22"/>
                <w:szCs w:val="22"/>
              </w:rPr>
            </w:pPr>
            <w:r w:rsidRPr="00667EAA">
              <w:rPr>
                <w:sz w:val="22"/>
                <w:szCs w:val="22"/>
              </w:rPr>
              <w:t>5</w:t>
            </w:r>
          </w:p>
        </w:tc>
        <w:tc>
          <w:tcPr>
            <w:tcW w:w="600" w:type="dxa"/>
            <w:tcBorders>
              <w:top w:val="single" w:sz="4" w:space="0" w:color="auto"/>
              <w:left w:val="single" w:sz="4" w:space="0" w:color="auto"/>
              <w:bottom w:val="single" w:sz="4" w:space="0" w:color="auto"/>
              <w:right w:val="single" w:sz="4" w:space="0" w:color="auto"/>
            </w:tcBorders>
          </w:tcPr>
          <w:p w:rsidR="007068D6" w:rsidRPr="00667EAA" w:rsidRDefault="007068D6" w:rsidP="003F2E8C">
            <w:pPr>
              <w:pStyle w:val="CLDTableTextListText"/>
              <w:rPr>
                <w:sz w:val="22"/>
                <w:szCs w:val="22"/>
              </w:rPr>
            </w:pPr>
            <w:r w:rsidRPr="00667EAA">
              <w:rPr>
                <w:sz w:val="22"/>
                <w:szCs w:val="22"/>
              </w:rPr>
              <w:t>5</w:t>
            </w:r>
          </w:p>
        </w:tc>
        <w:tc>
          <w:tcPr>
            <w:tcW w:w="0" w:type="auto"/>
            <w:tcBorders>
              <w:top w:val="single" w:sz="4" w:space="0" w:color="auto"/>
              <w:left w:val="single" w:sz="4" w:space="0" w:color="auto"/>
              <w:bottom w:val="single" w:sz="4" w:space="0" w:color="auto"/>
              <w:right w:val="single" w:sz="4" w:space="0" w:color="auto"/>
            </w:tcBorders>
          </w:tcPr>
          <w:p w:rsidR="007068D6" w:rsidRPr="00667EAA" w:rsidRDefault="007068D6" w:rsidP="003F2E8C">
            <w:pPr>
              <w:pStyle w:val="CLDTableTextListText"/>
              <w:rPr>
                <w:sz w:val="22"/>
                <w:szCs w:val="22"/>
              </w:rPr>
            </w:pPr>
            <w:r w:rsidRPr="00667EAA">
              <w:rPr>
                <w:sz w:val="22"/>
                <w:szCs w:val="22"/>
              </w:rPr>
              <w:t>100</w:t>
            </w:r>
          </w:p>
        </w:tc>
        <w:tc>
          <w:tcPr>
            <w:tcW w:w="1517" w:type="dxa"/>
            <w:tcBorders>
              <w:top w:val="single" w:sz="4" w:space="0" w:color="auto"/>
              <w:left w:val="single" w:sz="4" w:space="0" w:color="auto"/>
              <w:bottom w:val="single" w:sz="4" w:space="0" w:color="auto"/>
              <w:right w:val="single" w:sz="4" w:space="0" w:color="auto"/>
            </w:tcBorders>
          </w:tcPr>
          <w:p w:rsidR="007068D6" w:rsidRPr="00667EAA" w:rsidRDefault="007068D6" w:rsidP="003F2E8C">
            <w:pPr>
              <w:pStyle w:val="CLDTableTextListText"/>
              <w:rPr>
                <w:sz w:val="22"/>
                <w:szCs w:val="22"/>
              </w:rPr>
            </w:pPr>
            <w:r w:rsidRPr="00667EAA">
              <w:rPr>
                <w:sz w:val="22"/>
                <w:szCs w:val="22"/>
              </w:rPr>
              <w:t>5</w:t>
            </w:r>
          </w:p>
        </w:tc>
        <w:tc>
          <w:tcPr>
            <w:tcW w:w="795" w:type="dxa"/>
            <w:tcBorders>
              <w:top w:val="single" w:sz="4" w:space="0" w:color="auto"/>
              <w:left w:val="single" w:sz="4" w:space="0" w:color="auto"/>
              <w:bottom w:val="single" w:sz="4" w:space="0" w:color="auto"/>
              <w:right w:val="single" w:sz="4" w:space="0" w:color="auto"/>
            </w:tcBorders>
          </w:tcPr>
          <w:p w:rsidR="007068D6" w:rsidRPr="00667EAA" w:rsidRDefault="007068D6" w:rsidP="003F2E8C">
            <w:pPr>
              <w:pStyle w:val="CLDTableTextListText"/>
              <w:rPr>
                <w:sz w:val="22"/>
                <w:szCs w:val="22"/>
              </w:rPr>
            </w:pPr>
            <w:r w:rsidRPr="00667EAA">
              <w:rPr>
                <w:sz w:val="22"/>
                <w:szCs w:val="22"/>
              </w:rPr>
              <w:t>5</w:t>
            </w:r>
          </w:p>
        </w:tc>
      </w:tr>
      <w:tr w:rsidR="00402D0D" w:rsidRPr="00667EAA" w:rsidTr="00C004AC">
        <w:trPr>
          <w:cantSplit/>
        </w:trPr>
        <w:tc>
          <w:tcPr>
            <w:tcW w:w="2552" w:type="dxa"/>
            <w:tcBorders>
              <w:top w:val="single" w:sz="4" w:space="0" w:color="auto"/>
              <w:left w:val="single" w:sz="4" w:space="0" w:color="auto"/>
              <w:bottom w:val="single" w:sz="4" w:space="0" w:color="auto"/>
              <w:right w:val="single" w:sz="4" w:space="0" w:color="auto"/>
            </w:tcBorders>
          </w:tcPr>
          <w:p w:rsidR="007068D6" w:rsidRPr="00667EAA" w:rsidRDefault="007068D6" w:rsidP="002E7FAF">
            <w:pPr>
              <w:pStyle w:val="CLDTableTextListText"/>
              <w:ind w:left="318"/>
              <w:rPr>
                <w:i/>
                <w:iCs/>
                <w:color w:val="auto"/>
                <w:sz w:val="22"/>
                <w:szCs w:val="22"/>
              </w:rPr>
            </w:pPr>
            <w:r w:rsidRPr="00667EAA">
              <w:rPr>
                <w:i/>
                <w:iCs/>
                <w:color w:val="auto"/>
                <w:sz w:val="22"/>
                <w:szCs w:val="22"/>
              </w:rPr>
              <w:t>K</w:t>
            </w:r>
            <w:r w:rsidR="002E7FAF">
              <w:rPr>
                <w:i/>
                <w:iCs/>
                <w:color w:val="auto"/>
                <w:sz w:val="22"/>
                <w:szCs w:val="22"/>
              </w:rPr>
              <w:t xml:space="preserve">. </w:t>
            </w:r>
            <w:proofErr w:type="spellStart"/>
            <w:r w:rsidRPr="00667EAA">
              <w:rPr>
                <w:i/>
                <w:iCs/>
                <w:color w:val="auto"/>
                <w:sz w:val="22"/>
                <w:szCs w:val="22"/>
              </w:rPr>
              <w:t>pneumoniae</w:t>
            </w:r>
            <w:proofErr w:type="spellEnd"/>
          </w:p>
        </w:tc>
        <w:tc>
          <w:tcPr>
            <w:tcW w:w="1134" w:type="dxa"/>
            <w:tcBorders>
              <w:top w:val="single" w:sz="4" w:space="0" w:color="auto"/>
              <w:left w:val="single" w:sz="4" w:space="0" w:color="auto"/>
              <w:bottom w:val="single" w:sz="4" w:space="0" w:color="auto"/>
              <w:right w:val="single" w:sz="4" w:space="0" w:color="auto"/>
            </w:tcBorders>
          </w:tcPr>
          <w:p w:rsidR="007068D6" w:rsidRPr="00667EAA" w:rsidRDefault="007068D6" w:rsidP="003F2E8C">
            <w:pPr>
              <w:pStyle w:val="CLDTableTextListText"/>
              <w:rPr>
                <w:sz w:val="22"/>
                <w:szCs w:val="22"/>
              </w:rPr>
            </w:pPr>
            <w:r w:rsidRPr="00667EAA">
              <w:rPr>
                <w:sz w:val="22"/>
                <w:szCs w:val="22"/>
              </w:rPr>
              <w:t>82.1</w:t>
            </w:r>
          </w:p>
        </w:tc>
        <w:tc>
          <w:tcPr>
            <w:tcW w:w="1559" w:type="dxa"/>
            <w:tcBorders>
              <w:top w:val="single" w:sz="4" w:space="0" w:color="auto"/>
              <w:left w:val="single" w:sz="4" w:space="0" w:color="auto"/>
              <w:bottom w:val="single" w:sz="4" w:space="0" w:color="auto"/>
              <w:right w:val="single" w:sz="4" w:space="0" w:color="auto"/>
            </w:tcBorders>
          </w:tcPr>
          <w:p w:rsidR="007068D6" w:rsidRPr="00667EAA" w:rsidRDefault="007068D6" w:rsidP="003F2E8C">
            <w:pPr>
              <w:pStyle w:val="CLDTableTextListText"/>
              <w:rPr>
                <w:sz w:val="22"/>
                <w:szCs w:val="22"/>
              </w:rPr>
            </w:pPr>
            <w:r w:rsidRPr="00667EAA">
              <w:rPr>
                <w:sz w:val="22"/>
                <w:szCs w:val="22"/>
              </w:rPr>
              <w:t>23</w:t>
            </w:r>
          </w:p>
        </w:tc>
        <w:tc>
          <w:tcPr>
            <w:tcW w:w="600" w:type="dxa"/>
            <w:tcBorders>
              <w:top w:val="single" w:sz="4" w:space="0" w:color="auto"/>
              <w:left w:val="single" w:sz="4" w:space="0" w:color="auto"/>
              <w:bottom w:val="single" w:sz="4" w:space="0" w:color="auto"/>
              <w:right w:val="single" w:sz="4" w:space="0" w:color="auto"/>
            </w:tcBorders>
          </w:tcPr>
          <w:p w:rsidR="007068D6" w:rsidRPr="00667EAA" w:rsidRDefault="007068D6" w:rsidP="003F2E8C">
            <w:pPr>
              <w:pStyle w:val="CLDTableTextListText"/>
              <w:rPr>
                <w:sz w:val="22"/>
                <w:szCs w:val="22"/>
              </w:rPr>
            </w:pPr>
            <w:r w:rsidRPr="00667EAA">
              <w:rPr>
                <w:sz w:val="22"/>
                <w:szCs w:val="22"/>
              </w:rPr>
              <w:t>28</w:t>
            </w:r>
          </w:p>
        </w:tc>
        <w:tc>
          <w:tcPr>
            <w:tcW w:w="0" w:type="auto"/>
            <w:tcBorders>
              <w:top w:val="single" w:sz="4" w:space="0" w:color="auto"/>
              <w:left w:val="single" w:sz="4" w:space="0" w:color="auto"/>
              <w:bottom w:val="single" w:sz="4" w:space="0" w:color="auto"/>
              <w:right w:val="single" w:sz="4" w:space="0" w:color="auto"/>
            </w:tcBorders>
          </w:tcPr>
          <w:p w:rsidR="007068D6" w:rsidRPr="00667EAA" w:rsidRDefault="007068D6" w:rsidP="003F2E8C">
            <w:pPr>
              <w:pStyle w:val="CLDTableTextListText"/>
              <w:rPr>
                <w:sz w:val="22"/>
                <w:szCs w:val="22"/>
              </w:rPr>
            </w:pPr>
            <w:r w:rsidRPr="00667EAA">
              <w:rPr>
                <w:sz w:val="22"/>
                <w:szCs w:val="22"/>
              </w:rPr>
              <w:t>88.6</w:t>
            </w:r>
          </w:p>
        </w:tc>
        <w:tc>
          <w:tcPr>
            <w:tcW w:w="1517" w:type="dxa"/>
            <w:tcBorders>
              <w:top w:val="single" w:sz="4" w:space="0" w:color="auto"/>
              <w:left w:val="single" w:sz="4" w:space="0" w:color="auto"/>
              <w:bottom w:val="single" w:sz="4" w:space="0" w:color="auto"/>
              <w:right w:val="single" w:sz="4" w:space="0" w:color="auto"/>
            </w:tcBorders>
          </w:tcPr>
          <w:p w:rsidR="007068D6" w:rsidRPr="00667EAA" w:rsidRDefault="007068D6" w:rsidP="003F2E8C">
            <w:pPr>
              <w:pStyle w:val="CLDTableTextListText"/>
              <w:rPr>
                <w:sz w:val="22"/>
                <w:szCs w:val="22"/>
              </w:rPr>
            </w:pPr>
            <w:r w:rsidRPr="00667EAA">
              <w:rPr>
                <w:sz w:val="22"/>
                <w:szCs w:val="22"/>
              </w:rPr>
              <w:t>31</w:t>
            </w:r>
          </w:p>
        </w:tc>
        <w:tc>
          <w:tcPr>
            <w:tcW w:w="795" w:type="dxa"/>
            <w:tcBorders>
              <w:top w:val="single" w:sz="4" w:space="0" w:color="auto"/>
              <w:left w:val="single" w:sz="4" w:space="0" w:color="auto"/>
              <w:bottom w:val="single" w:sz="4" w:space="0" w:color="auto"/>
              <w:right w:val="single" w:sz="4" w:space="0" w:color="auto"/>
            </w:tcBorders>
          </w:tcPr>
          <w:p w:rsidR="007068D6" w:rsidRPr="00667EAA" w:rsidRDefault="007068D6" w:rsidP="003F2E8C">
            <w:pPr>
              <w:pStyle w:val="CLDTableTextListText"/>
              <w:rPr>
                <w:sz w:val="22"/>
                <w:szCs w:val="22"/>
              </w:rPr>
            </w:pPr>
            <w:r w:rsidRPr="00667EAA">
              <w:rPr>
                <w:sz w:val="22"/>
                <w:szCs w:val="22"/>
              </w:rPr>
              <w:t>35</w:t>
            </w:r>
          </w:p>
        </w:tc>
      </w:tr>
      <w:tr w:rsidR="00402D0D" w:rsidRPr="00667EAA" w:rsidTr="00C004AC">
        <w:trPr>
          <w:cantSplit/>
        </w:trPr>
        <w:tc>
          <w:tcPr>
            <w:tcW w:w="2552" w:type="dxa"/>
            <w:tcBorders>
              <w:top w:val="single" w:sz="4" w:space="0" w:color="auto"/>
              <w:left w:val="single" w:sz="4" w:space="0" w:color="auto"/>
              <w:bottom w:val="single" w:sz="4" w:space="0" w:color="auto"/>
              <w:right w:val="single" w:sz="4" w:space="0" w:color="auto"/>
            </w:tcBorders>
          </w:tcPr>
          <w:p w:rsidR="007068D6" w:rsidRPr="00667EAA" w:rsidRDefault="007068D6" w:rsidP="002E7FAF">
            <w:pPr>
              <w:pStyle w:val="CLDTableTextListText"/>
              <w:ind w:left="318"/>
              <w:rPr>
                <w:i/>
                <w:iCs/>
                <w:color w:val="auto"/>
                <w:sz w:val="22"/>
                <w:szCs w:val="22"/>
              </w:rPr>
            </w:pPr>
            <w:r w:rsidRPr="00667EAA">
              <w:rPr>
                <w:i/>
                <w:iCs/>
                <w:color w:val="auto"/>
                <w:sz w:val="22"/>
                <w:szCs w:val="22"/>
              </w:rPr>
              <w:t>P</w:t>
            </w:r>
            <w:r w:rsidR="002E7FAF">
              <w:rPr>
                <w:i/>
                <w:iCs/>
                <w:color w:val="auto"/>
                <w:sz w:val="22"/>
                <w:szCs w:val="22"/>
              </w:rPr>
              <w:t xml:space="preserve">. </w:t>
            </w:r>
            <w:r w:rsidRPr="00667EAA">
              <w:rPr>
                <w:i/>
                <w:iCs/>
                <w:color w:val="auto"/>
                <w:sz w:val="22"/>
                <w:szCs w:val="22"/>
              </w:rPr>
              <w:t>mirabilis</w:t>
            </w:r>
          </w:p>
        </w:tc>
        <w:tc>
          <w:tcPr>
            <w:tcW w:w="1134" w:type="dxa"/>
            <w:tcBorders>
              <w:top w:val="single" w:sz="4" w:space="0" w:color="auto"/>
              <w:left w:val="single" w:sz="4" w:space="0" w:color="auto"/>
              <w:bottom w:val="single" w:sz="4" w:space="0" w:color="auto"/>
              <w:right w:val="single" w:sz="4" w:space="0" w:color="auto"/>
            </w:tcBorders>
          </w:tcPr>
          <w:p w:rsidR="007068D6" w:rsidRPr="00667EAA" w:rsidRDefault="007068D6" w:rsidP="003F2E8C">
            <w:pPr>
              <w:pStyle w:val="CLDTableTextListText"/>
              <w:rPr>
                <w:sz w:val="22"/>
                <w:szCs w:val="22"/>
              </w:rPr>
            </w:pPr>
            <w:r w:rsidRPr="00667EAA">
              <w:rPr>
                <w:sz w:val="22"/>
                <w:szCs w:val="22"/>
              </w:rPr>
              <w:t>66.7</w:t>
            </w:r>
          </w:p>
        </w:tc>
        <w:tc>
          <w:tcPr>
            <w:tcW w:w="1559" w:type="dxa"/>
            <w:tcBorders>
              <w:top w:val="single" w:sz="4" w:space="0" w:color="auto"/>
              <w:left w:val="single" w:sz="4" w:space="0" w:color="auto"/>
              <w:bottom w:val="single" w:sz="4" w:space="0" w:color="auto"/>
              <w:right w:val="single" w:sz="4" w:space="0" w:color="auto"/>
            </w:tcBorders>
          </w:tcPr>
          <w:p w:rsidR="007068D6" w:rsidRPr="00667EAA" w:rsidRDefault="007068D6" w:rsidP="003F2E8C">
            <w:pPr>
              <w:pStyle w:val="CLDTableTextListText"/>
              <w:rPr>
                <w:sz w:val="22"/>
                <w:szCs w:val="22"/>
              </w:rPr>
            </w:pPr>
            <w:r w:rsidRPr="00667EAA">
              <w:rPr>
                <w:sz w:val="22"/>
                <w:szCs w:val="22"/>
              </w:rPr>
              <w:t>2</w:t>
            </w:r>
          </w:p>
        </w:tc>
        <w:tc>
          <w:tcPr>
            <w:tcW w:w="600" w:type="dxa"/>
            <w:tcBorders>
              <w:top w:val="single" w:sz="4" w:space="0" w:color="auto"/>
              <w:left w:val="single" w:sz="4" w:space="0" w:color="auto"/>
              <w:bottom w:val="single" w:sz="4" w:space="0" w:color="auto"/>
              <w:right w:val="single" w:sz="4" w:space="0" w:color="auto"/>
            </w:tcBorders>
          </w:tcPr>
          <w:p w:rsidR="007068D6" w:rsidRPr="00667EAA" w:rsidRDefault="007068D6" w:rsidP="003F2E8C">
            <w:pPr>
              <w:pStyle w:val="CLDTableTextListText"/>
              <w:rPr>
                <w:sz w:val="22"/>
                <w:szCs w:val="22"/>
              </w:rPr>
            </w:pPr>
            <w:r w:rsidRPr="00667EAA">
              <w:rPr>
                <w:sz w:val="22"/>
                <w:szCs w:val="22"/>
              </w:rPr>
              <w:t>3</w:t>
            </w:r>
          </w:p>
        </w:tc>
        <w:tc>
          <w:tcPr>
            <w:tcW w:w="0" w:type="auto"/>
            <w:tcBorders>
              <w:top w:val="single" w:sz="4" w:space="0" w:color="auto"/>
              <w:left w:val="single" w:sz="4" w:space="0" w:color="auto"/>
              <w:bottom w:val="single" w:sz="4" w:space="0" w:color="auto"/>
              <w:right w:val="single" w:sz="4" w:space="0" w:color="auto"/>
            </w:tcBorders>
          </w:tcPr>
          <w:p w:rsidR="007068D6" w:rsidRPr="00667EAA" w:rsidRDefault="007068D6" w:rsidP="003F2E8C">
            <w:pPr>
              <w:pStyle w:val="CLDTableTextListText"/>
              <w:rPr>
                <w:sz w:val="22"/>
                <w:szCs w:val="22"/>
              </w:rPr>
            </w:pPr>
            <w:r w:rsidRPr="00667EAA">
              <w:rPr>
                <w:sz w:val="22"/>
                <w:szCs w:val="22"/>
              </w:rPr>
              <w:t>100</w:t>
            </w:r>
          </w:p>
        </w:tc>
        <w:tc>
          <w:tcPr>
            <w:tcW w:w="1517" w:type="dxa"/>
            <w:tcBorders>
              <w:top w:val="single" w:sz="4" w:space="0" w:color="auto"/>
              <w:left w:val="single" w:sz="4" w:space="0" w:color="auto"/>
              <w:bottom w:val="single" w:sz="4" w:space="0" w:color="auto"/>
              <w:right w:val="single" w:sz="4" w:space="0" w:color="auto"/>
            </w:tcBorders>
          </w:tcPr>
          <w:p w:rsidR="007068D6" w:rsidRPr="00667EAA" w:rsidRDefault="007068D6" w:rsidP="003F2E8C">
            <w:pPr>
              <w:pStyle w:val="CLDTableTextListText"/>
              <w:rPr>
                <w:sz w:val="22"/>
                <w:szCs w:val="22"/>
              </w:rPr>
            </w:pPr>
            <w:r w:rsidRPr="00667EAA">
              <w:rPr>
                <w:sz w:val="22"/>
                <w:szCs w:val="22"/>
              </w:rPr>
              <w:t>5</w:t>
            </w:r>
          </w:p>
        </w:tc>
        <w:tc>
          <w:tcPr>
            <w:tcW w:w="795" w:type="dxa"/>
            <w:tcBorders>
              <w:top w:val="single" w:sz="4" w:space="0" w:color="auto"/>
              <w:left w:val="single" w:sz="4" w:space="0" w:color="auto"/>
              <w:bottom w:val="single" w:sz="4" w:space="0" w:color="auto"/>
              <w:right w:val="single" w:sz="4" w:space="0" w:color="auto"/>
            </w:tcBorders>
          </w:tcPr>
          <w:p w:rsidR="007068D6" w:rsidRPr="00667EAA" w:rsidRDefault="007068D6" w:rsidP="003F2E8C">
            <w:pPr>
              <w:pStyle w:val="CLDTableTextListText"/>
              <w:rPr>
                <w:sz w:val="22"/>
                <w:szCs w:val="22"/>
              </w:rPr>
            </w:pPr>
            <w:r w:rsidRPr="00667EAA">
              <w:rPr>
                <w:sz w:val="22"/>
                <w:szCs w:val="22"/>
              </w:rPr>
              <w:t>5</w:t>
            </w:r>
          </w:p>
        </w:tc>
      </w:tr>
      <w:tr w:rsidR="00402D0D" w:rsidRPr="00667EAA" w:rsidTr="00C004AC">
        <w:trPr>
          <w:cantSplit/>
        </w:trPr>
        <w:tc>
          <w:tcPr>
            <w:tcW w:w="2552" w:type="dxa"/>
            <w:tcBorders>
              <w:top w:val="single" w:sz="4" w:space="0" w:color="auto"/>
              <w:left w:val="single" w:sz="4" w:space="0" w:color="auto"/>
              <w:bottom w:val="single" w:sz="4" w:space="0" w:color="auto"/>
              <w:right w:val="single" w:sz="4" w:space="0" w:color="auto"/>
            </w:tcBorders>
          </w:tcPr>
          <w:p w:rsidR="007068D6" w:rsidRPr="00667EAA" w:rsidRDefault="007068D6" w:rsidP="002E7FAF">
            <w:pPr>
              <w:pStyle w:val="CLDTableTextListText"/>
              <w:ind w:left="318"/>
              <w:rPr>
                <w:i/>
                <w:iCs/>
                <w:color w:val="auto"/>
                <w:sz w:val="22"/>
                <w:szCs w:val="22"/>
              </w:rPr>
            </w:pPr>
            <w:r w:rsidRPr="00667EAA">
              <w:rPr>
                <w:i/>
                <w:iCs/>
                <w:color w:val="auto"/>
                <w:sz w:val="22"/>
                <w:szCs w:val="22"/>
              </w:rPr>
              <w:t>P</w:t>
            </w:r>
            <w:r w:rsidR="002E7FAF">
              <w:rPr>
                <w:i/>
                <w:iCs/>
                <w:color w:val="auto"/>
                <w:sz w:val="22"/>
                <w:szCs w:val="22"/>
              </w:rPr>
              <w:t>.</w:t>
            </w:r>
            <w:r w:rsidR="003F2E8C" w:rsidRPr="00667EAA">
              <w:rPr>
                <w:i/>
                <w:iCs/>
                <w:color w:val="auto"/>
                <w:sz w:val="22"/>
                <w:szCs w:val="22"/>
              </w:rPr>
              <w:t xml:space="preserve"> </w:t>
            </w:r>
            <w:r w:rsidRPr="00667EAA">
              <w:rPr>
                <w:i/>
                <w:iCs/>
                <w:color w:val="auto"/>
                <w:sz w:val="22"/>
                <w:szCs w:val="22"/>
              </w:rPr>
              <w:t>aeruginosa</w:t>
            </w:r>
          </w:p>
        </w:tc>
        <w:tc>
          <w:tcPr>
            <w:tcW w:w="1134" w:type="dxa"/>
            <w:tcBorders>
              <w:top w:val="single" w:sz="4" w:space="0" w:color="auto"/>
              <w:left w:val="single" w:sz="4" w:space="0" w:color="auto"/>
              <w:bottom w:val="single" w:sz="4" w:space="0" w:color="auto"/>
              <w:right w:val="single" w:sz="4" w:space="0" w:color="auto"/>
            </w:tcBorders>
          </w:tcPr>
          <w:p w:rsidR="007068D6" w:rsidRPr="00667EAA" w:rsidRDefault="007068D6" w:rsidP="003F2E8C">
            <w:pPr>
              <w:pStyle w:val="CLDTableTextListText"/>
              <w:rPr>
                <w:sz w:val="22"/>
                <w:szCs w:val="22"/>
              </w:rPr>
            </w:pPr>
            <w:r w:rsidRPr="00667EAA">
              <w:rPr>
                <w:sz w:val="22"/>
                <w:szCs w:val="22"/>
              </w:rPr>
              <w:t>82.4</w:t>
            </w:r>
          </w:p>
        </w:tc>
        <w:tc>
          <w:tcPr>
            <w:tcW w:w="1559" w:type="dxa"/>
            <w:tcBorders>
              <w:top w:val="single" w:sz="4" w:space="0" w:color="auto"/>
              <w:left w:val="single" w:sz="4" w:space="0" w:color="auto"/>
              <w:bottom w:val="single" w:sz="4" w:space="0" w:color="auto"/>
              <w:right w:val="single" w:sz="4" w:space="0" w:color="auto"/>
            </w:tcBorders>
          </w:tcPr>
          <w:p w:rsidR="007068D6" w:rsidRPr="00667EAA" w:rsidRDefault="007068D6" w:rsidP="003F2E8C">
            <w:pPr>
              <w:pStyle w:val="CLDTableTextListText"/>
              <w:rPr>
                <w:sz w:val="22"/>
                <w:szCs w:val="22"/>
              </w:rPr>
            </w:pPr>
            <w:r w:rsidRPr="00667EAA">
              <w:rPr>
                <w:sz w:val="22"/>
                <w:szCs w:val="22"/>
              </w:rPr>
              <w:t>14</w:t>
            </w:r>
          </w:p>
        </w:tc>
        <w:tc>
          <w:tcPr>
            <w:tcW w:w="600" w:type="dxa"/>
            <w:tcBorders>
              <w:top w:val="single" w:sz="4" w:space="0" w:color="auto"/>
              <w:left w:val="single" w:sz="4" w:space="0" w:color="auto"/>
              <w:bottom w:val="single" w:sz="4" w:space="0" w:color="auto"/>
              <w:right w:val="single" w:sz="4" w:space="0" w:color="auto"/>
            </w:tcBorders>
          </w:tcPr>
          <w:p w:rsidR="007068D6" w:rsidRPr="00667EAA" w:rsidRDefault="007068D6" w:rsidP="003F2E8C">
            <w:pPr>
              <w:pStyle w:val="CLDTableTextListText"/>
              <w:rPr>
                <w:sz w:val="22"/>
                <w:szCs w:val="22"/>
              </w:rPr>
            </w:pPr>
            <w:r w:rsidRPr="00667EAA">
              <w:rPr>
                <w:sz w:val="22"/>
                <w:szCs w:val="22"/>
              </w:rPr>
              <w:t>17</w:t>
            </w:r>
          </w:p>
        </w:tc>
        <w:tc>
          <w:tcPr>
            <w:tcW w:w="0" w:type="auto"/>
            <w:tcBorders>
              <w:top w:val="single" w:sz="4" w:space="0" w:color="auto"/>
              <w:left w:val="single" w:sz="4" w:space="0" w:color="auto"/>
              <w:bottom w:val="single" w:sz="4" w:space="0" w:color="auto"/>
              <w:right w:val="single" w:sz="4" w:space="0" w:color="auto"/>
            </w:tcBorders>
          </w:tcPr>
          <w:p w:rsidR="007068D6" w:rsidRPr="00667EAA" w:rsidRDefault="007068D6" w:rsidP="003F2E8C">
            <w:pPr>
              <w:pStyle w:val="CLDTableTextListText"/>
              <w:rPr>
                <w:sz w:val="22"/>
                <w:szCs w:val="22"/>
              </w:rPr>
            </w:pPr>
            <w:r w:rsidRPr="00667EAA">
              <w:rPr>
                <w:sz w:val="22"/>
                <w:szCs w:val="22"/>
              </w:rPr>
              <w:t>85.0</w:t>
            </w:r>
          </w:p>
        </w:tc>
        <w:tc>
          <w:tcPr>
            <w:tcW w:w="1517" w:type="dxa"/>
            <w:tcBorders>
              <w:top w:val="single" w:sz="4" w:space="0" w:color="auto"/>
              <w:left w:val="single" w:sz="4" w:space="0" w:color="auto"/>
              <w:bottom w:val="single" w:sz="4" w:space="0" w:color="auto"/>
              <w:right w:val="single" w:sz="4" w:space="0" w:color="auto"/>
            </w:tcBorders>
          </w:tcPr>
          <w:p w:rsidR="007068D6" w:rsidRPr="00667EAA" w:rsidRDefault="007068D6" w:rsidP="003F2E8C">
            <w:pPr>
              <w:pStyle w:val="CLDTableTextListText"/>
              <w:rPr>
                <w:sz w:val="22"/>
                <w:szCs w:val="22"/>
              </w:rPr>
            </w:pPr>
            <w:r w:rsidRPr="00667EAA">
              <w:rPr>
                <w:sz w:val="22"/>
                <w:szCs w:val="22"/>
              </w:rPr>
              <w:t>17</w:t>
            </w:r>
          </w:p>
        </w:tc>
        <w:tc>
          <w:tcPr>
            <w:tcW w:w="795" w:type="dxa"/>
            <w:tcBorders>
              <w:top w:val="single" w:sz="4" w:space="0" w:color="auto"/>
              <w:left w:val="single" w:sz="4" w:space="0" w:color="auto"/>
              <w:bottom w:val="single" w:sz="4" w:space="0" w:color="auto"/>
              <w:right w:val="single" w:sz="4" w:space="0" w:color="auto"/>
            </w:tcBorders>
          </w:tcPr>
          <w:p w:rsidR="007068D6" w:rsidRPr="00667EAA" w:rsidRDefault="007068D6" w:rsidP="003F2E8C">
            <w:pPr>
              <w:pStyle w:val="CLDTableTextListText"/>
              <w:rPr>
                <w:sz w:val="22"/>
                <w:szCs w:val="22"/>
              </w:rPr>
            </w:pPr>
            <w:r w:rsidRPr="00667EAA">
              <w:rPr>
                <w:sz w:val="22"/>
                <w:szCs w:val="22"/>
              </w:rPr>
              <w:t>20</w:t>
            </w:r>
          </w:p>
        </w:tc>
      </w:tr>
    </w:tbl>
    <w:p w:rsidR="000D598B" w:rsidRDefault="000D598B" w:rsidP="000D598B">
      <w:pPr>
        <w:pStyle w:val="CLDTableFootnote"/>
        <w:rPr>
          <w:rFonts w:eastAsia="TimesNewRoman"/>
          <w:lang w:val="en-US"/>
        </w:rPr>
      </w:pPr>
    </w:p>
    <w:p w:rsidR="00BC189D" w:rsidRDefault="009B0196" w:rsidP="00BC189D">
      <w:pPr>
        <w:pStyle w:val="CLDNormal"/>
        <w:rPr>
          <w:rFonts w:eastAsia="TimesNewRoman"/>
          <w:lang w:val="en-US"/>
        </w:rPr>
      </w:pPr>
      <w:r w:rsidRPr="003F58D3">
        <w:rPr>
          <w:rFonts w:eastAsia="TimesNewRoman"/>
          <w:lang w:val="en-US"/>
        </w:rPr>
        <w:t xml:space="preserve">In </w:t>
      </w:r>
      <w:r w:rsidR="00C82E06" w:rsidRPr="003F58D3">
        <w:rPr>
          <w:rFonts w:eastAsia="TimesNewRoman"/>
          <w:lang w:val="en-US"/>
        </w:rPr>
        <w:t>P</w:t>
      </w:r>
      <w:r w:rsidRPr="003F58D3">
        <w:rPr>
          <w:rFonts w:eastAsia="TimesNewRoman"/>
          <w:lang w:val="en-US"/>
        </w:rPr>
        <w:t xml:space="preserve">hase 3 </w:t>
      </w:r>
      <w:proofErr w:type="spellStart"/>
      <w:r w:rsidRPr="003F58D3">
        <w:rPr>
          <w:rFonts w:eastAsia="TimesNewRoman"/>
          <w:lang w:val="en-US"/>
        </w:rPr>
        <w:t>cIAI</w:t>
      </w:r>
      <w:proofErr w:type="spellEnd"/>
      <w:r w:rsidRPr="003F58D3">
        <w:rPr>
          <w:rFonts w:eastAsia="TimesNewRoman"/>
          <w:lang w:val="en-US"/>
        </w:rPr>
        <w:t xml:space="preserve"> clinical trials, death occurred in 2.1% (18/857) of patients who received </w:t>
      </w:r>
      <w:proofErr w:type="spellStart"/>
      <w:r w:rsidRPr="003F58D3">
        <w:rPr>
          <w:rFonts w:eastAsia="TimesNewRoman"/>
          <w:lang w:val="en-US"/>
        </w:rPr>
        <w:t>Zavicefta</w:t>
      </w:r>
      <w:proofErr w:type="spellEnd"/>
      <w:r w:rsidRPr="003F58D3">
        <w:rPr>
          <w:rFonts w:eastAsia="TimesNewRoman"/>
          <w:lang w:val="en-US"/>
        </w:rPr>
        <w:t xml:space="preserve"> and metronidazole and in 1.4% (12/863) of patients who received </w:t>
      </w:r>
      <w:proofErr w:type="spellStart"/>
      <w:r w:rsidRPr="003F58D3">
        <w:rPr>
          <w:rFonts w:eastAsia="TimesNewRoman"/>
          <w:lang w:val="en-US"/>
        </w:rPr>
        <w:t>meropenem</w:t>
      </w:r>
      <w:proofErr w:type="spellEnd"/>
      <w:r w:rsidRPr="003F58D3">
        <w:rPr>
          <w:rFonts w:eastAsia="TimesNewRoman"/>
          <w:lang w:val="en-US"/>
        </w:rPr>
        <w:t xml:space="preserve">. Among a subgroup with baseline </w:t>
      </w:r>
      <w:proofErr w:type="spellStart"/>
      <w:r w:rsidRPr="003F58D3">
        <w:rPr>
          <w:rFonts w:eastAsia="TimesNewRoman"/>
          <w:lang w:val="en-US"/>
        </w:rPr>
        <w:t>CrCL</w:t>
      </w:r>
      <w:proofErr w:type="spellEnd"/>
      <w:r w:rsidRPr="003F58D3">
        <w:rPr>
          <w:rFonts w:eastAsia="TimesNewRoman"/>
          <w:lang w:val="en-US"/>
        </w:rPr>
        <w:t xml:space="preserve"> 30 to 50</w:t>
      </w:r>
      <w:r w:rsidR="008E1A40" w:rsidRPr="00BC545A">
        <w:t> </w:t>
      </w:r>
      <w:r w:rsidRPr="003F58D3">
        <w:rPr>
          <w:rFonts w:eastAsia="TimesNewRoman"/>
          <w:lang w:val="en-US"/>
        </w:rPr>
        <w:t xml:space="preserve">mL/min, death occurred in 16.7% (9/54) of patients who received </w:t>
      </w:r>
      <w:proofErr w:type="spellStart"/>
      <w:r w:rsidRPr="003F58D3">
        <w:rPr>
          <w:rFonts w:eastAsia="TimesNewRoman"/>
          <w:lang w:val="en-US"/>
        </w:rPr>
        <w:t>Zavicefta</w:t>
      </w:r>
      <w:proofErr w:type="spellEnd"/>
      <w:r w:rsidRPr="003F58D3">
        <w:rPr>
          <w:rFonts w:eastAsia="TimesNewRoman"/>
          <w:lang w:val="en-US"/>
        </w:rPr>
        <w:t xml:space="preserve"> and metronidazole and 6.8% (4/59) of patients who received </w:t>
      </w:r>
      <w:proofErr w:type="spellStart"/>
      <w:r w:rsidRPr="003F58D3">
        <w:rPr>
          <w:rFonts w:eastAsia="TimesNewRoman"/>
          <w:lang w:val="en-US"/>
        </w:rPr>
        <w:t>meropenem</w:t>
      </w:r>
      <w:proofErr w:type="spellEnd"/>
      <w:r w:rsidRPr="003F58D3">
        <w:rPr>
          <w:rFonts w:eastAsia="TimesNewRoman"/>
          <w:lang w:val="en-US"/>
        </w:rPr>
        <w:t xml:space="preserve">. Patients with </w:t>
      </w:r>
      <w:proofErr w:type="spellStart"/>
      <w:r w:rsidRPr="003F58D3">
        <w:rPr>
          <w:rFonts w:eastAsia="TimesNewRoman"/>
          <w:lang w:val="en-US"/>
        </w:rPr>
        <w:t>CrCL</w:t>
      </w:r>
      <w:proofErr w:type="spellEnd"/>
      <w:r w:rsidRPr="003F58D3">
        <w:rPr>
          <w:rFonts w:eastAsia="TimesNewRoman"/>
          <w:lang w:val="en-US"/>
        </w:rPr>
        <w:t xml:space="preserve"> 30 to 50 mL/min received a lower dose of </w:t>
      </w:r>
      <w:proofErr w:type="spellStart"/>
      <w:r w:rsidRPr="003F58D3">
        <w:rPr>
          <w:rFonts w:eastAsia="TimesNewRoman"/>
          <w:lang w:val="en-US"/>
        </w:rPr>
        <w:t>Zavicefta</w:t>
      </w:r>
      <w:proofErr w:type="spellEnd"/>
      <w:r w:rsidRPr="003F58D3">
        <w:rPr>
          <w:rFonts w:eastAsia="TimesNewRoman"/>
          <w:lang w:val="en-US"/>
        </w:rPr>
        <w:t xml:space="preserve"> than is currently recommended for patients in this sub-group.</w:t>
      </w:r>
    </w:p>
    <w:p w:rsidR="009B0196" w:rsidRDefault="00BC189D" w:rsidP="001D53A5">
      <w:pPr>
        <w:pStyle w:val="CLDNormal"/>
        <w:rPr>
          <w:rFonts w:eastAsia="TimesNewRoman"/>
          <w:lang w:val="en-US"/>
        </w:rPr>
      </w:pPr>
      <w:r>
        <w:rPr>
          <w:lang w:val="en-US"/>
        </w:rPr>
        <w:t xml:space="preserve">In a phase 3 </w:t>
      </w:r>
      <w:proofErr w:type="spellStart"/>
      <w:r w:rsidRPr="003F58D3">
        <w:rPr>
          <w:rFonts w:eastAsia="TimesNewRoman"/>
          <w:lang w:val="en-US"/>
        </w:rPr>
        <w:t>cIAI</w:t>
      </w:r>
      <w:proofErr w:type="spellEnd"/>
      <w:r>
        <w:rPr>
          <w:lang w:val="en-US"/>
        </w:rPr>
        <w:t xml:space="preserve"> clinical trial, clinical cure rates were lower in a subgroup of patients with baseline </w:t>
      </w:r>
      <w:proofErr w:type="spellStart"/>
      <w:r>
        <w:rPr>
          <w:lang w:val="en-US"/>
        </w:rPr>
        <w:t>CrCl</w:t>
      </w:r>
      <w:proofErr w:type="spellEnd"/>
      <w:r>
        <w:rPr>
          <w:lang w:val="en-US"/>
        </w:rPr>
        <w:t xml:space="preserve"> of 30 to 50</w:t>
      </w:r>
      <w:r w:rsidRPr="00BC545A">
        <w:t> </w:t>
      </w:r>
      <w:r>
        <w:rPr>
          <w:lang w:val="en-US"/>
        </w:rPr>
        <w:t xml:space="preserve">mL/min compared to those with </w:t>
      </w:r>
      <w:proofErr w:type="spellStart"/>
      <w:r>
        <w:rPr>
          <w:lang w:val="en-US"/>
        </w:rPr>
        <w:t>CrCl</w:t>
      </w:r>
      <w:proofErr w:type="spellEnd"/>
      <w:r>
        <w:rPr>
          <w:lang w:val="en-US"/>
        </w:rPr>
        <w:t xml:space="preserve"> &gt; 50</w:t>
      </w:r>
      <w:r w:rsidRPr="00BC545A">
        <w:t> </w:t>
      </w:r>
      <w:r>
        <w:rPr>
          <w:lang w:val="en-US"/>
        </w:rPr>
        <w:t xml:space="preserve">mL/min. The reduction in clinical cure rates was more marked in patients treated with </w:t>
      </w:r>
      <w:proofErr w:type="spellStart"/>
      <w:r>
        <w:rPr>
          <w:lang w:val="en-US"/>
        </w:rPr>
        <w:t>Zavicefta</w:t>
      </w:r>
      <w:proofErr w:type="spellEnd"/>
      <w:r>
        <w:rPr>
          <w:lang w:val="en-US"/>
        </w:rPr>
        <w:t xml:space="preserve"> plus metronidazole compared to </w:t>
      </w:r>
      <w:proofErr w:type="spellStart"/>
      <w:r>
        <w:rPr>
          <w:lang w:val="en-US"/>
        </w:rPr>
        <w:t>meropenem</w:t>
      </w:r>
      <w:proofErr w:type="spellEnd"/>
      <w:r>
        <w:rPr>
          <w:lang w:val="en-US"/>
        </w:rPr>
        <w:t xml:space="preserve">-treated patients. The decreased clinical response </w:t>
      </w:r>
      <w:proofErr w:type="gramStart"/>
      <w:r>
        <w:rPr>
          <w:lang w:val="en-US"/>
        </w:rPr>
        <w:t>was not observed</w:t>
      </w:r>
      <w:proofErr w:type="gramEnd"/>
      <w:r>
        <w:rPr>
          <w:lang w:val="en-US"/>
        </w:rPr>
        <w:t xml:space="preserve"> for patients with moderate renal impairment at baseline (</w:t>
      </w:r>
      <w:proofErr w:type="spellStart"/>
      <w:r>
        <w:rPr>
          <w:lang w:val="en-US"/>
        </w:rPr>
        <w:t>CrCl</w:t>
      </w:r>
      <w:proofErr w:type="spellEnd"/>
      <w:r>
        <w:rPr>
          <w:lang w:val="en-US"/>
        </w:rPr>
        <w:t xml:space="preserve"> of 30 to 50 mL/min) in the Phase 3 </w:t>
      </w:r>
      <w:proofErr w:type="spellStart"/>
      <w:r>
        <w:rPr>
          <w:lang w:val="en-US"/>
        </w:rPr>
        <w:t>cUTI</w:t>
      </w:r>
      <w:proofErr w:type="spellEnd"/>
      <w:r>
        <w:rPr>
          <w:lang w:val="en-US"/>
        </w:rPr>
        <w:t xml:space="preserve"> trials or the Phase 3 HAP/VAP trial.</w:t>
      </w:r>
      <w:r w:rsidR="00F861F4">
        <w:rPr>
          <w:rFonts w:eastAsia="TimesNewRoman"/>
          <w:lang w:val="en-US"/>
        </w:rPr>
        <w:t xml:space="preserve"> </w:t>
      </w:r>
      <w:r w:rsidR="002A37D8">
        <w:rPr>
          <w:rFonts w:eastAsia="TimesNewRoman"/>
          <w:lang w:val="en-US"/>
        </w:rPr>
        <w:t xml:space="preserve">See sections 4.2 Dose and method of </w:t>
      </w:r>
      <w:proofErr w:type="spellStart"/>
      <w:r w:rsidR="002A37D8">
        <w:rPr>
          <w:rFonts w:eastAsia="TimesNewRoman"/>
          <w:lang w:val="en-US"/>
        </w:rPr>
        <w:t>aministration</w:t>
      </w:r>
      <w:proofErr w:type="spellEnd"/>
      <w:r w:rsidR="002A37D8">
        <w:rPr>
          <w:rFonts w:eastAsia="TimesNewRoman"/>
          <w:lang w:val="en-US"/>
        </w:rPr>
        <w:t xml:space="preserve">, 4.4 Special warnings and precautions for use, </w:t>
      </w:r>
      <w:r w:rsidR="001D53A5">
        <w:rPr>
          <w:rFonts w:eastAsia="TimesNewRoman"/>
          <w:lang w:val="en-US"/>
        </w:rPr>
        <w:t>Use in</w:t>
      </w:r>
      <w:r w:rsidR="007A2E11">
        <w:rPr>
          <w:rFonts w:eastAsia="TimesNewRoman"/>
          <w:lang w:val="en-US"/>
        </w:rPr>
        <w:t xml:space="preserve"> </w:t>
      </w:r>
      <w:r w:rsidR="001D53A5">
        <w:rPr>
          <w:rFonts w:eastAsia="TimesNewRoman"/>
          <w:lang w:val="en-US"/>
        </w:rPr>
        <w:t xml:space="preserve">renal </w:t>
      </w:r>
      <w:r w:rsidR="002A37D8">
        <w:rPr>
          <w:rFonts w:eastAsia="TimesNewRoman"/>
          <w:lang w:val="en-US"/>
        </w:rPr>
        <w:t xml:space="preserve">impairment, 5.2 Pharmacokinetic properties, </w:t>
      </w:r>
      <w:proofErr w:type="gramStart"/>
      <w:r w:rsidR="002A37D8">
        <w:rPr>
          <w:rFonts w:eastAsia="TimesNewRoman"/>
          <w:lang w:val="en-US"/>
        </w:rPr>
        <w:t>Renal</w:t>
      </w:r>
      <w:proofErr w:type="gramEnd"/>
      <w:r w:rsidR="002A37D8">
        <w:rPr>
          <w:rFonts w:eastAsia="TimesNewRoman"/>
          <w:lang w:val="en-US"/>
        </w:rPr>
        <w:t xml:space="preserve"> impairment)</w:t>
      </w:r>
      <w:r w:rsidR="008D1E32">
        <w:rPr>
          <w:rFonts w:eastAsia="TimesNewRoman"/>
          <w:lang w:val="en-US"/>
        </w:rPr>
        <w:t>.</w:t>
      </w:r>
    </w:p>
    <w:p w:rsidR="007068D6" w:rsidRPr="00BC545A" w:rsidRDefault="007068D6" w:rsidP="003F2E8C">
      <w:pPr>
        <w:pStyle w:val="CLDHeading4"/>
      </w:pPr>
      <w:r w:rsidRPr="00BC545A">
        <w:t>Complicated urinary tract infections</w:t>
      </w:r>
      <w:r w:rsidR="00E408C5">
        <w:t xml:space="preserve"> (</w:t>
      </w:r>
      <w:proofErr w:type="spellStart"/>
      <w:r w:rsidR="00E408C5">
        <w:t>cUTI</w:t>
      </w:r>
      <w:proofErr w:type="spellEnd"/>
      <w:r w:rsidR="00E408C5">
        <w:t>)</w:t>
      </w:r>
    </w:p>
    <w:p w:rsidR="00C154B3" w:rsidRDefault="00B6621A" w:rsidP="008E1D21">
      <w:pPr>
        <w:pStyle w:val="CLDNormal"/>
        <w:rPr>
          <w:szCs w:val="24"/>
          <w:lang w:val="en-US"/>
        </w:rPr>
      </w:pPr>
      <w:r w:rsidRPr="001D679F">
        <w:t xml:space="preserve">A total of 1020 adults with documented </w:t>
      </w:r>
      <w:proofErr w:type="spellStart"/>
      <w:r w:rsidRPr="001D679F">
        <w:t>cUTI</w:t>
      </w:r>
      <w:proofErr w:type="spellEnd"/>
      <w:r w:rsidRPr="001D679F">
        <w:t xml:space="preserve"> (737 with acute pyelonephritis and 283 with </w:t>
      </w:r>
      <w:proofErr w:type="spellStart"/>
      <w:r w:rsidRPr="001D679F">
        <w:t>cUTI</w:t>
      </w:r>
      <w:proofErr w:type="spellEnd"/>
      <w:r w:rsidRPr="001D679F">
        <w:t xml:space="preserve"> without acute pyelonephritis) were randomised and received treatment in a phase III multicentre, double-blind, comparative study. </w:t>
      </w:r>
      <w:proofErr w:type="spellStart"/>
      <w:proofErr w:type="gramStart"/>
      <w:r w:rsidR="0075275A">
        <w:rPr>
          <w:szCs w:val="24"/>
          <w:lang w:val="en-US"/>
        </w:rPr>
        <w:t>cUTI</w:t>
      </w:r>
      <w:proofErr w:type="spellEnd"/>
      <w:proofErr w:type="gramEnd"/>
      <w:r w:rsidR="0075275A">
        <w:rPr>
          <w:szCs w:val="24"/>
          <w:lang w:val="en-US"/>
        </w:rPr>
        <w:t xml:space="preserve"> included acute pyelonephritis and complicated lower urinary tract infections. </w:t>
      </w:r>
      <w:r w:rsidRPr="001D679F">
        <w:t xml:space="preserve">Treatment was with either </w:t>
      </w:r>
      <w:proofErr w:type="spellStart"/>
      <w:r w:rsidRPr="001D679F">
        <w:t>ceftazidime</w:t>
      </w:r>
      <w:proofErr w:type="spellEnd"/>
      <w:r w:rsidRPr="001D679F">
        <w:t>/avibactam</w:t>
      </w:r>
      <w:r w:rsidRPr="00BC545A">
        <w:t xml:space="preserve"> (2000 mg/500 mg) IV over 120 </w:t>
      </w:r>
      <w:proofErr w:type="spellStart"/>
      <w:r w:rsidRPr="00BC545A">
        <w:t>mins</w:t>
      </w:r>
      <w:proofErr w:type="spellEnd"/>
      <w:r w:rsidRPr="00BC545A">
        <w:t xml:space="preserve"> every 8 hours or </w:t>
      </w:r>
      <w:proofErr w:type="spellStart"/>
      <w:r w:rsidRPr="00BC545A">
        <w:t>doripenem</w:t>
      </w:r>
      <w:proofErr w:type="spellEnd"/>
      <w:r w:rsidRPr="00BC545A">
        <w:t xml:space="preserve"> 500 mg IV over 60 </w:t>
      </w:r>
      <w:proofErr w:type="spellStart"/>
      <w:r w:rsidRPr="00BC545A">
        <w:t>mins</w:t>
      </w:r>
      <w:proofErr w:type="spellEnd"/>
      <w:r w:rsidRPr="00BC545A">
        <w:t xml:space="preserve"> every 8 hours. There was an optional switch to oral therapy for patients who had clinical improvement as defined in the study protocol after a minimum of 5 days IV treatment. Total duration of antibiotic therapy (IV plus oral) was 10 days (optionally up to 14 if </w:t>
      </w:r>
      <w:proofErr w:type="spellStart"/>
      <w:r w:rsidRPr="00BC545A">
        <w:t>bacteraemic</w:t>
      </w:r>
      <w:proofErr w:type="spellEnd"/>
      <w:r w:rsidRPr="00BC545A">
        <w:t xml:space="preserve">). </w:t>
      </w:r>
      <w:r w:rsidRPr="00BC545A">
        <w:rPr>
          <w:rFonts w:eastAsia="TimesNewRoman"/>
          <w:szCs w:val="24"/>
          <w:lang w:eastAsia="en-GB"/>
        </w:rPr>
        <w:t xml:space="preserve">The </w:t>
      </w:r>
      <w:proofErr w:type="spellStart"/>
      <w:r w:rsidRPr="00BC545A">
        <w:rPr>
          <w:rFonts w:eastAsia="TimesNewRoman"/>
          <w:szCs w:val="24"/>
          <w:lang w:eastAsia="en-GB"/>
        </w:rPr>
        <w:t>mMITT</w:t>
      </w:r>
      <w:proofErr w:type="spellEnd"/>
      <w:r w:rsidRPr="00BC545A">
        <w:rPr>
          <w:rFonts w:eastAsia="TimesNewRoman"/>
          <w:szCs w:val="24"/>
          <w:lang w:eastAsia="en-GB"/>
        </w:rPr>
        <w:t xml:space="preserve"> population included all patients with a confirmed </w:t>
      </w:r>
      <w:proofErr w:type="spellStart"/>
      <w:r w:rsidRPr="00BC545A">
        <w:rPr>
          <w:rFonts w:eastAsia="TimesNewRoman"/>
          <w:szCs w:val="24"/>
          <w:lang w:eastAsia="en-GB"/>
        </w:rPr>
        <w:t>cUTI</w:t>
      </w:r>
      <w:proofErr w:type="spellEnd"/>
      <w:r w:rsidRPr="00BC545A">
        <w:rPr>
          <w:rFonts w:eastAsia="TimesNewRoman"/>
          <w:szCs w:val="24"/>
          <w:lang w:eastAsia="en-GB"/>
        </w:rPr>
        <w:t xml:space="preserve"> diagnosis, received at least </w:t>
      </w:r>
      <w:proofErr w:type="gramStart"/>
      <w:r w:rsidRPr="00BC545A">
        <w:rPr>
          <w:rFonts w:eastAsia="TimesNewRoman"/>
          <w:szCs w:val="24"/>
          <w:lang w:eastAsia="en-GB"/>
        </w:rPr>
        <w:t>1</w:t>
      </w:r>
      <w:proofErr w:type="gramEnd"/>
      <w:r w:rsidRPr="00BC545A">
        <w:rPr>
          <w:rFonts w:eastAsia="TimesNewRoman"/>
          <w:szCs w:val="24"/>
          <w:lang w:eastAsia="en-GB"/>
        </w:rPr>
        <w:t xml:space="preserve"> dose of study treatment and had a study-qualifying pre-treatment urine culture containing 105 CFU/mL of a Gram-negative pathogen and no more than 2 species of microorganisms. Any patient with a Gram-positive </w:t>
      </w:r>
      <w:r w:rsidRPr="00BC545A">
        <w:rPr>
          <w:rFonts w:eastAsia="TimesNewRoman"/>
          <w:szCs w:val="24"/>
          <w:lang w:eastAsia="en-GB"/>
        </w:rPr>
        <w:lastRenderedPageBreak/>
        <w:t xml:space="preserve">pathogen, or a bacterial species not expected to respond to both study drugs </w:t>
      </w:r>
      <w:proofErr w:type="gramStart"/>
      <w:r w:rsidRPr="00BC545A">
        <w:rPr>
          <w:rFonts w:eastAsia="TimesNewRoman"/>
          <w:szCs w:val="24"/>
          <w:lang w:eastAsia="en-GB"/>
        </w:rPr>
        <w:t>was excluded</w:t>
      </w:r>
      <w:proofErr w:type="gramEnd"/>
      <w:r w:rsidRPr="00BC545A">
        <w:rPr>
          <w:rFonts w:eastAsia="TimesNewRoman"/>
          <w:szCs w:val="24"/>
          <w:lang w:eastAsia="en-GB"/>
        </w:rPr>
        <w:t xml:space="preserve">. </w:t>
      </w:r>
      <w:r w:rsidR="00CD7E05">
        <w:rPr>
          <w:szCs w:val="24"/>
          <w:lang w:val="en-US"/>
        </w:rPr>
        <w:t xml:space="preserve">Patients with </w:t>
      </w:r>
      <w:proofErr w:type="spellStart"/>
      <w:r w:rsidR="00CD7E05">
        <w:rPr>
          <w:szCs w:val="24"/>
          <w:lang w:val="en-US"/>
        </w:rPr>
        <w:t>CrCl</w:t>
      </w:r>
      <w:proofErr w:type="spellEnd"/>
      <w:r w:rsidR="00CD7E05">
        <w:rPr>
          <w:szCs w:val="24"/>
          <w:lang w:val="en-US"/>
        </w:rPr>
        <w:t xml:space="preserve"> &lt; 30 mL/min </w:t>
      </w:r>
      <w:proofErr w:type="gramStart"/>
      <w:r w:rsidR="00CD7E05">
        <w:rPr>
          <w:szCs w:val="24"/>
          <w:lang w:val="en-US"/>
        </w:rPr>
        <w:t>were excluded</w:t>
      </w:r>
      <w:proofErr w:type="gramEnd"/>
      <w:r w:rsidR="00CD7E05">
        <w:rPr>
          <w:szCs w:val="24"/>
          <w:lang w:val="en-US"/>
        </w:rPr>
        <w:t>.</w:t>
      </w:r>
    </w:p>
    <w:p w:rsidR="00B6621A" w:rsidRDefault="00B6621A" w:rsidP="0083136E">
      <w:pPr>
        <w:autoSpaceDE w:val="0"/>
        <w:autoSpaceDN w:val="0"/>
        <w:adjustRightInd w:val="0"/>
        <w:spacing w:after="0"/>
        <w:jc w:val="left"/>
        <w:rPr>
          <w:rFonts w:eastAsia="TimesNewRoman"/>
          <w:szCs w:val="24"/>
          <w:lang w:eastAsia="en-GB"/>
        </w:rPr>
      </w:pPr>
      <w:r w:rsidRPr="00BC545A">
        <w:rPr>
          <w:rFonts w:eastAsia="TimesNewRoman"/>
          <w:szCs w:val="24"/>
          <w:lang w:eastAsia="en-GB"/>
        </w:rPr>
        <w:t xml:space="preserve">The primary efficacy endpoint was per-patient microbiological response at the TOC visit in the </w:t>
      </w:r>
      <w:proofErr w:type="spellStart"/>
      <w:r w:rsidRPr="00BC545A">
        <w:rPr>
          <w:rFonts w:eastAsia="TimesNewRoman"/>
          <w:szCs w:val="24"/>
          <w:lang w:eastAsia="en-GB"/>
        </w:rPr>
        <w:t>mMITT</w:t>
      </w:r>
      <w:proofErr w:type="spellEnd"/>
      <w:r w:rsidRPr="00BC545A">
        <w:rPr>
          <w:rFonts w:eastAsia="TimesNewRoman"/>
          <w:szCs w:val="24"/>
          <w:lang w:eastAsia="en-GB"/>
        </w:rPr>
        <w:t xml:space="preserve"> analysis set.</w:t>
      </w:r>
    </w:p>
    <w:p w:rsidR="00B44B34" w:rsidRDefault="00B44B34" w:rsidP="00B44B34">
      <w:pPr>
        <w:pStyle w:val="Caption"/>
      </w:pPr>
      <w:bookmarkStart w:id="9" w:name="_Toc1479080"/>
      <w:r>
        <w:t xml:space="preserve">Table </w:t>
      </w:r>
      <w:r>
        <w:fldChar w:fldCharType="begin"/>
      </w:r>
      <w:r>
        <w:instrText xml:space="preserve"> SEQ Table \* ARABIC </w:instrText>
      </w:r>
      <w:r>
        <w:fldChar w:fldCharType="separate"/>
      </w:r>
      <w:r>
        <w:rPr>
          <w:noProof/>
        </w:rPr>
        <w:t>10</w:t>
      </w:r>
      <w:r>
        <w:fldChar w:fldCharType="end"/>
      </w:r>
      <w:r>
        <w:t xml:space="preserve">: </w:t>
      </w:r>
      <w:r w:rsidRPr="00C64A10">
        <w:t xml:space="preserve">Favourable per-patient microbiological response rate at TOC (RECAPTURE </w:t>
      </w:r>
      <w:proofErr w:type="spellStart"/>
      <w:r w:rsidRPr="00C64A10">
        <w:t>mMITT</w:t>
      </w:r>
      <w:proofErr w:type="spellEnd"/>
      <w:r w:rsidRPr="00C64A10">
        <w:t xml:space="preserve"> analysis set</w:t>
      </w:r>
      <w:bookmarkEnd w:id="9"/>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1417"/>
        <w:gridCol w:w="1560"/>
        <w:gridCol w:w="1559"/>
        <w:gridCol w:w="1984"/>
      </w:tblGrid>
      <w:tr w:rsidR="00B6621A" w:rsidRPr="002E7FAF" w:rsidTr="002E7FAF">
        <w:trPr>
          <w:cantSplit/>
          <w:trHeight w:val="612"/>
          <w:tblHeader/>
        </w:trPr>
        <w:tc>
          <w:tcPr>
            <w:tcW w:w="2552" w:type="dxa"/>
          </w:tcPr>
          <w:p w:rsidR="00B6621A" w:rsidRPr="002E7FAF" w:rsidRDefault="00B6621A" w:rsidP="007A2E11">
            <w:pPr>
              <w:pStyle w:val="CLDTableSpaceListSpace"/>
              <w:keepNext/>
              <w:keepLines/>
              <w:rPr>
                <w:b/>
                <w:bCs/>
                <w:sz w:val="22"/>
              </w:rPr>
            </w:pPr>
          </w:p>
        </w:tc>
        <w:tc>
          <w:tcPr>
            <w:tcW w:w="1417" w:type="dxa"/>
          </w:tcPr>
          <w:p w:rsidR="00B6621A" w:rsidRPr="002E7FAF" w:rsidRDefault="00B6621A" w:rsidP="007A2E11">
            <w:pPr>
              <w:pStyle w:val="CLDTableSpaceListSpace"/>
              <w:keepNext/>
              <w:keepLines/>
              <w:rPr>
                <w:b/>
                <w:bCs/>
                <w:sz w:val="22"/>
              </w:rPr>
            </w:pPr>
          </w:p>
        </w:tc>
        <w:tc>
          <w:tcPr>
            <w:tcW w:w="1560" w:type="dxa"/>
          </w:tcPr>
          <w:p w:rsidR="00B6621A" w:rsidRPr="002E7FAF" w:rsidRDefault="00B6621A" w:rsidP="007A2E11">
            <w:pPr>
              <w:pStyle w:val="CLDTableSpaceListSpace"/>
              <w:keepNext/>
              <w:keepLines/>
              <w:rPr>
                <w:b/>
                <w:bCs/>
                <w:sz w:val="22"/>
              </w:rPr>
            </w:pPr>
            <w:r w:rsidRPr="002E7FAF">
              <w:rPr>
                <w:b/>
                <w:bCs/>
                <w:sz w:val="22"/>
              </w:rPr>
              <w:t>CAZ/AVI (N=393)</w:t>
            </w:r>
          </w:p>
        </w:tc>
        <w:tc>
          <w:tcPr>
            <w:tcW w:w="1559" w:type="dxa"/>
          </w:tcPr>
          <w:p w:rsidR="00B6621A" w:rsidRPr="002E7FAF" w:rsidRDefault="00B6621A" w:rsidP="007A2E11">
            <w:pPr>
              <w:pStyle w:val="CLDTableSpaceListSpace"/>
              <w:keepNext/>
              <w:keepLines/>
              <w:rPr>
                <w:b/>
                <w:bCs/>
                <w:sz w:val="22"/>
              </w:rPr>
            </w:pPr>
            <w:proofErr w:type="spellStart"/>
            <w:r w:rsidRPr="002E7FAF">
              <w:rPr>
                <w:b/>
                <w:bCs/>
                <w:sz w:val="22"/>
              </w:rPr>
              <w:t>Doripenem</w:t>
            </w:r>
            <w:proofErr w:type="spellEnd"/>
            <w:r w:rsidRPr="002E7FAF">
              <w:rPr>
                <w:b/>
                <w:bCs/>
                <w:sz w:val="22"/>
              </w:rPr>
              <w:t xml:space="preserve"> (N=417)</w:t>
            </w:r>
          </w:p>
        </w:tc>
        <w:tc>
          <w:tcPr>
            <w:tcW w:w="1984" w:type="dxa"/>
          </w:tcPr>
          <w:p w:rsidR="00B6621A" w:rsidRPr="002E7FAF" w:rsidRDefault="00B6621A" w:rsidP="007A2E11">
            <w:pPr>
              <w:pStyle w:val="CLDTableSpaceListSpace"/>
              <w:keepNext/>
              <w:keepLines/>
              <w:rPr>
                <w:b/>
                <w:bCs/>
                <w:sz w:val="22"/>
              </w:rPr>
            </w:pPr>
            <w:r w:rsidRPr="002E7FAF">
              <w:rPr>
                <w:b/>
                <w:bCs/>
                <w:sz w:val="22"/>
              </w:rPr>
              <w:t>Difference (%) (95% CI)</w:t>
            </w:r>
          </w:p>
        </w:tc>
      </w:tr>
      <w:tr w:rsidR="00B6621A" w:rsidRPr="00667EAA" w:rsidTr="008068E8">
        <w:trPr>
          <w:cantSplit/>
          <w:trHeight w:val="515"/>
        </w:trPr>
        <w:tc>
          <w:tcPr>
            <w:tcW w:w="2552" w:type="dxa"/>
          </w:tcPr>
          <w:p w:rsidR="00B6621A" w:rsidRPr="00667EAA" w:rsidRDefault="00B6621A" w:rsidP="007A2E11">
            <w:pPr>
              <w:pStyle w:val="CLDTableTextListText"/>
              <w:keepNext/>
              <w:keepLines/>
              <w:rPr>
                <w:sz w:val="22"/>
              </w:rPr>
            </w:pPr>
            <w:r w:rsidRPr="00667EAA">
              <w:rPr>
                <w:sz w:val="22"/>
              </w:rPr>
              <w:t>Per patient microbiological response</w:t>
            </w:r>
          </w:p>
        </w:tc>
        <w:tc>
          <w:tcPr>
            <w:tcW w:w="1417" w:type="dxa"/>
          </w:tcPr>
          <w:p w:rsidR="00B6621A" w:rsidRPr="00667EAA" w:rsidRDefault="00B6621A" w:rsidP="007A2E11">
            <w:pPr>
              <w:pStyle w:val="CLDTableTextListText"/>
              <w:keepNext/>
              <w:keepLines/>
              <w:rPr>
                <w:rFonts w:eastAsia="Calibri"/>
                <w:sz w:val="22"/>
                <w:lang w:val="en-US"/>
              </w:rPr>
            </w:pPr>
            <w:proofErr w:type="spellStart"/>
            <w:r w:rsidRPr="00667EAA">
              <w:rPr>
                <w:rFonts w:eastAsia="Calibri"/>
                <w:sz w:val="22"/>
                <w:lang w:val="en-US"/>
              </w:rPr>
              <w:t>Favourable</w:t>
            </w:r>
            <w:proofErr w:type="spellEnd"/>
          </w:p>
        </w:tc>
        <w:tc>
          <w:tcPr>
            <w:tcW w:w="1560" w:type="dxa"/>
          </w:tcPr>
          <w:p w:rsidR="00B6621A" w:rsidRPr="00667EAA" w:rsidRDefault="00B6621A" w:rsidP="007A2E11">
            <w:pPr>
              <w:pStyle w:val="CLDTableTextListText"/>
              <w:keepNext/>
              <w:keepLines/>
              <w:rPr>
                <w:sz w:val="22"/>
                <w:lang w:val="en-US"/>
              </w:rPr>
            </w:pPr>
            <w:r w:rsidRPr="00667EAA">
              <w:rPr>
                <w:rFonts w:eastAsia="Calibri"/>
                <w:sz w:val="22"/>
                <w:lang w:val="en-US"/>
              </w:rPr>
              <w:t>304 (77.4)</w:t>
            </w:r>
          </w:p>
        </w:tc>
        <w:tc>
          <w:tcPr>
            <w:tcW w:w="1559" w:type="dxa"/>
          </w:tcPr>
          <w:p w:rsidR="00B6621A" w:rsidRPr="00667EAA" w:rsidRDefault="00B6621A" w:rsidP="007A2E11">
            <w:pPr>
              <w:pStyle w:val="CLDTableTextListText"/>
              <w:keepNext/>
              <w:keepLines/>
              <w:rPr>
                <w:sz w:val="22"/>
                <w:lang w:val="en-US"/>
              </w:rPr>
            </w:pPr>
            <w:r w:rsidRPr="00667EAA">
              <w:rPr>
                <w:rFonts w:eastAsia="Calibri"/>
                <w:sz w:val="22"/>
                <w:lang w:val="en-US"/>
              </w:rPr>
              <w:t>296 (71.0)</w:t>
            </w:r>
          </w:p>
        </w:tc>
        <w:tc>
          <w:tcPr>
            <w:tcW w:w="1984" w:type="dxa"/>
          </w:tcPr>
          <w:p w:rsidR="00B6621A" w:rsidRPr="00667EAA" w:rsidRDefault="00B6621A" w:rsidP="007A2E11">
            <w:pPr>
              <w:pStyle w:val="CLDTableTextListText"/>
              <w:keepNext/>
              <w:keepLines/>
              <w:rPr>
                <w:sz w:val="22"/>
                <w:lang w:val="en-US"/>
              </w:rPr>
            </w:pPr>
            <w:r w:rsidRPr="00667EAA">
              <w:rPr>
                <w:sz w:val="22"/>
                <w:lang w:val="en-US"/>
              </w:rPr>
              <w:t>6.4 (0.33, 12.36)</w:t>
            </w:r>
          </w:p>
        </w:tc>
      </w:tr>
    </w:tbl>
    <w:p w:rsidR="00B6621A" w:rsidRPr="00BC545A" w:rsidRDefault="00B6621A" w:rsidP="00B6621A">
      <w:pPr>
        <w:pStyle w:val="A-Single"/>
        <w:rPr>
          <w:lang w:val="en-US"/>
        </w:rPr>
      </w:pPr>
    </w:p>
    <w:p w:rsidR="00B6621A" w:rsidRPr="00BC545A" w:rsidRDefault="00B6621A" w:rsidP="00C154B3">
      <w:pPr>
        <w:autoSpaceDE w:val="0"/>
        <w:autoSpaceDN w:val="0"/>
        <w:adjustRightInd w:val="0"/>
        <w:spacing w:after="0"/>
      </w:pPr>
      <w:r w:rsidRPr="00BC545A">
        <w:t xml:space="preserve">Favourable microbiological response rates at TOC by pathogen in the </w:t>
      </w:r>
      <w:proofErr w:type="spellStart"/>
      <w:r w:rsidRPr="00BC545A">
        <w:t>mMITT</w:t>
      </w:r>
      <w:proofErr w:type="spellEnd"/>
      <w:r w:rsidRPr="00BC545A">
        <w:t xml:space="preserve"> population </w:t>
      </w:r>
      <w:proofErr w:type="gramStart"/>
      <w:r w:rsidRPr="00BC545A">
        <w:t>are shown</w:t>
      </w:r>
      <w:proofErr w:type="gramEnd"/>
      <w:r w:rsidRPr="00BC545A">
        <w:t xml:space="preserve"> in </w:t>
      </w:r>
      <w:r w:rsidR="00501C00">
        <w:t>the t</w:t>
      </w:r>
      <w:r w:rsidRPr="00BC545A">
        <w:t>able below.</w:t>
      </w:r>
    </w:p>
    <w:p w:rsidR="00B6621A" w:rsidRPr="00BC545A" w:rsidRDefault="00B6621A" w:rsidP="00B6621A">
      <w:pPr>
        <w:pStyle w:val="A-Single"/>
      </w:pPr>
    </w:p>
    <w:p w:rsidR="00B6621A" w:rsidRPr="00667EAA" w:rsidRDefault="00B6621A" w:rsidP="00667EAA">
      <w:pPr>
        <w:pStyle w:val="CLDTableTitle"/>
      </w:pPr>
      <w:bookmarkStart w:id="10" w:name="_Toc1479081"/>
      <w:r>
        <w:t xml:space="preserve">Table </w:t>
      </w:r>
      <w:r>
        <w:fldChar w:fldCharType="begin"/>
      </w:r>
      <w:r>
        <w:instrText xml:space="preserve"> SEQ Table \* ARABIC </w:instrText>
      </w:r>
      <w:r>
        <w:fldChar w:fldCharType="separate"/>
      </w:r>
      <w:r w:rsidR="00B44B34">
        <w:rPr>
          <w:noProof/>
        </w:rPr>
        <w:t>11</w:t>
      </w:r>
      <w:r>
        <w:fldChar w:fldCharType="end"/>
      </w:r>
      <w:r>
        <w:t xml:space="preserve">: </w:t>
      </w:r>
      <w:r w:rsidRPr="006F707E">
        <w:t>Favourable per-pathogen microbiological response rate at TOC by common (combi</w:t>
      </w:r>
      <w:r w:rsidRPr="00EB0C85">
        <w:t xml:space="preserve">ned frequency of </w:t>
      </w:r>
      <w:r w:rsidR="00ED5E7E">
        <w:sym w:font="Symbol" w:char="F0B3"/>
      </w:r>
      <w:r w:rsidRPr="00EB0C85">
        <w:t xml:space="preserve">10) baseline </w:t>
      </w:r>
      <w:r w:rsidRPr="006F707E">
        <w:t xml:space="preserve">pathogen (RECAPTURE </w:t>
      </w:r>
      <w:proofErr w:type="spellStart"/>
      <w:r w:rsidRPr="006F707E">
        <w:t>mMITT</w:t>
      </w:r>
      <w:proofErr w:type="spellEnd"/>
      <w:r w:rsidRPr="006F707E">
        <w:t>)</w:t>
      </w:r>
      <w:bookmarkEnd w:id="10"/>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52"/>
        <w:gridCol w:w="1466"/>
        <w:gridCol w:w="1401"/>
        <w:gridCol w:w="678"/>
        <w:gridCol w:w="1292"/>
        <w:gridCol w:w="1360"/>
        <w:gridCol w:w="783"/>
      </w:tblGrid>
      <w:tr w:rsidR="00B6621A" w:rsidRPr="002E7FAF" w:rsidTr="008068E8">
        <w:trPr>
          <w:cantSplit/>
          <w:tblHeader/>
        </w:trPr>
        <w:tc>
          <w:tcPr>
            <w:tcW w:w="9158" w:type="dxa"/>
            <w:gridSpan w:val="7"/>
          </w:tcPr>
          <w:p w:rsidR="00B6621A" w:rsidRPr="002E7FAF" w:rsidRDefault="00B6621A" w:rsidP="002E7FAF">
            <w:pPr>
              <w:pStyle w:val="CLDTableSpaceListSpace"/>
              <w:jc w:val="center"/>
              <w:rPr>
                <w:b/>
                <w:bCs/>
                <w:sz w:val="22"/>
              </w:rPr>
            </w:pPr>
            <w:r w:rsidRPr="002E7FAF">
              <w:rPr>
                <w:b/>
                <w:bCs/>
                <w:sz w:val="22"/>
              </w:rPr>
              <w:t>Number of patients</w:t>
            </w:r>
          </w:p>
        </w:tc>
      </w:tr>
      <w:tr w:rsidR="00B6621A" w:rsidRPr="002E7FAF" w:rsidTr="008068E8">
        <w:trPr>
          <w:cantSplit/>
          <w:tblHeader/>
        </w:trPr>
        <w:tc>
          <w:tcPr>
            <w:tcW w:w="1951" w:type="dxa"/>
          </w:tcPr>
          <w:p w:rsidR="00B6621A" w:rsidRPr="002E7FAF" w:rsidRDefault="00B6621A" w:rsidP="002E7FAF">
            <w:pPr>
              <w:pStyle w:val="CLDTableSpaceListSpace"/>
              <w:jc w:val="center"/>
              <w:rPr>
                <w:b/>
                <w:bCs/>
                <w:sz w:val="22"/>
              </w:rPr>
            </w:pPr>
          </w:p>
        </w:tc>
        <w:tc>
          <w:tcPr>
            <w:tcW w:w="3570" w:type="dxa"/>
            <w:gridSpan w:val="3"/>
          </w:tcPr>
          <w:p w:rsidR="00B6621A" w:rsidRPr="002E7FAF" w:rsidRDefault="00B6621A" w:rsidP="002E7FAF">
            <w:pPr>
              <w:pStyle w:val="CLDTableSpaceListSpace"/>
              <w:jc w:val="center"/>
              <w:rPr>
                <w:b/>
                <w:bCs/>
                <w:sz w:val="22"/>
              </w:rPr>
            </w:pPr>
            <w:r w:rsidRPr="002E7FAF">
              <w:rPr>
                <w:b/>
                <w:bCs/>
                <w:sz w:val="22"/>
              </w:rPr>
              <w:t>CAZ/AVI (N=393)</w:t>
            </w:r>
          </w:p>
        </w:tc>
        <w:tc>
          <w:tcPr>
            <w:tcW w:w="0" w:type="auto"/>
            <w:gridSpan w:val="3"/>
          </w:tcPr>
          <w:p w:rsidR="00B6621A" w:rsidRPr="002E7FAF" w:rsidRDefault="00B6621A" w:rsidP="002E7FAF">
            <w:pPr>
              <w:pStyle w:val="CLDTableSpaceListSpace"/>
              <w:jc w:val="center"/>
              <w:rPr>
                <w:b/>
                <w:bCs/>
                <w:sz w:val="22"/>
              </w:rPr>
            </w:pPr>
            <w:proofErr w:type="spellStart"/>
            <w:r w:rsidRPr="002E7FAF">
              <w:rPr>
                <w:b/>
                <w:bCs/>
                <w:sz w:val="22"/>
              </w:rPr>
              <w:t>Doripenem</w:t>
            </w:r>
            <w:proofErr w:type="spellEnd"/>
            <w:r w:rsidRPr="002E7FAF">
              <w:rPr>
                <w:b/>
                <w:bCs/>
                <w:sz w:val="22"/>
              </w:rPr>
              <w:t xml:space="preserve"> (N=417)</w:t>
            </w:r>
          </w:p>
        </w:tc>
      </w:tr>
      <w:tr w:rsidR="00B6621A" w:rsidRPr="002E7FAF" w:rsidTr="008068E8">
        <w:trPr>
          <w:cantSplit/>
          <w:tblHeader/>
        </w:trPr>
        <w:tc>
          <w:tcPr>
            <w:tcW w:w="1951" w:type="dxa"/>
          </w:tcPr>
          <w:p w:rsidR="00B6621A" w:rsidRPr="002E7FAF" w:rsidRDefault="00B6621A" w:rsidP="002E7FAF">
            <w:pPr>
              <w:pStyle w:val="CLDTableSpaceListSpace"/>
              <w:rPr>
                <w:b/>
                <w:bCs/>
                <w:sz w:val="22"/>
              </w:rPr>
            </w:pPr>
            <w:r w:rsidRPr="002E7FAF">
              <w:rPr>
                <w:b/>
                <w:bCs/>
                <w:sz w:val="22"/>
              </w:rPr>
              <w:t>Pathogen</w:t>
            </w:r>
          </w:p>
        </w:tc>
        <w:tc>
          <w:tcPr>
            <w:tcW w:w="1475" w:type="dxa"/>
          </w:tcPr>
          <w:p w:rsidR="00B6621A" w:rsidRPr="002E7FAF" w:rsidRDefault="00B6621A" w:rsidP="002E7FAF">
            <w:pPr>
              <w:pStyle w:val="CLDTableSpaceListSpace"/>
              <w:rPr>
                <w:b/>
                <w:bCs/>
                <w:sz w:val="22"/>
              </w:rPr>
            </w:pPr>
            <w:r w:rsidRPr="002E7FAF">
              <w:rPr>
                <w:b/>
                <w:bCs/>
                <w:sz w:val="22"/>
              </w:rPr>
              <w:t>Favourable response rate (%)</w:t>
            </w:r>
          </w:p>
        </w:tc>
        <w:tc>
          <w:tcPr>
            <w:tcW w:w="1410" w:type="dxa"/>
          </w:tcPr>
          <w:p w:rsidR="00B6621A" w:rsidRPr="002E7FAF" w:rsidRDefault="00B6621A" w:rsidP="002E7FAF">
            <w:pPr>
              <w:pStyle w:val="CLDTableSpaceListSpace"/>
              <w:rPr>
                <w:b/>
                <w:bCs/>
                <w:sz w:val="22"/>
              </w:rPr>
            </w:pPr>
            <w:r w:rsidRPr="002E7FAF">
              <w:rPr>
                <w:b/>
                <w:bCs/>
                <w:sz w:val="22"/>
              </w:rPr>
              <w:t>Number of favourable responses</w:t>
            </w:r>
          </w:p>
        </w:tc>
        <w:tc>
          <w:tcPr>
            <w:tcW w:w="685" w:type="dxa"/>
          </w:tcPr>
          <w:p w:rsidR="00B6621A" w:rsidRPr="002E7FAF" w:rsidRDefault="00B6621A" w:rsidP="002E7FAF">
            <w:pPr>
              <w:pStyle w:val="CLDTableSpaceListSpace"/>
              <w:rPr>
                <w:b/>
                <w:bCs/>
                <w:sz w:val="22"/>
              </w:rPr>
            </w:pPr>
            <w:r w:rsidRPr="002E7FAF">
              <w:rPr>
                <w:b/>
                <w:bCs/>
                <w:sz w:val="22"/>
              </w:rPr>
              <w:t>n</w:t>
            </w:r>
          </w:p>
        </w:tc>
        <w:tc>
          <w:tcPr>
            <w:tcW w:w="0" w:type="auto"/>
          </w:tcPr>
          <w:p w:rsidR="00B6621A" w:rsidRPr="002E7FAF" w:rsidRDefault="00B6621A" w:rsidP="002E7FAF">
            <w:pPr>
              <w:pStyle w:val="CLDTableSpaceListSpace"/>
              <w:rPr>
                <w:b/>
                <w:bCs/>
                <w:sz w:val="22"/>
              </w:rPr>
            </w:pPr>
            <w:r w:rsidRPr="002E7FAF">
              <w:rPr>
                <w:b/>
                <w:bCs/>
                <w:sz w:val="22"/>
              </w:rPr>
              <w:t>Favourable response rate (%)</w:t>
            </w:r>
          </w:p>
        </w:tc>
        <w:tc>
          <w:tcPr>
            <w:tcW w:w="1367" w:type="dxa"/>
          </w:tcPr>
          <w:p w:rsidR="00B6621A" w:rsidRPr="002E7FAF" w:rsidRDefault="00B6621A" w:rsidP="002E7FAF">
            <w:pPr>
              <w:pStyle w:val="CLDTableSpaceListSpace"/>
              <w:rPr>
                <w:b/>
                <w:bCs/>
                <w:sz w:val="22"/>
              </w:rPr>
            </w:pPr>
            <w:r w:rsidRPr="002E7FAF">
              <w:rPr>
                <w:b/>
                <w:bCs/>
                <w:sz w:val="22"/>
              </w:rPr>
              <w:t>Number of favourable responses</w:t>
            </w:r>
          </w:p>
        </w:tc>
        <w:tc>
          <w:tcPr>
            <w:tcW w:w="795" w:type="dxa"/>
          </w:tcPr>
          <w:p w:rsidR="00B6621A" w:rsidRPr="002E7FAF" w:rsidRDefault="00B6621A" w:rsidP="002E7FAF">
            <w:pPr>
              <w:pStyle w:val="CLDTableSpaceListSpace"/>
              <w:rPr>
                <w:b/>
                <w:bCs/>
                <w:sz w:val="22"/>
              </w:rPr>
            </w:pPr>
            <w:r w:rsidRPr="002E7FAF">
              <w:rPr>
                <w:b/>
                <w:bCs/>
                <w:sz w:val="22"/>
              </w:rPr>
              <w:t>n</w:t>
            </w:r>
          </w:p>
        </w:tc>
      </w:tr>
      <w:tr w:rsidR="00B6621A" w:rsidRPr="00667EAA" w:rsidTr="008068E8">
        <w:trPr>
          <w:cantSplit/>
        </w:trPr>
        <w:tc>
          <w:tcPr>
            <w:tcW w:w="1951" w:type="dxa"/>
          </w:tcPr>
          <w:p w:rsidR="00B6621A" w:rsidRPr="00667EAA" w:rsidRDefault="00B6621A" w:rsidP="00667EAA">
            <w:pPr>
              <w:pStyle w:val="StyleCLDTableTextListTextItalicAuto"/>
              <w:rPr>
                <w:szCs w:val="22"/>
              </w:rPr>
            </w:pPr>
            <w:proofErr w:type="spellStart"/>
            <w:r w:rsidRPr="00667EAA">
              <w:rPr>
                <w:szCs w:val="22"/>
              </w:rPr>
              <w:t>Enterobacteriaceae</w:t>
            </w:r>
            <w:proofErr w:type="spellEnd"/>
          </w:p>
        </w:tc>
        <w:tc>
          <w:tcPr>
            <w:tcW w:w="1475" w:type="dxa"/>
          </w:tcPr>
          <w:p w:rsidR="00B6621A" w:rsidRPr="00667EAA" w:rsidRDefault="00B6621A" w:rsidP="00986046">
            <w:pPr>
              <w:pStyle w:val="CLDTableTextListText"/>
              <w:widowControl w:val="0"/>
              <w:rPr>
                <w:sz w:val="22"/>
                <w:szCs w:val="22"/>
              </w:rPr>
            </w:pPr>
            <w:r w:rsidRPr="00667EAA">
              <w:rPr>
                <w:sz w:val="22"/>
                <w:szCs w:val="22"/>
              </w:rPr>
              <w:t>78.3</w:t>
            </w:r>
          </w:p>
        </w:tc>
        <w:tc>
          <w:tcPr>
            <w:tcW w:w="1410" w:type="dxa"/>
          </w:tcPr>
          <w:p w:rsidR="00B6621A" w:rsidRPr="00667EAA" w:rsidRDefault="00B6621A" w:rsidP="00986046">
            <w:pPr>
              <w:pStyle w:val="CLDTableTextListText"/>
              <w:widowControl w:val="0"/>
              <w:rPr>
                <w:sz w:val="22"/>
                <w:szCs w:val="22"/>
              </w:rPr>
            </w:pPr>
            <w:r w:rsidRPr="00667EAA">
              <w:rPr>
                <w:sz w:val="22"/>
                <w:szCs w:val="22"/>
              </w:rPr>
              <w:t>299</w:t>
            </w:r>
          </w:p>
        </w:tc>
        <w:tc>
          <w:tcPr>
            <w:tcW w:w="685" w:type="dxa"/>
          </w:tcPr>
          <w:p w:rsidR="00B6621A" w:rsidRPr="00667EAA" w:rsidRDefault="00B6621A" w:rsidP="00986046">
            <w:pPr>
              <w:pStyle w:val="CLDTableTextListText"/>
              <w:widowControl w:val="0"/>
              <w:rPr>
                <w:sz w:val="22"/>
                <w:szCs w:val="22"/>
              </w:rPr>
            </w:pPr>
            <w:r w:rsidRPr="00667EAA">
              <w:rPr>
                <w:sz w:val="22"/>
                <w:szCs w:val="22"/>
              </w:rPr>
              <w:t>382</w:t>
            </w:r>
          </w:p>
        </w:tc>
        <w:tc>
          <w:tcPr>
            <w:tcW w:w="0" w:type="auto"/>
          </w:tcPr>
          <w:p w:rsidR="00B6621A" w:rsidRPr="00667EAA" w:rsidRDefault="00B6621A" w:rsidP="00986046">
            <w:pPr>
              <w:pStyle w:val="CLDTableTextListText"/>
              <w:widowControl w:val="0"/>
              <w:rPr>
                <w:sz w:val="22"/>
                <w:szCs w:val="22"/>
              </w:rPr>
            </w:pPr>
            <w:r w:rsidRPr="00667EAA">
              <w:rPr>
                <w:sz w:val="22"/>
                <w:szCs w:val="22"/>
              </w:rPr>
              <w:t>70.6</w:t>
            </w:r>
          </w:p>
        </w:tc>
        <w:tc>
          <w:tcPr>
            <w:tcW w:w="1367" w:type="dxa"/>
          </w:tcPr>
          <w:p w:rsidR="00B6621A" w:rsidRPr="00667EAA" w:rsidRDefault="00B6621A" w:rsidP="00986046">
            <w:pPr>
              <w:pStyle w:val="CLDTableTextListText"/>
              <w:widowControl w:val="0"/>
              <w:rPr>
                <w:sz w:val="22"/>
                <w:szCs w:val="22"/>
              </w:rPr>
            </w:pPr>
            <w:r w:rsidRPr="00667EAA">
              <w:rPr>
                <w:sz w:val="22"/>
                <w:szCs w:val="22"/>
              </w:rPr>
              <w:t>281</w:t>
            </w:r>
          </w:p>
        </w:tc>
        <w:tc>
          <w:tcPr>
            <w:tcW w:w="795" w:type="dxa"/>
          </w:tcPr>
          <w:p w:rsidR="00B6621A" w:rsidRPr="00667EAA" w:rsidRDefault="00B6621A" w:rsidP="00986046">
            <w:pPr>
              <w:pStyle w:val="CLDTableTextListText"/>
              <w:widowControl w:val="0"/>
              <w:rPr>
                <w:sz w:val="22"/>
                <w:szCs w:val="22"/>
              </w:rPr>
            </w:pPr>
            <w:r w:rsidRPr="00667EAA">
              <w:rPr>
                <w:sz w:val="22"/>
                <w:szCs w:val="22"/>
              </w:rPr>
              <w:t>398</w:t>
            </w:r>
          </w:p>
        </w:tc>
      </w:tr>
      <w:tr w:rsidR="00B6621A" w:rsidRPr="00667EAA" w:rsidTr="008068E8">
        <w:trPr>
          <w:cantSplit/>
        </w:trPr>
        <w:tc>
          <w:tcPr>
            <w:tcW w:w="1951" w:type="dxa"/>
          </w:tcPr>
          <w:p w:rsidR="00B6621A" w:rsidRPr="00667EAA" w:rsidRDefault="00B6621A" w:rsidP="002E7FAF">
            <w:pPr>
              <w:pStyle w:val="CLDTableTextListText"/>
              <w:widowControl w:val="0"/>
              <w:ind w:left="176"/>
              <w:rPr>
                <w:i/>
                <w:iCs/>
                <w:color w:val="auto"/>
                <w:sz w:val="22"/>
                <w:szCs w:val="22"/>
              </w:rPr>
            </w:pPr>
            <w:r w:rsidRPr="00667EAA">
              <w:rPr>
                <w:i/>
                <w:iCs/>
                <w:color w:val="auto"/>
                <w:sz w:val="22"/>
                <w:szCs w:val="22"/>
              </w:rPr>
              <w:t xml:space="preserve"> E</w:t>
            </w:r>
            <w:r w:rsidR="002E7FAF">
              <w:rPr>
                <w:i/>
                <w:iCs/>
                <w:color w:val="auto"/>
                <w:sz w:val="22"/>
                <w:szCs w:val="22"/>
              </w:rPr>
              <w:t xml:space="preserve">. </w:t>
            </w:r>
            <w:r w:rsidRPr="00667EAA">
              <w:rPr>
                <w:i/>
                <w:iCs/>
                <w:color w:val="auto"/>
                <w:sz w:val="22"/>
                <w:szCs w:val="22"/>
              </w:rPr>
              <w:t>cloacae</w:t>
            </w:r>
          </w:p>
        </w:tc>
        <w:tc>
          <w:tcPr>
            <w:tcW w:w="1475" w:type="dxa"/>
          </w:tcPr>
          <w:p w:rsidR="00B6621A" w:rsidRPr="00667EAA" w:rsidRDefault="00B6621A" w:rsidP="00986046">
            <w:pPr>
              <w:pStyle w:val="CLDTableTextListText"/>
              <w:widowControl w:val="0"/>
              <w:rPr>
                <w:sz w:val="22"/>
                <w:szCs w:val="22"/>
              </w:rPr>
            </w:pPr>
            <w:r w:rsidRPr="00667EAA">
              <w:rPr>
                <w:sz w:val="22"/>
                <w:szCs w:val="22"/>
              </w:rPr>
              <w:t>54.5</w:t>
            </w:r>
          </w:p>
        </w:tc>
        <w:tc>
          <w:tcPr>
            <w:tcW w:w="1410" w:type="dxa"/>
          </w:tcPr>
          <w:p w:rsidR="00B6621A" w:rsidRPr="00667EAA" w:rsidRDefault="00B6621A" w:rsidP="00986046">
            <w:pPr>
              <w:pStyle w:val="CLDTableTextListText"/>
              <w:widowControl w:val="0"/>
              <w:rPr>
                <w:sz w:val="22"/>
                <w:szCs w:val="22"/>
              </w:rPr>
            </w:pPr>
            <w:r w:rsidRPr="00667EAA">
              <w:rPr>
                <w:sz w:val="22"/>
                <w:szCs w:val="22"/>
              </w:rPr>
              <w:t>6</w:t>
            </w:r>
          </w:p>
        </w:tc>
        <w:tc>
          <w:tcPr>
            <w:tcW w:w="685" w:type="dxa"/>
          </w:tcPr>
          <w:p w:rsidR="00B6621A" w:rsidRPr="00667EAA" w:rsidRDefault="00B6621A" w:rsidP="00986046">
            <w:pPr>
              <w:pStyle w:val="CLDTableTextListText"/>
              <w:widowControl w:val="0"/>
              <w:rPr>
                <w:sz w:val="22"/>
                <w:szCs w:val="22"/>
              </w:rPr>
            </w:pPr>
            <w:r w:rsidRPr="00667EAA">
              <w:rPr>
                <w:sz w:val="22"/>
                <w:szCs w:val="22"/>
              </w:rPr>
              <w:t>11</w:t>
            </w:r>
          </w:p>
        </w:tc>
        <w:tc>
          <w:tcPr>
            <w:tcW w:w="0" w:type="auto"/>
          </w:tcPr>
          <w:p w:rsidR="00B6621A" w:rsidRPr="00667EAA" w:rsidRDefault="00B6621A" w:rsidP="00986046">
            <w:pPr>
              <w:pStyle w:val="CLDTableTextListText"/>
              <w:widowControl w:val="0"/>
              <w:rPr>
                <w:sz w:val="22"/>
                <w:szCs w:val="22"/>
              </w:rPr>
            </w:pPr>
            <w:r w:rsidRPr="00667EAA">
              <w:rPr>
                <w:sz w:val="22"/>
                <w:szCs w:val="22"/>
              </w:rPr>
              <w:t>69.2</w:t>
            </w:r>
          </w:p>
        </w:tc>
        <w:tc>
          <w:tcPr>
            <w:tcW w:w="1367" w:type="dxa"/>
          </w:tcPr>
          <w:p w:rsidR="00B6621A" w:rsidRPr="00667EAA" w:rsidRDefault="00B6621A" w:rsidP="00986046">
            <w:pPr>
              <w:pStyle w:val="CLDTableTextListText"/>
              <w:widowControl w:val="0"/>
              <w:rPr>
                <w:sz w:val="22"/>
                <w:szCs w:val="22"/>
              </w:rPr>
            </w:pPr>
            <w:r w:rsidRPr="00667EAA">
              <w:rPr>
                <w:sz w:val="22"/>
                <w:szCs w:val="22"/>
              </w:rPr>
              <w:t>9</w:t>
            </w:r>
          </w:p>
        </w:tc>
        <w:tc>
          <w:tcPr>
            <w:tcW w:w="795" w:type="dxa"/>
          </w:tcPr>
          <w:p w:rsidR="00B6621A" w:rsidRPr="00667EAA" w:rsidRDefault="00B6621A" w:rsidP="00986046">
            <w:pPr>
              <w:pStyle w:val="CLDTableTextListText"/>
              <w:widowControl w:val="0"/>
              <w:rPr>
                <w:sz w:val="22"/>
                <w:szCs w:val="22"/>
              </w:rPr>
            </w:pPr>
            <w:r w:rsidRPr="00667EAA">
              <w:rPr>
                <w:sz w:val="22"/>
                <w:szCs w:val="22"/>
              </w:rPr>
              <w:t>13</w:t>
            </w:r>
          </w:p>
        </w:tc>
      </w:tr>
      <w:tr w:rsidR="00B6621A" w:rsidRPr="00667EAA" w:rsidTr="008068E8">
        <w:trPr>
          <w:cantSplit/>
        </w:trPr>
        <w:tc>
          <w:tcPr>
            <w:tcW w:w="1951" w:type="dxa"/>
          </w:tcPr>
          <w:p w:rsidR="00B6621A" w:rsidRPr="00667EAA" w:rsidRDefault="00B6621A" w:rsidP="002E7FAF">
            <w:pPr>
              <w:pStyle w:val="CLDTableTextListText"/>
              <w:widowControl w:val="0"/>
              <w:ind w:left="176"/>
              <w:rPr>
                <w:i/>
                <w:iCs/>
                <w:color w:val="auto"/>
                <w:sz w:val="22"/>
                <w:szCs w:val="22"/>
              </w:rPr>
            </w:pPr>
            <w:r w:rsidRPr="00667EAA">
              <w:rPr>
                <w:i/>
                <w:iCs/>
                <w:color w:val="auto"/>
                <w:sz w:val="22"/>
                <w:szCs w:val="22"/>
              </w:rPr>
              <w:t>E</w:t>
            </w:r>
            <w:r w:rsidR="002E7FAF">
              <w:rPr>
                <w:i/>
                <w:iCs/>
                <w:color w:val="auto"/>
                <w:sz w:val="22"/>
                <w:szCs w:val="22"/>
              </w:rPr>
              <w:t xml:space="preserve">. </w:t>
            </w:r>
            <w:r w:rsidRPr="00667EAA">
              <w:rPr>
                <w:i/>
                <w:iCs/>
                <w:color w:val="auto"/>
                <w:sz w:val="22"/>
                <w:szCs w:val="22"/>
              </w:rPr>
              <w:t xml:space="preserve"> coli</w:t>
            </w:r>
          </w:p>
        </w:tc>
        <w:tc>
          <w:tcPr>
            <w:tcW w:w="1475" w:type="dxa"/>
          </w:tcPr>
          <w:p w:rsidR="00B6621A" w:rsidRPr="00667EAA" w:rsidRDefault="00B6621A" w:rsidP="00986046">
            <w:pPr>
              <w:pStyle w:val="CLDTableTextListText"/>
              <w:widowControl w:val="0"/>
              <w:rPr>
                <w:sz w:val="22"/>
                <w:szCs w:val="22"/>
              </w:rPr>
            </w:pPr>
            <w:r w:rsidRPr="00667EAA">
              <w:rPr>
                <w:sz w:val="22"/>
                <w:szCs w:val="22"/>
              </w:rPr>
              <w:t>78.4</w:t>
            </w:r>
          </w:p>
        </w:tc>
        <w:tc>
          <w:tcPr>
            <w:tcW w:w="1410" w:type="dxa"/>
          </w:tcPr>
          <w:p w:rsidR="00B6621A" w:rsidRPr="00667EAA" w:rsidRDefault="00B6621A" w:rsidP="00986046">
            <w:pPr>
              <w:pStyle w:val="CLDTableTextListText"/>
              <w:widowControl w:val="0"/>
              <w:rPr>
                <w:sz w:val="22"/>
                <w:szCs w:val="22"/>
              </w:rPr>
            </w:pPr>
            <w:r w:rsidRPr="00667EAA">
              <w:rPr>
                <w:sz w:val="22"/>
                <w:szCs w:val="22"/>
              </w:rPr>
              <w:t>229</w:t>
            </w:r>
          </w:p>
        </w:tc>
        <w:tc>
          <w:tcPr>
            <w:tcW w:w="685" w:type="dxa"/>
          </w:tcPr>
          <w:p w:rsidR="00B6621A" w:rsidRPr="00667EAA" w:rsidRDefault="00B6621A" w:rsidP="00986046">
            <w:pPr>
              <w:pStyle w:val="CLDTableTextListText"/>
              <w:widowControl w:val="0"/>
              <w:rPr>
                <w:sz w:val="22"/>
                <w:szCs w:val="22"/>
              </w:rPr>
            </w:pPr>
            <w:r w:rsidRPr="00667EAA">
              <w:rPr>
                <w:sz w:val="22"/>
                <w:szCs w:val="22"/>
              </w:rPr>
              <w:t>292</w:t>
            </w:r>
          </w:p>
        </w:tc>
        <w:tc>
          <w:tcPr>
            <w:tcW w:w="0" w:type="auto"/>
          </w:tcPr>
          <w:p w:rsidR="00B6621A" w:rsidRPr="00667EAA" w:rsidRDefault="00B6621A" w:rsidP="00986046">
            <w:pPr>
              <w:pStyle w:val="CLDTableTextListText"/>
              <w:widowControl w:val="0"/>
              <w:rPr>
                <w:sz w:val="22"/>
                <w:szCs w:val="22"/>
              </w:rPr>
            </w:pPr>
            <w:r w:rsidRPr="00667EAA">
              <w:rPr>
                <w:sz w:val="22"/>
                <w:szCs w:val="22"/>
              </w:rPr>
              <w:t>71.9</w:t>
            </w:r>
          </w:p>
        </w:tc>
        <w:tc>
          <w:tcPr>
            <w:tcW w:w="1367" w:type="dxa"/>
          </w:tcPr>
          <w:p w:rsidR="00B6621A" w:rsidRPr="00667EAA" w:rsidRDefault="00B6621A" w:rsidP="00986046">
            <w:pPr>
              <w:pStyle w:val="CLDTableTextListText"/>
              <w:widowControl w:val="0"/>
              <w:rPr>
                <w:sz w:val="22"/>
                <w:szCs w:val="22"/>
              </w:rPr>
            </w:pPr>
            <w:r w:rsidRPr="00667EAA">
              <w:rPr>
                <w:sz w:val="22"/>
                <w:szCs w:val="22"/>
              </w:rPr>
              <w:t>220</w:t>
            </w:r>
          </w:p>
        </w:tc>
        <w:tc>
          <w:tcPr>
            <w:tcW w:w="795" w:type="dxa"/>
          </w:tcPr>
          <w:p w:rsidR="00B6621A" w:rsidRPr="00667EAA" w:rsidRDefault="00B6621A" w:rsidP="00986046">
            <w:pPr>
              <w:pStyle w:val="CLDTableTextListText"/>
              <w:widowControl w:val="0"/>
              <w:rPr>
                <w:sz w:val="22"/>
                <w:szCs w:val="22"/>
              </w:rPr>
            </w:pPr>
            <w:r w:rsidRPr="00667EAA">
              <w:rPr>
                <w:sz w:val="22"/>
                <w:szCs w:val="22"/>
              </w:rPr>
              <w:t>306</w:t>
            </w:r>
          </w:p>
        </w:tc>
      </w:tr>
      <w:tr w:rsidR="00B6621A" w:rsidRPr="00667EAA" w:rsidTr="008068E8">
        <w:trPr>
          <w:cantSplit/>
        </w:trPr>
        <w:tc>
          <w:tcPr>
            <w:tcW w:w="1951" w:type="dxa"/>
          </w:tcPr>
          <w:p w:rsidR="00B6621A" w:rsidRPr="00667EAA" w:rsidRDefault="00B6621A" w:rsidP="002E7FAF">
            <w:pPr>
              <w:pStyle w:val="CLDTableTextListText"/>
              <w:widowControl w:val="0"/>
              <w:ind w:left="176"/>
              <w:rPr>
                <w:i/>
                <w:iCs/>
                <w:color w:val="auto"/>
                <w:sz w:val="22"/>
                <w:szCs w:val="22"/>
              </w:rPr>
            </w:pPr>
            <w:r w:rsidRPr="00667EAA">
              <w:rPr>
                <w:i/>
                <w:iCs/>
                <w:color w:val="auto"/>
                <w:sz w:val="22"/>
                <w:szCs w:val="22"/>
              </w:rPr>
              <w:t>K</w:t>
            </w:r>
            <w:r w:rsidR="002E7FAF">
              <w:rPr>
                <w:i/>
                <w:iCs/>
                <w:color w:val="auto"/>
                <w:sz w:val="22"/>
                <w:szCs w:val="22"/>
              </w:rPr>
              <w:t xml:space="preserve">. </w:t>
            </w:r>
            <w:proofErr w:type="spellStart"/>
            <w:r w:rsidRPr="00667EAA">
              <w:rPr>
                <w:i/>
                <w:iCs/>
                <w:color w:val="auto"/>
                <w:sz w:val="22"/>
                <w:szCs w:val="22"/>
              </w:rPr>
              <w:t>pneumoniae</w:t>
            </w:r>
            <w:proofErr w:type="spellEnd"/>
          </w:p>
        </w:tc>
        <w:tc>
          <w:tcPr>
            <w:tcW w:w="1475" w:type="dxa"/>
          </w:tcPr>
          <w:p w:rsidR="00B6621A" w:rsidRPr="00667EAA" w:rsidRDefault="00B6621A" w:rsidP="00986046">
            <w:pPr>
              <w:pStyle w:val="CLDTableTextListText"/>
              <w:widowControl w:val="0"/>
              <w:rPr>
                <w:sz w:val="22"/>
                <w:szCs w:val="22"/>
              </w:rPr>
            </w:pPr>
            <w:r w:rsidRPr="00667EAA">
              <w:rPr>
                <w:sz w:val="22"/>
                <w:szCs w:val="22"/>
              </w:rPr>
              <w:t>75.0</w:t>
            </w:r>
          </w:p>
        </w:tc>
        <w:tc>
          <w:tcPr>
            <w:tcW w:w="1410" w:type="dxa"/>
          </w:tcPr>
          <w:p w:rsidR="00B6621A" w:rsidRPr="00667EAA" w:rsidRDefault="00B6621A" w:rsidP="00986046">
            <w:pPr>
              <w:pStyle w:val="CLDTableTextListText"/>
              <w:widowControl w:val="0"/>
              <w:rPr>
                <w:sz w:val="22"/>
                <w:szCs w:val="22"/>
              </w:rPr>
            </w:pPr>
            <w:r w:rsidRPr="00667EAA">
              <w:rPr>
                <w:sz w:val="22"/>
                <w:szCs w:val="22"/>
              </w:rPr>
              <w:t>33</w:t>
            </w:r>
          </w:p>
        </w:tc>
        <w:tc>
          <w:tcPr>
            <w:tcW w:w="685" w:type="dxa"/>
          </w:tcPr>
          <w:p w:rsidR="00B6621A" w:rsidRPr="00667EAA" w:rsidRDefault="00B6621A" w:rsidP="00986046">
            <w:pPr>
              <w:pStyle w:val="CLDTableTextListText"/>
              <w:widowControl w:val="0"/>
              <w:rPr>
                <w:sz w:val="22"/>
                <w:szCs w:val="22"/>
              </w:rPr>
            </w:pPr>
            <w:r w:rsidRPr="00667EAA">
              <w:rPr>
                <w:sz w:val="22"/>
                <w:szCs w:val="22"/>
              </w:rPr>
              <w:t>44</w:t>
            </w:r>
          </w:p>
        </w:tc>
        <w:tc>
          <w:tcPr>
            <w:tcW w:w="0" w:type="auto"/>
          </w:tcPr>
          <w:p w:rsidR="00B6621A" w:rsidRPr="00667EAA" w:rsidRDefault="00B6621A" w:rsidP="00986046">
            <w:pPr>
              <w:pStyle w:val="CLDTableTextListText"/>
              <w:widowControl w:val="0"/>
              <w:rPr>
                <w:sz w:val="22"/>
                <w:szCs w:val="22"/>
              </w:rPr>
            </w:pPr>
            <w:r w:rsidRPr="00667EAA">
              <w:rPr>
                <w:sz w:val="22"/>
                <w:szCs w:val="22"/>
              </w:rPr>
              <w:t>62.5</w:t>
            </w:r>
          </w:p>
        </w:tc>
        <w:tc>
          <w:tcPr>
            <w:tcW w:w="1367" w:type="dxa"/>
          </w:tcPr>
          <w:p w:rsidR="00B6621A" w:rsidRPr="00667EAA" w:rsidRDefault="00B6621A" w:rsidP="00986046">
            <w:pPr>
              <w:pStyle w:val="CLDTableTextListText"/>
              <w:widowControl w:val="0"/>
              <w:rPr>
                <w:sz w:val="22"/>
                <w:szCs w:val="22"/>
              </w:rPr>
            </w:pPr>
            <w:r w:rsidRPr="00667EAA">
              <w:rPr>
                <w:sz w:val="22"/>
                <w:szCs w:val="22"/>
              </w:rPr>
              <w:t>35</w:t>
            </w:r>
          </w:p>
        </w:tc>
        <w:tc>
          <w:tcPr>
            <w:tcW w:w="795" w:type="dxa"/>
          </w:tcPr>
          <w:p w:rsidR="00B6621A" w:rsidRPr="00667EAA" w:rsidRDefault="00B6621A" w:rsidP="00986046">
            <w:pPr>
              <w:pStyle w:val="CLDTableTextListText"/>
              <w:widowControl w:val="0"/>
              <w:rPr>
                <w:sz w:val="22"/>
                <w:szCs w:val="22"/>
              </w:rPr>
            </w:pPr>
            <w:r w:rsidRPr="00667EAA">
              <w:rPr>
                <w:sz w:val="22"/>
                <w:szCs w:val="22"/>
              </w:rPr>
              <w:t>56</w:t>
            </w:r>
          </w:p>
        </w:tc>
      </w:tr>
      <w:tr w:rsidR="00B6621A" w:rsidRPr="00667EAA" w:rsidTr="008068E8">
        <w:trPr>
          <w:cantSplit/>
        </w:trPr>
        <w:tc>
          <w:tcPr>
            <w:tcW w:w="1951" w:type="dxa"/>
          </w:tcPr>
          <w:p w:rsidR="00B6621A" w:rsidRPr="00667EAA" w:rsidRDefault="00B6621A" w:rsidP="00B50AEC">
            <w:pPr>
              <w:pStyle w:val="CLDTableTextListText"/>
              <w:widowControl w:val="0"/>
              <w:ind w:left="176"/>
              <w:rPr>
                <w:i/>
                <w:iCs/>
                <w:color w:val="auto"/>
                <w:sz w:val="22"/>
                <w:szCs w:val="22"/>
              </w:rPr>
            </w:pPr>
            <w:r w:rsidRPr="00667EAA">
              <w:rPr>
                <w:i/>
                <w:iCs/>
                <w:color w:val="auto"/>
                <w:sz w:val="22"/>
                <w:szCs w:val="22"/>
              </w:rPr>
              <w:t>P</w:t>
            </w:r>
            <w:r w:rsidR="00B50AEC">
              <w:rPr>
                <w:i/>
                <w:iCs/>
                <w:color w:val="auto"/>
                <w:sz w:val="22"/>
                <w:szCs w:val="22"/>
              </w:rPr>
              <w:t xml:space="preserve">. </w:t>
            </w:r>
            <w:r w:rsidRPr="00667EAA">
              <w:rPr>
                <w:i/>
                <w:iCs/>
                <w:color w:val="auto"/>
                <w:sz w:val="22"/>
                <w:szCs w:val="22"/>
              </w:rPr>
              <w:t>mirabilis</w:t>
            </w:r>
          </w:p>
        </w:tc>
        <w:tc>
          <w:tcPr>
            <w:tcW w:w="1475" w:type="dxa"/>
          </w:tcPr>
          <w:p w:rsidR="00B6621A" w:rsidRPr="00667EAA" w:rsidRDefault="00B6621A" w:rsidP="00986046">
            <w:pPr>
              <w:pStyle w:val="CLDTableTextListText"/>
              <w:widowControl w:val="0"/>
              <w:rPr>
                <w:sz w:val="22"/>
                <w:szCs w:val="22"/>
              </w:rPr>
            </w:pPr>
            <w:r w:rsidRPr="00667EAA">
              <w:rPr>
                <w:sz w:val="22"/>
                <w:szCs w:val="22"/>
              </w:rPr>
              <w:t>94.1</w:t>
            </w:r>
          </w:p>
        </w:tc>
        <w:tc>
          <w:tcPr>
            <w:tcW w:w="1410" w:type="dxa"/>
          </w:tcPr>
          <w:p w:rsidR="00B6621A" w:rsidRPr="00667EAA" w:rsidRDefault="00B6621A" w:rsidP="00986046">
            <w:pPr>
              <w:pStyle w:val="CLDTableTextListText"/>
              <w:widowControl w:val="0"/>
              <w:rPr>
                <w:sz w:val="22"/>
                <w:szCs w:val="22"/>
              </w:rPr>
            </w:pPr>
            <w:r w:rsidRPr="00667EAA">
              <w:rPr>
                <w:sz w:val="22"/>
                <w:szCs w:val="22"/>
              </w:rPr>
              <w:t>16</w:t>
            </w:r>
          </w:p>
        </w:tc>
        <w:tc>
          <w:tcPr>
            <w:tcW w:w="685" w:type="dxa"/>
          </w:tcPr>
          <w:p w:rsidR="00B6621A" w:rsidRPr="00667EAA" w:rsidRDefault="00B6621A" w:rsidP="00986046">
            <w:pPr>
              <w:pStyle w:val="CLDTableTextListText"/>
              <w:widowControl w:val="0"/>
              <w:rPr>
                <w:sz w:val="22"/>
                <w:szCs w:val="22"/>
              </w:rPr>
            </w:pPr>
            <w:r w:rsidRPr="00667EAA">
              <w:rPr>
                <w:sz w:val="22"/>
                <w:szCs w:val="22"/>
              </w:rPr>
              <w:t>17</w:t>
            </w:r>
          </w:p>
        </w:tc>
        <w:tc>
          <w:tcPr>
            <w:tcW w:w="0" w:type="auto"/>
          </w:tcPr>
          <w:p w:rsidR="00B6621A" w:rsidRPr="00667EAA" w:rsidRDefault="00B6621A" w:rsidP="00986046">
            <w:pPr>
              <w:pStyle w:val="CLDTableTextListText"/>
              <w:widowControl w:val="0"/>
              <w:rPr>
                <w:sz w:val="22"/>
                <w:szCs w:val="22"/>
              </w:rPr>
            </w:pPr>
            <w:r w:rsidRPr="00667EAA">
              <w:rPr>
                <w:sz w:val="22"/>
                <w:szCs w:val="22"/>
              </w:rPr>
              <w:t>69.2</w:t>
            </w:r>
          </w:p>
        </w:tc>
        <w:tc>
          <w:tcPr>
            <w:tcW w:w="1367" w:type="dxa"/>
          </w:tcPr>
          <w:p w:rsidR="00B6621A" w:rsidRPr="00667EAA" w:rsidRDefault="00B6621A" w:rsidP="00986046">
            <w:pPr>
              <w:pStyle w:val="CLDTableTextListText"/>
              <w:widowControl w:val="0"/>
              <w:rPr>
                <w:sz w:val="22"/>
                <w:szCs w:val="22"/>
              </w:rPr>
            </w:pPr>
            <w:r w:rsidRPr="00667EAA">
              <w:rPr>
                <w:sz w:val="22"/>
                <w:szCs w:val="22"/>
              </w:rPr>
              <w:t>9</w:t>
            </w:r>
          </w:p>
        </w:tc>
        <w:tc>
          <w:tcPr>
            <w:tcW w:w="795" w:type="dxa"/>
          </w:tcPr>
          <w:p w:rsidR="00B6621A" w:rsidRPr="00667EAA" w:rsidRDefault="00B6621A" w:rsidP="00986046">
            <w:pPr>
              <w:pStyle w:val="CLDTableTextListText"/>
              <w:widowControl w:val="0"/>
              <w:rPr>
                <w:sz w:val="22"/>
                <w:szCs w:val="22"/>
              </w:rPr>
            </w:pPr>
            <w:r w:rsidRPr="00667EAA">
              <w:rPr>
                <w:sz w:val="22"/>
                <w:szCs w:val="22"/>
              </w:rPr>
              <w:t>13</w:t>
            </w:r>
          </w:p>
        </w:tc>
      </w:tr>
      <w:tr w:rsidR="00B6621A" w:rsidRPr="00667EAA" w:rsidTr="008068E8">
        <w:trPr>
          <w:cantSplit/>
        </w:trPr>
        <w:tc>
          <w:tcPr>
            <w:tcW w:w="1951" w:type="dxa"/>
          </w:tcPr>
          <w:p w:rsidR="00B6621A" w:rsidRPr="00667EAA" w:rsidRDefault="00B6621A" w:rsidP="00B50AEC">
            <w:pPr>
              <w:pStyle w:val="StyleCLDTableTextListTextItalicAuto"/>
              <w:rPr>
                <w:szCs w:val="22"/>
              </w:rPr>
            </w:pPr>
            <w:r w:rsidRPr="00667EAA">
              <w:rPr>
                <w:szCs w:val="22"/>
              </w:rPr>
              <w:t>P</w:t>
            </w:r>
            <w:r w:rsidR="00B50AEC">
              <w:rPr>
                <w:szCs w:val="22"/>
              </w:rPr>
              <w:t>.</w:t>
            </w:r>
            <w:r w:rsidRPr="00667EAA">
              <w:rPr>
                <w:szCs w:val="22"/>
              </w:rPr>
              <w:t xml:space="preserve"> aeruginosa</w:t>
            </w:r>
          </w:p>
        </w:tc>
        <w:tc>
          <w:tcPr>
            <w:tcW w:w="1475" w:type="dxa"/>
          </w:tcPr>
          <w:p w:rsidR="00B6621A" w:rsidRPr="00667EAA" w:rsidRDefault="00B6621A" w:rsidP="00986046">
            <w:pPr>
              <w:pStyle w:val="CLDTableTextListText"/>
              <w:widowControl w:val="0"/>
              <w:rPr>
                <w:sz w:val="22"/>
                <w:szCs w:val="22"/>
              </w:rPr>
            </w:pPr>
            <w:r w:rsidRPr="00667EAA">
              <w:rPr>
                <w:sz w:val="22"/>
                <w:szCs w:val="22"/>
              </w:rPr>
              <w:t>66.7</w:t>
            </w:r>
          </w:p>
        </w:tc>
        <w:tc>
          <w:tcPr>
            <w:tcW w:w="1410" w:type="dxa"/>
          </w:tcPr>
          <w:p w:rsidR="00B6621A" w:rsidRPr="00667EAA" w:rsidRDefault="00B6621A" w:rsidP="00986046">
            <w:pPr>
              <w:pStyle w:val="CLDTableTextListText"/>
              <w:widowControl w:val="0"/>
              <w:rPr>
                <w:sz w:val="22"/>
                <w:szCs w:val="22"/>
              </w:rPr>
            </w:pPr>
            <w:r w:rsidRPr="00667EAA">
              <w:rPr>
                <w:sz w:val="22"/>
                <w:szCs w:val="22"/>
              </w:rPr>
              <w:t>12</w:t>
            </w:r>
          </w:p>
        </w:tc>
        <w:tc>
          <w:tcPr>
            <w:tcW w:w="685" w:type="dxa"/>
          </w:tcPr>
          <w:p w:rsidR="00B6621A" w:rsidRPr="00667EAA" w:rsidRDefault="00B6621A" w:rsidP="00986046">
            <w:pPr>
              <w:pStyle w:val="CLDTableTextListText"/>
              <w:widowControl w:val="0"/>
              <w:rPr>
                <w:sz w:val="22"/>
                <w:szCs w:val="22"/>
              </w:rPr>
            </w:pPr>
            <w:r w:rsidRPr="00667EAA">
              <w:rPr>
                <w:sz w:val="22"/>
                <w:szCs w:val="22"/>
              </w:rPr>
              <w:t>18</w:t>
            </w:r>
          </w:p>
        </w:tc>
        <w:tc>
          <w:tcPr>
            <w:tcW w:w="0" w:type="auto"/>
          </w:tcPr>
          <w:p w:rsidR="00B6621A" w:rsidRPr="00667EAA" w:rsidRDefault="00B6621A" w:rsidP="00986046">
            <w:pPr>
              <w:pStyle w:val="CLDTableTextListText"/>
              <w:widowControl w:val="0"/>
              <w:rPr>
                <w:sz w:val="22"/>
                <w:szCs w:val="22"/>
              </w:rPr>
            </w:pPr>
            <w:r w:rsidRPr="00667EAA">
              <w:rPr>
                <w:sz w:val="22"/>
                <w:szCs w:val="22"/>
              </w:rPr>
              <w:t>75.0</w:t>
            </w:r>
          </w:p>
        </w:tc>
        <w:tc>
          <w:tcPr>
            <w:tcW w:w="1367" w:type="dxa"/>
          </w:tcPr>
          <w:p w:rsidR="00B6621A" w:rsidRPr="00667EAA" w:rsidRDefault="00B6621A" w:rsidP="00986046">
            <w:pPr>
              <w:pStyle w:val="CLDTableTextListText"/>
              <w:widowControl w:val="0"/>
              <w:rPr>
                <w:sz w:val="22"/>
                <w:szCs w:val="22"/>
              </w:rPr>
            </w:pPr>
            <w:r w:rsidRPr="00667EAA">
              <w:rPr>
                <w:sz w:val="22"/>
                <w:szCs w:val="22"/>
              </w:rPr>
              <w:t>15</w:t>
            </w:r>
          </w:p>
        </w:tc>
        <w:tc>
          <w:tcPr>
            <w:tcW w:w="795" w:type="dxa"/>
          </w:tcPr>
          <w:p w:rsidR="00B6621A" w:rsidRPr="00667EAA" w:rsidRDefault="00B6621A" w:rsidP="00986046">
            <w:pPr>
              <w:pStyle w:val="CLDTableTextListText"/>
              <w:widowControl w:val="0"/>
              <w:rPr>
                <w:sz w:val="22"/>
                <w:szCs w:val="22"/>
              </w:rPr>
            </w:pPr>
            <w:r w:rsidRPr="00667EAA">
              <w:rPr>
                <w:sz w:val="22"/>
                <w:szCs w:val="22"/>
              </w:rPr>
              <w:t>20</w:t>
            </w:r>
          </w:p>
        </w:tc>
      </w:tr>
    </w:tbl>
    <w:p w:rsidR="007068D6" w:rsidRPr="00BC545A" w:rsidRDefault="007068D6" w:rsidP="00240B1B">
      <w:pPr>
        <w:pStyle w:val="CLDHeading4"/>
      </w:pPr>
      <w:r w:rsidRPr="00BC545A">
        <w:t>Hospital-acquired pneumonia</w:t>
      </w:r>
      <w:r w:rsidR="00E408C5">
        <w:t xml:space="preserve"> (HAP)</w:t>
      </w:r>
    </w:p>
    <w:p w:rsidR="00CC6386" w:rsidRDefault="00B6621A" w:rsidP="002D450A">
      <w:pPr>
        <w:pStyle w:val="CLDNormal"/>
        <w:rPr>
          <w:szCs w:val="24"/>
          <w:lang w:val="en-US"/>
        </w:rPr>
      </w:pPr>
      <w:r>
        <w:t>I</w:t>
      </w:r>
      <w:r w:rsidRPr="00BC545A">
        <w:t>n a phase III double-blind, comparative study</w:t>
      </w:r>
      <w:r>
        <w:t>, a</w:t>
      </w:r>
      <w:r w:rsidRPr="00BC545A">
        <w:t xml:space="preserve"> total of 808 adults with nosocomial pneumonia (</w:t>
      </w:r>
      <w:r>
        <w:t xml:space="preserve">280/808, </w:t>
      </w:r>
      <w:r w:rsidRPr="00BC545A">
        <w:t>3</w:t>
      </w:r>
      <w:r>
        <w:t>4.7</w:t>
      </w:r>
      <w:r w:rsidRPr="00BC545A">
        <w:t xml:space="preserve">% with VAP </w:t>
      </w:r>
      <w:r>
        <w:t>a</w:t>
      </w:r>
      <w:r w:rsidRPr="001939AC">
        <w:rPr>
          <w:szCs w:val="22"/>
        </w:rPr>
        <w:t xml:space="preserve">nd 40/808 (5.0%) were </w:t>
      </w:r>
      <w:proofErr w:type="spellStart"/>
      <w:r w:rsidRPr="001939AC">
        <w:rPr>
          <w:szCs w:val="22"/>
        </w:rPr>
        <w:t>bacteraemic</w:t>
      </w:r>
      <w:proofErr w:type="spellEnd"/>
      <w:r w:rsidRPr="001939AC">
        <w:rPr>
          <w:szCs w:val="22"/>
        </w:rPr>
        <w:t xml:space="preserve"> at baseline</w:t>
      </w:r>
      <w:r>
        <w:rPr>
          <w:szCs w:val="22"/>
        </w:rPr>
        <w:t xml:space="preserve">) </w:t>
      </w:r>
      <w:r w:rsidRPr="00BC545A">
        <w:t xml:space="preserve">were randomised </w:t>
      </w:r>
      <w:r>
        <w:t xml:space="preserve">to </w:t>
      </w:r>
      <w:r w:rsidRPr="00BC545A">
        <w:t xml:space="preserve">receive treatment of </w:t>
      </w:r>
      <w:proofErr w:type="spellStart"/>
      <w:r w:rsidRPr="00BC545A">
        <w:t>ceftazidime</w:t>
      </w:r>
      <w:proofErr w:type="spellEnd"/>
      <w:r>
        <w:t>/</w:t>
      </w:r>
      <w:r w:rsidRPr="00BC545A">
        <w:t>avibactam (2000 mg/500 mg) IV over 120 </w:t>
      </w:r>
      <w:proofErr w:type="spellStart"/>
      <w:r w:rsidRPr="00BC545A">
        <w:t>mins</w:t>
      </w:r>
      <w:proofErr w:type="spellEnd"/>
      <w:r w:rsidRPr="00BC545A">
        <w:t xml:space="preserve"> every 8 hours or </w:t>
      </w:r>
      <w:proofErr w:type="spellStart"/>
      <w:r w:rsidRPr="00BC545A">
        <w:t>meropenem</w:t>
      </w:r>
      <w:proofErr w:type="spellEnd"/>
      <w:r w:rsidRPr="00BC545A">
        <w:t xml:space="preserve"> 1g IV over 30 </w:t>
      </w:r>
      <w:proofErr w:type="spellStart"/>
      <w:r w:rsidRPr="00BC545A">
        <w:t>mins</w:t>
      </w:r>
      <w:proofErr w:type="spellEnd"/>
      <w:r w:rsidRPr="00BC545A">
        <w:t xml:space="preserve"> every 8 hours. Treatment duration was 7 to 14 days. </w:t>
      </w:r>
      <w:r w:rsidR="00CC6386">
        <w:t xml:space="preserve">Nosocomial pneumonia was defined as an </w:t>
      </w:r>
      <w:r w:rsidR="00CC6386" w:rsidRPr="00CC6386">
        <w:t xml:space="preserve">onset of </w:t>
      </w:r>
      <w:r w:rsidR="00896B68">
        <w:t xml:space="preserve">relevant </w:t>
      </w:r>
      <w:r w:rsidR="00CC6386" w:rsidRPr="00CC6386">
        <w:t xml:space="preserve">signs and symptoms </w:t>
      </w:r>
      <w:r w:rsidR="00ED5E7E">
        <w:sym w:font="Symbol" w:char="F0B3"/>
      </w:r>
      <w:r w:rsidR="00CC6386" w:rsidRPr="00CC6386">
        <w:t>48 hours after admission or &lt;7 days after discharge from an inpatient acute or chronic care facility, and a new or worsening infiltrate on chest X-ray obtained within 48 hours prior to randomi</w:t>
      </w:r>
      <w:r w:rsidR="0064248D">
        <w:t>s</w:t>
      </w:r>
      <w:r w:rsidR="00CC6386" w:rsidRPr="00CC6386">
        <w:t>ation.</w:t>
      </w:r>
      <w:r w:rsidR="00CC6386" w:rsidRPr="00CC6386">
        <w:rPr>
          <w:szCs w:val="24"/>
          <w:lang w:val="en-US"/>
        </w:rPr>
        <w:t xml:space="preserve"> </w:t>
      </w:r>
      <w:r w:rsidR="00CC6386">
        <w:rPr>
          <w:szCs w:val="24"/>
          <w:lang w:val="en-US"/>
        </w:rPr>
        <w:t xml:space="preserve">Patients with infections only due to Gram-positive organisms </w:t>
      </w:r>
      <w:proofErr w:type="gramStart"/>
      <w:r w:rsidR="00CC6386">
        <w:rPr>
          <w:szCs w:val="24"/>
          <w:lang w:val="en-US"/>
        </w:rPr>
        <w:t>were excluded</w:t>
      </w:r>
      <w:proofErr w:type="gramEnd"/>
      <w:r w:rsidR="00CC6386">
        <w:rPr>
          <w:szCs w:val="24"/>
          <w:lang w:val="en-US"/>
        </w:rPr>
        <w:t xml:space="preserve"> from the trial, when this could be determined before enrollment. </w:t>
      </w:r>
      <w:r w:rsidR="00896B68">
        <w:rPr>
          <w:szCs w:val="24"/>
          <w:lang w:val="en-US"/>
        </w:rPr>
        <w:t xml:space="preserve">Following </w:t>
      </w:r>
      <w:proofErr w:type="spellStart"/>
      <w:r w:rsidR="00896B68">
        <w:rPr>
          <w:szCs w:val="24"/>
          <w:lang w:val="en-US"/>
        </w:rPr>
        <w:t>randomi</w:t>
      </w:r>
      <w:r w:rsidR="00EB387C">
        <w:rPr>
          <w:szCs w:val="24"/>
          <w:lang w:val="en-US"/>
        </w:rPr>
        <w:t>s</w:t>
      </w:r>
      <w:r w:rsidR="00896B68">
        <w:rPr>
          <w:szCs w:val="24"/>
          <w:lang w:val="en-US"/>
        </w:rPr>
        <w:t>ation</w:t>
      </w:r>
      <w:proofErr w:type="spellEnd"/>
      <w:r w:rsidR="00896B68">
        <w:rPr>
          <w:szCs w:val="24"/>
          <w:lang w:val="en-US"/>
        </w:rPr>
        <w:t>, patients in both treatment groups could receive empiric open-label linezolid or vancomycin to cover for Gram-positive pathogens while awaiting culture results. Treatment with Gram-positive coverage continued in patients with Gram-positive pathogens.</w:t>
      </w:r>
    </w:p>
    <w:p w:rsidR="00B6621A" w:rsidRPr="00B50AEC" w:rsidRDefault="00B6621A" w:rsidP="005A0597">
      <w:pPr>
        <w:pStyle w:val="CLDNormal"/>
      </w:pPr>
      <w:r w:rsidRPr="00BC545A">
        <w:t>The clinically modified intent</w:t>
      </w:r>
      <w:r>
        <w:t>-</w:t>
      </w:r>
      <w:r w:rsidRPr="00BC545A">
        <w:t>to</w:t>
      </w:r>
      <w:r>
        <w:t>-</w:t>
      </w:r>
      <w:r w:rsidRPr="00BC545A">
        <w:t>treat (</w:t>
      </w:r>
      <w:proofErr w:type="spellStart"/>
      <w:r w:rsidRPr="00BC545A">
        <w:t>cMITT</w:t>
      </w:r>
      <w:proofErr w:type="spellEnd"/>
      <w:r w:rsidRPr="00BC545A">
        <w:t xml:space="preserve">) population included patients who met the minimum disease criteria, received at least 1 dose of study treatment and </w:t>
      </w:r>
      <w:r w:rsidRPr="00BC545A">
        <w:rPr>
          <w:lang w:val="en-US"/>
        </w:rPr>
        <w:t xml:space="preserve">who had properly </w:t>
      </w:r>
      <w:r w:rsidRPr="00BC545A">
        <w:rPr>
          <w:lang w:val="en-US"/>
        </w:rPr>
        <w:lastRenderedPageBreak/>
        <w:t>obtained baseline respiratory or blood cultures demonstrating Gram</w:t>
      </w:r>
      <w:r>
        <w:rPr>
          <w:lang w:val="en-US"/>
        </w:rPr>
        <w:t>-</w:t>
      </w:r>
      <w:r w:rsidRPr="00BC545A">
        <w:rPr>
          <w:lang w:val="en-US"/>
        </w:rPr>
        <w:t xml:space="preserve">negative pathogens excluding patients with </w:t>
      </w:r>
      <w:proofErr w:type="spellStart"/>
      <w:r w:rsidRPr="00BC545A">
        <w:rPr>
          <w:lang w:val="en-US"/>
        </w:rPr>
        <w:t>monomicrobial</w:t>
      </w:r>
      <w:proofErr w:type="spellEnd"/>
      <w:r w:rsidRPr="00BC545A">
        <w:rPr>
          <w:lang w:val="en-US"/>
        </w:rPr>
        <w:t xml:space="preserve"> Gram</w:t>
      </w:r>
      <w:r>
        <w:rPr>
          <w:lang w:val="en-US"/>
        </w:rPr>
        <w:t>-</w:t>
      </w:r>
      <w:r w:rsidRPr="00BC545A">
        <w:rPr>
          <w:lang w:val="en-US"/>
        </w:rPr>
        <w:t>negative infections with species not expected to respond to both study drugs (</w:t>
      </w:r>
      <w:r>
        <w:rPr>
          <w:lang w:val="en-US"/>
        </w:rPr>
        <w:t>e.g.,</w:t>
      </w:r>
      <w:r w:rsidRPr="00BC545A">
        <w:rPr>
          <w:lang w:val="en-US"/>
        </w:rPr>
        <w:t xml:space="preserve"> </w:t>
      </w:r>
      <w:proofErr w:type="spellStart"/>
      <w:r w:rsidRPr="00BC545A">
        <w:rPr>
          <w:i/>
          <w:iCs/>
          <w:lang w:val="en-US"/>
        </w:rPr>
        <w:t>Acinetobacter</w:t>
      </w:r>
      <w:proofErr w:type="spellEnd"/>
      <w:r w:rsidRPr="00BC545A">
        <w:rPr>
          <w:i/>
          <w:iCs/>
          <w:lang w:val="en-US"/>
        </w:rPr>
        <w:t xml:space="preserve"> </w:t>
      </w:r>
      <w:r w:rsidRPr="00BC545A">
        <w:rPr>
          <w:lang w:val="en-US"/>
        </w:rPr>
        <w:t xml:space="preserve">species or </w:t>
      </w:r>
      <w:proofErr w:type="spellStart"/>
      <w:r w:rsidRPr="00BC545A">
        <w:rPr>
          <w:i/>
          <w:lang w:val="en-US"/>
        </w:rPr>
        <w:t>Stenotrophomonas</w:t>
      </w:r>
      <w:proofErr w:type="spellEnd"/>
      <w:r w:rsidRPr="00BC545A">
        <w:rPr>
          <w:lang w:val="en-US"/>
        </w:rPr>
        <w:t xml:space="preserve"> species).</w:t>
      </w:r>
      <w:r>
        <w:rPr>
          <w:lang w:val="en-US"/>
        </w:rPr>
        <w:t xml:space="preserve"> </w:t>
      </w:r>
      <w:r w:rsidRPr="00BC545A">
        <w:rPr>
          <w:lang w:val="en-US"/>
        </w:rPr>
        <w:t xml:space="preserve">The </w:t>
      </w:r>
      <w:proofErr w:type="spellStart"/>
      <w:r w:rsidRPr="00BC545A">
        <w:rPr>
          <w:lang w:val="en-US"/>
        </w:rPr>
        <w:t>cMITT</w:t>
      </w:r>
      <w:proofErr w:type="spellEnd"/>
      <w:r w:rsidRPr="00BC545A">
        <w:rPr>
          <w:lang w:val="en-US"/>
        </w:rPr>
        <w:t xml:space="preserve"> also included patients in whom no </w:t>
      </w:r>
      <w:proofErr w:type="spellStart"/>
      <w:r w:rsidRPr="00BC545A">
        <w:rPr>
          <w:lang w:val="en-US"/>
        </w:rPr>
        <w:t>aetiologic</w:t>
      </w:r>
      <w:proofErr w:type="spellEnd"/>
      <w:r w:rsidRPr="00BC545A">
        <w:rPr>
          <w:lang w:val="en-US"/>
        </w:rPr>
        <w:t xml:space="preserve"> pathogens </w:t>
      </w:r>
      <w:proofErr w:type="gramStart"/>
      <w:r w:rsidRPr="00BC545A">
        <w:rPr>
          <w:lang w:val="en-US"/>
        </w:rPr>
        <w:t>were identified</w:t>
      </w:r>
      <w:proofErr w:type="gramEnd"/>
      <w:r w:rsidRPr="00BC545A">
        <w:rPr>
          <w:lang w:val="en-US"/>
        </w:rPr>
        <w:t xml:space="preserve"> from respiratory or blood cultures at baseline. The CE at TOC analyses set was the clinically evaluable subset of the </w:t>
      </w:r>
      <w:proofErr w:type="spellStart"/>
      <w:r w:rsidRPr="00BC545A">
        <w:rPr>
          <w:lang w:val="en-US"/>
        </w:rPr>
        <w:t>cMITT</w:t>
      </w:r>
      <w:proofErr w:type="spellEnd"/>
      <w:r w:rsidRPr="00BC545A">
        <w:rPr>
          <w:lang w:val="en-US"/>
        </w:rPr>
        <w:t>.</w:t>
      </w:r>
    </w:p>
    <w:p w:rsidR="00B6621A" w:rsidRDefault="00B6621A" w:rsidP="002D450A">
      <w:pPr>
        <w:pStyle w:val="CLDNormal"/>
        <w:rPr>
          <w:lang w:val="en-US"/>
        </w:rPr>
      </w:pPr>
      <w:r w:rsidRPr="00BC545A">
        <w:rPr>
          <w:lang w:val="en-US"/>
        </w:rPr>
        <w:t xml:space="preserve">The primary efficacy endpoint was the clinical response at the TOC visit in the co-primary populations of the </w:t>
      </w:r>
      <w:proofErr w:type="spellStart"/>
      <w:r w:rsidRPr="00BC545A">
        <w:rPr>
          <w:lang w:val="en-US"/>
        </w:rPr>
        <w:t>cMITT</w:t>
      </w:r>
      <w:proofErr w:type="spellEnd"/>
      <w:r w:rsidRPr="00BC545A">
        <w:rPr>
          <w:lang w:val="en-US"/>
        </w:rPr>
        <w:t xml:space="preserve"> and CE at TOC. See </w:t>
      </w:r>
      <w:r w:rsidR="00501C00">
        <w:rPr>
          <w:lang w:val="en-US"/>
        </w:rPr>
        <w:t>t</w:t>
      </w:r>
      <w:r w:rsidRPr="00BC545A">
        <w:rPr>
          <w:lang w:val="en-US"/>
        </w:rPr>
        <w:t>able below.</w:t>
      </w:r>
    </w:p>
    <w:p w:rsidR="007068D6" w:rsidRPr="00C154B3" w:rsidRDefault="00D76D07" w:rsidP="00667EAA">
      <w:pPr>
        <w:pStyle w:val="CLDTableTitle"/>
        <w:rPr>
          <w:vertAlign w:val="superscript"/>
          <w:lang w:val="en-US"/>
        </w:rPr>
      </w:pPr>
      <w:bookmarkStart w:id="11" w:name="_Toc1479082"/>
      <w:r>
        <w:t xml:space="preserve">Table </w:t>
      </w:r>
      <w:r>
        <w:fldChar w:fldCharType="begin"/>
      </w:r>
      <w:r>
        <w:instrText xml:space="preserve"> SEQ Table \* ARABIC </w:instrText>
      </w:r>
      <w:r>
        <w:fldChar w:fldCharType="separate"/>
      </w:r>
      <w:r w:rsidR="00B44B34">
        <w:rPr>
          <w:noProof/>
        </w:rPr>
        <w:t>12</w:t>
      </w:r>
      <w:r>
        <w:fldChar w:fldCharType="end"/>
      </w:r>
      <w:r>
        <w:t xml:space="preserve">: </w:t>
      </w:r>
      <w:r w:rsidRPr="00F22D11">
        <w:t xml:space="preserve">Clinical cure rates at TOC (REPROVE </w:t>
      </w:r>
      <w:proofErr w:type="spellStart"/>
      <w:r w:rsidRPr="00F22D11">
        <w:t>cMITT</w:t>
      </w:r>
      <w:proofErr w:type="spellEnd"/>
      <w:r w:rsidRPr="00F22D11">
        <w:t xml:space="preserve"> and CE at TOC analysis sets)</w:t>
      </w:r>
      <w:bookmarkEnd w:id="11"/>
      <w:r w:rsidR="0029168F">
        <w:t xml:space="preserve"> </w:t>
      </w:r>
    </w:p>
    <w:tbl>
      <w:tblPr>
        <w:tblW w:w="49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03"/>
        <w:gridCol w:w="1818"/>
        <w:gridCol w:w="1608"/>
        <w:gridCol w:w="1537"/>
        <w:gridCol w:w="2652"/>
      </w:tblGrid>
      <w:tr w:rsidR="003F2E8C" w:rsidRPr="00BC545A" w:rsidTr="003F2E8C">
        <w:trPr>
          <w:cantSplit/>
          <w:trHeight w:val="382"/>
          <w:tblHeader/>
        </w:trPr>
        <w:tc>
          <w:tcPr>
            <w:tcW w:w="5000" w:type="pct"/>
            <w:gridSpan w:val="5"/>
            <w:shd w:val="clear" w:color="auto" w:fill="auto"/>
            <w:noWrap/>
            <w:vAlign w:val="bottom"/>
          </w:tcPr>
          <w:p w:rsidR="003F2E8C" w:rsidRPr="00BC545A" w:rsidRDefault="003F2E8C" w:rsidP="003F2E8C">
            <w:pPr>
              <w:pStyle w:val="CLDTableTitle"/>
              <w:jc w:val="center"/>
              <w:rPr>
                <w:lang w:val="en-US"/>
              </w:rPr>
            </w:pPr>
            <w:r w:rsidRPr="00BC545A">
              <w:rPr>
                <w:lang w:val="en-US"/>
              </w:rPr>
              <w:t>Number (%) of patients</w:t>
            </w:r>
          </w:p>
        </w:tc>
      </w:tr>
      <w:tr w:rsidR="001939AC" w:rsidRPr="00BC545A" w:rsidTr="003F2E8C">
        <w:trPr>
          <w:cantSplit/>
          <w:trHeight w:val="533"/>
          <w:tblHeader/>
        </w:trPr>
        <w:tc>
          <w:tcPr>
            <w:tcW w:w="824" w:type="pct"/>
            <w:shd w:val="clear" w:color="auto" w:fill="auto"/>
            <w:noWrap/>
            <w:vAlign w:val="bottom"/>
          </w:tcPr>
          <w:p w:rsidR="007068D6" w:rsidRPr="00BC545A" w:rsidRDefault="007068D6" w:rsidP="003F2E8C">
            <w:pPr>
              <w:pStyle w:val="CLDTableTitle"/>
              <w:rPr>
                <w:lang w:val="en-US"/>
              </w:rPr>
            </w:pPr>
            <w:r w:rsidRPr="00BC545A">
              <w:rPr>
                <w:lang w:val="en-US"/>
              </w:rPr>
              <w:t>Analysis set</w:t>
            </w:r>
          </w:p>
        </w:tc>
        <w:tc>
          <w:tcPr>
            <w:tcW w:w="997" w:type="pct"/>
            <w:shd w:val="clear" w:color="auto" w:fill="auto"/>
            <w:noWrap/>
            <w:vAlign w:val="bottom"/>
          </w:tcPr>
          <w:p w:rsidR="007068D6" w:rsidRPr="00BC545A" w:rsidRDefault="007068D6" w:rsidP="003F2E8C">
            <w:pPr>
              <w:pStyle w:val="CLDTableTitle"/>
              <w:rPr>
                <w:lang w:val="en-US"/>
              </w:rPr>
            </w:pPr>
            <w:r w:rsidRPr="00BC545A">
              <w:rPr>
                <w:lang w:val="en-US"/>
              </w:rPr>
              <w:t>Response</w:t>
            </w:r>
          </w:p>
        </w:tc>
        <w:tc>
          <w:tcPr>
            <w:tcW w:w="882" w:type="pct"/>
            <w:shd w:val="clear" w:color="auto" w:fill="auto"/>
            <w:vAlign w:val="bottom"/>
          </w:tcPr>
          <w:p w:rsidR="007068D6" w:rsidRPr="00BC545A" w:rsidRDefault="00E61FAC" w:rsidP="003F2E8C">
            <w:pPr>
              <w:pStyle w:val="CLDTableTitle"/>
              <w:rPr>
                <w:lang w:val="en-US"/>
              </w:rPr>
            </w:pPr>
            <w:r>
              <w:rPr>
                <w:lang w:val="en-US"/>
              </w:rPr>
              <w:t>CAZ/AVI</w:t>
            </w:r>
          </w:p>
        </w:tc>
        <w:tc>
          <w:tcPr>
            <w:tcW w:w="843" w:type="pct"/>
            <w:shd w:val="clear" w:color="auto" w:fill="auto"/>
            <w:vAlign w:val="bottom"/>
          </w:tcPr>
          <w:p w:rsidR="007068D6" w:rsidRPr="00BC545A" w:rsidRDefault="007068D6" w:rsidP="003F2E8C">
            <w:pPr>
              <w:pStyle w:val="CLDTableTitle"/>
              <w:rPr>
                <w:lang w:val="en-US"/>
              </w:rPr>
            </w:pPr>
            <w:proofErr w:type="spellStart"/>
            <w:r w:rsidRPr="00BC545A">
              <w:rPr>
                <w:lang w:val="en-US"/>
              </w:rPr>
              <w:t>Meropenem</w:t>
            </w:r>
            <w:proofErr w:type="spellEnd"/>
          </w:p>
        </w:tc>
        <w:tc>
          <w:tcPr>
            <w:tcW w:w="1454" w:type="pct"/>
            <w:shd w:val="clear" w:color="auto" w:fill="auto"/>
            <w:vAlign w:val="bottom"/>
          </w:tcPr>
          <w:p w:rsidR="007068D6" w:rsidRPr="00BC545A" w:rsidRDefault="007068D6" w:rsidP="003F2E8C">
            <w:pPr>
              <w:pStyle w:val="CLDTableTitle"/>
              <w:rPr>
                <w:lang w:val="en-US"/>
              </w:rPr>
            </w:pPr>
            <w:r w:rsidRPr="00BC545A">
              <w:rPr>
                <w:lang w:val="en-US"/>
              </w:rPr>
              <w:t>Difference (%) 95% CI</w:t>
            </w:r>
          </w:p>
        </w:tc>
      </w:tr>
      <w:tr w:rsidR="001939AC" w:rsidRPr="00667EAA" w:rsidTr="003F2E8C">
        <w:trPr>
          <w:cantSplit/>
          <w:trHeight w:val="245"/>
        </w:trPr>
        <w:tc>
          <w:tcPr>
            <w:tcW w:w="824" w:type="pct"/>
            <w:shd w:val="clear" w:color="auto" w:fill="auto"/>
            <w:noWrap/>
            <w:vAlign w:val="center"/>
          </w:tcPr>
          <w:p w:rsidR="007068D6" w:rsidRPr="00667EAA" w:rsidRDefault="007068D6" w:rsidP="003F2E8C">
            <w:pPr>
              <w:pStyle w:val="CLDTableTextListText"/>
              <w:rPr>
                <w:sz w:val="22"/>
                <w:szCs w:val="22"/>
                <w:lang w:val="en-US"/>
              </w:rPr>
            </w:pPr>
            <w:proofErr w:type="spellStart"/>
            <w:r w:rsidRPr="00667EAA">
              <w:rPr>
                <w:sz w:val="22"/>
                <w:szCs w:val="22"/>
                <w:lang w:val="en-US"/>
              </w:rPr>
              <w:t>cMITT</w:t>
            </w:r>
            <w:proofErr w:type="spellEnd"/>
          </w:p>
        </w:tc>
        <w:tc>
          <w:tcPr>
            <w:tcW w:w="997" w:type="pct"/>
            <w:shd w:val="clear" w:color="auto" w:fill="auto"/>
            <w:noWrap/>
            <w:vAlign w:val="center"/>
          </w:tcPr>
          <w:p w:rsidR="007068D6" w:rsidRPr="00667EAA" w:rsidRDefault="007068D6" w:rsidP="003F2E8C">
            <w:pPr>
              <w:pStyle w:val="CLDTableTextListText"/>
              <w:rPr>
                <w:sz w:val="22"/>
                <w:szCs w:val="22"/>
                <w:lang w:val="en-US"/>
              </w:rPr>
            </w:pPr>
          </w:p>
        </w:tc>
        <w:tc>
          <w:tcPr>
            <w:tcW w:w="882" w:type="pct"/>
            <w:shd w:val="clear" w:color="auto" w:fill="auto"/>
            <w:noWrap/>
            <w:vAlign w:val="bottom"/>
          </w:tcPr>
          <w:p w:rsidR="007068D6" w:rsidRPr="00667EAA" w:rsidRDefault="007068D6" w:rsidP="003F2E8C">
            <w:pPr>
              <w:pStyle w:val="CLDTableTextListText"/>
              <w:rPr>
                <w:sz w:val="22"/>
                <w:szCs w:val="22"/>
                <w:lang w:val="en-US"/>
              </w:rPr>
            </w:pPr>
            <w:r w:rsidRPr="00667EAA">
              <w:rPr>
                <w:sz w:val="22"/>
                <w:szCs w:val="22"/>
                <w:lang w:val="en-US"/>
              </w:rPr>
              <w:t>(N=356)</w:t>
            </w:r>
          </w:p>
        </w:tc>
        <w:tc>
          <w:tcPr>
            <w:tcW w:w="843" w:type="pct"/>
            <w:shd w:val="clear" w:color="auto" w:fill="auto"/>
            <w:noWrap/>
            <w:vAlign w:val="bottom"/>
          </w:tcPr>
          <w:p w:rsidR="007068D6" w:rsidRPr="00667EAA" w:rsidRDefault="007068D6" w:rsidP="003F2E8C">
            <w:pPr>
              <w:pStyle w:val="CLDTableTextListText"/>
              <w:rPr>
                <w:sz w:val="22"/>
                <w:szCs w:val="22"/>
                <w:lang w:val="en-US"/>
              </w:rPr>
            </w:pPr>
            <w:r w:rsidRPr="00667EAA">
              <w:rPr>
                <w:sz w:val="22"/>
                <w:szCs w:val="22"/>
                <w:lang w:val="en-US"/>
              </w:rPr>
              <w:t>(N=370)</w:t>
            </w:r>
          </w:p>
        </w:tc>
        <w:tc>
          <w:tcPr>
            <w:tcW w:w="1454" w:type="pct"/>
            <w:shd w:val="clear" w:color="auto" w:fill="auto"/>
            <w:noWrap/>
            <w:vAlign w:val="bottom"/>
          </w:tcPr>
          <w:p w:rsidR="007068D6" w:rsidRPr="00667EAA" w:rsidRDefault="007068D6" w:rsidP="003F2E8C">
            <w:pPr>
              <w:pStyle w:val="CLDTableTextListText"/>
              <w:rPr>
                <w:sz w:val="22"/>
                <w:szCs w:val="22"/>
                <w:lang w:val="en-US"/>
              </w:rPr>
            </w:pPr>
          </w:p>
        </w:tc>
      </w:tr>
      <w:tr w:rsidR="001939AC" w:rsidRPr="00667EAA" w:rsidTr="003F2E8C">
        <w:trPr>
          <w:cantSplit/>
          <w:trHeight w:val="245"/>
        </w:trPr>
        <w:tc>
          <w:tcPr>
            <w:tcW w:w="824" w:type="pct"/>
            <w:shd w:val="clear" w:color="auto" w:fill="auto"/>
            <w:noWrap/>
            <w:vAlign w:val="center"/>
          </w:tcPr>
          <w:p w:rsidR="007068D6" w:rsidRPr="00667EAA" w:rsidRDefault="007068D6" w:rsidP="003F2E8C">
            <w:pPr>
              <w:pStyle w:val="CLDTableTextListText"/>
              <w:rPr>
                <w:sz w:val="22"/>
                <w:szCs w:val="22"/>
                <w:lang w:val="en-US"/>
              </w:rPr>
            </w:pPr>
          </w:p>
        </w:tc>
        <w:tc>
          <w:tcPr>
            <w:tcW w:w="997" w:type="pct"/>
            <w:shd w:val="clear" w:color="auto" w:fill="auto"/>
            <w:noWrap/>
            <w:vAlign w:val="center"/>
          </w:tcPr>
          <w:p w:rsidR="007068D6" w:rsidRPr="00667EAA" w:rsidRDefault="007068D6" w:rsidP="003F2E8C">
            <w:pPr>
              <w:pStyle w:val="CLDTableTextListText"/>
              <w:rPr>
                <w:sz w:val="22"/>
                <w:szCs w:val="22"/>
                <w:lang w:val="en-US"/>
              </w:rPr>
            </w:pPr>
            <w:r w:rsidRPr="00667EAA">
              <w:rPr>
                <w:sz w:val="22"/>
                <w:szCs w:val="22"/>
                <w:lang w:val="en-US"/>
              </w:rPr>
              <w:t>Clinical cure</w:t>
            </w:r>
          </w:p>
        </w:tc>
        <w:tc>
          <w:tcPr>
            <w:tcW w:w="882" w:type="pct"/>
            <w:shd w:val="clear" w:color="auto" w:fill="auto"/>
            <w:noWrap/>
            <w:vAlign w:val="bottom"/>
          </w:tcPr>
          <w:p w:rsidR="007068D6" w:rsidRPr="00667EAA" w:rsidRDefault="007068D6" w:rsidP="003F2E8C">
            <w:pPr>
              <w:pStyle w:val="CLDTableTextListText"/>
              <w:rPr>
                <w:sz w:val="22"/>
                <w:szCs w:val="22"/>
                <w:lang w:val="en-US"/>
              </w:rPr>
            </w:pPr>
            <w:r w:rsidRPr="00667EAA">
              <w:rPr>
                <w:sz w:val="22"/>
                <w:szCs w:val="22"/>
                <w:lang w:val="en-US"/>
              </w:rPr>
              <w:t>245 (68.8)</w:t>
            </w:r>
          </w:p>
        </w:tc>
        <w:tc>
          <w:tcPr>
            <w:tcW w:w="843" w:type="pct"/>
            <w:shd w:val="clear" w:color="auto" w:fill="auto"/>
            <w:noWrap/>
            <w:vAlign w:val="bottom"/>
          </w:tcPr>
          <w:p w:rsidR="007068D6" w:rsidRPr="00667EAA" w:rsidRDefault="007068D6" w:rsidP="003F2E8C">
            <w:pPr>
              <w:pStyle w:val="CLDTableTextListText"/>
              <w:rPr>
                <w:sz w:val="22"/>
                <w:szCs w:val="22"/>
                <w:lang w:val="en-US"/>
              </w:rPr>
            </w:pPr>
            <w:r w:rsidRPr="00667EAA">
              <w:rPr>
                <w:sz w:val="22"/>
                <w:szCs w:val="22"/>
                <w:lang w:val="en-US"/>
              </w:rPr>
              <w:t>270 (73.0)</w:t>
            </w:r>
          </w:p>
        </w:tc>
        <w:tc>
          <w:tcPr>
            <w:tcW w:w="1454" w:type="pct"/>
            <w:shd w:val="clear" w:color="auto" w:fill="auto"/>
            <w:noWrap/>
            <w:vAlign w:val="bottom"/>
          </w:tcPr>
          <w:p w:rsidR="007068D6" w:rsidRPr="00667EAA" w:rsidRDefault="007068D6" w:rsidP="003F2E8C">
            <w:pPr>
              <w:pStyle w:val="CLDTableTextListText"/>
              <w:rPr>
                <w:sz w:val="22"/>
                <w:szCs w:val="22"/>
                <w:lang w:val="en-US"/>
              </w:rPr>
            </w:pPr>
            <w:r w:rsidRPr="00667EAA">
              <w:rPr>
                <w:sz w:val="22"/>
                <w:szCs w:val="22"/>
                <w:lang w:val="en-US"/>
              </w:rPr>
              <w:t>-4.2 (-10.76, 2.46)</w:t>
            </w:r>
          </w:p>
        </w:tc>
      </w:tr>
      <w:tr w:rsidR="001939AC" w:rsidRPr="00667EAA" w:rsidTr="003F2E8C">
        <w:trPr>
          <w:cantSplit/>
          <w:trHeight w:val="245"/>
        </w:trPr>
        <w:tc>
          <w:tcPr>
            <w:tcW w:w="824" w:type="pct"/>
            <w:shd w:val="clear" w:color="auto" w:fill="auto"/>
            <w:noWrap/>
            <w:vAlign w:val="center"/>
          </w:tcPr>
          <w:p w:rsidR="007068D6" w:rsidRPr="00667EAA" w:rsidRDefault="007068D6" w:rsidP="003F2E8C">
            <w:pPr>
              <w:pStyle w:val="CLDTableTextListText"/>
              <w:rPr>
                <w:sz w:val="22"/>
                <w:szCs w:val="22"/>
                <w:lang w:val="en-US"/>
              </w:rPr>
            </w:pPr>
            <w:r w:rsidRPr="00667EAA">
              <w:rPr>
                <w:sz w:val="22"/>
                <w:szCs w:val="22"/>
                <w:lang w:val="en-US"/>
              </w:rPr>
              <w:t>CE at TOC</w:t>
            </w:r>
          </w:p>
        </w:tc>
        <w:tc>
          <w:tcPr>
            <w:tcW w:w="997" w:type="pct"/>
            <w:shd w:val="clear" w:color="auto" w:fill="auto"/>
            <w:noWrap/>
            <w:vAlign w:val="center"/>
          </w:tcPr>
          <w:p w:rsidR="007068D6" w:rsidRPr="00667EAA" w:rsidRDefault="007068D6" w:rsidP="003F2E8C">
            <w:pPr>
              <w:pStyle w:val="CLDTableTextListText"/>
              <w:rPr>
                <w:sz w:val="22"/>
                <w:szCs w:val="22"/>
                <w:lang w:val="en-US"/>
              </w:rPr>
            </w:pPr>
          </w:p>
        </w:tc>
        <w:tc>
          <w:tcPr>
            <w:tcW w:w="882" w:type="pct"/>
            <w:shd w:val="clear" w:color="auto" w:fill="auto"/>
            <w:noWrap/>
            <w:vAlign w:val="bottom"/>
          </w:tcPr>
          <w:p w:rsidR="007068D6" w:rsidRPr="00667EAA" w:rsidRDefault="007068D6" w:rsidP="003F2E8C">
            <w:pPr>
              <w:pStyle w:val="CLDTableTextListText"/>
              <w:rPr>
                <w:sz w:val="22"/>
                <w:szCs w:val="22"/>
                <w:lang w:val="en-US"/>
              </w:rPr>
            </w:pPr>
            <w:r w:rsidRPr="00667EAA">
              <w:rPr>
                <w:sz w:val="22"/>
                <w:szCs w:val="22"/>
                <w:lang w:val="en-US"/>
              </w:rPr>
              <w:t>(N=257)</w:t>
            </w:r>
          </w:p>
        </w:tc>
        <w:tc>
          <w:tcPr>
            <w:tcW w:w="843" w:type="pct"/>
            <w:shd w:val="clear" w:color="auto" w:fill="auto"/>
            <w:noWrap/>
            <w:vAlign w:val="bottom"/>
          </w:tcPr>
          <w:p w:rsidR="007068D6" w:rsidRPr="00667EAA" w:rsidRDefault="007068D6" w:rsidP="003F2E8C">
            <w:pPr>
              <w:pStyle w:val="CLDTableTextListText"/>
              <w:rPr>
                <w:sz w:val="22"/>
                <w:szCs w:val="22"/>
                <w:lang w:val="en-US"/>
              </w:rPr>
            </w:pPr>
            <w:r w:rsidRPr="00667EAA">
              <w:rPr>
                <w:sz w:val="22"/>
                <w:szCs w:val="22"/>
                <w:lang w:val="en-US"/>
              </w:rPr>
              <w:t>(N=270)</w:t>
            </w:r>
          </w:p>
        </w:tc>
        <w:tc>
          <w:tcPr>
            <w:tcW w:w="1454" w:type="pct"/>
            <w:shd w:val="clear" w:color="auto" w:fill="auto"/>
            <w:noWrap/>
            <w:vAlign w:val="bottom"/>
          </w:tcPr>
          <w:p w:rsidR="007068D6" w:rsidRPr="00667EAA" w:rsidRDefault="007068D6" w:rsidP="003F2E8C">
            <w:pPr>
              <w:pStyle w:val="CLDTableTextListText"/>
              <w:rPr>
                <w:sz w:val="22"/>
                <w:szCs w:val="22"/>
                <w:lang w:val="en-US"/>
              </w:rPr>
            </w:pPr>
          </w:p>
        </w:tc>
      </w:tr>
      <w:tr w:rsidR="007068D6" w:rsidRPr="00667EAA" w:rsidTr="003F2E8C">
        <w:trPr>
          <w:cantSplit/>
          <w:trHeight w:val="245"/>
        </w:trPr>
        <w:tc>
          <w:tcPr>
            <w:tcW w:w="824" w:type="pct"/>
            <w:shd w:val="clear" w:color="auto" w:fill="auto"/>
            <w:noWrap/>
            <w:vAlign w:val="center"/>
          </w:tcPr>
          <w:p w:rsidR="007068D6" w:rsidRPr="00667EAA" w:rsidRDefault="007068D6" w:rsidP="003F2E8C">
            <w:pPr>
              <w:pStyle w:val="CLDTableTextListText"/>
              <w:rPr>
                <w:sz w:val="22"/>
                <w:szCs w:val="22"/>
                <w:lang w:val="en-US"/>
              </w:rPr>
            </w:pPr>
          </w:p>
        </w:tc>
        <w:tc>
          <w:tcPr>
            <w:tcW w:w="997" w:type="pct"/>
            <w:shd w:val="clear" w:color="auto" w:fill="auto"/>
            <w:noWrap/>
            <w:vAlign w:val="center"/>
          </w:tcPr>
          <w:p w:rsidR="007068D6" w:rsidRPr="00667EAA" w:rsidRDefault="007068D6" w:rsidP="003F2E8C">
            <w:pPr>
              <w:pStyle w:val="CLDTableTextListText"/>
              <w:rPr>
                <w:sz w:val="22"/>
                <w:szCs w:val="22"/>
                <w:lang w:val="en-US"/>
              </w:rPr>
            </w:pPr>
            <w:r w:rsidRPr="00667EAA">
              <w:rPr>
                <w:sz w:val="22"/>
                <w:szCs w:val="22"/>
                <w:lang w:val="en-US"/>
              </w:rPr>
              <w:t>Clinical cure</w:t>
            </w:r>
          </w:p>
        </w:tc>
        <w:tc>
          <w:tcPr>
            <w:tcW w:w="882" w:type="pct"/>
            <w:shd w:val="clear" w:color="auto" w:fill="auto"/>
            <w:noWrap/>
            <w:vAlign w:val="bottom"/>
          </w:tcPr>
          <w:p w:rsidR="007068D6" w:rsidRPr="00667EAA" w:rsidRDefault="007068D6" w:rsidP="003F2E8C">
            <w:pPr>
              <w:pStyle w:val="CLDTableTextListText"/>
              <w:rPr>
                <w:sz w:val="22"/>
                <w:szCs w:val="22"/>
                <w:lang w:val="en-US"/>
              </w:rPr>
            </w:pPr>
            <w:r w:rsidRPr="00667EAA">
              <w:rPr>
                <w:sz w:val="22"/>
                <w:szCs w:val="22"/>
                <w:lang w:val="en-US"/>
              </w:rPr>
              <w:t>199 (77.4)</w:t>
            </w:r>
          </w:p>
        </w:tc>
        <w:tc>
          <w:tcPr>
            <w:tcW w:w="843" w:type="pct"/>
            <w:shd w:val="clear" w:color="auto" w:fill="auto"/>
            <w:noWrap/>
            <w:vAlign w:val="bottom"/>
          </w:tcPr>
          <w:p w:rsidR="007068D6" w:rsidRPr="00667EAA" w:rsidRDefault="007068D6" w:rsidP="003F2E8C">
            <w:pPr>
              <w:pStyle w:val="CLDTableTextListText"/>
              <w:rPr>
                <w:sz w:val="22"/>
                <w:szCs w:val="22"/>
                <w:lang w:val="en-US"/>
              </w:rPr>
            </w:pPr>
            <w:r w:rsidRPr="00667EAA">
              <w:rPr>
                <w:sz w:val="22"/>
                <w:szCs w:val="22"/>
                <w:lang w:val="en-US"/>
              </w:rPr>
              <w:t>211 (78.1)</w:t>
            </w:r>
          </w:p>
        </w:tc>
        <w:tc>
          <w:tcPr>
            <w:tcW w:w="1454" w:type="pct"/>
            <w:shd w:val="clear" w:color="auto" w:fill="auto"/>
            <w:noWrap/>
            <w:vAlign w:val="bottom"/>
          </w:tcPr>
          <w:p w:rsidR="007068D6" w:rsidRPr="00667EAA" w:rsidRDefault="007068D6" w:rsidP="003F2E8C">
            <w:pPr>
              <w:pStyle w:val="CLDTableTextListText"/>
              <w:rPr>
                <w:sz w:val="22"/>
                <w:szCs w:val="22"/>
                <w:lang w:val="en-US"/>
              </w:rPr>
            </w:pPr>
            <w:r w:rsidRPr="00667EAA">
              <w:rPr>
                <w:sz w:val="22"/>
                <w:szCs w:val="22"/>
                <w:lang w:val="en-US"/>
              </w:rPr>
              <w:t>-0.7 (-7.86, 6.39)</w:t>
            </w:r>
          </w:p>
        </w:tc>
      </w:tr>
    </w:tbl>
    <w:p w:rsidR="007068D6" w:rsidRPr="00BC545A" w:rsidRDefault="007068D6" w:rsidP="007068D6">
      <w:pPr>
        <w:spacing w:after="0"/>
        <w:rPr>
          <w:lang w:val="en-US"/>
        </w:rPr>
      </w:pPr>
    </w:p>
    <w:p w:rsidR="007068D6" w:rsidRDefault="007068D6" w:rsidP="00D07510">
      <w:pPr>
        <w:pStyle w:val="CLDNormal"/>
        <w:rPr>
          <w:lang w:val="en-US"/>
        </w:rPr>
      </w:pPr>
      <w:r w:rsidRPr="0075275A">
        <w:rPr>
          <w:lang w:val="en-US"/>
        </w:rPr>
        <w:t>All-cause mortality rates at Day 28 (</w:t>
      </w:r>
      <w:proofErr w:type="spellStart"/>
      <w:r w:rsidRPr="0075275A">
        <w:rPr>
          <w:lang w:val="en-US"/>
        </w:rPr>
        <w:t>cMITT</w:t>
      </w:r>
      <w:proofErr w:type="spellEnd"/>
      <w:r w:rsidRPr="0075275A">
        <w:rPr>
          <w:lang w:val="en-US"/>
        </w:rPr>
        <w:t xml:space="preserve">) was 8.4% (30/356) and 7.3% (27/370) </w:t>
      </w:r>
      <w:proofErr w:type="spellStart"/>
      <w:r w:rsidRPr="0075275A">
        <w:rPr>
          <w:lang w:val="en-US"/>
        </w:rPr>
        <w:t>ceftazidime</w:t>
      </w:r>
      <w:proofErr w:type="spellEnd"/>
      <w:r w:rsidR="00CF2960" w:rsidRPr="0075275A">
        <w:rPr>
          <w:lang w:val="en-US"/>
        </w:rPr>
        <w:t>/</w:t>
      </w:r>
      <w:r w:rsidRPr="0075275A">
        <w:rPr>
          <w:lang w:val="en-US"/>
        </w:rPr>
        <w:t xml:space="preserve">avibactam and </w:t>
      </w:r>
      <w:proofErr w:type="spellStart"/>
      <w:r w:rsidRPr="0075275A">
        <w:rPr>
          <w:lang w:val="en-US"/>
        </w:rPr>
        <w:t>meropenem</w:t>
      </w:r>
      <w:proofErr w:type="spellEnd"/>
      <w:r w:rsidRPr="0075275A">
        <w:rPr>
          <w:lang w:val="en-US"/>
        </w:rPr>
        <w:t xml:space="preserve"> treated patients, respectively.</w:t>
      </w:r>
    </w:p>
    <w:p w:rsidR="007068D6" w:rsidRPr="00BC545A" w:rsidRDefault="007068D6" w:rsidP="0083136E">
      <w:pPr>
        <w:autoSpaceDE w:val="0"/>
        <w:autoSpaceDN w:val="0"/>
        <w:adjustRightInd w:val="0"/>
        <w:spacing w:after="0"/>
        <w:jc w:val="left"/>
      </w:pPr>
      <w:r w:rsidRPr="00BC545A">
        <w:t xml:space="preserve">Clinical cure rate and favourable microbiological response rate at TOC by pathogen in </w:t>
      </w:r>
      <w:proofErr w:type="spellStart"/>
      <w:r w:rsidRPr="00BC545A">
        <w:t>mMITT</w:t>
      </w:r>
      <w:proofErr w:type="spellEnd"/>
      <w:r w:rsidRPr="00BC545A">
        <w:t xml:space="preserve"> for Gram-negative aerobes </w:t>
      </w:r>
      <w:proofErr w:type="gramStart"/>
      <w:r w:rsidRPr="00BC545A">
        <w:t>are shown</w:t>
      </w:r>
      <w:proofErr w:type="gramEnd"/>
      <w:r w:rsidRPr="00BC545A">
        <w:t xml:space="preserve"> in Tables </w:t>
      </w:r>
      <w:r w:rsidR="00402D0D" w:rsidRPr="00BC545A">
        <w:t>1</w:t>
      </w:r>
      <w:r w:rsidR="007E217B">
        <w:t>3</w:t>
      </w:r>
      <w:r w:rsidRPr="00BC545A">
        <w:t xml:space="preserve"> and </w:t>
      </w:r>
      <w:r w:rsidR="00402D0D" w:rsidRPr="00BC545A">
        <w:t>1</w:t>
      </w:r>
      <w:r w:rsidR="007E217B">
        <w:t>4</w:t>
      </w:r>
      <w:r w:rsidRPr="00BC545A">
        <w:t>.</w:t>
      </w:r>
    </w:p>
    <w:p w:rsidR="003F2E8C" w:rsidRPr="00BC545A" w:rsidRDefault="004E5577" w:rsidP="00667EAA">
      <w:pPr>
        <w:pStyle w:val="CLDTableTitle"/>
        <w:rPr>
          <w:lang w:val="en-US"/>
        </w:rPr>
      </w:pPr>
      <w:bookmarkStart w:id="12" w:name="_Toc1479083"/>
      <w:r>
        <w:t xml:space="preserve">Table </w:t>
      </w:r>
      <w:r>
        <w:fldChar w:fldCharType="begin"/>
      </w:r>
      <w:r>
        <w:instrText xml:space="preserve"> SEQ Table \* ARABIC </w:instrText>
      </w:r>
      <w:r>
        <w:fldChar w:fldCharType="separate"/>
      </w:r>
      <w:r w:rsidR="00B44B34">
        <w:rPr>
          <w:noProof/>
        </w:rPr>
        <w:t>13</w:t>
      </w:r>
      <w:r>
        <w:fldChar w:fldCharType="end"/>
      </w:r>
      <w:r>
        <w:t xml:space="preserve">: </w:t>
      </w:r>
      <w:r w:rsidRPr="00AC5461">
        <w:t xml:space="preserve">Clinical cure rate at TOC by common (combined frequency of </w:t>
      </w:r>
      <w:r w:rsidR="00ED5E7E">
        <w:sym w:font="Symbol" w:char="F0B3"/>
      </w:r>
      <w:r w:rsidRPr="00AC5461">
        <w:t xml:space="preserve">10) Gram-negative baseline pathogen (REPROVE </w:t>
      </w:r>
      <w:proofErr w:type="spellStart"/>
      <w:r w:rsidRPr="00AC5461">
        <w:t>mMITT</w:t>
      </w:r>
      <w:proofErr w:type="spellEnd"/>
      <w:r w:rsidRPr="00AC5461">
        <w:t>)</w:t>
      </w:r>
      <w:bookmarkEnd w:id="12"/>
      <w:r w:rsidR="003F2E8C" w:rsidRPr="00BC545A">
        <w:t xml:space="preserve"> </w:t>
      </w:r>
    </w:p>
    <w:tbl>
      <w:tblPr>
        <w:tblW w:w="0" w:type="auto"/>
        <w:tblLayout w:type="fixed"/>
        <w:tblLook w:val="0000" w:firstRow="0" w:lastRow="0" w:firstColumn="0" w:lastColumn="0" w:noHBand="0" w:noVBand="0"/>
      </w:tblPr>
      <w:tblGrid>
        <w:gridCol w:w="2235"/>
        <w:gridCol w:w="1134"/>
        <w:gridCol w:w="1559"/>
        <w:gridCol w:w="850"/>
        <w:gridCol w:w="1134"/>
        <w:gridCol w:w="1560"/>
        <w:gridCol w:w="936"/>
      </w:tblGrid>
      <w:tr w:rsidR="001939AC" w:rsidRPr="00BC545A" w:rsidTr="003F2E8C">
        <w:trPr>
          <w:cantSplit/>
          <w:tblHeader/>
        </w:trPr>
        <w:tc>
          <w:tcPr>
            <w:tcW w:w="9408" w:type="dxa"/>
            <w:gridSpan w:val="7"/>
            <w:tcBorders>
              <w:top w:val="single" w:sz="4" w:space="0" w:color="auto"/>
              <w:left w:val="single" w:sz="4" w:space="0" w:color="auto"/>
              <w:bottom w:val="single" w:sz="4" w:space="0" w:color="auto"/>
              <w:right w:val="single" w:sz="4" w:space="0" w:color="auto"/>
            </w:tcBorders>
          </w:tcPr>
          <w:p w:rsidR="007068D6" w:rsidRPr="00BC545A" w:rsidRDefault="007068D6" w:rsidP="003874DD">
            <w:pPr>
              <w:pStyle w:val="A-TableHeader"/>
              <w:jc w:val="center"/>
            </w:pPr>
            <w:r w:rsidRPr="00BC545A">
              <w:t>Number of patients</w:t>
            </w:r>
          </w:p>
        </w:tc>
      </w:tr>
      <w:tr w:rsidR="001939AC" w:rsidRPr="00BC545A" w:rsidTr="00B50AEC">
        <w:trPr>
          <w:cantSplit/>
          <w:tblHeader/>
        </w:trPr>
        <w:tc>
          <w:tcPr>
            <w:tcW w:w="2235" w:type="dxa"/>
            <w:tcBorders>
              <w:top w:val="single" w:sz="4" w:space="0" w:color="auto"/>
              <w:left w:val="single" w:sz="4" w:space="0" w:color="auto"/>
              <w:bottom w:val="single" w:sz="4" w:space="0" w:color="auto"/>
              <w:right w:val="single" w:sz="4" w:space="0" w:color="auto"/>
            </w:tcBorders>
          </w:tcPr>
          <w:p w:rsidR="007068D6" w:rsidRPr="00BC545A" w:rsidRDefault="007068D6" w:rsidP="003874DD">
            <w:pPr>
              <w:pStyle w:val="A-TableHeader"/>
            </w:pPr>
          </w:p>
        </w:tc>
        <w:tc>
          <w:tcPr>
            <w:tcW w:w="3543" w:type="dxa"/>
            <w:gridSpan w:val="3"/>
            <w:tcBorders>
              <w:top w:val="single" w:sz="4" w:space="0" w:color="auto"/>
              <w:left w:val="single" w:sz="4" w:space="0" w:color="auto"/>
              <w:bottom w:val="single" w:sz="4" w:space="0" w:color="auto"/>
              <w:right w:val="single" w:sz="4" w:space="0" w:color="auto"/>
            </w:tcBorders>
          </w:tcPr>
          <w:p w:rsidR="007068D6" w:rsidRPr="00BC545A" w:rsidRDefault="00E61FAC" w:rsidP="003874DD">
            <w:pPr>
              <w:pStyle w:val="A-TableHeader"/>
              <w:jc w:val="center"/>
            </w:pPr>
            <w:r>
              <w:t>CAZ/AVI</w:t>
            </w:r>
            <w:r w:rsidR="007068D6" w:rsidRPr="00BC545A">
              <w:t xml:space="preserve"> (N=171)</w:t>
            </w:r>
          </w:p>
        </w:tc>
        <w:tc>
          <w:tcPr>
            <w:tcW w:w="3630" w:type="dxa"/>
            <w:gridSpan w:val="3"/>
            <w:tcBorders>
              <w:top w:val="single" w:sz="4" w:space="0" w:color="auto"/>
              <w:left w:val="single" w:sz="4" w:space="0" w:color="auto"/>
              <w:bottom w:val="single" w:sz="4" w:space="0" w:color="auto"/>
              <w:right w:val="single" w:sz="4" w:space="0" w:color="auto"/>
            </w:tcBorders>
          </w:tcPr>
          <w:p w:rsidR="007068D6" w:rsidRPr="00BC545A" w:rsidRDefault="007068D6" w:rsidP="003874DD">
            <w:pPr>
              <w:pStyle w:val="A-TableHeader"/>
              <w:jc w:val="center"/>
            </w:pPr>
            <w:proofErr w:type="spellStart"/>
            <w:r w:rsidRPr="00BC545A">
              <w:t>Meropenem</w:t>
            </w:r>
            <w:proofErr w:type="spellEnd"/>
            <w:r w:rsidRPr="00BC545A">
              <w:t xml:space="preserve"> (N=184)</w:t>
            </w:r>
          </w:p>
        </w:tc>
      </w:tr>
      <w:tr w:rsidR="003F2E8C" w:rsidRPr="00BC545A" w:rsidTr="00B50AEC">
        <w:trPr>
          <w:cantSplit/>
          <w:tblHeader/>
        </w:trPr>
        <w:tc>
          <w:tcPr>
            <w:tcW w:w="2235" w:type="dxa"/>
            <w:tcBorders>
              <w:top w:val="single" w:sz="4" w:space="0" w:color="auto"/>
              <w:left w:val="single" w:sz="4" w:space="0" w:color="auto"/>
              <w:bottom w:val="single" w:sz="4" w:space="0" w:color="auto"/>
              <w:right w:val="single" w:sz="4" w:space="0" w:color="auto"/>
            </w:tcBorders>
          </w:tcPr>
          <w:p w:rsidR="007068D6" w:rsidRPr="00BC545A" w:rsidRDefault="007068D6" w:rsidP="003F2E8C">
            <w:pPr>
              <w:pStyle w:val="A-TableHeader"/>
              <w:spacing w:before="0" w:after="0"/>
            </w:pPr>
            <w:r w:rsidRPr="00BC545A">
              <w:t>Pathogen</w:t>
            </w:r>
          </w:p>
        </w:tc>
        <w:tc>
          <w:tcPr>
            <w:tcW w:w="1134" w:type="dxa"/>
            <w:tcBorders>
              <w:top w:val="single" w:sz="4" w:space="0" w:color="auto"/>
              <w:left w:val="single" w:sz="4" w:space="0" w:color="auto"/>
              <w:bottom w:val="single" w:sz="4" w:space="0" w:color="auto"/>
              <w:right w:val="single" w:sz="4" w:space="0" w:color="auto"/>
            </w:tcBorders>
          </w:tcPr>
          <w:p w:rsidR="007068D6" w:rsidRPr="00BC545A" w:rsidRDefault="007068D6" w:rsidP="003F2E8C">
            <w:pPr>
              <w:pStyle w:val="A-TableHeader"/>
              <w:spacing w:before="0" w:after="0"/>
            </w:pPr>
            <w:r w:rsidRPr="00BC545A">
              <w:t>Cure rate (%)</w:t>
            </w:r>
          </w:p>
        </w:tc>
        <w:tc>
          <w:tcPr>
            <w:tcW w:w="1559" w:type="dxa"/>
            <w:tcBorders>
              <w:top w:val="single" w:sz="4" w:space="0" w:color="auto"/>
              <w:left w:val="single" w:sz="4" w:space="0" w:color="auto"/>
              <w:bottom w:val="single" w:sz="4" w:space="0" w:color="auto"/>
              <w:right w:val="single" w:sz="4" w:space="0" w:color="auto"/>
            </w:tcBorders>
          </w:tcPr>
          <w:p w:rsidR="007068D6" w:rsidRPr="00BC545A" w:rsidRDefault="007068D6" w:rsidP="003F2E8C">
            <w:pPr>
              <w:pStyle w:val="A-TableHeader"/>
              <w:spacing w:before="0" w:after="0"/>
            </w:pPr>
            <w:r w:rsidRPr="00BC545A">
              <w:t>Number of clinical cures</w:t>
            </w:r>
          </w:p>
        </w:tc>
        <w:tc>
          <w:tcPr>
            <w:tcW w:w="850" w:type="dxa"/>
            <w:tcBorders>
              <w:top w:val="single" w:sz="4" w:space="0" w:color="auto"/>
              <w:left w:val="single" w:sz="4" w:space="0" w:color="auto"/>
              <w:bottom w:val="single" w:sz="4" w:space="0" w:color="auto"/>
              <w:right w:val="single" w:sz="4" w:space="0" w:color="auto"/>
            </w:tcBorders>
          </w:tcPr>
          <w:p w:rsidR="007068D6" w:rsidRPr="00BC545A" w:rsidRDefault="007068D6" w:rsidP="003F2E8C">
            <w:pPr>
              <w:pStyle w:val="A-TableHeader"/>
              <w:spacing w:before="0" w:after="0"/>
            </w:pPr>
            <w:r w:rsidRPr="00BC545A">
              <w:t>N</w:t>
            </w:r>
          </w:p>
        </w:tc>
        <w:tc>
          <w:tcPr>
            <w:tcW w:w="1134" w:type="dxa"/>
            <w:tcBorders>
              <w:top w:val="single" w:sz="4" w:space="0" w:color="auto"/>
              <w:left w:val="single" w:sz="4" w:space="0" w:color="auto"/>
              <w:bottom w:val="single" w:sz="4" w:space="0" w:color="auto"/>
              <w:right w:val="single" w:sz="4" w:space="0" w:color="auto"/>
            </w:tcBorders>
          </w:tcPr>
          <w:p w:rsidR="007068D6" w:rsidRPr="00BC545A" w:rsidRDefault="007068D6" w:rsidP="003F2E8C">
            <w:pPr>
              <w:pStyle w:val="A-TableHeader"/>
              <w:spacing w:before="0" w:after="0"/>
            </w:pPr>
            <w:r w:rsidRPr="00BC545A">
              <w:t>Cure rate (%)</w:t>
            </w:r>
          </w:p>
        </w:tc>
        <w:tc>
          <w:tcPr>
            <w:tcW w:w="1560" w:type="dxa"/>
            <w:tcBorders>
              <w:top w:val="single" w:sz="4" w:space="0" w:color="auto"/>
              <w:left w:val="single" w:sz="4" w:space="0" w:color="auto"/>
              <w:bottom w:val="single" w:sz="4" w:space="0" w:color="auto"/>
              <w:right w:val="single" w:sz="4" w:space="0" w:color="auto"/>
            </w:tcBorders>
          </w:tcPr>
          <w:p w:rsidR="007068D6" w:rsidRPr="00BC545A" w:rsidRDefault="007068D6" w:rsidP="003F2E8C">
            <w:pPr>
              <w:pStyle w:val="A-TableHeader"/>
              <w:spacing w:before="0" w:after="0"/>
            </w:pPr>
            <w:r w:rsidRPr="00BC545A">
              <w:t>Number of clinical cures</w:t>
            </w:r>
          </w:p>
        </w:tc>
        <w:tc>
          <w:tcPr>
            <w:tcW w:w="936" w:type="dxa"/>
            <w:tcBorders>
              <w:top w:val="single" w:sz="4" w:space="0" w:color="auto"/>
              <w:left w:val="single" w:sz="4" w:space="0" w:color="auto"/>
              <w:bottom w:val="single" w:sz="4" w:space="0" w:color="auto"/>
              <w:right w:val="single" w:sz="4" w:space="0" w:color="auto"/>
            </w:tcBorders>
          </w:tcPr>
          <w:p w:rsidR="007068D6" w:rsidRPr="00BC545A" w:rsidRDefault="007068D6" w:rsidP="003F2E8C">
            <w:pPr>
              <w:pStyle w:val="A-TableHeader"/>
              <w:spacing w:before="0" w:after="0"/>
            </w:pPr>
            <w:r w:rsidRPr="00BC545A">
              <w:t>n</w:t>
            </w:r>
          </w:p>
        </w:tc>
      </w:tr>
      <w:tr w:rsidR="003F2E8C" w:rsidRPr="00667EAA" w:rsidTr="00B50AEC">
        <w:trPr>
          <w:cantSplit/>
        </w:trPr>
        <w:tc>
          <w:tcPr>
            <w:tcW w:w="2235" w:type="dxa"/>
            <w:tcBorders>
              <w:top w:val="single" w:sz="4" w:space="0" w:color="auto"/>
              <w:left w:val="single" w:sz="4" w:space="0" w:color="auto"/>
              <w:bottom w:val="single" w:sz="4" w:space="0" w:color="auto"/>
              <w:right w:val="single" w:sz="4" w:space="0" w:color="auto"/>
            </w:tcBorders>
          </w:tcPr>
          <w:p w:rsidR="007068D6" w:rsidRPr="00667EAA" w:rsidRDefault="007068D6" w:rsidP="00667EAA">
            <w:pPr>
              <w:pStyle w:val="StyleCLDTableTextListTextItalicAuto"/>
              <w:rPr>
                <w:szCs w:val="22"/>
              </w:rPr>
            </w:pPr>
            <w:proofErr w:type="spellStart"/>
            <w:r w:rsidRPr="00667EAA">
              <w:rPr>
                <w:szCs w:val="22"/>
              </w:rPr>
              <w:t>Enterobacteriaceae</w:t>
            </w:r>
            <w:proofErr w:type="spellEnd"/>
          </w:p>
        </w:tc>
        <w:tc>
          <w:tcPr>
            <w:tcW w:w="1134" w:type="dxa"/>
            <w:tcBorders>
              <w:top w:val="single" w:sz="4" w:space="0" w:color="auto"/>
              <w:left w:val="single" w:sz="4" w:space="0" w:color="auto"/>
              <w:bottom w:val="single" w:sz="4" w:space="0" w:color="auto"/>
              <w:right w:val="single" w:sz="4" w:space="0" w:color="auto"/>
            </w:tcBorders>
          </w:tcPr>
          <w:p w:rsidR="007068D6" w:rsidRPr="00667EAA" w:rsidRDefault="007068D6" w:rsidP="003F2E8C">
            <w:pPr>
              <w:pStyle w:val="CLDTableTextListText"/>
              <w:rPr>
                <w:sz w:val="22"/>
                <w:szCs w:val="22"/>
              </w:rPr>
            </w:pPr>
            <w:r w:rsidRPr="00667EAA">
              <w:rPr>
                <w:sz w:val="22"/>
                <w:szCs w:val="22"/>
              </w:rPr>
              <w:t>73.6</w:t>
            </w:r>
          </w:p>
        </w:tc>
        <w:tc>
          <w:tcPr>
            <w:tcW w:w="1559" w:type="dxa"/>
            <w:tcBorders>
              <w:top w:val="single" w:sz="4" w:space="0" w:color="auto"/>
              <w:left w:val="single" w:sz="4" w:space="0" w:color="auto"/>
              <w:bottom w:val="single" w:sz="4" w:space="0" w:color="auto"/>
              <w:right w:val="single" w:sz="4" w:space="0" w:color="auto"/>
            </w:tcBorders>
          </w:tcPr>
          <w:p w:rsidR="007068D6" w:rsidRPr="00667EAA" w:rsidRDefault="007068D6" w:rsidP="003F2E8C">
            <w:pPr>
              <w:pStyle w:val="CLDTableTextListText"/>
              <w:rPr>
                <w:sz w:val="22"/>
                <w:szCs w:val="22"/>
              </w:rPr>
            </w:pPr>
            <w:r w:rsidRPr="00667EAA">
              <w:rPr>
                <w:sz w:val="22"/>
                <w:szCs w:val="22"/>
              </w:rPr>
              <w:t>89</w:t>
            </w:r>
          </w:p>
        </w:tc>
        <w:tc>
          <w:tcPr>
            <w:tcW w:w="850" w:type="dxa"/>
            <w:tcBorders>
              <w:top w:val="single" w:sz="4" w:space="0" w:color="auto"/>
              <w:left w:val="single" w:sz="4" w:space="0" w:color="auto"/>
              <w:bottom w:val="single" w:sz="4" w:space="0" w:color="auto"/>
              <w:right w:val="single" w:sz="4" w:space="0" w:color="auto"/>
            </w:tcBorders>
          </w:tcPr>
          <w:p w:rsidR="007068D6" w:rsidRPr="00667EAA" w:rsidRDefault="007068D6" w:rsidP="003F2E8C">
            <w:pPr>
              <w:pStyle w:val="CLDTableTextListText"/>
              <w:rPr>
                <w:sz w:val="22"/>
                <w:szCs w:val="22"/>
              </w:rPr>
            </w:pPr>
            <w:r w:rsidRPr="00667EAA">
              <w:rPr>
                <w:sz w:val="22"/>
                <w:szCs w:val="22"/>
              </w:rPr>
              <w:t>121</w:t>
            </w:r>
          </w:p>
        </w:tc>
        <w:tc>
          <w:tcPr>
            <w:tcW w:w="1134" w:type="dxa"/>
            <w:tcBorders>
              <w:top w:val="single" w:sz="4" w:space="0" w:color="auto"/>
              <w:left w:val="single" w:sz="4" w:space="0" w:color="auto"/>
              <w:bottom w:val="single" w:sz="4" w:space="0" w:color="auto"/>
              <w:right w:val="single" w:sz="4" w:space="0" w:color="auto"/>
            </w:tcBorders>
          </w:tcPr>
          <w:p w:rsidR="007068D6" w:rsidRPr="00667EAA" w:rsidRDefault="007068D6" w:rsidP="003F2E8C">
            <w:pPr>
              <w:pStyle w:val="CLDTableTextListText"/>
              <w:rPr>
                <w:sz w:val="22"/>
                <w:szCs w:val="22"/>
              </w:rPr>
            </w:pPr>
            <w:r w:rsidRPr="00667EAA">
              <w:rPr>
                <w:sz w:val="22"/>
                <w:szCs w:val="22"/>
              </w:rPr>
              <w:t>75.4</w:t>
            </w:r>
          </w:p>
        </w:tc>
        <w:tc>
          <w:tcPr>
            <w:tcW w:w="1560" w:type="dxa"/>
            <w:tcBorders>
              <w:top w:val="single" w:sz="4" w:space="0" w:color="auto"/>
              <w:left w:val="single" w:sz="4" w:space="0" w:color="auto"/>
              <w:bottom w:val="single" w:sz="4" w:space="0" w:color="auto"/>
              <w:right w:val="single" w:sz="4" w:space="0" w:color="auto"/>
            </w:tcBorders>
          </w:tcPr>
          <w:p w:rsidR="007068D6" w:rsidRPr="00667EAA" w:rsidRDefault="007068D6" w:rsidP="003F2E8C">
            <w:pPr>
              <w:pStyle w:val="CLDTableTextListText"/>
              <w:rPr>
                <w:sz w:val="22"/>
                <w:szCs w:val="22"/>
              </w:rPr>
            </w:pPr>
            <w:r w:rsidRPr="00667EAA">
              <w:rPr>
                <w:sz w:val="22"/>
                <w:szCs w:val="22"/>
              </w:rPr>
              <w:t>104</w:t>
            </w:r>
          </w:p>
        </w:tc>
        <w:tc>
          <w:tcPr>
            <w:tcW w:w="936" w:type="dxa"/>
            <w:tcBorders>
              <w:top w:val="single" w:sz="4" w:space="0" w:color="auto"/>
              <w:left w:val="single" w:sz="4" w:space="0" w:color="auto"/>
              <w:bottom w:val="single" w:sz="4" w:space="0" w:color="auto"/>
              <w:right w:val="single" w:sz="4" w:space="0" w:color="auto"/>
            </w:tcBorders>
          </w:tcPr>
          <w:p w:rsidR="007068D6" w:rsidRPr="00667EAA" w:rsidRDefault="007068D6" w:rsidP="003F2E8C">
            <w:pPr>
              <w:pStyle w:val="CLDTableTextListText"/>
              <w:rPr>
                <w:sz w:val="22"/>
                <w:szCs w:val="22"/>
              </w:rPr>
            </w:pPr>
            <w:r w:rsidRPr="00667EAA">
              <w:rPr>
                <w:sz w:val="22"/>
                <w:szCs w:val="22"/>
              </w:rPr>
              <w:t>138</w:t>
            </w:r>
          </w:p>
        </w:tc>
      </w:tr>
      <w:tr w:rsidR="003F2E8C" w:rsidRPr="00BC545A" w:rsidTr="00B50AEC">
        <w:trPr>
          <w:cantSplit/>
        </w:trPr>
        <w:tc>
          <w:tcPr>
            <w:tcW w:w="2235" w:type="dxa"/>
            <w:tcBorders>
              <w:top w:val="single" w:sz="4" w:space="0" w:color="auto"/>
              <w:left w:val="single" w:sz="4" w:space="0" w:color="auto"/>
              <w:bottom w:val="single" w:sz="4" w:space="0" w:color="auto"/>
              <w:right w:val="single" w:sz="4" w:space="0" w:color="auto"/>
            </w:tcBorders>
          </w:tcPr>
          <w:p w:rsidR="007068D6" w:rsidRPr="00BC545A" w:rsidRDefault="007068D6" w:rsidP="00B50AEC">
            <w:pPr>
              <w:pStyle w:val="StyleCLDTableTextListTextItalicAuto"/>
            </w:pPr>
            <w:r w:rsidRPr="00BC545A">
              <w:t xml:space="preserve">  E</w:t>
            </w:r>
            <w:r w:rsidR="00B50AEC">
              <w:t xml:space="preserve">. </w:t>
            </w:r>
            <w:proofErr w:type="spellStart"/>
            <w:r w:rsidRPr="00BC545A">
              <w:t>aerogenes</w:t>
            </w:r>
            <w:proofErr w:type="spellEnd"/>
          </w:p>
        </w:tc>
        <w:tc>
          <w:tcPr>
            <w:tcW w:w="1134" w:type="dxa"/>
            <w:tcBorders>
              <w:top w:val="single" w:sz="4" w:space="0" w:color="auto"/>
              <w:left w:val="single" w:sz="4" w:space="0" w:color="auto"/>
              <w:bottom w:val="single" w:sz="4" w:space="0" w:color="auto"/>
              <w:right w:val="single" w:sz="4" w:space="0" w:color="auto"/>
            </w:tcBorders>
          </w:tcPr>
          <w:p w:rsidR="007068D6" w:rsidRPr="00BC545A" w:rsidRDefault="007068D6" w:rsidP="003F2E8C">
            <w:pPr>
              <w:pStyle w:val="CLDTableTextListText"/>
            </w:pPr>
            <w:r w:rsidRPr="00BC545A">
              <w:t>62.5</w:t>
            </w:r>
          </w:p>
        </w:tc>
        <w:tc>
          <w:tcPr>
            <w:tcW w:w="1559" w:type="dxa"/>
            <w:tcBorders>
              <w:top w:val="single" w:sz="4" w:space="0" w:color="auto"/>
              <w:left w:val="single" w:sz="4" w:space="0" w:color="auto"/>
              <w:bottom w:val="single" w:sz="4" w:space="0" w:color="auto"/>
              <w:right w:val="single" w:sz="4" w:space="0" w:color="auto"/>
            </w:tcBorders>
          </w:tcPr>
          <w:p w:rsidR="007068D6" w:rsidRPr="00BC545A" w:rsidRDefault="007068D6" w:rsidP="003F2E8C">
            <w:pPr>
              <w:pStyle w:val="CLDTableTextListText"/>
            </w:pPr>
            <w:r w:rsidRPr="00BC545A">
              <w:t>5</w:t>
            </w:r>
          </w:p>
        </w:tc>
        <w:tc>
          <w:tcPr>
            <w:tcW w:w="850" w:type="dxa"/>
            <w:tcBorders>
              <w:top w:val="single" w:sz="4" w:space="0" w:color="auto"/>
              <w:left w:val="single" w:sz="4" w:space="0" w:color="auto"/>
              <w:bottom w:val="single" w:sz="4" w:space="0" w:color="auto"/>
              <w:right w:val="single" w:sz="4" w:space="0" w:color="auto"/>
            </w:tcBorders>
          </w:tcPr>
          <w:p w:rsidR="007068D6" w:rsidRPr="00BC545A" w:rsidRDefault="007068D6" w:rsidP="003F2E8C">
            <w:pPr>
              <w:pStyle w:val="CLDTableTextListText"/>
            </w:pPr>
            <w:r w:rsidRPr="00BC545A">
              <w:t>8</w:t>
            </w:r>
          </w:p>
        </w:tc>
        <w:tc>
          <w:tcPr>
            <w:tcW w:w="1134" w:type="dxa"/>
            <w:tcBorders>
              <w:top w:val="single" w:sz="4" w:space="0" w:color="auto"/>
              <w:left w:val="single" w:sz="4" w:space="0" w:color="auto"/>
              <w:bottom w:val="single" w:sz="4" w:space="0" w:color="auto"/>
              <w:right w:val="single" w:sz="4" w:space="0" w:color="auto"/>
            </w:tcBorders>
          </w:tcPr>
          <w:p w:rsidR="007068D6" w:rsidRPr="00BC545A" w:rsidRDefault="007068D6" w:rsidP="003F2E8C">
            <w:pPr>
              <w:pStyle w:val="CLDTableTextListText"/>
            </w:pPr>
            <w:r w:rsidRPr="00BC545A">
              <w:t>50.0</w:t>
            </w:r>
          </w:p>
        </w:tc>
        <w:tc>
          <w:tcPr>
            <w:tcW w:w="1560" w:type="dxa"/>
            <w:tcBorders>
              <w:top w:val="single" w:sz="4" w:space="0" w:color="auto"/>
              <w:left w:val="single" w:sz="4" w:space="0" w:color="auto"/>
              <w:bottom w:val="single" w:sz="4" w:space="0" w:color="auto"/>
              <w:right w:val="single" w:sz="4" w:space="0" w:color="auto"/>
            </w:tcBorders>
          </w:tcPr>
          <w:p w:rsidR="007068D6" w:rsidRPr="00BC545A" w:rsidRDefault="007068D6" w:rsidP="003F2E8C">
            <w:pPr>
              <w:pStyle w:val="CLDTableTextListText"/>
            </w:pPr>
            <w:r w:rsidRPr="00BC545A">
              <w:t>4</w:t>
            </w:r>
          </w:p>
        </w:tc>
        <w:tc>
          <w:tcPr>
            <w:tcW w:w="936" w:type="dxa"/>
            <w:tcBorders>
              <w:top w:val="single" w:sz="4" w:space="0" w:color="auto"/>
              <w:left w:val="single" w:sz="4" w:space="0" w:color="auto"/>
              <w:bottom w:val="single" w:sz="4" w:space="0" w:color="auto"/>
              <w:right w:val="single" w:sz="4" w:space="0" w:color="auto"/>
            </w:tcBorders>
          </w:tcPr>
          <w:p w:rsidR="007068D6" w:rsidRPr="00BC545A" w:rsidRDefault="007068D6" w:rsidP="003F2E8C">
            <w:pPr>
              <w:pStyle w:val="CLDTableTextListText"/>
            </w:pPr>
            <w:r w:rsidRPr="00BC545A">
              <w:t>8</w:t>
            </w:r>
          </w:p>
        </w:tc>
      </w:tr>
      <w:tr w:rsidR="003F2E8C" w:rsidRPr="00BC545A" w:rsidTr="00B50AEC">
        <w:trPr>
          <w:cantSplit/>
        </w:trPr>
        <w:tc>
          <w:tcPr>
            <w:tcW w:w="2235" w:type="dxa"/>
            <w:tcBorders>
              <w:top w:val="single" w:sz="4" w:space="0" w:color="auto"/>
              <w:left w:val="single" w:sz="4" w:space="0" w:color="auto"/>
              <w:bottom w:val="single" w:sz="4" w:space="0" w:color="auto"/>
              <w:right w:val="single" w:sz="4" w:space="0" w:color="auto"/>
            </w:tcBorders>
          </w:tcPr>
          <w:p w:rsidR="007068D6" w:rsidRPr="00BC545A" w:rsidRDefault="007068D6" w:rsidP="00B50AEC">
            <w:pPr>
              <w:pStyle w:val="StyleCLDTableTextListTextItalicAuto"/>
            </w:pPr>
            <w:r w:rsidRPr="00BC545A">
              <w:t xml:space="preserve">  E</w:t>
            </w:r>
            <w:r w:rsidR="00B50AEC">
              <w:t xml:space="preserve">. </w:t>
            </w:r>
            <w:r w:rsidRPr="00BC545A">
              <w:t>cloacae</w:t>
            </w:r>
          </w:p>
        </w:tc>
        <w:tc>
          <w:tcPr>
            <w:tcW w:w="1134" w:type="dxa"/>
            <w:tcBorders>
              <w:top w:val="single" w:sz="4" w:space="0" w:color="auto"/>
              <w:left w:val="single" w:sz="4" w:space="0" w:color="auto"/>
              <w:bottom w:val="single" w:sz="4" w:space="0" w:color="auto"/>
              <w:right w:val="single" w:sz="4" w:space="0" w:color="auto"/>
            </w:tcBorders>
          </w:tcPr>
          <w:p w:rsidR="007068D6" w:rsidRPr="00BC545A" w:rsidRDefault="007068D6" w:rsidP="003F2E8C">
            <w:pPr>
              <w:pStyle w:val="CLDTableTextListText"/>
            </w:pPr>
            <w:r w:rsidRPr="00BC545A">
              <w:t>92.3</w:t>
            </w:r>
          </w:p>
        </w:tc>
        <w:tc>
          <w:tcPr>
            <w:tcW w:w="1559" w:type="dxa"/>
            <w:tcBorders>
              <w:top w:val="single" w:sz="4" w:space="0" w:color="auto"/>
              <w:left w:val="single" w:sz="4" w:space="0" w:color="auto"/>
              <w:bottom w:val="single" w:sz="4" w:space="0" w:color="auto"/>
              <w:right w:val="single" w:sz="4" w:space="0" w:color="auto"/>
            </w:tcBorders>
          </w:tcPr>
          <w:p w:rsidR="007068D6" w:rsidRPr="00BC545A" w:rsidRDefault="007068D6" w:rsidP="003F2E8C">
            <w:pPr>
              <w:pStyle w:val="CLDTableTextListText"/>
            </w:pPr>
            <w:r w:rsidRPr="00BC545A">
              <w:t>24</w:t>
            </w:r>
          </w:p>
        </w:tc>
        <w:tc>
          <w:tcPr>
            <w:tcW w:w="850" w:type="dxa"/>
            <w:tcBorders>
              <w:top w:val="single" w:sz="4" w:space="0" w:color="auto"/>
              <w:left w:val="single" w:sz="4" w:space="0" w:color="auto"/>
              <w:bottom w:val="single" w:sz="4" w:space="0" w:color="auto"/>
              <w:right w:val="single" w:sz="4" w:space="0" w:color="auto"/>
            </w:tcBorders>
          </w:tcPr>
          <w:p w:rsidR="007068D6" w:rsidRPr="00BC545A" w:rsidRDefault="007068D6" w:rsidP="003F2E8C">
            <w:pPr>
              <w:pStyle w:val="CLDTableTextListText"/>
            </w:pPr>
            <w:r w:rsidRPr="00BC545A">
              <w:t>26</w:t>
            </w:r>
          </w:p>
        </w:tc>
        <w:tc>
          <w:tcPr>
            <w:tcW w:w="1134" w:type="dxa"/>
            <w:tcBorders>
              <w:top w:val="single" w:sz="4" w:space="0" w:color="auto"/>
              <w:left w:val="single" w:sz="4" w:space="0" w:color="auto"/>
              <w:bottom w:val="single" w:sz="4" w:space="0" w:color="auto"/>
              <w:right w:val="single" w:sz="4" w:space="0" w:color="auto"/>
            </w:tcBorders>
          </w:tcPr>
          <w:p w:rsidR="007068D6" w:rsidRPr="00BC545A" w:rsidRDefault="007068D6" w:rsidP="003F2E8C">
            <w:pPr>
              <w:pStyle w:val="CLDTableTextListText"/>
            </w:pPr>
            <w:r w:rsidRPr="00BC545A">
              <w:t>54.5</w:t>
            </w:r>
          </w:p>
        </w:tc>
        <w:tc>
          <w:tcPr>
            <w:tcW w:w="1560" w:type="dxa"/>
            <w:tcBorders>
              <w:top w:val="single" w:sz="4" w:space="0" w:color="auto"/>
              <w:left w:val="single" w:sz="4" w:space="0" w:color="auto"/>
              <w:bottom w:val="single" w:sz="4" w:space="0" w:color="auto"/>
              <w:right w:val="single" w:sz="4" w:space="0" w:color="auto"/>
            </w:tcBorders>
          </w:tcPr>
          <w:p w:rsidR="007068D6" w:rsidRPr="00BC545A" w:rsidRDefault="007068D6" w:rsidP="003F2E8C">
            <w:pPr>
              <w:pStyle w:val="CLDTableTextListText"/>
            </w:pPr>
            <w:r w:rsidRPr="00BC545A">
              <w:t>12</w:t>
            </w:r>
          </w:p>
        </w:tc>
        <w:tc>
          <w:tcPr>
            <w:tcW w:w="936" w:type="dxa"/>
            <w:tcBorders>
              <w:top w:val="single" w:sz="4" w:space="0" w:color="auto"/>
              <w:left w:val="single" w:sz="4" w:space="0" w:color="auto"/>
              <w:bottom w:val="single" w:sz="4" w:space="0" w:color="auto"/>
              <w:right w:val="single" w:sz="4" w:space="0" w:color="auto"/>
            </w:tcBorders>
          </w:tcPr>
          <w:p w:rsidR="007068D6" w:rsidRPr="00BC545A" w:rsidRDefault="007068D6" w:rsidP="003F2E8C">
            <w:pPr>
              <w:pStyle w:val="CLDTableTextListText"/>
            </w:pPr>
            <w:r w:rsidRPr="00BC545A">
              <w:t>22</w:t>
            </w:r>
          </w:p>
        </w:tc>
      </w:tr>
      <w:tr w:rsidR="003F2E8C" w:rsidRPr="00BC545A" w:rsidTr="00B50AEC">
        <w:trPr>
          <w:cantSplit/>
        </w:trPr>
        <w:tc>
          <w:tcPr>
            <w:tcW w:w="2235" w:type="dxa"/>
            <w:tcBorders>
              <w:top w:val="single" w:sz="4" w:space="0" w:color="auto"/>
              <w:left w:val="single" w:sz="4" w:space="0" w:color="auto"/>
              <w:bottom w:val="single" w:sz="4" w:space="0" w:color="auto"/>
              <w:right w:val="single" w:sz="4" w:space="0" w:color="auto"/>
            </w:tcBorders>
          </w:tcPr>
          <w:p w:rsidR="007068D6" w:rsidRPr="00BC545A" w:rsidRDefault="007068D6" w:rsidP="00B50AEC">
            <w:pPr>
              <w:pStyle w:val="StyleCLDTableTextListTextItalicAuto"/>
            </w:pPr>
            <w:r w:rsidRPr="00BC545A">
              <w:t xml:space="preserve">  E</w:t>
            </w:r>
            <w:r w:rsidR="00B50AEC">
              <w:t xml:space="preserve">. </w:t>
            </w:r>
            <w:r w:rsidRPr="00BC545A">
              <w:t>coli</w:t>
            </w:r>
          </w:p>
        </w:tc>
        <w:tc>
          <w:tcPr>
            <w:tcW w:w="1134" w:type="dxa"/>
            <w:tcBorders>
              <w:top w:val="single" w:sz="4" w:space="0" w:color="auto"/>
              <w:left w:val="single" w:sz="4" w:space="0" w:color="auto"/>
              <w:bottom w:val="single" w:sz="4" w:space="0" w:color="auto"/>
              <w:right w:val="single" w:sz="4" w:space="0" w:color="auto"/>
            </w:tcBorders>
          </w:tcPr>
          <w:p w:rsidR="007068D6" w:rsidRPr="00BC545A" w:rsidRDefault="007068D6" w:rsidP="003F2E8C">
            <w:pPr>
              <w:pStyle w:val="CLDTableTextListText"/>
            </w:pPr>
            <w:r w:rsidRPr="00BC545A">
              <w:t>64.7</w:t>
            </w:r>
          </w:p>
        </w:tc>
        <w:tc>
          <w:tcPr>
            <w:tcW w:w="1559" w:type="dxa"/>
            <w:tcBorders>
              <w:top w:val="single" w:sz="4" w:space="0" w:color="auto"/>
              <w:left w:val="single" w:sz="4" w:space="0" w:color="auto"/>
              <w:bottom w:val="single" w:sz="4" w:space="0" w:color="auto"/>
              <w:right w:val="single" w:sz="4" w:space="0" w:color="auto"/>
            </w:tcBorders>
          </w:tcPr>
          <w:p w:rsidR="007068D6" w:rsidRPr="00BC545A" w:rsidRDefault="007068D6" w:rsidP="003F2E8C">
            <w:pPr>
              <w:pStyle w:val="CLDTableTextListText"/>
            </w:pPr>
            <w:r w:rsidRPr="00BC545A">
              <w:t>11</w:t>
            </w:r>
          </w:p>
        </w:tc>
        <w:tc>
          <w:tcPr>
            <w:tcW w:w="850" w:type="dxa"/>
            <w:tcBorders>
              <w:top w:val="single" w:sz="4" w:space="0" w:color="auto"/>
              <w:left w:val="single" w:sz="4" w:space="0" w:color="auto"/>
              <w:bottom w:val="single" w:sz="4" w:space="0" w:color="auto"/>
              <w:right w:val="single" w:sz="4" w:space="0" w:color="auto"/>
            </w:tcBorders>
          </w:tcPr>
          <w:p w:rsidR="007068D6" w:rsidRPr="00BC545A" w:rsidRDefault="007068D6" w:rsidP="003F2E8C">
            <w:pPr>
              <w:pStyle w:val="CLDTableTextListText"/>
            </w:pPr>
            <w:r w:rsidRPr="00BC545A">
              <w:t>17</w:t>
            </w:r>
          </w:p>
        </w:tc>
        <w:tc>
          <w:tcPr>
            <w:tcW w:w="1134" w:type="dxa"/>
            <w:tcBorders>
              <w:top w:val="single" w:sz="4" w:space="0" w:color="auto"/>
              <w:left w:val="single" w:sz="4" w:space="0" w:color="auto"/>
              <w:bottom w:val="single" w:sz="4" w:space="0" w:color="auto"/>
              <w:right w:val="single" w:sz="4" w:space="0" w:color="auto"/>
            </w:tcBorders>
          </w:tcPr>
          <w:p w:rsidR="007068D6" w:rsidRPr="00BC545A" w:rsidRDefault="007068D6" w:rsidP="003F2E8C">
            <w:pPr>
              <w:pStyle w:val="CLDTableTextListText"/>
            </w:pPr>
            <w:r w:rsidRPr="00BC545A">
              <w:t>75.0</w:t>
            </w:r>
          </w:p>
        </w:tc>
        <w:tc>
          <w:tcPr>
            <w:tcW w:w="1560" w:type="dxa"/>
            <w:tcBorders>
              <w:top w:val="single" w:sz="4" w:space="0" w:color="auto"/>
              <w:left w:val="single" w:sz="4" w:space="0" w:color="auto"/>
              <w:bottom w:val="single" w:sz="4" w:space="0" w:color="auto"/>
              <w:right w:val="single" w:sz="4" w:space="0" w:color="auto"/>
            </w:tcBorders>
          </w:tcPr>
          <w:p w:rsidR="007068D6" w:rsidRPr="00BC545A" w:rsidRDefault="007068D6" w:rsidP="003F2E8C">
            <w:pPr>
              <w:pStyle w:val="CLDTableTextListText"/>
            </w:pPr>
            <w:r w:rsidRPr="00BC545A">
              <w:t>15</w:t>
            </w:r>
          </w:p>
        </w:tc>
        <w:tc>
          <w:tcPr>
            <w:tcW w:w="936" w:type="dxa"/>
            <w:tcBorders>
              <w:top w:val="single" w:sz="4" w:space="0" w:color="auto"/>
              <w:left w:val="single" w:sz="4" w:space="0" w:color="auto"/>
              <w:bottom w:val="single" w:sz="4" w:space="0" w:color="auto"/>
              <w:right w:val="single" w:sz="4" w:space="0" w:color="auto"/>
            </w:tcBorders>
          </w:tcPr>
          <w:p w:rsidR="007068D6" w:rsidRPr="00BC545A" w:rsidRDefault="007068D6" w:rsidP="003F2E8C">
            <w:pPr>
              <w:pStyle w:val="CLDTableTextListText"/>
            </w:pPr>
            <w:r w:rsidRPr="00BC545A">
              <w:t>20</w:t>
            </w:r>
          </w:p>
        </w:tc>
      </w:tr>
      <w:tr w:rsidR="003F2E8C" w:rsidRPr="00BC545A" w:rsidTr="00B50AEC">
        <w:trPr>
          <w:cantSplit/>
        </w:trPr>
        <w:tc>
          <w:tcPr>
            <w:tcW w:w="2235" w:type="dxa"/>
            <w:tcBorders>
              <w:top w:val="single" w:sz="4" w:space="0" w:color="auto"/>
              <w:left w:val="single" w:sz="4" w:space="0" w:color="auto"/>
              <w:bottom w:val="single" w:sz="4" w:space="0" w:color="auto"/>
              <w:right w:val="single" w:sz="4" w:space="0" w:color="auto"/>
            </w:tcBorders>
          </w:tcPr>
          <w:p w:rsidR="007068D6" w:rsidRPr="00BC545A" w:rsidRDefault="007068D6" w:rsidP="00B50AEC">
            <w:pPr>
              <w:pStyle w:val="StyleCLDTableTextListTextItalicAuto"/>
            </w:pPr>
            <w:r w:rsidRPr="00BC545A">
              <w:t xml:space="preserve">  K</w:t>
            </w:r>
            <w:r w:rsidR="00B50AEC">
              <w:t>.</w:t>
            </w:r>
            <w:r w:rsidRPr="00BC545A">
              <w:t xml:space="preserve"> </w:t>
            </w:r>
            <w:proofErr w:type="spellStart"/>
            <w:r w:rsidRPr="00BC545A">
              <w:t>pneumoniae</w:t>
            </w:r>
            <w:proofErr w:type="spellEnd"/>
          </w:p>
        </w:tc>
        <w:tc>
          <w:tcPr>
            <w:tcW w:w="1134" w:type="dxa"/>
            <w:tcBorders>
              <w:top w:val="single" w:sz="4" w:space="0" w:color="auto"/>
              <w:left w:val="single" w:sz="4" w:space="0" w:color="auto"/>
              <w:bottom w:val="single" w:sz="4" w:space="0" w:color="auto"/>
              <w:right w:val="single" w:sz="4" w:space="0" w:color="auto"/>
            </w:tcBorders>
          </w:tcPr>
          <w:p w:rsidR="007068D6" w:rsidRPr="00BC545A" w:rsidRDefault="007068D6" w:rsidP="003F2E8C">
            <w:pPr>
              <w:pStyle w:val="CLDTableTextListText"/>
            </w:pPr>
            <w:r w:rsidRPr="00BC545A">
              <w:t>72.9</w:t>
            </w:r>
          </w:p>
        </w:tc>
        <w:tc>
          <w:tcPr>
            <w:tcW w:w="1559" w:type="dxa"/>
            <w:tcBorders>
              <w:top w:val="single" w:sz="4" w:space="0" w:color="auto"/>
              <w:left w:val="single" w:sz="4" w:space="0" w:color="auto"/>
              <w:bottom w:val="single" w:sz="4" w:space="0" w:color="auto"/>
              <w:right w:val="single" w:sz="4" w:space="0" w:color="auto"/>
            </w:tcBorders>
          </w:tcPr>
          <w:p w:rsidR="007068D6" w:rsidRPr="00BC545A" w:rsidRDefault="007068D6" w:rsidP="003F2E8C">
            <w:pPr>
              <w:pStyle w:val="CLDTableTextListText"/>
            </w:pPr>
            <w:r w:rsidRPr="00BC545A">
              <w:t>43</w:t>
            </w:r>
          </w:p>
        </w:tc>
        <w:tc>
          <w:tcPr>
            <w:tcW w:w="850" w:type="dxa"/>
            <w:tcBorders>
              <w:top w:val="single" w:sz="4" w:space="0" w:color="auto"/>
              <w:left w:val="single" w:sz="4" w:space="0" w:color="auto"/>
              <w:bottom w:val="single" w:sz="4" w:space="0" w:color="auto"/>
              <w:right w:val="single" w:sz="4" w:space="0" w:color="auto"/>
            </w:tcBorders>
          </w:tcPr>
          <w:p w:rsidR="007068D6" w:rsidRPr="00BC545A" w:rsidRDefault="007068D6" w:rsidP="003F2E8C">
            <w:pPr>
              <w:pStyle w:val="CLDTableTextListText"/>
            </w:pPr>
            <w:r w:rsidRPr="00BC545A">
              <w:t>59</w:t>
            </w:r>
          </w:p>
        </w:tc>
        <w:tc>
          <w:tcPr>
            <w:tcW w:w="1134" w:type="dxa"/>
            <w:tcBorders>
              <w:top w:val="single" w:sz="4" w:space="0" w:color="auto"/>
              <w:left w:val="single" w:sz="4" w:space="0" w:color="auto"/>
              <w:bottom w:val="single" w:sz="4" w:space="0" w:color="auto"/>
              <w:right w:val="single" w:sz="4" w:space="0" w:color="auto"/>
            </w:tcBorders>
          </w:tcPr>
          <w:p w:rsidR="007068D6" w:rsidRPr="00BC545A" w:rsidRDefault="007068D6" w:rsidP="003F2E8C">
            <w:pPr>
              <w:pStyle w:val="CLDTableTextListText"/>
            </w:pPr>
            <w:r w:rsidRPr="00BC545A">
              <w:t>77.5</w:t>
            </w:r>
          </w:p>
        </w:tc>
        <w:tc>
          <w:tcPr>
            <w:tcW w:w="1560" w:type="dxa"/>
            <w:tcBorders>
              <w:top w:val="single" w:sz="4" w:space="0" w:color="auto"/>
              <w:left w:val="single" w:sz="4" w:space="0" w:color="auto"/>
              <w:bottom w:val="single" w:sz="4" w:space="0" w:color="auto"/>
              <w:right w:val="single" w:sz="4" w:space="0" w:color="auto"/>
            </w:tcBorders>
          </w:tcPr>
          <w:p w:rsidR="007068D6" w:rsidRPr="00BC545A" w:rsidRDefault="007068D6" w:rsidP="003F2E8C">
            <w:pPr>
              <w:pStyle w:val="CLDTableTextListText"/>
            </w:pPr>
            <w:r w:rsidRPr="00BC545A">
              <w:t>55</w:t>
            </w:r>
          </w:p>
        </w:tc>
        <w:tc>
          <w:tcPr>
            <w:tcW w:w="936" w:type="dxa"/>
            <w:tcBorders>
              <w:top w:val="single" w:sz="4" w:space="0" w:color="auto"/>
              <w:left w:val="single" w:sz="4" w:space="0" w:color="auto"/>
              <w:bottom w:val="single" w:sz="4" w:space="0" w:color="auto"/>
              <w:right w:val="single" w:sz="4" w:space="0" w:color="auto"/>
            </w:tcBorders>
          </w:tcPr>
          <w:p w:rsidR="007068D6" w:rsidRPr="00BC545A" w:rsidRDefault="007068D6" w:rsidP="003F2E8C">
            <w:pPr>
              <w:pStyle w:val="CLDTableTextListText"/>
            </w:pPr>
            <w:r w:rsidRPr="00BC545A">
              <w:t>71</w:t>
            </w:r>
          </w:p>
        </w:tc>
      </w:tr>
      <w:tr w:rsidR="003F2E8C" w:rsidRPr="00BC545A" w:rsidTr="00B50AEC">
        <w:trPr>
          <w:cantSplit/>
        </w:trPr>
        <w:tc>
          <w:tcPr>
            <w:tcW w:w="2235" w:type="dxa"/>
            <w:tcBorders>
              <w:top w:val="single" w:sz="4" w:space="0" w:color="auto"/>
              <w:left w:val="single" w:sz="4" w:space="0" w:color="auto"/>
              <w:bottom w:val="single" w:sz="4" w:space="0" w:color="auto"/>
              <w:right w:val="single" w:sz="4" w:space="0" w:color="auto"/>
            </w:tcBorders>
          </w:tcPr>
          <w:p w:rsidR="007068D6" w:rsidRPr="00BC545A" w:rsidRDefault="007068D6" w:rsidP="00B50AEC">
            <w:pPr>
              <w:pStyle w:val="StyleCLDTableTextListTextItalicAuto"/>
            </w:pPr>
            <w:r w:rsidRPr="00BC545A">
              <w:t xml:space="preserve">  P</w:t>
            </w:r>
            <w:r w:rsidR="00B50AEC">
              <w:t xml:space="preserve">. </w:t>
            </w:r>
            <w:r w:rsidRPr="00BC545A">
              <w:t>mirabilis</w:t>
            </w:r>
          </w:p>
        </w:tc>
        <w:tc>
          <w:tcPr>
            <w:tcW w:w="1134" w:type="dxa"/>
            <w:tcBorders>
              <w:top w:val="single" w:sz="4" w:space="0" w:color="auto"/>
              <w:left w:val="single" w:sz="4" w:space="0" w:color="auto"/>
              <w:bottom w:val="single" w:sz="4" w:space="0" w:color="auto"/>
              <w:right w:val="single" w:sz="4" w:space="0" w:color="auto"/>
            </w:tcBorders>
          </w:tcPr>
          <w:p w:rsidR="007068D6" w:rsidRPr="00BC545A" w:rsidRDefault="007068D6" w:rsidP="003F2E8C">
            <w:pPr>
              <w:pStyle w:val="CLDTableTextListText"/>
            </w:pPr>
            <w:r w:rsidRPr="00BC545A">
              <w:t>85.7</w:t>
            </w:r>
          </w:p>
        </w:tc>
        <w:tc>
          <w:tcPr>
            <w:tcW w:w="1559" w:type="dxa"/>
            <w:tcBorders>
              <w:top w:val="single" w:sz="4" w:space="0" w:color="auto"/>
              <w:left w:val="single" w:sz="4" w:space="0" w:color="auto"/>
              <w:bottom w:val="single" w:sz="4" w:space="0" w:color="auto"/>
              <w:right w:val="single" w:sz="4" w:space="0" w:color="auto"/>
            </w:tcBorders>
          </w:tcPr>
          <w:p w:rsidR="007068D6" w:rsidRPr="00BC545A" w:rsidRDefault="007068D6" w:rsidP="003F2E8C">
            <w:pPr>
              <w:pStyle w:val="CLDTableTextListText"/>
            </w:pPr>
            <w:r w:rsidRPr="00BC545A">
              <w:t>12</w:t>
            </w:r>
          </w:p>
        </w:tc>
        <w:tc>
          <w:tcPr>
            <w:tcW w:w="850" w:type="dxa"/>
            <w:tcBorders>
              <w:top w:val="single" w:sz="4" w:space="0" w:color="auto"/>
              <w:left w:val="single" w:sz="4" w:space="0" w:color="auto"/>
              <w:bottom w:val="single" w:sz="4" w:space="0" w:color="auto"/>
              <w:right w:val="single" w:sz="4" w:space="0" w:color="auto"/>
            </w:tcBorders>
          </w:tcPr>
          <w:p w:rsidR="007068D6" w:rsidRPr="00BC545A" w:rsidRDefault="007068D6" w:rsidP="003F2E8C">
            <w:pPr>
              <w:pStyle w:val="CLDTableTextListText"/>
            </w:pPr>
            <w:r w:rsidRPr="00BC545A">
              <w:t>14</w:t>
            </w:r>
          </w:p>
        </w:tc>
        <w:tc>
          <w:tcPr>
            <w:tcW w:w="1134" w:type="dxa"/>
            <w:tcBorders>
              <w:top w:val="single" w:sz="4" w:space="0" w:color="auto"/>
              <w:left w:val="single" w:sz="4" w:space="0" w:color="auto"/>
              <w:bottom w:val="single" w:sz="4" w:space="0" w:color="auto"/>
              <w:right w:val="single" w:sz="4" w:space="0" w:color="auto"/>
            </w:tcBorders>
          </w:tcPr>
          <w:p w:rsidR="007068D6" w:rsidRPr="00BC545A" w:rsidRDefault="007068D6" w:rsidP="003F2E8C">
            <w:pPr>
              <w:pStyle w:val="CLDTableTextListText"/>
            </w:pPr>
            <w:r w:rsidRPr="00BC545A">
              <w:t>75.0</w:t>
            </w:r>
          </w:p>
        </w:tc>
        <w:tc>
          <w:tcPr>
            <w:tcW w:w="1560" w:type="dxa"/>
            <w:tcBorders>
              <w:top w:val="single" w:sz="4" w:space="0" w:color="auto"/>
              <w:left w:val="single" w:sz="4" w:space="0" w:color="auto"/>
              <w:bottom w:val="single" w:sz="4" w:space="0" w:color="auto"/>
              <w:right w:val="single" w:sz="4" w:space="0" w:color="auto"/>
            </w:tcBorders>
          </w:tcPr>
          <w:p w:rsidR="007068D6" w:rsidRPr="00BC545A" w:rsidRDefault="007068D6" w:rsidP="003F2E8C">
            <w:pPr>
              <w:pStyle w:val="CLDTableTextListText"/>
            </w:pPr>
            <w:r w:rsidRPr="00BC545A">
              <w:t>9</w:t>
            </w:r>
          </w:p>
        </w:tc>
        <w:tc>
          <w:tcPr>
            <w:tcW w:w="936" w:type="dxa"/>
            <w:tcBorders>
              <w:top w:val="single" w:sz="4" w:space="0" w:color="auto"/>
              <w:left w:val="single" w:sz="4" w:space="0" w:color="auto"/>
              <w:bottom w:val="single" w:sz="4" w:space="0" w:color="auto"/>
              <w:right w:val="single" w:sz="4" w:space="0" w:color="auto"/>
            </w:tcBorders>
          </w:tcPr>
          <w:p w:rsidR="007068D6" w:rsidRPr="00BC545A" w:rsidRDefault="007068D6" w:rsidP="003F2E8C">
            <w:pPr>
              <w:pStyle w:val="CLDTableTextListText"/>
            </w:pPr>
            <w:r w:rsidRPr="00BC545A">
              <w:t>12</w:t>
            </w:r>
          </w:p>
        </w:tc>
      </w:tr>
      <w:tr w:rsidR="003F2E8C" w:rsidRPr="00BC545A" w:rsidTr="00B50AEC">
        <w:trPr>
          <w:cantSplit/>
        </w:trPr>
        <w:tc>
          <w:tcPr>
            <w:tcW w:w="2235" w:type="dxa"/>
            <w:tcBorders>
              <w:top w:val="single" w:sz="4" w:space="0" w:color="auto"/>
              <w:left w:val="single" w:sz="4" w:space="0" w:color="auto"/>
              <w:bottom w:val="single" w:sz="4" w:space="0" w:color="auto"/>
              <w:right w:val="single" w:sz="4" w:space="0" w:color="auto"/>
            </w:tcBorders>
          </w:tcPr>
          <w:p w:rsidR="007068D6" w:rsidRPr="00BC545A" w:rsidRDefault="007068D6" w:rsidP="00667EAA">
            <w:pPr>
              <w:pStyle w:val="StyleCLDTableTextListTextItalicAuto"/>
            </w:pPr>
            <w:r w:rsidRPr="00BC545A">
              <w:t xml:space="preserve">  </w:t>
            </w:r>
            <w:proofErr w:type="spellStart"/>
            <w:r w:rsidRPr="00BC545A">
              <w:t>Serratia</w:t>
            </w:r>
            <w:proofErr w:type="spellEnd"/>
            <w:r w:rsidRPr="00BC545A">
              <w:t xml:space="preserve"> </w:t>
            </w:r>
            <w:proofErr w:type="spellStart"/>
            <w:r w:rsidRPr="00BC545A">
              <w:t>marcescens</w:t>
            </w:r>
            <w:proofErr w:type="spellEnd"/>
          </w:p>
        </w:tc>
        <w:tc>
          <w:tcPr>
            <w:tcW w:w="1134" w:type="dxa"/>
            <w:tcBorders>
              <w:top w:val="single" w:sz="4" w:space="0" w:color="auto"/>
              <w:left w:val="single" w:sz="4" w:space="0" w:color="auto"/>
              <w:bottom w:val="single" w:sz="4" w:space="0" w:color="auto"/>
              <w:right w:val="single" w:sz="4" w:space="0" w:color="auto"/>
            </w:tcBorders>
          </w:tcPr>
          <w:p w:rsidR="007068D6" w:rsidRPr="00BC545A" w:rsidRDefault="007068D6" w:rsidP="003F2E8C">
            <w:pPr>
              <w:pStyle w:val="CLDTableTextListText"/>
            </w:pPr>
            <w:r w:rsidRPr="00BC545A">
              <w:t>73.3</w:t>
            </w:r>
          </w:p>
        </w:tc>
        <w:tc>
          <w:tcPr>
            <w:tcW w:w="1559" w:type="dxa"/>
            <w:tcBorders>
              <w:top w:val="single" w:sz="4" w:space="0" w:color="auto"/>
              <w:left w:val="single" w:sz="4" w:space="0" w:color="auto"/>
              <w:bottom w:val="single" w:sz="4" w:space="0" w:color="auto"/>
              <w:right w:val="single" w:sz="4" w:space="0" w:color="auto"/>
            </w:tcBorders>
          </w:tcPr>
          <w:p w:rsidR="007068D6" w:rsidRPr="00BC545A" w:rsidRDefault="007068D6" w:rsidP="003F2E8C">
            <w:pPr>
              <w:pStyle w:val="CLDTableTextListText"/>
            </w:pPr>
            <w:r w:rsidRPr="00BC545A">
              <w:t>11</w:t>
            </w:r>
          </w:p>
        </w:tc>
        <w:tc>
          <w:tcPr>
            <w:tcW w:w="850" w:type="dxa"/>
            <w:tcBorders>
              <w:top w:val="single" w:sz="4" w:space="0" w:color="auto"/>
              <w:left w:val="single" w:sz="4" w:space="0" w:color="auto"/>
              <w:bottom w:val="single" w:sz="4" w:space="0" w:color="auto"/>
              <w:right w:val="single" w:sz="4" w:space="0" w:color="auto"/>
            </w:tcBorders>
          </w:tcPr>
          <w:p w:rsidR="007068D6" w:rsidRPr="00BC545A" w:rsidRDefault="007068D6" w:rsidP="003F2E8C">
            <w:pPr>
              <w:pStyle w:val="CLDTableTextListText"/>
            </w:pPr>
            <w:r w:rsidRPr="00BC545A">
              <w:t>15</w:t>
            </w:r>
          </w:p>
        </w:tc>
        <w:tc>
          <w:tcPr>
            <w:tcW w:w="1134" w:type="dxa"/>
            <w:tcBorders>
              <w:top w:val="single" w:sz="4" w:space="0" w:color="auto"/>
              <w:left w:val="single" w:sz="4" w:space="0" w:color="auto"/>
              <w:bottom w:val="single" w:sz="4" w:space="0" w:color="auto"/>
              <w:right w:val="single" w:sz="4" w:space="0" w:color="auto"/>
            </w:tcBorders>
          </w:tcPr>
          <w:p w:rsidR="007068D6" w:rsidRPr="00BC545A" w:rsidRDefault="007068D6" w:rsidP="003F2E8C">
            <w:pPr>
              <w:pStyle w:val="CLDTableTextListText"/>
            </w:pPr>
            <w:r w:rsidRPr="00BC545A">
              <w:t>92.3</w:t>
            </w:r>
          </w:p>
        </w:tc>
        <w:tc>
          <w:tcPr>
            <w:tcW w:w="1560" w:type="dxa"/>
            <w:tcBorders>
              <w:top w:val="single" w:sz="4" w:space="0" w:color="auto"/>
              <w:left w:val="single" w:sz="4" w:space="0" w:color="auto"/>
              <w:bottom w:val="single" w:sz="4" w:space="0" w:color="auto"/>
              <w:right w:val="single" w:sz="4" w:space="0" w:color="auto"/>
            </w:tcBorders>
          </w:tcPr>
          <w:p w:rsidR="007068D6" w:rsidRPr="00BC545A" w:rsidRDefault="007068D6" w:rsidP="003F2E8C">
            <w:pPr>
              <w:pStyle w:val="CLDTableTextListText"/>
            </w:pPr>
            <w:r w:rsidRPr="00BC545A">
              <w:t>12</w:t>
            </w:r>
          </w:p>
        </w:tc>
        <w:tc>
          <w:tcPr>
            <w:tcW w:w="936" w:type="dxa"/>
            <w:tcBorders>
              <w:top w:val="single" w:sz="4" w:space="0" w:color="auto"/>
              <w:left w:val="single" w:sz="4" w:space="0" w:color="auto"/>
              <w:bottom w:val="single" w:sz="4" w:space="0" w:color="auto"/>
              <w:right w:val="single" w:sz="4" w:space="0" w:color="auto"/>
            </w:tcBorders>
          </w:tcPr>
          <w:p w:rsidR="007068D6" w:rsidRPr="00BC545A" w:rsidRDefault="007068D6" w:rsidP="003F2E8C">
            <w:pPr>
              <w:pStyle w:val="CLDTableTextListText"/>
            </w:pPr>
            <w:r w:rsidRPr="00BC545A">
              <w:t>13</w:t>
            </w:r>
          </w:p>
        </w:tc>
      </w:tr>
      <w:tr w:rsidR="003F2E8C" w:rsidRPr="00BC545A" w:rsidTr="00B50AEC">
        <w:trPr>
          <w:cantSplit/>
        </w:trPr>
        <w:tc>
          <w:tcPr>
            <w:tcW w:w="2235" w:type="dxa"/>
            <w:tcBorders>
              <w:top w:val="single" w:sz="4" w:space="0" w:color="auto"/>
              <w:left w:val="single" w:sz="4" w:space="0" w:color="auto"/>
              <w:bottom w:val="single" w:sz="4" w:space="0" w:color="auto"/>
              <w:right w:val="single" w:sz="4" w:space="0" w:color="auto"/>
            </w:tcBorders>
          </w:tcPr>
          <w:p w:rsidR="007068D6" w:rsidRPr="00BC545A" w:rsidRDefault="007068D6" w:rsidP="00B50AEC">
            <w:pPr>
              <w:pStyle w:val="StyleCLDTableTextListTextItalicAuto"/>
            </w:pPr>
            <w:r w:rsidRPr="00BC545A">
              <w:t>P</w:t>
            </w:r>
            <w:r w:rsidR="00B50AEC">
              <w:t xml:space="preserve">. </w:t>
            </w:r>
            <w:r w:rsidRPr="00BC545A">
              <w:t>aeruginosa</w:t>
            </w:r>
          </w:p>
        </w:tc>
        <w:tc>
          <w:tcPr>
            <w:tcW w:w="1134" w:type="dxa"/>
            <w:tcBorders>
              <w:top w:val="single" w:sz="4" w:space="0" w:color="auto"/>
              <w:left w:val="single" w:sz="4" w:space="0" w:color="auto"/>
              <w:bottom w:val="single" w:sz="4" w:space="0" w:color="auto"/>
              <w:right w:val="single" w:sz="4" w:space="0" w:color="auto"/>
            </w:tcBorders>
          </w:tcPr>
          <w:p w:rsidR="007068D6" w:rsidRPr="00BC545A" w:rsidRDefault="007068D6" w:rsidP="00D27B3A">
            <w:pPr>
              <w:pStyle w:val="CLDTableTextListText"/>
            </w:pPr>
            <w:r w:rsidRPr="00BC545A">
              <w:t>60.3</w:t>
            </w:r>
          </w:p>
        </w:tc>
        <w:tc>
          <w:tcPr>
            <w:tcW w:w="1559" w:type="dxa"/>
            <w:tcBorders>
              <w:top w:val="single" w:sz="4" w:space="0" w:color="auto"/>
              <w:left w:val="single" w:sz="4" w:space="0" w:color="auto"/>
              <w:bottom w:val="single" w:sz="4" w:space="0" w:color="auto"/>
              <w:right w:val="single" w:sz="4" w:space="0" w:color="auto"/>
            </w:tcBorders>
          </w:tcPr>
          <w:p w:rsidR="007068D6" w:rsidRPr="00BC545A" w:rsidRDefault="007068D6" w:rsidP="00D27B3A">
            <w:pPr>
              <w:pStyle w:val="CLDTableTextListText"/>
            </w:pPr>
            <w:r w:rsidRPr="00BC545A">
              <w:t>35</w:t>
            </w:r>
          </w:p>
        </w:tc>
        <w:tc>
          <w:tcPr>
            <w:tcW w:w="850" w:type="dxa"/>
            <w:tcBorders>
              <w:top w:val="single" w:sz="4" w:space="0" w:color="auto"/>
              <w:left w:val="single" w:sz="4" w:space="0" w:color="auto"/>
              <w:bottom w:val="single" w:sz="4" w:space="0" w:color="auto"/>
              <w:right w:val="single" w:sz="4" w:space="0" w:color="auto"/>
            </w:tcBorders>
          </w:tcPr>
          <w:p w:rsidR="007068D6" w:rsidRPr="00BC545A" w:rsidRDefault="007068D6" w:rsidP="00D27B3A">
            <w:pPr>
              <w:pStyle w:val="CLDTableTextListText"/>
            </w:pPr>
            <w:r w:rsidRPr="00BC545A">
              <w:t>58</w:t>
            </w:r>
          </w:p>
        </w:tc>
        <w:tc>
          <w:tcPr>
            <w:tcW w:w="1134" w:type="dxa"/>
            <w:tcBorders>
              <w:top w:val="single" w:sz="4" w:space="0" w:color="auto"/>
              <w:left w:val="single" w:sz="4" w:space="0" w:color="auto"/>
              <w:bottom w:val="single" w:sz="4" w:space="0" w:color="auto"/>
              <w:right w:val="single" w:sz="4" w:space="0" w:color="auto"/>
            </w:tcBorders>
          </w:tcPr>
          <w:p w:rsidR="007068D6" w:rsidRPr="00BC545A" w:rsidRDefault="007068D6" w:rsidP="00D27B3A">
            <w:pPr>
              <w:pStyle w:val="CLDTableTextListText"/>
            </w:pPr>
            <w:r w:rsidRPr="00BC545A">
              <w:t>74.5</w:t>
            </w:r>
          </w:p>
        </w:tc>
        <w:tc>
          <w:tcPr>
            <w:tcW w:w="1560" w:type="dxa"/>
            <w:tcBorders>
              <w:top w:val="single" w:sz="4" w:space="0" w:color="auto"/>
              <w:left w:val="single" w:sz="4" w:space="0" w:color="auto"/>
              <w:bottom w:val="single" w:sz="4" w:space="0" w:color="auto"/>
              <w:right w:val="single" w:sz="4" w:space="0" w:color="auto"/>
            </w:tcBorders>
          </w:tcPr>
          <w:p w:rsidR="007068D6" w:rsidRPr="00BC545A" w:rsidRDefault="007068D6" w:rsidP="00D27B3A">
            <w:pPr>
              <w:pStyle w:val="CLDTableTextListText"/>
            </w:pPr>
            <w:r w:rsidRPr="00BC545A">
              <w:t>35</w:t>
            </w:r>
          </w:p>
        </w:tc>
        <w:tc>
          <w:tcPr>
            <w:tcW w:w="936" w:type="dxa"/>
            <w:tcBorders>
              <w:top w:val="single" w:sz="4" w:space="0" w:color="auto"/>
              <w:left w:val="single" w:sz="4" w:space="0" w:color="auto"/>
              <w:bottom w:val="single" w:sz="4" w:space="0" w:color="auto"/>
              <w:right w:val="single" w:sz="4" w:space="0" w:color="auto"/>
            </w:tcBorders>
          </w:tcPr>
          <w:p w:rsidR="007068D6" w:rsidRPr="00BC545A" w:rsidRDefault="007068D6" w:rsidP="00D27B3A">
            <w:pPr>
              <w:pStyle w:val="CLDTableTextListText"/>
            </w:pPr>
            <w:r w:rsidRPr="00BC545A">
              <w:t>47</w:t>
            </w:r>
          </w:p>
        </w:tc>
      </w:tr>
      <w:tr w:rsidR="00D27B3A" w:rsidRPr="00BC545A" w:rsidTr="00B50AEC">
        <w:trPr>
          <w:cantSplit/>
        </w:trPr>
        <w:tc>
          <w:tcPr>
            <w:tcW w:w="2235" w:type="dxa"/>
            <w:tcBorders>
              <w:top w:val="single" w:sz="4" w:space="0" w:color="auto"/>
              <w:left w:val="single" w:sz="4" w:space="0" w:color="auto"/>
              <w:bottom w:val="single" w:sz="4" w:space="0" w:color="auto"/>
              <w:right w:val="single" w:sz="4" w:space="0" w:color="auto"/>
            </w:tcBorders>
          </w:tcPr>
          <w:p w:rsidR="00D27B3A" w:rsidRPr="00BC545A" w:rsidRDefault="00D27B3A" w:rsidP="00B50AEC">
            <w:pPr>
              <w:pStyle w:val="StyleCLDTableTextListTextItalicAuto"/>
            </w:pPr>
            <w:r w:rsidRPr="00BC545A">
              <w:t>H</w:t>
            </w:r>
            <w:r w:rsidR="00B50AEC">
              <w:t xml:space="preserve">. </w:t>
            </w:r>
            <w:proofErr w:type="spellStart"/>
            <w:r w:rsidRPr="00BC545A">
              <w:t>influenzae</w:t>
            </w:r>
            <w:proofErr w:type="spellEnd"/>
          </w:p>
        </w:tc>
        <w:tc>
          <w:tcPr>
            <w:tcW w:w="1134" w:type="dxa"/>
            <w:tcBorders>
              <w:top w:val="single" w:sz="4" w:space="0" w:color="auto"/>
              <w:left w:val="single" w:sz="4" w:space="0" w:color="auto"/>
              <w:bottom w:val="single" w:sz="4" w:space="0" w:color="auto"/>
              <w:right w:val="single" w:sz="4" w:space="0" w:color="auto"/>
            </w:tcBorders>
          </w:tcPr>
          <w:p w:rsidR="00D27B3A" w:rsidRPr="00BC545A" w:rsidRDefault="00D27B3A" w:rsidP="003F2E8C">
            <w:pPr>
              <w:pStyle w:val="CLDTableTextListText"/>
            </w:pPr>
            <w:r w:rsidRPr="00BC545A">
              <w:t>81.3</w:t>
            </w:r>
          </w:p>
        </w:tc>
        <w:tc>
          <w:tcPr>
            <w:tcW w:w="1559" w:type="dxa"/>
            <w:tcBorders>
              <w:top w:val="single" w:sz="4" w:space="0" w:color="auto"/>
              <w:left w:val="single" w:sz="4" w:space="0" w:color="auto"/>
              <w:bottom w:val="single" w:sz="4" w:space="0" w:color="auto"/>
              <w:right w:val="single" w:sz="4" w:space="0" w:color="auto"/>
            </w:tcBorders>
          </w:tcPr>
          <w:p w:rsidR="00D27B3A" w:rsidRPr="00BC545A" w:rsidRDefault="00D27B3A" w:rsidP="003F2E8C">
            <w:pPr>
              <w:pStyle w:val="CLDTableTextListText"/>
            </w:pPr>
            <w:r w:rsidRPr="00BC545A">
              <w:t>13</w:t>
            </w:r>
          </w:p>
        </w:tc>
        <w:tc>
          <w:tcPr>
            <w:tcW w:w="850" w:type="dxa"/>
            <w:tcBorders>
              <w:top w:val="single" w:sz="4" w:space="0" w:color="auto"/>
              <w:left w:val="single" w:sz="4" w:space="0" w:color="auto"/>
              <w:bottom w:val="single" w:sz="4" w:space="0" w:color="auto"/>
              <w:right w:val="single" w:sz="4" w:space="0" w:color="auto"/>
            </w:tcBorders>
          </w:tcPr>
          <w:p w:rsidR="00D27B3A" w:rsidRPr="00BC545A" w:rsidRDefault="00D27B3A" w:rsidP="003F2E8C">
            <w:pPr>
              <w:pStyle w:val="CLDTableTextListText"/>
            </w:pPr>
            <w:r w:rsidRPr="00BC545A">
              <w:t>16</w:t>
            </w:r>
          </w:p>
        </w:tc>
        <w:tc>
          <w:tcPr>
            <w:tcW w:w="1134" w:type="dxa"/>
            <w:tcBorders>
              <w:top w:val="single" w:sz="4" w:space="0" w:color="auto"/>
              <w:left w:val="single" w:sz="4" w:space="0" w:color="auto"/>
              <w:bottom w:val="single" w:sz="4" w:space="0" w:color="auto"/>
              <w:right w:val="single" w:sz="4" w:space="0" w:color="auto"/>
            </w:tcBorders>
          </w:tcPr>
          <w:p w:rsidR="00D27B3A" w:rsidRPr="00BC545A" w:rsidRDefault="00D27B3A" w:rsidP="003F2E8C">
            <w:pPr>
              <w:pStyle w:val="CLDTableTextListText"/>
            </w:pPr>
            <w:r w:rsidRPr="00BC545A">
              <w:t>80.0</w:t>
            </w:r>
          </w:p>
        </w:tc>
        <w:tc>
          <w:tcPr>
            <w:tcW w:w="1560" w:type="dxa"/>
            <w:tcBorders>
              <w:top w:val="single" w:sz="4" w:space="0" w:color="auto"/>
              <w:left w:val="single" w:sz="4" w:space="0" w:color="auto"/>
              <w:bottom w:val="single" w:sz="4" w:space="0" w:color="auto"/>
              <w:right w:val="single" w:sz="4" w:space="0" w:color="auto"/>
            </w:tcBorders>
          </w:tcPr>
          <w:p w:rsidR="00D27B3A" w:rsidRPr="00BC545A" w:rsidRDefault="00D27B3A" w:rsidP="003F2E8C">
            <w:pPr>
              <w:pStyle w:val="CLDTableTextListText"/>
            </w:pPr>
            <w:r w:rsidRPr="00BC545A">
              <w:t>20</w:t>
            </w:r>
          </w:p>
        </w:tc>
        <w:tc>
          <w:tcPr>
            <w:tcW w:w="936" w:type="dxa"/>
            <w:tcBorders>
              <w:top w:val="single" w:sz="4" w:space="0" w:color="auto"/>
              <w:left w:val="single" w:sz="4" w:space="0" w:color="auto"/>
              <w:bottom w:val="single" w:sz="4" w:space="0" w:color="auto"/>
              <w:right w:val="single" w:sz="4" w:space="0" w:color="auto"/>
            </w:tcBorders>
          </w:tcPr>
          <w:p w:rsidR="00D27B3A" w:rsidRPr="00BC545A" w:rsidRDefault="00D27B3A" w:rsidP="003F2E8C">
            <w:pPr>
              <w:pStyle w:val="CLDTableTextListText"/>
            </w:pPr>
            <w:r w:rsidRPr="00BC545A">
              <w:t>25</w:t>
            </w:r>
          </w:p>
        </w:tc>
      </w:tr>
    </w:tbl>
    <w:p w:rsidR="007068D6" w:rsidRPr="00BC545A" w:rsidRDefault="007068D6" w:rsidP="007068D6">
      <w:pPr>
        <w:spacing w:after="0"/>
        <w:rPr>
          <w:lang w:val="en-US"/>
        </w:rPr>
      </w:pPr>
    </w:p>
    <w:p w:rsidR="00020CB9" w:rsidRPr="00667EAA" w:rsidRDefault="00D76D07" w:rsidP="00667EAA">
      <w:pPr>
        <w:pStyle w:val="CLDTableTitle"/>
      </w:pPr>
      <w:bookmarkStart w:id="13" w:name="_Toc1479084"/>
      <w:r>
        <w:lastRenderedPageBreak/>
        <w:t xml:space="preserve">Table </w:t>
      </w:r>
      <w:r>
        <w:fldChar w:fldCharType="begin"/>
      </w:r>
      <w:r>
        <w:instrText xml:space="preserve"> SEQ Table \* ARABIC </w:instrText>
      </w:r>
      <w:r>
        <w:fldChar w:fldCharType="separate"/>
      </w:r>
      <w:r w:rsidR="00B44B34">
        <w:rPr>
          <w:noProof/>
        </w:rPr>
        <w:t>14</w:t>
      </w:r>
      <w:r>
        <w:fldChar w:fldCharType="end"/>
      </w:r>
      <w:r>
        <w:t xml:space="preserve">: </w:t>
      </w:r>
      <w:r w:rsidRPr="00CD716F">
        <w:t xml:space="preserve">Per-pathogen microbiological response at TOC by common (combined frequency of </w:t>
      </w:r>
      <w:r w:rsidR="00ED5E7E">
        <w:sym w:font="Symbol" w:char="F0B3"/>
      </w:r>
      <w:r w:rsidRPr="00CD716F">
        <w:t xml:space="preserve">10) Gram-negative baseline pathogen (REPROVE </w:t>
      </w:r>
      <w:proofErr w:type="spellStart"/>
      <w:r w:rsidRPr="00CD716F">
        <w:t>mMITT</w:t>
      </w:r>
      <w:proofErr w:type="spellEnd"/>
      <w:r>
        <w:t>)</w:t>
      </w:r>
      <w:bookmarkEnd w:id="13"/>
    </w:p>
    <w:tbl>
      <w:tblPr>
        <w:tblW w:w="9464" w:type="dxa"/>
        <w:tblLayout w:type="fixed"/>
        <w:tblLook w:val="0000" w:firstRow="0" w:lastRow="0" w:firstColumn="0" w:lastColumn="0" w:noHBand="0" w:noVBand="0"/>
      </w:tblPr>
      <w:tblGrid>
        <w:gridCol w:w="2093"/>
        <w:gridCol w:w="1417"/>
        <w:gridCol w:w="1418"/>
        <w:gridCol w:w="850"/>
        <w:gridCol w:w="1418"/>
        <w:gridCol w:w="1276"/>
        <w:gridCol w:w="992"/>
      </w:tblGrid>
      <w:tr w:rsidR="001939AC" w:rsidRPr="00BC545A" w:rsidTr="00667EAA">
        <w:trPr>
          <w:cantSplit/>
          <w:tblHeader/>
        </w:trPr>
        <w:tc>
          <w:tcPr>
            <w:tcW w:w="9464" w:type="dxa"/>
            <w:gridSpan w:val="7"/>
            <w:tcBorders>
              <w:top w:val="single" w:sz="4" w:space="0" w:color="auto"/>
              <w:left w:val="single" w:sz="4" w:space="0" w:color="auto"/>
              <w:bottom w:val="single" w:sz="4" w:space="0" w:color="auto"/>
              <w:right w:val="single" w:sz="4" w:space="0" w:color="auto"/>
            </w:tcBorders>
          </w:tcPr>
          <w:p w:rsidR="007068D6" w:rsidRPr="00BC545A" w:rsidRDefault="007068D6" w:rsidP="00020CB9">
            <w:pPr>
              <w:pStyle w:val="CLDTableTitle"/>
              <w:jc w:val="center"/>
            </w:pPr>
            <w:r w:rsidRPr="00BC545A">
              <w:t>Number of patients</w:t>
            </w:r>
          </w:p>
        </w:tc>
      </w:tr>
      <w:tr w:rsidR="001939AC" w:rsidRPr="00BC545A" w:rsidTr="00B50AEC">
        <w:trPr>
          <w:cantSplit/>
          <w:tblHeader/>
        </w:trPr>
        <w:tc>
          <w:tcPr>
            <w:tcW w:w="2093" w:type="dxa"/>
            <w:tcBorders>
              <w:top w:val="single" w:sz="4" w:space="0" w:color="auto"/>
              <w:left w:val="single" w:sz="4" w:space="0" w:color="auto"/>
              <w:bottom w:val="single" w:sz="4" w:space="0" w:color="auto"/>
              <w:right w:val="single" w:sz="4" w:space="0" w:color="auto"/>
            </w:tcBorders>
          </w:tcPr>
          <w:p w:rsidR="007068D6" w:rsidRPr="00BC545A" w:rsidRDefault="007068D6" w:rsidP="00020CB9">
            <w:pPr>
              <w:pStyle w:val="CLDTableTitle"/>
            </w:pPr>
          </w:p>
        </w:tc>
        <w:tc>
          <w:tcPr>
            <w:tcW w:w="3685" w:type="dxa"/>
            <w:gridSpan w:val="3"/>
            <w:tcBorders>
              <w:top w:val="single" w:sz="4" w:space="0" w:color="auto"/>
              <w:left w:val="single" w:sz="4" w:space="0" w:color="auto"/>
              <w:bottom w:val="single" w:sz="4" w:space="0" w:color="auto"/>
              <w:right w:val="single" w:sz="4" w:space="0" w:color="auto"/>
            </w:tcBorders>
          </w:tcPr>
          <w:p w:rsidR="007068D6" w:rsidRPr="00BC545A" w:rsidRDefault="00E61FAC" w:rsidP="00020CB9">
            <w:pPr>
              <w:pStyle w:val="CLDTableTitle"/>
              <w:jc w:val="center"/>
            </w:pPr>
            <w:r>
              <w:t>CAZ/AVI</w:t>
            </w:r>
            <w:r w:rsidR="007068D6" w:rsidRPr="00BC545A">
              <w:t xml:space="preserve"> (N=171)</w:t>
            </w:r>
          </w:p>
        </w:tc>
        <w:tc>
          <w:tcPr>
            <w:tcW w:w="3686" w:type="dxa"/>
            <w:gridSpan w:val="3"/>
            <w:tcBorders>
              <w:top w:val="single" w:sz="4" w:space="0" w:color="auto"/>
              <w:left w:val="single" w:sz="4" w:space="0" w:color="auto"/>
              <w:bottom w:val="single" w:sz="4" w:space="0" w:color="auto"/>
              <w:right w:val="single" w:sz="4" w:space="0" w:color="auto"/>
            </w:tcBorders>
          </w:tcPr>
          <w:p w:rsidR="007068D6" w:rsidRPr="00BC545A" w:rsidRDefault="007068D6" w:rsidP="00020CB9">
            <w:pPr>
              <w:pStyle w:val="CLDTableTitle"/>
              <w:jc w:val="center"/>
            </w:pPr>
            <w:proofErr w:type="spellStart"/>
            <w:r w:rsidRPr="00BC545A">
              <w:t>Meropenem</w:t>
            </w:r>
            <w:proofErr w:type="spellEnd"/>
            <w:r w:rsidRPr="00BC545A">
              <w:t xml:space="preserve"> (N=184)</w:t>
            </w:r>
          </w:p>
        </w:tc>
      </w:tr>
      <w:tr w:rsidR="00667EAA" w:rsidRPr="00F73E2D" w:rsidTr="00B50AEC">
        <w:trPr>
          <w:cantSplit/>
          <w:tblHeader/>
        </w:trPr>
        <w:tc>
          <w:tcPr>
            <w:tcW w:w="2093" w:type="dxa"/>
            <w:tcBorders>
              <w:top w:val="single" w:sz="4" w:space="0" w:color="auto"/>
              <w:left w:val="single" w:sz="4" w:space="0" w:color="auto"/>
              <w:bottom w:val="single" w:sz="4" w:space="0" w:color="auto"/>
              <w:right w:val="single" w:sz="4" w:space="0" w:color="auto"/>
            </w:tcBorders>
          </w:tcPr>
          <w:p w:rsidR="007068D6" w:rsidRPr="00F73E2D" w:rsidRDefault="007068D6" w:rsidP="00F73E2D">
            <w:pPr>
              <w:pStyle w:val="CLDTableSpaceListSpace"/>
              <w:rPr>
                <w:b/>
                <w:bCs/>
                <w:sz w:val="22"/>
              </w:rPr>
            </w:pPr>
            <w:r w:rsidRPr="00F73E2D">
              <w:rPr>
                <w:b/>
                <w:bCs/>
                <w:sz w:val="22"/>
              </w:rPr>
              <w:t>Pathogen</w:t>
            </w:r>
          </w:p>
        </w:tc>
        <w:tc>
          <w:tcPr>
            <w:tcW w:w="1417" w:type="dxa"/>
            <w:tcBorders>
              <w:top w:val="single" w:sz="4" w:space="0" w:color="auto"/>
              <w:left w:val="single" w:sz="4" w:space="0" w:color="auto"/>
              <w:bottom w:val="single" w:sz="4" w:space="0" w:color="auto"/>
              <w:right w:val="single" w:sz="4" w:space="0" w:color="auto"/>
            </w:tcBorders>
          </w:tcPr>
          <w:p w:rsidR="007068D6" w:rsidRPr="00F73E2D" w:rsidRDefault="007068D6" w:rsidP="00F73E2D">
            <w:pPr>
              <w:pStyle w:val="CLDTableSpaceListSpace"/>
              <w:rPr>
                <w:b/>
                <w:bCs/>
                <w:sz w:val="22"/>
              </w:rPr>
            </w:pPr>
            <w:r w:rsidRPr="00F73E2D">
              <w:rPr>
                <w:b/>
                <w:bCs/>
                <w:sz w:val="22"/>
              </w:rPr>
              <w:t>Favourable response rate (%)</w:t>
            </w:r>
          </w:p>
        </w:tc>
        <w:tc>
          <w:tcPr>
            <w:tcW w:w="1418" w:type="dxa"/>
            <w:tcBorders>
              <w:top w:val="single" w:sz="4" w:space="0" w:color="auto"/>
              <w:left w:val="single" w:sz="4" w:space="0" w:color="auto"/>
              <w:bottom w:val="single" w:sz="4" w:space="0" w:color="auto"/>
              <w:right w:val="single" w:sz="4" w:space="0" w:color="auto"/>
            </w:tcBorders>
          </w:tcPr>
          <w:p w:rsidR="007068D6" w:rsidRPr="00F73E2D" w:rsidRDefault="007068D6" w:rsidP="00F73E2D">
            <w:pPr>
              <w:pStyle w:val="CLDTableSpaceListSpace"/>
              <w:rPr>
                <w:b/>
                <w:bCs/>
                <w:sz w:val="22"/>
              </w:rPr>
            </w:pPr>
            <w:r w:rsidRPr="00F73E2D">
              <w:rPr>
                <w:b/>
                <w:bCs/>
                <w:sz w:val="22"/>
              </w:rPr>
              <w:t>Number of favourable responses</w:t>
            </w:r>
          </w:p>
        </w:tc>
        <w:tc>
          <w:tcPr>
            <w:tcW w:w="850" w:type="dxa"/>
            <w:tcBorders>
              <w:top w:val="single" w:sz="4" w:space="0" w:color="auto"/>
              <w:left w:val="single" w:sz="4" w:space="0" w:color="auto"/>
              <w:bottom w:val="single" w:sz="4" w:space="0" w:color="auto"/>
              <w:right w:val="single" w:sz="4" w:space="0" w:color="auto"/>
            </w:tcBorders>
          </w:tcPr>
          <w:p w:rsidR="007068D6" w:rsidRPr="00F73E2D" w:rsidRDefault="007068D6" w:rsidP="00F73E2D">
            <w:pPr>
              <w:pStyle w:val="CLDTableSpaceListSpace"/>
              <w:rPr>
                <w:b/>
                <w:bCs/>
                <w:sz w:val="22"/>
              </w:rPr>
            </w:pPr>
            <w:r w:rsidRPr="00F73E2D">
              <w:rPr>
                <w:b/>
                <w:bCs/>
                <w:sz w:val="22"/>
              </w:rPr>
              <w:t>N</w:t>
            </w:r>
          </w:p>
        </w:tc>
        <w:tc>
          <w:tcPr>
            <w:tcW w:w="1418" w:type="dxa"/>
            <w:tcBorders>
              <w:top w:val="single" w:sz="4" w:space="0" w:color="auto"/>
              <w:left w:val="single" w:sz="4" w:space="0" w:color="auto"/>
              <w:bottom w:val="single" w:sz="4" w:space="0" w:color="auto"/>
              <w:right w:val="single" w:sz="4" w:space="0" w:color="auto"/>
            </w:tcBorders>
          </w:tcPr>
          <w:p w:rsidR="007068D6" w:rsidRPr="00F73E2D" w:rsidRDefault="007068D6" w:rsidP="00F73E2D">
            <w:pPr>
              <w:pStyle w:val="CLDTableSpaceListSpace"/>
              <w:rPr>
                <w:b/>
                <w:bCs/>
                <w:sz w:val="22"/>
              </w:rPr>
            </w:pPr>
            <w:r w:rsidRPr="00F73E2D">
              <w:rPr>
                <w:b/>
                <w:bCs/>
                <w:sz w:val="22"/>
              </w:rPr>
              <w:t>Favourable response rate (%)</w:t>
            </w:r>
          </w:p>
        </w:tc>
        <w:tc>
          <w:tcPr>
            <w:tcW w:w="1276" w:type="dxa"/>
            <w:tcBorders>
              <w:top w:val="single" w:sz="4" w:space="0" w:color="auto"/>
              <w:left w:val="single" w:sz="4" w:space="0" w:color="auto"/>
              <w:bottom w:val="single" w:sz="4" w:space="0" w:color="auto"/>
              <w:right w:val="single" w:sz="4" w:space="0" w:color="auto"/>
            </w:tcBorders>
          </w:tcPr>
          <w:p w:rsidR="007068D6" w:rsidRPr="00F73E2D" w:rsidRDefault="007068D6" w:rsidP="00F73E2D">
            <w:pPr>
              <w:pStyle w:val="CLDTableSpaceListSpace"/>
              <w:rPr>
                <w:b/>
                <w:bCs/>
                <w:sz w:val="22"/>
              </w:rPr>
            </w:pPr>
            <w:r w:rsidRPr="00F73E2D">
              <w:rPr>
                <w:b/>
                <w:bCs/>
                <w:sz w:val="22"/>
              </w:rPr>
              <w:t>Number of favourable responses</w:t>
            </w:r>
          </w:p>
        </w:tc>
        <w:tc>
          <w:tcPr>
            <w:tcW w:w="992" w:type="dxa"/>
            <w:tcBorders>
              <w:top w:val="single" w:sz="4" w:space="0" w:color="auto"/>
              <w:left w:val="single" w:sz="4" w:space="0" w:color="auto"/>
              <w:bottom w:val="single" w:sz="4" w:space="0" w:color="auto"/>
              <w:right w:val="single" w:sz="4" w:space="0" w:color="auto"/>
            </w:tcBorders>
          </w:tcPr>
          <w:p w:rsidR="007068D6" w:rsidRPr="00F73E2D" w:rsidRDefault="007068D6" w:rsidP="00F73E2D">
            <w:pPr>
              <w:pStyle w:val="CLDTableSpaceListSpace"/>
              <w:rPr>
                <w:b/>
                <w:bCs/>
                <w:sz w:val="22"/>
              </w:rPr>
            </w:pPr>
            <w:r w:rsidRPr="00F73E2D">
              <w:rPr>
                <w:b/>
                <w:bCs/>
                <w:sz w:val="22"/>
              </w:rPr>
              <w:t>n</w:t>
            </w:r>
          </w:p>
        </w:tc>
      </w:tr>
      <w:tr w:rsidR="00B50AEC" w:rsidRPr="00667EAA" w:rsidTr="00B50AEC">
        <w:trPr>
          <w:cantSplit/>
        </w:trPr>
        <w:tc>
          <w:tcPr>
            <w:tcW w:w="2093" w:type="dxa"/>
            <w:tcBorders>
              <w:top w:val="single" w:sz="4" w:space="0" w:color="auto"/>
              <w:left w:val="single" w:sz="4" w:space="0" w:color="auto"/>
              <w:bottom w:val="single" w:sz="4" w:space="0" w:color="auto"/>
              <w:right w:val="single" w:sz="4" w:space="0" w:color="auto"/>
            </w:tcBorders>
          </w:tcPr>
          <w:p w:rsidR="007068D6" w:rsidRPr="00667EAA" w:rsidRDefault="005E3D31" w:rsidP="00B50AEC">
            <w:pPr>
              <w:pStyle w:val="CLDTableSpaceListSpace"/>
              <w:spacing w:before="20" w:after="60"/>
              <w:rPr>
                <w:i/>
                <w:iCs/>
                <w:sz w:val="22"/>
              </w:rPr>
            </w:pPr>
            <w:proofErr w:type="spellStart"/>
            <w:r w:rsidRPr="00667EAA">
              <w:rPr>
                <w:i/>
                <w:iCs/>
                <w:sz w:val="22"/>
              </w:rPr>
              <w:t>Enterobacteriaceae</w:t>
            </w:r>
            <w:proofErr w:type="spellEnd"/>
            <w:r w:rsidR="007068D6" w:rsidRPr="00667EAA">
              <w:rPr>
                <w:i/>
                <w:iCs/>
                <w:sz w:val="22"/>
              </w:rPr>
              <w:t xml:space="preserve"> </w:t>
            </w:r>
          </w:p>
        </w:tc>
        <w:tc>
          <w:tcPr>
            <w:tcW w:w="1417" w:type="dxa"/>
            <w:tcBorders>
              <w:top w:val="single" w:sz="4" w:space="0" w:color="auto"/>
              <w:left w:val="single" w:sz="4" w:space="0" w:color="auto"/>
              <w:bottom w:val="single" w:sz="4" w:space="0" w:color="auto"/>
              <w:right w:val="single" w:sz="4" w:space="0" w:color="auto"/>
            </w:tcBorders>
          </w:tcPr>
          <w:p w:rsidR="007068D6" w:rsidRPr="00667EAA" w:rsidRDefault="007068D6" w:rsidP="00667EAA">
            <w:pPr>
              <w:pStyle w:val="CLDTableSpaceListSpace"/>
              <w:spacing w:before="20" w:after="60"/>
              <w:rPr>
                <w:i/>
                <w:iCs/>
                <w:sz w:val="22"/>
              </w:rPr>
            </w:pPr>
          </w:p>
        </w:tc>
        <w:tc>
          <w:tcPr>
            <w:tcW w:w="1418" w:type="dxa"/>
            <w:tcBorders>
              <w:top w:val="single" w:sz="4" w:space="0" w:color="auto"/>
              <w:left w:val="single" w:sz="4" w:space="0" w:color="auto"/>
              <w:bottom w:val="single" w:sz="4" w:space="0" w:color="auto"/>
              <w:right w:val="single" w:sz="4" w:space="0" w:color="auto"/>
            </w:tcBorders>
          </w:tcPr>
          <w:p w:rsidR="007068D6" w:rsidRPr="00667EAA" w:rsidRDefault="007068D6" w:rsidP="00667EAA">
            <w:pPr>
              <w:pStyle w:val="CLDTableSpaceListSpace"/>
              <w:spacing w:before="20" w:after="60"/>
              <w:rPr>
                <w:i/>
                <w:iCs/>
                <w:sz w:val="22"/>
              </w:rPr>
            </w:pPr>
          </w:p>
        </w:tc>
        <w:tc>
          <w:tcPr>
            <w:tcW w:w="850" w:type="dxa"/>
            <w:tcBorders>
              <w:top w:val="single" w:sz="4" w:space="0" w:color="auto"/>
              <w:left w:val="single" w:sz="4" w:space="0" w:color="auto"/>
              <w:bottom w:val="single" w:sz="4" w:space="0" w:color="auto"/>
              <w:right w:val="single" w:sz="4" w:space="0" w:color="auto"/>
            </w:tcBorders>
          </w:tcPr>
          <w:p w:rsidR="007068D6" w:rsidRPr="00667EAA" w:rsidRDefault="007068D6" w:rsidP="00667EAA">
            <w:pPr>
              <w:pStyle w:val="CLDTableSpaceListSpace"/>
              <w:spacing w:before="20" w:after="60"/>
              <w:rPr>
                <w:i/>
                <w:iCs/>
                <w:sz w:val="22"/>
              </w:rPr>
            </w:pPr>
          </w:p>
        </w:tc>
        <w:tc>
          <w:tcPr>
            <w:tcW w:w="1418" w:type="dxa"/>
            <w:tcBorders>
              <w:top w:val="single" w:sz="4" w:space="0" w:color="auto"/>
              <w:left w:val="single" w:sz="4" w:space="0" w:color="auto"/>
              <w:bottom w:val="single" w:sz="4" w:space="0" w:color="auto"/>
              <w:right w:val="single" w:sz="4" w:space="0" w:color="auto"/>
            </w:tcBorders>
          </w:tcPr>
          <w:p w:rsidR="007068D6" w:rsidRPr="00667EAA" w:rsidRDefault="007068D6" w:rsidP="00667EAA">
            <w:pPr>
              <w:pStyle w:val="CLDTableSpaceListSpace"/>
              <w:spacing w:before="20" w:after="60"/>
              <w:rPr>
                <w:i/>
                <w:iCs/>
                <w:sz w:val="22"/>
              </w:rPr>
            </w:pPr>
          </w:p>
        </w:tc>
        <w:tc>
          <w:tcPr>
            <w:tcW w:w="1276" w:type="dxa"/>
            <w:tcBorders>
              <w:top w:val="single" w:sz="4" w:space="0" w:color="auto"/>
              <w:left w:val="single" w:sz="4" w:space="0" w:color="auto"/>
              <w:bottom w:val="single" w:sz="4" w:space="0" w:color="auto"/>
              <w:right w:val="single" w:sz="4" w:space="0" w:color="auto"/>
            </w:tcBorders>
          </w:tcPr>
          <w:p w:rsidR="007068D6" w:rsidRPr="00667EAA" w:rsidRDefault="007068D6" w:rsidP="00667EAA">
            <w:pPr>
              <w:pStyle w:val="CLDTableSpaceListSpace"/>
              <w:spacing w:before="20" w:after="60"/>
              <w:rPr>
                <w:i/>
                <w:iCs/>
                <w:sz w:val="22"/>
              </w:rPr>
            </w:pPr>
          </w:p>
        </w:tc>
        <w:tc>
          <w:tcPr>
            <w:tcW w:w="992" w:type="dxa"/>
            <w:tcBorders>
              <w:top w:val="single" w:sz="4" w:space="0" w:color="auto"/>
              <w:left w:val="single" w:sz="4" w:space="0" w:color="auto"/>
              <w:bottom w:val="single" w:sz="4" w:space="0" w:color="auto"/>
              <w:right w:val="single" w:sz="4" w:space="0" w:color="auto"/>
            </w:tcBorders>
          </w:tcPr>
          <w:p w:rsidR="00607570" w:rsidRPr="00667EAA" w:rsidRDefault="00607570" w:rsidP="00667EAA">
            <w:pPr>
              <w:pStyle w:val="CLDTableSpaceListSpace"/>
              <w:spacing w:before="20" w:after="60"/>
              <w:rPr>
                <w:i/>
                <w:iCs/>
                <w:sz w:val="22"/>
              </w:rPr>
            </w:pPr>
          </w:p>
        </w:tc>
      </w:tr>
      <w:tr w:rsidR="00B50AEC" w:rsidRPr="00667EAA" w:rsidTr="00B50AEC">
        <w:trPr>
          <w:cantSplit/>
        </w:trPr>
        <w:tc>
          <w:tcPr>
            <w:tcW w:w="2093" w:type="dxa"/>
            <w:tcBorders>
              <w:top w:val="single" w:sz="4" w:space="0" w:color="auto"/>
              <w:left w:val="single" w:sz="4" w:space="0" w:color="auto"/>
              <w:bottom w:val="single" w:sz="4" w:space="0" w:color="auto"/>
              <w:right w:val="single" w:sz="4" w:space="0" w:color="auto"/>
            </w:tcBorders>
          </w:tcPr>
          <w:p w:rsidR="00D27B3A" w:rsidRPr="00667EAA" w:rsidRDefault="00D27B3A" w:rsidP="00B50AEC">
            <w:pPr>
              <w:pStyle w:val="CLDTableSpaceListSpace"/>
              <w:spacing w:before="20" w:after="60"/>
              <w:rPr>
                <w:i/>
                <w:iCs/>
                <w:sz w:val="22"/>
              </w:rPr>
            </w:pPr>
            <w:r w:rsidRPr="00667EAA">
              <w:rPr>
                <w:i/>
                <w:iCs/>
                <w:sz w:val="22"/>
              </w:rPr>
              <w:t xml:space="preserve">  E</w:t>
            </w:r>
            <w:r w:rsidR="00B50AEC">
              <w:rPr>
                <w:i/>
                <w:iCs/>
                <w:sz w:val="22"/>
              </w:rPr>
              <w:t xml:space="preserve">. </w:t>
            </w:r>
            <w:proofErr w:type="spellStart"/>
            <w:r w:rsidRPr="00667EAA">
              <w:rPr>
                <w:i/>
                <w:iCs/>
                <w:sz w:val="22"/>
              </w:rPr>
              <w:t>aerogenes</w:t>
            </w:r>
            <w:proofErr w:type="spellEnd"/>
          </w:p>
        </w:tc>
        <w:tc>
          <w:tcPr>
            <w:tcW w:w="1417" w:type="dxa"/>
            <w:tcBorders>
              <w:top w:val="single" w:sz="4" w:space="0" w:color="auto"/>
              <w:left w:val="single" w:sz="4" w:space="0" w:color="auto"/>
              <w:bottom w:val="single" w:sz="4" w:space="0" w:color="auto"/>
              <w:right w:val="single" w:sz="4" w:space="0" w:color="auto"/>
            </w:tcBorders>
          </w:tcPr>
          <w:p w:rsidR="00D27B3A" w:rsidRPr="00667EAA" w:rsidRDefault="00D27B3A" w:rsidP="00667EAA">
            <w:pPr>
              <w:pStyle w:val="CLDTableSpaceListSpace"/>
              <w:spacing w:before="20" w:after="60"/>
              <w:rPr>
                <w:i/>
                <w:iCs/>
                <w:sz w:val="22"/>
              </w:rPr>
            </w:pPr>
            <w:r w:rsidRPr="00667EAA">
              <w:rPr>
                <w:i/>
                <w:iCs/>
                <w:sz w:val="22"/>
              </w:rPr>
              <w:t>62.5</w:t>
            </w:r>
          </w:p>
        </w:tc>
        <w:tc>
          <w:tcPr>
            <w:tcW w:w="1418" w:type="dxa"/>
            <w:tcBorders>
              <w:top w:val="single" w:sz="4" w:space="0" w:color="auto"/>
              <w:left w:val="single" w:sz="4" w:space="0" w:color="auto"/>
              <w:bottom w:val="single" w:sz="4" w:space="0" w:color="auto"/>
              <w:right w:val="single" w:sz="4" w:space="0" w:color="auto"/>
            </w:tcBorders>
          </w:tcPr>
          <w:p w:rsidR="00D27B3A" w:rsidRPr="00667EAA" w:rsidRDefault="00D27B3A" w:rsidP="00667EAA">
            <w:pPr>
              <w:pStyle w:val="CLDTableSpaceListSpace"/>
              <w:spacing w:before="20" w:after="60"/>
              <w:rPr>
                <w:i/>
                <w:iCs/>
                <w:sz w:val="22"/>
              </w:rPr>
            </w:pPr>
            <w:r w:rsidRPr="00667EAA">
              <w:rPr>
                <w:i/>
                <w:iCs/>
                <w:sz w:val="22"/>
              </w:rPr>
              <w:t>5</w:t>
            </w:r>
          </w:p>
        </w:tc>
        <w:tc>
          <w:tcPr>
            <w:tcW w:w="850" w:type="dxa"/>
            <w:tcBorders>
              <w:top w:val="single" w:sz="4" w:space="0" w:color="auto"/>
              <w:left w:val="single" w:sz="4" w:space="0" w:color="auto"/>
              <w:bottom w:val="single" w:sz="4" w:space="0" w:color="auto"/>
              <w:right w:val="single" w:sz="4" w:space="0" w:color="auto"/>
            </w:tcBorders>
          </w:tcPr>
          <w:p w:rsidR="00D27B3A" w:rsidRPr="00667EAA" w:rsidRDefault="00D27B3A" w:rsidP="00667EAA">
            <w:pPr>
              <w:pStyle w:val="CLDTableSpaceListSpace"/>
              <w:spacing w:before="20" w:after="60"/>
              <w:rPr>
                <w:i/>
                <w:iCs/>
                <w:sz w:val="22"/>
              </w:rPr>
            </w:pPr>
            <w:r w:rsidRPr="00667EAA">
              <w:rPr>
                <w:i/>
                <w:iCs/>
                <w:sz w:val="22"/>
              </w:rPr>
              <w:t>8</w:t>
            </w:r>
          </w:p>
        </w:tc>
        <w:tc>
          <w:tcPr>
            <w:tcW w:w="1418" w:type="dxa"/>
            <w:tcBorders>
              <w:top w:val="single" w:sz="4" w:space="0" w:color="auto"/>
              <w:left w:val="single" w:sz="4" w:space="0" w:color="auto"/>
              <w:bottom w:val="single" w:sz="4" w:space="0" w:color="auto"/>
              <w:right w:val="single" w:sz="4" w:space="0" w:color="auto"/>
            </w:tcBorders>
          </w:tcPr>
          <w:p w:rsidR="00D27B3A" w:rsidRPr="00667EAA" w:rsidRDefault="00D27B3A" w:rsidP="00667EAA">
            <w:pPr>
              <w:pStyle w:val="CLDTableSpaceListSpace"/>
              <w:spacing w:before="20" w:after="60"/>
              <w:rPr>
                <w:i/>
                <w:iCs/>
                <w:sz w:val="22"/>
              </w:rPr>
            </w:pPr>
            <w:r w:rsidRPr="00667EAA">
              <w:rPr>
                <w:i/>
                <w:iCs/>
                <w:sz w:val="22"/>
              </w:rPr>
              <w:t>62.5</w:t>
            </w:r>
          </w:p>
        </w:tc>
        <w:tc>
          <w:tcPr>
            <w:tcW w:w="1276" w:type="dxa"/>
            <w:tcBorders>
              <w:top w:val="single" w:sz="4" w:space="0" w:color="auto"/>
              <w:left w:val="single" w:sz="4" w:space="0" w:color="auto"/>
              <w:bottom w:val="single" w:sz="4" w:space="0" w:color="auto"/>
              <w:right w:val="single" w:sz="4" w:space="0" w:color="auto"/>
            </w:tcBorders>
          </w:tcPr>
          <w:p w:rsidR="00D27B3A" w:rsidRPr="00667EAA" w:rsidRDefault="00D27B3A" w:rsidP="00667EAA">
            <w:pPr>
              <w:pStyle w:val="CLDTableSpaceListSpace"/>
              <w:spacing w:before="20" w:after="60"/>
              <w:rPr>
                <w:i/>
                <w:iCs/>
                <w:sz w:val="22"/>
              </w:rPr>
            </w:pPr>
            <w:r w:rsidRPr="00667EAA">
              <w:rPr>
                <w:i/>
                <w:iCs/>
                <w:sz w:val="22"/>
              </w:rPr>
              <w:t>5</w:t>
            </w:r>
          </w:p>
        </w:tc>
        <w:tc>
          <w:tcPr>
            <w:tcW w:w="992" w:type="dxa"/>
            <w:tcBorders>
              <w:top w:val="single" w:sz="4" w:space="0" w:color="auto"/>
              <w:left w:val="single" w:sz="4" w:space="0" w:color="auto"/>
              <w:bottom w:val="single" w:sz="4" w:space="0" w:color="auto"/>
              <w:right w:val="single" w:sz="4" w:space="0" w:color="auto"/>
            </w:tcBorders>
          </w:tcPr>
          <w:p w:rsidR="00D27B3A" w:rsidRPr="00667EAA" w:rsidRDefault="00D27B3A" w:rsidP="00667EAA">
            <w:pPr>
              <w:pStyle w:val="CLDTableSpaceListSpace"/>
              <w:spacing w:before="20" w:after="60"/>
              <w:rPr>
                <w:i/>
                <w:iCs/>
                <w:sz w:val="22"/>
              </w:rPr>
            </w:pPr>
            <w:r w:rsidRPr="00667EAA">
              <w:rPr>
                <w:i/>
                <w:iCs/>
                <w:sz w:val="22"/>
              </w:rPr>
              <w:t>8</w:t>
            </w:r>
          </w:p>
        </w:tc>
      </w:tr>
      <w:tr w:rsidR="00B50AEC" w:rsidRPr="00667EAA" w:rsidTr="00B50AEC">
        <w:trPr>
          <w:cantSplit/>
        </w:trPr>
        <w:tc>
          <w:tcPr>
            <w:tcW w:w="2093" w:type="dxa"/>
            <w:tcBorders>
              <w:top w:val="single" w:sz="4" w:space="0" w:color="auto"/>
              <w:left w:val="single" w:sz="4" w:space="0" w:color="auto"/>
              <w:bottom w:val="single" w:sz="4" w:space="0" w:color="auto"/>
              <w:right w:val="single" w:sz="4" w:space="0" w:color="auto"/>
            </w:tcBorders>
          </w:tcPr>
          <w:p w:rsidR="00607570" w:rsidRPr="00667EAA" w:rsidRDefault="00D27B3A" w:rsidP="00B50AEC">
            <w:pPr>
              <w:pStyle w:val="CLDTableSpaceListSpace"/>
              <w:spacing w:before="20" w:after="60"/>
              <w:rPr>
                <w:i/>
                <w:iCs/>
                <w:sz w:val="22"/>
              </w:rPr>
            </w:pPr>
            <w:r w:rsidRPr="00667EAA">
              <w:rPr>
                <w:i/>
                <w:iCs/>
                <w:sz w:val="22"/>
              </w:rPr>
              <w:t xml:space="preserve">  </w:t>
            </w:r>
            <w:r w:rsidR="00607570" w:rsidRPr="00667EAA">
              <w:rPr>
                <w:i/>
                <w:iCs/>
                <w:sz w:val="22"/>
              </w:rPr>
              <w:t>E</w:t>
            </w:r>
            <w:r w:rsidR="00B50AEC">
              <w:rPr>
                <w:i/>
                <w:iCs/>
                <w:sz w:val="22"/>
              </w:rPr>
              <w:t xml:space="preserve">. </w:t>
            </w:r>
            <w:r w:rsidR="00607570" w:rsidRPr="00667EAA">
              <w:rPr>
                <w:i/>
                <w:iCs/>
                <w:sz w:val="22"/>
              </w:rPr>
              <w:t>cloacae</w:t>
            </w:r>
          </w:p>
        </w:tc>
        <w:tc>
          <w:tcPr>
            <w:tcW w:w="1417" w:type="dxa"/>
            <w:tcBorders>
              <w:top w:val="single" w:sz="4" w:space="0" w:color="auto"/>
              <w:left w:val="single" w:sz="4" w:space="0" w:color="auto"/>
              <w:bottom w:val="single" w:sz="4" w:space="0" w:color="auto"/>
              <w:right w:val="single" w:sz="4" w:space="0" w:color="auto"/>
            </w:tcBorders>
          </w:tcPr>
          <w:p w:rsidR="00607570" w:rsidRPr="00667EAA" w:rsidRDefault="00607570" w:rsidP="00667EAA">
            <w:pPr>
              <w:pStyle w:val="CLDTableSpaceListSpace"/>
              <w:spacing w:before="20" w:after="60"/>
              <w:rPr>
                <w:i/>
                <w:iCs/>
                <w:sz w:val="22"/>
              </w:rPr>
            </w:pPr>
            <w:r w:rsidRPr="00667EAA">
              <w:rPr>
                <w:i/>
                <w:iCs/>
                <w:sz w:val="22"/>
              </w:rPr>
              <w:t>80.8</w:t>
            </w:r>
          </w:p>
        </w:tc>
        <w:tc>
          <w:tcPr>
            <w:tcW w:w="1418" w:type="dxa"/>
            <w:tcBorders>
              <w:top w:val="single" w:sz="4" w:space="0" w:color="auto"/>
              <w:left w:val="single" w:sz="4" w:space="0" w:color="auto"/>
              <w:bottom w:val="single" w:sz="4" w:space="0" w:color="auto"/>
              <w:right w:val="single" w:sz="4" w:space="0" w:color="auto"/>
            </w:tcBorders>
          </w:tcPr>
          <w:p w:rsidR="00607570" w:rsidRPr="00667EAA" w:rsidRDefault="00607570" w:rsidP="00667EAA">
            <w:pPr>
              <w:pStyle w:val="CLDTableSpaceListSpace"/>
              <w:spacing w:before="20" w:after="60"/>
              <w:rPr>
                <w:i/>
                <w:iCs/>
                <w:sz w:val="22"/>
              </w:rPr>
            </w:pPr>
            <w:r w:rsidRPr="00667EAA">
              <w:rPr>
                <w:i/>
                <w:iCs/>
                <w:sz w:val="22"/>
              </w:rPr>
              <w:t>21</w:t>
            </w:r>
          </w:p>
        </w:tc>
        <w:tc>
          <w:tcPr>
            <w:tcW w:w="850" w:type="dxa"/>
            <w:tcBorders>
              <w:top w:val="single" w:sz="4" w:space="0" w:color="auto"/>
              <w:left w:val="single" w:sz="4" w:space="0" w:color="auto"/>
              <w:bottom w:val="single" w:sz="4" w:space="0" w:color="auto"/>
              <w:right w:val="single" w:sz="4" w:space="0" w:color="auto"/>
            </w:tcBorders>
          </w:tcPr>
          <w:p w:rsidR="00607570" w:rsidRPr="00667EAA" w:rsidRDefault="00607570" w:rsidP="00667EAA">
            <w:pPr>
              <w:pStyle w:val="CLDTableSpaceListSpace"/>
              <w:spacing w:before="20" w:after="60"/>
              <w:rPr>
                <w:i/>
                <w:iCs/>
                <w:sz w:val="22"/>
              </w:rPr>
            </w:pPr>
            <w:r w:rsidRPr="00667EAA">
              <w:rPr>
                <w:i/>
                <w:iCs/>
                <w:sz w:val="22"/>
              </w:rPr>
              <w:t>26</w:t>
            </w:r>
          </w:p>
        </w:tc>
        <w:tc>
          <w:tcPr>
            <w:tcW w:w="1418" w:type="dxa"/>
            <w:tcBorders>
              <w:top w:val="single" w:sz="4" w:space="0" w:color="auto"/>
              <w:left w:val="single" w:sz="4" w:space="0" w:color="auto"/>
              <w:bottom w:val="single" w:sz="4" w:space="0" w:color="auto"/>
              <w:right w:val="single" w:sz="4" w:space="0" w:color="auto"/>
            </w:tcBorders>
          </w:tcPr>
          <w:p w:rsidR="00607570" w:rsidRPr="00667EAA" w:rsidRDefault="00607570" w:rsidP="00667EAA">
            <w:pPr>
              <w:pStyle w:val="CLDTableSpaceListSpace"/>
              <w:spacing w:before="20" w:after="60"/>
              <w:rPr>
                <w:i/>
                <w:iCs/>
                <w:sz w:val="22"/>
              </w:rPr>
            </w:pPr>
            <w:r w:rsidRPr="00667EAA">
              <w:rPr>
                <w:i/>
                <w:iCs/>
                <w:sz w:val="22"/>
              </w:rPr>
              <w:t>59.1</w:t>
            </w:r>
          </w:p>
        </w:tc>
        <w:tc>
          <w:tcPr>
            <w:tcW w:w="1276" w:type="dxa"/>
            <w:tcBorders>
              <w:top w:val="single" w:sz="4" w:space="0" w:color="auto"/>
              <w:left w:val="single" w:sz="4" w:space="0" w:color="auto"/>
              <w:bottom w:val="single" w:sz="4" w:space="0" w:color="auto"/>
              <w:right w:val="single" w:sz="4" w:space="0" w:color="auto"/>
            </w:tcBorders>
          </w:tcPr>
          <w:p w:rsidR="00607570" w:rsidRPr="00667EAA" w:rsidRDefault="00607570" w:rsidP="00667EAA">
            <w:pPr>
              <w:pStyle w:val="CLDTableSpaceListSpace"/>
              <w:spacing w:before="20" w:after="60"/>
              <w:rPr>
                <w:i/>
                <w:iCs/>
                <w:sz w:val="22"/>
              </w:rPr>
            </w:pPr>
            <w:r w:rsidRPr="00667EAA">
              <w:rPr>
                <w:i/>
                <w:iCs/>
                <w:sz w:val="22"/>
              </w:rPr>
              <w:t>13</w:t>
            </w:r>
          </w:p>
        </w:tc>
        <w:tc>
          <w:tcPr>
            <w:tcW w:w="992" w:type="dxa"/>
            <w:tcBorders>
              <w:top w:val="single" w:sz="4" w:space="0" w:color="auto"/>
              <w:left w:val="single" w:sz="4" w:space="0" w:color="auto"/>
              <w:bottom w:val="single" w:sz="4" w:space="0" w:color="auto"/>
              <w:right w:val="single" w:sz="4" w:space="0" w:color="auto"/>
            </w:tcBorders>
          </w:tcPr>
          <w:p w:rsidR="00607570" w:rsidRPr="00667EAA" w:rsidRDefault="00607570" w:rsidP="00667EAA">
            <w:pPr>
              <w:pStyle w:val="CLDTableSpaceListSpace"/>
              <w:spacing w:before="20" w:after="60"/>
              <w:rPr>
                <w:i/>
                <w:iCs/>
                <w:sz w:val="22"/>
              </w:rPr>
            </w:pPr>
            <w:r w:rsidRPr="00667EAA">
              <w:rPr>
                <w:i/>
                <w:iCs/>
                <w:sz w:val="22"/>
              </w:rPr>
              <w:t>22</w:t>
            </w:r>
          </w:p>
        </w:tc>
      </w:tr>
      <w:tr w:rsidR="00B50AEC" w:rsidRPr="00667EAA" w:rsidTr="00B50AEC">
        <w:trPr>
          <w:cantSplit/>
        </w:trPr>
        <w:tc>
          <w:tcPr>
            <w:tcW w:w="2093" w:type="dxa"/>
            <w:tcBorders>
              <w:top w:val="single" w:sz="4" w:space="0" w:color="auto"/>
              <w:left w:val="single" w:sz="4" w:space="0" w:color="auto"/>
              <w:bottom w:val="single" w:sz="4" w:space="0" w:color="auto"/>
              <w:right w:val="single" w:sz="4" w:space="0" w:color="auto"/>
            </w:tcBorders>
          </w:tcPr>
          <w:p w:rsidR="007068D6" w:rsidRPr="00667EAA" w:rsidRDefault="00D27B3A" w:rsidP="00B50AEC">
            <w:pPr>
              <w:pStyle w:val="CLDTableSpaceListSpace"/>
              <w:spacing w:before="20" w:after="60"/>
              <w:rPr>
                <w:i/>
                <w:iCs/>
                <w:sz w:val="22"/>
              </w:rPr>
            </w:pPr>
            <w:r w:rsidRPr="00667EAA">
              <w:rPr>
                <w:i/>
                <w:iCs/>
                <w:sz w:val="22"/>
              </w:rPr>
              <w:t xml:space="preserve">  </w:t>
            </w:r>
            <w:r w:rsidR="007068D6" w:rsidRPr="00667EAA">
              <w:rPr>
                <w:i/>
                <w:iCs/>
                <w:sz w:val="22"/>
              </w:rPr>
              <w:t>E</w:t>
            </w:r>
            <w:r w:rsidR="00B50AEC">
              <w:rPr>
                <w:i/>
                <w:iCs/>
                <w:sz w:val="22"/>
              </w:rPr>
              <w:t xml:space="preserve">. </w:t>
            </w:r>
            <w:r w:rsidR="007068D6" w:rsidRPr="00667EAA">
              <w:rPr>
                <w:i/>
                <w:iCs/>
                <w:sz w:val="22"/>
              </w:rPr>
              <w:t>coli</w:t>
            </w:r>
          </w:p>
        </w:tc>
        <w:tc>
          <w:tcPr>
            <w:tcW w:w="1417" w:type="dxa"/>
            <w:tcBorders>
              <w:top w:val="single" w:sz="4" w:space="0" w:color="auto"/>
              <w:left w:val="single" w:sz="4" w:space="0" w:color="auto"/>
              <w:bottom w:val="single" w:sz="4" w:space="0" w:color="auto"/>
              <w:right w:val="single" w:sz="4" w:space="0" w:color="auto"/>
            </w:tcBorders>
          </w:tcPr>
          <w:p w:rsidR="007068D6" w:rsidRPr="00667EAA" w:rsidRDefault="007068D6" w:rsidP="00667EAA">
            <w:pPr>
              <w:pStyle w:val="CLDTableSpaceListSpace"/>
              <w:spacing w:before="20" w:after="60"/>
              <w:rPr>
                <w:i/>
                <w:iCs/>
                <w:sz w:val="22"/>
              </w:rPr>
            </w:pPr>
            <w:r w:rsidRPr="00667EAA">
              <w:rPr>
                <w:i/>
                <w:iCs/>
                <w:sz w:val="22"/>
              </w:rPr>
              <w:t>76.5</w:t>
            </w:r>
          </w:p>
        </w:tc>
        <w:tc>
          <w:tcPr>
            <w:tcW w:w="1418" w:type="dxa"/>
            <w:tcBorders>
              <w:top w:val="single" w:sz="4" w:space="0" w:color="auto"/>
              <w:left w:val="single" w:sz="4" w:space="0" w:color="auto"/>
              <w:bottom w:val="single" w:sz="4" w:space="0" w:color="auto"/>
              <w:right w:val="single" w:sz="4" w:space="0" w:color="auto"/>
            </w:tcBorders>
          </w:tcPr>
          <w:p w:rsidR="007068D6" w:rsidRPr="00667EAA" w:rsidRDefault="007068D6" w:rsidP="00667EAA">
            <w:pPr>
              <w:pStyle w:val="CLDTableSpaceListSpace"/>
              <w:spacing w:before="20" w:after="60"/>
              <w:rPr>
                <w:i/>
                <w:iCs/>
                <w:sz w:val="22"/>
              </w:rPr>
            </w:pPr>
            <w:r w:rsidRPr="00667EAA">
              <w:rPr>
                <w:i/>
                <w:iCs/>
                <w:sz w:val="22"/>
              </w:rPr>
              <w:t>13</w:t>
            </w:r>
          </w:p>
        </w:tc>
        <w:tc>
          <w:tcPr>
            <w:tcW w:w="850" w:type="dxa"/>
            <w:tcBorders>
              <w:top w:val="single" w:sz="4" w:space="0" w:color="auto"/>
              <w:left w:val="single" w:sz="4" w:space="0" w:color="auto"/>
              <w:bottom w:val="single" w:sz="4" w:space="0" w:color="auto"/>
              <w:right w:val="single" w:sz="4" w:space="0" w:color="auto"/>
            </w:tcBorders>
          </w:tcPr>
          <w:p w:rsidR="007068D6" w:rsidRPr="00667EAA" w:rsidRDefault="007068D6" w:rsidP="00667EAA">
            <w:pPr>
              <w:pStyle w:val="CLDTableSpaceListSpace"/>
              <w:spacing w:before="20" w:after="60"/>
              <w:rPr>
                <w:i/>
                <w:iCs/>
                <w:sz w:val="22"/>
              </w:rPr>
            </w:pPr>
            <w:r w:rsidRPr="00667EAA">
              <w:rPr>
                <w:i/>
                <w:iCs/>
                <w:sz w:val="22"/>
              </w:rPr>
              <w:t>17</w:t>
            </w:r>
          </w:p>
        </w:tc>
        <w:tc>
          <w:tcPr>
            <w:tcW w:w="1418" w:type="dxa"/>
            <w:tcBorders>
              <w:top w:val="single" w:sz="4" w:space="0" w:color="auto"/>
              <w:left w:val="single" w:sz="4" w:space="0" w:color="auto"/>
              <w:bottom w:val="single" w:sz="4" w:space="0" w:color="auto"/>
              <w:right w:val="single" w:sz="4" w:space="0" w:color="auto"/>
            </w:tcBorders>
          </w:tcPr>
          <w:p w:rsidR="007068D6" w:rsidRPr="00667EAA" w:rsidRDefault="007068D6" w:rsidP="00667EAA">
            <w:pPr>
              <w:pStyle w:val="CLDTableSpaceListSpace"/>
              <w:spacing w:before="20" w:after="60"/>
              <w:rPr>
                <w:i/>
                <w:iCs/>
                <w:sz w:val="22"/>
              </w:rPr>
            </w:pPr>
            <w:r w:rsidRPr="00667EAA">
              <w:rPr>
                <w:i/>
                <w:iCs/>
                <w:sz w:val="22"/>
              </w:rPr>
              <w:t>80.0</w:t>
            </w:r>
          </w:p>
        </w:tc>
        <w:tc>
          <w:tcPr>
            <w:tcW w:w="1276" w:type="dxa"/>
            <w:tcBorders>
              <w:top w:val="single" w:sz="4" w:space="0" w:color="auto"/>
              <w:left w:val="single" w:sz="4" w:space="0" w:color="auto"/>
              <w:bottom w:val="single" w:sz="4" w:space="0" w:color="auto"/>
              <w:right w:val="single" w:sz="4" w:space="0" w:color="auto"/>
            </w:tcBorders>
          </w:tcPr>
          <w:p w:rsidR="007068D6" w:rsidRPr="00667EAA" w:rsidRDefault="007068D6" w:rsidP="00667EAA">
            <w:pPr>
              <w:pStyle w:val="CLDTableSpaceListSpace"/>
              <w:spacing w:before="20" w:after="60"/>
              <w:rPr>
                <w:i/>
                <w:iCs/>
                <w:sz w:val="22"/>
              </w:rPr>
            </w:pPr>
            <w:r w:rsidRPr="00667EAA">
              <w:rPr>
                <w:i/>
                <w:iCs/>
                <w:sz w:val="22"/>
              </w:rPr>
              <w:t>16</w:t>
            </w:r>
          </w:p>
        </w:tc>
        <w:tc>
          <w:tcPr>
            <w:tcW w:w="992" w:type="dxa"/>
            <w:tcBorders>
              <w:top w:val="single" w:sz="4" w:space="0" w:color="auto"/>
              <w:left w:val="single" w:sz="4" w:space="0" w:color="auto"/>
              <w:bottom w:val="single" w:sz="4" w:space="0" w:color="auto"/>
              <w:right w:val="single" w:sz="4" w:space="0" w:color="auto"/>
            </w:tcBorders>
          </w:tcPr>
          <w:p w:rsidR="007068D6" w:rsidRPr="00667EAA" w:rsidRDefault="007068D6" w:rsidP="00667EAA">
            <w:pPr>
              <w:pStyle w:val="CLDTableSpaceListSpace"/>
              <w:spacing w:before="20" w:after="60"/>
              <w:rPr>
                <w:i/>
                <w:iCs/>
                <w:sz w:val="22"/>
              </w:rPr>
            </w:pPr>
            <w:r w:rsidRPr="00667EAA">
              <w:rPr>
                <w:i/>
                <w:iCs/>
                <w:sz w:val="22"/>
              </w:rPr>
              <w:t>20</w:t>
            </w:r>
          </w:p>
        </w:tc>
      </w:tr>
      <w:tr w:rsidR="00B50AEC" w:rsidRPr="00667EAA" w:rsidTr="00B50AEC">
        <w:trPr>
          <w:cantSplit/>
        </w:trPr>
        <w:tc>
          <w:tcPr>
            <w:tcW w:w="2093" w:type="dxa"/>
            <w:tcBorders>
              <w:top w:val="single" w:sz="4" w:space="0" w:color="auto"/>
              <w:left w:val="single" w:sz="4" w:space="0" w:color="auto"/>
              <w:bottom w:val="single" w:sz="4" w:space="0" w:color="auto"/>
              <w:right w:val="single" w:sz="4" w:space="0" w:color="auto"/>
            </w:tcBorders>
          </w:tcPr>
          <w:p w:rsidR="007068D6" w:rsidRPr="00667EAA" w:rsidRDefault="00D27B3A" w:rsidP="00B50AEC">
            <w:pPr>
              <w:pStyle w:val="CLDTableSpaceListSpace"/>
              <w:spacing w:before="20" w:after="60"/>
              <w:rPr>
                <w:i/>
                <w:iCs/>
                <w:sz w:val="22"/>
              </w:rPr>
            </w:pPr>
            <w:r w:rsidRPr="00667EAA">
              <w:rPr>
                <w:i/>
                <w:iCs/>
                <w:sz w:val="22"/>
              </w:rPr>
              <w:t xml:space="preserve">  </w:t>
            </w:r>
            <w:r w:rsidR="007068D6" w:rsidRPr="00667EAA">
              <w:rPr>
                <w:i/>
                <w:iCs/>
                <w:sz w:val="22"/>
              </w:rPr>
              <w:t>K</w:t>
            </w:r>
            <w:r w:rsidR="00B50AEC">
              <w:rPr>
                <w:i/>
                <w:iCs/>
                <w:sz w:val="22"/>
              </w:rPr>
              <w:t>.</w:t>
            </w:r>
            <w:r w:rsidR="007068D6" w:rsidRPr="00667EAA">
              <w:rPr>
                <w:i/>
                <w:iCs/>
                <w:sz w:val="22"/>
              </w:rPr>
              <w:t xml:space="preserve"> </w:t>
            </w:r>
            <w:proofErr w:type="spellStart"/>
            <w:r w:rsidR="007068D6" w:rsidRPr="00667EAA">
              <w:rPr>
                <w:i/>
                <w:iCs/>
                <w:sz w:val="22"/>
              </w:rPr>
              <w:t>pneumoniae</w:t>
            </w:r>
            <w:proofErr w:type="spellEnd"/>
          </w:p>
        </w:tc>
        <w:tc>
          <w:tcPr>
            <w:tcW w:w="1417" w:type="dxa"/>
            <w:tcBorders>
              <w:top w:val="single" w:sz="4" w:space="0" w:color="auto"/>
              <w:left w:val="single" w:sz="4" w:space="0" w:color="auto"/>
              <w:bottom w:val="single" w:sz="4" w:space="0" w:color="auto"/>
              <w:right w:val="single" w:sz="4" w:space="0" w:color="auto"/>
            </w:tcBorders>
          </w:tcPr>
          <w:p w:rsidR="007068D6" w:rsidRPr="00667EAA" w:rsidRDefault="007068D6" w:rsidP="00667EAA">
            <w:pPr>
              <w:pStyle w:val="CLDTableSpaceListSpace"/>
              <w:spacing w:before="20" w:after="60"/>
              <w:rPr>
                <w:i/>
                <w:iCs/>
                <w:sz w:val="22"/>
              </w:rPr>
            </w:pPr>
            <w:r w:rsidRPr="00667EAA">
              <w:rPr>
                <w:i/>
                <w:iCs/>
                <w:sz w:val="22"/>
              </w:rPr>
              <w:t>62.7</w:t>
            </w:r>
          </w:p>
        </w:tc>
        <w:tc>
          <w:tcPr>
            <w:tcW w:w="1418" w:type="dxa"/>
            <w:tcBorders>
              <w:top w:val="single" w:sz="4" w:space="0" w:color="auto"/>
              <w:left w:val="single" w:sz="4" w:space="0" w:color="auto"/>
              <w:bottom w:val="single" w:sz="4" w:space="0" w:color="auto"/>
              <w:right w:val="single" w:sz="4" w:space="0" w:color="auto"/>
            </w:tcBorders>
          </w:tcPr>
          <w:p w:rsidR="007068D6" w:rsidRPr="00667EAA" w:rsidRDefault="007068D6" w:rsidP="00667EAA">
            <w:pPr>
              <w:pStyle w:val="CLDTableSpaceListSpace"/>
              <w:spacing w:before="20" w:after="60"/>
              <w:rPr>
                <w:i/>
                <w:iCs/>
                <w:sz w:val="22"/>
              </w:rPr>
            </w:pPr>
            <w:r w:rsidRPr="00667EAA">
              <w:rPr>
                <w:i/>
                <w:iCs/>
                <w:sz w:val="22"/>
              </w:rPr>
              <w:t>37</w:t>
            </w:r>
          </w:p>
        </w:tc>
        <w:tc>
          <w:tcPr>
            <w:tcW w:w="850" w:type="dxa"/>
            <w:tcBorders>
              <w:top w:val="single" w:sz="4" w:space="0" w:color="auto"/>
              <w:left w:val="single" w:sz="4" w:space="0" w:color="auto"/>
              <w:bottom w:val="single" w:sz="4" w:space="0" w:color="auto"/>
              <w:right w:val="single" w:sz="4" w:space="0" w:color="auto"/>
            </w:tcBorders>
          </w:tcPr>
          <w:p w:rsidR="007068D6" w:rsidRPr="00667EAA" w:rsidRDefault="007068D6" w:rsidP="00667EAA">
            <w:pPr>
              <w:pStyle w:val="CLDTableSpaceListSpace"/>
              <w:spacing w:before="20" w:after="60"/>
              <w:rPr>
                <w:i/>
                <w:iCs/>
                <w:sz w:val="22"/>
              </w:rPr>
            </w:pPr>
            <w:r w:rsidRPr="00667EAA">
              <w:rPr>
                <w:i/>
                <w:iCs/>
                <w:sz w:val="22"/>
              </w:rPr>
              <w:t>59</w:t>
            </w:r>
          </w:p>
        </w:tc>
        <w:tc>
          <w:tcPr>
            <w:tcW w:w="1418" w:type="dxa"/>
            <w:tcBorders>
              <w:top w:val="single" w:sz="4" w:space="0" w:color="auto"/>
              <w:left w:val="single" w:sz="4" w:space="0" w:color="auto"/>
              <w:bottom w:val="single" w:sz="4" w:space="0" w:color="auto"/>
              <w:right w:val="single" w:sz="4" w:space="0" w:color="auto"/>
            </w:tcBorders>
          </w:tcPr>
          <w:p w:rsidR="007068D6" w:rsidRPr="00667EAA" w:rsidRDefault="007068D6" w:rsidP="00667EAA">
            <w:pPr>
              <w:pStyle w:val="CLDTableSpaceListSpace"/>
              <w:spacing w:before="20" w:after="60"/>
              <w:rPr>
                <w:i/>
                <w:iCs/>
                <w:sz w:val="22"/>
              </w:rPr>
            </w:pPr>
            <w:r w:rsidRPr="00667EAA">
              <w:rPr>
                <w:i/>
                <w:iCs/>
                <w:sz w:val="22"/>
              </w:rPr>
              <w:t>74.6</w:t>
            </w:r>
          </w:p>
        </w:tc>
        <w:tc>
          <w:tcPr>
            <w:tcW w:w="1276" w:type="dxa"/>
            <w:tcBorders>
              <w:top w:val="single" w:sz="4" w:space="0" w:color="auto"/>
              <w:left w:val="single" w:sz="4" w:space="0" w:color="auto"/>
              <w:bottom w:val="single" w:sz="4" w:space="0" w:color="auto"/>
              <w:right w:val="single" w:sz="4" w:space="0" w:color="auto"/>
            </w:tcBorders>
          </w:tcPr>
          <w:p w:rsidR="007068D6" w:rsidRPr="00667EAA" w:rsidRDefault="007068D6" w:rsidP="00667EAA">
            <w:pPr>
              <w:pStyle w:val="CLDTableSpaceListSpace"/>
              <w:spacing w:before="20" w:after="60"/>
              <w:rPr>
                <w:i/>
                <w:iCs/>
                <w:sz w:val="22"/>
              </w:rPr>
            </w:pPr>
            <w:r w:rsidRPr="00667EAA">
              <w:rPr>
                <w:i/>
                <w:iCs/>
                <w:sz w:val="22"/>
              </w:rPr>
              <w:t>53</w:t>
            </w:r>
          </w:p>
        </w:tc>
        <w:tc>
          <w:tcPr>
            <w:tcW w:w="992" w:type="dxa"/>
            <w:tcBorders>
              <w:top w:val="single" w:sz="4" w:space="0" w:color="auto"/>
              <w:left w:val="single" w:sz="4" w:space="0" w:color="auto"/>
              <w:bottom w:val="single" w:sz="4" w:space="0" w:color="auto"/>
              <w:right w:val="single" w:sz="4" w:space="0" w:color="auto"/>
            </w:tcBorders>
          </w:tcPr>
          <w:p w:rsidR="007068D6" w:rsidRPr="00667EAA" w:rsidRDefault="007068D6" w:rsidP="00667EAA">
            <w:pPr>
              <w:pStyle w:val="CLDTableSpaceListSpace"/>
              <w:spacing w:before="20" w:after="60"/>
              <w:rPr>
                <w:i/>
                <w:iCs/>
                <w:sz w:val="22"/>
              </w:rPr>
            </w:pPr>
            <w:r w:rsidRPr="00667EAA">
              <w:rPr>
                <w:i/>
                <w:iCs/>
                <w:sz w:val="22"/>
              </w:rPr>
              <w:t>71</w:t>
            </w:r>
          </w:p>
        </w:tc>
      </w:tr>
      <w:tr w:rsidR="00B50AEC" w:rsidRPr="00667EAA" w:rsidTr="00B50AEC">
        <w:trPr>
          <w:cantSplit/>
        </w:trPr>
        <w:tc>
          <w:tcPr>
            <w:tcW w:w="2093" w:type="dxa"/>
            <w:tcBorders>
              <w:top w:val="single" w:sz="4" w:space="0" w:color="auto"/>
              <w:left w:val="single" w:sz="4" w:space="0" w:color="auto"/>
              <w:bottom w:val="single" w:sz="4" w:space="0" w:color="auto"/>
              <w:right w:val="single" w:sz="4" w:space="0" w:color="auto"/>
            </w:tcBorders>
          </w:tcPr>
          <w:p w:rsidR="007068D6" w:rsidRPr="00667EAA" w:rsidRDefault="00D27B3A" w:rsidP="00B50AEC">
            <w:pPr>
              <w:pStyle w:val="CLDTableSpaceListSpace"/>
              <w:spacing w:before="20" w:after="60"/>
              <w:rPr>
                <w:i/>
                <w:iCs/>
                <w:sz w:val="22"/>
              </w:rPr>
            </w:pPr>
            <w:r w:rsidRPr="00667EAA">
              <w:rPr>
                <w:i/>
                <w:iCs/>
                <w:sz w:val="22"/>
              </w:rPr>
              <w:t xml:space="preserve">  </w:t>
            </w:r>
            <w:r w:rsidR="007068D6" w:rsidRPr="00667EAA">
              <w:rPr>
                <w:i/>
                <w:iCs/>
                <w:sz w:val="22"/>
              </w:rPr>
              <w:t>P</w:t>
            </w:r>
            <w:r w:rsidR="00B50AEC">
              <w:rPr>
                <w:i/>
                <w:iCs/>
                <w:sz w:val="22"/>
              </w:rPr>
              <w:t xml:space="preserve">. </w:t>
            </w:r>
            <w:r w:rsidR="007068D6" w:rsidRPr="00667EAA">
              <w:rPr>
                <w:i/>
                <w:iCs/>
                <w:sz w:val="22"/>
              </w:rPr>
              <w:t>mirabilis</w:t>
            </w:r>
            <w:r w:rsidRPr="00667EAA">
              <w:rPr>
                <w:i/>
                <w:iCs/>
                <w:sz w:val="22"/>
              </w:rPr>
              <w:t xml:space="preserve">  </w:t>
            </w:r>
          </w:p>
        </w:tc>
        <w:tc>
          <w:tcPr>
            <w:tcW w:w="1417" w:type="dxa"/>
            <w:tcBorders>
              <w:top w:val="single" w:sz="4" w:space="0" w:color="auto"/>
              <w:left w:val="single" w:sz="4" w:space="0" w:color="auto"/>
              <w:bottom w:val="single" w:sz="4" w:space="0" w:color="auto"/>
              <w:right w:val="single" w:sz="4" w:space="0" w:color="auto"/>
            </w:tcBorders>
          </w:tcPr>
          <w:p w:rsidR="007068D6" w:rsidRPr="00667EAA" w:rsidRDefault="007068D6" w:rsidP="00667EAA">
            <w:pPr>
              <w:pStyle w:val="CLDTableSpaceListSpace"/>
              <w:spacing w:before="20" w:after="60"/>
              <w:rPr>
                <w:i/>
                <w:iCs/>
                <w:sz w:val="22"/>
              </w:rPr>
            </w:pPr>
            <w:r w:rsidRPr="00667EAA">
              <w:rPr>
                <w:i/>
                <w:iCs/>
                <w:sz w:val="22"/>
              </w:rPr>
              <w:t>78.6</w:t>
            </w:r>
          </w:p>
        </w:tc>
        <w:tc>
          <w:tcPr>
            <w:tcW w:w="1418" w:type="dxa"/>
            <w:tcBorders>
              <w:top w:val="single" w:sz="4" w:space="0" w:color="auto"/>
              <w:left w:val="single" w:sz="4" w:space="0" w:color="auto"/>
              <w:bottom w:val="single" w:sz="4" w:space="0" w:color="auto"/>
              <w:right w:val="single" w:sz="4" w:space="0" w:color="auto"/>
            </w:tcBorders>
          </w:tcPr>
          <w:p w:rsidR="007068D6" w:rsidRPr="00667EAA" w:rsidRDefault="007068D6" w:rsidP="00667EAA">
            <w:pPr>
              <w:pStyle w:val="CLDTableSpaceListSpace"/>
              <w:spacing w:before="20" w:after="60"/>
              <w:rPr>
                <w:i/>
                <w:iCs/>
                <w:sz w:val="22"/>
              </w:rPr>
            </w:pPr>
            <w:r w:rsidRPr="00667EAA">
              <w:rPr>
                <w:i/>
                <w:iCs/>
                <w:sz w:val="22"/>
              </w:rPr>
              <w:t>11</w:t>
            </w:r>
          </w:p>
        </w:tc>
        <w:tc>
          <w:tcPr>
            <w:tcW w:w="850" w:type="dxa"/>
            <w:tcBorders>
              <w:top w:val="single" w:sz="4" w:space="0" w:color="auto"/>
              <w:left w:val="single" w:sz="4" w:space="0" w:color="auto"/>
              <w:bottom w:val="single" w:sz="4" w:space="0" w:color="auto"/>
              <w:right w:val="single" w:sz="4" w:space="0" w:color="auto"/>
            </w:tcBorders>
          </w:tcPr>
          <w:p w:rsidR="007068D6" w:rsidRPr="00667EAA" w:rsidRDefault="007068D6" w:rsidP="00667EAA">
            <w:pPr>
              <w:pStyle w:val="CLDTableSpaceListSpace"/>
              <w:spacing w:before="20" w:after="60"/>
              <w:rPr>
                <w:i/>
                <w:iCs/>
                <w:sz w:val="22"/>
              </w:rPr>
            </w:pPr>
            <w:r w:rsidRPr="00667EAA">
              <w:rPr>
                <w:i/>
                <w:iCs/>
                <w:sz w:val="22"/>
              </w:rPr>
              <w:t>14</w:t>
            </w:r>
          </w:p>
        </w:tc>
        <w:tc>
          <w:tcPr>
            <w:tcW w:w="1418" w:type="dxa"/>
            <w:tcBorders>
              <w:top w:val="single" w:sz="4" w:space="0" w:color="auto"/>
              <w:left w:val="single" w:sz="4" w:space="0" w:color="auto"/>
              <w:bottom w:val="single" w:sz="4" w:space="0" w:color="auto"/>
              <w:right w:val="single" w:sz="4" w:space="0" w:color="auto"/>
            </w:tcBorders>
          </w:tcPr>
          <w:p w:rsidR="007068D6" w:rsidRPr="00667EAA" w:rsidRDefault="007068D6" w:rsidP="00667EAA">
            <w:pPr>
              <w:pStyle w:val="CLDTableSpaceListSpace"/>
              <w:spacing w:before="20" w:after="60"/>
              <w:rPr>
                <w:i/>
                <w:iCs/>
                <w:sz w:val="22"/>
              </w:rPr>
            </w:pPr>
            <w:r w:rsidRPr="00667EAA">
              <w:rPr>
                <w:i/>
                <w:iCs/>
                <w:sz w:val="22"/>
              </w:rPr>
              <w:t>66.7</w:t>
            </w:r>
          </w:p>
        </w:tc>
        <w:tc>
          <w:tcPr>
            <w:tcW w:w="1276" w:type="dxa"/>
            <w:tcBorders>
              <w:top w:val="single" w:sz="4" w:space="0" w:color="auto"/>
              <w:left w:val="single" w:sz="4" w:space="0" w:color="auto"/>
              <w:bottom w:val="single" w:sz="4" w:space="0" w:color="auto"/>
              <w:right w:val="single" w:sz="4" w:space="0" w:color="auto"/>
            </w:tcBorders>
          </w:tcPr>
          <w:p w:rsidR="007068D6" w:rsidRPr="00667EAA" w:rsidRDefault="007068D6" w:rsidP="00667EAA">
            <w:pPr>
              <w:pStyle w:val="CLDTableSpaceListSpace"/>
              <w:spacing w:before="20" w:after="60"/>
              <w:rPr>
                <w:i/>
                <w:iCs/>
                <w:sz w:val="22"/>
              </w:rPr>
            </w:pPr>
            <w:r w:rsidRPr="00667EAA">
              <w:rPr>
                <w:i/>
                <w:iCs/>
                <w:sz w:val="22"/>
              </w:rPr>
              <w:t>8</w:t>
            </w:r>
          </w:p>
        </w:tc>
        <w:tc>
          <w:tcPr>
            <w:tcW w:w="992" w:type="dxa"/>
            <w:tcBorders>
              <w:top w:val="single" w:sz="4" w:space="0" w:color="auto"/>
              <w:left w:val="single" w:sz="4" w:space="0" w:color="auto"/>
              <w:bottom w:val="single" w:sz="4" w:space="0" w:color="auto"/>
              <w:right w:val="single" w:sz="4" w:space="0" w:color="auto"/>
            </w:tcBorders>
          </w:tcPr>
          <w:p w:rsidR="007068D6" w:rsidRPr="00667EAA" w:rsidRDefault="007068D6" w:rsidP="00667EAA">
            <w:pPr>
              <w:pStyle w:val="CLDTableSpaceListSpace"/>
              <w:spacing w:before="20" w:after="60"/>
              <w:rPr>
                <w:i/>
                <w:iCs/>
                <w:sz w:val="22"/>
              </w:rPr>
            </w:pPr>
            <w:r w:rsidRPr="00667EAA">
              <w:rPr>
                <w:i/>
                <w:iCs/>
                <w:sz w:val="22"/>
              </w:rPr>
              <w:t>12</w:t>
            </w:r>
          </w:p>
        </w:tc>
      </w:tr>
      <w:tr w:rsidR="00B50AEC" w:rsidRPr="00667EAA" w:rsidTr="00B50AEC">
        <w:trPr>
          <w:cantSplit/>
        </w:trPr>
        <w:tc>
          <w:tcPr>
            <w:tcW w:w="2093" w:type="dxa"/>
            <w:tcBorders>
              <w:top w:val="single" w:sz="4" w:space="0" w:color="auto"/>
              <w:left w:val="single" w:sz="4" w:space="0" w:color="auto"/>
              <w:bottom w:val="single" w:sz="4" w:space="0" w:color="auto"/>
              <w:right w:val="single" w:sz="4" w:space="0" w:color="auto"/>
            </w:tcBorders>
          </w:tcPr>
          <w:p w:rsidR="00D27B3A" w:rsidRPr="00667EAA" w:rsidRDefault="00D27B3A" w:rsidP="00B50AEC">
            <w:pPr>
              <w:pStyle w:val="CLDTableSpaceListSpace"/>
              <w:spacing w:before="20" w:after="60"/>
              <w:rPr>
                <w:i/>
                <w:iCs/>
                <w:sz w:val="22"/>
              </w:rPr>
            </w:pPr>
            <w:r w:rsidRPr="00667EAA">
              <w:rPr>
                <w:i/>
                <w:iCs/>
                <w:sz w:val="22"/>
              </w:rPr>
              <w:t xml:space="preserve">  S</w:t>
            </w:r>
            <w:r w:rsidR="00B50AEC">
              <w:rPr>
                <w:i/>
                <w:iCs/>
                <w:sz w:val="22"/>
              </w:rPr>
              <w:t xml:space="preserve">. </w:t>
            </w:r>
            <w:proofErr w:type="spellStart"/>
            <w:r w:rsidRPr="00667EAA">
              <w:rPr>
                <w:i/>
                <w:iCs/>
                <w:sz w:val="22"/>
              </w:rPr>
              <w:t>marcescens</w:t>
            </w:r>
            <w:proofErr w:type="spellEnd"/>
          </w:p>
        </w:tc>
        <w:tc>
          <w:tcPr>
            <w:tcW w:w="1417" w:type="dxa"/>
            <w:tcBorders>
              <w:top w:val="single" w:sz="4" w:space="0" w:color="auto"/>
              <w:left w:val="single" w:sz="4" w:space="0" w:color="auto"/>
              <w:bottom w:val="single" w:sz="4" w:space="0" w:color="auto"/>
              <w:right w:val="single" w:sz="4" w:space="0" w:color="auto"/>
            </w:tcBorders>
          </w:tcPr>
          <w:p w:rsidR="00D27B3A" w:rsidRPr="00667EAA" w:rsidRDefault="00D27B3A" w:rsidP="00667EAA">
            <w:pPr>
              <w:pStyle w:val="CLDTableSpaceListSpace"/>
              <w:spacing w:before="20" w:after="60"/>
              <w:rPr>
                <w:i/>
                <w:iCs/>
                <w:sz w:val="22"/>
              </w:rPr>
            </w:pPr>
            <w:r w:rsidRPr="00667EAA">
              <w:rPr>
                <w:i/>
                <w:iCs/>
                <w:sz w:val="22"/>
              </w:rPr>
              <w:t>66.7</w:t>
            </w:r>
          </w:p>
        </w:tc>
        <w:tc>
          <w:tcPr>
            <w:tcW w:w="1418" w:type="dxa"/>
            <w:tcBorders>
              <w:top w:val="single" w:sz="4" w:space="0" w:color="auto"/>
              <w:left w:val="single" w:sz="4" w:space="0" w:color="auto"/>
              <w:bottom w:val="single" w:sz="4" w:space="0" w:color="auto"/>
              <w:right w:val="single" w:sz="4" w:space="0" w:color="auto"/>
            </w:tcBorders>
          </w:tcPr>
          <w:p w:rsidR="00D27B3A" w:rsidRPr="00667EAA" w:rsidRDefault="00D27B3A" w:rsidP="00667EAA">
            <w:pPr>
              <w:pStyle w:val="CLDTableSpaceListSpace"/>
              <w:spacing w:before="20" w:after="60"/>
              <w:rPr>
                <w:i/>
                <w:iCs/>
                <w:sz w:val="22"/>
              </w:rPr>
            </w:pPr>
            <w:r w:rsidRPr="00667EAA">
              <w:rPr>
                <w:i/>
                <w:iCs/>
                <w:sz w:val="22"/>
              </w:rPr>
              <w:t>10</w:t>
            </w:r>
          </w:p>
        </w:tc>
        <w:tc>
          <w:tcPr>
            <w:tcW w:w="850" w:type="dxa"/>
            <w:tcBorders>
              <w:top w:val="single" w:sz="4" w:space="0" w:color="auto"/>
              <w:left w:val="single" w:sz="4" w:space="0" w:color="auto"/>
              <w:bottom w:val="single" w:sz="4" w:space="0" w:color="auto"/>
              <w:right w:val="single" w:sz="4" w:space="0" w:color="auto"/>
            </w:tcBorders>
          </w:tcPr>
          <w:p w:rsidR="00D27B3A" w:rsidRPr="00667EAA" w:rsidRDefault="00D27B3A" w:rsidP="00667EAA">
            <w:pPr>
              <w:pStyle w:val="CLDTableSpaceListSpace"/>
              <w:spacing w:before="20" w:after="60"/>
              <w:rPr>
                <w:i/>
                <w:iCs/>
                <w:sz w:val="22"/>
              </w:rPr>
            </w:pPr>
            <w:r w:rsidRPr="00667EAA">
              <w:rPr>
                <w:i/>
                <w:iCs/>
                <w:sz w:val="22"/>
              </w:rPr>
              <w:t>15</w:t>
            </w:r>
          </w:p>
        </w:tc>
        <w:tc>
          <w:tcPr>
            <w:tcW w:w="1418" w:type="dxa"/>
            <w:tcBorders>
              <w:top w:val="single" w:sz="4" w:space="0" w:color="auto"/>
              <w:left w:val="single" w:sz="4" w:space="0" w:color="auto"/>
              <w:bottom w:val="single" w:sz="4" w:space="0" w:color="auto"/>
              <w:right w:val="single" w:sz="4" w:space="0" w:color="auto"/>
            </w:tcBorders>
          </w:tcPr>
          <w:p w:rsidR="00D27B3A" w:rsidRPr="00667EAA" w:rsidRDefault="00D27B3A" w:rsidP="00667EAA">
            <w:pPr>
              <w:pStyle w:val="CLDTableSpaceListSpace"/>
              <w:spacing w:before="20" w:after="60"/>
              <w:rPr>
                <w:i/>
                <w:iCs/>
                <w:sz w:val="22"/>
              </w:rPr>
            </w:pPr>
            <w:r w:rsidRPr="00667EAA">
              <w:rPr>
                <w:i/>
                <w:iCs/>
                <w:sz w:val="22"/>
              </w:rPr>
              <w:t>61.5</w:t>
            </w:r>
          </w:p>
        </w:tc>
        <w:tc>
          <w:tcPr>
            <w:tcW w:w="1276" w:type="dxa"/>
            <w:tcBorders>
              <w:top w:val="single" w:sz="4" w:space="0" w:color="auto"/>
              <w:left w:val="single" w:sz="4" w:space="0" w:color="auto"/>
              <w:bottom w:val="single" w:sz="4" w:space="0" w:color="auto"/>
              <w:right w:val="single" w:sz="4" w:space="0" w:color="auto"/>
            </w:tcBorders>
          </w:tcPr>
          <w:p w:rsidR="00D27B3A" w:rsidRPr="00667EAA" w:rsidRDefault="00D27B3A" w:rsidP="00667EAA">
            <w:pPr>
              <w:pStyle w:val="CLDTableSpaceListSpace"/>
              <w:spacing w:before="20" w:after="60"/>
              <w:rPr>
                <w:i/>
                <w:iCs/>
                <w:sz w:val="22"/>
              </w:rPr>
            </w:pPr>
            <w:r w:rsidRPr="00667EAA">
              <w:rPr>
                <w:i/>
                <w:iCs/>
                <w:sz w:val="22"/>
              </w:rPr>
              <w:t>8</w:t>
            </w:r>
          </w:p>
        </w:tc>
        <w:tc>
          <w:tcPr>
            <w:tcW w:w="992" w:type="dxa"/>
            <w:tcBorders>
              <w:top w:val="single" w:sz="4" w:space="0" w:color="auto"/>
              <w:left w:val="single" w:sz="4" w:space="0" w:color="auto"/>
              <w:bottom w:val="single" w:sz="4" w:space="0" w:color="auto"/>
              <w:right w:val="single" w:sz="4" w:space="0" w:color="auto"/>
            </w:tcBorders>
          </w:tcPr>
          <w:p w:rsidR="00D27B3A" w:rsidRPr="00667EAA" w:rsidRDefault="00D27B3A" w:rsidP="00667EAA">
            <w:pPr>
              <w:pStyle w:val="CLDTableSpaceListSpace"/>
              <w:spacing w:before="20" w:after="60"/>
              <w:rPr>
                <w:i/>
                <w:iCs/>
                <w:sz w:val="22"/>
              </w:rPr>
            </w:pPr>
            <w:r w:rsidRPr="00667EAA">
              <w:rPr>
                <w:i/>
                <w:iCs/>
                <w:sz w:val="22"/>
              </w:rPr>
              <w:t>13</w:t>
            </w:r>
          </w:p>
        </w:tc>
      </w:tr>
      <w:tr w:rsidR="00B50AEC" w:rsidRPr="00667EAA" w:rsidTr="00B50AEC">
        <w:trPr>
          <w:cantSplit/>
        </w:trPr>
        <w:tc>
          <w:tcPr>
            <w:tcW w:w="2093" w:type="dxa"/>
            <w:tcBorders>
              <w:top w:val="single" w:sz="4" w:space="0" w:color="auto"/>
              <w:left w:val="single" w:sz="4" w:space="0" w:color="auto"/>
              <w:bottom w:val="single" w:sz="4" w:space="0" w:color="auto"/>
              <w:right w:val="single" w:sz="4" w:space="0" w:color="auto"/>
            </w:tcBorders>
          </w:tcPr>
          <w:p w:rsidR="007068D6" w:rsidRPr="00667EAA" w:rsidRDefault="007068D6" w:rsidP="00B50AEC">
            <w:pPr>
              <w:pStyle w:val="CLDTableSpaceListSpace"/>
              <w:spacing w:before="20" w:after="60"/>
              <w:rPr>
                <w:i/>
                <w:iCs/>
                <w:sz w:val="22"/>
              </w:rPr>
            </w:pPr>
            <w:r w:rsidRPr="00667EAA">
              <w:rPr>
                <w:i/>
                <w:iCs/>
                <w:sz w:val="22"/>
              </w:rPr>
              <w:t>P</w:t>
            </w:r>
            <w:r w:rsidR="00B50AEC">
              <w:rPr>
                <w:i/>
                <w:iCs/>
                <w:sz w:val="22"/>
              </w:rPr>
              <w:t xml:space="preserve">. </w:t>
            </w:r>
            <w:r w:rsidRPr="00667EAA">
              <w:rPr>
                <w:i/>
                <w:iCs/>
                <w:sz w:val="22"/>
              </w:rPr>
              <w:t>aeruginosa</w:t>
            </w:r>
          </w:p>
        </w:tc>
        <w:tc>
          <w:tcPr>
            <w:tcW w:w="1417" w:type="dxa"/>
            <w:tcBorders>
              <w:top w:val="single" w:sz="4" w:space="0" w:color="auto"/>
              <w:left w:val="single" w:sz="4" w:space="0" w:color="auto"/>
              <w:bottom w:val="single" w:sz="4" w:space="0" w:color="auto"/>
              <w:right w:val="single" w:sz="4" w:space="0" w:color="auto"/>
            </w:tcBorders>
          </w:tcPr>
          <w:p w:rsidR="007068D6" w:rsidRPr="00667EAA" w:rsidRDefault="007068D6" w:rsidP="00667EAA">
            <w:pPr>
              <w:pStyle w:val="CLDTableSpaceListSpace"/>
              <w:spacing w:before="20" w:after="60"/>
              <w:rPr>
                <w:i/>
                <w:iCs/>
                <w:sz w:val="22"/>
              </w:rPr>
            </w:pPr>
            <w:r w:rsidRPr="00667EAA">
              <w:rPr>
                <w:i/>
                <w:iCs/>
                <w:sz w:val="22"/>
              </w:rPr>
              <w:t>37.9</w:t>
            </w:r>
          </w:p>
        </w:tc>
        <w:tc>
          <w:tcPr>
            <w:tcW w:w="1418" w:type="dxa"/>
            <w:tcBorders>
              <w:top w:val="single" w:sz="4" w:space="0" w:color="auto"/>
              <w:left w:val="single" w:sz="4" w:space="0" w:color="auto"/>
              <w:bottom w:val="single" w:sz="4" w:space="0" w:color="auto"/>
              <w:right w:val="single" w:sz="4" w:space="0" w:color="auto"/>
            </w:tcBorders>
          </w:tcPr>
          <w:p w:rsidR="007068D6" w:rsidRPr="00667EAA" w:rsidRDefault="007068D6" w:rsidP="00667EAA">
            <w:pPr>
              <w:pStyle w:val="CLDTableSpaceListSpace"/>
              <w:spacing w:before="20" w:after="60"/>
              <w:rPr>
                <w:i/>
                <w:iCs/>
                <w:sz w:val="22"/>
              </w:rPr>
            </w:pPr>
            <w:r w:rsidRPr="00667EAA">
              <w:rPr>
                <w:i/>
                <w:iCs/>
                <w:sz w:val="22"/>
              </w:rPr>
              <w:t>22</w:t>
            </w:r>
          </w:p>
        </w:tc>
        <w:tc>
          <w:tcPr>
            <w:tcW w:w="850" w:type="dxa"/>
            <w:tcBorders>
              <w:top w:val="single" w:sz="4" w:space="0" w:color="auto"/>
              <w:left w:val="single" w:sz="4" w:space="0" w:color="auto"/>
              <w:bottom w:val="single" w:sz="4" w:space="0" w:color="auto"/>
              <w:right w:val="single" w:sz="4" w:space="0" w:color="auto"/>
            </w:tcBorders>
          </w:tcPr>
          <w:p w:rsidR="007068D6" w:rsidRPr="00667EAA" w:rsidRDefault="007068D6" w:rsidP="00667EAA">
            <w:pPr>
              <w:pStyle w:val="CLDTableSpaceListSpace"/>
              <w:spacing w:before="20" w:after="60"/>
              <w:rPr>
                <w:i/>
                <w:iCs/>
                <w:sz w:val="22"/>
              </w:rPr>
            </w:pPr>
            <w:r w:rsidRPr="00667EAA">
              <w:rPr>
                <w:i/>
                <w:iCs/>
                <w:sz w:val="22"/>
              </w:rPr>
              <w:t>58</w:t>
            </w:r>
          </w:p>
        </w:tc>
        <w:tc>
          <w:tcPr>
            <w:tcW w:w="1418" w:type="dxa"/>
            <w:tcBorders>
              <w:top w:val="single" w:sz="4" w:space="0" w:color="auto"/>
              <w:left w:val="single" w:sz="4" w:space="0" w:color="auto"/>
              <w:bottom w:val="single" w:sz="4" w:space="0" w:color="auto"/>
              <w:right w:val="single" w:sz="4" w:space="0" w:color="auto"/>
            </w:tcBorders>
          </w:tcPr>
          <w:p w:rsidR="007068D6" w:rsidRPr="00667EAA" w:rsidRDefault="007068D6" w:rsidP="00667EAA">
            <w:pPr>
              <w:pStyle w:val="CLDTableSpaceListSpace"/>
              <w:spacing w:before="20" w:after="60"/>
              <w:rPr>
                <w:i/>
                <w:iCs/>
                <w:sz w:val="22"/>
              </w:rPr>
            </w:pPr>
            <w:r w:rsidRPr="00667EAA">
              <w:rPr>
                <w:i/>
                <w:iCs/>
                <w:sz w:val="22"/>
              </w:rPr>
              <w:t>38.3</w:t>
            </w:r>
          </w:p>
        </w:tc>
        <w:tc>
          <w:tcPr>
            <w:tcW w:w="1276" w:type="dxa"/>
            <w:tcBorders>
              <w:top w:val="single" w:sz="4" w:space="0" w:color="auto"/>
              <w:left w:val="single" w:sz="4" w:space="0" w:color="auto"/>
              <w:bottom w:val="single" w:sz="4" w:space="0" w:color="auto"/>
              <w:right w:val="single" w:sz="4" w:space="0" w:color="auto"/>
            </w:tcBorders>
          </w:tcPr>
          <w:p w:rsidR="007068D6" w:rsidRPr="00667EAA" w:rsidRDefault="007068D6" w:rsidP="00667EAA">
            <w:pPr>
              <w:pStyle w:val="CLDTableSpaceListSpace"/>
              <w:spacing w:before="20" w:after="60"/>
              <w:rPr>
                <w:i/>
                <w:iCs/>
                <w:sz w:val="22"/>
              </w:rPr>
            </w:pPr>
            <w:r w:rsidRPr="00667EAA">
              <w:rPr>
                <w:i/>
                <w:iCs/>
                <w:sz w:val="22"/>
              </w:rPr>
              <w:t>18</w:t>
            </w:r>
          </w:p>
        </w:tc>
        <w:tc>
          <w:tcPr>
            <w:tcW w:w="992" w:type="dxa"/>
            <w:tcBorders>
              <w:top w:val="single" w:sz="4" w:space="0" w:color="auto"/>
              <w:left w:val="single" w:sz="4" w:space="0" w:color="auto"/>
              <w:bottom w:val="single" w:sz="4" w:space="0" w:color="auto"/>
              <w:right w:val="single" w:sz="4" w:space="0" w:color="auto"/>
            </w:tcBorders>
          </w:tcPr>
          <w:p w:rsidR="007068D6" w:rsidRPr="00667EAA" w:rsidRDefault="007068D6" w:rsidP="00667EAA">
            <w:pPr>
              <w:pStyle w:val="CLDTableSpaceListSpace"/>
              <w:spacing w:before="20" w:after="60"/>
              <w:rPr>
                <w:i/>
                <w:iCs/>
                <w:sz w:val="22"/>
              </w:rPr>
            </w:pPr>
            <w:r w:rsidRPr="00667EAA">
              <w:rPr>
                <w:i/>
                <w:iCs/>
                <w:sz w:val="22"/>
              </w:rPr>
              <w:t>47</w:t>
            </w:r>
          </w:p>
        </w:tc>
      </w:tr>
      <w:tr w:rsidR="00B50AEC" w:rsidRPr="00667EAA" w:rsidTr="00B50AEC">
        <w:trPr>
          <w:cantSplit/>
        </w:trPr>
        <w:tc>
          <w:tcPr>
            <w:tcW w:w="2093" w:type="dxa"/>
            <w:tcBorders>
              <w:top w:val="single" w:sz="4" w:space="0" w:color="auto"/>
              <w:left w:val="single" w:sz="4" w:space="0" w:color="auto"/>
              <w:bottom w:val="single" w:sz="4" w:space="0" w:color="auto"/>
              <w:right w:val="single" w:sz="4" w:space="0" w:color="auto"/>
            </w:tcBorders>
          </w:tcPr>
          <w:p w:rsidR="00607570" w:rsidRPr="00667EAA" w:rsidRDefault="00607570" w:rsidP="00B50AEC">
            <w:pPr>
              <w:pStyle w:val="CLDTableSpaceListSpace"/>
              <w:spacing w:before="20" w:after="60"/>
              <w:rPr>
                <w:i/>
                <w:iCs/>
                <w:sz w:val="22"/>
              </w:rPr>
            </w:pPr>
            <w:r w:rsidRPr="00667EAA">
              <w:rPr>
                <w:i/>
                <w:iCs/>
                <w:sz w:val="22"/>
              </w:rPr>
              <w:t>H</w:t>
            </w:r>
            <w:r w:rsidR="00B50AEC">
              <w:rPr>
                <w:i/>
                <w:iCs/>
                <w:sz w:val="22"/>
              </w:rPr>
              <w:t xml:space="preserve">. </w:t>
            </w:r>
            <w:proofErr w:type="spellStart"/>
            <w:r w:rsidRPr="00667EAA">
              <w:rPr>
                <w:i/>
                <w:iCs/>
                <w:sz w:val="22"/>
              </w:rPr>
              <w:t>influenzae</w:t>
            </w:r>
            <w:proofErr w:type="spellEnd"/>
          </w:p>
        </w:tc>
        <w:tc>
          <w:tcPr>
            <w:tcW w:w="1417" w:type="dxa"/>
            <w:tcBorders>
              <w:top w:val="single" w:sz="4" w:space="0" w:color="auto"/>
              <w:left w:val="single" w:sz="4" w:space="0" w:color="auto"/>
              <w:bottom w:val="single" w:sz="4" w:space="0" w:color="auto"/>
              <w:right w:val="single" w:sz="4" w:space="0" w:color="auto"/>
            </w:tcBorders>
          </w:tcPr>
          <w:p w:rsidR="00607570" w:rsidRPr="00667EAA" w:rsidRDefault="00607570" w:rsidP="00667EAA">
            <w:pPr>
              <w:pStyle w:val="CLDTableSpaceListSpace"/>
              <w:spacing w:before="20" w:after="60"/>
              <w:rPr>
                <w:i/>
                <w:iCs/>
                <w:sz w:val="22"/>
              </w:rPr>
            </w:pPr>
            <w:r w:rsidRPr="00667EAA">
              <w:rPr>
                <w:i/>
                <w:iCs/>
                <w:sz w:val="22"/>
              </w:rPr>
              <w:t>87.5</w:t>
            </w:r>
          </w:p>
        </w:tc>
        <w:tc>
          <w:tcPr>
            <w:tcW w:w="1418" w:type="dxa"/>
            <w:tcBorders>
              <w:top w:val="single" w:sz="4" w:space="0" w:color="auto"/>
              <w:left w:val="single" w:sz="4" w:space="0" w:color="auto"/>
              <w:bottom w:val="single" w:sz="4" w:space="0" w:color="auto"/>
              <w:right w:val="single" w:sz="4" w:space="0" w:color="auto"/>
            </w:tcBorders>
          </w:tcPr>
          <w:p w:rsidR="00607570" w:rsidRPr="00667EAA" w:rsidRDefault="00607570" w:rsidP="00667EAA">
            <w:pPr>
              <w:pStyle w:val="CLDTableSpaceListSpace"/>
              <w:spacing w:before="20" w:after="60"/>
              <w:rPr>
                <w:i/>
                <w:iCs/>
                <w:sz w:val="22"/>
              </w:rPr>
            </w:pPr>
            <w:r w:rsidRPr="00667EAA">
              <w:rPr>
                <w:i/>
                <w:iCs/>
                <w:sz w:val="22"/>
              </w:rPr>
              <w:t>14</w:t>
            </w:r>
          </w:p>
        </w:tc>
        <w:tc>
          <w:tcPr>
            <w:tcW w:w="850" w:type="dxa"/>
            <w:tcBorders>
              <w:top w:val="single" w:sz="4" w:space="0" w:color="auto"/>
              <w:left w:val="single" w:sz="4" w:space="0" w:color="auto"/>
              <w:bottom w:val="single" w:sz="4" w:space="0" w:color="auto"/>
              <w:right w:val="single" w:sz="4" w:space="0" w:color="auto"/>
            </w:tcBorders>
          </w:tcPr>
          <w:p w:rsidR="00607570" w:rsidRPr="00667EAA" w:rsidRDefault="00607570" w:rsidP="00667EAA">
            <w:pPr>
              <w:pStyle w:val="CLDTableSpaceListSpace"/>
              <w:spacing w:before="20" w:after="60"/>
              <w:rPr>
                <w:i/>
                <w:iCs/>
                <w:sz w:val="22"/>
              </w:rPr>
            </w:pPr>
            <w:r w:rsidRPr="00667EAA">
              <w:rPr>
                <w:i/>
                <w:iCs/>
                <w:sz w:val="22"/>
              </w:rPr>
              <w:t>16</w:t>
            </w:r>
          </w:p>
        </w:tc>
        <w:tc>
          <w:tcPr>
            <w:tcW w:w="1418" w:type="dxa"/>
            <w:tcBorders>
              <w:top w:val="single" w:sz="4" w:space="0" w:color="auto"/>
              <w:left w:val="single" w:sz="4" w:space="0" w:color="auto"/>
              <w:bottom w:val="single" w:sz="4" w:space="0" w:color="auto"/>
              <w:right w:val="single" w:sz="4" w:space="0" w:color="auto"/>
            </w:tcBorders>
          </w:tcPr>
          <w:p w:rsidR="00607570" w:rsidRPr="00667EAA" w:rsidRDefault="00607570" w:rsidP="00667EAA">
            <w:pPr>
              <w:pStyle w:val="CLDTableSpaceListSpace"/>
              <w:spacing w:before="20" w:after="60"/>
              <w:rPr>
                <w:i/>
                <w:iCs/>
                <w:sz w:val="22"/>
              </w:rPr>
            </w:pPr>
            <w:r w:rsidRPr="00667EAA">
              <w:rPr>
                <w:i/>
                <w:iCs/>
                <w:sz w:val="22"/>
              </w:rPr>
              <w:t>92.0</w:t>
            </w:r>
          </w:p>
        </w:tc>
        <w:tc>
          <w:tcPr>
            <w:tcW w:w="1276" w:type="dxa"/>
            <w:tcBorders>
              <w:top w:val="single" w:sz="4" w:space="0" w:color="auto"/>
              <w:left w:val="single" w:sz="4" w:space="0" w:color="auto"/>
              <w:bottom w:val="single" w:sz="4" w:space="0" w:color="auto"/>
              <w:right w:val="single" w:sz="4" w:space="0" w:color="auto"/>
            </w:tcBorders>
          </w:tcPr>
          <w:p w:rsidR="00607570" w:rsidRPr="00667EAA" w:rsidRDefault="00607570" w:rsidP="00667EAA">
            <w:pPr>
              <w:pStyle w:val="CLDTableSpaceListSpace"/>
              <w:spacing w:before="20" w:after="60"/>
              <w:rPr>
                <w:i/>
                <w:iCs/>
                <w:sz w:val="22"/>
              </w:rPr>
            </w:pPr>
            <w:r w:rsidRPr="00667EAA">
              <w:rPr>
                <w:i/>
                <w:iCs/>
                <w:sz w:val="22"/>
              </w:rPr>
              <w:t>23</w:t>
            </w:r>
          </w:p>
        </w:tc>
        <w:tc>
          <w:tcPr>
            <w:tcW w:w="992" w:type="dxa"/>
            <w:tcBorders>
              <w:top w:val="single" w:sz="4" w:space="0" w:color="auto"/>
              <w:left w:val="single" w:sz="4" w:space="0" w:color="auto"/>
              <w:bottom w:val="single" w:sz="4" w:space="0" w:color="auto"/>
              <w:right w:val="single" w:sz="4" w:space="0" w:color="auto"/>
            </w:tcBorders>
          </w:tcPr>
          <w:p w:rsidR="00607570" w:rsidRPr="00667EAA" w:rsidRDefault="00607570" w:rsidP="00667EAA">
            <w:pPr>
              <w:pStyle w:val="CLDTableSpaceListSpace"/>
              <w:spacing w:before="20" w:after="60"/>
              <w:rPr>
                <w:i/>
                <w:iCs/>
                <w:sz w:val="22"/>
              </w:rPr>
            </w:pPr>
            <w:r w:rsidRPr="00667EAA">
              <w:rPr>
                <w:i/>
                <w:iCs/>
                <w:sz w:val="22"/>
              </w:rPr>
              <w:t>25</w:t>
            </w:r>
          </w:p>
        </w:tc>
      </w:tr>
    </w:tbl>
    <w:p w:rsidR="00B6621A" w:rsidRDefault="00B6621A" w:rsidP="00367176">
      <w:pPr>
        <w:pStyle w:val="CLDTableFootnote"/>
      </w:pPr>
    </w:p>
    <w:p w:rsidR="0011604B" w:rsidRPr="00A80F47" w:rsidRDefault="0011604B" w:rsidP="0011604B">
      <w:pPr>
        <w:pStyle w:val="CLDHeading4"/>
      </w:pPr>
      <w:r w:rsidRPr="00A80F47">
        <w:t>Limitations of clinical trial data</w:t>
      </w:r>
    </w:p>
    <w:p w:rsidR="0011604B" w:rsidRDefault="0011604B" w:rsidP="0011604B">
      <w:pPr>
        <w:pStyle w:val="CLDNormal"/>
      </w:pPr>
      <w:r w:rsidRPr="00A80F47">
        <w:t xml:space="preserve">Patients with evidence of significant </w:t>
      </w:r>
      <w:proofErr w:type="spellStart"/>
      <w:r w:rsidRPr="00A80F47">
        <w:t>immunocompromise</w:t>
      </w:r>
      <w:proofErr w:type="spellEnd"/>
      <w:r w:rsidRPr="00A80F47">
        <w:t xml:space="preserve"> </w:t>
      </w:r>
      <w:proofErr w:type="gramStart"/>
      <w:r w:rsidRPr="00A80F47">
        <w:t>were excluded</w:t>
      </w:r>
      <w:proofErr w:type="gramEnd"/>
      <w:r w:rsidRPr="00A80F47">
        <w:t xml:space="preserve"> from the </w:t>
      </w:r>
      <w:r w:rsidR="00C82E06" w:rsidRPr="00A80F47">
        <w:t>P</w:t>
      </w:r>
      <w:r w:rsidRPr="00A80F47">
        <w:t>hase 3 clinical trials.</w:t>
      </w:r>
    </w:p>
    <w:p w:rsidR="00830B98" w:rsidRPr="001939AC" w:rsidRDefault="00F14C5B" w:rsidP="005B4B20">
      <w:pPr>
        <w:pStyle w:val="CLDHeading2"/>
      </w:pPr>
      <w:r w:rsidRPr="001939AC">
        <w:t>5.2 P</w:t>
      </w:r>
      <w:r w:rsidR="00B5568E" w:rsidRPr="001939AC">
        <w:t xml:space="preserve">harmacokinetic </w:t>
      </w:r>
      <w:r w:rsidR="00112E5B" w:rsidRPr="001939AC">
        <w:t>properties</w:t>
      </w:r>
    </w:p>
    <w:p w:rsidR="003C6DC6" w:rsidRPr="001939AC" w:rsidRDefault="007F4266" w:rsidP="005B4B20">
      <w:pPr>
        <w:pStyle w:val="CLDHeading3"/>
      </w:pPr>
      <w:r>
        <w:t>Distribution</w:t>
      </w:r>
    </w:p>
    <w:p w:rsidR="00B50F4C" w:rsidRPr="001939AC" w:rsidRDefault="00B50F4C" w:rsidP="00B50F4C">
      <w:pPr>
        <w:pStyle w:val="CLDNormal"/>
      </w:pPr>
      <w:r w:rsidRPr="001939AC">
        <w:rPr>
          <w:bCs/>
        </w:rPr>
        <w:t xml:space="preserve">The human protein binding of both </w:t>
      </w:r>
      <w:proofErr w:type="spellStart"/>
      <w:r w:rsidRPr="001939AC">
        <w:rPr>
          <w:bCs/>
        </w:rPr>
        <w:t>ceftazidime</w:t>
      </w:r>
      <w:proofErr w:type="spellEnd"/>
      <w:r w:rsidRPr="001939AC">
        <w:rPr>
          <w:bCs/>
        </w:rPr>
        <w:t xml:space="preserve"> and avibactam is approximately 10% and 8%, respectively. </w:t>
      </w:r>
      <w:r w:rsidRPr="001939AC">
        <w:t xml:space="preserve">The steady-state volumes of distribution of </w:t>
      </w:r>
      <w:proofErr w:type="spellStart"/>
      <w:r w:rsidRPr="001939AC">
        <w:t>ceftazidime</w:t>
      </w:r>
      <w:proofErr w:type="spellEnd"/>
      <w:r w:rsidRPr="001939AC">
        <w:t xml:space="preserve"> and avibactam were about 22 L and 18 L, respectively in healthy adults following multiple doses of 2000 mg/500 mg </w:t>
      </w:r>
      <w:proofErr w:type="spellStart"/>
      <w:r w:rsidRPr="001939AC">
        <w:t>ceftazidime</w:t>
      </w:r>
      <w:proofErr w:type="spellEnd"/>
      <w:r w:rsidRPr="001939AC">
        <w:t xml:space="preserve">/avibactam infused over 2 hours every 8 hours. Both </w:t>
      </w:r>
      <w:proofErr w:type="spellStart"/>
      <w:r w:rsidRPr="001939AC">
        <w:t>ceftazidime</w:t>
      </w:r>
      <w:proofErr w:type="spellEnd"/>
      <w:r w:rsidRPr="001939AC">
        <w:t xml:space="preserve"> and avibactam penetrate into human bronchial epithelial lining fluid (ELF) to the same extent with concentrations around 30% of those in plasma. The concentration time profiles are similar for ELF and plasma.</w:t>
      </w:r>
    </w:p>
    <w:p w:rsidR="00B50F4C" w:rsidRPr="00367176" w:rsidRDefault="00B50F4C" w:rsidP="00B50F4C">
      <w:pPr>
        <w:pStyle w:val="CLDNormal"/>
      </w:pPr>
      <w:r w:rsidRPr="001939AC">
        <w:rPr>
          <w:bCs/>
        </w:rPr>
        <w:t xml:space="preserve">Penetration of </w:t>
      </w:r>
      <w:proofErr w:type="spellStart"/>
      <w:r w:rsidRPr="001939AC">
        <w:rPr>
          <w:bCs/>
        </w:rPr>
        <w:t>ceftazidime</w:t>
      </w:r>
      <w:proofErr w:type="spellEnd"/>
      <w:r w:rsidRPr="001939AC">
        <w:rPr>
          <w:bCs/>
        </w:rPr>
        <w:t xml:space="preserve"> into the intact blood-brain barrier is poor. </w:t>
      </w:r>
      <w:proofErr w:type="spellStart"/>
      <w:r w:rsidRPr="001939AC">
        <w:rPr>
          <w:bCs/>
        </w:rPr>
        <w:t>Ceftazidime</w:t>
      </w:r>
      <w:proofErr w:type="spellEnd"/>
      <w:r w:rsidRPr="001939AC">
        <w:rPr>
          <w:bCs/>
        </w:rPr>
        <w:t xml:space="preserve"> concentrations of 4 to 20 mg/L or more </w:t>
      </w:r>
      <w:proofErr w:type="gramStart"/>
      <w:r w:rsidRPr="001939AC">
        <w:rPr>
          <w:bCs/>
        </w:rPr>
        <w:t>are achieved</w:t>
      </w:r>
      <w:proofErr w:type="gramEnd"/>
      <w:r w:rsidRPr="001939AC">
        <w:rPr>
          <w:bCs/>
        </w:rPr>
        <w:t xml:space="preserve"> in the CSF when the meninges are inflamed.</w:t>
      </w:r>
      <w:r w:rsidRPr="001939AC">
        <w:t xml:space="preserve"> Avibactam penetration of the blood brain barrier </w:t>
      </w:r>
      <w:proofErr w:type="gramStart"/>
      <w:r w:rsidRPr="001939AC">
        <w:t>has not been studied</w:t>
      </w:r>
      <w:proofErr w:type="gramEnd"/>
      <w:r w:rsidRPr="001939AC">
        <w:t xml:space="preserve"> clinically; however, in rabbits with inflamed meninges, CSF exposures of </w:t>
      </w:r>
      <w:proofErr w:type="spellStart"/>
      <w:r w:rsidRPr="001939AC">
        <w:t>ceftazidime</w:t>
      </w:r>
      <w:proofErr w:type="spellEnd"/>
      <w:r w:rsidRPr="001939AC">
        <w:t xml:space="preserve"> and avibactam were 43% and 38% of plasma AUC, respectively. </w:t>
      </w:r>
      <w:proofErr w:type="spellStart"/>
      <w:r w:rsidRPr="001939AC">
        <w:rPr>
          <w:bCs/>
        </w:rPr>
        <w:t>Ceftazidime</w:t>
      </w:r>
      <w:proofErr w:type="spellEnd"/>
      <w:r w:rsidRPr="001939AC">
        <w:rPr>
          <w:bCs/>
        </w:rPr>
        <w:t xml:space="preserve"> crosses the placenta readily, and </w:t>
      </w:r>
      <w:proofErr w:type="gramStart"/>
      <w:r w:rsidR="007F4266">
        <w:rPr>
          <w:bCs/>
        </w:rPr>
        <w:t>is excreted</w:t>
      </w:r>
      <w:proofErr w:type="gramEnd"/>
      <w:r w:rsidR="007F4266">
        <w:rPr>
          <w:bCs/>
        </w:rPr>
        <w:t xml:space="preserve"> in the breast milk.</w:t>
      </w:r>
    </w:p>
    <w:p w:rsidR="003C6DC6" w:rsidRPr="001939AC" w:rsidRDefault="001F06A7" w:rsidP="005B4B20">
      <w:pPr>
        <w:pStyle w:val="CLDHeading3"/>
      </w:pPr>
      <w:r>
        <w:t>Metabolism</w:t>
      </w:r>
    </w:p>
    <w:p w:rsidR="00B50F4C" w:rsidRPr="001939AC" w:rsidRDefault="00B50F4C" w:rsidP="002920D1">
      <w:pPr>
        <w:pStyle w:val="CLDNormal"/>
        <w:rPr>
          <w:bCs/>
        </w:rPr>
      </w:pPr>
      <w:proofErr w:type="spellStart"/>
      <w:r w:rsidRPr="001939AC">
        <w:rPr>
          <w:bCs/>
        </w:rPr>
        <w:t>Ceftazidime</w:t>
      </w:r>
      <w:proofErr w:type="spellEnd"/>
      <w:r w:rsidRPr="001939AC">
        <w:rPr>
          <w:bCs/>
        </w:rPr>
        <w:t xml:space="preserve"> is not metabolised. </w:t>
      </w:r>
      <w:r w:rsidRPr="001939AC">
        <w:t xml:space="preserve">No metabolism of avibactam </w:t>
      </w:r>
      <w:proofErr w:type="gramStart"/>
      <w:r w:rsidRPr="001939AC">
        <w:t>was observed</w:t>
      </w:r>
      <w:proofErr w:type="gramEnd"/>
      <w:r w:rsidRPr="001939AC">
        <w:t xml:space="preserve"> in human liver preparations (</w:t>
      </w:r>
      <w:proofErr w:type="spellStart"/>
      <w:r w:rsidRPr="001939AC">
        <w:t>microsomes</w:t>
      </w:r>
      <w:proofErr w:type="spellEnd"/>
      <w:r w:rsidRPr="001939AC">
        <w:t xml:space="preserve"> and hepatocytes). Unchanged avibactam was the major drug-related component in human plasma and urine following dosing with [</w:t>
      </w:r>
      <w:r w:rsidRPr="001939AC">
        <w:rPr>
          <w:vertAlign w:val="superscript"/>
        </w:rPr>
        <w:t>14</w:t>
      </w:r>
      <w:r w:rsidRPr="001939AC">
        <w:t>C]-avibactam.</w:t>
      </w:r>
    </w:p>
    <w:p w:rsidR="003C6DC6" w:rsidRPr="001939AC" w:rsidRDefault="003C6DC6" w:rsidP="005B4B20">
      <w:pPr>
        <w:pStyle w:val="CLDHeading3"/>
      </w:pPr>
      <w:r w:rsidRPr="001939AC">
        <w:lastRenderedPageBreak/>
        <w:t>E</w:t>
      </w:r>
      <w:r w:rsidR="001F06A7">
        <w:t>xcretion</w:t>
      </w:r>
    </w:p>
    <w:p w:rsidR="00B50F4C" w:rsidRPr="001939AC" w:rsidRDefault="00B50F4C" w:rsidP="002920D1">
      <w:pPr>
        <w:pStyle w:val="CLDNormal"/>
      </w:pPr>
      <w:r w:rsidRPr="001939AC">
        <w:t>The terminal half-life (t</w:t>
      </w:r>
      <w:r w:rsidRPr="001939AC">
        <w:rPr>
          <w:vertAlign w:val="subscript"/>
        </w:rPr>
        <w:t>½</w:t>
      </w:r>
      <w:r w:rsidRPr="001939AC">
        <w:t xml:space="preserve">) of both </w:t>
      </w:r>
      <w:proofErr w:type="spellStart"/>
      <w:r w:rsidRPr="001939AC">
        <w:t>ceftazidime</w:t>
      </w:r>
      <w:proofErr w:type="spellEnd"/>
      <w:r w:rsidRPr="001939AC">
        <w:t xml:space="preserve"> and avibactam is about 2 h after intravenous administration. </w:t>
      </w:r>
      <w:proofErr w:type="spellStart"/>
      <w:r w:rsidRPr="001939AC">
        <w:t>Ceftazidime</w:t>
      </w:r>
      <w:proofErr w:type="spellEnd"/>
      <w:r w:rsidRPr="001939AC">
        <w:t xml:space="preserve"> is excreted unchanged into the urine by glomerular filtration; approximately 80-90% of the dose is recovered in the urine within 24 h. Avibactam is excreted unchanged into the urine with a renal clearance of approximately 158 mL/min, suggesting active tubular secretion in addition to glomerular filtration. Approximately 97% of the avibactam dose is recovered in the urine, 95% within 12 </w:t>
      </w:r>
      <w:proofErr w:type="gramStart"/>
      <w:r w:rsidRPr="001939AC">
        <w:t>h.</w:t>
      </w:r>
      <w:proofErr w:type="gramEnd"/>
      <w:r w:rsidRPr="001939AC">
        <w:t xml:space="preserve"> Less than 1% of </w:t>
      </w:r>
      <w:proofErr w:type="spellStart"/>
      <w:r w:rsidRPr="001939AC">
        <w:t>ceftazidime</w:t>
      </w:r>
      <w:proofErr w:type="spellEnd"/>
      <w:r w:rsidRPr="001939AC">
        <w:t xml:space="preserve"> is excreted via the bile and less than 0.25% of avibactam is excreted into faeces.</w:t>
      </w:r>
    </w:p>
    <w:p w:rsidR="003C6DC6" w:rsidRPr="001939AC" w:rsidRDefault="007F4266" w:rsidP="005B4B20">
      <w:pPr>
        <w:pStyle w:val="CLDHeading3"/>
      </w:pPr>
      <w:r>
        <w:t>Linearity/non-linearity</w:t>
      </w:r>
    </w:p>
    <w:p w:rsidR="00E84983" w:rsidRPr="001939AC" w:rsidRDefault="00E84983" w:rsidP="00B50F4C">
      <w:pPr>
        <w:pStyle w:val="CLDNormal"/>
      </w:pPr>
      <w:r w:rsidRPr="001939AC">
        <w:t xml:space="preserve">The pharmacokinetics of both </w:t>
      </w:r>
      <w:proofErr w:type="spellStart"/>
      <w:r w:rsidRPr="001939AC">
        <w:t>ceftazidime</w:t>
      </w:r>
      <w:proofErr w:type="spellEnd"/>
      <w:r w:rsidRPr="001939AC">
        <w:t xml:space="preserve"> and avibactam are approximately linear across the dose range studied (50 mg to 2000 mg) for a single intravenous administration. No appreciable accumulation of </w:t>
      </w:r>
      <w:proofErr w:type="spellStart"/>
      <w:r w:rsidRPr="001939AC">
        <w:t>ceftazidime</w:t>
      </w:r>
      <w:proofErr w:type="spellEnd"/>
      <w:r w:rsidRPr="001939AC">
        <w:t xml:space="preserve"> or avibactam </w:t>
      </w:r>
      <w:proofErr w:type="gramStart"/>
      <w:r w:rsidRPr="001939AC">
        <w:t>was observed</w:t>
      </w:r>
      <w:proofErr w:type="gramEnd"/>
      <w:r w:rsidRPr="001939AC">
        <w:t xml:space="preserve"> following multiple intravenous infusions of 2000 mg/500 mg of </w:t>
      </w:r>
      <w:proofErr w:type="spellStart"/>
      <w:r w:rsidRPr="001939AC">
        <w:t>ceftazidime</w:t>
      </w:r>
      <w:proofErr w:type="spellEnd"/>
      <w:r w:rsidRPr="001939AC">
        <w:t>/avibactam administered every 8 hours for up to 11 days in healthy adults with normal renal function.</w:t>
      </w:r>
    </w:p>
    <w:p w:rsidR="003C6DC6" w:rsidRPr="001939AC" w:rsidRDefault="003C6DC6" w:rsidP="005B4B20">
      <w:pPr>
        <w:pStyle w:val="CLDHeading3"/>
      </w:pPr>
      <w:r w:rsidRPr="001939AC">
        <w:t>Pharmacokinetic/</w:t>
      </w:r>
      <w:proofErr w:type="spellStart"/>
      <w:r w:rsidR="007F4266">
        <w:t>pharmacodynamic</w:t>
      </w:r>
      <w:proofErr w:type="spellEnd"/>
      <w:r w:rsidR="007F4266">
        <w:t xml:space="preserve"> relationship(s)</w:t>
      </w:r>
    </w:p>
    <w:p w:rsidR="00F14C5B" w:rsidRPr="00367176" w:rsidRDefault="00E84983" w:rsidP="00D81455">
      <w:pPr>
        <w:pStyle w:val="CLDNormal"/>
      </w:pPr>
      <w:r w:rsidRPr="001939AC">
        <w:t xml:space="preserve">The antimicrobial activity of </w:t>
      </w:r>
      <w:proofErr w:type="spellStart"/>
      <w:r w:rsidRPr="001939AC">
        <w:t>ceftazidime</w:t>
      </w:r>
      <w:proofErr w:type="spellEnd"/>
      <w:r w:rsidRPr="001939AC">
        <w:t xml:space="preserve"> against specific pathogens has been shown to best correlate with the percent time of free-drug concentration above the </w:t>
      </w:r>
      <w:proofErr w:type="spellStart"/>
      <w:r w:rsidRPr="001939AC">
        <w:t>ceftazidime</w:t>
      </w:r>
      <w:proofErr w:type="spellEnd"/>
      <w:r w:rsidRPr="001939AC">
        <w:t>/avibactam minimum inhibitory concentration over the dose interval (</w:t>
      </w:r>
      <w:proofErr w:type="gramStart"/>
      <w:r w:rsidRPr="001939AC">
        <w:t>%</w:t>
      </w:r>
      <w:proofErr w:type="spellStart"/>
      <w:r w:rsidRPr="001939AC">
        <w:rPr>
          <w:i/>
        </w:rPr>
        <w:t>f</w:t>
      </w:r>
      <w:r w:rsidRPr="001939AC">
        <w:t>T</w:t>
      </w:r>
      <w:proofErr w:type="spellEnd"/>
      <w:proofErr w:type="gramEnd"/>
      <w:r w:rsidRPr="001939AC">
        <w:t xml:space="preserve"> &gt;MIC of </w:t>
      </w:r>
      <w:proofErr w:type="spellStart"/>
      <w:r w:rsidRPr="001939AC">
        <w:t>ceftazidime</w:t>
      </w:r>
      <w:proofErr w:type="spellEnd"/>
      <w:r w:rsidRPr="001939AC">
        <w:t>/avibactam). For avibactam the PK-PD index is the percent time of the free drug concentration above a threshold concentration over the dose interval (</w:t>
      </w:r>
      <w:proofErr w:type="gramStart"/>
      <w:r w:rsidRPr="001939AC">
        <w:t>%</w:t>
      </w:r>
      <w:proofErr w:type="gramEnd"/>
      <w:r w:rsidRPr="001939AC">
        <w:t xml:space="preserve"> </w:t>
      </w:r>
      <w:proofErr w:type="spellStart"/>
      <w:r w:rsidRPr="001939AC">
        <w:rPr>
          <w:i/>
        </w:rPr>
        <w:t>f</w:t>
      </w:r>
      <w:r w:rsidRPr="001939AC">
        <w:t>T</w:t>
      </w:r>
      <w:proofErr w:type="spellEnd"/>
      <w:r w:rsidRPr="001939AC">
        <w:t xml:space="preserve"> &gt;C</w:t>
      </w:r>
      <w:r w:rsidRPr="001939AC">
        <w:rPr>
          <w:vertAlign w:val="subscript"/>
        </w:rPr>
        <w:t>T</w:t>
      </w:r>
      <w:r w:rsidRPr="001939AC">
        <w:t>).</w:t>
      </w:r>
    </w:p>
    <w:p w:rsidR="00F14C5B" w:rsidRPr="001939AC" w:rsidRDefault="00F14C5B" w:rsidP="002A37D8">
      <w:pPr>
        <w:pStyle w:val="CLDHeading3"/>
      </w:pPr>
      <w:r w:rsidRPr="001939AC">
        <w:t>Renal impairment</w:t>
      </w:r>
    </w:p>
    <w:p w:rsidR="00F14C5B" w:rsidRDefault="00357CCE" w:rsidP="005C1B32">
      <w:pPr>
        <w:pStyle w:val="CLDNormal"/>
      </w:pPr>
      <w:proofErr w:type="spellStart"/>
      <w:proofErr w:type="gramStart"/>
      <w:r>
        <w:rPr>
          <w:lang w:val="en-US"/>
        </w:rPr>
        <w:t>Ceftazidime</w:t>
      </w:r>
      <w:proofErr w:type="spellEnd"/>
      <w:r>
        <w:rPr>
          <w:lang w:val="en-US"/>
        </w:rPr>
        <w:t xml:space="preserve"> is eliminated almost solely by the kidneys</w:t>
      </w:r>
      <w:proofErr w:type="gramEnd"/>
      <w:r>
        <w:rPr>
          <w:lang w:val="en-US"/>
        </w:rPr>
        <w:t>; its serum half-life is significantly prolonged in patients with impaired renal function.</w:t>
      </w:r>
      <w:r w:rsidRPr="00357CCE">
        <w:rPr>
          <w:lang w:val="en-US"/>
        </w:rPr>
        <w:t xml:space="preserve"> </w:t>
      </w:r>
      <w:proofErr w:type="gramStart"/>
      <w:r>
        <w:rPr>
          <w:lang w:val="en-US"/>
        </w:rPr>
        <w:t>The clearance of avibactam was significantly decreased in subjects with mild (</w:t>
      </w:r>
      <w:proofErr w:type="spellStart"/>
      <w:r>
        <w:rPr>
          <w:lang w:val="en-US"/>
        </w:rPr>
        <w:t>CrCl</w:t>
      </w:r>
      <w:proofErr w:type="spellEnd"/>
      <w:r w:rsidR="0064248D" w:rsidRPr="001939AC">
        <w:rPr>
          <w:rFonts w:eastAsia="SimSun"/>
          <w:noProof/>
        </w:rPr>
        <w:t> </w:t>
      </w:r>
      <w:r w:rsidR="0064248D">
        <w:rPr>
          <w:lang w:val="en-US"/>
        </w:rPr>
        <w:t>&gt;</w:t>
      </w:r>
      <w:r w:rsidR="0064248D" w:rsidRPr="001939AC">
        <w:rPr>
          <w:rFonts w:eastAsia="SimSun"/>
          <w:noProof/>
        </w:rPr>
        <w:t> </w:t>
      </w:r>
      <w:r>
        <w:rPr>
          <w:lang w:val="en-US"/>
        </w:rPr>
        <w:t>50 to 80</w:t>
      </w:r>
      <w:r w:rsidR="0064248D" w:rsidRPr="001939AC">
        <w:rPr>
          <w:rFonts w:eastAsia="SimSun"/>
          <w:noProof/>
        </w:rPr>
        <w:t> </w:t>
      </w:r>
      <w:r>
        <w:rPr>
          <w:lang w:val="en-US"/>
        </w:rPr>
        <w:t>mL/min, n = 6), moderate (</w:t>
      </w:r>
      <w:proofErr w:type="spellStart"/>
      <w:r>
        <w:rPr>
          <w:lang w:val="en-US"/>
        </w:rPr>
        <w:t>CrCl</w:t>
      </w:r>
      <w:proofErr w:type="spellEnd"/>
      <w:r w:rsidR="0064248D" w:rsidRPr="001939AC">
        <w:rPr>
          <w:rFonts w:eastAsia="SimSun"/>
          <w:noProof/>
        </w:rPr>
        <w:t> </w:t>
      </w:r>
      <w:r>
        <w:rPr>
          <w:lang w:val="en-US"/>
        </w:rPr>
        <w:t>30</w:t>
      </w:r>
      <w:r w:rsidR="0064248D" w:rsidRPr="001939AC">
        <w:rPr>
          <w:rFonts w:eastAsia="SimSun"/>
          <w:noProof/>
        </w:rPr>
        <w:t> </w:t>
      </w:r>
      <w:r>
        <w:rPr>
          <w:lang w:val="en-US"/>
        </w:rPr>
        <w:t>to 50</w:t>
      </w:r>
      <w:r w:rsidR="0064248D" w:rsidRPr="001939AC">
        <w:rPr>
          <w:rFonts w:eastAsia="SimSun"/>
          <w:noProof/>
        </w:rPr>
        <w:t> </w:t>
      </w:r>
      <w:r>
        <w:rPr>
          <w:lang w:val="en-US"/>
        </w:rPr>
        <w:t>mL/min, n = 6), and severe (</w:t>
      </w:r>
      <w:r w:rsidR="00F85F2C">
        <w:rPr>
          <w:lang w:val="en-US"/>
        </w:rPr>
        <w:sym w:font="Symbol" w:char="F0A3"/>
      </w:r>
      <w:r w:rsidR="0064248D" w:rsidRPr="001939AC">
        <w:rPr>
          <w:rFonts w:eastAsia="SimSun"/>
          <w:noProof/>
        </w:rPr>
        <w:t> </w:t>
      </w:r>
      <w:proofErr w:type="spellStart"/>
      <w:r>
        <w:rPr>
          <w:lang w:val="en-US"/>
        </w:rPr>
        <w:t>CrCl</w:t>
      </w:r>
      <w:proofErr w:type="spellEnd"/>
      <w:r w:rsidR="0064248D" w:rsidRPr="001939AC">
        <w:rPr>
          <w:rFonts w:eastAsia="SimSun"/>
          <w:noProof/>
        </w:rPr>
        <w:t> </w:t>
      </w:r>
      <w:r>
        <w:rPr>
          <w:lang w:val="en-US"/>
        </w:rPr>
        <w:t xml:space="preserve">30 mL/min, not requiring </w:t>
      </w:r>
      <w:proofErr w:type="spellStart"/>
      <w:r>
        <w:rPr>
          <w:lang w:val="en-US"/>
        </w:rPr>
        <w:t>h</w:t>
      </w:r>
      <w:r w:rsidR="0064248D">
        <w:rPr>
          <w:lang w:val="en-US"/>
        </w:rPr>
        <w:t>a</w:t>
      </w:r>
      <w:r>
        <w:rPr>
          <w:lang w:val="en-US"/>
        </w:rPr>
        <w:t>emodialysis</w:t>
      </w:r>
      <w:proofErr w:type="spellEnd"/>
      <w:r>
        <w:rPr>
          <w:lang w:val="en-US"/>
        </w:rPr>
        <w:t>; n = 6) renal impairment compared to healthy subjects with normal renal function (</w:t>
      </w:r>
      <w:proofErr w:type="spellStart"/>
      <w:r>
        <w:rPr>
          <w:lang w:val="en-US"/>
        </w:rPr>
        <w:t>CrCl</w:t>
      </w:r>
      <w:proofErr w:type="spellEnd"/>
      <w:r w:rsidR="0064248D" w:rsidRPr="001939AC">
        <w:rPr>
          <w:rFonts w:eastAsia="SimSun"/>
          <w:noProof/>
        </w:rPr>
        <w:t> </w:t>
      </w:r>
      <w:r w:rsidR="00F85F2C">
        <w:rPr>
          <w:lang w:val="en-US"/>
        </w:rPr>
        <w:sym w:font="Symbol" w:char="F0B3"/>
      </w:r>
      <w:bookmarkStart w:id="14" w:name="_GoBack"/>
      <w:bookmarkEnd w:id="14"/>
      <w:r w:rsidR="0064248D">
        <w:rPr>
          <w:lang w:val="en-US"/>
        </w:rPr>
        <w:t xml:space="preserve"> </w:t>
      </w:r>
      <w:r>
        <w:rPr>
          <w:lang w:val="en-US"/>
        </w:rPr>
        <w:t>80</w:t>
      </w:r>
      <w:r w:rsidR="0064248D" w:rsidRPr="001939AC">
        <w:rPr>
          <w:rFonts w:eastAsia="SimSun"/>
          <w:noProof/>
        </w:rPr>
        <w:t> </w:t>
      </w:r>
      <w:r>
        <w:rPr>
          <w:lang w:val="en-US"/>
        </w:rPr>
        <w:t>mL/min, n = 6) following administration of a single 100</w:t>
      </w:r>
      <w:r w:rsidR="0064248D">
        <w:rPr>
          <w:lang w:val="en-US"/>
        </w:rPr>
        <w:t xml:space="preserve"> </w:t>
      </w:r>
      <w:r>
        <w:rPr>
          <w:lang w:val="en-US"/>
        </w:rPr>
        <w:t>mg intravenous dose of avibactam.</w:t>
      </w:r>
      <w:proofErr w:type="gramEnd"/>
      <w:r>
        <w:rPr>
          <w:lang w:val="en-US"/>
        </w:rPr>
        <w:t xml:space="preserve"> The slower clearance resulted in increases in systemic exposure (AUC) of avibactam of 2.6-fold,</w:t>
      </w:r>
      <w:r w:rsidR="0064248D">
        <w:rPr>
          <w:lang w:val="en-US"/>
        </w:rPr>
        <w:t xml:space="preserve"> </w:t>
      </w:r>
      <w:r w:rsidR="00F14C5B" w:rsidRPr="001939AC">
        <w:t xml:space="preserve">3.8-fold and 7-fold in subjects with </w:t>
      </w:r>
      <w:r>
        <w:t xml:space="preserve">mild, </w:t>
      </w:r>
      <w:r w:rsidR="00F14C5B" w:rsidRPr="001939AC">
        <w:t>moderate and severe renal impairment</w:t>
      </w:r>
      <w:r>
        <w:t>, respectively</w:t>
      </w:r>
      <w:r w:rsidR="00F14C5B" w:rsidRPr="001939AC">
        <w:t>.</w:t>
      </w:r>
    </w:p>
    <w:p w:rsidR="00357CCE" w:rsidRDefault="00357CCE" w:rsidP="009D0D9E">
      <w:pPr>
        <w:pStyle w:val="CLDNormal"/>
        <w:rPr>
          <w:lang w:val="en-US"/>
        </w:rPr>
      </w:pPr>
      <w:r>
        <w:rPr>
          <w:lang w:val="en-US"/>
        </w:rPr>
        <w:t>A single 100</w:t>
      </w:r>
      <w:r w:rsidR="0064248D">
        <w:rPr>
          <w:lang w:val="en-US"/>
        </w:rPr>
        <w:t xml:space="preserve"> </w:t>
      </w:r>
      <w:r>
        <w:rPr>
          <w:lang w:val="en-US"/>
        </w:rPr>
        <w:t xml:space="preserve">mg dose of avibactam was administered to subjects with ESRD (n = 6) either 1 hour before or after </w:t>
      </w:r>
      <w:proofErr w:type="spellStart"/>
      <w:r>
        <w:rPr>
          <w:lang w:val="en-US"/>
        </w:rPr>
        <w:t>haemodialysis</w:t>
      </w:r>
      <w:proofErr w:type="spellEnd"/>
      <w:r>
        <w:rPr>
          <w:lang w:val="en-US"/>
        </w:rPr>
        <w:t>. The avibactam AUC following the post-</w:t>
      </w:r>
      <w:proofErr w:type="spellStart"/>
      <w:r>
        <w:rPr>
          <w:lang w:val="en-US"/>
        </w:rPr>
        <w:t>haemodialysis</w:t>
      </w:r>
      <w:proofErr w:type="spellEnd"/>
      <w:r>
        <w:rPr>
          <w:lang w:val="en-US"/>
        </w:rPr>
        <w:t xml:space="preserve"> infusion was 19.5-fold the AUC of healthy subjects with normal renal function. Avibactam was extensively removed by </w:t>
      </w:r>
      <w:proofErr w:type="spellStart"/>
      <w:r>
        <w:rPr>
          <w:lang w:val="en-US"/>
        </w:rPr>
        <w:t>haemodialysis</w:t>
      </w:r>
      <w:proofErr w:type="spellEnd"/>
      <w:r>
        <w:rPr>
          <w:lang w:val="en-US"/>
        </w:rPr>
        <w:t xml:space="preserve">, with an extraction coefficient of 0.77 and a mean </w:t>
      </w:r>
      <w:proofErr w:type="spellStart"/>
      <w:r>
        <w:rPr>
          <w:lang w:val="en-US"/>
        </w:rPr>
        <w:t>haemodialysis</w:t>
      </w:r>
      <w:proofErr w:type="spellEnd"/>
      <w:r>
        <w:rPr>
          <w:lang w:val="en-US"/>
        </w:rPr>
        <w:t xml:space="preserve"> clearance of 9.0 L/h. </w:t>
      </w:r>
      <w:proofErr w:type="gramStart"/>
      <w:r>
        <w:rPr>
          <w:lang w:val="en-US"/>
        </w:rPr>
        <w:t>Approximately</w:t>
      </w:r>
      <w:proofErr w:type="gramEnd"/>
      <w:r>
        <w:rPr>
          <w:lang w:val="en-US"/>
        </w:rPr>
        <w:t xml:space="preserve"> 55% of the avibactam dose was removed during a 4-hour </w:t>
      </w:r>
      <w:proofErr w:type="spellStart"/>
      <w:r>
        <w:rPr>
          <w:lang w:val="en-US"/>
        </w:rPr>
        <w:t>haemodialysis</w:t>
      </w:r>
      <w:proofErr w:type="spellEnd"/>
      <w:r>
        <w:rPr>
          <w:lang w:val="en-US"/>
        </w:rPr>
        <w:t xml:space="preserve"> session.</w:t>
      </w:r>
    </w:p>
    <w:p w:rsidR="00357CCE" w:rsidRPr="001A4BF2" w:rsidRDefault="00357CCE" w:rsidP="009D0D9E">
      <w:pPr>
        <w:pStyle w:val="CLDNormal"/>
      </w:pPr>
      <w:r>
        <w:rPr>
          <w:lang w:val="en-US"/>
        </w:rPr>
        <w:t xml:space="preserve">Dosage adjustment of </w:t>
      </w:r>
      <w:proofErr w:type="spellStart"/>
      <w:r w:rsidR="009D0D9E">
        <w:rPr>
          <w:lang w:val="en-US"/>
        </w:rPr>
        <w:t>Zavicefta</w:t>
      </w:r>
      <w:proofErr w:type="spellEnd"/>
      <w:r>
        <w:rPr>
          <w:lang w:val="en-US"/>
        </w:rPr>
        <w:t xml:space="preserve"> </w:t>
      </w:r>
      <w:proofErr w:type="gramStart"/>
      <w:r>
        <w:rPr>
          <w:lang w:val="en-US"/>
        </w:rPr>
        <w:t>is recommended</w:t>
      </w:r>
      <w:proofErr w:type="gramEnd"/>
      <w:r>
        <w:rPr>
          <w:lang w:val="en-US"/>
        </w:rPr>
        <w:t xml:space="preserve"> in patients with moderate and severe renal impairment and end-stage renal disease. Population PK models for </w:t>
      </w:r>
      <w:proofErr w:type="spellStart"/>
      <w:r>
        <w:rPr>
          <w:lang w:val="en-US"/>
        </w:rPr>
        <w:t>ceftazidime</w:t>
      </w:r>
      <w:proofErr w:type="spellEnd"/>
      <w:r>
        <w:rPr>
          <w:lang w:val="en-US"/>
        </w:rPr>
        <w:t xml:space="preserve"> and avibactam </w:t>
      </w:r>
      <w:proofErr w:type="gramStart"/>
      <w:r>
        <w:rPr>
          <w:lang w:val="en-US"/>
        </w:rPr>
        <w:t>were used</w:t>
      </w:r>
      <w:proofErr w:type="gramEnd"/>
      <w:r>
        <w:rPr>
          <w:lang w:val="en-US"/>
        </w:rPr>
        <w:t xml:space="preserve"> to conduct simulations for patients with impaired renal function. Simulations demonstrated that the recommended dose adjustments provide comparable exposures of </w:t>
      </w:r>
      <w:proofErr w:type="spellStart"/>
      <w:r>
        <w:rPr>
          <w:lang w:val="en-US"/>
        </w:rPr>
        <w:t>ceftazidime</w:t>
      </w:r>
      <w:proofErr w:type="spellEnd"/>
      <w:r>
        <w:rPr>
          <w:lang w:val="en-US"/>
        </w:rPr>
        <w:t xml:space="preserve"> and avibactam in patients with moderate and severe renal impairment and end-stage renal disease to those in patients with normal renal function or mild renal impairment. F</w:t>
      </w:r>
      <w:r w:rsidR="009D0D9E">
        <w:rPr>
          <w:lang w:val="en-US"/>
        </w:rPr>
        <w:t>o</w:t>
      </w:r>
      <w:r>
        <w:rPr>
          <w:lang w:val="en-US"/>
        </w:rPr>
        <w:t xml:space="preserve">r </w:t>
      </w:r>
      <w:r>
        <w:rPr>
          <w:lang w:val="en-US"/>
        </w:rPr>
        <w:lastRenderedPageBreak/>
        <w:t xml:space="preserve">patients with changing renal function, </w:t>
      </w:r>
      <w:proofErr w:type="spellStart"/>
      <w:r>
        <w:rPr>
          <w:lang w:val="en-US"/>
        </w:rPr>
        <w:t>CrCl</w:t>
      </w:r>
      <w:proofErr w:type="spellEnd"/>
      <w:r>
        <w:rPr>
          <w:lang w:val="en-US"/>
        </w:rPr>
        <w:t xml:space="preserve"> </w:t>
      </w:r>
      <w:proofErr w:type="gramStart"/>
      <w:r>
        <w:rPr>
          <w:lang w:val="en-US"/>
        </w:rPr>
        <w:t>should be monitored</w:t>
      </w:r>
      <w:proofErr w:type="gramEnd"/>
      <w:r>
        <w:rPr>
          <w:lang w:val="en-US"/>
        </w:rPr>
        <w:t xml:space="preserve"> at least daily and the dose of </w:t>
      </w:r>
      <w:proofErr w:type="spellStart"/>
      <w:r>
        <w:rPr>
          <w:lang w:val="en-US"/>
        </w:rPr>
        <w:t>Zavicefta</w:t>
      </w:r>
      <w:proofErr w:type="spellEnd"/>
      <w:r>
        <w:rPr>
          <w:lang w:val="en-US"/>
        </w:rPr>
        <w:t xml:space="preserve"> adjusted accordingly </w:t>
      </w:r>
      <w:r w:rsidR="005C1B32">
        <w:rPr>
          <w:lang w:val="en-US"/>
        </w:rPr>
        <w:t>(see section</w:t>
      </w:r>
      <w:r w:rsidR="007A2E11">
        <w:rPr>
          <w:lang w:val="en-US"/>
        </w:rPr>
        <w:t>s</w:t>
      </w:r>
      <w:r w:rsidR="005C1B32">
        <w:rPr>
          <w:lang w:val="en-US"/>
        </w:rPr>
        <w:t xml:space="preserve"> 4.2 Dose and method of a</w:t>
      </w:r>
      <w:proofErr w:type="spellStart"/>
      <w:r w:rsidRPr="001A4BF2">
        <w:t>dministration</w:t>
      </w:r>
      <w:proofErr w:type="spellEnd"/>
      <w:r w:rsidR="007A2E11">
        <w:t xml:space="preserve">, 4.4 Special warnings and </w:t>
      </w:r>
      <w:proofErr w:type="spellStart"/>
      <w:r w:rsidR="007A2E11">
        <w:t>precuations</w:t>
      </w:r>
      <w:proofErr w:type="spellEnd"/>
      <w:r w:rsidR="007A2E11">
        <w:t xml:space="preserve"> for use, Use in renal impairment</w:t>
      </w:r>
      <w:r w:rsidR="005C1B32" w:rsidRPr="001A4BF2">
        <w:t>)</w:t>
      </w:r>
      <w:r w:rsidRPr="001A4BF2">
        <w:t>.</w:t>
      </w:r>
    </w:p>
    <w:p w:rsidR="00F14C5B" w:rsidRPr="001939AC" w:rsidRDefault="00F14C5B" w:rsidP="002A37D8">
      <w:pPr>
        <w:pStyle w:val="CLDHeading3"/>
      </w:pPr>
      <w:r w:rsidRPr="001939AC">
        <w:t>Hepatic impairment</w:t>
      </w:r>
    </w:p>
    <w:p w:rsidR="00F14C5B" w:rsidRPr="001939AC" w:rsidRDefault="00F14C5B" w:rsidP="00F14C5B">
      <w:pPr>
        <w:pStyle w:val="CLDNormal"/>
      </w:pPr>
      <w:r w:rsidRPr="001939AC">
        <w:t xml:space="preserve">Mild to moderate hepatic impairment had no effect on the pharmacokinetics of </w:t>
      </w:r>
      <w:proofErr w:type="spellStart"/>
      <w:r w:rsidRPr="001939AC">
        <w:t>ceftazidime</w:t>
      </w:r>
      <w:proofErr w:type="spellEnd"/>
      <w:r w:rsidRPr="001939AC">
        <w:t xml:space="preserve"> in individuals administered 2</w:t>
      </w:r>
      <w:r w:rsidR="00BA3AED">
        <w:t>00</w:t>
      </w:r>
      <w:r w:rsidRPr="001939AC">
        <w:t> </w:t>
      </w:r>
      <w:r w:rsidR="00BA3AED">
        <w:t>m</w:t>
      </w:r>
      <w:r w:rsidRPr="001939AC">
        <w:t xml:space="preserve">g intravenously every 8 hours for 5 days, provided renal function was not impaired. The pharmacokinetics of </w:t>
      </w:r>
      <w:proofErr w:type="spellStart"/>
      <w:r w:rsidRPr="001939AC">
        <w:t>ceftazidime</w:t>
      </w:r>
      <w:proofErr w:type="spellEnd"/>
      <w:r w:rsidRPr="001939AC">
        <w:t xml:space="preserve"> in patients with severe hepatic impairment </w:t>
      </w:r>
      <w:proofErr w:type="gramStart"/>
      <w:r w:rsidRPr="001939AC">
        <w:t>has not been established</w:t>
      </w:r>
      <w:proofErr w:type="gramEnd"/>
      <w:r w:rsidRPr="001939AC">
        <w:t>. The pharmacokinetics of avibactam in patients with any degree of hepatic i</w:t>
      </w:r>
      <w:r w:rsidR="007F4266">
        <w:t xml:space="preserve">mpairment </w:t>
      </w:r>
      <w:proofErr w:type="gramStart"/>
      <w:r w:rsidR="007F4266">
        <w:t>has not been studied</w:t>
      </w:r>
      <w:proofErr w:type="gramEnd"/>
      <w:r w:rsidR="007F4266">
        <w:t>.</w:t>
      </w:r>
    </w:p>
    <w:p w:rsidR="00F14C5B" w:rsidRPr="001939AC" w:rsidRDefault="00F14C5B" w:rsidP="00F14C5B">
      <w:pPr>
        <w:pStyle w:val="CLDNormal"/>
        <w:rPr>
          <w:b/>
          <w:bCs/>
        </w:rPr>
      </w:pPr>
      <w:r w:rsidRPr="001939AC">
        <w:t xml:space="preserve">As </w:t>
      </w:r>
      <w:proofErr w:type="spellStart"/>
      <w:r w:rsidRPr="001939AC">
        <w:t>ceftazidime</w:t>
      </w:r>
      <w:proofErr w:type="spellEnd"/>
      <w:r w:rsidRPr="001939AC">
        <w:t xml:space="preserve"> and avibactam do not appear to undergo significant hepatic metabolism, the systemic clearance of either active substance </w:t>
      </w:r>
      <w:proofErr w:type="gramStart"/>
      <w:r w:rsidRPr="001939AC">
        <w:t>is not expected to be significantly</w:t>
      </w:r>
      <w:r w:rsidR="007F4266">
        <w:t xml:space="preserve"> altered</w:t>
      </w:r>
      <w:proofErr w:type="gramEnd"/>
      <w:r w:rsidR="007F4266">
        <w:t xml:space="preserve"> by hepatic impairment.</w:t>
      </w:r>
    </w:p>
    <w:p w:rsidR="00F14C5B" w:rsidRPr="001939AC" w:rsidRDefault="001F06A7" w:rsidP="002A37D8">
      <w:pPr>
        <w:pStyle w:val="CLDHeading3"/>
      </w:pPr>
      <w:r>
        <w:t>Use in the elderly</w:t>
      </w:r>
    </w:p>
    <w:p w:rsidR="00F14C5B" w:rsidRPr="001939AC" w:rsidRDefault="00F14C5B" w:rsidP="00F14C5B">
      <w:pPr>
        <w:pStyle w:val="CLDNormal"/>
      </w:pPr>
      <w:r w:rsidRPr="001939AC">
        <w:t xml:space="preserve">Reduced clearance of </w:t>
      </w:r>
      <w:proofErr w:type="spellStart"/>
      <w:r w:rsidRPr="001939AC">
        <w:t>ceftazidime</w:t>
      </w:r>
      <w:proofErr w:type="spellEnd"/>
      <w:r w:rsidRPr="001939AC">
        <w:t xml:space="preserve"> </w:t>
      </w:r>
      <w:proofErr w:type="gramStart"/>
      <w:r w:rsidRPr="001939AC">
        <w:t>was observed</w:t>
      </w:r>
      <w:proofErr w:type="gramEnd"/>
      <w:r w:rsidRPr="001939AC">
        <w:t xml:space="preserve"> in elderly patients, which was primarily due to age-related decrease in renal clearance of </w:t>
      </w:r>
      <w:proofErr w:type="spellStart"/>
      <w:r w:rsidRPr="001939AC">
        <w:t>ceftazidime</w:t>
      </w:r>
      <w:proofErr w:type="spellEnd"/>
      <w:r w:rsidRPr="001939AC">
        <w:t xml:space="preserve">. The mean elimination half-life of </w:t>
      </w:r>
      <w:proofErr w:type="spellStart"/>
      <w:r w:rsidRPr="001939AC">
        <w:t>ceftazidime</w:t>
      </w:r>
      <w:proofErr w:type="spellEnd"/>
      <w:r w:rsidRPr="001939AC">
        <w:t xml:space="preserve"> ranged from 3.5 to 4 hours following intravenous bolus dosing with 2</w:t>
      </w:r>
      <w:r w:rsidR="00BA3AED">
        <w:t>000</w:t>
      </w:r>
      <w:r w:rsidRPr="001939AC">
        <w:t> </w:t>
      </w:r>
      <w:r w:rsidR="00BA3AED">
        <w:t>m</w:t>
      </w:r>
      <w:r w:rsidRPr="001939AC">
        <w:t>g every 12 hours in elderly patients aged 80 years or older.</w:t>
      </w:r>
    </w:p>
    <w:p w:rsidR="00F14C5B" w:rsidRPr="001939AC" w:rsidRDefault="00F14C5B" w:rsidP="00F14C5B">
      <w:pPr>
        <w:pStyle w:val="CLDNormal"/>
      </w:pPr>
      <w:r w:rsidRPr="001939AC">
        <w:t xml:space="preserve">Following a single intravenous administration of 500 mg avibactam as a 30-minute IV infusion, the elderly had a slower terminal half-life of avibactam, which </w:t>
      </w:r>
      <w:proofErr w:type="gramStart"/>
      <w:r w:rsidRPr="001939AC">
        <w:t>may be attributed</w:t>
      </w:r>
      <w:proofErr w:type="gramEnd"/>
      <w:r w:rsidRPr="001939AC">
        <w:t xml:space="preserve"> to age relat</w:t>
      </w:r>
      <w:r w:rsidR="007F4266">
        <w:t>ed decrease in renal clearance.</w:t>
      </w:r>
    </w:p>
    <w:p w:rsidR="00F14C5B" w:rsidRPr="001939AC" w:rsidRDefault="00F14C5B" w:rsidP="002A37D8">
      <w:pPr>
        <w:pStyle w:val="CLDHeading3"/>
      </w:pPr>
      <w:r w:rsidRPr="001939AC">
        <w:t>Gender and race</w:t>
      </w:r>
    </w:p>
    <w:p w:rsidR="00F14C5B" w:rsidRPr="001939AC" w:rsidRDefault="00F14C5B" w:rsidP="00F14C5B">
      <w:pPr>
        <w:pStyle w:val="CLDNormal"/>
      </w:pPr>
      <w:r w:rsidRPr="001939AC">
        <w:t xml:space="preserve">The pharmacokinetics of </w:t>
      </w:r>
      <w:proofErr w:type="spellStart"/>
      <w:r w:rsidRPr="001939AC">
        <w:t>ceftazidime</w:t>
      </w:r>
      <w:proofErr w:type="spellEnd"/>
      <w:r w:rsidRPr="001939AC">
        <w:t xml:space="preserve">/avibactam </w:t>
      </w:r>
      <w:proofErr w:type="gramStart"/>
      <w:r w:rsidRPr="001939AC">
        <w:t>is not significantly affected</w:t>
      </w:r>
      <w:proofErr w:type="gramEnd"/>
      <w:r w:rsidRPr="001939AC">
        <w:t xml:space="preserve"> by gender or race.</w:t>
      </w:r>
    </w:p>
    <w:p w:rsidR="00112E5B" w:rsidRPr="001939AC" w:rsidRDefault="00003E72" w:rsidP="005B4B20">
      <w:pPr>
        <w:pStyle w:val="CLDHeading2"/>
      </w:pPr>
      <w:r w:rsidRPr="001939AC">
        <w:t>5.3</w:t>
      </w:r>
      <w:r w:rsidR="00D71978">
        <w:t xml:space="preserve"> </w:t>
      </w:r>
      <w:r w:rsidR="007F4266">
        <w:t>Preclinical safety data</w:t>
      </w:r>
    </w:p>
    <w:p w:rsidR="00F42DC9" w:rsidRDefault="00F42DC9" w:rsidP="005B4B20">
      <w:pPr>
        <w:pStyle w:val="CLDHeading3"/>
        <w:rPr>
          <w:noProof/>
        </w:rPr>
      </w:pPr>
      <w:r>
        <w:rPr>
          <w:noProof/>
        </w:rPr>
        <w:t>Genotoxicity</w:t>
      </w:r>
    </w:p>
    <w:p w:rsidR="00015E6D" w:rsidRPr="00367176" w:rsidRDefault="00015E6D" w:rsidP="00015E6D">
      <w:pPr>
        <w:pStyle w:val="CLDNormal"/>
      </w:pPr>
      <w:r w:rsidRPr="006F707E">
        <w:t xml:space="preserve">For </w:t>
      </w:r>
      <w:proofErr w:type="spellStart"/>
      <w:r w:rsidRPr="006F707E">
        <w:t>ceftazidime</w:t>
      </w:r>
      <w:proofErr w:type="spellEnd"/>
      <w:r w:rsidR="007714DA">
        <w:t>,</w:t>
      </w:r>
      <w:r w:rsidRPr="006F707E">
        <w:t xml:space="preserve"> a mouse </w:t>
      </w:r>
      <w:r w:rsidR="007714DA">
        <w:t>m</w:t>
      </w:r>
      <w:r w:rsidR="007714DA" w:rsidRPr="006F707E">
        <w:t xml:space="preserve">icronucleus </w:t>
      </w:r>
      <w:r w:rsidRPr="006F707E">
        <w:t xml:space="preserve">test and an Ames test were both negative for mutagenic effects. In </w:t>
      </w:r>
      <w:proofErr w:type="spellStart"/>
      <w:r w:rsidRPr="006F707E">
        <w:t>genotoxicity</w:t>
      </w:r>
      <w:proofErr w:type="spellEnd"/>
      <w:r w:rsidRPr="006F707E">
        <w:t xml:space="preserve"> assays with avibactam, there was no induction of gene mutation in the </w:t>
      </w:r>
      <w:r w:rsidRPr="006F707E">
        <w:rPr>
          <w:i/>
        </w:rPr>
        <w:t>in vitro</w:t>
      </w:r>
      <w:r w:rsidRPr="006F707E">
        <w:t xml:space="preserve"> bacterial reverse mutation tests, nor were there any indications of </w:t>
      </w:r>
      <w:proofErr w:type="spellStart"/>
      <w:r w:rsidRPr="006F707E">
        <w:t>genotoxicity</w:t>
      </w:r>
      <w:proofErr w:type="spellEnd"/>
      <w:r w:rsidRPr="006F707E">
        <w:t xml:space="preserve"> in an </w:t>
      </w:r>
      <w:r w:rsidRPr="006F707E">
        <w:rPr>
          <w:i/>
        </w:rPr>
        <w:t>in vitro</w:t>
      </w:r>
      <w:r w:rsidRPr="006F707E">
        <w:t xml:space="preserve"> micronucleus test in mouse lymphoma cells. In </w:t>
      </w:r>
      <w:r w:rsidR="00FA7ABD">
        <w:t>cultured human lymphocytes</w:t>
      </w:r>
      <w:r w:rsidRPr="006F707E">
        <w:t xml:space="preserve">, statistically significant increases in chromosomal aberrations were observed under a single treatment condition (44h harvest time, -S9). As these findings </w:t>
      </w:r>
      <w:proofErr w:type="gramStart"/>
      <w:r w:rsidRPr="006F707E">
        <w:t>were not replicated</w:t>
      </w:r>
      <w:proofErr w:type="gramEnd"/>
      <w:r w:rsidRPr="006F707E">
        <w:t xml:space="preserve"> in an independent study, the results are considered to be of limited biological relevance. When administered up to the limit dose of 2 g/kg IV, avibactam was negative in a rat </w:t>
      </w:r>
      <w:r w:rsidRPr="006F707E">
        <w:rPr>
          <w:i/>
        </w:rPr>
        <w:t>in vivo</w:t>
      </w:r>
      <w:r w:rsidRPr="006F707E">
        <w:t xml:space="preserve"> micronucleus assay. No genetic toxicology studies </w:t>
      </w:r>
      <w:proofErr w:type="gramStart"/>
      <w:r w:rsidRPr="006F707E">
        <w:t>have been conducted</w:t>
      </w:r>
      <w:proofErr w:type="gramEnd"/>
      <w:r w:rsidRPr="006F707E">
        <w:t xml:space="preserve"> on </w:t>
      </w:r>
      <w:proofErr w:type="spellStart"/>
      <w:r w:rsidRPr="006F707E">
        <w:t>ceftazidime</w:t>
      </w:r>
      <w:proofErr w:type="spellEnd"/>
      <w:r w:rsidRPr="006F707E">
        <w:t>-avibactam.</w:t>
      </w:r>
    </w:p>
    <w:p w:rsidR="00887811" w:rsidRPr="001939AC" w:rsidRDefault="0022233A" w:rsidP="005B4B20">
      <w:pPr>
        <w:pStyle w:val="CLDHeading3"/>
      </w:pPr>
      <w:r>
        <w:t>Carcinogenicity</w:t>
      </w:r>
    </w:p>
    <w:p w:rsidR="00F42DC9" w:rsidRDefault="00F42DC9" w:rsidP="00F14C5B">
      <w:pPr>
        <w:pStyle w:val="CLDNormal"/>
      </w:pPr>
      <w:r w:rsidRPr="001939AC">
        <w:rPr>
          <w:noProof/>
        </w:rPr>
        <w:t>Carcinogenicity studies have not been conducted with ceftazidime</w:t>
      </w:r>
      <w:r w:rsidR="00B95937">
        <w:rPr>
          <w:noProof/>
        </w:rPr>
        <w:t>-avibactam</w:t>
      </w:r>
      <w:r w:rsidRPr="001939AC">
        <w:rPr>
          <w:noProof/>
        </w:rPr>
        <w:t>.</w:t>
      </w:r>
    </w:p>
    <w:p w:rsidR="00112B3F" w:rsidRPr="001939AC" w:rsidRDefault="002B1AAB" w:rsidP="009013C8">
      <w:pPr>
        <w:pStyle w:val="CLDHeading1"/>
      </w:pPr>
      <w:r w:rsidRPr="001939AC">
        <w:lastRenderedPageBreak/>
        <w:t>6.</w:t>
      </w:r>
      <w:r w:rsidR="007B711F" w:rsidRPr="001939AC">
        <w:t xml:space="preserve"> </w:t>
      </w:r>
      <w:r w:rsidR="002A37D8">
        <w:t>PHARMACEUTICAL PARTICULARS</w:t>
      </w:r>
    </w:p>
    <w:p w:rsidR="00830B98" w:rsidRPr="001939AC" w:rsidRDefault="002B1AAB" w:rsidP="005B4B20">
      <w:pPr>
        <w:pStyle w:val="CLDHeading2"/>
      </w:pPr>
      <w:r w:rsidRPr="001939AC">
        <w:t>6.1</w:t>
      </w:r>
      <w:r w:rsidR="007B711F" w:rsidRPr="001939AC">
        <w:t xml:space="preserve"> </w:t>
      </w:r>
      <w:r w:rsidR="003556AB" w:rsidRPr="001939AC">
        <w:t>List of excipients</w:t>
      </w:r>
    </w:p>
    <w:p w:rsidR="007B711F" w:rsidRPr="001939AC" w:rsidRDefault="00D07510" w:rsidP="00B3052F">
      <w:pPr>
        <w:pStyle w:val="CLDNormal"/>
        <w:rPr>
          <w:noProof/>
          <w:szCs w:val="22"/>
        </w:rPr>
      </w:pPr>
      <w:r>
        <w:rPr>
          <w:noProof/>
          <w:szCs w:val="22"/>
        </w:rPr>
        <w:t>Anhydrous s</w:t>
      </w:r>
      <w:r w:rsidR="007B711F" w:rsidRPr="001939AC">
        <w:rPr>
          <w:noProof/>
          <w:szCs w:val="22"/>
        </w:rPr>
        <w:t>odium carbonate.</w:t>
      </w:r>
    </w:p>
    <w:p w:rsidR="00830B98" w:rsidRPr="001939AC" w:rsidRDefault="002B1AAB" w:rsidP="005B4B20">
      <w:pPr>
        <w:pStyle w:val="CLDHeading2"/>
      </w:pPr>
      <w:r w:rsidRPr="001939AC">
        <w:t>6.2</w:t>
      </w:r>
      <w:r w:rsidR="007B711F" w:rsidRPr="001939AC">
        <w:t xml:space="preserve"> </w:t>
      </w:r>
      <w:r w:rsidR="003556AB" w:rsidRPr="001939AC">
        <w:t>Incompatibilities</w:t>
      </w:r>
    </w:p>
    <w:p w:rsidR="00417234" w:rsidRPr="001939AC" w:rsidRDefault="00417234" w:rsidP="007B711F">
      <w:pPr>
        <w:pStyle w:val="CLDNormal"/>
      </w:pPr>
      <w:r w:rsidRPr="001939AC">
        <w:t xml:space="preserve">This medicinal product </w:t>
      </w:r>
      <w:proofErr w:type="gramStart"/>
      <w:r w:rsidRPr="001939AC">
        <w:t>must not be mixed</w:t>
      </w:r>
      <w:proofErr w:type="gramEnd"/>
      <w:r w:rsidRPr="001939AC">
        <w:t xml:space="preserve"> with other medicinal products except those mentioned in section </w:t>
      </w:r>
      <w:r w:rsidR="00F42DC9">
        <w:t>4.2</w:t>
      </w:r>
      <w:r w:rsidRPr="001939AC">
        <w:t>.</w:t>
      </w:r>
    </w:p>
    <w:p w:rsidR="00830B98" w:rsidRPr="001939AC" w:rsidRDefault="002B1AAB" w:rsidP="005B4B20">
      <w:pPr>
        <w:pStyle w:val="CLDHeading2"/>
      </w:pPr>
      <w:r w:rsidRPr="001939AC">
        <w:t>6.3</w:t>
      </w:r>
      <w:r w:rsidR="007B711F" w:rsidRPr="001939AC">
        <w:t xml:space="preserve"> </w:t>
      </w:r>
      <w:r w:rsidR="003556AB" w:rsidRPr="001939AC">
        <w:t>Shelf life</w:t>
      </w:r>
    </w:p>
    <w:p w:rsidR="007B711F" w:rsidRPr="001939AC" w:rsidRDefault="007B711F" w:rsidP="007B711F">
      <w:pPr>
        <w:pStyle w:val="CLDHeading4"/>
      </w:pPr>
      <w:r w:rsidRPr="001939AC">
        <w:t>Dry powder</w:t>
      </w:r>
    </w:p>
    <w:p w:rsidR="007B711F" w:rsidRPr="001939AC" w:rsidRDefault="007B711F" w:rsidP="007B711F">
      <w:r w:rsidRPr="001939AC">
        <w:t>3 years.</w:t>
      </w:r>
    </w:p>
    <w:p w:rsidR="007B711F" w:rsidRPr="001939AC" w:rsidRDefault="007B711F" w:rsidP="007B711F">
      <w:pPr>
        <w:pStyle w:val="CLDHeading4"/>
        <w:rPr>
          <w:rFonts w:eastAsia="SimSun" w:hint="eastAsia"/>
          <w:noProof/>
        </w:rPr>
      </w:pPr>
      <w:r w:rsidRPr="001939AC">
        <w:rPr>
          <w:rFonts w:eastAsia="SimSun"/>
          <w:noProof/>
        </w:rPr>
        <w:t>After reconstitution</w:t>
      </w:r>
    </w:p>
    <w:p w:rsidR="007B711F" w:rsidRPr="001939AC" w:rsidRDefault="007B711F" w:rsidP="007B711F">
      <w:pPr>
        <w:rPr>
          <w:noProof/>
          <w:szCs w:val="22"/>
        </w:rPr>
      </w:pPr>
      <w:r w:rsidRPr="001939AC">
        <w:rPr>
          <w:rFonts w:eastAsia="SimSun"/>
          <w:noProof/>
          <w:szCs w:val="22"/>
        </w:rPr>
        <w:t>The reconstituted vial should be used immediately.</w:t>
      </w:r>
    </w:p>
    <w:p w:rsidR="007B711F" w:rsidRPr="00367176" w:rsidRDefault="004621AC" w:rsidP="007B711F">
      <w:pPr>
        <w:pStyle w:val="CLDNormal"/>
        <w:rPr>
          <w:rFonts w:eastAsia="SimSun"/>
        </w:rPr>
      </w:pPr>
      <w:r>
        <w:rPr>
          <w:rFonts w:eastAsia="SimSun"/>
          <w:noProof/>
        </w:rPr>
        <w:t>T</w:t>
      </w:r>
      <w:r w:rsidR="007B711F" w:rsidRPr="001939AC">
        <w:rPr>
          <w:rFonts w:eastAsia="SimSun"/>
          <w:noProof/>
        </w:rPr>
        <w:t>he chemical and physical in-use stability</w:t>
      </w:r>
      <w:r>
        <w:rPr>
          <w:rFonts w:eastAsia="SimSun"/>
          <w:noProof/>
        </w:rPr>
        <w:t>of the reconstituted product</w:t>
      </w:r>
      <w:r w:rsidR="007B711F" w:rsidRPr="001939AC">
        <w:rPr>
          <w:rFonts w:eastAsia="SimSun"/>
          <w:noProof/>
        </w:rPr>
        <w:t xml:space="preserve"> has been demonstrated for up to </w:t>
      </w:r>
      <w:r w:rsidR="003E4E7F">
        <w:rPr>
          <w:rFonts w:eastAsia="SimSun"/>
          <w:noProof/>
        </w:rPr>
        <w:t xml:space="preserve">24 hours </w:t>
      </w:r>
      <w:r w:rsidR="007B711F" w:rsidRPr="001939AC">
        <w:rPr>
          <w:rFonts w:eastAsia="SimSun"/>
          <w:noProof/>
        </w:rPr>
        <w:t>2 </w:t>
      </w:r>
      <w:r w:rsidR="007B711F" w:rsidRPr="001939AC">
        <w:rPr>
          <w:rFonts w:eastAsia="SimSun"/>
          <w:noProof/>
        </w:rPr>
        <w:noBreakHyphen/>
        <w:t> 8°C followed by up to 12 hours at not more than 25</w:t>
      </w:r>
      <w:r w:rsidR="007B711F" w:rsidRPr="001939AC">
        <w:rPr>
          <w:rFonts w:eastAsia="SimSun"/>
          <w:noProof/>
          <w:vertAlign w:val="superscript"/>
        </w:rPr>
        <w:t>o</w:t>
      </w:r>
      <w:r w:rsidR="007B711F" w:rsidRPr="001939AC">
        <w:rPr>
          <w:rFonts w:eastAsia="SimSun"/>
          <w:noProof/>
        </w:rPr>
        <w:t>C.</w:t>
      </w:r>
    </w:p>
    <w:p w:rsidR="007B711F" w:rsidRPr="001939AC" w:rsidRDefault="007B711F" w:rsidP="007B711F">
      <w:pPr>
        <w:pStyle w:val="CLDNormal"/>
        <w:rPr>
          <w:noProof/>
        </w:rPr>
      </w:pPr>
      <w:r w:rsidRPr="001939AC">
        <w:rPr>
          <w:rFonts w:eastAsia="SimSun"/>
          <w:noProof/>
        </w:rPr>
        <w:t xml:space="preserve">From a microbiological point of view, the medicinal product should be used immediately. If not used immediately, in-use storage times and conditions prior to use are the responsibility of the user and would normally not be longer than </w:t>
      </w:r>
      <w:r w:rsidR="00E512BB" w:rsidRPr="001939AC">
        <w:rPr>
          <w:rFonts w:eastAsia="SimSun"/>
          <w:noProof/>
        </w:rPr>
        <w:t>12 hours at not more than 25</w:t>
      </w:r>
      <w:r w:rsidR="00E512BB" w:rsidRPr="001939AC">
        <w:rPr>
          <w:rFonts w:eastAsia="SimSun"/>
          <w:noProof/>
          <w:vertAlign w:val="superscript"/>
        </w:rPr>
        <w:t>o</w:t>
      </w:r>
      <w:r w:rsidR="00E512BB" w:rsidRPr="001939AC">
        <w:rPr>
          <w:rFonts w:eastAsia="SimSun"/>
          <w:noProof/>
        </w:rPr>
        <w:t xml:space="preserve">C </w:t>
      </w:r>
      <w:r w:rsidR="00E512BB">
        <w:rPr>
          <w:rFonts w:eastAsia="SimSun"/>
          <w:noProof/>
        </w:rPr>
        <w:t xml:space="preserve">or </w:t>
      </w:r>
      <w:r w:rsidRPr="001939AC">
        <w:rPr>
          <w:rFonts w:eastAsia="SimSun"/>
          <w:noProof/>
        </w:rPr>
        <w:t>24 hours at 2 - 8ºC, unless reconstitution has taken place in controlled and validated aseptic conditions.</w:t>
      </w:r>
    </w:p>
    <w:p w:rsidR="003556AB" w:rsidRPr="001939AC" w:rsidRDefault="002B1AAB" w:rsidP="005B4B20">
      <w:pPr>
        <w:pStyle w:val="CLDHeading2"/>
      </w:pPr>
      <w:r w:rsidRPr="001939AC">
        <w:t>6.4</w:t>
      </w:r>
      <w:r w:rsidR="007B711F" w:rsidRPr="001939AC">
        <w:t xml:space="preserve"> </w:t>
      </w:r>
      <w:r w:rsidR="007F4266">
        <w:t>Special precautions for storage</w:t>
      </w:r>
    </w:p>
    <w:p w:rsidR="007B711F" w:rsidRPr="001939AC" w:rsidRDefault="003E4E7F" w:rsidP="007B711F">
      <w:pPr>
        <w:rPr>
          <w:rFonts w:eastAsia="SimSun"/>
          <w:noProof/>
          <w:szCs w:val="22"/>
        </w:rPr>
      </w:pPr>
      <w:r>
        <w:t>Store below 30</w:t>
      </w:r>
      <w:r w:rsidRPr="003E4E7F">
        <w:rPr>
          <w:vertAlign w:val="superscript"/>
        </w:rPr>
        <w:t>o</w:t>
      </w:r>
      <w:r>
        <w:t>C</w:t>
      </w:r>
      <w:r w:rsidR="007B711F" w:rsidRPr="001939AC">
        <w:t>.</w:t>
      </w:r>
      <w:r>
        <w:t xml:space="preserve">  </w:t>
      </w:r>
      <w:r w:rsidR="007B711F" w:rsidRPr="001939AC">
        <w:rPr>
          <w:rFonts w:eastAsia="SimSun"/>
          <w:noProof/>
          <w:szCs w:val="22"/>
        </w:rPr>
        <w:t>Store in the original package in order to protect from light.</w:t>
      </w:r>
    </w:p>
    <w:p w:rsidR="007B711F" w:rsidRPr="001939AC" w:rsidRDefault="007B711F" w:rsidP="007B711F">
      <w:pPr>
        <w:rPr>
          <w:rFonts w:eastAsia="SimSun"/>
          <w:noProof/>
          <w:szCs w:val="22"/>
        </w:rPr>
      </w:pPr>
      <w:r w:rsidRPr="001939AC">
        <w:rPr>
          <w:rFonts w:eastAsia="SimSun"/>
          <w:noProof/>
          <w:szCs w:val="22"/>
        </w:rPr>
        <w:t>For storage conditions of the reconstituted and diluted medicinal product, see section 6.3</w:t>
      </w:r>
      <w:r w:rsidR="00BA5B57">
        <w:rPr>
          <w:rFonts w:eastAsia="SimSun"/>
          <w:noProof/>
          <w:szCs w:val="22"/>
        </w:rPr>
        <w:t xml:space="preserve"> Shelf life</w:t>
      </w:r>
      <w:r w:rsidRPr="001939AC">
        <w:rPr>
          <w:rFonts w:eastAsia="SimSun"/>
          <w:noProof/>
          <w:szCs w:val="22"/>
        </w:rPr>
        <w:t>.</w:t>
      </w:r>
    </w:p>
    <w:p w:rsidR="003556AB" w:rsidRPr="001939AC" w:rsidRDefault="00E34962" w:rsidP="005B4B20">
      <w:pPr>
        <w:pStyle w:val="CLDHeading2"/>
      </w:pPr>
      <w:r w:rsidRPr="001939AC">
        <w:t>6.5</w:t>
      </w:r>
      <w:r w:rsidR="00D71978">
        <w:t xml:space="preserve"> </w:t>
      </w:r>
      <w:r w:rsidR="003556AB" w:rsidRPr="001939AC">
        <w:t>N</w:t>
      </w:r>
      <w:r w:rsidR="007F4266">
        <w:t>ature and contents of container</w:t>
      </w:r>
    </w:p>
    <w:p w:rsidR="007B711F" w:rsidRPr="0083136E" w:rsidRDefault="007B711F" w:rsidP="0083136E">
      <w:pPr>
        <w:pStyle w:val="CLDNormal"/>
        <w:rPr>
          <w:rFonts w:eastAsia="SimSun"/>
        </w:rPr>
      </w:pPr>
      <w:r w:rsidRPr="002D450A">
        <w:rPr>
          <w:rFonts w:eastAsia="SimSun"/>
        </w:rPr>
        <w:t>20 mL glass vial (Type 1) closed with a rubber (</w:t>
      </w:r>
      <w:proofErr w:type="spellStart"/>
      <w:r w:rsidRPr="002D450A">
        <w:rPr>
          <w:rFonts w:eastAsia="SimSun"/>
        </w:rPr>
        <w:t>halobutyl</w:t>
      </w:r>
      <w:proofErr w:type="spellEnd"/>
      <w:r w:rsidRPr="002D450A">
        <w:rPr>
          <w:rFonts w:eastAsia="SimSun"/>
        </w:rPr>
        <w:t>) stopper and aluminium seal with flip-off cap.</w:t>
      </w:r>
    </w:p>
    <w:p w:rsidR="007B711F" w:rsidRPr="001939AC" w:rsidRDefault="007B711F" w:rsidP="0083136E">
      <w:pPr>
        <w:pStyle w:val="CLDNormal"/>
        <w:rPr>
          <w:rFonts w:eastAsia="SimSun"/>
        </w:rPr>
      </w:pPr>
      <w:r w:rsidRPr="001939AC">
        <w:rPr>
          <w:rFonts w:eastAsia="SimSun"/>
        </w:rPr>
        <w:t xml:space="preserve">The medicinal product </w:t>
      </w:r>
      <w:proofErr w:type="gramStart"/>
      <w:r w:rsidRPr="001939AC">
        <w:rPr>
          <w:rFonts w:eastAsia="SimSun"/>
        </w:rPr>
        <w:t>is supplied</w:t>
      </w:r>
      <w:proofErr w:type="gramEnd"/>
      <w:r w:rsidRPr="001939AC">
        <w:rPr>
          <w:rFonts w:eastAsia="SimSun"/>
        </w:rPr>
        <w:t xml:space="preserve"> in packs of 10 vials.</w:t>
      </w:r>
    </w:p>
    <w:p w:rsidR="00830B98" w:rsidRPr="001939AC" w:rsidRDefault="00E34962" w:rsidP="005B4B20">
      <w:pPr>
        <w:pStyle w:val="CLDHeading2"/>
      </w:pPr>
      <w:r w:rsidRPr="001939AC">
        <w:t>6.6</w:t>
      </w:r>
      <w:r w:rsidR="00D71978">
        <w:t xml:space="preserve"> </w:t>
      </w:r>
      <w:r w:rsidR="003556AB" w:rsidRPr="001939AC">
        <w:t xml:space="preserve">Special precautions for disposal </w:t>
      </w:r>
    </w:p>
    <w:p w:rsidR="007B711F" w:rsidRDefault="007B711F" w:rsidP="0083136E">
      <w:pPr>
        <w:pStyle w:val="CLDNormal"/>
        <w:rPr>
          <w:rFonts w:eastAsia="SimSun"/>
          <w:noProof/>
        </w:rPr>
      </w:pPr>
      <w:r w:rsidRPr="001939AC">
        <w:rPr>
          <w:rFonts w:eastAsia="SimSun"/>
          <w:noProof/>
        </w:rPr>
        <w:t>Any unused product or waste material should be disposed of in accordance with local requirements.</w:t>
      </w:r>
    </w:p>
    <w:p w:rsidR="000E41DB" w:rsidRDefault="000E41DB" w:rsidP="005B4B20">
      <w:pPr>
        <w:pStyle w:val="CLDHeading2"/>
        <w:rPr>
          <w:rFonts w:eastAsia="SimSun" w:hint="eastAsia"/>
          <w:noProof/>
        </w:rPr>
      </w:pPr>
      <w:r>
        <w:rPr>
          <w:rFonts w:eastAsia="SimSun"/>
          <w:noProof/>
        </w:rPr>
        <w:lastRenderedPageBreak/>
        <w:t>6.7 Physicochemical propperties</w:t>
      </w:r>
    </w:p>
    <w:p w:rsidR="005B4B20" w:rsidRPr="00185CE5" w:rsidRDefault="005B4B20" w:rsidP="00185CE5">
      <w:pPr>
        <w:pStyle w:val="CLDHeading3"/>
      </w:pPr>
      <w:r w:rsidRPr="00185CE5">
        <w:t>Chemical structure</w:t>
      </w:r>
    </w:p>
    <w:p w:rsidR="007F7D1E" w:rsidRPr="00185CE5" w:rsidRDefault="007F7D1E" w:rsidP="002536A4">
      <w:pPr>
        <w:pStyle w:val="CLDHeading4"/>
      </w:pPr>
      <w:proofErr w:type="spellStart"/>
      <w:r w:rsidRPr="00185CE5">
        <w:t>Ceftazidime</w:t>
      </w:r>
      <w:proofErr w:type="spellEnd"/>
      <w:r w:rsidRPr="00185CE5">
        <w:t xml:space="preserve"> (as pentahydrate)</w:t>
      </w:r>
    </w:p>
    <w:p w:rsidR="000E41DB" w:rsidRDefault="007F7D1E" w:rsidP="00185CE5">
      <w:pPr>
        <w:pStyle w:val="CLDNormal"/>
        <w:rPr>
          <w:lang w:val="en-US"/>
        </w:rPr>
      </w:pPr>
      <w:r>
        <w:rPr>
          <w:noProof/>
          <w:sz w:val="20"/>
          <w:lang w:val="en-AU" w:eastAsia="en-AU"/>
        </w:rPr>
        <w:drawing>
          <wp:inline distT="0" distB="0" distL="0" distR="0" wp14:anchorId="2984DA40" wp14:editId="68B5A2DD">
            <wp:extent cx="2476500" cy="1134486"/>
            <wp:effectExtent l="0" t="0" r="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476500" cy="1134486"/>
                    </a:xfrm>
                    <a:prstGeom prst="rect">
                      <a:avLst/>
                    </a:prstGeom>
                    <a:noFill/>
                    <a:ln>
                      <a:noFill/>
                    </a:ln>
                  </pic:spPr>
                </pic:pic>
              </a:graphicData>
            </a:graphic>
          </wp:inline>
        </w:drawing>
      </w:r>
    </w:p>
    <w:p w:rsidR="007E217B" w:rsidRPr="00D205FF" w:rsidRDefault="007F4266" w:rsidP="007E217B">
      <w:pPr>
        <w:pStyle w:val="CLDHeading3"/>
      </w:pPr>
      <w:r>
        <w:t>CAS number</w:t>
      </w:r>
    </w:p>
    <w:p w:rsidR="007E217B" w:rsidRPr="00D205FF" w:rsidRDefault="007E217B" w:rsidP="007E217B">
      <w:pPr>
        <w:pStyle w:val="CLDNormal"/>
        <w:rPr>
          <w:bCs/>
        </w:rPr>
      </w:pPr>
      <w:r w:rsidRPr="00D205FF">
        <w:t>78439-06-2</w:t>
      </w:r>
      <w:r w:rsidR="007F4266">
        <w:rPr>
          <w:bCs/>
          <w:lang w:val="en-US"/>
        </w:rPr>
        <w:t>.</w:t>
      </w:r>
    </w:p>
    <w:p w:rsidR="002536A4" w:rsidRPr="00185CE5" w:rsidRDefault="002536A4" w:rsidP="002536A4">
      <w:pPr>
        <w:pStyle w:val="CLDHeading3"/>
      </w:pPr>
      <w:r w:rsidRPr="00185CE5">
        <w:t>Chemical structure</w:t>
      </w:r>
    </w:p>
    <w:p w:rsidR="000E41DB" w:rsidRPr="00185CE5" w:rsidRDefault="000E41DB" w:rsidP="002536A4">
      <w:pPr>
        <w:pStyle w:val="CLDHeading4"/>
      </w:pPr>
      <w:r w:rsidRPr="00185CE5">
        <w:t xml:space="preserve">Avibactam </w:t>
      </w:r>
      <w:r w:rsidR="00512BF8" w:rsidRPr="00185CE5">
        <w:t xml:space="preserve">(as </w:t>
      </w:r>
      <w:r w:rsidRPr="00185CE5">
        <w:t>sodium</w:t>
      </w:r>
      <w:r w:rsidR="00512BF8" w:rsidRPr="00185CE5">
        <w:t>)</w:t>
      </w:r>
    </w:p>
    <w:p w:rsidR="000E41DB" w:rsidRDefault="007F7D1E" w:rsidP="000E41DB">
      <w:pPr>
        <w:autoSpaceDE w:val="0"/>
        <w:autoSpaceDN w:val="0"/>
        <w:adjustRightInd w:val="0"/>
        <w:spacing w:after="0"/>
        <w:jc w:val="left"/>
        <w:rPr>
          <w:rFonts w:ascii="Arial" w:hAnsi="Arial" w:cs="Arial"/>
          <w:color w:val="000000"/>
          <w:szCs w:val="24"/>
          <w:lang w:val="en-US"/>
        </w:rPr>
      </w:pPr>
      <w:r>
        <w:rPr>
          <w:noProof/>
          <w:lang w:val="en-AU" w:eastAsia="en-AU"/>
        </w:rPr>
        <w:drawing>
          <wp:inline distT="0" distB="0" distL="0" distR="0" wp14:anchorId="1B35DB6B" wp14:editId="7C2F5742">
            <wp:extent cx="1847850" cy="15621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47850" cy="1562100"/>
                    </a:xfrm>
                    <a:prstGeom prst="rect">
                      <a:avLst/>
                    </a:prstGeom>
                    <a:noFill/>
                    <a:ln>
                      <a:noFill/>
                    </a:ln>
                  </pic:spPr>
                </pic:pic>
              </a:graphicData>
            </a:graphic>
          </wp:inline>
        </w:drawing>
      </w:r>
    </w:p>
    <w:p w:rsidR="005B4B20" w:rsidRDefault="007F4266" w:rsidP="005B4B20">
      <w:pPr>
        <w:pStyle w:val="CLDHeading3"/>
      </w:pPr>
      <w:r>
        <w:t>CAS number</w:t>
      </w:r>
    </w:p>
    <w:p w:rsidR="005B4B20" w:rsidRDefault="005B4B20" w:rsidP="005B4B20">
      <w:pPr>
        <w:pStyle w:val="CLDNormal"/>
      </w:pPr>
      <w:r>
        <w:t>1192491-61-4.</w:t>
      </w:r>
    </w:p>
    <w:p w:rsidR="00EB4D43" w:rsidRPr="001939AC" w:rsidRDefault="00E34962" w:rsidP="00460035">
      <w:pPr>
        <w:pStyle w:val="CLDHeading1"/>
      </w:pPr>
      <w:r w:rsidRPr="001939AC">
        <w:t>7.</w:t>
      </w:r>
      <w:r w:rsidR="007B711F" w:rsidRPr="001939AC">
        <w:t xml:space="preserve"> </w:t>
      </w:r>
      <w:r w:rsidR="002A37D8">
        <w:t>MEDICINE</w:t>
      </w:r>
      <w:r w:rsidR="00EB4D43" w:rsidRPr="001939AC">
        <w:t xml:space="preserve"> </w:t>
      </w:r>
      <w:r w:rsidR="00FE40A4" w:rsidRPr="001939AC">
        <w:t>SCHEDULE</w:t>
      </w:r>
      <w:r w:rsidR="005B4B20">
        <w:t xml:space="preserve"> </w:t>
      </w:r>
      <w:r w:rsidR="005B4B20" w:rsidRPr="00003485">
        <w:t>(POISONS STANDARD)</w:t>
      </w:r>
    </w:p>
    <w:p w:rsidR="00FB2FED" w:rsidRPr="001939AC" w:rsidRDefault="007F4266" w:rsidP="00460035">
      <w:pPr>
        <w:pStyle w:val="CLDNormal"/>
        <w:rPr>
          <w:b/>
        </w:rPr>
      </w:pPr>
      <w:r>
        <w:t>S4, Prescription Only Medicine.</w:t>
      </w:r>
    </w:p>
    <w:p w:rsidR="00EB4D43" w:rsidRPr="001939AC" w:rsidRDefault="00E34962" w:rsidP="00460035">
      <w:pPr>
        <w:pStyle w:val="CLDHeading1"/>
      </w:pPr>
      <w:r w:rsidRPr="001939AC">
        <w:t>8.</w:t>
      </w:r>
      <w:r w:rsidR="007B711F" w:rsidRPr="001939AC">
        <w:t xml:space="preserve"> </w:t>
      </w:r>
      <w:r w:rsidR="007F4266">
        <w:t>SPONSOR</w:t>
      </w:r>
    </w:p>
    <w:p w:rsidR="005B4B20" w:rsidRDefault="007F4266" w:rsidP="005B4B20">
      <w:pPr>
        <w:pStyle w:val="CLDTableTextListText"/>
      </w:pPr>
      <w:r>
        <w:t>Pfizer Australia Pty Ltd</w:t>
      </w:r>
    </w:p>
    <w:p w:rsidR="00C316F9" w:rsidRDefault="00D80CF3" w:rsidP="005B4B20">
      <w:pPr>
        <w:pStyle w:val="CLDTableTextListText"/>
      </w:pPr>
      <w:r>
        <w:t>Level 17, 151 Clarence Street</w:t>
      </w:r>
    </w:p>
    <w:p w:rsidR="006717D9" w:rsidRDefault="00D80CF3" w:rsidP="005B4B20">
      <w:pPr>
        <w:pStyle w:val="CLDTableTextListText"/>
      </w:pPr>
      <w:proofErr w:type="gramStart"/>
      <w:r>
        <w:t>SYDNEY  NSW</w:t>
      </w:r>
      <w:proofErr w:type="gramEnd"/>
      <w:r>
        <w:t xml:space="preserve">  2000</w:t>
      </w:r>
      <w:r w:rsidR="00621455">
        <w:t>.</w:t>
      </w:r>
    </w:p>
    <w:p w:rsidR="000C5A6C" w:rsidRDefault="000C5A6C" w:rsidP="00D07510">
      <w:pPr>
        <w:pStyle w:val="CLDTableTextListText"/>
      </w:pPr>
    </w:p>
    <w:p w:rsidR="005B4B20" w:rsidRPr="006717D9" w:rsidRDefault="005B4B20" w:rsidP="00D07510">
      <w:pPr>
        <w:pStyle w:val="CLDTableTextListText"/>
        <w:rPr>
          <w:b/>
        </w:rPr>
      </w:pPr>
      <w:r w:rsidRPr="006717D9">
        <w:t>Toll Free Number: 1800 675 229</w:t>
      </w:r>
      <w:r w:rsidR="006717D9" w:rsidRPr="006717D9">
        <w:t>.</w:t>
      </w:r>
    </w:p>
    <w:p w:rsidR="005B4B20" w:rsidRDefault="005B4B20" w:rsidP="00D07510">
      <w:pPr>
        <w:pStyle w:val="CLDTableTextListText"/>
      </w:pPr>
      <w:r>
        <w:t>www.pfizer.com.au</w:t>
      </w:r>
      <w:r w:rsidR="00621455">
        <w:t>.</w:t>
      </w:r>
    </w:p>
    <w:p w:rsidR="00EB4D43" w:rsidRPr="001939AC" w:rsidRDefault="00E34962" w:rsidP="00460035">
      <w:pPr>
        <w:pStyle w:val="CLDHeading1"/>
      </w:pPr>
      <w:r w:rsidRPr="001939AC">
        <w:lastRenderedPageBreak/>
        <w:t>9.</w:t>
      </w:r>
      <w:r w:rsidR="009B3A54">
        <w:t xml:space="preserve"> </w:t>
      </w:r>
      <w:r w:rsidR="002A37D8">
        <w:t>DATE OF FIRST APPROVAL</w:t>
      </w:r>
    </w:p>
    <w:p w:rsidR="00FB2FED" w:rsidRDefault="007F258B" w:rsidP="00460035">
      <w:pPr>
        <w:pStyle w:val="CLDNormal"/>
      </w:pPr>
      <w:r>
        <w:t>22 February 2019</w:t>
      </w:r>
      <w:r w:rsidR="007F4266">
        <w:t>.</w:t>
      </w:r>
    </w:p>
    <w:p w:rsidR="000C6E53" w:rsidRDefault="000C6E53" w:rsidP="00460035">
      <w:pPr>
        <w:pStyle w:val="CLDNormal"/>
      </w:pPr>
      <w:r w:rsidRPr="000C6E53">
        <w:rPr>
          <w:vertAlign w:val="superscript"/>
        </w:rPr>
        <w:t>®</w:t>
      </w:r>
      <w:r w:rsidR="007F4266">
        <w:t xml:space="preserve"> Registered trademark.</w:t>
      </w:r>
    </w:p>
    <w:sectPr w:rsidR="000C6E53" w:rsidSect="002558CF">
      <w:headerReference w:type="even" r:id="rId17"/>
      <w:headerReference w:type="default" r:id="rId18"/>
      <w:footerReference w:type="even" r:id="rId19"/>
      <w:footerReference w:type="default" r:id="rId20"/>
      <w:headerReference w:type="first" r:id="rId21"/>
      <w:footerReference w:type="first" r:id="rId22"/>
      <w:type w:val="oddPage"/>
      <w:pgSz w:w="11907" w:h="16840" w:code="9"/>
      <w:pgMar w:top="1440" w:right="1275" w:bottom="1276" w:left="1440" w:header="567" w:footer="567" w:gutter="0"/>
      <w:cols w:space="73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74A7" w:rsidRDefault="00FD74A7">
      <w:r>
        <w:separator/>
      </w:r>
    </w:p>
  </w:endnote>
  <w:endnote w:type="continuationSeparator" w:id="0">
    <w:p w:rsidR="00FD74A7" w:rsidRDefault="00FD74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TimesNewRoman">
    <w:altName w:val="MS Gothic"/>
    <w:panose1 w:val="00000000000000000000"/>
    <w:charset w:val="00"/>
    <w:family w:val="roman"/>
    <w:notTrueType/>
    <w:pitch w:val="default"/>
    <w:sig w:usb0="00000003" w:usb1="08070000" w:usb2="00000010" w:usb3="00000000" w:csb0="00020001" w:csb1="00000000"/>
  </w:font>
  <w:font w:name="MS Mincho">
    <w:altName w:val="Yu Gothic UI"/>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74A7" w:rsidRPr="00054F74" w:rsidRDefault="00FD74A7" w:rsidP="00054F74">
    <w:r w:rsidRPr="00054F74">
      <w:t>Version: &lt;insert filename&gt;</w:t>
    </w:r>
    <w:r w:rsidRPr="00054F74">
      <w:tab/>
      <w:t>Supersedes: &lt;insert filename&gt;</w:t>
    </w:r>
  </w:p>
  <w:p w:rsidR="00FD74A7" w:rsidRPr="00054F74" w:rsidRDefault="00FD74A7" w:rsidP="00054F74">
    <w:r w:rsidRPr="00054F74">
      <w:t>MOH Approved:</w:t>
    </w:r>
  </w:p>
  <w:p w:rsidR="00FD74A7" w:rsidRPr="00054F74" w:rsidRDefault="00FD74A7" w:rsidP="00054F74">
    <w:r w:rsidRPr="00054F74">
      <w:t>Commercial/Non-Commercial</w:t>
    </w:r>
    <w:r w:rsidRPr="00054F74">
      <w:tab/>
      <w:t xml:space="preserve">Page </w:t>
    </w:r>
    <w:r>
      <w:fldChar w:fldCharType="begin"/>
    </w:r>
    <w:r>
      <w:instrText xml:space="preserve"> PAGE </w:instrText>
    </w:r>
    <w:r>
      <w:fldChar w:fldCharType="separate"/>
    </w:r>
    <w:r>
      <w:rPr>
        <w:noProof/>
      </w:rPr>
      <w:t>4</w:t>
    </w:r>
    <w:r>
      <w:fldChar w:fldCharType="end"/>
    </w:r>
    <w:r w:rsidRPr="00054F74">
      <w:t xml:space="preserve"> of </w:t>
    </w:r>
    <w:r>
      <w:fldChar w:fldCharType="begin"/>
    </w:r>
    <w:r>
      <w:instrText xml:space="preserve"> NUMPAGES </w:instrText>
    </w:r>
    <w:r>
      <w:fldChar w:fldCharType="separate"/>
    </w:r>
    <w:r>
      <w:rPr>
        <w:noProof/>
      </w:rPr>
      <w:t>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74A7" w:rsidRPr="007550EA" w:rsidRDefault="00FD74A7" w:rsidP="0008662E">
    <w:pPr>
      <w:pStyle w:val="CLDFooter"/>
    </w:pPr>
    <w:r w:rsidRPr="007550EA">
      <w:t>Version: pfpzavi</w:t>
    </w:r>
    <w:r>
      <w:t>v</w:t>
    </w:r>
    <w:r w:rsidRPr="007550EA">
      <w:t>10</w:t>
    </w:r>
    <w:r>
      <w:t>2</w:t>
    </w:r>
    <w:r w:rsidRPr="007550EA">
      <w:t xml:space="preserve">19  </w:t>
    </w:r>
    <w:r w:rsidRPr="007550EA">
      <w:tab/>
      <w:t xml:space="preserve">Supersedes: </w:t>
    </w:r>
    <w:r>
      <w:t>NA</w:t>
    </w:r>
    <w:r w:rsidRPr="007550EA">
      <w:tab/>
      <w:t xml:space="preserve">Page </w:t>
    </w:r>
    <w:r>
      <w:fldChar w:fldCharType="begin"/>
    </w:r>
    <w:r w:rsidRPr="007550EA">
      <w:rPr>
        <w:lang w:val="fr-BE"/>
      </w:rPr>
      <w:instrText xml:space="preserve"> PAGE </w:instrText>
    </w:r>
    <w:r>
      <w:fldChar w:fldCharType="separate"/>
    </w:r>
    <w:r w:rsidR="00F85F2C">
      <w:rPr>
        <w:noProof/>
        <w:lang w:val="fr-BE"/>
      </w:rPr>
      <w:t>24</w:t>
    </w:r>
    <w:r>
      <w:fldChar w:fldCharType="end"/>
    </w:r>
    <w:r w:rsidRPr="007550EA">
      <w:t xml:space="preserve"> of </w:t>
    </w:r>
    <w:r>
      <w:fldChar w:fldCharType="begin"/>
    </w:r>
    <w:r w:rsidRPr="007550EA">
      <w:rPr>
        <w:lang w:val="fr-BE"/>
      </w:rPr>
      <w:instrText xml:space="preserve"> NUMPAGES </w:instrText>
    </w:r>
    <w:r>
      <w:fldChar w:fldCharType="separate"/>
    </w:r>
    <w:r w:rsidR="00F85F2C">
      <w:rPr>
        <w:noProof/>
        <w:lang w:val="fr-BE"/>
      </w:rPr>
      <w:t>26</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74A7" w:rsidRDefault="00FD74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74A7" w:rsidRDefault="00FD74A7">
      <w:r>
        <w:separator/>
      </w:r>
    </w:p>
  </w:footnote>
  <w:footnote w:type="continuationSeparator" w:id="0">
    <w:p w:rsidR="00FD74A7" w:rsidRDefault="00FD74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74A7" w:rsidRDefault="00FD74A7"/>
  <w:tbl>
    <w:tblPr>
      <w:tblW w:w="9855"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ayout w:type="fixed"/>
      <w:tblLook w:val="0000" w:firstRow="0" w:lastRow="0" w:firstColumn="0" w:lastColumn="0" w:noHBand="0" w:noVBand="0"/>
    </w:tblPr>
    <w:tblGrid>
      <w:gridCol w:w="1410"/>
      <w:gridCol w:w="3225"/>
      <w:gridCol w:w="1468"/>
      <w:gridCol w:w="1966"/>
      <w:gridCol w:w="734"/>
      <w:gridCol w:w="1052"/>
    </w:tblGrid>
    <w:tr w:rsidR="00FD74A7" w:rsidTr="00343757">
      <w:tc>
        <w:tcPr>
          <w:tcW w:w="9855" w:type="dxa"/>
          <w:gridSpan w:val="6"/>
          <w:shd w:val="clear" w:color="auto" w:fill="E6E6E6"/>
        </w:tcPr>
        <w:p w:rsidR="00FD74A7" w:rsidRPr="00EB4D43" w:rsidRDefault="00FD74A7" w:rsidP="00343757">
          <w:pPr>
            <w:pStyle w:val="Heading3"/>
            <w:spacing w:before="0"/>
            <w:jc w:val="center"/>
            <w:rPr>
              <w:rFonts w:ascii="Arial" w:hAnsi="Arial" w:cs="Arial"/>
              <w:i w:val="0"/>
              <w:sz w:val="20"/>
            </w:rPr>
          </w:pPr>
          <w:r>
            <w:rPr>
              <w:rFonts w:ascii="Arial" w:hAnsi="Arial" w:cs="Arial"/>
              <w:b w:val="0"/>
              <w:i w:val="0"/>
              <w:noProof/>
              <w:sz w:val="14"/>
              <w:lang w:val="en-AU" w:eastAsia="en-AU"/>
            </w:rPr>
            <w:drawing>
              <wp:inline distT="0" distB="0" distL="0" distR="0" wp14:anchorId="23FDAC7C" wp14:editId="55CEDC59">
                <wp:extent cx="422910" cy="25273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2910" cy="252730"/>
                        </a:xfrm>
                        <a:prstGeom prst="rect">
                          <a:avLst/>
                        </a:prstGeom>
                        <a:noFill/>
                        <a:ln>
                          <a:noFill/>
                        </a:ln>
                      </pic:spPr>
                    </pic:pic>
                  </a:graphicData>
                </a:graphic>
              </wp:inline>
            </w:drawing>
          </w:r>
          <w:r w:rsidRPr="00EB4D43">
            <w:rPr>
              <w:rFonts w:ascii="Arial" w:hAnsi="Arial" w:cs="Arial"/>
              <w:i w:val="0"/>
            </w:rPr>
            <w:t xml:space="preserve"> AUSTRALIAN WORKING PRACTICE GUIDELINE</w:t>
          </w:r>
        </w:p>
      </w:tc>
    </w:tr>
    <w:tr w:rsidR="00FD74A7" w:rsidTr="00343757">
      <w:tc>
        <w:tcPr>
          <w:tcW w:w="1410" w:type="dxa"/>
          <w:shd w:val="clear" w:color="auto" w:fill="E6E6E6"/>
        </w:tcPr>
        <w:p w:rsidR="00FD74A7" w:rsidRPr="00EB4D43" w:rsidRDefault="00FD74A7" w:rsidP="00343757">
          <w:pPr>
            <w:pStyle w:val="Heading3"/>
            <w:jc w:val="left"/>
            <w:rPr>
              <w:rFonts w:ascii="Arial" w:hAnsi="Arial" w:cs="Arial"/>
              <w:i w:val="0"/>
              <w:sz w:val="18"/>
            </w:rPr>
          </w:pPr>
          <w:r w:rsidRPr="00EB4D43">
            <w:rPr>
              <w:rFonts w:ascii="Arial" w:hAnsi="Arial" w:cs="Arial"/>
              <w:i w:val="0"/>
              <w:sz w:val="18"/>
            </w:rPr>
            <w:t>Title</w:t>
          </w:r>
        </w:p>
      </w:tc>
      <w:tc>
        <w:tcPr>
          <w:tcW w:w="8445" w:type="dxa"/>
          <w:gridSpan w:val="5"/>
          <w:shd w:val="clear" w:color="auto" w:fill="FFFFFF"/>
        </w:tcPr>
        <w:p w:rsidR="00FD74A7" w:rsidRPr="00EB4D43" w:rsidRDefault="00FD74A7" w:rsidP="00343757">
          <w:pPr>
            <w:pStyle w:val="Heading1"/>
            <w:spacing w:before="120" w:after="120"/>
            <w:jc w:val="left"/>
            <w:rPr>
              <w:rFonts w:ascii="Arial" w:hAnsi="Arial" w:cs="Arial"/>
              <w:sz w:val="22"/>
            </w:rPr>
          </w:pPr>
          <w:r w:rsidRPr="00EB4D43">
            <w:rPr>
              <w:rFonts w:ascii="Arial" w:hAnsi="Arial" w:cs="Arial"/>
              <w:sz w:val="22"/>
            </w:rPr>
            <w:t>Preparation of local product documents (lpd) and implemenTation dates in new zealand</w:t>
          </w:r>
        </w:p>
      </w:tc>
    </w:tr>
    <w:tr w:rsidR="00FD74A7" w:rsidTr="00343757">
      <w:tc>
        <w:tcPr>
          <w:tcW w:w="1410" w:type="dxa"/>
          <w:shd w:val="clear" w:color="auto" w:fill="E6E6E6"/>
        </w:tcPr>
        <w:p w:rsidR="00FD74A7" w:rsidRPr="00EB4D43" w:rsidRDefault="00FD74A7" w:rsidP="00343757">
          <w:pPr>
            <w:pStyle w:val="Heading3"/>
            <w:jc w:val="left"/>
            <w:rPr>
              <w:rFonts w:ascii="Arial" w:hAnsi="Arial" w:cs="Arial"/>
              <w:i w:val="0"/>
              <w:sz w:val="18"/>
            </w:rPr>
          </w:pPr>
          <w:r w:rsidRPr="00EB4D43">
            <w:rPr>
              <w:rFonts w:ascii="Arial" w:hAnsi="Arial" w:cs="Arial"/>
              <w:i w:val="0"/>
              <w:sz w:val="18"/>
            </w:rPr>
            <w:t>Identifier</w:t>
          </w:r>
        </w:p>
      </w:tc>
      <w:tc>
        <w:tcPr>
          <w:tcW w:w="3225" w:type="dxa"/>
          <w:shd w:val="clear" w:color="auto" w:fill="FFFFFF"/>
        </w:tcPr>
        <w:p w:rsidR="00FD74A7" w:rsidRPr="00EB4D43" w:rsidRDefault="00FD74A7" w:rsidP="00343757">
          <w:pPr>
            <w:pStyle w:val="Heading1"/>
            <w:keepNext w:val="0"/>
            <w:spacing w:before="120" w:after="0"/>
            <w:rPr>
              <w:rFonts w:ascii="Arial" w:hAnsi="Arial" w:cs="Arial"/>
              <w:sz w:val="20"/>
            </w:rPr>
          </w:pPr>
          <w:r>
            <w:rPr>
              <w:rFonts w:ascii="Arial" w:hAnsi="Arial" w:cs="Arial"/>
              <w:sz w:val="20"/>
            </w:rPr>
            <w:t>WPG-RA-30-01</w:t>
          </w:r>
        </w:p>
      </w:tc>
      <w:tc>
        <w:tcPr>
          <w:tcW w:w="1468" w:type="dxa"/>
          <w:shd w:val="clear" w:color="auto" w:fill="E6E6E6"/>
        </w:tcPr>
        <w:p w:rsidR="00FD74A7" w:rsidRPr="00EB4D43" w:rsidRDefault="00FD74A7" w:rsidP="00343757">
          <w:pPr>
            <w:pStyle w:val="Heading3"/>
            <w:jc w:val="left"/>
            <w:rPr>
              <w:rFonts w:ascii="Arial" w:hAnsi="Arial" w:cs="Arial"/>
              <w:i w:val="0"/>
              <w:sz w:val="18"/>
            </w:rPr>
          </w:pPr>
          <w:r w:rsidRPr="00EB4D43">
            <w:rPr>
              <w:rFonts w:ascii="Arial" w:hAnsi="Arial" w:cs="Arial"/>
              <w:i w:val="0"/>
              <w:sz w:val="18"/>
            </w:rPr>
            <w:t>Effective Date</w:t>
          </w:r>
        </w:p>
      </w:tc>
      <w:tc>
        <w:tcPr>
          <w:tcW w:w="1966" w:type="dxa"/>
        </w:tcPr>
        <w:p w:rsidR="00FD74A7" w:rsidRPr="00EB4D43" w:rsidRDefault="00FD74A7" w:rsidP="00343757">
          <w:pPr>
            <w:pStyle w:val="Heading3"/>
            <w:jc w:val="left"/>
            <w:rPr>
              <w:rFonts w:ascii="Arial" w:hAnsi="Arial" w:cs="Arial"/>
              <w:i w:val="0"/>
              <w:sz w:val="20"/>
            </w:rPr>
          </w:pPr>
          <w:r w:rsidRPr="00EB4D43">
            <w:rPr>
              <w:rFonts w:ascii="Arial" w:hAnsi="Arial" w:cs="Arial"/>
              <w:i w:val="0"/>
              <w:sz w:val="20"/>
            </w:rPr>
            <w:t>01 May 2009</w:t>
          </w:r>
        </w:p>
      </w:tc>
      <w:tc>
        <w:tcPr>
          <w:tcW w:w="734" w:type="dxa"/>
          <w:tcBorders>
            <w:bottom w:val="single" w:sz="4" w:space="0" w:color="auto"/>
          </w:tcBorders>
          <w:shd w:val="clear" w:color="auto" w:fill="E6E6E6"/>
        </w:tcPr>
        <w:p w:rsidR="00FD74A7" w:rsidRPr="00EB4D43" w:rsidRDefault="00FD74A7" w:rsidP="00343757">
          <w:pPr>
            <w:pStyle w:val="Heading3"/>
            <w:jc w:val="left"/>
            <w:rPr>
              <w:rFonts w:ascii="Arial" w:hAnsi="Arial" w:cs="Arial"/>
              <w:i w:val="0"/>
              <w:sz w:val="20"/>
            </w:rPr>
          </w:pPr>
          <w:r w:rsidRPr="00EB4D43">
            <w:rPr>
              <w:rFonts w:ascii="Arial" w:hAnsi="Arial" w:cs="Arial"/>
              <w:i w:val="0"/>
              <w:sz w:val="20"/>
            </w:rPr>
            <w:t>Page</w:t>
          </w:r>
        </w:p>
      </w:tc>
      <w:tc>
        <w:tcPr>
          <w:tcW w:w="1052" w:type="dxa"/>
          <w:tcBorders>
            <w:bottom w:val="single" w:sz="4" w:space="0" w:color="auto"/>
          </w:tcBorders>
        </w:tcPr>
        <w:p w:rsidR="00FD74A7" w:rsidRPr="00EB4D43" w:rsidRDefault="00FD74A7" w:rsidP="00343757">
          <w:pPr>
            <w:pStyle w:val="Heading3"/>
            <w:jc w:val="left"/>
            <w:rPr>
              <w:rFonts w:ascii="Arial" w:hAnsi="Arial" w:cs="Arial"/>
              <w:i w:val="0"/>
              <w:sz w:val="20"/>
            </w:rPr>
          </w:pPr>
          <w:r w:rsidRPr="00EB4D43">
            <w:rPr>
              <w:rFonts w:ascii="Arial" w:hAnsi="Arial" w:cs="Arial"/>
              <w:b w:val="0"/>
              <w:i w:val="0"/>
              <w:sz w:val="18"/>
              <w:szCs w:val="18"/>
            </w:rPr>
            <w:fldChar w:fldCharType="begin"/>
          </w:r>
          <w:r w:rsidRPr="00EB4D43">
            <w:rPr>
              <w:rFonts w:ascii="Arial" w:hAnsi="Arial" w:cs="Arial"/>
              <w:b w:val="0"/>
              <w:i w:val="0"/>
              <w:sz w:val="18"/>
              <w:szCs w:val="18"/>
            </w:rPr>
            <w:instrText xml:space="preserve"> PAGE </w:instrText>
          </w:r>
          <w:r w:rsidRPr="00EB4D43">
            <w:rPr>
              <w:rFonts w:ascii="Arial" w:hAnsi="Arial" w:cs="Arial"/>
              <w:b w:val="0"/>
              <w:i w:val="0"/>
              <w:sz w:val="18"/>
              <w:szCs w:val="18"/>
            </w:rPr>
            <w:fldChar w:fldCharType="separate"/>
          </w:r>
          <w:r>
            <w:rPr>
              <w:rFonts w:ascii="Arial" w:hAnsi="Arial" w:cs="Arial"/>
              <w:b w:val="0"/>
              <w:i w:val="0"/>
              <w:noProof/>
              <w:sz w:val="18"/>
              <w:szCs w:val="18"/>
            </w:rPr>
            <w:t>4</w:t>
          </w:r>
          <w:r w:rsidRPr="00EB4D43">
            <w:rPr>
              <w:rFonts w:ascii="Arial" w:hAnsi="Arial" w:cs="Arial"/>
              <w:b w:val="0"/>
              <w:i w:val="0"/>
              <w:sz w:val="18"/>
              <w:szCs w:val="18"/>
            </w:rPr>
            <w:fldChar w:fldCharType="end"/>
          </w:r>
          <w:r w:rsidRPr="00EB4D43">
            <w:rPr>
              <w:rFonts w:ascii="Arial" w:hAnsi="Arial" w:cs="Arial"/>
              <w:b w:val="0"/>
              <w:bCs/>
              <w:i w:val="0"/>
              <w:snapToGrid w:val="0"/>
              <w:sz w:val="20"/>
            </w:rPr>
            <w:t xml:space="preserve"> of</w:t>
          </w:r>
          <w:r w:rsidRPr="00EB4D43">
            <w:rPr>
              <w:rFonts w:ascii="Arial" w:hAnsi="Arial" w:cs="Arial"/>
              <w:i w:val="0"/>
              <w:snapToGrid w:val="0"/>
              <w:sz w:val="20"/>
            </w:rPr>
            <w:t xml:space="preserve"> </w:t>
          </w:r>
          <w:r w:rsidRPr="00EB4D43">
            <w:rPr>
              <w:rFonts w:ascii="Arial" w:hAnsi="Arial" w:cs="Arial"/>
              <w:b w:val="0"/>
              <w:i w:val="0"/>
              <w:sz w:val="20"/>
            </w:rPr>
            <w:fldChar w:fldCharType="begin"/>
          </w:r>
          <w:r w:rsidRPr="00EB4D43">
            <w:rPr>
              <w:rFonts w:ascii="Arial" w:hAnsi="Arial" w:cs="Arial"/>
              <w:b w:val="0"/>
              <w:i w:val="0"/>
              <w:sz w:val="20"/>
            </w:rPr>
            <w:instrText xml:space="preserve"> NUMPAGES </w:instrText>
          </w:r>
          <w:r w:rsidRPr="00EB4D43">
            <w:rPr>
              <w:rFonts w:ascii="Arial" w:hAnsi="Arial" w:cs="Arial"/>
              <w:b w:val="0"/>
              <w:i w:val="0"/>
              <w:sz w:val="20"/>
            </w:rPr>
            <w:fldChar w:fldCharType="separate"/>
          </w:r>
          <w:r>
            <w:rPr>
              <w:rFonts w:ascii="Arial" w:hAnsi="Arial" w:cs="Arial"/>
              <w:b w:val="0"/>
              <w:i w:val="0"/>
              <w:noProof/>
              <w:sz w:val="20"/>
            </w:rPr>
            <w:t>3</w:t>
          </w:r>
          <w:r w:rsidRPr="00EB4D43">
            <w:rPr>
              <w:rFonts w:ascii="Arial" w:hAnsi="Arial" w:cs="Arial"/>
              <w:b w:val="0"/>
              <w:i w:val="0"/>
              <w:sz w:val="20"/>
            </w:rPr>
            <w:fldChar w:fldCharType="end"/>
          </w:r>
        </w:p>
      </w:tc>
    </w:tr>
    <w:tr w:rsidR="00FD74A7" w:rsidTr="00343757">
      <w:trPr>
        <w:cantSplit/>
      </w:trPr>
      <w:tc>
        <w:tcPr>
          <w:tcW w:w="1410" w:type="dxa"/>
          <w:shd w:val="clear" w:color="auto" w:fill="E6E6E6"/>
        </w:tcPr>
        <w:p w:rsidR="00FD74A7" w:rsidRPr="00EB4D43" w:rsidRDefault="00FD74A7" w:rsidP="00343757">
          <w:pPr>
            <w:pStyle w:val="Heading3"/>
            <w:jc w:val="left"/>
            <w:rPr>
              <w:rFonts w:ascii="Arial" w:hAnsi="Arial" w:cs="Arial"/>
              <w:i w:val="0"/>
              <w:sz w:val="18"/>
            </w:rPr>
          </w:pPr>
          <w:r w:rsidRPr="00EB4D43">
            <w:rPr>
              <w:rFonts w:ascii="Arial" w:hAnsi="Arial" w:cs="Arial"/>
              <w:i w:val="0"/>
              <w:sz w:val="18"/>
            </w:rPr>
            <w:t>Supersedes</w:t>
          </w:r>
        </w:p>
      </w:tc>
      <w:tc>
        <w:tcPr>
          <w:tcW w:w="3225" w:type="dxa"/>
          <w:shd w:val="clear" w:color="auto" w:fill="FFFFFF"/>
        </w:tcPr>
        <w:p w:rsidR="00FD74A7" w:rsidRPr="00EB4D43" w:rsidRDefault="00FD74A7" w:rsidP="00343757">
          <w:pPr>
            <w:pStyle w:val="Heading1"/>
            <w:keepNext w:val="0"/>
            <w:spacing w:before="120" w:after="0"/>
            <w:rPr>
              <w:rFonts w:ascii="Arial" w:hAnsi="Arial" w:cs="Arial"/>
              <w:sz w:val="20"/>
            </w:rPr>
          </w:pPr>
          <w:r w:rsidRPr="00EB4D43">
            <w:rPr>
              <w:rFonts w:ascii="Arial" w:hAnsi="Arial" w:cs="Arial"/>
              <w:sz w:val="20"/>
            </w:rPr>
            <w:t>N/A</w:t>
          </w:r>
        </w:p>
      </w:tc>
      <w:tc>
        <w:tcPr>
          <w:tcW w:w="1468" w:type="dxa"/>
          <w:shd w:val="clear" w:color="auto" w:fill="E6E6E6"/>
        </w:tcPr>
        <w:p w:rsidR="00FD74A7" w:rsidRPr="00EB4D43" w:rsidRDefault="00FD74A7" w:rsidP="00343757">
          <w:pPr>
            <w:pStyle w:val="Heading3"/>
            <w:jc w:val="left"/>
            <w:rPr>
              <w:rFonts w:ascii="Arial" w:hAnsi="Arial" w:cs="Arial"/>
              <w:i w:val="0"/>
              <w:sz w:val="18"/>
            </w:rPr>
          </w:pPr>
          <w:r w:rsidRPr="00EB4D43">
            <w:rPr>
              <w:rFonts w:ascii="Arial" w:hAnsi="Arial" w:cs="Arial"/>
              <w:i w:val="0"/>
              <w:sz w:val="18"/>
            </w:rPr>
            <w:t>Effective Date</w:t>
          </w:r>
        </w:p>
      </w:tc>
      <w:tc>
        <w:tcPr>
          <w:tcW w:w="1966" w:type="dxa"/>
        </w:tcPr>
        <w:p w:rsidR="00FD74A7" w:rsidRPr="00EB4D43" w:rsidRDefault="00FD74A7" w:rsidP="00343757">
          <w:pPr>
            <w:pStyle w:val="Heading3"/>
            <w:jc w:val="left"/>
            <w:rPr>
              <w:rFonts w:ascii="Arial" w:hAnsi="Arial" w:cs="Arial"/>
              <w:i w:val="0"/>
              <w:sz w:val="20"/>
            </w:rPr>
          </w:pPr>
        </w:p>
      </w:tc>
      <w:tc>
        <w:tcPr>
          <w:tcW w:w="1786" w:type="dxa"/>
          <w:gridSpan w:val="2"/>
          <w:shd w:val="clear" w:color="auto" w:fill="E6E6E6"/>
        </w:tcPr>
        <w:p w:rsidR="00FD74A7" w:rsidRPr="00EB4D43" w:rsidRDefault="00FD74A7" w:rsidP="00343757">
          <w:pPr>
            <w:pStyle w:val="Heading3"/>
            <w:jc w:val="left"/>
            <w:rPr>
              <w:rFonts w:ascii="Arial" w:hAnsi="Arial" w:cs="Arial"/>
              <w:i w:val="0"/>
              <w:snapToGrid w:val="0"/>
              <w:sz w:val="20"/>
            </w:rPr>
          </w:pPr>
        </w:p>
      </w:tc>
    </w:tr>
  </w:tbl>
  <w:p w:rsidR="00FD74A7" w:rsidRDefault="00FD74A7"/>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1"/>
      <w:tblW w:w="0" w:type="auto"/>
      <w:shd w:val="clear" w:color="auto" w:fill="E4F2E0"/>
      <w:tblLook w:val="04A0" w:firstRow="1" w:lastRow="0" w:firstColumn="1" w:lastColumn="0" w:noHBand="0" w:noVBand="1"/>
    </w:tblPr>
    <w:tblGrid>
      <w:gridCol w:w="8720"/>
    </w:tblGrid>
    <w:tr w:rsidR="00BC0D24" w:rsidRPr="00BC0D24" w:rsidTr="00834198">
      <w:tc>
        <w:tcPr>
          <w:tcW w:w="8720" w:type="dxa"/>
          <w:shd w:val="clear" w:color="auto" w:fill="E4F2E0"/>
        </w:tcPr>
        <w:p w:rsidR="00BC0D24" w:rsidRPr="00BC0D24" w:rsidRDefault="00BC0D24" w:rsidP="00BC0D24">
          <w:pPr>
            <w:spacing w:before="180" w:after="180" w:line="240" w:lineRule="atLeast"/>
            <w:jc w:val="left"/>
            <w:rPr>
              <w:sz w:val="22"/>
              <w:lang w:val="en-AU"/>
            </w:rPr>
          </w:pPr>
          <w:r w:rsidRPr="00BC0D24">
            <w:rPr>
              <w:b/>
              <w:sz w:val="20"/>
              <w:lang w:val="en-AU"/>
            </w:rPr>
            <w:t xml:space="preserve">Attachment 1: Product information for </w:t>
          </w:r>
          <w:proofErr w:type="spellStart"/>
          <w:r w:rsidRPr="00BC0D24">
            <w:rPr>
              <w:b/>
              <w:sz w:val="20"/>
              <w:lang w:val="en-AU"/>
            </w:rPr>
            <w:t>AusPAR</w:t>
          </w:r>
          <w:proofErr w:type="spellEnd"/>
          <w:r w:rsidRPr="00BC0D24">
            <w:rPr>
              <w:b/>
              <w:sz w:val="20"/>
              <w:lang w:val="en-AU"/>
            </w:rPr>
            <w:t xml:space="preserve"> - ZAFICEFTA - </w:t>
          </w:r>
          <w:proofErr w:type="spellStart"/>
          <w:r w:rsidRPr="00BC0D24">
            <w:rPr>
              <w:b/>
              <w:sz w:val="20"/>
              <w:lang w:val="en-AU"/>
            </w:rPr>
            <w:t>ceftazidime</w:t>
          </w:r>
          <w:proofErr w:type="spellEnd"/>
          <w:r w:rsidRPr="00BC0D24">
            <w:rPr>
              <w:b/>
              <w:sz w:val="20"/>
              <w:lang w:val="en-AU"/>
            </w:rPr>
            <w:t>/avibactam - Pfizer Australia Pty Ltd - PM-2018-00931-1-2</w:t>
          </w:r>
          <w:r>
            <w:rPr>
              <w:b/>
              <w:sz w:val="20"/>
              <w:lang w:val="en-AU"/>
            </w:rPr>
            <w:t xml:space="preserve"> </w:t>
          </w:r>
          <w:r w:rsidRPr="00BC0D24">
            <w:rPr>
              <w:b/>
              <w:sz w:val="20"/>
              <w:lang w:val="en-AU"/>
            </w:rPr>
            <w:t xml:space="preserve">FINAL 24 February 2020. </w:t>
          </w:r>
          <w:r w:rsidRPr="00BC0D24">
            <w:rPr>
              <w:b/>
              <w:sz w:val="18"/>
              <w:szCs w:val="18"/>
              <w:lang w:val="en-AU"/>
            </w:rPr>
            <w:t xml:space="preserve">This is the Product Information that </w:t>
          </w:r>
          <w:proofErr w:type="gramStart"/>
          <w:r w:rsidRPr="00BC0D24">
            <w:rPr>
              <w:b/>
              <w:sz w:val="18"/>
              <w:szCs w:val="18"/>
              <w:lang w:val="en-AU"/>
            </w:rPr>
            <w:t>was approved</w:t>
          </w:r>
          <w:proofErr w:type="gramEnd"/>
          <w:r w:rsidRPr="00BC0D24">
            <w:rPr>
              <w:b/>
              <w:sz w:val="18"/>
              <w:szCs w:val="18"/>
              <w:lang w:val="en-AU"/>
            </w:rPr>
            <w:t xml:space="preserve"> with the submission described in this </w:t>
          </w:r>
          <w:proofErr w:type="spellStart"/>
          <w:r w:rsidRPr="00BC0D24">
            <w:rPr>
              <w:b/>
              <w:sz w:val="18"/>
              <w:szCs w:val="18"/>
              <w:lang w:val="en-AU"/>
            </w:rPr>
            <w:t>AusPAR</w:t>
          </w:r>
          <w:proofErr w:type="spellEnd"/>
          <w:r w:rsidRPr="00BC0D24">
            <w:rPr>
              <w:b/>
              <w:sz w:val="18"/>
              <w:szCs w:val="18"/>
              <w:lang w:val="en-AU"/>
            </w:rPr>
            <w:t xml:space="preserve">. It </w:t>
          </w:r>
          <w:proofErr w:type="gramStart"/>
          <w:r w:rsidRPr="00BC0D24">
            <w:rPr>
              <w:b/>
              <w:sz w:val="18"/>
              <w:szCs w:val="18"/>
              <w:lang w:val="en-AU"/>
            </w:rPr>
            <w:t>may have been superseded</w:t>
          </w:r>
          <w:proofErr w:type="gramEnd"/>
          <w:r w:rsidRPr="00BC0D24">
            <w:rPr>
              <w:b/>
              <w:sz w:val="18"/>
              <w:szCs w:val="18"/>
              <w:lang w:val="en-AU"/>
            </w:rPr>
            <w:t>. For the most recent PI, please refer to the TGA website at &lt;</w:t>
          </w:r>
          <w:hyperlink r:id="rId1" w:history="1">
            <w:r w:rsidRPr="00BC0D24">
              <w:rPr>
                <w:color w:val="0000FF"/>
                <w:sz w:val="18"/>
                <w:szCs w:val="18"/>
                <w:u w:val="single"/>
                <w:lang w:val="en-AU"/>
              </w:rPr>
              <w:t>https://www.tga.gov.au/product-information-pi</w:t>
            </w:r>
          </w:hyperlink>
          <w:r>
            <w:rPr>
              <w:b/>
              <w:sz w:val="18"/>
              <w:szCs w:val="18"/>
              <w:lang w:val="en-AU"/>
            </w:rPr>
            <w:t>&gt;</w:t>
          </w:r>
        </w:p>
      </w:tc>
    </w:tr>
  </w:tbl>
  <w:p w:rsidR="00FD74A7" w:rsidRDefault="00FD74A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74A7" w:rsidRDefault="00FD74A7"/>
  <w:tbl>
    <w:tblPr>
      <w:tblW w:w="9855"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ayout w:type="fixed"/>
      <w:tblLook w:val="0000" w:firstRow="0" w:lastRow="0" w:firstColumn="0" w:lastColumn="0" w:noHBand="0" w:noVBand="0"/>
    </w:tblPr>
    <w:tblGrid>
      <w:gridCol w:w="1410"/>
      <w:gridCol w:w="3225"/>
      <w:gridCol w:w="1468"/>
      <w:gridCol w:w="1966"/>
      <w:gridCol w:w="734"/>
      <w:gridCol w:w="1052"/>
    </w:tblGrid>
    <w:tr w:rsidR="00FD74A7" w:rsidTr="00121B3A">
      <w:tc>
        <w:tcPr>
          <w:tcW w:w="9855" w:type="dxa"/>
          <w:gridSpan w:val="6"/>
          <w:shd w:val="clear" w:color="auto" w:fill="E6E6E6"/>
        </w:tcPr>
        <w:p w:rsidR="00FD74A7" w:rsidRPr="00EB4D43" w:rsidRDefault="00FD74A7" w:rsidP="00121B3A">
          <w:pPr>
            <w:pStyle w:val="Heading3"/>
            <w:spacing w:before="0"/>
            <w:jc w:val="center"/>
            <w:rPr>
              <w:rFonts w:ascii="Arial" w:hAnsi="Arial" w:cs="Arial"/>
              <w:i w:val="0"/>
              <w:sz w:val="20"/>
            </w:rPr>
          </w:pPr>
          <w:r>
            <w:rPr>
              <w:rFonts w:ascii="Arial" w:hAnsi="Arial" w:cs="Arial"/>
              <w:b w:val="0"/>
              <w:i w:val="0"/>
              <w:noProof/>
              <w:sz w:val="14"/>
              <w:lang w:val="en-AU" w:eastAsia="en-AU"/>
            </w:rPr>
            <w:drawing>
              <wp:inline distT="0" distB="0" distL="0" distR="0" wp14:anchorId="7764438E" wp14:editId="5C8086BC">
                <wp:extent cx="422910" cy="25273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2910" cy="252730"/>
                        </a:xfrm>
                        <a:prstGeom prst="rect">
                          <a:avLst/>
                        </a:prstGeom>
                        <a:noFill/>
                        <a:ln>
                          <a:noFill/>
                        </a:ln>
                      </pic:spPr>
                    </pic:pic>
                  </a:graphicData>
                </a:graphic>
              </wp:inline>
            </w:drawing>
          </w:r>
          <w:r w:rsidRPr="00EB4D43">
            <w:rPr>
              <w:rFonts w:ascii="Arial" w:hAnsi="Arial" w:cs="Arial"/>
              <w:i w:val="0"/>
            </w:rPr>
            <w:t xml:space="preserve"> AUSTRALIAN WORKING PRACTICE GUIDELINE</w:t>
          </w:r>
        </w:p>
      </w:tc>
    </w:tr>
    <w:tr w:rsidR="00FD74A7" w:rsidTr="00121B3A">
      <w:tc>
        <w:tcPr>
          <w:tcW w:w="1410" w:type="dxa"/>
          <w:shd w:val="clear" w:color="auto" w:fill="E6E6E6"/>
        </w:tcPr>
        <w:p w:rsidR="00FD74A7" w:rsidRPr="00EB4D43" w:rsidRDefault="00FD74A7" w:rsidP="00121B3A">
          <w:pPr>
            <w:pStyle w:val="Heading3"/>
            <w:jc w:val="left"/>
            <w:rPr>
              <w:rFonts w:ascii="Arial" w:hAnsi="Arial" w:cs="Arial"/>
              <w:i w:val="0"/>
              <w:sz w:val="18"/>
            </w:rPr>
          </w:pPr>
          <w:r w:rsidRPr="00EB4D43">
            <w:rPr>
              <w:rFonts w:ascii="Arial" w:hAnsi="Arial" w:cs="Arial"/>
              <w:i w:val="0"/>
              <w:sz w:val="18"/>
            </w:rPr>
            <w:t>Title</w:t>
          </w:r>
        </w:p>
      </w:tc>
      <w:tc>
        <w:tcPr>
          <w:tcW w:w="8445" w:type="dxa"/>
          <w:gridSpan w:val="5"/>
          <w:shd w:val="clear" w:color="auto" w:fill="FFFFFF"/>
        </w:tcPr>
        <w:p w:rsidR="00FD74A7" w:rsidRPr="00EB4D43" w:rsidRDefault="00FD74A7" w:rsidP="00121B3A">
          <w:pPr>
            <w:pStyle w:val="Heading1"/>
            <w:spacing w:before="120" w:after="120"/>
            <w:jc w:val="left"/>
            <w:rPr>
              <w:rFonts w:ascii="Arial" w:hAnsi="Arial" w:cs="Arial"/>
              <w:sz w:val="22"/>
            </w:rPr>
          </w:pPr>
          <w:r w:rsidRPr="00EB4D43">
            <w:rPr>
              <w:rFonts w:ascii="Arial" w:hAnsi="Arial" w:cs="Arial"/>
              <w:sz w:val="22"/>
            </w:rPr>
            <w:t>Preparation of local product documents (lpd) and implemenTation dates in new zealand</w:t>
          </w:r>
        </w:p>
      </w:tc>
    </w:tr>
    <w:tr w:rsidR="00FD74A7" w:rsidTr="00121B3A">
      <w:tc>
        <w:tcPr>
          <w:tcW w:w="1410" w:type="dxa"/>
          <w:shd w:val="clear" w:color="auto" w:fill="E6E6E6"/>
        </w:tcPr>
        <w:p w:rsidR="00FD74A7" w:rsidRPr="00EB4D43" w:rsidRDefault="00FD74A7" w:rsidP="00121B3A">
          <w:pPr>
            <w:pStyle w:val="Heading3"/>
            <w:jc w:val="left"/>
            <w:rPr>
              <w:rFonts w:ascii="Arial" w:hAnsi="Arial" w:cs="Arial"/>
              <w:i w:val="0"/>
              <w:sz w:val="18"/>
            </w:rPr>
          </w:pPr>
          <w:r w:rsidRPr="00EB4D43">
            <w:rPr>
              <w:rFonts w:ascii="Arial" w:hAnsi="Arial" w:cs="Arial"/>
              <w:i w:val="0"/>
              <w:sz w:val="18"/>
            </w:rPr>
            <w:t>Identifier</w:t>
          </w:r>
        </w:p>
      </w:tc>
      <w:tc>
        <w:tcPr>
          <w:tcW w:w="3225" w:type="dxa"/>
          <w:shd w:val="clear" w:color="auto" w:fill="FFFFFF"/>
        </w:tcPr>
        <w:p w:rsidR="00FD74A7" w:rsidRPr="00EB4D43" w:rsidRDefault="00FD74A7" w:rsidP="00121B3A">
          <w:pPr>
            <w:pStyle w:val="Heading1"/>
            <w:keepNext w:val="0"/>
            <w:spacing w:before="120" w:after="0"/>
            <w:rPr>
              <w:rFonts w:ascii="Arial" w:hAnsi="Arial" w:cs="Arial"/>
              <w:sz w:val="20"/>
            </w:rPr>
          </w:pPr>
          <w:r>
            <w:rPr>
              <w:rFonts w:ascii="Arial" w:hAnsi="Arial" w:cs="Arial"/>
              <w:sz w:val="20"/>
            </w:rPr>
            <w:t>WPG-RA-30-01</w:t>
          </w:r>
        </w:p>
      </w:tc>
      <w:tc>
        <w:tcPr>
          <w:tcW w:w="1468" w:type="dxa"/>
          <w:shd w:val="clear" w:color="auto" w:fill="E6E6E6"/>
        </w:tcPr>
        <w:p w:rsidR="00FD74A7" w:rsidRPr="00EB4D43" w:rsidRDefault="00FD74A7" w:rsidP="00121B3A">
          <w:pPr>
            <w:pStyle w:val="Heading3"/>
            <w:jc w:val="left"/>
            <w:rPr>
              <w:rFonts w:ascii="Arial" w:hAnsi="Arial" w:cs="Arial"/>
              <w:i w:val="0"/>
              <w:sz w:val="18"/>
            </w:rPr>
          </w:pPr>
          <w:r w:rsidRPr="00EB4D43">
            <w:rPr>
              <w:rFonts w:ascii="Arial" w:hAnsi="Arial" w:cs="Arial"/>
              <w:i w:val="0"/>
              <w:sz w:val="18"/>
            </w:rPr>
            <w:t>Effective Date</w:t>
          </w:r>
        </w:p>
      </w:tc>
      <w:tc>
        <w:tcPr>
          <w:tcW w:w="1966" w:type="dxa"/>
        </w:tcPr>
        <w:p w:rsidR="00FD74A7" w:rsidRPr="00EB4D43" w:rsidRDefault="00FD74A7" w:rsidP="00121B3A">
          <w:pPr>
            <w:pStyle w:val="Heading3"/>
            <w:jc w:val="left"/>
            <w:rPr>
              <w:rFonts w:ascii="Arial" w:hAnsi="Arial" w:cs="Arial"/>
              <w:i w:val="0"/>
              <w:sz w:val="20"/>
            </w:rPr>
          </w:pPr>
          <w:r>
            <w:rPr>
              <w:rFonts w:ascii="Arial" w:hAnsi="Arial" w:cs="Arial"/>
              <w:i w:val="0"/>
              <w:sz w:val="20"/>
            </w:rPr>
            <w:t xml:space="preserve">01 December </w:t>
          </w:r>
          <w:r w:rsidRPr="00EB4D43">
            <w:rPr>
              <w:rFonts w:ascii="Arial" w:hAnsi="Arial" w:cs="Arial"/>
              <w:i w:val="0"/>
              <w:sz w:val="20"/>
            </w:rPr>
            <w:t>2009</w:t>
          </w:r>
        </w:p>
      </w:tc>
      <w:tc>
        <w:tcPr>
          <w:tcW w:w="734" w:type="dxa"/>
          <w:tcBorders>
            <w:bottom w:val="single" w:sz="4" w:space="0" w:color="auto"/>
          </w:tcBorders>
          <w:shd w:val="clear" w:color="auto" w:fill="E6E6E6"/>
        </w:tcPr>
        <w:p w:rsidR="00FD74A7" w:rsidRPr="00EB4D43" w:rsidRDefault="00FD74A7" w:rsidP="00121B3A">
          <w:pPr>
            <w:pStyle w:val="Heading3"/>
            <w:jc w:val="left"/>
            <w:rPr>
              <w:rFonts w:ascii="Arial" w:hAnsi="Arial" w:cs="Arial"/>
              <w:i w:val="0"/>
              <w:sz w:val="20"/>
            </w:rPr>
          </w:pPr>
          <w:r w:rsidRPr="00EB4D43">
            <w:rPr>
              <w:rFonts w:ascii="Arial" w:hAnsi="Arial" w:cs="Arial"/>
              <w:i w:val="0"/>
              <w:sz w:val="20"/>
            </w:rPr>
            <w:t>Page</w:t>
          </w:r>
        </w:p>
      </w:tc>
      <w:tc>
        <w:tcPr>
          <w:tcW w:w="1052" w:type="dxa"/>
          <w:tcBorders>
            <w:bottom w:val="single" w:sz="4" w:space="0" w:color="auto"/>
          </w:tcBorders>
        </w:tcPr>
        <w:p w:rsidR="00FD74A7" w:rsidRPr="00EB4D43" w:rsidRDefault="00FD74A7" w:rsidP="00121B3A">
          <w:pPr>
            <w:pStyle w:val="Heading3"/>
            <w:jc w:val="left"/>
            <w:rPr>
              <w:rFonts w:ascii="Arial" w:hAnsi="Arial" w:cs="Arial"/>
              <w:i w:val="0"/>
              <w:sz w:val="20"/>
            </w:rPr>
          </w:pPr>
          <w:r>
            <w:rPr>
              <w:rFonts w:ascii="Arial" w:hAnsi="Arial" w:cs="Arial"/>
              <w:b w:val="0"/>
              <w:i w:val="0"/>
              <w:sz w:val="18"/>
              <w:szCs w:val="18"/>
            </w:rPr>
            <w:t>1</w:t>
          </w:r>
          <w:r w:rsidRPr="00EB4D43">
            <w:rPr>
              <w:rFonts w:ascii="Arial" w:hAnsi="Arial" w:cs="Arial"/>
              <w:b w:val="0"/>
              <w:bCs/>
              <w:i w:val="0"/>
              <w:snapToGrid w:val="0"/>
              <w:sz w:val="20"/>
            </w:rPr>
            <w:t>of</w:t>
          </w:r>
          <w:r w:rsidRPr="00EB4D43">
            <w:rPr>
              <w:rFonts w:ascii="Arial" w:hAnsi="Arial" w:cs="Arial"/>
              <w:i w:val="0"/>
              <w:snapToGrid w:val="0"/>
              <w:sz w:val="20"/>
            </w:rPr>
            <w:t xml:space="preserve"> </w:t>
          </w:r>
          <w:r w:rsidRPr="00EB4D43">
            <w:rPr>
              <w:rFonts w:ascii="Arial" w:hAnsi="Arial" w:cs="Arial"/>
              <w:b w:val="0"/>
              <w:i w:val="0"/>
              <w:sz w:val="20"/>
            </w:rPr>
            <w:fldChar w:fldCharType="begin"/>
          </w:r>
          <w:r w:rsidRPr="00EB4D43">
            <w:rPr>
              <w:rFonts w:ascii="Arial" w:hAnsi="Arial" w:cs="Arial"/>
              <w:b w:val="0"/>
              <w:i w:val="0"/>
              <w:sz w:val="20"/>
            </w:rPr>
            <w:instrText xml:space="preserve"> NUMPAGES </w:instrText>
          </w:r>
          <w:r w:rsidRPr="00EB4D43">
            <w:rPr>
              <w:rFonts w:ascii="Arial" w:hAnsi="Arial" w:cs="Arial"/>
              <w:b w:val="0"/>
              <w:i w:val="0"/>
              <w:sz w:val="20"/>
            </w:rPr>
            <w:fldChar w:fldCharType="separate"/>
          </w:r>
          <w:r>
            <w:rPr>
              <w:rFonts w:ascii="Arial" w:hAnsi="Arial" w:cs="Arial"/>
              <w:b w:val="0"/>
              <w:i w:val="0"/>
              <w:noProof/>
              <w:sz w:val="20"/>
            </w:rPr>
            <w:t>3</w:t>
          </w:r>
          <w:r w:rsidRPr="00EB4D43">
            <w:rPr>
              <w:rFonts w:ascii="Arial" w:hAnsi="Arial" w:cs="Arial"/>
              <w:b w:val="0"/>
              <w:i w:val="0"/>
              <w:sz w:val="20"/>
            </w:rPr>
            <w:fldChar w:fldCharType="end"/>
          </w:r>
        </w:p>
      </w:tc>
    </w:tr>
    <w:tr w:rsidR="00FD74A7" w:rsidTr="00121B3A">
      <w:trPr>
        <w:cantSplit/>
      </w:trPr>
      <w:tc>
        <w:tcPr>
          <w:tcW w:w="1410" w:type="dxa"/>
          <w:shd w:val="clear" w:color="auto" w:fill="E6E6E6"/>
        </w:tcPr>
        <w:p w:rsidR="00FD74A7" w:rsidRPr="00EB4D43" w:rsidRDefault="00FD74A7" w:rsidP="00121B3A">
          <w:pPr>
            <w:pStyle w:val="Heading3"/>
            <w:jc w:val="left"/>
            <w:rPr>
              <w:rFonts w:ascii="Arial" w:hAnsi="Arial" w:cs="Arial"/>
              <w:i w:val="0"/>
              <w:sz w:val="18"/>
            </w:rPr>
          </w:pPr>
          <w:r w:rsidRPr="00EB4D43">
            <w:rPr>
              <w:rFonts w:ascii="Arial" w:hAnsi="Arial" w:cs="Arial"/>
              <w:i w:val="0"/>
              <w:sz w:val="18"/>
            </w:rPr>
            <w:t>Supersedes</w:t>
          </w:r>
        </w:p>
      </w:tc>
      <w:tc>
        <w:tcPr>
          <w:tcW w:w="3225" w:type="dxa"/>
          <w:shd w:val="clear" w:color="auto" w:fill="FFFFFF"/>
        </w:tcPr>
        <w:p w:rsidR="00FD74A7" w:rsidRPr="00EB4D43" w:rsidRDefault="00FD74A7" w:rsidP="00121B3A">
          <w:pPr>
            <w:pStyle w:val="Heading1"/>
            <w:keepNext w:val="0"/>
            <w:spacing w:before="120" w:after="0"/>
            <w:rPr>
              <w:rFonts w:ascii="Arial" w:hAnsi="Arial" w:cs="Arial"/>
              <w:sz w:val="20"/>
            </w:rPr>
          </w:pPr>
          <w:r w:rsidRPr="00EB4D43">
            <w:rPr>
              <w:rFonts w:ascii="Arial" w:hAnsi="Arial" w:cs="Arial"/>
              <w:sz w:val="20"/>
            </w:rPr>
            <w:t>N/A</w:t>
          </w:r>
        </w:p>
      </w:tc>
      <w:tc>
        <w:tcPr>
          <w:tcW w:w="1468" w:type="dxa"/>
          <w:shd w:val="clear" w:color="auto" w:fill="E6E6E6"/>
        </w:tcPr>
        <w:p w:rsidR="00FD74A7" w:rsidRPr="00EB4D43" w:rsidRDefault="00FD74A7" w:rsidP="00121B3A">
          <w:pPr>
            <w:pStyle w:val="Heading3"/>
            <w:jc w:val="left"/>
            <w:rPr>
              <w:rFonts w:ascii="Arial" w:hAnsi="Arial" w:cs="Arial"/>
              <w:i w:val="0"/>
              <w:sz w:val="18"/>
            </w:rPr>
          </w:pPr>
          <w:r w:rsidRPr="00EB4D43">
            <w:rPr>
              <w:rFonts w:ascii="Arial" w:hAnsi="Arial" w:cs="Arial"/>
              <w:i w:val="0"/>
              <w:sz w:val="18"/>
            </w:rPr>
            <w:t>Effective Date</w:t>
          </w:r>
        </w:p>
      </w:tc>
      <w:tc>
        <w:tcPr>
          <w:tcW w:w="1966" w:type="dxa"/>
        </w:tcPr>
        <w:p w:rsidR="00FD74A7" w:rsidRPr="00EB4D43" w:rsidRDefault="00FD74A7" w:rsidP="00121B3A">
          <w:pPr>
            <w:pStyle w:val="Heading3"/>
            <w:jc w:val="left"/>
            <w:rPr>
              <w:rFonts w:ascii="Arial" w:hAnsi="Arial" w:cs="Arial"/>
              <w:i w:val="0"/>
              <w:sz w:val="20"/>
            </w:rPr>
          </w:pPr>
          <w:r>
            <w:rPr>
              <w:rFonts w:ascii="Arial" w:hAnsi="Arial" w:cs="Arial"/>
              <w:i w:val="0"/>
              <w:sz w:val="20"/>
            </w:rPr>
            <w:t>N/A</w:t>
          </w:r>
        </w:p>
      </w:tc>
      <w:tc>
        <w:tcPr>
          <w:tcW w:w="1786" w:type="dxa"/>
          <w:gridSpan w:val="2"/>
          <w:shd w:val="clear" w:color="auto" w:fill="E6E6E6"/>
        </w:tcPr>
        <w:p w:rsidR="00FD74A7" w:rsidRPr="00EB4D43" w:rsidRDefault="00FD74A7" w:rsidP="00121B3A">
          <w:pPr>
            <w:pStyle w:val="Heading3"/>
            <w:jc w:val="left"/>
            <w:rPr>
              <w:rFonts w:ascii="Arial" w:hAnsi="Arial" w:cs="Arial"/>
              <w:i w:val="0"/>
              <w:snapToGrid w:val="0"/>
              <w:sz w:val="20"/>
            </w:rPr>
          </w:pPr>
        </w:p>
      </w:tc>
    </w:tr>
  </w:tbl>
  <w:p w:rsidR="00FD74A7" w:rsidRDefault="00FD74A7" w:rsidP="006D4645"/>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763099B6"/>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D9F8B6B2"/>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16E0D15"/>
    <w:multiLevelType w:val="hybridMultilevel"/>
    <w:tmpl w:val="12A20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5052D3"/>
    <w:multiLevelType w:val="hybridMultilevel"/>
    <w:tmpl w:val="2BB044B6"/>
    <w:lvl w:ilvl="0" w:tplc="8B6421D6">
      <w:start w:val="1"/>
      <w:numFmt w:val="bullet"/>
      <w:pStyle w:val="CLDBulletLis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B33474B"/>
    <w:multiLevelType w:val="hybridMultilevel"/>
    <w:tmpl w:val="3ABC9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DC6ED9"/>
    <w:multiLevelType w:val="hybridMultilevel"/>
    <w:tmpl w:val="752471CE"/>
    <w:lvl w:ilvl="0" w:tplc="8E2253BA">
      <w:start w:val="1"/>
      <w:numFmt w:val="bullet"/>
      <w:lvlText w:val=""/>
      <w:lvlJc w:val="left"/>
      <w:pPr>
        <w:ind w:left="360" w:hanging="360"/>
      </w:pPr>
      <w:rPr>
        <w:rFonts w:ascii="Symbol" w:hAnsi="Symbol" w:hint="default"/>
        <w:caps w:val="0"/>
        <w:color w:val="auto"/>
        <w:u w:val="none"/>
      </w:rPr>
    </w:lvl>
    <w:lvl w:ilvl="1" w:tplc="82B280FA">
      <w:start w:val="2"/>
      <w:numFmt w:val="bullet"/>
      <w:lvlText w:val="-"/>
      <w:lvlJc w:val="left"/>
      <w:pPr>
        <w:tabs>
          <w:tab w:val="num" w:pos="2160"/>
        </w:tabs>
        <w:ind w:left="2160" w:hanging="360"/>
      </w:pPr>
      <w:rPr>
        <w:rFonts w:ascii="Times New Roman" w:eastAsia="Times New Roman" w:hAnsi="Times New Roman" w:hint="default"/>
      </w:rPr>
    </w:lvl>
    <w:lvl w:ilvl="2" w:tplc="04090005">
      <w:start w:val="1"/>
      <w:numFmt w:val="bullet"/>
      <w:lvlText w:val=""/>
      <w:lvlJc w:val="left"/>
      <w:pPr>
        <w:tabs>
          <w:tab w:val="num" w:pos="2880"/>
        </w:tabs>
        <w:ind w:left="2880" w:hanging="360"/>
      </w:pPr>
      <w:rPr>
        <w:rFonts w:ascii="Wingdings" w:hAnsi="Wingdings" w:cs="Times New Roman" w:hint="default"/>
      </w:rPr>
    </w:lvl>
    <w:lvl w:ilvl="3" w:tplc="04090001">
      <w:start w:val="1"/>
      <w:numFmt w:val="bullet"/>
      <w:lvlText w:val=""/>
      <w:lvlJc w:val="left"/>
      <w:pPr>
        <w:tabs>
          <w:tab w:val="num" w:pos="3600"/>
        </w:tabs>
        <w:ind w:left="3600" w:hanging="360"/>
      </w:pPr>
      <w:rPr>
        <w:rFonts w:ascii="Symbol" w:hAnsi="Symbol" w:cs="Times New Roman"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Times New Roman" w:hint="default"/>
      </w:rPr>
    </w:lvl>
    <w:lvl w:ilvl="6" w:tplc="04090001">
      <w:start w:val="1"/>
      <w:numFmt w:val="bullet"/>
      <w:lvlText w:val=""/>
      <w:lvlJc w:val="left"/>
      <w:pPr>
        <w:tabs>
          <w:tab w:val="num" w:pos="5760"/>
        </w:tabs>
        <w:ind w:left="5760" w:hanging="360"/>
      </w:pPr>
      <w:rPr>
        <w:rFonts w:ascii="Symbol" w:hAnsi="Symbol" w:cs="Times New Roman"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Times New Roman" w:hint="default"/>
      </w:rPr>
    </w:lvl>
  </w:abstractNum>
  <w:abstractNum w:abstractNumId="6" w15:restartNumberingAfterBreak="0">
    <w:nsid w:val="14A5211D"/>
    <w:multiLevelType w:val="hybridMultilevel"/>
    <w:tmpl w:val="974A8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0A6DB8"/>
    <w:multiLevelType w:val="hybridMultilevel"/>
    <w:tmpl w:val="F1BC4932"/>
    <w:lvl w:ilvl="0" w:tplc="945AAE54">
      <w:start w:val="1"/>
      <w:numFmt w:val="decimal"/>
      <w:pStyle w:val="CLDNumberList"/>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34C5B5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480019D"/>
    <w:multiLevelType w:val="hybridMultilevel"/>
    <w:tmpl w:val="3AB8F6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87715E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8EA506D"/>
    <w:multiLevelType w:val="hybridMultilevel"/>
    <w:tmpl w:val="6792E7F8"/>
    <w:lvl w:ilvl="0" w:tplc="BDAC27AC">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2383DC9"/>
    <w:multiLevelType w:val="hybridMultilevel"/>
    <w:tmpl w:val="021E87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83E587D"/>
    <w:multiLevelType w:val="singleLevel"/>
    <w:tmpl w:val="E1EEF03C"/>
    <w:lvl w:ilvl="0">
      <w:start w:val="4"/>
      <w:numFmt w:val="bullet"/>
      <w:lvlText w:val="-"/>
      <w:lvlJc w:val="left"/>
      <w:pPr>
        <w:tabs>
          <w:tab w:val="num" w:pos="360"/>
        </w:tabs>
        <w:ind w:left="360" w:hanging="360"/>
      </w:pPr>
      <w:rPr>
        <w:rFonts w:hint="default"/>
      </w:rPr>
    </w:lvl>
  </w:abstractNum>
  <w:abstractNum w:abstractNumId="14" w15:restartNumberingAfterBreak="0">
    <w:nsid w:val="39A94325"/>
    <w:multiLevelType w:val="hybridMultilevel"/>
    <w:tmpl w:val="EB0E0BF2"/>
    <w:lvl w:ilvl="0" w:tplc="D37AA128">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5" w15:restartNumberingAfterBreak="0">
    <w:nsid w:val="48582249"/>
    <w:multiLevelType w:val="hybridMultilevel"/>
    <w:tmpl w:val="F8428C9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8A40C6E"/>
    <w:multiLevelType w:val="hybridMultilevel"/>
    <w:tmpl w:val="B7280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4961D3"/>
    <w:multiLevelType w:val="hybridMultilevel"/>
    <w:tmpl w:val="723623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C4A75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E8E693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546A373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5A1A4EF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5A443D27"/>
    <w:multiLevelType w:val="hybridMultilevel"/>
    <w:tmpl w:val="9F983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34B6D6B"/>
    <w:multiLevelType w:val="singleLevel"/>
    <w:tmpl w:val="EBC45FB8"/>
    <w:lvl w:ilvl="0">
      <w:start w:val="4"/>
      <w:numFmt w:val="bullet"/>
      <w:lvlText w:val="-"/>
      <w:lvlJc w:val="left"/>
      <w:pPr>
        <w:tabs>
          <w:tab w:val="num" w:pos="360"/>
        </w:tabs>
        <w:ind w:left="360" w:hanging="360"/>
      </w:pPr>
      <w:rPr>
        <w:rFonts w:hint="default"/>
      </w:rPr>
    </w:lvl>
  </w:abstractNum>
  <w:abstractNum w:abstractNumId="24" w15:restartNumberingAfterBreak="0">
    <w:nsid w:val="79405C73"/>
    <w:multiLevelType w:val="hybridMultilevel"/>
    <w:tmpl w:val="49C21CD2"/>
    <w:lvl w:ilvl="0" w:tplc="27265EE6">
      <w:start w:val="1"/>
      <w:numFmt w:val="bullet"/>
      <w:pStyle w:val="ListParagraph1"/>
      <w:lvlText w:val=""/>
      <w:lvlJc w:val="left"/>
      <w:pPr>
        <w:ind w:left="720" w:hanging="360"/>
      </w:pPr>
      <w:rPr>
        <w:rFonts w:ascii="Symbol" w:hAnsi="Symbol" w:hint="default"/>
        <w:caps w:val="0"/>
        <w:color w:val="auto"/>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B537283"/>
    <w:multiLevelType w:val="hybridMultilevel"/>
    <w:tmpl w:val="99AA95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8"/>
  </w:num>
  <w:num w:numId="2">
    <w:abstractNumId w:val="10"/>
  </w:num>
  <w:num w:numId="3">
    <w:abstractNumId w:val="21"/>
  </w:num>
  <w:num w:numId="4">
    <w:abstractNumId w:val="20"/>
  </w:num>
  <w:num w:numId="5">
    <w:abstractNumId w:val="18"/>
  </w:num>
  <w:num w:numId="6">
    <w:abstractNumId w:val="13"/>
  </w:num>
  <w:num w:numId="7">
    <w:abstractNumId w:val="23"/>
  </w:num>
  <w:num w:numId="8">
    <w:abstractNumId w:val="19"/>
  </w:num>
  <w:num w:numId="9">
    <w:abstractNumId w:val="1"/>
  </w:num>
  <w:num w:numId="10">
    <w:abstractNumId w:val="1"/>
  </w:num>
  <w:num w:numId="11">
    <w:abstractNumId w:val="0"/>
  </w:num>
  <w:num w:numId="12">
    <w:abstractNumId w:val="11"/>
  </w:num>
  <w:num w:numId="13">
    <w:abstractNumId w:val="1"/>
  </w:num>
  <w:num w:numId="14">
    <w:abstractNumId w:val="11"/>
  </w:num>
  <w:num w:numId="15">
    <w:abstractNumId w:val="1"/>
  </w:num>
  <w:num w:numId="16">
    <w:abstractNumId w:val="11"/>
  </w:num>
  <w:num w:numId="17">
    <w:abstractNumId w:val="1"/>
  </w:num>
  <w:num w:numId="18">
    <w:abstractNumId w:val="11"/>
  </w:num>
  <w:num w:numId="19">
    <w:abstractNumId w:val="3"/>
  </w:num>
  <w:num w:numId="20">
    <w:abstractNumId w:val="7"/>
  </w:num>
  <w:num w:numId="21">
    <w:abstractNumId w:val="1"/>
  </w:num>
  <w:num w:numId="22">
    <w:abstractNumId w:val="11"/>
  </w:num>
  <w:num w:numId="23">
    <w:abstractNumId w:val="3"/>
  </w:num>
  <w:num w:numId="24">
    <w:abstractNumId w:val="7"/>
  </w:num>
  <w:num w:numId="25">
    <w:abstractNumId w:val="1"/>
  </w:num>
  <w:num w:numId="26">
    <w:abstractNumId w:val="11"/>
  </w:num>
  <w:num w:numId="27">
    <w:abstractNumId w:val="17"/>
  </w:num>
  <w:num w:numId="28">
    <w:abstractNumId w:val="5"/>
  </w:num>
  <w:num w:numId="29">
    <w:abstractNumId w:val="6"/>
  </w:num>
  <w:num w:numId="30">
    <w:abstractNumId w:val="16"/>
  </w:num>
  <w:num w:numId="31">
    <w:abstractNumId w:val="4"/>
  </w:num>
  <w:num w:numId="32">
    <w:abstractNumId w:val="22"/>
  </w:num>
  <w:num w:numId="33">
    <w:abstractNumId w:val="15"/>
  </w:num>
  <w:num w:numId="34">
    <w:abstractNumId w:val="2"/>
  </w:num>
  <w:num w:numId="35">
    <w:abstractNumId w:val="24"/>
  </w:num>
  <w:num w:numId="36">
    <w:abstractNumId w:val="12"/>
  </w:num>
  <w:num w:numId="37">
    <w:abstractNumId w:val="14"/>
  </w:num>
  <w:num w:numId="38">
    <w:abstractNumId w:val="9"/>
  </w:num>
  <w:num w:numId="3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69"/>
  <w:hideSpellingErrors/>
  <w:hideGrammaticalError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0"/>
  <w:doNotHyphenateCaps/>
  <w:drawingGridHorizontalSpacing w:val="120"/>
  <w:displayHorizontalDrawingGridEvery w:val="0"/>
  <w:displayVerticalDrawingGridEvery w:val="0"/>
  <w:doNotShadeFormData/>
  <w:noPunctuationKerning/>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C52"/>
    <w:rsid w:val="00000C96"/>
    <w:rsid w:val="0000113A"/>
    <w:rsid w:val="00003E72"/>
    <w:rsid w:val="0001247C"/>
    <w:rsid w:val="00012A8E"/>
    <w:rsid w:val="00013D60"/>
    <w:rsid w:val="00014013"/>
    <w:rsid w:val="00014E02"/>
    <w:rsid w:val="00015E6D"/>
    <w:rsid w:val="00020CB9"/>
    <w:rsid w:val="00021A08"/>
    <w:rsid w:val="00033624"/>
    <w:rsid w:val="00035B75"/>
    <w:rsid w:val="0004004D"/>
    <w:rsid w:val="00041350"/>
    <w:rsid w:val="00042C4F"/>
    <w:rsid w:val="00050846"/>
    <w:rsid w:val="00054F74"/>
    <w:rsid w:val="00055A21"/>
    <w:rsid w:val="000709A7"/>
    <w:rsid w:val="00073451"/>
    <w:rsid w:val="0008662E"/>
    <w:rsid w:val="000900E5"/>
    <w:rsid w:val="000A162E"/>
    <w:rsid w:val="000A30A5"/>
    <w:rsid w:val="000A6341"/>
    <w:rsid w:val="000B494E"/>
    <w:rsid w:val="000C2523"/>
    <w:rsid w:val="000C5A6C"/>
    <w:rsid w:val="000C6E53"/>
    <w:rsid w:val="000C6F1A"/>
    <w:rsid w:val="000D0F63"/>
    <w:rsid w:val="000D598B"/>
    <w:rsid w:val="000E1098"/>
    <w:rsid w:val="000E41DB"/>
    <w:rsid w:val="000E553A"/>
    <w:rsid w:val="000E69E0"/>
    <w:rsid w:val="000E6F74"/>
    <w:rsid w:val="000F67F5"/>
    <w:rsid w:val="00100ED7"/>
    <w:rsid w:val="00101A0B"/>
    <w:rsid w:val="001103B7"/>
    <w:rsid w:val="00112B3F"/>
    <w:rsid w:val="00112E5B"/>
    <w:rsid w:val="0011604B"/>
    <w:rsid w:val="00121B3A"/>
    <w:rsid w:val="00124048"/>
    <w:rsid w:val="001257E5"/>
    <w:rsid w:val="00137BF6"/>
    <w:rsid w:val="00150F0B"/>
    <w:rsid w:val="001527FE"/>
    <w:rsid w:val="00156E48"/>
    <w:rsid w:val="00157277"/>
    <w:rsid w:val="0016008E"/>
    <w:rsid w:val="001714BE"/>
    <w:rsid w:val="00171E79"/>
    <w:rsid w:val="00172F36"/>
    <w:rsid w:val="001753A9"/>
    <w:rsid w:val="0017785F"/>
    <w:rsid w:val="0018471B"/>
    <w:rsid w:val="00185CE5"/>
    <w:rsid w:val="001910CC"/>
    <w:rsid w:val="00192AC6"/>
    <w:rsid w:val="001939AC"/>
    <w:rsid w:val="001978B8"/>
    <w:rsid w:val="001A1ADE"/>
    <w:rsid w:val="001A4BF2"/>
    <w:rsid w:val="001A7096"/>
    <w:rsid w:val="001A77C9"/>
    <w:rsid w:val="001B0580"/>
    <w:rsid w:val="001B0D79"/>
    <w:rsid w:val="001B0E15"/>
    <w:rsid w:val="001B1F17"/>
    <w:rsid w:val="001B4896"/>
    <w:rsid w:val="001B6808"/>
    <w:rsid w:val="001B7FC9"/>
    <w:rsid w:val="001C41B9"/>
    <w:rsid w:val="001C7580"/>
    <w:rsid w:val="001D5271"/>
    <w:rsid w:val="001D53A5"/>
    <w:rsid w:val="001D7397"/>
    <w:rsid w:val="001E282B"/>
    <w:rsid w:val="001F01C7"/>
    <w:rsid w:val="001F06A7"/>
    <w:rsid w:val="001F1840"/>
    <w:rsid w:val="0020215B"/>
    <w:rsid w:val="0020289D"/>
    <w:rsid w:val="00203C27"/>
    <w:rsid w:val="002042BC"/>
    <w:rsid w:val="0020758F"/>
    <w:rsid w:val="002147E1"/>
    <w:rsid w:val="00214F4A"/>
    <w:rsid w:val="00221B59"/>
    <w:rsid w:val="0022233A"/>
    <w:rsid w:val="00240B1B"/>
    <w:rsid w:val="002445E4"/>
    <w:rsid w:val="00244711"/>
    <w:rsid w:val="002456FE"/>
    <w:rsid w:val="00251139"/>
    <w:rsid w:val="002536A4"/>
    <w:rsid w:val="002558CF"/>
    <w:rsid w:val="00260E45"/>
    <w:rsid w:val="00263446"/>
    <w:rsid w:val="002657C8"/>
    <w:rsid w:val="002744B6"/>
    <w:rsid w:val="0027533D"/>
    <w:rsid w:val="0027724C"/>
    <w:rsid w:val="00281FD5"/>
    <w:rsid w:val="0028377D"/>
    <w:rsid w:val="002870DB"/>
    <w:rsid w:val="00287F16"/>
    <w:rsid w:val="0029168F"/>
    <w:rsid w:val="0029199D"/>
    <w:rsid w:val="00291C8C"/>
    <w:rsid w:val="002920D1"/>
    <w:rsid w:val="00292E35"/>
    <w:rsid w:val="00294649"/>
    <w:rsid w:val="00294A15"/>
    <w:rsid w:val="00295C4B"/>
    <w:rsid w:val="00296E1B"/>
    <w:rsid w:val="00297704"/>
    <w:rsid w:val="002A37D8"/>
    <w:rsid w:val="002B1775"/>
    <w:rsid w:val="002B1AAB"/>
    <w:rsid w:val="002B261C"/>
    <w:rsid w:val="002C097C"/>
    <w:rsid w:val="002C315E"/>
    <w:rsid w:val="002C52FA"/>
    <w:rsid w:val="002D02F7"/>
    <w:rsid w:val="002D2038"/>
    <w:rsid w:val="002D450A"/>
    <w:rsid w:val="002D62BC"/>
    <w:rsid w:val="002E0F46"/>
    <w:rsid w:val="002E7FAF"/>
    <w:rsid w:val="002F0E5C"/>
    <w:rsid w:val="002F5BE0"/>
    <w:rsid w:val="002F5C6E"/>
    <w:rsid w:val="002F6F96"/>
    <w:rsid w:val="0030452B"/>
    <w:rsid w:val="00305843"/>
    <w:rsid w:val="00310E00"/>
    <w:rsid w:val="00311A17"/>
    <w:rsid w:val="0031219E"/>
    <w:rsid w:val="003121CD"/>
    <w:rsid w:val="00314A8A"/>
    <w:rsid w:val="00315AB0"/>
    <w:rsid w:val="00316739"/>
    <w:rsid w:val="00320D41"/>
    <w:rsid w:val="00325720"/>
    <w:rsid w:val="00330970"/>
    <w:rsid w:val="00333100"/>
    <w:rsid w:val="00335791"/>
    <w:rsid w:val="0034316D"/>
    <w:rsid w:val="00343757"/>
    <w:rsid w:val="0034484A"/>
    <w:rsid w:val="00352004"/>
    <w:rsid w:val="00352BD6"/>
    <w:rsid w:val="003556AB"/>
    <w:rsid w:val="00357CCE"/>
    <w:rsid w:val="00361059"/>
    <w:rsid w:val="00361911"/>
    <w:rsid w:val="00362C5A"/>
    <w:rsid w:val="0036357D"/>
    <w:rsid w:val="00364CD6"/>
    <w:rsid w:val="00365EA8"/>
    <w:rsid w:val="00366B73"/>
    <w:rsid w:val="00367176"/>
    <w:rsid w:val="0037181A"/>
    <w:rsid w:val="003812E1"/>
    <w:rsid w:val="00382441"/>
    <w:rsid w:val="0038717D"/>
    <w:rsid w:val="003874DD"/>
    <w:rsid w:val="00390376"/>
    <w:rsid w:val="00394879"/>
    <w:rsid w:val="003960D6"/>
    <w:rsid w:val="00396174"/>
    <w:rsid w:val="00397DE7"/>
    <w:rsid w:val="003B152C"/>
    <w:rsid w:val="003B4317"/>
    <w:rsid w:val="003C1288"/>
    <w:rsid w:val="003C2929"/>
    <w:rsid w:val="003C6DC6"/>
    <w:rsid w:val="003D299A"/>
    <w:rsid w:val="003D321C"/>
    <w:rsid w:val="003D4153"/>
    <w:rsid w:val="003E1C3B"/>
    <w:rsid w:val="003E3510"/>
    <w:rsid w:val="003E3F04"/>
    <w:rsid w:val="003E4E7F"/>
    <w:rsid w:val="003E6DCC"/>
    <w:rsid w:val="003F185E"/>
    <w:rsid w:val="003F2E8C"/>
    <w:rsid w:val="003F3CB6"/>
    <w:rsid w:val="003F58D3"/>
    <w:rsid w:val="004020F2"/>
    <w:rsid w:val="00402D0D"/>
    <w:rsid w:val="00403484"/>
    <w:rsid w:val="004053A7"/>
    <w:rsid w:val="00405D84"/>
    <w:rsid w:val="00417234"/>
    <w:rsid w:val="00420041"/>
    <w:rsid w:val="00420CD5"/>
    <w:rsid w:val="00436860"/>
    <w:rsid w:val="0044661C"/>
    <w:rsid w:val="004521F3"/>
    <w:rsid w:val="0045243B"/>
    <w:rsid w:val="00460035"/>
    <w:rsid w:val="004615EC"/>
    <w:rsid w:val="004621AC"/>
    <w:rsid w:val="00465E05"/>
    <w:rsid w:val="004712D8"/>
    <w:rsid w:val="004728BF"/>
    <w:rsid w:val="00483814"/>
    <w:rsid w:val="00483F42"/>
    <w:rsid w:val="00486E55"/>
    <w:rsid w:val="00491ADA"/>
    <w:rsid w:val="00492C79"/>
    <w:rsid w:val="00495408"/>
    <w:rsid w:val="004A16B9"/>
    <w:rsid w:val="004A333D"/>
    <w:rsid w:val="004A4A05"/>
    <w:rsid w:val="004A4A54"/>
    <w:rsid w:val="004A6C5A"/>
    <w:rsid w:val="004A7250"/>
    <w:rsid w:val="004B334E"/>
    <w:rsid w:val="004B399A"/>
    <w:rsid w:val="004C6587"/>
    <w:rsid w:val="004C6630"/>
    <w:rsid w:val="004D39F9"/>
    <w:rsid w:val="004D3C8A"/>
    <w:rsid w:val="004D706D"/>
    <w:rsid w:val="004E139A"/>
    <w:rsid w:val="004E1D8B"/>
    <w:rsid w:val="004E2F41"/>
    <w:rsid w:val="004E4D38"/>
    <w:rsid w:val="004E5577"/>
    <w:rsid w:val="004F03D2"/>
    <w:rsid w:val="00500267"/>
    <w:rsid w:val="00501C00"/>
    <w:rsid w:val="005027BC"/>
    <w:rsid w:val="00506E98"/>
    <w:rsid w:val="00506F82"/>
    <w:rsid w:val="00507C4A"/>
    <w:rsid w:val="00510A7E"/>
    <w:rsid w:val="005128DE"/>
    <w:rsid w:val="00512BF8"/>
    <w:rsid w:val="00520868"/>
    <w:rsid w:val="00522F41"/>
    <w:rsid w:val="0052396C"/>
    <w:rsid w:val="00526E33"/>
    <w:rsid w:val="005322DE"/>
    <w:rsid w:val="00534AF6"/>
    <w:rsid w:val="005408E6"/>
    <w:rsid w:val="005451AD"/>
    <w:rsid w:val="005469E0"/>
    <w:rsid w:val="00547E75"/>
    <w:rsid w:val="005503C7"/>
    <w:rsid w:val="00553A76"/>
    <w:rsid w:val="00554880"/>
    <w:rsid w:val="0055676C"/>
    <w:rsid w:val="00557910"/>
    <w:rsid w:val="00561D98"/>
    <w:rsid w:val="00563804"/>
    <w:rsid w:val="005641F8"/>
    <w:rsid w:val="00567E81"/>
    <w:rsid w:val="00583886"/>
    <w:rsid w:val="005843C8"/>
    <w:rsid w:val="00584FE0"/>
    <w:rsid w:val="00585695"/>
    <w:rsid w:val="00591258"/>
    <w:rsid w:val="005A0597"/>
    <w:rsid w:val="005A2B11"/>
    <w:rsid w:val="005A454A"/>
    <w:rsid w:val="005A5C66"/>
    <w:rsid w:val="005B1514"/>
    <w:rsid w:val="005B2A88"/>
    <w:rsid w:val="005B4B20"/>
    <w:rsid w:val="005C1B32"/>
    <w:rsid w:val="005D649F"/>
    <w:rsid w:val="005D785E"/>
    <w:rsid w:val="005E3D31"/>
    <w:rsid w:val="005E734C"/>
    <w:rsid w:val="005F0573"/>
    <w:rsid w:val="005F4524"/>
    <w:rsid w:val="005F645C"/>
    <w:rsid w:val="005F69D0"/>
    <w:rsid w:val="005F6B69"/>
    <w:rsid w:val="00601DC5"/>
    <w:rsid w:val="00605E53"/>
    <w:rsid w:val="00607570"/>
    <w:rsid w:val="0061777E"/>
    <w:rsid w:val="00620725"/>
    <w:rsid w:val="00621455"/>
    <w:rsid w:val="0062454C"/>
    <w:rsid w:val="0064248D"/>
    <w:rsid w:val="00643249"/>
    <w:rsid w:val="00652772"/>
    <w:rsid w:val="006540AD"/>
    <w:rsid w:val="00657018"/>
    <w:rsid w:val="00667EAA"/>
    <w:rsid w:val="006717D9"/>
    <w:rsid w:val="00675429"/>
    <w:rsid w:val="00675710"/>
    <w:rsid w:val="00683128"/>
    <w:rsid w:val="00690920"/>
    <w:rsid w:val="00690945"/>
    <w:rsid w:val="0069346B"/>
    <w:rsid w:val="00697DEF"/>
    <w:rsid w:val="006A1EBE"/>
    <w:rsid w:val="006B546D"/>
    <w:rsid w:val="006B7192"/>
    <w:rsid w:val="006D2175"/>
    <w:rsid w:val="006D2EF5"/>
    <w:rsid w:val="006D4645"/>
    <w:rsid w:val="006E7F40"/>
    <w:rsid w:val="006F56D2"/>
    <w:rsid w:val="006F6762"/>
    <w:rsid w:val="0070244C"/>
    <w:rsid w:val="00703F7B"/>
    <w:rsid w:val="007058E8"/>
    <w:rsid w:val="007068D6"/>
    <w:rsid w:val="007111B2"/>
    <w:rsid w:val="00717425"/>
    <w:rsid w:val="00721F4D"/>
    <w:rsid w:val="00731A5A"/>
    <w:rsid w:val="007333EE"/>
    <w:rsid w:val="00734504"/>
    <w:rsid w:val="007403A4"/>
    <w:rsid w:val="00740474"/>
    <w:rsid w:val="00743584"/>
    <w:rsid w:val="007455A2"/>
    <w:rsid w:val="00746316"/>
    <w:rsid w:val="00747F6B"/>
    <w:rsid w:val="0075275A"/>
    <w:rsid w:val="00752ED5"/>
    <w:rsid w:val="007550EA"/>
    <w:rsid w:val="00755A30"/>
    <w:rsid w:val="00757497"/>
    <w:rsid w:val="007577C7"/>
    <w:rsid w:val="007633BB"/>
    <w:rsid w:val="007703ED"/>
    <w:rsid w:val="007714DA"/>
    <w:rsid w:val="00787D1C"/>
    <w:rsid w:val="00795CC0"/>
    <w:rsid w:val="007A2E11"/>
    <w:rsid w:val="007A4353"/>
    <w:rsid w:val="007A629A"/>
    <w:rsid w:val="007B017E"/>
    <w:rsid w:val="007B305B"/>
    <w:rsid w:val="007B711F"/>
    <w:rsid w:val="007B7651"/>
    <w:rsid w:val="007C1D32"/>
    <w:rsid w:val="007C1EF0"/>
    <w:rsid w:val="007C3669"/>
    <w:rsid w:val="007C51D5"/>
    <w:rsid w:val="007C6B15"/>
    <w:rsid w:val="007E217B"/>
    <w:rsid w:val="007E4BBA"/>
    <w:rsid w:val="007E659A"/>
    <w:rsid w:val="007E68C2"/>
    <w:rsid w:val="007F11BA"/>
    <w:rsid w:val="007F15BA"/>
    <w:rsid w:val="007F258B"/>
    <w:rsid w:val="007F295E"/>
    <w:rsid w:val="007F3748"/>
    <w:rsid w:val="007F4266"/>
    <w:rsid w:val="007F4DBF"/>
    <w:rsid w:val="007F6FF8"/>
    <w:rsid w:val="007F7D1E"/>
    <w:rsid w:val="00802285"/>
    <w:rsid w:val="008068E8"/>
    <w:rsid w:val="00807203"/>
    <w:rsid w:val="00807A52"/>
    <w:rsid w:val="00810F24"/>
    <w:rsid w:val="00816B3A"/>
    <w:rsid w:val="0082520A"/>
    <w:rsid w:val="008257C3"/>
    <w:rsid w:val="00825B7F"/>
    <w:rsid w:val="00825D96"/>
    <w:rsid w:val="00830B98"/>
    <w:rsid w:val="0083136E"/>
    <w:rsid w:val="00834720"/>
    <w:rsid w:val="00840A0B"/>
    <w:rsid w:val="00865311"/>
    <w:rsid w:val="008768CF"/>
    <w:rsid w:val="008801C0"/>
    <w:rsid w:val="00887435"/>
    <w:rsid w:val="00887811"/>
    <w:rsid w:val="008967C7"/>
    <w:rsid w:val="00896B68"/>
    <w:rsid w:val="008A3D36"/>
    <w:rsid w:val="008A43CA"/>
    <w:rsid w:val="008A7A49"/>
    <w:rsid w:val="008B175F"/>
    <w:rsid w:val="008B1870"/>
    <w:rsid w:val="008B6D07"/>
    <w:rsid w:val="008C29FE"/>
    <w:rsid w:val="008C3CD4"/>
    <w:rsid w:val="008C3D46"/>
    <w:rsid w:val="008C5D34"/>
    <w:rsid w:val="008D1B79"/>
    <w:rsid w:val="008D1E32"/>
    <w:rsid w:val="008D4E78"/>
    <w:rsid w:val="008D6C52"/>
    <w:rsid w:val="008E1814"/>
    <w:rsid w:val="008E1A40"/>
    <w:rsid w:val="008E1D21"/>
    <w:rsid w:val="008E435F"/>
    <w:rsid w:val="008E60FE"/>
    <w:rsid w:val="008F2853"/>
    <w:rsid w:val="008F58DB"/>
    <w:rsid w:val="00900DB6"/>
    <w:rsid w:val="009013C8"/>
    <w:rsid w:val="009021BA"/>
    <w:rsid w:val="009053D7"/>
    <w:rsid w:val="0092121F"/>
    <w:rsid w:val="00924C8B"/>
    <w:rsid w:val="00932B9D"/>
    <w:rsid w:val="00934CBB"/>
    <w:rsid w:val="00935162"/>
    <w:rsid w:val="00935174"/>
    <w:rsid w:val="00935F33"/>
    <w:rsid w:val="00937FB1"/>
    <w:rsid w:val="0094090B"/>
    <w:rsid w:val="0094263A"/>
    <w:rsid w:val="009456D9"/>
    <w:rsid w:val="00945BCB"/>
    <w:rsid w:val="009475ED"/>
    <w:rsid w:val="009549B6"/>
    <w:rsid w:val="009710C9"/>
    <w:rsid w:val="0097391B"/>
    <w:rsid w:val="00973CF6"/>
    <w:rsid w:val="00975A28"/>
    <w:rsid w:val="00975A34"/>
    <w:rsid w:val="00982EA9"/>
    <w:rsid w:val="00982F36"/>
    <w:rsid w:val="009833F2"/>
    <w:rsid w:val="00986046"/>
    <w:rsid w:val="00995EFD"/>
    <w:rsid w:val="009A3BDF"/>
    <w:rsid w:val="009A4719"/>
    <w:rsid w:val="009A5B62"/>
    <w:rsid w:val="009A5FBB"/>
    <w:rsid w:val="009A66B0"/>
    <w:rsid w:val="009B0196"/>
    <w:rsid w:val="009B3A54"/>
    <w:rsid w:val="009B409B"/>
    <w:rsid w:val="009C2D67"/>
    <w:rsid w:val="009C4DB7"/>
    <w:rsid w:val="009D0D9E"/>
    <w:rsid w:val="009D15DA"/>
    <w:rsid w:val="009D5648"/>
    <w:rsid w:val="009D7074"/>
    <w:rsid w:val="009E6153"/>
    <w:rsid w:val="009F0494"/>
    <w:rsid w:val="009F3965"/>
    <w:rsid w:val="009F479E"/>
    <w:rsid w:val="009F6920"/>
    <w:rsid w:val="00A0027C"/>
    <w:rsid w:val="00A003FE"/>
    <w:rsid w:val="00A01796"/>
    <w:rsid w:val="00A05DE7"/>
    <w:rsid w:val="00A11114"/>
    <w:rsid w:val="00A1393B"/>
    <w:rsid w:val="00A17071"/>
    <w:rsid w:val="00A17AF5"/>
    <w:rsid w:val="00A17B9C"/>
    <w:rsid w:val="00A23802"/>
    <w:rsid w:val="00A24B92"/>
    <w:rsid w:val="00A25922"/>
    <w:rsid w:val="00A260FA"/>
    <w:rsid w:val="00A3613A"/>
    <w:rsid w:val="00A415D5"/>
    <w:rsid w:val="00A4175C"/>
    <w:rsid w:val="00A52C16"/>
    <w:rsid w:val="00A57A8B"/>
    <w:rsid w:val="00A63374"/>
    <w:rsid w:val="00A64439"/>
    <w:rsid w:val="00A65B7D"/>
    <w:rsid w:val="00A66AEA"/>
    <w:rsid w:val="00A70362"/>
    <w:rsid w:val="00A710B1"/>
    <w:rsid w:val="00A74C24"/>
    <w:rsid w:val="00A80F47"/>
    <w:rsid w:val="00A81983"/>
    <w:rsid w:val="00A81E72"/>
    <w:rsid w:val="00A928F8"/>
    <w:rsid w:val="00A96FC4"/>
    <w:rsid w:val="00AA40F4"/>
    <w:rsid w:val="00AA528E"/>
    <w:rsid w:val="00AB357F"/>
    <w:rsid w:val="00AC1C62"/>
    <w:rsid w:val="00AC660E"/>
    <w:rsid w:val="00AD4A2A"/>
    <w:rsid w:val="00AE6AB8"/>
    <w:rsid w:val="00AE7D86"/>
    <w:rsid w:val="00AF0346"/>
    <w:rsid w:val="00AF57E1"/>
    <w:rsid w:val="00B04B3E"/>
    <w:rsid w:val="00B0502A"/>
    <w:rsid w:val="00B15A01"/>
    <w:rsid w:val="00B25296"/>
    <w:rsid w:val="00B3052F"/>
    <w:rsid w:val="00B30713"/>
    <w:rsid w:val="00B351BA"/>
    <w:rsid w:val="00B357ED"/>
    <w:rsid w:val="00B42647"/>
    <w:rsid w:val="00B43A0B"/>
    <w:rsid w:val="00B44B34"/>
    <w:rsid w:val="00B50AEC"/>
    <w:rsid w:val="00B50F4C"/>
    <w:rsid w:val="00B52318"/>
    <w:rsid w:val="00B5568E"/>
    <w:rsid w:val="00B618A8"/>
    <w:rsid w:val="00B651F5"/>
    <w:rsid w:val="00B6621A"/>
    <w:rsid w:val="00B67A48"/>
    <w:rsid w:val="00B73B1C"/>
    <w:rsid w:val="00B86CD8"/>
    <w:rsid w:val="00B900C9"/>
    <w:rsid w:val="00B90733"/>
    <w:rsid w:val="00B93E76"/>
    <w:rsid w:val="00B942D4"/>
    <w:rsid w:val="00B95937"/>
    <w:rsid w:val="00BA2345"/>
    <w:rsid w:val="00BA3AED"/>
    <w:rsid w:val="00BA5B57"/>
    <w:rsid w:val="00BB5E6A"/>
    <w:rsid w:val="00BB73F2"/>
    <w:rsid w:val="00BB7679"/>
    <w:rsid w:val="00BC0D24"/>
    <w:rsid w:val="00BC189D"/>
    <w:rsid w:val="00BC374C"/>
    <w:rsid w:val="00BC545A"/>
    <w:rsid w:val="00BC5AEF"/>
    <w:rsid w:val="00BD31F0"/>
    <w:rsid w:val="00BE1FFA"/>
    <w:rsid w:val="00BE30DB"/>
    <w:rsid w:val="00BE51F8"/>
    <w:rsid w:val="00BE7A75"/>
    <w:rsid w:val="00BE7C6C"/>
    <w:rsid w:val="00BF02FD"/>
    <w:rsid w:val="00BF2435"/>
    <w:rsid w:val="00C004AC"/>
    <w:rsid w:val="00C0685E"/>
    <w:rsid w:val="00C13C1A"/>
    <w:rsid w:val="00C15112"/>
    <w:rsid w:val="00C154B3"/>
    <w:rsid w:val="00C2487E"/>
    <w:rsid w:val="00C30F6E"/>
    <w:rsid w:val="00C316F9"/>
    <w:rsid w:val="00C3730C"/>
    <w:rsid w:val="00C45AE4"/>
    <w:rsid w:val="00C500BE"/>
    <w:rsid w:val="00C53C79"/>
    <w:rsid w:val="00C55569"/>
    <w:rsid w:val="00C62AF0"/>
    <w:rsid w:val="00C73570"/>
    <w:rsid w:val="00C73EDC"/>
    <w:rsid w:val="00C744C4"/>
    <w:rsid w:val="00C82E06"/>
    <w:rsid w:val="00C87653"/>
    <w:rsid w:val="00C93EEF"/>
    <w:rsid w:val="00CA0DD8"/>
    <w:rsid w:val="00CB477B"/>
    <w:rsid w:val="00CC052D"/>
    <w:rsid w:val="00CC3AA1"/>
    <w:rsid w:val="00CC6386"/>
    <w:rsid w:val="00CD3191"/>
    <w:rsid w:val="00CD7E05"/>
    <w:rsid w:val="00CE4784"/>
    <w:rsid w:val="00CE5B81"/>
    <w:rsid w:val="00CE6B5F"/>
    <w:rsid w:val="00CE7AE7"/>
    <w:rsid w:val="00CF0557"/>
    <w:rsid w:val="00CF0648"/>
    <w:rsid w:val="00CF2960"/>
    <w:rsid w:val="00CF7923"/>
    <w:rsid w:val="00D01713"/>
    <w:rsid w:val="00D07510"/>
    <w:rsid w:val="00D2173C"/>
    <w:rsid w:val="00D2383E"/>
    <w:rsid w:val="00D24F25"/>
    <w:rsid w:val="00D25467"/>
    <w:rsid w:val="00D27B3A"/>
    <w:rsid w:val="00D437F0"/>
    <w:rsid w:val="00D43830"/>
    <w:rsid w:val="00D43FE9"/>
    <w:rsid w:val="00D457D0"/>
    <w:rsid w:val="00D46F5F"/>
    <w:rsid w:val="00D53A91"/>
    <w:rsid w:val="00D70E79"/>
    <w:rsid w:val="00D71978"/>
    <w:rsid w:val="00D76741"/>
    <w:rsid w:val="00D76D07"/>
    <w:rsid w:val="00D80CF3"/>
    <w:rsid w:val="00D81455"/>
    <w:rsid w:val="00D81873"/>
    <w:rsid w:val="00D9150A"/>
    <w:rsid w:val="00D937A3"/>
    <w:rsid w:val="00D97DFE"/>
    <w:rsid w:val="00DA78AA"/>
    <w:rsid w:val="00DB12D8"/>
    <w:rsid w:val="00DB7467"/>
    <w:rsid w:val="00DB7AA8"/>
    <w:rsid w:val="00DC0A5A"/>
    <w:rsid w:val="00DD22BA"/>
    <w:rsid w:val="00DD3AAA"/>
    <w:rsid w:val="00DE5589"/>
    <w:rsid w:val="00DE5E86"/>
    <w:rsid w:val="00DE6DDA"/>
    <w:rsid w:val="00DF5209"/>
    <w:rsid w:val="00DF68E1"/>
    <w:rsid w:val="00E00276"/>
    <w:rsid w:val="00E01367"/>
    <w:rsid w:val="00E10EEA"/>
    <w:rsid w:val="00E125D9"/>
    <w:rsid w:val="00E207F4"/>
    <w:rsid w:val="00E26CEC"/>
    <w:rsid w:val="00E27EB2"/>
    <w:rsid w:val="00E31F8E"/>
    <w:rsid w:val="00E32C54"/>
    <w:rsid w:val="00E34962"/>
    <w:rsid w:val="00E36B36"/>
    <w:rsid w:val="00E408C5"/>
    <w:rsid w:val="00E4558F"/>
    <w:rsid w:val="00E47138"/>
    <w:rsid w:val="00E512BB"/>
    <w:rsid w:val="00E51E2A"/>
    <w:rsid w:val="00E60520"/>
    <w:rsid w:val="00E61FAC"/>
    <w:rsid w:val="00E63454"/>
    <w:rsid w:val="00E64931"/>
    <w:rsid w:val="00E717EC"/>
    <w:rsid w:val="00E721DD"/>
    <w:rsid w:val="00E73BBC"/>
    <w:rsid w:val="00E7586C"/>
    <w:rsid w:val="00E7708B"/>
    <w:rsid w:val="00E826AD"/>
    <w:rsid w:val="00E82E09"/>
    <w:rsid w:val="00E84983"/>
    <w:rsid w:val="00E87AB4"/>
    <w:rsid w:val="00E90EFB"/>
    <w:rsid w:val="00E91814"/>
    <w:rsid w:val="00E93DBA"/>
    <w:rsid w:val="00EA4B26"/>
    <w:rsid w:val="00EB387C"/>
    <w:rsid w:val="00EB4AA0"/>
    <w:rsid w:val="00EB4D43"/>
    <w:rsid w:val="00EB592B"/>
    <w:rsid w:val="00EC2007"/>
    <w:rsid w:val="00EC2C85"/>
    <w:rsid w:val="00EC5AEA"/>
    <w:rsid w:val="00ED5E7E"/>
    <w:rsid w:val="00ED6672"/>
    <w:rsid w:val="00ED7288"/>
    <w:rsid w:val="00EE7859"/>
    <w:rsid w:val="00EF3605"/>
    <w:rsid w:val="00EF4B91"/>
    <w:rsid w:val="00F0128A"/>
    <w:rsid w:val="00F01578"/>
    <w:rsid w:val="00F05654"/>
    <w:rsid w:val="00F14C5B"/>
    <w:rsid w:val="00F16F36"/>
    <w:rsid w:val="00F20D0C"/>
    <w:rsid w:val="00F27132"/>
    <w:rsid w:val="00F31239"/>
    <w:rsid w:val="00F36E31"/>
    <w:rsid w:val="00F42DC9"/>
    <w:rsid w:val="00F43A62"/>
    <w:rsid w:val="00F51BBC"/>
    <w:rsid w:val="00F60C18"/>
    <w:rsid w:val="00F73E2D"/>
    <w:rsid w:val="00F82804"/>
    <w:rsid w:val="00F83364"/>
    <w:rsid w:val="00F84347"/>
    <w:rsid w:val="00F85F2C"/>
    <w:rsid w:val="00F861F4"/>
    <w:rsid w:val="00F8702B"/>
    <w:rsid w:val="00F90381"/>
    <w:rsid w:val="00F90DBC"/>
    <w:rsid w:val="00F9632A"/>
    <w:rsid w:val="00F973EC"/>
    <w:rsid w:val="00FA0370"/>
    <w:rsid w:val="00FA7ABD"/>
    <w:rsid w:val="00FB20C0"/>
    <w:rsid w:val="00FB2FED"/>
    <w:rsid w:val="00FC0F22"/>
    <w:rsid w:val="00FC13D8"/>
    <w:rsid w:val="00FC32D6"/>
    <w:rsid w:val="00FC4EFD"/>
    <w:rsid w:val="00FC719E"/>
    <w:rsid w:val="00FD1E35"/>
    <w:rsid w:val="00FD25C0"/>
    <w:rsid w:val="00FD29E1"/>
    <w:rsid w:val="00FD4E7C"/>
    <w:rsid w:val="00FD74A7"/>
    <w:rsid w:val="00FE40A4"/>
    <w:rsid w:val="00FF029B"/>
    <w:rsid w:val="00FF6A57"/>
    <w:rsid w:val="00FF6E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5:docId w15:val="{823BF464-7FCD-4C54-B023-23473044C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74A7"/>
    <w:pPr>
      <w:spacing w:after="240"/>
      <w:jc w:val="both"/>
    </w:pPr>
    <w:rPr>
      <w:sz w:val="24"/>
      <w:lang w:val="en-GB"/>
    </w:rPr>
  </w:style>
  <w:style w:type="paragraph" w:styleId="Heading1">
    <w:name w:val="heading 1"/>
    <w:basedOn w:val="Normal"/>
    <w:next w:val="Normal"/>
    <w:rsid w:val="00FD74A7"/>
    <w:pPr>
      <w:keepNext/>
      <w:spacing w:before="360" w:line="280" w:lineRule="exact"/>
      <w:outlineLvl w:val="0"/>
    </w:pPr>
    <w:rPr>
      <w:b/>
      <w:caps/>
      <w:kern w:val="28"/>
      <w:sz w:val="28"/>
    </w:rPr>
  </w:style>
  <w:style w:type="paragraph" w:styleId="Heading2">
    <w:name w:val="heading 2"/>
    <w:basedOn w:val="Normal"/>
    <w:next w:val="Normal"/>
    <w:rsid w:val="00FD74A7"/>
    <w:pPr>
      <w:keepNext/>
      <w:spacing w:before="240" w:after="120" w:line="280" w:lineRule="exact"/>
      <w:outlineLvl w:val="1"/>
    </w:pPr>
    <w:rPr>
      <w:b/>
    </w:rPr>
  </w:style>
  <w:style w:type="paragraph" w:styleId="Heading3">
    <w:name w:val="heading 3"/>
    <w:basedOn w:val="Normal"/>
    <w:next w:val="Normal"/>
    <w:rsid w:val="00FD74A7"/>
    <w:pPr>
      <w:keepNext/>
      <w:spacing w:before="120" w:after="120"/>
      <w:outlineLvl w:val="2"/>
    </w:pPr>
    <w:rPr>
      <w:b/>
      <w:i/>
      <w:iCs/>
    </w:rPr>
  </w:style>
  <w:style w:type="paragraph" w:styleId="Heading4">
    <w:name w:val="heading 4"/>
    <w:basedOn w:val="Normal"/>
    <w:next w:val="Normal"/>
    <w:link w:val="Heading4Char"/>
    <w:rsid w:val="00FD74A7"/>
    <w:pPr>
      <w:keepNext/>
      <w:outlineLvl w:val="3"/>
    </w:pPr>
    <w:rPr>
      <w:i/>
      <w:iCs/>
    </w:rPr>
  </w:style>
  <w:style w:type="paragraph" w:styleId="Heading5">
    <w:name w:val="heading 5"/>
    <w:basedOn w:val="Normal"/>
    <w:next w:val="Normal"/>
    <w:rsid w:val="00FD74A7"/>
    <w:pPr>
      <w:spacing w:before="240" w:after="60"/>
      <w:outlineLvl w:val="4"/>
    </w:pPr>
    <w:rPr>
      <w:b/>
      <w:bCs/>
      <w:i/>
      <w:iCs/>
      <w:sz w:val="26"/>
      <w:szCs w:val="26"/>
    </w:rPr>
  </w:style>
  <w:style w:type="paragraph" w:styleId="Heading6">
    <w:name w:val="heading 6"/>
    <w:basedOn w:val="Normal"/>
    <w:next w:val="Normal"/>
    <w:rsid w:val="00FD74A7"/>
    <w:pPr>
      <w:keepNext/>
      <w:outlineLvl w:val="5"/>
    </w:pPr>
    <w:rPr>
      <w:rFonts w:ascii="Times" w:hAnsi="Times"/>
      <w:b/>
      <w:color w:val="3366FF"/>
      <w:sz w:val="22"/>
      <w:u w:val="double"/>
    </w:rPr>
  </w:style>
  <w:style w:type="paragraph" w:styleId="Heading7">
    <w:name w:val="heading 7"/>
    <w:basedOn w:val="Normal"/>
    <w:next w:val="Normal"/>
    <w:rsid w:val="00FD74A7"/>
    <w:pPr>
      <w:keepNext/>
      <w:outlineLvl w:val="6"/>
    </w:pPr>
    <w:rPr>
      <w:rFonts w:ascii="Times" w:hAnsi="Times"/>
      <w:bCs/>
      <w:color w:val="3366FF"/>
      <w:sz w:val="22"/>
      <w:u w:val="double"/>
    </w:rPr>
  </w:style>
  <w:style w:type="paragraph" w:styleId="Heading8">
    <w:name w:val="heading 8"/>
    <w:basedOn w:val="Normal"/>
    <w:next w:val="Normal"/>
    <w:rsid w:val="00FD74A7"/>
    <w:pPr>
      <w:keepNext/>
      <w:outlineLvl w:val="7"/>
    </w:pPr>
    <w:rPr>
      <w:b/>
      <w:sz w:val="22"/>
    </w:rPr>
  </w:style>
  <w:style w:type="paragraph" w:styleId="Heading9">
    <w:name w:val="heading 9"/>
    <w:basedOn w:val="Normal"/>
    <w:next w:val="Normal"/>
    <w:rsid w:val="00FD74A7"/>
    <w:pPr>
      <w:keepNext/>
      <w:jc w:val="lef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LDNormal">
    <w:name w:val="CLD Normal"/>
    <w:basedOn w:val="Normal"/>
    <w:uiPriority w:val="6"/>
    <w:qFormat/>
    <w:rsid w:val="00FD74A7"/>
  </w:style>
  <w:style w:type="paragraph" w:customStyle="1" w:styleId="CLDBulletList">
    <w:name w:val="CLD Bullet List"/>
    <w:basedOn w:val="CLDNormal"/>
    <w:rsid w:val="00FD74A7"/>
    <w:pPr>
      <w:numPr>
        <w:numId w:val="19"/>
      </w:numPr>
      <w:spacing w:before="20" w:after="20"/>
    </w:pPr>
    <w:rPr>
      <w:color w:val="7030A0"/>
    </w:rPr>
  </w:style>
  <w:style w:type="paragraph" w:customStyle="1" w:styleId="Figure">
    <w:name w:val="Figure"/>
    <w:basedOn w:val="Normal"/>
    <w:next w:val="Normal"/>
    <w:semiHidden/>
    <w:rsid w:val="00FD74A7"/>
    <w:pPr>
      <w:spacing w:before="240" w:after="360"/>
    </w:pPr>
    <w:rPr>
      <w:color w:val="000000"/>
    </w:rPr>
  </w:style>
  <w:style w:type="paragraph" w:customStyle="1" w:styleId="CLDFigure">
    <w:name w:val="CLD Figure"/>
    <w:basedOn w:val="Figure"/>
    <w:uiPriority w:val="7"/>
    <w:qFormat/>
    <w:rsid w:val="00FD74A7"/>
  </w:style>
  <w:style w:type="paragraph" w:styleId="Footer">
    <w:name w:val="footer"/>
    <w:basedOn w:val="Normal"/>
    <w:link w:val="FooterChar"/>
    <w:rsid w:val="00FD74A7"/>
    <w:pPr>
      <w:pBdr>
        <w:top w:val="single" w:sz="6" w:space="1" w:color="auto"/>
      </w:pBdr>
      <w:tabs>
        <w:tab w:val="left" w:pos="9923"/>
      </w:tabs>
      <w:spacing w:after="0" w:line="280" w:lineRule="exact"/>
      <w:jc w:val="left"/>
    </w:pPr>
    <w:rPr>
      <w:sz w:val="20"/>
    </w:rPr>
  </w:style>
  <w:style w:type="character" w:customStyle="1" w:styleId="FooterChar">
    <w:name w:val="Footer Char"/>
    <w:link w:val="Footer"/>
    <w:rsid w:val="00FD74A7"/>
    <w:rPr>
      <w:lang w:val="en-GB"/>
    </w:rPr>
  </w:style>
  <w:style w:type="paragraph" w:customStyle="1" w:styleId="CLDFooter">
    <w:name w:val="CLD Footer"/>
    <w:basedOn w:val="Footer"/>
    <w:uiPriority w:val="7"/>
    <w:qFormat/>
    <w:rsid w:val="00FD74A7"/>
    <w:pPr>
      <w:tabs>
        <w:tab w:val="clear" w:pos="9923"/>
        <w:tab w:val="right" w:pos="8800"/>
      </w:tabs>
      <w:spacing w:line="240" w:lineRule="auto"/>
    </w:pPr>
  </w:style>
  <w:style w:type="paragraph" w:customStyle="1" w:styleId="CLDHeading1">
    <w:name w:val="CLD Heading 1"/>
    <w:basedOn w:val="Heading1"/>
    <w:uiPriority w:val="2"/>
    <w:qFormat/>
    <w:rsid w:val="00FD74A7"/>
    <w:pPr>
      <w:spacing w:line="240" w:lineRule="auto"/>
      <w:ind w:left="426" w:hanging="426"/>
    </w:pPr>
  </w:style>
  <w:style w:type="paragraph" w:customStyle="1" w:styleId="CLDHeading2">
    <w:name w:val="CLD Heading 2"/>
    <w:basedOn w:val="Heading2"/>
    <w:uiPriority w:val="3"/>
    <w:qFormat/>
    <w:rsid w:val="00FD74A7"/>
    <w:pPr>
      <w:spacing w:before="360" w:after="240" w:line="240" w:lineRule="auto"/>
      <w:ind w:left="426" w:hanging="426"/>
    </w:pPr>
    <w:rPr>
      <w:rFonts w:ascii="Times New Roman Bold" w:hAnsi="Times New Roman Bold"/>
      <w:sz w:val="28"/>
      <w:szCs w:val="28"/>
    </w:rPr>
  </w:style>
  <w:style w:type="paragraph" w:customStyle="1" w:styleId="CLDHeading3">
    <w:name w:val="CLD Heading 3"/>
    <w:basedOn w:val="Heading3"/>
    <w:uiPriority w:val="4"/>
    <w:qFormat/>
    <w:rsid w:val="00FD74A7"/>
    <w:pPr>
      <w:spacing w:before="240"/>
    </w:pPr>
    <w:rPr>
      <w:i w:val="0"/>
    </w:rPr>
  </w:style>
  <w:style w:type="paragraph" w:customStyle="1" w:styleId="CLDHeading4">
    <w:name w:val="CLD Heading 4"/>
    <w:basedOn w:val="Heading4"/>
    <w:uiPriority w:val="5"/>
    <w:qFormat/>
    <w:rsid w:val="00FD74A7"/>
    <w:pPr>
      <w:spacing w:before="120" w:after="120"/>
    </w:pPr>
    <w:rPr>
      <w:rFonts w:ascii="Times New Roman Bold" w:hAnsi="Times New Roman Bold"/>
      <w:b/>
    </w:rPr>
  </w:style>
  <w:style w:type="paragraph" w:customStyle="1" w:styleId="CLDNormalBold">
    <w:name w:val="CLD Normal Bold"/>
    <w:basedOn w:val="CLDNormal"/>
    <w:rsid w:val="00FD74A7"/>
    <w:rPr>
      <w:b/>
    </w:rPr>
  </w:style>
  <w:style w:type="paragraph" w:customStyle="1" w:styleId="CLDNumberList">
    <w:name w:val="CLD Number List"/>
    <w:basedOn w:val="CLDNormal"/>
    <w:rsid w:val="00FD74A7"/>
    <w:pPr>
      <w:numPr>
        <w:numId w:val="20"/>
      </w:numPr>
    </w:pPr>
  </w:style>
  <w:style w:type="character" w:customStyle="1" w:styleId="CLDRegisteredTrademarkSign">
    <w:name w:val="CLD Registered Trademark Sign"/>
    <w:rsid w:val="00244711"/>
    <w:rPr>
      <w:b/>
      <w:sz w:val="32"/>
      <w:vertAlign w:val="superscript"/>
      <w:lang w:eastAsia="en-US"/>
    </w:rPr>
  </w:style>
  <w:style w:type="character" w:customStyle="1" w:styleId="Heading4Char">
    <w:name w:val="Heading 4 Char"/>
    <w:link w:val="Heading4"/>
    <w:rsid w:val="00FD74A7"/>
    <w:rPr>
      <w:i/>
      <w:iCs/>
      <w:sz w:val="24"/>
      <w:lang w:val="en-GB"/>
    </w:rPr>
  </w:style>
  <w:style w:type="paragraph" w:customStyle="1" w:styleId="CLDSubtitle">
    <w:name w:val="CLD Subtitle"/>
    <w:basedOn w:val="Normal"/>
    <w:uiPriority w:val="1"/>
    <w:qFormat/>
    <w:rsid w:val="002D2038"/>
    <w:pPr>
      <w:spacing w:after="60"/>
      <w:outlineLvl w:val="1"/>
    </w:pPr>
    <w:rPr>
      <w:b/>
      <w:sz w:val="28"/>
    </w:rPr>
  </w:style>
  <w:style w:type="paragraph" w:customStyle="1" w:styleId="FigureFootnote">
    <w:name w:val="Figure Footnote"/>
    <w:basedOn w:val="Normal"/>
    <w:next w:val="Normal"/>
    <w:semiHidden/>
    <w:rsid w:val="00FD74A7"/>
    <w:pPr>
      <w:spacing w:before="240" w:after="360"/>
    </w:pPr>
    <w:rPr>
      <w:color w:val="000000"/>
    </w:rPr>
  </w:style>
  <w:style w:type="paragraph" w:customStyle="1" w:styleId="TableFootnote">
    <w:name w:val="Table Footnote"/>
    <w:basedOn w:val="FigureFootnote"/>
    <w:next w:val="Normal"/>
    <w:semiHidden/>
    <w:rsid w:val="00FD74A7"/>
    <w:pPr>
      <w:spacing w:before="0" w:after="0"/>
      <w:jc w:val="left"/>
    </w:pPr>
    <w:rPr>
      <w:sz w:val="20"/>
      <w:szCs w:val="24"/>
    </w:rPr>
  </w:style>
  <w:style w:type="paragraph" w:customStyle="1" w:styleId="CLDTableFootnote">
    <w:name w:val="CLD Table Footnote"/>
    <w:basedOn w:val="TableFootnote"/>
    <w:uiPriority w:val="7"/>
    <w:qFormat/>
    <w:rsid w:val="00FD74A7"/>
    <w:pPr>
      <w:spacing w:before="40"/>
    </w:pPr>
  </w:style>
  <w:style w:type="paragraph" w:customStyle="1" w:styleId="TableSpace">
    <w:name w:val="Table Space"/>
    <w:basedOn w:val="Figure"/>
    <w:next w:val="Normal"/>
    <w:semiHidden/>
    <w:rsid w:val="00FD74A7"/>
    <w:pPr>
      <w:spacing w:before="0" w:after="480"/>
      <w:jc w:val="left"/>
    </w:pPr>
    <w:rPr>
      <w:szCs w:val="24"/>
    </w:rPr>
  </w:style>
  <w:style w:type="paragraph" w:customStyle="1" w:styleId="CLDTableSpaceListSpace">
    <w:name w:val="CLD Table Space/List Space"/>
    <w:basedOn w:val="TableSpace"/>
    <w:uiPriority w:val="7"/>
    <w:qFormat/>
    <w:rsid w:val="00FD74A7"/>
    <w:pPr>
      <w:spacing w:after="120"/>
    </w:pPr>
  </w:style>
  <w:style w:type="paragraph" w:customStyle="1" w:styleId="TableText">
    <w:name w:val="Table Text"/>
    <w:basedOn w:val="Figure"/>
    <w:semiHidden/>
    <w:rsid w:val="00FD74A7"/>
    <w:pPr>
      <w:spacing w:before="0" w:after="0"/>
      <w:jc w:val="left"/>
    </w:pPr>
    <w:rPr>
      <w:snapToGrid w:val="0"/>
      <w:szCs w:val="24"/>
    </w:rPr>
  </w:style>
  <w:style w:type="paragraph" w:styleId="Revision">
    <w:name w:val="Revision"/>
    <w:hidden/>
    <w:uiPriority w:val="99"/>
    <w:semiHidden/>
    <w:rsid w:val="00FD74A7"/>
    <w:rPr>
      <w:sz w:val="24"/>
      <w:lang w:val="en-AU"/>
    </w:rPr>
  </w:style>
  <w:style w:type="paragraph" w:customStyle="1" w:styleId="CLDTableTextListText">
    <w:name w:val="CLD Table Text/List Text"/>
    <w:basedOn w:val="TableText"/>
    <w:uiPriority w:val="7"/>
    <w:qFormat/>
    <w:rsid w:val="00FD74A7"/>
    <w:pPr>
      <w:spacing w:before="20" w:after="20"/>
    </w:pPr>
  </w:style>
  <w:style w:type="paragraph" w:customStyle="1" w:styleId="FigureTitle">
    <w:name w:val="Figure Title"/>
    <w:basedOn w:val="Normal"/>
    <w:next w:val="Figure"/>
    <w:semiHidden/>
    <w:rsid w:val="00FD74A7"/>
    <w:pPr>
      <w:keepNext/>
      <w:spacing w:before="360"/>
    </w:pPr>
    <w:rPr>
      <w:b/>
      <w:color w:val="000000"/>
    </w:rPr>
  </w:style>
  <w:style w:type="paragraph" w:customStyle="1" w:styleId="TableTitle">
    <w:name w:val="Table Title"/>
    <w:basedOn w:val="FigureTitle"/>
    <w:next w:val="TableText"/>
    <w:semiHidden/>
    <w:rsid w:val="00FD74A7"/>
    <w:pPr>
      <w:spacing w:after="0"/>
      <w:jc w:val="left"/>
    </w:pPr>
    <w:rPr>
      <w:szCs w:val="24"/>
    </w:rPr>
  </w:style>
  <w:style w:type="paragraph" w:customStyle="1" w:styleId="CLDTableTitle">
    <w:name w:val="CLD Table Title"/>
    <w:basedOn w:val="TableTitle"/>
    <w:uiPriority w:val="7"/>
    <w:qFormat/>
    <w:rsid w:val="00FD74A7"/>
    <w:pPr>
      <w:keepLines/>
      <w:spacing w:before="120"/>
    </w:pPr>
  </w:style>
  <w:style w:type="paragraph" w:customStyle="1" w:styleId="CLDTITLE">
    <w:name w:val="CLD TITLE"/>
    <w:basedOn w:val="Normal"/>
    <w:qFormat/>
    <w:rsid w:val="00FD74A7"/>
    <w:pPr>
      <w:outlineLvl w:val="0"/>
    </w:pPr>
    <w:rPr>
      <w:b/>
      <w:kern w:val="28"/>
      <w:sz w:val="40"/>
    </w:rPr>
  </w:style>
  <w:style w:type="character" w:customStyle="1" w:styleId="CLDTradename">
    <w:name w:val="CLD Tradename"/>
    <w:rsid w:val="00FD74A7"/>
    <w:rPr>
      <w:b/>
      <w:sz w:val="32"/>
      <w:lang w:val="en-GB" w:eastAsia="en-US"/>
    </w:rPr>
  </w:style>
  <w:style w:type="character" w:styleId="CommentReference">
    <w:name w:val="annotation reference"/>
    <w:rsid w:val="00FD74A7"/>
    <w:rPr>
      <w:sz w:val="16"/>
      <w:szCs w:val="16"/>
    </w:rPr>
  </w:style>
  <w:style w:type="character" w:styleId="FootnoteReference">
    <w:name w:val="footnote reference"/>
    <w:rsid w:val="00244711"/>
    <w:rPr>
      <w:sz w:val="24"/>
      <w:vertAlign w:val="superscript"/>
    </w:rPr>
  </w:style>
  <w:style w:type="paragraph" w:styleId="Header">
    <w:name w:val="header"/>
    <w:basedOn w:val="Normal"/>
    <w:link w:val="HeaderChar"/>
    <w:rsid w:val="00FD74A7"/>
    <w:pPr>
      <w:tabs>
        <w:tab w:val="center" w:pos="4513"/>
        <w:tab w:val="right" w:pos="9026"/>
      </w:tabs>
      <w:spacing w:after="0"/>
    </w:pPr>
  </w:style>
  <w:style w:type="character" w:customStyle="1" w:styleId="HeaderChar">
    <w:name w:val="Header Char"/>
    <w:basedOn w:val="DefaultParagraphFont"/>
    <w:link w:val="Header"/>
    <w:rsid w:val="00FD74A7"/>
    <w:rPr>
      <w:sz w:val="24"/>
      <w:lang w:val="en-GB"/>
    </w:rPr>
  </w:style>
  <w:style w:type="paragraph" w:styleId="ListBullet">
    <w:name w:val="List Bullet"/>
    <w:basedOn w:val="Normal"/>
    <w:rsid w:val="00C3730C"/>
    <w:pPr>
      <w:tabs>
        <w:tab w:val="num" w:pos="360"/>
      </w:tabs>
      <w:spacing w:before="20" w:after="80"/>
      <w:ind w:left="357" w:hanging="357"/>
    </w:pPr>
  </w:style>
  <w:style w:type="character" w:styleId="PageNumber">
    <w:name w:val="page number"/>
    <w:rsid w:val="00FD74A7"/>
  </w:style>
  <w:style w:type="table" w:styleId="TableGrid">
    <w:name w:val="Table Grid"/>
    <w:basedOn w:val="TableNormal"/>
    <w:rsid w:val="00FD74A7"/>
    <w:rPr>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TableText"/>
    <w:semiHidden/>
    <w:rsid w:val="00FD74A7"/>
    <w:pPr>
      <w:keepNext/>
    </w:pPr>
    <w:rPr>
      <w:b/>
      <w:bCs/>
    </w:rPr>
  </w:style>
  <w:style w:type="paragraph" w:customStyle="1" w:styleId="TableTitleCont">
    <w:name w:val="Table Title Cont"/>
    <w:basedOn w:val="TableTitle"/>
    <w:next w:val="TableText"/>
    <w:semiHidden/>
    <w:rsid w:val="00FD74A7"/>
    <w:pPr>
      <w:spacing w:before="0"/>
    </w:pPr>
    <w:rPr>
      <w:b w:val="0"/>
    </w:rPr>
  </w:style>
  <w:style w:type="paragraph" w:customStyle="1" w:styleId="Default">
    <w:name w:val="Default"/>
    <w:rsid w:val="00FD74A7"/>
    <w:pPr>
      <w:autoSpaceDE w:val="0"/>
      <w:autoSpaceDN w:val="0"/>
      <w:adjustRightInd w:val="0"/>
    </w:pPr>
    <w:rPr>
      <w:rFonts w:ascii="Cambria" w:hAnsi="Cambria" w:cs="Cambria"/>
      <w:color w:val="000000"/>
      <w:sz w:val="24"/>
      <w:szCs w:val="24"/>
    </w:rPr>
  </w:style>
  <w:style w:type="paragraph" w:styleId="CommentText">
    <w:name w:val="annotation text"/>
    <w:basedOn w:val="Normal"/>
    <w:link w:val="CommentTextChar"/>
    <w:rsid w:val="00FD74A7"/>
    <w:rPr>
      <w:sz w:val="20"/>
    </w:rPr>
  </w:style>
  <w:style w:type="character" w:customStyle="1" w:styleId="CommentTextChar">
    <w:name w:val="Comment Text Char"/>
    <w:basedOn w:val="DefaultParagraphFont"/>
    <w:link w:val="CommentText"/>
    <w:rsid w:val="00FD74A7"/>
    <w:rPr>
      <w:lang w:val="en-GB"/>
    </w:rPr>
  </w:style>
  <w:style w:type="paragraph" w:styleId="CommentSubject">
    <w:name w:val="annotation subject"/>
    <w:basedOn w:val="CommentText"/>
    <w:next w:val="CommentText"/>
    <w:link w:val="CommentSubjectChar"/>
    <w:rsid w:val="00FD74A7"/>
    <w:rPr>
      <w:b/>
      <w:bCs/>
    </w:rPr>
  </w:style>
  <w:style w:type="character" w:customStyle="1" w:styleId="CommentSubjectChar">
    <w:name w:val="Comment Subject Char"/>
    <w:basedOn w:val="CommentTextChar"/>
    <w:link w:val="CommentSubject"/>
    <w:rsid w:val="00FD74A7"/>
    <w:rPr>
      <w:b/>
      <w:bCs/>
      <w:lang w:val="en-GB"/>
    </w:rPr>
  </w:style>
  <w:style w:type="paragraph" w:styleId="BalloonText">
    <w:name w:val="Balloon Text"/>
    <w:basedOn w:val="Normal"/>
    <w:link w:val="BalloonTextChar"/>
    <w:rsid w:val="00FD74A7"/>
    <w:pPr>
      <w:spacing w:after="0"/>
    </w:pPr>
    <w:rPr>
      <w:rFonts w:ascii="Tahoma" w:hAnsi="Tahoma" w:cs="Tahoma"/>
      <w:sz w:val="16"/>
      <w:szCs w:val="16"/>
    </w:rPr>
  </w:style>
  <w:style w:type="character" w:customStyle="1" w:styleId="BalloonTextChar">
    <w:name w:val="Balloon Text Char"/>
    <w:basedOn w:val="DefaultParagraphFont"/>
    <w:link w:val="BalloonText"/>
    <w:rsid w:val="00FD74A7"/>
    <w:rPr>
      <w:rFonts w:ascii="Tahoma" w:hAnsi="Tahoma" w:cs="Tahoma"/>
      <w:sz w:val="16"/>
      <w:szCs w:val="16"/>
      <w:lang w:val="en-GB"/>
    </w:rPr>
  </w:style>
  <w:style w:type="character" w:styleId="Hyperlink">
    <w:name w:val="Hyperlink"/>
    <w:basedOn w:val="DefaultParagraphFont"/>
    <w:rsid w:val="00FD74A7"/>
    <w:rPr>
      <w:color w:val="0000FF" w:themeColor="hyperlink"/>
      <w:u w:val="single"/>
    </w:rPr>
  </w:style>
  <w:style w:type="paragraph" w:customStyle="1" w:styleId="A-StudyTitle">
    <w:name w:val="A-Study Title"/>
    <w:rsid w:val="002C097C"/>
    <w:pPr>
      <w:spacing w:after="120"/>
    </w:pPr>
    <w:rPr>
      <w:b/>
      <w:sz w:val="28"/>
      <w:lang w:val="en-GB"/>
    </w:rPr>
  </w:style>
  <w:style w:type="paragraph" w:customStyle="1" w:styleId="A-TableText">
    <w:name w:val="A-Table Text"/>
    <w:rsid w:val="002C097C"/>
    <w:pPr>
      <w:spacing w:before="60" w:after="60"/>
    </w:pPr>
    <w:rPr>
      <w:sz w:val="22"/>
      <w:lang w:val="en-GB"/>
    </w:rPr>
  </w:style>
  <w:style w:type="paragraph" w:styleId="NormalWeb">
    <w:name w:val="Normal (Web)"/>
    <w:basedOn w:val="Normal"/>
    <w:rsid w:val="00BE7C6C"/>
    <w:pPr>
      <w:spacing w:before="100" w:beforeAutospacing="1" w:after="75"/>
      <w:jc w:val="left"/>
    </w:pPr>
    <w:rPr>
      <w:color w:val="000000"/>
      <w:szCs w:val="24"/>
      <w:lang w:eastAsia="en-GB"/>
    </w:rPr>
  </w:style>
  <w:style w:type="paragraph" w:customStyle="1" w:styleId="A-TableHeader">
    <w:name w:val="A-Table Header"/>
    <w:next w:val="A-TableText"/>
    <w:rsid w:val="00E84983"/>
    <w:pPr>
      <w:keepNext/>
      <w:spacing w:before="60" w:after="60"/>
    </w:pPr>
    <w:rPr>
      <w:b/>
      <w:sz w:val="22"/>
      <w:lang w:val="en-GB"/>
    </w:rPr>
  </w:style>
  <w:style w:type="paragraph" w:styleId="ListParagraph">
    <w:name w:val="List Paragraph"/>
    <w:basedOn w:val="Normal"/>
    <w:qFormat/>
    <w:rsid w:val="00E84983"/>
    <w:pPr>
      <w:spacing w:after="0"/>
      <w:ind w:left="720"/>
      <w:jc w:val="left"/>
    </w:pPr>
    <w:rPr>
      <w:rFonts w:ascii="Arial" w:hAnsi="Arial"/>
      <w:sz w:val="22"/>
      <w:szCs w:val="22"/>
    </w:rPr>
  </w:style>
  <w:style w:type="paragraph" w:styleId="Caption">
    <w:name w:val="caption"/>
    <w:aliases w:val="appendix,12,Caption 12pt+,Caption 12pt,12+,12pt"/>
    <w:next w:val="Normal"/>
    <w:link w:val="CaptionChar"/>
    <w:qFormat/>
    <w:rsid w:val="004E5577"/>
    <w:pPr>
      <w:keepNext/>
      <w:spacing w:after="120" w:line="280" w:lineRule="atLeast"/>
    </w:pPr>
    <w:rPr>
      <w:b/>
      <w:sz w:val="24"/>
      <w:lang w:val="en-GB"/>
    </w:rPr>
  </w:style>
  <w:style w:type="paragraph" w:customStyle="1" w:styleId="A-Single">
    <w:name w:val="A-Single"/>
    <w:rsid w:val="007068D6"/>
    <w:rPr>
      <w:sz w:val="24"/>
      <w:lang w:val="en-GB"/>
    </w:rPr>
  </w:style>
  <w:style w:type="paragraph" w:customStyle="1" w:styleId="A-TableTitle">
    <w:name w:val="A-Table Title"/>
    <w:next w:val="Normal"/>
    <w:rsid w:val="007068D6"/>
    <w:pPr>
      <w:keepNext/>
      <w:tabs>
        <w:tab w:val="left" w:pos="1800"/>
      </w:tabs>
      <w:spacing w:after="120" w:line="280" w:lineRule="atLeast"/>
      <w:ind w:left="1800" w:hanging="1800"/>
    </w:pPr>
    <w:rPr>
      <w:b/>
      <w:sz w:val="24"/>
      <w:lang w:val="en-GB"/>
    </w:rPr>
  </w:style>
  <w:style w:type="paragraph" w:customStyle="1" w:styleId="CLDHeading5">
    <w:name w:val="CLD Heading 5"/>
    <w:basedOn w:val="CLDHeading4"/>
    <w:next w:val="CLDHeading4"/>
    <w:qFormat/>
    <w:rsid w:val="0001247C"/>
    <w:rPr>
      <w:b w:val="0"/>
    </w:rPr>
  </w:style>
  <w:style w:type="paragraph" w:customStyle="1" w:styleId="ListParagraph1">
    <w:name w:val="List Paragraph1"/>
    <w:basedOn w:val="Normal"/>
    <w:autoRedefine/>
    <w:qFormat/>
    <w:rsid w:val="004621AC"/>
    <w:pPr>
      <w:numPr>
        <w:numId w:val="35"/>
      </w:numPr>
      <w:tabs>
        <w:tab w:val="left" w:pos="426"/>
      </w:tabs>
      <w:spacing w:before="120" w:after="120" w:line="300" w:lineRule="exact"/>
      <w:ind w:left="425" w:hanging="425"/>
      <w:jc w:val="left"/>
    </w:pPr>
    <w:rPr>
      <w:rFonts w:eastAsia="TimesNewRoman"/>
      <w:lang w:val="en-AU"/>
    </w:rPr>
  </w:style>
  <w:style w:type="paragraph" w:customStyle="1" w:styleId="Tablefooter">
    <w:name w:val="Table footer"/>
    <w:basedOn w:val="Normal"/>
    <w:qFormat/>
    <w:rsid w:val="004621AC"/>
    <w:pPr>
      <w:autoSpaceDE w:val="0"/>
      <w:autoSpaceDN w:val="0"/>
      <w:adjustRightInd w:val="0"/>
      <w:spacing w:after="0"/>
      <w:ind w:left="57"/>
      <w:jc w:val="left"/>
    </w:pPr>
    <w:rPr>
      <w:rFonts w:eastAsia="TimesNewRoman"/>
      <w:sz w:val="20"/>
      <w:lang w:val="en-US"/>
    </w:rPr>
  </w:style>
  <w:style w:type="paragraph" w:customStyle="1" w:styleId="Paragraph">
    <w:name w:val="Paragraph"/>
    <w:link w:val="ParagraphChar"/>
    <w:qFormat/>
    <w:rsid w:val="004020F2"/>
    <w:pPr>
      <w:spacing w:after="240"/>
    </w:pPr>
    <w:rPr>
      <w:sz w:val="24"/>
      <w:szCs w:val="24"/>
    </w:rPr>
  </w:style>
  <w:style w:type="character" w:customStyle="1" w:styleId="ParagraphChar">
    <w:name w:val="Paragraph Char"/>
    <w:link w:val="Paragraph"/>
    <w:rsid w:val="004020F2"/>
    <w:rPr>
      <w:sz w:val="24"/>
      <w:szCs w:val="24"/>
    </w:rPr>
  </w:style>
  <w:style w:type="paragraph" w:customStyle="1" w:styleId="PIHeading2">
    <w:name w:val="PI Heading 2"/>
    <w:basedOn w:val="Heading2"/>
    <w:uiPriority w:val="3"/>
    <w:qFormat/>
    <w:rsid w:val="004020F2"/>
  </w:style>
  <w:style w:type="character" w:customStyle="1" w:styleId="TableText12">
    <w:name w:val="TableText 12"/>
    <w:rsid w:val="000E41DB"/>
    <w:rPr>
      <w:rFonts w:ascii="Times New Roman" w:hAnsi="Times New Roman"/>
      <w:sz w:val="24"/>
    </w:rPr>
  </w:style>
  <w:style w:type="character" w:customStyle="1" w:styleId="CaptionChar">
    <w:name w:val="Caption Char"/>
    <w:aliases w:val="appendix Char,12 Char,Caption 12pt+ Char,Caption 12pt Char,12+ Char,12pt Char"/>
    <w:link w:val="Caption"/>
    <w:rsid w:val="00A74C24"/>
    <w:rPr>
      <w:b/>
      <w:sz w:val="24"/>
      <w:lang w:val="en-GB"/>
    </w:rPr>
  </w:style>
  <w:style w:type="paragraph" w:customStyle="1" w:styleId="A-TableFootnoteText">
    <w:name w:val="A-Table Footnote Text"/>
    <w:next w:val="Normal"/>
    <w:rsid w:val="007C1EF0"/>
    <w:pPr>
      <w:spacing w:line="280" w:lineRule="exact"/>
    </w:pPr>
    <w:rPr>
      <w:rFonts w:eastAsia="MS Mincho"/>
      <w:lang w:val="en-GB"/>
    </w:rPr>
  </w:style>
  <w:style w:type="paragraph" w:customStyle="1" w:styleId="TabletfootnoteItalics">
    <w:name w:val="Tablet footnote Italics"/>
    <w:basedOn w:val="A-TableFootnoteText"/>
    <w:qFormat/>
    <w:rsid w:val="007C1EF0"/>
    <w:rPr>
      <w:i/>
      <w:szCs w:val="13"/>
    </w:rPr>
  </w:style>
  <w:style w:type="character" w:styleId="FollowedHyperlink">
    <w:name w:val="FollowedHyperlink"/>
    <w:basedOn w:val="DefaultParagraphFont"/>
    <w:rsid w:val="00FD74A7"/>
    <w:rPr>
      <w:color w:val="800080" w:themeColor="followedHyperlink"/>
      <w:u w:val="single"/>
    </w:rPr>
  </w:style>
  <w:style w:type="paragraph" w:customStyle="1" w:styleId="StyleCLDTableTextListTextBoldAuto">
    <w:name w:val="Style CLD Table Text/List Text + Bold Auto"/>
    <w:basedOn w:val="CLDTableTextListText"/>
    <w:rsid w:val="00F73E2D"/>
    <w:rPr>
      <w:b/>
      <w:bCs/>
      <w:color w:val="auto"/>
      <w:sz w:val="22"/>
    </w:rPr>
  </w:style>
  <w:style w:type="paragraph" w:customStyle="1" w:styleId="StyleCLDTableTextListTextItalicAuto">
    <w:name w:val="Style CLD Table Text/List Text + Italic Auto"/>
    <w:basedOn w:val="CLDTableTextListText"/>
    <w:rsid w:val="00667EAA"/>
    <w:rPr>
      <w:i/>
      <w:iCs/>
      <w:color w:val="auto"/>
      <w:sz w:val="22"/>
    </w:rPr>
  </w:style>
  <w:style w:type="paragraph" w:styleId="TableofFigures">
    <w:name w:val="table of figures"/>
    <w:basedOn w:val="Normal"/>
    <w:next w:val="Normal"/>
    <w:uiPriority w:val="99"/>
    <w:rsid w:val="00B44B34"/>
    <w:pPr>
      <w:spacing w:after="0"/>
    </w:pPr>
  </w:style>
  <w:style w:type="table" w:customStyle="1" w:styleId="TableGrid1">
    <w:name w:val="Table Grid1"/>
    <w:basedOn w:val="TableNormal"/>
    <w:next w:val="TableGrid"/>
    <w:uiPriority w:val="59"/>
    <w:rsid w:val="00BC0D24"/>
    <w:rPr>
      <w:rFonts w:ascii="Cambria" w:eastAsia="Cambria" w:hAnsi="Cambria"/>
      <w:sz w:val="22"/>
      <w:szCs w:val="22"/>
      <w:lang w:val="en-AU"/>
    </w:rPr>
    <w:tblPr>
      <w:tblBorders>
        <w:top w:val="single" w:sz="4" w:space="0" w:color="002C47"/>
        <w:left w:val="single" w:sz="4" w:space="0" w:color="002C47"/>
        <w:bottom w:val="single" w:sz="4" w:space="0" w:color="002C47"/>
        <w:right w:val="single" w:sz="4" w:space="0" w:color="002C47"/>
        <w:insideH w:val="single" w:sz="4" w:space="0" w:color="002C47"/>
        <w:insideV w:val="single" w:sz="4" w:space="0" w:color="002C47"/>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100116">
      <w:bodyDiv w:val="1"/>
      <w:marLeft w:val="0"/>
      <w:marRight w:val="0"/>
      <w:marTop w:val="0"/>
      <w:marBottom w:val="0"/>
      <w:divBdr>
        <w:top w:val="none" w:sz="0" w:space="0" w:color="auto"/>
        <w:left w:val="none" w:sz="0" w:space="0" w:color="auto"/>
        <w:bottom w:val="none" w:sz="0" w:space="0" w:color="auto"/>
        <w:right w:val="none" w:sz="0" w:space="0" w:color="auto"/>
      </w:divBdr>
    </w:div>
    <w:div w:id="477456607">
      <w:bodyDiv w:val="1"/>
      <w:marLeft w:val="0"/>
      <w:marRight w:val="0"/>
      <w:marTop w:val="0"/>
      <w:marBottom w:val="0"/>
      <w:divBdr>
        <w:top w:val="none" w:sz="0" w:space="0" w:color="auto"/>
        <w:left w:val="none" w:sz="0" w:space="0" w:color="auto"/>
        <w:bottom w:val="none" w:sz="0" w:space="0" w:color="auto"/>
        <w:right w:val="none" w:sz="0" w:space="0" w:color="auto"/>
      </w:divBdr>
    </w:div>
    <w:div w:id="611480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tga.gov.au/reporting-problems"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tga.gov.au/reporting-problems" TargetMode="External"/><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hyperlink" Target="https://www.tga.gov.au/product-information-pi"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ingf01\Desktop\JA-RA-10-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escription0 xmlns="0ff93743-7fc6-41d8-bce7-25e7a24fd47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E1943AA0D36B544B7848D8A7440ECBC" ma:contentTypeVersion="1" ma:contentTypeDescription="Create a new document." ma:contentTypeScope="" ma:versionID="5d14258014e16152000cd21a524a6870">
  <xsd:schema xmlns:xsd="http://www.w3.org/2001/XMLSchema" xmlns:xs="http://www.w3.org/2001/XMLSchema" xmlns:p="http://schemas.microsoft.com/office/2006/metadata/properties" xmlns:ns2="0ff93743-7fc6-41d8-bce7-25e7a24fd47b" targetNamespace="http://schemas.microsoft.com/office/2006/metadata/properties" ma:root="true" ma:fieldsID="2a5d46b639ad32acc0961db284908e7f" ns2:_="">
    <xsd:import namespace="0ff93743-7fc6-41d8-bce7-25e7a24fd47b"/>
    <xsd:element name="properties">
      <xsd:complexType>
        <xsd:sequence>
          <xsd:element name="documentManagement">
            <xsd:complexType>
              <xsd:all>
                <xsd:element ref="ns2: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f93743-7fc6-41d8-bce7-25e7a24fd47b"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52BF09-4FC6-4F6C-8851-D78B8E76CFC8}">
  <ds:schemaRefs>
    <ds:schemaRef ds:uri="http://schemas.microsoft.com/sharepoint/v3/contenttype/forms"/>
  </ds:schemaRefs>
</ds:datastoreItem>
</file>

<file path=customXml/itemProps2.xml><?xml version="1.0" encoding="utf-8"?>
<ds:datastoreItem xmlns:ds="http://schemas.openxmlformats.org/officeDocument/2006/customXml" ds:itemID="{DBF03078-3F3F-4D2F-B2B5-D5EE4A9F9F67}">
  <ds:schemaRefs>
    <ds:schemaRef ds:uri="0ff93743-7fc6-41d8-bce7-25e7a24fd47b"/>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9BE6DB27-7D8E-43E8-B9B3-A860174D37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f93743-7fc6-41d8-bce7-25e7a24fd4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129B1F-0DA7-4543-815D-AFC5FED3B4F0}">
  <ds:schemaRefs>
    <ds:schemaRef ds:uri="http://schemas.microsoft.com/office/2006/metadata/longProperties"/>
  </ds:schemaRefs>
</ds:datastoreItem>
</file>

<file path=customXml/itemProps5.xml><?xml version="1.0" encoding="utf-8"?>
<ds:datastoreItem xmlns:ds="http://schemas.openxmlformats.org/officeDocument/2006/customXml" ds:itemID="{59D38E42-B7E2-46F5-AA81-69ABF88EA0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JA-RA-10-01.dotx</Template>
  <TotalTime>69</TotalTime>
  <Pages>26</Pages>
  <Words>7161</Words>
  <Characters>42400</Characters>
  <Application>Microsoft Office Word</Application>
  <DocSecurity>0</DocSecurity>
  <Lines>1630</Lines>
  <Paragraphs>1239</Paragraphs>
  <ScaleCrop>false</ScaleCrop>
  <HeadingPairs>
    <vt:vector size="2" baseType="variant">
      <vt:variant>
        <vt:lpstr>Title</vt:lpstr>
      </vt:variant>
      <vt:variant>
        <vt:i4>1</vt:i4>
      </vt:variant>
    </vt:vector>
  </HeadingPairs>
  <TitlesOfParts>
    <vt:vector size="1" baseType="lpstr">
      <vt:lpstr>AusPAR Attachment 1: Product Information for Ceftazidime / Avibactam</vt:lpstr>
    </vt:vector>
  </TitlesOfParts>
  <Company>Pharmacia &amp; Upjohn</Company>
  <LinksUpToDate>false</LinksUpToDate>
  <CharactersWithSpaces>48322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AusPAR Attachment 1: Product Information for Ceftazidime / Avibactam</dc:title>
  <dc:subject>prescription medicine</dc:subject>
  <dc:creator>Pfizer Australia Pty Ltd</dc:creator>
  <cp:keywords>AusPARs</cp:keywords>
  <cp:lastModifiedBy>SHEPPARD, Fran</cp:lastModifiedBy>
  <cp:revision>28</cp:revision>
  <cp:lastPrinted>2015-03-11T01:11:00Z</cp:lastPrinted>
  <dcterms:created xsi:type="dcterms:W3CDTF">2020-02-10T04:05:00Z</dcterms:created>
  <dcterms:modified xsi:type="dcterms:W3CDTF">2020-03-06T05:47:00Z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oup">
    <vt:lpwstr>Regulatory Affairs</vt:lpwstr>
  </property>
  <property fmtid="{D5CDD505-2E9C-101B-9397-08002B2CF9AE}" pid="3" name="Confirmation of Learning">
    <vt:lpwstr/>
  </property>
  <property fmtid="{D5CDD505-2E9C-101B-9397-08002B2CF9AE}" pid="4" name="ContentType">
    <vt:lpwstr>Document</vt:lpwstr>
  </property>
  <property fmtid="{D5CDD505-2E9C-101B-9397-08002B2CF9AE}" pid="5" name="Category">
    <vt:lpwstr>LPDs &amp; CMIs</vt:lpwstr>
  </property>
  <property fmtid="{D5CDD505-2E9C-101B-9397-08002B2CF9AE}" pid="6" name="Subcategory1">
    <vt:lpwstr/>
  </property>
  <property fmtid="{D5CDD505-2E9C-101B-9397-08002B2CF9AE}" pid="7" name="ContentTypeId">
    <vt:lpwstr>0x0101003E1943AA0D36B544B7848D8A7440ECBC</vt:lpwstr>
  </property>
</Properties>
</file>